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37C4F" w14:textId="77777777" w:rsidR="00E56AAB" w:rsidRPr="004B0C8F" w:rsidRDefault="000A79DC" w:rsidP="003B28E4">
      <w:pPr>
        <w:pStyle w:val="Paprastasistekstas"/>
        <w:tabs>
          <w:tab w:val="left" w:pos="4680"/>
          <w:tab w:val="left" w:pos="4962"/>
        </w:tabs>
        <w:rPr>
          <w:rFonts w:ascii="Times New Roman" w:hAnsi="Times New Roman"/>
          <w:snapToGrid w:val="0"/>
          <w:color w:val="000000"/>
          <w:sz w:val="22"/>
          <w:szCs w:val="22"/>
          <w:lang w:val="lt-LT"/>
        </w:rPr>
      </w:pPr>
      <w:r w:rsidRPr="004B0C8F">
        <w:rPr>
          <w:rFonts w:ascii="Times New Roman" w:hAnsi="Times New Roman"/>
          <w:color w:val="000000"/>
          <w:sz w:val="22"/>
          <w:szCs w:val="22"/>
          <w:lang w:val="lt-LT"/>
        </w:rPr>
        <w:tab/>
        <w:t xml:space="preserve">  </w:t>
      </w:r>
    </w:p>
    <w:p w14:paraId="7194D988" w14:textId="77777777" w:rsidR="000A79DC" w:rsidRPr="004B0C8F" w:rsidRDefault="000A79DC" w:rsidP="003B28E4">
      <w:pPr>
        <w:pStyle w:val="Paprastasistekstas"/>
        <w:tabs>
          <w:tab w:val="left" w:pos="4680"/>
          <w:tab w:val="left" w:pos="4962"/>
        </w:tabs>
        <w:rPr>
          <w:rFonts w:ascii="Times New Roman" w:hAnsi="Times New Roman"/>
          <w:color w:val="000000"/>
          <w:sz w:val="22"/>
          <w:szCs w:val="22"/>
          <w:lang w:val="lt-LT"/>
        </w:rPr>
      </w:pPr>
    </w:p>
    <w:p w14:paraId="766A39C1" w14:textId="77777777" w:rsidR="005D00C0" w:rsidRPr="004B0C8F" w:rsidRDefault="005D00C0" w:rsidP="003B28E4">
      <w:pPr>
        <w:pStyle w:val="Paprastasistekstas"/>
        <w:tabs>
          <w:tab w:val="left" w:pos="4680"/>
        </w:tabs>
        <w:ind w:left="5245"/>
        <w:rPr>
          <w:rFonts w:ascii="Times New Roman" w:hAnsi="Times New Roman"/>
          <w:color w:val="000000"/>
          <w:sz w:val="22"/>
          <w:szCs w:val="22"/>
          <w:lang w:val="lt-LT"/>
        </w:rPr>
      </w:pPr>
    </w:p>
    <w:p w14:paraId="64368AFC" w14:textId="77777777" w:rsidR="00F34163" w:rsidRPr="004B0C8F" w:rsidRDefault="00F34163" w:rsidP="003B28E4">
      <w:pPr>
        <w:widowControl w:val="0"/>
        <w:tabs>
          <w:tab w:val="clear" w:pos="567"/>
          <w:tab w:val="left" w:pos="4680"/>
        </w:tabs>
        <w:spacing w:line="240" w:lineRule="auto"/>
        <w:rPr>
          <w:color w:val="008000"/>
          <w:szCs w:val="22"/>
          <w:lang w:val="lt-LT"/>
        </w:rPr>
      </w:pPr>
    </w:p>
    <w:p w14:paraId="1B7ED8B7" w14:textId="77777777" w:rsidR="00F34163" w:rsidRPr="004B0C8F" w:rsidRDefault="00F34163" w:rsidP="003B28E4">
      <w:pPr>
        <w:tabs>
          <w:tab w:val="left" w:pos="4680"/>
        </w:tabs>
        <w:spacing w:line="240" w:lineRule="auto"/>
        <w:outlineLvl w:val="0"/>
        <w:rPr>
          <w:b/>
          <w:szCs w:val="22"/>
          <w:lang w:val="lt-LT"/>
        </w:rPr>
      </w:pPr>
    </w:p>
    <w:p w14:paraId="6C4C9EEC" w14:textId="77777777" w:rsidR="00F34163" w:rsidRPr="004B0C8F" w:rsidRDefault="00F34163" w:rsidP="003B28E4">
      <w:pPr>
        <w:tabs>
          <w:tab w:val="left" w:pos="4680"/>
        </w:tabs>
        <w:spacing w:line="240" w:lineRule="auto"/>
        <w:outlineLvl w:val="0"/>
        <w:rPr>
          <w:b/>
          <w:szCs w:val="22"/>
          <w:lang w:val="lt-LT"/>
        </w:rPr>
      </w:pPr>
    </w:p>
    <w:p w14:paraId="5279B7A6" w14:textId="77777777" w:rsidR="00F34163" w:rsidRPr="004B0C8F" w:rsidRDefault="00F34163" w:rsidP="003B28E4">
      <w:pPr>
        <w:tabs>
          <w:tab w:val="left" w:pos="4680"/>
        </w:tabs>
        <w:spacing w:line="240" w:lineRule="auto"/>
        <w:outlineLvl w:val="0"/>
        <w:rPr>
          <w:b/>
          <w:szCs w:val="22"/>
          <w:lang w:val="lt-LT"/>
        </w:rPr>
      </w:pPr>
    </w:p>
    <w:p w14:paraId="22873525" w14:textId="77777777" w:rsidR="00F34163" w:rsidRPr="004B0C8F" w:rsidRDefault="00F34163" w:rsidP="003B28E4">
      <w:pPr>
        <w:tabs>
          <w:tab w:val="left" w:pos="4680"/>
        </w:tabs>
        <w:spacing w:line="240" w:lineRule="auto"/>
        <w:outlineLvl w:val="0"/>
        <w:rPr>
          <w:b/>
          <w:szCs w:val="22"/>
          <w:lang w:val="lt-LT"/>
        </w:rPr>
      </w:pPr>
    </w:p>
    <w:p w14:paraId="380E9E1D" w14:textId="77777777" w:rsidR="00F34163" w:rsidRPr="004B0C8F" w:rsidRDefault="00F34163" w:rsidP="003B28E4">
      <w:pPr>
        <w:tabs>
          <w:tab w:val="left" w:pos="-1440"/>
          <w:tab w:val="left" w:pos="-720"/>
          <w:tab w:val="left" w:pos="4680"/>
        </w:tabs>
        <w:spacing w:line="240" w:lineRule="auto"/>
        <w:rPr>
          <w:b/>
          <w:szCs w:val="22"/>
          <w:lang w:val="lt-LT"/>
        </w:rPr>
      </w:pPr>
    </w:p>
    <w:p w14:paraId="23D497ED" w14:textId="77777777" w:rsidR="00F34163" w:rsidRPr="004B0C8F" w:rsidRDefault="00F34163" w:rsidP="003B28E4">
      <w:pPr>
        <w:tabs>
          <w:tab w:val="left" w:pos="-1440"/>
          <w:tab w:val="left" w:pos="-720"/>
          <w:tab w:val="left" w:pos="4680"/>
        </w:tabs>
        <w:spacing w:line="240" w:lineRule="auto"/>
        <w:rPr>
          <w:b/>
          <w:szCs w:val="22"/>
          <w:lang w:val="lt-LT"/>
        </w:rPr>
      </w:pPr>
    </w:p>
    <w:p w14:paraId="2DD52D53" w14:textId="77777777" w:rsidR="00F34163" w:rsidRPr="004B0C8F" w:rsidRDefault="00F34163" w:rsidP="003B28E4">
      <w:pPr>
        <w:tabs>
          <w:tab w:val="left" w:pos="-1440"/>
          <w:tab w:val="left" w:pos="-720"/>
          <w:tab w:val="left" w:pos="4680"/>
        </w:tabs>
        <w:spacing w:line="240" w:lineRule="auto"/>
        <w:rPr>
          <w:b/>
          <w:szCs w:val="22"/>
          <w:lang w:val="lt-LT"/>
        </w:rPr>
      </w:pPr>
    </w:p>
    <w:p w14:paraId="663894E7" w14:textId="77777777" w:rsidR="00F34163" w:rsidRPr="004B0C8F" w:rsidRDefault="00F34163" w:rsidP="003B28E4">
      <w:pPr>
        <w:tabs>
          <w:tab w:val="left" w:pos="-1440"/>
          <w:tab w:val="left" w:pos="-720"/>
          <w:tab w:val="left" w:pos="4680"/>
        </w:tabs>
        <w:spacing w:line="240" w:lineRule="auto"/>
        <w:rPr>
          <w:b/>
          <w:szCs w:val="22"/>
          <w:lang w:val="lt-LT"/>
        </w:rPr>
      </w:pPr>
    </w:p>
    <w:p w14:paraId="23B55443" w14:textId="77777777" w:rsidR="00F34163" w:rsidRPr="004B0C8F" w:rsidRDefault="00F34163" w:rsidP="003B28E4">
      <w:pPr>
        <w:tabs>
          <w:tab w:val="left" w:pos="-1440"/>
          <w:tab w:val="left" w:pos="-720"/>
          <w:tab w:val="left" w:pos="4680"/>
        </w:tabs>
        <w:spacing w:line="240" w:lineRule="auto"/>
        <w:rPr>
          <w:b/>
          <w:szCs w:val="22"/>
          <w:lang w:val="lt-LT"/>
        </w:rPr>
      </w:pPr>
    </w:p>
    <w:p w14:paraId="7E6E48DB" w14:textId="77777777" w:rsidR="00F34163" w:rsidRPr="004B0C8F" w:rsidRDefault="00F34163" w:rsidP="003B28E4">
      <w:pPr>
        <w:tabs>
          <w:tab w:val="left" w:pos="-1440"/>
          <w:tab w:val="left" w:pos="-720"/>
          <w:tab w:val="left" w:pos="4680"/>
        </w:tabs>
        <w:spacing w:line="240" w:lineRule="auto"/>
        <w:rPr>
          <w:b/>
          <w:szCs w:val="22"/>
          <w:lang w:val="lt-LT"/>
        </w:rPr>
      </w:pPr>
    </w:p>
    <w:p w14:paraId="67EDF470" w14:textId="77777777" w:rsidR="00F34163" w:rsidRPr="004B0C8F" w:rsidRDefault="00F34163" w:rsidP="003B28E4">
      <w:pPr>
        <w:tabs>
          <w:tab w:val="left" w:pos="-1440"/>
          <w:tab w:val="left" w:pos="-720"/>
          <w:tab w:val="left" w:pos="4680"/>
        </w:tabs>
        <w:spacing w:line="240" w:lineRule="auto"/>
        <w:rPr>
          <w:b/>
          <w:szCs w:val="22"/>
          <w:lang w:val="lt-LT"/>
        </w:rPr>
      </w:pPr>
    </w:p>
    <w:p w14:paraId="2EC768B2" w14:textId="77777777" w:rsidR="00F34163" w:rsidRPr="004B0C8F" w:rsidRDefault="00F34163" w:rsidP="003B28E4">
      <w:pPr>
        <w:tabs>
          <w:tab w:val="left" w:pos="-1440"/>
          <w:tab w:val="left" w:pos="-720"/>
          <w:tab w:val="left" w:pos="4680"/>
        </w:tabs>
        <w:spacing w:line="240" w:lineRule="auto"/>
        <w:rPr>
          <w:b/>
          <w:szCs w:val="22"/>
          <w:lang w:val="lt-LT"/>
        </w:rPr>
      </w:pPr>
    </w:p>
    <w:p w14:paraId="33083FBE" w14:textId="77777777" w:rsidR="00F34163" w:rsidRPr="004B0C8F" w:rsidRDefault="00F34163" w:rsidP="003B28E4">
      <w:pPr>
        <w:tabs>
          <w:tab w:val="left" w:pos="-1440"/>
          <w:tab w:val="left" w:pos="-720"/>
          <w:tab w:val="left" w:pos="4680"/>
        </w:tabs>
        <w:spacing w:line="240" w:lineRule="auto"/>
        <w:rPr>
          <w:b/>
          <w:szCs w:val="22"/>
          <w:lang w:val="lt-LT"/>
        </w:rPr>
      </w:pPr>
    </w:p>
    <w:p w14:paraId="5E823603" w14:textId="77777777" w:rsidR="00F34163" w:rsidRPr="004B0C8F" w:rsidRDefault="00F34163" w:rsidP="003B28E4">
      <w:pPr>
        <w:tabs>
          <w:tab w:val="left" w:pos="-1440"/>
          <w:tab w:val="left" w:pos="-720"/>
          <w:tab w:val="left" w:pos="4680"/>
        </w:tabs>
        <w:spacing w:line="240" w:lineRule="auto"/>
        <w:rPr>
          <w:b/>
          <w:szCs w:val="22"/>
          <w:lang w:val="lt-LT"/>
        </w:rPr>
      </w:pPr>
    </w:p>
    <w:p w14:paraId="445EF0B3" w14:textId="77777777" w:rsidR="00F34163" w:rsidRPr="004B0C8F" w:rsidRDefault="00F34163" w:rsidP="003B28E4">
      <w:pPr>
        <w:tabs>
          <w:tab w:val="left" w:pos="-1440"/>
          <w:tab w:val="left" w:pos="-720"/>
          <w:tab w:val="left" w:pos="4680"/>
        </w:tabs>
        <w:spacing w:line="240" w:lineRule="auto"/>
        <w:rPr>
          <w:b/>
          <w:szCs w:val="22"/>
          <w:lang w:val="lt-LT"/>
        </w:rPr>
      </w:pPr>
    </w:p>
    <w:p w14:paraId="0944D42E" w14:textId="77777777" w:rsidR="00F34163" w:rsidRPr="004B0C8F" w:rsidRDefault="00F34163" w:rsidP="003B28E4">
      <w:pPr>
        <w:tabs>
          <w:tab w:val="left" w:pos="-1440"/>
          <w:tab w:val="left" w:pos="-720"/>
          <w:tab w:val="left" w:pos="4680"/>
        </w:tabs>
        <w:spacing w:line="240" w:lineRule="auto"/>
        <w:rPr>
          <w:b/>
          <w:szCs w:val="22"/>
          <w:lang w:val="lt-LT"/>
        </w:rPr>
      </w:pPr>
    </w:p>
    <w:p w14:paraId="308C9153" w14:textId="77777777" w:rsidR="00F34163" w:rsidRPr="004B0C8F" w:rsidRDefault="00F34163" w:rsidP="003B28E4">
      <w:pPr>
        <w:tabs>
          <w:tab w:val="left" w:pos="-1440"/>
          <w:tab w:val="left" w:pos="-720"/>
          <w:tab w:val="left" w:pos="4680"/>
        </w:tabs>
        <w:spacing w:line="240" w:lineRule="auto"/>
        <w:rPr>
          <w:b/>
          <w:szCs w:val="22"/>
          <w:lang w:val="lt-LT"/>
        </w:rPr>
      </w:pPr>
    </w:p>
    <w:p w14:paraId="1BAFE1DD" w14:textId="77777777" w:rsidR="00F34163" w:rsidRPr="004B0C8F" w:rsidRDefault="00F34163" w:rsidP="003B28E4">
      <w:pPr>
        <w:tabs>
          <w:tab w:val="left" w:pos="-1440"/>
          <w:tab w:val="left" w:pos="-720"/>
          <w:tab w:val="left" w:pos="4680"/>
        </w:tabs>
        <w:spacing w:line="240" w:lineRule="auto"/>
        <w:rPr>
          <w:b/>
          <w:szCs w:val="22"/>
          <w:lang w:val="lt-LT"/>
        </w:rPr>
      </w:pPr>
    </w:p>
    <w:p w14:paraId="4578A46A" w14:textId="77777777" w:rsidR="00F34163" w:rsidRPr="004B0C8F" w:rsidRDefault="00F34163" w:rsidP="003B28E4">
      <w:pPr>
        <w:tabs>
          <w:tab w:val="left" w:pos="-1440"/>
          <w:tab w:val="left" w:pos="-720"/>
          <w:tab w:val="left" w:pos="4680"/>
        </w:tabs>
        <w:spacing w:line="240" w:lineRule="auto"/>
        <w:rPr>
          <w:b/>
          <w:szCs w:val="22"/>
          <w:lang w:val="lt-LT"/>
        </w:rPr>
      </w:pPr>
    </w:p>
    <w:p w14:paraId="40485B23" w14:textId="77777777" w:rsidR="00F34163" w:rsidRPr="004B0C8F" w:rsidRDefault="00F34163" w:rsidP="003B28E4">
      <w:pPr>
        <w:pStyle w:val="Antrat2"/>
        <w:tabs>
          <w:tab w:val="left" w:pos="4680"/>
        </w:tabs>
        <w:spacing w:before="0" w:after="0" w:line="240" w:lineRule="auto"/>
        <w:jc w:val="center"/>
        <w:rPr>
          <w:rFonts w:ascii="Times New Roman" w:hAnsi="Times New Roman"/>
          <w:bCs w:val="0"/>
          <w:i w:val="0"/>
          <w:iCs w:val="0"/>
          <w:sz w:val="22"/>
          <w:szCs w:val="22"/>
          <w:lang w:val="lt-LT"/>
        </w:rPr>
      </w:pPr>
      <w:r w:rsidRPr="004B0C8F">
        <w:rPr>
          <w:rFonts w:ascii="Times New Roman" w:hAnsi="Times New Roman"/>
          <w:i w:val="0"/>
          <w:sz w:val="22"/>
          <w:szCs w:val="22"/>
          <w:lang w:val="lt-LT"/>
        </w:rPr>
        <w:t>I PRIEDAS</w:t>
      </w:r>
    </w:p>
    <w:p w14:paraId="32DD2562" w14:textId="77777777" w:rsidR="00F34163" w:rsidRPr="004B0C8F" w:rsidRDefault="00F34163" w:rsidP="003B28E4">
      <w:pPr>
        <w:tabs>
          <w:tab w:val="left" w:pos="4680"/>
        </w:tabs>
        <w:spacing w:line="240" w:lineRule="auto"/>
        <w:rPr>
          <w:szCs w:val="22"/>
          <w:lang w:val="lt-LT"/>
        </w:rPr>
      </w:pPr>
    </w:p>
    <w:p w14:paraId="68EFE802" w14:textId="77777777" w:rsidR="00F34163" w:rsidRPr="004B0C8F" w:rsidRDefault="00F34163" w:rsidP="003B28E4">
      <w:pPr>
        <w:tabs>
          <w:tab w:val="left" w:pos="-1440"/>
          <w:tab w:val="left" w:pos="-720"/>
          <w:tab w:val="left" w:pos="4680"/>
        </w:tabs>
        <w:spacing w:line="240" w:lineRule="auto"/>
        <w:jc w:val="center"/>
        <w:rPr>
          <w:b/>
          <w:szCs w:val="22"/>
          <w:lang w:val="lt-LT"/>
        </w:rPr>
      </w:pPr>
      <w:r w:rsidRPr="004B0C8F">
        <w:rPr>
          <w:b/>
          <w:szCs w:val="22"/>
          <w:lang w:val="lt-LT"/>
        </w:rPr>
        <w:t>PREPARATO CHARAKTERISTIKŲ SANTRAUKA</w:t>
      </w:r>
    </w:p>
    <w:p w14:paraId="56A47289" w14:textId="77777777" w:rsidR="00273470" w:rsidRPr="004B0C8F" w:rsidRDefault="00F34163" w:rsidP="003B28E4">
      <w:pPr>
        <w:tabs>
          <w:tab w:val="center" w:pos="2498"/>
          <w:tab w:val="left" w:pos="4680"/>
        </w:tabs>
        <w:spacing w:line="240" w:lineRule="auto"/>
        <w:ind w:left="-15"/>
        <w:rPr>
          <w:lang w:val="lt-LT"/>
        </w:rPr>
      </w:pPr>
      <w:r w:rsidRPr="004B0C8F">
        <w:rPr>
          <w:szCs w:val="22"/>
          <w:lang w:val="lt-LT" w:eastAsia="zh-CN"/>
        </w:rPr>
        <w:br w:type="page"/>
      </w:r>
      <w:r w:rsidR="00273470" w:rsidRPr="004B0C8F">
        <w:rPr>
          <w:b/>
          <w:lang w:val="lt-LT"/>
        </w:rPr>
        <w:lastRenderedPageBreak/>
        <w:t xml:space="preserve">1. </w:t>
      </w:r>
      <w:r w:rsidR="00273470" w:rsidRPr="004B0C8F">
        <w:rPr>
          <w:b/>
          <w:lang w:val="lt-LT"/>
        </w:rPr>
        <w:tab/>
        <w:t xml:space="preserve">VAISTINIO PREPARATO PAVADINIMAS </w:t>
      </w:r>
    </w:p>
    <w:p w14:paraId="7DCADB7D" w14:textId="77777777" w:rsidR="00273470" w:rsidRPr="004B0C8F" w:rsidRDefault="00273470" w:rsidP="003B28E4">
      <w:pPr>
        <w:tabs>
          <w:tab w:val="left" w:pos="4680"/>
        </w:tabs>
        <w:spacing w:line="240" w:lineRule="auto"/>
        <w:rPr>
          <w:lang w:val="lt-LT"/>
        </w:rPr>
      </w:pPr>
      <w:r w:rsidRPr="004B0C8F">
        <w:rPr>
          <w:lang w:val="lt-LT"/>
        </w:rPr>
        <w:t xml:space="preserve"> </w:t>
      </w:r>
    </w:p>
    <w:p w14:paraId="6A5355ED" w14:textId="1E844650" w:rsidR="00273470" w:rsidRPr="004B0C8F" w:rsidRDefault="001A5C63" w:rsidP="003B28E4">
      <w:pPr>
        <w:tabs>
          <w:tab w:val="left" w:pos="4680"/>
        </w:tabs>
        <w:spacing w:line="240" w:lineRule="auto"/>
        <w:ind w:left="2" w:right="397"/>
        <w:rPr>
          <w:lang w:val="lt-LT"/>
        </w:rPr>
      </w:pPr>
      <w:proofErr w:type="spellStart"/>
      <w:r w:rsidRPr="004B0C8F">
        <w:rPr>
          <w:lang w:val="lt-LT"/>
        </w:rPr>
        <w:t>Febuxostat</w:t>
      </w:r>
      <w:proofErr w:type="spellEnd"/>
      <w:r w:rsidRPr="004B0C8F">
        <w:rPr>
          <w:lang w:val="lt-LT"/>
        </w:rPr>
        <w:t xml:space="preserve"> </w:t>
      </w:r>
      <w:proofErr w:type="spellStart"/>
      <w:r w:rsidR="00651A1C" w:rsidRPr="004B0C8F">
        <w:rPr>
          <w:lang w:val="lt-LT"/>
        </w:rPr>
        <w:t>Zentiva</w:t>
      </w:r>
      <w:proofErr w:type="spellEnd"/>
      <w:r w:rsidR="00273470" w:rsidRPr="004B0C8F">
        <w:rPr>
          <w:lang w:val="lt-LT"/>
        </w:rPr>
        <w:t xml:space="preserve"> </w:t>
      </w:r>
      <w:r w:rsidR="00544251" w:rsidRPr="004B0C8F">
        <w:rPr>
          <w:lang w:val="lt-LT"/>
        </w:rPr>
        <w:t>80 </w:t>
      </w:r>
      <w:r w:rsidR="00273470" w:rsidRPr="004B0C8F">
        <w:rPr>
          <w:lang w:val="lt-LT"/>
        </w:rPr>
        <w:t xml:space="preserve">mg plėvele dengtos tabletės </w:t>
      </w:r>
    </w:p>
    <w:p w14:paraId="1A144755" w14:textId="77777777" w:rsidR="00273470" w:rsidRPr="004B0C8F" w:rsidRDefault="00273470" w:rsidP="003B28E4">
      <w:pPr>
        <w:tabs>
          <w:tab w:val="left" w:pos="4680"/>
        </w:tabs>
        <w:spacing w:line="240" w:lineRule="auto"/>
        <w:rPr>
          <w:lang w:val="lt-LT"/>
        </w:rPr>
      </w:pPr>
      <w:r w:rsidRPr="004B0C8F">
        <w:rPr>
          <w:lang w:val="lt-LT"/>
        </w:rPr>
        <w:t xml:space="preserve"> </w:t>
      </w:r>
    </w:p>
    <w:p w14:paraId="17014061" w14:textId="77777777" w:rsidR="00273470" w:rsidRPr="004B0C8F" w:rsidRDefault="00273470" w:rsidP="003B28E4">
      <w:pPr>
        <w:tabs>
          <w:tab w:val="left" w:pos="4680"/>
        </w:tabs>
        <w:spacing w:line="240" w:lineRule="auto"/>
        <w:rPr>
          <w:lang w:val="lt-LT"/>
        </w:rPr>
      </w:pPr>
      <w:r w:rsidRPr="004B0C8F">
        <w:rPr>
          <w:lang w:val="lt-LT"/>
        </w:rPr>
        <w:t xml:space="preserve"> </w:t>
      </w:r>
    </w:p>
    <w:p w14:paraId="260F7B11" w14:textId="77777777" w:rsidR="00273470" w:rsidRPr="004B0C8F" w:rsidRDefault="00273470" w:rsidP="003B28E4">
      <w:pPr>
        <w:pStyle w:val="Antrat2"/>
        <w:tabs>
          <w:tab w:val="center" w:pos="2306"/>
          <w:tab w:val="left" w:pos="4680"/>
        </w:tabs>
        <w:spacing w:before="0" w:after="0" w:line="240" w:lineRule="auto"/>
        <w:ind w:left="-17"/>
        <w:rPr>
          <w:rFonts w:ascii="Times New Roman" w:hAnsi="Times New Roman"/>
          <w:i w:val="0"/>
          <w:sz w:val="22"/>
          <w:lang w:val="lt-LT"/>
        </w:rPr>
      </w:pPr>
      <w:r w:rsidRPr="004B0C8F">
        <w:rPr>
          <w:rFonts w:ascii="Times New Roman" w:hAnsi="Times New Roman"/>
          <w:i w:val="0"/>
          <w:sz w:val="22"/>
          <w:lang w:val="lt-LT"/>
        </w:rPr>
        <w:t xml:space="preserve">2. </w:t>
      </w:r>
      <w:r w:rsidRPr="004B0C8F">
        <w:rPr>
          <w:rFonts w:ascii="Times New Roman" w:hAnsi="Times New Roman"/>
          <w:i w:val="0"/>
          <w:sz w:val="22"/>
          <w:lang w:val="lt-LT"/>
        </w:rPr>
        <w:tab/>
        <w:t xml:space="preserve">KOKYBINĖ IR KIEKYBINĖ SUDĖTIS </w:t>
      </w:r>
    </w:p>
    <w:p w14:paraId="3AF10D00" w14:textId="77777777" w:rsidR="00273470" w:rsidRPr="004B0C8F" w:rsidRDefault="00273470" w:rsidP="003B28E4">
      <w:pPr>
        <w:tabs>
          <w:tab w:val="left" w:pos="4680"/>
        </w:tabs>
        <w:spacing w:line="240" w:lineRule="auto"/>
        <w:rPr>
          <w:lang w:val="lt-LT"/>
        </w:rPr>
      </w:pPr>
      <w:r w:rsidRPr="004B0C8F">
        <w:rPr>
          <w:lang w:val="lt-LT"/>
        </w:rPr>
        <w:t xml:space="preserve"> </w:t>
      </w:r>
    </w:p>
    <w:p w14:paraId="4C8C79F6" w14:textId="77777777" w:rsidR="00273470" w:rsidRPr="004B0C8F" w:rsidRDefault="00E5343B" w:rsidP="003B28E4">
      <w:pPr>
        <w:tabs>
          <w:tab w:val="left" w:pos="4680"/>
        </w:tabs>
        <w:spacing w:line="240" w:lineRule="auto"/>
        <w:ind w:left="2" w:right="397"/>
        <w:rPr>
          <w:lang w:val="lt-LT"/>
        </w:rPr>
      </w:pPr>
      <w:r w:rsidRPr="004B0C8F">
        <w:rPr>
          <w:lang w:val="lt-LT"/>
        </w:rPr>
        <w:t>Kiekv</w:t>
      </w:r>
      <w:r w:rsidR="00273470" w:rsidRPr="004B0C8F">
        <w:rPr>
          <w:lang w:val="lt-LT"/>
        </w:rPr>
        <w:t xml:space="preserve">ienoje tabletėje yra </w:t>
      </w:r>
      <w:r w:rsidR="003B1300" w:rsidRPr="004B0C8F">
        <w:rPr>
          <w:lang w:val="lt-LT"/>
        </w:rPr>
        <w:t>80 </w:t>
      </w:r>
      <w:r w:rsidR="00273470" w:rsidRPr="004B0C8F">
        <w:rPr>
          <w:lang w:val="lt-LT"/>
        </w:rPr>
        <w:t xml:space="preserve">mg </w:t>
      </w:r>
      <w:proofErr w:type="spellStart"/>
      <w:r w:rsidR="00273470" w:rsidRPr="004B0C8F">
        <w:rPr>
          <w:lang w:val="lt-LT"/>
        </w:rPr>
        <w:t>febuksostato</w:t>
      </w:r>
      <w:proofErr w:type="spellEnd"/>
      <w:r w:rsidR="00273470" w:rsidRPr="004B0C8F">
        <w:rPr>
          <w:lang w:val="lt-LT"/>
        </w:rPr>
        <w:t xml:space="preserve"> (</w:t>
      </w:r>
      <w:proofErr w:type="spellStart"/>
      <w:r w:rsidRPr="004B0C8F">
        <w:rPr>
          <w:lang w:val="lt-LT"/>
        </w:rPr>
        <w:t>hemihidrato</w:t>
      </w:r>
      <w:proofErr w:type="spellEnd"/>
      <w:r w:rsidRPr="004B0C8F">
        <w:rPr>
          <w:lang w:val="lt-LT"/>
        </w:rPr>
        <w:t xml:space="preserve"> pavidalu</w:t>
      </w:r>
      <w:r w:rsidR="00273470" w:rsidRPr="004B0C8F">
        <w:rPr>
          <w:lang w:val="lt-LT"/>
        </w:rPr>
        <w:t xml:space="preserve">). </w:t>
      </w:r>
    </w:p>
    <w:p w14:paraId="442FBEB7" w14:textId="77777777" w:rsidR="00273470" w:rsidRPr="004B0C8F" w:rsidRDefault="00273470" w:rsidP="003B28E4">
      <w:pPr>
        <w:tabs>
          <w:tab w:val="left" w:pos="4680"/>
        </w:tabs>
        <w:spacing w:line="240" w:lineRule="auto"/>
        <w:rPr>
          <w:lang w:val="lt-LT"/>
        </w:rPr>
      </w:pPr>
      <w:r w:rsidRPr="004B0C8F">
        <w:rPr>
          <w:lang w:val="lt-LT"/>
        </w:rPr>
        <w:t xml:space="preserve"> </w:t>
      </w:r>
    </w:p>
    <w:p w14:paraId="76B43EFB" w14:textId="77777777" w:rsidR="00273470" w:rsidRPr="004B0C8F" w:rsidRDefault="00273470" w:rsidP="003B28E4">
      <w:pPr>
        <w:tabs>
          <w:tab w:val="left" w:pos="4680"/>
        </w:tabs>
        <w:spacing w:line="240" w:lineRule="auto"/>
        <w:ind w:left="2" w:right="397"/>
        <w:rPr>
          <w:u w:val="single"/>
          <w:lang w:val="lt-LT"/>
        </w:rPr>
      </w:pPr>
      <w:r w:rsidRPr="004B0C8F">
        <w:rPr>
          <w:u w:val="single"/>
          <w:lang w:val="lt-LT"/>
        </w:rPr>
        <w:t>Pagalbinė medžiaga, kurios poveikis žinomas</w:t>
      </w:r>
    </w:p>
    <w:p w14:paraId="7BE10E7A" w14:textId="53CEFC5A" w:rsidR="00273470" w:rsidRPr="004B0C8F" w:rsidRDefault="00E5343B" w:rsidP="003B28E4">
      <w:pPr>
        <w:tabs>
          <w:tab w:val="left" w:pos="4680"/>
        </w:tabs>
        <w:spacing w:line="240" w:lineRule="auto"/>
        <w:ind w:left="2" w:right="397"/>
        <w:rPr>
          <w:lang w:val="lt-LT"/>
        </w:rPr>
      </w:pPr>
      <w:r w:rsidRPr="004B0C8F">
        <w:rPr>
          <w:lang w:val="lt-LT"/>
        </w:rPr>
        <w:t>Kiek</w:t>
      </w:r>
      <w:r w:rsidR="00273470" w:rsidRPr="004B0C8F">
        <w:rPr>
          <w:lang w:val="lt-LT"/>
        </w:rPr>
        <w:t>vienoje tabletėje yra 7</w:t>
      </w:r>
      <w:r w:rsidR="003B1378" w:rsidRPr="004B0C8F">
        <w:rPr>
          <w:lang w:val="lt-LT"/>
        </w:rPr>
        <w:t>2,7</w:t>
      </w:r>
      <w:r w:rsidR="00273470" w:rsidRPr="004B0C8F">
        <w:rPr>
          <w:lang w:val="lt-LT"/>
        </w:rPr>
        <w:t xml:space="preserve"> mg laktozės </w:t>
      </w:r>
      <w:r w:rsidR="003B1378" w:rsidRPr="004B0C8F">
        <w:rPr>
          <w:lang w:val="lt-LT"/>
        </w:rPr>
        <w:t>(</w:t>
      </w:r>
      <w:proofErr w:type="spellStart"/>
      <w:r w:rsidR="00273470" w:rsidRPr="004B0C8F">
        <w:rPr>
          <w:lang w:val="lt-LT"/>
        </w:rPr>
        <w:t>monohidrato</w:t>
      </w:r>
      <w:proofErr w:type="spellEnd"/>
      <w:r w:rsidR="003B1378" w:rsidRPr="004B0C8F">
        <w:rPr>
          <w:lang w:val="lt-LT"/>
        </w:rPr>
        <w:t xml:space="preserve"> pavidalu)</w:t>
      </w:r>
      <w:r w:rsidR="00273470" w:rsidRPr="004B0C8F">
        <w:rPr>
          <w:lang w:val="lt-LT"/>
        </w:rPr>
        <w:t xml:space="preserve">. </w:t>
      </w:r>
    </w:p>
    <w:p w14:paraId="03F562B9" w14:textId="77777777" w:rsidR="00273470" w:rsidRPr="004B0C8F" w:rsidRDefault="00273470" w:rsidP="003B28E4">
      <w:pPr>
        <w:tabs>
          <w:tab w:val="left" w:pos="4680"/>
        </w:tabs>
        <w:spacing w:line="240" w:lineRule="auto"/>
        <w:rPr>
          <w:lang w:val="lt-LT"/>
        </w:rPr>
      </w:pPr>
      <w:r w:rsidRPr="004B0C8F">
        <w:rPr>
          <w:lang w:val="lt-LT"/>
        </w:rPr>
        <w:t xml:space="preserve"> </w:t>
      </w:r>
    </w:p>
    <w:p w14:paraId="77D9052E" w14:textId="77777777" w:rsidR="00273470" w:rsidRPr="004A478C" w:rsidRDefault="00273470" w:rsidP="003B28E4">
      <w:pPr>
        <w:tabs>
          <w:tab w:val="left" w:pos="4680"/>
        </w:tabs>
        <w:spacing w:line="240" w:lineRule="auto"/>
        <w:ind w:left="2" w:right="397"/>
        <w:rPr>
          <w:lang w:val="lt-LT"/>
        </w:rPr>
      </w:pPr>
      <w:r w:rsidRPr="004A478C">
        <w:rPr>
          <w:lang w:val="lt-LT"/>
        </w:rPr>
        <w:t xml:space="preserve">Visos pagalbinės medžiagos išvardytos 6.1 skyriuje. </w:t>
      </w:r>
    </w:p>
    <w:p w14:paraId="5BA8BBD5" w14:textId="77777777" w:rsidR="00273470" w:rsidRPr="004A478C" w:rsidRDefault="00273470" w:rsidP="003B28E4">
      <w:pPr>
        <w:tabs>
          <w:tab w:val="left" w:pos="4680"/>
        </w:tabs>
        <w:spacing w:line="240" w:lineRule="auto"/>
        <w:rPr>
          <w:lang w:val="lt-LT"/>
        </w:rPr>
      </w:pPr>
      <w:r w:rsidRPr="004A478C">
        <w:rPr>
          <w:lang w:val="lt-LT"/>
        </w:rPr>
        <w:t xml:space="preserve"> </w:t>
      </w:r>
    </w:p>
    <w:p w14:paraId="733AB99C" w14:textId="77777777" w:rsidR="00273470" w:rsidRPr="004A478C" w:rsidRDefault="00273470" w:rsidP="003B28E4">
      <w:pPr>
        <w:tabs>
          <w:tab w:val="left" w:pos="4680"/>
        </w:tabs>
        <w:spacing w:line="240" w:lineRule="auto"/>
        <w:rPr>
          <w:lang w:val="lt-LT"/>
        </w:rPr>
      </w:pPr>
      <w:r w:rsidRPr="004A478C">
        <w:rPr>
          <w:b/>
          <w:lang w:val="lt-LT"/>
        </w:rPr>
        <w:t xml:space="preserve"> </w:t>
      </w:r>
    </w:p>
    <w:p w14:paraId="2EEF90B5" w14:textId="77777777" w:rsidR="00273470" w:rsidRPr="004A478C" w:rsidRDefault="00273470" w:rsidP="003B28E4">
      <w:pPr>
        <w:pStyle w:val="Antrat2"/>
        <w:tabs>
          <w:tab w:val="center" w:pos="1566"/>
          <w:tab w:val="left" w:pos="4680"/>
        </w:tabs>
        <w:spacing w:before="0" w:after="0" w:line="240" w:lineRule="auto"/>
        <w:ind w:left="-15"/>
        <w:rPr>
          <w:rFonts w:ascii="Times New Roman" w:hAnsi="Times New Roman"/>
          <w:i w:val="0"/>
          <w:sz w:val="22"/>
          <w:lang w:val="lt-LT"/>
        </w:rPr>
      </w:pPr>
      <w:r w:rsidRPr="004A478C">
        <w:rPr>
          <w:rFonts w:ascii="Times New Roman" w:hAnsi="Times New Roman"/>
          <w:i w:val="0"/>
          <w:sz w:val="22"/>
          <w:lang w:val="lt-LT"/>
        </w:rPr>
        <w:t xml:space="preserve">3. </w:t>
      </w:r>
      <w:r w:rsidRPr="004A478C">
        <w:rPr>
          <w:rFonts w:ascii="Times New Roman" w:hAnsi="Times New Roman"/>
          <w:i w:val="0"/>
          <w:sz w:val="22"/>
          <w:lang w:val="lt-LT"/>
        </w:rPr>
        <w:tab/>
        <w:t xml:space="preserve">FARMACINĖ FORMA </w:t>
      </w:r>
    </w:p>
    <w:p w14:paraId="378F2D1F" w14:textId="77777777" w:rsidR="00273470" w:rsidRPr="004A478C" w:rsidRDefault="00273470" w:rsidP="003B28E4">
      <w:pPr>
        <w:tabs>
          <w:tab w:val="left" w:pos="4680"/>
        </w:tabs>
        <w:spacing w:line="240" w:lineRule="auto"/>
        <w:rPr>
          <w:lang w:val="lt-LT"/>
        </w:rPr>
      </w:pPr>
      <w:r w:rsidRPr="004A478C">
        <w:rPr>
          <w:lang w:val="lt-LT"/>
        </w:rPr>
        <w:t xml:space="preserve"> </w:t>
      </w:r>
    </w:p>
    <w:p w14:paraId="0AC2CF0A" w14:textId="53C4DF09" w:rsidR="00273470" w:rsidRPr="004A478C" w:rsidRDefault="00273470" w:rsidP="003B28E4">
      <w:pPr>
        <w:tabs>
          <w:tab w:val="left" w:pos="4680"/>
        </w:tabs>
        <w:spacing w:line="240" w:lineRule="auto"/>
        <w:ind w:left="2" w:right="397"/>
        <w:rPr>
          <w:lang w:val="lt-LT"/>
        </w:rPr>
      </w:pPr>
      <w:r w:rsidRPr="004A478C">
        <w:rPr>
          <w:lang w:val="lt-LT"/>
        </w:rPr>
        <w:t xml:space="preserve">Plėvele dengta tabletė. </w:t>
      </w:r>
    </w:p>
    <w:p w14:paraId="6E8D5EC3" w14:textId="77777777" w:rsidR="00273470" w:rsidRPr="004A478C" w:rsidRDefault="00273470" w:rsidP="003B28E4">
      <w:pPr>
        <w:tabs>
          <w:tab w:val="left" w:pos="4680"/>
        </w:tabs>
        <w:spacing w:line="240" w:lineRule="auto"/>
        <w:rPr>
          <w:lang w:val="lt-LT"/>
        </w:rPr>
      </w:pPr>
      <w:r w:rsidRPr="004A478C">
        <w:rPr>
          <w:lang w:val="lt-LT"/>
        </w:rPr>
        <w:t xml:space="preserve"> </w:t>
      </w:r>
    </w:p>
    <w:p w14:paraId="0B2BDB94" w14:textId="0D8A496E" w:rsidR="00273470" w:rsidRPr="004A478C" w:rsidRDefault="0083377A" w:rsidP="003B28E4">
      <w:pPr>
        <w:tabs>
          <w:tab w:val="left" w:pos="4680"/>
        </w:tabs>
        <w:spacing w:line="240" w:lineRule="auto"/>
        <w:ind w:left="2" w:right="397"/>
        <w:rPr>
          <w:lang w:val="lt-LT"/>
        </w:rPr>
      </w:pPr>
      <w:r w:rsidRPr="004A478C">
        <w:rPr>
          <w:lang w:val="lt-LT"/>
        </w:rPr>
        <w:t>Šviesiai geltonos spalvos, apvalios formos plėvele dengtos tabletės, kurių skersmuo maždaug 11 mm, vienoje pusėje įspausta „80“</w:t>
      </w:r>
      <w:r w:rsidR="00273470" w:rsidRPr="004A478C">
        <w:rPr>
          <w:lang w:val="lt-LT"/>
        </w:rPr>
        <w:t xml:space="preserve">. </w:t>
      </w:r>
    </w:p>
    <w:p w14:paraId="2C936647" w14:textId="77777777" w:rsidR="00273470" w:rsidRPr="004A478C" w:rsidRDefault="00273470" w:rsidP="003B28E4">
      <w:pPr>
        <w:tabs>
          <w:tab w:val="left" w:pos="4680"/>
        </w:tabs>
        <w:spacing w:line="240" w:lineRule="auto"/>
        <w:rPr>
          <w:lang w:val="lt-LT"/>
        </w:rPr>
      </w:pPr>
      <w:r w:rsidRPr="004A478C">
        <w:rPr>
          <w:lang w:val="lt-LT"/>
        </w:rPr>
        <w:t xml:space="preserve"> </w:t>
      </w:r>
    </w:p>
    <w:p w14:paraId="2DC77D66" w14:textId="77777777" w:rsidR="00273470" w:rsidRPr="004A478C" w:rsidRDefault="00273470" w:rsidP="003B28E4">
      <w:pPr>
        <w:tabs>
          <w:tab w:val="left" w:pos="4680"/>
        </w:tabs>
        <w:spacing w:line="240" w:lineRule="auto"/>
        <w:rPr>
          <w:lang w:val="lt-LT"/>
        </w:rPr>
      </w:pPr>
      <w:r w:rsidRPr="004A478C">
        <w:rPr>
          <w:lang w:val="lt-LT"/>
        </w:rPr>
        <w:t xml:space="preserve"> </w:t>
      </w:r>
    </w:p>
    <w:p w14:paraId="59227018" w14:textId="77777777" w:rsidR="00273470" w:rsidRPr="004A478C" w:rsidRDefault="00273470" w:rsidP="003B28E4">
      <w:pPr>
        <w:pStyle w:val="Antrat2"/>
        <w:tabs>
          <w:tab w:val="center" w:pos="1847"/>
          <w:tab w:val="left" w:pos="4680"/>
        </w:tabs>
        <w:spacing w:before="0" w:after="0" w:line="240" w:lineRule="auto"/>
        <w:ind w:left="-15"/>
        <w:rPr>
          <w:rFonts w:ascii="Times New Roman" w:hAnsi="Times New Roman"/>
          <w:i w:val="0"/>
          <w:sz w:val="22"/>
          <w:lang w:val="lt-LT"/>
        </w:rPr>
      </w:pPr>
      <w:r w:rsidRPr="004A478C">
        <w:rPr>
          <w:rFonts w:ascii="Times New Roman" w:hAnsi="Times New Roman"/>
          <w:i w:val="0"/>
          <w:sz w:val="22"/>
          <w:lang w:val="lt-LT"/>
        </w:rPr>
        <w:t xml:space="preserve">4. </w:t>
      </w:r>
      <w:r w:rsidRPr="004A478C">
        <w:rPr>
          <w:rFonts w:ascii="Times New Roman" w:hAnsi="Times New Roman"/>
          <w:i w:val="0"/>
          <w:sz w:val="22"/>
          <w:lang w:val="lt-LT"/>
        </w:rPr>
        <w:tab/>
        <w:t xml:space="preserve">KLINIKINĖ INFORMACIJA </w:t>
      </w:r>
    </w:p>
    <w:p w14:paraId="193331D9" w14:textId="77777777" w:rsidR="00273470" w:rsidRPr="004A478C" w:rsidRDefault="00273470" w:rsidP="003B28E4">
      <w:pPr>
        <w:tabs>
          <w:tab w:val="left" w:pos="4680"/>
        </w:tabs>
        <w:spacing w:line="240" w:lineRule="auto"/>
        <w:rPr>
          <w:lang w:val="lt-LT"/>
        </w:rPr>
      </w:pPr>
      <w:r w:rsidRPr="004A478C">
        <w:rPr>
          <w:lang w:val="lt-LT"/>
        </w:rPr>
        <w:t xml:space="preserve"> </w:t>
      </w:r>
    </w:p>
    <w:p w14:paraId="5C0BFF3D" w14:textId="77777777" w:rsidR="00273470" w:rsidRPr="004A478C" w:rsidRDefault="00273470" w:rsidP="003B28E4">
      <w:pPr>
        <w:pStyle w:val="Antrat3"/>
        <w:tabs>
          <w:tab w:val="center" w:pos="1459"/>
          <w:tab w:val="left" w:pos="4680"/>
        </w:tabs>
        <w:spacing w:before="0" w:after="0" w:line="240" w:lineRule="auto"/>
        <w:ind w:left="-15"/>
        <w:rPr>
          <w:rFonts w:ascii="Times New Roman" w:hAnsi="Times New Roman"/>
          <w:sz w:val="22"/>
          <w:lang w:val="lt-LT"/>
        </w:rPr>
      </w:pPr>
      <w:r w:rsidRPr="004A478C">
        <w:rPr>
          <w:rFonts w:ascii="Times New Roman" w:hAnsi="Times New Roman"/>
          <w:sz w:val="22"/>
          <w:lang w:val="lt-LT"/>
        </w:rPr>
        <w:t xml:space="preserve">4.1 </w:t>
      </w:r>
      <w:r w:rsidRPr="004A478C">
        <w:rPr>
          <w:rFonts w:ascii="Times New Roman" w:hAnsi="Times New Roman"/>
          <w:sz w:val="22"/>
          <w:lang w:val="lt-LT"/>
        </w:rPr>
        <w:tab/>
        <w:t xml:space="preserve">Terapinės indikacijos </w:t>
      </w:r>
    </w:p>
    <w:p w14:paraId="534BA3D8" w14:textId="77777777" w:rsidR="00273470" w:rsidRPr="004A478C" w:rsidRDefault="00273470" w:rsidP="00F34435">
      <w:pPr>
        <w:spacing w:after="14" w:line="259" w:lineRule="auto"/>
        <w:rPr>
          <w:lang w:val="lt-LT"/>
        </w:rPr>
      </w:pPr>
      <w:r w:rsidRPr="004A478C">
        <w:rPr>
          <w:lang w:val="lt-LT"/>
        </w:rPr>
        <w:t xml:space="preserve"> </w:t>
      </w:r>
    </w:p>
    <w:p w14:paraId="17D989C3" w14:textId="77777777" w:rsidR="00273470" w:rsidRPr="004A478C" w:rsidRDefault="00273470" w:rsidP="003B28E4">
      <w:pPr>
        <w:tabs>
          <w:tab w:val="left" w:pos="4680"/>
        </w:tabs>
        <w:spacing w:line="240" w:lineRule="auto"/>
        <w:ind w:left="2" w:right="397"/>
        <w:rPr>
          <w:lang w:val="lt-LT"/>
        </w:rPr>
      </w:pPr>
      <w:r w:rsidRPr="004A478C">
        <w:rPr>
          <w:lang w:val="lt-LT"/>
        </w:rPr>
        <w:t xml:space="preserve">Lėtinės </w:t>
      </w:r>
      <w:proofErr w:type="spellStart"/>
      <w:r w:rsidRPr="004A478C">
        <w:rPr>
          <w:lang w:val="lt-LT"/>
        </w:rPr>
        <w:t>hiperurikemijos</w:t>
      </w:r>
      <w:proofErr w:type="spellEnd"/>
      <w:r w:rsidRPr="004A478C">
        <w:rPr>
          <w:lang w:val="lt-LT"/>
        </w:rPr>
        <w:t xml:space="preserve"> būklių, kurių metu jau yra uratų nuosėdų (įskaitant buvusius ar esančius podagrinius mazgelius ir </w:t>
      </w:r>
      <w:r w:rsidR="00A61D24" w:rsidRPr="004A478C">
        <w:rPr>
          <w:lang w:val="lt-LT"/>
        </w:rPr>
        <w:t>(</w:t>
      </w:r>
      <w:r w:rsidRPr="004A478C">
        <w:rPr>
          <w:lang w:val="lt-LT"/>
        </w:rPr>
        <w:t>ar</w:t>
      </w:r>
      <w:r w:rsidR="00A61D24" w:rsidRPr="004A478C">
        <w:rPr>
          <w:lang w:val="lt-LT"/>
        </w:rPr>
        <w:t>ba)</w:t>
      </w:r>
      <w:r w:rsidRPr="004A478C">
        <w:rPr>
          <w:lang w:val="lt-LT"/>
        </w:rPr>
        <w:t xml:space="preserve"> podagrinį artritą), gydymas. </w:t>
      </w:r>
    </w:p>
    <w:p w14:paraId="0F86ADB9" w14:textId="77777777" w:rsidR="00273470" w:rsidRPr="004A478C" w:rsidRDefault="00273470" w:rsidP="003B28E4">
      <w:pPr>
        <w:tabs>
          <w:tab w:val="left" w:pos="4680"/>
        </w:tabs>
        <w:spacing w:line="240" w:lineRule="auto"/>
        <w:rPr>
          <w:lang w:val="lt-LT"/>
        </w:rPr>
      </w:pPr>
      <w:r w:rsidRPr="004A478C">
        <w:rPr>
          <w:lang w:val="lt-LT"/>
        </w:rPr>
        <w:t xml:space="preserve"> </w:t>
      </w:r>
    </w:p>
    <w:p w14:paraId="3CC3484E" w14:textId="6E1E963E" w:rsidR="00273470" w:rsidRPr="004A478C" w:rsidRDefault="001A5C63" w:rsidP="003B28E4">
      <w:pPr>
        <w:tabs>
          <w:tab w:val="left" w:pos="4680"/>
        </w:tabs>
        <w:spacing w:line="240" w:lineRule="auto"/>
        <w:ind w:left="2" w:right="397"/>
        <w:rPr>
          <w:lang w:val="lt-LT"/>
        </w:rPr>
      </w:pPr>
      <w:proofErr w:type="spellStart"/>
      <w:r w:rsidRPr="004A478C">
        <w:rPr>
          <w:lang w:val="lt-LT"/>
        </w:rPr>
        <w:t>Febuxostat</w:t>
      </w:r>
      <w:proofErr w:type="spellEnd"/>
      <w:r w:rsidRPr="004A478C">
        <w:rPr>
          <w:lang w:val="lt-LT"/>
        </w:rPr>
        <w:t xml:space="preserve"> </w:t>
      </w:r>
      <w:proofErr w:type="spellStart"/>
      <w:r w:rsidR="00651A1C" w:rsidRPr="004B0C8F">
        <w:rPr>
          <w:lang w:val="lt-LT"/>
        </w:rPr>
        <w:t>Zentiva</w:t>
      </w:r>
      <w:proofErr w:type="spellEnd"/>
      <w:r w:rsidR="00651A1C" w:rsidRPr="004B0C8F">
        <w:rPr>
          <w:lang w:val="lt-LT"/>
        </w:rPr>
        <w:t xml:space="preserve"> </w:t>
      </w:r>
      <w:r w:rsidR="00273470" w:rsidRPr="004A478C">
        <w:rPr>
          <w:lang w:val="lt-LT"/>
        </w:rPr>
        <w:t>skirtas suaugusie</w:t>
      </w:r>
      <w:r w:rsidR="00A61D24" w:rsidRPr="004A478C">
        <w:rPr>
          <w:lang w:val="lt-LT"/>
        </w:rPr>
        <w:t>sie</w:t>
      </w:r>
      <w:r w:rsidR="00273470" w:rsidRPr="004A478C">
        <w:rPr>
          <w:lang w:val="lt-LT"/>
        </w:rPr>
        <w:t xml:space="preserve">ms. </w:t>
      </w:r>
    </w:p>
    <w:p w14:paraId="2AB9B7B9" w14:textId="77777777" w:rsidR="00273470" w:rsidRPr="004A478C" w:rsidRDefault="00273470" w:rsidP="003B28E4">
      <w:pPr>
        <w:tabs>
          <w:tab w:val="left" w:pos="4680"/>
        </w:tabs>
        <w:spacing w:line="240" w:lineRule="auto"/>
        <w:rPr>
          <w:lang w:val="lt-LT"/>
        </w:rPr>
      </w:pPr>
      <w:r w:rsidRPr="004A478C">
        <w:rPr>
          <w:lang w:val="lt-LT"/>
        </w:rPr>
        <w:t xml:space="preserve"> </w:t>
      </w:r>
    </w:p>
    <w:p w14:paraId="31C9F073" w14:textId="77777777" w:rsidR="00273470" w:rsidRPr="004A478C" w:rsidRDefault="00273470" w:rsidP="003B28E4">
      <w:pPr>
        <w:pStyle w:val="Antrat3"/>
        <w:tabs>
          <w:tab w:val="center" w:pos="1946"/>
          <w:tab w:val="left" w:pos="4680"/>
        </w:tabs>
        <w:spacing w:before="0" w:after="0" w:line="240" w:lineRule="auto"/>
        <w:ind w:left="-15"/>
        <w:rPr>
          <w:rFonts w:ascii="Times New Roman" w:hAnsi="Times New Roman"/>
          <w:sz w:val="22"/>
          <w:lang w:val="lt-LT"/>
        </w:rPr>
      </w:pPr>
      <w:r w:rsidRPr="004A478C">
        <w:rPr>
          <w:rFonts w:ascii="Times New Roman" w:hAnsi="Times New Roman"/>
          <w:sz w:val="22"/>
          <w:lang w:val="lt-LT"/>
        </w:rPr>
        <w:t xml:space="preserve">4.2 </w:t>
      </w:r>
      <w:r w:rsidRPr="004A478C">
        <w:rPr>
          <w:rFonts w:ascii="Times New Roman" w:hAnsi="Times New Roman"/>
          <w:sz w:val="22"/>
          <w:lang w:val="lt-LT"/>
        </w:rPr>
        <w:tab/>
        <w:t xml:space="preserve">Dozavimas ir vartojimo metodas </w:t>
      </w:r>
    </w:p>
    <w:p w14:paraId="2B1A471E" w14:textId="77777777" w:rsidR="00273470" w:rsidRPr="004A478C" w:rsidRDefault="00273470" w:rsidP="003B28E4">
      <w:pPr>
        <w:tabs>
          <w:tab w:val="left" w:pos="4680"/>
        </w:tabs>
        <w:spacing w:line="240" w:lineRule="auto"/>
        <w:rPr>
          <w:lang w:val="lt-LT"/>
        </w:rPr>
      </w:pPr>
      <w:r w:rsidRPr="004A478C">
        <w:rPr>
          <w:lang w:val="lt-LT"/>
        </w:rPr>
        <w:t xml:space="preserve"> </w:t>
      </w:r>
    </w:p>
    <w:p w14:paraId="2A270D7C" w14:textId="77777777" w:rsidR="00A61D24" w:rsidRPr="004A478C" w:rsidRDefault="00273470" w:rsidP="003B28E4">
      <w:pPr>
        <w:tabs>
          <w:tab w:val="left" w:pos="4680"/>
        </w:tabs>
        <w:spacing w:line="240" w:lineRule="auto"/>
        <w:ind w:left="2" w:right="397"/>
        <w:rPr>
          <w:u w:val="single"/>
          <w:lang w:val="lt-LT"/>
        </w:rPr>
      </w:pPr>
      <w:r w:rsidRPr="004A478C">
        <w:rPr>
          <w:u w:val="single"/>
          <w:lang w:val="lt-LT"/>
        </w:rPr>
        <w:t>Dozavimas</w:t>
      </w:r>
    </w:p>
    <w:p w14:paraId="373D21BE" w14:textId="77777777" w:rsidR="00273470" w:rsidRPr="004A478C" w:rsidRDefault="00273470" w:rsidP="003B28E4">
      <w:pPr>
        <w:tabs>
          <w:tab w:val="left" w:pos="4680"/>
        </w:tabs>
        <w:spacing w:line="240" w:lineRule="auto"/>
        <w:ind w:left="2" w:right="397"/>
        <w:rPr>
          <w:u w:val="single"/>
          <w:lang w:val="lt-LT"/>
        </w:rPr>
      </w:pPr>
      <w:r w:rsidRPr="004A478C">
        <w:rPr>
          <w:u w:val="single"/>
          <w:lang w:val="lt-LT"/>
        </w:rPr>
        <w:t xml:space="preserve"> </w:t>
      </w:r>
    </w:p>
    <w:p w14:paraId="3F444BBE" w14:textId="341C6F0B" w:rsidR="00273470" w:rsidRPr="004A478C" w:rsidRDefault="00273470" w:rsidP="003B28E4">
      <w:pPr>
        <w:tabs>
          <w:tab w:val="left" w:pos="4680"/>
        </w:tabs>
        <w:spacing w:line="240" w:lineRule="auto"/>
        <w:ind w:left="2" w:right="397"/>
        <w:rPr>
          <w:lang w:val="lt-LT"/>
        </w:rPr>
      </w:pPr>
      <w:r w:rsidRPr="004A478C">
        <w:rPr>
          <w:lang w:val="lt-LT"/>
        </w:rPr>
        <w:t xml:space="preserve">Rekomenduojama per burną vartojamo </w:t>
      </w:r>
      <w:proofErr w:type="spellStart"/>
      <w:r w:rsidR="001A5C63" w:rsidRPr="004A478C">
        <w:rPr>
          <w:lang w:val="lt-LT"/>
        </w:rPr>
        <w:t>Febuxostat</w:t>
      </w:r>
      <w:proofErr w:type="spellEnd"/>
      <w:r w:rsidR="001A5C63" w:rsidRPr="004A478C">
        <w:rPr>
          <w:lang w:val="lt-LT"/>
        </w:rPr>
        <w:t xml:space="preserve"> </w:t>
      </w:r>
      <w:proofErr w:type="spellStart"/>
      <w:r w:rsidR="00651A1C" w:rsidRPr="004B0C8F">
        <w:rPr>
          <w:lang w:val="lt-LT"/>
        </w:rPr>
        <w:t>Zentiva</w:t>
      </w:r>
      <w:proofErr w:type="spellEnd"/>
      <w:r w:rsidRPr="004A478C">
        <w:rPr>
          <w:lang w:val="lt-LT"/>
        </w:rPr>
        <w:t xml:space="preserve"> dozė yra 80</w:t>
      </w:r>
      <w:r w:rsidR="00A61D24" w:rsidRPr="004A478C">
        <w:rPr>
          <w:lang w:val="lt-LT"/>
        </w:rPr>
        <w:t> </w:t>
      </w:r>
      <w:r w:rsidRPr="004A478C">
        <w:rPr>
          <w:lang w:val="lt-LT"/>
        </w:rPr>
        <w:t>mg, vartojama kartą per parą, nepriklausomai nuo valgio. Jeigu po 2–4 gydymo savaičių šlapimo rūgšties serume yra &gt; 6 mg/dl (357 µ</w:t>
      </w:r>
      <w:proofErr w:type="spellStart"/>
      <w:r w:rsidRPr="004A478C">
        <w:rPr>
          <w:lang w:val="lt-LT"/>
        </w:rPr>
        <w:t>mol</w:t>
      </w:r>
      <w:proofErr w:type="spellEnd"/>
      <w:r w:rsidRPr="004A478C">
        <w:rPr>
          <w:lang w:val="lt-LT"/>
        </w:rPr>
        <w:t>/l), gali</w:t>
      </w:r>
      <w:r w:rsidR="00FF50F1" w:rsidRPr="004A478C">
        <w:rPr>
          <w:lang w:val="lt-LT"/>
        </w:rPr>
        <w:t xml:space="preserve"> būti apsvarstytas </w:t>
      </w:r>
      <w:proofErr w:type="spellStart"/>
      <w:r w:rsidR="001A5C63" w:rsidRPr="004A478C">
        <w:rPr>
          <w:lang w:val="lt-LT"/>
        </w:rPr>
        <w:t>Febuxostat</w:t>
      </w:r>
      <w:proofErr w:type="spellEnd"/>
      <w:r w:rsidR="001A5C63" w:rsidRPr="004A478C">
        <w:rPr>
          <w:lang w:val="lt-LT"/>
        </w:rPr>
        <w:t xml:space="preserve"> </w:t>
      </w:r>
      <w:proofErr w:type="spellStart"/>
      <w:r w:rsidR="00651A1C" w:rsidRPr="004B0C8F">
        <w:rPr>
          <w:lang w:val="lt-LT"/>
        </w:rPr>
        <w:t>Zentiva</w:t>
      </w:r>
      <w:proofErr w:type="spellEnd"/>
      <w:r w:rsidRPr="004A478C">
        <w:rPr>
          <w:lang w:val="lt-LT"/>
        </w:rPr>
        <w:t xml:space="preserve"> </w:t>
      </w:r>
      <w:r w:rsidR="00FF50F1" w:rsidRPr="004A478C">
        <w:rPr>
          <w:lang w:val="lt-LT"/>
        </w:rPr>
        <w:t xml:space="preserve">120 mg </w:t>
      </w:r>
      <w:r w:rsidRPr="004A478C">
        <w:rPr>
          <w:lang w:val="lt-LT"/>
        </w:rPr>
        <w:t>per parą</w:t>
      </w:r>
      <w:r w:rsidR="00FF50F1" w:rsidRPr="004A478C">
        <w:rPr>
          <w:lang w:val="lt-LT"/>
        </w:rPr>
        <w:t xml:space="preserve"> vartojimas</w:t>
      </w:r>
      <w:r w:rsidRPr="004A478C">
        <w:rPr>
          <w:lang w:val="lt-LT"/>
        </w:rPr>
        <w:t>.</w:t>
      </w:r>
    </w:p>
    <w:p w14:paraId="3A1A8A12" w14:textId="77777777" w:rsidR="00273470" w:rsidRPr="004A478C" w:rsidRDefault="00273470" w:rsidP="003B28E4">
      <w:pPr>
        <w:tabs>
          <w:tab w:val="left" w:pos="4680"/>
        </w:tabs>
        <w:spacing w:line="240" w:lineRule="auto"/>
        <w:rPr>
          <w:lang w:val="lt-LT"/>
        </w:rPr>
      </w:pPr>
      <w:r w:rsidRPr="004A478C">
        <w:rPr>
          <w:lang w:val="lt-LT"/>
        </w:rPr>
        <w:t xml:space="preserve"> </w:t>
      </w:r>
    </w:p>
    <w:p w14:paraId="272FAA69" w14:textId="41DCDB27" w:rsidR="00273470" w:rsidRPr="004A478C" w:rsidRDefault="001A5C63" w:rsidP="003B28E4">
      <w:pPr>
        <w:tabs>
          <w:tab w:val="left" w:pos="4680"/>
        </w:tabs>
        <w:spacing w:line="240" w:lineRule="auto"/>
        <w:ind w:left="2" w:right="581"/>
        <w:rPr>
          <w:lang w:val="lt-LT"/>
        </w:rPr>
      </w:pPr>
      <w:proofErr w:type="spellStart"/>
      <w:r w:rsidRPr="004A478C">
        <w:rPr>
          <w:lang w:val="lt-LT"/>
        </w:rPr>
        <w:t>Febuxostat</w:t>
      </w:r>
      <w:proofErr w:type="spellEnd"/>
      <w:r w:rsidRPr="004A478C">
        <w:rPr>
          <w:lang w:val="lt-LT"/>
        </w:rPr>
        <w:t xml:space="preserve"> </w:t>
      </w:r>
      <w:proofErr w:type="spellStart"/>
      <w:r w:rsidR="00651A1C" w:rsidRPr="004B0C8F">
        <w:rPr>
          <w:lang w:val="lt-LT"/>
        </w:rPr>
        <w:t>Zentiva</w:t>
      </w:r>
      <w:proofErr w:type="spellEnd"/>
      <w:r w:rsidR="00273470" w:rsidRPr="004A478C">
        <w:rPr>
          <w:lang w:val="lt-LT"/>
        </w:rPr>
        <w:t xml:space="preserve"> veikia pakankamai greitai; šlapimo rūgšties kiekio serume tyrimą galima pakartoti po 2 savaičių. Gydymo tikslas yra sumažinti ir palaikyti šlapimo rūgšties kiekį serume mažesnį kaip 6 mg/dl (357 </w:t>
      </w:r>
      <w:proofErr w:type="spellStart"/>
      <w:r w:rsidR="00273470" w:rsidRPr="004A478C">
        <w:rPr>
          <w:lang w:val="lt-LT"/>
        </w:rPr>
        <w:t>μmol</w:t>
      </w:r>
      <w:proofErr w:type="spellEnd"/>
      <w:r w:rsidR="00273470" w:rsidRPr="004A478C">
        <w:rPr>
          <w:lang w:val="lt-LT"/>
        </w:rPr>
        <w:t xml:space="preserve">/l). </w:t>
      </w:r>
    </w:p>
    <w:p w14:paraId="6AA937C3" w14:textId="77777777" w:rsidR="00273470" w:rsidRPr="004A478C" w:rsidRDefault="00273470" w:rsidP="003B28E4">
      <w:pPr>
        <w:tabs>
          <w:tab w:val="left" w:pos="4680"/>
        </w:tabs>
        <w:spacing w:line="240" w:lineRule="auto"/>
        <w:rPr>
          <w:lang w:val="lt-LT"/>
        </w:rPr>
      </w:pPr>
      <w:r w:rsidRPr="004A478C">
        <w:rPr>
          <w:lang w:val="lt-LT"/>
        </w:rPr>
        <w:t xml:space="preserve"> </w:t>
      </w:r>
    </w:p>
    <w:p w14:paraId="78CD27D3" w14:textId="77777777" w:rsidR="00273470" w:rsidRPr="004A478C" w:rsidRDefault="00273470" w:rsidP="003B28E4">
      <w:pPr>
        <w:tabs>
          <w:tab w:val="left" w:pos="4680"/>
        </w:tabs>
        <w:spacing w:line="240" w:lineRule="auto"/>
        <w:ind w:left="2" w:right="397"/>
        <w:rPr>
          <w:lang w:val="lt-LT"/>
        </w:rPr>
      </w:pPr>
      <w:r w:rsidRPr="004A478C">
        <w:rPr>
          <w:lang w:val="lt-LT"/>
        </w:rPr>
        <w:t xml:space="preserve">Rekomenduojama ne trumpesnė kaip 6 mėnesių podagros paūmėjimo profilaktika (žr. 4.4 skyrių). </w:t>
      </w:r>
    </w:p>
    <w:p w14:paraId="717DD0BF" w14:textId="77777777" w:rsidR="00273470" w:rsidRPr="004A478C" w:rsidRDefault="00273470" w:rsidP="003B28E4">
      <w:pPr>
        <w:tabs>
          <w:tab w:val="left" w:pos="4680"/>
        </w:tabs>
        <w:spacing w:line="240" w:lineRule="auto"/>
        <w:rPr>
          <w:lang w:val="lt-LT"/>
        </w:rPr>
      </w:pPr>
      <w:r w:rsidRPr="004A478C">
        <w:rPr>
          <w:lang w:val="lt-LT"/>
        </w:rPr>
        <w:t xml:space="preserve"> </w:t>
      </w:r>
    </w:p>
    <w:p w14:paraId="02BE1C69" w14:textId="77777777" w:rsidR="00273470" w:rsidRPr="004A478C" w:rsidRDefault="00273470" w:rsidP="003B28E4">
      <w:pPr>
        <w:tabs>
          <w:tab w:val="left" w:pos="4680"/>
        </w:tabs>
        <w:spacing w:line="240" w:lineRule="auto"/>
        <w:ind w:left="-5"/>
        <w:rPr>
          <w:lang w:val="lt-LT"/>
        </w:rPr>
      </w:pPr>
      <w:r w:rsidRPr="004A478C">
        <w:rPr>
          <w:i/>
          <w:lang w:val="lt-LT"/>
        </w:rPr>
        <w:t xml:space="preserve">Senyviems </w:t>
      </w:r>
      <w:r w:rsidR="00A61D24" w:rsidRPr="004A478C">
        <w:rPr>
          <w:i/>
          <w:lang w:val="lt-LT"/>
        </w:rPr>
        <w:t xml:space="preserve">pacientams </w:t>
      </w:r>
    </w:p>
    <w:p w14:paraId="5254A6B5" w14:textId="77777777" w:rsidR="00273470" w:rsidRPr="004A478C" w:rsidRDefault="00273470" w:rsidP="003B28E4">
      <w:pPr>
        <w:tabs>
          <w:tab w:val="left" w:pos="4680"/>
        </w:tabs>
        <w:spacing w:line="240" w:lineRule="auto"/>
        <w:ind w:left="2" w:right="397"/>
        <w:rPr>
          <w:lang w:val="lt-LT"/>
        </w:rPr>
      </w:pPr>
      <w:r w:rsidRPr="004A478C">
        <w:rPr>
          <w:lang w:val="lt-LT"/>
        </w:rPr>
        <w:t xml:space="preserve">Senyviems </w:t>
      </w:r>
      <w:r w:rsidR="00FF50F1" w:rsidRPr="004A478C">
        <w:rPr>
          <w:lang w:val="lt-LT"/>
        </w:rPr>
        <w:t xml:space="preserve">pacientams </w:t>
      </w:r>
      <w:r w:rsidRPr="004A478C">
        <w:rPr>
          <w:lang w:val="lt-LT"/>
        </w:rPr>
        <w:t xml:space="preserve">dozės koreguoti nereikia (žr. 5.2 skyrių). </w:t>
      </w:r>
    </w:p>
    <w:p w14:paraId="148C614C" w14:textId="77777777" w:rsidR="00273470" w:rsidRPr="004A478C" w:rsidRDefault="00273470" w:rsidP="003B28E4">
      <w:pPr>
        <w:tabs>
          <w:tab w:val="left" w:pos="4680"/>
        </w:tabs>
        <w:spacing w:line="240" w:lineRule="auto"/>
        <w:rPr>
          <w:lang w:val="lt-LT"/>
        </w:rPr>
      </w:pPr>
      <w:r w:rsidRPr="004A478C">
        <w:rPr>
          <w:lang w:val="lt-LT"/>
        </w:rPr>
        <w:t xml:space="preserve"> </w:t>
      </w:r>
    </w:p>
    <w:p w14:paraId="687D6E88" w14:textId="77777777" w:rsidR="00FF50F1" w:rsidRPr="004B0C8F" w:rsidRDefault="00A61D24" w:rsidP="003B28E4">
      <w:pPr>
        <w:tabs>
          <w:tab w:val="left" w:pos="4680"/>
        </w:tabs>
        <w:spacing w:line="240" w:lineRule="auto"/>
        <w:ind w:left="2" w:right="397"/>
        <w:rPr>
          <w:i/>
          <w:iCs/>
          <w:szCs w:val="22"/>
          <w:lang w:val="lt-LT"/>
        </w:rPr>
      </w:pPr>
      <w:r w:rsidRPr="004B0C8F">
        <w:rPr>
          <w:i/>
          <w:iCs/>
          <w:szCs w:val="22"/>
          <w:lang w:val="lt-LT"/>
        </w:rPr>
        <w:t>Pacientams, kurių inkstų funkcija sutrikusi</w:t>
      </w:r>
    </w:p>
    <w:p w14:paraId="2F065403" w14:textId="77777777" w:rsidR="00273470" w:rsidRPr="004A478C" w:rsidRDefault="00273470" w:rsidP="003B28E4">
      <w:pPr>
        <w:tabs>
          <w:tab w:val="left" w:pos="4680"/>
        </w:tabs>
        <w:spacing w:line="240" w:lineRule="auto"/>
        <w:ind w:right="397"/>
        <w:rPr>
          <w:lang w:val="lt-LT"/>
        </w:rPr>
      </w:pPr>
      <w:r w:rsidRPr="004A478C">
        <w:rPr>
          <w:lang w:val="lt-LT"/>
        </w:rPr>
        <w:t xml:space="preserve">Vaistinio preparato veiksmingumas ir saugumas pacientams, sergantiems sunkiu inkstų </w:t>
      </w:r>
      <w:r w:rsidR="00FF50F1" w:rsidRPr="004A478C">
        <w:rPr>
          <w:lang w:val="lt-LT"/>
        </w:rPr>
        <w:t xml:space="preserve">funkcijos </w:t>
      </w:r>
      <w:r w:rsidRPr="004A478C">
        <w:rPr>
          <w:lang w:val="lt-LT"/>
        </w:rPr>
        <w:t xml:space="preserve">sutrikimu (kai kreatinino klirensas &lt; 30 ml/min), nėra pakankamai įvertintas (žr. 5.2 skyrių). Pacientams, sergantiems lengvo ar vidutinio laipsnio inkstų </w:t>
      </w:r>
      <w:r w:rsidR="00FF50F1" w:rsidRPr="004A478C">
        <w:rPr>
          <w:lang w:val="lt-LT"/>
        </w:rPr>
        <w:t xml:space="preserve">funkcijos </w:t>
      </w:r>
      <w:r w:rsidRPr="004A478C">
        <w:rPr>
          <w:lang w:val="lt-LT"/>
        </w:rPr>
        <w:t xml:space="preserve">sutrikimu, dozės koreguoti nereikia.  </w:t>
      </w:r>
    </w:p>
    <w:p w14:paraId="20D1D38E" w14:textId="77777777" w:rsidR="00273470" w:rsidRPr="004A478C" w:rsidRDefault="00273470" w:rsidP="003B28E4">
      <w:pPr>
        <w:tabs>
          <w:tab w:val="left" w:pos="4680"/>
        </w:tabs>
        <w:spacing w:line="240" w:lineRule="auto"/>
        <w:rPr>
          <w:lang w:val="lt-LT"/>
        </w:rPr>
      </w:pPr>
      <w:r w:rsidRPr="004A478C">
        <w:rPr>
          <w:lang w:val="lt-LT"/>
        </w:rPr>
        <w:t xml:space="preserve"> </w:t>
      </w:r>
    </w:p>
    <w:p w14:paraId="2CADA79C" w14:textId="77777777" w:rsidR="00FF50F1" w:rsidRPr="004B0C8F" w:rsidRDefault="00A61D24" w:rsidP="004A478C">
      <w:pPr>
        <w:keepNext/>
        <w:tabs>
          <w:tab w:val="left" w:pos="4680"/>
        </w:tabs>
        <w:spacing w:line="240" w:lineRule="auto"/>
        <w:ind w:left="-6"/>
        <w:rPr>
          <w:i/>
          <w:iCs/>
          <w:szCs w:val="22"/>
          <w:lang w:val="lt-LT"/>
        </w:rPr>
      </w:pPr>
      <w:r w:rsidRPr="004B0C8F">
        <w:rPr>
          <w:i/>
          <w:iCs/>
          <w:szCs w:val="22"/>
          <w:lang w:val="lt-LT"/>
        </w:rPr>
        <w:lastRenderedPageBreak/>
        <w:t>Pacientams, kurių kepenų funkcija sutrikusi</w:t>
      </w:r>
    </w:p>
    <w:p w14:paraId="1D03C7EB" w14:textId="77777777" w:rsidR="00273470" w:rsidRPr="004A478C" w:rsidRDefault="00273470" w:rsidP="003B28E4">
      <w:pPr>
        <w:tabs>
          <w:tab w:val="left" w:pos="4680"/>
        </w:tabs>
        <w:spacing w:line="240" w:lineRule="auto"/>
        <w:ind w:right="397"/>
        <w:rPr>
          <w:lang w:val="lt-LT"/>
        </w:rPr>
      </w:pPr>
      <w:proofErr w:type="spellStart"/>
      <w:r w:rsidRPr="004A478C">
        <w:rPr>
          <w:lang w:val="lt-LT"/>
        </w:rPr>
        <w:t>Febuksostato</w:t>
      </w:r>
      <w:proofErr w:type="spellEnd"/>
      <w:r w:rsidRPr="004A478C">
        <w:rPr>
          <w:lang w:val="lt-LT"/>
        </w:rPr>
        <w:t xml:space="preserve"> veiksmingumo ir saugumo tyrimų pacientams, sergantiems sunkiu kepenų </w:t>
      </w:r>
      <w:r w:rsidR="00FF50F1" w:rsidRPr="004A478C">
        <w:rPr>
          <w:lang w:val="lt-LT"/>
        </w:rPr>
        <w:t xml:space="preserve">funkcijos </w:t>
      </w:r>
      <w:r w:rsidRPr="004A478C">
        <w:rPr>
          <w:lang w:val="lt-LT"/>
        </w:rPr>
        <w:t>sutrikimu (C</w:t>
      </w:r>
      <w:r w:rsidR="00FF50F1" w:rsidRPr="004A478C">
        <w:rPr>
          <w:lang w:val="lt-LT"/>
        </w:rPr>
        <w:t xml:space="preserve"> klasės</w:t>
      </w:r>
      <w:r w:rsidRPr="004A478C">
        <w:rPr>
          <w:lang w:val="lt-LT"/>
        </w:rPr>
        <w:t xml:space="preserve"> pagal </w:t>
      </w:r>
      <w:proofErr w:type="spellStart"/>
      <w:r w:rsidRPr="004A478C">
        <w:rPr>
          <w:i/>
          <w:lang w:val="lt-LT"/>
        </w:rPr>
        <w:t>Child</w:t>
      </w:r>
      <w:proofErr w:type="spellEnd"/>
      <w:r w:rsidRPr="004A478C">
        <w:rPr>
          <w:i/>
          <w:lang w:val="lt-LT"/>
        </w:rPr>
        <w:t xml:space="preserve"> </w:t>
      </w:r>
      <w:proofErr w:type="spellStart"/>
      <w:r w:rsidRPr="004A478C">
        <w:rPr>
          <w:i/>
          <w:lang w:val="lt-LT"/>
        </w:rPr>
        <w:t>Pugh</w:t>
      </w:r>
      <w:proofErr w:type="spellEnd"/>
      <w:r w:rsidRPr="004A478C">
        <w:rPr>
          <w:lang w:val="lt-LT"/>
        </w:rPr>
        <w:t xml:space="preserve"> klasifikaciją), neatlikta. </w:t>
      </w:r>
    </w:p>
    <w:p w14:paraId="35193759" w14:textId="77777777" w:rsidR="00273470" w:rsidRPr="004A478C" w:rsidRDefault="00273470" w:rsidP="003B28E4">
      <w:pPr>
        <w:tabs>
          <w:tab w:val="left" w:pos="4680"/>
        </w:tabs>
        <w:spacing w:line="240" w:lineRule="auto"/>
        <w:ind w:left="2" w:right="397"/>
        <w:rPr>
          <w:lang w:val="lt-LT"/>
        </w:rPr>
      </w:pPr>
      <w:r w:rsidRPr="004A478C">
        <w:rPr>
          <w:lang w:val="lt-LT"/>
        </w:rPr>
        <w:t xml:space="preserve">Pacientams, sergantiems lengvu kepenų </w:t>
      </w:r>
      <w:r w:rsidR="00FF50F1" w:rsidRPr="004A478C">
        <w:rPr>
          <w:lang w:val="lt-LT"/>
        </w:rPr>
        <w:t xml:space="preserve">funkcijos </w:t>
      </w:r>
      <w:r w:rsidRPr="004A478C">
        <w:rPr>
          <w:lang w:val="lt-LT"/>
        </w:rPr>
        <w:t xml:space="preserve">sutrikimu, rekomenduojama vaisto dozė yra 80 mg. </w:t>
      </w:r>
    </w:p>
    <w:p w14:paraId="236D14EB" w14:textId="77777777" w:rsidR="00273470" w:rsidRPr="004A478C" w:rsidRDefault="00273470" w:rsidP="003B28E4">
      <w:pPr>
        <w:tabs>
          <w:tab w:val="left" w:pos="4680"/>
        </w:tabs>
        <w:spacing w:line="240" w:lineRule="auto"/>
        <w:ind w:left="2" w:right="397"/>
        <w:rPr>
          <w:lang w:val="lt-LT"/>
        </w:rPr>
      </w:pPr>
      <w:r w:rsidRPr="004A478C">
        <w:rPr>
          <w:lang w:val="lt-LT"/>
        </w:rPr>
        <w:t xml:space="preserve">Apie pacientų, sergančių vidutinio sunkumo kepenų </w:t>
      </w:r>
      <w:r w:rsidR="001D6EBC" w:rsidRPr="004A478C">
        <w:rPr>
          <w:lang w:val="lt-LT"/>
        </w:rPr>
        <w:t xml:space="preserve">funkcijos </w:t>
      </w:r>
      <w:r w:rsidRPr="004A478C">
        <w:rPr>
          <w:lang w:val="lt-LT"/>
        </w:rPr>
        <w:t>sutrikimu, gydymą duomenys yra riboti.</w:t>
      </w:r>
      <w:r w:rsidRPr="004A478C">
        <w:rPr>
          <w:b/>
          <w:lang w:val="lt-LT"/>
        </w:rPr>
        <w:t xml:space="preserve"> </w:t>
      </w:r>
      <w:r w:rsidRPr="004A478C">
        <w:rPr>
          <w:lang w:val="lt-LT"/>
        </w:rPr>
        <w:t xml:space="preserve"> </w:t>
      </w:r>
    </w:p>
    <w:p w14:paraId="2AC84F11" w14:textId="77777777" w:rsidR="00273470" w:rsidRPr="004A478C" w:rsidRDefault="00273470" w:rsidP="003B28E4">
      <w:pPr>
        <w:tabs>
          <w:tab w:val="left" w:pos="4680"/>
        </w:tabs>
        <w:spacing w:line="240" w:lineRule="auto"/>
        <w:rPr>
          <w:lang w:val="lt-LT"/>
        </w:rPr>
      </w:pPr>
      <w:r w:rsidRPr="004A478C">
        <w:rPr>
          <w:lang w:val="lt-LT"/>
        </w:rPr>
        <w:t xml:space="preserve"> </w:t>
      </w:r>
    </w:p>
    <w:p w14:paraId="618E14E4" w14:textId="77777777" w:rsidR="00273470" w:rsidRPr="004A478C" w:rsidRDefault="00273470" w:rsidP="003B28E4">
      <w:pPr>
        <w:tabs>
          <w:tab w:val="left" w:pos="4680"/>
        </w:tabs>
        <w:spacing w:line="240" w:lineRule="auto"/>
        <w:ind w:left="-5"/>
        <w:rPr>
          <w:lang w:val="lt-LT"/>
        </w:rPr>
      </w:pPr>
      <w:r w:rsidRPr="004A478C">
        <w:rPr>
          <w:i/>
          <w:lang w:val="lt-LT"/>
        </w:rPr>
        <w:t>Vaik</w:t>
      </w:r>
      <w:r w:rsidR="00A61D24" w:rsidRPr="004A478C">
        <w:rPr>
          <w:i/>
          <w:lang w:val="lt-LT"/>
        </w:rPr>
        <w:t>ų populiacija</w:t>
      </w:r>
    </w:p>
    <w:p w14:paraId="22C4673D" w14:textId="28621B2F" w:rsidR="00273470" w:rsidRPr="004A478C" w:rsidRDefault="007565FE" w:rsidP="003B28E4">
      <w:pPr>
        <w:tabs>
          <w:tab w:val="left" w:pos="4680"/>
        </w:tabs>
        <w:spacing w:line="240" w:lineRule="auto"/>
        <w:ind w:left="2" w:right="397"/>
        <w:rPr>
          <w:lang w:val="lt-LT"/>
        </w:rPr>
      </w:pPr>
      <w:proofErr w:type="spellStart"/>
      <w:r w:rsidRPr="004A478C">
        <w:rPr>
          <w:lang w:val="lt-LT"/>
        </w:rPr>
        <w:t>Febuksostato</w:t>
      </w:r>
      <w:proofErr w:type="spellEnd"/>
      <w:r w:rsidRPr="004A478C" w:rsidDel="007565FE">
        <w:rPr>
          <w:lang w:val="lt-LT"/>
        </w:rPr>
        <w:t xml:space="preserve"> </w:t>
      </w:r>
      <w:r w:rsidR="00273470" w:rsidRPr="004A478C">
        <w:rPr>
          <w:lang w:val="lt-LT"/>
        </w:rPr>
        <w:t xml:space="preserve">vartojimo jaunesniems kaip 18 metų vaikams saugumas ir veiksmingumas nenustatytas, duomenų nėra. </w:t>
      </w:r>
    </w:p>
    <w:p w14:paraId="63B96507" w14:textId="77777777" w:rsidR="00273470" w:rsidRPr="004A478C" w:rsidRDefault="00273470" w:rsidP="003B28E4">
      <w:pPr>
        <w:tabs>
          <w:tab w:val="left" w:pos="4680"/>
        </w:tabs>
        <w:spacing w:line="240" w:lineRule="auto"/>
        <w:rPr>
          <w:lang w:val="lt-LT"/>
        </w:rPr>
      </w:pPr>
      <w:r w:rsidRPr="004A478C">
        <w:rPr>
          <w:lang w:val="lt-LT"/>
        </w:rPr>
        <w:t xml:space="preserve"> </w:t>
      </w:r>
    </w:p>
    <w:p w14:paraId="5A659D86" w14:textId="77777777" w:rsidR="00A61D24" w:rsidRPr="004A478C" w:rsidRDefault="00273470" w:rsidP="003B28E4">
      <w:pPr>
        <w:tabs>
          <w:tab w:val="left" w:pos="4680"/>
        </w:tabs>
        <w:spacing w:line="240" w:lineRule="auto"/>
        <w:ind w:left="2" w:right="6695"/>
        <w:rPr>
          <w:lang w:val="lt-LT"/>
        </w:rPr>
      </w:pPr>
      <w:r w:rsidRPr="004A478C">
        <w:rPr>
          <w:u w:val="single" w:color="000000"/>
          <w:lang w:val="lt-LT"/>
        </w:rPr>
        <w:t>Vartojimo metodas</w:t>
      </w:r>
      <w:r w:rsidRPr="004A478C">
        <w:rPr>
          <w:lang w:val="lt-LT"/>
        </w:rPr>
        <w:t xml:space="preserve"> </w:t>
      </w:r>
    </w:p>
    <w:p w14:paraId="075911AC" w14:textId="77777777" w:rsidR="00A61D24" w:rsidRPr="004A478C" w:rsidRDefault="00A61D24" w:rsidP="003B28E4">
      <w:pPr>
        <w:tabs>
          <w:tab w:val="left" w:pos="4680"/>
        </w:tabs>
        <w:spacing w:line="240" w:lineRule="auto"/>
        <w:ind w:left="2" w:right="6695"/>
        <w:rPr>
          <w:lang w:val="lt-LT"/>
        </w:rPr>
      </w:pPr>
    </w:p>
    <w:p w14:paraId="7F07ADDA" w14:textId="77777777" w:rsidR="00273470" w:rsidRPr="004A478C" w:rsidRDefault="00273470" w:rsidP="003B28E4">
      <w:pPr>
        <w:tabs>
          <w:tab w:val="left" w:pos="4680"/>
        </w:tabs>
        <w:spacing w:line="240" w:lineRule="auto"/>
        <w:ind w:left="2" w:right="6695"/>
        <w:rPr>
          <w:lang w:val="lt-LT"/>
        </w:rPr>
      </w:pPr>
      <w:r w:rsidRPr="004A478C">
        <w:rPr>
          <w:lang w:val="lt-LT"/>
        </w:rPr>
        <w:t xml:space="preserve">Vartoti per burną. </w:t>
      </w:r>
    </w:p>
    <w:p w14:paraId="64A57124" w14:textId="60AD5049" w:rsidR="00273470" w:rsidRPr="004A478C" w:rsidRDefault="001A5C63" w:rsidP="003B28E4">
      <w:pPr>
        <w:tabs>
          <w:tab w:val="left" w:pos="4680"/>
        </w:tabs>
        <w:spacing w:line="240" w:lineRule="auto"/>
        <w:ind w:left="2" w:right="397"/>
        <w:rPr>
          <w:lang w:val="lt-LT"/>
        </w:rPr>
      </w:pPr>
      <w:proofErr w:type="spellStart"/>
      <w:r w:rsidRPr="004A478C">
        <w:rPr>
          <w:lang w:val="lt-LT"/>
        </w:rPr>
        <w:t>Febuxostat</w:t>
      </w:r>
      <w:proofErr w:type="spellEnd"/>
      <w:r w:rsidRPr="004A478C">
        <w:rPr>
          <w:lang w:val="lt-LT"/>
        </w:rPr>
        <w:t xml:space="preserve"> </w:t>
      </w:r>
      <w:proofErr w:type="spellStart"/>
      <w:r w:rsidR="00651A1C" w:rsidRPr="004B0C8F">
        <w:rPr>
          <w:lang w:val="lt-LT"/>
        </w:rPr>
        <w:t>Zentiva</w:t>
      </w:r>
      <w:proofErr w:type="spellEnd"/>
      <w:r w:rsidR="00651A1C" w:rsidRPr="004B0C8F">
        <w:rPr>
          <w:lang w:val="lt-LT"/>
        </w:rPr>
        <w:t xml:space="preserve"> </w:t>
      </w:r>
      <w:r w:rsidR="001D6EBC" w:rsidRPr="004A478C">
        <w:rPr>
          <w:lang w:val="lt-LT"/>
        </w:rPr>
        <w:t>turi būti vartojamas per burną ir</w:t>
      </w:r>
      <w:r w:rsidR="00273470" w:rsidRPr="004A478C">
        <w:rPr>
          <w:lang w:val="lt-LT"/>
        </w:rPr>
        <w:t xml:space="preserve"> galima vartoti valgant arba tarp valgymų. </w:t>
      </w:r>
    </w:p>
    <w:p w14:paraId="39F2501D" w14:textId="77777777" w:rsidR="00273470" w:rsidRPr="004A478C" w:rsidRDefault="00273470" w:rsidP="003B28E4">
      <w:pPr>
        <w:tabs>
          <w:tab w:val="left" w:pos="4680"/>
        </w:tabs>
        <w:spacing w:line="240" w:lineRule="auto"/>
        <w:rPr>
          <w:lang w:val="lt-LT"/>
        </w:rPr>
      </w:pPr>
      <w:r w:rsidRPr="004A478C">
        <w:rPr>
          <w:lang w:val="lt-LT"/>
        </w:rPr>
        <w:t xml:space="preserve"> </w:t>
      </w:r>
    </w:p>
    <w:p w14:paraId="1FF840CE" w14:textId="77777777" w:rsidR="00273470" w:rsidRPr="004A478C" w:rsidRDefault="00273470" w:rsidP="003B28E4">
      <w:pPr>
        <w:pStyle w:val="Antrat3"/>
        <w:tabs>
          <w:tab w:val="center" w:pos="1311"/>
          <w:tab w:val="left" w:pos="4680"/>
        </w:tabs>
        <w:spacing w:before="0" w:after="0" w:line="240" w:lineRule="auto"/>
        <w:ind w:left="-15"/>
        <w:rPr>
          <w:rFonts w:ascii="Times New Roman" w:hAnsi="Times New Roman"/>
          <w:sz w:val="22"/>
          <w:lang w:val="lt-LT"/>
        </w:rPr>
      </w:pPr>
      <w:r w:rsidRPr="004A478C">
        <w:rPr>
          <w:rFonts w:ascii="Times New Roman" w:hAnsi="Times New Roman"/>
          <w:sz w:val="22"/>
          <w:lang w:val="lt-LT"/>
        </w:rPr>
        <w:t xml:space="preserve">4.3 </w:t>
      </w:r>
      <w:r w:rsidRPr="004A478C">
        <w:rPr>
          <w:rFonts w:ascii="Times New Roman" w:hAnsi="Times New Roman"/>
          <w:sz w:val="22"/>
          <w:lang w:val="lt-LT"/>
        </w:rPr>
        <w:tab/>
        <w:t xml:space="preserve">Kontraindikacijos </w:t>
      </w:r>
    </w:p>
    <w:p w14:paraId="11DAD144" w14:textId="77777777" w:rsidR="00273470" w:rsidRPr="004A478C" w:rsidRDefault="00273470" w:rsidP="003B28E4">
      <w:pPr>
        <w:tabs>
          <w:tab w:val="left" w:pos="4680"/>
        </w:tabs>
        <w:spacing w:line="240" w:lineRule="auto"/>
        <w:rPr>
          <w:lang w:val="lt-LT"/>
        </w:rPr>
      </w:pPr>
      <w:r w:rsidRPr="004A478C">
        <w:rPr>
          <w:lang w:val="lt-LT"/>
        </w:rPr>
        <w:t xml:space="preserve"> </w:t>
      </w:r>
    </w:p>
    <w:p w14:paraId="129ADA8C" w14:textId="77777777" w:rsidR="00273470" w:rsidRPr="004A478C" w:rsidRDefault="00273470" w:rsidP="003B28E4">
      <w:pPr>
        <w:tabs>
          <w:tab w:val="left" w:pos="4680"/>
        </w:tabs>
        <w:spacing w:line="240" w:lineRule="auto"/>
        <w:ind w:left="2" w:right="397"/>
        <w:rPr>
          <w:lang w:val="lt-LT"/>
        </w:rPr>
      </w:pPr>
      <w:r w:rsidRPr="004A478C">
        <w:rPr>
          <w:lang w:val="lt-LT"/>
        </w:rPr>
        <w:t xml:space="preserve">Padidėjęs jautrumas veikliajai arba bet kuriai pagalbinei medžiagai išvardytai 6.1 skyriuje (taip pat žr. </w:t>
      </w:r>
    </w:p>
    <w:p w14:paraId="59BEF337" w14:textId="77777777" w:rsidR="00273470" w:rsidRPr="004A478C" w:rsidRDefault="00273470" w:rsidP="003B28E4">
      <w:pPr>
        <w:tabs>
          <w:tab w:val="left" w:pos="4680"/>
        </w:tabs>
        <w:spacing w:line="240" w:lineRule="auto"/>
        <w:ind w:left="2" w:right="397"/>
        <w:rPr>
          <w:lang w:val="lt-LT"/>
        </w:rPr>
      </w:pPr>
      <w:r w:rsidRPr="004A478C">
        <w:rPr>
          <w:lang w:val="lt-LT"/>
        </w:rPr>
        <w:t xml:space="preserve">4.8 skyrių). </w:t>
      </w:r>
    </w:p>
    <w:p w14:paraId="0D857454" w14:textId="77777777" w:rsidR="00273470" w:rsidRPr="004A478C" w:rsidRDefault="00273470" w:rsidP="003B28E4">
      <w:pPr>
        <w:tabs>
          <w:tab w:val="left" w:pos="4680"/>
        </w:tabs>
        <w:spacing w:line="240" w:lineRule="auto"/>
        <w:rPr>
          <w:lang w:val="lt-LT"/>
        </w:rPr>
      </w:pPr>
      <w:r w:rsidRPr="004A478C">
        <w:rPr>
          <w:lang w:val="lt-LT"/>
        </w:rPr>
        <w:t xml:space="preserve"> </w:t>
      </w:r>
    </w:p>
    <w:p w14:paraId="53CC6AD8" w14:textId="77777777" w:rsidR="00273470" w:rsidRPr="004A478C" w:rsidRDefault="00273470" w:rsidP="003B28E4">
      <w:pPr>
        <w:pStyle w:val="Antrat3"/>
        <w:tabs>
          <w:tab w:val="center" w:pos="2431"/>
          <w:tab w:val="left" w:pos="4680"/>
        </w:tabs>
        <w:spacing w:before="0" w:after="0" w:line="240" w:lineRule="auto"/>
        <w:ind w:left="-15"/>
        <w:rPr>
          <w:rFonts w:ascii="Times New Roman" w:hAnsi="Times New Roman"/>
          <w:sz w:val="22"/>
          <w:lang w:val="lt-LT"/>
        </w:rPr>
      </w:pPr>
      <w:r w:rsidRPr="004A478C">
        <w:rPr>
          <w:rFonts w:ascii="Times New Roman" w:hAnsi="Times New Roman"/>
          <w:sz w:val="22"/>
          <w:lang w:val="lt-LT"/>
        </w:rPr>
        <w:t xml:space="preserve">4.4 </w:t>
      </w:r>
      <w:r w:rsidRPr="004A478C">
        <w:rPr>
          <w:rFonts w:ascii="Times New Roman" w:hAnsi="Times New Roman"/>
          <w:sz w:val="22"/>
          <w:lang w:val="lt-LT"/>
        </w:rPr>
        <w:tab/>
        <w:t xml:space="preserve">Specialūs įspėjimai ir atsargumo priemonės </w:t>
      </w:r>
    </w:p>
    <w:p w14:paraId="642BC060" w14:textId="77777777" w:rsidR="00273470" w:rsidRPr="004A478C" w:rsidRDefault="00273470" w:rsidP="003B28E4">
      <w:pPr>
        <w:tabs>
          <w:tab w:val="left" w:pos="4680"/>
        </w:tabs>
        <w:spacing w:line="240" w:lineRule="auto"/>
        <w:rPr>
          <w:lang w:val="lt-LT"/>
        </w:rPr>
      </w:pPr>
      <w:r w:rsidRPr="004A478C">
        <w:rPr>
          <w:lang w:val="lt-LT"/>
        </w:rPr>
        <w:t xml:space="preserve"> </w:t>
      </w:r>
    </w:p>
    <w:p w14:paraId="7D800FE4" w14:textId="77777777" w:rsidR="00273470" w:rsidRPr="004A478C" w:rsidRDefault="00273470" w:rsidP="003B28E4">
      <w:pPr>
        <w:tabs>
          <w:tab w:val="left" w:pos="4680"/>
        </w:tabs>
        <w:spacing w:line="240" w:lineRule="auto"/>
        <w:ind w:left="-5"/>
        <w:rPr>
          <w:lang w:val="lt-LT"/>
        </w:rPr>
      </w:pPr>
      <w:r w:rsidRPr="004A478C">
        <w:rPr>
          <w:i/>
          <w:lang w:val="lt-LT"/>
        </w:rPr>
        <w:t xml:space="preserve">Širdies ir kraujagyslių sutrikimai </w:t>
      </w:r>
    </w:p>
    <w:p w14:paraId="34EEA90C" w14:textId="225B69F7" w:rsidR="00273470" w:rsidRPr="004A478C" w:rsidRDefault="003B1378" w:rsidP="003B28E4">
      <w:pPr>
        <w:tabs>
          <w:tab w:val="left" w:pos="4680"/>
        </w:tabs>
        <w:spacing w:line="240" w:lineRule="auto"/>
        <w:ind w:left="2" w:right="397"/>
        <w:rPr>
          <w:lang w:val="lt-LT"/>
        </w:rPr>
      </w:pPr>
      <w:r w:rsidRPr="004A478C">
        <w:rPr>
          <w:lang w:val="lt-LT"/>
        </w:rPr>
        <w:t>P</w:t>
      </w:r>
      <w:r w:rsidR="00273470" w:rsidRPr="004A478C">
        <w:rPr>
          <w:lang w:val="lt-LT"/>
        </w:rPr>
        <w:t>acient</w:t>
      </w:r>
      <w:r w:rsidRPr="004A478C">
        <w:rPr>
          <w:lang w:val="lt-LT"/>
        </w:rPr>
        <w:t>ams</w:t>
      </w:r>
      <w:r w:rsidR="00273470" w:rsidRPr="004A478C">
        <w:rPr>
          <w:lang w:val="lt-LT"/>
        </w:rPr>
        <w:t xml:space="preserve">, </w:t>
      </w:r>
      <w:r w:rsidR="001874E8" w:rsidRPr="004A478C">
        <w:rPr>
          <w:lang w:val="lt-LT"/>
        </w:rPr>
        <w:t xml:space="preserve">kurie jau serga sunkiomis širdies ir kraujagyslių sistemos ligomis (pvz., miokardo infarktu, insultu arba nestabilia krūtinės angina), </w:t>
      </w:r>
      <w:r w:rsidR="00CE3C92" w:rsidRPr="004A478C">
        <w:rPr>
          <w:lang w:val="lt-LT"/>
        </w:rPr>
        <w:t>vaistinio preparato k</w:t>
      </w:r>
      <w:r w:rsidR="00CE3C92" w:rsidRPr="004B0C8F">
        <w:rPr>
          <w:szCs w:val="22"/>
          <w:lang w:val="lt-LT"/>
        </w:rPr>
        <w:t xml:space="preserve">ūrimo metu ir vieno </w:t>
      </w:r>
      <w:proofErr w:type="spellStart"/>
      <w:r w:rsidR="00CE3C92" w:rsidRPr="004B0C8F">
        <w:rPr>
          <w:szCs w:val="22"/>
          <w:lang w:val="lt-LT"/>
        </w:rPr>
        <w:t>poregistracinio</w:t>
      </w:r>
      <w:proofErr w:type="spellEnd"/>
      <w:r w:rsidR="00CE3C92" w:rsidRPr="004B0C8F">
        <w:rPr>
          <w:szCs w:val="22"/>
          <w:lang w:val="lt-LT"/>
        </w:rPr>
        <w:t xml:space="preserve"> CARES klinikinio tyrimo metu, vartojant </w:t>
      </w:r>
      <w:proofErr w:type="spellStart"/>
      <w:r w:rsidR="00CE3C92" w:rsidRPr="004B0C8F">
        <w:rPr>
          <w:szCs w:val="22"/>
          <w:lang w:val="lt-LT"/>
        </w:rPr>
        <w:t>febuksostato</w:t>
      </w:r>
      <w:proofErr w:type="spellEnd"/>
      <w:r w:rsidR="00CE3C92" w:rsidRPr="004B0C8F">
        <w:rPr>
          <w:szCs w:val="22"/>
          <w:lang w:val="lt-LT"/>
        </w:rPr>
        <w:t xml:space="preserve">, buvo pastebėtas didesnis mirtinų širdies ir kraujagyslių sistemos reiškinių skaičius lyginant su </w:t>
      </w:r>
      <w:proofErr w:type="spellStart"/>
      <w:r w:rsidR="00CE3C92" w:rsidRPr="004B0C8F">
        <w:rPr>
          <w:szCs w:val="22"/>
          <w:lang w:val="lt-LT"/>
        </w:rPr>
        <w:t>alopurinoliu</w:t>
      </w:r>
      <w:proofErr w:type="spellEnd"/>
      <w:r w:rsidR="00CE3C92" w:rsidRPr="004B0C8F">
        <w:rPr>
          <w:szCs w:val="22"/>
          <w:lang w:val="lt-LT"/>
        </w:rPr>
        <w:t>.</w:t>
      </w:r>
      <w:r w:rsidR="00273470" w:rsidRPr="004A478C">
        <w:rPr>
          <w:lang w:val="lt-LT"/>
        </w:rPr>
        <w:t xml:space="preserve"> </w:t>
      </w:r>
    </w:p>
    <w:p w14:paraId="422D66EE" w14:textId="27FCF60F" w:rsidR="00CE3C92" w:rsidRPr="004A478C" w:rsidRDefault="00CE3C92" w:rsidP="00CE3C92">
      <w:pPr>
        <w:tabs>
          <w:tab w:val="left" w:pos="4680"/>
        </w:tabs>
        <w:spacing w:line="240" w:lineRule="auto"/>
        <w:ind w:left="2" w:right="397"/>
        <w:rPr>
          <w:lang w:val="lt-LT"/>
        </w:rPr>
      </w:pPr>
      <w:r w:rsidRPr="004A478C">
        <w:rPr>
          <w:lang w:val="lt-LT"/>
        </w:rPr>
        <w:t xml:space="preserve">Tačiau vėlesniame </w:t>
      </w:r>
      <w:proofErr w:type="spellStart"/>
      <w:r w:rsidRPr="004A478C">
        <w:rPr>
          <w:lang w:val="lt-LT"/>
        </w:rPr>
        <w:t>poregistraciniame</w:t>
      </w:r>
      <w:proofErr w:type="spellEnd"/>
      <w:r w:rsidRPr="004A478C">
        <w:rPr>
          <w:lang w:val="lt-LT"/>
        </w:rPr>
        <w:t xml:space="preserve"> tyrime (FAST) </w:t>
      </w:r>
      <w:proofErr w:type="spellStart"/>
      <w:r w:rsidRPr="004A478C">
        <w:rPr>
          <w:lang w:val="lt-LT"/>
        </w:rPr>
        <w:t>febuksostatas</w:t>
      </w:r>
      <w:proofErr w:type="spellEnd"/>
      <w:r w:rsidRPr="004A478C">
        <w:rPr>
          <w:lang w:val="lt-LT"/>
        </w:rPr>
        <w:t xml:space="preserve"> nebuvo prastesnis už </w:t>
      </w:r>
      <w:proofErr w:type="spellStart"/>
      <w:r w:rsidRPr="004A478C">
        <w:rPr>
          <w:lang w:val="lt-LT"/>
        </w:rPr>
        <w:t>alopurinolį</w:t>
      </w:r>
      <w:proofErr w:type="spellEnd"/>
      <w:r w:rsidRPr="004A478C">
        <w:rPr>
          <w:lang w:val="lt-LT"/>
        </w:rPr>
        <w:t xml:space="preserve"> </w:t>
      </w:r>
      <w:r w:rsidR="004F4AE9" w:rsidRPr="004A478C">
        <w:rPr>
          <w:lang w:val="lt-LT"/>
        </w:rPr>
        <w:t xml:space="preserve">pagal </w:t>
      </w:r>
      <w:r w:rsidRPr="004A478C">
        <w:rPr>
          <w:lang w:val="lt-LT"/>
        </w:rPr>
        <w:t>mirtinų ir nemirtinų širdies ir kraujagyslių sistemos reiškinių dažn</w:t>
      </w:r>
      <w:r w:rsidR="0094630F" w:rsidRPr="004A478C">
        <w:rPr>
          <w:lang w:val="lt-LT"/>
        </w:rPr>
        <w:t>į</w:t>
      </w:r>
      <w:r w:rsidRPr="004A478C">
        <w:rPr>
          <w:lang w:val="lt-LT"/>
        </w:rPr>
        <w:t>.</w:t>
      </w:r>
    </w:p>
    <w:p w14:paraId="62D280EA" w14:textId="77777777" w:rsidR="00CE3C92" w:rsidRPr="004A478C" w:rsidRDefault="00CE3C92" w:rsidP="00CE3C92">
      <w:pPr>
        <w:tabs>
          <w:tab w:val="left" w:pos="4680"/>
        </w:tabs>
        <w:spacing w:line="240" w:lineRule="auto"/>
        <w:ind w:left="2" w:right="397"/>
        <w:rPr>
          <w:lang w:val="lt-LT"/>
        </w:rPr>
      </w:pPr>
      <w:r w:rsidRPr="004A478C">
        <w:rPr>
          <w:lang w:val="lt-LT"/>
        </w:rPr>
        <w:t>Šios grupės pacientų gydymas turi būti atliekamas atsargiai ir juos reikia reguliariai stebėti.</w:t>
      </w:r>
    </w:p>
    <w:p w14:paraId="56D0FEAE" w14:textId="40A883A6" w:rsidR="00CE3C92" w:rsidRPr="004A478C" w:rsidRDefault="00CE3C92" w:rsidP="00CE3C92">
      <w:pPr>
        <w:tabs>
          <w:tab w:val="left" w:pos="4680"/>
        </w:tabs>
        <w:spacing w:line="240" w:lineRule="auto"/>
        <w:ind w:left="2" w:right="397"/>
        <w:rPr>
          <w:lang w:val="lt-LT"/>
        </w:rPr>
      </w:pPr>
      <w:r w:rsidRPr="004A478C">
        <w:rPr>
          <w:lang w:val="lt-LT"/>
        </w:rPr>
        <w:t xml:space="preserve">Daugiau informacijos apie </w:t>
      </w:r>
      <w:proofErr w:type="spellStart"/>
      <w:r w:rsidRPr="004A478C">
        <w:rPr>
          <w:lang w:val="lt-LT"/>
        </w:rPr>
        <w:t>febuksostato</w:t>
      </w:r>
      <w:proofErr w:type="spellEnd"/>
      <w:r w:rsidRPr="004A478C">
        <w:rPr>
          <w:lang w:val="lt-LT"/>
        </w:rPr>
        <w:t xml:space="preserve"> saugumą širdies ir kraujagyslių sistemai rasite 4.8 ir 5.1 skyriuose.</w:t>
      </w:r>
    </w:p>
    <w:p w14:paraId="724716D2" w14:textId="3933368F" w:rsidR="00273470" w:rsidRPr="004A478C" w:rsidRDefault="00273470" w:rsidP="003B28E4">
      <w:pPr>
        <w:tabs>
          <w:tab w:val="left" w:pos="4680"/>
        </w:tabs>
        <w:spacing w:line="240" w:lineRule="auto"/>
        <w:rPr>
          <w:lang w:val="lt-LT"/>
        </w:rPr>
      </w:pPr>
    </w:p>
    <w:p w14:paraId="2C437359" w14:textId="77777777" w:rsidR="00273470" w:rsidRPr="004A478C" w:rsidRDefault="00273470" w:rsidP="003B28E4">
      <w:pPr>
        <w:tabs>
          <w:tab w:val="left" w:pos="4680"/>
        </w:tabs>
        <w:spacing w:line="240" w:lineRule="auto"/>
        <w:ind w:left="-5"/>
        <w:rPr>
          <w:lang w:val="lt-LT"/>
        </w:rPr>
      </w:pPr>
      <w:r w:rsidRPr="004A478C">
        <w:rPr>
          <w:i/>
          <w:lang w:val="lt-LT"/>
        </w:rPr>
        <w:t xml:space="preserve">Alergija arba padidėjęs jautrumas vaistiniam preparatui </w:t>
      </w:r>
    </w:p>
    <w:p w14:paraId="32ACD6F4" w14:textId="77777777" w:rsidR="00273470" w:rsidRPr="004A478C" w:rsidRDefault="00273470" w:rsidP="003B28E4">
      <w:pPr>
        <w:tabs>
          <w:tab w:val="left" w:pos="4680"/>
        </w:tabs>
        <w:spacing w:line="240" w:lineRule="auto"/>
        <w:ind w:left="2" w:right="397"/>
        <w:rPr>
          <w:lang w:val="lt-LT"/>
        </w:rPr>
      </w:pPr>
      <w:r w:rsidRPr="004A478C">
        <w:rPr>
          <w:lang w:val="lt-LT"/>
        </w:rPr>
        <w:t xml:space="preserve">Vaistiniam preparatui patekus į rinką retai pasitaikė sunkių alerginių arba padidėjusio jautrumo reakcijų, įskaitant gyvybei pavojingus </w:t>
      </w:r>
      <w:proofErr w:type="spellStart"/>
      <w:r w:rsidRPr="004A478C">
        <w:rPr>
          <w:lang w:val="lt-LT"/>
        </w:rPr>
        <w:t>Stivenso</w:t>
      </w:r>
      <w:proofErr w:type="spellEnd"/>
      <w:r w:rsidRPr="004A478C">
        <w:rPr>
          <w:lang w:val="lt-LT"/>
        </w:rPr>
        <w:t>-Džonsono</w:t>
      </w:r>
      <w:r w:rsidR="006C28F7" w:rsidRPr="004A478C">
        <w:rPr>
          <w:lang w:val="lt-LT"/>
        </w:rPr>
        <w:t xml:space="preserve"> (</w:t>
      </w:r>
      <w:proofErr w:type="spellStart"/>
      <w:r w:rsidR="006C28F7" w:rsidRPr="004A478C">
        <w:rPr>
          <w:i/>
          <w:lang w:val="lt-LT"/>
        </w:rPr>
        <w:t>Stevens-Johnson</w:t>
      </w:r>
      <w:proofErr w:type="spellEnd"/>
      <w:r w:rsidR="006C28F7" w:rsidRPr="004A478C">
        <w:rPr>
          <w:lang w:val="lt-LT"/>
        </w:rPr>
        <w:t>)</w:t>
      </w:r>
      <w:r w:rsidRPr="004A478C">
        <w:rPr>
          <w:lang w:val="lt-LT"/>
        </w:rPr>
        <w:t xml:space="preserve"> sindromą, toksinę epidermio </w:t>
      </w:r>
      <w:proofErr w:type="spellStart"/>
      <w:r w:rsidRPr="004A478C">
        <w:rPr>
          <w:lang w:val="lt-LT"/>
        </w:rPr>
        <w:t>nekrolizę</w:t>
      </w:r>
      <w:proofErr w:type="spellEnd"/>
      <w:r w:rsidRPr="004A478C">
        <w:rPr>
          <w:lang w:val="lt-LT"/>
        </w:rPr>
        <w:t xml:space="preserve"> ir ūminę anafilaksinę reakciją arba šoką. Dažniausiai šių reakcijų pasitaikė pirmaisiais gydymo </w:t>
      </w:r>
      <w:proofErr w:type="spellStart"/>
      <w:r w:rsidRPr="004A478C">
        <w:rPr>
          <w:lang w:val="lt-LT"/>
        </w:rPr>
        <w:t>febuksostatu</w:t>
      </w:r>
      <w:proofErr w:type="spellEnd"/>
      <w:r w:rsidRPr="004A478C">
        <w:rPr>
          <w:lang w:val="lt-LT"/>
        </w:rPr>
        <w:t xml:space="preserve"> mėnesiais. Kai kuriems</w:t>
      </w:r>
      <w:r w:rsidR="006C28F7" w:rsidRPr="004A478C">
        <w:rPr>
          <w:lang w:val="lt-LT"/>
        </w:rPr>
        <w:t>, bet ne v</w:t>
      </w:r>
      <w:r w:rsidR="00E53ACC" w:rsidRPr="004A478C">
        <w:rPr>
          <w:lang w:val="lt-LT"/>
        </w:rPr>
        <w:t>isiems,</w:t>
      </w:r>
      <w:r w:rsidRPr="004A478C">
        <w:rPr>
          <w:lang w:val="lt-LT"/>
        </w:rPr>
        <w:t xml:space="preserve"> iš šių pacientų pasireiškė inkstų </w:t>
      </w:r>
      <w:r w:rsidR="00E53ACC" w:rsidRPr="004A478C">
        <w:rPr>
          <w:lang w:val="lt-LT"/>
        </w:rPr>
        <w:t xml:space="preserve">funkcijos </w:t>
      </w:r>
      <w:r w:rsidRPr="004A478C">
        <w:rPr>
          <w:lang w:val="lt-LT"/>
        </w:rPr>
        <w:t xml:space="preserve">sutrikimai ir (arba) jiems anksčiau buvo pasireiškęs padidėjęs jautrumas </w:t>
      </w:r>
      <w:proofErr w:type="spellStart"/>
      <w:r w:rsidRPr="004A478C">
        <w:rPr>
          <w:lang w:val="lt-LT"/>
        </w:rPr>
        <w:t>alopurinoliui</w:t>
      </w:r>
      <w:proofErr w:type="spellEnd"/>
      <w:r w:rsidRPr="004A478C">
        <w:rPr>
          <w:lang w:val="lt-LT"/>
        </w:rPr>
        <w:t>. Kai kuriais atvejais sunkios padidėjusio jautrumo reakcijos, įskaitant reakciją į vaist</w:t>
      </w:r>
      <w:r w:rsidR="006C28F7" w:rsidRPr="004A478C">
        <w:rPr>
          <w:lang w:val="lt-LT"/>
        </w:rPr>
        <w:t>inį preparatą</w:t>
      </w:r>
      <w:r w:rsidRPr="004A478C">
        <w:rPr>
          <w:lang w:val="lt-LT"/>
        </w:rPr>
        <w:t xml:space="preserve"> su </w:t>
      </w:r>
      <w:proofErr w:type="spellStart"/>
      <w:r w:rsidRPr="004A478C">
        <w:rPr>
          <w:lang w:val="lt-LT"/>
        </w:rPr>
        <w:t>eozinofiliją</w:t>
      </w:r>
      <w:proofErr w:type="spellEnd"/>
      <w:r w:rsidRPr="004A478C">
        <w:rPr>
          <w:lang w:val="lt-LT"/>
        </w:rPr>
        <w:t xml:space="preserve"> ir sisteminiais (bendraisiais) simptomais (DRESS), kurios buvo susijusios su karščiavimu, hematologiniais, inkstų arba kepenų veiklos pakitimais. </w:t>
      </w:r>
    </w:p>
    <w:p w14:paraId="2BBF1C45" w14:textId="77777777" w:rsidR="00273470" w:rsidRPr="004A478C" w:rsidRDefault="00273470" w:rsidP="003B28E4">
      <w:pPr>
        <w:tabs>
          <w:tab w:val="left" w:pos="4680"/>
        </w:tabs>
        <w:spacing w:line="240" w:lineRule="auto"/>
        <w:ind w:left="2" w:right="397"/>
        <w:rPr>
          <w:lang w:val="lt-LT"/>
        </w:rPr>
      </w:pPr>
      <w:r w:rsidRPr="004A478C">
        <w:rPr>
          <w:lang w:val="lt-LT"/>
        </w:rPr>
        <w:t xml:space="preserve">Pacientus reikia įspėti apie tokių reakcijų požymius ir simptomus, juos reikia atidžiai stebėti dėl alerginių arba padidėjusio jautrumo reakcijų (žr. 4.8 skyrių). Pastebėjus sunkių alerginių arba padidėjusio jautrumo reakcijų, įskaitant </w:t>
      </w:r>
      <w:proofErr w:type="spellStart"/>
      <w:r w:rsidRPr="004A478C">
        <w:rPr>
          <w:lang w:val="lt-LT"/>
        </w:rPr>
        <w:t>Stivenso</w:t>
      </w:r>
      <w:proofErr w:type="spellEnd"/>
      <w:r w:rsidRPr="004A478C">
        <w:rPr>
          <w:lang w:val="lt-LT"/>
        </w:rPr>
        <w:t xml:space="preserve">-Džonsono </w:t>
      </w:r>
      <w:r w:rsidR="006C28F7" w:rsidRPr="004A478C">
        <w:rPr>
          <w:lang w:val="lt-LT"/>
        </w:rPr>
        <w:t>(</w:t>
      </w:r>
      <w:proofErr w:type="spellStart"/>
      <w:r w:rsidR="006C28F7" w:rsidRPr="004A478C">
        <w:rPr>
          <w:i/>
          <w:lang w:val="lt-LT"/>
        </w:rPr>
        <w:t>Stevens-Johnson</w:t>
      </w:r>
      <w:proofErr w:type="spellEnd"/>
      <w:r w:rsidR="006C28F7" w:rsidRPr="004A478C">
        <w:rPr>
          <w:lang w:val="lt-LT"/>
        </w:rPr>
        <w:t xml:space="preserve">) </w:t>
      </w:r>
      <w:r w:rsidRPr="004A478C">
        <w:rPr>
          <w:lang w:val="lt-LT"/>
        </w:rPr>
        <w:t xml:space="preserve">sindromą, požymių, </w:t>
      </w:r>
      <w:proofErr w:type="spellStart"/>
      <w:r w:rsidRPr="004A478C">
        <w:rPr>
          <w:lang w:val="lt-LT"/>
        </w:rPr>
        <w:t>febuksostato</w:t>
      </w:r>
      <w:proofErr w:type="spellEnd"/>
      <w:r w:rsidRPr="004A478C">
        <w:rPr>
          <w:lang w:val="lt-LT"/>
        </w:rPr>
        <w:t xml:space="preserve"> vartojimą reikia nedelsiant nutraukti, nes laiku nutraukus gydymą prognozė yra geresnė. Jeigu pacientui pasireiškė alerginė arba padidėjusio jautrumo reakcija, įskaitant </w:t>
      </w:r>
      <w:proofErr w:type="spellStart"/>
      <w:r w:rsidRPr="004A478C">
        <w:rPr>
          <w:lang w:val="lt-LT"/>
        </w:rPr>
        <w:t>Stivenso</w:t>
      </w:r>
      <w:proofErr w:type="spellEnd"/>
      <w:r w:rsidRPr="004A478C">
        <w:rPr>
          <w:lang w:val="lt-LT"/>
        </w:rPr>
        <w:t xml:space="preserve">-Džonsono </w:t>
      </w:r>
      <w:r w:rsidR="006C28F7" w:rsidRPr="004A478C">
        <w:rPr>
          <w:lang w:val="lt-LT"/>
        </w:rPr>
        <w:t>(</w:t>
      </w:r>
      <w:proofErr w:type="spellStart"/>
      <w:r w:rsidR="006C28F7" w:rsidRPr="004A478C">
        <w:rPr>
          <w:i/>
          <w:lang w:val="lt-LT"/>
        </w:rPr>
        <w:t>Stevens-Johnson</w:t>
      </w:r>
      <w:proofErr w:type="spellEnd"/>
      <w:r w:rsidR="006C28F7" w:rsidRPr="004A478C">
        <w:rPr>
          <w:lang w:val="lt-LT"/>
        </w:rPr>
        <w:t xml:space="preserve">) </w:t>
      </w:r>
      <w:r w:rsidRPr="004A478C">
        <w:rPr>
          <w:lang w:val="lt-LT"/>
        </w:rPr>
        <w:t xml:space="preserve">sindromą, tokiems pacientams atnaujinti gydymą </w:t>
      </w:r>
      <w:proofErr w:type="spellStart"/>
      <w:r w:rsidRPr="004A478C">
        <w:rPr>
          <w:lang w:val="lt-LT"/>
        </w:rPr>
        <w:t>febuksostatu</w:t>
      </w:r>
      <w:proofErr w:type="spellEnd"/>
      <w:r w:rsidRPr="004A478C">
        <w:rPr>
          <w:lang w:val="lt-LT"/>
        </w:rPr>
        <w:t xml:space="preserve"> draudžiama.</w:t>
      </w:r>
      <w:r w:rsidRPr="004A478C">
        <w:rPr>
          <w:i/>
          <w:lang w:val="lt-LT"/>
        </w:rPr>
        <w:t xml:space="preserve"> </w:t>
      </w:r>
    </w:p>
    <w:p w14:paraId="5DAC3D6F" w14:textId="77777777" w:rsidR="00273470" w:rsidRPr="004A478C" w:rsidRDefault="00273470" w:rsidP="003B28E4">
      <w:pPr>
        <w:tabs>
          <w:tab w:val="left" w:pos="4680"/>
        </w:tabs>
        <w:spacing w:line="240" w:lineRule="auto"/>
        <w:rPr>
          <w:lang w:val="lt-LT"/>
        </w:rPr>
      </w:pPr>
      <w:r w:rsidRPr="004A478C">
        <w:rPr>
          <w:i/>
          <w:lang w:val="lt-LT"/>
        </w:rPr>
        <w:t xml:space="preserve"> </w:t>
      </w:r>
    </w:p>
    <w:p w14:paraId="33BDB845" w14:textId="77777777" w:rsidR="00273470" w:rsidRPr="004A478C" w:rsidRDefault="00273470" w:rsidP="003B28E4">
      <w:pPr>
        <w:tabs>
          <w:tab w:val="left" w:pos="4680"/>
        </w:tabs>
        <w:spacing w:line="240" w:lineRule="auto"/>
        <w:ind w:left="-5"/>
        <w:rPr>
          <w:lang w:val="lt-LT"/>
        </w:rPr>
      </w:pPr>
      <w:r w:rsidRPr="004A478C">
        <w:rPr>
          <w:i/>
          <w:lang w:val="lt-LT"/>
        </w:rPr>
        <w:t xml:space="preserve">Ūmūs podagros priepuoliai (podagros paūmėjimas) </w:t>
      </w:r>
    </w:p>
    <w:p w14:paraId="10530CF4" w14:textId="77777777" w:rsidR="00273470" w:rsidRPr="004A478C" w:rsidRDefault="00273470" w:rsidP="003B28E4">
      <w:pPr>
        <w:tabs>
          <w:tab w:val="left" w:pos="4680"/>
        </w:tabs>
        <w:spacing w:line="240" w:lineRule="auto"/>
        <w:ind w:left="2" w:right="397"/>
        <w:rPr>
          <w:lang w:val="lt-LT"/>
        </w:rPr>
      </w:pPr>
      <w:r w:rsidRPr="004A478C">
        <w:rPr>
          <w:lang w:val="lt-LT"/>
        </w:rPr>
        <w:t xml:space="preserve">Negalima pradėti gydymo </w:t>
      </w:r>
      <w:proofErr w:type="spellStart"/>
      <w:r w:rsidRPr="004A478C">
        <w:rPr>
          <w:lang w:val="lt-LT"/>
        </w:rPr>
        <w:t>febuksostatu</w:t>
      </w:r>
      <w:proofErr w:type="spellEnd"/>
      <w:r w:rsidRPr="004A478C">
        <w:rPr>
          <w:lang w:val="lt-LT"/>
        </w:rPr>
        <w:t xml:space="preserve">, kol visiškai nenurimo podagros priepuolis. Podagros priepuoliai gali ištikti gydymo pradžioje dėl pakitusio šlapimo rūgšties kiekio serume, nes tirpinami uratai, susikaupę audiniuose (žr. 4.8 ir 5.1 skyrius). Gydymo </w:t>
      </w:r>
      <w:proofErr w:type="spellStart"/>
      <w:r w:rsidRPr="004A478C">
        <w:rPr>
          <w:lang w:val="lt-LT"/>
        </w:rPr>
        <w:t>febuksostatu</w:t>
      </w:r>
      <w:proofErr w:type="spellEnd"/>
      <w:r w:rsidRPr="004A478C">
        <w:rPr>
          <w:lang w:val="lt-LT"/>
        </w:rPr>
        <w:t xml:space="preserve"> pradžioje </w:t>
      </w:r>
      <w:r w:rsidRPr="004A478C">
        <w:rPr>
          <w:lang w:val="lt-LT"/>
        </w:rPr>
        <w:lastRenderedPageBreak/>
        <w:t xml:space="preserve">patartina atlikti ne trumpesnę kaip 6 mėnesių paūmėjimų profilaktiką nesteroidiniu vaistu nuo uždegimo (NVNU) arba </w:t>
      </w:r>
      <w:proofErr w:type="spellStart"/>
      <w:r w:rsidRPr="004A478C">
        <w:rPr>
          <w:lang w:val="lt-LT"/>
        </w:rPr>
        <w:t>kolchicinu</w:t>
      </w:r>
      <w:proofErr w:type="spellEnd"/>
      <w:r w:rsidRPr="004A478C">
        <w:rPr>
          <w:lang w:val="lt-LT"/>
        </w:rPr>
        <w:t xml:space="preserve"> (žr. 4.2 skyrių). </w:t>
      </w:r>
    </w:p>
    <w:p w14:paraId="5D24B6F8" w14:textId="77777777" w:rsidR="00273470" w:rsidRPr="004A478C" w:rsidRDefault="00273470" w:rsidP="003B28E4">
      <w:pPr>
        <w:tabs>
          <w:tab w:val="left" w:pos="4680"/>
        </w:tabs>
        <w:spacing w:line="240" w:lineRule="auto"/>
        <w:ind w:left="2" w:right="397"/>
        <w:rPr>
          <w:lang w:val="lt-LT"/>
        </w:rPr>
      </w:pPr>
      <w:r w:rsidRPr="004A478C">
        <w:rPr>
          <w:lang w:val="lt-LT"/>
        </w:rPr>
        <w:t xml:space="preserve">Jeigu gydymo </w:t>
      </w:r>
      <w:proofErr w:type="spellStart"/>
      <w:r w:rsidRPr="004A478C">
        <w:rPr>
          <w:lang w:val="lt-LT"/>
        </w:rPr>
        <w:t>febuksostatu</w:t>
      </w:r>
      <w:proofErr w:type="spellEnd"/>
      <w:r w:rsidRPr="004A478C">
        <w:rPr>
          <w:lang w:val="lt-LT"/>
        </w:rPr>
        <w:t xml:space="preserve"> metu ištinka podagros priepuolis, gydymo nutraukti nereikia. Podagros priepuolį reikia gydyti konkrečiam pacientui tinkamomis priemonėmis. Nuolatinis </w:t>
      </w:r>
      <w:proofErr w:type="spellStart"/>
      <w:r w:rsidRPr="004A478C">
        <w:rPr>
          <w:lang w:val="lt-LT"/>
        </w:rPr>
        <w:t>febuksostato</w:t>
      </w:r>
      <w:proofErr w:type="spellEnd"/>
      <w:r w:rsidRPr="004A478C">
        <w:rPr>
          <w:lang w:val="lt-LT"/>
        </w:rPr>
        <w:t xml:space="preserve"> vartojimas mažina podagros priepuolių dažnį ir intensyvumą.  </w:t>
      </w:r>
    </w:p>
    <w:p w14:paraId="648C2920" w14:textId="77777777" w:rsidR="00273470" w:rsidRPr="004A478C" w:rsidRDefault="00273470" w:rsidP="003B28E4">
      <w:pPr>
        <w:tabs>
          <w:tab w:val="left" w:pos="4680"/>
        </w:tabs>
        <w:spacing w:line="240" w:lineRule="auto"/>
        <w:rPr>
          <w:lang w:val="lt-LT"/>
        </w:rPr>
      </w:pPr>
    </w:p>
    <w:p w14:paraId="70129314" w14:textId="77777777" w:rsidR="00273470" w:rsidRPr="004A478C" w:rsidRDefault="00273470" w:rsidP="003B28E4">
      <w:pPr>
        <w:tabs>
          <w:tab w:val="left" w:pos="4680"/>
        </w:tabs>
        <w:spacing w:line="240" w:lineRule="auto"/>
        <w:ind w:left="-5"/>
        <w:rPr>
          <w:lang w:val="lt-LT"/>
        </w:rPr>
      </w:pPr>
      <w:proofErr w:type="spellStart"/>
      <w:r w:rsidRPr="004A478C">
        <w:rPr>
          <w:i/>
          <w:lang w:val="lt-LT"/>
        </w:rPr>
        <w:t>Ksantino</w:t>
      </w:r>
      <w:proofErr w:type="spellEnd"/>
      <w:r w:rsidRPr="004A478C">
        <w:rPr>
          <w:i/>
          <w:lang w:val="lt-LT"/>
        </w:rPr>
        <w:t xml:space="preserve"> nusėdimas </w:t>
      </w:r>
    </w:p>
    <w:p w14:paraId="13A15A08" w14:textId="77777777" w:rsidR="00273470" w:rsidRPr="004A478C" w:rsidRDefault="00273470" w:rsidP="003B28E4">
      <w:pPr>
        <w:tabs>
          <w:tab w:val="left" w:pos="4680"/>
        </w:tabs>
        <w:spacing w:line="240" w:lineRule="auto"/>
        <w:ind w:left="2" w:right="397"/>
        <w:rPr>
          <w:lang w:val="lt-LT"/>
        </w:rPr>
      </w:pPr>
      <w:r w:rsidRPr="004A478C">
        <w:rPr>
          <w:lang w:val="lt-LT"/>
        </w:rPr>
        <w:t xml:space="preserve">Pacientams, kuriems uratų susidarymo greitis </w:t>
      </w:r>
      <w:r w:rsidR="00250B57" w:rsidRPr="004A478C">
        <w:rPr>
          <w:lang w:val="lt-LT"/>
        </w:rPr>
        <w:t xml:space="preserve">labai </w:t>
      </w:r>
      <w:r w:rsidRPr="004A478C">
        <w:rPr>
          <w:lang w:val="lt-LT"/>
        </w:rPr>
        <w:t xml:space="preserve">padidėjęs (pvz., dėl piktybinės ligos ar jos gydymo, sergant </w:t>
      </w:r>
      <w:proofErr w:type="spellStart"/>
      <w:r w:rsidRPr="004A478C">
        <w:rPr>
          <w:i/>
          <w:lang w:val="lt-LT"/>
        </w:rPr>
        <w:t>Lesch-Nyhan</w:t>
      </w:r>
      <w:proofErr w:type="spellEnd"/>
      <w:r w:rsidRPr="004A478C">
        <w:rPr>
          <w:lang w:val="lt-LT"/>
        </w:rPr>
        <w:t xml:space="preserve"> sindromu), retais atvejais </w:t>
      </w:r>
      <w:proofErr w:type="spellStart"/>
      <w:r w:rsidRPr="004A478C">
        <w:rPr>
          <w:lang w:val="lt-LT"/>
        </w:rPr>
        <w:t>ksantino</w:t>
      </w:r>
      <w:proofErr w:type="spellEnd"/>
      <w:r w:rsidRPr="004A478C">
        <w:rPr>
          <w:lang w:val="lt-LT"/>
        </w:rPr>
        <w:t xml:space="preserve"> kiekis šlapime gali padidėti tiek, kad šlapimo takuose gali susidaryti jo nuosėdų. Kadangi </w:t>
      </w:r>
      <w:proofErr w:type="spellStart"/>
      <w:r w:rsidRPr="004A478C">
        <w:rPr>
          <w:lang w:val="lt-LT"/>
        </w:rPr>
        <w:t>febuksostato</w:t>
      </w:r>
      <w:proofErr w:type="spellEnd"/>
      <w:r w:rsidRPr="004A478C">
        <w:rPr>
          <w:lang w:val="lt-LT"/>
        </w:rPr>
        <w:t xml:space="preserve"> skyrimo šios grupės pacientams patirties nėra, vaisto vartoti jiems nerekomenduojama. </w:t>
      </w:r>
    </w:p>
    <w:p w14:paraId="3007B0CF" w14:textId="77777777" w:rsidR="00273470" w:rsidRPr="004A478C" w:rsidRDefault="00273470" w:rsidP="003B28E4">
      <w:pPr>
        <w:tabs>
          <w:tab w:val="left" w:pos="4680"/>
        </w:tabs>
        <w:spacing w:line="240" w:lineRule="auto"/>
        <w:rPr>
          <w:lang w:val="lt-LT"/>
        </w:rPr>
      </w:pPr>
    </w:p>
    <w:p w14:paraId="3216CF1D" w14:textId="55332585" w:rsidR="00273470" w:rsidRPr="004A478C" w:rsidRDefault="00273470" w:rsidP="003B28E4">
      <w:pPr>
        <w:tabs>
          <w:tab w:val="left" w:pos="4680"/>
        </w:tabs>
        <w:spacing w:line="240" w:lineRule="auto"/>
        <w:ind w:left="-5"/>
        <w:rPr>
          <w:lang w:val="lt-LT"/>
        </w:rPr>
      </w:pPr>
      <w:proofErr w:type="spellStart"/>
      <w:r w:rsidRPr="004A478C">
        <w:rPr>
          <w:i/>
          <w:lang w:val="lt-LT"/>
        </w:rPr>
        <w:t>Merkaptopurinas</w:t>
      </w:r>
      <w:proofErr w:type="spellEnd"/>
      <w:r w:rsidR="001F30AC" w:rsidRPr="004A478C">
        <w:rPr>
          <w:i/>
          <w:lang w:val="lt-LT"/>
        </w:rPr>
        <w:t> </w:t>
      </w:r>
      <w:r w:rsidR="001874E8" w:rsidRPr="004A478C">
        <w:rPr>
          <w:i/>
          <w:lang w:val="lt-LT"/>
        </w:rPr>
        <w:t xml:space="preserve">/ </w:t>
      </w:r>
      <w:proofErr w:type="spellStart"/>
      <w:r w:rsidRPr="004A478C">
        <w:rPr>
          <w:i/>
          <w:lang w:val="lt-LT"/>
        </w:rPr>
        <w:t>azatioprinas</w:t>
      </w:r>
      <w:proofErr w:type="spellEnd"/>
      <w:r w:rsidRPr="004A478C">
        <w:rPr>
          <w:i/>
          <w:lang w:val="lt-LT"/>
        </w:rPr>
        <w:t xml:space="preserve"> </w:t>
      </w:r>
    </w:p>
    <w:p w14:paraId="52CC6470" w14:textId="7CC0D6CD" w:rsidR="00E332F2" w:rsidRPr="004A478C" w:rsidRDefault="00273470" w:rsidP="00E332F2">
      <w:pPr>
        <w:tabs>
          <w:tab w:val="left" w:pos="4680"/>
        </w:tabs>
        <w:spacing w:line="240" w:lineRule="auto"/>
        <w:ind w:left="2" w:right="397"/>
        <w:rPr>
          <w:lang w:val="lt-LT"/>
        </w:rPr>
      </w:pPr>
      <w:proofErr w:type="spellStart"/>
      <w:r w:rsidRPr="004A478C">
        <w:rPr>
          <w:lang w:val="lt-LT"/>
        </w:rPr>
        <w:t>Febuksostato</w:t>
      </w:r>
      <w:proofErr w:type="spellEnd"/>
      <w:r w:rsidRPr="004A478C">
        <w:rPr>
          <w:lang w:val="lt-LT"/>
        </w:rPr>
        <w:t xml:space="preserve"> nepatartina skirti pacientams, vartojantiems </w:t>
      </w:r>
      <w:proofErr w:type="spellStart"/>
      <w:r w:rsidRPr="004A478C">
        <w:rPr>
          <w:lang w:val="lt-LT"/>
        </w:rPr>
        <w:t>merkaptopuriną</w:t>
      </w:r>
      <w:proofErr w:type="spellEnd"/>
      <w:r w:rsidR="00E332F2" w:rsidRPr="004A478C">
        <w:rPr>
          <w:lang w:val="lt-LT"/>
        </w:rPr>
        <w:t xml:space="preserve">/ </w:t>
      </w:r>
      <w:proofErr w:type="spellStart"/>
      <w:r w:rsidRPr="004A478C">
        <w:rPr>
          <w:lang w:val="lt-LT"/>
        </w:rPr>
        <w:t>azatiopriną</w:t>
      </w:r>
      <w:proofErr w:type="spellEnd"/>
      <w:r w:rsidR="00E332F2" w:rsidRPr="004A478C">
        <w:rPr>
          <w:lang w:val="lt-LT"/>
        </w:rPr>
        <w:t xml:space="preserve">, nes </w:t>
      </w:r>
      <w:proofErr w:type="spellStart"/>
      <w:r w:rsidR="00E332F2" w:rsidRPr="004A478C">
        <w:rPr>
          <w:lang w:val="lt-LT"/>
        </w:rPr>
        <w:t>febuksostatas</w:t>
      </w:r>
      <w:proofErr w:type="spellEnd"/>
      <w:r w:rsidR="00E332F2" w:rsidRPr="004A478C">
        <w:rPr>
          <w:lang w:val="lt-LT"/>
        </w:rPr>
        <w:t xml:space="preserve"> slopina </w:t>
      </w:r>
      <w:proofErr w:type="spellStart"/>
      <w:r w:rsidR="00E332F2" w:rsidRPr="004A478C">
        <w:rPr>
          <w:lang w:val="lt-LT"/>
        </w:rPr>
        <w:t>ksantinoksidazę</w:t>
      </w:r>
      <w:proofErr w:type="spellEnd"/>
      <w:r w:rsidR="00E332F2" w:rsidRPr="004A478C">
        <w:rPr>
          <w:lang w:val="lt-LT"/>
        </w:rPr>
        <w:t xml:space="preserve"> (KO) ir dėl to gali sukelti </w:t>
      </w:r>
      <w:proofErr w:type="spellStart"/>
      <w:r w:rsidR="00E332F2" w:rsidRPr="004A478C">
        <w:rPr>
          <w:lang w:val="lt-LT"/>
        </w:rPr>
        <w:t>merkaptopurino</w:t>
      </w:r>
      <w:proofErr w:type="spellEnd"/>
      <w:r w:rsidR="00E332F2" w:rsidRPr="004A478C">
        <w:rPr>
          <w:lang w:val="lt-LT"/>
        </w:rPr>
        <w:t xml:space="preserve">/ </w:t>
      </w:r>
      <w:proofErr w:type="spellStart"/>
      <w:r w:rsidR="00E332F2" w:rsidRPr="004A478C">
        <w:rPr>
          <w:lang w:val="lt-LT"/>
        </w:rPr>
        <w:t>azatioprino</w:t>
      </w:r>
      <w:proofErr w:type="spellEnd"/>
      <w:r w:rsidR="00E332F2" w:rsidRPr="004A478C">
        <w:rPr>
          <w:lang w:val="lt-LT"/>
        </w:rPr>
        <w:t xml:space="preserve"> koncentracijos plazmoje padidėjimą, kuris gali sukelti sunkų toksinį poveikį. </w:t>
      </w:r>
    </w:p>
    <w:p w14:paraId="0635FBDA" w14:textId="0CFD61EC" w:rsidR="00E332F2" w:rsidRPr="004A478C" w:rsidRDefault="00E332F2" w:rsidP="00E332F2">
      <w:pPr>
        <w:tabs>
          <w:tab w:val="left" w:pos="4680"/>
        </w:tabs>
        <w:spacing w:line="240" w:lineRule="auto"/>
        <w:ind w:left="2" w:right="397"/>
        <w:rPr>
          <w:lang w:val="lt-LT"/>
        </w:rPr>
      </w:pPr>
      <w:r w:rsidRPr="004A478C">
        <w:rPr>
          <w:lang w:val="lt-LT"/>
        </w:rPr>
        <w:t xml:space="preserve">Kai toks derinys neišvengiamas, </w:t>
      </w:r>
      <w:proofErr w:type="spellStart"/>
      <w:r w:rsidRPr="004A478C">
        <w:rPr>
          <w:lang w:val="lt-LT"/>
        </w:rPr>
        <w:t>merkaptopurino</w:t>
      </w:r>
      <w:proofErr w:type="spellEnd"/>
      <w:r w:rsidRPr="004A478C">
        <w:rPr>
          <w:lang w:val="lt-LT"/>
        </w:rPr>
        <w:t xml:space="preserve"> / </w:t>
      </w:r>
      <w:proofErr w:type="spellStart"/>
      <w:r w:rsidRPr="004A478C">
        <w:rPr>
          <w:lang w:val="lt-LT"/>
        </w:rPr>
        <w:t>azatioprino</w:t>
      </w:r>
      <w:proofErr w:type="spellEnd"/>
      <w:r w:rsidRPr="004A478C">
        <w:rPr>
          <w:lang w:val="lt-LT"/>
        </w:rPr>
        <w:t xml:space="preserve"> dozę rekomenduojama sumažinti iki 20 % arba mažiau ankstesnės dozės, kad būtų išvengta galimų kraujo pokyčių (žr. 4.5 ir 5.3 skyrius).</w:t>
      </w:r>
    </w:p>
    <w:p w14:paraId="3014642D" w14:textId="2E3BB3E3" w:rsidR="00273470" w:rsidRPr="004A478C" w:rsidRDefault="00E332F2" w:rsidP="00E332F2">
      <w:pPr>
        <w:tabs>
          <w:tab w:val="left" w:pos="4680"/>
        </w:tabs>
        <w:spacing w:line="240" w:lineRule="auto"/>
        <w:ind w:left="2" w:right="397"/>
        <w:rPr>
          <w:lang w:val="lt-LT"/>
        </w:rPr>
      </w:pPr>
      <w:r w:rsidRPr="004A478C">
        <w:rPr>
          <w:lang w:val="lt-LT"/>
        </w:rPr>
        <w:t xml:space="preserve">Pacientus reikia atidžiai stebėti ir </w:t>
      </w:r>
      <w:proofErr w:type="spellStart"/>
      <w:r w:rsidRPr="004A478C">
        <w:rPr>
          <w:lang w:val="lt-LT"/>
        </w:rPr>
        <w:t>merkaptopurino</w:t>
      </w:r>
      <w:proofErr w:type="spellEnd"/>
      <w:r w:rsidRPr="004A478C">
        <w:rPr>
          <w:lang w:val="lt-LT"/>
        </w:rPr>
        <w:t xml:space="preserve"> / </w:t>
      </w:r>
      <w:proofErr w:type="spellStart"/>
      <w:r w:rsidRPr="004A478C">
        <w:rPr>
          <w:lang w:val="lt-LT"/>
        </w:rPr>
        <w:t>azatioprino</w:t>
      </w:r>
      <w:proofErr w:type="spellEnd"/>
      <w:r w:rsidRPr="004A478C">
        <w:rPr>
          <w:lang w:val="lt-LT"/>
        </w:rPr>
        <w:t xml:space="preserve"> dozę palengva pritaikyti vertinant terapinį atsaką ir galimo toksinio poveikio pradžią</w:t>
      </w:r>
      <w:r w:rsidR="00250B57" w:rsidRPr="004A478C">
        <w:rPr>
          <w:lang w:val="lt-LT"/>
        </w:rPr>
        <w:t>.</w:t>
      </w:r>
      <w:r w:rsidR="009310D4" w:rsidRPr="004A478C">
        <w:rPr>
          <w:lang w:val="lt-LT"/>
        </w:rPr>
        <w:t xml:space="preserve"> </w:t>
      </w:r>
    </w:p>
    <w:p w14:paraId="1953E79E" w14:textId="77777777" w:rsidR="00273470" w:rsidRPr="004A478C" w:rsidRDefault="00273470" w:rsidP="003B28E4">
      <w:pPr>
        <w:tabs>
          <w:tab w:val="left" w:pos="4680"/>
        </w:tabs>
        <w:spacing w:line="240" w:lineRule="auto"/>
        <w:rPr>
          <w:lang w:val="lt-LT"/>
        </w:rPr>
      </w:pPr>
    </w:p>
    <w:p w14:paraId="42E96700" w14:textId="77777777" w:rsidR="00250B57" w:rsidRPr="004B0C8F" w:rsidRDefault="00250B57" w:rsidP="00250B57">
      <w:pPr>
        <w:tabs>
          <w:tab w:val="left" w:pos="4680"/>
        </w:tabs>
        <w:spacing w:line="240" w:lineRule="auto"/>
        <w:ind w:left="-5"/>
        <w:rPr>
          <w:i/>
          <w:szCs w:val="22"/>
          <w:lang w:val="lt-LT"/>
        </w:rPr>
      </w:pPr>
      <w:r w:rsidRPr="004B0C8F">
        <w:rPr>
          <w:i/>
          <w:szCs w:val="22"/>
          <w:lang w:val="lt-LT"/>
        </w:rPr>
        <w:t>Pacientai, kuriems persodintas organas (recipientai)</w:t>
      </w:r>
    </w:p>
    <w:p w14:paraId="0F21333C" w14:textId="77777777" w:rsidR="00273470" w:rsidRPr="004A478C" w:rsidRDefault="00273470" w:rsidP="003B28E4">
      <w:pPr>
        <w:tabs>
          <w:tab w:val="left" w:pos="4680"/>
        </w:tabs>
        <w:spacing w:line="240" w:lineRule="auto"/>
        <w:ind w:left="2" w:right="397"/>
        <w:rPr>
          <w:lang w:val="lt-LT"/>
        </w:rPr>
      </w:pPr>
      <w:r w:rsidRPr="004A478C">
        <w:rPr>
          <w:lang w:val="lt-LT"/>
        </w:rPr>
        <w:t xml:space="preserve">Kadangi vaistinio preparato vartojimo patirties </w:t>
      </w:r>
      <w:r w:rsidR="006A77E0" w:rsidRPr="004A478C">
        <w:rPr>
          <w:lang w:val="lt-LT"/>
        </w:rPr>
        <w:t xml:space="preserve">pacientams, kuriems persodintas organas, </w:t>
      </w:r>
      <w:r w:rsidRPr="004A478C">
        <w:rPr>
          <w:lang w:val="lt-LT"/>
        </w:rPr>
        <w:t xml:space="preserve">nėra, </w:t>
      </w:r>
      <w:proofErr w:type="spellStart"/>
      <w:r w:rsidRPr="004A478C">
        <w:rPr>
          <w:lang w:val="lt-LT"/>
        </w:rPr>
        <w:t>febuksostato</w:t>
      </w:r>
      <w:proofErr w:type="spellEnd"/>
      <w:r w:rsidRPr="004A478C">
        <w:rPr>
          <w:lang w:val="lt-LT"/>
        </w:rPr>
        <w:t xml:space="preserve"> vartoti šiems pacientams nerekomenduojama (žr. 5.1 skyrių). </w:t>
      </w:r>
    </w:p>
    <w:p w14:paraId="07B73C2C" w14:textId="77777777" w:rsidR="00273470" w:rsidRPr="004A478C" w:rsidRDefault="00273470" w:rsidP="003B28E4">
      <w:pPr>
        <w:tabs>
          <w:tab w:val="left" w:pos="4680"/>
        </w:tabs>
        <w:spacing w:line="240" w:lineRule="auto"/>
        <w:rPr>
          <w:lang w:val="lt-LT"/>
        </w:rPr>
      </w:pPr>
    </w:p>
    <w:p w14:paraId="1B8C2061" w14:textId="77777777" w:rsidR="00273470" w:rsidRPr="004A478C" w:rsidRDefault="00273470" w:rsidP="003B28E4">
      <w:pPr>
        <w:tabs>
          <w:tab w:val="left" w:pos="4680"/>
        </w:tabs>
        <w:spacing w:line="240" w:lineRule="auto"/>
        <w:ind w:left="-5"/>
        <w:rPr>
          <w:lang w:val="lt-LT"/>
        </w:rPr>
      </w:pPr>
      <w:proofErr w:type="spellStart"/>
      <w:r w:rsidRPr="004A478C">
        <w:rPr>
          <w:i/>
          <w:lang w:val="lt-LT"/>
        </w:rPr>
        <w:t>Teofilinas</w:t>
      </w:r>
      <w:proofErr w:type="spellEnd"/>
      <w:r w:rsidRPr="004A478C">
        <w:rPr>
          <w:i/>
          <w:lang w:val="lt-LT"/>
        </w:rPr>
        <w:t xml:space="preserve"> </w:t>
      </w:r>
    </w:p>
    <w:p w14:paraId="69C2EC26" w14:textId="77777777" w:rsidR="00273470" w:rsidRPr="004A478C" w:rsidRDefault="00273470" w:rsidP="003B28E4">
      <w:pPr>
        <w:tabs>
          <w:tab w:val="left" w:pos="4680"/>
        </w:tabs>
        <w:spacing w:line="240" w:lineRule="auto"/>
        <w:ind w:left="2" w:right="397"/>
        <w:rPr>
          <w:lang w:val="lt-LT"/>
        </w:rPr>
      </w:pPr>
      <w:r w:rsidRPr="004A478C">
        <w:rPr>
          <w:lang w:val="lt-LT"/>
        </w:rPr>
        <w:t>Kartu skiriant 80</w:t>
      </w:r>
      <w:r w:rsidR="00E87295" w:rsidRPr="004A478C">
        <w:rPr>
          <w:lang w:val="lt-LT"/>
        </w:rPr>
        <w:t> mg</w:t>
      </w:r>
      <w:r w:rsidRPr="004A478C">
        <w:rPr>
          <w:lang w:val="lt-LT"/>
        </w:rPr>
        <w:t xml:space="preserve"> </w:t>
      </w:r>
      <w:proofErr w:type="spellStart"/>
      <w:r w:rsidRPr="004A478C">
        <w:rPr>
          <w:lang w:val="lt-LT"/>
        </w:rPr>
        <w:t>febuksostato</w:t>
      </w:r>
      <w:proofErr w:type="spellEnd"/>
      <w:r w:rsidRPr="004A478C">
        <w:rPr>
          <w:lang w:val="lt-LT"/>
        </w:rPr>
        <w:t xml:space="preserve"> ir 400</w:t>
      </w:r>
      <w:r w:rsidR="00E87295" w:rsidRPr="004A478C">
        <w:rPr>
          <w:lang w:val="lt-LT"/>
        </w:rPr>
        <w:t> mg</w:t>
      </w:r>
      <w:r w:rsidRPr="004A478C">
        <w:rPr>
          <w:lang w:val="lt-LT"/>
        </w:rPr>
        <w:t xml:space="preserve"> vienkartinę dozę </w:t>
      </w:r>
      <w:proofErr w:type="spellStart"/>
      <w:r w:rsidRPr="004A478C">
        <w:rPr>
          <w:lang w:val="lt-LT"/>
        </w:rPr>
        <w:t>teofilino</w:t>
      </w:r>
      <w:proofErr w:type="spellEnd"/>
      <w:r w:rsidRPr="004A478C">
        <w:rPr>
          <w:lang w:val="lt-LT"/>
        </w:rPr>
        <w:t xml:space="preserve"> sveikiems asmenims, </w:t>
      </w:r>
      <w:r w:rsidR="006A77E0" w:rsidRPr="004A478C">
        <w:rPr>
          <w:lang w:val="lt-LT"/>
        </w:rPr>
        <w:t>jokia</w:t>
      </w:r>
      <w:r w:rsidRPr="004A478C">
        <w:rPr>
          <w:lang w:val="lt-LT"/>
        </w:rPr>
        <w:t xml:space="preserve"> </w:t>
      </w:r>
      <w:proofErr w:type="spellStart"/>
      <w:r w:rsidRPr="004A478C">
        <w:rPr>
          <w:lang w:val="lt-LT"/>
        </w:rPr>
        <w:t>farmakokinetinė</w:t>
      </w:r>
      <w:proofErr w:type="spellEnd"/>
      <w:r w:rsidRPr="004A478C">
        <w:rPr>
          <w:lang w:val="lt-LT"/>
        </w:rPr>
        <w:t xml:space="preserve"> sąveika nenustatyta (žr. 4.5 skyrių). 80</w:t>
      </w:r>
      <w:r w:rsidR="00E87295" w:rsidRPr="004A478C">
        <w:rPr>
          <w:lang w:val="lt-LT"/>
        </w:rPr>
        <w:t> mg</w:t>
      </w:r>
      <w:r w:rsidRPr="004A478C">
        <w:rPr>
          <w:lang w:val="lt-LT"/>
        </w:rPr>
        <w:t xml:space="preserve"> </w:t>
      </w:r>
      <w:proofErr w:type="spellStart"/>
      <w:r w:rsidRPr="004A478C">
        <w:rPr>
          <w:lang w:val="lt-LT"/>
        </w:rPr>
        <w:t>febuksostato</w:t>
      </w:r>
      <w:proofErr w:type="spellEnd"/>
      <w:r w:rsidRPr="004A478C">
        <w:rPr>
          <w:lang w:val="lt-LT"/>
        </w:rPr>
        <w:t xml:space="preserve"> galima skirti </w:t>
      </w:r>
      <w:proofErr w:type="spellStart"/>
      <w:r w:rsidRPr="004A478C">
        <w:rPr>
          <w:lang w:val="lt-LT"/>
        </w:rPr>
        <w:t>teofilinu</w:t>
      </w:r>
      <w:proofErr w:type="spellEnd"/>
      <w:r w:rsidRPr="004A478C">
        <w:rPr>
          <w:lang w:val="lt-LT"/>
        </w:rPr>
        <w:t xml:space="preserve"> gydomiems pacientams be </w:t>
      </w:r>
      <w:proofErr w:type="spellStart"/>
      <w:r w:rsidRPr="004A478C">
        <w:rPr>
          <w:lang w:val="lt-LT"/>
        </w:rPr>
        <w:t>teofilino</w:t>
      </w:r>
      <w:proofErr w:type="spellEnd"/>
      <w:r w:rsidRPr="004A478C">
        <w:rPr>
          <w:lang w:val="lt-LT"/>
        </w:rPr>
        <w:t xml:space="preserve"> koncentracijos kraujo plazmoje padidėjimo pavojaus. Duomenų 120</w:t>
      </w:r>
      <w:r w:rsidR="00E87295" w:rsidRPr="004A478C">
        <w:rPr>
          <w:lang w:val="lt-LT"/>
        </w:rPr>
        <w:t> mg</w:t>
      </w:r>
      <w:r w:rsidRPr="004A478C">
        <w:rPr>
          <w:lang w:val="lt-LT"/>
        </w:rPr>
        <w:t xml:space="preserve"> </w:t>
      </w:r>
      <w:proofErr w:type="spellStart"/>
      <w:r w:rsidRPr="004A478C">
        <w:rPr>
          <w:lang w:val="lt-LT"/>
        </w:rPr>
        <w:t>febuksostato</w:t>
      </w:r>
      <w:proofErr w:type="spellEnd"/>
      <w:r w:rsidRPr="004A478C">
        <w:rPr>
          <w:lang w:val="lt-LT"/>
        </w:rPr>
        <w:t xml:space="preserve"> dozei nėra. </w:t>
      </w:r>
    </w:p>
    <w:p w14:paraId="75EA4F82" w14:textId="77777777" w:rsidR="00273470" w:rsidRPr="004A478C" w:rsidRDefault="00273470" w:rsidP="003B28E4">
      <w:pPr>
        <w:tabs>
          <w:tab w:val="left" w:pos="4680"/>
        </w:tabs>
        <w:spacing w:line="240" w:lineRule="auto"/>
        <w:rPr>
          <w:lang w:val="lt-LT"/>
        </w:rPr>
      </w:pPr>
      <w:r w:rsidRPr="004A478C">
        <w:rPr>
          <w:lang w:val="lt-LT"/>
        </w:rPr>
        <w:t xml:space="preserve"> </w:t>
      </w:r>
    </w:p>
    <w:p w14:paraId="38F92909" w14:textId="77777777" w:rsidR="00273470" w:rsidRPr="004A478C" w:rsidRDefault="00756245" w:rsidP="003B28E4">
      <w:pPr>
        <w:tabs>
          <w:tab w:val="left" w:pos="4680"/>
        </w:tabs>
        <w:spacing w:line="240" w:lineRule="auto"/>
        <w:ind w:left="-5"/>
        <w:rPr>
          <w:lang w:val="lt-LT"/>
        </w:rPr>
      </w:pPr>
      <w:r w:rsidRPr="004A478C">
        <w:rPr>
          <w:i/>
          <w:lang w:val="lt-LT"/>
        </w:rPr>
        <w:t>Sutrikusi k</w:t>
      </w:r>
      <w:r w:rsidR="00273470" w:rsidRPr="004A478C">
        <w:rPr>
          <w:i/>
          <w:lang w:val="lt-LT"/>
        </w:rPr>
        <w:t xml:space="preserve">epenų </w:t>
      </w:r>
      <w:r w:rsidRPr="004A478C">
        <w:rPr>
          <w:i/>
          <w:lang w:val="lt-LT"/>
        </w:rPr>
        <w:t>funkcija</w:t>
      </w:r>
      <w:r w:rsidR="006A77E0" w:rsidRPr="004A478C">
        <w:rPr>
          <w:i/>
          <w:lang w:val="lt-LT"/>
        </w:rPr>
        <w:t xml:space="preserve"> </w:t>
      </w:r>
    </w:p>
    <w:p w14:paraId="49A80D05" w14:textId="77777777" w:rsidR="00273470" w:rsidRPr="004A478C" w:rsidRDefault="00273470" w:rsidP="003B28E4">
      <w:pPr>
        <w:tabs>
          <w:tab w:val="left" w:pos="4680"/>
        </w:tabs>
        <w:spacing w:line="240" w:lineRule="auto"/>
        <w:ind w:left="2" w:right="397"/>
        <w:rPr>
          <w:lang w:val="lt-LT"/>
        </w:rPr>
      </w:pPr>
      <w:r w:rsidRPr="004A478C">
        <w:rPr>
          <w:lang w:val="lt-LT"/>
        </w:rPr>
        <w:t xml:space="preserve">Jungtinio trečiosios fazės klinikinio tyrimo metu </w:t>
      </w:r>
      <w:proofErr w:type="spellStart"/>
      <w:r w:rsidRPr="004A478C">
        <w:rPr>
          <w:lang w:val="lt-LT"/>
        </w:rPr>
        <w:t>febuksostatą</w:t>
      </w:r>
      <w:proofErr w:type="spellEnd"/>
      <w:r w:rsidRPr="004A478C">
        <w:rPr>
          <w:lang w:val="lt-LT"/>
        </w:rPr>
        <w:t xml:space="preserve"> vartojusiems pacientams nustatyta nedidelių kepenų funkcijos tyrimų pakitimų (5,0</w:t>
      </w:r>
      <w:r w:rsidR="006A77E0" w:rsidRPr="004A478C">
        <w:rPr>
          <w:lang w:val="lt-LT"/>
        </w:rPr>
        <w:t> </w:t>
      </w:r>
      <w:r w:rsidRPr="004A478C">
        <w:rPr>
          <w:lang w:val="lt-LT"/>
        </w:rPr>
        <w:t xml:space="preserve">%). Prieš pradedant gydymą </w:t>
      </w:r>
      <w:proofErr w:type="spellStart"/>
      <w:r w:rsidRPr="004A478C">
        <w:rPr>
          <w:lang w:val="lt-LT"/>
        </w:rPr>
        <w:t>febuksostatu</w:t>
      </w:r>
      <w:proofErr w:type="spellEnd"/>
      <w:r w:rsidRPr="004A478C">
        <w:rPr>
          <w:lang w:val="lt-LT"/>
        </w:rPr>
        <w:t xml:space="preserve">, rekomenduojama atlikti kepenų funkcijos tyrimą ir, atsižvelgiant į klinikines aplinkybes, periodiškai jį kartoti vėliau (žr. 5.1 skyrių).  </w:t>
      </w:r>
    </w:p>
    <w:p w14:paraId="4F084EFC" w14:textId="77777777" w:rsidR="00273470" w:rsidRPr="004A478C" w:rsidRDefault="00273470" w:rsidP="003B28E4">
      <w:pPr>
        <w:tabs>
          <w:tab w:val="left" w:pos="4680"/>
        </w:tabs>
        <w:spacing w:line="240" w:lineRule="auto"/>
        <w:rPr>
          <w:lang w:val="lt-LT"/>
        </w:rPr>
      </w:pPr>
    </w:p>
    <w:p w14:paraId="0CCAEF0B" w14:textId="77777777" w:rsidR="00273470" w:rsidRPr="004A478C" w:rsidRDefault="00756245" w:rsidP="003B28E4">
      <w:pPr>
        <w:tabs>
          <w:tab w:val="left" w:pos="4680"/>
        </w:tabs>
        <w:spacing w:line="240" w:lineRule="auto"/>
        <w:ind w:left="-5"/>
        <w:rPr>
          <w:lang w:val="lt-LT"/>
        </w:rPr>
      </w:pPr>
      <w:r w:rsidRPr="004A478C">
        <w:rPr>
          <w:i/>
          <w:lang w:val="lt-LT"/>
        </w:rPr>
        <w:t>Sutrikusi s</w:t>
      </w:r>
      <w:r w:rsidR="00273470" w:rsidRPr="004A478C">
        <w:rPr>
          <w:i/>
          <w:lang w:val="lt-LT"/>
        </w:rPr>
        <w:t xml:space="preserve">kydliaukės </w:t>
      </w:r>
      <w:r w:rsidRPr="004A478C">
        <w:rPr>
          <w:i/>
          <w:lang w:val="lt-LT"/>
        </w:rPr>
        <w:t>funkcija</w:t>
      </w:r>
    </w:p>
    <w:p w14:paraId="60413623" w14:textId="77777777" w:rsidR="00273470" w:rsidRPr="004A478C" w:rsidRDefault="00273470" w:rsidP="003B28E4">
      <w:pPr>
        <w:tabs>
          <w:tab w:val="left" w:pos="4680"/>
        </w:tabs>
        <w:spacing w:line="240" w:lineRule="auto"/>
        <w:ind w:left="2" w:right="397"/>
        <w:rPr>
          <w:lang w:val="lt-LT"/>
        </w:rPr>
      </w:pPr>
      <w:r w:rsidRPr="004A478C">
        <w:rPr>
          <w:lang w:val="lt-LT"/>
        </w:rPr>
        <w:t xml:space="preserve">Ilgalaikių atvirųjų tęstinių tyrimų metu nustatytas </w:t>
      </w:r>
      <w:r w:rsidR="006A77E0" w:rsidRPr="004A478C">
        <w:rPr>
          <w:lang w:val="lt-LT"/>
        </w:rPr>
        <w:t>T</w:t>
      </w:r>
      <w:r w:rsidRPr="004A478C">
        <w:rPr>
          <w:lang w:val="lt-LT"/>
        </w:rPr>
        <w:t xml:space="preserve">SH kiekio padidėjimas (&gt; 5,5 µIU/ml) pacientams, ilgą laiką vartojusiems </w:t>
      </w:r>
      <w:proofErr w:type="spellStart"/>
      <w:r w:rsidRPr="004A478C">
        <w:rPr>
          <w:lang w:val="lt-LT"/>
        </w:rPr>
        <w:t>febuksostato</w:t>
      </w:r>
      <w:proofErr w:type="spellEnd"/>
      <w:r w:rsidRPr="004A478C">
        <w:rPr>
          <w:lang w:val="lt-LT"/>
        </w:rPr>
        <w:t xml:space="preserve"> (5,5 %). Pacientams, kurių skydliaukės </w:t>
      </w:r>
      <w:r w:rsidR="006A77E0" w:rsidRPr="004A478C">
        <w:rPr>
          <w:lang w:val="lt-LT"/>
        </w:rPr>
        <w:t xml:space="preserve">funkcija </w:t>
      </w:r>
      <w:r w:rsidRPr="004A478C">
        <w:rPr>
          <w:lang w:val="lt-LT"/>
        </w:rPr>
        <w:t xml:space="preserve">sutrikusi, </w:t>
      </w:r>
      <w:proofErr w:type="spellStart"/>
      <w:r w:rsidRPr="004A478C">
        <w:rPr>
          <w:lang w:val="lt-LT"/>
        </w:rPr>
        <w:t>febuksostatą</w:t>
      </w:r>
      <w:proofErr w:type="spellEnd"/>
      <w:r w:rsidRPr="004A478C">
        <w:rPr>
          <w:lang w:val="lt-LT"/>
        </w:rPr>
        <w:t xml:space="preserve"> reikia skirti atsargiai (žr. 5.1 skyrių). </w:t>
      </w:r>
    </w:p>
    <w:p w14:paraId="40C6BEF2" w14:textId="77777777" w:rsidR="00273470" w:rsidRPr="004A478C" w:rsidRDefault="00273470" w:rsidP="003B28E4">
      <w:pPr>
        <w:tabs>
          <w:tab w:val="left" w:pos="4680"/>
        </w:tabs>
        <w:spacing w:line="240" w:lineRule="auto"/>
        <w:rPr>
          <w:lang w:val="lt-LT"/>
        </w:rPr>
      </w:pPr>
    </w:p>
    <w:p w14:paraId="239828C6" w14:textId="77777777" w:rsidR="00273470" w:rsidRPr="004A478C" w:rsidRDefault="00273470" w:rsidP="003B28E4">
      <w:pPr>
        <w:tabs>
          <w:tab w:val="left" w:pos="4680"/>
        </w:tabs>
        <w:spacing w:line="240" w:lineRule="auto"/>
        <w:ind w:left="-5"/>
        <w:rPr>
          <w:lang w:val="lt-LT"/>
        </w:rPr>
      </w:pPr>
      <w:r w:rsidRPr="004A478C">
        <w:rPr>
          <w:i/>
          <w:lang w:val="lt-LT"/>
        </w:rPr>
        <w:t xml:space="preserve">Laktozė </w:t>
      </w:r>
    </w:p>
    <w:p w14:paraId="1F610C1F" w14:textId="47DEAAF4" w:rsidR="00273470" w:rsidRPr="004B0C8F" w:rsidRDefault="00E332F2" w:rsidP="003B28E4">
      <w:pPr>
        <w:tabs>
          <w:tab w:val="left" w:pos="4680"/>
        </w:tabs>
        <w:spacing w:line="240" w:lineRule="auto"/>
        <w:ind w:left="2" w:right="397"/>
        <w:rPr>
          <w:lang w:val="lt-LT"/>
        </w:rPr>
      </w:pPr>
      <w:r w:rsidRPr="004A478C">
        <w:rPr>
          <w:lang w:val="lt-LT"/>
        </w:rPr>
        <w:t xml:space="preserve">Šio vaistinio preparato </w:t>
      </w:r>
      <w:r w:rsidR="006849FA" w:rsidRPr="004B0C8F">
        <w:rPr>
          <w:szCs w:val="24"/>
          <w:lang w:val="lt-LT"/>
        </w:rPr>
        <w:t xml:space="preserve">sudėtyje yra laktozės. Šio vaistinio preparato negalima vartoti pacientams, kuriems nustatytas retas paveldimas sutrikimas – </w:t>
      </w:r>
      <w:proofErr w:type="spellStart"/>
      <w:r w:rsidR="006849FA" w:rsidRPr="004B0C8F">
        <w:rPr>
          <w:szCs w:val="24"/>
          <w:lang w:val="lt-LT"/>
        </w:rPr>
        <w:t>galaktozės</w:t>
      </w:r>
      <w:proofErr w:type="spellEnd"/>
      <w:r w:rsidR="00782E2D" w:rsidRPr="004B0C8F">
        <w:rPr>
          <w:szCs w:val="24"/>
          <w:lang w:val="lt-LT"/>
        </w:rPr>
        <w:t xml:space="preserve"> </w:t>
      </w:r>
      <w:r w:rsidR="006849FA" w:rsidRPr="004B0C8F">
        <w:rPr>
          <w:szCs w:val="24"/>
          <w:lang w:val="lt-LT"/>
        </w:rPr>
        <w:t xml:space="preserve">netoleravimas, visiškas laktazės stygius arba gliukozės ir </w:t>
      </w:r>
      <w:proofErr w:type="spellStart"/>
      <w:r w:rsidR="006849FA" w:rsidRPr="004B0C8F">
        <w:rPr>
          <w:szCs w:val="24"/>
          <w:lang w:val="lt-LT"/>
        </w:rPr>
        <w:t>galaktozės</w:t>
      </w:r>
      <w:proofErr w:type="spellEnd"/>
      <w:r w:rsidR="00782E2D" w:rsidRPr="004B0C8F">
        <w:rPr>
          <w:szCs w:val="24"/>
          <w:lang w:val="lt-LT"/>
        </w:rPr>
        <w:t xml:space="preserve"> </w:t>
      </w:r>
      <w:proofErr w:type="spellStart"/>
      <w:r w:rsidR="006849FA" w:rsidRPr="004B0C8F">
        <w:rPr>
          <w:szCs w:val="24"/>
          <w:lang w:val="lt-LT"/>
        </w:rPr>
        <w:t>malabsorbcija</w:t>
      </w:r>
      <w:proofErr w:type="spellEnd"/>
      <w:r w:rsidR="006849FA" w:rsidRPr="004B0C8F">
        <w:rPr>
          <w:szCs w:val="24"/>
          <w:lang w:val="lt-LT"/>
        </w:rPr>
        <w:t>.</w:t>
      </w:r>
    </w:p>
    <w:p w14:paraId="691AD315" w14:textId="77777777" w:rsidR="00273470" w:rsidRPr="004B0C8F" w:rsidRDefault="00273470" w:rsidP="003B28E4">
      <w:pPr>
        <w:tabs>
          <w:tab w:val="left" w:pos="4680"/>
        </w:tabs>
        <w:spacing w:line="240" w:lineRule="auto"/>
        <w:rPr>
          <w:lang w:val="lt-LT"/>
        </w:rPr>
      </w:pPr>
      <w:r w:rsidRPr="004B0C8F">
        <w:rPr>
          <w:lang w:val="lt-LT"/>
        </w:rPr>
        <w:t xml:space="preserve"> </w:t>
      </w:r>
    </w:p>
    <w:p w14:paraId="4520B3F4" w14:textId="77777777" w:rsidR="00273470" w:rsidRPr="004B0C8F" w:rsidRDefault="00273470" w:rsidP="003B28E4">
      <w:pPr>
        <w:shd w:val="clear" w:color="auto" w:fill="FFFFFF"/>
        <w:tabs>
          <w:tab w:val="left" w:pos="916"/>
          <w:tab w:val="left" w:pos="1832"/>
          <w:tab w:val="left" w:pos="2748"/>
          <w:tab w:val="left" w:pos="3664"/>
          <w:tab w:val="left" w:pos="4580"/>
          <w:tab w:val="left" w:pos="46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color w:val="212121"/>
          <w:szCs w:val="22"/>
          <w:lang w:val="lt-LT"/>
        </w:rPr>
      </w:pPr>
      <w:r w:rsidRPr="004B0C8F">
        <w:rPr>
          <w:i/>
          <w:color w:val="212121"/>
          <w:szCs w:val="22"/>
          <w:lang w:val="lt-LT"/>
        </w:rPr>
        <w:t>Natri</w:t>
      </w:r>
      <w:r w:rsidR="00BE4EE6" w:rsidRPr="004B0C8F">
        <w:rPr>
          <w:i/>
          <w:color w:val="212121"/>
          <w:szCs w:val="22"/>
          <w:lang w:val="lt-LT"/>
        </w:rPr>
        <w:t>s</w:t>
      </w:r>
    </w:p>
    <w:p w14:paraId="12A483FD" w14:textId="77777777" w:rsidR="00273470" w:rsidRPr="004B0C8F" w:rsidRDefault="00273470" w:rsidP="003B28E4">
      <w:pPr>
        <w:shd w:val="clear" w:color="auto" w:fill="FFFFFF"/>
        <w:tabs>
          <w:tab w:val="left" w:pos="916"/>
          <w:tab w:val="left" w:pos="1832"/>
          <w:tab w:val="left" w:pos="2748"/>
          <w:tab w:val="left" w:pos="3664"/>
          <w:tab w:val="left" w:pos="4580"/>
          <w:tab w:val="left" w:pos="46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12121"/>
          <w:lang w:val="lt-LT"/>
        </w:rPr>
      </w:pPr>
      <w:r w:rsidRPr="004B0C8F">
        <w:rPr>
          <w:color w:val="212121"/>
          <w:szCs w:val="22"/>
          <w:lang w:val="lt-LT"/>
        </w:rPr>
        <w:t>Šio vaist</w:t>
      </w:r>
      <w:r w:rsidR="00794EC9" w:rsidRPr="004B0C8F">
        <w:rPr>
          <w:color w:val="212121"/>
          <w:szCs w:val="22"/>
          <w:lang w:val="lt-LT"/>
        </w:rPr>
        <w:t>ini</w:t>
      </w:r>
      <w:r w:rsidRPr="004B0C8F">
        <w:rPr>
          <w:color w:val="212121"/>
          <w:szCs w:val="22"/>
          <w:lang w:val="lt-LT"/>
        </w:rPr>
        <w:t>o</w:t>
      </w:r>
      <w:r w:rsidR="00794EC9" w:rsidRPr="004B0C8F">
        <w:rPr>
          <w:color w:val="212121"/>
          <w:szCs w:val="22"/>
          <w:lang w:val="lt-LT"/>
        </w:rPr>
        <w:t xml:space="preserve"> preparato</w:t>
      </w:r>
      <w:r w:rsidRPr="004B0C8F">
        <w:rPr>
          <w:color w:val="212121"/>
          <w:szCs w:val="22"/>
          <w:lang w:val="lt-LT"/>
        </w:rPr>
        <w:t xml:space="preserve"> </w:t>
      </w:r>
      <w:r w:rsidR="002855D9" w:rsidRPr="004B0C8F">
        <w:rPr>
          <w:color w:val="212121"/>
          <w:szCs w:val="22"/>
          <w:lang w:val="lt-LT"/>
        </w:rPr>
        <w:t xml:space="preserve">vienoje tabletėje </w:t>
      </w:r>
      <w:r w:rsidRPr="004B0C8F">
        <w:rPr>
          <w:color w:val="212121"/>
          <w:szCs w:val="22"/>
          <w:lang w:val="lt-LT"/>
        </w:rPr>
        <w:t xml:space="preserve">yra mažiau kaip 1 </w:t>
      </w:r>
      <w:proofErr w:type="spellStart"/>
      <w:r w:rsidRPr="004B0C8F">
        <w:rPr>
          <w:color w:val="212121"/>
          <w:szCs w:val="22"/>
          <w:lang w:val="lt-LT"/>
        </w:rPr>
        <w:t>mmol</w:t>
      </w:r>
      <w:proofErr w:type="spellEnd"/>
      <w:r w:rsidRPr="004B0C8F">
        <w:rPr>
          <w:color w:val="212121"/>
          <w:szCs w:val="22"/>
          <w:lang w:val="lt-LT"/>
        </w:rPr>
        <w:t xml:space="preserve"> </w:t>
      </w:r>
      <w:r w:rsidR="002855D9" w:rsidRPr="004B0C8F">
        <w:rPr>
          <w:color w:val="212121"/>
          <w:szCs w:val="22"/>
          <w:lang w:val="lt-LT"/>
        </w:rPr>
        <w:t>(23</w:t>
      </w:r>
      <w:r w:rsidR="00E87295" w:rsidRPr="004B0C8F">
        <w:rPr>
          <w:color w:val="212121"/>
          <w:szCs w:val="22"/>
          <w:lang w:val="lt-LT"/>
        </w:rPr>
        <w:t> mg</w:t>
      </w:r>
      <w:r w:rsidR="002855D9" w:rsidRPr="004B0C8F">
        <w:rPr>
          <w:color w:val="212121"/>
          <w:szCs w:val="22"/>
          <w:lang w:val="lt-LT"/>
        </w:rPr>
        <w:t xml:space="preserve">) </w:t>
      </w:r>
      <w:r w:rsidRPr="004B0C8F">
        <w:rPr>
          <w:color w:val="212121"/>
          <w:szCs w:val="22"/>
          <w:lang w:val="lt-LT"/>
        </w:rPr>
        <w:t xml:space="preserve">natrio, </w:t>
      </w:r>
      <w:proofErr w:type="spellStart"/>
      <w:r w:rsidRPr="004B0C8F">
        <w:rPr>
          <w:color w:val="212121"/>
          <w:szCs w:val="22"/>
          <w:lang w:val="lt-LT"/>
        </w:rPr>
        <w:t>t</w:t>
      </w:r>
      <w:r w:rsidR="002855D9" w:rsidRPr="004B0C8F">
        <w:rPr>
          <w:color w:val="212121"/>
          <w:szCs w:val="22"/>
          <w:lang w:val="lt-LT"/>
        </w:rPr>
        <w:t>.</w:t>
      </w:r>
      <w:r w:rsidRPr="004B0C8F">
        <w:rPr>
          <w:color w:val="212121"/>
          <w:szCs w:val="22"/>
          <w:lang w:val="lt-LT"/>
        </w:rPr>
        <w:t>y</w:t>
      </w:r>
      <w:proofErr w:type="spellEnd"/>
      <w:r w:rsidR="002855D9" w:rsidRPr="004B0C8F">
        <w:rPr>
          <w:color w:val="212121"/>
          <w:szCs w:val="22"/>
          <w:lang w:val="lt-LT"/>
        </w:rPr>
        <w:t>.</w:t>
      </w:r>
      <w:r w:rsidRPr="004B0C8F">
        <w:rPr>
          <w:color w:val="212121"/>
          <w:szCs w:val="22"/>
          <w:lang w:val="lt-LT"/>
        </w:rPr>
        <w:t xml:space="preserve"> </w:t>
      </w:r>
      <w:r w:rsidR="002855D9" w:rsidRPr="004B0C8F">
        <w:rPr>
          <w:color w:val="212121"/>
          <w:szCs w:val="22"/>
          <w:lang w:val="lt-LT"/>
        </w:rPr>
        <w:t>jis beveik neturi reikšmės</w:t>
      </w:r>
      <w:r w:rsidRPr="004B0C8F">
        <w:rPr>
          <w:color w:val="212121"/>
          <w:szCs w:val="22"/>
          <w:lang w:val="lt-LT"/>
        </w:rPr>
        <w:t>.</w:t>
      </w:r>
    </w:p>
    <w:p w14:paraId="4C684D69" w14:textId="77777777" w:rsidR="00273470" w:rsidRPr="004B0C8F" w:rsidRDefault="00273470" w:rsidP="003B28E4">
      <w:pPr>
        <w:tabs>
          <w:tab w:val="left" w:pos="4680"/>
        </w:tabs>
        <w:spacing w:line="240" w:lineRule="auto"/>
        <w:rPr>
          <w:lang w:val="lt-LT"/>
        </w:rPr>
      </w:pPr>
    </w:p>
    <w:p w14:paraId="586EA071" w14:textId="77777777" w:rsidR="00273470" w:rsidRPr="004B0C8F" w:rsidRDefault="00273470" w:rsidP="004A478C">
      <w:pPr>
        <w:pStyle w:val="Antrat3"/>
        <w:keepLines w:val="0"/>
        <w:tabs>
          <w:tab w:val="center" w:pos="3036"/>
          <w:tab w:val="left" w:pos="4680"/>
        </w:tabs>
        <w:spacing w:before="0" w:after="0" w:line="240" w:lineRule="auto"/>
        <w:ind w:left="-15"/>
        <w:rPr>
          <w:rFonts w:ascii="Times New Roman" w:hAnsi="Times New Roman"/>
          <w:sz w:val="22"/>
          <w:lang w:val="lt-LT"/>
        </w:rPr>
      </w:pPr>
      <w:r w:rsidRPr="004B0C8F">
        <w:rPr>
          <w:rFonts w:ascii="Times New Roman" w:hAnsi="Times New Roman"/>
          <w:sz w:val="22"/>
          <w:lang w:val="lt-LT"/>
        </w:rPr>
        <w:lastRenderedPageBreak/>
        <w:t xml:space="preserve">4.5 </w:t>
      </w:r>
      <w:r w:rsidRPr="004B0C8F">
        <w:rPr>
          <w:rFonts w:ascii="Times New Roman" w:hAnsi="Times New Roman"/>
          <w:sz w:val="22"/>
          <w:lang w:val="lt-LT"/>
        </w:rPr>
        <w:tab/>
        <w:t xml:space="preserve">Sąveika su kitais vaistiniais preparatais ir kitokia sąveika </w:t>
      </w:r>
    </w:p>
    <w:p w14:paraId="270DED16" w14:textId="77777777" w:rsidR="00273470" w:rsidRPr="004B0C8F" w:rsidRDefault="00273470" w:rsidP="004A478C">
      <w:pPr>
        <w:keepNext/>
        <w:tabs>
          <w:tab w:val="left" w:pos="4680"/>
        </w:tabs>
        <w:spacing w:line="240" w:lineRule="auto"/>
        <w:rPr>
          <w:lang w:val="lt-LT"/>
        </w:rPr>
      </w:pPr>
      <w:r w:rsidRPr="004B0C8F">
        <w:rPr>
          <w:lang w:val="lt-LT"/>
        </w:rPr>
        <w:t xml:space="preserve"> </w:t>
      </w:r>
    </w:p>
    <w:p w14:paraId="5C4D3D42" w14:textId="0A562528" w:rsidR="00273470" w:rsidRPr="004B0C8F" w:rsidRDefault="00273470" w:rsidP="004A478C">
      <w:pPr>
        <w:keepNext/>
        <w:tabs>
          <w:tab w:val="left" w:pos="4680"/>
        </w:tabs>
        <w:spacing w:line="240" w:lineRule="auto"/>
        <w:ind w:left="-5"/>
        <w:rPr>
          <w:lang w:val="lt-LT"/>
        </w:rPr>
      </w:pPr>
      <w:proofErr w:type="spellStart"/>
      <w:r w:rsidRPr="004B0C8F">
        <w:rPr>
          <w:i/>
          <w:lang w:val="lt-LT"/>
        </w:rPr>
        <w:t>Merkaptopurinas</w:t>
      </w:r>
      <w:proofErr w:type="spellEnd"/>
      <w:r w:rsidR="001F30AC" w:rsidRPr="004B0C8F">
        <w:rPr>
          <w:i/>
          <w:lang w:val="lt-LT"/>
        </w:rPr>
        <w:t> </w:t>
      </w:r>
      <w:r w:rsidR="00E332F2" w:rsidRPr="004B0C8F">
        <w:rPr>
          <w:i/>
          <w:lang w:val="lt-LT"/>
        </w:rPr>
        <w:t xml:space="preserve">/ </w:t>
      </w:r>
      <w:proofErr w:type="spellStart"/>
      <w:r w:rsidRPr="004B0C8F">
        <w:rPr>
          <w:i/>
          <w:lang w:val="lt-LT"/>
        </w:rPr>
        <w:t>azatioprinas</w:t>
      </w:r>
      <w:proofErr w:type="spellEnd"/>
      <w:r w:rsidRPr="004B0C8F">
        <w:rPr>
          <w:i/>
          <w:lang w:val="lt-LT"/>
        </w:rPr>
        <w:t xml:space="preserve"> </w:t>
      </w:r>
    </w:p>
    <w:p w14:paraId="54027368" w14:textId="37AE04E1" w:rsidR="00273470" w:rsidRPr="004B0C8F" w:rsidRDefault="00273470" w:rsidP="00CE3C92">
      <w:pPr>
        <w:tabs>
          <w:tab w:val="left" w:pos="4680"/>
        </w:tabs>
        <w:spacing w:line="240" w:lineRule="auto"/>
        <w:ind w:left="2" w:right="397"/>
        <w:rPr>
          <w:lang w:val="lt-LT"/>
        </w:rPr>
      </w:pPr>
      <w:r w:rsidRPr="004B0C8F">
        <w:rPr>
          <w:lang w:val="lt-LT"/>
        </w:rPr>
        <w:t xml:space="preserve">Atsižvelgiant į </w:t>
      </w:r>
      <w:proofErr w:type="spellStart"/>
      <w:r w:rsidRPr="004B0C8F">
        <w:rPr>
          <w:lang w:val="lt-LT"/>
        </w:rPr>
        <w:t>febuksostato</w:t>
      </w:r>
      <w:proofErr w:type="spellEnd"/>
      <w:r w:rsidRPr="004B0C8F">
        <w:rPr>
          <w:lang w:val="lt-LT"/>
        </w:rPr>
        <w:t xml:space="preserve"> slopinamąjį poveikį </w:t>
      </w:r>
      <w:proofErr w:type="spellStart"/>
      <w:r w:rsidR="00E87295" w:rsidRPr="004B0C8F">
        <w:rPr>
          <w:lang w:val="lt-LT"/>
        </w:rPr>
        <w:t>ksantinoksidazei</w:t>
      </w:r>
      <w:proofErr w:type="spellEnd"/>
      <w:r w:rsidR="00E87295" w:rsidRPr="004B0C8F">
        <w:rPr>
          <w:lang w:val="lt-LT"/>
        </w:rPr>
        <w:t xml:space="preserve"> (</w:t>
      </w:r>
      <w:r w:rsidRPr="004B0C8F">
        <w:rPr>
          <w:lang w:val="lt-LT"/>
        </w:rPr>
        <w:t>KO</w:t>
      </w:r>
      <w:r w:rsidR="00E87295" w:rsidRPr="004B0C8F">
        <w:rPr>
          <w:lang w:val="lt-LT"/>
        </w:rPr>
        <w:t>)</w:t>
      </w:r>
      <w:r w:rsidRPr="004B0C8F">
        <w:rPr>
          <w:lang w:val="lt-LT"/>
        </w:rPr>
        <w:t>, šių vaist</w:t>
      </w:r>
      <w:r w:rsidR="00E87295" w:rsidRPr="004B0C8F">
        <w:rPr>
          <w:lang w:val="lt-LT"/>
        </w:rPr>
        <w:t>ini</w:t>
      </w:r>
      <w:r w:rsidRPr="004B0C8F">
        <w:rPr>
          <w:lang w:val="lt-LT"/>
        </w:rPr>
        <w:t>ų</w:t>
      </w:r>
      <w:r w:rsidR="00E87295" w:rsidRPr="004B0C8F">
        <w:rPr>
          <w:lang w:val="lt-LT"/>
        </w:rPr>
        <w:t xml:space="preserve"> preparatų</w:t>
      </w:r>
      <w:r w:rsidRPr="004B0C8F">
        <w:rPr>
          <w:lang w:val="lt-LT"/>
        </w:rPr>
        <w:t xml:space="preserve"> vartoti kartu nerekomenduojama. Dėl KO slopinimo </w:t>
      </w:r>
      <w:proofErr w:type="spellStart"/>
      <w:r w:rsidRPr="004B0C8F">
        <w:rPr>
          <w:lang w:val="lt-LT"/>
        </w:rPr>
        <w:t>febuksostatas</w:t>
      </w:r>
      <w:proofErr w:type="spellEnd"/>
      <w:r w:rsidRPr="004B0C8F">
        <w:rPr>
          <w:lang w:val="lt-LT"/>
        </w:rPr>
        <w:t xml:space="preserve"> gali didinti minėtų vaistų koncentraciją plazmoje, kartu didindamas jų </w:t>
      </w:r>
      <w:proofErr w:type="spellStart"/>
      <w:r w:rsidR="00CE3C92" w:rsidRPr="004B0C8F">
        <w:rPr>
          <w:lang w:val="lt-LT"/>
        </w:rPr>
        <w:t>mielo</w:t>
      </w:r>
      <w:r w:rsidRPr="004B0C8F">
        <w:rPr>
          <w:lang w:val="lt-LT"/>
        </w:rPr>
        <w:t>toksiškumą</w:t>
      </w:r>
      <w:proofErr w:type="spellEnd"/>
      <w:r w:rsidRPr="004B0C8F">
        <w:rPr>
          <w:lang w:val="lt-LT"/>
        </w:rPr>
        <w:t xml:space="preserve">. </w:t>
      </w:r>
    </w:p>
    <w:p w14:paraId="129689F0" w14:textId="29FE0F18" w:rsidR="00A470A2" w:rsidRPr="004B0C8F" w:rsidRDefault="00A470A2" w:rsidP="00A470A2">
      <w:pPr>
        <w:tabs>
          <w:tab w:val="left" w:pos="4680"/>
        </w:tabs>
        <w:spacing w:line="240" w:lineRule="auto"/>
        <w:ind w:left="2" w:right="397"/>
        <w:rPr>
          <w:lang w:val="lt-LT"/>
        </w:rPr>
      </w:pPr>
      <w:r w:rsidRPr="004B0C8F">
        <w:rPr>
          <w:lang w:val="lt-LT"/>
        </w:rPr>
        <w:t xml:space="preserve">Jei kartu vartojama </w:t>
      </w:r>
      <w:proofErr w:type="spellStart"/>
      <w:r w:rsidRPr="004B0C8F">
        <w:rPr>
          <w:lang w:val="lt-LT"/>
        </w:rPr>
        <w:t>febuksostato</w:t>
      </w:r>
      <w:proofErr w:type="spellEnd"/>
      <w:r w:rsidRPr="004B0C8F">
        <w:rPr>
          <w:lang w:val="lt-LT"/>
        </w:rPr>
        <w:t xml:space="preserve">, </w:t>
      </w:r>
      <w:proofErr w:type="spellStart"/>
      <w:r w:rsidRPr="004B0C8F">
        <w:rPr>
          <w:lang w:val="lt-LT"/>
        </w:rPr>
        <w:t>merkaptopurino</w:t>
      </w:r>
      <w:proofErr w:type="spellEnd"/>
      <w:r w:rsidRPr="004B0C8F">
        <w:rPr>
          <w:lang w:val="lt-LT"/>
        </w:rPr>
        <w:t>/</w:t>
      </w:r>
      <w:proofErr w:type="spellStart"/>
      <w:r w:rsidRPr="004B0C8F">
        <w:rPr>
          <w:lang w:val="lt-LT"/>
        </w:rPr>
        <w:t>azatioprino</w:t>
      </w:r>
      <w:proofErr w:type="spellEnd"/>
      <w:r w:rsidRPr="004B0C8F">
        <w:rPr>
          <w:lang w:val="lt-LT"/>
        </w:rPr>
        <w:t xml:space="preserve"> dozę reikia sumažinti iki 20 % ar mažesnės, palyginti su anksčiau paskirta doz</w:t>
      </w:r>
      <w:r w:rsidR="006820DC" w:rsidRPr="004B0C8F">
        <w:rPr>
          <w:lang w:val="lt-LT"/>
        </w:rPr>
        <w:t>e</w:t>
      </w:r>
      <w:r w:rsidRPr="004B0C8F">
        <w:rPr>
          <w:lang w:val="lt-LT"/>
        </w:rPr>
        <w:t xml:space="preserve"> (žr. 4.4 ir 5.3 skyrius).</w:t>
      </w:r>
    </w:p>
    <w:p w14:paraId="581B85C2" w14:textId="4B373D19" w:rsidR="00CE3C92" w:rsidRPr="004B0C8F" w:rsidRDefault="00A470A2">
      <w:pPr>
        <w:tabs>
          <w:tab w:val="left" w:pos="4680"/>
        </w:tabs>
        <w:spacing w:line="240" w:lineRule="auto"/>
        <w:ind w:left="2" w:right="397"/>
        <w:rPr>
          <w:lang w:val="lt-LT"/>
        </w:rPr>
      </w:pPr>
      <w:r w:rsidRPr="004B0C8F">
        <w:rPr>
          <w:lang w:val="lt-LT"/>
        </w:rPr>
        <w:t xml:space="preserve">Siūlomo dozės koregavimo, kuris buvo pagrįstas </w:t>
      </w:r>
      <w:proofErr w:type="spellStart"/>
      <w:r w:rsidRPr="004B0C8F">
        <w:rPr>
          <w:lang w:val="lt-LT"/>
        </w:rPr>
        <w:t>ikiklinikinių</w:t>
      </w:r>
      <w:proofErr w:type="spellEnd"/>
      <w:r w:rsidRPr="004B0C8F">
        <w:rPr>
          <w:lang w:val="lt-LT"/>
        </w:rPr>
        <w:t xml:space="preserve"> modeliavimo </w:t>
      </w:r>
      <w:proofErr w:type="spellStart"/>
      <w:r w:rsidRPr="004B0C8F">
        <w:rPr>
          <w:lang w:val="lt-LT"/>
        </w:rPr>
        <w:t>tyrimimų</w:t>
      </w:r>
      <w:proofErr w:type="spellEnd"/>
      <w:r w:rsidRPr="004B0C8F">
        <w:rPr>
          <w:lang w:val="lt-LT"/>
        </w:rPr>
        <w:t xml:space="preserve"> su žiurkėmis duomenų analize, adekvatumas buvo patvirtintas klinikinio vaistinių preparatų sąveikos tyrimo su sveikais savanoriais, vartojusiais vien 100 mg </w:t>
      </w:r>
      <w:proofErr w:type="spellStart"/>
      <w:r w:rsidRPr="004B0C8F">
        <w:rPr>
          <w:lang w:val="lt-LT"/>
        </w:rPr>
        <w:t>azatioprino</w:t>
      </w:r>
      <w:proofErr w:type="spellEnd"/>
      <w:r w:rsidRPr="004B0C8F">
        <w:rPr>
          <w:lang w:val="lt-LT"/>
        </w:rPr>
        <w:t xml:space="preserve"> dozę ir sumažintą </w:t>
      </w:r>
      <w:proofErr w:type="spellStart"/>
      <w:r w:rsidRPr="004B0C8F">
        <w:rPr>
          <w:lang w:val="lt-LT"/>
        </w:rPr>
        <w:t>azatioprino</w:t>
      </w:r>
      <w:proofErr w:type="spellEnd"/>
      <w:r w:rsidRPr="004B0C8F">
        <w:rPr>
          <w:lang w:val="lt-LT"/>
        </w:rPr>
        <w:t xml:space="preserve"> (25 mg) dozę kartu su </w:t>
      </w:r>
      <w:proofErr w:type="spellStart"/>
      <w:r w:rsidRPr="004B0C8F">
        <w:rPr>
          <w:lang w:val="lt-LT"/>
        </w:rPr>
        <w:t>febuksostatu</w:t>
      </w:r>
      <w:proofErr w:type="spellEnd"/>
      <w:r w:rsidRPr="004B0C8F">
        <w:rPr>
          <w:lang w:val="lt-LT"/>
        </w:rPr>
        <w:t xml:space="preserve"> (40 arba 120 mg).</w:t>
      </w:r>
    </w:p>
    <w:p w14:paraId="7D124980" w14:textId="6A8A0CE9" w:rsidR="00273470" w:rsidRPr="004B0C8F" w:rsidRDefault="00273470" w:rsidP="003B28E4">
      <w:pPr>
        <w:tabs>
          <w:tab w:val="left" w:pos="4680"/>
        </w:tabs>
        <w:spacing w:line="240" w:lineRule="auto"/>
        <w:ind w:left="2" w:right="397"/>
        <w:rPr>
          <w:lang w:val="lt-LT"/>
        </w:rPr>
      </w:pPr>
      <w:proofErr w:type="spellStart"/>
      <w:r w:rsidRPr="004B0C8F">
        <w:rPr>
          <w:lang w:val="lt-LT"/>
        </w:rPr>
        <w:t>Febuksostato</w:t>
      </w:r>
      <w:proofErr w:type="spellEnd"/>
      <w:r w:rsidRPr="004B0C8F">
        <w:rPr>
          <w:lang w:val="lt-LT"/>
        </w:rPr>
        <w:t xml:space="preserve"> sąveikos su kitais </w:t>
      </w:r>
      <w:proofErr w:type="spellStart"/>
      <w:r w:rsidRPr="004B0C8F">
        <w:rPr>
          <w:lang w:val="lt-LT"/>
        </w:rPr>
        <w:t>citotoksinės</w:t>
      </w:r>
      <w:proofErr w:type="spellEnd"/>
      <w:r w:rsidRPr="004B0C8F">
        <w:rPr>
          <w:lang w:val="lt-LT"/>
        </w:rPr>
        <w:t xml:space="preserve"> chemoterapijos preparatais tyrimų neatlikta. Nėra duomenų apie </w:t>
      </w:r>
      <w:proofErr w:type="spellStart"/>
      <w:r w:rsidRPr="004B0C8F">
        <w:rPr>
          <w:lang w:val="lt-LT"/>
        </w:rPr>
        <w:t>febuksostato</w:t>
      </w:r>
      <w:proofErr w:type="spellEnd"/>
      <w:r w:rsidRPr="004B0C8F">
        <w:rPr>
          <w:lang w:val="lt-LT"/>
        </w:rPr>
        <w:t xml:space="preserve"> saugumą </w:t>
      </w:r>
      <w:r w:rsidR="00E332F2" w:rsidRPr="004B0C8F">
        <w:rPr>
          <w:lang w:val="lt-LT"/>
        </w:rPr>
        <w:t xml:space="preserve">kitokio </w:t>
      </w:r>
      <w:proofErr w:type="spellStart"/>
      <w:r w:rsidRPr="004B0C8F">
        <w:rPr>
          <w:lang w:val="lt-LT"/>
        </w:rPr>
        <w:t>citotoksinio</w:t>
      </w:r>
      <w:proofErr w:type="spellEnd"/>
      <w:r w:rsidRPr="004B0C8F">
        <w:rPr>
          <w:lang w:val="lt-LT"/>
        </w:rPr>
        <w:t xml:space="preserve"> gydymo metu. </w:t>
      </w:r>
    </w:p>
    <w:p w14:paraId="419AA2D8" w14:textId="77777777" w:rsidR="00273470" w:rsidRPr="004B0C8F" w:rsidRDefault="00273470" w:rsidP="003B28E4">
      <w:pPr>
        <w:tabs>
          <w:tab w:val="left" w:pos="4680"/>
        </w:tabs>
        <w:spacing w:line="240" w:lineRule="auto"/>
        <w:rPr>
          <w:lang w:val="lt-LT"/>
        </w:rPr>
      </w:pPr>
      <w:r w:rsidRPr="004B0C8F">
        <w:rPr>
          <w:lang w:val="lt-LT"/>
        </w:rPr>
        <w:t xml:space="preserve"> </w:t>
      </w:r>
    </w:p>
    <w:p w14:paraId="64660F4F" w14:textId="0077FDF4" w:rsidR="00273470" w:rsidRPr="004B0C8F" w:rsidRDefault="00273470" w:rsidP="003B28E4">
      <w:pPr>
        <w:tabs>
          <w:tab w:val="left" w:pos="4680"/>
        </w:tabs>
        <w:spacing w:line="240" w:lineRule="auto"/>
        <w:ind w:left="-5"/>
        <w:rPr>
          <w:lang w:val="lt-LT"/>
        </w:rPr>
      </w:pPr>
      <w:proofErr w:type="spellStart"/>
      <w:r w:rsidRPr="004B0C8F">
        <w:rPr>
          <w:i/>
          <w:lang w:val="lt-LT"/>
        </w:rPr>
        <w:t>Roziglitazonas</w:t>
      </w:r>
      <w:proofErr w:type="spellEnd"/>
      <w:r w:rsidR="00E332F2" w:rsidRPr="004B0C8F">
        <w:rPr>
          <w:i/>
          <w:lang w:val="lt-LT"/>
        </w:rPr>
        <w:t xml:space="preserve">/ </w:t>
      </w:r>
      <w:r w:rsidRPr="004B0C8F">
        <w:rPr>
          <w:i/>
          <w:lang w:val="lt-LT"/>
        </w:rPr>
        <w:t xml:space="preserve">CYP2C8 substratai </w:t>
      </w:r>
    </w:p>
    <w:p w14:paraId="3A66378B" w14:textId="77777777" w:rsidR="00273470" w:rsidRPr="004B0C8F" w:rsidRDefault="00273470" w:rsidP="003B28E4">
      <w:pPr>
        <w:tabs>
          <w:tab w:val="left" w:pos="4680"/>
        </w:tabs>
        <w:spacing w:line="240" w:lineRule="auto"/>
        <w:ind w:left="2" w:right="397"/>
        <w:rPr>
          <w:lang w:val="lt-LT"/>
        </w:rPr>
      </w:pPr>
      <w:r w:rsidRPr="004B0C8F">
        <w:rPr>
          <w:lang w:val="lt-LT"/>
        </w:rPr>
        <w:t xml:space="preserve">Tyrimuose </w:t>
      </w:r>
      <w:proofErr w:type="spellStart"/>
      <w:r w:rsidRPr="004B0C8F">
        <w:rPr>
          <w:i/>
          <w:lang w:val="lt-LT"/>
        </w:rPr>
        <w:t>in</w:t>
      </w:r>
      <w:proofErr w:type="spellEnd"/>
      <w:r w:rsidRPr="004B0C8F">
        <w:rPr>
          <w:i/>
          <w:lang w:val="lt-LT"/>
        </w:rPr>
        <w:t xml:space="preserve"> </w:t>
      </w:r>
      <w:proofErr w:type="spellStart"/>
      <w:r w:rsidRPr="004B0C8F">
        <w:rPr>
          <w:i/>
          <w:lang w:val="lt-LT"/>
        </w:rPr>
        <w:t>vitro</w:t>
      </w:r>
      <w:proofErr w:type="spellEnd"/>
      <w:r w:rsidRPr="004B0C8F">
        <w:rPr>
          <w:lang w:val="lt-LT"/>
        </w:rPr>
        <w:t xml:space="preserve"> nustatyta, kad </w:t>
      </w:r>
      <w:proofErr w:type="spellStart"/>
      <w:r w:rsidRPr="004B0C8F">
        <w:rPr>
          <w:lang w:val="lt-LT"/>
        </w:rPr>
        <w:t>febuksostatas</w:t>
      </w:r>
      <w:proofErr w:type="spellEnd"/>
      <w:r w:rsidRPr="004B0C8F">
        <w:rPr>
          <w:lang w:val="lt-LT"/>
        </w:rPr>
        <w:t xml:space="preserve"> yra silpnas CYP2C8 inhibitorius. Tiriant sveikus savanorius, kuriems buvo skiriama 120</w:t>
      </w:r>
      <w:r w:rsidR="00E87295" w:rsidRPr="004B0C8F">
        <w:rPr>
          <w:lang w:val="lt-LT"/>
        </w:rPr>
        <w:t> mg</w:t>
      </w:r>
      <w:r w:rsidRPr="004B0C8F">
        <w:rPr>
          <w:lang w:val="lt-LT"/>
        </w:rPr>
        <w:t xml:space="preserve"> </w:t>
      </w:r>
      <w:proofErr w:type="spellStart"/>
      <w:r w:rsidRPr="004B0C8F">
        <w:rPr>
          <w:lang w:val="lt-LT"/>
        </w:rPr>
        <w:t>febuksostato</w:t>
      </w:r>
      <w:proofErr w:type="spellEnd"/>
      <w:r w:rsidRPr="004B0C8F">
        <w:rPr>
          <w:lang w:val="lt-LT"/>
        </w:rPr>
        <w:t xml:space="preserve"> kartą per parą ir 4</w:t>
      </w:r>
      <w:r w:rsidR="00E87295" w:rsidRPr="004B0C8F">
        <w:rPr>
          <w:lang w:val="lt-LT"/>
        </w:rPr>
        <w:t> mg</w:t>
      </w:r>
      <w:r w:rsidRPr="004B0C8F">
        <w:rPr>
          <w:lang w:val="lt-LT"/>
        </w:rPr>
        <w:t xml:space="preserve"> vienkartinė </w:t>
      </w:r>
      <w:proofErr w:type="spellStart"/>
      <w:r w:rsidRPr="004B0C8F">
        <w:rPr>
          <w:lang w:val="lt-LT"/>
        </w:rPr>
        <w:t>roziglitazono</w:t>
      </w:r>
      <w:proofErr w:type="spellEnd"/>
      <w:r w:rsidRPr="004B0C8F">
        <w:rPr>
          <w:lang w:val="lt-LT"/>
        </w:rPr>
        <w:t xml:space="preserve"> dozė, poveikio </w:t>
      </w:r>
      <w:proofErr w:type="spellStart"/>
      <w:r w:rsidRPr="004B0C8F">
        <w:rPr>
          <w:lang w:val="lt-LT"/>
        </w:rPr>
        <w:t>roziglitazono</w:t>
      </w:r>
      <w:proofErr w:type="spellEnd"/>
      <w:r w:rsidRPr="004B0C8F">
        <w:rPr>
          <w:lang w:val="lt-LT"/>
        </w:rPr>
        <w:t xml:space="preserve"> ir jo metabolito N-</w:t>
      </w:r>
      <w:proofErr w:type="spellStart"/>
      <w:r w:rsidRPr="004B0C8F">
        <w:rPr>
          <w:lang w:val="lt-LT"/>
        </w:rPr>
        <w:t>desmetilroziglitazono</w:t>
      </w:r>
      <w:proofErr w:type="spellEnd"/>
      <w:r w:rsidRPr="004B0C8F">
        <w:rPr>
          <w:lang w:val="lt-LT"/>
        </w:rPr>
        <w:t xml:space="preserve"> farmakokinetikai nenustatyta, </w:t>
      </w:r>
      <w:r w:rsidR="00CE4548" w:rsidRPr="004B0C8F">
        <w:rPr>
          <w:lang w:val="lt-LT"/>
        </w:rPr>
        <w:t xml:space="preserve">tai </w:t>
      </w:r>
      <w:r w:rsidRPr="004B0C8F">
        <w:rPr>
          <w:lang w:val="lt-LT"/>
        </w:rPr>
        <w:t xml:space="preserve">rodo, kad </w:t>
      </w:r>
      <w:proofErr w:type="spellStart"/>
      <w:r w:rsidRPr="004B0C8F">
        <w:rPr>
          <w:lang w:val="lt-LT"/>
        </w:rPr>
        <w:t>roziglitazonas</w:t>
      </w:r>
      <w:proofErr w:type="spellEnd"/>
      <w:r w:rsidRPr="004B0C8F">
        <w:rPr>
          <w:lang w:val="lt-LT"/>
        </w:rPr>
        <w:t xml:space="preserve"> </w:t>
      </w:r>
      <w:proofErr w:type="spellStart"/>
      <w:r w:rsidRPr="004B0C8F">
        <w:rPr>
          <w:i/>
          <w:lang w:val="lt-LT"/>
        </w:rPr>
        <w:t>in</w:t>
      </w:r>
      <w:proofErr w:type="spellEnd"/>
      <w:r w:rsidRPr="004B0C8F">
        <w:rPr>
          <w:i/>
          <w:lang w:val="lt-LT"/>
        </w:rPr>
        <w:t xml:space="preserve"> </w:t>
      </w:r>
      <w:proofErr w:type="spellStart"/>
      <w:r w:rsidRPr="004B0C8F">
        <w:rPr>
          <w:i/>
          <w:lang w:val="lt-LT"/>
        </w:rPr>
        <w:t>vivo</w:t>
      </w:r>
      <w:proofErr w:type="spellEnd"/>
      <w:r w:rsidRPr="004B0C8F">
        <w:rPr>
          <w:lang w:val="lt-LT"/>
        </w:rPr>
        <w:t xml:space="preserve"> neslopina fermento CYP2C8 aktyvumo. </w:t>
      </w:r>
      <w:r w:rsidR="00CE4548" w:rsidRPr="004B0C8F">
        <w:rPr>
          <w:lang w:val="lt-LT"/>
        </w:rPr>
        <w:t>Taigi</w:t>
      </w:r>
      <w:r w:rsidRPr="004B0C8F">
        <w:rPr>
          <w:lang w:val="lt-LT"/>
        </w:rPr>
        <w:t xml:space="preserve">, vartojant </w:t>
      </w:r>
      <w:proofErr w:type="spellStart"/>
      <w:r w:rsidRPr="004B0C8F">
        <w:rPr>
          <w:lang w:val="lt-LT"/>
        </w:rPr>
        <w:t>febuksostatą</w:t>
      </w:r>
      <w:proofErr w:type="spellEnd"/>
      <w:r w:rsidRPr="004B0C8F">
        <w:rPr>
          <w:lang w:val="lt-LT"/>
        </w:rPr>
        <w:t xml:space="preserve"> su </w:t>
      </w:r>
      <w:proofErr w:type="spellStart"/>
      <w:r w:rsidRPr="004B0C8F">
        <w:rPr>
          <w:lang w:val="lt-LT"/>
        </w:rPr>
        <w:t>roziglitazonu</w:t>
      </w:r>
      <w:proofErr w:type="spellEnd"/>
      <w:r w:rsidRPr="004B0C8F">
        <w:rPr>
          <w:lang w:val="lt-LT"/>
        </w:rPr>
        <w:t xml:space="preserve"> ar kitais CYP2C8 </w:t>
      </w:r>
      <w:proofErr w:type="spellStart"/>
      <w:r w:rsidRPr="004B0C8F">
        <w:rPr>
          <w:lang w:val="lt-LT"/>
        </w:rPr>
        <w:t>metabolizuojamais</w:t>
      </w:r>
      <w:proofErr w:type="spellEnd"/>
      <w:r w:rsidRPr="004B0C8F">
        <w:rPr>
          <w:lang w:val="lt-LT"/>
        </w:rPr>
        <w:t xml:space="preserve"> vaistiniais preparatais, jų dozių korekcija nebūtina. </w:t>
      </w:r>
    </w:p>
    <w:p w14:paraId="7E6DB445" w14:textId="77777777" w:rsidR="00273470" w:rsidRPr="004B0C8F" w:rsidRDefault="00273470" w:rsidP="003B28E4">
      <w:pPr>
        <w:tabs>
          <w:tab w:val="left" w:pos="4680"/>
        </w:tabs>
        <w:spacing w:line="240" w:lineRule="auto"/>
        <w:rPr>
          <w:lang w:val="lt-LT"/>
        </w:rPr>
      </w:pPr>
      <w:r w:rsidRPr="004B0C8F">
        <w:rPr>
          <w:lang w:val="lt-LT"/>
        </w:rPr>
        <w:t xml:space="preserve"> </w:t>
      </w:r>
    </w:p>
    <w:p w14:paraId="51A9C708" w14:textId="77777777" w:rsidR="00273470" w:rsidRPr="004B0C8F" w:rsidRDefault="00273470" w:rsidP="003B28E4">
      <w:pPr>
        <w:tabs>
          <w:tab w:val="left" w:pos="4680"/>
        </w:tabs>
        <w:spacing w:line="240" w:lineRule="auto"/>
        <w:ind w:left="-5"/>
        <w:rPr>
          <w:lang w:val="lt-LT"/>
        </w:rPr>
      </w:pPr>
      <w:proofErr w:type="spellStart"/>
      <w:r w:rsidRPr="004B0C8F">
        <w:rPr>
          <w:i/>
          <w:lang w:val="lt-LT"/>
        </w:rPr>
        <w:t>Teofilinas</w:t>
      </w:r>
      <w:proofErr w:type="spellEnd"/>
      <w:r w:rsidRPr="004B0C8F">
        <w:rPr>
          <w:i/>
          <w:lang w:val="lt-LT"/>
        </w:rPr>
        <w:t xml:space="preserve"> </w:t>
      </w:r>
    </w:p>
    <w:p w14:paraId="7945636E" w14:textId="77777777" w:rsidR="00273470" w:rsidRPr="004B0C8F" w:rsidRDefault="00273470" w:rsidP="003B28E4">
      <w:pPr>
        <w:tabs>
          <w:tab w:val="left" w:pos="4680"/>
        </w:tabs>
        <w:spacing w:line="240" w:lineRule="auto"/>
        <w:ind w:left="2" w:right="397"/>
        <w:rPr>
          <w:lang w:val="lt-LT"/>
        </w:rPr>
      </w:pPr>
      <w:r w:rsidRPr="004B0C8F">
        <w:rPr>
          <w:lang w:val="lt-LT"/>
        </w:rPr>
        <w:t xml:space="preserve">Buvo atliktas tyrimas su sveikais žmonėmis, kurio tikslas – nustatyti, ar dėl KO slopinimo gali padidėti </w:t>
      </w:r>
      <w:proofErr w:type="spellStart"/>
      <w:r w:rsidRPr="004B0C8F">
        <w:rPr>
          <w:lang w:val="lt-LT"/>
        </w:rPr>
        <w:t>teofilino</w:t>
      </w:r>
      <w:proofErr w:type="spellEnd"/>
      <w:r w:rsidRPr="004B0C8F">
        <w:rPr>
          <w:lang w:val="lt-LT"/>
        </w:rPr>
        <w:t xml:space="preserve"> koncentracija kraujyje (kadangi tokia sąveika buvo nustatyta su kitais KO inhibitoriais). Tyrimo rezultatai parodė, kad skiriant 80</w:t>
      </w:r>
      <w:r w:rsidR="00E87295" w:rsidRPr="004B0C8F">
        <w:rPr>
          <w:lang w:val="lt-LT"/>
        </w:rPr>
        <w:t> mg</w:t>
      </w:r>
      <w:r w:rsidRPr="004B0C8F">
        <w:rPr>
          <w:lang w:val="lt-LT"/>
        </w:rPr>
        <w:t xml:space="preserve"> </w:t>
      </w:r>
      <w:proofErr w:type="spellStart"/>
      <w:r w:rsidRPr="004B0C8F">
        <w:rPr>
          <w:lang w:val="lt-LT"/>
        </w:rPr>
        <w:t>febuksostato</w:t>
      </w:r>
      <w:proofErr w:type="spellEnd"/>
      <w:r w:rsidRPr="004B0C8F">
        <w:rPr>
          <w:lang w:val="lt-LT"/>
        </w:rPr>
        <w:t xml:space="preserve"> kartą per parą ir 400</w:t>
      </w:r>
      <w:r w:rsidR="00E87295" w:rsidRPr="004B0C8F">
        <w:rPr>
          <w:lang w:val="lt-LT"/>
        </w:rPr>
        <w:t> mg</w:t>
      </w:r>
      <w:r w:rsidRPr="004B0C8F">
        <w:rPr>
          <w:lang w:val="lt-LT"/>
        </w:rPr>
        <w:t xml:space="preserve"> </w:t>
      </w:r>
      <w:proofErr w:type="spellStart"/>
      <w:r w:rsidRPr="004B0C8F">
        <w:rPr>
          <w:lang w:val="lt-LT"/>
        </w:rPr>
        <w:t>teofilino</w:t>
      </w:r>
      <w:proofErr w:type="spellEnd"/>
      <w:r w:rsidRPr="004B0C8F">
        <w:rPr>
          <w:lang w:val="lt-LT"/>
        </w:rPr>
        <w:t xml:space="preserve"> vienkartinę dozę, kokio nors poveikio </w:t>
      </w:r>
      <w:proofErr w:type="spellStart"/>
      <w:r w:rsidRPr="004B0C8F">
        <w:rPr>
          <w:lang w:val="lt-LT"/>
        </w:rPr>
        <w:t>teofilino</w:t>
      </w:r>
      <w:proofErr w:type="spellEnd"/>
      <w:r w:rsidRPr="004B0C8F">
        <w:rPr>
          <w:lang w:val="lt-LT"/>
        </w:rPr>
        <w:t xml:space="preserve"> farmakokinetikai ar saugumui nėra. Todėl kartu skiriant 80</w:t>
      </w:r>
      <w:r w:rsidR="00E87295" w:rsidRPr="004B0C8F">
        <w:rPr>
          <w:lang w:val="lt-LT"/>
        </w:rPr>
        <w:t> mg</w:t>
      </w:r>
      <w:r w:rsidRPr="004B0C8F">
        <w:rPr>
          <w:lang w:val="lt-LT"/>
        </w:rPr>
        <w:t xml:space="preserve"> </w:t>
      </w:r>
      <w:proofErr w:type="spellStart"/>
      <w:r w:rsidRPr="004B0C8F">
        <w:rPr>
          <w:lang w:val="lt-LT"/>
        </w:rPr>
        <w:t>febuksostato</w:t>
      </w:r>
      <w:proofErr w:type="spellEnd"/>
      <w:r w:rsidRPr="004B0C8F">
        <w:rPr>
          <w:lang w:val="lt-LT"/>
        </w:rPr>
        <w:t xml:space="preserve"> ir </w:t>
      </w:r>
      <w:proofErr w:type="spellStart"/>
      <w:r w:rsidRPr="004B0C8F">
        <w:rPr>
          <w:lang w:val="lt-LT"/>
        </w:rPr>
        <w:t>teofilino</w:t>
      </w:r>
      <w:proofErr w:type="spellEnd"/>
      <w:r w:rsidRPr="004B0C8F">
        <w:rPr>
          <w:lang w:val="lt-LT"/>
        </w:rPr>
        <w:t xml:space="preserve"> specialių atsargumo priemonių imtis nebūtina. 120</w:t>
      </w:r>
      <w:r w:rsidR="00E87295" w:rsidRPr="004B0C8F">
        <w:rPr>
          <w:lang w:val="lt-LT"/>
        </w:rPr>
        <w:t> mg</w:t>
      </w:r>
      <w:r w:rsidRPr="004B0C8F">
        <w:rPr>
          <w:lang w:val="lt-LT"/>
        </w:rPr>
        <w:t xml:space="preserve"> </w:t>
      </w:r>
      <w:proofErr w:type="spellStart"/>
      <w:r w:rsidRPr="004B0C8F">
        <w:rPr>
          <w:lang w:val="lt-LT"/>
        </w:rPr>
        <w:t>febuksostato</w:t>
      </w:r>
      <w:proofErr w:type="spellEnd"/>
      <w:r w:rsidRPr="004B0C8F">
        <w:rPr>
          <w:lang w:val="lt-LT"/>
        </w:rPr>
        <w:t xml:space="preserve"> dozei duomenų nėra. </w:t>
      </w:r>
    </w:p>
    <w:p w14:paraId="760477E1" w14:textId="77777777" w:rsidR="00273470" w:rsidRPr="004B0C8F" w:rsidRDefault="00273470" w:rsidP="003B28E4">
      <w:pPr>
        <w:tabs>
          <w:tab w:val="left" w:pos="4680"/>
        </w:tabs>
        <w:spacing w:line="240" w:lineRule="auto"/>
        <w:rPr>
          <w:lang w:val="lt-LT"/>
        </w:rPr>
      </w:pPr>
      <w:r w:rsidRPr="004B0C8F">
        <w:rPr>
          <w:lang w:val="lt-LT"/>
        </w:rPr>
        <w:t xml:space="preserve"> </w:t>
      </w:r>
    </w:p>
    <w:p w14:paraId="2477FBEF" w14:textId="77777777" w:rsidR="00273470" w:rsidRPr="004B0C8F" w:rsidRDefault="00273470" w:rsidP="003B28E4">
      <w:pPr>
        <w:tabs>
          <w:tab w:val="left" w:pos="4680"/>
        </w:tabs>
        <w:spacing w:line="240" w:lineRule="auto"/>
        <w:ind w:left="-5"/>
        <w:rPr>
          <w:lang w:val="lt-LT"/>
        </w:rPr>
      </w:pPr>
      <w:proofErr w:type="spellStart"/>
      <w:r w:rsidRPr="004B0C8F">
        <w:rPr>
          <w:i/>
          <w:lang w:val="lt-LT"/>
        </w:rPr>
        <w:t>Naproksenas</w:t>
      </w:r>
      <w:proofErr w:type="spellEnd"/>
      <w:r w:rsidRPr="004B0C8F">
        <w:rPr>
          <w:i/>
          <w:lang w:val="lt-LT"/>
        </w:rPr>
        <w:t xml:space="preserve"> ir kiti </w:t>
      </w:r>
      <w:proofErr w:type="spellStart"/>
      <w:r w:rsidRPr="004B0C8F">
        <w:rPr>
          <w:i/>
          <w:lang w:val="lt-LT"/>
        </w:rPr>
        <w:t>konjugacijos</w:t>
      </w:r>
      <w:proofErr w:type="spellEnd"/>
      <w:r w:rsidRPr="004B0C8F">
        <w:rPr>
          <w:i/>
          <w:lang w:val="lt-LT"/>
        </w:rPr>
        <w:t xml:space="preserve"> su </w:t>
      </w:r>
      <w:proofErr w:type="spellStart"/>
      <w:r w:rsidRPr="004B0C8F">
        <w:rPr>
          <w:i/>
          <w:lang w:val="lt-LT"/>
        </w:rPr>
        <w:t>gliukurono</w:t>
      </w:r>
      <w:proofErr w:type="spellEnd"/>
      <w:r w:rsidRPr="004B0C8F">
        <w:rPr>
          <w:i/>
          <w:lang w:val="lt-LT"/>
        </w:rPr>
        <w:t xml:space="preserve"> rūgštimi inhibitoriai </w:t>
      </w:r>
    </w:p>
    <w:p w14:paraId="2A08C9C8" w14:textId="77777777" w:rsidR="00273470" w:rsidRPr="004A478C" w:rsidRDefault="00273470" w:rsidP="003B28E4">
      <w:pPr>
        <w:tabs>
          <w:tab w:val="left" w:pos="4680"/>
        </w:tabs>
        <w:spacing w:line="240" w:lineRule="auto"/>
        <w:ind w:left="2" w:right="397"/>
        <w:rPr>
          <w:lang w:val="lt-LT"/>
        </w:rPr>
      </w:pPr>
      <w:proofErr w:type="spellStart"/>
      <w:r w:rsidRPr="004A478C">
        <w:rPr>
          <w:lang w:val="lt-LT"/>
        </w:rPr>
        <w:t>Febuksostato</w:t>
      </w:r>
      <w:proofErr w:type="spellEnd"/>
      <w:r w:rsidRPr="004A478C">
        <w:rPr>
          <w:lang w:val="lt-LT"/>
        </w:rPr>
        <w:t xml:space="preserve"> metabolizmas priklauso nuo </w:t>
      </w:r>
      <w:proofErr w:type="spellStart"/>
      <w:r w:rsidRPr="004A478C">
        <w:rPr>
          <w:lang w:val="lt-LT"/>
        </w:rPr>
        <w:t>uridino</w:t>
      </w:r>
      <w:proofErr w:type="spellEnd"/>
      <w:r w:rsidRPr="004A478C">
        <w:rPr>
          <w:lang w:val="lt-LT"/>
        </w:rPr>
        <w:t xml:space="preserve"> </w:t>
      </w:r>
      <w:proofErr w:type="spellStart"/>
      <w:r w:rsidRPr="004A478C">
        <w:rPr>
          <w:lang w:val="lt-LT"/>
        </w:rPr>
        <w:t>glukuronoziltransferazės</w:t>
      </w:r>
      <w:proofErr w:type="spellEnd"/>
      <w:r w:rsidRPr="004A478C">
        <w:rPr>
          <w:lang w:val="lt-LT"/>
        </w:rPr>
        <w:t xml:space="preserve"> (UGT) fermentų. Todėl vaistiniai preparatai, slopinantys </w:t>
      </w:r>
      <w:proofErr w:type="spellStart"/>
      <w:r w:rsidRPr="004A478C">
        <w:rPr>
          <w:lang w:val="lt-LT"/>
        </w:rPr>
        <w:t>konjugaciją</w:t>
      </w:r>
      <w:proofErr w:type="spellEnd"/>
      <w:r w:rsidRPr="004A478C">
        <w:rPr>
          <w:lang w:val="lt-LT"/>
        </w:rPr>
        <w:t xml:space="preserve"> su </w:t>
      </w:r>
      <w:proofErr w:type="spellStart"/>
      <w:r w:rsidRPr="004A478C">
        <w:rPr>
          <w:lang w:val="lt-LT"/>
        </w:rPr>
        <w:t>gliukurono</w:t>
      </w:r>
      <w:proofErr w:type="spellEnd"/>
      <w:r w:rsidRPr="004A478C">
        <w:rPr>
          <w:lang w:val="lt-LT"/>
        </w:rPr>
        <w:t xml:space="preserve"> rūgštimi (pvz., NVNU ir </w:t>
      </w:r>
      <w:proofErr w:type="spellStart"/>
      <w:r w:rsidRPr="004A478C">
        <w:rPr>
          <w:lang w:val="lt-LT"/>
        </w:rPr>
        <w:t>probenecidas</w:t>
      </w:r>
      <w:proofErr w:type="spellEnd"/>
      <w:r w:rsidRPr="004A478C">
        <w:rPr>
          <w:lang w:val="lt-LT"/>
        </w:rPr>
        <w:t xml:space="preserve">), teoriškai gali turėti poveikį </w:t>
      </w:r>
      <w:proofErr w:type="spellStart"/>
      <w:r w:rsidRPr="004A478C">
        <w:rPr>
          <w:lang w:val="lt-LT"/>
        </w:rPr>
        <w:t>febuksostato</w:t>
      </w:r>
      <w:proofErr w:type="spellEnd"/>
      <w:r w:rsidRPr="004A478C">
        <w:rPr>
          <w:lang w:val="lt-LT"/>
        </w:rPr>
        <w:t xml:space="preserve"> šalinimui. Sveikiems asmenims, kartu vartojusiems </w:t>
      </w:r>
      <w:proofErr w:type="spellStart"/>
      <w:r w:rsidRPr="004A478C">
        <w:rPr>
          <w:lang w:val="lt-LT"/>
        </w:rPr>
        <w:t>febuksostato</w:t>
      </w:r>
      <w:proofErr w:type="spellEnd"/>
      <w:r w:rsidRPr="004A478C">
        <w:rPr>
          <w:lang w:val="lt-LT"/>
        </w:rPr>
        <w:t xml:space="preserve"> ir </w:t>
      </w:r>
      <w:proofErr w:type="spellStart"/>
      <w:r w:rsidRPr="004A478C">
        <w:rPr>
          <w:lang w:val="lt-LT"/>
        </w:rPr>
        <w:t>naprokseno</w:t>
      </w:r>
      <w:proofErr w:type="spellEnd"/>
      <w:r w:rsidRPr="004A478C">
        <w:rPr>
          <w:lang w:val="lt-LT"/>
        </w:rPr>
        <w:t xml:space="preserve"> 250</w:t>
      </w:r>
      <w:r w:rsidR="00E87295" w:rsidRPr="004A478C">
        <w:rPr>
          <w:lang w:val="lt-LT"/>
        </w:rPr>
        <w:t> mg</w:t>
      </w:r>
      <w:r w:rsidRPr="004A478C">
        <w:rPr>
          <w:lang w:val="lt-LT"/>
        </w:rPr>
        <w:t xml:space="preserve"> du kartus per parą, padidėjo </w:t>
      </w:r>
      <w:proofErr w:type="spellStart"/>
      <w:r w:rsidRPr="004A478C">
        <w:rPr>
          <w:lang w:val="lt-LT"/>
        </w:rPr>
        <w:t>febuksostato</w:t>
      </w:r>
      <w:proofErr w:type="spellEnd"/>
      <w:r w:rsidRPr="004A478C">
        <w:rPr>
          <w:lang w:val="lt-LT"/>
        </w:rPr>
        <w:t xml:space="preserve"> ekspozicija (</w:t>
      </w:r>
      <w:proofErr w:type="spellStart"/>
      <w:r w:rsidRPr="004A478C">
        <w:rPr>
          <w:lang w:val="lt-LT"/>
        </w:rPr>
        <w:t>C</w:t>
      </w:r>
      <w:r w:rsidRPr="004A478C">
        <w:rPr>
          <w:vertAlign w:val="subscript"/>
          <w:lang w:val="lt-LT"/>
        </w:rPr>
        <w:t>max</w:t>
      </w:r>
      <w:proofErr w:type="spellEnd"/>
      <w:r w:rsidRPr="004A478C">
        <w:rPr>
          <w:lang w:val="lt-LT"/>
        </w:rPr>
        <w:t xml:space="preserve"> 28 %, AUC 41 %, o t</w:t>
      </w:r>
      <w:r w:rsidRPr="004A478C">
        <w:rPr>
          <w:vertAlign w:val="subscript"/>
          <w:lang w:val="lt-LT"/>
        </w:rPr>
        <w:t xml:space="preserve">1/2 </w:t>
      </w:r>
      <w:r w:rsidRPr="004A478C">
        <w:rPr>
          <w:lang w:val="lt-LT"/>
        </w:rPr>
        <w:t xml:space="preserve">26 %). Klinikinių tyrimų metu </w:t>
      </w:r>
      <w:proofErr w:type="spellStart"/>
      <w:r w:rsidRPr="004A478C">
        <w:rPr>
          <w:lang w:val="lt-LT"/>
        </w:rPr>
        <w:t>naprokseno</w:t>
      </w:r>
      <w:proofErr w:type="spellEnd"/>
      <w:r w:rsidRPr="004A478C">
        <w:rPr>
          <w:lang w:val="lt-LT"/>
        </w:rPr>
        <w:t xml:space="preserve"> arba kitų NVNU</w:t>
      </w:r>
      <w:r w:rsidR="007A2F95" w:rsidRPr="004A478C">
        <w:rPr>
          <w:lang w:val="lt-LT"/>
        </w:rPr>
        <w:t xml:space="preserve"> arba </w:t>
      </w:r>
      <w:r w:rsidRPr="004A478C">
        <w:rPr>
          <w:lang w:val="lt-LT"/>
        </w:rPr>
        <w:t xml:space="preserve">Cox-2 inhibitorių vartojimas nebuvo susijęs su kliniškai reikšmingu nepageidaujamų reiškinių padidėjimu. </w:t>
      </w:r>
    </w:p>
    <w:p w14:paraId="2E31BBD9" w14:textId="77777777" w:rsidR="00273470" w:rsidRPr="004A478C" w:rsidRDefault="00273470" w:rsidP="003B28E4">
      <w:pPr>
        <w:tabs>
          <w:tab w:val="left" w:pos="4680"/>
        </w:tabs>
        <w:spacing w:line="240" w:lineRule="auto"/>
        <w:rPr>
          <w:lang w:val="lt-LT"/>
        </w:rPr>
      </w:pPr>
      <w:r w:rsidRPr="004A478C">
        <w:rPr>
          <w:lang w:val="lt-LT"/>
        </w:rPr>
        <w:t xml:space="preserve"> </w:t>
      </w:r>
    </w:p>
    <w:p w14:paraId="45004488" w14:textId="77777777" w:rsidR="00273470" w:rsidRPr="004A478C" w:rsidRDefault="00273470" w:rsidP="003B28E4">
      <w:pPr>
        <w:tabs>
          <w:tab w:val="left" w:pos="4680"/>
        </w:tabs>
        <w:spacing w:line="240" w:lineRule="auto"/>
        <w:ind w:left="2" w:right="397"/>
        <w:rPr>
          <w:lang w:val="lt-LT"/>
        </w:rPr>
      </w:pPr>
      <w:proofErr w:type="spellStart"/>
      <w:r w:rsidRPr="004A478C">
        <w:rPr>
          <w:lang w:val="lt-LT"/>
        </w:rPr>
        <w:t>Febuksostatą</w:t>
      </w:r>
      <w:proofErr w:type="spellEnd"/>
      <w:r w:rsidRPr="004A478C">
        <w:rPr>
          <w:lang w:val="lt-LT"/>
        </w:rPr>
        <w:t xml:space="preserve"> galima vartoti kartu su </w:t>
      </w:r>
      <w:proofErr w:type="spellStart"/>
      <w:r w:rsidRPr="004A478C">
        <w:rPr>
          <w:lang w:val="lt-LT"/>
        </w:rPr>
        <w:t>naproksenu</w:t>
      </w:r>
      <w:proofErr w:type="spellEnd"/>
      <w:r w:rsidRPr="004A478C">
        <w:rPr>
          <w:lang w:val="lt-LT"/>
        </w:rPr>
        <w:t xml:space="preserve">; </w:t>
      </w:r>
      <w:proofErr w:type="spellStart"/>
      <w:r w:rsidRPr="004A478C">
        <w:rPr>
          <w:lang w:val="lt-LT"/>
        </w:rPr>
        <w:t>febuksostato</w:t>
      </w:r>
      <w:proofErr w:type="spellEnd"/>
      <w:r w:rsidRPr="004A478C">
        <w:rPr>
          <w:lang w:val="lt-LT"/>
        </w:rPr>
        <w:t xml:space="preserve"> arba </w:t>
      </w:r>
      <w:proofErr w:type="spellStart"/>
      <w:r w:rsidRPr="004A478C">
        <w:rPr>
          <w:lang w:val="lt-LT"/>
        </w:rPr>
        <w:t>naprokseno</w:t>
      </w:r>
      <w:proofErr w:type="spellEnd"/>
      <w:r w:rsidRPr="004A478C">
        <w:rPr>
          <w:lang w:val="lt-LT"/>
        </w:rPr>
        <w:t xml:space="preserve"> dozių koreguoti nereikia. </w:t>
      </w:r>
    </w:p>
    <w:p w14:paraId="3651E0EF" w14:textId="77777777" w:rsidR="00273470" w:rsidRPr="004A478C" w:rsidRDefault="00273470" w:rsidP="003B28E4">
      <w:pPr>
        <w:tabs>
          <w:tab w:val="left" w:pos="4680"/>
        </w:tabs>
        <w:spacing w:line="240" w:lineRule="auto"/>
        <w:rPr>
          <w:lang w:val="lt-LT"/>
        </w:rPr>
      </w:pPr>
      <w:r w:rsidRPr="004A478C">
        <w:rPr>
          <w:lang w:val="lt-LT"/>
        </w:rPr>
        <w:t xml:space="preserve"> </w:t>
      </w:r>
    </w:p>
    <w:p w14:paraId="7E2F0E42" w14:textId="77777777" w:rsidR="00273470" w:rsidRPr="004A478C" w:rsidRDefault="00273470" w:rsidP="003B28E4">
      <w:pPr>
        <w:tabs>
          <w:tab w:val="left" w:pos="4680"/>
        </w:tabs>
        <w:spacing w:line="240" w:lineRule="auto"/>
        <w:ind w:left="-5"/>
        <w:rPr>
          <w:lang w:val="lt-LT"/>
        </w:rPr>
      </w:pPr>
      <w:proofErr w:type="spellStart"/>
      <w:r w:rsidRPr="004A478C">
        <w:rPr>
          <w:i/>
          <w:lang w:val="lt-LT"/>
        </w:rPr>
        <w:t>Konjugacijos</w:t>
      </w:r>
      <w:proofErr w:type="spellEnd"/>
      <w:r w:rsidRPr="004A478C">
        <w:rPr>
          <w:i/>
          <w:lang w:val="lt-LT"/>
        </w:rPr>
        <w:t xml:space="preserve"> su </w:t>
      </w:r>
      <w:proofErr w:type="spellStart"/>
      <w:r w:rsidRPr="004A478C">
        <w:rPr>
          <w:i/>
          <w:lang w:val="lt-LT"/>
        </w:rPr>
        <w:t>gliukurono</w:t>
      </w:r>
      <w:proofErr w:type="spellEnd"/>
      <w:r w:rsidRPr="004A478C">
        <w:rPr>
          <w:i/>
          <w:lang w:val="lt-LT"/>
        </w:rPr>
        <w:t xml:space="preserve"> rūgštimi </w:t>
      </w:r>
      <w:proofErr w:type="spellStart"/>
      <w:r w:rsidRPr="004A478C">
        <w:rPr>
          <w:i/>
          <w:lang w:val="lt-LT"/>
        </w:rPr>
        <w:t>induktoriai</w:t>
      </w:r>
      <w:proofErr w:type="spellEnd"/>
      <w:r w:rsidRPr="004A478C">
        <w:rPr>
          <w:i/>
          <w:lang w:val="lt-LT"/>
        </w:rPr>
        <w:t xml:space="preserve"> </w:t>
      </w:r>
    </w:p>
    <w:p w14:paraId="6E42E738" w14:textId="77777777" w:rsidR="00273470" w:rsidRPr="004A478C" w:rsidRDefault="00273470" w:rsidP="003B28E4">
      <w:pPr>
        <w:tabs>
          <w:tab w:val="left" w:pos="4680"/>
        </w:tabs>
        <w:spacing w:line="240" w:lineRule="auto"/>
        <w:ind w:left="2" w:right="397"/>
        <w:rPr>
          <w:lang w:val="lt-LT"/>
        </w:rPr>
      </w:pPr>
      <w:r w:rsidRPr="004A478C">
        <w:rPr>
          <w:lang w:val="lt-LT"/>
        </w:rPr>
        <w:t xml:space="preserve">Stiprūs UGT fermentų </w:t>
      </w:r>
      <w:proofErr w:type="spellStart"/>
      <w:r w:rsidRPr="004A478C">
        <w:rPr>
          <w:lang w:val="lt-LT"/>
        </w:rPr>
        <w:t>induktoriai</w:t>
      </w:r>
      <w:proofErr w:type="spellEnd"/>
      <w:r w:rsidRPr="004A478C">
        <w:rPr>
          <w:lang w:val="lt-LT"/>
        </w:rPr>
        <w:t xml:space="preserve"> gali paskatinti </w:t>
      </w:r>
      <w:proofErr w:type="spellStart"/>
      <w:r w:rsidRPr="004A478C">
        <w:rPr>
          <w:lang w:val="lt-LT"/>
        </w:rPr>
        <w:t>febuksostato</w:t>
      </w:r>
      <w:proofErr w:type="spellEnd"/>
      <w:r w:rsidRPr="004A478C">
        <w:rPr>
          <w:lang w:val="lt-LT"/>
        </w:rPr>
        <w:t xml:space="preserve"> metabolizmą ir susilpninti jo veiksmingumą. Todėl 1-2 savaites nuo gydymo stipriu </w:t>
      </w:r>
      <w:proofErr w:type="spellStart"/>
      <w:r w:rsidRPr="004A478C">
        <w:rPr>
          <w:lang w:val="lt-LT"/>
        </w:rPr>
        <w:t>konjugacijos</w:t>
      </w:r>
      <w:proofErr w:type="spellEnd"/>
      <w:r w:rsidRPr="004A478C">
        <w:rPr>
          <w:lang w:val="lt-LT"/>
        </w:rPr>
        <w:t xml:space="preserve"> su </w:t>
      </w:r>
      <w:proofErr w:type="spellStart"/>
      <w:r w:rsidRPr="004A478C">
        <w:rPr>
          <w:lang w:val="lt-LT"/>
        </w:rPr>
        <w:t>gliukurono</w:t>
      </w:r>
      <w:proofErr w:type="spellEnd"/>
      <w:r w:rsidRPr="004A478C">
        <w:rPr>
          <w:lang w:val="lt-LT"/>
        </w:rPr>
        <w:t xml:space="preserve"> rūgštimi </w:t>
      </w:r>
      <w:proofErr w:type="spellStart"/>
      <w:r w:rsidRPr="004A478C">
        <w:rPr>
          <w:lang w:val="lt-LT"/>
        </w:rPr>
        <w:t>induktoriumi</w:t>
      </w:r>
      <w:proofErr w:type="spellEnd"/>
      <w:r w:rsidRPr="004A478C">
        <w:rPr>
          <w:lang w:val="lt-LT"/>
        </w:rPr>
        <w:t xml:space="preserve"> pradžios rekomenduojama patikrinti šlapimo rūgšties kiekį serume. Ir atvirkščiai, nutraukus gydymą </w:t>
      </w:r>
      <w:proofErr w:type="spellStart"/>
      <w:r w:rsidRPr="004A478C">
        <w:rPr>
          <w:lang w:val="lt-LT"/>
        </w:rPr>
        <w:t>induktoriumi</w:t>
      </w:r>
      <w:proofErr w:type="spellEnd"/>
      <w:r w:rsidRPr="004A478C">
        <w:rPr>
          <w:lang w:val="lt-LT"/>
        </w:rPr>
        <w:t xml:space="preserve">, gali padidėti </w:t>
      </w:r>
      <w:proofErr w:type="spellStart"/>
      <w:r w:rsidRPr="004A478C">
        <w:rPr>
          <w:lang w:val="lt-LT"/>
        </w:rPr>
        <w:t>febuksostato</w:t>
      </w:r>
      <w:proofErr w:type="spellEnd"/>
      <w:r w:rsidRPr="004A478C">
        <w:rPr>
          <w:lang w:val="lt-LT"/>
        </w:rPr>
        <w:t xml:space="preserve"> kiekis plazmoje. </w:t>
      </w:r>
    </w:p>
    <w:p w14:paraId="17AD4941" w14:textId="77777777" w:rsidR="00273470" w:rsidRPr="004A478C" w:rsidRDefault="00273470" w:rsidP="003B28E4">
      <w:pPr>
        <w:tabs>
          <w:tab w:val="left" w:pos="4680"/>
        </w:tabs>
        <w:spacing w:line="240" w:lineRule="auto"/>
        <w:rPr>
          <w:lang w:val="lt-LT"/>
        </w:rPr>
      </w:pPr>
      <w:r w:rsidRPr="004A478C">
        <w:rPr>
          <w:lang w:val="lt-LT"/>
        </w:rPr>
        <w:t xml:space="preserve"> </w:t>
      </w:r>
    </w:p>
    <w:p w14:paraId="6DE00A78" w14:textId="77C4D0FB" w:rsidR="00273470" w:rsidRPr="004A478C" w:rsidRDefault="00273470" w:rsidP="003B28E4">
      <w:pPr>
        <w:tabs>
          <w:tab w:val="left" w:pos="4680"/>
        </w:tabs>
        <w:spacing w:line="240" w:lineRule="auto"/>
        <w:ind w:left="-5"/>
        <w:rPr>
          <w:lang w:val="lt-LT"/>
        </w:rPr>
      </w:pPr>
      <w:proofErr w:type="spellStart"/>
      <w:r w:rsidRPr="004A478C">
        <w:rPr>
          <w:i/>
          <w:lang w:val="lt-LT"/>
        </w:rPr>
        <w:t>Kolchicinas</w:t>
      </w:r>
      <w:proofErr w:type="spellEnd"/>
      <w:r w:rsidR="00E332F2" w:rsidRPr="004A478C">
        <w:rPr>
          <w:i/>
          <w:lang w:val="lt-LT"/>
        </w:rPr>
        <w:t>/</w:t>
      </w:r>
      <w:r w:rsidR="007A2F95" w:rsidRPr="004A478C">
        <w:rPr>
          <w:i/>
          <w:lang w:val="lt-LT"/>
        </w:rPr>
        <w:t xml:space="preserve"> </w:t>
      </w:r>
      <w:proofErr w:type="spellStart"/>
      <w:r w:rsidRPr="004A478C">
        <w:rPr>
          <w:i/>
          <w:lang w:val="lt-LT"/>
        </w:rPr>
        <w:t>indometacinas</w:t>
      </w:r>
      <w:proofErr w:type="spellEnd"/>
      <w:r w:rsidR="00E332F2" w:rsidRPr="004A478C">
        <w:rPr>
          <w:i/>
          <w:lang w:val="lt-LT"/>
        </w:rPr>
        <w:t xml:space="preserve">/ </w:t>
      </w:r>
      <w:proofErr w:type="spellStart"/>
      <w:r w:rsidRPr="004A478C">
        <w:rPr>
          <w:i/>
          <w:lang w:val="lt-LT"/>
        </w:rPr>
        <w:t>hidrochlorotiazidas</w:t>
      </w:r>
      <w:proofErr w:type="spellEnd"/>
      <w:r w:rsidR="00E332F2" w:rsidRPr="004A478C">
        <w:rPr>
          <w:i/>
          <w:lang w:val="lt-LT"/>
        </w:rPr>
        <w:t xml:space="preserve">/ </w:t>
      </w:r>
      <w:r w:rsidRPr="004A478C">
        <w:rPr>
          <w:i/>
          <w:lang w:val="lt-LT"/>
        </w:rPr>
        <w:t xml:space="preserve">varfarinas </w:t>
      </w:r>
    </w:p>
    <w:p w14:paraId="46FE7EDA" w14:textId="77777777" w:rsidR="00273470" w:rsidRPr="004A478C" w:rsidRDefault="00273470" w:rsidP="003B28E4">
      <w:pPr>
        <w:tabs>
          <w:tab w:val="left" w:pos="4680"/>
        </w:tabs>
        <w:spacing w:line="240" w:lineRule="auto"/>
        <w:ind w:left="2" w:right="397"/>
        <w:rPr>
          <w:lang w:val="lt-LT"/>
        </w:rPr>
      </w:pPr>
      <w:proofErr w:type="spellStart"/>
      <w:r w:rsidRPr="004A478C">
        <w:rPr>
          <w:lang w:val="lt-LT"/>
        </w:rPr>
        <w:t>Febuksostatą</w:t>
      </w:r>
      <w:proofErr w:type="spellEnd"/>
      <w:r w:rsidRPr="004A478C">
        <w:rPr>
          <w:lang w:val="lt-LT"/>
        </w:rPr>
        <w:t xml:space="preserve"> galima vartoti kartu su </w:t>
      </w:r>
      <w:proofErr w:type="spellStart"/>
      <w:r w:rsidRPr="004A478C">
        <w:rPr>
          <w:lang w:val="lt-LT"/>
        </w:rPr>
        <w:t>kolchicinu</w:t>
      </w:r>
      <w:proofErr w:type="spellEnd"/>
      <w:r w:rsidRPr="004A478C">
        <w:rPr>
          <w:lang w:val="lt-LT"/>
        </w:rPr>
        <w:t xml:space="preserve"> arba </w:t>
      </w:r>
      <w:proofErr w:type="spellStart"/>
      <w:r w:rsidRPr="004A478C">
        <w:rPr>
          <w:lang w:val="lt-LT"/>
        </w:rPr>
        <w:t>indometacinu</w:t>
      </w:r>
      <w:proofErr w:type="spellEnd"/>
      <w:r w:rsidRPr="004A478C">
        <w:rPr>
          <w:lang w:val="lt-LT"/>
        </w:rPr>
        <w:t xml:space="preserve">; </w:t>
      </w:r>
      <w:proofErr w:type="spellStart"/>
      <w:r w:rsidRPr="004A478C">
        <w:rPr>
          <w:lang w:val="lt-LT"/>
        </w:rPr>
        <w:t>febuksostato</w:t>
      </w:r>
      <w:proofErr w:type="spellEnd"/>
      <w:r w:rsidRPr="004A478C">
        <w:rPr>
          <w:lang w:val="lt-LT"/>
        </w:rPr>
        <w:t xml:space="preserve"> arba kartu vartojamos veikliosios medžiagos dozių koreguoti nereikia. </w:t>
      </w:r>
    </w:p>
    <w:p w14:paraId="2C554258" w14:textId="77777777" w:rsidR="00273470" w:rsidRPr="004A478C" w:rsidRDefault="00273470" w:rsidP="003B28E4">
      <w:pPr>
        <w:tabs>
          <w:tab w:val="left" w:pos="4680"/>
        </w:tabs>
        <w:spacing w:line="240" w:lineRule="auto"/>
        <w:rPr>
          <w:lang w:val="lt-LT"/>
        </w:rPr>
      </w:pPr>
      <w:r w:rsidRPr="004A478C">
        <w:rPr>
          <w:lang w:val="lt-LT"/>
        </w:rPr>
        <w:t xml:space="preserve"> </w:t>
      </w:r>
    </w:p>
    <w:p w14:paraId="5DDEF8F1" w14:textId="77777777" w:rsidR="00273470" w:rsidRPr="004A478C" w:rsidRDefault="00273470" w:rsidP="003B28E4">
      <w:pPr>
        <w:tabs>
          <w:tab w:val="left" w:pos="4680"/>
        </w:tabs>
        <w:spacing w:line="240" w:lineRule="auto"/>
        <w:ind w:left="2" w:right="397"/>
        <w:rPr>
          <w:lang w:val="lt-LT"/>
        </w:rPr>
      </w:pPr>
      <w:r w:rsidRPr="004A478C">
        <w:rPr>
          <w:lang w:val="lt-LT"/>
        </w:rPr>
        <w:t xml:space="preserve">Nereikia koreguoti </w:t>
      </w:r>
      <w:proofErr w:type="spellStart"/>
      <w:r w:rsidRPr="004A478C">
        <w:rPr>
          <w:lang w:val="lt-LT"/>
        </w:rPr>
        <w:t>febuksostato</w:t>
      </w:r>
      <w:proofErr w:type="spellEnd"/>
      <w:r w:rsidRPr="004A478C">
        <w:rPr>
          <w:lang w:val="lt-LT"/>
        </w:rPr>
        <w:t xml:space="preserve"> dozės, kai jis vartojamas kartu su </w:t>
      </w:r>
      <w:proofErr w:type="spellStart"/>
      <w:r w:rsidRPr="004A478C">
        <w:rPr>
          <w:lang w:val="lt-LT"/>
        </w:rPr>
        <w:t>hidrochlorotiazidu</w:t>
      </w:r>
      <w:proofErr w:type="spellEnd"/>
      <w:r w:rsidRPr="004A478C">
        <w:rPr>
          <w:lang w:val="lt-LT"/>
        </w:rPr>
        <w:t xml:space="preserve">.  </w:t>
      </w:r>
    </w:p>
    <w:p w14:paraId="4E01209F" w14:textId="77777777" w:rsidR="00273470" w:rsidRPr="004A478C" w:rsidRDefault="00273470" w:rsidP="003B28E4">
      <w:pPr>
        <w:tabs>
          <w:tab w:val="left" w:pos="4680"/>
        </w:tabs>
        <w:spacing w:line="240" w:lineRule="auto"/>
        <w:rPr>
          <w:lang w:val="lt-LT"/>
        </w:rPr>
      </w:pPr>
      <w:r w:rsidRPr="004A478C">
        <w:rPr>
          <w:lang w:val="lt-LT"/>
        </w:rPr>
        <w:t xml:space="preserve"> </w:t>
      </w:r>
    </w:p>
    <w:p w14:paraId="1C4D6342" w14:textId="77777777" w:rsidR="00273470" w:rsidRPr="004A478C" w:rsidRDefault="00273470" w:rsidP="003B28E4">
      <w:pPr>
        <w:tabs>
          <w:tab w:val="left" w:pos="4680"/>
        </w:tabs>
        <w:spacing w:line="240" w:lineRule="auto"/>
        <w:ind w:left="2" w:right="397"/>
        <w:rPr>
          <w:lang w:val="lt-LT"/>
        </w:rPr>
      </w:pPr>
      <w:r w:rsidRPr="004A478C">
        <w:rPr>
          <w:lang w:val="lt-LT"/>
        </w:rPr>
        <w:t xml:space="preserve">Varfarino, vartojamo kartu su </w:t>
      </w:r>
      <w:proofErr w:type="spellStart"/>
      <w:r w:rsidRPr="004A478C">
        <w:rPr>
          <w:lang w:val="lt-LT"/>
        </w:rPr>
        <w:t>febuksostatu</w:t>
      </w:r>
      <w:proofErr w:type="spellEnd"/>
      <w:r w:rsidRPr="004A478C">
        <w:rPr>
          <w:lang w:val="lt-LT"/>
        </w:rPr>
        <w:t xml:space="preserve">, dozės koreguoti nereikia. Sveikiems asmenims </w:t>
      </w:r>
      <w:proofErr w:type="spellStart"/>
      <w:r w:rsidRPr="004A478C">
        <w:rPr>
          <w:lang w:val="lt-LT"/>
        </w:rPr>
        <w:t>febuksostato</w:t>
      </w:r>
      <w:proofErr w:type="spellEnd"/>
      <w:r w:rsidRPr="004A478C">
        <w:rPr>
          <w:lang w:val="lt-LT"/>
        </w:rPr>
        <w:t xml:space="preserve"> (80</w:t>
      </w:r>
      <w:r w:rsidR="00E87295" w:rsidRPr="004A478C">
        <w:rPr>
          <w:lang w:val="lt-LT"/>
        </w:rPr>
        <w:t> mg</w:t>
      </w:r>
      <w:r w:rsidRPr="004A478C">
        <w:rPr>
          <w:lang w:val="lt-LT"/>
        </w:rPr>
        <w:t xml:space="preserve"> arba 120</w:t>
      </w:r>
      <w:r w:rsidR="00E87295" w:rsidRPr="004A478C">
        <w:rPr>
          <w:lang w:val="lt-LT"/>
        </w:rPr>
        <w:t> mg</w:t>
      </w:r>
      <w:r w:rsidRPr="004A478C">
        <w:rPr>
          <w:lang w:val="lt-LT"/>
        </w:rPr>
        <w:t xml:space="preserve"> vieną kartą per parą) vartojant kartu su varfarinu, įtakos </w:t>
      </w:r>
      <w:r w:rsidRPr="004A478C">
        <w:rPr>
          <w:lang w:val="lt-LT"/>
        </w:rPr>
        <w:lastRenderedPageBreak/>
        <w:t xml:space="preserve">varfarino farmakokinetikai nenustatyta. Vartojant kartu su </w:t>
      </w:r>
      <w:proofErr w:type="spellStart"/>
      <w:r w:rsidRPr="004A478C">
        <w:rPr>
          <w:lang w:val="lt-LT"/>
        </w:rPr>
        <w:t>febuksostatu</w:t>
      </w:r>
      <w:proofErr w:type="spellEnd"/>
      <w:r w:rsidRPr="004A478C">
        <w:rPr>
          <w:lang w:val="lt-LT"/>
        </w:rPr>
        <w:t xml:space="preserve"> tarptautinis </w:t>
      </w:r>
      <w:r w:rsidR="007A2F95" w:rsidRPr="004A478C">
        <w:rPr>
          <w:lang w:val="lt-LT"/>
        </w:rPr>
        <w:t xml:space="preserve">normalizuotas </w:t>
      </w:r>
      <w:r w:rsidRPr="004A478C">
        <w:rPr>
          <w:lang w:val="lt-LT"/>
        </w:rPr>
        <w:t>santykis (</w:t>
      </w:r>
      <w:r w:rsidRPr="004A478C">
        <w:rPr>
          <w:i/>
          <w:lang w:val="lt-LT"/>
        </w:rPr>
        <w:t>angl. INR)</w:t>
      </w:r>
      <w:r w:rsidRPr="004A478C">
        <w:rPr>
          <w:lang w:val="lt-LT"/>
        </w:rPr>
        <w:t xml:space="preserve"> ir VII faktoriaus aktyvumas nepasikeitė. </w:t>
      </w:r>
    </w:p>
    <w:p w14:paraId="5FE5993E" w14:textId="77777777" w:rsidR="00273470" w:rsidRPr="004A478C" w:rsidRDefault="00273470" w:rsidP="003B28E4">
      <w:pPr>
        <w:tabs>
          <w:tab w:val="left" w:pos="4680"/>
        </w:tabs>
        <w:spacing w:line="240" w:lineRule="auto"/>
        <w:rPr>
          <w:lang w:val="lt-LT"/>
        </w:rPr>
      </w:pPr>
      <w:r w:rsidRPr="004A478C">
        <w:rPr>
          <w:lang w:val="lt-LT"/>
        </w:rPr>
        <w:t xml:space="preserve"> </w:t>
      </w:r>
    </w:p>
    <w:p w14:paraId="0634B732" w14:textId="54923328" w:rsidR="00273470" w:rsidRPr="004A478C" w:rsidRDefault="00273470" w:rsidP="003B28E4">
      <w:pPr>
        <w:tabs>
          <w:tab w:val="left" w:pos="4680"/>
        </w:tabs>
        <w:spacing w:line="240" w:lineRule="auto"/>
        <w:ind w:left="-5"/>
        <w:rPr>
          <w:lang w:val="lt-LT"/>
        </w:rPr>
      </w:pPr>
      <w:proofErr w:type="spellStart"/>
      <w:r w:rsidRPr="004A478C">
        <w:rPr>
          <w:i/>
          <w:lang w:val="lt-LT"/>
        </w:rPr>
        <w:t>Dezipraminas</w:t>
      </w:r>
      <w:proofErr w:type="spellEnd"/>
      <w:r w:rsidR="00E332F2" w:rsidRPr="004A478C">
        <w:rPr>
          <w:i/>
          <w:lang w:val="lt-LT"/>
        </w:rPr>
        <w:t>/</w:t>
      </w:r>
      <w:r w:rsidR="007A2F95" w:rsidRPr="004A478C">
        <w:rPr>
          <w:i/>
          <w:lang w:val="lt-LT"/>
        </w:rPr>
        <w:t xml:space="preserve"> </w:t>
      </w:r>
      <w:r w:rsidRPr="004A478C">
        <w:rPr>
          <w:i/>
          <w:lang w:val="lt-LT"/>
        </w:rPr>
        <w:t xml:space="preserve">CYP2D6 substratai </w:t>
      </w:r>
    </w:p>
    <w:p w14:paraId="2F649A35" w14:textId="77777777" w:rsidR="00273470" w:rsidRPr="004A478C" w:rsidRDefault="00273470" w:rsidP="003B28E4">
      <w:pPr>
        <w:tabs>
          <w:tab w:val="left" w:pos="4680"/>
        </w:tabs>
        <w:spacing w:line="240" w:lineRule="auto"/>
        <w:ind w:left="2" w:right="397"/>
        <w:rPr>
          <w:lang w:val="lt-LT"/>
        </w:rPr>
      </w:pPr>
      <w:proofErr w:type="spellStart"/>
      <w:r w:rsidRPr="004A478C">
        <w:rPr>
          <w:i/>
          <w:lang w:val="lt-LT"/>
        </w:rPr>
        <w:t>In</w:t>
      </w:r>
      <w:proofErr w:type="spellEnd"/>
      <w:r w:rsidRPr="004A478C">
        <w:rPr>
          <w:i/>
          <w:lang w:val="lt-LT"/>
        </w:rPr>
        <w:t xml:space="preserve"> </w:t>
      </w:r>
      <w:proofErr w:type="spellStart"/>
      <w:r w:rsidRPr="004A478C">
        <w:rPr>
          <w:i/>
          <w:lang w:val="lt-LT"/>
        </w:rPr>
        <w:t>vitro</w:t>
      </w:r>
      <w:proofErr w:type="spellEnd"/>
      <w:r w:rsidRPr="004A478C">
        <w:rPr>
          <w:lang w:val="lt-LT"/>
        </w:rPr>
        <w:t xml:space="preserve"> tyrimais nustatyta, kad </w:t>
      </w:r>
      <w:proofErr w:type="spellStart"/>
      <w:r w:rsidRPr="004A478C">
        <w:rPr>
          <w:lang w:val="lt-LT"/>
        </w:rPr>
        <w:t>febuksostatas</w:t>
      </w:r>
      <w:proofErr w:type="spellEnd"/>
      <w:r w:rsidRPr="004A478C">
        <w:rPr>
          <w:lang w:val="lt-LT"/>
        </w:rPr>
        <w:t xml:space="preserve"> yra silpnas CYP2D6 inhibitorius.</w:t>
      </w:r>
      <w:r w:rsidRPr="004A478C">
        <w:rPr>
          <w:i/>
          <w:lang w:val="lt-LT"/>
        </w:rPr>
        <w:t xml:space="preserve"> </w:t>
      </w:r>
      <w:r w:rsidRPr="004A478C">
        <w:rPr>
          <w:lang w:val="lt-LT"/>
        </w:rPr>
        <w:t>Tyrimo su sveikais pacientais metu, nuo 120</w:t>
      </w:r>
      <w:r w:rsidR="00E87295" w:rsidRPr="004A478C">
        <w:rPr>
          <w:lang w:val="lt-LT"/>
        </w:rPr>
        <w:t> mg</w:t>
      </w:r>
      <w:r w:rsidRPr="004A478C">
        <w:rPr>
          <w:lang w:val="lt-LT"/>
        </w:rPr>
        <w:t xml:space="preserve"> </w:t>
      </w:r>
      <w:proofErr w:type="spellStart"/>
      <w:r w:rsidR="00DE43BA" w:rsidRPr="004A478C">
        <w:rPr>
          <w:lang w:val="lt-LT"/>
        </w:rPr>
        <w:t>febuksostato</w:t>
      </w:r>
      <w:r w:rsidRPr="004A478C">
        <w:rPr>
          <w:lang w:val="lt-LT"/>
        </w:rPr>
        <w:t>dozės</w:t>
      </w:r>
      <w:proofErr w:type="spellEnd"/>
      <w:r w:rsidRPr="004A478C">
        <w:rPr>
          <w:lang w:val="lt-LT"/>
        </w:rPr>
        <w:t xml:space="preserve"> per parą vidutiniškai 22</w:t>
      </w:r>
      <w:r w:rsidR="00DE43BA" w:rsidRPr="004A478C">
        <w:rPr>
          <w:lang w:val="lt-LT"/>
        </w:rPr>
        <w:t> </w:t>
      </w:r>
      <w:r w:rsidRPr="004A478C">
        <w:rPr>
          <w:lang w:val="lt-LT"/>
        </w:rPr>
        <w:t xml:space="preserve">% padidėjo CYP2D6 substrato </w:t>
      </w:r>
      <w:proofErr w:type="spellStart"/>
      <w:r w:rsidRPr="004A478C">
        <w:rPr>
          <w:lang w:val="lt-LT"/>
        </w:rPr>
        <w:t>dezipramino</w:t>
      </w:r>
      <w:proofErr w:type="spellEnd"/>
      <w:r w:rsidRPr="004A478C">
        <w:rPr>
          <w:lang w:val="lt-LT"/>
        </w:rPr>
        <w:t xml:space="preserve"> AUC; tai rodo, kad </w:t>
      </w:r>
      <w:proofErr w:type="spellStart"/>
      <w:r w:rsidRPr="004A478C">
        <w:rPr>
          <w:lang w:val="lt-LT"/>
        </w:rPr>
        <w:t>febuksostatas</w:t>
      </w:r>
      <w:proofErr w:type="spellEnd"/>
      <w:r w:rsidRPr="004A478C">
        <w:rPr>
          <w:lang w:val="lt-LT"/>
        </w:rPr>
        <w:t xml:space="preserve"> turi silpną slopinamąjį poveikį CYP2D6 fermentui </w:t>
      </w:r>
      <w:proofErr w:type="spellStart"/>
      <w:r w:rsidRPr="004A478C">
        <w:rPr>
          <w:i/>
          <w:lang w:val="lt-LT"/>
        </w:rPr>
        <w:t>in</w:t>
      </w:r>
      <w:proofErr w:type="spellEnd"/>
      <w:r w:rsidRPr="004A478C">
        <w:rPr>
          <w:i/>
          <w:lang w:val="lt-LT"/>
        </w:rPr>
        <w:t xml:space="preserve"> </w:t>
      </w:r>
      <w:proofErr w:type="spellStart"/>
      <w:r w:rsidRPr="004A478C">
        <w:rPr>
          <w:i/>
          <w:lang w:val="lt-LT"/>
        </w:rPr>
        <w:t>vivo</w:t>
      </w:r>
      <w:proofErr w:type="spellEnd"/>
      <w:r w:rsidRPr="004A478C">
        <w:rPr>
          <w:lang w:val="lt-LT"/>
        </w:rPr>
        <w:t xml:space="preserve">. Tad mažai tikėtina, kad vartojant </w:t>
      </w:r>
      <w:proofErr w:type="spellStart"/>
      <w:r w:rsidRPr="004A478C">
        <w:rPr>
          <w:lang w:val="lt-LT"/>
        </w:rPr>
        <w:t>febuksostatą</w:t>
      </w:r>
      <w:proofErr w:type="spellEnd"/>
      <w:r w:rsidRPr="004A478C">
        <w:rPr>
          <w:lang w:val="lt-LT"/>
        </w:rPr>
        <w:t xml:space="preserve"> su kitais CYP2D6 substratais reiktų koreguoti šių medžiagų dozes. </w:t>
      </w:r>
    </w:p>
    <w:p w14:paraId="417CC110" w14:textId="77777777" w:rsidR="00273470" w:rsidRPr="004A478C" w:rsidRDefault="00273470" w:rsidP="003B28E4">
      <w:pPr>
        <w:tabs>
          <w:tab w:val="left" w:pos="4680"/>
        </w:tabs>
        <w:spacing w:line="240" w:lineRule="auto"/>
        <w:rPr>
          <w:lang w:val="lt-LT"/>
        </w:rPr>
      </w:pPr>
      <w:r w:rsidRPr="004A478C">
        <w:rPr>
          <w:lang w:val="lt-LT"/>
        </w:rPr>
        <w:t xml:space="preserve"> </w:t>
      </w:r>
    </w:p>
    <w:p w14:paraId="6A076C89" w14:textId="77777777" w:rsidR="00273470" w:rsidRPr="004A478C" w:rsidRDefault="00273470" w:rsidP="003B28E4">
      <w:pPr>
        <w:tabs>
          <w:tab w:val="left" w:pos="4680"/>
        </w:tabs>
        <w:spacing w:line="240" w:lineRule="auto"/>
        <w:ind w:left="-5"/>
        <w:rPr>
          <w:lang w:val="lt-LT"/>
        </w:rPr>
      </w:pPr>
      <w:proofErr w:type="spellStart"/>
      <w:r w:rsidRPr="004A478C">
        <w:rPr>
          <w:i/>
          <w:lang w:val="lt-LT"/>
        </w:rPr>
        <w:t>Antacidiniai</w:t>
      </w:r>
      <w:proofErr w:type="spellEnd"/>
      <w:r w:rsidRPr="004A478C">
        <w:rPr>
          <w:i/>
          <w:lang w:val="lt-LT"/>
        </w:rPr>
        <w:t xml:space="preserve"> vaist</w:t>
      </w:r>
      <w:r w:rsidR="00DE43BA" w:rsidRPr="004A478C">
        <w:rPr>
          <w:i/>
          <w:lang w:val="lt-LT"/>
        </w:rPr>
        <w:t>iniai preparatai</w:t>
      </w:r>
      <w:r w:rsidRPr="004A478C">
        <w:rPr>
          <w:i/>
          <w:lang w:val="lt-LT"/>
        </w:rPr>
        <w:t xml:space="preserve"> </w:t>
      </w:r>
    </w:p>
    <w:p w14:paraId="39DBA8EC" w14:textId="77777777" w:rsidR="00273470" w:rsidRPr="004A478C" w:rsidRDefault="00273470" w:rsidP="003B28E4">
      <w:pPr>
        <w:tabs>
          <w:tab w:val="left" w:pos="4680"/>
        </w:tabs>
        <w:spacing w:line="240" w:lineRule="auto"/>
        <w:ind w:left="2" w:right="397"/>
        <w:rPr>
          <w:lang w:val="lt-LT"/>
        </w:rPr>
      </w:pPr>
      <w:r w:rsidRPr="004A478C">
        <w:rPr>
          <w:lang w:val="lt-LT"/>
        </w:rPr>
        <w:t xml:space="preserve">Nustatyta, kad kartu geriant </w:t>
      </w:r>
      <w:proofErr w:type="spellStart"/>
      <w:r w:rsidRPr="004A478C">
        <w:rPr>
          <w:lang w:val="lt-LT"/>
        </w:rPr>
        <w:t>antacidinių</w:t>
      </w:r>
      <w:proofErr w:type="spellEnd"/>
      <w:r w:rsidRPr="004A478C">
        <w:rPr>
          <w:lang w:val="lt-LT"/>
        </w:rPr>
        <w:t xml:space="preserve"> vaist</w:t>
      </w:r>
      <w:r w:rsidR="00DE43BA" w:rsidRPr="004A478C">
        <w:rPr>
          <w:lang w:val="lt-LT"/>
        </w:rPr>
        <w:t>inių preparatų</w:t>
      </w:r>
      <w:r w:rsidRPr="004A478C">
        <w:rPr>
          <w:lang w:val="lt-LT"/>
        </w:rPr>
        <w:t xml:space="preserve">, kurių sudėtyje yra magnio hidroksido ir aliuminio hidroksido, sulėtėja </w:t>
      </w:r>
      <w:proofErr w:type="spellStart"/>
      <w:r w:rsidRPr="004A478C">
        <w:rPr>
          <w:lang w:val="lt-LT"/>
        </w:rPr>
        <w:t>febuksostato</w:t>
      </w:r>
      <w:proofErr w:type="spellEnd"/>
      <w:r w:rsidRPr="004A478C">
        <w:rPr>
          <w:lang w:val="lt-LT"/>
        </w:rPr>
        <w:t xml:space="preserve"> absorbcija (maždaug 1 valanda) ir 32</w:t>
      </w:r>
      <w:r w:rsidR="00DE43BA" w:rsidRPr="004A478C">
        <w:rPr>
          <w:lang w:val="lt-LT"/>
        </w:rPr>
        <w:t> </w:t>
      </w:r>
      <w:r w:rsidRPr="004A478C">
        <w:rPr>
          <w:lang w:val="lt-LT"/>
        </w:rPr>
        <w:t xml:space="preserve">% sumažėja </w:t>
      </w:r>
      <w:proofErr w:type="spellStart"/>
      <w:r w:rsidRPr="004A478C">
        <w:rPr>
          <w:lang w:val="lt-LT"/>
        </w:rPr>
        <w:t>C</w:t>
      </w:r>
      <w:r w:rsidRPr="004A478C">
        <w:rPr>
          <w:vertAlign w:val="subscript"/>
          <w:lang w:val="lt-LT"/>
        </w:rPr>
        <w:t>max</w:t>
      </w:r>
      <w:proofErr w:type="spellEnd"/>
      <w:r w:rsidRPr="004A478C">
        <w:rPr>
          <w:lang w:val="lt-LT"/>
        </w:rPr>
        <w:t xml:space="preserve">, tačiau žymių AUC pokyčių nepastebėta. Todėl </w:t>
      </w:r>
      <w:proofErr w:type="spellStart"/>
      <w:r w:rsidRPr="004A478C">
        <w:rPr>
          <w:lang w:val="lt-LT"/>
        </w:rPr>
        <w:t>febuksostatą</w:t>
      </w:r>
      <w:proofErr w:type="spellEnd"/>
      <w:r w:rsidRPr="004A478C">
        <w:rPr>
          <w:lang w:val="lt-LT"/>
        </w:rPr>
        <w:t xml:space="preserve"> galima vartoti kartu su </w:t>
      </w:r>
      <w:proofErr w:type="spellStart"/>
      <w:r w:rsidRPr="004A478C">
        <w:rPr>
          <w:lang w:val="lt-LT"/>
        </w:rPr>
        <w:t>antacidiniais</w:t>
      </w:r>
      <w:proofErr w:type="spellEnd"/>
      <w:r w:rsidRPr="004A478C">
        <w:rPr>
          <w:lang w:val="lt-LT"/>
        </w:rPr>
        <w:t xml:space="preserve"> vaist</w:t>
      </w:r>
      <w:r w:rsidR="00DE43BA" w:rsidRPr="004A478C">
        <w:rPr>
          <w:lang w:val="lt-LT"/>
        </w:rPr>
        <w:t>iniais preparatais</w:t>
      </w:r>
      <w:r w:rsidRPr="004A478C">
        <w:rPr>
          <w:lang w:val="lt-LT"/>
        </w:rPr>
        <w:t xml:space="preserve">. </w:t>
      </w:r>
    </w:p>
    <w:p w14:paraId="3AEC47D1" w14:textId="77777777" w:rsidR="00273470" w:rsidRPr="004A478C" w:rsidRDefault="00273470" w:rsidP="003B28E4">
      <w:pPr>
        <w:tabs>
          <w:tab w:val="left" w:pos="4680"/>
        </w:tabs>
        <w:spacing w:line="240" w:lineRule="auto"/>
        <w:rPr>
          <w:lang w:val="lt-LT"/>
        </w:rPr>
      </w:pPr>
      <w:r w:rsidRPr="004A478C">
        <w:rPr>
          <w:lang w:val="lt-LT"/>
        </w:rPr>
        <w:t xml:space="preserve"> </w:t>
      </w:r>
    </w:p>
    <w:p w14:paraId="158BEDDA" w14:textId="77777777" w:rsidR="00273470" w:rsidRPr="004A478C" w:rsidRDefault="00273470" w:rsidP="003B28E4">
      <w:pPr>
        <w:pStyle w:val="Antrat3"/>
        <w:tabs>
          <w:tab w:val="center" w:pos="2509"/>
          <w:tab w:val="left" w:pos="4680"/>
        </w:tabs>
        <w:spacing w:before="0" w:after="0" w:line="240" w:lineRule="auto"/>
        <w:ind w:left="-15"/>
        <w:rPr>
          <w:rFonts w:ascii="Times New Roman" w:hAnsi="Times New Roman"/>
          <w:sz w:val="22"/>
          <w:lang w:val="lt-LT"/>
        </w:rPr>
      </w:pPr>
      <w:r w:rsidRPr="004A478C">
        <w:rPr>
          <w:rFonts w:ascii="Times New Roman" w:hAnsi="Times New Roman"/>
          <w:sz w:val="22"/>
          <w:lang w:val="lt-LT"/>
        </w:rPr>
        <w:t xml:space="preserve">4.6 </w:t>
      </w:r>
      <w:r w:rsidRPr="004A478C">
        <w:rPr>
          <w:rFonts w:ascii="Times New Roman" w:hAnsi="Times New Roman"/>
          <w:sz w:val="22"/>
          <w:lang w:val="lt-LT"/>
        </w:rPr>
        <w:tab/>
        <w:t xml:space="preserve">Vaisingumas, nėštumo ir žindymo laikotarpis </w:t>
      </w:r>
    </w:p>
    <w:p w14:paraId="34307E44" w14:textId="77777777" w:rsidR="00273470" w:rsidRPr="004A478C" w:rsidRDefault="00273470" w:rsidP="003B28E4">
      <w:pPr>
        <w:tabs>
          <w:tab w:val="left" w:pos="4680"/>
        </w:tabs>
        <w:spacing w:line="240" w:lineRule="auto"/>
        <w:rPr>
          <w:lang w:val="lt-LT"/>
        </w:rPr>
      </w:pPr>
      <w:r w:rsidRPr="004A478C">
        <w:rPr>
          <w:lang w:val="lt-LT"/>
        </w:rPr>
        <w:t xml:space="preserve"> </w:t>
      </w:r>
    </w:p>
    <w:p w14:paraId="4368C7C7" w14:textId="77777777" w:rsidR="00273470" w:rsidRPr="004A478C" w:rsidRDefault="00273470" w:rsidP="003B28E4">
      <w:pPr>
        <w:tabs>
          <w:tab w:val="left" w:pos="4680"/>
        </w:tabs>
        <w:spacing w:line="240" w:lineRule="auto"/>
        <w:ind w:left="-5"/>
        <w:rPr>
          <w:u w:val="single"/>
          <w:lang w:val="lt-LT"/>
        </w:rPr>
      </w:pPr>
      <w:r w:rsidRPr="004A478C">
        <w:rPr>
          <w:u w:val="single"/>
          <w:lang w:val="lt-LT"/>
        </w:rPr>
        <w:t xml:space="preserve">Nėštumas </w:t>
      </w:r>
    </w:p>
    <w:p w14:paraId="25C4E54D" w14:textId="77777777" w:rsidR="00273470" w:rsidRPr="004A478C" w:rsidRDefault="00273470" w:rsidP="003B28E4">
      <w:pPr>
        <w:tabs>
          <w:tab w:val="left" w:pos="4680"/>
        </w:tabs>
        <w:spacing w:line="240" w:lineRule="auto"/>
        <w:ind w:left="2" w:right="397"/>
        <w:rPr>
          <w:lang w:val="lt-LT"/>
        </w:rPr>
      </w:pPr>
      <w:r w:rsidRPr="004A478C">
        <w:rPr>
          <w:lang w:val="lt-LT"/>
        </w:rPr>
        <w:t xml:space="preserve">Labai ribotais duomenimis apie preparato vartojimą nėštumo metu, nepageidaujamo </w:t>
      </w:r>
      <w:proofErr w:type="spellStart"/>
      <w:r w:rsidRPr="004A478C">
        <w:rPr>
          <w:lang w:val="lt-LT"/>
        </w:rPr>
        <w:t>febuksostato</w:t>
      </w:r>
      <w:proofErr w:type="spellEnd"/>
      <w:r w:rsidRPr="004A478C">
        <w:rPr>
          <w:lang w:val="lt-LT"/>
        </w:rPr>
        <w:t xml:space="preserve"> poveikio nėštumui arba vaisiaus</w:t>
      </w:r>
      <w:r w:rsidR="00DE43BA" w:rsidRPr="004A478C">
        <w:rPr>
          <w:lang w:val="lt-LT"/>
        </w:rPr>
        <w:t xml:space="preserve"> ir </w:t>
      </w:r>
      <w:r w:rsidRPr="004A478C">
        <w:rPr>
          <w:lang w:val="lt-LT"/>
        </w:rPr>
        <w:t xml:space="preserve">naujagimio sveikatai nenustatyta. Tyrimai su gyvūnais tiesioginio ar netiesioginio kenksmingo poveikio nėštumo eigai, embriono ar vaisiaus vystymuisi, gimdymui ar </w:t>
      </w:r>
      <w:r w:rsidR="00DE43BA" w:rsidRPr="004A478C">
        <w:rPr>
          <w:lang w:val="lt-LT"/>
        </w:rPr>
        <w:t>jauniklių atsivedimui</w:t>
      </w:r>
      <w:r w:rsidRPr="004A478C">
        <w:rPr>
          <w:lang w:val="lt-LT"/>
        </w:rPr>
        <w:t xml:space="preserve"> neparodė (žr. 5.3 skyrių). Galimas pavojus žmogui nežinomas. </w:t>
      </w:r>
      <w:proofErr w:type="spellStart"/>
      <w:r w:rsidRPr="004A478C">
        <w:rPr>
          <w:lang w:val="lt-LT"/>
        </w:rPr>
        <w:t>Febuksostato</w:t>
      </w:r>
      <w:proofErr w:type="spellEnd"/>
      <w:r w:rsidRPr="004A478C">
        <w:rPr>
          <w:lang w:val="lt-LT"/>
        </w:rPr>
        <w:t xml:space="preserve"> nėštumo metu vartoti negalima. </w:t>
      </w:r>
    </w:p>
    <w:p w14:paraId="0D9D83CE" w14:textId="77777777" w:rsidR="00273470" w:rsidRPr="004A478C" w:rsidRDefault="00273470" w:rsidP="003B28E4">
      <w:pPr>
        <w:tabs>
          <w:tab w:val="left" w:pos="4680"/>
        </w:tabs>
        <w:spacing w:line="240" w:lineRule="auto"/>
        <w:rPr>
          <w:lang w:val="lt-LT"/>
        </w:rPr>
      </w:pPr>
      <w:r w:rsidRPr="004A478C">
        <w:rPr>
          <w:lang w:val="lt-LT"/>
        </w:rPr>
        <w:t xml:space="preserve"> </w:t>
      </w:r>
    </w:p>
    <w:p w14:paraId="6ED63E97" w14:textId="77777777" w:rsidR="00273470" w:rsidRPr="004A478C" w:rsidRDefault="00273470" w:rsidP="003B28E4">
      <w:pPr>
        <w:tabs>
          <w:tab w:val="left" w:pos="4680"/>
        </w:tabs>
        <w:spacing w:line="240" w:lineRule="auto"/>
        <w:ind w:left="-5"/>
        <w:rPr>
          <w:u w:val="single"/>
          <w:lang w:val="lt-LT"/>
        </w:rPr>
      </w:pPr>
      <w:r w:rsidRPr="004A478C">
        <w:rPr>
          <w:u w:val="single"/>
          <w:lang w:val="lt-LT"/>
        </w:rPr>
        <w:t xml:space="preserve">Žindymas </w:t>
      </w:r>
    </w:p>
    <w:p w14:paraId="2C2C0F02" w14:textId="77777777" w:rsidR="00273470" w:rsidRPr="004A478C" w:rsidRDefault="00273470" w:rsidP="003B28E4">
      <w:pPr>
        <w:tabs>
          <w:tab w:val="left" w:pos="4680"/>
        </w:tabs>
        <w:spacing w:line="240" w:lineRule="auto"/>
        <w:ind w:left="2" w:right="397"/>
        <w:rPr>
          <w:lang w:val="lt-LT"/>
        </w:rPr>
      </w:pPr>
      <w:r w:rsidRPr="004A478C">
        <w:rPr>
          <w:lang w:val="lt-LT"/>
        </w:rPr>
        <w:t xml:space="preserve">Nežinoma, ar </w:t>
      </w:r>
      <w:proofErr w:type="spellStart"/>
      <w:r w:rsidRPr="004A478C">
        <w:rPr>
          <w:lang w:val="lt-LT"/>
        </w:rPr>
        <w:t>febuksostato</w:t>
      </w:r>
      <w:proofErr w:type="spellEnd"/>
      <w:r w:rsidRPr="004A478C">
        <w:rPr>
          <w:lang w:val="lt-LT"/>
        </w:rPr>
        <w:t xml:space="preserve"> išsiskiria į moters pieną. Tyrimai su gyvūnais parodė, kad šios veikliosios medžiagos į patelių pieną išsiskiria ir ji turi neigiamą poveikį jauniklių vystymuisi. Pavojaus žindomiems kūdikiams atmesti negalima. </w:t>
      </w:r>
      <w:proofErr w:type="spellStart"/>
      <w:r w:rsidRPr="004A478C">
        <w:rPr>
          <w:lang w:val="lt-LT"/>
        </w:rPr>
        <w:t>Febuksostato</w:t>
      </w:r>
      <w:proofErr w:type="spellEnd"/>
      <w:r w:rsidRPr="004A478C">
        <w:rPr>
          <w:lang w:val="lt-LT"/>
        </w:rPr>
        <w:t xml:space="preserve"> negalima vartoti žindymo metu. </w:t>
      </w:r>
    </w:p>
    <w:p w14:paraId="314885C9" w14:textId="77777777" w:rsidR="00273470" w:rsidRPr="004A478C" w:rsidRDefault="00273470" w:rsidP="003B28E4">
      <w:pPr>
        <w:tabs>
          <w:tab w:val="left" w:pos="4680"/>
        </w:tabs>
        <w:spacing w:line="240" w:lineRule="auto"/>
        <w:rPr>
          <w:lang w:val="lt-LT"/>
        </w:rPr>
      </w:pPr>
      <w:r w:rsidRPr="004A478C">
        <w:rPr>
          <w:lang w:val="lt-LT"/>
        </w:rPr>
        <w:t xml:space="preserve"> </w:t>
      </w:r>
    </w:p>
    <w:p w14:paraId="4641437D" w14:textId="77777777" w:rsidR="00273470" w:rsidRPr="004A478C" w:rsidRDefault="00273470" w:rsidP="003B28E4">
      <w:pPr>
        <w:tabs>
          <w:tab w:val="left" w:pos="4680"/>
        </w:tabs>
        <w:spacing w:line="240" w:lineRule="auto"/>
        <w:ind w:left="-5"/>
        <w:rPr>
          <w:u w:val="single"/>
          <w:lang w:val="lt-LT"/>
        </w:rPr>
      </w:pPr>
      <w:r w:rsidRPr="004A478C">
        <w:rPr>
          <w:u w:val="single"/>
          <w:lang w:val="lt-LT"/>
        </w:rPr>
        <w:t xml:space="preserve">Vaisingumas </w:t>
      </w:r>
    </w:p>
    <w:p w14:paraId="50C6F996" w14:textId="202EF8F0" w:rsidR="00273470" w:rsidRPr="004A478C" w:rsidRDefault="00273470" w:rsidP="003B28E4">
      <w:pPr>
        <w:tabs>
          <w:tab w:val="left" w:pos="4680"/>
        </w:tabs>
        <w:spacing w:line="240" w:lineRule="auto"/>
        <w:ind w:left="2" w:right="397"/>
        <w:rPr>
          <w:lang w:val="lt-LT"/>
        </w:rPr>
      </w:pPr>
      <w:r w:rsidRPr="004A478C">
        <w:rPr>
          <w:lang w:val="lt-LT"/>
        </w:rPr>
        <w:t>Tyrimais su gyvūnais nustatyta, kad duodant vaisto 48</w:t>
      </w:r>
      <w:r w:rsidR="00E87295" w:rsidRPr="004A478C">
        <w:rPr>
          <w:lang w:val="lt-LT"/>
        </w:rPr>
        <w:t> mg</w:t>
      </w:r>
      <w:r w:rsidRPr="004A478C">
        <w:rPr>
          <w:lang w:val="lt-LT"/>
        </w:rPr>
        <w:t xml:space="preserve">/kg kūno svorio per parą su doze susijusio nepageidaujamo poveikio vaisingumui nebuvo (žr. 5.3 skyrių). </w:t>
      </w:r>
      <w:proofErr w:type="spellStart"/>
      <w:r w:rsidR="001A5C63" w:rsidRPr="004A478C">
        <w:rPr>
          <w:lang w:val="lt-LT"/>
        </w:rPr>
        <w:t>Febu</w:t>
      </w:r>
      <w:r w:rsidR="00E332F2" w:rsidRPr="004A478C">
        <w:rPr>
          <w:lang w:val="lt-LT"/>
        </w:rPr>
        <w:t>ksostato</w:t>
      </w:r>
      <w:proofErr w:type="spellEnd"/>
      <w:r w:rsidR="00E332F2" w:rsidRPr="004A478C">
        <w:rPr>
          <w:lang w:val="lt-LT"/>
        </w:rPr>
        <w:t xml:space="preserve"> </w:t>
      </w:r>
      <w:r w:rsidRPr="004A478C">
        <w:rPr>
          <w:lang w:val="lt-LT"/>
        </w:rPr>
        <w:t xml:space="preserve">poveikis žmonių vaisingumui nežinomas. </w:t>
      </w:r>
    </w:p>
    <w:p w14:paraId="7C61CDE6" w14:textId="77777777" w:rsidR="00273470" w:rsidRPr="004A478C" w:rsidRDefault="00273470" w:rsidP="003B28E4">
      <w:pPr>
        <w:tabs>
          <w:tab w:val="left" w:pos="4680"/>
        </w:tabs>
        <w:spacing w:line="240" w:lineRule="auto"/>
        <w:rPr>
          <w:lang w:val="lt-LT"/>
        </w:rPr>
      </w:pPr>
      <w:r w:rsidRPr="004A478C">
        <w:rPr>
          <w:lang w:val="lt-LT"/>
        </w:rPr>
        <w:t xml:space="preserve"> </w:t>
      </w:r>
    </w:p>
    <w:p w14:paraId="4F24EBA9" w14:textId="77777777" w:rsidR="00273470" w:rsidRPr="004A478C" w:rsidRDefault="00273470" w:rsidP="003B28E4">
      <w:pPr>
        <w:pStyle w:val="Antrat3"/>
        <w:tabs>
          <w:tab w:val="center" w:pos="2773"/>
          <w:tab w:val="left" w:pos="4680"/>
        </w:tabs>
        <w:spacing w:before="0" w:after="0" w:line="240" w:lineRule="auto"/>
        <w:ind w:left="-15"/>
        <w:rPr>
          <w:rFonts w:ascii="Times New Roman" w:hAnsi="Times New Roman"/>
          <w:sz w:val="22"/>
          <w:lang w:val="lt-LT"/>
        </w:rPr>
      </w:pPr>
      <w:r w:rsidRPr="004A478C">
        <w:rPr>
          <w:rFonts w:ascii="Times New Roman" w:hAnsi="Times New Roman"/>
          <w:sz w:val="22"/>
          <w:lang w:val="lt-LT"/>
        </w:rPr>
        <w:t xml:space="preserve">4.7 </w:t>
      </w:r>
      <w:r w:rsidRPr="004A478C">
        <w:rPr>
          <w:rFonts w:ascii="Times New Roman" w:hAnsi="Times New Roman"/>
          <w:sz w:val="22"/>
          <w:lang w:val="lt-LT"/>
        </w:rPr>
        <w:tab/>
        <w:t xml:space="preserve">Poveikis gebėjimui vairuoti ir valdyti mechanizmus </w:t>
      </w:r>
    </w:p>
    <w:p w14:paraId="56719D04" w14:textId="77777777" w:rsidR="00273470" w:rsidRPr="004A478C" w:rsidRDefault="00273470" w:rsidP="003B28E4">
      <w:pPr>
        <w:tabs>
          <w:tab w:val="left" w:pos="4680"/>
        </w:tabs>
        <w:spacing w:line="240" w:lineRule="auto"/>
        <w:rPr>
          <w:lang w:val="lt-LT"/>
        </w:rPr>
      </w:pPr>
      <w:r w:rsidRPr="004A478C">
        <w:rPr>
          <w:lang w:val="lt-LT"/>
        </w:rPr>
        <w:t xml:space="preserve"> </w:t>
      </w:r>
    </w:p>
    <w:p w14:paraId="5FA18E80" w14:textId="60C3FA75" w:rsidR="00273470" w:rsidRPr="004A478C" w:rsidRDefault="00273470" w:rsidP="003B28E4">
      <w:pPr>
        <w:tabs>
          <w:tab w:val="left" w:pos="4680"/>
        </w:tabs>
        <w:spacing w:line="240" w:lineRule="auto"/>
        <w:ind w:left="2" w:right="397"/>
        <w:rPr>
          <w:lang w:val="lt-LT"/>
        </w:rPr>
      </w:pPr>
      <w:r w:rsidRPr="004A478C">
        <w:rPr>
          <w:lang w:val="lt-LT"/>
        </w:rPr>
        <w:t xml:space="preserve">Vartojant </w:t>
      </w:r>
      <w:proofErr w:type="spellStart"/>
      <w:r w:rsidRPr="004A478C">
        <w:rPr>
          <w:lang w:val="lt-LT"/>
        </w:rPr>
        <w:t>febuksostato</w:t>
      </w:r>
      <w:proofErr w:type="spellEnd"/>
      <w:r w:rsidRPr="004A478C">
        <w:rPr>
          <w:lang w:val="lt-LT"/>
        </w:rPr>
        <w:t xml:space="preserve"> pasireiškė mieguistumas, svaigulys, </w:t>
      </w:r>
      <w:proofErr w:type="spellStart"/>
      <w:r w:rsidRPr="004A478C">
        <w:rPr>
          <w:lang w:val="lt-LT"/>
        </w:rPr>
        <w:t>parestezija</w:t>
      </w:r>
      <w:proofErr w:type="spellEnd"/>
      <w:r w:rsidRPr="004A478C">
        <w:rPr>
          <w:lang w:val="lt-LT"/>
        </w:rPr>
        <w:t xml:space="preserve"> ir neryškus matymas. Prieš vairuodami, valdydami mechanizmus arba dalyvaudami pavojingoje veikloje pacientai turi būti visiškai įsitikinę, kad </w:t>
      </w:r>
      <w:proofErr w:type="spellStart"/>
      <w:r w:rsidR="001A5C63" w:rsidRPr="004A478C">
        <w:rPr>
          <w:lang w:val="lt-LT"/>
        </w:rPr>
        <w:t>Febuxostat</w:t>
      </w:r>
      <w:proofErr w:type="spellEnd"/>
      <w:r w:rsidR="001A5C63" w:rsidRPr="004A478C">
        <w:rPr>
          <w:lang w:val="lt-LT"/>
        </w:rPr>
        <w:t xml:space="preserve"> </w:t>
      </w:r>
      <w:proofErr w:type="spellStart"/>
      <w:r w:rsidR="00651A1C" w:rsidRPr="004A478C">
        <w:rPr>
          <w:lang w:val="lt-LT"/>
        </w:rPr>
        <w:t>Zentiva</w:t>
      </w:r>
      <w:proofErr w:type="spellEnd"/>
      <w:r w:rsidR="00651A1C" w:rsidRPr="004A478C">
        <w:rPr>
          <w:lang w:val="lt-LT"/>
        </w:rPr>
        <w:t xml:space="preserve"> </w:t>
      </w:r>
      <w:r w:rsidRPr="004A478C">
        <w:rPr>
          <w:lang w:val="lt-LT"/>
        </w:rPr>
        <w:t xml:space="preserve">neturi neigiamo poveikio jų gebėjimams. </w:t>
      </w:r>
    </w:p>
    <w:p w14:paraId="53E49B7E" w14:textId="77777777" w:rsidR="00273470" w:rsidRPr="004A478C" w:rsidRDefault="00273470" w:rsidP="003B28E4">
      <w:pPr>
        <w:tabs>
          <w:tab w:val="left" w:pos="4680"/>
        </w:tabs>
        <w:spacing w:line="240" w:lineRule="auto"/>
        <w:rPr>
          <w:lang w:val="lt-LT"/>
        </w:rPr>
      </w:pPr>
      <w:r w:rsidRPr="004A478C">
        <w:rPr>
          <w:lang w:val="lt-LT"/>
        </w:rPr>
        <w:t xml:space="preserve"> </w:t>
      </w:r>
    </w:p>
    <w:p w14:paraId="042E0632" w14:textId="77777777" w:rsidR="00273470" w:rsidRPr="004A478C" w:rsidRDefault="00273470">
      <w:pPr>
        <w:pStyle w:val="Antrat3"/>
        <w:tabs>
          <w:tab w:val="center" w:pos="1682"/>
          <w:tab w:val="left" w:pos="4680"/>
        </w:tabs>
        <w:spacing w:before="0" w:after="0" w:line="240" w:lineRule="auto"/>
        <w:ind w:left="-15"/>
        <w:rPr>
          <w:rFonts w:ascii="Times New Roman" w:hAnsi="Times New Roman"/>
          <w:sz w:val="22"/>
          <w:lang w:val="lt-LT"/>
        </w:rPr>
      </w:pPr>
      <w:r w:rsidRPr="004A478C">
        <w:rPr>
          <w:rFonts w:ascii="Times New Roman" w:hAnsi="Times New Roman"/>
          <w:sz w:val="22"/>
          <w:lang w:val="lt-LT"/>
        </w:rPr>
        <w:t xml:space="preserve">4.8 </w:t>
      </w:r>
      <w:r w:rsidRPr="004A478C">
        <w:rPr>
          <w:rFonts w:ascii="Times New Roman" w:hAnsi="Times New Roman"/>
          <w:sz w:val="22"/>
          <w:lang w:val="lt-LT"/>
        </w:rPr>
        <w:tab/>
        <w:t xml:space="preserve">Nepageidaujamas poveikis </w:t>
      </w:r>
    </w:p>
    <w:p w14:paraId="74B06256" w14:textId="77777777" w:rsidR="00273470" w:rsidRPr="004A478C" w:rsidRDefault="00273470" w:rsidP="00FB0B5D">
      <w:pPr>
        <w:keepNext/>
        <w:tabs>
          <w:tab w:val="left" w:pos="4680"/>
        </w:tabs>
        <w:spacing w:line="240" w:lineRule="auto"/>
        <w:rPr>
          <w:lang w:val="lt-LT"/>
        </w:rPr>
      </w:pPr>
      <w:r w:rsidRPr="004A478C">
        <w:rPr>
          <w:lang w:val="lt-LT"/>
        </w:rPr>
        <w:t xml:space="preserve"> </w:t>
      </w:r>
    </w:p>
    <w:p w14:paraId="2DB96398" w14:textId="77777777" w:rsidR="00273470" w:rsidRPr="004A478C" w:rsidRDefault="00273470" w:rsidP="00FB0B5D">
      <w:pPr>
        <w:keepNext/>
        <w:tabs>
          <w:tab w:val="left" w:pos="4680"/>
        </w:tabs>
        <w:spacing w:line="240" w:lineRule="auto"/>
        <w:ind w:left="-5"/>
        <w:rPr>
          <w:u w:val="single"/>
          <w:lang w:val="lt-LT"/>
        </w:rPr>
      </w:pPr>
      <w:r w:rsidRPr="004A478C">
        <w:rPr>
          <w:u w:val="single"/>
          <w:lang w:val="lt-LT"/>
        </w:rPr>
        <w:t xml:space="preserve">Saugumo </w:t>
      </w:r>
      <w:r w:rsidR="0070394F" w:rsidRPr="004A478C">
        <w:rPr>
          <w:u w:val="single"/>
          <w:lang w:val="lt-LT"/>
        </w:rPr>
        <w:t xml:space="preserve">duomenų </w:t>
      </w:r>
      <w:r w:rsidRPr="004A478C">
        <w:rPr>
          <w:u w:val="single"/>
          <w:lang w:val="lt-LT"/>
        </w:rPr>
        <w:t xml:space="preserve">santrauka </w:t>
      </w:r>
    </w:p>
    <w:p w14:paraId="3C2E9CDB" w14:textId="1295E004" w:rsidR="00273470" w:rsidRPr="004A478C" w:rsidRDefault="00273470" w:rsidP="003B28E4">
      <w:pPr>
        <w:tabs>
          <w:tab w:val="left" w:pos="4680"/>
        </w:tabs>
        <w:spacing w:line="240" w:lineRule="auto"/>
        <w:ind w:left="2" w:right="397"/>
        <w:rPr>
          <w:lang w:val="lt-LT"/>
        </w:rPr>
      </w:pPr>
      <w:r w:rsidRPr="004A478C">
        <w:rPr>
          <w:lang w:val="lt-LT"/>
        </w:rPr>
        <w:t>Klinikinių tyrimų metu (iš viso 4072 pacientai suvartojo bent vieną 10</w:t>
      </w:r>
      <w:r w:rsidR="00E87295" w:rsidRPr="004A478C">
        <w:rPr>
          <w:lang w:val="lt-LT"/>
        </w:rPr>
        <w:t> mg</w:t>
      </w:r>
      <w:r w:rsidRPr="004A478C">
        <w:rPr>
          <w:lang w:val="lt-LT"/>
        </w:rPr>
        <w:t xml:space="preserve"> - 300</w:t>
      </w:r>
      <w:r w:rsidR="00E87295" w:rsidRPr="004A478C">
        <w:rPr>
          <w:lang w:val="lt-LT"/>
        </w:rPr>
        <w:t> mg</w:t>
      </w:r>
      <w:r w:rsidRPr="004A478C">
        <w:rPr>
          <w:lang w:val="lt-LT"/>
        </w:rPr>
        <w:t xml:space="preserve"> dozę)</w:t>
      </w:r>
      <w:r w:rsidR="00A470A2" w:rsidRPr="004A478C">
        <w:rPr>
          <w:lang w:val="lt-LT"/>
        </w:rPr>
        <w:t xml:space="preserve">, </w:t>
      </w:r>
      <w:proofErr w:type="spellStart"/>
      <w:r w:rsidR="00A470A2" w:rsidRPr="004A478C">
        <w:rPr>
          <w:lang w:val="lt-LT"/>
        </w:rPr>
        <w:t>poregistracinių</w:t>
      </w:r>
      <w:proofErr w:type="spellEnd"/>
      <w:r w:rsidR="00A470A2" w:rsidRPr="004A478C">
        <w:rPr>
          <w:lang w:val="lt-LT"/>
        </w:rPr>
        <w:t xml:space="preserve"> saugumo tyrimų metu (FAST tyrimas: 3 001 tiriamasis buvo gydomas mažiausiai 80-120 mg doze)</w:t>
      </w:r>
      <w:r w:rsidRPr="004A478C">
        <w:rPr>
          <w:lang w:val="lt-LT"/>
        </w:rPr>
        <w:t xml:space="preserve"> ir po vaistinio preparato patekimo į rinką dažniausios nepageidaujamos reakcijos buvo podagros priepuoliai, kepenų funkcijos sutrikimas, viduriavimas, pykinimas, galvos skausmas, </w:t>
      </w:r>
      <w:r w:rsidR="00A470A2" w:rsidRPr="004A478C">
        <w:rPr>
          <w:lang w:val="lt-LT"/>
        </w:rPr>
        <w:t xml:space="preserve">svaigulys, dusulys, </w:t>
      </w:r>
      <w:r w:rsidRPr="004A478C">
        <w:rPr>
          <w:lang w:val="lt-LT"/>
        </w:rPr>
        <w:t>išbėrimas</w:t>
      </w:r>
      <w:r w:rsidR="00A470A2" w:rsidRPr="004A478C">
        <w:rPr>
          <w:lang w:val="lt-LT"/>
        </w:rPr>
        <w:t xml:space="preserve">, niežėjimas, </w:t>
      </w:r>
      <w:proofErr w:type="spellStart"/>
      <w:r w:rsidR="00A470A2" w:rsidRPr="004A478C">
        <w:rPr>
          <w:lang w:val="lt-LT"/>
        </w:rPr>
        <w:t>artralgija</w:t>
      </w:r>
      <w:proofErr w:type="spellEnd"/>
      <w:r w:rsidR="00A470A2" w:rsidRPr="004A478C">
        <w:rPr>
          <w:lang w:val="lt-LT"/>
        </w:rPr>
        <w:t xml:space="preserve">, </w:t>
      </w:r>
      <w:proofErr w:type="spellStart"/>
      <w:r w:rsidR="00A470A2" w:rsidRPr="004A478C">
        <w:rPr>
          <w:lang w:val="lt-LT"/>
        </w:rPr>
        <w:t>mialgoja</w:t>
      </w:r>
      <w:proofErr w:type="spellEnd"/>
      <w:r w:rsidR="00A470A2" w:rsidRPr="004A478C">
        <w:rPr>
          <w:lang w:val="lt-LT"/>
        </w:rPr>
        <w:t>, galūnių skausmas,</w:t>
      </w:r>
      <w:r w:rsidRPr="004A478C">
        <w:rPr>
          <w:lang w:val="lt-LT"/>
        </w:rPr>
        <w:t xml:space="preserve"> edema</w:t>
      </w:r>
      <w:r w:rsidR="00A470A2" w:rsidRPr="004A478C">
        <w:rPr>
          <w:lang w:val="lt-LT"/>
        </w:rPr>
        <w:t xml:space="preserve"> ir nuovargis</w:t>
      </w:r>
      <w:r w:rsidRPr="004A478C">
        <w:rPr>
          <w:lang w:val="lt-LT"/>
        </w:rPr>
        <w:t xml:space="preserve">. Šios nepageidaujamos reakcijos dažniausiai buvo nesunkios arba vidutinio sunkumo. Po vaistinio preparato patekimo į rinką, sunkios padidėjusio jautrumo reakcijos į </w:t>
      </w:r>
      <w:proofErr w:type="spellStart"/>
      <w:r w:rsidRPr="004A478C">
        <w:rPr>
          <w:lang w:val="lt-LT"/>
        </w:rPr>
        <w:t>febuksostatą</w:t>
      </w:r>
      <w:proofErr w:type="spellEnd"/>
      <w:r w:rsidRPr="004A478C">
        <w:rPr>
          <w:lang w:val="lt-LT"/>
        </w:rPr>
        <w:t>, kai kurios iš jų susijusios su sisteminiai</w:t>
      </w:r>
      <w:r w:rsidR="00E332F2" w:rsidRPr="004A478C">
        <w:rPr>
          <w:lang w:val="lt-LT"/>
        </w:rPr>
        <w:t>s</w:t>
      </w:r>
      <w:r w:rsidRPr="004A478C">
        <w:rPr>
          <w:lang w:val="lt-LT"/>
        </w:rPr>
        <w:t xml:space="preserve"> požymiais</w:t>
      </w:r>
      <w:r w:rsidR="00E332F2" w:rsidRPr="004A478C">
        <w:rPr>
          <w:lang w:val="lt-LT"/>
        </w:rPr>
        <w:t xml:space="preserve"> ir staigios </w:t>
      </w:r>
      <w:proofErr w:type="spellStart"/>
      <w:r w:rsidR="00E332F2" w:rsidRPr="004A478C">
        <w:rPr>
          <w:lang w:val="lt-LT"/>
        </w:rPr>
        <w:t>kardialinės</w:t>
      </w:r>
      <w:proofErr w:type="spellEnd"/>
      <w:r w:rsidR="00E332F2" w:rsidRPr="004A478C">
        <w:rPr>
          <w:lang w:val="lt-LT"/>
        </w:rPr>
        <w:t xml:space="preserve"> mirties atvejai</w:t>
      </w:r>
      <w:r w:rsidRPr="004A478C">
        <w:rPr>
          <w:lang w:val="lt-LT"/>
        </w:rPr>
        <w:t xml:space="preserve"> pasitaikė retai.  </w:t>
      </w:r>
    </w:p>
    <w:p w14:paraId="634440D8" w14:textId="77777777" w:rsidR="00273470" w:rsidRPr="004A478C" w:rsidRDefault="00273470" w:rsidP="003B28E4">
      <w:pPr>
        <w:tabs>
          <w:tab w:val="left" w:pos="4680"/>
        </w:tabs>
        <w:spacing w:line="240" w:lineRule="auto"/>
        <w:rPr>
          <w:lang w:val="lt-LT"/>
        </w:rPr>
      </w:pPr>
      <w:r w:rsidRPr="004A478C">
        <w:rPr>
          <w:lang w:val="lt-LT"/>
        </w:rPr>
        <w:t xml:space="preserve"> </w:t>
      </w:r>
    </w:p>
    <w:p w14:paraId="4C787CA7" w14:textId="50D5529C" w:rsidR="00273470" w:rsidRPr="004A478C" w:rsidRDefault="00273470" w:rsidP="004A478C">
      <w:pPr>
        <w:keepNext/>
        <w:tabs>
          <w:tab w:val="left" w:pos="4680"/>
        </w:tabs>
        <w:spacing w:line="240" w:lineRule="auto"/>
        <w:ind w:left="-6"/>
        <w:rPr>
          <w:szCs w:val="22"/>
          <w:u w:val="single"/>
          <w:lang w:val="lt-LT"/>
        </w:rPr>
      </w:pPr>
      <w:r w:rsidRPr="004A478C">
        <w:rPr>
          <w:szCs w:val="22"/>
          <w:u w:val="single"/>
          <w:lang w:val="lt-LT"/>
        </w:rPr>
        <w:lastRenderedPageBreak/>
        <w:t xml:space="preserve">Nepageidaujamų reakcijų </w:t>
      </w:r>
      <w:r w:rsidR="004B0C8F" w:rsidRPr="004A478C">
        <w:rPr>
          <w:iCs/>
          <w:szCs w:val="22"/>
          <w:u w:val="single"/>
          <w:lang w:val="lt-LT"/>
        </w:rPr>
        <w:t>santrauka</w:t>
      </w:r>
      <w:r w:rsidRPr="004A478C">
        <w:rPr>
          <w:szCs w:val="22"/>
          <w:u w:val="single"/>
          <w:lang w:val="lt-LT"/>
        </w:rPr>
        <w:t xml:space="preserve"> lentelėje </w:t>
      </w:r>
    </w:p>
    <w:p w14:paraId="4552F8DF" w14:textId="28CEB1AE" w:rsidR="00273470" w:rsidRPr="004A478C" w:rsidRDefault="00273470" w:rsidP="003B28E4">
      <w:pPr>
        <w:tabs>
          <w:tab w:val="left" w:pos="4680"/>
        </w:tabs>
        <w:spacing w:line="240" w:lineRule="auto"/>
        <w:ind w:left="2" w:right="397"/>
        <w:rPr>
          <w:szCs w:val="22"/>
          <w:lang w:val="lt-LT"/>
        </w:rPr>
      </w:pPr>
      <w:r w:rsidRPr="004A478C">
        <w:rPr>
          <w:szCs w:val="22"/>
          <w:lang w:val="lt-LT"/>
        </w:rPr>
        <w:t xml:space="preserve">Toliau išvardytos nepageidaujamos reakcijos, pasireiškusios vartojant </w:t>
      </w:r>
      <w:proofErr w:type="spellStart"/>
      <w:r w:rsidRPr="004A478C">
        <w:rPr>
          <w:szCs w:val="22"/>
          <w:lang w:val="lt-LT"/>
        </w:rPr>
        <w:t>febuksostatą</w:t>
      </w:r>
      <w:proofErr w:type="spellEnd"/>
      <w:r w:rsidR="004B0C8F" w:rsidRPr="004A478C">
        <w:rPr>
          <w:szCs w:val="22"/>
          <w:lang w:val="lt-LT"/>
        </w:rPr>
        <w:t>. Nepageidaujamo poveikio dažnis apibūdinamas taip:</w:t>
      </w:r>
      <w:r w:rsidRPr="004A478C">
        <w:rPr>
          <w:szCs w:val="22"/>
          <w:lang w:val="lt-LT"/>
        </w:rPr>
        <w:t xml:space="preserve"> dažn</w:t>
      </w:r>
      <w:r w:rsidR="004B0C8F" w:rsidRPr="004A478C">
        <w:rPr>
          <w:szCs w:val="22"/>
          <w:lang w:val="lt-LT"/>
        </w:rPr>
        <w:t>as</w:t>
      </w:r>
      <w:r w:rsidRPr="004A478C">
        <w:rPr>
          <w:szCs w:val="22"/>
          <w:lang w:val="lt-LT"/>
        </w:rPr>
        <w:t xml:space="preserve"> (nuo ≥ 1/100 iki &lt; 1/10), nedažn</w:t>
      </w:r>
      <w:r w:rsidR="004B0C8F" w:rsidRPr="004A478C">
        <w:rPr>
          <w:szCs w:val="22"/>
          <w:lang w:val="lt-LT"/>
        </w:rPr>
        <w:t>as</w:t>
      </w:r>
      <w:r w:rsidRPr="004A478C">
        <w:rPr>
          <w:szCs w:val="22"/>
          <w:lang w:val="lt-LT"/>
        </w:rPr>
        <w:t xml:space="preserve"> (nuo ≥ 1/1</w:t>
      </w:r>
      <w:r w:rsidR="00A470A2" w:rsidRPr="004A478C">
        <w:rPr>
          <w:szCs w:val="22"/>
          <w:lang w:val="lt-LT"/>
        </w:rPr>
        <w:t> </w:t>
      </w:r>
      <w:r w:rsidRPr="004A478C">
        <w:rPr>
          <w:szCs w:val="22"/>
          <w:lang w:val="lt-LT"/>
        </w:rPr>
        <w:t>000 iki &lt; 1/100) ir ret</w:t>
      </w:r>
      <w:r w:rsidR="004B0C8F" w:rsidRPr="004A478C">
        <w:rPr>
          <w:szCs w:val="22"/>
          <w:lang w:val="lt-LT"/>
        </w:rPr>
        <w:t>as</w:t>
      </w:r>
      <w:r w:rsidRPr="004A478C">
        <w:rPr>
          <w:szCs w:val="22"/>
          <w:lang w:val="lt-LT"/>
        </w:rPr>
        <w:t xml:space="preserve"> (nuo </w:t>
      </w:r>
      <w:r w:rsidR="0070394F" w:rsidRPr="004A478C">
        <w:rPr>
          <w:rFonts w:eastAsia="Segoe UI Symbol"/>
          <w:szCs w:val="22"/>
          <w:lang w:val="lt-LT"/>
        </w:rPr>
        <w:t>≥</w:t>
      </w:r>
      <w:r w:rsidRPr="004A478C">
        <w:rPr>
          <w:szCs w:val="22"/>
          <w:lang w:val="lt-LT"/>
        </w:rPr>
        <w:t xml:space="preserve"> 1/10 000 iki &lt; 1/1</w:t>
      </w:r>
      <w:r w:rsidR="00A470A2" w:rsidRPr="004A478C">
        <w:rPr>
          <w:szCs w:val="22"/>
          <w:lang w:val="lt-LT"/>
        </w:rPr>
        <w:t> </w:t>
      </w:r>
      <w:r w:rsidRPr="004A478C">
        <w:rPr>
          <w:szCs w:val="22"/>
          <w:lang w:val="lt-LT"/>
        </w:rPr>
        <w:t xml:space="preserve">000). </w:t>
      </w:r>
    </w:p>
    <w:p w14:paraId="1B225390" w14:textId="77777777" w:rsidR="00273470" w:rsidRPr="004A478C" w:rsidRDefault="00273470" w:rsidP="003B28E4">
      <w:pPr>
        <w:tabs>
          <w:tab w:val="left" w:pos="4680"/>
        </w:tabs>
        <w:spacing w:line="240" w:lineRule="auto"/>
        <w:rPr>
          <w:lang w:val="lt-LT"/>
        </w:rPr>
      </w:pPr>
      <w:r w:rsidRPr="004A478C">
        <w:rPr>
          <w:lang w:val="lt-LT"/>
        </w:rPr>
        <w:t xml:space="preserve"> </w:t>
      </w:r>
    </w:p>
    <w:p w14:paraId="0EEC78E8" w14:textId="77777777" w:rsidR="00273470" w:rsidRPr="004A478C" w:rsidRDefault="00273470" w:rsidP="003B28E4">
      <w:pPr>
        <w:tabs>
          <w:tab w:val="left" w:pos="4680"/>
        </w:tabs>
        <w:spacing w:line="240" w:lineRule="auto"/>
        <w:ind w:left="2" w:right="397"/>
        <w:rPr>
          <w:lang w:val="lt-LT"/>
        </w:rPr>
      </w:pPr>
      <w:r w:rsidRPr="004A478C">
        <w:rPr>
          <w:lang w:val="lt-LT"/>
        </w:rPr>
        <w:t xml:space="preserve">Kiekvienoje dažnio grupėje nepageidaujamos reakcijos pateikiamos mažėjančio sunkumo tvarka. </w:t>
      </w:r>
    </w:p>
    <w:p w14:paraId="20E71B99" w14:textId="77777777" w:rsidR="00273470" w:rsidRPr="004A478C" w:rsidRDefault="00273470" w:rsidP="003B28E4">
      <w:pPr>
        <w:tabs>
          <w:tab w:val="left" w:pos="4680"/>
        </w:tabs>
        <w:spacing w:line="240" w:lineRule="auto"/>
        <w:rPr>
          <w:lang w:val="lt-LT"/>
        </w:rPr>
      </w:pPr>
      <w:r w:rsidRPr="004A478C">
        <w:rPr>
          <w:i/>
          <w:lang w:val="lt-LT"/>
        </w:rPr>
        <w:t xml:space="preserve"> </w:t>
      </w:r>
    </w:p>
    <w:p w14:paraId="5D1A82B7" w14:textId="5E3088DC" w:rsidR="00273470" w:rsidRPr="004A478C" w:rsidRDefault="00273470" w:rsidP="003B28E4">
      <w:pPr>
        <w:tabs>
          <w:tab w:val="left" w:pos="4680"/>
        </w:tabs>
        <w:spacing w:line="240" w:lineRule="auto"/>
        <w:ind w:left="-5"/>
        <w:rPr>
          <w:lang w:val="lt-LT"/>
        </w:rPr>
      </w:pPr>
      <w:r w:rsidRPr="004A478C">
        <w:rPr>
          <w:i/>
          <w:lang w:val="lt-LT"/>
        </w:rPr>
        <w:t xml:space="preserve">1 lentelė: Nepageidaujamos reakcijos, </w:t>
      </w:r>
      <w:r w:rsidR="00257C07" w:rsidRPr="004A478C">
        <w:rPr>
          <w:i/>
          <w:lang w:val="lt-LT"/>
        </w:rPr>
        <w:t xml:space="preserve">nustatytos </w:t>
      </w:r>
      <w:r w:rsidRPr="004A478C">
        <w:rPr>
          <w:i/>
          <w:lang w:val="lt-LT"/>
        </w:rPr>
        <w:t>jungtinių 3 fazės ilgalaikių tęstinių tyrimų metu</w:t>
      </w:r>
      <w:r w:rsidR="00A470A2" w:rsidRPr="004A478C">
        <w:rPr>
          <w:i/>
          <w:lang w:val="lt-LT"/>
        </w:rPr>
        <w:t xml:space="preserve">, </w:t>
      </w:r>
      <w:proofErr w:type="spellStart"/>
      <w:r w:rsidR="00861548" w:rsidRPr="004A478C">
        <w:rPr>
          <w:i/>
          <w:lang w:val="lt-LT"/>
        </w:rPr>
        <w:t>poregistracinių</w:t>
      </w:r>
      <w:proofErr w:type="spellEnd"/>
      <w:r w:rsidR="00861548" w:rsidRPr="004A478C">
        <w:rPr>
          <w:i/>
          <w:lang w:val="lt-LT"/>
        </w:rPr>
        <w:t xml:space="preserve"> saugumo tyrimų metu</w:t>
      </w:r>
      <w:r w:rsidRPr="004A478C">
        <w:rPr>
          <w:i/>
          <w:lang w:val="lt-LT"/>
        </w:rPr>
        <w:t xml:space="preserve"> ir po vaistinio preparato pate</w:t>
      </w:r>
      <w:r w:rsidR="00F34435" w:rsidRPr="004A478C">
        <w:rPr>
          <w:i/>
          <w:lang w:val="lt-LT"/>
        </w:rPr>
        <w:t>i</w:t>
      </w:r>
      <w:r w:rsidRPr="004A478C">
        <w:rPr>
          <w:i/>
          <w:lang w:val="lt-LT"/>
        </w:rPr>
        <w:t xml:space="preserve">kimo į rinką </w:t>
      </w:r>
    </w:p>
    <w:p w14:paraId="0007DFBF" w14:textId="77777777" w:rsidR="00273470" w:rsidRPr="004B0C8F" w:rsidRDefault="00273470" w:rsidP="003B28E4">
      <w:pPr>
        <w:tabs>
          <w:tab w:val="left" w:pos="4680"/>
        </w:tabs>
        <w:spacing w:line="240" w:lineRule="auto"/>
        <w:ind w:left="-1853" w:right="262"/>
        <w:rPr>
          <w:szCs w:val="22"/>
          <w:lang w:val="lt-LT"/>
        </w:rPr>
      </w:pPr>
    </w:p>
    <w:tbl>
      <w:tblPr>
        <w:tblW w:w="8762" w:type="dxa"/>
        <w:tblInd w:w="-103" w:type="dxa"/>
        <w:tblCellMar>
          <w:top w:w="44" w:type="dxa"/>
          <w:left w:w="99" w:type="dxa"/>
          <w:right w:w="115" w:type="dxa"/>
        </w:tblCellMar>
        <w:tblLook w:val="04A0" w:firstRow="1" w:lastRow="0" w:firstColumn="1" w:lastColumn="0" w:noHBand="0" w:noVBand="1"/>
      </w:tblPr>
      <w:tblGrid>
        <w:gridCol w:w="3035"/>
        <w:gridCol w:w="5727"/>
      </w:tblGrid>
      <w:tr w:rsidR="004B0C8F" w:rsidRPr="007F09F8" w14:paraId="23F473D8" w14:textId="77777777" w:rsidTr="004A478C">
        <w:trPr>
          <w:trHeight w:val="248"/>
        </w:trPr>
        <w:tc>
          <w:tcPr>
            <w:tcW w:w="3035" w:type="dxa"/>
            <w:tcBorders>
              <w:top w:val="single" w:sz="3" w:space="0" w:color="000000"/>
              <w:left w:val="single" w:sz="4" w:space="0" w:color="000000"/>
              <w:bottom w:val="single" w:sz="4" w:space="0" w:color="000000"/>
              <w:right w:val="single" w:sz="3" w:space="0" w:color="000000"/>
            </w:tcBorders>
            <w:shd w:val="clear" w:color="auto" w:fill="auto"/>
          </w:tcPr>
          <w:p w14:paraId="265B217D" w14:textId="7A9D9ABB" w:rsidR="004B0C8F" w:rsidRPr="004A478C" w:rsidRDefault="004B0C8F" w:rsidP="004A478C">
            <w:pPr>
              <w:tabs>
                <w:tab w:val="left" w:pos="4680"/>
              </w:tabs>
              <w:spacing w:line="240" w:lineRule="auto"/>
              <w:rPr>
                <w:lang w:val="lt-LT"/>
              </w:rPr>
            </w:pPr>
            <w:r w:rsidRPr="004A478C">
              <w:rPr>
                <w:lang w:val="lt-LT"/>
              </w:rPr>
              <w:t>Kraujo ir limfinės sistemos sutrikimai</w:t>
            </w:r>
          </w:p>
        </w:tc>
        <w:tc>
          <w:tcPr>
            <w:tcW w:w="5727" w:type="dxa"/>
            <w:tcBorders>
              <w:top w:val="single" w:sz="3" w:space="0" w:color="000000"/>
              <w:left w:val="single" w:sz="3" w:space="0" w:color="000000"/>
              <w:bottom w:val="single" w:sz="4" w:space="0" w:color="000000"/>
              <w:right w:val="single" w:sz="4" w:space="0" w:color="000000"/>
            </w:tcBorders>
            <w:shd w:val="clear" w:color="auto" w:fill="auto"/>
          </w:tcPr>
          <w:p w14:paraId="05AA6360" w14:textId="0B45E21C" w:rsidR="004B0C8F" w:rsidRPr="004A478C" w:rsidRDefault="004B0C8F" w:rsidP="004B0C8F">
            <w:pPr>
              <w:tabs>
                <w:tab w:val="left" w:pos="4680"/>
              </w:tabs>
              <w:spacing w:line="240" w:lineRule="auto"/>
              <w:ind w:left="1"/>
              <w:rPr>
                <w:lang w:val="lt-LT"/>
              </w:rPr>
            </w:pPr>
            <w:r w:rsidRPr="004A478C">
              <w:rPr>
                <w:u w:val="single" w:color="000000"/>
                <w:lang w:val="lt-LT"/>
              </w:rPr>
              <w:t>Ret</w:t>
            </w:r>
            <w:r w:rsidR="000954C1" w:rsidRPr="004A478C">
              <w:rPr>
                <w:u w:val="single" w:color="000000"/>
                <w:lang w:val="lt-LT"/>
              </w:rPr>
              <w:t>as</w:t>
            </w:r>
            <w:r w:rsidRPr="004A478C">
              <w:rPr>
                <w:lang w:val="lt-LT"/>
              </w:rPr>
              <w:t xml:space="preserve"> </w:t>
            </w:r>
          </w:p>
          <w:p w14:paraId="11206CA3" w14:textId="74B2FDEA" w:rsidR="004B0C8F" w:rsidRPr="004A478C" w:rsidRDefault="004B0C8F" w:rsidP="004A478C">
            <w:pPr>
              <w:tabs>
                <w:tab w:val="left" w:pos="4680"/>
              </w:tabs>
              <w:spacing w:line="240" w:lineRule="auto"/>
              <w:rPr>
                <w:u w:val="single" w:color="000000"/>
                <w:lang w:val="lt-LT"/>
              </w:rPr>
            </w:pPr>
            <w:proofErr w:type="spellStart"/>
            <w:r w:rsidRPr="004A478C">
              <w:rPr>
                <w:lang w:val="lt-LT"/>
              </w:rPr>
              <w:t>Pancitopenija</w:t>
            </w:r>
            <w:proofErr w:type="spellEnd"/>
            <w:r w:rsidRPr="004A478C">
              <w:rPr>
                <w:lang w:val="lt-LT"/>
              </w:rPr>
              <w:t xml:space="preserve">, </w:t>
            </w:r>
            <w:proofErr w:type="spellStart"/>
            <w:r w:rsidRPr="004A478C">
              <w:rPr>
                <w:lang w:val="lt-LT"/>
              </w:rPr>
              <w:t>trombocitopenija</w:t>
            </w:r>
            <w:proofErr w:type="spellEnd"/>
            <w:r w:rsidRPr="004A478C">
              <w:rPr>
                <w:lang w:val="lt-LT"/>
              </w:rPr>
              <w:t xml:space="preserve">, </w:t>
            </w:r>
            <w:proofErr w:type="spellStart"/>
            <w:r w:rsidRPr="004A478C">
              <w:rPr>
                <w:lang w:val="lt-LT"/>
              </w:rPr>
              <w:t>agranulocitozė</w:t>
            </w:r>
            <w:proofErr w:type="spellEnd"/>
            <w:r w:rsidRPr="004A478C">
              <w:rPr>
                <w:lang w:val="lt-LT"/>
              </w:rPr>
              <w:t>*, anemija</w:t>
            </w:r>
            <w:r w:rsidRPr="004A478C">
              <w:rPr>
                <w:vertAlign w:val="superscript"/>
                <w:lang w:val="lt-LT"/>
              </w:rPr>
              <w:t>#</w:t>
            </w:r>
          </w:p>
        </w:tc>
      </w:tr>
      <w:tr w:rsidR="004B0C8F" w:rsidRPr="004A478C" w14:paraId="44E0EF86" w14:textId="77777777" w:rsidTr="004A478C">
        <w:trPr>
          <w:trHeight w:val="248"/>
        </w:trPr>
        <w:tc>
          <w:tcPr>
            <w:tcW w:w="3035" w:type="dxa"/>
            <w:tcBorders>
              <w:top w:val="single" w:sz="3" w:space="0" w:color="000000"/>
              <w:left w:val="single" w:sz="4" w:space="0" w:color="000000"/>
              <w:bottom w:val="single" w:sz="4" w:space="0" w:color="000000"/>
              <w:right w:val="single" w:sz="3" w:space="0" w:color="000000"/>
            </w:tcBorders>
            <w:shd w:val="clear" w:color="auto" w:fill="auto"/>
          </w:tcPr>
          <w:p w14:paraId="1140BE3C" w14:textId="6489426A" w:rsidR="004B0C8F" w:rsidRPr="004A478C" w:rsidRDefault="004B0C8F" w:rsidP="004A478C">
            <w:pPr>
              <w:tabs>
                <w:tab w:val="left" w:pos="4680"/>
              </w:tabs>
              <w:spacing w:line="240" w:lineRule="auto"/>
              <w:rPr>
                <w:lang w:val="lt-LT"/>
              </w:rPr>
            </w:pPr>
            <w:r w:rsidRPr="004A478C">
              <w:rPr>
                <w:lang w:val="lt-LT"/>
              </w:rPr>
              <w:t xml:space="preserve">Imuninės sistemos sutrikimai </w:t>
            </w:r>
          </w:p>
        </w:tc>
        <w:tc>
          <w:tcPr>
            <w:tcW w:w="5727" w:type="dxa"/>
            <w:tcBorders>
              <w:top w:val="single" w:sz="3" w:space="0" w:color="000000"/>
              <w:left w:val="single" w:sz="3" w:space="0" w:color="000000"/>
              <w:bottom w:val="single" w:sz="4" w:space="0" w:color="000000"/>
              <w:right w:val="single" w:sz="4" w:space="0" w:color="000000"/>
            </w:tcBorders>
            <w:shd w:val="clear" w:color="auto" w:fill="auto"/>
          </w:tcPr>
          <w:p w14:paraId="7E393667" w14:textId="13000E7D" w:rsidR="004B0C8F" w:rsidRPr="004A478C" w:rsidRDefault="004B0C8F" w:rsidP="004B0C8F">
            <w:pPr>
              <w:tabs>
                <w:tab w:val="left" w:pos="4680"/>
              </w:tabs>
              <w:spacing w:line="240" w:lineRule="auto"/>
              <w:rPr>
                <w:lang w:val="lt-LT"/>
              </w:rPr>
            </w:pPr>
            <w:r w:rsidRPr="004A478C">
              <w:rPr>
                <w:u w:val="single" w:color="000000"/>
                <w:lang w:val="lt-LT"/>
              </w:rPr>
              <w:t>Ret</w:t>
            </w:r>
            <w:r w:rsidR="000954C1" w:rsidRPr="004A478C">
              <w:rPr>
                <w:u w:val="single" w:color="000000"/>
                <w:lang w:val="lt-LT"/>
              </w:rPr>
              <w:t>as</w:t>
            </w:r>
            <w:r w:rsidRPr="004A478C">
              <w:rPr>
                <w:lang w:val="lt-LT"/>
              </w:rPr>
              <w:t xml:space="preserve"> </w:t>
            </w:r>
          </w:p>
          <w:p w14:paraId="7BCEBACB" w14:textId="04387B60" w:rsidR="004B0C8F" w:rsidRPr="004A478C" w:rsidRDefault="004B0C8F" w:rsidP="004A478C">
            <w:pPr>
              <w:tabs>
                <w:tab w:val="left" w:pos="4680"/>
              </w:tabs>
              <w:spacing w:line="240" w:lineRule="auto"/>
              <w:rPr>
                <w:lang w:val="lt-LT"/>
              </w:rPr>
            </w:pPr>
            <w:r w:rsidRPr="004A478C">
              <w:rPr>
                <w:lang w:val="lt-LT"/>
              </w:rPr>
              <w:t>Anafilaksinė reakcija*, padidėjęs jautrumas vaistiniam preparatui</w:t>
            </w:r>
          </w:p>
        </w:tc>
      </w:tr>
      <w:tr w:rsidR="004B0C8F" w:rsidRPr="007F09F8" w14:paraId="19CC8FD6" w14:textId="77777777" w:rsidTr="004A478C">
        <w:trPr>
          <w:trHeight w:val="248"/>
        </w:trPr>
        <w:tc>
          <w:tcPr>
            <w:tcW w:w="3035" w:type="dxa"/>
            <w:tcBorders>
              <w:top w:val="single" w:sz="3" w:space="0" w:color="000000"/>
              <w:left w:val="single" w:sz="4" w:space="0" w:color="000000"/>
              <w:bottom w:val="single" w:sz="4" w:space="0" w:color="000000"/>
              <w:right w:val="single" w:sz="3" w:space="0" w:color="000000"/>
            </w:tcBorders>
            <w:shd w:val="clear" w:color="auto" w:fill="auto"/>
          </w:tcPr>
          <w:p w14:paraId="491F442E" w14:textId="05E1BA91" w:rsidR="004B0C8F" w:rsidRPr="004A478C" w:rsidRDefault="004B0C8F" w:rsidP="004A478C">
            <w:pPr>
              <w:tabs>
                <w:tab w:val="left" w:pos="4680"/>
              </w:tabs>
              <w:spacing w:line="240" w:lineRule="auto"/>
              <w:rPr>
                <w:lang w:val="lt-LT"/>
              </w:rPr>
            </w:pPr>
            <w:r w:rsidRPr="004A478C">
              <w:rPr>
                <w:lang w:val="lt-LT"/>
              </w:rPr>
              <w:t>Endokrininiai sutrikimai</w:t>
            </w:r>
          </w:p>
        </w:tc>
        <w:tc>
          <w:tcPr>
            <w:tcW w:w="5727" w:type="dxa"/>
            <w:tcBorders>
              <w:top w:val="single" w:sz="3" w:space="0" w:color="000000"/>
              <w:left w:val="single" w:sz="3" w:space="0" w:color="000000"/>
              <w:bottom w:val="single" w:sz="4" w:space="0" w:color="000000"/>
              <w:right w:val="single" w:sz="4" w:space="0" w:color="000000"/>
            </w:tcBorders>
            <w:shd w:val="clear" w:color="auto" w:fill="auto"/>
          </w:tcPr>
          <w:p w14:paraId="36ED8C18" w14:textId="1B566249" w:rsidR="004B0C8F" w:rsidRDefault="004B0C8F" w:rsidP="004B0C8F">
            <w:pPr>
              <w:tabs>
                <w:tab w:val="left" w:pos="4680"/>
              </w:tabs>
              <w:spacing w:line="240" w:lineRule="auto"/>
              <w:rPr>
                <w:szCs w:val="22"/>
                <w:u w:val="single" w:color="000000"/>
                <w:lang w:val="lt-LT"/>
              </w:rPr>
            </w:pPr>
            <w:r w:rsidRPr="004A478C">
              <w:rPr>
                <w:u w:val="single" w:color="000000"/>
                <w:lang w:val="lt-LT"/>
              </w:rPr>
              <w:t>Nedažn</w:t>
            </w:r>
            <w:r w:rsidR="000954C1" w:rsidRPr="004A478C">
              <w:rPr>
                <w:u w:val="single" w:color="000000"/>
                <w:lang w:val="lt-LT"/>
              </w:rPr>
              <w:t>as</w:t>
            </w:r>
          </w:p>
          <w:p w14:paraId="4F876F7B" w14:textId="2C32E0F9" w:rsidR="004B0C8F" w:rsidRPr="004A478C" w:rsidRDefault="004B0C8F" w:rsidP="004B0C8F">
            <w:pPr>
              <w:tabs>
                <w:tab w:val="left" w:pos="4680"/>
              </w:tabs>
              <w:spacing w:line="240" w:lineRule="auto"/>
              <w:rPr>
                <w:lang w:val="lt-LT"/>
              </w:rPr>
            </w:pPr>
            <w:r w:rsidRPr="004B0C8F">
              <w:rPr>
                <w:szCs w:val="22"/>
                <w:lang w:val="lt-LT"/>
              </w:rPr>
              <w:t xml:space="preserve">Padidėjęs </w:t>
            </w:r>
            <w:proofErr w:type="spellStart"/>
            <w:r w:rsidRPr="004B0C8F">
              <w:rPr>
                <w:szCs w:val="22"/>
                <w:lang w:val="lt-LT"/>
              </w:rPr>
              <w:t>tirotropinio</w:t>
            </w:r>
            <w:proofErr w:type="spellEnd"/>
            <w:r w:rsidRPr="004B0C8F">
              <w:rPr>
                <w:szCs w:val="22"/>
                <w:lang w:val="lt-LT"/>
              </w:rPr>
              <w:t xml:space="preserve"> hormono kiekis kraujyje, </w:t>
            </w:r>
            <w:proofErr w:type="spellStart"/>
            <w:r w:rsidRPr="004B0C8F">
              <w:rPr>
                <w:szCs w:val="22"/>
                <w:lang w:val="lt-LT"/>
              </w:rPr>
              <w:t>hipotirozė</w:t>
            </w:r>
            <w:proofErr w:type="spellEnd"/>
            <w:r w:rsidRPr="004B0C8F">
              <w:rPr>
                <w:szCs w:val="22"/>
                <w:vertAlign w:val="superscript"/>
                <w:lang w:val="lt-LT"/>
              </w:rPr>
              <w:t>#</w:t>
            </w:r>
            <w:r w:rsidRPr="004B0C8F">
              <w:rPr>
                <w:szCs w:val="22"/>
                <w:lang w:val="lt-LT"/>
              </w:rPr>
              <w:t xml:space="preserve"> </w:t>
            </w:r>
          </w:p>
        </w:tc>
      </w:tr>
      <w:tr w:rsidR="004B0C8F" w:rsidRPr="004A478C" w14:paraId="3CAEF389" w14:textId="77777777" w:rsidTr="004B0C8F">
        <w:trPr>
          <w:trHeight w:val="485"/>
        </w:trPr>
        <w:tc>
          <w:tcPr>
            <w:tcW w:w="3035" w:type="dxa"/>
            <w:tcBorders>
              <w:top w:val="single" w:sz="4" w:space="0" w:color="000000"/>
              <w:left w:val="single" w:sz="4" w:space="0" w:color="000000"/>
              <w:bottom w:val="single" w:sz="4" w:space="0" w:color="000000"/>
              <w:right w:val="single" w:sz="3" w:space="0" w:color="000000"/>
            </w:tcBorders>
            <w:shd w:val="clear" w:color="auto" w:fill="auto"/>
          </w:tcPr>
          <w:p w14:paraId="57B6C986" w14:textId="77777777" w:rsidR="004B0C8F" w:rsidRPr="004B0C8F" w:rsidRDefault="004B0C8F" w:rsidP="004B0C8F">
            <w:pPr>
              <w:tabs>
                <w:tab w:val="left" w:pos="4680"/>
              </w:tabs>
              <w:spacing w:line="240" w:lineRule="auto"/>
              <w:ind w:left="4"/>
              <w:rPr>
                <w:szCs w:val="22"/>
                <w:lang w:val="lt-LT"/>
              </w:rPr>
            </w:pPr>
            <w:r w:rsidRPr="004B0C8F">
              <w:rPr>
                <w:szCs w:val="22"/>
                <w:lang w:val="lt-LT"/>
              </w:rPr>
              <w:t xml:space="preserve">Akių sutrikimai </w:t>
            </w:r>
          </w:p>
        </w:tc>
        <w:tc>
          <w:tcPr>
            <w:tcW w:w="5727" w:type="dxa"/>
            <w:tcBorders>
              <w:top w:val="single" w:sz="4" w:space="0" w:color="000000"/>
              <w:left w:val="single" w:sz="3" w:space="0" w:color="000000"/>
              <w:bottom w:val="single" w:sz="4" w:space="0" w:color="000000"/>
              <w:right w:val="single" w:sz="4" w:space="0" w:color="000000"/>
            </w:tcBorders>
            <w:shd w:val="clear" w:color="auto" w:fill="auto"/>
          </w:tcPr>
          <w:p w14:paraId="1A5E1025" w14:textId="1A620928" w:rsidR="004B0C8F" w:rsidRPr="004B0C8F" w:rsidRDefault="004B0C8F" w:rsidP="004B0C8F">
            <w:pPr>
              <w:tabs>
                <w:tab w:val="left" w:pos="4680"/>
              </w:tabs>
              <w:spacing w:line="240" w:lineRule="auto"/>
              <w:rPr>
                <w:szCs w:val="22"/>
                <w:lang w:val="lt-LT"/>
              </w:rPr>
            </w:pPr>
            <w:r w:rsidRPr="004B0C8F">
              <w:rPr>
                <w:szCs w:val="22"/>
                <w:u w:val="single" w:color="000000"/>
                <w:lang w:val="lt-LT"/>
              </w:rPr>
              <w:t>Nedažn</w:t>
            </w:r>
            <w:r>
              <w:rPr>
                <w:szCs w:val="22"/>
                <w:u w:val="single" w:color="000000"/>
                <w:lang w:val="lt-LT"/>
              </w:rPr>
              <w:t>as</w:t>
            </w:r>
            <w:r w:rsidRPr="004B0C8F">
              <w:rPr>
                <w:szCs w:val="22"/>
                <w:lang w:val="lt-LT"/>
              </w:rPr>
              <w:t xml:space="preserve"> </w:t>
            </w:r>
          </w:p>
          <w:p w14:paraId="21C8DA38" w14:textId="77777777" w:rsidR="004B0C8F" w:rsidRPr="004B0C8F" w:rsidRDefault="004B0C8F" w:rsidP="004B0C8F">
            <w:pPr>
              <w:tabs>
                <w:tab w:val="left" w:pos="4680"/>
              </w:tabs>
              <w:spacing w:line="240" w:lineRule="auto"/>
              <w:rPr>
                <w:szCs w:val="22"/>
                <w:lang w:val="lt-LT"/>
              </w:rPr>
            </w:pPr>
            <w:r w:rsidRPr="004B0C8F">
              <w:rPr>
                <w:szCs w:val="22"/>
                <w:lang w:val="lt-LT"/>
              </w:rPr>
              <w:t xml:space="preserve">Neryškus matymas </w:t>
            </w:r>
          </w:p>
          <w:p w14:paraId="5A204FE9" w14:textId="3E05F2D0" w:rsidR="004B0C8F" w:rsidRPr="004B0C8F" w:rsidRDefault="004B0C8F" w:rsidP="004B0C8F">
            <w:pPr>
              <w:tabs>
                <w:tab w:val="left" w:pos="4680"/>
              </w:tabs>
              <w:spacing w:line="240" w:lineRule="auto"/>
              <w:rPr>
                <w:szCs w:val="22"/>
                <w:lang w:val="lt-LT"/>
              </w:rPr>
            </w:pPr>
            <w:r w:rsidRPr="004B0C8F">
              <w:rPr>
                <w:szCs w:val="22"/>
                <w:u w:val="single"/>
                <w:lang w:val="lt-LT"/>
              </w:rPr>
              <w:t>Ret</w:t>
            </w:r>
            <w:r>
              <w:rPr>
                <w:szCs w:val="22"/>
                <w:u w:val="single"/>
                <w:lang w:val="lt-LT"/>
              </w:rPr>
              <w:t>as</w:t>
            </w:r>
          </w:p>
          <w:p w14:paraId="259E1596" w14:textId="0FE66605" w:rsidR="004B0C8F" w:rsidRPr="004B0C8F" w:rsidRDefault="004B0C8F" w:rsidP="004B0C8F">
            <w:pPr>
              <w:tabs>
                <w:tab w:val="left" w:pos="4680"/>
              </w:tabs>
              <w:spacing w:line="240" w:lineRule="auto"/>
              <w:rPr>
                <w:szCs w:val="22"/>
                <w:vertAlign w:val="superscript"/>
                <w:lang w:val="lt-LT"/>
              </w:rPr>
            </w:pPr>
            <w:r w:rsidRPr="004B0C8F">
              <w:rPr>
                <w:szCs w:val="22"/>
                <w:lang w:val="lt-LT"/>
              </w:rPr>
              <w:t xml:space="preserve">Tinklainės arterijos </w:t>
            </w:r>
            <w:proofErr w:type="spellStart"/>
            <w:r w:rsidRPr="004B0C8F">
              <w:rPr>
                <w:szCs w:val="22"/>
                <w:lang w:val="lt-LT"/>
              </w:rPr>
              <w:t>okliuzija</w:t>
            </w:r>
            <w:proofErr w:type="spellEnd"/>
            <w:r w:rsidRPr="004B0C8F">
              <w:rPr>
                <w:szCs w:val="22"/>
                <w:vertAlign w:val="superscript"/>
                <w:lang w:val="lt-LT"/>
              </w:rPr>
              <w:t>#</w:t>
            </w:r>
          </w:p>
        </w:tc>
      </w:tr>
      <w:tr w:rsidR="004B0C8F" w:rsidRPr="007F09F8" w14:paraId="786E6A0E" w14:textId="77777777" w:rsidTr="004B0C8F">
        <w:trPr>
          <w:trHeight w:val="1674"/>
        </w:trPr>
        <w:tc>
          <w:tcPr>
            <w:tcW w:w="3035" w:type="dxa"/>
            <w:tcBorders>
              <w:top w:val="single" w:sz="4" w:space="0" w:color="000000"/>
              <w:left w:val="single" w:sz="4" w:space="0" w:color="000000"/>
              <w:bottom w:val="single" w:sz="3" w:space="0" w:color="000000"/>
              <w:right w:val="single" w:sz="3" w:space="0" w:color="000000"/>
            </w:tcBorders>
            <w:shd w:val="clear" w:color="auto" w:fill="auto"/>
          </w:tcPr>
          <w:p w14:paraId="1EC192A8" w14:textId="77777777" w:rsidR="004B0C8F" w:rsidRPr="004B0C8F" w:rsidRDefault="004B0C8F" w:rsidP="004B0C8F">
            <w:pPr>
              <w:tabs>
                <w:tab w:val="left" w:pos="4680"/>
              </w:tabs>
              <w:spacing w:line="240" w:lineRule="auto"/>
              <w:ind w:left="4"/>
              <w:rPr>
                <w:szCs w:val="22"/>
                <w:lang w:val="lt-LT"/>
              </w:rPr>
            </w:pPr>
            <w:r w:rsidRPr="004B0C8F">
              <w:rPr>
                <w:szCs w:val="22"/>
                <w:lang w:val="lt-LT"/>
              </w:rPr>
              <w:t xml:space="preserve">Metabolizmo ir mitybos sutrikimai </w:t>
            </w:r>
          </w:p>
        </w:tc>
        <w:tc>
          <w:tcPr>
            <w:tcW w:w="5727" w:type="dxa"/>
            <w:tcBorders>
              <w:top w:val="single" w:sz="4" w:space="0" w:color="000000"/>
              <w:left w:val="single" w:sz="3" w:space="0" w:color="000000"/>
              <w:bottom w:val="single" w:sz="3" w:space="0" w:color="000000"/>
              <w:right w:val="single" w:sz="4" w:space="0" w:color="000000"/>
            </w:tcBorders>
            <w:shd w:val="clear" w:color="auto" w:fill="auto"/>
          </w:tcPr>
          <w:p w14:paraId="0324003D" w14:textId="0540E0A5" w:rsidR="004B0C8F" w:rsidRPr="004B0C8F" w:rsidRDefault="004B0C8F" w:rsidP="004B0C8F">
            <w:pPr>
              <w:tabs>
                <w:tab w:val="left" w:pos="4680"/>
              </w:tabs>
              <w:spacing w:line="240" w:lineRule="auto"/>
              <w:rPr>
                <w:szCs w:val="22"/>
                <w:lang w:val="lt-LT"/>
              </w:rPr>
            </w:pPr>
            <w:r w:rsidRPr="004B0C8F">
              <w:rPr>
                <w:szCs w:val="22"/>
                <w:u w:val="single" w:color="000000"/>
                <w:lang w:val="lt-LT"/>
              </w:rPr>
              <w:t>Dažn</w:t>
            </w:r>
            <w:r>
              <w:rPr>
                <w:szCs w:val="22"/>
                <w:u w:val="single" w:color="000000"/>
                <w:lang w:val="lt-LT"/>
              </w:rPr>
              <w:t>as</w:t>
            </w:r>
            <w:r w:rsidRPr="004B0C8F">
              <w:rPr>
                <w:szCs w:val="22"/>
                <w:u w:val="single" w:color="000000"/>
                <w:lang w:val="lt-LT"/>
              </w:rPr>
              <w:t>***</w:t>
            </w:r>
            <w:r w:rsidRPr="004B0C8F">
              <w:rPr>
                <w:szCs w:val="22"/>
                <w:lang w:val="lt-LT"/>
              </w:rPr>
              <w:t xml:space="preserve"> </w:t>
            </w:r>
          </w:p>
          <w:p w14:paraId="1729E966" w14:textId="77777777" w:rsidR="004B0C8F" w:rsidRPr="004B0C8F" w:rsidRDefault="004B0C8F" w:rsidP="004B0C8F">
            <w:pPr>
              <w:tabs>
                <w:tab w:val="left" w:pos="4680"/>
              </w:tabs>
              <w:spacing w:line="240" w:lineRule="auto"/>
              <w:rPr>
                <w:szCs w:val="22"/>
                <w:lang w:val="lt-LT"/>
              </w:rPr>
            </w:pPr>
            <w:r w:rsidRPr="004B0C8F">
              <w:rPr>
                <w:szCs w:val="22"/>
                <w:lang w:val="lt-LT"/>
              </w:rPr>
              <w:t xml:space="preserve">Podagros paūmėjimas </w:t>
            </w:r>
          </w:p>
          <w:p w14:paraId="3DEB9B3D" w14:textId="24F6CD92" w:rsidR="004B0C8F" w:rsidRPr="004B0C8F" w:rsidRDefault="004B0C8F" w:rsidP="004B0C8F">
            <w:pPr>
              <w:tabs>
                <w:tab w:val="left" w:pos="4680"/>
              </w:tabs>
              <w:spacing w:line="240" w:lineRule="auto"/>
              <w:rPr>
                <w:szCs w:val="22"/>
                <w:lang w:val="lt-LT"/>
              </w:rPr>
            </w:pPr>
            <w:r w:rsidRPr="004B0C8F">
              <w:rPr>
                <w:szCs w:val="22"/>
                <w:u w:val="single" w:color="000000"/>
                <w:lang w:val="lt-LT"/>
              </w:rPr>
              <w:t>Nedažn</w:t>
            </w:r>
            <w:r>
              <w:rPr>
                <w:szCs w:val="22"/>
                <w:u w:val="single" w:color="000000"/>
                <w:lang w:val="lt-LT"/>
              </w:rPr>
              <w:t>as</w:t>
            </w:r>
            <w:r w:rsidRPr="004B0C8F">
              <w:rPr>
                <w:szCs w:val="22"/>
                <w:lang w:val="lt-LT"/>
              </w:rPr>
              <w:t xml:space="preserve"> </w:t>
            </w:r>
          </w:p>
          <w:p w14:paraId="12AF51F3" w14:textId="77777777" w:rsidR="004B0C8F" w:rsidRPr="004B0C8F" w:rsidRDefault="004B0C8F" w:rsidP="004B0C8F">
            <w:pPr>
              <w:tabs>
                <w:tab w:val="left" w:pos="4680"/>
              </w:tabs>
              <w:spacing w:line="240" w:lineRule="auto"/>
              <w:rPr>
                <w:szCs w:val="22"/>
                <w:lang w:val="lt-LT"/>
              </w:rPr>
            </w:pPr>
            <w:r w:rsidRPr="004B0C8F">
              <w:rPr>
                <w:szCs w:val="22"/>
                <w:lang w:val="lt-LT"/>
              </w:rPr>
              <w:t xml:space="preserve">Cukrinis diabetas, </w:t>
            </w:r>
            <w:proofErr w:type="spellStart"/>
            <w:r w:rsidRPr="004B0C8F">
              <w:rPr>
                <w:szCs w:val="22"/>
                <w:lang w:val="lt-LT"/>
              </w:rPr>
              <w:t>hiperlipidemija</w:t>
            </w:r>
            <w:proofErr w:type="spellEnd"/>
            <w:r w:rsidRPr="004B0C8F">
              <w:rPr>
                <w:szCs w:val="22"/>
                <w:lang w:val="lt-LT"/>
              </w:rPr>
              <w:t xml:space="preserve">, apetito sumažėjimas, svorio padidėjimas </w:t>
            </w:r>
          </w:p>
          <w:p w14:paraId="6AE78222" w14:textId="2B391349" w:rsidR="004B0C8F" w:rsidRPr="004B0C8F" w:rsidRDefault="004B0C8F" w:rsidP="004B0C8F">
            <w:pPr>
              <w:tabs>
                <w:tab w:val="left" w:pos="4680"/>
              </w:tabs>
              <w:spacing w:line="240" w:lineRule="auto"/>
              <w:rPr>
                <w:szCs w:val="22"/>
                <w:lang w:val="lt-LT"/>
              </w:rPr>
            </w:pPr>
            <w:r w:rsidRPr="004B0C8F">
              <w:rPr>
                <w:szCs w:val="22"/>
                <w:u w:val="single" w:color="000000"/>
                <w:lang w:val="lt-LT"/>
              </w:rPr>
              <w:t>Ret</w:t>
            </w:r>
            <w:r>
              <w:rPr>
                <w:szCs w:val="22"/>
                <w:u w:val="single" w:color="000000"/>
                <w:lang w:val="lt-LT"/>
              </w:rPr>
              <w:t>as</w:t>
            </w:r>
            <w:r w:rsidRPr="004B0C8F">
              <w:rPr>
                <w:szCs w:val="22"/>
                <w:lang w:val="lt-LT"/>
              </w:rPr>
              <w:t xml:space="preserve"> </w:t>
            </w:r>
          </w:p>
          <w:p w14:paraId="4E784EA8" w14:textId="77777777" w:rsidR="004B0C8F" w:rsidRPr="004B0C8F" w:rsidRDefault="004B0C8F" w:rsidP="004B0C8F">
            <w:pPr>
              <w:tabs>
                <w:tab w:val="left" w:pos="4680"/>
              </w:tabs>
              <w:spacing w:line="240" w:lineRule="auto"/>
              <w:rPr>
                <w:szCs w:val="22"/>
                <w:lang w:val="lt-LT"/>
              </w:rPr>
            </w:pPr>
            <w:r w:rsidRPr="004B0C8F">
              <w:rPr>
                <w:szCs w:val="22"/>
                <w:lang w:val="lt-LT"/>
              </w:rPr>
              <w:t xml:space="preserve">Svorio sumažėjimas, apetito padidėjimas, apetito nebuvimas </w:t>
            </w:r>
          </w:p>
        </w:tc>
      </w:tr>
      <w:tr w:rsidR="004B0C8F" w:rsidRPr="007F09F8" w14:paraId="397013F2" w14:textId="77777777" w:rsidTr="004B0C8F">
        <w:trPr>
          <w:trHeight w:val="961"/>
        </w:trPr>
        <w:tc>
          <w:tcPr>
            <w:tcW w:w="3035" w:type="dxa"/>
            <w:tcBorders>
              <w:top w:val="single" w:sz="3" w:space="0" w:color="000000"/>
              <w:left w:val="single" w:sz="4" w:space="0" w:color="000000"/>
              <w:bottom w:val="single" w:sz="4" w:space="0" w:color="000000"/>
              <w:right w:val="single" w:sz="3" w:space="0" w:color="000000"/>
            </w:tcBorders>
            <w:shd w:val="clear" w:color="auto" w:fill="auto"/>
          </w:tcPr>
          <w:p w14:paraId="3EE791EC" w14:textId="77777777" w:rsidR="004B0C8F" w:rsidRPr="004B0C8F" w:rsidRDefault="004B0C8F" w:rsidP="004B0C8F">
            <w:pPr>
              <w:tabs>
                <w:tab w:val="left" w:pos="4680"/>
              </w:tabs>
              <w:spacing w:line="240" w:lineRule="auto"/>
              <w:ind w:left="4"/>
              <w:rPr>
                <w:szCs w:val="22"/>
                <w:lang w:val="lt-LT"/>
              </w:rPr>
            </w:pPr>
            <w:r w:rsidRPr="004B0C8F">
              <w:rPr>
                <w:szCs w:val="22"/>
                <w:lang w:val="lt-LT"/>
              </w:rPr>
              <w:t xml:space="preserve">Psichikos sutrikimai </w:t>
            </w:r>
          </w:p>
        </w:tc>
        <w:tc>
          <w:tcPr>
            <w:tcW w:w="5727" w:type="dxa"/>
            <w:tcBorders>
              <w:top w:val="single" w:sz="3" w:space="0" w:color="000000"/>
              <w:left w:val="single" w:sz="3" w:space="0" w:color="000000"/>
              <w:bottom w:val="single" w:sz="4" w:space="0" w:color="000000"/>
              <w:right w:val="single" w:sz="4" w:space="0" w:color="000000"/>
            </w:tcBorders>
            <w:shd w:val="clear" w:color="auto" w:fill="auto"/>
          </w:tcPr>
          <w:p w14:paraId="54D5E7DF" w14:textId="47A5A8AB" w:rsidR="004B0C8F" w:rsidRPr="004B0C8F" w:rsidRDefault="004B0C8F" w:rsidP="004B0C8F">
            <w:pPr>
              <w:tabs>
                <w:tab w:val="left" w:pos="4680"/>
              </w:tabs>
              <w:spacing w:line="240" w:lineRule="auto"/>
              <w:rPr>
                <w:szCs w:val="22"/>
                <w:lang w:val="lt-LT"/>
              </w:rPr>
            </w:pPr>
            <w:r w:rsidRPr="004B0C8F">
              <w:rPr>
                <w:szCs w:val="22"/>
                <w:u w:val="single" w:color="000000"/>
                <w:lang w:val="lt-LT"/>
              </w:rPr>
              <w:t>Nedažn</w:t>
            </w:r>
            <w:r>
              <w:rPr>
                <w:szCs w:val="22"/>
                <w:u w:val="single" w:color="000000"/>
                <w:lang w:val="lt-LT"/>
              </w:rPr>
              <w:t>as</w:t>
            </w:r>
            <w:r w:rsidRPr="004B0C8F">
              <w:rPr>
                <w:szCs w:val="22"/>
                <w:lang w:val="lt-LT"/>
              </w:rPr>
              <w:t xml:space="preserve"> </w:t>
            </w:r>
          </w:p>
          <w:p w14:paraId="2D2D2763" w14:textId="77777777" w:rsidR="004B0C8F" w:rsidRPr="004B0C8F" w:rsidRDefault="004B0C8F" w:rsidP="004B0C8F">
            <w:pPr>
              <w:tabs>
                <w:tab w:val="left" w:pos="4680"/>
              </w:tabs>
              <w:spacing w:line="240" w:lineRule="auto"/>
              <w:rPr>
                <w:szCs w:val="22"/>
                <w:lang w:val="lt-LT"/>
              </w:rPr>
            </w:pPr>
            <w:r w:rsidRPr="004B0C8F">
              <w:rPr>
                <w:szCs w:val="22"/>
                <w:lang w:val="lt-LT"/>
              </w:rPr>
              <w:t xml:space="preserve">Sumažėjęs </w:t>
            </w:r>
            <w:proofErr w:type="spellStart"/>
            <w:r w:rsidRPr="004B0C8F">
              <w:rPr>
                <w:szCs w:val="22"/>
                <w:lang w:val="lt-LT"/>
              </w:rPr>
              <w:t>libido</w:t>
            </w:r>
            <w:proofErr w:type="spellEnd"/>
            <w:r w:rsidRPr="004B0C8F">
              <w:rPr>
                <w:szCs w:val="22"/>
                <w:lang w:val="lt-LT"/>
              </w:rPr>
              <w:t xml:space="preserve">, nemiga </w:t>
            </w:r>
          </w:p>
          <w:p w14:paraId="384CBE7B" w14:textId="39447719" w:rsidR="004B0C8F" w:rsidRPr="004B0C8F" w:rsidRDefault="004B0C8F" w:rsidP="004B0C8F">
            <w:pPr>
              <w:tabs>
                <w:tab w:val="left" w:pos="4680"/>
              </w:tabs>
              <w:spacing w:line="240" w:lineRule="auto"/>
              <w:rPr>
                <w:szCs w:val="22"/>
                <w:lang w:val="lt-LT"/>
              </w:rPr>
            </w:pPr>
            <w:r w:rsidRPr="004B0C8F">
              <w:rPr>
                <w:szCs w:val="22"/>
                <w:u w:val="single" w:color="000000"/>
                <w:lang w:val="lt-LT"/>
              </w:rPr>
              <w:t>Ret</w:t>
            </w:r>
            <w:r>
              <w:rPr>
                <w:szCs w:val="22"/>
                <w:u w:val="single" w:color="000000"/>
                <w:lang w:val="lt-LT"/>
              </w:rPr>
              <w:t>as</w:t>
            </w:r>
            <w:r w:rsidRPr="004B0C8F">
              <w:rPr>
                <w:szCs w:val="22"/>
                <w:lang w:val="lt-LT"/>
              </w:rPr>
              <w:t xml:space="preserve"> </w:t>
            </w:r>
          </w:p>
          <w:p w14:paraId="73345364" w14:textId="0698E83F" w:rsidR="004B0C8F" w:rsidRPr="004B0C8F" w:rsidRDefault="004B0C8F" w:rsidP="004B0C8F">
            <w:pPr>
              <w:tabs>
                <w:tab w:val="left" w:pos="4680"/>
              </w:tabs>
              <w:spacing w:line="240" w:lineRule="auto"/>
              <w:rPr>
                <w:szCs w:val="22"/>
                <w:lang w:val="lt-LT"/>
              </w:rPr>
            </w:pPr>
            <w:r w:rsidRPr="004B0C8F">
              <w:rPr>
                <w:szCs w:val="22"/>
                <w:lang w:val="lt-LT"/>
              </w:rPr>
              <w:t>Nervingumas, depresinė nuotaika</w:t>
            </w:r>
            <w:r w:rsidRPr="004B0C8F">
              <w:rPr>
                <w:szCs w:val="22"/>
                <w:vertAlign w:val="superscript"/>
                <w:lang w:val="lt-LT"/>
              </w:rPr>
              <w:t>#</w:t>
            </w:r>
            <w:r w:rsidRPr="004B0C8F">
              <w:rPr>
                <w:szCs w:val="22"/>
                <w:lang w:val="lt-LT"/>
              </w:rPr>
              <w:t>, miego sutrikimai</w:t>
            </w:r>
            <w:r w:rsidRPr="004B0C8F">
              <w:rPr>
                <w:szCs w:val="22"/>
                <w:vertAlign w:val="superscript"/>
                <w:lang w:val="lt-LT"/>
              </w:rPr>
              <w:t>#</w:t>
            </w:r>
            <w:r w:rsidRPr="004B0C8F">
              <w:rPr>
                <w:szCs w:val="22"/>
                <w:lang w:val="lt-LT"/>
              </w:rPr>
              <w:t xml:space="preserve"> </w:t>
            </w:r>
          </w:p>
        </w:tc>
      </w:tr>
      <w:tr w:rsidR="004B0C8F" w:rsidRPr="004B0C8F" w14:paraId="01D7234F" w14:textId="77777777" w:rsidTr="004B0C8F">
        <w:trPr>
          <w:trHeight w:val="1198"/>
        </w:trPr>
        <w:tc>
          <w:tcPr>
            <w:tcW w:w="3035" w:type="dxa"/>
            <w:tcBorders>
              <w:top w:val="single" w:sz="4" w:space="0" w:color="000000"/>
              <w:left w:val="single" w:sz="4" w:space="0" w:color="000000"/>
              <w:bottom w:val="single" w:sz="4" w:space="0" w:color="000000"/>
              <w:right w:val="single" w:sz="3" w:space="0" w:color="000000"/>
            </w:tcBorders>
            <w:shd w:val="clear" w:color="auto" w:fill="auto"/>
          </w:tcPr>
          <w:p w14:paraId="1BBA050E" w14:textId="77777777" w:rsidR="004B0C8F" w:rsidRPr="004B0C8F" w:rsidRDefault="004B0C8F" w:rsidP="004B0C8F">
            <w:pPr>
              <w:tabs>
                <w:tab w:val="left" w:pos="4680"/>
              </w:tabs>
              <w:spacing w:line="240" w:lineRule="auto"/>
              <w:ind w:left="4"/>
              <w:rPr>
                <w:szCs w:val="22"/>
                <w:lang w:val="lt-LT"/>
              </w:rPr>
            </w:pPr>
            <w:r w:rsidRPr="004B0C8F">
              <w:rPr>
                <w:szCs w:val="22"/>
                <w:lang w:val="lt-LT"/>
              </w:rPr>
              <w:t xml:space="preserve">Nervų sistemos sutrikimai </w:t>
            </w:r>
          </w:p>
        </w:tc>
        <w:tc>
          <w:tcPr>
            <w:tcW w:w="5727" w:type="dxa"/>
            <w:tcBorders>
              <w:top w:val="single" w:sz="4" w:space="0" w:color="000000"/>
              <w:left w:val="single" w:sz="3" w:space="0" w:color="000000"/>
              <w:bottom w:val="single" w:sz="4" w:space="0" w:color="000000"/>
              <w:right w:val="single" w:sz="4" w:space="0" w:color="000000"/>
            </w:tcBorders>
            <w:shd w:val="clear" w:color="auto" w:fill="auto"/>
          </w:tcPr>
          <w:p w14:paraId="4A60B144" w14:textId="1299BECB" w:rsidR="004B0C8F" w:rsidRPr="004B0C8F" w:rsidRDefault="004B0C8F" w:rsidP="004B0C8F">
            <w:pPr>
              <w:tabs>
                <w:tab w:val="left" w:pos="4680"/>
              </w:tabs>
              <w:spacing w:line="240" w:lineRule="auto"/>
              <w:rPr>
                <w:szCs w:val="22"/>
                <w:lang w:val="lt-LT"/>
              </w:rPr>
            </w:pPr>
            <w:r w:rsidRPr="004B0C8F">
              <w:rPr>
                <w:szCs w:val="22"/>
                <w:u w:val="single" w:color="000000"/>
                <w:lang w:val="lt-LT"/>
              </w:rPr>
              <w:t>Dažn</w:t>
            </w:r>
            <w:r>
              <w:rPr>
                <w:szCs w:val="22"/>
                <w:u w:val="single" w:color="000000"/>
                <w:lang w:val="lt-LT"/>
              </w:rPr>
              <w:t>as</w:t>
            </w:r>
            <w:r w:rsidRPr="004B0C8F">
              <w:rPr>
                <w:szCs w:val="22"/>
                <w:lang w:val="lt-LT"/>
              </w:rPr>
              <w:t xml:space="preserve"> </w:t>
            </w:r>
          </w:p>
          <w:p w14:paraId="7A7D6CF8" w14:textId="432C830D" w:rsidR="004B0C8F" w:rsidRPr="004B0C8F" w:rsidRDefault="004B0C8F" w:rsidP="004B0C8F">
            <w:pPr>
              <w:tabs>
                <w:tab w:val="left" w:pos="4680"/>
              </w:tabs>
              <w:spacing w:line="240" w:lineRule="auto"/>
              <w:rPr>
                <w:szCs w:val="22"/>
                <w:lang w:val="lt-LT"/>
              </w:rPr>
            </w:pPr>
            <w:r w:rsidRPr="004B0C8F">
              <w:rPr>
                <w:szCs w:val="22"/>
                <w:lang w:val="lt-LT"/>
              </w:rPr>
              <w:t xml:space="preserve">Galvos skausmas, svaigulys </w:t>
            </w:r>
          </w:p>
          <w:p w14:paraId="38CA5C2E" w14:textId="2F393AE1" w:rsidR="004B0C8F" w:rsidRPr="004B0C8F" w:rsidRDefault="004B0C8F" w:rsidP="004B0C8F">
            <w:pPr>
              <w:tabs>
                <w:tab w:val="left" w:pos="4680"/>
              </w:tabs>
              <w:spacing w:line="240" w:lineRule="auto"/>
              <w:rPr>
                <w:szCs w:val="22"/>
                <w:lang w:val="lt-LT"/>
              </w:rPr>
            </w:pPr>
            <w:r w:rsidRPr="004B0C8F">
              <w:rPr>
                <w:szCs w:val="22"/>
                <w:u w:val="single" w:color="000000"/>
                <w:lang w:val="lt-LT"/>
              </w:rPr>
              <w:t>Nedažn</w:t>
            </w:r>
            <w:r>
              <w:rPr>
                <w:szCs w:val="22"/>
                <w:u w:val="single" w:color="000000"/>
                <w:lang w:val="lt-LT"/>
              </w:rPr>
              <w:t>as</w:t>
            </w:r>
            <w:r w:rsidRPr="004B0C8F">
              <w:rPr>
                <w:szCs w:val="22"/>
                <w:lang w:val="lt-LT"/>
              </w:rPr>
              <w:t xml:space="preserve"> </w:t>
            </w:r>
          </w:p>
          <w:p w14:paraId="1605AB75" w14:textId="43404063" w:rsidR="004B0C8F" w:rsidRPr="004B0C8F" w:rsidRDefault="004B0C8F" w:rsidP="004B0C8F">
            <w:pPr>
              <w:tabs>
                <w:tab w:val="left" w:pos="4680"/>
              </w:tabs>
              <w:spacing w:line="240" w:lineRule="auto"/>
              <w:rPr>
                <w:szCs w:val="22"/>
                <w:lang w:val="lt-LT"/>
              </w:rPr>
            </w:pPr>
            <w:proofErr w:type="spellStart"/>
            <w:r w:rsidRPr="004B0C8F">
              <w:rPr>
                <w:szCs w:val="22"/>
                <w:lang w:val="lt-LT"/>
              </w:rPr>
              <w:t>Parestezija</w:t>
            </w:r>
            <w:proofErr w:type="spellEnd"/>
            <w:r w:rsidRPr="004B0C8F">
              <w:rPr>
                <w:szCs w:val="22"/>
                <w:lang w:val="lt-LT"/>
              </w:rPr>
              <w:t xml:space="preserve">, </w:t>
            </w:r>
            <w:proofErr w:type="spellStart"/>
            <w:r w:rsidRPr="004B0C8F">
              <w:rPr>
                <w:szCs w:val="22"/>
                <w:lang w:val="lt-LT"/>
              </w:rPr>
              <w:t>hemiparezė</w:t>
            </w:r>
            <w:proofErr w:type="spellEnd"/>
            <w:r w:rsidRPr="004B0C8F">
              <w:rPr>
                <w:szCs w:val="22"/>
                <w:lang w:val="lt-LT"/>
              </w:rPr>
              <w:t>, mieguistumas (</w:t>
            </w:r>
            <w:proofErr w:type="spellStart"/>
            <w:r w:rsidRPr="004B0C8F">
              <w:rPr>
                <w:szCs w:val="22"/>
                <w:lang w:val="lt-LT"/>
              </w:rPr>
              <w:t>somnolencija</w:t>
            </w:r>
            <w:proofErr w:type="spellEnd"/>
            <w:r w:rsidRPr="004B0C8F">
              <w:rPr>
                <w:szCs w:val="22"/>
                <w:lang w:val="lt-LT"/>
              </w:rPr>
              <w:t>), letargija</w:t>
            </w:r>
            <w:r w:rsidRPr="004B0C8F">
              <w:rPr>
                <w:szCs w:val="22"/>
                <w:vertAlign w:val="superscript"/>
                <w:lang w:val="lt-LT"/>
              </w:rPr>
              <w:t>#</w:t>
            </w:r>
            <w:r w:rsidRPr="004B0C8F">
              <w:rPr>
                <w:szCs w:val="22"/>
                <w:lang w:val="lt-LT"/>
              </w:rPr>
              <w:t xml:space="preserve">, pakitęs skonio pojūtis, </w:t>
            </w:r>
            <w:proofErr w:type="spellStart"/>
            <w:r w:rsidRPr="004B0C8F">
              <w:rPr>
                <w:szCs w:val="22"/>
                <w:lang w:val="lt-LT"/>
              </w:rPr>
              <w:t>hipestezija</w:t>
            </w:r>
            <w:proofErr w:type="spellEnd"/>
            <w:r w:rsidRPr="004B0C8F">
              <w:rPr>
                <w:szCs w:val="22"/>
                <w:lang w:val="lt-LT"/>
              </w:rPr>
              <w:t xml:space="preserve">, uoslės jautrumo sumažėjimas </w:t>
            </w:r>
          </w:p>
          <w:p w14:paraId="167D9E99" w14:textId="41948801" w:rsidR="004B0C8F" w:rsidRPr="004B0C8F" w:rsidRDefault="004B0C8F" w:rsidP="004B0C8F">
            <w:pPr>
              <w:tabs>
                <w:tab w:val="left" w:pos="4680"/>
              </w:tabs>
              <w:spacing w:line="240" w:lineRule="auto"/>
              <w:rPr>
                <w:szCs w:val="22"/>
                <w:lang w:val="lt-LT"/>
              </w:rPr>
            </w:pPr>
            <w:r w:rsidRPr="004B0C8F">
              <w:rPr>
                <w:szCs w:val="22"/>
                <w:u w:val="single"/>
                <w:lang w:val="lt-LT"/>
              </w:rPr>
              <w:t>Ret</w:t>
            </w:r>
            <w:r>
              <w:rPr>
                <w:szCs w:val="22"/>
                <w:u w:val="single"/>
                <w:lang w:val="lt-LT"/>
              </w:rPr>
              <w:t>as</w:t>
            </w:r>
          </w:p>
          <w:p w14:paraId="463F34BD" w14:textId="12F30024" w:rsidR="004B0C8F" w:rsidRPr="004B0C8F" w:rsidRDefault="004B0C8F" w:rsidP="004B0C8F">
            <w:pPr>
              <w:tabs>
                <w:tab w:val="left" w:pos="4680"/>
              </w:tabs>
              <w:spacing w:line="240" w:lineRule="auto"/>
              <w:rPr>
                <w:szCs w:val="22"/>
                <w:lang w:val="lt-LT"/>
              </w:rPr>
            </w:pPr>
            <w:proofErr w:type="spellStart"/>
            <w:r w:rsidRPr="004B0C8F">
              <w:rPr>
                <w:szCs w:val="22"/>
                <w:lang w:val="lt-LT"/>
              </w:rPr>
              <w:t>Ageuzija</w:t>
            </w:r>
            <w:proofErr w:type="spellEnd"/>
            <w:r w:rsidRPr="004B0C8F">
              <w:rPr>
                <w:szCs w:val="22"/>
                <w:vertAlign w:val="superscript"/>
                <w:lang w:val="lt-LT"/>
              </w:rPr>
              <w:t>#</w:t>
            </w:r>
            <w:r w:rsidRPr="004B0C8F">
              <w:rPr>
                <w:szCs w:val="22"/>
                <w:lang w:val="lt-LT"/>
              </w:rPr>
              <w:t>,</w:t>
            </w:r>
            <w:r w:rsidRPr="004B0C8F">
              <w:rPr>
                <w:szCs w:val="22"/>
                <w:vertAlign w:val="superscript"/>
                <w:lang w:val="lt-LT"/>
              </w:rPr>
              <w:t xml:space="preserve"> </w:t>
            </w:r>
            <w:r w:rsidRPr="004B0C8F">
              <w:rPr>
                <w:szCs w:val="22"/>
                <w:lang w:val="lt-LT"/>
              </w:rPr>
              <w:t>deginimo pojūtis</w:t>
            </w:r>
            <w:r w:rsidRPr="004B0C8F">
              <w:rPr>
                <w:szCs w:val="22"/>
                <w:vertAlign w:val="superscript"/>
                <w:lang w:val="lt-LT"/>
              </w:rPr>
              <w:t>#</w:t>
            </w:r>
          </w:p>
        </w:tc>
      </w:tr>
      <w:tr w:rsidR="004B0C8F" w:rsidRPr="004A478C" w14:paraId="734E9132" w14:textId="77777777" w:rsidTr="009447A4">
        <w:trPr>
          <w:trHeight w:val="1022"/>
        </w:trPr>
        <w:tc>
          <w:tcPr>
            <w:tcW w:w="3035" w:type="dxa"/>
            <w:tcBorders>
              <w:top w:val="single" w:sz="4" w:space="0" w:color="000000"/>
              <w:left w:val="single" w:sz="4" w:space="0" w:color="000000"/>
              <w:bottom w:val="single" w:sz="4" w:space="0" w:color="000000"/>
              <w:right w:val="single" w:sz="3" w:space="0" w:color="000000"/>
            </w:tcBorders>
            <w:shd w:val="clear" w:color="auto" w:fill="auto"/>
          </w:tcPr>
          <w:p w14:paraId="35724FB6" w14:textId="77777777" w:rsidR="004B0C8F" w:rsidRPr="004B0C8F" w:rsidRDefault="004B0C8F" w:rsidP="004B0C8F">
            <w:pPr>
              <w:tabs>
                <w:tab w:val="left" w:pos="4680"/>
              </w:tabs>
              <w:spacing w:line="240" w:lineRule="auto"/>
              <w:ind w:left="4"/>
              <w:rPr>
                <w:szCs w:val="22"/>
                <w:lang w:val="lt-LT"/>
              </w:rPr>
            </w:pPr>
            <w:r w:rsidRPr="004B0C8F">
              <w:rPr>
                <w:szCs w:val="22"/>
                <w:lang w:val="lt-LT"/>
              </w:rPr>
              <w:t xml:space="preserve">Ausų ir labirintų sutrikimai </w:t>
            </w:r>
          </w:p>
          <w:p w14:paraId="7D68D3EE" w14:textId="77777777" w:rsidR="004B0C8F" w:rsidRPr="004B0C8F" w:rsidRDefault="004B0C8F" w:rsidP="004B0C8F">
            <w:pPr>
              <w:tabs>
                <w:tab w:val="left" w:pos="4680"/>
              </w:tabs>
              <w:spacing w:line="240" w:lineRule="auto"/>
              <w:ind w:left="4"/>
              <w:rPr>
                <w:szCs w:val="22"/>
                <w:lang w:val="lt-LT"/>
              </w:rPr>
            </w:pPr>
            <w:r w:rsidRPr="004B0C8F">
              <w:rPr>
                <w:szCs w:val="22"/>
                <w:lang w:val="lt-LT"/>
              </w:rPr>
              <w:t xml:space="preserve"> </w:t>
            </w:r>
          </w:p>
        </w:tc>
        <w:tc>
          <w:tcPr>
            <w:tcW w:w="5727" w:type="dxa"/>
            <w:tcBorders>
              <w:top w:val="single" w:sz="4" w:space="0" w:color="000000"/>
              <w:left w:val="single" w:sz="3" w:space="0" w:color="000000"/>
              <w:bottom w:val="single" w:sz="4" w:space="0" w:color="000000"/>
              <w:right w:val="single" w:sz="4" w:space="0" w:color="000000"/>
            </w:tcBorders>
            <w:shd w:val="clear" w:color="auto" w:fill="auto"/>
          </w:tcPr>
          <w:p w14:paraId="3ACE9680" w14:textId="7A326607" w:rsidR="004B0C8F" w:rsidRPr="004B0C8F" w:rsidRDefault="004B0C8F" w:rsidP="004B0C8F">
            <w:pPr>
              <w:tabs>
                <w:tab w:val="left" w:pos="4680"/>
              </w:tabs>
              <w:spacing w:line="240" w:lineRule="auto"/>
              <w:rPr>
                <w:szCs w:val="22"/>
                <w:u w:val="single" w:color="000000"/>
                <w:lang w:val="lt-LT"/>
              </w:rPr>
            </w:pPr>
            <w:r w:rsidRPr="004B0C8F">
              <w:rPr>
                <w:szCs w:val="22"/>
                <w:u w:val="single" w:color="000000"/>
                <w:lang w:val="lt-LT"/>
              </w:rPr>
              <w:t>Nedažn</w:t>
            </w:r>
            <w:r>
              <w:rPr>
                <w:szCs w:val="22"/>
                <w:u w:val="single" w:color="000000"/>
                <w:lang w:val="lt-LT"/>
              </w:rPr>
              <w:t>as</w:t>
            </w:r>
          </w:p>
          <w:p w14:paraId="14D60A48" w14:textId="1A2E8B07" w:rsidR="004B0C8F" w:rsidRPr="004B0C8F" w:rsidRDefault="004B0C8F" w:rsidP="004B0C8F">
            <w:pPr>
              <w:tabs>
                <w:tab w:val="left" w:pos="4680"/>
              </w:tabs>
              <w:spacing w:line="240" w:lineRule="auto"/>
              <w:rPr>
                <w:szCs w:val="22"/>
                <w:u w:val="single" w:color="000000"/>
                <w:lang w:val="lt-LT"/>
              </w:rPr>
            </w:pPr>
            <w:r w:rsidRPr="004B0C8F">
              <w:rPr>
                <w:szCs w:val="22"/>
                <w:lang w:val="lt-LT"/>
              </w:rPr>
              <w:t>Ūžesys(</w:t>
            </w:r>
            <w:proofErr w:type="spellStart"/>
            <w:r w:rsidRPr="004B0C8F">
              <w:rPr>
                <w:i/>
                <w:szCs w:val="22"/>
                <w:lang w:val="lt-LT"/>
              </w:rPr>
              <w:t>tinnitus</w:t>
            </w:r>
            <w:proofErr w:type="spellEnd"/>
            <w:r w:rsidRPr="004B0C8F">
              <w:rPr>
                <w:szCs w:val="22"/>
                <w:lang w:val="lt-LT"/>
              </w:rPr>
              <w:t>)</w:t>
            </w:r>
          </w:p>
          <w:p w14:paraId="1E0C0292" w14:textId="7A81084F" w:rsidR="004B0C8F" w:rsidRPr="004B0C8F" w:rsidRDefault="004B0C8F" w:rsidP="004B0C8F">
            <w:pPr>
              <w:tabs>
                <w:tab w:val="left" w:pos="4680"/>
              </w:tabs>
              <w:spacing w:line="240" w:lineRule="auto"/>
              <w:rPr>
                <w:szCs w:val="22"/>
                <w:u w:val="single" w:color="000000"/>
                <w:lang w:val="lt-LT"/>
              </w:rPr>
            </w:pPr>
            <w:r w:rsidRPr="004B0C8F">
              <w:rPr>
                <w:szCs w:val="22"/>
                <w:u w:val="single" w:color="000000"/>
                <w:lang w:val="lt-LT"/>
              </w:rPr>
              <w:t>Ret</w:t>
            </w:r>
            <w:r>
              <w:rPr>
                <w:szCs w:val="22"/>
                <w:u w:val="single" w:color="000000"/>
                <w:lang w:val="lt-LT"/>
              </w:rPr>
              <w:t>as</w:t>
            </w:r>
          </w:p>
          <w:p w14:paraId="7BB1E942" w14:textId="248E18AC" w:rsidR="004B0C8F" w:rsidRPr="004B0C8F" w:rsidRDefault="004B0C8F" w:rsidP="004B0C8F">
            <w:pPr>
              <w:tabs>
                <w:tab w:val="left" w:pos="4680"/>
              </w:tabs>
              <w:spacing w:line="240" w:lineRule="auto"/>
              <w:rPr>
                <w:szCs w:val="22"/>
                <w:lang w:val="lt-LT"/>
              </w:rPr>
            </w:pPr>
            <w:proofErr w:type="spellStart"/>
            <w:r w:rsidRPr="009447A4">
              <w:rPr>
                <w:szCs w:val="22"/>
                <w:u w:color="000000"/>
                <w:lang w:val="lt-LT"/>
              </w:rPr>
              <w:t>Vertigo</w:t>
            </w:r>
            <w:proofErr w:type="spellEnd"/>
            <w:r w:rsidRPr="004B0C8F">
              <w:rPr>
                <w:szCs w:val="22"/>
                <w:vertAlign w:val="superscript"/>
                <w:lang w:val="lt-LT"/>
              </w:rPr>
              <w:t>#</w:t>
            </w:r>
            <w:r w:rsidRPr="004B0C8F">
              <w:rPr>
                <w:szCs w:val="22"/>
                <w:lang w:val="lt-LT"/>
              </w:rPr>
              <w:t xml:space="preserve"> </w:t>
            </w:r>
          </w:p>
        </w:tc>
      </w:tr>
      <w:tr w:rsidR="004B0C8F" w:rsidRPr="004B0C8F" w14:paraId="237CDE09" w14:textId="77777777" w:rsidTr="004B0C8F">
        <w:trPr>
          <w:trHeight w:val="485"/>
        </w:trPr>
        <w:tc>
          <w:tcPr>
            <w:tcW w:w="3035" w:type="dxa"/>
            <w:tcBorders>
              <w:top w:val="single" w:sz="4" w:space="0" w:color="000000"/>
              <w:left w:val="single" w:sz="4" w:space="0" w:color="000000"/>
              <w:bottom w:val="single" w:sz="4" w:space="0" w:color="000000"/>
              <w:right w:val="single" w:sz="3" w:space="0" w:color="000000"/>
            </w:tcBorders>
            <w:shd w:val="clear" w:color="auto" w:fill="auto"/>
          </w:tcPr>
          <w:p w14:paraId="28250DB2" w14:textId="77777777" w:rsidR="004B0C8F" w:rsidRPr="004B0C8F" w:rsidRDefault="004B0C8F" w:rsidP="004B0C8F">
            <w:pPr>
              <w:tabs>
                <w:tab w:val="left" w:pos="4680"/>
              </w:tabs>
              <w:spacing w:line="240" w:lineRule="auto"/>
              <w:ind w:left="4"/>
              <w:rPr>
                <w:szCs w:val="22"/>
                <w:lang w:val="lt-LT"/>
              </w:rPr>
            </w:pPr>
            <w:r w:rsidRPr="004B0C8F">
              <w:rPr>
                <w:szCs w:val="22"/>
                <w:lang w:val="lt-LT"/>
              </w:rPr>
              <w:t xml:space="preserve">Širdies sutrikimai </w:t>
            </w:r>
          </w:p>
        </w:tc>
        <w:tc>
          <w:tcPr>
            <w:tcW w:w="5727" w:type="dxa"/>
            <w:tcBorders>
              <w:top w:val="single" w:sz="4" w:space="0" w:color="000000"/>
              <w:left w:val="single" w:sz="3" w:space="0" w:color="000000"/>
              <w:bottom w:val="single" w:sz="4" w:space="0" w:color="000000"/>
              <w:right w:val="single" w:sz="4" w:space="0" w:color="000000"/>
            </w:tcBorders>
            <w:shd w:val="clear" w:color="auto" w:fill="auto"/>
          </w:tcPr>
          <w:p w14:paraId="308B3A1C" w14:textId="4328C2F3" w:rsidR="004B0C8F" w:rsidRPr="004B0C8F" w:rsidRDefault="004B0C8F" w:rsidP="004B0C8F">
            <w:pPr>
              <w:tabs>
                <w:tab w:val="left" w:pos="4680"/>
              </w:tabs>
              <w:spacing w:line="240" w:lineRule="auto"/>
              <w:rPr>
                <w:szCs w:val="22"/>
                <w:lang w:val="lt-LT"/>
              </w:rPr>
            </w:pPr>
            <w:r w:rsidRPr="004B0C8F">
              <w:rPr>
                <w:szCs w:val="22"/>
                <w:u w:val="single" w:color="000000"/>
                <w:lang w:val="lt-LT"/>
              </w:rPr>
              <w:t>Nedažn</w:t>
            </w:r>
            <w:r>
              <w:rPr>
                <w:szCs w:val="22"/>
                <w:u w:val="single" w:color="000000"/>
                <w:lang w:val="lt-LT"/>
              </w:rPr>
              <w:t>as</w:t>
            </w:r>
            <w:r w:rsidRPr="004B0C8F">
              <w:rPr>
                <w:szCs w:val="22"/>
                <w:lang w:val="lt-LT"/>
              </w:rPr>
              <w:t xml:space="preserve"> </w:t>
            </w:r>
          </w:p>
          <w:p w14:paraId="0FAD1730" w14:textId="0FFB1DB8" w:rsidR="004B0C8F" w:rsidRPr="004B0C8F" w:rsidRDefault="004B0C8F" w:rsidP="004B0C8F">
            <w:pPr>
              <w:tabs>
                <w:tab w:val="left" w:pos="4680"/>
              </w:tabs>
              <w:spacing w:line="240" w:lineRule="auto"/>
              <w:rPr>
                <w:szCs w:val="22"/>
                <w:lang w:val="lt-LT"/>
              </w:rPr>
            </w:pPr>
            <w:r w:rsidRPr="004B0C8F">
              <w:rPr>
                <w:szCs w:val="22"/>
                <w:lang w:val="lt-LT"/>
              </w:rPr>
              <w:t xml:space="preserve">Prieširdžių virpėjimas, </w:t>
            </w:r>
            <w:proofErr w:type="spellStart"/>
            <w:r w:rsidRPr="004B0C8F">
              <w:rPr>
                <w:szCs w:val="22"/>
                <w:lang w:val="lt-LT"/>
              </w:rPr>
              <w:t>palpitacija</w:t>
            </w:r>
            <w:proofErr w:type="spellEnd"/>
            <w:r w:rsidRPr="004B0C8F">
              <w:rPr>
                <w:szCs w:val="22"/>
                <w:lang w:val="lt-LT"/>
              </w:rPr>
              <w:t>, EKG pakitimai, aritmija</w:t>
            </w:r>
            <w:r w:rsidRPr="004B0C8F">
              <w:rPr>
                <w:szCs w:val="22"/>
                <w:vertAlign w:val="superscript"/>
                <w:lang w:val="lt-LT"/>
              </w:rPr>
              <w:t>#</w:t>
            </w:r>
            <w:r w:rsidRPr="004B0C8F">
              <w:rPr>
                <w:szCs w:val="22"/>
                <w:lang w:val="lt-LT"/>
              </w:rPr>
              <w:t xml:space="preserve"> </w:t>
            </w:r>
          </w:p>
          <w:p w14:paraId="570D898E" w14:textId="0DCBAEAF" w:rsidR="004B0C8F" w:rsidRPr="004B0C8F" w:rsidRDefault="004B0C8F" w:rsidP="004B0C8F">
            <w:pPr>
              <w:tabs>
                <w:tab w:val="left" w:pos="4680"/>
              </w:tabs>
              <w:spacing w:line="240" w:lineRule="auto"/>
              <w:rPr>
                <w:szCs w:val="22"/>
                <w:u w:val="single"/>
                <w:lang w:val="lt-LT"/>
              </w:rPr>
            </w:pPr>
            <w:r w:rsidRPr="004B0C8F">
              <w:rPr>
                <w:szCs w:val="22"/>
                <w:u w:val="single"/>
                <w:lang w:val="lt-LT"/>
              </w:rPr>
              <w:t>Ret</w:t>
            </w:r>
            <w:r>
              <w:rPr>
                <w:szCs w:val="22"/>
                <w:u w:val="single"/>
                <w:lang w:val="lt-LT"/>
              </w:rPr>
              <w:t>as</w:t>
            </w:r>
          </w:p>
          <w:p w14:paraId="684112D8" w14:textId="3D62ED77" w:rsidR="004B0C8F" w:rsidRPr="004B0C8F" w:rsidRDefault="004B0C8F" w:rsidP="004B0C8F">
            <w:pPr>
              <w:tabs>
                <w:tab w:val="left" w:pos="4680"/>
              </w:tabs>
              <w:spacing w:line="240" w:lineRule="auto"/>
              <w:rPr>
                <w:szCs w:val="22"/>
                <w:lang w:val="lt-LT"/>
              </w:rPr>
            </w:pPr>
            <w:r w:rsidRPr="004B0C8F">
              <w:rPr>
                <w:szCs w:val="22"/>
                <w:lang w:val="lt-LT"/>
              </w:rPr>
              <w:t xml:space="preserve">Staigi </w:t>
            </w:r>
            <w:proofErr w:type="spellStart"/>
            <w:r w:rsidRPr="004B0C8F">
              <w:rPr>
                <w:szCs w:val="22"/>
                <w:lang w:val="lt-LT"/>
              </w:rPr>
              <w:t>kardialinė</w:t>
            </w:r>
            <w:proofErr w:type="spellEnd"/>
            <w:r w:rsidRPr="004B0C8F">
              <w:rPr>
                <w:szCs w:val="22"/>
                <w:lang w:val="lt-LT"/>
              </w:rPr>
              <w:t xml:space="preserve"> mirtis*</w:t>
            </w:r>
          </w:p>
        </w:tc>
      </w:tr>
      <w:tr w:rsidR="004B0C8F" w:rsidRPr="004B0C8F" w14:paraId="393400B9" w14:textId="77777777" w:rsidTr="004B0C8F">
        <w:trPr>
          <w:trHeight w:val="486"/>
        </w:trPr>
        <w:tc>
          <w:tcPr>
            <w:tcW w:w="3035" w:type="dxa"/>
            <w:tcBorders>
              <w:top w:val="single" w:sz="4" w:space="0" w:color="000000"/>
              <w:left w:val="single" w:sz="4" w:space="0" w:color="000000"/>
              <w:bottom w:val="single" w:sz="3" w:space="0" w:color="000000"/>
              <w:right w:val="single" w:sz="3" w:space="0" w:color="000000"/>
            </w:tcBorders>
            <w:shd w:val="clear" w:color="auto" w:fill="auto"/>
          </w:tcPr>
          <w:p w14:paraId="085EB286" w14:textId="77777777" w:rsidR="004B0C8F" w:rsidRPr="004B0C8F" w:rsidRDefault="004B0C8F" w:rsidP="004B0C8F">
            <w:pPr>
              <w:tabs>
                <w:tab w:val="left" w:pos="4680"/>
              </w:tabs>
              <w:spacing w:line="240" w:lineRule="auto"/>
              <w:ind w:left="4"/>
              <w:rPr>
                <w:szCs w:val="22"/>
                <w:lang w:val="lt-LT"/>
              </w:rPr>
            </w:pPr>
            <w:r w:rsidRPr="004B0C8F">
              <w:rPr>
                <w:szCs w:val="22"/>
                <w:lang w:val="lt-LT"/>
              </w:rPr>
              <w:t xml:space="preserve">Kraujagyslių sutrikimai </w:t>
            </w:r>
          </w:p>
        </w:tc>
        <w:tc>
          <w:tcPr>
            <w:tcW w:w="5727" w:type="dxa"/>
            <w:tcBorders>
              <w:top w:val="single" w:sz="4" w:space="0" w:color="000000"/>
              <w:left w:val="single" w:sz="3" w:space="0" w:color="000000"/>
              <w:bottom w:val="single" w:sz="3" w:space="0" w:color="000000"/>
              <w:right w:val="single" w:sz="4" w:space="0" w:color="000000"/>
            </w:tcBorders>
            <w:shd w:val="clear" w:color="auto" w:fill="auto"/>
          </w:tcPr>
          <w:p w14:paraId="33F37B73" w14:textId="59F93136" w:rsidR="004B0C8F" w:rsidRPr="004B0C8F" w:rsidRDefault="004B0C8F" w:rsidP="004B0C8F">
            <w:pPr>
              <w:tabs>
                <w:tab w:val="left" w:pos="4680"/>
              </w:tabs>
              <w:spacing w:line="240" w:lineRule="auto"/>
              <w:rPr>
                <w:szCs w:val="22"/>
                <w:lang w:val="lt-LT"/>
              </w:rPr>
            </w:pPr>
            <w:r w:rsidRPr="004B0C8F">
              <w:rPr>
                <w:szCs w:val="22"/>
                <w:u w:val="single" w:color="000000"/>
                <w:lang w:val="lt-LT"/>
              </w:rPr>
              <w:t>Nedažn</w:t>
            </w:r>
            <w:r>
              <w:rPr>
                <w:szCs w:val="22"/>
                <w:u w:val="single" w:color="000000"/>
                <w:lang w:val="lt-LT"/>
              </w:rPr>
              <w:t>as</w:t>
            </w:r>
            <w:r w:rsidRPr="004B0C8F">
              <w:rPr>
                <w:szCs w:val="22"/>
                <w:lang w:val="lt-LT"/>
              </w:rPr>
              <w:t xml:space="preserve"> </w:t>
            </w:r>
          </w:p>
          <w:p w14:paraId="0968EF2B" w14:textId="77777777" w:rsidR="004B0C8F" w:rsidRPr="004B0C8F" w:rsidRDefault="004B0C8F" w:rsidP="004B0C8F">
            <w:pPr>
              <w:tabs>
                <w:tab w:val="left" w:pos="4680"/>
              </w:tabs>
              <w:spacing w:line="240" w:lineRule="auto"/>
              <w:rPr>
                <w:szCs w:val="22"/>
                <w:lang w:val="lt-LT"/>
              </w:rPr>
            </w:pPr>
            <w:r w:rsidRPr="004B0C8F">
              <w:rPr>
                <w:szCs w:val="22"/>
                <w:lang w:val="lt-LT"/>
              </w:rPr>
              <w:t xml:space="preserve">Hipertenzija, raudonis, karščio pylimas  </w:t>
            </w:r>
          </w:p>
          <w:p w14:paraId="326E5E6A" w14:textId="47E1C2F4" w:rsidR="004B0C8F" w:rsidRPr="004B0C8F" w:rsidRDefault="004B0C8F" w:rsidP="004B0C8F">
            <w:pPr>
              <w:tabs>
                <w:tab w:val="left" w:pos="4680"/>
              </w:tabs>
              <w:spacing w:line="240" w:lineRule="auto"/>
              <w:rPr>
                <w:szCs w:val="22"/>
                <w:u w:val="single"/>
                <w:lang w:val="lt-LT"/>
              </w:rPr>
            </w:pPr>
            <w:r w:rsidRPr="004B0C8F">
              <w:rPr>
                <w:szCs w:val="22"/>
                <w:u w:val="single"/>
                <w:lang w:val="lt-LT"/>
              </w:rPr>
              <w:t>Ret</w:t>
            </w:r>
            <w:r>
              <w:rPr>
                <w:szCs w:val="22"/>
                <w:u w:val="single"/>
                <w:lang w:val="lt-LT"/>
              </w:rPr>
              <w:t>as</w:t>
            </w:r>
          </w:p>
          <w:p w14:paraId="1ED3AA2B" w14:textId="66B22047" w:rsidR="004B0C8F" w:rsidRPr="004B0C8F" w:rsidRDefault="004B0C8F" w:rsidP="004B0C8F">
            <w:pPr>
              <w:tabs>
                <w:tab w:val="left" w:pos="4680"/>
              </w:tabs>
              <w:spacing w:line="240" w:lineRule="auto"/>
              <w:rPr>
                <w:szCs w:val="22"/>
                <w:lang w:val="lt-LT"/>
              </w:rPr>
            </w:pPr>
            <w:r w:rsidRPr="004B0C8F">
              <w:rPr>
                <w:szCs w:val="22"/>
                <w:lang w:val="lt-LT"/>
              </w:rPr>
              <w:t xml:space="preserve">Kraujotakos </w:t>
            </w:r>
            <w:proofErr w:type="spellStart"/>
            <w:r w:rsidRPr="004B0C8F">
              <w:rPr>
                <w:szCs w:val="22"/>
                <w:lang w:val="lt-LT"/>
              </w:rPr>
              <w:t>kolapsas</w:t>
            </w:r>
            <w:proofErr w:type="spellEnd"/>
            <w:r w:rsidRPr="004B0C8F">
              <w:rPr>
                <w:szCs w:val="22"/>
                <w:vertAlign w:val="superscript"/>
                <w:lang w:val="lt-LT"/>
              </w:rPr>
              <w:t>#</w:t>
            </w:r>
          </w:p>
        </w:tc>
      </w:tr>
      <w:tr w:rsidR="004B0C8F" w:rsidRPr="004B0C8F" w14:paraId="582EC14E" w14:textId="77777777" w:rsidTr="004B0C8F">
        <w:trPr>
          <w:trHeight w:val="485"/>
        </w:trPr>
        <w:tc>
          <w:tcPr>
            <w:tcW w:w="3035" w:type="dxa"/>
            <w:tcBorders>
              <w:top w:val="single" w:sz="3" w:space="0" w:color="000000"/>
              <w:left w:val="single" w:sz="4" w:space="0" w:color="000000"/>
              <w:bottom w:val="single" w:sz="3" w:space="0" w:color="000000"/>
              <w:right w:val="single" w:sz="3" w:space="0" w:color="000000"/>
            </w:tcBorders>
            <w:shd w:val="clear" w:color="auto" w:fill="auto"/>
          </w:tcPr>
          <w:p w14:paraId="1B0C8F87" w14:textId="77777777" w:rsidR="004B0C8F" w:rsidRPr="004B0C8F" w:rsidRDefault="004B0C8F" w:rsidP="004B0C8F">
            <w:pPr>
              <w:tabs>
                <w:tab w:val="left" w:pos="4680"/>
              </w:tabs>
              <w:spacing w:line="240" w:lineRule="auto"/>
              <w:ind w:left="4"/>
              <w:rPr>
                <w:szCs w:val="22"/>
                <w:lang w:val="lt-LT"/>
              </w:rPr>
            </w:pPr>
            <w:r w:rsidRPr="004B0C8F">
              <w:rPr>
                <w:szCs w:val="22"/>
                <w:lang w:val="lt-LT"/>
              </w:rPr>
              <w:t xml:space="preserve">Kvėpavimo sistemos, krūtinės ląstos ir tarpuplaučio sutrikimai </w:t>
            </w:r>
          </w:p>
        </w:tc>
        <w:tc>
          <w:tcPr>
            <w:tcW w:w="5727" w:type="dxa"/>
            <w:tcBorders>
              <w:top w:val="single" w:sz="3" w:space="0" w:color="000000"/>
              <w:left w:val="single" w:sz="3" w:space="0" w:color="000000"/>
              <w:bottom w:val="single" w:sz="3" w:space="0" w:color="000000"/>
              <w:right w:val="single" w:sz="4" w:space="0" w:color="000000"/>
            </w:tcBorders>
            <w:shd w:val="clear" w:color="auto" w:fill="auto"/>
          </w:tcPr>
          <w:p w14:paraId="4BEAEB1C" w14:textId="3B00D86B" w:rsidR="004B0C8F" w:rsidRPr="004B0C8F" w:rsidRDefault="004B0C8F" w:rsidP="004B0C8F">
            <w:pPr>
              <w:tabs>
                <w:tab w:val="left" w:pos="4680"/>
              </w:tabs>
              <w:spacing w:line="240" w:lineRule="auto"/>
              <w:rPr>
                <w:szCs w:val="22"/>
                <w:lang w:val="lt-LT"/>
              </w:rPr>
            </w:pPr>
            <w:r w:rsidRPr="004B0C8F">
              <w:rPr>
                <w:szCs w:val="22"/>
                <w:u w:val="single" w:color="000000"/>
                <w:lang w:val="lt-LT"/>
              </w:rPr>
              <w:t>Dažn</w:t>
            </w:r>
            <w:r>
              <w:rPr>
                <w:szCs w:val="22"/>
                <w:u w:val="single" w:color="000000"/>
                <w:lang w:val="lt-LT"/>
              </w:rPr>
              <w:t>as</w:t>
            </w:r>
            <w:r w:rsidRPr="004B0C8F">
              <w:rPr>
                <w:szCs w:val="22"/>
                <w:lang w:val="lt-LT"/>
              </w:rPr>
              <w:t xml:space="preserve"> </w:t>
            </w:r>
          </w:p>
          <w:p w14:paraId="762E0CFB" w14:textId="77777777" w:rsidR="004B0C8F" w:rsidRPr="004B0C8F" w:rsidRDefault="004B0C8F" w:rsidP="004B0C8F">
            <w:pPr>
              <w:tabs>
                <w:tab w:val="left" w:pos="4680"/>
              </w:tabs>
              <w:spacing w:line="240" w:lineRule="auto"/>
              <w:rPr>
                <w:szCs w:val="22"/>
                <w:lang w:val="lt-LT"/>
              </w:rPr>
            </w:pPr>
            <w:r w:rsidRPr="004B0C8F">
              <w:rPr>
                <w:szCs w:val="22"/>
                <w:lang w:val="lt-LT"/>
              </w:rPr>
              <w:t>Dusulys</w:t>
            </w:r>
          </w:p>
          <w:p w14:paraId="3AE42D4B" w14:textId="2A7B492E" w:rsidR="004B0C8F" w:rsidRPr="004B0C8F" w:rsidRDefault="004B0C8F" w:rsidP="004B0C8F">
            <w:pPr>
              <w:tabs>
                <w:tab w:val="left" w:pos="4680"/>
              </w:tabs>
              <w:spacing w:line="240" w:lineRule="auto"/>
              <w:rPr>
                <w:szCs w:val="22"/>
                <w:u w:val="single"/>
                <w:lang w:val="lt-LT"/>
              </w:rPr>
            </w:pPr>
            <w:r w:rsidRPr="004B0C8F">
              <w:rPr>
                <w:szCs w:val="22"/>
                <w:u w:val="single"/>
                <w:lang w:val="lt-LT"/>
              </w:rPr>
              <w:t>Nedažnas</w:t>
            </w:r>
          </w:p>
          <w:p w14:paraId="1179FF8A" w14:textId="62E3150E" w:rsidR="004B0C8F" w:rsidRPr="004B0C8F" w:rsidRDefault="004B0C8F" w:rsidP="004B0C8F">
            <w:pPr>
              <w:tabs>
                <w:tab w:val="left" w:pos="4680"/>
              </w:tabs>
              <w:spacing w:line="240" w:lineRule="auto"/>
              <w:rPr>
                <w:szCs w:val="22"/>
                <w:lang w:val="lt-LT"/>
              </w:rPr>
            </w:pPr>
            <w:r w:rsidRPr="004B0C8F">
              <w:rPr>
                <w:szCs w:val="22"/>
                <w:lang w:val="lt-LT"/>
              </w:rPr>
              <w:lastRenderedPageBreak/>
              <w:t>Bronchitas, viršutinių kvėpavimo takų infekcija, apatinių kvėpavimo takų infekcija</w:t>
            </w:r>
            <w:r w:rsidRPr="004B0C8F">
              <w:rPr>
                <w:szCs w:val="22"/>
                <w:vertAlign w:val="superscript"/>
                <w:lang w:val="lt-LT"/>
              </w:rPr>
              <w:t>#</w:t>
            </w:r>
            <w:r w:rsidRPr="004B0C8F">
              <w:rPr>
                <w:szCs w:val="22"/>
                <w:lang w:val="lt-LT"/>
              </w:rPr>
              <w:t xml:space="preserve">, kosulys, </w:t>
            </w:r>
            <w:proofErr w:type="spellStart"/>
            <w:r w:rsidRPr="004B0C8F">
              <w:rPr>
                <w:szCs w:val="22"/>
                <w:lang w:val="lt-LT"/>
              </w:rPr>
              <w:t>rinorėja</w:t>
            </w:r>
            <w:proofErr w:type="spellEnd"/>
            <w:r w:rsidRPr="004B0C8F">
              <w:rPr>
                <w:szCs w:val="22"/>
                <w:vertAlign w:val="superscript"/>
                <w:lang w:val="lt-LT"/>
              </w:rPr>
              <w:t>#</w:t>
            </w:r>
          </w:p>
          <w:p w14:paraId="133E4089" w14:textId="56B3280D" w:rsidR="004B0C8F" w:rsidRPr="004B0C8F" w:rsidRDefault="004B0C8F" w:rsidP="004B0C8F">
            <w:pPr>
              <w:tabs>
                <w:tab w:val="left" w:pos="4680"/>
              </w:tabs>
              <w:spacing w:line="240" w:lineRule="auto"/>
              <w:rPr>
                <w:szCs w:val="22"/>
                <w:lang w:val="lt-LT"/>
              </w:rPr>
            </w:pPr>
            <w:r w:rsidRPr="004B0C8F">
              <w:rPr>
                <w:szCs w:val="22"/>
                <w:u w:val="single"/>
                <w:lang w:val="lt-LT"/>
              </w:rPr>
              <w:t>Ret</w:t>
            </w:r>
            <w:r>
              <w:rPr>
                <w:szCs w:val="22"/>
                <w:u w:val="single"/>
                <w:lang w:val="lt-LT"/>
              </w:rPr>
              <w:t>as</w:t>
            </w:r>
          </w:p>
          <w:p w14:paraId="0E4A6C70" w14:textId="25EE82E7" w:rsidR="004B0C8F" w:rsidRPr="004B0C8F" w:rsidRDefault="004B0C8F" w:rsidP="004B0C8F">
            <w:pPr>
              <w:tabs>
                <w:tab w:val="left" w:pos="4680"/>
              </w:tabs>
              <w:spacing w:line="240" w:lineRule="auto"/>
              <w:rPr>
                <w:szCs w:val="22"/>
                <w:lang w:val="lt-LT"/>
              </w:rPr>
            </w:pPr>
            <w:r w:rsidRPr="004B0C8F">
              <w:rPr>
                <w:szCs w:val="22"/>
                <w:lang w:val="lt-LT"/>
              </w:rPr>
              <w:t>Pneumonija</w:t>
            </w:r>
            <w:r w:rsidRPr="004B0C8F">
              <w:rPr>
                <w:szCs w:val="22"/>
                <w:vertAlign w:val="superscript"/>
                <w:lang w:val="lt-LT"/>
              </w:rPr>
              <w:t>#</w:t>
            </w:r>
            <w:r w:rsidRPr="004B0C8F">
              <w:rPr>
                <w:szCs w:val="22"/>
                <w:lang w:val="lt-LT"/>
              </w:rPr>
              <w:t xml:space="preserve"> </w:t>
            </w:r>
          </w:p>
        </w:tc>
      </w:tr>
      <w:tr w:rsidR="004B0C8F" w:rsidRPr="004A478C" w14:paraId="1512A779" w14:textId="77777777" w:rsidTr="004B0C8F">
        <w:trPr>
          <w:trHeight w:val="2149"/>
        </w:trPr>
        <w:tc>
          <w:tcPr>
            <w:tcW w:w="3035" w:type="dxa"/>
            <w:tcBorders>
              <w:top w:val="single" w:sz="3" w:space="0" w:color="000000"/>
              <w:left w:val="single" w:sz="4" w:space="0" w:color="000000"/>
              <w:bottom w:val="single" w:sz="4" w:space="0" w:color="000000"/>
              <w:right w:val="single" w:sz="3" w:space="0" w:color="000000"/>
            </w:tcBorders>
            <w:shd w:val="clear" w:color="auto" w:fill="auto"/>
          </w:tcPr>
          <w:p w14:paraId="14BAA528" w14:textId="77777777" w:rsidR="004B0C8F" w:rsidRPr="004B0C8F" w:rsidRDefault="004B0C8F" w:rsidP="004B0C8F">
            <w:pPr>
              <w:tabs>
                <w:tab w:val="left" w:pos="4680"/>
              </w:tabs>
              <w:spacing w:line="240" w:lineRule="auto"/>
              <w:ind w:left="4"/>
              <w:rPr>
                <w:szCs w:val="22"/>
                <w:lang w:val="lt-LT"/>
              </w:rPr>
            </w:pPr>
            <w:r w:rsidRPr="004B0C8F">
              <w:rPr>
                <w:szCs w:val="22"/>
                <w:lang w:val="lt-LT"/>
              </w:rPr>
              <w:lastRenderedPageBreak/>
              <w:t xml:space="preserve">Virškinimo trakto sutrikimai </w:t>
            </w:r>
          </w:p>
        </w:tc>
        <w:tc>
          <w:tcPr>
            <w:tcW w:w="5727" w:type="dxa"/>
            <w:tcBorders>
              <w:top w:val="single" w:sz="3" w:space="0" w:color="000000"/>
              <w:left w:val="single" w:sz="3" w:space="0" w:color="000000"/>
              <w:bottom w:val="single" w:sz="4" w:space="0" w:color="000000"/>
              <w:right w:val="single" w:sz="4" w:space="0" w:color="000000"/>
            </w:tcBorders>
            <w:shd w:val="clear" w:color="auto" w:fill="auto"/>
          </w:tcPr>
          <w:p w14:paraId="575E9E83" w14:textId="3214595C" w:rsidR="004B0C8F" w:rsidRPr="004B0C8F" w:rsidRDefault="004B0C8F" w:rsidP="004B0C8F">
            <w:pPr>
              <w:tabs>
                <w:tab w:val="left" w:pos="4680"/>
              </w:tabs>
              <w:spacing w:line="240" w:lineRule="auto"/>
              <w:rPr>
                <w:szCs w:val="22"/>
                <w:lang w:val="lt-LT"/>
              </w:rPr>
            </w:pPr>
            <w:r w:rsidRPr="004B0C8F">
              <w:rPr>
                <w:szCs w:val="22"/>
                <w:u w:val="single" w:color="000000"/>
                <w:lang w:val="lt-LT"/>
              </w:rPr>
              <w:t>Dažn</w:t>
            </w:r>
            <w:r>
              <w:rPr>
                <w:szCs w:val="22"/>
                <w:u w:val="single" w:color="000000"/>
                <w:lang w:val="lt-LT"/>
              </w:rPr>
              <w:t>as</w:t>
            </w:r>
            <w:r w:rsidRPr="004B0C8F">
              <w:rPr>
                <w:szCs w:val="22"/>
                <w:lang w:val="lt-LT"/>
              </w:rPr>
              <w:t xml:space="preserve"> </w:t>
            </w:r>
          </w:p>
          <w:p w14:paraId="7BADF03A" w14:textId="77777777" w:rsidR="004B0C8F" w:rsidRPr="004B0C8F" w:rsidRDefault="004B0C8F" w:rsidP="004B0C8F">
            <w:pPr>
              <w:tabs>
                <w:tab w:val="left" w:pos="4680"/>
              </w:tabs>
              <w:spacing w:line="240" w:lineRule="auto"/>
              <w:ind w:right="2428"/>
              <w:rPr>
                <w:szCs w:val="22"/>
                <w:lang w:val="lt-LT"/>
              </w:rPr>
            </w:pPr>
            <w:r w:rsidRPr="004B0C8F">
              <w:rPr>
                <w:szCs w:val="22"/>
                <w:lang w:val="lt-LT"/>
              </w:rPr>
              <w:t>Viduriavimas</w:t>
            </w:r>
            <w:r w:rsidRPr="004B0C8F">
              <w:rPr>
                <w:szCs w:val="22"/>
                <w:vertAlign w:val="superscript"/>
                <w:lang w:val="lt-LT"/>
              </w:rPr>
              <w:t>**</w:t>
            </w:r>
            <w:r w:rsidRPr="004B0C8F">
              <w:rPr>
                <w:szCs w:val="22"/>
                <w:lang w:val="lt-LT"/>
              </w:rPr>
              <w:t>, pykinimas</w:t>
            </w:r>
          </w:p>
          <w:p w14:paraId="63F3DD28" w14:textId="51B4E1B5" w:rsidR="004B0C8F" w:rsidRPr="004B0C8F" w:rsidRDefault="004B0C8F" w:rsidP="004B0C8F">
            <w:pPr>
              <w:tabs>
                <w:tab w:val="left" w:pos="4680"/>
              </w:tabs>
              <w:spacing w:line="240" w:lineRule="auto"/>
              <w:ind w:right="2428"/>
              <w:rPr>
                <w:szCs w:val="22"/>
                <w:lang w:val="lt-LT"/>
              </w:rPr>
            </w:pPr>
            <w:r w:rsidRPr="004B0C8F">
              <w:rPr>
                <w:szCs w:val="22"/>
                <w:u w:val="single" w:color="000000"/>
                <w:lang w:val="lt-LT"/>
              </w:rPr>
              <w:t>Nedažn</w:t>
            </w:r>
            <w:r>
              <w:rPr>
                <w:szCs w:val="22"/>
                <w:u w:val="single" w:color="000000"/>
                <w:lang w:val="lt-LT"/>
              </w:rPr>
              <w:t>as</w:t>
            </w:r>
            <w:r w:rsidRPr="004B0C8F">
              <w:rPr>
                <w:szCs w:val="22"/>
                <w:lang w:val="lt-LT"/>
              </w:rPr>
              <w:t xml:space="preserve"> </w:t>
            </w:r>
          </w:p>
          <w:p w14:paraId="1D783202" w14:textId="1ADD3965" w:rsidR="004B0C8F" w:rsidRPr="004B0C8F" w:rsidRDefault="004B0C8F" w:rsidP="004B0C8F">
            <w:pPr>
              <w:tabs>
                <w:tab w:val="left" w:pos="4680"/>
              </w:tabs>
              <w:spacing w:line="240" w:lineRule="auto"/>
              <w:rPr>
                <w:szCs w:val="22"/>
                <w:lang w:val="lt-LT"/>
              </w:rPr>
            </w:pPr>
            <w:r w:rsidRPr="004B0C8F">
              <w:rPr>
                <w:szCs w:val="22"/>
                <w:lang w:val="lt-LT"/>
              </w:rPr>
              <w:t>Pilvo skausmas,</w:t>
            </w:r>
            <w:r w:rsidRPr="004B0C8F">
              <w:rPr>
                <w:lang w:val="lt-LT"/>
              </w:rPr>
              <w:t xml:space="preserve"> </w:t>
            </w:r>
            <w:r w:rsidRPr="004B0C8F">
              <w:rPr>
                <w:szCs w:val="22"/>
                <w:lang w:val="lt-LT"/>
              </w:rPr>
              <w:t>pilvo skausmas viršutinėje dalyje</w:t>
            </w:r>
            <w:r w:rsidRPr="004B0C8F">
              <w:rPr>
                <w:szCs w:val="22"/>
                <w:vertAlign w:val="superscript"/>
                <w:lang w:val="lt-LT"/>
              </w:rPr>
              <w:t>#</w:t>
            </w:r>
            <w:r w:rsidRPr="004B0C8F">
              <w:rPr>
                <w:szCs w:val="22"/>
                <w:lang w:val="lt-LT"/>
              </w:rPr>
              <w:t xml:space="preserve">, pilvo išpūtimas, </w:t>
            </w:r>
            <w:proofErr w:type="spellStart"/>
            <w:r w:rsidRPr="004B0C8F">
              <w:rPr>
                <w:szCs w:val="22"/>
                <w:lang w:val="lt-LT"/>
              </w:rPr>
              <w:t>gastroezofaginio</w:t>
            </w:r>
            <w:proofErr w:type="spellEnd"/>
            <w:r w:rsidRPr="004B0C8F">
              <w:rPr>
                <w:szCs w:val="22"/>
                <w:lang w:val="lt-LT"/>
              </w:rPr>
              <w:t xml:space="preserve"> </w:t>
            </w:r>
            <w:proofErr w:type="spellStart"/>
            <w:r w:rsidRPr="004B0C8F">
              <w:rPr>
                <w:szCs w:val="22"/>
                <w:lang w:val="lt-LT"/>
              </w:rPr>
              <w:t>refliukso</w:t>
            </w:r>
            <w:proofErr w:type="spellEnd"/>
            <w:r w:rsidRPr="004B0C8F">
              <w:rPr>
                <w:szCs w:val="22"/>
                <w:lang w:val="lt-LT"/>
              </w:rPr>
              <w:t xml:space="preserve"> liga, vėmimas</w:t>
            </w:r>
            <w:r w:rsidRPr="004B0C8F">
              <w:rPr>
                <w:szCs w:val="22"/>
                <w:vertAlign w:val="superscript"/>
                <w:lang w:val="lt-LT"/>
              </w:rPr>
              <w:t>*</w:t>
            </w:r>
            <w:r w:rsidRPr="004B0C8F">
              <w:rPr>
                <w:szCs w:val="22"/>
                <w:lang w:val="lt-LT"/>
              </w:rPr>
              <w:t xml:space="preserve">, burnos sausmė, dispepsija, vidurių užkietėjimas, dažnas tuštinimasis, pilvo pūtimas, nemalonus jausmas skrandyje ir žarnyne, burnos išopėjimas, lūpų </w:t>
            </w:r>
            <w:proofErr w:type="spellStart"/>
            <w:r w:rsidRPr="004B0C8F">
              <w:rPr>
                <w:szCs w:val="22"/>
                <w:lang w:val="lt-LT"/>
              </w:rPr>
              <w:t>patinimas</w:t>
            </w:r>
            <w:r w:rsidRPr="004B0C8F">
              <w:rPr>
                <w:szCs w:val="22"/>
                <w:vertAlign w:val="superscript"/>
                <w:lang w:val="lt-LT"/>
              </w:rPr>
              <w:t>#</w:t>
            </w:r>
            <w:r w:rsidRPr="004B0C8F">
              <w:rPr>
                <w:szCs w:val="22"/>
                <w:lang w:val="lt-LT"/>
              </w:rPr>
              <w:t>,pankreatitas</w:t>
            </w:r>
            <w:proofErr w:type="spellEnd"/>
            <w:r w:rsidRPr="004B0C8F">
              <w:rPr>
                <w:szCs w:val="22"/>
                <w:lang w:val="lt-LT"/>
              </w:rPr>
              <w:t xml:space="preserve">  </w:t>
            </w:r>
          </w:p>
          <w:p w14:paraId="27232E7A" w14:textId="2343BAF1" w:rsidR="004B0C8F" w:rsidRPr="004B0C8F" w:rsidRDefault="004B0C8F" w:rsidP="004B0C8F">
            <w:pPr>
              <w:tabs>
                <w:tab w:val="left" w:pos="4680"/>
              </w:tabs>
              <w:spacing w:line="240" w:lineRule="auto"/>
              <w:rPr>
                <w:szCs w:val="22"/>
                <w:lang w:val="lt-LT"/>
              </w:rPr>
            </w:pPr>
            <w:r w:rsidRPr="004B0C8F">
              <w:rPr>
                <w:szCs w:val="22"/>
                <w:u w:val="single" w:color="000000"/>
                <w:lang w:val="lt-LT"/>
              </w:rPr>
              <w:t>Ret</w:t>
            </w:r>
            <w:r>
              <w:rPr>
                <w:szCs w:val="22"/>
                <w:u w:val="single" w:color="000000"/>
                <w:lang w:val="lt-LT"/>
              </w:rPr>
              <w:t>as</w:t>
            </w:r>
            <w:r w:rsidRPr="004B0C8F">
              <w:rPr>
                <w:szCs w:val="22"/>
                <w:lang w:val="lt-LT"/>
              </w:rPr>
              <w:t xml:space="preserve"> </w:t>
            </w:r>
          </w:p>
          <w:p w14:paraId="0BBAB732" w14:textId="3CAB9BA5" w:rsidR="004B0C8F" w:rsidRPr="004B0C8F" w:rsidRDefault="004B0C8F" w:rsidP="004B0C8F">
            <w:pPr>
              <w:tabs>
                <w:tab w:val="left" w:pos="4680"/>
              </w:tabs>
              <w:spacing w:line="240" w:lineRule="auto"/>
              <w:rPr>
                <w:szCs w:val="22"/>
                <w:lang w:val="lt-LT"/>
              </w:rPr>
            </w:pPr>
            <w:r w:rsidRPr="004B0C8F">
              <w:rPr>
                <w:szCs w:val="22"/>
                <w:lang w:val="lt-LT"/>
              </w:rPr>
              <w:t>Virškinimo trakto perforacija</w:t>
            </w:r>
            <w:r w:rsidRPr="004B0C8F">
              <w:rPr>
                <w:szCs w:val="22"/>
                <w:vertAlign w:val="superscript"/>
                <w:lang w:val="lt-LT"/>
              </w:rPr>
              <w:t>#</w:t>
            </w:r>
            <w:r w:rsidRPr="004B0C8F">
              <w:rPr>
                <w:szCs w:val="22"/>
                <w:lang w:val="lt-LT"/>
              </w:rPr>
              <w:t>, stomatitas</w:t>
            </w:r>
            <w:r w:rsidRPr="004B0C8F">
              <w:rPr>
                <w:szCs w:val="22"/>
                <w:vertAlign w:val="superscript"/>
                <w:lang w:val="lt-LT"/>
              </w:rPr>
              <w:t>#</w:t>
            </w:r>
            <w:r w:rsidRPr="004B0C8F">
              <w:rPr>
                <w:szCs w:val="22"/>
                <w:lang w:val="lt-LT"/>
              </w:rPr>
              <w:t xml:space="preserve">  </w:t>
            </w:r>
          </w:p>
        </w:tc>
      </w:tr>
      <w:tr w:rsidR="004B0C8F" w:rsidRPr="004A478C" w14:paraId="4A5AEF16" w14:textId="77777777" w:rsidTr="004B0C8F">
        <w:trPr>
          <w:trHeight w:val="1435"/>
        </w:trPr>
        <w:tc>
          <w:tcPr>
            <w:tcW w:w="3035" w:type="dxa"/>
            <w:tcBorders>
              <w:top w:val="single" w:sz="4" w:space="0" w:color="000000"/>
              <w:left w:val="single" w:sz="4" w:space="0" w:color="000000"/>
              <w:bottom w:val="single" w:sz="4" w:space="0" w:color="000000"/>
              <w:right w:val="single" w:sz="3" w:space="0" w:color="000000"/>
            </w:tcBorders>
            <w:shd w:val="clear" w:color="auto" w:fill="auto"/>
          </w:tcPr>
          <w:p w14:paraId="07AF8A2D" w14:textId="77777777" w:rsidR="004B0C8F" w:rsidRPr="004B0C8F" w:rsidRDefault="004B0C8F" w:rsidP="004B0C8F">
            <w:pPr>
              <w:tabs>
                <w:tab w:val="left" w:pos="4680"/>
              </w:tabs>
              <w:spacing w:line="240" w:lineRule="auto"/>
              <w:ind w:left="4"/>
              <w:rPr>
                <w:szCs w:val="22"/>
                <w:lang w:val="lt-LT"/>
              </w:rPr>
            </w:pPr>
            <w:r w:rsidRPr="004B0C8F">
              <w:rPr>
                <w:szCs w:val="22"/>
                <w:lang w:val="lt-LT"/>
              </w:rPr>
              <w:t xml:space="preserve">Kepenų, tulžies pūslės ir latakų sutrikimai </w:t>
            </w:r>
          </w:p>
        </w:tc>
        <w:tc>
          <w:tcPr>
            <w:tcW w:w="5727" w:type="dxa"/>
            <w:tcBorders>
              <w:top w:val="single" w:sz="4" w:space="0" w:color="000000"/>
              <w:left w:val="single" w:sz="3" w:space="0" w:color="000000"/>
              <w:bottom w:val="single" w:sz="4" w:space="0" w:color="000000"/>
              <w:right w:val="single" w:sz="4" w:space="0" w:color="000000"/>
            </w:tcBorders>
            <w:shd w:val="clear" w:color="auto" w:fill="auto"/>
          </w:tcPr>
          <w:p w14:paraId="7454A32E" w14:textId="78676F63" w:rsidR="004B0C8F" w:rsidRPr="004B0C8F" w:rsidRDefault="004B0C8F" w:rsidP="004B0C8F">
            <w:pPr>
              <w:tabs>
                <w:tab w:val="left" w:pos="4680"/>
              </w:tabs>
              <w:spacing w:line="240" w:lineRule="auto"/>
              <w:rPr>
                <w:szCs w:val="22"/>
                <w:lang w:val="lt-LT"/>
              </w:rPr>
            </w:pPr>
            <w:r w:rsidRPr="004B0C8F">
              <w:rPr>
                <w:szCs w:val="22"/>
                <w:u w:val="single" w:color="000000"/>
                <w:lang w:val="lt-LT"/>
              </w:rPr>
              <w:t>Dažn</w:t>
            </w:r>
            <w:r>
              <w:rPr>
                <w:szCs w:val="22"/>
                <w:u w:val="single" w:color="000000"/>
                <w:lang w:val="lt-LT"/>
              </w:rPr>
              <w:t>as</w:t>
            </w:r>
            <w:r w:rsidRPr="004B0C8F">
              <w:rPr>
                <w:szCs w:val="22"/>
                <w:lang w:val="lt-LT"/>
              </w:rPr>
              <w:t xml:space="preserve"> </w:t>
            </w:r>
          </w:p>
          <w:p w14:paraId="6E051CCF" w14:textId="77777777" w:rsidR="004B0C8F" w:rsidRPr="004B0C8F" w:rsidRDefault="004B0C8F" w:rsidP="004B0C8F">
            <w:pPr>
              <w:tabs>
                <w:tab w:val="left" w:pos="4680"/>
              </w:tabs>
              <w:spacing w:line="240" w:lineRule="auto"/>
              <w:rPr>
                <w:szCs w:val="22"/>
                <w:lang w:val="lt-LT"/>
              </w:rPr>
            </w:pPr>
            <w:r w:rsidRPr="004B0C8F">
              <w:rPr>
                <w:szCs w:val="22"/>
                <w:lang w:val="lt-LT"/>
              </w:rPr>
              <w:t xml:space="preserve">Kepenų funkcijos sutrikimas** </w:t>
            </w:r>
          </w:p>
          <w:p w14:paraId="552F3034" w14:textId="33291FE1" w:rsidR="004B0C8F" w:rsidRPr="004B0C8F" w:rsidRDefault="004B0C8F" w:rsidP="004B0C8F">
            <w:pPr>
              <w:tabs>
                <w:tab w:val="left" w:pos="4680"/>
              </w:tabs>
              <w:spacing w:line="240" w:lineRule="auto"/>
              <w:rPr>
                <w:szCs w:val="22"/>
                <w:lang w:val="lt-LT"/>
              </w:rPr>
            </w:pPr>
            <w:r w:rsidRPr="004B0C8F">
              <w:rPr>
                <w:szCs w:val="22"/>
                <w:u w:val="single" w:color="000000"/>
                <w:lang w:val="lt-LT"/>
              </w:rPr>
              <w:t>Nedažn</w:t>
            </w:r>
            <w:r>
              <w:rPr>
                <w:szCs w:val="22"/>
                <w:u w:val="single" w:color="000000"/>
                <w:lang w:val="lt-LT"/>
              </w:rPr>
              <w:t>as</w:t>
            </w:r>
            <w:r w:rsidRPr="004B0C8F">
              <w:rPr>
                <w:szCs w:val="22"/>
                <w:lang w:val="lt-LT"/>
              </w:rPr>
              <w:t xml:space="preserve"> </w:t>
            </w:r>
          </w:p>
          <w:p w14:paraId="0E59103D" w14:textId="77777777" w:rsidR="004B0C8F" w:rsidRPr="004B0C8F" w:rsidRDefault="004B0C8F" w:rsidP="004B0C8F">
            <w:pPr>
              <w:tabs>
                <w:tab w:val="left" w:pos="4680"/>
              </w:tabs>
              <w:spacing w:line="240" w:lineRule="auto"/>
              <w:rPr>
                <w:szCs w:val="22"/>
                <w:lang w:val="lt-LT"/>
              </w:rPr>
            </w:pPr>
            <w:r w:rsidRPr="004B0C8F">
              <w:rPr>
                <w:szCs w:val="22"/>
                <w:lang w:val="lt-LT"/>
              </w:rPr>
              <w:t xml:space="preserve">Tulžies pūslės akmenligė </w:t>
            </w:r>
          </w:p>
          <w:p w14:paraId="09D0A35E" w14:textId="4BB8B867" w:rsidR="004B0C8F" w:rsidRPr="004B0C8F" w:rsidRDefault="004B0C8F" w:rsidP="004B0C8F">
            <w:pPr>
              <w:tabs>
                <w:tab w:val="left" w:pos="4680"/>
              </w:tabs>
              <w:spacing w:line="240" w:lineRule="auto"/>
              <w:rPr>
                <w:szCs w:val="22"/>
                <w:lang w:val="lt-LT"/>
              </w:rPr>
            </w:pPr>
            <w:r w:rsidRPr="004B0C8F">
              <w:rPr>
                <w:szCs w:val="22"/>
                <w:u w:val="single" w:color="000000"/>
                <w:lang w:val="lt-LT"/>
              </w:rPr>
              <w:t>Ret</w:t>
            </w:r>
            <w:r>
              <w:rPr>
                <w:szCs w:val="22"/>
                <w:u w:val="single" w:color="000000"/>
                <w:lang w:val="lt-LT"/>
              </w:rPr>
              <w:t>as</w:t>
            </w:r>
            <w:r w:rsidRPr="004B0C8F">
              <w:rPr>
                <w:szCs w:val="22"/>
                <w:lang w:val="lt-LT"/>
              </w:rPr>
              <w:t xml:space="preserve"> </w:t>
            </w:r>
          </w:p>
          <w:p w14:paraId="24181143" w14:textId="4A5ABBAB" w:rsidR="004B0C8F" w:rsidRPr="004B0C8F" w:rsidRDefault="004B0C8F" w:rsidP="004B0C8F">
            <w:pPr>
              <w:tabs>
                <w:tab w:val="left" w:pos="4680"/>
              </w:tabs>
              <w:spacing w:line="240" w:lineRule="auto"/>
              <w:rPr>
                <w:szCs w:val="22"/>
                <w:lang w:val="lt-LT"/>
              </w:rPr>
            </w:pPr>
            <w:r w:rsidRPr="004B0C8F">
              <w:rPr>
                <w:szCs w:val="22"/>
                <w:lang w:val="lt-LT"/>
              </w:rPr>
              <w:t>Hepatitas, gelta*, kepenų pažeidimas*, cholecistitas</w:t>
            </w:r>
            <w:r w:rsidRPr="004B0C8F">
              <w:rPr>
                <w:szCs w:val="22"/>
                <w:vertAlign w:val="superscript"/>
                <w:lang w:val="lt-LT"/>
              </w:rPr>
              <w:t>#</w:t>
            </w:r>
            <w:r w:rsidRPr="004B0C8F">
              <w:rPr>
                <w:szCs w:val="22"/>
                <w:lang w:val="lt-LT"/>
              </w:rPr>
              <w:t xml:space="preserve"> </w:t>
            </w:r>
          </w:p>
        </w:tc>
      </w:tr>
      <w:tr w:rsidR="004B0C8F" w:rsidRPr="007F09F8" w14:paraId="309A9BD4" w14:textId="77777777" w:rsidTr="004B0C8F">
        <w:trPr>
          <w:trHeight w:val="3578"/>
        </w:trPr>
        <w:tc>
          <w:tcPr>
            <w:tcW w:w="3035" w:type="dxa"/>
            <w:tcBorders>
              <w:top w:val="single" w:sz="4" w:space="0" w:color="000000"/>
              <w:left w:val="single" w:sz="4" w:space="0" w:color="000000"/>
              <w:bottom w:val="single" w:sz="4" w:space="0" w:color="000000"/>
              <w:right w:val="single" w:sz="3" w:space="0" w:color="000000"/>
            </w:tcBorders>
            <w:shd w:val="clear" w:color="auto" w:fill="auto"/>
          </w:tcPr>
          <w:p w14:paraId="1D92FE3A" w14:textId="77777777" w:rsidR="004B0C8F" w:rsidRPr="004B0C8F" w:rsidRDefault="004B0C8F" w:rsidP="004B0C8F">
            <w:pPr>
              <w:tabs>
                <w:tab w:val="left" w:pos="4680"/>
              </w:tabs>
              <w:spacing w:line="240" w:lineRule="auto"/>
              <w:ind w:left="4"/>
              <w:rPr>
                <w:szCs w:val="22"/>
                <w:lang w:val="lt-LT"/>
              </w:rPr>
            </w:pPr>
            <w:r w:rsidRPr="004B0C8F">
              <w:rPr>
                <w:szCs w:val="22"/>
                <w:lang w:val="lt-LT"/>
              </w:rPr>
              <w:t xml:space="preserve">Odos ir poodinio audinio sutrikimai </w:t>
            </w:r>
          </w:p>
        </w:tc>
        <w:tc>
          <w:tcPr>
            <w:tcW w:w="5727" w:type="dxa"/>
            <w:tcBorders>
              <w:top w:val="single" w:sz="4" w:space="0" w:color="000000"/>
              <w:left w:val="single" w:sz="3" w:space="0" w:color="000000"/>
              <w:bottom w:val="single" w:sz="4" w:space="0" w:color="000000"/>
              <w:right w:val="single" w:sz="4" w:space="0" w:color="000000"/>
            </w:tcBorders>
            <w:shd w:val="clear" w:color="auto" w:fill="auto"/>
          </w:tcPr>
          <w:p w14:paraId="2B2FCBBE" w14:textId="08873411" w:rsidR="004B0C8F" w:rsidRPr="004B0C8F" w:rsidRDefault="004B0C8F" w:rsidP="004B0C8F">
            <w:pPr>
              <w:tabs>
                <w:tab w:val="left" w:pos="4680"/>
              </w:tabs>
              <w:spacing w:line="240" w:lineRule="auto"/>
              <w:rPr>
                <w:szCs w:val="22"/>
                <w:lang w:val="lt-LT"/>
              </w:rPr>
            </w:pPr>
            <w:r w:rsidRPr="004B0C8F">
              <w:rPr>
                <w:szCs w:val="22"/>
                <w:u w:val="single" w:color="000000"/>
                <w:lang w:val="lt-LT"/>
              </w:rPr>
              <w:t>Dažn</w:t>
            </w:r>
            <w:r>
              <w:rPr>
                <w:szCs w:val="22"/>
                <w:u w:val="single" w:color="000000"/>
                <w:lang w:val="lt-LT"/>
              </w:rPr>
              <w:t>as</w:t>
            </w:r>
            <w:r w:rsidRPr="004B0C8F">
              <w:rPr>
                <w:szCs w:val="22"/>
                <w:lang w:val="lt-LT"/>
              </w:rPr>
              <w:t xml:space="preserve"> </w:t>
            </w:r>
          </w:p>
          <w:p w14:paraId="63A7F53D" w14:textId="77777777" w:rsidR="004B0C8F" w:rsidRPr="004B0C8F" w:rsidRDefault="004B0C8F" w:rsidP="004B0C8F">
            <w:pPr>
              <w:tabs>
                <w:tab w:val="left" w:pos="4680"/>
              </w:tabs>
              <w:spacing w:line="240" w:lineRule="auto"/>
              <w:rPr>
                <w:szCs w:val="22"/>
                <w:lang w:val="lt-LT"/>
              </w:rPr>
            </w:pPr>
            <w:r w:rsidRPr="004B0C8F">
              <w:rPr>
                <w:szCs w:val="22"/>
                <w:lang w:val="lt-LT"/>
              </w:rPr>
              <w:t xml:space="preserve">Išbėrimas (įskaitant žemiau išvardytus rečiau pasitaikančius </w:t>
            </w:r>
          </w:p>
          <w:p w14:paraId="3D780E5C" w14:textId="2F6D580F" w:rsidR="004B0C8F" w:rsidRPr="004B0C8F" w:rsidRDefault="004B0C8F" w:rsidP="004B0C8F">
            <w:pPr>
              <w:tabs>
                <w:tab w:val="left" w:pos="4680"/>
              </w:tabs>
              <w:spacing w:line="240" w:lineRule="auto"/>
              <w:rPr>
                <w:szCs w:val="22"/>
                <w:lang w:val="lt-LT"/>
              </w:rPr>
            </w:pPr>
            <w:r w:rsidRPr="004B0C8F">
              <w:rPr>
                <w:szCs w:val="22"/>
                <w:lang w:val="lt-LT"/>
              </w:rPr>
              <w:t>įvairaus pobūdžio išbėrimus, žr. toliau), niežėjimas</w:t>
            </w:r>
            <w:r w:rsidRPr="004B0C8F">
              <w:rPr>
                <w:i/>
                <w:szCs w:val="22"/>
                <w:lang w:val="lt-LT"/>
              </w:rPr>
              <w:t xml:space="preserve"> </w:t>
            </w:r>
          </w:p>
          <w:p w14:paraId="41CBBA29" w14:textId="45E53230" w:rsidR="004B0C8F" w:rsidRPr="004B0C8F" w:rsidRDefault="004B0C8F" w:rsidP="004B0C8F">
            <w:pPr>
              <w:tabs>
                <w:tab w:val="left" w:pos="4680"/>
              </w:tabs>
              <w:spacing w:line="240" w:lineRule="auto"/>
              <w:rPr>
                <w:szCs w:val="22"/>
                <w:lang w:val="lt-LT"/>
              </w:rPr>
            </w:pPr>
            <w:r w:rsidRPr="004B0C8F">
              <w:rPr>
                <w:szCs w:val="22"/>
                <w:u w:val="single" w:color="000000"/>
                <w:lang w:val="lt-LT"/>
              </w:rPr>
              <w:t>Nedažn</w:t>
            </w:r>
            <w:r>
              <w:rPr>
                <w:szCs w:val="22"/>
                <w:u w:val="single" w:color="000000"/>
                <w:lang w:val="lt-LT"/>
              </w:rPr>
              <w:t>as</w:t>
            </w:r>
            <w:r w:rsidRPr="004B0C8F">
              <w:rPr>
                <w:szCs w:val="22"/>
                <w:lang w:val="lt-LT"/>
              </w:rPr>
              <w:t xml:space="preserve"> </w:t>
            </w:r>
          </w:p>
          <w:p w14:paraId="3FB18F76" w14:textId="6D238C1D" w:rsidR="004B0C8F" w:rsidRPr="004B0C8F" w:rsidRDefault="004B0C8F" w:rsidP="004B0C8F">
            <w:pPr>
              <w:tabs>
                <w:tab w:val="left" w:pos="4680"/>
              </w:tabs>
              <w:spacing w:line="240" w:lineRule="auto"/>
              <w:rPr>
                <w:szCs w:val="22"/>
                <w:lang w:val="lt-LT"/>
              </w:rPr>
            </w:pPr>
            <w:r w:rsidRPr="004B0C8F">
              <w:rPr>
                <w:szCs w:val="22"/>
                <w:lang w:val="lt-LT"/>
              </w:rPr>
              <w:t xml:space="preserve">Dermatitas, dilgėlinė, odos spalvos pakitimas, odos pažeidimai, </w:t>
            </w:r>
            <w:proofErr w:type="spellStart"/>
            <w:r w:rsidRPr="004B0C8F">
              <w:rPr>
                <w:szCs w:val="22"/>
                <w:lang w:val="lt-LT"/>
              </w:rPr>
              <w:t>petechijos</w:t>
            </w:r>
            <w:proofErr w:type="spellEnd"/>
            <w:r w:rsidRPr="004B0C8F">
              <w:rPr>
                <w:szCs w:val="22"/>
                <w:lang w:val="lt-LT"/>
              </w:rPr>
              <w:t xml:space="preserve">, </w:t>
            </w:r>
            <w:proofErr w:type="spellStart"/>
            <w:r w:rsidRPr="004B0C8F">
              <w:rPr>
                <w:szCs w:val="22"/>
                <w:lang w:val="lt-LT"/>
              </w:rPr>
              <w:t>makulinis</w:t>
            </w:r>
            <w:proofErr w:type="spellEnd"/>
            <w:r w:rsidRPr="004B0C8F">
              <w:rPr>
                <w:szCs w:val="22"/>
                <w:lang w:val="lt-LT"/>
              </w:rPr>
              <w:t xml:space="preserve"> išbėrimas, </w:t>
            </w:r>
            <w:proofErr w:type="spellStart"/>
            <w:r w:rsidRPr="004B0C8F">
              <w:rPr>
                <w:szCs w:val="22"/>
                <w:lang w:val="lt-LT"/>
              </w:rPr>
              <w:t>makulopapulinis</w:t>
            </w:r>
            <w:proofErr w:type="spellEnd"/>
            <w:r w:rsidRPr="004B0C8F">
              <w:rPr>
                <w:szCs w:val="22"/>
                <w:lang w:val="lt-LT"/>
              </w:rPr>
              <w:t xml:space="preserve"> išbėrimas, </w:t>
            </w:r>
            <w:proofErr w:type="spellStart"/>
            <w:r w:rsidRPr="004B0C8F">
              <w:rPr>
                <w:szCs w:val="22"/>
                <w:lang w:val="lt-LT"/>
              </w:rPr>
              <w:t>papulinis</w:t>
            </w:r>
            <w:proofErr w:type="spellEnd"/>
            <w:r w:rsidRPr="004B0C8F">
              <w:rPr>
                <w:szCs w:val="22"/>
                <w:lang w:val="lt-LT"/>
              </w:rPr>
              <w:t xml:space="preserve"> išbėrimas, padidėjęs prakaitavimas, </w:t>
            </w:r>
            <w:proofErr w:type="spellStart"/>
            <w:r w:rsidRPr="004B0C8F">
              <w:rPr>
                <w:szCs w:val="22"/>
                <w:lang w:val="lt-LT"/>
              </w:rPr>
              <w:t>alopecija</w:t>
            </w:r>
            <w:proofErr w:type="spellEnd"/>
            <w:r w:rsidRPr="004B0C8F">
              <w:rPr>
                <w:szCs w:val="22"/>
                <w:lang w:val="lt-LT"/>
              </w:rPr>
              <w:t>, egzema</w:t>
            </w:r>
            <w:r w:rsidRPr="004B0C8F">
              <w:rPr>
                <w:szCs w:val="22"/>
                <w:vertAlign w:val="superscript"/>
                <w:lang w:val="lt-LT"/>
              </w:rPr>
              <w:t>#</w:t>
            </w:r>
            <w:r w:rsidRPr="004B0C8F">
              <w:rPr>
                <w:szCs w:val="22"/>
                <w:lang w:val="lt-LT"/>
              </w:rPr>
              <w:t xml:space="preserve">, </w:t>
            </w:r>
            <w:proofErr w:type="spellStart"/>
            <w:r w:rsidRPr="004B0C8F">
              <w:rPr>
                <w:szCs w:val="22"/>
                <w:lang w:val="lt-LT"/>
              </w:rPr>
              <w:t>eritema</w:t>
            </w:r>
            <w:proofErr w:type="spellEnd"/>
            <w:r w:rsidRPr="004B0C8F">
              <w:rPr>
                <w:szCs w:val="22"/>
                <w:lang w:val="lt-LT"/>
              </w:rPr>
              <w:t>, naktinis prakaitavimas</w:t>
            </w:r>
            <w:r w:rsidRPr="004B0C8F">
              <w:rPr>
                <w:szCs w:val="22"/>
                <w:vertAlign w:val="superscript"/>
                <w:lang w:val="lt-LT"/>
              </w:rPr>
              <w:t>#</w:t>
            </w:r>
            <w:r w:rsidRPr="004B0C8F">
              <w:rPr>
                <w:szCs w:val="22"/>
                <w:lang w:val="lt-LT"/>
              </w:rPr>
              <w:t>, psoriazė</w:t>
            </w:r>
            <w:r w:rsidRPr="004B0C8F">
              <w:rPr>
                <w:szCs w:val="22"/>
                <w:vertAlign w:val="superscript"/>
                <w:lang w:val="lt-LT"/>
              </w:rPr>
              <w:t>#</w:t>
            </w:r>
            <w:r w:rsidRPr="004B0C8F">
              <w:rPr>
                <w:szCs w:val="22"/>
                <w:lang w:val="lt-LT"/>
              </w:rPr>
              <w:t>, niežtintis išbėrimas</w:t>
            </w:r>
            <w:r w:rsidRPr="004B0C8F">
              <w:rPr>
                <w:szCs w:val="22"/>
                <w:vertAlign w:val="superscript"/>
                <w:lang w:val="lt-LT"/>
              </w:rPr>
              <w:t>#</w:t>
            </w:r>
            <w:r w:rsidRPr="004B0C8F">
              <w:rPr>
                <w:szCs w:val="22"/>
                <w:lang w:val="lt-LT"/>
              </w:rPr>
              <w:t xml:space="preserve">  </w:t>
            </w:r>
          </w:p>
          <w:p w14:paraId="19D9702B" w14:textId="04C33641" w:rsidR="004B0C8F" w:rsidRPr="004B0C8F" w:rsidRDefault="004B0C8F" w:rsidP="004B0C8F">
            <w:pPr>
              <w:tabs>
                <w:tab w:val="left" w:pos="4680"/>
              </w:tabs>
              <w:spacing w:line="240" w:lineRule="auto"/>
              <w:rPr>
                <w:szCs w:val="22"/>
                <w:lang w:val="lt-LT"/>
              </w:rPr>
            </w:pPr>
            <w:r w:rsidRPr="004B0C8F">
              <w:rPr>
                <w:szCs w:val="22"/>
                <w:u w:val="single" w:color="000000"/>
                <w:lang w:val="lt-LT"/>
              </w:rPr>
              <w:t>Ret</w:t>
            </w:r>
            <w:r>
              <w:rPr>
                <w:szCs w:val="22"/>
                <w:u w:val="single" w:color="000000"/>
                <w:lang w:val="lt-LT"/>
              </w:rPr>
              <w:t>as</w:t>
            </w:r>
            <w:r w:rsidRPr="004B0C8F">
              <w:rPr>
                <w:szCs w:val="22"/>
                <w:lang w:val="lt-LT"/>
              </w:rPr>
              <w:t xml:space="preserve"> </w:t>
            </w:r>
          </w:p>
          <w:p w14:paraId="45B0F458" w14:textId="3FB4B278" w:rsidR="004B0C8F" w:rsidRPr="004B0C8F" w:rsidRDefault="004B0C8F" w:rsidP="004B0C8F">
            <w:pPr>
              <w:tabs>
                <w:tab w:val="left" w:pos="4680"/>
              </w:tabs>
              <w:spacing w:line="240" w:lineRule="auto"/>
              <w:rPr>
                <w:szCs w:val="22"/>
                <w:lang w:val="lt-LT"/>
              </w:rPr>
            </w:pPr>
            <w:r w:rsidRPr="004B0C8F">
              <w:rPr>
                <w:szCs w:val="22"/>
                <w:lang w:val="lt-LT"/>
              </w:rPr>
              <w:t xml:space="preserve">Toksinė epidermio </w:t>
            </w:r>
            <w:proofErr w:type="spellStart"/>
            <w:r w:rsidRPr="004B0C8F">
              <w:rPr>
                <w:szCs w:val="22"/>
                <w:lang w:val="lt-LT"/>
              </w:rPr>
              <w:t>nekrolizė</w:t>
            </w:r>
            <w:proofErr w:type="spellEnd"/>
            <w:r w:rsidRPr="004B0C8F">
              <w:rPr>
                <w:szCs w:val="22"/>
                <w:lang w:val="lt-LT"/>
              </w:rPr>
              <w:t xml:space="preserve">*, </w:t>
            </w:r>
            <w:proofErr w:type="spellStart"/>
            <w:r w:rsidRPr="004B0C8F">
              <w:rPr>
                <w:szCs w:val="22"/>
                <w:lang w:val="lt-LT"/>
              </w:rPr>
              <w:t>Stivenso</w:t>
            </w:r>
            <w:proofErr w:type="spellEnd"/>
            <w:r w:rsidRPr="004B0C8F">
              <w:rPr>
                <w:szCs w:val="22"/>
                <w:lang w:val="lt-LT"/>
              </w:rPr>
              <w:t xml:space="preserve">-Džonsono </w:t>
            </w:r>
            <w:r w:rsidRPr="004B0C8F">
              <w:rPr>
                <w:lang w:val="lt-LT"/>
              </w:rPr>
              <w:t>(</w:t>
            </w:r>
            <w:proofErr w:type="spellStart"/>
            <w:r w:rsidRPr="004B0C8F">
              <w:rPr>
                <w:i/>
                <w:lang w:val="lt-LT"/>
              </w:rPr>
              <w:t>Stevens-Johnson</w:t>
            </w:r>
            <w:proofErr w:type="spellEnd"/>
            <w:r w:rsidRPr="004B0C8F">
              <w:rPr>
                <w:lang w:val="lt-LT"/>
              </w:rPr>
              <w:t>)</w:t>
            </w:r>
            <w:r w:rsidRPr="004B0C8F">
              <w:rPr>
                <w:szCs w:val="22"/>
                <w:lang w:val="lt-LT"/>
              </w:rPr>
              <w:t xml:space="preserve"> sindromas*, </w:t>
            </w:r>
            <w:proofErr w:type="spellStart"/>
            <w:r w:rsidRPr="004B0C8F">
              <w:rPr>
                <w:szCs w:val="22"/>
                <w:lang w:val="lt-LT"/>
              </w:rPr>
              <w:t>angioneurozinė</w:t>
            </w:r>
            <w:proofErr w:type="spellEnd"/>
            <w:r w:rsidRPr="004B0C8F">
              <w:rPr>
                <w:szCs w:val="22"/>
                <w:lang w:val="lt-LT"/>
              </w:rPr>
              <w:t xml:space="preserve"> edema*, reakcija į vaistinį preparatą su </w:t>
            </w:r>
            <w:proofErr w:type="spellStart"/>
            <w:r w:rsidRPr="004B0C8F">
              <w:rPr>
                <w:szCs w:val="22"/>
                <w:lang w:val="lt-LT"/>
              </w:rPr>
              <w:t>eozinofilija</w:t>
            </w:r>
            <w:proofErr w:type="spellEnd"/>
            <w:r w:rsidRPr="004B0C8F">
              <w:rPr>
                <w:szCs w:val="22"/>
                <w:lang w:val="lt-LT"/>
              </w:rPr>
              <w:t xml:space="preserve"> ir sisteminiais (bendraisiais) simptomais*, išplitęs išbėrimas (sunkus)*, </w:t>
            </w:r>
            <w:proofErr w:type="spellStart"/>
            <w:r w:rsidRPr="004B0C8F">
              <w:rPr>
                <w:szCs w:val="22"/>
                <w:lang w:val="lt-LT"/>
              </w:rPr>
              <w:t>eksfoliacinis</w:t>
            </w:r>
            <w:proofErr w:type="spellEnd"/>
            <w:r w:rsidRPr="004B0C8F">
              <w:rPr>
                <w:szCs w:val="22"/>
                <w:lang w:val="lt-LT"/>
              </w:rPr>
              <w:t xml:space="preserve"> išbėrimas, folikulinis išbėrimas, pūslelinis išbėrimas, </w:t>
            </w:r>
            <w:proofErr w:type="spellStart"/>
            <w:r w:rsidRPr="004B0C8F">
              <w:rPr>
                <w:szCs w:val="22"/>
                <w:lang w:val="lt-LT"/>
              </w:rPr>
              <w:t>pustulinis</w:t>
            </w:r>
            <w:proofErr w:type="spellEnd"/>
            <w:r w:rsidRPr="004B0C8F">
              <w:rPr>
                <w:szCs w:val="22"/>
                <w:lang w:val="lt-LT"/>
              </w:rPr>
              <w:t xml:space="preserve"> išbėrimas, </w:t>
            </w:r>
            <w:proofErr w:type="spellStart"/>
            <w:r w:rsidRPr="004B0C8F">
              <w:rPr>
                <w:szCs w:val="22"/>
                <w:lang w:val="lt-LT"/>
              </w:rPr>
              <w:t>eriteminis</w:t>
            </w:r>
            <w:proofErr w:type="spellEnd"/>
            <w:r w:rsidRPr="004B0C8F">
              <w:rPr>
                <w:szCs w:val="22"/>
                <w:lang w:val="lt-LT"/>
              </w:rPr>
              <w:t xml:space="preserve"> išbėrimas, į tymus panašus išbėrimas</w:t>
            </w:r>
          </w:p>
        </w:tc>
      </w:tr>
      <w:tr w:rsidR="004B0C8F" w:rsidRPr="007F09F8" w14:paraId="753FEC42" w14:textId="77777777" w:rsidTr="004B0C8F">
        <w:trPr>
          <w:cantSplit/>
          <w:trHeight w:val="1201"/>
        </w:trPr>
        <w:tc>
          <w:tcPr>
            <w:tcW w:w="3035" w:type="dxa"/>
            <w:tcBorders>
              <w:top w:val="single" w:sz="3" w:space="0" w:color="000000"/>
              <w:left w:val="single" w:sz="4" w:space="0" w:color="000000"/>
              <w:bottom w:val="single" w:sz="4" w:space="0" w:color="000000"/>
              <w:right w:val="single" w:sz="3" w:space="0" w:color="000000"/>
            </w:tcBorders>
            <w:shd w:val="clear" w:color="auto" w:fill="auto"/>
          </w:tcPr>
          <w:p w14:paraId="3658CEE9" w14:textId="77777777" w:rsidR="004B0C8F" w:rsidRPr="004B0C8F" w:rsidRDefault="004B0C8F" w:rsidP="004B0C8F">
            <w:pPr>
              <w:tabs>
                <w:tab w:val="left" w:pos="4680"/>
              </w:tabs>
              <w:spacing w:line="240" w:lineRule="auto"/>
              <w:ind w:left="4"/>
              <w:rPr>
                <w:szCs w:val="22"/>
                <w:lang w:val="lt-LT"/>
              </w:rPr>
            </w:pPr>
            <w:r w:rsidRPr="004B0C8F">
              <w:rPr>
                <w:szCs w:val="22"/>
                <w:lang w:val="lt-LT"/>
              </w:rPr>
              <w:t xml:space="preserve">Skeleto, raumenų ir jungiamojo audinio sutrikimai </w:t>
            </w:r>
          </w:p>
        </w:tc>
        <w:tc>
          <w:tcPr>
            <w:tcW w:w="5727" w:type="dxa"/>
            <w:tcBorders>
              <w:top w:val="single" w:sz="3" w:space="0" w:color="000000"/>
              <w:left w:val="single" w:sz="3" w:space="0" w:color="000000"/>
              <w:bottom w:val="single" w:sz="4" w:space="0" w:color="000000"/>
              <w:right w:val="single" w:sz="4" w:space="0" w:color="000000"/>
            </w:tcBorders>
            <w:shd w:val="clear" w:color="auto" w:fill="auto"/>
          </w:tcPr>
          <w:p w14:paraId="15CC1DCC" w14:textId="500514C8" w:rsidR="004B0C8F" w:rsidRPr="004B0C8F" w:rsidRDefault="004B0C8F" w:rsidP="004B0C8F">
            <w:pPr>
              <w:tabs>
                <w:tab w:val="left" w:pos="4680"/>
              </w:tabs>
              <w:spacing w:line="240" w:lineRule="auto"/>
              <w:rPr>
                <w:szCs w:val="22"/>
                <w:u w:val="single" w:color="000000"/>
                <w:lang w:val="lt-LT"/>
              </w:rPr>
            </w:pPr>
            <w:r w:rsidRPr="004B0C8F">
              <w:rPr>
                <w:szCs w:val="22"/>
                <w:u w:val="single" w:color="000000"/>
                <w:lang w:val="lt-LT"/>
              </w:rPr>
              <w:t>Dažn</w:t>
            </w:r>
            <w:r>
              <w:rPr>
                <w:szCs w:val="22"/>
                <w:u w:val="single" w:color="000000"/>
                <w:lang w:val="lt-LT"/>
              </w:rPr>
              <w:t>as</w:t>
            </w:r>
          </w:p>
          <w:p w14:paraId="40059670" w14:textId="495A7532" w:rsidR="004B0C8F" w:rsidRPr="004B0C8F" w:rsidRDefault="004B0C8F" w:rsidP="004B0C8F">
            <w:pPr>
              <w:tabs>
                <w:tab w:val="left" w:pos="4680"/>
              </w:tabs>
              <w:spacing w:line="240" w:lineRule="auto"/>
              <w:rPr>
                <w:szCs w:val="22"/>
                <w:u w:color="000000"/>
                <w:vertAlign w:val="superscript"/>
                <w:lang w:val="lt-LT"/>
              </w:rPr>
            </w:pPr>
            <w:proofErr w:type="spellStart"/>
            <w:r w:rsidRPr="004B0C8F">
              <w:rPr>
                <w:szCs w:val="22"/>
                <w:u w:color="000000"/>
                <w:lang w:val="lt-LT"/>
              </w:rPr>
              <w:t>Artralgija</w:t>
            </w:r>
            <w:proofErr w:type="spellEnd"/>
            <w:r w:rsidRPr="004B0C8F">
              <w:rPr>
                <w:szCs w:val="22"/>
                <w:u w:color="000000"/>
                <w:lang w:val="lt-LT"/>
              </w:rPr>
              <w:t xml:space="preserve">, </w:t>
            </w:r>
            <w:proofErr w:type="spellStart"/>
            <w:r w:rsidRPr="004B0C8F">
              <w:rPr>
                <w:szCs w:val="22"/>
                <w:u w:color="000000"/>
                <w:lang w:val="lt-LT"/>
              </w:rPr>
              <w:t>mialgija</w:t>
            </w:r>
            <w:proofErr w:type="spellEnd"/>
            <w:r w:rsidRPr="004B0C8F">
              <w:rPr>
                <w:szCs w:val="22"/>
                <w:u w:color="000000"/>
                <w:lang w:val="lt-LT"/>
              </w:rPr>
              <w:t>, galūnių skausmas</w:t>
            </w:r>
            <w:r w:rsidRPr="004B0C8F">
              <w:rPr>
                <w:szCs w:val="22"/>
                <w:u w:color="000000"/>
                <w:vertAlign w:val="superscript"/>
                <w:lang w:val="lt-LT"/>
              </w:rPr>
              <w:t>#</w:t>
            </w:r>
          </w:p>
          <w:p w14:paraId="080691A5" w14:textId="6DFB2D32" w:rsidR="004B0C8F" w:rsidRPr="004B0C8F" w:rsidRDefault="004B0C8F" w:rsidP="004B0C8F">
            <w:pPr>
              <w:tabs>
                <w:tab w:val="left" w:pos="4680"/>
              </w:tabs>
              <w:spacing w:line="240" w:lineRule="auto"/>
              <w:rPr>
                <w:szCs w:val="22"/>
                <w:lang w:val="lt-LT"/>
              </w:rPr>
            </w:pPr>
            <w:r w:rsidRPr="004B0C8F">
              <w:rPr>
                <w:szCs w:val="22"/>
                <w:u w:val="single" w:color="000000"/>
                <w:lang w:val="lt-LT"/>
              </w:rPr>
              <w:t>Nedažn</w:t>
            </w:r>
            <w:r>
              <w:rPr>
                <w:szCs w:val="22"/>
                <w:u w:val="single" w:color="000000"/>
                <w:lang w:val="lt-LT"/>
              </w:rPr>
              <w:t>as</w:t>
            </w:r>
            <w:r w:rsidRPr="004B0C8F">
              <w:rPr>
                <w:szCs w:val="22"/>
                <w:lang w:val="lt-LT"/>
              </w:rPr>
              <w:t xml:space="preserve"> </w:t>
            </w:r>
          </w:p>
          <w:p w14:paraId="7F0E27FA" w14:textId="269BAA05" w:rsidR="004B0C8F" w:rsidRPr="004B0C8F" w:rsidRDefault="004B0C8F" w:rsidP="004B0C8F">
            <w:pPr>
              <w:tabs>
                <w:tab w:val="left" w:pos="4680"/>
              </w:tabs>
              <w:spacing w:line="240" w:lineRule="auto"/>
              <w:ind w:right="51"/>
              <w:rPr>
                <w:szCs w:val="22"/>
                <w:lang w:val="lt-LT"/>
              </w:rPr>
            </w:pPr>
            <w:r w:rsidRPr="004B0C8F">
              <w:rPr>
                <w:szCs w:val="22"/>
                <w:lang w:val="lt-LT"/>
              </w:rPr>
              <w:t>Artritas, raumenų ir kaulų skausmas, raumenų silpnumas, raumenų spazmas, raumenų įtempimas, bursitas, sąnarių patinimas</w:t>
            </w:r>
            <w:r w:rsidRPr="004B0C8F">
              <w:rPr>
                <w:szCs w:val="22"/>
                <w:vertAlign w:val="superscript"/>
                <w:lang w:val="lt-LT"/>
              </w:rPr>
              <w:t>#</w:t>
            </w:r>
            <w:r w:rsidRPr="004B0C8F">
              <w:rPr>
                <w:szCs w:val="22"/>
                <w:lang w:val="lt-LT"/>
              </w:rPr>
              <w:t>, nugaros skausmas</w:t>
            </w:r>
            <w:r w:rsidRPr="004B0C8F">
              <w:rPr>
                <w:szCs w:val="22"/>
                <w:vertAlign w:val="superscript"/>
                <w:lang w:val="lt-LT"/>
              </w:rPr>
              <w:t>#</w:t>
            </w:r>
            <w:r w:rsidRPr="004B0C8F">
              <w:rPr>
                <w:szCs w:val="22"/>
                <w:lang w:val="lt-LT"/>
              </w:rPr>
              <w:t>, raumenų ir kaulų sąstingis</w:t>
            </w:r>
            <w:r w:rsidRPr="004B0C8F">
              <w:rPr>
                <w:szCs w:val="22"/>
                <w:vertAlign w:val="superscript"/>
                <w:lang w:val="lt-LT"/>
              </w:rPr>
              <w:t xml:space="preserve"> #</w:t>
            </w:r>
            <w:r w:rsidRPr="004B0C8F">
              <w:rPr>
                <w:szCs w:val="22"/>
                <w:lang w:val="lt-LT"/>
              </w:rPr>
              <w:t>, sąnarių sąstingis</w:t>
            </w:r>
          </w:p>
          <w:p w14:paraId="5D209522" w14:textId="5801D09F" w:rsidR="004B0C8F" w:rsidRPr="004B0C8F" w:rsidRDefault="004B0C8F" w:rsidP="004B0C8F">
            <w:pPr>
              <w:tabs>
                <w:tab w:val="left" w:pos="4680"/>
              </w:tabs>
              <w:spacing w:line="240" w:lineRule="auto"/>
              <w:ind w:right="51"/>
              <w:rPr>
                <w:szCs w:val="22"/>
                <w:lang w:val="lt-LT"/>
              </w:rPr>
            </w:pPr>
            <w:r w:rsidRPr="004B0C8F">
              <w:rPr>
                <w:szCs w:val="22"/>
                <w:u w:val="single" w:color="000000"/>
                <w:lang w:val="lt-LT"/>
              </w:rPr>
              <w:t>Ret</w:t>
            </w:r>
            <w:r>
              <w:rPr>
                <w:szCs w:val="22"/>
                <w:u w:val="single" w:color="000000"/>
                <w:lang w:val="lt-LT"/>
              </w:rPr>
              <w:t>as</w:t>
            </w:r>
            <w:r w:rsidRPr="004B0C8F">
              <w:rPr>
                <w:szCs w:val="22"/>
                <w:lang w:val="lt-LT"/>
              </w:rPr>
              <w:t xml:space="preserve"> </w:t>
            </w:r>
          </w:p>
          <w:p w14:paraId="4606282C" w14:textId="3CD63CDC" w:rsidR="004B0C8F" w:rsidRPr="004B0C8F" w:rsidRDefault="004B0C8F" w:rsidP="004B0C8F">
            <w:pPr>
              <w:tabs>
                <w:tab w:val="left" w:pos="4680"/>
              </w:tabs>
              <w:spacing w:line="240" w:lineRule="auto"/>
              <w:rPr>
                <w:szCs w:val="22"/>
                <w:lang w:val="lt-LT"/>
              </w:rPr>
            </w:pPr>
            <w:proofErr w:type="spellStart"/>
            <w:r w:rsidRPr="004B0C8F">
              <w:rPr>
                <w:szCs w:val="22"/>
                <w:lang w:val="lt-LT"/>
              </w:rPr>
              <w:t>Rabdomiolizė</w:t>
            </w:r>
            <w:proofErr w:type="spellEnd"/>
            <w:r w:rsidRPr="004B0C8F">
              <w:rPr>
                <w:szCs w:val="22"/>
                <w:lang w:val="lt-LT"/>
              </w:rPr>
              <w:t xml:space="preserve">*, rotatoriaus </w:t>
            </w:r>
            <w:proofErr w:type="spellStart"/>
            <w:r w:rsidRPr="004B0C8F">
              <w:rPr>
                <w:szCs w:val="22"/>
                <w:lang w:val="lt-LT"/>
              </w:rPr>
              <w:t>manžetės</w:t>
            </w:r>
            <w:proofErr w:type="spellEnd"/>
            <w:r w:rsidRPr="004B0C8F">
              <w:rPr>
                <w:szCs w:val="22"/>
                <w:lang w:val="lt-LT"/>
              </w:rPr>
              <w:t xml:space="preserve"> sindromas</w:t>
            </w:r>
            <w:r w:rsidRPr="004B0C8F">
              <w:rPr>
                <w:szCs w:val="22"/>
                <w:vertAlign w:val="superscript"/>
                <w:lang w:val="lt-LT"/>
              </w:rPr>
              <w:t>#</w:t>
            </w:r>
            <w:r w:rsidRPr="004B0C8F">
              <w:rPr>
                <w:szCs w:val="22"/>
                <w:lang w:val="lt-LT"/>
              </w:rPr>
              <w:t xml:space="preserve">, reumatinė </w:t>
            </w:r>
            <w:proofErr w:type="spellStart"/>
            <w:r w:rsidRPr="004B0C8F">
              <w:rPr>
                <w:szCs w:val="22"/>
                <w:lang w:val="lt-LT"/>
              </w:rPr>
              <w:t>polimialgija</w:t>
            </w:r>
            <w:proofErr w:type="spellEnd"/>
            <w:r w:rsidRPr="004B0C8F">
              <w:rPr>
                <w:szCs w:val="22"/>
                <w:vertAlign w:val="superscript"/>
                <w:lang w:val="lt-LT"/>
              </w:rPr>
              <w:t>#</w:t>
            </w:r>
            <w:r w:rsidRPr="004B0C8F" w:rsidDel="008B5188">
              <w:rPr>
                <w:szCs w:val="22"/>
                <w:lang w:val="lt-LT"/>
              </w:rPr>
              <w:t xml:space="preserve"> </w:t>
            </w:r>
          </w:p>
        </w:tc>
      </w:tr>
      <w:tr w:rsidR="004B0C8F" w:rsidRPr="004B0C8F" w14:paraId="09A1D944" w14:textId="77777777" w:rsidTr="004B0C8F">
        <w:trPr>
          <w:trHeight w:val="1198"/>
        </w:trPr>
        <w:tc>
          <w:tcPr>
            <w:tcW w:w="3035" w:type="dxa"/>
            <w:tcBorders>
              <w:top w:val="single" w:sz="4" w:space="0" w:color="000000"/>
              <w:left w:val="single" w:sz="4" w:space="0" w:color="000000"/>
              <w:bottom w:val="single" w:sz="4" w:space="0" w:color="000000"/>
              <w:right w:val="single" w:sz="3" w:space="0" w:color="000000"/>
            </w:tcBorders>
            <w:shd w:val="clear" w:color="auto" w:fill="auto"/>
          </w:tcPr>
          <w:p w14:paraId="30579CBC" w14:textId="77777777" w:rsidR="004B0C8F" w:rsidRPr="004B0C8F" w:rsidRDefault="004B0C8F" w:rsidP="004B0C8F">
            <w:pPr>
              <w:tabs>
                <w:tab w:val="left" w:pos="4680"/>
              </w:tabs>
              <w:spacing w:line="240" w:lineRule="auto"/>
              <w:ind w:left="4"/>
              <w:rPr>
                <w:szCs w:val="22"/>
                <w:lang w:val="lt-LT"/>
              </w:rPr>
            </w:pPr>
            <w:r w:rsidRPr="004B0C8F">
              <w:rPr>
                <w:szCs w:val="22"/>
                <w:lang w:val="lt-LT"/>
              </w:rPr>
              <w:t xml:space="preserve">Inkstų ir šlapimo takų sutrikimai </w:t>
            </w:r>
          </w:p>
        </w:tc>
        <w:tc>
          <w:tcPr>
            <w:tcW w:w="5727" w:type="dxa"/>
            <w:tcBorders>
              <w:top w:val="single" w:sz="4" w:space="0" w:color="000000"/>
              <w:left w:val="single" w:sz="3" w:space="0" w:color="000000"/>
              <w:bottom w:val="single" w:sz="4" w:space="0" w:color="000000"/>
              <w:right w:val="single" w:sz="4" w:space="0" w:color="000000"/>
            </w:tcBorders>
            <w:shd w:val="clear" w:color="auto" w:fill="auto"/>
          </w:tcPr>
          <w:p w14:paraId="2C249C69" w14:textId="58AD4E89" w:rsidR="004B0C8F" w:rsidRPr="004B0C8F" w:rsidRDefault="004B0C8F" w:rsidP="004B0C8F">
            <w:pPr>
              <w:tabs>
                <w:tab w:val="left" w:pos="4680"/>
              </w:tabs>
              <w:spacing w:line="240" w:lineRule="auto"/>
              <w:rPr>
                <w:szCs w:val="22"/>
                <w:lang w:val="lt-LT"/>
              </w:rPr>
            </w:pPr>
            <w:r w:rsidRPr="004B0C8F">
              <w:rPr>
                <w:szCs w:val="22"/>
                <w:u w:val="single" w:color="000000"/>
                <w:lang w:val="lt-LT"/>
              </w:rPr>
              <w:t>Nedažn</w:t>
            </w:r>
            <w:r>
              <w:rPr>
                <w:szCs w:val="22"/>
                <w:u w:val="single" w:color="000000"/>
                <w:lang w:val="lt-LT"/>
              </w:rPr>
              <w:t>as</w:t>
            </w:r>
            <w:r w:rsidRPr="004B0C8F">
              <w:rPr>
                <w:szCs w:val="22"/>
                <w:lang w:val="lt-LT"/>
              </w:rPr>
              <w:t xml:space="preserve"> </w:t>
            </w:r>
          </w:p>
          <w:p w14:paraId="13911FE5" w14:textId="4DC109D1" w:rsidR="004B0C8F" w:rsidRPr="004B0C8F" w:rsidRDefault="004B0C8F" w:rsidP="004B0C8F">
            <w:pPr>
              <w:tabs>
                <w:tab w:val="left" w:pos="4680"/>
              </w:tabs>
              <w:spacing w:line="240" w:lineRule="auto"/>
              <w:ind w:right="310"/>
              <w:rPr>
                <w:szCs w:val="22"/>
                <w:lang w:val="lt-LT"/>
              </w:rPr>
            </w:pPr>
            <w:r w:rsidRPr="004B0C8F">
              <w:rPr>
                <w:szCs w:val="22"/>
                <w:lang w:val="lt-LT"/>
              </w:rPr>
              <w:t>Inkstų nepakankamumas, inkstų akmenligė (</w:t>
            </w:r>
            <w:proofErr w:type="spellStart"/>
            <w:r w:rsidRPr="004B0C8F">
              <w:rPr>
                <w:szCs w:val="22"/>
                <w:lang w:val="lt-LT"/>
              </w:rPr>
              <w:t>nefrolitiazė</w:t>
            </w:r>
            <w:proofErr w:type="spellEnd"/>
            <w:r w:rsidRPr="004B0C8F">
              <w:rPr>
                <w:szCs w:val="22"/>
                <w:lang w:val="lt-LT"/>
              </w:rPr>
              <w:t xml:space="preserve">), </w:t>
            </w:r>
            <w:proofErr w:type="spellStart"/>
            <w:r w:rsidRPr="004B0C8F">
              <w:rPr>
                <w:szCs w:val="22"/>
                <w:lang w:val="lt-LT"/>
              </w:rPr>
              <w:t>hematurija</w:t>
            </w:r>
            <w:proofErr w:type="spellEnd"/>
            <w:r w:rsidRPr="004B0C8F">
              <w:rPr>
                <w:szCs w:val="22"/>
                <w:lang w:val="lt-LT"/>
              </w:rPr>
              <w:t xml:space="preserve">, </w:t>
            </w:r>
            <w:proofErr w:type="spellStart"/>
            <w:r w:rsidRPr="004B0C8F">
              <w:rPr>
                <w:szCs w:val="22"/>
                <w:lang w:val="lt-LT"/>
              </w:rPr>
              <w:t>poliakiurija</w:t>
            </w:r>
            <w:proofErr w:type="spellEnd"/>
            <w:r w:rsidRPr="004B0C8F">
              <w:rPr>
                <w:szCs w:val="22"/>
                <w:lang w:val="lt-LT"/>
              </w:rPr>
              <w:t xml:space="preserve">, </w:t>
            </w:r>
            <w:proofErr w:type="spellStart"/>
            <w:r w:rsidRPr="004B0C8F">
              <w:rPr>
                <w:szCs w:val="22"/>
                <w:lang w:val="lt-LT"/>
              </w:rPr>
              <w:t>proteinurija</w:t>
            </w:r>
            <w:proofErr w:type="spellEnd"/>
            <w:r w:rsidRPr="004B0C8F">
              <w:rPr>
                <w:szCs w:val="22"/>
                <w:lang w:val="lt-LT"/>
              </w:rPr>
              <w:t>,</w:t>
            </w:r>
            <w:r w:rsidRPr="004B0C8F">
              <w:rPr>
                <w:lang w:val="lt-LT"/>
              </w:rPr>
              <w:t xml:space="preserve"> skubus potraukis šlapintis, šlapimo takų infekcija</w:t>
            </w:r>
            <w:r w:rsidRPr="004B0C8F">
              <w:rPr>
                <w:vertAlign w:val="superscript"/>
                <w:lang w:val="lt-LT"/>
              </w:rPr>
              <w:t>#</w:t>
            </w:r>
            <w:r w:rsidRPr="004B0C8F">
              <w:rPr>
                <w:szCs w:val="22"/>
                <w:lang w:val="lt-LT"/>
              </w:rPr>
              <w:t xml:space="preserve"> </w:t>
            </w:r>
          </w:p>
          <w:p w14:paraId="41814D10" w14:textId="0BAAB165" w:rsidR="004B0C8F" w:rsidRPr="004B0C8F" w:rsidRDefault="004B0C8F" w:rsidP="004B0C8F">
            <w:pPr>
              <w:tabs>
                <w:tab w:val="left" w:pos="4680"/>
              </w:tabs>
              <w:spacing w:line="240" w:lineRule="auto"/>
              <w:ind w:right="310"/>
              <w:rPr>
                <w:lang w:val="lt-LT"/>
              </w:rPr>
            </w:pPr>
            <w:r w:rsidRPr="004B0C8F">
              <w:rPr>
                <w:u w:val="single" w:color="000000"/>
                <w:lang w:val="lt-LT"/>
              </w:rPr>
              <w:t>Ret</w:t>
            </w:r>
            <w:r>
              <w:rPr>
                <w:u w:val="single" w:color="000000"/>
                <w:lang w:val="lt-LT"/>
              </w:rPr>
              <w:t>as</w:t>
            </w:r>
            <w:r w:rsidRPr="004B0C8F">
              <w:rPr>
                <w:lang w:val="lt-LT"/>
              </w:rPr>
              <w:t xml:space="preserve"> </w:t>
            </w:r>
          </w:p>
          <w:p w14:paraId="1876337C" w14:textId="01E9A2DC" w:rsidR="004B0C8F" w:rsidRPr="004B0C8F" w:rsidRDefault="004B0C8F" w:rsidP="004B0C8F">
            <w:pPr>
              <w:tabs>
                <w:tab w:val="left" w:pos="4680"/>
              </w:tabs>
              <w:spacing w:line="240" w:lineRule="auto"/>
              <w:rPr>
                <w:lang w:val="lt-LT"/>
              </w:rPr>
            </w:pPr>
            <w:proofErr w:type="spellStart"/>
            <w:r w:rsidRPr="004B0C8F">
              <w:rPr>
                <w:lang w:val="lt-LT"/>
              </w:rPr>
              <w:t>Tubulointersticinis</w:t>
            </w:r>
            <w:proofErr w:type="spellEnd"/>
            <w:r w:rsidRPr="004B0C8F">
              <w:rPr>
                <w:lang w:val="lt-LT"/>
              </w:rPr>
              <w:t xml:space="preserve"> nefritas*</w:t>
            </w:r>
          </w:p>
        </w:tc>
      </w:tr>
      <w:tr w:rsidR="004B0C8F" w:rsidRPr="004B0C8F" w14:paraId="395B0311" w14:textId="77777777" w:rsidTr="004B0C8F">
        <w:trPr>
          <w:trHeight w:val="485"/>
        </w:trPr>
        <w:tc>
          <w:tcPr>
            <w:tcW w:w="3035" w:type="dxa"/>
            <w:tcBorders>
              <w:top w:val="single" w:sz="4" w:space="0" w:color="000000"/>
              <w:left w:val="single" w:sz="4" w:space="0" w:color="000000"/>
              <w:bottom w:val="single" w:sz="4" w:space="0" w:color="000000"/>
              <w:right w:val="single" w:sz="3" w:space="0" w:color="000000"/>
            </w:tcBorders>
            <w:shd w:val="clear" w:color="auto" w:fill="auto"/>
          </w:tcPr>
          <w:p w14:paraId="2118C88B" w14:textId="77777777" w:rsidR="004B0C8F" w:rsidRPr="004B0C8F" w:rsidRDefault="004B0C8F" w:rsidP="004B0C8F">
            <w:pPr>
              <w:tabs>
                <w:tab w:val="left" w:pos="4680"/>
              </w:tabs>
              <w:spacing w:line="240" w:lineRule="auto"/>
              <w:ind w:left="4"/>
              <w:rPr>
                <w:szCs w:val="22"/>
                <w:lang w:val="lt-LT"/>
              </w:rPr>
            </w:pPr>
            <w:r w:rsidRPr="004B0C8F">
              <w:rPr>
                <w:szCs w:val="22"/>
                <w:lang w:val="lt-LT"/>
              </w:rPr>
              <w:t xml:space="preserve">Lytinės sistemos ir krūties sutrikimai </w:t>
            </w:r>
          </w:p>
        </w:tc>
        <w:tc>
          <w:tcPr>
            <w:tcW w:w="5727" w:type="dxa"/>
            <w:tcBorders>
              <w:top w:val="single" w:sz="4" w:space="0" w:color="000000"/>
              <w:left w:val="single" w:sz="3" w:space="0" w:color="000000"/>
              <w:bottom w:val="single" w:sz="4" w:space="0" w:color="000000"/>
              <w:right w:val="single" w:sz="4" w:space="0" w:color="000000"/>
            </w:tcBorders>
            <w:shd w:val="clear" w:color="auto" w:fill="auto"/>
          </w:tcPr>
          <w:p w14:paraId="4ED230DF" w14:textId="2E641814" w:rsidR="004B0C8F" w:rsidRPr="004B0C8F" w:rsidRDefault="004B0C8F" w:rsidP="004B0C8F">
            <w:pPr>
              <w:tabs>
                <w:tab w:val="left" w:pos="4680"/>
              </w:tabs>
              <w:spacing w:line="240" w:lineRule="auto"/>
              <w:rPr>
                <w:szCs w:val="22"/>
                <w:lang w:val="lt-LT"/>
              </w:rPr>
            </w:pPr>
            <w:r w:rsidRPr="004B0C8F">
              <w:rPr>
                <w:szCs w:val="22"/>
                <w:u w:val="single" w:color="000000"/>
                <w:lang w:val="lt-LT"/>
              </w:rPr>
              <w:t>Nedažn</w:t>
            </w:r>
            <w:r>
              <w:rPr>
                <w:szCs w:val="22"/>
                <w:u w:val="single" w:color="000000"/>
                <w:lang w:val="lt-LT"/>
              </w:rPr>
              <w:t>as</w:t>
            </w:r>
            <w:r w:rsidRPr="004B0C8F">
              <w:rPr>
                <w:szCs w:val="22"/>
                <w:lang w:val="lt-LT"/>
              </w:rPr>
              <w:t xml:space="preserve"> </w:t>
            </w:r>
          </w:p>
          <w:p w14:paraId="70A9B393" w14:textId="77777777" w:rsidR="004B0C8F" w:rsidRPr="004B0C8F" w:rsidRDefault="004B0C8F" w:rsidP="004B0C8F">
            <w:pPr>
              <w:tabs>
                <w:tab w:val="left" w:pos="4680"/>
              </w:tabs>
              <w:spacing w:line="240" w:lineRule="auto"/>
              <w:rPr>
                <w:szCs w:val="22"/>
                <w:lang w:val="lt-LT"/>
              </w:rPr>
            </w:pPr>
            <w:r w:rsidRPr="004B0C8F">
              <w:rPr>
                <w:szCs w:val="22"/>
                <w:lang w:val="lt-LT"/>
              </w:rPr>
              <w:t xml:space="preserve">Sutrikusi erekcija </w:t>
            </w:r>
          </w:p>
        </w:tc>
      </w:tr>
      <w:tr w:rsidR="004B0C8F" w:rsidRPr="004B0C8F" w14:paraId="1C10EF1F" w14:textId="77777777" w:rsidTr="004B0C8F">
        <w:trPr>
          <w:trHeight w:val="1438"/>
        </w:trPr>
        <w:tc>
          <w:tcPr>
            <w:tcW w:w="3035" w:type="dxa"/>
            <w:tcBorders>
              <w:top w:val="single" w:sz="4" w:space="0" w:color="000000"/>
              <w:left w:val="single" w:sz="4" w:space="0" w:color="000000"/>
              <w:bottom w:val="single" w:sz="4" w:space="0" w:color="000000"/>
              <w:right w:val="single" w:sz="3" w:space="0" w:color="000000"/>
            </w:tcBorders>
            <w:shd w:val="clear" w:color="auto" w:fill="auto"/>
          </w:tcPr>
          <w:p w14:paraId="739175F8" w14:textId="308B49AE" w:rsidR="004B0C8F" w:rsidRPr="004B0C8F" w:rsidRDefault="004B0C8F" w:rsidP="009447A4">
            <w:pPr>
              <w:tabs>
                <w:tab w:val="left" w:pos="4680"/>
              </w:tabs>
              <w:spacing w:line="240" w:lineRule="auto"/>
              <w:ind w:left="4"/>
              <w:rPr>
                <w:szCs w:val="22"/>
                <w:lang w:val="lt-LT"/>
              </w:rPr>
            </w:pPr>
            <w:r w:rsidRPr="004B0C8F">
              <w:rPr>
                <w:szCs w:val="22"/>
                <w:lang w:val="lt-LT"/>
              </w:rPr>
              <w:lastRenderedPageBreak/>
              <w:t>Bendrieji sutrikimai ir vartojimo vietos pažeidimai</w:t>
            </w:r>
          </w:p>
        </w:tc>
        <w:tc>
          <w:tcPr>
            <w:tcW w:w="5727" w:type="dxa"/>
            <w:tcBorders>
              <w:top w:val="single" w:sz="4" w:space="0" w:color="000000"/>
              <w:left w:val="single" w:sz="3" w:space="0" w:color="000000"/>
              <w:bottom w:val="single" w:sz="4" w:space="0" w:color="000000"/>
              <w:right w:val="single" w:sz="4" w:space="0" w:color="000000"/>
            </w:tcBorders>
            <w:shd w:val="clear" w:color="auto" w:fill="auto"/>
          </w:tcPr>
          <w:p w14:paraId="2E67A048" w14:textId="50FC8D6F" w:rsidR="004B0C8F" w:rsidRPr="004B0C8F" w:rsidRDefault="004B0C8F" w:rsidP="004B0C8F">
            <w:pPr>
              <w:tabs>
                <w:tab w:val="left" w:pos="4680"/>
              </w:tabs>
              <w:spacing w:line="240" w:lineRule="auto"/>
              <w:rPr>
                <w:szCs w:val="22"/>
                <w:lang w:val="lt-LT"/>
              </w:rPr>
            </w:pPr>
            <w:r w:rsidRPr="004B0C8F">
              <w:rPr>
                <w:szCs w:val="22"/>
                <w:u w:val="single" w:color="000000"/>
                <w:lang w:val="lt-LT"/>
              </w:rPr>
              <w:t>Dažn</w:t>
            </w:r>
            <w:r>
              <w:rPr>
                <w:szCs w:val="22"/>
                <w:u w:val="single" w:color="000000"/>
                <w:lang w:val="lt-LT"/>
              </w:rPr>
              <w:t>as</w:t>
            </w:r>
            <w:r w:rsidRPr="004B0C8F">
              <w:rPr>
                <w:szCs w:val="22"/>
                <w:lang w:val="lt-LT"/>
              </w:rPr>
              <w:t xml:space="preserve"> </w:t>
            </w:r>
          </w:p>
          <w:p w14:paraId="587CC74A" w14:textId="734524B8" w:rsidR="004B0C8F" w:rsidRPr="004B0C8F" w:rsidRDefault="004B0C8F" w:rsidP="004B0C8F">
            <w:pPr>
              <w:tabs>
                <w:tab w:val="left" w:pos="4680"/>
              </w:tabs>
              <w:spacing w:line="240" w:lineRule="auto"/>
              <w:rPr>
                <w:szCs w:val="22"/>
                <w:lang w:val="lt-LT"/>
              </w:rPr>
            </w:pPr>
            <w:r w:rsidRPr="004B0C8F">
              <w:rPr>
                <w:szCs w:val="22"/>
                <w:lang w:val="lt-LT"/>
              </w:rPr>
              <w:t xml:space="preserve">Edema, nuovargis </w:t>
            </w:r>
          </w:p>
          <w:p w14:paraId="45F6599E" w14:textId="03CAB0D2" w:rsidR="004B0C8F" w:rsidRPr="004B0C8F" w:rsidRDefault="004B0C8F" w:rsidP="004B0C8F">
            <w:pPr>
              <w:tabs>
                <w:tab w:val="left" w:pos="4680"/>
              </w:tabs>
              <w:spacing w:line="240" w:lineRule="auto"/>
              <w:rPr>
                <w:szCs w:val="22"/>
                <w:lang w:val="lt-LT"/>
              </w:rPr>
            </w:pPr>
            <w:r w:rsidRPr="004B0C8F">
              <w:rPr>
                <w:szCs w:val="22"/>
                <w:u w:val="single" w:color="000000"/>
                <w:lang w:val="lt-LT"/>
              </w:rPr>
              <w:t>Nedažn</w:t>
            </w:r>
            <w:r>
              <w:rPr>
                <w:szCs w:val="22"/>
                <w:u w:val="single" w:color="000000"/>
                <w:lang w:val="lt-LT"/>
              </w:rPr>
              <w:t>as</w:t>
            </w:r>
            <w:r w:rsidRPr="004B0C8F">
              <w:rPr>
                <w:szCs w:val="22"/>
                <w:lang w:val="lt-LT"/>
              </w:rPr>
              <w:t xml:space="preserve"> </w:t>
            </w:r>
          </w:p>
          <w:p w14:paraId="66454570" w14:textId="1DEB828D" w:rsidR="004B0C8F" w:rsidRPr="004B0C8F" w:rsidRDefault="004B0C8F" w:rsidP="004B0C8F">
            <w:pPr>
              <w:tabs>
                <w:tab w:val="left" w:pos="4680"/>
              </w:tabs>
              <w:spacing w:line="240" w:lineRule="auto"/>
              <w:ind w:right="128"/>
              <w:rPr>
                <w:szCs w:val="22"/>
                <w:lang w:val="lt-LT"/>
              </w:rPr>
            </w:pPr>
            <w:r w:rsidRPr="004B0C8F">
              <w:rPr>
                <w:szCs w:val="22"/>
                <w:lang w:val="lt-LT"/>
              </w:rPr>
              <w:t>Krūtinės skausmas, nemalonus pojūtis krūtinėje, skausmas</w:t>
            </w:r>
            <w:r w:rsidRPr="004B0C8F">
              <w:rPr>
                <w:szCs w:val="22"/>
                <w:vertAlign w:val="superscript"/>
                <w:lang w:val="lt-LT"/>
              </w:rPr>
              <w:t>#</w:t>
            </w:r>
            <w:r w:rsidRPr="004B0C8F">
              <w:rPr>
                <w:szCs w:val="22"/>
                <w:lang w:val="lt-LT"/>
              </w:rPr>
              <w:t>, bloga savijauta</w:t>
            </w:r>
            <w:r w:rsidRPr="004B0C8F">
              <w:rPr>
                <w:szCs w:val="22"/>
                <w:vertAlign w:val="superscript"/>
                <w:lang w:val="lt-LT"/>
              </w:rPr>
              <w:t>#</w:t>
            </w:r>
            <w:r w:rsidRPr="004B0C8F">
              <w:rPr>
                <w:szCs w:val="22"/>
                <w:lang w:val="lt-LT"/>
              </w:rPr>
              <w:t xml:space="preserve"> </w:t>
            </w:r>
          </w:p>
          <w:p w14:paraId="16D8E648" w14:textId="11EE256F" w:rsidR="004B0C8F" w:rsidRPr="004B0C8F" w:rsidRDefault="004B0C8F" w:rsidP="004B0C8F">
            <w:pPr>
              <w:tabs>
                <w:tab w:val="left" w:pos="4680"/>
              </w:tabs>
              <w:spacing w:line="240" w:lineRule="auto"/>
              <w:ind w:right="128"/>
              <w:rPr>
                <w:szCs w:val="22"/>
                <w:lang w:val="lt-LT"/>
              </w:rPr>
            </w:pPr>
            <w:r w:rsidRPr="004B0C8F">
              <w:rPr>
                <w:szCs w:val="22"/>
                <w:u w:val="single" w:color="000000"/>
                <w:lang w:val="lt-LT"/>
              </w:rPr>
              <w:t>Ret</w:t>
            </w:r>
            <w:r>
              <w:rPr>
                <w:szCs w:val="22"/>
                <w:u w:val="single" w:color="000000"/>
                <w:lang w:val="lt-LT"/>
              </w:rPr>
              <w:t>as</w:t>
            </w:r>
            <w:r w:rsidRPr="004B0C8F">
              <w:rPr>
                <w:szCs w:val="22"/>
                <w:lang w:val="lt-LT"/>
              </w:rPr>
              <w:t xml:space="preserve"> </w:t>
            </w:r>
          </w:p>
          <w:p w14:paraId="1A071081" w14:textId="1786EAE6" w:rsidR="004B0C8F" w:rsidRPr="004B0C8F" w:rsidRDefault="004B0C8F" w:rsidP="004B0C8F">
            <w:pPr>
              <w:tabs>
                <w:tab w:val="left" w:pos="4680"/>
              </w:tabs>
              <w:spacing w:line="240" w:lineRule="auto"/>
              <w:rPr>
                <w:szCs w:val="22"/>
                <w:lang w:val="lt-LT"/>
              </w:rPr>
            </w:pPr>
            <w:r w:rsidRPr="004B0C8F">
              <w:rPr>
                <w:szCs w:val="22"/>
                <w:lang w:val="lt-LT"/>
              </w:rPr>
              <w:t>Troškulys, karščio pojūtis</w:t>
            </w:r>
            <w:r w:rsidRPr="004B0C8F">
              <w:rPr>
                <w:szCs w:val="22"/>
                <w:vertAlign w:val="superscript"/>
                <w:lang w:val="lt-LT"/>
              </w:rPr>
              <w:t>#</w:t>
            </w:r>
            <w:r w:rsidRPr="004B0C8F">
              <w:rPr>
                <w:szCs w:val="22"/>
                <w:lang w:val="lt-LT"/>
              </w:rPr>
              <w:t xml:space="preserve"> </w:t>
            </w:r>
          </w:p>
        </w:tc>
      </w:tr>
      <w:tr w:rsidR="004B0C8F" w:rsidRPr="007F09F8" w14:paraId="7B1607B1" w14:textId="77777777" w:rsidTr="004B0C8F">
        <w:trPr>
          <w:trHeight w:val="3338"/>
        </w:trPr>
        <w:tc>
          <w:tcPr>
            <w:tcW w:w="3035" w:type="dxa"/>
            <w:tcBorders>
              <w:top w:val="single" w:sz="4" w:space="0" w:color="000000"/>
              <w:left w:val="single" w:sz="4" w:space="0" w:color="000000"/>
              <w:bottom w:val="single" w:sz="4" w:space="0" w:color="000000"/>
              <w:right w:val="single" w:sz="3" w:space="0" w:color="000000"/>
            </w:tcBorders>
            <w:shd w:val="clear" w:color="auto" w:fill="auto"/>
          </w:tcPr>
          <w:p w14:paraId="50B22BF6" w14:textId="77777777" w:rsidR="004B0C8F" w:rsidRPr="004B0C8F" w:rsidRDefault="004B0C8F" w:rsidP="004B0C8F">
            <w:pPr>
              <w:tabs>
                <w:tab w:val="left" w:pos="4680"/>
              </w:tabs>
              <w:spacing w:line="240" w:lineRule="auto"/>
              <w:ind w:left="4"/>
              <w:rPr>
                <w:szCs w:val="22"/>
                <w:lang w:val="lt-LT"/>
              </w:rPr>
            </w:pPr>
            <w:r w:rsidRPr="004B0C8F">
              <w:rPr>
                <w:szCs w:val="22"/>
                <w:lang w:val="lt-LT"/>
              </w:rPr>
              <w:t xml:space="preserve">Tyrimai </w:t>
            </w:r>
          </w:p>
        </w:tc>
        <w:tc>
          <w:tcPr>
            <w:tcW w:w="5727" w:type="dxa"/>
            <w:tcBorders>
              <w:top w:val="single" w:sz="4" w:space="0" w:color="000000"/>
              <w:left w:val="single" w:sz="3" w:space="0" w:color="000000"/>
              <w:bottom w:val="single" w:sz="4" w:space="0" w:color="000000"/>
              <w:right w:val="single" w:sz="4" w:space="0" w:color="000000"/>
            </w:tcBorders>
            <w:shd w:val="clear" w:color="auto" w:fill="auto"/>
          </w:tcPr>
          <w:p w14:paraId="5E4D62F1" w14:textId="781ECF30" w:rsidR="004B0C8F" w:rsidRPr="004B0C8F" w:rsidRDefault="004B0C8F" w:rsidP="004B0C8F">
            <w:pPr>
              <w:tabs>
                <w:tab w:val="left" w:pos="4680"/>
              </w:tabs>
              <w:spacing w:line="240" w:lineRule="auto"/>
              <w:rPr>
                <w:szCs w:val="22"/>
                <w:lang w:val="lt-LT"/>
              </w:rPr>
            </w:pPr>
            <w:r w:rsidRPr="004B0C8F">
              <w:rPr>
                <w:szCs w:val="22"/>
                <w:u w:val="single" w:color="000000"/>
                <w:lang w:val="lt-LT"/>
              </w:rPr>
              <w:t>Nedažn</w:t>
            </w:r>
            <w:r>
              <w:rPr>
                <w:szCs w:val="22"/>
                <w:u w:val="single" w:color="000000"/>
                <w:lang w:val="lt-LT"/>
              </w:rPr>
              <w:t>as</w:t>
            </w:r>
            <w:r w:rsidRPr="004B0C8F">
              <w:rPr>
                <w:szCs w:val="22"/>
                <w:lang w:val="lt-LT"/>
              </w:rPr>
              <w:t xml:space="preserve"> </w:t>
            </w:r>
          </w:p>
          <w:p w14:paraId="59D9AAF0" w14:textId="31F8BD9D" w:rsidR="004B0C8F" w:rsidRPr="004B0C8F" w:rsidRDefault="004B0C8F" w:rsidP="004B0C8F">
            <w:pPr>
              <w:tabs>
                <w:tab w:val="left" w:pos="4680"/>
              </w:tabs>
              <w:spacing w:line="240" w:lineRule="auto"/>
              <w:rPr>
                <w:szCs w:val="22"/>
                <w:lang w:val="lt-LT"/>
              </w:rPr>
            </w:pPr>
            <w:r w:rsidRPr="004B0C8F">
              <w:rPr>
                <w:szCs w:val="22"/>
                <w:lang w:val="lt-LT"/>
              </w:rPr>
              <w:t xml:space="preserve">Padidėjęs </w:t>
            </w:r>
            <w:proofErr w:type="spellStart"/>
            <w:r w:rsidRPr="004B0C8F">
              <w:rPr>
                <w:szCs w:val="22"/>
                <w:lang w:val="lt-LT"/>
              </w:rPr>
              <w:t>amilazės</w:t>
            </w:r>
            <w:proofErr w:type="spellEnd"/>
            <w:r w:rsidRPr="004B0C8F">
              <w:rPr>
                <w:szCs w:val="22"/>
                <w:lang w:val="lt-LT"/>
              </w:rPr>
              <w:t xml:space="preserve"> aktyvumas kraujyje, sumažėjęs trombocitų kiekis, sumažėjęs leukocitų kiekis, sumažėjęs limfocitų kiekis, padidėjęs </w:t>
            </w:r>
            <w:proofErr w:type="spellStart"/>
            <w:r w:rsidRPr="004B0C8F">
              <w:rPr>
                <w:szCs w:val="22"/>
                <w:lang w:val="lt-LT"/>
              </w:rPr>
              <w:t>kreatino</w:t>
            </w:r>
            <w:proofErr w:type="spellEnd"/>
            <w:r w:rsidRPr="004B0C8F">
              <w:rPr>
                <w:szCs w:val="22"/>
                <w:lang w:val="lt-LT"/>
              </w:rPr>
              <w:t xml:space="preserve"> kiekis kraujyje,  sumažėjęs hemoglobino kiekis, padidėjęs šlapalo kiekis kraujyje, padidėjęs trigliceridų kiekis kraujyje, padidėjęs cholesterolio kiekis kraujyje, </w:t>
            </w:r>
            <w:proofErr w:type="spellStart"/>
            <w:r w:rsidRPr="004B0C8F">
              <w:rPr>
                <w:szCs w:val="22"/>
                <w:lang w:val="lt-LT"/>
              </w:rPr>
              <w:t>hematokrito</w:t>
            </w:r>
            <w:proofErr w:type="spellEnd"/>
            <w:r w:rsidRPr="004B0C8F">
              <w:rPr>
                <w:szCs w:val="22"/>
                <w:lang w:val="lt-LT"/>
              </w:rPr>
              <w:t xml:space="preserve"> sumažėjimas, padidėjęs </w:t>
            </w:r>
            <w:proofErr w:type="spellStart"/>
            <w:r w:rsidRPr="004B0C8F">
              <w:rPr>
                <w:szCs w:val="22"/>
                <w:lang w:val="lt-LT"/>
              </w:rPr>
              <w:t>laktatdehidrogenazės</w:t>
            </w:r>
            <w:proofErr w:type="spellEnd"/>
            <w:r w:rsidRPr="004B0C8F">
              <w:rPr>
                <w:szCs w:val="22"/>
                <w:lang w:val="lt-LT"/>
              </w:rPr>
              <w:t xml:space="preserve"> aktyvumas kraujyje, padidėjęs kalio kiekis kraujyje, padidėjęs INR</w:t>
            </w:r>
            <w:r w:rsidRPr="004B0C8F">
              <w:rPr>
                <w:szCs w:val="22"/>
                <w:vertAlign w:val="superscript"/>
                <w:lang w:val="lt-LT"/>
              </w:rPr>
              <w:t>#</w:t>
            </w:r>
            <w:r w:rsidRPr="004B0C8F">
              <w:rPr>
                <w:szCs w:val="22"/>
                <w:lang w:val="lt-LT"/>
              </w:rPr>
              <w:t xml:space="preserve"> </w:t>
            </w:r>
          </w:p>
          <w:p w14:paraId="0E7FAEE7" w14:textId="50FF69A9" w:rsidR="004B0C8F" w:rsidRPr="004B0C8F" w:rsidRDefault="004B0C8F" w:rsidP="004B0C8F">
            <w:pPr>
              <w:tabs>
                <w:tab w:val="left" w:pos="4680"/>
              </w:tabs>
              <w:spacing w:line="240" w:lineRule="auto"/>
              <w:rPr>
                <w:szCs w:val="22"/>
                <w:lang w:val="lt-LT"/>
              </w:rPr>
            </w:pPr>
            <w:r w:rsidRPr="004B0C8F">
              <w:rPr>
                <w:szCs w:val="22"/>
                <w:u w:val="single" w:color="000000"/>
                <w:lang w:val="lt-LT"/>
              </w:rPr>
              <w:t>Ret</w:t>
            </w:r>
            <w:r>
              <w:rPr>
                <w:szCs w:val="22"/>
                <w:u w:val="single" w:color="000000"/>
                <w:lang w:val="lt-LT"/>
              </w:rPr>
              <w:t>as</w:t>
            </w:r>
            <w:r w:rsidRPr="004B0C8F">
              <w:rPr>
                <w:szCs w:val="22"/>
                <w:lang w:val="lt-LT"/>
              </w:rPr>
              <w:t xml:space="preserve"> </w:t>
            </w:r>
          </w:p>
          <w:p w14:paraId="5365951B" w14:textId="77777777" w:rsidR="004B0C8F" w:rsidRPr="004B0C8F" w:rsidRDefault="004B0C8F" w:rsidP="004B0C8F">
            <w:pPr>
              <w:tabs>
                <w:tab w:val="left" w:pos="4680"/>
              </w:tabs>
              <w:spacing w:line="240" w:lineRule="auto"/>
              <w:rPr>
                <w:szCs w:val="22"/>
                <w:lang w:val="lt-LT"/>
              </w:rPr>
            </w:pPr>
            <w:r w:rsidRPr="004B0C8F">
              <w:rPr>
                <w:szCs w:val="22"/>
                <w:lang w:val="lt-LT"/>
              </w:rPr>
              <w:t xml:space="preserve">Padidėjęs gliukozės kiekis kraujyje, aktyvinto dalinio </w:t>
            </w:r>
            <w:proofErr w:type="spellStart"/>
            <w:r w:rsidRPr="004B0C8F">
              <w:rPr>
                <w:szCs w:val="22"/>
                <w:lang w:val="lt-LT"/>
              </w:rPr>
              <w:t>tromboplastino</w:t>
            </w:r>
            <w:proofErr w:type="spellEnd"/>
            <w:r w:rsidRPr="004B0C8F">
              <w:rPr>
                <w:szCs w:val="22"/>
                <w:lang w:val="lt-LT"/>
              </w:rPr>
              <w:t xml:space="preserve"> laiko pailgėjimas, eritrocitų skaičiaus sumažėjimas, padidėjęs šarminės fosfatazės aktyvumas kraujyje, padidėjęs </w:t>
            </w:r>
            <w:proofErr w:type="spellStart"/>
            <w:r w:rsidRPr="004B0C8F">
              <w:rPr>
                <w:szCs w:val="22"/>
                <w:lang w:val="lt-LT"/>
              </w:rPr>
              <w:t>kreatinfosfokinazės</w:t>
            </w:r>
            <w:proofErr w:type="spellEnd"/>
            <w:r w:rsidRPr="004B0C8F">
              <w:rPr>
                <w:szCs w:val="22"/>
                <w:lang w:val="lt-LT"/>
              </w:rPr>
              <w:t xml:space="preserve"> aktyvumas kraujyje*. </w:t>
            </w:r>
          </w:p>
        </w:tc>
      </w:tr>
      <w:tr w:rsidR="004B0C8F" w:rsidRPr="004B0C8F" w14:paraId="7B28AF6D" w14:textId="77777777" w:rsidTr="009447A4">
        <w:trPr>
          <w:trHeight w:val="617"/>
        </w:trPr>
        <w:tc>
          <w:tcPr>
            <w:tcW w:w="3035" w:type="dxa"/>
            <w:tcBorders>
              <w:top w:val="single" w:sz="4" w:space="0" w:color="000000"/>
              <w:left w:val="single" w:sz="4" w:space="0" w:color="000000"/>
              <w:bottom w:val="single" w:sz="4" w:space="0" w:color="000000"/>
              <w:right w:val="single" w:sz="3" w:space="0" w:color="000000"/>
            </w:tcBorders>
            <w:shd w:val="clear" w:color="auto" w:fill="auto"/>
          </w:tcPr>
          <w:p w14:paraId="13279B21" w14:textId="1F43B224" w:rsidR="004B0C8F" w:rsidRPr="004B0C8F" w:rsidRDefault="004B0C8F" w:rsidP="004B0C8F">
            <w:pPr>
              <w:tabs>
                <w:tab w:val="left" w:pos="4680"/>
              </w:tabs>
              <w:spacing w:line="240" w:lineRule="auto"/>
              <w:ind w:left="4"/>
              <w:rPr>
                <w:szCs w:val="22"/>
                <w:lang w:val="lt-LT"/>
              </w:rPr>
            </w:pPr>
            <w:r w:rsidRPr="004B0C8F">
              <w:rPr>
                <w:szCs w:val="22"/>
                <w:lang w:val="lt-LT"/>
              </w:rPr>
              <w:t>Traumos, apsinuodijimai ir procedūrinės komplikacijos</w:t>
            </w:r>
          </w:p>
        </w:tc>
        <w:tc>
          <w:tcPr>
            <w:tcW w:w="5727" w:type="dxa"/>
            <w:tcBorders>
              <w:top w:val="single" w:sz="4" w:space="0" w:color="000000"/>
              <w:left w:val="single" w:sz="3" w:space="0" w:color="000000"/>
              <w:bottom w:val="single" w:sz="4" w:space="0" w:color="000000"/>
              <w:right w:val="single" w:sz="4" w:space="0" w:color="000000"/>
            </w:tcBorders>
            <w:shd w:val="clear" w:color="auto" w:fill="auto"/>
          </w:tcPr>
          <w:p w14:paraId="274EC428" w14:textId="718550BB" w:rsidR="004B0C8F" w:rsidRPr="004B0C8F" w:rsidRDefault="004B0C8F" w:rsidP="004B0C8F">
            <w:pPr>
              <w:tabs>
                <w:tab w:val="left" w:pos="4680"/>
              </w:tabs>
              <w:spacing w:line="240" w:lineRule="auto"/>
              <w:rPr>
                <w:szCs w:val="22"/>
                <w:u w:val="single" w:color="000000"/>
                <w:lang w:val="lt-LT"/>
              </w:rPr>
            </w:pPr>
            <w:r w:rsidRPr="004B0C8F">
              <w:rPr>
                <w:szCs w:val="22"/>
                <w:u w:val="single" w:color="000000"/>
                <w:lang w:val="lt-LT"/>
              </w:rPr>
              <w:t>Nedažn</w:t>
            </w:r>
            <w:r>
              <w:rPr>
                <w:szCs w:val="22"/>
                <w:u w:val="single" w:color="000000"/>
                <w:lang w:val="lt-LT"/>
              </w:rPr>
              <w:t>as</w:t>
            </w:r>
          </w:p>
          <w:p w14:paraId="7176F1D7" w14:textId="01763A40" w:rsidR="004B0C8F" w:rsidRPr="004B0C8F" w:rsidRDefault="004B0C8F" w:rsidP="004B0C8F">
            <w:pPr>
              <w:tabs>
                <w:tab w:val="left" w:pos="4680"/>
              </w:tabs>
              <w:spacing w:line="240" w:lineRule="auto"/>
              <w:rPr>
                <w:szCs w:val="22"/>
                <w:lang w:val="lt-LT"/>
              </w:rPr>
            </w:pPr>
            <w:r w:rsidRPr="004B0C8F">
              <w:rPr>
                <w:szCs w:val="22"/>
                <w:lang w:val="lt-LT"/>
              </w:rPr>
              <w:t>Sumušimas</w:t>
            </w:r>
            <w:r w:rsidRPr="004B0C8F">
              <w:rPr>
                <w:szCs w:val="22"/>
                <w:vertAlign w:val="superscript"/>
                <w:lang w:val="lt-LT"/>
              </w:rPr>
              <w:t>#</w:t>
            </w:r>
          </w:p>
        </w:tc>
      </w:tr>
    </w:tbl>
    <w:p w14:paraId="17321E2B" w14:textId="10001E39" w:rsidR="00273470" w:rsidRPr="004A478C" w:rsidRDefault="00273470" w:rsidP="003B28E4">
      <w:pPr>
        <w:tabs>
          <w:tab w:val="left" w:pos="4680"/>
        </w:tabs>
        <w:spacing w:line="240" w:lineRule="auto"/>
        <w:ind w:left="541" w:right="397"/>
        <w:rPr>
          <w:lang w:val="lt-LT"/>
        </w:rPr>
      </w:pPr>
      <w:r w:rsidRPr="004A478C">
        <w:rPr>
          <w:lang w:val="lt-LT"/>
        </w:rPr>
        <w:t>*</w:t>
      </w:r>
      <w:r w:rsidR="0064445A" w:rsidRPr="004A478C">
        <w:rPr>
          <w:lang w:val="lt-LT"/>
        </w:rPr>
        <w:t xml:space="preserve"> </w:t>
      </w:r>
      <w:r w:rsidRPr="004A478C">
        <w:rPr>
          <w:lang w:val="lt-LT"/>
        </w:rPr>
        <w:t xml:space="preserve">Nepageidaujamos reakcijos praneštos vaistiniam preparatui patekus į rinką. </w:t>
      </w:r>
    </w:p>
    <w:p w14:paraId="78BC1DAD" w14:textId="501D78A2" w:rsidR="00273470" w:rsidRPr="004A478C" w:rsidRDefault="00273470" w:rsidP="003B28E4">
      <w:pPr>
        <w:tabs>
          <w:tab w:val="left" w:pos="4680"/>
        </w:tabs>
        <w:spacing w:line="240" w:lineRule="auto"/>
        <w:ind w:left="541" w:right="397"/>
        <w:rPr>
          <w:lang w:val="lt-LT"/>
        </w:rPr>
      </w:pPr>
      <w:r w:rsidRPr="004A478C">
        <w:rPr>
          <w:lang w:val="lt-LT"/>
        </w:rPr>
        <w:t xml:space="preserve">** Skubaus gydymo reikalaujantis neinfekcinės kilmės viduriavimas ir kepenų funkcijos rodiklių pokyčiai jungtinių 3 fazės tyrimų metu dažniau pasireiškė pacientams, kartu vartojusiems </w:t>
      </w:r>
      <w:proofErr w:type="spellStart"/>
      <w:r w:rsidRPr="004A478C">
        <w:rPr>
          <w:lang w:val="lt-LT"/>
        </w:rPr>
        <w:t>kolchicino</w:t>
      </w:r>
      <w:proofErr w:type="spellEnd"/>
      <w:r w:rsidR="0064445A" w:rsidRPr="004A478C">
        <w:rPr>
          <w:lang w:val="lt-LT"/>
        </w:rPr>
        <w:t>.</w:t>
      </w:r>
      <w:r w:rsidRPr="004A478C">
        <w:rPr>
          <w:lang w:val="lt-LT"/>
        </w:rPr>
        <w:t xml:space="preserve"> </w:t>
      </w:r>
    </w:p>
    <w:p w14:paraId="333A5E95" w14:textId="6F94278D" w:rsidR="0064445A" w:rsidRPr="004A478C" w:rsidRDefault="00273470" w:rsidP="003B28E4">
      <w:pPr>
        <w:tabs>
          <w:tab w:val="left" w:pos="4680"/>
        </w:tabs>
        <w:spacing w:line="240" w:lineRule="auto"/>
        <w:ind w:left="541" w:right="397"/>
        <w:rPr>
          <w:lang w:val="lt-LT"/>
        </w:rPr>
      </w:pPr>
      <w:r w:rsidRPr="004A478C">
        <w:rPr>
          <w:lang w:val="lt-LT"/>
        </w:rPr>
        <w:t>***</w:t>
      </w:r>
      <w:r w:rsidR="0064445A" w:rsidRPr="004A478C">
        <w:rPr>
          <w:lang w:val="lt-LT"/>
        </w:rPr>
        <w:t xml:space="preserve"> </w:t>
      </w:r>
      <w:r w:rsidRPr="004A478C">
        <w:rPr>
          <w:lang w:val="lt-LT"/>
        </w:rPr>
        <w:t xml:space="preserve">Žr. 5.1 skyrių apie podagros priepuolių dažnį atskirų 3 fazės atsitiktinių imčių </w:t>
      </w:r>
      <w:r w:rsidR="005504AA" w:rsidRPr="004A478C">
        <w:rPr>
          <w:lang w:val="lt-LT"/>
        </w:rPr>
        <w:t xml:space="preserve">kontroliuojamų </w:t>
      </w:r>
      <w:r w:rsidRPr="004A478C">
        <w:rPr>
          <w:lang w:val="lt-LT"/>
        </w:rPr>
        <w:t>tyrimų metu</w:t>
      </w:r>
      <w:r w:rsidR="0064445A" w:rsidRPr="004A478C">
        <w:rPr>
          <w:lang w:val="lt-LT"/>
        </w:rPr>
        <w:t>.</w:t>
      </w:r>
    </w:p>
    <w:p w14:paraId="63CB6FAE" w14:textId="7AE25640" w:rsidR="00273470" w:rsidRPr="004A478C" w:rsidRDefault="0064445A" w:rsidP="003B28E4">
      <w:pPr>
        <w:tabs>
          <w:tab w:val="left" w:pos="4680"/>
        </w:tabs>
        <w:spacing w:line="240" w:lineRule="auto"/>
        <w:ind w:left="541" w:right="397"/>
        <w:rPr>
          <w:lang w:val="lt-LT"/>
        </w:rPr>
      </w:pPr>
      <w:r w:rsidRPr="004A478C">
        <w:rPr>
          <w:vertAlign w:val="superscript"/>
          <w:lang w:val="lt-LT"/>
        </w:rPr>
        <w:t>#</w:t>
      </w:r>
      <w:r w:rsidRPr="004A478C">
        <w:rPr>
          <w:lang w:val="lt-LT"/>
        </w:rPr>
        <w:t xml:space="preserve"> </w:t>
      </w:r>
      <w:r w:rsidR="00273470" w:rsidRPr="004A478C">
        <w:rPr>
          <w:lang w:val="lt-LT"/>
        </w:rPr>
        <w:t xml:space="preserve"> </w:t>
      </w:r>
      <w:r w:rsidRPr="004A478C">
        <w:rPr>
          <w:lang w:val="lt-LT"/>
        </w:rPr>
        <w:t>Nepageidaujamos reakcijos, prane</w:t>
      </w:r>
      <w:r w:rsidRPr="004B0C8F">
        <w:rPr>
          <w:szCs w:val="22"/>
          <w:lang w:val="lt-LT"/>
        </w:rPr>
        <w:t>štos</w:t>
      </w:r>
      <w:r w:rsidRPr="004A478C">
        <w:rPr>
          <w:lang w:val="lt-LT"/>
        </w:rPr>
        <w:t xml:space="preserve"> </w:t>
      </w:r>
      <w:proofErr w:type="spellStart"/>
      <w:r w:rsidRPr="004A478C">
        <w:rPr>
          <w:lang w:val="lt-LT"/>
        </w:rPr>
        <w:t>poregistracinių</w:t>
      </w:r>
      <w:proofErr w:type="spellEnd"/>
      <w:r w:rsidRPr="004A478C">
        <w:rPr>
          <w:lang w:val="lt-LT"/>
        </w:rPr>
        <w:t xml:space="preserve"> saugumo tyrimų metu.</w:t>
      </w:r>
    </w:p>
    <w:p w14:paraId="0E884D8A" w14:textId="77777777" w:rsidR="00273470" w:rsidRPr="004A478C" w:rsidRDefault="00273470" w:rsidP="003B28E4">
      <w:pPr>
        <w:tabs>
          <w:tab w:val="left" w:pos="4680"/>
        </w:tabs>
        <w:spacing w:line="240" w:lineRule="auto"/>
        <w:ind w:left="531"/>
        <w:rPr>
          <w:lang w:val="lt-LT"/>
        </w:rPr>
      </w:pPr>
      <w:r w:rsidRPr="004A478C">
        <w:rPr>
          <w:lang w:val="lt-LT"/>
        </w:rPr>
        <w:t xml:space="preserve"> </w:t>
      </w:r>
    </w:p>
    <w:p w14:paraId="1E136D1E" w14:textId="77777777" w:rsidR="00273470" w:rsidRPr="004A478C" w:rsidRDefault="00273470" w:rsidP="003B28E4">
      <w:pPr>
        <w:tabs>
          <w:tab w:val="left" w:pos="4680"/>
        </w:tabs>
        <w:spacing w:line="240" w:lineRule="auto"/>
        <w:ind w:left="-5"/>
        <w:rPr>
          <w:lang w:val="lt-LT"/>
        </w:rPr>
      </w:pPr>
      <w:r w:rsidRPr="004A478C">
        <w:rPr>
          <w:i/>
          <w:lang w:val="lt-LT"/>
        </w:rPr>
        <w:t xml:space="preserve">Kai kurių nepageidaujamų reakcijų apibūdinimas </w:t>
      </w:r>
    </w:p>
    <w:p w14:paraId="6A4DE466" w14:textId="77777777" w:rsidR="00273470" w:rsidRPr="004A478C" w:rsidRDefault="00273470" w:rsidP="003B28E4">
      <w:pPr>
        <w:tabs>
          <w:tab w:val="left" w:pos="4680"/>
        </w:tabs>
        <w:spacing w:line="240" w:lineRule="auto"/>
        <w:ind w:left="2" w:right="397"/>
        <w:rPr>
          <w:lang w:val="lt-LT"/>
        </w:rPr>
      </w:pPr>
      <w:r w:rsidRPr="004A478C">
        <w:rPr>
          <w:lang w:val="lt-LT"/>
        </w:rPr>
        <w:t xml:space="preserve">Po vaistinio preparato patekimo į rinką </w:t>
      </w:r>
      <w:proofErr w:type="spellStart"/>
      <w:r w:rsidRPr="004A478C">
        <w:rPr>
          <w:lang w:val="lt-LT"/>
        </w:rPr>
        <w:t>febuksostato</w:t>
      </w:r>
      <w:proofErr w:type="spellEnd"/>
      <w:r w:rsidRPr="004A478C">
        <w:rPr>
          <w:lang w:val="lt-LT"/>
        </w:rPr>
        <w:t xml:space="preserve"> sukeltos sunkios padidėjusio jautrumo reakcijos, įskaitant </w:t>
      </w:r>
      <w:proofErr w:type="spellStart"/>
      <w:r w:rsidRPr="004A478C">
        <w:rPr>
          <w:lang w:val="lt-LT"/>
        </w:rPr>
        <w:t>Stivenso</w:t>
      </w:r>
      <w:proofErr w:type="spellEnd"/>
      <w:r w:rsidRPr="004A478C">
        <w:rPr>
          <w:lang w:val="lt-LT"/>
        </w:rPr>
        <w:t xml:space="preserve">-Džonsono sindromą, toksinę epidermio </w:t>
      </w:r>
      <w:proofErr w:type="spellStart"/>
      <w:r w:rsidRPr="004A478C">
        <w:rPr>
          <w:lang w:val="lt-LT"/>
        </w:rPr>
        <w:t>nekrolizę</w:t>
      </w:r>
      <w:proofErr w:type="spellEnd"/>
      <w:r w:rsidRPr="004A478C">
        <w:rPr>
          <w:lang w:val="lt-LT"/>
        </w:rPr>
        <w:t xml:space="preserve"> ir ūminę anafilaksinę reakciją arba šoką pasitaikė retai. </w:t>
      </w:r>
      <w:proofErr w:type="spellStart"/>
      <w:r w:rsidRPr="004A478C">
        <w:rPr>
          <w:lang w:val="lt-LT"/>
        </w:rPr>
        <w:t>Stivenso</w:t>
      </w:r>
      <w:proofErr w:type="spellEnd"/>
      <w:r w:rsidRPr="004A478C">
        <w:rPr>
          <w:lang w:val="lt-LT"/>
        </w:rPr>
        <w:t xml:space="preserve">-Džonsono sindromui ir toksinei epidermio </w:t>
      </w:r>
      <w:proofErr w:type="spellStart"/>
      <w:r w:rsidRPr="004A478C">
        <w:rPr>
          <w:lang w:val="lt-LT"/>
        </w:rPr>
        <w:t>nekrolizei</w:t>
      </w:r>
      <w:proofErr w:type="spellEnd"/>
      <w:r w:rsidRPr="004A478C">
        <w:rPr>
          <w:lang w:val="lt-LT"/>
        </w:rPr>
        <w:t xml:space="preserve"> būdingas progresuojantis pūslelinis odos išbėrimas arba gleivinės pažeidimas ir akių sudirginimas. </w:t>
      </w:r>
      <w:proofErr w:type="spellStart"/>
      <w:r w:rsidRPr="004A478C">
        <w:rPr>
          <w:lang w:val="lt-LT"/>
        </w:rPr>
        <w:t>Febuksostato</w:t>
      </w:r>
      <w:proofErr w:type="spellEnd"/>
      <w:r w:rsidRPr="004A478C">
        <w:rPr>
          <w:lang w:val="lt-LT"/>
        </w:rPr>
        <w:t xml:space="preserve"> sukeltos padidėjusio jautrumo reakcijos gali pasireikšti šiais simptomais: infiltraciniu </w:t>
      </w:r>
      <w:proofErr w:type="spellStart"/>
      <w:r w:rsidRPr="004A478C">
        <w:rPr>
          <w:lang w:val="lt-LT"/>
        </w:rPr>
        <w:t>makulopapuliniu</w:t>
      </w:r>
      <w:proofErr w:type="spellEnd"/>
      <w:r w:rsidRPr="004A478C">
        <w:rPr>
          <w:lang w:val="lt-LT"/>
        </w:rPr>
        <w:t xml:space="preserve"> odos išbėrimu, išplitusiu arba </w:t>
      </w:r>
      <w:proofErr w:type="spellStart"/>
      <w:r w:rsidRPr="004A478C">
        <w:rPr>
          <w:lang w:val="lt-LT"/>
        </w:rPr>
        <w:t>eksfoliacinu</w:t>
      </w:r>
      <w:proofErr w:type="spellEnd"/>
      <w:r w:rsidRPr="004A478C">
        <w:rPr>
          <w:lang w:val="lt-LT"/>
        </w:rPr>
        <w:t xml:space="preserve"> išbėrimu, taip pat odos pažeidimais, veido edema, karščiavimu, kraujo pokyčiais (</w:t>
      </w:r>
      <w:proofErr w:type="spellStart"/>
      <w:r w:rsidRPr="004A478C">
        <w:rPr>
          <w:lang w:val="lt-LT"/>
        </w:rPr>
        <w:t>trombocitopenija</w:t>
      </w:r>
      <w:proofErr w:type="spellEnd"/>
      <w:r w:rsidRPr="004A478C">
        <w:rPr>
          <w:lang w:val="lt-LT"/>
        </w:rPr>
        <w:t xml:space="preserve"> ir </w:t>
      </w:r>
      <w:proofErr w:type="spellStart"/>
      <w:r w:rsidRPr="004A478C">
        <w:rPr>
          <w:lang w:val="lt-LT"/>
        </w:rPr>
        <w:t>eozinofilija</w:t>
      </w:r>
      <w:proofErr w:type="spellEnd"/>
      <w:r w:rsidR="005504AA" w:rsidRPr="004A478C">
        <w:rPr>
          <w:lang w:val="lt-LT"/>
        </w:rPr>
        <w:t>)</w:t>
      </w:r>
      <w:r w:rsidRPr="004A478C">
        <w:rPr>
          <w:lang w:val="lt-LT"/>
        </w:rPr>
        <w:t xml:space="preserve">, vieno ar kelių organų pažeidimais (kepenų arba inkstų, įskaitant </w:t>
      </w:r>
      <w:proofErr w:type="spellStart"/>
      <w:r w:rsidRPr="004A478C">
        <w:rPr>
          <w:lang w:val="lt-LT"/>
        </w:rPr>
        <w:t>tubulointersticinį</w:t>
      </w:r>
      <w:proofErr w:type="spellEnd"/>
      <w:r w:rsidRPr="004A478C">
        <w:rPr>
          <w:lang w:val="lt-LT"/>
        </w:rPr>
        <w:t xml:space="preserve"> nefritą) (žr. 4.4 skyrių). </w:t>
      </w:r>
    </w:p>
    <w:p w14:paraId="4940085A" w14:textId="77777777" w:rsidR="00273470" w:rsidRPr="004A478C" w:rsidRDefault="00273470" w:rsidP="003B28E4">
      <w:pPr>
        <w:tabs>
          <w:tab w:val="left" w:pos="4680"/>
        </w:tabs>
        <w:spacing w:line="240" w:lineRule="auto"/>
        <w:rPr>
          <w:lang w:val="lt-LT"/>
        </w:rPr>
      </w:pPr>
      <w:r w:rsidRPr="004A478C">
        <w:rPr>
          <w:lang w:val="lt-LT"/>
        </w:rPr>
        <w:t xml:space="preserve"> </w:t>
      </w:r>
    </w:p>
    <w:p w14:paraId="388D42BB" w14:textId="77777777" w:rsidR="00273470" w:rsidRPr="004A478C" w:rsidRDefault="00273470" w:rsidP="003B28E4">
      <w:pPr>
        <w:tabs>
          <w:tab w:val="left" w:pos="4680"/>
        </w:tabs>
        <w:spacing w:line="240" w:lineRule="auto"/>
        <w:ind w:left="2" w:right="397"/>
        <w:rPr>
          <w:lang w:val="lt-LT"/>
        </w:rPr>
      </w:pPr>
      <w:r w:rsidRPr="004A478C">
        <w:rPr>
          <w:lang w:val="lt-LT"/>
        </w:rPr>
        <w:t xml:space="preserve">Dažnai pasitaikė podagros paūmėjimas, pasireiškęs greitai po gydymo pradžios pirmaisiais gydymo mėnesiais. Vėliau podagros priepuolių dažnis mažėja. Rekomenduojama taikyti podagros priepuolių profilaktiką (žr. 4.2 ir 4.4 skyrius). </w:t>
      </w:r>
    </w:p>
    <w:p w14:paraId="1E45D834" w14:textId="77777777" w:rsidR="00273470" w:rsidRPr="004A478C" w:rsidRDefault="00273470" w:rsidP="003B28E4">
      <w:pPr>
        <w:tabs>
          <w:tab w:val="left" w:pos="4680"/>
        </w:tabs>
        <w:spacing w:line="240" w:lineRule="auto"/>
        <w:rPr>
          <w:lang w:val="lt-LT"/>
        </w:rPr>
      </w:pPr>
      <w:r w:rsidRPr="004A478C">
        <w:rPr>
          <w:lang w:val="lt-LT"/>
        </w:rPr>
        <w:t xml:space="preserve"> </w:t>
      </w:r>
    </w:p>
    <w:p w14:paraId="7883F550" w14:textId="77777777" w:rsidR="00C31BFA" w:rsidRPr="004B0C8F" w:rsidRDefault="00C31BFA" w:rsidP="00C31BFA">
      <w:pPr>
        <w:autoSpaceDE w:val="0"/>
        <w:autoSpaceDN w:val="0"/>
        <w:adjustRightInd w:val="0"/>
        <w:jc w:val="both"/>
        <w:rPr>
          <w:szCs w:val="24"/>
          <w:u w:val="single"/>
          <w:lang w:val="lt-LT"/>
        </w:rPr>
      </w:pPr>
      <w:r w:rsidRPr="004B0C8F">
        <w:rPr>
          <w:noProof/>
          <w:szCs w:val="24"/>
          <w:u w:val="single"/>
          <w:lang w:val="lt-LT"/>
        </w:rPr>
        <w:t>Pranešimas apie įtariamas nepageidaujamas reakcijas</w:t>
      </w:r>
    </w:p>
    <w:p w14:paraId="796707A1" w14:textId="7E6EE537" w:rsidR="00C31BFA" w:rsidRPr="004B0C8F" w:rsidRDefault="00C31BFA" w:rsidP="00542090">
      <w:pPr>
        <w:autoSpaceDE w:val="0"/>
        <w:autoSpaceDN w:val="0"/>
        <w:adjustRightInd w:val="0"/>
        <w:rPr>
          <w:noProof/>
          <w:szCs w:val="24"/>
          <w:lang w:val="lt-LT"/>
        </w:rPr>
      </w:pPr>
      <w:r w:rsidRPr="004B0C8F">
        <w:rPr>
          <w:noProof/>
          <w:szCs w:val="24"/>
          <w:lang w:val="lt-LT"/>
        </w:rPr>
        <w:t>Svarbu pranešti apie įtariamas nepageidaujamas reakcijas, pastebėtas po vaistinio preparato registracijos, nes tai leidžia nuolat stebėti vaistinio preparato naudos ir rizikos santykį.</w:t>
      </w:r>
      <w:r w:rsidRPr="004B0C8F">
        <w:rPr>
          <w:szCs w:val="24"/>
          <w:lang w:val="lt-LT"/>
        </w:rPr>
        <w:t xml:space="preserve"> </w:t>
      </w:r>
      <w:r w:rsidR="004B0C8F" w:rsidRPr="004B0C8F">
        <w:rPr>
          <w:snapToGrid/>
          <w:szCs w:val="22"/>
          <w:lang w:val="lt-LT"/>
        </w:rPr>
        <w:t xml:space="preserve">Sveikatos priežiūros ar farmacijos specialistai turi pranešti apie bet kokias įtariamas nepageidaujamas reakcijas, </w:t>
      </w:r>
      <w:r w:rsidR="004B0C8F" w:rsidRPr="004A478C">
        <w:rPr>
          <w:color w:val="000000"/>
          <w:lang w:val="lt-LT"/>
        </w:rPr>
        <w:t xml:space="preserve">užpildę </w:t>
      </w:r>
      <w:r w:rsidR="004B0C8F" w:rsidRPr="004B0C8F">
        <w:rPr>
          <w:snapToGrid/>
          <w:color w:val="000000"/>
          <w:szCs w:val="22"/>
          <w:lang w:val="lt-LT"/>
        </w:rPr>
        <w:t>ir pateikę pranešimo</w:t>
      </w:r>
      <w:r w:rsidR="004B0C8F" w:rsidRPr="004A478C">
        <w:rPr>
          <w:color w:val="000000"/>
          <w:lang w:val="lt-LT"/>
        </w:rPr>
        <w:t xml:space="preserve"> formą</w:t>
      </w:r>
      <w:r w:rsidR="004B0C8F" w:rsidRPr="004B0C8F">
        <w:rPr>
          <w:snapToGrid/>
          <w:color w:val="000000"/>
          <w:szCs w:val="22"/>
          <w:lang w:val="lt-LT"/>
        </w:rPr>
        <w:t xml:space="preserve"> Valstybinės</w:t>
      </w:r>
      <w:r w:rsidR="004B0C8F" w:rsidRPr="004A478C">
        <w:rPr>
          <w:color w:val="000000"/>
          <w:lang w:val="lt-LT"/>
        </w:rPr>
        <w:t xml:space="preserve"> vaistų kontrolės </w:t>
      </w:r>
      <w:r w:rsidR="004B0C8F" w:rsidRPr="004B0C8F">
        <w:rPr>
          <w:snapToGrid/>
          <w:color w:val="000000"/>
          <w:szCs w:val="22"/>
          <w:lang w:val="lt-LT"/>
        </w:rPr>
        <w:t>tarnybos</w:t>
      </w:r>
      <w:r w:rsidR="004B0C8F" w:rsidRPr="004A478C">
        <w:rPr>
          <w:color w:val="000000"/>
          <w:lang w:val="lt-LT"/>
        </w:rPr>
        <w:t xml:space="preserve"> prie Lietuvos Respublikos sveikatos apsaugos ministerijos </w:t>
      </w:r>
      <w:r w:rsidR="004B0C8F" w:rsidRPr="004B0C8F">
        <w:rPr>
          <w:snapToGrid/>
          <w:color w:val="000000"/>
          <w:szCs w:val="22"/>
          <w:lang w:val="lt-LT"/>
        </w:rPr>
        <w:t>tinklalapyje </w:t>
      </w:r>
      <w:r w:rsidR="004B0C8F" w:rsidRPr="004B0C8F">
        <w:rPr>
          <w:snapToGrid/>
          <w:color w:val="0000EE"/>
          <w:szCs w:val="22"/>
          <w:u w:val="single"/>
          <w:lang w:val="lt-LT"/>
        </w:rPr>
        <w:t>https://vvkt.lrv.lt/lt/</w:t>
      </w:r>
      <w:r w:rsidR="004B0C8F" w:rsidRPr="004B0C8F">
        <w:rPr>
          <w:snapToGrid/>
          <w:color w:val="000000"/>
          <w:szCs w:val="22"/>
          <w:lang w:val="lt-LT"/>
        </w:rPr>
        <w:t> nurodytais būdais.</w:t>
      </w:r>
    </w:p>
    <w:p w14:paraId="009C9837" w14:textId="77777777" w:rsidR="00273470" w:rsidRPr="004B0C8F" w:rsidRDefault="00273470" w:rsidP="003B28E4">
      <w:pPr>
        <w:tabs>
          <w:tab w:val="left" w:pos="4680"/>
        </w:tabs>
        <w:spacing w:line="240" w:lineRule="auto"/>
        <w:rPr>
          <w:lang w:val="lt-LT"/>
        </w:rPr>
      </w:pPr>
      <w:r w:rsidRPr="004B0C8F">
        <w:rPr>
          <w:lang w:val="lt-LT"/>
        </w:rPr>
        <w:t xml:space="preserve"> </w:t>
      </w:r>
    </w:p>
    <w:p w14:paraId="128818AD" w14:textId="77777777" w:rsidR="00273470" w:rsidRPr="004A478C" w:rsidRDefault="00273470" w:rsidP="003B28E4">
      <w:pPr>
        <w:tabs>
          <w:tab w:val="center" w:pos="1126"/>
          <w:tab w:val="left" w:pos="4680"/>
        </w:tabs>
        <w:spacing w:line="240" w:lineRule="auto"/>
        <w:ind w:left="-15"/>
        <w:rPr>
          <w:lang w:val="lt-LT"/>
        </w:rPr>
      </w:pPr>
      <w:r w:rsidRPr="004A478C">
        <w:rPr>
          <w:b/>
          <w:lang w:val="lt-LT"/>
        </w:rPr>
        <w:t xml:space="preserve">4.9 </w:t>
      </w:r>
      <w:r w:rsidRPr="004A478C">
        <w:rPr>
          <w:b/>
          <w:lang w:val="lt-LT"/>
        </w:rPr>
        <w:tab/>
        <w:t xml:space="preserve">Perdozavimas </w:t>
      </w:r>
    </w:p>
    <w:p w14:paraId="0A275C26" w14:textId="77777777" w:rsidR="00273470" w:rsidRPr="004A478C" w:rsidRDefault="00273470" w:rsidP="003B28E4">
      <w:pPr>
        <w:tabs>
          <w:tab w:val="left" w:pos="4680"/>
        </w:tabs>
        <w:spacing w:line="240" w:lineRule="auto"/>
        <w:rPr>
          <w:lang w:val="lt-LT"/>
        </w:rPr>
      </w:pPr>
      <w:r w:rsidRPr="004A478C">
        <w:rPr>
          <w:lang w:val="lt-LT"/>
        </w:rPr>
        <w:t xml:space="preserve"> </w:t>
      </w:r>
    </w:p>
    <w:p w14:paraId="2306DEBB" w14:textId="77777777" w:rsidR="00273470" w:rsidRPr="004A478C" w:rsidRDefault="002E1A13" w:rsidP="003B28E4">
      <w:pPr>
        <w:tabs>
          <w:tab w:val="left" w:pos="4680"/>
        </w:tabs>
        <w:spacing w:line="240" w:lineRule="auto"/>
        <w:ind w:left="2" w:right="397"/>
        <w:rPr>
          <w:lang w:val="lt-LT"/>
        </w:rPr>
      </w:pPr>
      <w:r w:rsidRPr="004B0C8F">
        <w:rPr>
          <w:szCs w:val="22"/>
          <w:lang w:val="lt-LT"/>
        </w:rPr>
        <w:t>Perdozavimo atveju pacientams turi būti</w:t>
      </w:r>
      <w:r w:rsidR="00273470" w:rsidRPr="004A478C">
        <w:rPr>
          <w:lang w:val="lt-LT"/>
        </w:rPr>
        <w:t xml:space="preserve"> taikomas simptominis ir palaikomasis gydymas. </w:t>
      </w:r>
    </w:p>
    <w:p w14:paraId="599B819D" w14:textId="77777777" w:rsidR="00273470" w:rsidRPr="004A478C" w:rsidRDefault="00273470" w:rsidP="003B28E4">
      <w:pPr>
        <w:tabs>
          <w:tab w:val="left" w:pos="4680"/>
        </w:tabs>
        <w:spacing w:line="240" w:lineRule="auto"/>
        <w:rPr>
          <w:lang w:val="lt-LT"/>
        </w:rPr>
      </w:pPr>
      <w:r w:rsidRPr="004A478C">
        <w:rPr>
          <w:lang w:val="lt-LT"/>
        </w:rPr>
        <w:lastRenderedPageBreak/>
        <w:t xml:space="preserve"> </w:t>
      </w:r>
    </w:p>
    <w:p w14:paraId="3DC845C8" w14:textId="77777777" w:rsidR="00273470" w:rsidRPr="004A478C" w:rsidRDefault="00273470" w:rsidP="003B28E4">
      <w:pPr>
        <w:tabs>
          <w:tab w:val="left" w:pos="4680"/>
        </w:tabs>
        <w:spacing w:line="240" w:lineRule="auto"/>
        <w:rPr>
          <w:lang w:val="lt-LT"/>
        </w:rPr>
      </w:pPr>
      <w:r w:rsidRPr="004A478C">
        <w:rPr>
          <w:lang w:val="lt-LT"/>
        </w:rPr>
        <w:t xml:space="preserve"> </w:t>
      </w:r>
    </w:p>
    <w:p w14:paraId="4729CE71" w14:textId="77777777" w:rsidR="00273470" w:rsidRPr="004A478C" w:rsidRDefault="00273470" w:rsidP="003B28E4">
      <w:pPr>
        <w:pStyle w:val="Antrat2"/>
        <w:tabs>
          <w:tab w:val="center" w:pos="2026"/>
          <w:tab w:val="left" w:pos="4680"/>
        </w:tabs>
        <w:spacing w:before="0" w:after="0" w:line="240" w:lineRule="auto"/>
        <w:ind w:left="-15"/>
        <w:rPr>
          <w:rFonts w:ascii="Times New Roman" w:hAnsi="Times New Roman"/>
          <w:i w:val="0"/>
          <w:sz w:val="22"/>
          <w:lang w:val="lt-LT"/>
        </w:rPr>
      </w:pPr>
      <w:r w:rsidRPr="004A478C">
        <w:rPr>
          <w:rFonts w:ascii="Times New Roman" w:hAnsi="Times New Roman"/>
          <w:i w:val="0"/>
          <w:sz w:val="22"/>
          <w:lang w:val="lt-LT"/>
        </w:rPr>
        <w:t xml:space="preserve">5. </w:t>
      </w:r>
      <w:r w:rsidRPr="004A478C">
        <w:rPr>
          <w:rFonts w:ascii="Times New Roman" w:hAnsi="Times New Roman"/>
          <w:i w:val="0"/>
          <w:sz w:val="22"/>
          <w:lang w:val="lt-LT"/>
        </w:rPr>
        <w:tab/>
        <w:t xml:space="preserve">FARMAKOLOGINĖS SAVYBĖS </w:t>
      </w:r>
    </w:p>
    <w:p w14:paraId="29E19527" w14:textId="77777777" w:rsidR="00273470" w:rsidRPr="004A478C" w:rsidRDefault="00273470" w:rsidP="003B28E4">
      <w:pPr>
        <w:tabs>
          <w:tab w:val="left" w:pos="4680"/>
        </w:tabs>
        <w:spacing w:line="240" w:lineRule="auto"/>
        <w:rPr>
          <w:lang w:val="lt-LT"/>
        </w:rPr>
      </w:pPr>
      <w:r w:rsidRPr="004A478C">
        <w:rPr>
          <w:lang w:val="lt-LT"/>
        </w:rPr>
        <w:t xml:space="preserve"> </w:t>
      </w:r>
    </w:p>
    <w:p w14:paraId="4E23B350" w14:textId="77777777" w:rsidR="00273470" w:rsidRPr="004A478C" w:rsidRDefault="00273470" w:rsidP="003B28E4">
      <w:pPr>
        <w:pStyle w:val="Antrat3"/>
        <w:tabs>
          <w:tab w:val="center" w:pos="1732"/>
          <w:tab w:val="left" w:pos="4680"/>
        </w:tabs>
        <w:spacing w:before="0" w:after="0" w:line="240" w:lineRule="auto"/>
        <w:ind w:left="-15"/>
        <w:rPr>
          <w:rFonts w:ascii="Times New Roman" w:hAnsi="Times New Roman"/>
          <w:sz w:val="22"/>
          <w:lang w:val="lt-LT"/>
        </w:rPr>
      </w:pPr>
      <w:r w:rsidRPr="004A478C">
        <w:rPr>
          <w:rFonts w:ascii="Times New Roman" w:hAnsi="Times New Roman"/>
          <w:sz w:val="22"/>
          <w:lang w:val="lt-LT"/>
        </w:rPr>
        <w:t xml:space="preserve">5.1 </w:t>
      </w:r>
      <w:r w:rsidRPr="004A478C">
        <w:rPr>
          <w:rFonts w:ascii="Times New Roman" w:hAnsi="Times New Roman"/>
          <w:sz w:val="22"/>
          <w:lang w:val="lt-LT"/>
        </w:rPr>
        <w:tab/>
      </w:r>
      <w:proofErr w:type="spellStart"/>
      <w:r w:rsidRPr="004A478C">
        <w:rPr>
          <w:rFonts w:ascii="Times New Roman" w:hAnsi="Times New Roman"/>
          <w:sz w:val="22"/>
          <w:lang w:val="lt-LT"/>
        </w:rPr>
        <w:t>Farmakodinaminės</w:t>
      </w:r>
      <w:proofErr w:type="spellEnd"/>
      <w:r w:rsidRPr="004A478C">
        <w:rPr>
          <w:rFonts w:ascii="Times New Roman" w:hAnsi="Times New Roman"/>
          <w:sz w:val="22"/>
          <w:lang w:val="lt-LT"/>
        </w:rPr>
        <w:t xml:space="preserve"> savybės </w:t>
      </w:r>
    </w:p>
    <w:p w14:paraId="4AA2DC1A" w14:textId="77777777" w:rsidR="00273470" w:rsidRPr="004A478C" w:rsidRDefault="00273470" w:rsidP="003B28E4">
      <w:pPr>
        <w:tabs>
          <w:tab w:val="left" w:pos="4680"/>
        </w:tabs>
        <w:spacing w:line="240" w:lineRule="auto"/>
        <w:rPr>
          <w:lang w:val="lt-LT"/>
        </w:rPr>
      </w:pPr>
      <w:r w:rsidRPr="004A478C">
        <w:rPr>
          <w:lang w:val="lt-LT"/>
        </w:rPr>
        <w:t xml:space="preserve"> </w:t>
      </w:r>
    </w:p>
    <w:p w14:paraId="64E2BBB1" w14:textId="77777777" w:rsidR="00273470" w:rsidRPr="004A478C" w:rsidRDefault="00273470" w:rsidP="003B28E4">
      <w:pPr>
        <w:tabs>
          <w:tab w:val="left" w:pos="4680"/>
        </w:tabs>
        <w:spacing w:line="240" w:lineRule="auto"/>
        <w:ind w:left="2" w:right="397"/>
        <w:rPr>
          <w:lang w:val="lt-LT"/>
        </w:rPr>
      </w:pPr>
      <w:proofErr w:type="spellStart"/>
      <w:r w:rsidRPr="004A478C">
        <w:rPr>
          <w:lang w:val="lt-LT"/>
        </w:rPr>
        <w:t>Farmakoterapinė</w:t>
      </w:r>
      <w:proofErr w:type="spellEnd"/>
      <w:r w:rsidRPr="004A478C">
        <w:rPr>
          <w:lang w:val="lt-LT"/>
        </w:rPr>
        <w:t xml:space="preserve"> grupė – vaistai podagrai gydyti, šlapimo rūgšties sintezę slopinantys vaist</w:t>
      </w:r>
      <w:r w:rsidR="003026BB" w:rsidRPr="004A478C">
        <w:rPr>
          <w:lang w:val="lt-LT"/>
        </w:rPr>
        <w:t>ini</w:t>
      </w:r>
      <w:r w:rsidRPr="004A478C">
        <w:rPr>
          <w:lang w:val="lt-LT"/>
        </w:rPr>
        <w:t>ai</w:t>
      </w:r>
      <w:r w:rsidR="003026BB" w:rsidRPr="004A478C">
        <w:rPr>
          <w:lang w:val="lt-LT"/>
        </w:rPr>
        <w:t xml:space="preserve"> preparatai</w:t>
      </w:r>
      <w:r w:rsidRPr="004A478C">
        <w:rPr>
          <w:lang w:val="lt-LT"/>
        </w:rPr>
        <w:t xml:space="preserve">, ATC kodas – M04AA03 </w:t>
      </w:r>
    </w:p>
    <w:p w14:paraId="694764DE" w14:textId="77777777" w:rsidR="00273470" w:rsidRPr="004A478C" w:rsidRDefault="00273470" w:rsidP="003B28E4">
      <w:pPr>
        <w:tabs>
          <w:tab w:val="left" w:pos="4680"/>
        </w:tabs>
        <w:spacing w:line="240" w:lineRule="auto"/>
        <w:rPr>
          <w:lang w:val="lt-LT"/>
        </w:rPr>
      </w:pPr>
      <w:r w:rsidRPr="004A478C">
        <w:rPr>
          <w:lang w:val="lt-LT"/>
        </w:rPr>
        <w:t xml:space="preserve">  </w:t>
      </w:r>
    </w:p>
    <w:p w14:paraId="72F5843E" w14:textId="77777777" w:rsidR="00273470" w:rsidRPr="004A478C" w:rsidRDefault="00273470" w:rsidP="003B28E4">
      <w:pPr>
        <w:pStyle w:val="Antrat2"/>
        <w:tabs>
          <w:tab w:val="left" w:pos="4680"/>
        </w:tabs>
        <w:spacing w:before="0" w:after="0" w:line="240" w:lineRule="auto"/>
        <w:ind w:left="-5"/>
        <w:rPr>
          <w:rFonts w:ascii="Times New Roman" w:hAnsi="Times New Roman"/>
          <w:i w:val="0"/>
          <w:sz w:val="22"/>
          <w:lang w:val="lt-LT"/>
        </w:rPr>
      </w:pPr>
      <w:r w:rsidRPr="004A478C">
        <w:rPr>
          <w:rFonts w:ascii="Times New Roman" w:hAnsi="Times New Roman"/>
          <w:b w:val="0"/>
          <w:i w:val="0"/>
          <w:sz w:val="22"/>
          <w:u w:val="single" w:color="000000"/>
          <w:lang w:val="lt-LT"/>
        </w:rPr>
        <w:t>Veikimo mechanizmas</w:t>
      </w:r>
      <w:r w:rsidRPr="004A478C">
        <w:rPr>
          <w:rFonts w:ascii="Times New Roman" w:hAnsi="Times New Roman"/>
          <w:b w:val="0"/>
          <w:i w:val="0"/>
          <w:sz w:val="22"/>
          <w:lang w:val="lt-LT"/>
        </w:rPr>
        <w:t xml:space="preserve"> </w:t>
      </w:r>
    </w:p>
    <w:p w14:paraId="4FDF386E" w14:textId="77777777" w:rsidR="00273470" w:rsidRPr="004A478C" w:rsidRDefault="00273470" w:rsidP="003B28E4">
      <w:pPr>
        <w:tabs>
          <w:tab w:val="left" w:pos="4680"/>
        </w:tabs>
        <w:spacing w:line="240" w:lineRule="auto"/>
        <w:rPr>
          <w:lang w:val="lt-LT"/>
        </w:rPr>
      </w:pPr>
      <w:r w:rsidRPr="004A478C">
        <w:rPr>
          <w:b/>
          <w:lang w:val="lt-LT"/>
        </w:rPr>
        <w:t xml:space="preserve"> </w:t>
      </w:r>
    </w:p>
    <w:p w14:paraId="4184C22E" w14:textId="77777777" w:rsidR="00273470" w:rsidRPr="004A478C" w:rsidRDefault="00273470" w:rsidP="003B28E4">
      <w:pPr>
        <w:tabs>
          <w:tab w:val="left" w:pos="4680"/>
        </w:tabs>
        <w:spacing w:line="240" w:lineRule="auto"/>
        <w:ind w:left="2" w:right="397"/>
        <w:rPr>
          <w:lang w:val="lt-LT"/>
        </w:rPr>
      </w:pPr>
      <w:r w:rsidRPr="004A478C">
        <w:rPr>
          <w:lang w:val="lt-LT"/>
        </w:rPr>
        <w:t xml:space="preserve">Šlapimo rūgštis yra purino metabolizmo žmogaus organizme galutinis produktas; jis susidaro šia seka: </w:t>
      </w:r>
      <w:proofErr w:type="spellStart"/>
      <w:r w:rsidRPr="004A478C">
        <w:rPr>
          <w:lang w:val="lt-LT"/>
        </w:rPr>
        <w:t>hipoksantinas</w:t>
      </w:r>
      <w:proofErr w:type="spellEnd"/>
      <w:r w:rsidRPr="004A478C">
        <w:rPr>
          <w:lang w:val="lt-LT"/>
        </w:rPr>
        <w:t xml:space="preserve"> </w:t>
      </w:r>
      <w:r w:rsidR="002E1A13" w:rsidRPr="004A478C">
        <w:rPr>
          <w:rFonts w:eastAsia="Segoe UI Symbol"/>
          <w:lang w:val="lt-LT"/>
        </w:rPr>
        <w:t xml:space="preserve">→ </w:t>
      </w:r>
      <w:r w:rsidRPr="004A478C">
        <w:rPr>
          <w:lang w:val="lt-LT"/>
        </w:rPr>
        <w:t xml:space="preserve"> </w:t>
      </w:r>
      <w:proofErr w:type="spellStart"/>
      <w:r w:rsidRPr="004A478C">
        <w:rPr>
          <w:lang w:val="lt-LT"/>
        </w:rPr>
        <w:t>ksantinas</w:t>
      </w:r>
      <w:proofErr w:type="spellEnd"/>
      <w:r w:rsidRPr="004A478C">
        <w:rPr>
          <w:lang w:val="lt-LT"/>
        </w:rPr>
        <w:t xml:space="preserve"> </w:t>
      </w:r>
      <w:r w:rsidR="002E1A13" w:rsidRPr="004A478C">
        <w:rPr>
          <w:rFonts w:eastAsia="Segoe UI Symbol"/>
          <w:lang w:val="lt-LT"/>
        </w:rPr>
        <w:t xml:space="preserve">→ </w:t>
      </w:r>
      <w:r w:rsidRPr="004A478C">
        <w:rPr>
          <w:lang w:val="lt-LT"/>
        </w:rPr>
        <w:t xml:space="preserve"> šlapimo rūgštis. Abi sekos reakcijas katalizuoja </w:t>
      </w:r>
      <w:proofErr w:type="spellStart"/>
      <w:r w:rsidRPr="004A478C">
        <w:rPr>
          <w:lang w:val="lt-LT"/>
        </w:rPr>
        <w:t>ksantinoksidazė</w:t>
      </w:r>
      <w:proofErr w:type="spellEnd"/>
      <w:r w:rsidRPr="004A478C">
        <w:rPr>
          <w:lang w:val="lt-LT"/>
        </w:rPr>
        <w:t xml:space="preserve"> (KO). </w:t>
      </w:r>
      <w:proofErr w:type="spellStart"/>
      <w:r w:rsidRPr="004A478C">
        <w:rPr>
          <w:lang w:val="lt-LT"/>
        </w:rPr>
        <w:t>Febuksostatas</w:t>
      </w:r>
      <w:proofErr w:type="spellEnd"/>
      <w:r w:rsidRPr="004A478C">
        <w:rPr>
          <w:lang w:val="lt-LT"/>
        </w:rPr>
        <w:t xml:space="preserve"> yra 2-ariltiazolio darinys, kurio gydomasis poveikis mažinant šlapimo rūgšties kiekį serume pasireiškia dėl selektyvaus KO slopinimo. </w:t>
      </w:r>
      <w:proofErr w:type="spellStart"/>
      <w:r w:rsidRPr="004A478C">
        <w:rPr>
          <w:lang w:val="lt-LT"/>
        </w:rPr>
        <w:t>Febuksostatas</w:t>
      </w:r>
      <w:proofErr w:type="spellEnd"/>
      <w:r w:rsidRPr="004A478C">
        <w:rPr>
          <w:lang w:val="lt-LT"/>
        </w:rPr>
        <w:t xml:space="preserve"> yra stiprus </w:t>
      </w:r>
      <w:proofErr w:type="spellStart"/>
      <w:r w:rsidRPr="004A478C">
        <w:rPr>
          <w:lang w:val="lt-LT"/>
        </w:rPr>
        <w:t>nepurininis</w:t>
      </w:r>
      <w:proofErr w:type="spellEnd"/>
      <w:r w:rsidRPr="004A478C">
        <w:rPr>
          <w:lang w:val="lt-LT"/>
        </w:rPr>
        <w:t xml:space="preserve"> selektyvusis KO inhibitorius (NP SKOI), kurio slopinamoji </w:t>
      </w:r>
      <w:proofErr w:type="spellStart"/>
      <w:r w:rsidRPr="004A478C">
        <w:rPr>
          <w:i/>
          <w:lang w:val="lt-LT"/>
        </w:rPr>
        <w:t>Ki</w:t>
      </w:r>
      <w:proofErr w:type="spellEnd"/>
      <w:r w:rsidRPr="004A478C">
        <w:rPr>
          <w:lang w:val="lt-LT"/>
        </w:rPr>
        <w:t xml:space="preserve"> vertė </w:t>
      </w:r>
      <w:proofErr w:type="spellStart"/>
      <w:r w:rsidRPr="004A478C">
        <w:rPr>
          <w:i/>
          <w:lang w:val="lt-LT"/>
        </w:rPr>
        <w:t>in</w:t>
      </w:r>
      <w:proofErr w:type="spellEnd"/>
      <w:r w:rsidRPr="004A478C">
        <w:rPr>
          <w:i/>
          <w:lang w:val="lt-LT"/>
        </w:rPr>
        <w:t xml:space="preserve"> </w:t>
      </w:r>
      <w:proofErr w:type="spellStart"/>
      <w:r w:rsidRPr="004A478C">
        <w:rPr>
          <w:i/>
          <w:lang w:val="lt-LT"/>
        </w:rPr>
        <w:t>vitro</w:t>
      </w:r>
      <w:proofErr w:type="spellEnd"/>
      <w:r w:rsidRPr="004A478C">
        <w:rPr>
          <w:lang w:val="lt-LT"/>
        </w:rPr>
        <w:t xml:space="preserve"> yra mažesnė už vieną </w:t>
      </w:r>
      <w:proofErr w:type="spellStart"/>
      <w:r w:rsidRPr="004A478C">
        <w:rPr>
          <w:lang w:val="lt-LT"/>
        </w:rPr>
        <w:t>nanomolį</w:t>
      </w:r>
      <w:proofErr w:type="spellEnd"/>
      <w:r w:rsidRPr="004A478C">
        <w:rPr>
          <w:lang w:val="lt-LT"/>
        </w:rPr>
        <w:t xml:space="preserve">. Nustatyta, kad </w:t>
      </w:r>
      <w:proofErr w:type="spellStart"/>
      <w:r w:rsidRPr="004A478C">
        <w:rPr>
          <w:lang w:val="lt-LT"/>
        </w:rPr>
        <w:t>febuksostatas</w:t>
      </w:r>
      <w:proofErr w:type="spellEnd"/>
      <w:r w:rsidRPr="004A478C">
        <w:rPr>
          <w:lang w:val="lt-LT"/>
        </w:rPr>
        <w:t xml:space="preserve"> stipriai slopina abi KO formas: oksiduotąją ir redukuotąją. Terapinės </w:t>
      </w:r>
      <w:proofErr w:type="spellStart"/>
      <w:r w:rsidRPr="004A478C">
        <w:rPr>
          <w:lang w:val="lt-LT"/>
        </w:rPr>
        <w:t>febuksostato</w:t>
      </w:r>
      <w:proofErr w:type="spellEnd"/>
      <w:r w:rsidRPr="004A478C">
        <w:rPr>
          <w:lang w:val="lt-LT"/>
        </w:rPr>
        <w:t xml:space="preserve"> koncentracijos neslopina kitų purino arba </w:t>
      </w:r>
      <w:proofErr w:type="spellStart"/>
      <w:r w:rsidRPr="004A478C">
        <w:rPr>
          <w:lang w:val="lt-LT"/>
        </w:rPr>
        <w:t>pirimidino</w:t>
      </w:r>
      <w:proofErr w:type="spellEnd"/>
      <w:r w:rsidRPr="004A478C">
        <w:rPr>
          <w:lang w:val="lt-LT"/>
        </w:rPr>
        <w:t xml:space="preserve"> metabolizme dalyvaujančių fermentų: </w:t>
      </w:r>
      <w:proofErr w:type="spellStart"/>
      <w:r w:rsidRPr="004A478C">
        <w:rPr>
          <w:lang w:val="lt-LT"/>
        </w:rPr>
        <w:t>guanino</w:t>
      </w:r>
      <w:proofErr w:type="spellEnd"/>
      <w:r w:rsidRPr="004A478C">
        <w:rPr>
          <w:lang w:val="lt-LT"/>
        </w:rPr>
        <w:t xml:space="preserve"> </w:t>
      </w:r>
      <w:proofErr w:type="spellStart"/>
      <w:r w:rsidRPr="004A478C">
        <w:rPr>
          <w:lang w:val="lt-LT"/>
        </w:rPr>
        <w:t>deaminazės</w:t>
      </w:r>
      <w:proofErr w:type="spellEnd"/>
      <w:r w:rsidRPr="004A478C">
        <w:rPr>
          <w:lang w:val="lt-LT"/>
        </w:rPr>
        <w:t xml:space="preserve">, </w:t>
      </w:r>
      <w:proofErr w:type="spellStart"/>
      <w:r w:rsidRPr="004A478C">
        <w:rPr>
          <w:lang w:val="lt-LT"/>
        </w:rPr>
        <w:t>hipoksantinguanino</w:t>
      </w:r>
      <w:proofErr w:type="spellEnd"/>
      <w:r w:rsidRPr="004A478C">
        <w:rPr>
          <w:lang w:val="lt-LT"/>
        </w:rPr>
        <w:t xml:space="preserve"> </w:t>
      </w:r>
      <w:proofErr w:type="spellStart"/>
      <w:r w:rsidRPr="004A478C">
        <w:rPr>
          <w:lang w:val="lt-LT"/>
        </w:rPr>
        <w:t>fosforiboziltransferazės</w:t>
      </w:r>
      <w:proofErr w:type="spellEnd"/>
      <w:r w:rsidRPr="004A478C">
        <w:rPr>
          <w:lang w:val="lt-LT"/>
        </w:rPr>
        <w:t xml:space="preserve">, </w:t>
      </w:r>
      <w:proofErr w:type="spellStart"/>
      <w:r w:rsidRPr="004A478C">
        <w:rPr>
          <w:lang w:val="lt-LT"/>
        </w:rPr>
        <w:t>orotato</w:t>
      </w:r>
      <w:proofErr w:type="spellEnd"/>
      <w:r w:rsidRPr="004A478C">
        <w:rPr>
          <w:lang w:val="lt-LT"/>
        </w:rPr>
        <w:t xml:space="preserve"> </w:t>
      </w:r>
      <w:proofErr w:type="spellStart"/>
      <w:r w:rsidRPr="004A478C">
        <w:rPr>
          <w:lang w:val="lt-LT"/>
        </w:rPr>
        <w:t>fosforiboziltransferazės</w:t>
      </w:r>
      <w:proofErr w:type="spellEnd"/>
      <w:r w:rsidRPr="004A478C">
        <w:rPr>
          <w:lang w:val="lt-LT"/>
        </w:rPr>
        <w:t xml:space="preserve">, </w:t>
      </w:r>
      <w:proofErr w:type="spellStart"/>
      <w:r w:rsidRPr="004A478C">
        <w:rPr>
          <w:lang w:val="lt-LT"/>
        </w:rPr>
        <w:t>orotidino</w:t>
      </w:r>
      <w:proofErr w:type="spellEnd"/>
      <w:r w:rsidRPr="004A478C">
        <w:rPr>
          <w:lang w:val="lt-LT"/>
        </w:rPr>
        <w:t xml:space="preserve"> </w:t>
      </w:r>
      <w:proofErr w:type="spellStart"/>
      <w:r w:rsidRPr="004A478C">
        <w:rPr>
          <w:lang w:val="lt-LT"/>
        </w:rPr>
        <w:t>monofosfato</w:t>
      </w:r>
      <w:proofErr w:type="spellEnd"/>
      <w:r w:rsidRPr="004A478C">
        <w:rPr>
          <w:lang w:val="lt-LT"/>
        </w:rPr>
        <w:t xml:space="preserve"> </w:t>
      </w:r>
      <w:proofErr w:type="spellStart"/>
      <w:r w:rsidRPr="004A478C">
        <w:rPr>
          <w:lang w:val="lt-LT"/>
        </w:rPr>
        <w:t>dekarboksilazės</w:t>
      </w:r>
      <w:proofErr w:type="spellEnd"/>
      <w:r w:rsidRPr="004A478C">
        <w:rPr>
          <w:lang w:val="lt-LT"/>
        </w:rPr>
        <w:t xml:space="preserve"> arba purino </w:t>
      </w:r>
      <w:proofErr w:type="spellStart"/>
      <w:r w:rsidRPr="004A478C">
        <w:rPr>
          <w:lang w:val="lt-LT"/>
        </w:rPr>
        <w:t>nukleozido</w:t>
      </w:r>
      <w:proofErr w:type="spellEnd"/>
      <w:r w:rsidRPr="004A478C">
        <w:rPr>
          <w:lang w:val="lt-LT"/>
        </w:rPr>
        <w:t xml:space="preserve"> </w:t>
      </w:r>
      <w:proofErr w:type="spellStart"/>
      <w:r w:rsidRPr="004A478C">
        <w:rPr>
          <w:lang w:val="lt-LT"/>
        </w:rPr>
        <w:t>fosforilazės</w:t>
      </w:r>
      <w:proofErr w:type="spellEnd"/>
      <w:r w:rsidRPr="004A478C">
        <w:rPr>
          <w:lang w:val="lt-LT"/>
        </w:rPr>
        <w:t>.</w:t>
      </w:r>
    </w:p>
    <w:p w14:paraId="1D1A3FF8" w14:textId="77777777" w:rsidR="00273470" w:rsidRPr="004A478C" w:rsidRDefault="00273470" w:rsidP="003B28E4">
      <w:pPr>
        <w:tabs>
          <w:tab w:val="left" w:pos="4680"/>
        </w:tabs>
        <w:spacing w:line="240" w:lineRule="auto"/>
        <w:rPr>
          <w:lang w:val="lt-LT"/>
        </w:rPr>
      </w:pPr>
      <w:r w:rsidRPr="004A478C">
        <w:rPr>
          <w:lang w:val="lt-LT"/>
        </w:rPr>
        <w:t xml:space="preserve"> </w:t>
      </w:r>
    </w:p>
    <w:p w14:paraId="1314DE18" w14:textId="77777777" w:rsidR="00273470" w:rsidRPr="004A478C" w:rsidRDefault="00273470" w:rsidP="003B28E4">
      <w:pPr>
        <w:pStyle w:val="Antrat2"/>
        <w:tabs>
          <w:tab w:val="left" w:pos="4680"/>
        </w:tabs>
        <w:spacing w:before="0" w:after="0" w:line="240" w:lineRule="auto"/>
        <w:ind w:left="-5"/>
        <w:rPr>
          <w:rFonts w:ascii="Times New Roman" w:hAnsi="Times New Roman"/>
          <w:i w:val="0"/>
          <w:sz w:val="22"/>
          <w:lang w:val="lt-LT"/>
        </w:rPr>
      </w:pPr>
      <w:r w:rsidRPr="004A478C">
        <w:rPr>
          <w:rFonts w:ascii="Times New Roman" w:hAnsi="Times New Roman"/>
          <w:b w:val="0"/>
          <w:i w:val="0"/>
          <w:sz w:val="22"/>
          <w:u w:val="single" w:color="000000"/>
          <w:lang w:val="lt-LT"/>
        </w:rPr>
        <w:t>Klinikinis veiksmingumas ir saugumas</w:t>
      </w:r>
      <w:r w:rsidRPr="004A478C">
        <w:rPr>
          <w:rFonts w:ascii="Times New Roman" w:hAnsi="Times New Roman"/>
          <w:b w:val="0"/>
          <w:i w:val="0"/>
          <w:sz w:val="22"/>
          <w:lang w:val="lt-LT"/>
        </w:rPr>
        <w:t xml:space="preserve"> </w:t>
      </w:r>
    </w:p>
    <w:p w14:paraId="2298FFC2" w14:textId="77777777" w:rsidR="00273470" w:rsidRPr="004A478C" w:rsidRDefault="00273470" w:rsidP="003B28E4">
      <w:pPr>
        <w:tabs>
          <w:tab w:val="left" w:pos="4680"/>
        </w:tabs>
        <w:spacing w:line="240" w:lineRule="auto"/>
        <w:rPr>
          <w:b/>
          <w:lang w:val="lt-LT"/>
        </w:rPr>
      </w:pPr>
      <w:r w:rsidRPr="004A478C">
        <w:rPr>
          <w:b/>
          <w:lang w:val="lt-LT"/>
        </w:rPr>
        <w:t xml:space="preserve"> </w:t>
      </w:r>
    </w:p>
    <w:p w14:paraId="0FD07E58" w14:textId="56933D49" w:rsidR="00273470" w:rsidRPr="004A478C" w:rsidRDefault="008752A0" w:rsidP="003B28E4">
      <w:pPr>
        <w:tabs>
          <w:tab w:val="left" w:pos="4680"/>
        </w:tabs>
        <w:spacing w:line="240" w:lineRule="auto"/>
        <w:ind w:left="2" w:right="397"/>
        <w:rPr>
          <w:lang w:val="lt-LT"/>
        </w:rPr>
      </w:pPr>
      <w:proofErr w:type="spellStart"/>
      <w:r w:rsidRPr="004B0C8F">
        <w:rPr>
          <w:szCs w:val="22"/>
          <w:lang w:val="lt-LT"/>
        </w:rPr>
        <w:t>Febuksostato</w:t>
      </w:r>
      <w:proofErr w:type="spellEnd"/>
      <w:r w:rsidRPr="004B0C8F">
        <w:rPr>
          <w:szCs w:val="22"/>
          <w:lang w:val="lt-LT"/>
        </w:rPr>
        <w:t xml:space="preserve"> </w:t>
      </w:r>
      <w:r w:rsidR="00273470" w:rsidRPr="004A478C">
        <w:rPr>
          <w:lang w:val="lt-LT"/>
        </w:rPr>
        <w:t xml:space="preserve">veiksmingumas nustatytas 3 fazės </w:t>
      </w:r>
      <w:r w:rsidR="0064445A" w:rsidRPr="004A478C">
        <w:rPr>
          <w:lang w:val="lt-LT"/>
        </w:rPr>
        <w:t xml:space="preserve">trijų </w:t>
      </w:r>
      <w:r w:rsidR="00273470" w:rsidRPr="004A478C">
        <w:rPr>
          <w:lang w:val="lt-LT"/>
        </w:rPr>
        <w:t>pagrindinių tyrimų (</w:t>
      </w:r>
      <w:r w:rsidR="0064445A" w:rsidRPr="004A478C">
        <w:rPr>
          <w:lang w:val="lt-LT"/>
        </w:rPr>
        <w:t>du</w:t>
      </w:r>
      <w:r w:rsidR="00E332F2" w:rsidRPr="004A478C">
        <w:rPr>
          <w:lang w:val="lt-LT"/>
        </w:rPr>
        <w:t xml:space="preserve"> </w:t>
      </w:r>
      <w:r w:rsidR="00273470" w:rsidRPr="004A478C">
        <w:rPr>
          <w:lang w:val="lt-LT"/>
        </w:rPr>
        <w:t xml:space="preserve">pagrindiniai APEX ir FACT tyrimai, papildomas CONFIRMS tyrimas aprašyti žemiau) metu, kuriuose dalyvavo 4101 pacientas, sergantis </w:t>
      </w:r>
      <w:proofErr w:type="spellStart"/>
      <w:r w:rsidR="00273470" w:rsidRPr="004A478C">
        <w:rPr>
          <w:lang w:val="lt-LT"/>
        </w:rPr>
        <w:t>hiperurikemija</w:t>
      </w:r>
      <w:proofErr w:type="spellEnd"/>
      <w:r w:rsidR="00273470" w:rsidRPr="004A478C">
        <w:rPr>
          <w:lang w:val="lt-LT"/>
        </w:rPr>
        <w:t xml:space="preserve"> ir podagra. Abiejų pagrindinių 3 fazės tyrimų metu nustatyta, kad </w:t>
      </w:r>
      <w:proofErr w:type="spellStart"/>
      <w:r w:rsidRPr="004A478C">
        <w:rPr>
          <w:lang w:val="lt-LT"/>
        </w:rPr>
        <w:t>febuksostatas</w:t>
      </w:r>
      <w:proofErr w:type="spellEnd"/>
      <w:r w:rsidRPr="004A478C">
        <w:rPr>
          <w:lang w:val="lt-LT"/>
        </w:rPr>
        <w:t xml:space="preserve"> </w:t>
      </w:r>
      <w:r w:rsidR="00273470" w:rsidRPr="004A478C">
        <w:rPr>
          <w:lang w:val="lt-LT"/>
        </w:rPr>
        <w:t xml:space="preserve">geriau sumažina ir palaiko šlapimo rūgšties kiekį serume, lyginant su </w:t>
      </w:r>
      <w:proofErr w:type="spellStart"/>
      <w:r w:rsidR="00273470" w:rsidRPr="004A478C">
        <w:rPr>
          <w:lang w:val="lt-LT"/>
        </w:rPr>
        <w:t>alopurinoliu</w:t>
      </w:r>
      <w:proofErr w:type="spellEnd"/>
      <w:r w:rsidR="00273470" w:rsidRPr="004A478C">
        <w:rPr>
          <w:lang w:val="lt-LT"/>
        </w:rPr>
        <w:t>. Pagrindinė veiksmingumo vertinamoji baigtis APEX ir FACT tyrimuose buvo pacientų santykis, kuriems ne mažiau kaip per 3 kasmėnesinius vizitus šlapimo rūgšties kiekis serume buvo &lt; 6,0</w:t>
      </w:r>
      <w:r w:rsidR="00E87295" w:rsidRPr="004A478C">
        <w:rPr>
          <w:lang w:val="lt-LT"/>
        </w:rPr>
        <w:t> mg</w:t>
      </w:r>
      <w:r w:rsidR="00273470" w:rsidRPr="004A478C">
        <w:rPr>
          <w:lang w:val="lt-LT"/>
        </w:rPr>
        <w:t>/dl (357 µ</w:t>
      </w:r>
      <w:proofErr w:type="spellStart"/>
      <w:r w:rsidR="00273470" w:rsidRPr="004A478C">
        <w:rPr>
          <w:lang w:val="lt-LT"/>
        </w:rPr>
        <w:t>mol</w:t>
      </w:r>
      <w:proofErr w:type="spellEnd"/>
      <w:r w:rsidR="00273470" w:rsidRPr="004A478C">
        <w:rPr>
          <w:lang w:val="lt-LT"/>
        </w:rPr>
        <w:t xml:space="preserve">/l). Papildomo 3 fazės CONFIRMS tyrimo, kurio rezultatai gauti po </w:t>
      </w:r>
      <w:proofErr w:type="spellStart"/>
      <w:r w:rsidR="00A229FA" w:rsidRPr="004A478C">
        <w:rPr>
          <w:lang w:val="lt-LT"/>
        </w:rPr>
        <w:t>febuksostato</w:t>
      </w:r>
      <w:proofErr w:type="spellEnd"/>
      <w:r w:rsidR="00A229FA" w:rsidRPr="004A478C">
        <w:rPr>
          <w:lang w:val="lt-LT"/>
        </w:rPr>
        <w:t xml:space="preserve"> </w:t>
      </w:r>
      <w:r w:rsidR="00273470" w:rsidRPr="004A478C">
        <w:rPr>
          <w:lang w:val="lt-LT"/>
        </w:rPr>
        <w:t>registracijos buvo pirmą kartą paskelbti, pagrindinė veiksmingumo vertinamoji baigtis buvo pacientų dalis, kurių kraujo serume šlapimo rūgšties koncentracija paskutinio vizito metu buvo &lt;6,0</w:t>
      </w:r>
      <w:r w:rsidR="00E87295" w:rsidRPr="004A478C">
        <w:rPr>
          <w:lang w:val="lt-LT"/>
        </w:rPr>
        <w:t> mg</w:t>
      </w:r>
      <w:r w:rsidR="00273470" w:rsidRPr="004A478C">
        <w:rPr>
          <w:lang w:val="lt-LT"/>
        </w:rPr>
        <w:t>/dl. Šiuose tyrimuose nedalyvavo pacientai, kuriems persodinti organai (</w:t>
      </w:r>
      <w:proofErr w:type="spellStart"/>
      <w:r w:rsidR="00273470" w:rsidRPr="004A478C">
        <w:rPr>
          <w:lang w:val="lt-LT"/>
        </w:rPr>
        <w:t>žr</w:t>
      </w:r>
      <w:proofErr w:type="spellEnd"/>
      <w:r w:rsidR="00273470" w:rsidRPr="004A478C">
        <w:rPr>
          <w:lang w:val="lt-LT"/>
        </w:rPr>
        <w:t xml:space="preserve"> 4.2 skyrių). </w:t>
      </w:r>
    </w:p>
    <w:p w14:paraId="4C8BBB47" w14:textId="77777777" w:rsidR="00273470" w:rsidRPr="004A478C" w:rsidRDefault="00273470" w:rsidP="003B28E4">
      <w:pPr>
        <w:tabs>
          <w:tab w:val="left" w:pos="4680"/>
        </w:tabs>
        <w:spacing w:line="240" w:lineRule="auto"/>
        <w:rPr>
          <w:lang w:val="lt-LT"/>
        </w:rPr>
      </w:pPr>
    </w:p>
    <w:p w14:paraId="279C6D4F" w14:textId="69FAB511" w:rsidR="00273470" w:rsidRPr="004A478C" w:rsidRDefault="00273470" w:rsidP="003B28E4">
      <w:pPr>
        <w:tabs>
          <w:tab w:val="left" w:pos="4680"/>
        </w:tabs>
        <w:spacing w:line="240" w:lineRule="auto"/>
        <w:ind w:left="2" w:right="397"/>
        <w:rPr>
          <w:lang w:val="lt-LT"/>
        </w:rPr>
      </w:pPr>
      <w:r w:rsidRPr="004A478C">
        <w:rPr>
          <w:lang w:val="lt-LT"/>
        </w:rPr>
        <w:t xml:space="preserve">APEX tyrimas: </w:t>
      </w:r>
      <w:proofErr w:type="spellStart"/>
      <w:r w:rsidRPr="004A478C">
        <w:rPr>
          <w:lang w:val="lt-LT"/>
        </w:rPr>
        <w:t>alopurinolio</w:t>
      </w:r>
      <w:proofErr w:type="spellEnd"/>
      <w:r w:rsidRPr="004A478C">
        <w:rPr>
          <w:lang w:val="lt-LT"/>
        </w:rPr>
        <w:t xml:space="preserve"> ir placebo kontroliuojamas </w:t>
      </w:r>
      <w:proofErr w:type="spellStart"/>
      <w:r w:rsidRPr="004A478C">
        <w:rPr>
          <w:lang w:val="lt-LT"/>
        </w:rPr>
        <w:t>febuksostato</w:t>
      </w:r>
      <w:proofErr w:type="spellEnd"/>
      <w:r w:rsidRPr="004A478C">
        <w:rPr>
          <w:lang w:val="lt-LT"/>
        </w:rPr>
        <w:t xml:space="preserve"> veiksmingumo tyrimas (angl. </w:t>
      </w:r>
      <w:proofErr w:type="spellStart"/>
      <w:r w:rsidRPr="004A478C">
        <w:rPr>
          <w:i/>
          <w:lang w:val="lt-LT"/>
        </w:rPr>
        <w:t>Allopurinol</w:t>
      </w:r>
      <w:proofErr w:type="spellEnd"/>
      <w:r w:rsidRPr="004A478C">
        <w:rPr>
          <w:i/>
          <w:lang w:val="lt-LT"/>
        </w:rPr>
        <w:t xml:space="preserve"> </w:t>
      </w:r>
      <w:proofErr w:type="spellStart"/>
      <w:r w:rsidRPr="004A478C">
        <w:rPr>
          <w:i/>
          <w:lang w:val="lt-LT"/>
        </w:rPr>
        <w:t>and</w:t>
      </w:r>
      <w:proofErr w:type="spellEnd"/>
      <w:r w:rsidRPr="004A478C">
        <w:rPr>
          <w:i/>
          <w:lang w:val="lt-LT"/>
        </w:rPr>
        <w:t xml:space="preserve"> Placebo-</w:t>
      </w:r>
      <w:proofErr w:type="spellStart"/>
      <w:r w:rsidRPr="004A478C">
        <w:rPr>
          <w:i/>
          <w:lang w:val="lt-LT"/>
        </w:rPr>
        <w:t>Controlled</w:t>
      </w:r>
      <w:proofErr w:type="spellEnd"/>
      <w:r w:rsidRPr="004A478C">
        <w:rPr>
          <w:i/>
          <w:lang w:val="lt-LT"/>
        </w:rPr>
        <w:t xml:space="preserve"> </w:t>
      </w:r>
      <w:proofErr w:type="spellStart"/>
      <w:r w:rsidRPr="004A478C">
        <w:rPr>
          <w:i/>
          <w:lang w:val="lt-LT"/>
        </w:rPr>
        <w:t>Efficacy</w:t>
      </w:r>
      <w:proofErr w:type="spellEnd"/>
      <w:r w:rsidRPr="004A478C">
        <w:rPr>
          <w:i/>
          <w:lang w:val="lt-LT"/>
        </w:rPr>
        <w:t xml:space="preserve"> </w:t>
      </w:r>
      <w:proofErr w:type="spellStart"/>
      <w:r w:rsidRPr="004A478C">
        <w:rPr>
          <w:i/>
          <w:lang w:val="lt-LT"/>
        </w:rPr>
        <w:t>Study</w:t>
      </w:r>
      <w:proofErr w:type="spellEnd"/>
      <w:r w:rsidRPr="004A478C">
        <w:rPr>
          <w:i/>
          <w:lang w:val="lt-LT"/>
        </w:rPr>
        <w:t xml:space="preserve"> </w:t>
      </w:r>
      <w:proofErr w:type="spellStart"/>
      <w:r w:rsidRPr="004A478C">
        <w:rPr>
          <w:i/>
          <w:lang w:val="lt-LT"/>
        </w:rPr>
        <w:t>of</w:t>
      </w:r>
      <w:proofErr w:type="spellEnd"/>
      <w:r w:rsidRPr="004A478C">
        <w:rPr>
          <w:i/>
          <w:lang w:val="lt-LT"/>
        </w:rPr>
        <w:t xml:space="preserve"> </w:t>
      </w:r>
      <w:proofErr w:type="spellStart"/>
      <w:r w:rsidRPr="004A478C">
        <w:rPr>
          <w:i/>
          <w:lang w:val="lt-LT"/>
        </w:rPr>
        <w:t>Febuxostat</w:t>
      </w:r>
      <w:proofErr w:type="spellEnd"/>
      <w:r w:rsidRPr="004A478C">
        <w:rPr>
          <w:lang w:val="lt-LT"/>
        </w:rPr>
        <w:t xml:space="preserve">, APEX) buvo 3 fazės, atsitiktinių imčių, dvigubai koduotas, </w:t>
      </w:r>
      <w:proofErr w:type="spellStart"/>
      <w:r w:rsidRPr="004A478C">
        <w:rPr>
          <w:lang w:val="lt-LT"/>
        </w:rPr>
        <w:t>daugiacentris</w:t>
      </w:r>
      <w:proofErr w:type="spellEnd"/>
      <w:r w:rsidRPr="004A478C">
        <w:rPr>
          <w:lang w:val="lt-LT"/>
        </w:rPr>
        <w:t xml:space="preserve">, 28 savaites trukęs tyrimas. Atsitiktinių imčių metodu į grupes buvo suskirstyti </w:t>
      </w:r>
      <w:r w:rsidR="00B96F4B" w:rsidRPr="004A478C">
        <w:rPr>
          <w:lang w:val="lt-LT"/>
        </w:rPr>
        <w:t xml:space="preserve">1072 </w:t>
      </w:r>
      <w:r w:rsidRPr="004A478C">
        <w:rPr>
          <w:lang w:val="lt-LT"/>
        </w:rPr>
        <w:t xml:space="preserve">pacientai: placebo grupę (n=134), </w:t>
      </w:r>
      <w:proofErr w:type="spellStart"/>
      <w:r w:rsidR="00A229FA" w:rsidRPr="004A478C">
        <w:rPr>
          <w:lang w:val="lt-LT"/>
        </w:rPr>
        <w:t>febuksostato</w:t>
      </w:r>
      <w:proofErr w:type="spellEnd"/>
      <w:r w:rsidR="00A229FA" w:rsidRPr="004A478C">
        <w:rPr>
          <w:lang w:val="lt-LT"/>
        </w:rPr>
        <w:t xml:space="preserve"> </w:t>
      </w:r>
      <w:r w:rsidRPr="004A478C">
        <w:rPr>
          <w:lang w:val="lt-LT"/>
        </w:rPr>
        <w:t>80</w:t>
      </w:r>
      <w:r w:rsidR="00E87295" w:rsidRPr="004A478C">
        <w:rPr>
          <w:lang w:val="lt-LT"/>
        </w:rPr>
        <w:t> mg</w:t>
      </w:r>
      <w:r w:rsidRPr="004A478C">
        <w:rPr>
          <w:lang w:val="lt-LT"/>
        </w:rPr>
        <w:t xml:space="preserve"> per parą grupę (n=267), </w:t>
      </w:r>
      <w:proofErr w:type="spellStart"/>
      <w:r w:rsidR="00A229FA" w:rsidRPr="004A478C">
        <w:rPr>
          <w:lang w:val="lt-LT"/>
        </w:rPr>
        <w:t>febuksostato</w:t>
      </w:r>
      <w:proofErr w:type="spellEnd"/>
      <w:r w:rsidR="00A229FA" w:rsidRPr="004A478C">
        <w:rPr>
          <w:lang w:val="lt-LT"/>
        </w:rPr>
        <w:t xml:space="preserve"> </w:t>
      </w:r>
      <w:r w:rsidRPr="004A478C">
        <w:rPr>
          <w:lang w:val="lt-LT"/>
        </w:rPr>
        <w:t>120</w:t>
      </w:r>
      <w:r w:rsidR="00E87295" w:rsidRPr="004A478C">
        <w:rPr>
          <w:lang w:val="lt-LT"/>
        </w:rPr>
        <w:t> mg</w:t>
      </w:r>
      <w:r w:rsidRPr="004A478C">
        <w:rPr>
          <w:lang w:val="lt-LT"/>
        </w:rPr>
        <w:t xml:space="preserve"> per parą grupę (n=269), </w:t>
      </w:r>
      <w:proofErr w:type="spellStart"/>
      <w:r w:rsidR="00A229FA" w:rsidRPr="004A478C">
        <w:rPr>
          <w:lang w:val="lt-LT"/>
        </w:rPr>
        <w:t>febuksostato</w:t>
      </w:r>
      <w:proofErr w:type="spellEnd"/>
      <w:r w:rsidR="00A229FA" w:rsidRPr="004A478C">
        <w:rPr>
          <w:lang w:val="lt-LT"/>
        </w:rPr>
        <w:t xml:space="preserve"> </w:t>
      </w:r>
      <w:r w:rsidRPr="004A478C">
        <w:rPr>
          <w:lang w:val="lt-LT"/>
        </w:rPr>
        <w:t>240</w:t>
      </w:r>
      <w:r w:rsidR="00E87295" w:rsidRPr="004A478C">
        <w:rPr>
          <w:lang w:val="lt-LT"/>
        </w:rPr>
        <w:t> mg</w:t>
      </w:r>
      <w:r w:rsidRPr="004A478C">
        <w:rPr>
          <w:lang w:val="lt-LT"/>
        </w:rPr>
        <w:t xml:space="preserve"> per parą (n=134) arba </w:t>
      </w:r>
      <w:proofErr w:type="spellStart"/>
      <w:r w:rsidRPr="004A478C">
        <w:rPr>
          <w:lang w:val="lt-LT"/>
        </w:rPr>
        <w:t>alopurinolio</w:t>
      </w:r>
      <w:proofErr w:type="spellEnd"/>
      <w:r w:rsidRPr="004A478C">
        <w:rPr>
          <w:lang w:val="lt-LT"/>
        </w:rPr>
        <w:t xml:space="preserve"> grupę (300</w:t>
      </w:r>
      <w:r w:rsidR="00E87295" w:rsidRPr="004A478C">
        <w:rPr>
          <w:lang w:val="lt-LT"/>
        </w:rPr>
        <w:t> mg</w:t>
      </w:r>
      <w:r w:rsidRPr="004A478C">
        <w:rPr>
          <w:lang w:val="lt-LT"/>
        </w:rPr>
        <w:t xml:space="preserve"> per parą, (n=258) buvo skiriama pacientams, kurių pradinis kreatinino kiekis serume buvo </w:t>
      </w:r>
      <w:r w:rsidR="00142F26" w:rsidRPr="004A478C">
        <w:rPr>
          <w:rFonts w:ascii="Segoe UI Symbol" w:eastAsia="Segoe UI Symbol" w:hAnsi="Segoe UI Symbol"/>
          <w:lang w:val="lt-LT"/>
        </w:rPr>
        <w:t>≤</w:t>
      </w:r>
      <w:r w:rsidRPr="004A478C">
        <w:rPr>
          <w:lang w:val="lt-LT"/>
        </w:rPr>
        <w:t xml:space="preserve"> 1,5</w:t>
      </w:r>
      <w:r w:rsidR="00E87295" w:rsidRPr="004A478C">
        <w:rPr>
          <w:lang w:val="lt-LT"/>
        </w:rPr>
        <w:t> mg</w:t>
      </w:r>
      <w:r w:rsidRPr="004A478C">
        <w:rPr>
          <w:lang w:val="lt-LT"/>
        </w:rPr>
        <w:t>/dl, o 100</w:t>
      </w:r>
      <w:r w:rsidR="00E87295" w:rsidRPr="004A478C">
        <w:rPr>
          <w:lang w:val="lt-LT"/>
        </w:rPr>
        <w:t> mg</w:t>
      </w:r>
      <w:r w:rsidRPr="004A478C">
        <w:rPr>
          <w:lang w:val="lt-LT"/>
        </w:rPr>
        <w:t xml:space="preserve"> per parą [n=10] buvo skiriama pacientams, kurių pradinis kreatinino kiekis serume buvo &gt; 1,5</w:t>
      </w:r>
      <w:r w:rsidR="00E87295" w:rsidRPr="004A478C">
        <w:rPr>
          <w:lang w:val="lt-LT"/>
        </w:rPr>
        <w:t> mg</w:t>
      </w:r>
      <w:r w:rsidRPr="004A478C">
        <w:rPr>
          <w:lang w:val="lt-LT"/>
        </w:rPr>
        <w:t xml:space="preserve">/dl, bet </w:t>
      </w:r>
      <w:r w:rsidR="00142F26" w:rsidRPr="004A478C">
        <w:rPr>
          <w:rFonts w:eastAsia="Segoe UI Symbol"/>
          <w:lang w:val="lt-LT"/>
        </w:rPr>
        <w:t>≤</w:t>
      </w:r>
      <w:r w:rsidRPr="004A478C">
        <w:rPr>
          <w:lang w:val="lt-LT"/>
        </w:rPr>
        <w:t xml:space="preserve"> 2,0</w:t>
      </w:r>
      <w:r w:rsidR="00E87295" w:rsidRPr="004A478C">
        <w:rPr>
          <w:lang w:val="lt-LT"/>
        </w:rPr>
        <w:t> mg</w:t>
      </w:r>
      <w:r w:rsidRPr="004A478C">
        <w:rPr>
          <w:lang w:val="lt-LT"/>
        </w:rPr>
        <w:t xml:space="preserve">/dl). Kaip saugumo įvertinimo dozė buvo naudojama </w:t>
      </w:r>
      <w:r w:rsidR="00B96F4B" w:rsidRPr="004A478C">
        <w:rPr>
          <w:lang w:val="lt-LT"/>
        </w:rPr>
        <w:t>240</w:t>
      </w:r>
      <w:r w:rsidRPr="004A478C">
        <w:rPr>
          <w:lang w:val="lt-LT"/>
        </w:rPr>
        <w:t xml:space="preserve"> mg </w:t>
      </w:r>
      <w:proofErr w:type="spellStart"/>
      <w:r w:rsidRPr="004A478C">
        <w:rPr>
          <w:lang w:val="lt-LT"/>
        </w:rPr>
        <w:t>febuksostato</w:t>
      </w:r>
      <w:proofErr w:type="spellEnd"/>
      <w:r w:rsidRPr="004A478C">
        <w:rPr>
          <w:lang w:val="lt-LT"/>
        </w:rPr>
        <w:t xml:space="preserve"> dozė (dukart didesnė už rekomenduojamą maksimalią dozę).</w:t>
      </w:r>
    </w:p>
    <w:p w14:paraId="371A335C" w14:textId="77777777" w:rsidR="00273470" w:rsidRPr="004A478C" w:rsidRDefault="00273470" w:rsidP="003B28E4">
      <w:pPr>
        <w:tabs>
          <w:tab w:val="left" w:pos="4680"/>
        </w:tabs>
        <w:spacing w:line="240" w:lineRule="auto"/>
        <w:rPr>
          <w:lang w:val="lt-LT"/>
        </w:rPr>
      </w:pPr>
      <w:r w:rsidRPr="004A478C">
        <w:rPr>
          <w:lang w:val="lt-LT"/>
        </w:rPr>
        <w:t xml:space="preserve"> </w:t>
      </w:r>
    </w:p>
    <w:p w14:paraId="03312B17" w14:textId="77777777" w:rsidR="00273470" w:rsidRPr="004A478C" w:rsidRDefault="00273470" w:rsidP="003B28E4">
      <w:pPr>
        <w:tabs>
          <w:tab w:val="left" w:pos="4680"/>
        </w:tabs>
        <w:spacing w:line="240" w:lineRule="auto"/>
        <w:ind w:left="2" w:right="397"/>
        <w:rPr>
          <w:lang w:val="lt-LT"/>
        </w:rPr>
      </w:pPr>
      <w:r w:rsidRPr="004A478C">
        <w:rPr>
          <w:lang w:val="lt-LT"/>
        </w:rPr>
        <w:t xml:space="preserve">APEX tyrimo metu nustatytas statistiškai reikšmingas gydymo abiem </w:t>
      </w:r>
      <w:proofErr w:type="spellStart"/>
      <w:r w:rsidR="00142F26" w:rsidRPr="004A478C">
        <w:rPr>
          <w:lang w:val="lt-LT"/>
        </w:rPr>
        <w:t>febuksostato</w:t>
      </w:r>
      <w:proofErr w:type="spellEnd"/>
      <w:r w:rsidR="00142F26" w:rsidRPr="004A478C">
        <w:rPr>
          <w:lang w:val="lt-LT"/>
        </w:rPr>
        <w:t xml:space="preserve"> (</w:t>
      </w:r>
      <w:r w:rsidRPr="004A478C">
        <w:rPr>
          <w:lang w:val="lt-LT"/>
        </w:rPr>
        <w:t>80</w:t>
      </w:r>
      <w:r w:rsidR="00E87295" w:rsidRPr="004A478C">
        <w:rPr>
          <w:lang w:val="lt-LT"/>
        </w:rPr>
        <w:t> mg</w:t>
      </w:r>
      <w:r w:rsidRPr="004A478C">
        <w:rPr>
          <w:lang w:val="lt-LT"/>
        </w:rPr>
        <w:t xml:space="preserve"> per parą ir </w:t>
      </w:r>
    </w:p>
    <w:p w14:paraId="104EBC98" w14:textId="77777777" w:rsidR="00273470" w:rsidRPr="004A478C" w:rsidRDefault="00273470" w:rsidP="003B28E4">
      <w:pPr>
        <w:tabs>
          <w:tab w:val="left" w:pos="4680"/>
        </w:tabs>
        <w:spacing w:line="240" w:lineRule="auto"/>
        <w:ind w:right="597"/>
        <w:rPr>
          <w:lang w:val="lt-LT"/>
        </w:rPr>
      </w:pPr>
      <w:r w:rsidRPr="004A478C">
        <w:rPr>
          <w:lang w:val="lt-LT"/>
        </w:rPr>
        <w:t>120</w:t>
      </w:r>
      <w:r w:rsidR="00E87295" w:rsidRPr="004A478C">
        <w:rPr>
          <w:lang w:val="lt-LT"/>
        </w:rPr>
        <w:t> mg</w:t>
      </w:r>
      <w:r w:rsidRPr="004A478C">
        <w:rPr>
          <w:lang w:val="lt-LT"/>
        </w:rPr>
        <w:t xml:space="preserve"> per parą</w:t>
      </w:r>
      <w:r w:rsidR="00142F26" w:rsidRPr="004A478C">
        <w:rPr>
          <w:lang w:val="lt-LT"/>
        </w:rPr>
        <w:t>)</w:t>
      </w:r>
      <w:r w:rsidRPr="004A478C">
        <w:rPr>
          <w:lang w:val="lt-LT"/>
        </w:rPr>
        <w:t xml:space="preserve"> dozėmis pranašumas palyginus su tradiciniu gydymu </w:t>
      </w:r>
      <w:proofErr w:type="spellStart"/>
      <w:r w:rsidRPr="004A478C">
        <w:rPr>
          <w:lang w:val="lt-LT"/>
        </w:rPr>
        <w:t>alopurinolio</w:t>
      </w:r>
      <w:proofErr w:type="spellEnd"/>
      <w:r w:rsidRPr="004A478C">
        <w:rPr>
          <w:lang w:val="lt-LT"/>
        </w:rPr>
        <w:t xml:space="preserve"> 300</w:t>
      </w:r>
      <w:r w:rsidR="00E87295" w:rsidRPr="004A478C">
        <w:rPr>
          <w:lang w:val="lt-LT"/>
        </w:rPr>
        <w:t> mg</w:t>
      </w:r>
      <w:r w:rsidRPr="004A478C">
        <w:rPr>
          <w:lang w:val="lt-LT"/>
        </w:rPr>
        <w:t xml:space="preserve"> (n=258) </w:t>
      </w:r>
      <w:r w:rsidR="00142F26" w:rsidRPr="004A478C">
        <w:rPr>
          <w:lang w:val="lt-LT"/>
        </w:rPr>
        <w:t xml:space="preserve">arba </w:t>
      </w:r>
      <w:r w:rsidRPr="004A478C">
        <w:rPr>
          <w:lang w:val="lt-LT"/>
        </w:rPr>
        <w:t>100</w:t>
      </w:r>
      <w:r w:rsidR="00E87295" w:rsidRPr="004A478C">
        <w:rPr>
          <w:lang w:val="lt-LT"/>
        </w:rPr>
        <w:t> mg</w:t>
      </w:r>
      <w:r w:rsidRPr="004A478C">
        <w:rPr>
          <w:lang w:val="lt-LT"/>
        </w:rPr>
        <w:t xml:space="preserve"> (n=10) dozėmis, sumažinant šlapimo rūgšties serume (</w:t>
      </w:r>
      <w:proofErr w:type="spellStart"/>
      <w:r w:rsidRPr="004A478C">
        <w:rPr>
          <w:lang w:val="lt-LT"/>
        </w:rPr>
        <w:t>sŠR</w:t>
      </w:r>
      <w:proofErr w:type="spellEnd"/>
      <w:r w:rsidRPr="004A478C">
        <w:rPr>
          <w:lang w:val="lt-LT"/>
        </w:rPr>
        <w:t>) kiekį žemiau 6</w:t>
      </w:r>
      <w:r w:rsidR="00E87295" w:rsidRPr="004A478C">
        <w:rPr>
          <w:lang w:val="lt-LT"/>
        </w:rPr>
        <w:t> mg</w:t>
      </w:r>
      <w:r w:rsidRPr="004A478C">
        <w:rPr>
          <w:lang w:val="lt-LT"/>
        </w:rPr>
        <w:t>/dl (357 µ</w:t>
      </w:r>
      <w:proofErr w:type="spellStart"/>
      <w:r w:rsidRPr="004A478C">
        <w:rPr>
          <w:lang w:val="lt-LT"/>
        </w:rPr>
        <w:t>mol</w:t>
      </w:r>
      <w:proofErr w:type="spellEnd"/>
      <w:r w:rsidRPr="004A478C">
        <w:rPr>
          <w:lang w:val="lt-LT"/>
        </w:rPr>
        <w:t xml:space="preserve">/l) ribos (žr. 2 lentelę ir 1 pav.). </w:t>
      </w:r>
    </w:p>
    <w:p w14:paraId="37A5BF48" w14:textId="77777777" w:rsidR="00273470" w:rsidRPr="004A478C" w:rsidRDefault="00273470" w:rsidP="003B28E4">
      <w:pPr>
        <w:tabs>
          <w:tab w:val="left" w:pos="4680"/>
        </w:tabs>
        <w:spacing w:line="240" w:lineRule="auto"/>
        <w:rPr>
          <w:lang w:val="lt-LT"/>
        </w:rPr>
      </w:pPr>
      <w:r w:rsidRPr="004A478C">
        <w:rPr>
          <w:lang w:val="lt-LT"/>
        </w:rPr>
        <w:t xml:space="preserve"> </w:t>
      </w:r>
    </w:p>
    <w:p w14:paraId="6CA7F024" w14:textId="6E4DFB5E" w:rsidR="00273470" w:rsidRPr="004A478C" w:rsidRDefault="00273470" w:rsidP="003B28E4">
      <w:pPr>
        <w:tabs>
          <w:tab w:val="left" w:pos="4680"/>
        </w:tabs>
        <w:spacing w:line="240" w:lineRule="auto"/>
        <w:ind w:left="2" w:right="397"/>
        <w:rPr>
          <w:lang w:val="lt-LT"/>
        </w:rPr>
      </w:pPr>
      <w:r w:rsidRPr="004A478C">
        <w:rPr>
          <w:lang w:val="lt-LT"/>
        </w:rPr>
        <w:t xml:space="preserve">FACT tyrimas: </w:t>
      </w:r>
      <w:proofErr w:type="spellStart"/>
      <w:r w:rsidRPr="004A478C">
        <w:rPr>
          <w:lang w:val="lt-LT"/>
        </w:rPr>
        <w:t>alopurinolio</w:t>
      </w:r>
      <w:proofErr w:type="spellEnd"/>
      <w:r w:rsidRPr="004A478C">
        <w:rPr>
          <w:lang w:val="lt-LT"/>
        </w:rPr>
        <w:t xml:space="preserve"> kontroliuojamas </w:t>
      </w:r>
      <w:proofErr w:type="spellStart"/>
      <w:r w:rsidRPr="004A478C">
        <w:rPr>
          <w:lang w:val="lt-LT"/>
        </w:rPr>
        <w:t>febuksostato</w:t>
      </w:r>
      <w:proofErr w:type="spellEnd"/>
      <w:r w:rsidRPr="004A478C">
        <w:rPr>
          <w:lang w:val="lt-LT"/>
        </w:rPr>
        <w:t xml:space="preserve"> tyrimas (angl. </w:t>
      </w:r>
      <w:proofErr w:type="spellStart"/>
      <w:r w:rsidRPr="004A478C">
        <w:rPr>
          <w:i/>
          <w:lang w:val="lt-LT"/>
        </w:rPr>
        <w:t>Febuxostat</w:t>
      </w:r>
      <w:proofErr w:type="spellEnd"/>
      <w:r w:rsidRPr="004A478C">
        <w:rPr>
          <w:i/>
          <w:lang w:val="lt-LT"/>
        </w:rPr>
        <w:t xml:space="preserve"> </w:t>
      </w:r>
      <w:proofErr w:type="spellStart"/>
      <w:r w:rsidRPr="004A478C">
        <w:rPr>
          <w:i/>
          <w:lang w:val="lt-LT"/>
        </w:rPr>
        <w:t>Allopurinol</w:t>
      </w:r>
      <w:proofErr w:type="spellEnd"/>
      <w:r w:rsidRPr="004A478C">
        <w:rPr>
          <w:i/>
          <w:lang w:val="lt-LT"/>
        </w:rPr>
        <w:t xml:space="preserve"> </w:t>
      </w:r>
      <w:proofErr w:type="spellStart"/>
      <w:r w:rsidRPr="004A478C">
        <w:rPr>
          <w:i/>
          <w:lang w:val="lt-LT"/>
        </w:rPr>
        <w:t>Controlled</w:t>
      </w:r>
      <w:proofErr w:type="spellEnd"/>
      <w:r w:rsidRPr="004A478C">
        <w:rPr>
          <w:i/>
          <w:lang w:val="lt-LT"/>
        </w:rPr>
        <w:t xml:space="preserve"> </w:t>
      </w:r>
      <w:proofErr w:type="spellStart"/>
      <w:r w:rsidRPr="004A478C">
        <w:rPr>
          <w:i/>
          <w:lang w:val="lt-LT"/>
        </w:rPr>
        <w:t>Trial</w:t>
      </w:r>
      <w:proofErr w:type="spellEnd"/>
      <w:r w:rsidRPr="004A478C">
        <w:rPr>
          <w:lang w:val="lt-LT"/>
        </w:rPr>
        <w:t xml:space="preserve">, FACT) buvo 3 fazės, atsitiktinių imčių, dvigubai koduotas, </w:t>
      </w:r>
      <w:proofErr w:type="spellStart"/>
      <w:r w:rsidRPr="004A478C">
        <w:rPr>
          <w:lang w:val="lt-LT"/>
        </w:rPr>
        <w:t>daugiacentris</w:t>
      </w:r>
      <w:proofErr w:type="spellEnd"/>
      <w:r w:rsidRPr="004A478C">
        <w:rPr>
          <w:lang w:val="lt-LT"/>
        </w:rPr>
        <w:t xml:space="preserve">, 52 savaites trukęs tyrimas. Atsitiktinių imčių metodu į grupes buvo suskirstyta </w:t>
      </w:r>
      <w:r w:rsidR="00B96F4B" w:rsidRPr="004A478C">
        <w:rPr>
          <w:lang w:val="lt-LT"/>
        </w:rPr>
        <w:t xml:space="preserve">760 </w:t>
      </w:r>
      <w:r w:rsidRPr="004A478C">
        <w:rPr>
          <w:lang w:val="lt-LT"/>
        </w:rPr>
        <w:t xml:space="preserve">pacientų: </w:t>
      </w:r>
      <w:proofErr w:type="spellStart"/>
      <w:r w:rsidR="004F7211" w:rsidRPr="004A478C">
        <w:rPr>
          <w:lang w:val="lt-LT"/>
        </w:rPr>
        <w:lastRenderedPageBreak/>
        <w:t>febuksostato</w:t>
      </w:r>
      <w:proofErr w:type="spellEnd"/>
      <w:r w:rsidR="004F7211" w:rsidRPr="004A478C">
        <w:rPr>
          <w:lang w:val="lt-LT"/>
        </w:rPr>
        <w:t xml:space="preserve"> </w:t>
      </w:r>
      <w:r w:rsidRPr="004A478C">
        <w:rPr>
          <w:lang w:val="lt-LT"/>
        </w:rPr>
        <w:t>80</w:t>
      </w:r>
      <w:r w:rsidR="00E87295" w:rsidRPr="004A478C">
        <w:rPr>
          <w:lang w:val="lt-LT"/>
        </w:rPr>
        <w:t> mg</w:t>
      </w:r>
      <w:r w:rsidRPr="004A478C">
        <w:rPr>
          <w:lang w:val="lt-LT"/>
        </w:rPr>
        <w:t xml:space="preserve"> per parą grupę (n=256), </w:t>
      </w:r>
      <w:proofErr w:type="spellStart"/>
      <w:r w:rsidR="004F7211" w:rsidRPr="004A478C">
        <w:rPr>
          <w:lang w:val="lt-LT"/>
        </w:rPr>
        <w:t>febuksostato</w:t>
      </w:r>
      <w:proofErr w:type="spellEnd"/>
      <w:r w:rsidR="004F7211" w:rsidRPr="004A478C">
        <w:rPr>
          <w:lang w:val="lt-LT"/>
        </w:rPr>
        <w:t xml:space="preserve"> </w:t>
      </w:r>
      <w:r w:rsidRPr="004A478C">
        <w:rPr>
          <w:lang w:val="lt-LT"/>
        </w:rPr>
        <w:t>120</w:t>
      </w:r>
      <w:r w:rsidR="00E87295" w:rsidRPr="004A478C">
        <w:rPr>
          <w:lang w:val="lt-LT"/>
        </w:rPr>
        <w:t> mg</w:t>
      </w:r>
      <w:r w:rsidRPr="004A478C">
        <w:rPr>
          <w:lang w:val="lt-LT"/>
        </w:rPr>
        <w:t xml:space="preserve"> per parą grupę (n=251) arba </w:t>
      </w:r>
      <w:proofErr w:type="spellStart"/>
      <w:r w:rsidRPr="004A478C">
        <w:rPr>
          <w:lang w:val="lt-LT"/>
        </w:rPr>
        <w:t>alopurinolio</w:t>
      </w:r>
      <w:proofErr w:type="spellEnd"/>
      <w:r w:rsidRPr="004A478C">
        <w:rPr>
          <w:lang w:val="lt-LT"/>
        </w:rPr>
        <w:t xml:space="preserve"> 300</w:t>
      </w:r>
      <w:r w:rsidR="00E87295" w:rsidRPr="004A478C">
        <w:rPr>
          <w:lang w:val="lt-LT"/>
        </w:rPr>
        <w:t> mg</w:t>
      </w:r>
      <w:r w:rsidRPr="004A478C">
        <w:rPr>
          <w:lang w:val="lt-LT"/>
        </w:rPr>
        <w:t xml:space="preserve"> per parą grupę (n=253).  </w:t>
      </w:r>
    </w:p>
    <w:p w14:paraId="01B47DC2" w14:textId="77777777" w:rsidR="00273470" w:rsidRPr="004A478C" w:rsidRDefault="00273470" w:rsidP="003B28E4">
      <w:pPr>
        <w:tabs>
          <w:tab w:val="left" w:pos="4680"/>
        </w:tabs>
        <w:spacing w:line="240" w:lineRule="auto"/>
        <w:rPr>
          <w:lang w:val="lt-LT"/>
        </w:rPr>
      </w:pPr>
      <w:r w:rsidRPr="004A478C">
        <w:rPr>
          <w:lang w:val="lt-LT"/>
        </w:rPr>
        <w:t xml:space="preserve"> </w:t>
      </w:r>
    </w:p>
    <w:p w14:paraId="04492584" w14:textId="6449F1A8" w:rsidR="00273470" w:rsidRPr="004A478C" w:rsidRDefault="00273470" w:rsidP="003B28E4">
      <w:pPr>
        <w:tabs>
          <w:tab w:val="left" w:pos="4680"/>
        </w:tabs>
        <w:spacing w:line="240" w:lineRule="auto"/>
        <w:ind w:left="2" w:right="589"/>
        <w:rPr>
          <w:lang w:val="lt-LT"/>
        </w:rPr>
      </w:pPr>
      <w:r w:rsidRPr="004A478C">
        <w:rPr>
          <w:lang w:val="lt-LT"/>
        </w:rPr>
        <w:t xml:space="preserve">FACT tyrimo metu nustatytas statistiškai reikšmingas gydymo abiem </w:t>
      </w:r>
      <w:proofErr w:type="spellStart"/>
      <w:r w:rsidR="004F7211" w:rsidRPr="004A478C">
        <w:rPr>
          <w:lang w:val="lt-LT"/>
        </w:rPr>
        <w:t>febuksostato</w:t>
      </w:r>
      <w:proofErr w:type="spellEnd"/>
      <w:r w:rsidR="004F7211" w:rsidRPr="004A478C">
        <w:rPr>
          <w:lang w:val="lt-LT"/>
        </w:rPr>
        <w:t xml:space="preserve"> </w:t>
      </w:r>
      <w:r w:rsidRPr="004A478C">
        <w:rPr>
          <w:lang w:val="lt-LT"/>
        </w:rPr>
        <w:t>80</w:t>
      </w:r>
      <w:r w:rsidR="00E87295" w:rsidRPr="004A478C">
        <w:rPr>
          <w:lang w:val="lt-LT"/>
        </w:rPr>
        <w:t> mg</w:t>
      </w:r>
      <w:r w:rsidRPr="004A478C">
        <w:rPr>
          <w:lang w:val="lt-LT"/>
        </w:rPr>
        <w:t xml:space="preserve"> per parą ir </w:t>
      </w:r>
      <w:proofErr w:type="spellStart"/>
      <w:r w:rsidR="004F7211" w:rsidRPr="004A478C">
        <w:rPr>
          <w:lang w:val="lt-LT"/>
        </w:rPr>
        <w:t>febuksostato</w:t>
      </w:r>
      <w:proofErr w:type="spellEnd"/>
      <w:r w:rsidR="004F7211" w:rsidRPr="004A478C">
        <w:rPr>
          <w:lang w:val="lt-LT"/>
        </w:rPr>
        <w:t xml:space="preserve"> </w:t>
      </w:r>
      <w:r w:rsidRPr="004A478C">
        <w:rPr>
          <w:lang w:val="lt-LT"/>
        </w:rPr>
        <w:t>120</w:t>
      </w:r>
      <w:r w:rsidR="00E87295" w:rsidRPr="004A478C">
        <w:rPr>
          <w:lang w:val="lt-LT"/>
        </w:rPr>
        <w:t> mg</w:t>
      </w:r>
      <w:r w:rsidRPr="004A478C">
        <w:rPr>
          <w:lang w:val="lt-LT"/>
        </w:rPr>
        <w:t xml:space="preserve"> per parą dozėmis pranašumas palyginus su tradiciniu gydymu </w:t>
      </w:r>
      <w:proofErr w:type="spellStart"/>
      <w:r w:rsidRPr="004A478C">
        <w:rPr>
          <w:lang w:val="lt-LT"/>
        </w:rPr>
        <w:t>alopurinolio</w:t>
      </w:r>
      <w:proofErr w:type="spellEnd"/>
      <w:r w:rsidRPr="004A478C">
        <w:rPr>
          <w:lang w:val="lt-LT"/>
        </w:rPr>
        <w:t xml:space="preserve"> 300</w:t>
      </w:r>
      <w:r w:rsidR="00E87295" w:rsidRPr="004A478C">
        <w:rPr>
          <w:lang w:val="lt-LT"/>
        </w:rPr>
        <w:t> mg</w:t>
      </w:r>
      <w:r w:rsidRPr="004A478C">
        <w:rPr>
          <w:lang w:val="lt-LT"/>
        </w:rPr>
        <w:t xml:space="preserve"> doze, sumažinant </w:t>
      </w:r>
      <w:proofErr w:type="spellStart"/>
      <w:r w:rsidRPr="004A478C">
        <w:rPr>
          <w:lang w:val="lt-LT"/>
        </w:rPr>
        <w:t>sŠR</w:t>
      </w:r>
      <w:proofErr w:type="spellEnd"/>
      <w:r w:rsidRPr="004A478C">
        <w:rPr>
          <w:lang w:val="lt-LT"/>
        </w:rPr>
        <w:t xml:space="preserve"> kiekį žemiau 6</w:t>
      </w:r>
      <w:r w:rsidR="00E87295" w:rsidRPr="004A478C">
        <w:rPr>
          <w:lang w:val="lt-LT"/>
        </w:rPr>
        <w:t> mg</w:t>
      </w:r>
      <w:r w:rsidRPr="004A478C">
        <w:rPr>
          <w:lang w:val="lt-LT"/>
        </w:rPr>
        <w:t>/dl (357 µ</w:t>
      </w:r>
      <w:proofErr w:type="spellStart"/>
      <w:r w:rsidRPr="004A478C">
        <w:rPr>
          <w:lang w:val="lt-LT"/>
        </w:rPr>
        <w:t>mol</w:t>
      </w:r>
      <w:proofErr w:type="spellEnd"/>
      <w:r w:rsidRPr="004A478C">
        <w:rPr>
          <w:lang w:val="lt-LT"/>
        </w:rPr>
        <w:t>/l) ribos.</w:t>
      </w:r>
    </w:p>
    <w:p w14:paraId="0530E89D" w14:textId="77777777" w:rsidR="00273470" w:rsidRPr="004A478C" w:rsidRDefault="00273470" w:rsidP="003B28E4">
      <w:pPr>
        <w:tabs>
          <w:tab w:val="left" w:pos="4680"/>
        </w:tabs>
        <w:spacing w:line="240" w:lineRule="auto"/>
        <w:rPr>
          <w:lang w:val="lt-LT"/>
        </w:rPr>
      </w:pPr>
      <w:r w:rsidRPr="004A478C">
        <w:rPr>
          <w:lang w:val="lt-LT"/>
        </w:rPr>
        <w:t xml:space="preserve"> </w:t>
      </w:r>
    </w:p>
    <w:p w14:paraId="40588739" w14:textId="77777777" w:rsidR="00273470" w:rsidRPr="004A478C" w:rsidRDefault="00273470" w:rsidP="003B28E4">
      <w:pPr>
        <w:tabs>
          <w:tab w:val="left" w:pos="4680"/>
        </w:tabs>
        <w:spacing w:line="240" w:lineRule="auto"/>
        <w:ind w:left="2" w:right="397"/>
        <w:rPr>
          <w:lang w:val="lt-LT"/>
        </w:rPr>
      </w:pPr>
      <w:r w:rsidRPr="004A478C">
        <w:rPr>
          <w:lang w:val="lt-LT"/>
        </w:rPr>
        <w:t xml:space="preserve">2 lentelėje pateiktas pirminių veiksmingumo įvertinimo rezultatų apibendrinimas: </w:t>
      </w:r>
    </w:p>
    <w:p w14:paraId="1F486922" w14:textId="77777777" w:rsidR="00273470" w:rsidRPr="004A478C" w:rsidRDefault="00273470" w:rsidP="003B28E4">
      <w:pPr>
        <w:tabs>
          <w:tab w:val="left" w:pos="4680"/>
        </w:tabs>
        <w:spacing w:line="240" w:lineRule="auto"/>
        <w:ind w:right="345"/>
        <w:jc w:val="center"/>
        <w:rPr>
          <w:lang w:val="lt-LT"/>
        </w:rPr>
      </w:pPr>
      <w:r w:rsidRPr="004A478C">
        <w:rPr>
          <w:b/>
          <w:lang w:val="lt-LT"/>
        </w:rPr>
        <w:t xml:space="preserve"> </w:t>
      </w:r>
    </w:p>
    <w:p w14:paraId="37F5FE9D" w14:textId="77777777" w:rsidR="00273470" w:rsidRPr="004A478C" w:rsidRDefault="00273470" w:rsidP="003B28E4">
      <w:pPr>
        <w:tabs>
          <w:tab w:val="left" w:pos="4680"/>
        </w:tabs>
        <w:spacing w:line="240" w:lineRule="auto"/>
        <w:ind w:right="345"/>
        <w:jc w:val="center"/>
        <w:rPr>
          <w:lang w:val="lt-LT"/>
        </w:rPr>
      </w:pPr>
      <w:r w:rsidRPr="004A478C">
        <w:rPr>
          <w:b/>
          <w:lang w:val="lt-LT"/>
        </w:rPr>
        <w:t xml:space="preserve">2 lentelė </w:t>
      </w:r>
    </w:p>
    <w:p w14:paraId="7335AEE4" w14:textId="77777777" w:rsidR="00273470" w:rsidRPr="004A478C" w:rsidRDefault="00273470" w:rsidP="003B28E4">
      <w:pPr>
        <w:pStyle w:val="Antrat2"/>
        <w:tabs>
          <w:tab w:val="left" w:pos="4680"/>
        </w:tabs>
        <w:spacing w:before="0" w:after="0" w:line="240" w:lineRule="auto"/>
        <w:ind w:left="1027" w:right="1365"/>
        <w:rPr>
          <w:rFonts w:ascii="Times New Roman" w:hAnsi="Times New Roman"/>
          <w:sz w:val="22"/>
          <w:lang w:val="lt-LT"/>
        </w:rPr>
      </w:pPr>
      <w:r w:rsidRPr="004A478C">
        <w:rPr>
          <w:rFonts w:ascii="Times New Roman" w:hAnsi="Times New Roman"/>
          <w:sz w:val="22"/>
          <w:lang w:val="lt-LT"/>
        </w:rPr>
        <w:t>Pacientų, kurių serume šlapimo rūgšties buvo &lt; 6,0</w:t>
      </w:r>
      <w:r w:rsidR="00E87295" w:rsidRPr="004A478C">
        <w:rPr>
          <w:rFonts w:ascii="Times New Roman" w:hAnsi="Times New Roman"/>
          <w:sz w:val="22"/>
          <w:lang w:val="lt-LT"/>
        </w:rPr>
        <w:t> mg</w:t>
      </w:r>
      <w:r w:rsidRPr="004A478C">
        <w:rPr>
          <w:rFonts w:ascii="Times New Roman" w:hAnsi="Times New Roman"/>
          <w:sz w:val="22"/>
          <w:lang w:val="lt-LT"/>
        </w:rPr>
        <w:t>/dl (357 µ</w:t>
      </w:r>
      <w:proofErr w:type="spellStart"/>
      <w:r w:rsidRPr="004A478C">
        <w:rPr>
          <w:rFonts w:ascii="Times New Roman" w:hAnsi="Times New Roman"/>
          <w:sz w:val="22"/>
          <w:lang w:val="lt-LT"/>
        </w:rPr>
        <w:t>mol</w:t>
      </w:r>
      <w:proofErr w:type="spellEnd"/>
      <w:r w:rsidRPr="004A478C">
        <w:rPr>
          <w:rFonts w:ascii="Times New Roman" w:hAnsi="Times New Roman"/>
          <w:sz w:val="22"/>
          <w:lang w:val="lt-LT"/>
        </w:rPr>
        <w:t xml:space="preserve">/l) per paskutinius tris kasmėnesinius vizitus </w:t>
      </w:r>
    </w:p>
    <w:tbl>
      <w:tblPr>
        <w:tblW w:w="6429" w:type="dxa"/>
        <w:tblInd w:w="1048" w:type="dxa"/>
        <w:tblCellMar>
          <w:top w:w="44" w:type="dxa"/>
          <w:left w:w="95" w:type="dxa"/>
          <w:bottom w:w="8" w:type="dxa"/>
          <w:right w:w="92" w:type="dxa"/>
        </w:tblCellMar>
        <w:tblLook w:val="04A0" w:firstRow="1" w:lastRow="0" w:firstColumn="1" w:lastColumn="0" w:noHBand="0" w:noVBand="1"/>
      </w:tblPr>
      <w:tblGrid>
        <w:gridCol w:w="1586"/>
        <w:gridCol w:w="1492"/>
        <w:gridCol w:w="1654"/>
        <w:gridCol w:w="1697"/>
      </w:tblGrid>
      <w:tr w:rsidR="00273470" w:rsidRPr="004B0C8F" w14:paraId="1D9587C8" w14:textId="77777777" w:rsidTr="0090398C">
        <w:trPr>
          <w:trHeight w:val="721"/>
        </w:trPr>
        <w:tc>
          <w:tcPr>
            <w:tcW w:w="1586" w:type="dxa"/>
            <w:tcBorders>
              <w:top w:val="single" w:sz="3" w:space="0" w:color="000000"/>
              <w:left w:val="single" w:sz="7" w:space="0" w:color="000000"/>
              <w:bottom w:val="single" w:sz="4" w:space="0" w:color="000000"/>
              <w:right w:val="single" w:sz="3" w:space="0" w:color="000000"/>
            </w:tcBorders>
            <w:shd w:val="clear" w:color="auto" w:fill="auto"/>
          </w:tcPr>
          <w:p w14:paraId="6D834335" w14:textId="77777777" w:rsidR="00273470" w:rsidRPr="004A478C" w:rsidRDefault="00273470" w:rsidP="003B28E4">
            <w:pPr>
              <w:tabs>
                <w:tab w:val="left" w:pos="4680"/>
              </w:tabs>
              <w:spacing w:line="240" w:lineRule="auto"/>
              <w:rPr>
                <w:lang w:val="lt-LT"/>
              </w:rPr>
            </w:pPr>
            <w:r w:rsidRPr="004A478C">
              <w:rPr>
                <w:lang w:val="lt-LT"/>
              </w:rPr>
              <w:t xml:space="preserve"> </w:t>
            </w:r>
          </w:p>
          <w:p w14:paraId="5FB63520" w14:textId="77777777" w:rsidR="00273470" w:rsidRPr="004A478C" w:rsidRDefault="00273470" w:rsidP="003B28E4">
            <w:pPr>
              <w:tabs>
                <w:tab w:val="left" w:pos="4680"/>
              </w:tabs>
              <w:spacing w:line="240" w:lineRule="auto"/>
              <w:rPr>
                <w:lang w:val="lt-LT"/>
              </w:rPr>
            </w:pPr>
            <w:r w:rsidRPr="004A478C">
              <w:rPr>
                <w:lang w:val="lt-LT"/>
              </w:rPr>
              <w:t xml:space="preserve">Tyrimas </w:t>
            </w:r>
          </w:p>
        </w:tc>
        <w:tc>
          <w:tcPr>
            <w:tcW w:w="1492" w:type="dxa"/>
            <w:tcBorders>
              <w:top w:val="single" w:sz="3" w:space="0" w:color="000000"/>
              <w:left w:val="single" w:sz="3" w:space="0" w:color="000000"/>
              <w:bottom w:val="single" w:sz="4" w:space="0" w:color="000000"/>
              <w:right w:val="single" w:sz="4" w:space="0" w:color="000000"/>
            </w:tcBorders>
            <w:shd w:val="clear" w:color="auto" w:fill="auto"/>
            <w:vAlign w:val="bottom"/>
          </w:tcPr>
          <w:p w14:paraId="6C20E39D" w14:textId="77777777" w:rsidR="00273470" w:rsidRPr="004A478C" w:rsidRDefault="004F7211" w:rsidP="003B28E4">
            <w:pPr>
              <w:tabs>
                <w:tab w:val="left" w:pos="4680"/>
              </w:tabs>
              <w:spacing w:line="240" w:lineRule="auto"/>
              <w:ind w:left="7"/>
              <w:rPr>
                <w:lang w:val="lt-LT"/>
              </w:rPr>
            </w:pPr>
            <w:proofErr w:type="spellStart"/>
            <w:r w:rsidRPr="004A478C">
              <w:rPr>
                <w:lang w:val="lt-LT"/>
              </w:rPr>
              <w:t>Febuksostatas</w:t>
            </w:r>
            <w:proofErr w:type="spellEnd"/>
            <w:r w:rsidRPr="004A478C">
              <w:rPr>
                <w:lang w:val="lt-LT"/>
              </w:rPr>
              <w:t xml:space="preserve"> </w:t>
            </w:r>
            <w:r w:rsidR="00273470" w:rsidRPr="004A478C">
              <w:rPr>
                <w:lang w:val="lt-LT"/>
              </w:rPr>
              <w:t>80</w:t>
            </w:r>
            <w:r w:rsidR="00E87295" w:rsidRPr="004A478C">
              <w:rPr>
                <w:lang w:val="lt-LT"/>
              </w:rPr>
              <w:t> mg</w:t>
            </w:r>
            <w:r w:rsidR="00273470" w:rsidRPr="004A478C">
              <w:rPr>
                <w:lang w:val="lt-LT"/>
              </w:rPr>
              <w:t xml:space="preserve"> per parą </w:t>
            </w:r>
          </w:p>
        </w:tc>
        <w:tc>
          <w:tcPr>
            <w:tcW w:w="1654" w:type="dxa"/>
            <w:tcBorders>
              <w:top w:val="single" w:sz="3" w:space="0" w:color="000000"/>
              <w:left w:val="single" w:sz="4" w:space="0" w:color="000000"/>
              <w:bottom w:val="single" w:sz="4" w:space="0" w:color="000000"/>
              <w:right w:val="single" w:sz="4" w:space="0" w:color="000000"/>
            </w:tcBorders>
            <w:shd w:val="clear" w:color="auto" w:fill="auto"/>
            <w:vAlign w:val="bottom"/>
          </w:tcPr>
          <w:p w14:paraId="44C8F9D1" w14:textId="77777777" w:rsidR="004F7211" w:rsidRPr="004A478C" w:rsidRDefault="004F7211" w:rsidP="003B28E4">
            <w:pPr>
              <w:tabs>
                <w:tab w:val="left" w:pos="4680"/>
              </w:tabs>
              <w:spacing w:line="240" w:lineRule="auto"/>
              <w:rPr>
                <w:lang w:val="lt-LT"/>
              </w:rPr>
            </w:pPr>
            <w:proofErr w:type="spellStart"/>
            <w:r w:rsidRPr="004A478C">
              <w:rPr>
                <w:lang w:val="lt-LT"/>
              </w:rPr>
              <w:t>Febuksostat</w:t>
            </w:r>
            <w:proofErr w:type="spellEnd"/>
          </w:p>
          <w:p w14:paraId="6D24A376" w14:textId="77777777" w:rsidR="00273470" w:rsidRPr="004A478C" w:rsidRDefault="004F7211" w:rsidP="003B28E4">
            <w:pPr>
              <w:tabs>
                <w:tab w:val="left" w:pos="4680"/>
              </w:tabs>
              <w:spacing w:line="240" w:lineRule="auto"/>
              <w:ind w:left="6"/>
              <w:rPr>
                <w:lang w:val="lt-LT"/>
              </w:rPr>
            </w:pPr>
            <w:proofErr w:type="spellStart"/>
            <w:r w:rsidRPr="004A478C">
              <w:rPr>
                <w:lang w:val="lt-LT"/>
              </w:rPr>
              <w:t>as</w:t>
            </w:r>
            <w:proofErr w:type="spellEnd"/>
            <w:r w:rsidRPr="004A478C">
              <w:rPr>
                <w:lang w:val="lt-LT"/>
              </w:rPr>
              <w:t xml:space="preserve"> </w:t>
            </w:r>
            <w:r w:rsidR="00273470" w:rsidRPr="004A478C">
              <w:rPr>
                <w:lang w:val="lt-LT"/>
              </w:rPr>
              <w:t>120</w:t>
            </w:r>
            <w:r w:rsidR="00E87295" w:rsidRPr="004A478C">
              <w:rPr>
                <w:lang w:val="lt-LT"/>
              </w:rPr>
              <w:t> mg</w:t>
            </w:r>
            <w:r w:rsidR="00273470" w:rsidRPr="004A478C">
              <w:rPr>
                <w:lang w:val="lt-LT"/>
              </w:rPr>
              <w:t xml:space="preserve"> per parą </w:t>
            </w:r>
          </w:p>
        </w:tc>
        <w:tc>
          <w:tcPr>
            <w:tcW w:w="1697" w:type="dxa"/>
            <w:tcBorders>
              <w:top w:val="single" w:sz="3" w:space="0" w:color="000000"/>
              <w:left w:val="single" w:sz="4" w:space="0" w:color="000000"/>
              <w:bottom w:val="single" w:sz="4" w:space="0" w:color="000000"/>
              <w:right w:val="single" w:sz="4" w:space="0" w:color="000000"/>
            </w:tcBorders>
            <w:shd w:val="clear" w:color="auto" w:fill="auto"/>
          </w:tcPr>
          <w:p w14:paraId="319FCC38" w14:textId="77777777" w:rsidR="00273470" w:rsidRPr="004A478C" w:rsidRDefault="00273470" w:rsidP="003B28E4">
            <w:pPr>
              <w:tabs>
                <w:tab w:val="left" w:pos="4680"/>
              </w:tabs>
              <w:spacing w:line="240" w:lineRule="auto"/>
              <w:ind w:left="4"/>
              <w:rPr>
                <w:lang w:val="lt-LT"/>
              </w:rPr>
            </w:pPr>
            <w:proofErr w:type="spellStart"/>
            <w:r w:rsidRPr="004A478C">
              <w:rPr>
                <w:lang w:val="lt-LT"/>
              </w:rPr>
              <w:t>Alopurinolis</w:t>
            </w:r>
            <w:proofErr w:type="spellEnd"/>
            <w:r w:rsidRPr="004A478C">
              <w:rPr>
                <w:lang w:val="lt-LT"/>
              </w:rPr>
              <w:t xml:space="preserve"> </w:t>
            </w:r>
          </w:p>
          <w:p w14:paraId="5A6A5EFA" w14:textId="77777777" w:rsidR="00273470" w:rsidRPr="004A478C" w:rsidRDefault="00273470" w:rsidP="003B28E4">
            <w:pPr>
              <w:tabs>
                <w:tab w:val="left" w:pos="4680"/>
              </w:tabs>
              <w:spacing w:line="240" w:lineRule="auto"/>
              <w:ind w:left="4"/>
              <w:rPr>
                <w:lang w:val="lt-LT"/>
              </w:rPr>
            </w:pPr>
            <w:r w:rsidRPr="004A478C">
              <w:rPr>
                <w:lang w:val="lt-LT"/>
              </w:rPr>
              <w:t xml:space="preserve">300 </w:t>
            </w:r>
            <w:r w:rsidR="004F7211" w:rsidRPr="004A478C">
              <w:rPr>
                <w:lang w:val="lt-LT"/>
              </w:rPr>
              <w:t>arba</w:t>
            </w:r>
            <w:r w:rsidRPr="004A478C">
              <w:rPr>
                <w:lang w:val="lt-LT"/>
              </w:rPr>
              <w:t xml:space="preserve"> </w:t>
            </w:r>
          </w:p>
          <w:p w14:paraId="3DCA8678" w14:textId="77777777" w:rsidR="00273470" w:rsidRPr="004A478C" w:rsidRDefault="00273470" w:rsidP="003B28E4">
            <w:pPr>
              <w:tabs>
                <w:tab w:val="left" w:pos="4680"/>
              </w:tabs>
              <w:spacing w:line="240" w:lineRule="auto"/>
              <w:ind w:left="4"/>
              <w:rPr>
                <w:lang w:val="lt-LT"/>
              </w:rPr>
            </w:pPr>
            <w:r w:rsidRPr="004A478C">
              <w:rPr>
                <w:lang w:val="lt-LT"/>
              </w:rPr>
              <w:t>100</w:t>
            </w:r>
            <w:r w:rsidR="00E87295" w:rsidRPr="004A478C">
              <w:rPr>
                <w:lang w:val="lt-LT"/>
              </w:rPr>
              <w:t> mg</w:t>
            </w:r>
            <w:r w:rsidRPr="004A478C">
              <w:rPr>
                <w:lang w:val="lt-LT"/>
              </w:rPr>
              <w:t xml:space="preserve"> per parą</w:t>
            </w:r>
            <w:r w:rsidRPr="004A478C">
              <w:rPr>
                <w:vertAlign w:val="superscript"/>
                <w:lang w:val="lt-LT"/>
              </w:rPr>
              <w:t>1</w:t>
            </w:r>
            <w:r w:rsidRPr="004A478C">
              <w:rPr>
                <w:lang w:val="lt-LT"/>
              </w:rPr>
              <w:t xml:space="preserve"> </w:t>
            </w:r>
          </w:p>
        </w:tc>
      </w:tr>
      <w:tr w:rsidR="00273470" w:rsidRPr="004B0C8F" w14:paraId="60296690" w14:textId="77777777" w:rsidTr="0090398C">
        <w:trPr>
          <w:trHeight w:val="485"/>
        </w:trPr>
        <w:tc>
          <w:tcPr>
            <w:tcW w:w="1586" w:type="dxa"/>
            <w:tcBorders>
              <w:top w:val="single" w:sz="4" w:space="0" w:color="000000"/>
              <w:left w:val="single" w:sz="7" w:space="0" w:color="000000"/>
              <w:bottom w:val="single" w:sz="4" w:space="0" w:color="000000"/>
              <w:right w:val="single" w:sz="3" w:space="0" w:color="000000"/>
            </w:tcBorders>
            <w:shd w:val="clear" w:color="auto" w:fill="auto"/>
          </w:tcPr>
          <w:p w14:paraId="0C86C380" w14:textId="77777777" w:rsidR="00273470" w:rsidRPr="004A478C" w:rsidRDefault="00273470" w:rsidP="003B28E4">
            <w:pPr>
              <w:tabs>
                <w:tab w:val="left" w:pos="4680"/>
              </w:tabs>
              <w:spacing w:line="240" w:lineRule="auto"/>
              <w:rPr>
                <w:lang w:val="lt-LT"/>
              </w:rPr>
            </w:pPr>
            <w:r w:rsidRPr="004A478C">
              <w:rPr>
                <w:lang w:val="lt-LT"/>
              </w:rPr>
              <w:t xml:space="preserve">APEX  </w:t>
            </w:r>
          </w:p>
          <w:p w14:paraId="2906AFB0" w14:textId="77777777" w:rsidR="00273470" w:rsidRPr="004A478C" w:rsidRDefault="00273470" w:rsidP="003B28E4">
            <w:pPr>
              <w:tabs>
                <w:tab w:val="left" w:pos="4680"/>
              </w:tabs>
              <w:spacing w:line="240" w:lineRule="auto"/>
              <w:rPr>
                <w:lang w:val="lt-LT"/>
              </w:rPr>
            </w:pPr>
            <w:r w:rsidRPr="004A478C">
              <w:rPr>
                <w:lang w:val="lt-LT"/>
              </w:rPr>
              <w:t xml:space="preserve">(28 sav.) </w:t>
            </w:r>
          </w:p>
        </w:tc>
        <w:tc>
          <w:tcPr>
            <w:tcW w:w="1492" w:type="dxa"/>
            <w:tcBorders>
              <w:top w:val="single" w:sz="4" w:space="0" w:color="000000"/>
              <w:left w:val="single" w:sz="3" w:space="0" w:color="000000"/>
              <w:bottom w:val="single" w:sz="4" w:space="0" w:color="000000"/>
              <w:right w:val="single" w:sz="4" w:space="0" w:color="000000"/>
            </w:tcBorders>
            <w:shd w:val="clear" w:color="auto" w:fill="auto"/>
          </w:tcPr>
          <w:p w14:paraId="008EB088" w14:textId="77777777" w:rsidR="00273470" w:rsidRPr="004A478C" w:rsidRDefault="00273470" w:rsidP="003B28E4">
            <w:pPr>
              <w:tabs>
                <w:tab w:val="left" w:pos="4680"/>
              </w:tabs>
              <w:spacing w:line="240" w:lineRule="auto"/>
              <w:ind w:left="7"/>
              <w:rPr>
                <w:lang w:val="lt-LT"/>
              </w:rPr>
            </w:pPr>
            <w:r w:rsidRPr="004A478C">
              <w:rPr>
                <w:lang w:val="lt-LT"/>
              </w:rPr>
              <w:t xml:space="preserve">48% *  </w:t>
            </w:r>
          </w:p>
          <w:p w14:paraId="7D1710B8" w14:textId="77777777" w:rsidR="00273470" w:rsidRPr="004A478C" w:rsidRDefault="00273470" w:rsidP="003B28E4">
            <w:pPr>
              <w:tabs>
                <w:tab w:val="left" w:pos="4680"/>
              </w:tabs>
              <w:spacing w:line="240" w:lineRule="auto"/>
              <w:ind w:left="7"/>
              <w:rPr>
                <w:lang w:val="lt-LT"/>
              </w:rPr>
            </w:pPr>
            <w:r w:rsidRPr="004A478C">
              <w:rPr>
                <w:lang w:val="lt-LT"/>
              </w:rPr>
              <w:t xml:space="preserve">(n=262) </w:t>
            </w:r>
          </w:p>
        </w:tc>
        <w:tc>
          <w:tcPr>
            <w:tcW w:w="1654" w:type="dxa"/>
            <w:tcBorders>
              <w:top w:val="single" w:sz="4" w:space="0" w:color="000000"/>
              <w:left w:val="single" w:sz="4" w:space="0" w:color="000000"/>
              <w:bottom w:val="single" w:sz="4" w:space="0" w:color="000000"/>
              <w:right w:val="single" w:sz="4" w:space="0" w:color="000000"/>
            </w:tcBorders>
            <w:shd w:val="clear" w:color="auto" w:fill="auto"/>
          </w:tcPr>
          <w:p w14:paraId="78E94F57" w14:textId="77777777" w:rsidR="00273470" w:rsidRPr="004A478C" w:rsidRDefault="00273470" w:rsidP="003B28E4">
            <w:pPr>
              <w:tabs>
                <w:tab w:val="left" w:pos="4680"/>
              </w:tabs>
              <w:spacing w:line="240" w:lineRule="auto"/>
              <w:ind w:left="6"/>
              <w:rPr>
                <w:lang w:val="lt-LT"/>
              </w:rPr>
            </w:pPr>
            <w:r w:rsidRPr="004A478C">
              <w:rPr>
                <w:lang w:val="lt-LT"/>
              </w:rPr>
              <w:t xml:space="preserve">65% *, # </w:t>
            </w:r>
          </w:p>
          <w:p w14:paraId="2995A296" w14:textId="77777777" w:rsidR="00273470" w:rsidRPr="004A478C" w:rsidRDefault="00273470" w:rsidP="003B28E4">
            <w:pPr>
              <w:tabs>
                <w:tab w:val="left" w:pos="4680"/>
              </w:tabs>
              <w:spacing w:line="240" w:lineRule="auto"/>
              <w:ind w:left="6"/>
              <w:rPr>
                <w:lang w:val="lt-LT"/>
              </w:rPr>
            </w:pPr>
            <w:r w:rsidRPr="004A478C">
              <w:rPr>
                <w:lang w:val="lt-LT"/>
              </w:rPr>
              <w:t xml:space="preserve">(n=269) </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14:paraId="6C8B1035" w14:textId="77777777" w:rsidR="00273470" w:rsidRPr="004A478C" w:rsidRDefault="00273470" w:rsidP="003B28E4">
            <w:pPr>
              <w:tabs>
                <w:tab w:val="left" w:pos="4680"/>
              </w:tabs>
              <w:spacing w:line="240" w:lineRule="auto"/>
              <w:ind w:left="4"/>
              <w:rPr>
                <w:lang w:val="lt-LT"/>
              </w:rPr>
            </w:pPr>
            <w:r w:rsidRPr="004A478C">
              <w:rPr>
                <w:lang w:val="lt-LT"/>
              </w:rPr>
              <w:t xml:space="preserve">22%  </w:t>
            </w:r>
          </w:p>
          <w:p w14:paraId="2DF9B88B" w14:textId="77777777" w:rsidR="00273470" w:rsidRPr="004A478C" w:rsidRDefault="00273470" w:rsidP="003B28E4">
            <w:pPr>
              <w:tabs>
                <w:tab w:val="left" w:pos="4680"/>
              </w:tabs>
              <w:spacing w:line="240" w:lineRule="auto"/>
              <w:ind w:left="4"/>
              <w:rPr>
                <w:lang w:val="lt-LT"/>
              </w:rPr>
            </w:pPr>
            <w:r w:rsidRPr="004A478C">
              <w:rPr>
                <w:lang w:val="lt-LT"/>
              </w:rPr>
              <w:t xml:space="preserve">(n=268) </w:t>
            </w:r>
          </w:p>
        </w:tc>
      </w:tr>
      <w:tr w:rsidR="00273470" w:rsidRPr="004B0C8F" w14:paraId="38D6866F" w14:textId="77777777" w:rsidTr="0090398C">
        <w:trPr>
          <w:trHeight w:val="486"/>
        </w:trPr>
        <w:tc>
          <w:tcPr>
            <w:tcW w:w="1586" w:type="dxa"/>
            <w:tcBorders>
              <w:top w:val="single" w:sz="4" w:space="0" w:color="000000"/>
              <w:left w:val="single" w:sz="7" w:space="0" w:color="000000"/>
              <w:bottom w:val="single" w:sz="3" w:space="0" w:color="000000"/>
              <w:right w:val="single" w:sz="3" w:space="0" w:color="000000"/>
            </w:tcBorders>
            <w:shd w:val="clear" w:color="auto" w:fill="auto"/>
          </w:tcPr>
          <w:p w14:paraId="2F5099C0" w14:textId="77777777" w:rsidR="00273470" w:rsidRPr="004A478C" w:rsidRDefault="00273470" w:rsidP="003B28E4">
            <w:pPr>
              <w:tabs>
                <w:tab w:val="left" w:pos="4680"/>
              </w:tabs>
              <w:spacing w:line="240" w:lineRule="auto"/>
              <w:rPr>
                <w:lang w:val="lt-LT"/>
              </w:rPr>
            </w:pPr>
            <w:r w:rsidRPr="004A478C">
              <w:rPr>
                <w:lang w:val="lt-LT"/>
              </w:rPr>
              <w:t xml:space="preserve">FACT  </w:t>
            </w:r>
          </w:p>
          <w:p w14:paraId="422722C2" w14:textId="77777777" w:rsidR="00273470" w:rsidRPr="004A478C" w:rsidRDefault="00273470" w:rsidP="003B28E4">
            <w:pPr>
              <w:tabs>
                <w:tab w:val="left" w:pos="4680"/>
              </w:tabs>
              <w:spacing w:line="240" w:lineRule="auto"/>
              <w:rPr>
                <w:lang w:val="lt-LT"/>
              </w:rPr>
            </w:pPr>
            <w:r w:rsidRPr="004A478C">
              <w:rPr>
                <w:lang w:val="lt-LT"/>
              </w:rPr>
              <w:t xml:space="preserve">(52 sav.) </w:t>
            </w:r>
          </w:p>
        </w:tc>
        <w:tc>
          <w:tcPr>
            <w:tcW w:w="1492" w:type="dxa"/>
            <w:tcBorders>
              <w:top w:val="single" w:sz="4" w:space="0" w:color="000000"/>
              <w:left w:val="single" w:sz="3" w:space="0" w:color="000000"/>
              <w:bottom w:val="single" w:sz="3" w:space="0" w:color="000000"/>
              <w:right w:val="single" w:sz="4" w:space="0" w:color="000000"/>
            </w:tcBorders>
            <w:shd w:val="clear" w:color="auto" w:fill="auto"/>
          </w:tcPr>
          <w:p w14:paraId="726D354E" w14:textId="77777777" w:rsidR="00273470" w:rsidRPr="004A478C" w:rsidRDefault="00273470" w:rsidP="003B28E4">
            <w:pPr>
              <w:tabs>
                <w:tab w:val="left" w:pos="4680"/>
              </w:tabs>
              <w:spacing w:line="240" w:lineRule="auto"/>
              <w:ind w:left="7"/>
              <w:rPr>
                <w:lang w:val="lt-LT"/>
              </w:rPr>
            </w:pPr>
            <w:r w:rsidRPr="004A478C">
              <w:rPr>
                <w:lang w:val="lt-LT"/>
              </w:rPr>
              <w:t xml:space="preserve">53%*  </w:t>
            </w:r>
          </w:p>
          <w:p w14:paraId="62A2E074" w14:textId="77777777" w:rsidR="00273470" w:rsidRPr="004A478C" w:rsidRDefault="00273470" w:rsidP="003B28E4">
            <w:pPr>
              <w:tabs>
                <w:tab w:val="left" w:pos="4680"/>
              </w:tabs>
              <w:spacing w:line="240" w:lineRule="auto"/>
              <w:ind w:left="7"/>
              <w:rPr>
                <w:lang w:val="lt-LT"/>
              </w:rPr>
            </w:pPr>
            <w:r w:rsidRPr="004A478C">
              <w:rPr>
                <w:lang w:val="lt-LT"/>
              </w:rPr>
              <w:t xml:space="preserve">(n=255) </w:t>
            </w:r>
          </w:p>
        </w:tc>
        <w:tc>
          <w:tcPr>
            <w:tcW w:w="1654" w:type="dxa"/>
            <w:tcBorders>
              <w:top w:val="single" w:sz="4" w:space="0" w:color="000000"/>
              <w:left w:val="single" w:sz="4" w:space="0" w:color="000000"/>
              <w:bottom w:val="single" w:sz="3" w:space="0" w:color="000000"/>
              <w:right w:val="single" w:sz="4" w:space="0" w:color="000000"/>
            </w:tcBorders>
            <w:shd w:val="clear" w:color="auto" w:fill="auto"/>
          </w:tcPr>
          <w:p w14:paraId="1D89AA5E" w14:textId="77777777" w:rsidR="00273470" w:rsidRPr="004A478C" w:rsidRDefault="00273470" w:rsidP="003B28E4">
            <w:pPr>
              <w:tabs>
                <w:tab w:val="left" w:pos="4680"/>
              </w:tabs>
              <w:spacing w:line="240" w:lineRule="auto"/>
              <w:ind w:left="6" w:right="204"/>
              <w:rPr>
                <w:lang w:val="lt-LT"/>
              </w:rPr>
            </w:pPr>
            <w:r w:rsidRPr="004A478C">
              <w:rPr>
                <w:lang w:val="lt-LT"/>
              </w:rPr>
              <w:t xml:space="preserve">62%*  (n=250)  </w:t>
            </w:r>
          </w:p>
        </w:tc>
        <w:tc>
          <w:tcPr>
            <w:tcW w:w="1697" w:type="dxa"/>
            <w:tcBorders>
              <w:top w:val="single" w:sz="4" w:space="0" w:color="000000"/>
              <w:left w:val="single" w:sz="4" w:space="0" w:color="000000"/>
              <w:bottom w:val="single" w:sz="3" w:space="0" w:color="000000"/>
              <w:right w:val="single" w:sz="4" w:space="0" w:color="000000"/>
            </w:tcBorders>
            <w:shd w:val="clear" w:color="auto" w:fill="auto"/>
          </w:tcPr>
          <w:p w14:paraId="4559A506" w14:textId="77777777" w:rsidR="00273470" w:rsidRPr="004A478C" w:rsidRDefault="00273470" w:rsidP="003B28E4">
            <w:pPr>
              <w:tabs>
                <w:tab w:val="left" w:pos="4680"/>
              </w:tabs>
              <w:spacing w:line="240" w:lineRule="auto"/>
              <w:ind w:left="4"/>
              <w:rPr>
                <w:lang w:val="lt-LT"/>
              </w:rPr>
            </w:pPr>
            <w:r w:rsidRPr="004A478C">
              <w:rPr>
                <w:lang w:val="lt-LT"/>
              </w:rPr>
              <w:t xml:space="preserve">21%  </w:t>
            </w:r>
          </w:p>
          <w:p w14:paraId="1B1CBEF5" w14:textId="77777777" w:rsidR="00273470" w:rsidRPr="004A478C" w:rsidRDefault="00273470" w:rsidP="003B28E4">
            <w:pPr>
              <w:tabs>
                <w:tab w:val="left" w:pos="4680"/>
              </w:tabs>
              <w:spacing w:line="240" w:lineRule="auto"/>
              <w:ind w:left="4"/>
              <w:rPr>
                <w:lang w:val="lt-LT"/>
              </w:rPr>
            </w:pPr>
            <w:r w:rsidRPr="004A478C">
              <w:rPr>
                <w:lang w:val="lt-LT"/>
              </w:rPr>
              <w:t xml:space="preserve">(n=251) </w:t>
            </w:r>
          </w:p>
        </w:tc>
      </w:tr>
      <w:tr w:rsidR="00273470" w:rsidRPr="004B0C8F" w14:paraId="46CEE183" w14:textId="77777777" w:rsidTr="0090398C">
        <w:trPr>
          <w:trHeight w:val="485"/>
        </w:trPr>
        <w:tc>
          <w:tcPr>
            <w:tcW w:w="1586" w:type="dxa"/>
            <w:tcBorders>
              <w:top w:val="single" w:sz="3" w:space="0" w:color="000000"/>
              <w:left w:val="single" w:sz="7" w:space="0" w:color="000000"/>
              <w:bottom w:val="single" w:sz="3" w:space="0" w:color="000000"/>
              <w:right w:val="single" w:sz="3" w:space="0" w:color="000000"/>
            </w:tcBorders>
            <w:shd w:val="clear" w:color="auto" w:fill="auto"/>
          </w:tcPr>
          <w:p w14:paraId="18F02A77" w14:textId="77777777" w:rsidR="00273470" w:rsidRPr="004A478C" w:rsidRDefault="00273470" w:rsidP="003B28E4">
            <w:pPr>
              <w:tabs>
                <w:tab w:val="left" w:pos="4680"/>
              </w:tabs>
              <w:spacing w:line="240" w:lineRule="auto"/>
              <w:rPr>
                <w:lang w:val="lt-LT"/>
              </w:rPr>
            </w:pPr>
            <w:r w:rsidRPr="004A478C">
              <w:rPr>
                <w:lang w:val="lt-LT"/>
              </w:rPr>
              <w:t xml:space="preserve">Susumuoti rezultatai </w:t>
            </w:r>
          </w:p>
        </w:tc>
        <w:tc>
          <w:tcPr>
            <w:tcW w:w="1492" w:type="dxa"/>
            <w:tcBorders>
              <w:top w:val="single" w:sz="3" w:space="0" w:color="000000"/>
              <w:left w:val="single" w:sz="3" w:space="0" w:color="000000"/>
              <w:bottom w:val="single" w:sz="3" w:space="0" w:color="000000"/>
              <w:right w:val="single" w:sz="4" w:space="0" w:color="000000"/>
            </w:tcBorders>
            <w:shd w:val="clear" w:color="auto" w:fill="auto"/>
          </w:tcPr>
          <w:p w14:paraId="5099DE69" w14:textId="77777777" w:rsidR="00273470" w:rsidRPr="004A478C" w:rsidRDefault="00273470" w:rsidP="003B28E4">
            <w:pPr>
              <w:tabs>
                <w:tab w:val="left" w:pos="4680"/>
              </w:tabs>
              <w:spacing w:line="240" w:lineRule="auto"/>
              <w:ind w:left="7" w:right="94"/>
              <w:rPr>
                <w:lang w:val="lt-LT"/>
              </w:rPr>
            </w:pPr>
            <w:r w:rsidRPr="004A478C">
              <w:rPr>
                <w:lang w:val="lt-LT"/>
              </w:rPr>
              <w:t xml:space="preserve">51%* (n=517) </w:t>
            </w:r>
          </w:p>
        </w:tc>
        <w:tc>
          <w:tcPr>
            <w:tcW w:w="1654" w:type="dxa"/>
            <w:tcBorders>
              <w:top w:val="single" w:sz="3" w:space="0" w:color="000000"/>
              <w:left w:val="single" w:sz="4" w:space="0" w:color="000000"/>
              <w:bottom w:val="single" w:sz="3" w:space="0" w:color="000000"/>
              <w:right w:val="single" w:sz="4" w:space="0" w:color="000000"/>
            </w:tcBorders>
            <w:shd w:val="clear" w:color="auto" w:fill="auto"/>
          </w:tcPr>
          <w:p w14:paraId="39F6516A" w14:textId="77777777" w:rsidR="00273470" w:rsidRPr="004A478C" w:rsidRDefault="00273470" w:rsidP="003B28E4">
            <w:pPr>
              <w:tabs>
                <w:tab w:val="left" w:pos="4680"/>
              </w:tabs>
              <w:spacing w:line="240" w:lineRule="auto"/>
              <w:ind w:left="6"/>
              <w:rPr>
                <w:lang w:val="lt-LT"/>
              </w:rPr>
            </w:pPr>
            <w:r w:rsidRPr="004A478C">
              <w:rPr>
                <w:lang w:val="lt-LT"/>
              </w:rPr>
              <w:t xml:space="preserve">63%*, # </w:t>
            </w:r>
          </w:p>
          <w:p w14:paraId="399E1F3B" w14:textId="77777777" w:rsidR="00273470" w:rsidRPr="004A478C" w:rsidRDefault="00273470" w:rsidP="003B28E4">
            <w:pPr>
              <w:tabs>
                <w:tab w:val="left" w:pos="4680"/>
              </w:tabs>
              <w:spacing w:line="240" w:lineRule="auto"/>
              <w:ind w:left="6"/>
              <w:rPr>
                <w:lang w:val="lt-LT"/>
              </w:rPr>
            </w:pPr>
            <w:r w:rsidRPr="004A478C">
              <w:rPr>
                <w:lang w:val="lt-LT"/>
              </w:rPr>
              <w:t xml:space="preserve">(n=519) </w:t>
            </w:r>
          </w:p>
        </w:tc>
        <w:tc>
          <w:tcPr>
            <w:tcW w:w="1697" w:type="dxa"/>
            <w:tcBorders>
              <w:top w:val="single" w:sz="3" w:space="0" w:color="000000"/>
              <w:left w:val="single" w:sz="4" w:space="0" w:color="000000"/>
              <w:bottom w:val="single" w:sz="3" w:space="0" w:color="000000"/>
              <w:right w:val="single" w:sz="4" w:space="0" w:color="000000"/>
            </w:tcBorders>
            <w:shd w:val="clear" w:color="auto" w:fill="auto"/>
          </w:tcPr>
          <w:p w14:paraId="0220FE78" w14:textId="77777777" w:rsidR="00273470" w:rsidRPr="004A478C" w:rsidRDefault="00273470" w:rsidP="003B28E4">
            <w:pPr>
              <w:tabs>
                <w:tab w:val="left" w:pos="4680"/>
              </w:tabs>
              <w:spacing w:line="240" w:lineRule="auto"/>
              <w:ind w:left="4" w:right="406"/>
              <w:rPr>
                <w:lang w:val="lt-LT"/>
              </w:rPr>
            </w:pPr>
            <w:r w:rsidRPr="004A478C">
              <w:rPr>
                <w:lang w:val="lt-LT"/>
              </w:rPr>
              <w:t xml:space="preserve">22% (n=519) </w:t>
            </w:r>
          </w:p>
        </w:tc>
      </w:tr>
      <w:tr w:rsidR="00273470" w:rsidRPr="007F09F8" w14:paraId="6428C853" w14:textId="77777777" w:rsidTr="0090398C">
        <w:trPr>
          <w:trHeight w:val="977"/>
        </w:trPr>
        <w:tc>
          <w:tcPr>
            <w:tcW w:w="6429" w:type="dxa"/>
            <w:gridSpan w:val="4"/>
            <w:tcBorders>
              <w:top w:val="single" w:sz="3" w:space="0" w:color="000000"/>
              <w:left w:val="single" w:sz="7" w:space="0" w:color="000000"/>
              <w:bottom w:val="single" w:sz="3" w:space="0" w:color="000000"/>
              <w:right w:val="single" w:sz="3" w:space="0" w:color="000000"/>
            </w:tcBorders>
            <w:shd w:val="clear" w:color="auto" w:fill="auto"/>
          </w:tcPr>
          <w:p w14:paraId="09AE46F9" w14:textId="77777777" w:rsidR="004F7211" w:rsidRPr="004B0C8F" w:rsidRDefault="004F7211" w:rsidP="003B28E4">
            <w:pPr>
              <w:tabs>
                <w:tab w:val="left" w:pos="4680"/>
              </w:tabs>
              <w:spacing w:line="240" w:lineRule="auto"/>
              <w:ind w:left="111" w:hanging="101"/>
              <w:rPr>
                <w:szCs w:val="22"/>
                <w:lang w:val="lt-LT"/>
              </w:rPr>
            </w:pPr>
            <w:r w:rsidRPr="004B0C8F">
              <w:rPr>
                <w:szCs w:val="22"/>
                <w:vertAlign w:val="superscript"/>
                <w:lang w:val="lt-LT"/>
              </w:rPr>
              <w:t xml:space="preserve">1 </w:t>
            </w:r>
            <w:r w:rsidRPr="004B0C8F">
              <w:rPr>
                <w:szCs w:val="22"/>
                <w:lang w:val="lt-LT"/>
              </w:rPr>
              <w:t>pacientų, vartojusių 100 mg per parą (n=10, tai pacientai, kurių kreatinino koncentracija serume &gt; 1,5, bet ≤ 2,0</w:t>
            </w:r>
            <w:r w:rsidR="00E87295" w:rsidRPr="004B0C8F">
              <w:rPr>
                <w:szCs w:val="22"/>
                <w:lang w:val="lt-LT"/>
              </w:rPr>
              <w:t> mg</w:t>
            </w:r>
            <w:r w:rsidRPr="004B0C8F">
              <w:rPr>
                <w:szCs w:val="22"/>
                <w:lang w:val="lt-LT"/>
              </w:rPr>
              <w:t>/dl) ir 300 mg per parą (n=509) rezultatai analizei buvo bendrai analizuojami.</w:t>
            </w:r>
          </w:p>
          <w:p w14:paraId="7DE5638B" w14:textId="77777777" w:rsidR="00273470" w:rsidRPr="004A478C" w:rsidRDefault="00273470" w:rsidP="003B28E4">
            <w:pPr>
              <w:tabs>
                <w:tab w:val="left" w:pos="4680"/>
              </w:tabs>
              <w:spacing w:line="240" w:lineRule="auto"/>
              <w:rPr>
                <w:lang w:val="lt-LT"/>
              </w:rPr>
            </w:pPr>
            <w:r w:rsidRPr="004A478C">
              <w:rPr>
                <w:lang w:val="lt-LT"/>
              </w:rPr>
              <w:t xml:space="preserve">* p &lt; 0,001 palyginti su </w:t>
            </w:r>
            <w:proofErr w:type="spellStart"/>
            <w:r w:rsidRPr="004A478C">
              <w:rPr>
                <w:lang w:val="lt-LT"/>
              </w:rPr>
              <w:t>alopurinoliu</w:t>
            </w:r>
            <w:proofErr w:type="spellEnd"/>
            <w:r w:rsidRPr="004A478C">
              <w:rPr>
                <w:lang w:val="lt-LT"/>
              </w:rPr>
              <w:t xml:space="preserve">, </w:t>
            </w:r>
            <w:r w:rsidRPr="004A478C">
              <w:rPr>
                <w:vertAlign w:val="superscript"/>
                <w:lang w:val="lt-LT"/>
              </w:rPr>
              <w:t>#</w:t>
            </w:r>
            <w:r w:rsidRPr="004A478C">
              <w:rPr>
                <w:lang w:val="lt-LT"/>
              </w:rPr>
              <w:t xml:space="preserve"> p &lt; 0,001 palyginti su 80</w:t>
            </w:r>
            <w:r w:rsidR="00E87295" w:rsidRPr="004A478C">
              <w:rPr>
                <w:lang w:val="lt-LT"/>
              </w:rPr>
              <w:t> mg</w:t>
            </w:r>
            <w:r w:rsidRPr="004A478C">
              <w:rPr>
                <w:lang w:val="lt-LT"/>
              </w:rPr>
              <w:t xml:space="preserve"> </w:t>
            </w:r>
          </w:p>
        </w:tc>
      </w:tr>
    </w:tbl>
    <w:p w14:paraId="0B9A09AC" w14:textId="69A2F8C0" w:rsidR="00273470" w:rsidRPr="004A478C" w:rsidRDefault="004F7211" w:rsidP="003B28E4">
      <w:pPr>
        <w:tabs>
          <w:tab w:val="left" w:pos="4680"/>
        </w:tabs>
        <w:spacing w:line="240" w:lineRule="auto"/>
        <w:ind w:left="-5" w:right="434"/>
        <w:jc w:val="both"/>
        <w:rPr>
          <w:lang w:val="lt-LT"/>
        </w:rPr>
      </w:pPr>
      <w:proofErr w:type="spellStart"/>
      <w:r w:rsidRPr="004A478C">
        <w:rPr>
          <w:lang w:val="lt-LT"/>
        </w:rPr>
        <w:t>Febuksostatas</w:t>
      </w:r>
      <w:proofErr w:type="spellEnd"/>
      <w:r w:rsidRPr="004A478C">
        <w:rPr>
          <w:lang w:val="lt-LT"/>
        </w:rPr>
        <w:t xml:space="preserve"> </w:t>
      </w:r>
      <w:r w:rsidR="00273470" w:rsidRPr="004A478C">
        <w:rPr>
          <w:lang w:val="lt-LT"/>
        </w:rPr>
        <w:t>mažino šlapimo rūgšties kiekį serume greitai ir nuolat. Šlapimo rūgšties kiekis serume sumažėjimas &lt; 6,0</w:t>
      </w:r>
      <w:r w:rsidR="00E87295" w:rsidRPr="004A478C">
        <w:rPr>
          <w:lang w:val="lt-LT"/>
        </w:rPr>
        <w:t> mg</w:t>
      </w:r>
      <w:r w:rsidR="00273470" w:rsidRPr="004A478C">
        <w:rPr>
          <w:lang w:val="lt-LT"/>
        </w:rPr>
        <w:t>/dl (357 µ</w:t>
      </w:r>
      <w:proofErr w:type="spellStart"/>
      <w:r w:rsidR="00273470" w:rsidRPr="004A478C">
        <w:rPr>
          <w:lang w:val="lt-LT"/>
        </w:rPr>
        <w:t>mol</w:t>
      </w:r>
      <w:proofErr w:type="spellEnd"/>
      <w:r w:rsidR="00273470" w:rsidRPr="004A478C">
        <w:rPr>
          <w:lang w:val="lt-LT"/>
        </w:rPr>
        <w:t xml:space="preserve">/l) nustatytas per 2 savaitės vizitą ir išsilaikė viso tyrimo metu. Pagrindžiamųjų 3 fazės </w:t>
      </w:r>
      <w:r w:rsidR="0064445A" w:rsidRPr="004A478C">
        <w:rPr>
          <w:lang w:val="lt-LT"/>
        </w:rPr>
        <w:t>dviejų</w:t>
      </w:r>
      <w:r w:rsidR="00B96F4B" w:rsidRPr="004A478C">
        <w:rPr>
          <w:lang w:val="lt-LT"/>
        </w:rPr>
        <w:t xml:space="preserve"> </w:t>
      </w:r>
      <w:r w:rsidR="00273470" w:rsidRPr="004A478C">
        <w:rPr>
          <w:lang w:val="lt-LT"/>
        </w:rPr>
        <w:t xml:space="preserve">tyrimų metu nustatyti šlapimo rūgšties serume vidurkio pokyčiai per ilgą laiką pavaizduoti 1 pav. </w:t>
      </w:r>
    </w:p>
    <w:p w14:paraId="2F71C614" w14:textId="77777777" w:rsidR="00273470" w:rsidRPr="004A478C" w:rsidRDefault="00273470" w:rsidP="003B28E4">
      <w:pPr>
        <w:tabs>
          <w:tab w:val="left" w:pos="4680"/>
        </w:tabs>
        <w:spacing w:line="240" w:lineRule="auto"/>
        <w:rPr>
          <w:lang w:val="lt-LT"/>
        </w:rPr>
      </w:pPr>
      <w:r w:rsidRPr="004A478C">
        <w:rPr>
          <w:lang w:val="lt-LT"/>
        </w:rPr>
        <w:t xml:space="preserve"> </w:t>
      </w:r>
    </w:p>
    <w:p w14:paraId="3AC8C8C1" w14:textId="77777777" w:rsidR="00273470" w:rsidRPr="004A478C" w:rsidRDefault="00273470" w:rsidP="003B28E4">
      <w:pPr>
        <w:pStyle w:val="Antrat3"/>
        <w:tabs>
          <w:tab w:val="left" w:pos="4680"/>
        </w:tabs>
        <w:spacing w:before="0" w:after="0" w:line="240" w:lineRule="auto"/>
        <w:ind w:right="330"/>
        <w:jc w:val="center"/>
        <w:rPr>
          <w:rFonts w:ascii="Times New Roman" w:hAnsi="Times New Roman"/>
          <w:sz w:val="22"/>
          <w:lang w:val="lt-LT"/>
        </w:rPr>
      </w:pPr>
      <w:r w:rsidRPr="004A478C">
        <w:rPr>
          <w:rFonts w:ascii="Times New Roman" w:hAnsi="Times New Roman"/>
          <w:sz w:val="22"/>
          <w:lang w:val="lt-LT"/>
        </w:rPr>
        <w:t xml:space="preserve">1 pav. Apibendrinti jungtinių pagrindinių 3 fazės tyrimų vidutinio šlapimo rūgšties kiekio serume rezultatai </w:t>
      </w:r>
    </w:p>
    <w:p w14:paraId="43CA65A3" w14:textId="40E954CE" w:rsidR="00273470" w:rsidRPr="004A478C" w:rsidRDefault="00135F34" w:rsidP="003B28E4">
      <w:pPr>
        <w:tabs>
          <w:tab w:val="left" w:pos="4680"/>
        </w:tabs>
        <w:spacing w:line="240" w:lineRule="auto"/>
        <w:ind w:left="1491"/>
        <w:rPr>
          <w:lang w:val="lt-LT"/>
        </w:rPr>
      </w:pPr>
      <w:r w:rsidRPr="004B0C8F">
        <w:rPr>
          <w:noProof/>
          <w:snapToGrid/>
          <w:szCs w:val="22"/>
          <w:lang w:val="lt-LT" w:eastAsia="lt-LT"/>
        </w:rPr>
        <w:drawing>
          <wp:inline distT="0" distB="0" distL="0" distR="0" wp14:anchorId="53381FBE" wp14:editId="1A1A3874">
            <wp:extent cx="133350" cy="2276475"/>
            <wp:effectExtent l="0" t="0" r="0" b="9525"/>
            <wp:docPr id="1" name="Picture 82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4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96000"/>
                    <a:stretch/>
                  </pic:blipFill>
                  <pic:spPr bwMode="auto">
                    <a:xfrm>
                      <a:off x="0" y="0"/>
                      <a:ext cx="133350" cy="2276475"/>
                    </a:xfrm>
                    <a:prstGeom prst="rect">
                      <a:avLst/>
                    </a:prstGeom>
                    <a:noFill/>
                    <a:ln>
                      <a:noFill/>
                    </a:ln>
                    <a:extLst>
                      <a:ext uri="{53640926-AAD7-44D8-BBD7-CCE9431645EC}">
                        <a14:shadowObscured xmlns:a14="http://schemas.microsoft.com/office/drawing/2010/main"/>
                      </a:ext>
                    </a:extLst>
                  </pic:spPr>
                </pic:pic>
              </a:graphicData>
            </a:graphic>
          </wp:inline>
        </w:drawing>
      </w:r>
      <w:r w:rsidR="005D60A2" w:rsidRPr="004A478C">
        <w:rPr>
          <w:lang w:val="lt-LT"/>
        </w:rPr>
        <w:t xml:space="preserve">  </w:t>
      </w:r>
      <w:r w:rsidR="005D60A2" w:rsidRPr="004B0C8F">
        <w:rPr>
          <w:noProof/>
          <w:snapToGrid/>
          <w:lang w:val="lt-LT" w:eastAsia="lt-LT"/>
        </w:rPr>
        <w:drawing>
          <wp:inline distT="0" distB="0" distL="0" distR="0" wp14:anchorId="0DAD95F4" wp14:editId="575E5F45">
            <wp:extent cx="3543300" cy="27051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43300" cy="2705100"/>
                    </a:xfrm>
                    <a:prstGeom prst="rect">
                      <a:avLst/>
                    </a:prstGeom>
                  </pic:spPr>
                </pic:pic>
              </a:graphicData>
            </a:graphic>
          </wp:inline>
        </w:drawing>
      </w:r>
    </w:p>
    <w:p w14:paraId="7F761B96" w14:textId="73EE6FBA" w:rsidR="00273470" w:rsidRPr="004A478C" w:rsidRDefault="00273470" w:rsidP="003B28E4">
      <w:pPr>
        <w:tabs>
          <w:tab w:val="left" w:pos="4680"/>
        </w:tabs>
        <w:spacing w:line="240" w:lineRule="auto"/>
        <w:ind w:right="114"/>
        <w:jc w:val="center"/>
        <w:rPr>
          <w:lang w:val="lt-LT"/>
        </w:rPr>
      </w:pPr>
      <w:r w:rsidRPr="004A478C">
        <w:rPr>
          <w:lang w:val="lt-LT"/>
        </w:rPr>
        <w:t>Savaitė</w:t>
      </w:r>
    </w:p>
    <w:p w14:paraId="710D3ADB" w14:textId="62CC5312" w:rsidR="00A53D8F" w:rsidRPr="004A478C" w:rsidRDefault="00A53D8F" w:rsidP="003B28E4">
      <w:pPr>
        <w:tabs>
          <w:tab w:val="left" w:pos="4680"/>
        </w:tabs>
        <w:spacing w:line="240" w:lineRule="auto"/>
        <w:ind w:right="114"/>
        <w:jc w:val="center"/>
        <w:rPr>
          <w:lang w:val="lt-LT"/>
        </w:rPr>
      </w:pPr>
    </w:p>
    <w:p w14:paraId="2397DD05" w14:textId="1765BA91" w:rsidR="00A53D8F" w:rsidRPr="004A478C" w:rsidRDefault="00A53D8F" w:rsidP="003B28E4">
      <w:pPr>
        <w:tabs>
          <w:tab w:val="left" w:pos="4680"/>
        </w:tabs>
        <w:spacing w:line="240" w:lineRule="auto"/>
        <w:ind w:left="2071"/>
        <w:rPr>
          <w:lang w:val="lt-LT"/>
        </w:rPr>
      </w:pPr>
      <w:r w:rsidRPr="004B0C8F">
        <w:rPr>
          <w:noProof/>
          <w:snapToGrid/>
          <w:szCs w:val="22"/>
          <w:lang w:val="lt-LT"/>
        </w:rPr>
        <w:t xml:space="preserve"> </w:t>
      </w:r>
      <w:r w:rsidRPr="004B0C8F">
        <w:rPr>
          <w:szCs w:val="22"/>
          <w:lang w:val="lt-LT"/>
        </w:rPr>
        <w:t>TP – tyrimo pradžia; SPV – standartinė vidurkio paklaida</w:t>
      </w:r>
    </w:p>
    <w:p w14:paraId="1406CD3B" w14:textId="7326DF9D" w:rsidR="00273470" w:rsidRPr="004A478C" w:rsidRDefault="00273470" w:rsidP="003B28E4">
      <w:pPr>
        <w:tabs>
          <w:tab w:val="left" w:pos="4680"/>
        </w:tabs>
        <w:spacing w:line="240" w:lineRule="auto"/>
        <w:ind w:right="1569"/>
        <w:jc w:val="right"/>
        <w:rPr>
          <w:lang w:val="lt-LT"/>
        </w:rPr>
      </w:pPr>
    </w:p>
    <w:p w14:paraId="63FBFDB0" w14:textId="2B520121" w:rsidR="00273470" w:rsidRPr="004A478C" w:rsidRDefault="00273470" w:rsidP="003B28E4">
      <w:pPr>
        <w:tabs>
          <w:tab w:val="left" w:pos="4680"/>
        </w:tabs>
        <w:spacing w:line="240" w:lineRule="auto"/>
        <w:ind w:left="657" w:right="397" w:hanging="665"/>
        <w:rPr>
          <w:lang w:val="lt-LT"/>
        </w:rPr>
      </w:pPr>
      <w:r w:rsidRPr="004A478C">
        <w:rPr>
          <w:lang w:val="lt-LT"/>
        </w:rPr>
        <w:t>Pastaba:</w:t>
      </w:r>
      <w:r w:rsidRPr="004A478C">
        <w:rPr>
          <w:b/>
          <w:lang w:val="lt-LT"/>
        </w:rPr>
        <w:t xml:space="preserve"> </w:t>
      </w:r>
      <w:r w:rsidRPr="004A478C">
        <w:rPr>
          <w:lang w:val="lt-LT"/>
        </w:rPr>
        <w:t>509 pacientai vartojo 300</w:t>
      </w:r>
      <w:r w:rsidR="00E87295" w:rsidRPr="004A478C">
        <w:rPr>
          <w:lang w:val="lt-LT"/>
        </w:rPr>
        <w:t> mg</w:t>
      </w:r>
      <w:r w:rsidRPr="004A478C">
        <w:rPr>
          <w:lang w:val="lt-LT"/>
        </w:rPr>
        <w:t xml:space="preserve"> </w:t>
      </w:r>
      <w:proofErr w:type="spellStart"/>
      <w:r w:rsidRPr="004A478C">
        <w:rPr>
          <w:lang w:val="lt-LT"/>
        </w:rPr>
        <w:t>alopurinolio</w:t>
      </w:r>
      <w:proofErr w:type="spellEnd"/>
      <w:r w:rsidRPr="004A478C">
        <w:rPr>
          <w:lang w:val="lt-LT"/>
        </w:rPr>
        <w:t xml:space="preserve"> per parą; 10 pacientų, kurių kreatinino koncentracija serume buvo &gt; 1,5, bet ≤2,0</w:t>
      </w:r>
      <w:r w:rsidR="00E87295" w:rsidRPr="004A478C">
        <w:rPr>
          <w:lang w:val="lt-LT"/>
        </w:rPr>
        <w:t> mg</w:t>
      </w:r>
      <w:r w:rsidRPr="004A478C">
        <w:rPr>
          <w:lang w:val="lt-LT"/>
        </w:rPr>
        <w:t>/dl, vartojo 100</w:t>
      </w:r>
      <w:r w:rsidR="00E87295" w:rsidRPr="004A478C">
        <w:rPr>
          <w:lang w:val="lt-LT"/>
        </w:rPr>
        <w:t> mg</w:t>
      </w:r>
      <w:r w:rsidRPr="004A478C">
        <w:rPr>
          <w:lang w:val="lt-LT"/>
        </w:rPr>
        <w:t xml:space="preserve"> per parą dozę. (10 pacientų iš 268 APEX tyrimo pacientų). </w:t>
      </w:r>
    </w:p>
    <w:p w14:paraId="55403E0D" w14:textId="07953DC8" w:rsidR="00273470" w:rsidRPr="004A478C" w:rsidRDefault="00273470" w:rsidP="003B28E4">
      <w:pPr>
        <w:tabs>
          <w:tab w:val="left" w:pos="4680"/>
        </w:tabs>
        <w:spacing w:line="240" w:lineRule="auto"/>
        <w:ind w:left="675" w:right="397"/>
        <w:rPr>
          <w:lang w:val="lt-LT"/>
        </w:rPr>
      </w:pPr>
      <w:proofErr w:type="spellStart"/>
      <w:r w:rsidRPr="004A478C">
        <w:rPr>
          <w:lang w:val="lt-LT"/>
        </w:rPr>
        <w:lastRenderedPageBreak/>
        <w:t>Febuksostato</w:t>
      </w:r>
      <w:proofErr w:type="spellEnd"/>
      <w:r w:rsidRPr="004A478C">
        <w:rPr>
          <w:lang w:val="lt-LT"/>
        </w:rPr>
        <w:t xml:space="preserve"> saugumui įvertinti buvo naudojama 240</w:t>
      </w:r>
      <w:r w:rsidR="00E87295" w:rsidRPr="004A478C">
        <w:rPr>
          <w:lang w:val="lt-LT"/>
        </w:rPr>
        <w:t> mg</w:t>
      </w:r>
      <w:r w:rsidRPr="004A478C">
        <w:rPr>
          <w:lang w:val="lt-LT"/>
        </w:rPr>
        <w:t xml:space="preserve"> dozė, kuri yra dvigubai didesnė už rekomenduojamą maksimalią dozę.  </w:t>
      </w:r>
    </w:p>
    <w:p w14:paraId="1C994EE5" w14:textId="516EDA5D" w:rsidR="00273470" w:rsidRPr="004A478C" w:rsidRDefault="00273470" w:rsidP="003B28E4">
      <w:pPr>
        <w:tabs>
          <w:tab w:val="left" w:pos="4680"/>
        </w:tabs>
        <w:spacing w:line="240" w:lineRule="auto"/>
        <w:rPr>
          <w:lang w:val="lt-LT"/>
        </w:rPr>
      </w:pPr>
      <w:r w:rsidRPr="004A478C">
        <w:rPr>
          <w:lang w:val="lt-LT"/>
        </w:rPr>
        <w:t xml:space="preserve"> </w:t>
      </w:r>
    </w:p>
    <w:p w14:paraId="40745652" w14:textId="26334D77" w:rsidR="00273470" w:rsidRPr="004A478C" w:rsidRDefault="00273470" w:rsidP="003B28E4">
      <w:pPr>
        <w:tabs>
          <w:tab w:val="left" w:pos="4680"/>
        </w:tabs>
        <w:spacing w:line="240" w:lineRule="auto"/>
        <w:ind w:left="2" w:right="397"/>
        <w:rPr>
          <w:lang w:val="lt-LT"/>
        </w:rPr>
      </w:pPr>
      <w:r w:rsidRPr="004A478C">
        <w:rPr>
          <w:lang w:val="lt-LT"/>
        </w:rPr>
        <w:t xml:space="preserve">CONFIRMS tyrimas buvo 3 fazės atsitiktinių imčių kontroliuojamas 26 savaičių trukmės tyrimas siekiant nustatyti </w:t>
      </w:r>
      <w:proofErr w:type="spellStart"/>
      <w:r w:rsidRPr="004A478C">
        <w:rPr>
          <w:lang w:val="lt-LT"/>
        </w:rPr>
        <w:t>febuksostato</w:t>
      </w:r>
      <w:proofErr w:type="spellEnd"/>
      <w:r w:rsidRPr="004A478C">
        <w:rPr>
          <w:lang w:val="lt-LT"/>
        </w:rPr>
        <w:t xml:space="preserve"> 40</w:t>
      </w:r>
      <w:r w:rsidR="00E87295" w:rsidRPr="004A478C">
        <w:rPr>
          <w:lang w:val="lt-LT"/>
        </w:rPr>
        <w:t> mg</w:t>
      </w:r>
      <w:r w:rsidRPr="004A478C">
        <w:rPr>
          <w:lang w:val="lt-LT"/>
        </w:rPr>
        <w:t xml:space="preserve"> ir 80</w:t>
      </w:r>
      <w:r w:rsidR="00E87295" w:rsidRPr="004A478C">
        <w:rPr>
          <w:lang w:val="lt-LT"/>
        </w:rPr>
        <w:t> mg</w:t>
      </w:r>
      <w:r w:rsidRPr="004A478C">
        <w:rPr>
          <w:lang w:val="lt-LT"/>
        </w:rPr>
        <w:t xml:space="preserve"> dozių saugumą ir veiksmingumą palyginti su 300</w:t>
      </w:r>
      <w:r w:rsidR="00E87295" w:rsidRPr="004A478C">
        <w:rPr>
          <w:lang w:val="lt-LT"/>
        </w:rPr>
        <w:t> mg</w:t>
      </w:r>
      <w:r w:rsidRPr="004A478C">
        <w:rPr>
          <w:lang w:val="lt-LT"/>
        </w:rPr>
        <w:t xml:space="preserve"> arba 200</w:t>
      </w:r>
      <w:r w:rsidR="00E87295" w:rsidRPr="004A478C">
        <w:rPr>
          <w:lang w:val="lt-LT"/>
        </w:rPr>
        <w:t> mg</w:t>
      </w:r>
      <w:r w:rsidRPr="004A478C">
        <w:rPr>
          <w:lang w:val="lt-LT"/>
        </w:rPr>
        <w:t xml:space="preserve"> </w:t>
      </w:r>
      <w:proofErr w:type="spellStart"/>
      <w:r w:rsidRPr="004A478C">
        <w:rPr>
          <w:lang w:val="lt-LT"/>
        </w:rPr>
        <w:t>alopurinolio</w:t>
      </w:r>
      <w:proofErr w:type="spellEnd"/>
      <w:r w:rsidRPr="004A478C">
        <w:rPr>
          <w:lang w:val="lt-LT"/>
        </w:rPr>
        <w:t xml:space="preserve"> doze sergantiems podagra ir </w:t>
      </w:r>
      <w:proofErr w:type="spellStart"/>
      <w:r w:rsidRPr="004A478C">
        <w:rPr>
          <w:lang w:val="lt-LT"/>
        </w:rPr>
        <w:t>hiperurikemija</w:t>
      </w:r>
      <w:proofErr w:type="spellEnd"/>
      <w:r w:rsidRPr="004A478C">
        <w:rPr>
          <w:lang w:val="lt-LT"/>
        </w:rPr>
        <w:t xml:space="preserve">. Tirti </w:t>
      </w:r>
      <w:r w:rsidR="00B96F4B" w:rsidRPr="004A478C">
        <w:rPr>
          <w:lang w:val="lt-LT"/>
        </w:rPr>
        <w:t>2269</w:t>
      </w:r>
      <w:r w:rsidR="001F30AC" w:rsidRPr="004A478C">
        <w:rPr>
          <w:lang w:val="lt-LT"/>
        </w:rPr>
        <w:t xml:space="preserve"> </w:t>
      </w:r>
      <w:r w:rsidRPr="004A478C">
        <w:rPr>
          <w:lang w:val="lt-LT"/>
        </w:rPr>
        <w:t xml:space="preserve">pacientai: </w:t>
      </w:r>
    </w:p>
    <w:p w14:paraId="4A206B4B" w14:textId="77777777" w:rsidR="00273470" w:rsidRPr="004A478C" w:rsidRDefault="00A53D8F" w:rsidP="003B28E4">
      <w:pPr>
        <w:tabs>
          <w:tab w:val="left" w:pos="4680"/>
        </w:tabs>
        <w:spacing w:line="240" w:lineRule="auto"/>
        <w:ind w:left="2" w:right="470"/>
        <w:rPr>
          <w:lang w:val="lt-LT"/>
        </w:rPr>
      </w:pPr>
      <w:proofErr w:type="spellStart"/>
      <w:r w:rsidRPr="004A478C">
        <w:rPr>
          <w:lang w:val="lt-LT"/>
        </w:rPr>
        <w:t>febuksostato</w:t>
      </w:r>
      <w:proofErr w:type="spellEnd"/>
      <w:r w:rsidRPr="004A478C">
        <w:rPr>
          <w:lang w:val="lt-LT"/>
        </w:rPr>
        <w:t xml:space="preserve"> </w:t>
      </w:r>
      <w:r w:rsidR="00273470" w:rsidRPr="004A478C">
        <w:rPr>
          <w:lang w:val="lt-LT"/>
        </w:rPr>
        <w:t>40</w:t>
      </w:r>
      <w:r w:rsidR="00E87295" w:rsidRPr="004A478C">
        <w:rPr>
          <w:lang w:val="lt-LT"/>
        </w:rPr>
        <w:t> mg</w:t>
      </w:r>
      <w:r w:rsidR="00273470" w:rsidRPr="004A478C">
        <w:rPr>
          <w:lang w:val="lt-LT"/>
        </w:rPr>
        <w:t xml:space="preserve"> per parą (n=757), </w:t>
      </w:r>
      <w:proofErr w:type="spellStart"/>
      <w:r w:rsidRPr="004A478C">
        <w:rPr>
          <w:lang w:val="lt-LT"/>
        </w:rPr>
        <w:t>febuksostato</w:t>
      </w:r>
      <w:proofErr w:type="spellEnd"/>
      <w:r w:rsidRPr="004A478C">
        <w:rPr>
          <w:lang w:val="lt-LT"/>
        </w:rPr>
        <w:t xml:space="preserve"> </w:t>
      </w:r>
      <w:r w:rsidR="00273470" w:rsidRPr="004A478C">
        <w:rPr>
          <w:lang w:val="lt-LT"/>
        </w:rPr>
        <w:t>80</w:t>
      </w:r>
      <w:r w:rsidR="00E87295" w:rsidRPr="004A478C">
        <w:rPr>
          <w:lang w:val="lt-LT"/>
        </w:rPr>
        <w:t> mg</w:t>
      </w:r>
      <w:r w:rsidR="00273470" w:rsidRPr="004A478C">
        <w:rPr>
          <w:lang w:val="lt-LT"/>
        </w:rPr>
        <w:t xml:space="preserve"> per parą (n=756) arba </w:t>
      </w:r>
      <w:proofErr w:type="spellStart"/>
      <w:r w:rsidR="00273470" w:rsidRPr="004A478C">
        <w:rPr>
          <w:lang w:val="lt-LT"/>
        </w:rPr>
        <w:t>alopurinoli</w:t>
      </w:r>
      <w:r w:rsidR="00F97B53" w:rsidRPr="004A478C">
        <w:rPr>
          <w:lang w:val="lt-LT"/>
        </w:rPr>
        <w:t>o</w:t>
      </w:r>
      <w:proofErr w:type="spellEnd"/>
      <w:r w:rsidR="00273470" w:rsidRPr="004A478C">
        <w:rPr>
          <w:lang w:val="lt-LT"/>
        </w:rPr>
        <w:t xml:space="preserve"> 300</w:t>
      </w:r>
      <w:r w:rsidR="00F97B53" w:rsidRPr="004A478C">
        <w:rPr>
          <w:lang w:val="lt-LT"/>
        </w:rPr>
        <w:t xml:space="preserve"> arba </w:t>
      </w:r>
      <w:r w:rsidR="00273470" w:rsidRPr="004A478C">
        <w:rPr>
          <w:lang w:val="lt-LT"/>
        </w:rPr>
        <w:t>200</w:t>
      </w:r>
      <w:r w:rsidR="00E87295" w:rsidRPr="004A478C">
        <w:rPr>
          <w:lang w:val="lt-LT"/>
        </w:rPr>
        <w:t> mg</w:t>
      </w:r>
      <w:r w:rsidR="00273470" w:rsidRPr="004A478C">
        <w:rPr>
          <w:lang w:val="lt-LT"/>
        </w:rPr>
        <w:t xml:space="preserve"> per parą (n=756). Mažiausiai 65</w:t>
      </w:r>
      <w:r w:rsidR="00F97B53" w:rsidRPr="004A478C">
        <w:rPr>
          <w:lang w:val="lt-LT"/>
        </w:rPr>
        <w:t> </w:t>
      </w:r>
      <w:r w:rsidR="00273470" w:rsidRPr="004A478C">
        <w:rPr>
          <w:lang w:val="lt-LT"/>
        </w:rPr>
        <w:t xml:space="preserve">% pacientų buvo nustatytas lengvas arba vidutinis inkstų </w:t>
      </w:r>
      <w:r w:rsidR="00F97B53" w:rsidRPr="004A478C">
        <w:rPr>
          <w:lang w:val="lt-LT"/>
        </w:rPr>
        <w:t xml:space="preserve">funkcijos </w:t>
      </w:r>
      <w:r w:rsidR="00273470" w:rsidRPr="004A478C">
        <w:rPr>
          <w:lang w:val="lt-LT"/>
        </w:rPr>
        <w:t xml:space="preserve">sutrikimas (kreatinino klirensas 30-89 ml/min.). Podagros priepuolio profilaktika buvo privaloma 26 savaites. </w:t>
      </w:r>
    </w:p>
    <w:p w14:paraId="58C0FE7A" w14:textId="77777777" w:rsidR="00273470" w:rsidRPr="004A478C" w:rsidRDefault="00273470" w:rsidP="003B28E4">
      <w:pPr>
        <w:tabs>
          <w:tab w:val="left" w:pos="4680"/>
        </w:tabs>
        <w:spacing w:line="240" w:lineRule="auto"/>
        <w:ind w:left="2" w:right="397"/>
        <w:rPr>
          <w:lang w:val="lt-LT"/>
        </w:rPr>
      </w:pPr>
      <w:r w:rsidRPr="004A478C">
        <w:rPr>
          <w:lang w:val="lt-LT"/>
        </w:rPr>
        <w:t>Pacientai, kurių kraujo serume šlapimo rūgšties koncentracija galutinio vizito metu buvo &lt;6,0</w:t>
      </w:r>
      <w:r w:rsidR="00E87295" w:rsidRPr="004A478C">
        <w:rPr>
          <w:lang w:val="lt-LT"/>
        </w:rPr>
        <w:t> mg</w:t>
      </w:r>
      <w:r w:rsidRPr="004A478C">
        <w:rPr>
          <w:lang w:val="lt-LT"/>
        </w:rPr>
        <w:t>/dl (357 µ</w:t>
      </w:r>
      <w:proofErr w:type="spellStart"/>
      <w:r w:rsidRPr="004A478C">
        <w:rPr>
          <w:lang w:val="lt-LT"/>
        </w:rPr>
        <w:t>mol</w:t>
      </w:r>
      <w:proofErr w:type="spellEnd"/>
      <w:r w:rsidRPr="004A478C">
        <w:rPr>
          <w:lang w:val="lt-LT"/>
        </w:rPr>
        <w:t xml:space="preserve">/l), sudarė 45% </w:t>
      </w:r>
      <w:proofErr w:type="spellStart"/>
      <w:r w:rsidRPr="004A478C">
        <w:rPr>
          <w:lang w:val="lt-LT"/>
        </w:rPr>
        <w:t>febuksostato</w:t>
      </w:r>
      <w:proofErr w:type="spellEnd"/>
      <w:r w:rsidRPr="004A478C">
        <w:rPr>
          <w:lang w:val="lt-LT"/>
        </w:rPr>
        <w:t xml:space="preserve"> 40</w:t>
      </w:r>
      <w:r w:rsidR="00E87295" w:rsidRPr="004A478C">
        <w:rPr>
          <w:lang w:val="lt-LT"/>
        </w:rPr>
        <w:t> mg</w:t>
      </w:r>
      <w:r w:rsidRPr="004A478C">
        <w:rPr>
          <w:lang w:val="lt-LT"/>
        </w:rPr>
        <w:t xml:space="preserve"> grupėje, 67</w:t>
      </w:r>
      <w:r w:rsidR="003D08A1" w:rsidRPr="004A478C">
        <w:rPr>
          <w:lang w:val="lt-LT"/>
        </w:rPr>
        <w:t> </w:t>
      </w:r>
      <w:r w:rsidRPr="004A478C">
        <w:rPr>
          <w:lang w:val="lt-LT"/>
        </w:rPr>
        <w:t xml:space="preserve">% - </w:t>
      </w:r>
      <w:proofErr w:type="spellStart"/>
      <w:r w:rsidRPr="004A478C">
        <w:rPr>
          <w:lang w:val="lt-LT"/>
        </w:rPr>
        <w:t>febuksostato</w:t>
      </w:r>
      <w:proofErr w:type="spellEnd"/>
      <w:r w:rsidRPr="004A478C">
        <w:rPr>
          <w:lang w:val="lt-LT"/>
        </w:rPr>
        <w:t xml:space="preserve"> 80</w:t>
      </w:r>
      <w:r w:rsidR="00E87295" w:rsidRPr="004A478C">
        <w:rPr>
          <w:lang w:val="lt-LT"/>
        </w:rPr>
        <w:t> mg</w:t>
      </w:r>
      <w:r w:rsidRPr="004A478C">
        <w:rPr>
          <w:lang w:val="lt-LT"/>
        </w:rPr>
        <w:t xml:space="preserve"> grupėje, 42</w:t>
      </w:r>
      <w:r w:rsidR="003D08A1" w:rsidRPr="004A478C">
        <w:rPr>
          <w:lang w:val="lt-LT"/>
        </w:rPr>
        <w:t> </w:t>
      </w:r>
      <w:r w:rsidRPr="004A478C">
        <w:rPr>
          <w:lang w:val="lt-LT"/>
        </w:rPr>
        <w:t xml:space="preserve">% </w:t>
      </w:r>
      <w:proofErr w:type="spellStart"/>
      <w:r w:rsidRPr="004A478C">
        <w:rPr>
          <w:lang w:val="lt-LT"/>
        </w:rPr>
        <w:t>alopurinolio</w:t>
      </w:r>
      <w:proofErr w:type="spellEnd"/>
      <w:r w:rsidRPr="004A478C">
        <w:rPr>
          <w:lang w:val="lt-LT"/>
        </w:rPr>
        <w:t xml:space="preserve"> 300</w:t>
      </w:r>
      <w:r w:rsidR="00F97B53" w:rsidRPr="004A478C">
        <w:rPr>
          <w:lang w:val="lt-LT"/>
        </w:rPr>
        <w:t xml:space="preserve"> arba </w:t>
      </w:r>
      <w:r w:rsidRPr="004A478C">
        <w:rPr>
          <w:lang w:val="lt-LT"/>
        </w:rPr>
        <w:t>200</w:t>
      </w:r>
      <w:r w:rsidR="00E87295" w:rsidRPr="004A478C">
        <w:rPr>
          <w:lang w:val="lt-LT"/>
        </w:rPr>
        <w:t> mg</w:t>
      </w:r>
      <w:r w:rsidRPr="004A478C">
        <w:rPr>
          <w:lang w:val="lt-LT"/>
        </w:rPr>
        <w:t xml:space="preserve"> grupėje. </w:t>
      </w:r>
    </w:p>
    <w:p w14:paraId="7EEF6D2D" w14:textId="77777777" w:rsidR="00273470" w:rsidRPr="004A478C" w:rsidRDefault="00273470" w:rsidP="003B28E4">
      <w:pPr>
        <w:tabs>
          <w:tab w:val="left" w:pos="4680"/>
        </w:tabs>
        <w:spacing w:line="240" w:lineRule="auto"/>
        <w:rPr>
          <w:lang w:val="lt-LT"/>
        </w:rPr>
      </w:pPr>
      <w:r w:rsidRPr="004A478C">
        <w:rPr>
          <w:lang w:val="lt-LT"/>
        </w:rPr>
        <w:t xml:space="preserve"> </w:t>
      </w:r>
    </w:p>
    <w:p w14:paraId="423C55E7" w14:textId="77777777" w:rsidR="00273470" w:rsidRPr="004A478C" w:rsidRDefault="00273470" w:rsidP="003B28E4">
      <w:pPr>
        <w:tabs>
          <w:tab w:val="left" w:pos="4680"/>
        </w:tabs>
        <w:spacing w:line="240" w:lineRule="auto"/>
        <w:ind w:left="-5"/>
        <w:rPr>
          <w:lang w:val="lt-LT"/>
        </w:rPr>
      </w:pPr>
      <w:r w:rsidRPr="004A478C">
        <w:rPr>
          <w:i/>
          <w:lang w:val="lt-LT"/>
        </w:rPr>
        <w:t xml:space="preserve">Pacientų, kurių inkstų </w:t>
      </w:r>
      <w:r w:rsidR="00F97B53" w:rsidRPr="004A478C">
        <w:rPr>
          <w:i/>
          <w:lang w:val="lt-LT"/>
        </w:rPr>
        <w:t xml:space="preserve">funkcija </w:t>
      </w:r>
      <w:r w:rsidRPr="004A478C">
        <w:rPr>
          <w:i/>
          <w:lang w:val="lt-LT"/>
        </w:rPr>
        <w:t xml:space="preserve">sutrikusi, pagrindinė vertinamoji baigtis </w:t>
      </w:r>
    </w:p>
    <w:p w14:paraId="1FB850D1" w14:textId="77777777" w:rsidR="00273470" w:rsidRPr="004A478C" w:rsidRDefault="00273470" w:rsidP="003B28E4">
      <w:pPr>
        <w:tabs>
          <w:tab w:val="left" w:pos="4680"/>
        </w:tabs>
        <w:spacing w:line="240" w:lineRule="auto"/>
        <w:ind w:left="2" w:right="563"/>
        <w:rPr>
          <w:lang w:val="lt-LT"/>
        </w:rPr>
      </w:pPr>
      <w:r w:rsidRPr="004A478C">
        <w:rPr>
          <w:lang w:val="lt-LT"/>
        </w:rPr>
        <w:t xml:space="preserve">APEX tyrimo metu buvo vertinamas vaisto veiksmingumas 40 pacientų, kurių inkstų </w:t>
      </w:r>
      <w:r w:rsidR="00F97B53" w:rsidRPr="004A478C">
        <w:rPr>
          <w:lang w:val="lt-LT"/>
        </w:rPr>
        <w:t xml:space="preserve">funkcija </w:t>
      </w:r>
      <w:r w:rsidRPr="004A478C">
        <w:rPr>
          <w:lang w:val="lt-LT"/>
        </w:rPr>
        <w:t xml:space="preserve">sutrikusi (t. y., kai pradinis kreatinino klirensas </w:t>
      </w:r>
      <w:r w:rsidR="00F97B53" w:rsidRPr="004A478C">
        <w:rPr>
          <w:lang w:val="lt-LT"/>
        </w:rPr>
        <w:t xml:space="preserve">&gt; </w:t>
      </w:r>
      <w:r w:rsidRPr="004A478C">
        <w:rPr>
          <w:lang w:val="lt-LT"/>
        </w:rPr>
        <w:t>1,5</w:t>
      </w:r>
      <w:r w:rsidR="00E87295" w:rsidRPr="004A478C">
        <w:rPr>
          <w:lang w:val="lt-LT"/>
        </w:rPr>
        <w:t> mg</w:t>
      </w:r>
      <w:r w:rsidRPr="004A478C">
        <w:rPr>
          <w:lang w:val="lt-LT"/>
        </w:rPr>
        <w:t>/dl, bet ≤2</w:t>
      </w:r>
      <w:r w:rsidR="00E87295" w:rsidRPr="004A478C">
        <w:rPr>
          <w:lang w:val="lt-LT"/>
        </w:rPr>
        <w:t>,</w:t>
      </w:r>
      <w:r w:rsidRPr="004A478C">
        <w:rPr>
          <w:lang w:val="lt-LT"/>
        </w:rPr>
        <w:t>0</w:t>
      </w:r>
      <w:r w:rsidR="00E87295" w:rsidRPr="004A478C">
        <w:rPr>
          <w:lang w:val="lt-LT"/>
        </w:rPr>
        <w:t> mg</w:t>
      </w:r>
      <w:r w:rsidRPr="004A478C">
        <w:rPr>
          <w:lang w:val="lt-LT"/>
        </w:rPr>
        <w:t xml:space="preserve">/dl). Inkstų </w:t>
      </w:r>
      <w:r w:rsidR="00F97B53" w:rsidRPr="004A478C">
        <w:rPr>
          <w:lang w:val="lt-LT"/>
        </w:rPr>
        <w:t xml:space="preserve">funkcijos </w:t>
      </w:r>
      <w:r w:rsidRPr="004A478C">
        <w:rPr>
          <w:lang w:val="lt-LT"/>
        </w:rPr>
        <w:t xml:space="preserve">sutrikimu sergantiems pacientams, kurie atsitiktinių imčių būdu pateko į </w:t>
      </w:r>
      <w:proofErr w:type="spellStart"/>
      <w:r w:rsidRPr="004A478C">
        <w:rPr>
          <w:lang w:val="lt-LT"/>
        </w:rPr>
        <w:t>alopurinolio</w:t>
      </w:r>
      <w:proofErr w:type="spellEnd"/>
      <w:r w:rsidRPr="004A478C">
        <w:rPr>
          <w:lang w:val="lt-LT"/>
        </w:rPr>
        <w:t xml:space="preserve"> grupę, buvo skiriama 100</w:t>
      </w:r>
      <w:r w:rsidR="00E87295" w:rsidRPr="004A478C">
        <w:rPr>
          <w:lang w:val="lt-LT"/>
        </w:rPr>
        <w:t> mg</w:t>
      </w:r>
      <w:r w:rsidRPr="004A478C">
        <w:rPr>
          <w:lang w:val="lt-LT"/>
        </w:rPr>
        <w:t xml:space="preserve"> vaisto dozė per parą. </w:t>
      </w:r>
      <w:r w:rsidR="00F97B53" w:rsidRPr="004A478C">
        <w:rPr>
          <w:lang w:val="lt-LT"/>
        </w:rPr>
        <w:t xml:space="preserve"> </w:t>
      </w:r>
      <w:proofErr w:type="spellStart"/>
      <w:r w:rsidR="00F97B53" w:rsidRPr="004A478C">
        <w:rPr>
          <w:lang w:val="lt-LT"/>
        </w:rPr>
        <w:t>Febuksostato</w:t>
      </w:r>
      <w:proofErr w:type="spellEnd"/>
      <w:r w:rsidR="00F97B53" w:rsidRPr="004A478C">
        <w:rPr>
          <w:lang w:val="lt-LT"/>
        </w:rPr>
        <w:t xml:space="preserve"> </w:t>
      </w:r>
      <w:r w:rsidRPr="004A478C">
        <w:rPr>
          <w:lang w:val="lt-LT"/>
        </w:rPr>
        <w:t>grupėje pagrindinė veiksmingumo vertinamoji baigtis konstatuota 44</w:t>
      </w:r>
      <w:r w:rsidR="003D08A1" w:rsidRPr="004A478C">
        <w:rPr>
          <w:lang w:val="lt-LT"/>
        </w:rPr>
        <w:t> </w:t>
      </w:r>
      <w:r w:rsidRPr="004A478C">
        <w:rPr>
          <w:lang w:val="lt-LT"/>
        </w:rPr>
        <w:t>% (80</w:t>
      </w:r>
      <w:r w:rsidR="00E87295" w:rsidRPr="004A478C">
        <w:rPr>
          <w:lang w:val="lt-LT"/>
        </w:rPr>
        <w:t> mg</w:t>
      </w:r>
      <w:r w:rsidRPr="004A478C">
        <w:rPr>
          <w:lang w:val="lt-LT"/>
        </w:rPr>
        <w:t xml:space="preserve"> per parą), 45</w:t>
      </w:r>
      <w:r w:rsidR="003D08A1" w:rsidRPr="004A478C">
        <w:rPr>
          <w:lang w:val="lt-LT"/>
        </w:rPr>
        <w:t> </w:t>
      </w:r>
      <w:r w:rsidRPr="004A478C">
        <w:rPr>
          <w:lang w:val="lt-LT"/>
        </w:rPr>
        <w:t>% (120</w:t>
      </w:r>
      <w:r w:rsidR="00E87295" w:rsidRPr="004A478C">
        <w:rPr>
          <w:lang w:val="lt-LT"/>
        </w:rPr>
        <w:t> mg</w:t>
      </w:r>
      <w:r w:rsidRPr="004A478C">
        <w:rPr>
          <w:lang w:val="lt-LT"/>
        </w:rPr>
        <w:t xml:space="preserve"> per parą) ir 60</w:t>
      </w:r>
      <w:r w:rsidR="003D08A1" w:rsidRPr="004A478C">
        <w:rPr>
          <w:lang w:val="lt-LT"/>
        </w:rPr>
        <w:t> </w:t>
      </w:r>
      <w:r w:rsidRPr="004A478C">
        <w:rPr>
          <w:lang w:val="lt-LT"/>
        </w:rPr>
        <w:t>% (240</w:t>
      </w:r>
      <w:r w:rsidR="00E87295" w:rsidRPr="004A478C">
        <w:rPr>
          <w:lang w:val="lt-LT"/>
        </w:rPr>
        <w:t> mg</w:t>
      </w:r>
      <w:r w:rsidRPr="004A478C">
        <w:rPr>
          <w:lang w:val="lt-LT"/>
        </w:rPr>
        <w:t xml:space="preserve"> per parą) pacientų, palyginti su 0</w:t>
      </w:r>
      <w:r w:rsidR="003D08A1" w:rsidRPr="004A478C">
        <w:rPr>
          <w:lang w:val="lt-LT"/>
        </w:rPr>
        <w:t> </w:t>
      </w:r>
      <w:r w:rsidRPr="004A478C">
        <w:rPr>
          <w:lang w:val="lt-LT"/>
        </w:rPr>
        <w:t xml:space="preserve">% </w:t>
      </w:r>
      <w:proofErr w:type="spellStart"/>
      <w:r w:rsidRPr="004A478C">
        <w:rPr>
          <w:lang w:val="lt-LT"/>
        </w:rPr>
        <w:t>alopurinolio</w:t>
      </w:r>
      <w:proofErr w:type="spellEnd"/>
      <w:r w:rsidRPr="004A478C">
        <w:rPr>
          <w:lang w:val="lt-LT"/>
        </w:rPr>
        <w:t xml:space="preserve"> 100</w:t>
      </w:r>
      <w:r w:rsidR="00E87295" w:rsidRPr="004A478C">
        <w:rPr>
          <w:lang w:val="lt-LT"/>
        </w:rPr>
        <w:t> mg</w:t>
      </w:r>
      <w:r w:rsidRPr="004A478C">
        <w:rPr>
          <w:lang w:val="lt-LT"/>
        </w:rPr>
        <w:t xml:space="preserve"> per parą ir placebo grupėmis. </w:t>
      </w:r>
    </w:p>
    <w:p w14:paraId="7D0129DB" w14:textId="77777777" w:rsidR="00273470" w:rsidRPr="004A478C" w:rsidRDefault="00273470" w:rsidP="003B28E4">
      <w:pPr>
        <w:tabs>
          <w:tab w:val="left" w:pos="4680"/>
        </w:tabs>
        <w:spacing w:line="240" w:lineRule="auto"/>
        <w:rPr>
          <w:lang w:val="lt-LT"/>
        </w:rPr>
      </w:pPr>
      <w:r w:rsidRPr="004A478C">
        <w:rPr>
          <w:lang w:val="lt-LT"/>
        </w:rPr>
        <w:t xml:space="preserve"> </w:t>
      </w:r>
    </w:p>
    <w:p w14:paraId="30AF9EC9" w14:textId="77777777" w:rsidR="00273470" w:rsidRPr="004A478C" w:rsidRDefault="00273470" w:rsidP="003B28E4">
      <w:pPr>
        <w:tabs>
          <w:tab w:val="left" w:pos="4680"/>
        </w:tabs>
        <w:spacing w:line="240" w:lineRule="auto"/>
        <w:ind w:left="2" w:right="397"/>
        <w:rPr>
          <w:lang w:val="lt-LT"/>
        </w:rPr>
      </w:pPr>
      <w:r w:rsidRPr="004A478C">
        <w:rPr>
          <w:lang w:val="lt-LT"/>
        </w:rPr>
        <w:t xml:space="preserve">Procentinės šlapimo rūgšties koncentracijos serume sumažėjimo išraiškos kliniškai reikšmingų skirtumų sveikiems asmenims, nepriklausomai nuo jų inkstų </w:t>
      </w:r>
      <w:proofErr w:type="spellStart"/>
      <w:r w:rsidR="00F97B53" w:rsidRPr="004A478C">
        <w:rPr>
          <w:lang w:val="lt-LT"/>
        </w:rPr>
        <w:t>fukcijos</w:t>
      </w:r>
      <w:proofErr w:type="spellEnd"/>
      <w:r w:rsidRPr="004A478C">
        <w:rPr>
          <w:lang w:val="lt-LT"/>
        </w:rPr>
        <w:t>, nenustatyta (58</w:t>
      </w:r>
      <w:r w:rsidR="00F97B53" w:rsidRPr="004A478C">
        <w:rPr>
          <w:lang w:val="lt-LT"/>
        </w:rPr>
        <w:t> </w:t>
      </w:r>
      <w:r w:rsidRPr="004A478C">
        <w:rPr>
          <w:lang w:val="lt-LT"/>
        </w:rPr>
        <w:t xml:space="preserve">% pacientų, kurių inkstų </w:t>
      </w:r>
      <w:r w:rsidR="00F97B53" w:rsidRPr="004A478C">
        <w:rPr>
          <w:lang w:val="lt-LT"/>
        </w:rPr>
        <w:t xml:space="preserve">funkcija </w:t>
      </w:r>
      <w:r w:rsidRPr="004A478C">
        <w:rPr>
          <w:lang w:val="lt-LT"/>
        </w:rPr>
        <w:t>normali ir 55</w:t>
      </w:r>
      <w:r w:rsidR="00F97B53" w:rsidRPr="004A478C">
        <w:rPr>
          <w:lang w:val="lt-LT"/>
        </w:rPr>
        <w:t> </w:t>
      </w:r>
      <w:r w:rsidRPr="004A478C">
        <w:rPr>
          <w:lang w:val="lt-LT"/>
        </w:rPr>
        <w:t xml:space="preserve">% pacientų, </w:t>
      </w:r>
      <w:r w:rsidR="00F97B53" w:rsidRPr="004A478C">
        <w:rPr>
          <w:lang w:val="lt-LT"/>
        </w:rPr>
        <w:t>kuriems buvo sunkus inkstų funkcijos sutrikimas</w:t>
      </w:r>
      <w:r w:rsidRPr="004A478C">
        <w:rPr>
          <w:lang w:val="lt-LT"/>
        </w:rPr>
        <w:t xml:space="preserve">). </w:t>
      </w:r>
    </w:p>
    <w:p w14:paraId="5C6B51F8" w14:textId="77777777" w:rsidR="00273470" w:rsidRPr="004A478C" w:rsidRDefault="00273470" w:rsidP="003B28E4">
      <w:pPr>
        <w:tabs>
          <w:tab w:val="left" w:pos="4680"/>
        </w:tabs>
        <w:spacing w:line="240" w:lineRule="auto"/>
        <w:rPr>
          <w:lang w:val="lt-LT"/>
        </w:rPr>
      </w:pPr>
      <w:r w:rsidRPr="004A478C">
        <w:rPr>
          <w:lang w:val="lt-LT"/>
        </w:rPr>
        <w:t xml:space="preserve"> </w:t>
      </w:r>
    </w:p>
    <w:p w14:paraId="1C3485D7" w14:textId="77777777" w:rsidR="00273470" w:rsidRPr="004A478C" w:rsidRDefault="00273470" w:rsidP="003B28E4">
      <w:pPr>
        <w:tabs>
          <w:tab w:val="left" w:pos="4680"/>
        </w:tabs>
        <w:spacing w:line="240" w:lineRule="auto"/>
        <w:ind w:left="2" w:right="397"/>
        <w:rPr>
          <w:lang w:val="lt-LT"/>
        </w:rPr>
      </w:pPr>
      <w:r w:rsidRPr="004A478C">
        <w:rPr>
          <w:lang w:val="lt-LT"/>
        </w:rPr>
        <w:t xml:space="preserve">CONFIRMS tyrime buvo numatyta </w:t>
      </w:r>
      <w:proofErr w:type="spellStart"/>
      <w:r w:rsidRPr="004A478C">
        <w:rPr>
          <w:lang w:val="lt-LT"/>
        </w:rPr>
        <w:t>prospektyvi</w:t>
      </w:r>
      <w:proofErr w:type="spellEnd"/>
      <w:r w:rsidRPr="004A478C">
        <w:rPr>
          <w:lang w:val="lt-LT"/>
        </w:rPr>
        <w:t xml:space="preserve"> pacientų su podagra ir inkstų </w:t>
      </w:r>
      <w:r w:rsidR="002E1A5C" w:rsidRPr="004A478C">
        <w:rPr>
          <w:lang w:val="lt-LT"/>
        </w:rPr>
        <w:t xml:space="preserve">funkcijos </w:t>
      </w:r>
      <w:r w:rsidRPr="004A478C">
        <w:rPr>
          <w:lang w:val="lt-LT"/>
        </w:rPr>
        <w:t xml:space="preserve">sutrikimu analizė; nustatyta, kad </w:t>
      </w:r>
      <w:proofErr w:type="spellStart"/>
      <w:r w:rsidRPr="004A478C">
        <w:rPr>
          <w:lang w:val="lt-LT"/>
        </w:rPr>
        <w:t>febuksostatas</w:t>
      </w:r>
      <w:proofErr w:type="spellEnd"/>
      <w:r w:rsidRPr="004A478C">
        <w:rPr>
          <w:lang w:val="lt-LT"/>
        </w:rPr>
        <w:t xml:space="preserve"> buvo reikšmingai veiksmingesnis mažinant šlapimo rūgšties kiekį kraujo serume iki &lt;6</w:t>
      </w:r>
      <w:r w:rsidR="00E87295" w:rsidRPr="004A478C">
        <w:rPr>
          <w:lang w:val="lt-LT"/>
        </w:rPr>
        <w:t> mg</w:t>
      </w:r>
      <w:r w:rsidRPr="004A478C">
        <w:rPr>
          <w:lang w:val="lt-LT"/>
        </w:rPr>
        <w:t>/dl palyginti su 300</w:t>
      </w:r>
      <w:r w:rsidR="002E1A5C" w:rsidRPr="004A478C">
        <w:rPr>
          <w:lang w:val="lt-LT"/>
        </w:rPr>
        <w:t xml:space="preserve"> arba </w:t>
      </w:r>
      <w:r w:rsidRPr="004A478C">
        <w:rPr>
          <w:lang w:val="lt-LT"/>
        </w:rPr>
        <w:t>200</w:t>
      </w:r>
      <w:r w:rsidR="00E87295" w:rsidRPr="004A478C">
        <w:rPr>
          <w:lang w:val="lt-LT"/>
        </w:rPr>
        <w:t> mg</w:t>
      </w:r>
      <w:r w:rsidRPr="004A478C">
        <w:rPr>
          <w:lang w:val="lt-LT"/>
        </w:rPr>
        <w:t xml:space="preserve"> </w:t>
      </w:r>
      <w:proofErr w:type="spellStart"/>
      <w:r w:rsidRPr="004A478C">
        <w:rPr>
          <w:lang w:val="lt-LT"/>
        </w:rPr>
        <w:t>alopurinolio</w:t>
      </w:r>
      <w:proofErr w:type="spellEnd"/>
      <w:r w:rsidRPr="004A478C">
        <w:rPr>
          <w:lang w:val="lt-LT"/>
        </w:rPr>
        <w:t xml:space="preserve"> paros doze tiems pacientams, kurie sirgo podagra ir lengvu arba vidutinio sunkumo inkstų </w:t>
      </w:r>
      <w:r w:rsidR="002E1A5C" w:rsidRPr="004A478C">
        <w:rPr>
          <w:lang w:val="lt-LT"/>
        </w:rPr>
        <w:t xml:space="preserve">funkcijos </w:t>
      </w:r>
      <w:r w:rsidRPr="004A478C">
        <w:rPr>
          <w:lang w:val="lt-LT"/>
        </w:rPr>
        <w:t>sutrikimu (65</w:t>
      </w:r>
      <w:r w:rsidR="002E1A5C" w:rsidRPr="004A478C">
        <w:rPr>
          <w:lang w:val="lt-LT"/>
        </w:rPr>
        <w:t> </w:t>
      </w:r>
      <w:r w:rsidRPr="004A478C">
        <w:rPr>
          <w:lang w:val="lt-LT"/>
        </w:rPr>
        <w:t xml:space="preserve">% tirtų pacientų). </w:t>
      </w:r>
    </w:p>
    <w:p w14:paraId="25FF4E6B" w14:textId="77777777" w:rsidR="00273470" w:rsidRPr="004A478C" w:rsidRDefault="00273470" w:rsidP="003B28E4">
      <w:pPr>
        <w:tabs>
          <w:tab w:val="left" w:pos="4680"/>
        </w:tabs>
        <w:spacing w:line="240" w:lineRule="auto"/>
        <w:rPr>
          <w:lang w:val="lt-LT"/>
        </w:rPr>
      </w:pPr>
      <w:r w:rsidRPr="004A478C">
        <w:rPr>
          <w:lang w:val="lt-LT"/>
        </w:rPr>
        <w:t xml:space="preserve"> </w:t>
      </w:r>
    </w:p>
    <w:p w14:paraId="4E701305" w14:textId="77777777" w:rsidR="00273470" w:rsidRPr="004A478C" w:rsidRDefault="00273470" w:rsidP="003B28E4">
      <w:pPr>
        <w:tabs>
          <w:tab w:val="left" w:pos="4680"/>
        </w:tabs>
        <w:spacing w:line="240" w:lineRule="auto"/>
        <w:ind w:left="-5"/>
        <w:rPr>
          <w:lang w:val="lt-LT"/>
        </w:rPr>
      </w:pPr>
      <w:r w:rsidRPr="004A478C">
        <w:rPr>
          <w:i/>
          <w:lang w:val="lt-LT"/>
        </w:rPr>
        <w:t xml:space="preserve">Pacientų, kurių </w:t>
      </w:r>
      <w:proofErr w:type="spellStart"/>
      <w:r w:rsidRPr="004A478C">
        <w:rPr>
          <w:i/>
          <w:lang w:val="lt-LT"/>
        </w:rPr>
        <w:t>sŠR</w:t>
      </w:r>
      <w:proofErr w:type="spellEnd"/>
      <w:r w:rsidRPr="004A478C">
        <w:rPr>
          <w:i/>
          <w:lang w:val="lt-LT"/>
        </w:rPr>
        <w:t xml:space="preserve"> ≥ 10</w:t>
      </w:r>
      <w:r w:rsidR="00E87295" w:rsidRPr="004A478C">
        <w:rPr>
          <w:lang w:val="lt-LT"/>
        </w:rPr>
        <w:t> mg</w:t>
      </w:r>
      <w:r w:rsidRPr="004A478C">
        <w:rPr>
          <w:i/>
          <w:lang w:val="lt-LT"/>
        </w:rPr>
        <w:t xml:space="preserve">/dl, pogrupio pagrindinė vertinamoji baigtis </w:t>
      </w:r>
    </w:p>
    <w:p w14:paraId="3C9690D7" w14:textId="77777777" w:rsidR="00273470" w:rsidRPr="004A478C" w:rsidRDefault="00273470" w:rsidP="003B28E4">
      <w:pPr>
        <w:tabs>
          <w:tab w:val="left" w:pos="4680"/>
        </w:tabs>
        <w:spacing w:line="240" w:lineRule="auto"/>
        <w:ind w:left="2" w:right="397"/>
        <w:rPr>
          <w:lang w:val="lt-LT"/>
        </w:rPr>
      </w:pPr>
      <w:r w:rsidRPr="004A478C">
        <w:rPr>
          <w:lang w:val="lt-LT"/>
        </w:rPr>
        <w:t>Maždaug 40</w:t>
      </w:r>
      <w:r w:rsidR="002E1A5C" w:rsidRPr="004A478C">
        <w:rPr>
          <w:lang w:val="lt-LT"/>
        </w:rPr>
        <w:t> </w:t>
      </w:r>
      <w:r w:rsidRPr="004A478C">
        <w:rPr>
          <w:lang w:val="lt-LT"/>
        </w:rPr>
        <w:t xml:space="preserve">% pacientų (abiejuose APEX ir FACT tyrimuose) pradinis </w:t>
      </w:r>
      <w:proofErr w:type="spellStart"/>
      <w:r w:rsidRPr="004A478C">
        <w:rPr>
          <w:lang w:val="lt-LT"/>
        </w:rPr>
        <w:t>sŠR</w:t>
      </w:r>
      <w:proofErr w:type="spellEnd"/>
      <w:r w:rsidRPr="004A478C">
        <w:rPr>
          <w:lang w:val="lt-LT"/>
        </w:rPr>
        <w:t xml:space="preserve"> buvo ≥ 10</w:t>
      </w:r>
      <w:r w:rsidR="00E87295" w:rsidRPr="004A478C">
        <w:rPr>
          <w:lang w:val="lt-LT"/>
        </w:rPr>
        <w:t> mg</w:t>
      </w:r>
      <w:r w:rsidRPr="004A478C">
        <w:rPr>
          <w:lang w:val="lt-LT"/>
        </w:rPr>
        <w:t>/dl. Šio pogrupio</w:t>
      </w:r>
      <w:r w:rsidR="002E1A5C" w:rsidRPr="004A478C">
        <w:rPr>
          <w:lang w:val="lt-LT"/>
        </w:rPr>
        <w:t xml:space="preserve"> </w:t>
      </w:r>
      <w:proofErr w:type="spellStart"/>
      <w:r w:rsidR="002E1A5C" w:rsidRPr="004A478C">
        <w:rPr>
          <w:lang w:val="lt-LT"/>
        </w:rPr>
        <w:t>febuksostato</w:t>
      </w:r>
      <w:proofErr w:type="spellEnd"/>
      <w:r w:rsidR="002E1A5C" w:rsidRPr="004A478C">
        <w:rPr>
          <w:lang w:val="lt-LT"/>
        </w:rPr>
        <w:t xml:space="preserve"> </w:t>
      </w:r>
      <w:r w:rsidRPr="004A478C">
        <w:rPr>
          <w:lang w:val="lt-LT"/>
        </w:rPr>
        <w:t>grupėje pagrindinė vertinamoji baigtis (</w:t>
      </w:r>
      <w:proofErr w:type="spellStart"/>
      <w:r w:rsidRPr="004A478C">
        <w:rPr>
          <w:lang w:val="lt-LT"/>
        </w:rPr>
        <w:t>sŠR</w:t>
      </w:r>
      <w:proofErr w:type="spellEnd"/>
      <w:r w:rsidRPr="004A478C">
        <w:rPr>
          <w:lang w:val="lt-LT"/>
        </w:rPr>
        <w:t xml:space="preserve"> &lt;6</w:t>
      </w:r>
      <w:r w:rsidR="00E87295" w:rsidRPr="004A478C">
        <w:rPr>
          <w:lang w:val="lt-LT"/>
        </w:rPr>
        <w:t> mg</w:t>
      </w:r>
      <w:r w:rsidRPr="004A478C">
        <w:rPr>
          <w:lang w:val="lt-LT"/>
        </w:rPr>
        <w:t xml:space="preserve">/dl bent trijų apsilankymų metu) </w:t>
      </w:r>
      <w:r w:rsidR="002E1A5C" w:rsidRPr="004A478C">
        <w:rPr>
          <w:lang w:val="lt-LT"/>
        </w:rPr>
        <w:t xml:space="preserve">nustatyta </w:t>
      </w:r>
      <w:r w:rsidRPr="004A478C">
        <w:rPr>
          <w:lang w:val="lt-LT"/>
        </w:rPr>
        <w:t>41</w:t>
      </w:r>
      <w:r w:rsidR="002E1A5C" w:rsidRPr="004A478C">
        <w:rPr>
          <w:lang w:val="lt-LT"/>
        </w:rPr>
        <w:t> </w:t>
      </w:r>
      <w:r w:rsidRPr="004A478C">
        <w:rPr>
          <w:lang w:val="lt-LT"/>
        </w:rPr>
        <w:t>% (80</w:t>
      </w:r>
      <w:r w:rsidR="00E87295" w:rsidRPr="004A478C">
        <w:rPr>
          <w:lang w:val="lt-LT"/>
        </w:rPr>
        <w:t> mg</w:t>
      </w:r>
      <w:r w:rsidRPr="004A478C">
        <w:rPr>
          <w:lang w:val="lt-LT"/>
        </w:rPr>
        <w:t xml:space="preserve"> per parą), 48</w:t>
      </w:r>
      <w:r w:rsidR="002E1A5C" w:rsidRPr="004A478C">
        <w:rPr>
          <w:lang w:val="lt-LT"/>
        </w:rPr>
        <w:t> </w:t>
      </w:r>
      <w:r w:rsidRPr="004A478C">
        <w:rPr>
          <w:lang w:val="lt-LT"/>
        </w:rPr>
        <w:t>% (120</w:t>
      </w:r>
      <w:r w:rsidR="00E87295" w:rsidRPr="004A478C">
        <w:rPr>
          <w:lang w:val="lt-LT"/>
        </w:rPr>
        <w:t> mg</w:t>
      </w:r>
      <w:r w:rsidRPr="004A478C">
        <w:rPr>
          <w:lang w:val="lt-LT"/>
        </w:rPr>
        <w:t xml:space="preserve"> per parą) ir 66</w:t>
      </w:r>
      <w:r w:rsidR="002E1A5C" w:rsidRPr="004A478C">
        <w:rPr>
          <w:lang w:val="lt-LT"/>
        </w:rPr>
        <w:t> </w:t>
      </w:r>
      <w:r w:rsidRPr="004A478C">
        <w:rPr>
          <w:lang w:val="lt-LT"/>
        </w:rPr>
        <w:t>% (240</w:t>
      </w:r>
      <w:r w:rsidR="00E87295" w:rsidRPr="004A478C">
        <w:rPr>
          <w:lang w:val="lt-LT"/>
        </w:rPr>
        <w:t> mg</w:t>
      </w:r>
      <w:r w:rsidRPr="004A478C">
        <w:rPr>
          <w:lang w:val="lt-LT"/>
        </w:rPr>
        <w:t xml:space="preserve"> per parą) pacientų, palyginti su 9</w:t>
      </w:r>
      <w:r w:rsidR="002E1A5C" w:rsidRPr="004A478C">
        <w:rPr>
          <w:lang w:val="lt-LT"/>
        </w:rPr>
        <w:t> </w:t>
      </w:r>
      <w:r w:rsidRPr="004A478C">
        <w:rPr>
          <w:lang w:val="lt-LT"/>
        </w:rPr>
        <w:t xml:space="preserve">% </w:t>
      </w:r>
      <w:proofErr w:type="spellStart"/>
      <w:r w:rsidRPr="004A478C">
        <w:rPr>
          <w:lang w:val="lt-LT"/>
        </w:rPr>
        <w:t>alopurinolio</w:t>
      </w:r>
      <w:proofErr w:type="spellEnd"/>
      <w:r w:rsidRPr="004A478C">
        <w:rPr>
          <w:lang w:val="lt-LT"/>
        </w:rPr>
        <w:t xml:space="preserve"> 300</w:t>
      </w:r>
      <w:r w:rsidR="00E87295" w:rsidRPr="004A478C">
        <w:rPr>
          <w:lang w:val="lt-LT"/>
        </w:rPr>
        <w:t> mg</w:t>
      </w:r>
      <w:r w:rsidR="00AB2D83" w:rsidRPr="004A478C">
        <w:rPr>
          <w:lang w:val="lt-LT"/>
        </w:rPr>
        <w:t xml:space="preserve"> arba </w:t>
      </w:r>
      <w:r w:rsidRPr="004A478C">
        <w:rPr>
          <w:lang w:val="lt-LT"/>
        </w:rPr>
        <w:t>100</w:t>
      </w:r>
      <w:r w:rsidR="00E87295" w:rsidRPr="004A478C">
        <w:rPr>
          <w:lang w:val="lt-LT"/>
        </w:rPr>
        <w:t> mg</w:t>
      </w:r>
      <w:r w:rsidRPr="004A478C">
        <w:rPr>
          <w:lang w:val="lt-LT"/>
        </w:rPr>
        <w:t xml:space="preserve"> per parą ir 0</w:t>
      </w:r>
      <w:r w:rsidR="002E1A5C" w:rsidRPr="004A478C">
        <w:rPr>
          <w:lang w:val="lt-LT"/>
        </w:rPr>
        <w:t> </w:t>
      </w:r>
      <w:r w:rsidRPr="004A478C">
        <w:rPr>
          <w:lang w:val="lt-LT"/>
        </w:rPr>
        <w:t xml:space="preserve">% placebo grupėmis. </w:t>
      </w:r>
    </w:p>
    <w:p w14:paraId="773F62C4" w14:textId="77777777" w:rsidR="00273470" w:rsidRPr="004A478C" w:rsidRDefault="00273470" w:rsidP="003B28E4">
      <w:pPr>
        <w:tabs>
          <w:tab w:val="left" w:pos="4680"/>
        </w:tabs>
        <w:spacing w:line="240" w:lineRule="auto"/>
        <w:rPr>
          <w:lang w:val="lt-LT"/>
        </w:rPr>
      </w:pPr>
      <w:r w:rsidRPr="004A478C">
        <w:rPr>
          <w:lang w:val="lt-LT"/>
        </w:rPr>
        <w:t xml:space="preserve"> </w:t>
      </w:r>
    </w:p>
    <w:p w14:paraId="55BCF12A" w14:textId="77777777" w:rsidR="00273470" w:rsidRPr="004A478C" w:rsidRDefault="00273470" w:rsidP="003B28E4">
      <w:pPr>
        <w:tabs>
          <w:tab w:val="left" w:pos="4680"/>
        </w:tabs>
        <w:spacing w:line="240" w:lineRule="auto"/>
        <w:ind w:left="2" w:right="397"/>
        <w:rPr>
          <w:lang w:val="lt-LT"/>
        </w:rPr>
      </w:pPr>
      <w:r w:rsidRPr="004A478C">
        <w:rPr>
          <w:lang w:val="lt-LT"/>
        </w:rPr>
        <w:t>CONFIRMS tyrime pasiekusių pagrindinę veiksmingumo vertinamąją baigtį (</w:t>
      </w:r>
      <w:proofErr w:type="spellStart"/>
      <w:r w:rsidRPr="004A478C">
        <w:rPr>
          <w:lang w:val="lt-LT"/>
        </w:rPr>
        <w:t>sŠR</w:t>
      </w:r>
      <w:proofErr w:type="spellEnd"/>
      <w:r w:rsidRPr="004A478C">
        <w:rPr>
          <w:lang w:val="lt-LT"/>
        </w:rPr>
        <w:t xml:space="preserve"> kiekį </w:t>
      </w:r>
      <w:r w:rsidRPr="004A478C">
        <w:rPr>
          <w:b/>
          <w:lang w:val="lt-LT"/>
        </w:rPr>
        <w:t xml:space="preserve">&lt; </w:t>
      </w:r>
      <w:r w:rsidRPr="004A478C">
        <w:rPr>
          <w:lang w:val="lt-LT"/>
        </w:rPr>
        <w:t>6,0</w:t>
      </w:r>
      <w:r w:rsidR="00E87295" w:rsidRPr="004A478C">
        <w:rPr>
          <w:lang w:val="lt-LT"/>
        </w:rPr>
        <w:t> mg</w:t>
      </w:r>
      <w:r w:rsidRPr="004A478C">
        <w:rPr>
          <w:lang w:val="lt-LT"/>
        </w:rPr>
        <w:t xml:space="preserve">/dl baigiamojo apsilankymo metu) pacientų, kurių šlapimo rūgšties </w:t>
      </w:r>
      <w:r w:rsidR="00AB2D83" w:rsidRPr="004A478C">
        <w:rPr>
          <w:lang w:val="lt-LT"/>
        </w:rPr>
        <w:t xml:space="preserve">pradinis </w:t>
      </w:r>
      <w:r w:rsidRPr="004A478C">
        <w:rPr>
          <w:lang w:val="lt-LT"/>
        </w:rPr>
        <w:t>kiekis kraujo serume buvo ≥10</w:t>
      </w:r>
      <w:r w:rsidR="00E87295" w:rsidRPr="004A478C">
        <w:rPr>
          <w:lang w:val="lt-LT"/>
        </w:rPr>
        <w:t> mg</w:t>
      </w:r>
      <w:r w:rsidRPr="004A478C">
        <w:rPr>
          <w:lang w:val="lt-LT"/>
        </w:rPr>
        <w:t xml:space="preserve">/dl, dalis </w:t>
      </w:r>
      <w:r w:rsidR="00AB2D83" w:rsidRPr="004B0C8F">
        <w:rPr>
          <w:szCs w:val="22"/>
          <w:lang w:val="lt-LT"/>
        </w:rPr>
        <w:t xml:space="preserve">atitinkamai </w:t>
      </w:r>
      <w:r w:rsidRPr="004A478C">
        <w:rPr>
          <w:lang w:val="lt-LT"/>
        </w:rPr>
        <w:t xml:space="preserve">buvo </w:t>
      </w:r>
      <w:r w:rsidR="00AB2D83" w:rsidRPr="004B0C8F">
        <w:rPr>
          <w:szCs w:val="22"/>
          <w:lang w:val="lt-LT"/>
        </w:rPr>
        <w:t>27 % (66/249) vartojusių 40 mg kartą per parą dozę</w:t>
      </w:r>
      <w:r w:rsidR="003D08A1" w:rsidRPr="004B0C8F">
        <w:rPr>
          <w:szCs w:val="22"/>
          <w:lang w:val="lt-LT"/>
        </w:rPr>
        <w:t>,</w:t>
      </w:r>
      <w:r w:rsidR="00AB2D83" w:rsidRPr="004A478C">
        <w:rPr>
          <w:lang w:val="lt-LT"/>
        </w:rPr>
        <w:t xml:space="preserve"> </w:t>
      </w:r>
      <w:r w:rsidRPr="004A478C">
        <w:rPr>
          <w:lang w:val="lt-LT"/>
        </w:rPr>
        <w:t>49</w:t>
      </w:r>
      <w:r w:rsidR="00AB2D83" w:rsidRPr="004A478C">
        <w:rPr>
          <w:lang w:val="lt-LT"/>
        </w:rPr>
        <w:t> </w:t>
      </w:r>
      <w:r w:rsidRPr="004A478C">
        <w:rPr>
          <w:lang w:val="lt-LT"/>
        </w:rPr>
        <w:t xml:space="preserve">% (125/254) vartojusių </w:t>
      </w:r>
      <w:proofErr w:type="spellStart"/>
      <w:r w:rsidRPr="004A478C">
        <w:rPr>
          <w:lang w:val="lt-LT"/>
        </w:rPr>
        <w:t>febuksostato</w:t>
      </w:r>
      <w:proofErr w:type="spellEnd"/>
      <w:r w:rsidRPr="004A478C">
        <w:rPr>
          <w:lang w:val="lt-LT"/>
        </w:rPr>
        <w:t xml:space="preserve"> 80</w:t>
      </w:r>
      <w:r w:rsidR="00E87295" w:rsidRPr="004A478C">
        <w:rPr>
          <w:lang w:val="lt-LT"/>
        </w:rPr>
        <w:t> mg</w:t>
      </w:r>
      <w:r w:rsidRPr="004A478C">
        <w:rPr>
          <w:lang w:val="lt-LT"/>
        </w:rPr>
        <w:t xml:space="preserve"> dozę kartą per parą grupėje ir 31</w:t>
      </w:r>
      <w:r w:rsidR="00AB2D83" w:rsidRPr="004A478C">
        <w:rPr>
          <w:lang w:val="lt-LT"/>
        </w:rPr>
        <w:t> </w:t>
      </w:r>
      <w:r w:rsidRPr="004A478C">
        <w:rPr>
          <w:lang w:val="lt-LT"/>
        </w:rPr>
        <w:t xml:space="preserve">% (72/230) vartojusių </w:t>
      </w:r>
      <w:proofErr w:type="spellStart"/>
      <w:r w:rsidRPr="004A478C">
        <w:rPr>
          <w:lang w:val="lt-LT"/>
        </w:rPr>
        <w:t>alopurinolio</w:t>
      </w:r>
      <w:proofErr w:type="spellEnd"/>
      <w:r w:rsidRPr="004A478C">
        <w:rPr>
          <w:lang w:val="lt-LT"/>
        </w:rPr>
        <w:t xml:space="preserve"> 300</w:t>
      </w:r>
      <w:r w:rsidR="00AB2D83" w:rsidRPr="004A478C">
        <w:rPr>
          <w:lang w:val="lt-LT"/>
        </w:rPr>
        <w:t xml:space="preserve"> arba </w:t>
      </w:r>
      <w:r w:rsidRPr="004A478C">
        <w:rPr>
          <w:lang w:val="lt-LT"/>
        </w:rPr>
        <w:t>200</w:t>
      </w:r>
      <w:r w:rsidR="00E87295" w:rsidRPr="004A478C">
        <w:rPr>
          <w:lang w:val="lt-LT"/>
        </w:rPr>
        <w:t> mg</w:t>
      </w:r>
      <w:r w:rsidRPr="004A478C">
        <w:rPr>
          <w:lang w:val="lt-LT"/>
        </w:rPr>
        <w:t xml:space="preserve"> dozę kartą per parą grupėje. </w:t>
      </w:r>
    </w:p>
    <w:p w14:paraId="4C7CAAC1" w14:textId="77777777" w:rsidR="00273470" w:rsidRPr="004A478C" w:rsidRDefault="00273470" w:rsidP="003B28E4">
      <w:pPr>
        <w:tabs>
          <w:tab w:val="left" w:pos="4680"/>
        </w:tabs>
        <w:spacing w:line="240" w:lineRule="auto"/>
        <w:rPr>
          <w:lang w:val="lt-LT"/>
        </w:rPr>
      </w:pPr>
      <w:r w:rsidRPr="004A478C">
        <w:rPr>
          <w:lang w:val="lt-LT"/>
        </w:rPr>
        <w:t xml:space="preserve"> </w:t>
      </w:r>
    </w:p>
    <w:p w14:paraId="65AF876D" w14:textId="77777777" w:rsidR="00273470" w:rsidRPr="004A478C" w:rsidRDefault="00273470" w:rsidP="003B28E4">
      <w:pPr>
        <w:tabs>
          <w:tab w:val="left" w:pos="4680"/>
        </w:tabs>
        <w:spacing w:line="240" w:lineRule="auto"/>
        <w:ind w:left="-5"/>
        <w:rPr>
          <w:lang w:val="lt-LT"/>
        </w:rPr>
      </w:pPr>
      <w:r w:rsidRPr="004A478C">
        <w:rPr>
          <w:i/>
          <w:lang w:val="lt-LT"/>
        </w:rPr>
        <w:t xml:space="preserve">Klinikiniai rezultatai: pacientų, kuriems reikalingas podagros priepuolių gydymas  </w:t>
      </w:r>
    </w:p>
    <w:p w14:paraId="19EB4E38" w14:textId="77777777" w:rsidR="00273470" w:rsidRPr="004A478C" w:rsidRDefault="00273470" w:rsidP="003B28E4">
      <w:pPr>
        <w:tabs>
          <w:tab w:val="left" w:pos="4680"/>
        </w:tabs>
        <w:spacing w:line="240" w:lineRule="auto"/>
        <w:ind w:left="2" w:right="397"/>
        <w:rPr>
          <w:lang w:val="lt-LT"/>
        </w:rPr>
      </w:pPr>
      <w:r w:rsidRPr="004A478C">
        <w:rPr>
          <w:lang w:val="lt-LT"/>
        </w:rPr>
        <w:t xml:space="preserve">APEX tyrimas: 8 savaičių trukmės profilaktikos laikotarpiu </w:t>
      </w:r>
      <w:proofErr w:type="spellStart"/>
      <w:r w:rsidRPr="004A478C">
        <w:rPr>
          <w:lang w:val="lt-LT"/>
        </w:rPr>
        <w:t>febuksostato</w:t>
      </w:r>
      <w:proofErr w:type="spellEnd"/>
      <w:r w:rsidRPr="004A478C">
        <w:rPr>
          <w:lang w:val="lt-LT"/>
        </w:rPr>
        <w:t xml:space="preserve"> 120</w:t>
      </w:r>
      <w:r w:rsidR="00E87295" w:rsidRPr="004A478C">
        <w:rPr>
          <w:lang w:val="lt-LT"/>
        </w:rPr>
        <w:t> mg</w:t>
      </w:r>
      <w:r w:rsidRPr="004A478C">
        <w:rPr>
          <w:lang w:val="lt-LT"/>
        </w:rPr>
        <w:t xml:space="preserve"> grupėje didesnei daliai pacientų (36</w:t>
      </w:r>
      <w:r w:rsidR="00AB2D83" w:rsidRPr="004A478C">
        <w:rPr>
          <w:lang w:val="lt-LT"/>
        </w:rPr>
        <w:t> </w:t>
      </w:r>
      <w:r w:rsidRPr="004A478C">
        <w:rPr>
          <w:lang w:val="lt-LT"/>
        </w:rPr>
        <w:t xml:space="preserve">%) reikėjo gydyti podagros priepuolius palyginti su gydytų </w:t>
      </w:r>
      <w:proofErr w:type="spellStart"/>
      <w:r w:rsidRPr="004A478C">
        <w:rPr>
          <w:lang w:val="lt-LT"/>
        </w:rPr>
        <w:t>febuksostato</w:t>
      </w:r>
      <w:proofErr w:type="spellEnd"/>
      <w:r w:rsidRPr="004A478C">
        <w:rPr>
          <w:lang w:val="lt-LT"/>
        </w:rPr>
        <w:t xml:space="preserve"> 80</w:t>
      </w:r>
      <w:r w:rsidR="00E87295" w:rsidRPr="004A478C">
        <w:rPr>
          <w:lang w:val="lt-LT"/>
        </w:rPr>
        <w:t> mg</w:t>
      </w:r>
      <w:r w:rsidRPr="004A478C">
        <w:rPr>
          <w:lang w:val="lt-LT"/>
        </w:rPr>
        <w:t xml:space="preserve"> doze grupe (28</w:t>
      </w:r>
      <w:r w:rsidR="00AB2D83" w:rsidRPr="004A478C">
        <w:rPr>
          <w:lang w:val="lt-LT"/>
        </w:rPr>
        <w:t> </w:t>
      </w:r>
      <w:r w:rsidRPr="004A478C">
        <w:rPr>
          <w:lang w:val="lt-LT"/>
        </w:rPr>
        <w:t>%), 300</w:t>
      </w:r>
      <w:r w:rsidR="00E87295" w:rsidRPr="004A478C">
        <w:rPr>
          <w:lang w:val="lt-LT"/>
        </w:rPr>
        <w:t> mg</w:t>
      </w:r>
      <w:r w:rsidRPr="004A478C">
        <w:rPr>
          <w:lang w:val="lt-LT"/>
        </w:rPr>
        <w:t xml:space="preserve"> </w:t>
      </w:r>
      <w:proofErr w:type="spellStart"/>
      <w:r w:rsidRPr="004A478C">
        <w:rPr>
          <w:lang w:val="lt-LT"/>
        </w:rPr>
        <w:t>alopurinolio</w:t>
      </w:r>
      <w:proofErr w:type="spellEnd"/>
      <w:r w:rsidRPr="004A478C">
        <w:rPr>
          <w:lang w:val="lt-LT"/>
        </w:rPr>
        <w:t xml:space="preserve"> doze (23</w:t>
      </w:r>
      <w:r w:rsidR="00AB2D83" w:rsidRPr="004A478C">
        <w:rPr>
          <w:lang w:val="lt-LT"/>
        </w:rPr>
        <w:t> </w:t>
      </w:r>
      <w:r w:rsidRPr="004A478C">
        <w:rPr>
          <w:lang w:val="lt-LT"/>
        </w:rPr>
        <w:t>%) ir placebu (20</w:t>
      </w:r>
      <w:r w:rsidR="00AB2D83" w:rsidRPr="004A478C">
        <w:rPr>
          <w:lang w:val="lt-LT"/>
        </w:rPr>
        <w:t> </w:t>
      </w:r>
      <w:r w:rsidRPr="004A478C">
        <w:rPr>
          <w:lang w:val="lt-LT"/>
        </w:rPr>
        <w:t>%). Priepuoliai dažnėjo profilaktikos laikotarpiu, po to palengva retėjo. Tarp 8 ir 28 savaitės priepuoliai buvo gydyti 46-55</w:t>
      </w:r>
      <w:r w:rsidR="00AB2D83" w:rsidRPr="004A478C">
        <w:rPr>
          <w:lang w:val="lt-LT"/>
        </w:rPr>
        <w:t> </w:t>
      </w:r>
      <w:r w:rsidRPr="004A478C">
        <w:rPr>
          <w:lang w:val="lt-LT"/>
        </w:rPr>
        <w:t>% pacientų. Podagros priepuoliai per paskutines 4 tyrimo savaites</w:t>
      </w:r>
      <w:r w:rsidR="00AB2D83" w:rsidRPr="004A478C">
        <w:rPr>
          <w:lang w:val="lt-LT"/>
        </w:rPr>
        <w:t xml:space="preserve"> </w:t>
      </w:r>
      <w:r w:rsidRPr="004A478C">
        <w:rPr>
          <w:lang w:val="lt-LT"/>
        </w:rPr>
        <w:t>(24-28 savaitė) stebėti 15</w:t>
      </w:r>
      <w:r w:rsidR="00AB2D83" w:rsidRPr="004A478C">
        <w:rPr>
          <w:lang w:val="lt-LT"/>
        </w:rPr>
        <w:t> </w:t>
      </w:r>
      <w:r w:rsidRPr="004A478C">
        <w:rPr>
          <w:lang w:val="lt-LT"/>
        </w:rPr>
        <w:t xml:space="preserve">% </w:t>
      </w:r>
    </w:p>
    <w:p w14:paraId="73248A37" w14:textId="77777777" w:rsidR="00273470" w:rsidRPr="004A478C" w:rsidRDefault="00273470" w:rsidP="003B28E4">
      <w:pPr>
        <w:tabs>
          <w:tab w:val="left" w:pos="4680"/>
        </w:tabs>
        <w:spacing w:line="240" w:lineRule="auto"/>
        <w:ind w:left="2" w:right="397"/>
        <w:rPr>
          <w:lang w:val="lt-LT"/>
        </w:rPr>
      </w:pPr>
      <w:r w:rsidRPr="004A478C">
        <w:rPr>
          <w:lang w:val="lt-LT"/>
        </w:rPr>
        <w:t>(</w:t>
      </w:r>
      <w:proofErr w:type="spellStart"/>
      <w:r w:rsidRPr="004A478C">
        <w:rPr>
          <w:lang w:val="lt-LT"/>
        </w:rPr>
        <w:t>febuksostato</w:t>
      </w:r>
      <w:proofErr w:type="spellEnd"/>
      <w:r w:rsidRPr="004A478C">
        <w:rPr>
          <w:lang w:val="lt-LT"/>
        </w:rPr>
        <w:t xml:space="preserve"> 80</w:t>
      </w:r>
      <w:r w:rsidR="00E87295" w:rsidRPr="004A478C">
        <w:rPr>
          <w:lang w:val="lt-LT"/>
        </w:rPr>
        <w:t> mg</w:t>
      </w:r>
      <w:r w:rsidRPr="004A478C">
        <w:rPr>
          <w:lang w:val="lt-LT"/>
        </w:rPr>
        <w:t xml:space="preserve"> ir 120</w:t>
      </w:r>
      <w:r w:rsidR="00E87295" w:rsidRPr="004A478C">
        <w:rPr>
          <w:lang w:val="lt-LT"/>
        </w:rPr>
        <w:t> mg</w:t>
      </w:r>
      <w:r w:rsidRPr="004A478C">
        <w:rPr>
          <w:lang w:val="lt-LT"/>
        </w:rPr>
        <w:t xml:space="preserve"> dozės), 14</w:t>
      </w:r>
      <w:r w:rsidR="00AB2D83" w:rsidRPr="004A478C">
        <w:rPr>
          <w:lang w:val="lt-LT"/>
        </w:rPr>
        <w:t> </w:t>
      </w:r>
      <w:r w:rsidRPr="004A478C">
        <w:rPr>
          <w:lang w:val="lt-LT"/>
        </w:rPr>
        <w:t>% (</w:t>
      </w:r>
      <w:proofErr w:type="spellStart"/>
      <w:r w:rsidRPr="004A478C">
        <w:rPr>
          <w:lang w:val="lt-LT"/>
        </w:rPr>
        <w:t>alopurinolio</w:t>
      </w:r>
      <w:proofErr w:type="spellEnd"/>
      <w:r w:rsidRPr="004A478C">
        <w:rPr>
          <w:lang w:val="lt-LT"/>
        </w:rPr>
        <w:t xml:space="preserve"> 300</w:t>
      </w:r>
      <w:r w:rsidR="00E87295" w:rsidRPr="004A478C">
        <w:rPr>
          <w:lang w:val="lt-LT"/>
        </w:rPr>
        <w:t> mg</w:t>
      </w:r>
      <w:r w:rsidRPr="004A478C">
        <w:rPr>
          <w:lang w:val="lt-LT"/>
        </w:rPr>
        <w:t xml:space="preserve"> dozė), 20</w:t>
      </w:r>
      <w:r w:rsidR="00AB2D83" w:rsidRPr="004A478C">
        <w:rPr>
          <w:lang w:val="lt-LT"/>
        </w:rPr>
        <w:t> </w:t>
      </w:r>
      <w:r w:rsidRPr="004A478C">
        <w:rPr>
          <w:lang w:val="lt-LT"/>
        </w:rPr>
        <w:t xml:space="preserve">% (placebo) pacientų. </w:t>
      </w:r>
    </w:p>
    <w:p w14:paraId="5BD751F2" w14:textId="77777777" w:rsidR="00273470" w:rsidRPr="004A478C" w:rsidRDefault="00273470" w:rsidP="003B28E4">
      <w:pPr>
        <w:tabs>
          <w:tab w:val="left" w:pos="4680"/>
        </w:tabs>
        <w:spacing w:line="240" w:lineRule="auto"/>
        <w:rPr>
          <w:lang w:val="lt-LT"/>
        </w:rPr>
      </w:pPr>
      <w:r w:rsidRPr="004A478C">
        <w:rPr>
          <w:lang w:val="lt-LT"/>
        </w:rPr>
        <w:t xml:space="preserve"> </w:t>
      </w:r>
    </w:p>
    <w:p w14:paraId="6E6F9564" w14:textId="77777777" w:rsidR="00273470" w:rsidRPr="004A478C" w:rsidRDefault="00273470" w:rsidP="003B28E4">
      <w:pPr>
        <w:tabs>
          <w:tab w:val="left" w:pos="4680"/>
        </w:tabs>
        <w:spacing w:line="240" w:lineRule="auto"/>
        <w:ind w:left="2" w:right="397"/>
        <w:rPr>
          <w:lang w:val="lt-LT"/>
        </w:rPr>
      </w:pPr>
      <w:r w:rsidRPr="004A478C">
        <w:rPr>
          <w:lang w:val="lt-LT"/>
        </w:rPr>
        <w:t xml:space="preserve">FACT tyrimas: 8 savaičių trukmės profilaktikos laikotarpiu </w:t>
      </w:r>
      <w:proofErr w:type="spellStart"/>
      <w:r w:rsidRPr="004A478C">
        <w:rPr>
          <w:lang w:val="lt-LT"/>
        </w:rPr>
        <w:t>febuksostato</w:t>
      </w:r>
      <w:proofErr w:type="spellEnd"/>
      <w:r w:rsidRPr="004A478C">
        <w:rPr>
          <w:lang w:val="lt-LT"/>
        </w:rPr>
        <w:t xml:space="preserve"> 120</w:t>
      </w:r>
      <w:r w:rsidR="00E87295" w:rsidRPr="004A478C">
        <w:rPr>
          <w:lang w:val="lt-LT"/>
        </w:rPr>
        <w:t> mg</w:t>
      </w:r>
      <w:r w:rsidRPr="004A478C">
        <w:rPr>
          <w:lang w:val="lt-LT"/>
        </w:rPr>
        <w:t xml:space="preserve"> grupėje didesnei daliai pacientų (36</w:t>
      </w:r>
      <w:r w:rsidR="00AB2D83" w:rsidRPr="004A478C">
        <w:rPr>
          <w:lang w:val="lt-LT"/>
        </w:rPr>
        <w:t> </w:t>
      </w:r>
      <w:r w:rsidRPr="004A478C">
        <w:rPr>
          <w:lang w:val="lt-LT"/>
        </w:rPr>
        <w:t xml:space="preserve">%) reikėjo gydyti podagros priepuolius palyginti su gydytų </w:t>
      </w:r>
      <w:proofErr w:type="spellStart"/>
      <w:r w:rsidRPr="004A478C">
        <w:rPr>
          <w:lang w:val="lt-LT"/>
        </w:rPr>
        <w:t>febuksostato</w:t>
      </w:r>
      <w:proofErr w:type="spellEnd"/>
      <w:r w:rsidRPr="004A478C">
        <w:rPr>
          <w:lang w:val="lt-LT"/>
        </w:rPr>
        <w:t xml:space="preserve"> 80</w:t>
      </w:r>
      <w:r w:rsidR="00E87295" w:rsidRPr="004A478C">
        <w:rPr>
          <w:lang w:val="lt-LT"/>
        </w:rPr>
        <w:t> mg</w:t>
      </w:r>
      <w:r w:rsidRPr="004A478C">
        <w:rPr>
          <w:lang w:val="lt-LT"/>
        </w:rPr>
        <w:t xml:space="preserve"> </w:t>
      </w:r>
      <w:r w:rsidRPr="004A478C">
        <w:rPr>
          <w:lang w:val="lt-LT"/>
        </w:rPr>
        <w:lastRenderedPageBreak/>
        <w:t>doze grupe (22</w:t>
      </w:r>
      <w:r w:rsidR="00AB2D83" w:rsidRPr="004A478C">
        <w:rPr>
          <w:lang w:val="lt-LT"/>
        </w:rPr>
        <w:t> </w:t>
      </w:r>
      <w:r w:rsidRPr="004A478C">
        <w:rPr>
          <w:lang w:val="lt-LT"/>
        </w:rPr>
        <w:t>%), 300</w:t>
      </w:r>
      <w:r w:rsidR="00E87295" w:rsidRPr="004A478C">
        <w:rPr>
          <w:lang w:val="lt-LT"/>
        </w:rPr>
        <w:t> mg</w:t>
      </w:r>
      <w:r w:rsidRPr="004A478C">
        <w:rPr>
          <w:lang w:val="lt-LT"/>
        </w:rPr>
        <w:t xml:space="preserve"> </w:t>
      </w:r>
      <w:proofErr w:type="spellStart"/>
      <w:r w:rsidRPr="004A478C">
        <w:rPr>
          <w:lang w:val="lt-LT"/>
        </w:rPr>
        <w:t>alopurinolio</w:t>
      </w:r>
      <w:proofErr w:type="spellEnd"/>
      <w:r w:rsidRPr="004A478C">
        <w:rPr>
          <w:lang w:val="lt-LT"/>
        </w:rPr>
        <w:t xml:space="preserve"> doze (21</w:t>
      </w:r>
      <w:r w:rsidR="00AB2D83" w:rsidRPr="004A478C">
        <w:rPr>
          <w:lang w:val="lt-LT"/>
        </w:rPr>
        <w:t> </w:t>
      </w:r>
      <w:r w:rsidRPr="004A478C">
        <w:rPr>
          <w:lang w:val="lt-LT"/>
        </w:rPr>
        <w:t>%). Po 8 savaičių profilaktikos laikotarpio priepuolių dažnumas padidėjo, po to palengva retėjo (8-52 savaitę podagros priepuoliai gydyti nuo 64</w:t>
      </w:r>
      <w:r w:rsidR="00AB2D83" w:rsidRPr="004A478C">
        <w:rPr>
          <w:lang w:val="lt-LT"/>
        </w:rPr>
        <w:t> </w:t>
      </w:r>
      <w:r w:rsidRPr="004A478C">
        <w:rPr>
          <w:lang w:val="lt-LT"/>
        </w:rPr>
        <w:t>% iki 52</w:t>
      </w:r>
      <w:r w:rsidR="00AB2D83" w:rsidRPr="004A478C">
        <w:rPr>
          <w:lang w:val="lt-LT"/>
        </w:rPr>
        <w:t> </w:t>
      </w:r>
      <w:r w:rsidRPr="004A478C">
        <w:rPr>
          <w:lang w:val="lt-LT"/>
        </w:rPr>
        <w:t>% pacientų). Podagros priepuoliai per paskutines 4 tyrimo savaites (49-52 savaitė) stebėti 6-8</w:t>
      </w:r>
      <w:r w:rsidR="00AB2D83" w:rsidRPr="004A478C">
        <w:rPr>
          <w:lang w:val="lt-LT"/>
        </w:rPr>
        <w:t> </w:t>
      </w:r>
      <w:r w:rsidRPr="004A478C">
        <w:rPr>
          <w:lang w:val="lt-LT"/>
        </w:rPr>
        <w:t>% (</w:t>
      </w:r>
      <w:proofErr w:type="spellStart"/>
      <w:r w:rsidRPr="004A478C">
        <w:rPr>
          <w:lang w:val="lt-LT"/>
        </w:rPr>
        <w:t>febuksostato</w:t>
      </w:r>
      <w:proofErr w:type="spellEnd"/>
      <w:r w:rsidRPr="004A478C">
        <w:rPr>
          <w:lang w:val="lt-LT"/>
        </w:rPr>
        <w:t xml:space="preserve"> 80</w:t>
      </w:r>
      <w:r w:rsidR="00E87295" w:rsidRPr="004A478C">
        <w:rPr>
          <w:lang w:val="lt-LT"/>
        </w:rPr>
        <w:t> mg</w:t>
      </w:r>
      <w:r w:rsidRPr="004A478C">
        <w:rPr>
          <w:lang w:val="lt-LT"/>
        </w:rPr>
        <w:t xml:space="preserve"> ir 120</w:t>
      </w:r>
      <w:r w:rsidR="00E87295" w:rsidRPr="004A478C">
        <w:rPr>
          <w:lang w:val="lt-LT"/>
        </w:rPr>
        <w:t> mg</w:t>
      </w:r>
      <w:r w:rsidRPr="004A478C">
        <w:rPr>
          <w:lang w:val="lt-LT"/>
        </w:rPr>
        <w:t xml:space="preserve"> dozės), 11</w:t>
      </w:r>
      <w:r w:rsidR="00AB2D83" w:rsidRPr="004A478C">
        <w:rPr>
          <w:lang w:val="lt-LT"/>
        </w:rPr>
        <w:t> </w:t>
      </w:r>
      <w:r w:rsidRPr="004A478C">
        <w:rPr>
          <w:lang w:val="lt-LT"/>
        </w:rPr>
        <w:t>% (</w:t>
      </w:r>
      <w:proofErr w:type="spellStart"/>
      <w:r w:rsidRPr="004A478C">
        <w:rPr>
          <w:lang w:val="lt-LT"/>
        </w:rPr>
        <w:t>alopurinolio</w:t>
      </w:r>
      <w:proofErr w:type="spellEnd"/>
      <w:r w:rsidRPr="004A478C">
        <w:rPr>
          <w:lang w:val="lt-LT"/>
        </w:rPr>
        <w:t xml:space="preserve"> 300</w:t>
      </w:r>
      <w:r w:rsidR="00E87295" w:rsidRPr="004A478C">
        <w:rPr>
          <w:lang w:val="lt-LT"/>
        </w:rPr>
        <w:t> mg</w:t>
      </w:r>
      <w:r w:rsidRPr="004A478C">
        <w:rPr>
          <w:lang w:val="lt-LT"/>
        </w:rPr>
        <w:t xml:space="preserve"> dozė) pacientų. </w:t>
      </w:r>
    </w:p>
    <w:p w14:paraId="49C30D6C" w14:textId="77777777" w:rsidR="00273470" w:rsidRPr="004A478C" w:rsidRDefault="00273470" w:rsidP="003B28E4">
      <w:pPr>
        <w:tabs>
          <w:tab w:val="left" w:pos="4680"/>
        </w:tabs>
        <w:spacing w:line="240" w:lineRule="auto"/>
        <w:rPr>
          <w:lang w:val="lt-LT"/>
        </w:rPr>
      </w:pPr>
      <w:r w:rsidRPr="004A478C">
        <w:rPr>
          <w:lang w:val="lt-LT"/>
        </w:rPr>
        <w:t xml:space="preserve"> </w:t>
      </w:r>
    </w:p>
    <w:p w14:paraId="5AE6B7E2" w14:textId="77777777" w:rsidR="00273470" w:rsidRPr="004A478C" w:rsidRDefault="00273470" w:rsidP="003B28E4">
      <w:pPr>
        <w:tabs>
          <w:tab w:val="left" w:pos="4680"/>
        </w:tabs>
        <w:spacing w:line="240" w:lineRule="auto"/>
        <w:ind w:left="2" w:right="641"/>
        <w:rPr>
          <w:lang w:val="lt-LT"/>
        </w:rPr>
      </w:pPr>
      <w:r w:rsidRPr="004A478C">
        <w:rPr>
          <w:lang w:val="lt-LT"/>
        </w:rPr>
        <w:t>Pacientų, kuriems reikėjo gydyti podagros priepuolius (APEX ir FACT tyrimų metu), santykis buvo mažesnis grupėse, kuriose pradėjus gydymą pacientams šlapimo rūgšties kiekis serume sumažėjo &lt; 6,0</w:t>
      </w:r>
      <w:r w:rsidR="00E87295" w:rsidRPr="004A478C">
        <w:rPr>
          <w:lang w:val="lt-LT"/>
        </w:rPr>
        <w:t> mg</w:t>
      </w:r>
      <w:r w:rsidRPr="004A478C">
        <w:rPr>
          <w:lang w:val="lt-LT"/>
        </w:rPr>
        <w:t>/dl, &lt; 5,0</w:t>
      </w:r>
      <w:r w:rsidR="00E87295" w:rsidRPr="004A478C">
        <w:rPr>
          <w:lang w:val="lt-LT"/>
        </w:rPr>
        <w:t> mg</w:t>
      </w:r>
      <w:r w:rsidRPr="004A478C">
        <w:rPr>
          <w:lang w:val="lt-LT"/>
        </w:rPr>
        <w:t>/dl arba &lt; 4,0</w:t>
      </w:r>
      <w:r w:rsidR="00E87295" w:rsidRPr="004A478C">
        <w:rPr>
          <w:lang w:val="lt-LT"/>
        </w:rPr>
        <w:t> mg</w:t>
      </w:r>
      <w:r w:rsidRPr="004A478C">
        <w:rPr>
          <w:lang w:val="lt-LT"/>
        </w:rPr>
        <w:t>/dl, palyginti su grupe, kurioje pradėjus gydymą pacientams šlapimo rūgšties kiekis serume sumažėjo ≥ 6,0</w:t>
      </w:r>
      <w:r w:rsidR="00E87295" w:rsidRPr="004A478C">
        <w:rPr>
          <w:lang w:val="lt-LT"/>
        </w:rPr>
        <w:t> mg</w:t>
      </w:r>
      <w:r w:rsidRPr="004A478C">
        <w:rPr>
          <w:lang w:val="lt-LT"/>
        </w:rPr>
        <w:t xml:space="preserve">/dl per paskutines 32 gydymo periodo savaites (intervalais nuo 20 savaitės iki 24 savaitės ir nuo 49 savaitės iki 52 savaitės). </w:t>
      </w:r>
    </w:p>
    <w:p w14:paraId="60293629" w14:textId="77777777" w:rsidR="00273470" w:rsidRPr="004A478C" w:rsidRDefault="00273470" w:rsidP="003B28E4">
      <w:pPr>
        <w:tabs>
          <w:tab w:val="left" w:pos="4680"/>
        </w:tabs>
        <w:spacing w:line="240" w:lineRule="auto"/>
        <w:rPr>
          <w:lang w:val="lt-LT"/>
        </w:rPr>
      </w:pPr>
      <w:r w:rsidRPr="004A478C">
        <w:rPr>
          <w:lang w:val="lt-LT"/>
        </w:rPr>
        <w:t xml:space="preserve"> </w:t>
      </w:r>
    </w:p>
    <w:p w14:paraId="280FB3AA" w14:textId="77777777" w:rsidR="00273470" w:rsidRPr="004A478C" w:rsidRDefault="00273470" w:rsidP="003B28E4">
      <w:pPr>
        <w:tabs>
          <w:tab w:val="left" w:pos="4680"/>
        </w:tabs>
        <w:spacing w:line="240" w:lineRule="auto"/>
        <w:ind w:left="2" w:right="397"/>
        <w:rPr>
          <w:lang w:val="lt-LT"/>
        </w:rPr>
      </w:pPr>
      <w:r w:rsidRPr="004A478C">
        <w:rPr>
          <w:lang w:val="lt-LT"/>
        </w:rPr>
        <w:t>CONFIRMS tyrimo metu dalis pacientų, kuriems reikėjo gydyti podagros paūmėjimą (nuo pirmos dienos iki 6 mėnesio imtinai), sudarė 31</w:t>
      </w:r>
      <w:r w:rsidR="00A42455" w:rsidRPr="004A478C">
        <w:rPr>
          <w:lang w:val="lt-LT"/>
        </w:rPr>
        <w:t> </w:t>
      </w:r>
      <w:r w:rsidRPr="004A478C">
        <w:rPr>
          <w:lang w:val="lt-LT"/>
        </w:rPr>
        <w:t xml:space="preserve">% </w:t>
      </w:r>
      <w:proofErr w:type="spellStart"/>
      <w:r w:rsidRPr="004A478C">
        <w:rPr>
          <w:lang w:val="lt-LT"/>
        </w:rPr>
        <w:t>febuksostato</w:t>
      </w:r>
      <w:proofErr w:type="spellEnd"/>
      <w:r w:rsidRPr="004A478C">
        <w:rPr>
          <w:lang w:val="lt-LT"/>
        </w:rPr>
        <w:t xml:space="preserve"> 80</w:t>
      </w:r>
      <w:r w:rsidR="00E87295" w:rsidRPr="004A478C">
        <w:rPr>
          <w:lang w:val="lt-LT"/>
        </w:rPr>
        <w:t> mg</w:t>
      </w:r>
      <w:r w:rsidRPr="004A478C">
        <w:rPr>
          <w:lang w:val="lt-LT"/>
        </w:rPr>
        <w:t xml:space="preserve"> dozės grupėje ir 25</w:t>
      </w:r>
      <w:r w:rsidR="00A42455" w:rsidRPr="004A478C">
        <w:rPr>
          <w:lang w:val="lt-LT"/>
        </w:rPr>
        <w:t> </w:t>
      </w:r>
      <w:r w:rsidRPr="004A478C">
        <w:rPr>
          <w:lang w:val="lt-LT"/>
        </w:rPr>
        <w:t xml:space="preserve">% </w:t>
      </w:r>
      <w:proofErr w:type="spellStart"/>
      <w:r w:rsidRPr="004A478C">
        <w:rPr>
          <w:lang w:val="lt-LT"/>
        </w:rPr>
        <w:t>alopurinolio</w:t>
      </w:r>
      <w:proofErr w:type="spellEnd"/>
      <w:r w:rsidRPr="004A478C">
        <w:rPr>
          <w:lang w:val="lt-LT"/>
        </w:rPr>
        <w:t xml:space="preserve"> grupėje. Podagros paūmėjimo gydymo dažnumas pacientų, vartojusių </w:t>
      </w:r>
      <w:proofErr w:type="spellStart"/>
      <w:r w:rsidRPr="004A478C">
        <w:rPr>
          <w:lang w:val="lt-LT"/>
        </w:rPr>
        <w:t>febuksostato</w:t>
      </w:r>
      <w:proofErr w:type="spellEnd"/>
      <w:r w:rsidRPr="004A478C">
        <w:rPr>
          <w:lang w:val="lt-LT"/>
        </w:rPr>
        <w:t xml:space="preserve"> 80</w:t>
      </w:r>
      <w:r w:rsidR="00E87295" w:rsidRPr="004A478C">
        <w:rPr>
          <w:lang w:val="lt-LT"/>
        </w:rPr>
        <w:t> mg</w:t>
      </w:r>
      <w:r w:rsidRPr="004A478C">
        <w:rPr>
          <w:lang w:val="lt-LT"/>
        </w:rPr>
        <w:t xml:space="preserve"> ir 40</w:t>
      </w:r>
      <w:r w:rsidR="00E87295" w:rsidRPr="004A478C">
        <w:rPr>
          <w:lang w:val="lt-LT"/>
        </w:rPr>
        <w:t> mg</w:t>
      </w:r>
      <w:r w:rsidRPr="004A478C">
        <w:rPr>
          <w:lang w:val="lt-LT"/>
        </w:rPr>
        <w:t xml:space="preserve"> dozes, grupėse nesiskyrė. </w:t>
      </w:r>
    </w:p>
    <w:p w14:paraId="7D6C4264" w14:textId="77777777" w:rsidR="00273470" w:rsidRPr="004A478C" w:rsidRDefault="00273470" w:rsidP="003B28E4">
      <w:pPr>
        <w:tabs>
          <w:tab w:val="left" w:pos="4680"/>
        </w:tabs>
        <w:spacing w:line="240" w:lineRule="auto"/>
        <w:rPr>
          <w:lang w:val="lt-LT"/>
        </w:rPr>
      </w:pPr>
      <w:r w:rsidRPr="004A478C">
        <w:rPr>
          <w:lang w:val="lt-LT"/>
        </w:rPr>
        <w:t xml:space="preserve"> </w:t>
      </w:r>
    </w:p>
    <w:p w14:paraId="3D3BFB07" w14:textId="77777777" w:rsidR="00273470" w:rsidRPr="004A478C" w:rsidRDefault="00273470" w:rsidP="003B28E4">
      <w:pPr>
        <w:tabs>
          <w:tab w:val="left" w:pos="4680"/>
        </w:tabs>
        <w:spacing w:line="240" w:lineRule="auto"/>
        <w:ind w:left="-5"/>
        <w:rPr>
          <w:lang w:val="lt-LT"/>
        </w:rPr>
      </w:pPr>
      <w:r w:rsidRPr="004A478C">
        <w:rPr>
          <w:i/>
          <w:lang w:val="lt-LT"/>
        </w:rPr>
        <w:t xml:space="preserve">Ilgalaikiai atvirieji tęstiniai tyrimai </w:t>
      </w:r>
    </w:p>
    <w:p w14:paraId="411A0965" w14:textId="2C2DD8C9" w:rsidR="00273470" w:rsidRPr="004A478C" w:rsidRDefault="00273470" w:rsidP="003B28E4">
      <w:pPr>
        <w:tabs>
          <w:tab w:val="left" w:pos="4680"/>
        </w:tabs>
        <w:spacing w:line="240" w:lineRule="auto"/>
        <w:ind w:left="2" w:right="397"/>
        <w:rPr>
          <w:lang w:val="lt-LT"/>
        </w:rPr>
      </w:pPr>
      <w:r w:rsidRPr="004A478C">
        <w:rPr>
          <w:lang w:val="lt-LT"/>
        </w:rPr>
        <w:t xml:space="preserve">EXCEL tyrimas (C02-021): šis tyrimas buvo 3 fazės </w:t>
      </w:r>
      <w:r w:rsidR="0064445A" w:rsidRPr="004A478C">
        <w:rPr>
          <w:lang w:val="lt-LT"/>
        </w:rPr>
        <w:t>trijų</w:t>
      </w:r>
      <w:r w:rsidR="00B96F4B" w:rsidRPr="004A478C">
        <w:rPr>
          <w:lang w:val="lt-LT"/>
        </w:rPr>
        <w:t xml:space="preserve"> </w:t>
      </w:r>
      <w:r w:rsidRPr="004A478C">
        <w:rPr>
          <w:lang w:val="lt-LT"/>
        </w:rPr>
        <w:t xml:space="preserve">metų atvirasis, </w:t>
      </w:r>
      <w:proofErr w:type="spellStart"/>
      <w:r w:rsidRPr="004A478C">
        <w:rPr>
          <w:lang w:val="lt-LT"/>
        </w:rPr>
        <w:t>daugiacentris</w:t>
      </w:r>
      <w:proofErr w:type="spellEnd"/>
      <w:r w:rsidRPr="004A478C">
        <w:rPr>
          <w:lang w:val="lt-LT"/>
        </w:rPr>
        <w:t xml:space="preserve">, atsitiktinių imčių, </w:t>
      </w:r>
      <w:proofErr w:type="spellStart"/>
      <w:r w:rsidRPr="004A478C">
        <w:rPr>
          <w:lang w:val="lt-LT"/>
        </w:rPr>
        <w:t>alopurinoliu</w:t>
      </w:r>
      <w:proofErr w:type="spellEnd"/>
      <w:r w:rsidRPr="004A478C">
        <w:rPr>
          <w:lang w:val="lt-LT"/>
        </w:rPr>
        <w:t xml:space="preserve"> kontroliuojamas saugumo </w:t>
      </w:r>
      <w:r w:rsidR="00A643C3" w:rsidRPr="004A478C">
        <w:rPr>
          <w:lang w:val="lt-LT"/>
        </w:rPr>
        <w:t xml:space="preserve">tęstinis </w:t>
      </w:r>
      <w:r w:rsidRPr="004A478C">
        <w:rPr>
          <w:lang w:val="lt-LT"/>
        </w:rPr>
        <w:t>tyrimas su pacientais, užbaigusiais pagrindinius 3 fazės tyrimus (APEX arba FACT). Tyrime iš viso dalyvavo 1086 pacientai</w:t>
      </w:r>
      <w:r w:rsidR="00A643C3" w:rsidRPr="004A478C">
        <w:rPr>
          <w:lang w:val="lt-LT"/>
        </w:rPr>
        <w:t>, vartoję</w:t>
      </w:r>
      <w:r w:rsidRPr="004A478C">
        <w:rPr>
          <w:lang w:val="lt-LT"/>
        </w:rPr>
        <w:t xml:space="preserve">: </w:t>
      </w:r>
      <w:proofErr w:type="spellStart"/>
      <w:r w:rsidR="00A643C3" w:rsidRPr="004B0C8F">
        <w:rPr>
          <w:szCs w:val="22"/>
          <w:lang w:val="lt-LT"/>
        </w:rPr>
        <w:t>febuksostato</w:t>
      </w:r>
      <w:proofErr w:type="spellEnd"/>
      <w:r w:rsidR="00A643C3" w:rsidRPr="004B0C8F">
        <w:rPr>
          <w:szCs w:val="22"/>
          <w:lang w:val="lt-LT"/>
        </w:rPr>
        <w:t xml:space="preserve"> </w:t>
      </w:r>
      <w:r w:rsidRPr="004A478C">
        <w:rPr>
          <w:lang w:val="lt-LT"/>
        </w:rPr>
        <w:t>80</w:t>
      </w:r>
      <w:r w:rsidR="00E87295" w:rsidRPr="004A478C">
        <w:rPr>
          <w:lang w:val="lt-LT"/>
        </w:rPr>
        <w:t> mg</w:t>
      </w:r>
      <w:r w:rsidRPr="004A478C">
        <w:rPr>
          <w:lang w:val="lt-LT"/>
        </w:rPr>
        <w:t xml:space="preserve"> per parą (n=649), </w:t>
      </w:r>
      <w:proofErr w:type="spellStart"/>
      <w:r w:rsidR="00A643C3" w:rsidRPr="004B0C8F">
        <w:rPr>
          <w:szCs w:val="22"/>
          <w:lang w:val="lt-LT"/>
        </w:rPr>
        <w:t>febuksostato</w:t>
      </w:r>
      <w:proofErr w:type="spellEnd"/>
      <w:r w:rsidR="00A643C3" w:rsidRPr="004B0C8F">
        <w:rPr>
          <w:szCs w:val="22"/>
          <w:lang w:val="lt-LT"/>
        </w:rPr>
        <w:t xml:space="preserve"> </w:t>
      </w:r>
      <w:r w:rsidRPr="004A478C">
        <w:rPr>
          <w:lang w:val="lt-LT"/>
        </w:rPr>
        <w:t>120</w:t>
      </w:r>
      <w:r w:rsidR="00E87295" w:rsidRPr="004A478C">
        <w:rPr>
          <w:lang w:val="lt-LT"/>
        </w:rPr>
        <w:t> mg</w:t>
      </w:r>
      <w:r w:rsidRPr="004A478C">
        <w:rPr>
          <w:lang w:val="lt-LT"/>
        </w:rPr>
        <w:t xml:space="preserve"> per parą (n=292) </w:t>
      </w:r>
      <w:r w:rsidR="00A643C3" w:rsidRPr="004A478C">
        <w:rPr>
          <w:lang w:val="lt-LT"/>
        </w:rPr>
        <w:t xml:space="preserve">ar </w:t>
      </w:r>
      <w:proofErr w:type="spellStart"/>
      <w:r w:rsidRPr="004A478C">
        <w:rPr>
          <w:lang w:val="lt-LT"/>
        </w:rPr>
        <w:t>alopurinoli</w:t>
      </w:r>
      <w:r w:rsidR="00A643C3" w:rsidRPr="004A478C">
        <w:rPr>
          <w:lang w:val="lt-LT"/>
        </w:rPr>
        <w:t>o</w:t>
      </w:r>
      <w:proofErr w:type="spellEnd"/>
      <w:r w:rsidRPr="004A478C">
        <w:rPr>
          <w:lang w:val="lt-LT"/>
        </w:rPr>
        <w:t xml:space="preserve"> 300</w:t>
      </w:r>
      <w:r w:rsidR="00A643C3" w:rsidRPr="004A478C">
        <w:rPr>
          <w:lang w:val="lt-LT"/>
        </w:rPr>
        <w:t xml:space="preserve"> arba </w:t>
      </w:r>
      <w:r w:rsidRPr="004A478C">
        <w:rPr>
          <w:lang w:val="lt-LT"/>
        </w:rPr>
        <w:t>100</w:t>
      </w:r>
      <w:r w:rsidR="00E87295" w:rsidRPr="004A478C">
        <w:rPr>
          <w:lang w:val="lt-LT"/>
        </w:rPr>
        <w:t> mg</w:t>
      </w:r>
      <w:r w:rsidRPr="004A478C">
        <w:rPr>
          <w:lang w:val="lt-LT"/>
        </w:rPr>
        <w:t xml:space="preserve"> per parą (n=145). Apie 69</w:t>
      </w:r>
      <w:r w:rsidR="002B6E60" w:rsidRPr="004A478C">
        <w:rPr>
          <w:lang w:val="lt-LT"/>
        </w:rPr>
        <w:t> </w:t>
      </w:r>
      <w:r w:rsidRPr="004A478C">
        <w:rPr>
          <w:lang w:val="lt-LT"/>
        </w:rPr>
        <w:t xml:space="preserve">% pacientų nereikėjo jokių keitimų pasiekiant galutinį stabilų gydymą. Iš tyrimo buvo </w:t>
      </w:r>
      <w:r w:rsidR="002B6E60" w:rsidRPr="004A478C">
        <w:rPr>
          <w:lang w:val="lt-LT"/>
        </w:rPr>
        <w:t xml:space="preserve">pašalinami </w:t>
      </w:r>
      <w:r w:rsidRPr="004A478C">
        <w:rPr>
          <w:lang w:val="lt-LT"/>
        </w:rPr>
        <w:t xml:space="preserve">pacientai, kurių </w:t>
      </w:r>
      <w:proofErr w:type="spellStart"/>
      <w:r w:rsidRPr="004A478C">
        <w:rPr>
          <w:lang w:val="lt-LT"/>
        </w:rPr>
        <w:t>sŠR</w:t>
      </w:r>
      <w:proofErr w:type="spellEnd"/>
      <w:r w:rsidRPr="004A478C">
        <w:rPr>
          <w:lang w:val="lt-LT"/>
        </w:rPr>
        <w:t xml:space="preserve"> tris kartus iš eilės buvo &gt;6,0</w:t>
      </w:r>
      <w:r w:rsidR="00E87295" w:rsidRPr="004A478C">
        <w:rPr>
          <w:lang w:val="lt-LT"/>
        </w:rPr>
        <w:t> mg</w:t>
      </w:r>
      <w:r w:rsidRPr="004A478C">
        <w:rPr>
          <w:lang w:val="lt-LT"/>
        </w:rPr>
        <w:t xml:space="preserve">/dl. </w:t>
      </w:r>
    </w:p>
    <w:p w14:paraId="1EE736F8" w14:textId="77777777" w:rsidR="00273470" w:rsidRPr="004A478C" w:rsidRDefault="00273470" w:rsidP="003B28E4">
      <w:pPr>
        <w:tabs>
          <w:tab w:val="left" w:pos="4680"/>
        </w:tabs>
        <w:spacing w:line="240" w:lineRule="auto"/>
        <w:ind w:left="2" w:right="397"/>
        <w:rPr>
          <w:lang w:val="lt-LT"/>
        </w:rPr>
      </w:pPr>
      <w:r w:rsidRPr="004A478C">
        <w:rPr>
          <w:lang w:val="lt-LT"/>
        </w:rPr>
        <w:t>Šlapimo rūgšties kiekis kraujo serume buvo palaikomas stebėjimo metu (tai yra 91-93</w:t>
      </w:r>
      <w:r w:rsidR="002B6E60" w:rsidRPr="004A478C">
        <w:rPr>
          <w:lang w:val="lt-LT"/>
        </w:rPr>
        <w:t> </w:t>
      </w:r>
      <w:r w:rsidRPr="004A478C">
        <w:rPr>
          <w:lang w:val="lt-LT"/>
        </w:rPr>
        <w:t>% pacientų, kurių pradinis gydymas buvo atitinkamai 80</w:t>
      </w:r>
      <w:r w:rsidR="00E87295" w:rsidRPr="004A478C">
        <w:rPr>
          <w:lang w:val="lt-LT"/>
        </w:rPr>
        <w:t> mg</w:t>
      </w:r>
      <w:r w:rsidRPr="004A478C">
        <w:rPr>
          <w:lang w:val="lt-LT"/>
        </w:rPr>
        <w:t xml:space="preserve"> ir 120</w:t>
      </w:r>
      <w:r w:rsidR="00E87295" w:rsidRPr="004A478C">
        <w:rPr>
          <w:lang w:val="lt-LT"/>
        </w:rPr>
        <w:t> mg</w:t>
      </w:r>
      <w:r w:rsidRPr="004A478C">
        <w:rPr>
          <w:lang w:val="lt-LT"/>
        </w:rPr>
        <w:t xml:space="preserve"> </w:t>
      </w:r>
      <w:proofErr w:type="spellStart"/>
      <w:r w:rsidRPr="004A478C">
        <w:rPr>
          <w:lang w:val="lt-LT"/>
        </w:rPr>
        <w:t>febuksostato</w:t>
      </w:r>
      <w:proofErr w:type="spellEnd"/>
      <w:r w:rsidRPr="004A478C">
        <w:rPr>
          <w:lang w:val="lt-LT"/>
        </w:rPr>
        <w:t xml:space="preserve">, </w:t>
      </w:r>
      <w:proofErr w:type="spellStart"/>
      <w:r w:rsidRPr="004A478C">
        <w:rPr>
          <w:lang w:val="lt-LT"/>
        </w:rPr>
        <w:t>sŠR</w:t>
      </w:r>
      <w:proofErr w:type="spellEnd"/>
      <w:r w:rsidRPr="004A478C">
        <w:rPr>
          <w:lang w:val="lt-LT"/>
        </w:rPr>
        <w:t xml:space="preserve"> buvo &lt;6</w:t>
      </w:r>
      <w:r w:rsidR="00E87295" w:rsidRPr="004A478C">
        <w:rPr>
          <w:lang w:val="lt-LT"/>
        </w:rPr>
        <w:t> mg</w:t>
      </w:r>
      <w:r w:rsidRPr="004A478C">
        <w:rPr>
          <w:lang w:val="lt-LT"/>
        </w:rPr>
        <w:t xml:space="preserve">/dl 36-tą gydymo mėnesį). </w:t>
      </w:r>
    </w:p>
    <w:p w14:paraId="27348251" w14:textId="77777777" w:rsidR="00273470" w:rsidRPr="004A478C" w:rsidRDefault="00273470" w:rsidP="003B28E4">
      <w:pPr>
        <w:tabs>
          <w:tab w:val="left" w:pos="4680"/>
        </w:tabs>
        <w:spacing w:line="240" w:lineRule="auto"/>
        <w:rPr>
          <w:lang w:val="lt-LT"/>
        </w:rPr>
      </w:pPr>
      <w:r w:rsidRPr="004A478C">
        <w:rPr>
          <w:lang w:val="lt-LT"/>
        </w:rPr>
        <w:t xml:space="preserve"> </w:t>
      </w:r>
    </w:p>
    <w:p w14:paraId="24781613" w14:textId="77777777" w:rsidR="00273470" w:rsidRPr="004A478C" w:rsidRDefault="00273470" w:rsidP="003B28E4">
      <w:pPr>
        <w:tabs>
          <w:tab w:val="left" w:pos="4680"/>
        </w:tabs>
        <w:spacing w:line="240" w:lineRule="auto"/>
        <w:ind w:left="2" w:right="397"/>
        <w:rPr>
          <w:lang w:val="lt-LT"/>
        </w:rPr>
      </w:pPr>
      <w:r w:rsidRPr="004A478C">
        <w:rPr>
          <w:lang w:val="lt-LT"/>
        </w:rPr>
        <w:t>Trijų metų duomenys parodė, kad podagros priepuolių sumažėja praktiškai mažiau nei 4</w:t>
      </w:r>
      <w:r w:rsidR="002B6E60" w:rsidRPr="004A478C">
        <w:rPr>
          <w:lang w:val="lt-LT"/>
        </w:rPr>
        <w:t> </w:t>
      </w:r>
      <w:r w:rsidRPr="004A478C">
        <w:rPr>
          <w:lang w:val="lt-LT"/>
        </w:rPr>
        <w:t>% pacientų, kuriems reikalingas priepuolio gydymas (</w:t>
      </w:r>
      <w:proofErr w:type="spellStart"/>
      <w:r w:rsidRPr="004A478C">
        <w:rPr>
          <w:lang w:val="lt-LT"/>
        </w:rPr>
        <w:t>t.y</w:t>
      </w:r>
      <w:proofErr w:type="spellEnd"/>
      <w:r w:rsidRPr="004A478C">
        <w:rPr>
          <w:lang w:val="lt-LT"/>
        </w:rPr>
        <w:t>. daugiau nei 96</w:t>
      </w:r>
      <w:r w:rsidR="002B6E60" w:rsidRPr="004A478C">
        <w:rPr>
          <w:lang w:val="lt-LT"/>
        </w:rPr>
        <w:t> </w:t>
      </w:r>
      <w:r w:rsidRPr="004A478C">
        <w:rPr>
          <w:lang w:val="lt-LT"/>
        </w:rPr>
        <w:t>% pacientų nereikėjo gydyti priepuolio) 16-24 ir 30-36 mėnesį. Baigiamojo apsilankymo metu 46</w:t>
      </w:r>
      <w:r w:rsidR="002B6E60" w:rsidRPr="004A478C">
        <w:rPr>
          <w:lang w:val="lt-LT"/>
        </w:rPr>
        <w:t> </w:t>
      </w:r>
      <w:r w:rsidRPr="004A478C">
        <w:rPr>
          <w:lang w:val="lt-LT"/>
        </w:rPr>
        <w:t>% ir 38</w:t>
      </w:r>
      <w:r w:rsidR="002B6E60" w:rsidRPr="004A478C">
        <w:rPr>
          <w:lang w:val="lt-LT"/>
        </w:rPr>
        <w:t> </w:t>
      </w:r>
      <w:r w:rsidRPr="004A478C">
        <w:rPr>
          <w:lang w:val="lt-LT"/>
        </w:rPr>
        <w:t>% pacientų, kurie baigiamojo stabilaus gydymo metu atitinkamai vartojo 80</w:t>
      </w:r>
      <w:r w:rsidR="00E87295" w:rsidRPr="004A478C">
        <w:rPr>
          <w:lang w:val="lt-LT"/>
        </w:rPr>
        <w:t> mg</w:t>
      </w:r>
      <w:r w:rsidRPr="004A478C">
        <w:rPr>
          <w:lang w:val="lt-LT"/>
        </w:rPr>
        <w:t xml:space="preserve"> arba 120</w:t>
      </w:r>
      <w:r w:rsidR="00E87295" w:rsidRPr="004A478C">
        <w:rPr>
          <w:lang w:val="lt-LT"/>
        </w:rPr>
        <w:t> mg</w:t>
      </w:r>
      <w:r w:rsidRPr="004A478C">
        <w:rPr>
          <w:lang w:val="lt-LT"/>
        </w:rPr>
        <w:t xml:space="preserve"> </w:t>
      </w:r>
      <w:proofErr w:type="spellStart"/>
      <w:r w:rsidRPr="004A478C">
        <w:rPr>
          <w:lang w:val="lt-LT"/>
        </w:rPr>
        <w:t>febuksostato</w:t>
      </w:r>
      <w:proofErr w:type="spellEnd"/>
      <w:r w:rsidRPr="004A478C">
        <w:rPr>
          <w:lang w:val="lt-LT"/>
        </w:rPr>
        <w:t xml:space="preserve"> per parą, buvo pilnai išnykę </w:t>
      </w:r>
      <w:proofErr w:type="spellStart"/>
      <w:r w:rsidRPr="004A478C">
        <w:rPr>
          <w:lang w:val="lt-LT"/>
        </w:rPr>
        <w:t>palpuojami</w:t>
      </w:r>
      <w:proofErr w:type="spellEnd"/>
      <w:r w:rsidRPr="004A478C">
        <w:rPr>
          <w:lang w:val="lt-LT"/>
        </w:rPr>
        <w:t xml:space="preserve"> </w:t>
      </w:r>
      <w:proofErr w:type="spellStart"/>
      <w:r w:rsidRPr="004A478C">
        <w:rPr>
          <w:lang w:val="lt-LT"/>
        </w:rPr>
        <w:t>tofusai</w:t>
      </w:r>
      <w:proofErr w:type="spellEnd"/>
      <w:r w:rsidRPr="004A478C">
        <w:rPr>
          <w:lang w:val="lt-LT"/>
        </w:rPr>
        <w:t xml:space="preserve">, palyginti su jų pradine būkle. </w:t>
      </w:r>
    </w:p>
    <w:p w14:paraId="2DF396AB" w14:textId="77777777" w:rsidR="00273470" w:rsidRPr="004A478C" w:rsidRDefault="00273470" w:rsidP="003B28E4">
      <w:pPr>
        <w:tabs>
          <w:tab w:val="left" w:pos="4680"/>
        </w:tabs>
        <w:spacing w:line="240" w:lineRule="auto"/>
        <w:rPr>
          <w:lang w:val="lt-LT"/>
        </w:rPr>
      </w:pPr>
      <w:r w:rsidRPr="004A478C">
        <w:rPr>
          <w:lang w:val="lt-LT"/>
        </w:rPr>
        <w:t xml:space="preserve"> </w:t>
      </w:r>
    </w:p>
    <w:p w14:paraId="74E7E7B3" w14:textId="77777777" w:rsidR="00273470" w:rsidRPr="004A478C" w:rsidRDefault="00273470" w:rsidP="003B28E4">
      <w:pPr>
        <w:tabs>
          <w:tab w:val="left" w:pos="4680"/>
        </w:tabs>
        <w:spacing w:line="240" w:lineRule="auto"/>
        <w:ind w:left="2" w:right="397"/>
        <w:rPr>
          <w:lang w:val="lt-LT"/>
        </w:rPr>
      </w:pPr>
      <w:r w:rsidRPr="004A478C">
        <w:rPr>
          <w:lang w:val="lt-LT"/>
        </w:rPr>
        <w:t xml:space="preserve">FOCUS tyrimas (TMX-01-005) buvo 5 metų trukmės 2 fazės atvirasis, </w:t>
      </w:r>
      <w:proofErr w:type="spellStart"/>
      <w:r w:rsidRPr="004A478C">
        <w:rPr>
          <w:lang w:val="lt-LT"/>
        </w:rPr>
        <w:t>daugiacentris</w:t>
      </w:r>
      <w:proofErr w:type="spellEnd"/>
      <w:r w:rsidRPr="004A478C">
        <w:rPr>
          <w:lang w:val="lt-LT"/>
        </w:rPr>
        <w:t xml:space="preserve"> saugumo tyrimas su pacientais, kurie užbaigė </w:t>
      </w:r>
      <w:proofErr w:type="spellStart"/>
      <w:r w:rsidRPr="004A478C">
        <w:rPr>
          <w:lang w:val="lt-LT"/>
        </w:rPr>
        <w:t>febuksostato</w:t>
      </w:r>
      <w:proofErr w:type="spellEnd"/>
      <w:r w:rsidRPr="004A478C">
        <w:rPr>
          <w:lang w:val="lt-LT"/>
        </w:rPr>
        <w:t xml:space="preserve"> 4 savaičių dvigubai </w:t>
      </w:r>
      <w:r w:rsidR="002B6E60" w:rsidRPr="004A478C">
        <w:rPr>
          <w:lang w:val="lt-LT"/>
        </w:rPr>
        <w:t xml:space="preserve">koduotą </w:t>
      </w:r>
      <w:r w:rsidRPr="004A478C">
        <w:rPr>
          <w:lang w:val="lt-LT"/>
        </w:rPr>
        <w:t>vartojimą tyrime TMX-00-004. Tyrime dalyvavo 116 pacientų, iš pradžių vartojusių 80</w:t>
      </w:r>
      <w:r w:rsidR="00E87295" w:rsidRPr="004A478C">
        <w:rPr>
          <w:lang w:val="lt-LT"/>
        </w:rPr>
        <w:t> mg</w:t>
      </w:r>
      <w:r w:rsidRPr="004A478C">
        <w:rPr>
          <w:lang w:val="lt-LT"/>
        </w:rPr>
        <w:t xml:space="preserve"> </w:t>
      </w:r>
      <w:proofErr w:type="spellStart"/>
      <w:r w:rsidRPr="004A478C">
        <w:rPr>
          <w:lang w:val="lt-LT"/>
        </w:rPr>
        <w:t>febuksostato</w:t>
      </w:r>
      <w:proofErr w:type="spellEnd"/>
      <w:r w:rsidRPr="004A478C">
        <w:rPr>
          <w:lang w:val="lt-LT"/>
        </w:rPr>
        <w:t xml:space="preserve"> per parą. 62</w:t>
      </w:r>
      <w:r w:rsidR="002B6E60" w:rsidRPr="004A478C">
        <w:rPr>
          <w:lang w:val="lt-LT"/>
        </w:rPr>
        <w:t> </w:t>
      </w:r>
      <w:r w:rsidRPr="004A478C">
        <w:rPr>
          <w:lang w:val="lt-LT"/>
        </w:rPr>
        <w:t xml:space="preserve">% pacientų, siekiant palaikyti </w:t>
      </w:r>
      <w:proofErr w:type="spellStart"/>
      <w:r w:rsidRPr="004A478C">
        <w:rPr>
          <w:lang w:val="lt-LT"/>
        </w:rPr>
        <w:t>sŠR</w:t>
      </w:r>
      <w:proofErr w:type="spellEnd"/>
      <w:r w:rsidRPr="004A478C">
        <w:rPr>
          <w:lang w:val="lt-LT"/>
        </w:rPr>
        <w:t>&lt;6</w:t>
      </w:r>
      <w:r w:rsidR="00E87295" w:rsidRPr="004A478C">
        <w:rPr>
          <w:lang w:val="lt-LT"/>
        </w:rPr>
        <w:t> mg</w:t>
      </w:r>
      <w:r w:rsidRPr="004A478C">
        <w:rPr>
          <w:lang w:val="lt-LT"/>
        </w:rPr>
        <w:t>/dl koncentraciją jokios dozės korekcijos nereikėjo, 38</w:t>
      </w:r>
      <w:r w:rsidR="002B6E60" w:rsidRPr="004A478C">
        <w:rPr>
          <w:lang w:val="lt-LT"/>
        </w:rPr>
        <w:t> </w:t>
      </w:r>
      <w:r w:rsidRPr="004A478C">
        <w:rPr>
          <w:lang w:val="lt-LT"/>
        </w:rPr>
        <w:t xml:space="preserve">% pacientų dozę reikėjo koreguoti, kad būtų pasiekta galutinė stabili dozė. </w:t>
      </w:r>
    </w:p>
    <w:p w14:paraId="7FB0A619" w14:textId="77777777" w:rsidR="00273470" w:rsidRPr="004A478C" w:rsidRDefault="00273470" w:rsidP="003B28E4">
      <w:pPr>
        <w:tabs>
          <w:tab w:val="left" w:pos="4680"/>
        </w:tabs>
        <w:spacing w:line="240" w:lineRule="auto"/>
        <w:rPr>
          <w:lang w:val="lt-LT"/>
        </w:rPr>
      </w:pPr>
      <w:r w:rsidRPr="004A478C">
        <w:rPr>
          <w:lang w:val="lt-LT"/>
        </w:rPr>
        <w:t xml:space="preserve"> </w:t>
      </w:r>
    </w:p>
    <w:p w14:paraId="36E118D3" w14:textId="77777777" w:rsidR="00273470" w:rsidRPr="004A478C" w:rsidRDefault="00273470" w:rsidP="003B28E4">
      <w:pPr>
        <w:tabs>
          <w:tab w:val="left" w:pos="4680"/>
        </w:tabs>
        <w:spacing w:line="240" w:lineRule="auto"/>
        <w:ind w:left="2" w:right="397"/>
        <w:rPr>
          <w:lang w:val="lt-LT"/>
        </w:rPr>
      </w:pPr>
      <w:r w:rsidRPr="004A478C">
        <w:rPr>
          <w:lang w:val="lt-LT"/>
        </w:rPr>
        <w:t xml:space="preserve">Vartojant bet kurią </w:t>
      </w:r>
      <w:proofErr w:type="spellStart"/>
      <w:r w:rsidRPr="004A478C">
        <w:rPr>
          <w:lang w:val="lt-LT"/>
        </w:rPr>
        <w:t>febuksostato</w:t>
      </w:r>
      <w:proofErr w:type="spellEnd"/>
      <w:r w:rsidRPr="004A478C">
        <w:rPr>
          <w:lang w:val="lt-LT"/>
        </w:rPr>
        <w:t xml:space="preserve"> dozę pacientų, kurių kraujyje šlapimo rūgšties koncentracija buvo &lt;6,0</w:t>
      </w:r>
      <w:r w:rsidR="00E87295" w:rsidRPr="004A478C">
        <w:rPr>
          <w:lang w:val="lt-LT"/>
        </w:rPr>
        <w:t> mg</w:t>
      </w:r>
      <w:r w:rsidRPr="004A478C">
        <w:rPr>
          <w:lang w:val="lt-LT"/>
        </w:rPr>
        <w:t>/dl (357 µ</w:t>
      </w:r>
      <w:proofErr w:type="spellStart"/>
      <w:r w:rsidRPr="004A478C">
        <w:rPr>
          <w:lang w:val="lt-LT"/>
        </w:rPr>
        <w:t>mol</w:t>
      </w:r>
      <w:proofErr w:type="spellEnd"/>
      <w:r w:rsidRPr="004A478C">
        <w:rPr>
          <w:lang w:val="lt-LT"/>
        </w:rPr>
        <w:t>/l) galutinio apsilankymo metu, dalis buvo didesnė negu 80</w:t>
      </w:r>
      <w:r w:rsidR="002B6E60" w:rsidRPr="004A478C">
        <w:rPr>
          <w:lang w:val="lt-LT"/>
        </w:rPr>
        <w:t> </w:t>
      </w:r>
      <w:r w:rsidRPr="004A478C">
        <w:rPr>
          <w:lang w:val="lt-LT"/>
        </w:rPr>
        <w:t>% (81-100</w:t>
      </w:r>
      <w:r w:rsidR="002B6E60" w:rsidRPr="004A478C">
        <w:rPr>
          <w:lang w:val="lt-LT"/>
        </w:rPr>
        <w:t> </w:t>
      </w:r>
      <w:r w:rsidRPr="004A478C">
        <w:rPr>
          <w:lang w:val="lt-LT"/>
        </w:rPr>
        <w:t xml:space="preserve">%). </w:t>
      </w:r>
    </w:p>
    <w:p w14:paraId="74822759" w14:textId="77777777" w:rsidR="00273470" w:rsidRPr="004A478C" w:rsidRDefault="00273470" w:rsidP="003B28E4">
      <w:pPr>
        <w:tabs>
          <w:tab w:val="left" w:pos="4680"/>
        </w:tabs>
        <w:spacing w:line="240" w:lineRule="auto"/>
        <w:rPr>
          <w:lang w:val="lt-LT"/>
        </w:rPr>
      </w:pPr>
      <w:r w:rsidRPr="004A478C">
        <w:rPr>
          <w:lang w:val="lt-LT"/>
        </w:rPr>
        <w:t xml:space="preserve"> </w:t>
      </w:r>
    </w:p>
    <w:p w14:paraId="402C7339" w14:textId="7A055F77" w:rsidR="00273470" w:rsidRPr="004A478C" w:rsidRDefault="00273470" w:rsidP="003B28E4">
      <w:pPr>
        <w:tabs>
          <w:tab w:val="left" w:pos="4680"/>
        </w:tabs>
        <w:spacing w:line="240" w:lineRule="auto"/>
        <w:ind w:left="2" w:right="397"/>
        <w:rPr>
          <w:lang w:val="lt-LT"/>
        </w:rPr>
      </w:pPr>
      <w:r w:rsidRPr="004A478C">
        <w:rPr>
          <w:lang w:val="lt-LT"/>
        </w:rPr>
        <w:t xml:space="preserve">3 fazės klinikinių tyrimų metu buvo stebimi lengvi kepenų funkcijos tyrimų sutrikimai pacientams, gydytiems </w:t>
      </w:r>
      <w:proofErr w:type="spellStart"/>
      <w:r w:rsidRPr="004A478C">
        <w:rPr>
          <w:lang w:val="lt-LT"/>
        </w:rPr>
        <w:t>febuksostatu</w:t>
      </w:r>
      <w:proofErr w:type="spellEnd"/>
      <w:r w:rsidRPr="004A478C">
        <w:rPr>
          <w:lang w:val="lt-LT"/>
        </w:rPr>
        <w:t xml:space="preserve"> (5,0</w:t>
      </w:r>
      <w:r w:rsidR="002B6E60" w:rsidRPr="004A478C">
        <w:rPr>
          <w:lang w:val="lt-LT"/>
        </w:rPr>
        <w:t> </w:t>
      </w:r>
      <w:r w:rsidRPr="004A478C">
        <w:rPr>
          <w:lang w:val="lt-LT"/>
        </w:rPr>
        <w:t xml:space="preserve">%). Šie rodikliai buvo panašūs į rodiklius, kurie buvo užfiksuoti </w:t>
      </w:r>
      <w:r w:rsidR="002B6E60" w:rsidRPr="004A478C">
        <w:rPr>
          <w:lang w:val="lt-LT"/>
        </w:rPr>
        <w:t xml:space="preserve">vartojant </w:t>
      </w:r>
      <w:proofErr w:type="spellStart"/>
      <w:r w:rsidRPr="004A478C">
        <w:rPr>
          <w:lang w:val="lt-LT"/>
        </w:rPr>
        <w:t>alopurinol</w:t>
      </w:r>
      <w:r w:rsidR="002B6E60" w:rsidRPr="004A478C">
        <w:rPr>
          <w:lang w:val="lt-LT"/>
        </w:rPr>
        <w:t>į</w:t>
      </w:r>
      <w:proofErr w:type="spellEnd"/>
      <w:r w:rsidRPr="004A478C">
        <w:rPr>
          <w:lang w:val="lt-LT"/>
        </w:rPr>
        <w:t xml:space="preserve"> (4,2</w:t>
      </w:r>
      <w:r w:rsidR="002B6E60" w:rsidRPr="004A478C">
        <w:rPr>
          <w:lang w:val="lt-LT"/>
        </w:rPr>
        <w:t> </w:t>
      </w:r>
      <w:r w:rsidRPr="004A478C">
        <w:rPr>
          <w:lang w:val="lt-LT"/>
        </w:rPr>
        <w:t xml:space="preserve">%) (žr. 4.4 skyrių). Buvo pastebėtas TSH padidėjimas (&gt;5,5 µIU/ml) ilgą laiką gydant pacientus </w:t>
      </w:r>
      <w:proofErr w:type="spellStart"/>
      <w:r w:rsidRPr="004A478C">
        <w:rPr>
          <w:lang w:val="lt-LT"/>
        </w:rPr>
        <w:t>febuksostatu</w:t>
      </w:r>
      <w:proofErr w:type="spellEnd"/>
      <w:r w:rsidRPr="004A478C">
        <w:rPr>
          <w:lang w:val="lt-LT"/>
        </w:rPr>
        <w:t xml:space="preserve"> (5,5</w:t>
      </w:r>
      <w:r w:rsidR="002B6E60" w:rsidRPr="004A478C">
        <w:rPr>
          <w:lang w:val="lt-LT"/>
        </w:rPr>
        <w:t> </w:t>
      </w:r>
      <w:r w:rsidRPr="004A478C">
        <w:rPr>
          <w:lang w:val="lt-LT"/>
        </w:rPr>
        <w:t xml:space="preserve">%) ir gydant </w:t>
      </w:r>
      <w:proofErr w:type="spellStart"/>
      <w:r w:rsidRPr="004A478C">
        <w:rPr>
          <w:lang w:val="lt-LT"/>
        </w:rPr>
        <w:t>alopurinoliu</w:t>
      </w:r>
      <w:proofErr w:type="spellEnd"/>
      <w:r w:rsidRPr="004A478C">
        <w:rPr>
          <w:lang w:val="lt-LT"/>
        </w:rPr>
        <w:t xml:space="preserve"> (5,8</w:t>
      </w:r>
      <w:r w:rsidR="002B6E60" w:rsidRPr="004A478C">
        <w:rPr>
          <w:lang w:val="lt-LT"/>
        </w:rPr>
        <w:t> </w:t>
      </w:r>
      <w:r w:rsidRPr="004A478C">
        <w:rPr>
          <w:lang w:val="lt-LT"/>
        </w:rPr>
        <w:t xml:space="preserve">%) ilgalaikių atvirų tęstinių klinikinių tyrimų metu (žr. 4.4 skyrių). </w:t>
      </w:r>
    </w:p>
    <w:p w14:paraId="3B2C5A15" w14:textId="2F88A93A" w:rsidR="00B96F4B" w:rsidRPr="004A478C" w:rsidRDefault="00B96F4B" w:rsidP="003B28E4">
      <w:pPr>
        <w:tabs>
          <w:tab w:val="left" w:pos="4680"/>
        </w:tabs>
        <w:spacing w:line="240" w:lineRule="auto"/>
        <w:ind w:left="2" w:right="397"/>
        <w:rPr>
          <w:lang w:val="lt-LT"/>
        </w:rPr>
      </w:pPr>
    </w:p>
    <w:p w14:paraId="1E6E3DED" w14:textId="77777777" w:rsidR="00B96F4B" w:rsidRPr="004B0C8F" w:rsidRDefault="00B96F4B" w:rsidP="00B96F4B">
      <w:pPr>
        <w:tabs>
          <w:tab w:val="left" w:pos="4680"/>
        </w:tabs>
        <w:spacing w:line="240" w:lineRule="auto"/>
        <w:ind w:left="2" w:right="397"/>
        <w:rPr>
          <w:i/>
          <w:iCs/>
          <w:lang w:val="lt-LT"/>
        </w:rPr>
      </w:pPr>
      <w:r w:rsidRPr="004B0C8F">
        <w:rPr>
          <w:i/>
          <w:iCs/>
          <w:lang w:val="lt-LT"/>
        </w:rPr>
        <w:t xml:space="preserve">Ilgalaikiai </w:t>
      </w:r>
      <w:proofErr w:type="spellStart"/>
      <w:r w:rsidRPr="004B0C8F">
        <w:rPr>
          <w:i/>
          <w:iCs/>
          <w:lang w:val="lt-LT"/>
        </w:rPr>
        <w:t>poregistraciniai</w:t>
      </w:r>
      <w:proofErr w:type="spellEnd"/>
      <w:r w:rsidRPr="004B0C8F">
        <w:rPr>
          <w:i/>
          <w:iCs/>
          <w:lang w:val="lt-LT"/>
        </w:rPr>
        <w:t xml:space="preserve"> klinikiniai tyrimai</w:t>
      </w:r>
    </w:p>
    <w:p w14:paraId="064A5F3B" w14:textId="52013EB1" w:rsidR="00B96F4B" w:rsidRPr="004B0C8F" w:rsidRDefault="00B96F4B" w:rsidP="00B96F4B">
      <w:pPr>
        <w:tabs>
          <w:tab w:val="left" w:pos="4680"/>
        </w:tabs>
        <w:spacing w:line="240" w:lineRule="auto"/>
        <w:ind w:left="2" w:right="397"/>
        <w:rPr>
          <w:lang w:val="lt-LT"/>
        </w:rPr>
      </w:pPr>
      <w:r w:rsidRPr="004B0C8F">
        <w:rPr>
          <w:lang w:val="lt-LT"/>
        </w:rPr>
        <w:t xml:space="preserve">CARES tyrimas buvo </w:t>
      </w:r>
      <w:proofErr w:type="spellStart"/>
      <w:r w:rsidRPr="004B0C8F">
        <w:rPr>
          <w:lang w:val="lt-LT"/>
        </w:rPr>
        <w:t>daugiacentrinis</w:t>
      </w:r>
      <w:proofErr w:type="spellEnd"/>
      <w:r w:rsidRPr="004B0C8F">
        <w:rPr>
          <w:lang w:val="lt-LT"/>
        </w:rPr>
        <w:t xml:space="preserve">, atsitiktinių imčių, dvigubai koduotas, ne </w:t>
      </w:r>
      <w:proofErr w:type="spellStart"/>
      <w:r w:rsidRPr="004B0C8F">
        <w:rPr>
          <w:lang w:val="lt-LT"/>
        </w:rPr>
        <w:t>mažesės</w:t>
      </w:r>
      <w:proofErr w:type="spellEnd"/>
      <w:r w:rsidRPr="004B0C8F">
        <w:rPr>
          <w:lang w:val="lt-LT"/>
        </w:rPr>
        <w:t xml:space="preserve"> naudos tyrimas, atliktas siekiant įvertinti </w:t>
      </w:r>
      <w:proofErr w:type="spellStart"/>
      <w:r w:rsidRPr="004B0C8F">
        <w:rPr>
          <w:lang w:val="lt-LT"/>
        </w:rPr>
        <w:t>febuksostato</w:t>
      </w:r>
      <w:proofErr w:type="spellEnd"/>
      <w:r w:rsidRPr="004B0C8F">
        <w:rPr>
          <w:lang w:val="lt-LT"/>
        </w:rPr>
        <w:t xml:space="preserve"> ir </w:t>
      </w:r>
      <w:proofErr w:type="spellStart"/>
      <w:r w:rsidRPr="004B0C8F">
        <w:rPr>
          <w:lang w:val="lt-LT"/>
        </w:rPr>
        <w:t>alopurinolio</w:t>
      </w:r>
      <w:proofErr w:type="spellEnd"/>
      <w:r w:rsidRPr="004B0C8F">
        <w:rPr>
          <w:lang w:val="lt-LT"/>
        </w:rPr>
        <w:t xml:space="preserve"> vartojimo išeitis pacientams, sergantiems podagra ir sunkia kardiovaskuline liga, įskaitant miokardo infarktą (MI), hospitalizaciją dėl nestabiliosios krūtinės anginos, širdies vainikinių arba smegenų kraujagyslių </w:t>
      </w:r>
      <w:proofErr w:type="spellStart"/>
      <w:r w:rsidRPr="004B0C8F">
        <w:rPr>
          <w:lang w:val="lt-LT"/>
        </w:rPr>
        <w:lastRenderedPageBreak/>
        <w:t>revaskuliarizacijos</w:t>
      </w:r>
      <w:proofErr w:type="spellEnd"/>
      <w:r w:rsidRPr="004B0C8F">
        <w:rPr>
          <w:lang w:val="lt-LT"/>
        </w:rPr>
        <w:t xml:space="preserve"> procedūras, insultą, hospitalizaciją dėl praeinančio smegenų išemijos priepuolio, periferinių kraujagyslių ligą arba cukrinį diabetą su smulkiųjų arba stambiųjų kraujagyslių pažeidimu. Norint pasiekti, kad </w:t>
      </w:r>
      <w:proofErr w:type="spellStart"/>
      <w:r w:rsidRPr="004B0C8F">
        <w:rPr>
          <w:lang w:val="lt-LT"/>
        </w:rPr>
        <w:t>sŠR</w:t>
      </w:r>
      <w:proofErr w:type="spellEnd"/>
      <w:r w:rsidRPr="004B0C8F">
        <w:rPr>
          <w:lang w:val="lt-LT"/>
        </w:rPr>
        <w:t xml:space="preserve"> būtų mažesnis negu 6 mg/dl, </w:t>
      </w:r>
      <w:proofErr w:type="spellStart"/>
      <w:r w:rsidRPr="004B0C8F">
        <w:rPr>
          <w:lang w:val="lt-LT"/>
        </w:rPr>
        <w:t>febuksostato</w:t>
      </w:r>
      <w:proofErr w:type="spellEnd"/>
      <w:r w:rsidRPr="004B0C8F">
        <w:rPr>
          <w:lang w:val="lt-LT"/>
        </w:rPr>
        <w:t xml:space="preserve"> dozė buvo didinama nuo 40 mg iki 80 mg (atsižvelgiant į inkstų funkciją), o </w:t>
      </w:r>
      <w:proofErr w:type="spellStart"/>
      <w:r w:rsidRPr="004B0C8F">
        <w:rPr>
          <w:lang w:val="lt-LT"/>
        </w:rPr>
        <w:t>alopurinolio</w:t>
      </w:r>
      <w:proofErr w:type="spellEnd"/>
      <w:r w:rsidRPr="004B0C8F">
        <w:rPr>
          <w:lang w:val="lt-LT"/>
        </w:rPr>
        <w:t xml:space="preserve"> dozė buvo didinama po 100 mg nuo 300 mg iki 600 mg pacientams, kurių inkstų funkcija normali arba lengvas funkcijos sutrikimas, bei nuo 200 mg iki 400 mg pacientams, kurių inkstų funkcijos sutrikimas buvo vidutinio sunkumo.</w:t>
      </w:r>
    </w:p>
    <w:p w14:paraId="6E33FB66" w14:textId="77777777" w:rsidR="00B96F4B" w:rsidRPr="004B0C8F" w:rsidRDefault="00B96F4B" w:rsidP="00B96F4B">
      <w:pPr>
        <w:tabs>
          <w:tab w:val="left" w:pos="4680"/>
        </w:tabs>
        <w:spacing w:line="240" w:lineRule="auto"/>
        <w:ind w:left="2" w:right="397"/>
        <w:rPr>
          <w:lang w:val="lt-LT"/>
        </w:rPr>
      </w:pPr>
      <w:r w:rsidRPr="004B0C8F">
        <w:rPr>
          <w:lang w:val="lt-LT"/>
        </w:rPr>
        <w:t>CARES pirminė (pagrindinė) vertinamoji baigtis buvo laikas iki pirmojo didžiojo nepageidaujamo širdies ir kraujagyslių sistemos reiškinio (</w:t>
      </w:r>
      <w:r w:rsidRPr="004B0C8F">
        <w:rPr>
          <w:i/>
          <w:iCs/>
          <w:lang w:val="lt-LT"/>
        </w:rPr>
        <w:t xml:space="preserve">angl.: </w:t>
      </w:r>
      <w:proofErr w:type="spellStart"/>
      <w:r w:rsidRPr="004B0C8F">
        <w:rPr>
          <w:i/>
          <w:iCs/>
          <w:lang w:val="lt-LT"/>
        </w:rPr>
        <w:t>major</w:t>
      </w:r>
      <w:proofErr w:type="spellEnd"/>
      <w:r w:rsidRPr="004B0C8F">
        <w:rPr>
          <w:i/>
          <w:iCs/>
          <w:lang w:val="lt-LT"/>
        </w:rPr>
        <w:t xml:space="preserve"> </w:t>
      </w:r>
      <w:proofErr w:type="spellStart"/>
      <w:r w:rsidRPr="004B0C8F">
        <w:rPr>
          <w:i/>
          <w:iCs/>
          <w:lang w:val="lt-LT"/>
        </w:rPr>
        <w:t>adverse</w:t>
      </w:r>
      <w:proofErr w:type="spellEnd"/>
      <w:r w:rsidRPr="004B0C8F">
        <w:rPr>
          <w:i/>
          <w:iCs/>
          <w:lang w:val="lt-LT"/>
        </w:rPr>
        <w:t xml:space="preserve"> </w:t>
      </w:r>
      <w:proofErr w:type="spellStart"/>
      <w:r w:rsidRPr="004B0C8F">
        <w:rPr>
          <w:i/>
          <w:iCs/>
          <w:lang w:val="lt-LT"/>
        </w:rPr>
        <w:t>cardiovascular</w:t>
      </w:r>
      <w:proofErr w:type="spellEnd"/>
      <w:r w:rsidRPr="004B0C8F">
        <w:rPr>
          <w:i/>
          <w:iCs/>
          <w:lang w:val="lt-LT"/>
        </w:rPr>
        <w:t xml:space="preserve"> </w:t>
      </w:r>
      <w:proofErr w:type="spellStart"/>
      <w:r w:rsidRPr="004B0C8F">
        <w:rPr>
          <w:i/>
          <w:iCs/>
          <w:lang w:val="lt-LT"/>
        </w:rPr>
        <w:t>events</w:t>
      </w:r>
      <w:proofErr w:type="spellEnd"/>
      <w:r w:rsidRPr="004B0C8F">
        <w:rPr>
          <w:i/>
          <w:iCs/>
          <w:lang w:val="lt-LT"/>
        </w:rPr>
        <w:t xml:space="preserve"> </w:t>
      </w:r>
      <w:r w:rsidRPr="004B0C8F">
        <w:rPr>
          <w:lang w:val="lt-LT"/>
        </w:rPr>
        <w:t xml:space="preserve">(MACE)), tai yra nemirtino miokardo infarkto (MI), nemirtino insulto, mirties dėl kardiovaskulinės ligos arba nestabiliosios krūtinės anginos su neatidėliotina širdies vainikinių kraujagyslių </w:t>
      </w:r>
      <w:proofErr w:type="spellStart"/>
      <w:r w:rsidRPr="004B0C8F">
        <w:rPr>
          <w:lang w:val="lt-LT"/>
        </w:rPr>
        <w:t>revaskuliarizacijos</w:t>
      </w:r>
      <w:proofErr w:type="spellEnd"/>
      <w:r w:rsidRPr="004B0C8F">
        <w:rPr>
          <w:lang w:val="lt-LT"/>
        </w:rPr>
        <w:t xml:space="preserve"> procedūra, pasireiškimo. Vertinamosios baigtys (pirminė ir antrinė) buvo analizuojamos pagal numatytų gydyti pacientų populiacijos (</w:t>
      </w:r>
      <w:r w:rsidRPr="004B0C8F">
        <w:rPr>
          <w:i/>
          <w:iCs/>
          <w:lang w:val="lt-LT"/>
        </w:rPr>
        <w:t xml:space="preserve">angl.: </w:t>
      </w:r>
      <w:proofErr w:type="spellStart"/>
      <w:r w:rsidRPr="004B0C8F">
        <w:rPr>
          <w:i/>
          <w:iCs/>
          <w:lang w:val="lt-LT"/>
        </w:rPr>
        <w:t>intention</w:t>
      </w:r>
      <w:proofErr w:type="spellEnd"/>
      <w:r w:rsidRPr="004B0C8F">
        <w:rPr>
          <w:i/>
          <w:iCs/>
          <w:lang w:val="lt-LT"/>
        </w:rPr>
        <w:t>-to-</w:t>
      </w:r>
      <w:proofErr w:type="spellStart"/>
      <w:r w:rsidRPr="004B0C8F">
        <w:rPr>
          <w:i/>
          <w:iCs/>
          <w:lang w:val="lt-LT"/>
        </w:rPr>
        <w:t>treat</w:t>
      </w:r>
      <w:proofErr w:type="spellEnd"/>
      <w:r w:rsidRPr="004B0C8F">
        <w:rPr>
          <w:i/>
          <w:iCs/>
          <w:lang w:val="lt-LT"/>
        </w:rPr>
        <w:t>, ITT</w:t>
      </w:r>
      <w:r w:rsidRPr="004B0C8F">
        <w:rPr>
          <w:lang w:val="lt-LT"/>
        </w:rPr>
        <w:t>) analizę, įskaitant visus tiriamuosius, paskirstytus atsitiktinės atrankos būdu ir pavartojusius mažiausiai vieną dvigubai koduoto tyrimo vaistinio preparato dozę.</w:t>
      </w:r>
    </w:p>
    <w:p w14:paraId="5B407542" w14:textId="77777777" w:rsidR="00B96F4B" w:rsidRPr="004B0C8F" w:rsidRDefault="00B96F4B" w:rsidP="00B96F4B">
      <w:pPr>
        <w:tabs>
          <w:tab w:val="left" w:pos="4680"/>
        </w:tabs>
        <w:spacing w:line="240" w:lineRule="auto"/>
        <w:ind w:left="2" w:right="397"/>
        <w:rPr>
          <w:lang w:val="lt-LT"/>
        </w:rPr>
      </w:pPr>
      <w:r w:rsidRPr="004B0C8F">
        <w:rPr>
          <w:lang w:val="lt-LT"/>
        </w:rPr>
        <w:t xml:space="preserve">Iš viso 56,6 % pacientų anksčiau laiko nutraukė gydymą ir 45 % atvyko ne į visus tyrimo vizitus. Iš viso stebėta 6190 pacientų, jų stebėjimo mediana - 32 mėn., </w:t>
      </w:r>
      <w:proofErr w:type="spellStart"/>
      <w:r w:rsidRPr="004B0C8F">
        <w:rPr>
          <w:lang w:val="lt-LT"/>
        </w:rPr>
        <w:t>febuksostato</w:t>
      </w:r>
      <w:proofErr w:type="spellEnd"/>
      <w:r w:rsidRPr="004B0C8F">
        <w:rPr>
          <w:lang w:val="lt-LT"/>
        </w:rPr>
        <w:t xml:space="preserve"> grupės pacientų (n = 3098) ekspozicijos mediana buvo 728 dienos, </w:t>
      </w:r>
      <w:proofErr w:type="spellStart"/>
      <w:r w:rsidRPr="004B0C8F">
        <w:rPr>
          <w:lang w:val="lt-LT"/>
        </w:rPr>
        <w:t>alopurinolio</w:t>
      </w:r>
      <w:proofErr w:type="spellEnd"/>
      <w:r w:rsidRPr="004B0C8F">
        <w:rPr>
          <w:lang w:val="lt-LT"/>
        </w:rPr>
        <w:t xml:space="preserve"> grupės pacientų - 719 dienų (n = 3092).</w:t>
      </w:r>
    </w:p>
    <w:p w14:paraId="52DF52E5" w14:textId="06C66B00" w:rsidR="00B96F4B" w:rsidRPr="004B0C8F" w:rsidRDefault="00B96F4B" w:rsidP="00B96F4B">
      <w:pPr>
        <w:tabs>
          <w:tab w:val="left" w:pos="4680"/>
        </w:tabs>
        <w:spacing w:line="240" w:lineRule="auto"/>
        <w:ind w:left="2" w:right="397"/>
        <w:rPr>
          <w:lang w:val="lt-LT"/>
        </w:rPr>
      </w:pPr>
      <w:r w:rsidRPr="004B0C8F">
        <w:rPr>
          <w:lang w:val="lt-LT"/>
        </w:rPr>
        <w:t xml:space="preserve">Pirminė (pagrindinė) vertinamoji baigtis (MACE) </w:t>
      </w:r>
      <w:proofErr w:type="spellStart"/>
      <w:r w:rsidRPr="004B0C8F">
        <w:rPr>
          <w:lang w:val="lt-LT"/>
        </w:rPr>
        <w:t>febuksostato</w:t>
      </w:r>
      <w:proofErr w:type="spellEnd"/>
      <w:r w:rsidRPr="004B0C8F">
        <w:rPr>
          <w:lang w:val="lt-LT"/>
        </w:rPr>
        <w:t xml:space="preserve"> ir </w:t>
      </w:r>
      <w:proofErr w:type="spellStart"/>
      <w:r w:rsidRPr="004B0C8F">
        <w:rPr>
          <w:lang w:val="lt-LT"/>
        </w:rPr>
        <w:t>alopurinolio</w:t>
      </w:r>
      <w:proofErr w:type="spellEnd"/>
      <w:r w:rsidRPr="004B0C8F">
        <w:rPr>
          <w:lang w:val="lt-LT"/>
        </w:rPr>
        <w:t xml:space="preserve"> gydymo grupėse buvo panaši (atitinkamai 10,8 % ir 10,4 % pacientų; RS 1,03; abipusis pakartotinis 95 % PI 0,8</w:t>
      </w:r>
      <w:r w:rsidR="0064445A" w:rsidRPr="004B0C8F">
        <w:rPr>
          <w:lang w:val="lt-LT"/>
        </w:rPr>
        <w:t>9</w:t>
      </w:r>
      <w:r w:rsidRPr="004B0C8F">
        <w:rPr>
          <w:lang w:val="lt-LT"/>
        </w:rPr>
        <w:t xml:space="preserve"> - 1,2</w:t>
      </w:r>
      <w:r w:rsidR="0064445A" w:rsidRPr="004B0C8F">
        <w:rPr>
          <w:lang w:val="lt-LT"/>
        </w:rPr>
        <w:t>1</w:t>
      </w:r>
      <w:r w:rsidRPr="004B0C8F">
        <w:rPr>
          <w:lang w:val="lt-LT"/>
        </w:rPr>
        <w:t>).</w:t>
      </w:r>
    </w:p>
    <w:p w14:paraId="5C7C06F0" w14:textId="77777777" w:rsidR="00B96F4B" w:rsidRPr="004B0C8F" w:rsidRDefault="00B96F4B" w:rsidP="00B96F4B">
      <w:pPr>
        <w:tabs>
          <w:tab w:val="left" w:pos="4680"/>
        </w:tabs>
        <w:spacing w:line="240" w:lineRule="auto"/>
        <w:ind w:left="2" w:right="397"/>
        <w:rPr>
          <w:lang w:val="lt-LT"/>
        </w:rPr>
      </w:pPr>
      <w:r w:rsidRPr="004B0C8F">
        <w:rPr>
          <w:lang w:val="lt-LT"/>
        </w:rPr>
        <w:t xml:space="preserve">Analizuojant MACE komponentus, mirties dėl kardiovaskulinės ligos atvejų dažnis </w:t>
      </w:r>
      <w:proofErr w:type="spellStart"/>
      <w:r w:rsidRPr="004B0C8F">
        <w:rPr>
          <w:lang w:val="lt-LT"/>
        </w:rPr>
        <w:t>febuksostato</w:t>
      </w:r>
      <w:proofErr w:type="spellEnd"/>
      <w:r w:rsidRPr="004B0C8F">
        <w:rPr>
          <w:lang w:val="lt-LT"/>
        </w:rPr>
        <w:t xml:space="preserve"> grupėje, palyginti su </w:t>
      </w:r>
      <w:proofErr w:type="spellStart"/>
      <w:r w:rsidRPr="004B0C8F">
        <w:rPr>
          <w:lang w:val="lt-LT"/>
        </w:rPr>
        <w:t>alopurinoliu</w:t>
      </w:r>
      <w:proofErr w:type="spellEnd"/>
      <w:r w:rsidRPr="004B0C8F">
        <w:rPr>
          <w:lang w:val="lt-LT"/>
        </w:rPr>
        <w:t xml:space="preserve">, buvo reikšmingai didesnis (4,3 %, palyginti su 3,2 % pacientų; RS 1,34; 95 % PI 1,03-1,73). Kitų MACE reiškinių dažnis </w:t>
      </w:r>
      <w:proofErr w:type="spellStart"/>
      <w:r w:rsidRPr="004B0C8F">
        <w:rPr>
          <w:lang w:val="lt-LT"/>
        </w:rPr>
        <w:t>febuksostato</w:t>
      </w:r>
      <w:proofErr w:type="spellEnd"/>
      <w:r w:rsidRPr="004B0C8F">
        <w:rPr>
          <w:lang w:val="lt-LT"/>
        </w:rPr>
        <w:t xml:space="preserve"> ir </w:t>
      </w:r>
      <w:proofErr w:type="spellStart"/>
      <w:r w:rsidRPr="004B0C8F">
        <w:rPr>
          <w:lang w:val="lt-LT"/>
        </w:rPr>
        <w:t>alopurinolio</w:t>
      </w:r>
      <w:proofErr w:type="spellEnd"/>
      <w:r w:rsidRPr="004B0C8F">
        <w:rPr>
          <w:lang w:val="lt-LT"/>
        </w:rPr>
        <w:t xml:space="preserve"> grupėse buvo panašus: nemirtino MI (3,6 %, palyginti su 3,8 % pacientų; RS 0,93; 95 % PI 0,72-1,21), nemirtino insulto (2,3 % palyginti su 2,3 % pacientų, RS 1,01, 95 % PI 0,73-1,41) ir neatidėliotina </w:t>
      </w:r>
      <w:proofErr w:type="spellStart"/>
      <w:r w:rsidRPr="004B0C8F">
        <w:rPr>
          <w:lang w:val="lt-LT"/>
        </w:rPr>
        <w:t>revaskuliarizacijos</w:t>
      </w:r>
      <w:proofErr w:type="spellEnd"/>
      <w:r w:rsidRPr="004B0C8F">
        <w:rPr>
          <w:lang w:val="lt-LT"/>
        </w:rPr>
        <w:t xml:space="preserve"> procedūra dėl nestabiliosios krūtinės anginos (1,6 %, palyginti su 1,8 % pacientų; RS 0,86; 95 % PI 0,59-1,26). Bet kokios priežasties sukeltas mirtingumas taip pat buvo reikšmingai didesnis gydant </w:t>
      </w:r>
      <w:proofErr w:type="spellStart"/>
      <w:r w:rsidRPr="004B0C8F">
        <w:rPr>
          <w:lang w:val="lt-LT"/>
        </w:rPr>
        <w:t>febuksostatu</w:t>
      </w:r>
      <w:proofErr w:type="spellEnd"/>
      <w:r w:rsidRPr="004B0C8F">
        <w:rPr>
          <w:lang w:val="lt-LT"/>
        </w:rPr>
        <w:t xml:space="preserve"> palyginti su </w:t>
      </w:r>
      <w:proofErr w:type="spellStart"/>
      <w:r w:rsidRPr="004B0C8F">
        <w:rPr>
          <w:lang w:val="lt-LT"/>
        </w:rPr>
        <w:t>alopurinoliu</w:t>
      </w:r>
      <w:proofErr w:type="spellEnd"/>
      <w:r w:rsidRPr="004B0C8F">
        <w:rPr>
          <w:lang w:val="lt-LT"/>
        </w:rPr>
        <w:t xml:space="preserve"> (7,8 %, palyginti su 6,4 % pacientų; RS 1,22; 95 % PI 1,01 - 1,47), kurį daugiausia nulėmė didesnis mirties atvejų skaičius dėl kardiovaskulinių ligų (žr. 4.4 skyrių). Sprendimo hospitalizuoti dėl širdies nepakankamumo, dėl nesusijusios su išemija širdies aritmijos, venų tromboembolijos reiškinių bei dėl praeinančiojo smegenų išemijos priepuolio dažnis buvo panašus vartojant </w:t>
      </w:r>
      <w:proofErr w:type="spellStart"/>
      <w:r w:rsidRPr="004B0C8F">
        <w:rPr>
          <w:lang w:val="lt-LT"/>
        </w:rPr>
        <w:t>febuksostato</w:t>
      </w:r>
      <w:proofErr w:type="spellEnd"/>
      <w:r w:rsidRPr="004B0C8F">
        <w:rPr>
          <w:lang w:val="lt-LT"/>
        </w:rPr>
        <w:t xml:space="preserve"> ir </w:t>
      </w:r>
      <w:proofErr w:type="spellStart"/>
      <w:r w:rsidRPr="004B0C8F">
        <w:rPr>
          <w:lang w:val="lt-LT"/>
        </w:rPr>
        <w:t>alopurinolio</w:t>
      </w:r>
      <w:proofErr w:type="spellEnd"/>
      <w:r w:rsidRPr="004B0C8F">
        <w:rPr>
          <w:lang w:val="lt-LT"/>
        </w:rPr>
        <w:t>.</w:t>
      </w:r>
    </w:p>
    <w:p w14:paraId="4376C2D5" w14:textId="77777777" w:rsidR="009A6330" w:rsidRPr="004B0C8F" w:rsidRDefault="0064445A" w:rsidP="0064445A">
      <w:pPr>
        <w:tabs>
          <w:tab w:val="left" w:pos="4680"/>
        </w:tabs>
        <w:spacing w:line="240" w:lineRule="auto"/>
        <w:ind w:left="2" w:right="397"/>
        <w:rPr>
          <w:lang w:val="lt-LT"/>
        </w:rPr>
      </w:pPr>
      <w:r w:rsidRPr="004B0C8F">
        <w:rPr>
          <w:lang w:val="lt-LT"/>
        </w:rPr>
        <w:t xml:space="preserve">FAST tyrimas buvo </w:t>
      </w:r>
      <w:proofErr w:type="spellStart"/>
      <w:r w:rsidRPr="004B0C8F">
        <w:rPr>
          <w:lang w:val="lt-LT"/>
        </w:rPr>
        <w:t>prospektyvus</w:t>
      </w:r>
      <w:proofErr w:type="spellEnd"/>
      <w:r w:rsidRPr="004B0C8F">
        <w:rPr>
          <w:lang w:val="lt-LT"/>
        </w:rPr>
        <w:t xml:space="preserve">, atsitiktinių imčių, atviras, aklas baigties tyrimas, kurio metu buvo lyginamas </w:t>
      </w:r>
      <w:proofErr w:type="spellStart"/>
      <w:r w:rsidRPr="004B0C8F">
        <w:rPr>
          <w:lang w:val="lt-LT"/>
        </w:rPr>
        <w:t>febuksostato</w:t>
      </w:r>
      <w:proofErr w:type="spellEnd"/>
      <w:r w:rsidRPr="004B0C8F">
        <w:rPr>
          <w:lang w:val="lt-LT"/>
        </w:rPr>
        <w:t xml:space="preserve"> ir </w:t>
      </w:r>
      <w:proofErr w:type="spellStart"/>
      <w:r w:rsidRPr="004B0C8F">
        <w:rPr>
          <w:lang w:val="lt-LT"/>
        </w:rPr>
        <w:t>alopurinolio</w:t>
      </w:r>
      <w:proofErr w:type="spellEnd"/>
      <w:r w:rsidRPr="004B0C8F">
        <w:rPr>
          <w:lang w:val="lt-LT"/>
        </w:rPr>
        <w:t xml:space="preserve"> CV</w:t>
      </w:r>
      <w:r w:rsidR="0033289C" w:rsidRPr="004B0C8F">
        <w:rPr>
          <w:lang w:val="lt-LT"/>
        </w:rPr>
        <w:t xml:space="preserve"> (širdies ir kraujagyslių</w:t>
      </w:r>
      <w:r w:rsidR="009A6330" w:rsidRPr="004B0C8F">
        <w:rPr>
          <w:lang w:val="lt-LT"/>
        </w:rPr>
        <w:t xml:space="preserve"> sistema</w:t>
      </w:r>
    </w:p>
    <w:p w14:paraId="224C988C" w14:textId="05039361" w:rsidR="0064445A" w:rsidRPr="004B0C8F" w:rsidRDefault="0033289C" w:rsidP="0064445A">
      <w:pPr>
        <w:tabs>
          <w:tab w:val="left" w:pos="4680"/>
        </w:tabs>
        <w:spacing w:line="240" w:lineRule="auto"/>
        <w:ind w:left="2" w:right="397"/>
        <w:rPr>
          <w:lang w:val="lt-LT"/>
        </w:rPr>
      </w:pPr>
      <w:r w:rsidRPr="004B0C8F">
        <w:rPr>
          <w:lang w:val="lt-LT"/>
        </w:rPr>
        <w:t>)</w:t>
      </w:r>
      <w:r w:rsidR="0064445A" w:rsidRPr="004B0C8F">
        <w:rPr>
          <w:lang w:val="lt-LT"/>
        </w:rPr>
        <w:t xml:space="preserve"> saugumo profilis pacientams, sergantiems lėtine </w:t>
      </w:r>
      <w:proofErr w:type="spellStart"/>
      <w:r w:rsidR="0064445A" w:rsidRPr="004B0C8F">
        <w:rPr>
          <w:lang w:val="lt-LT"/>
        </w:rPr>
        <w:t>hiperurikemija</w:t>
      </w:r>
      <w:proofErr w:type="spellEnd"/>
      <w:r w:rsidR="0064445A" w:rsidRPr="004B0C8F">
        <w:rPr>
          <w:lang w:val="lt-LT"/>
        </w:rPr>
        <w:t xml:space="preserve"> (sąlygomis, kai jau buvo pasireiškęs uratų nusėdimas) ir CV rizikos veiksniais (</w:t>
      </w:r>
      <w:proofErr w:type="spellStart"/>
      <w:r w:rsidR="0064445A" w:rsidRPr="004B0C8F">
        <w:rPr>
          <w:lang w:val="lt-LT"/>
        </w:rPr>
        <w:t>t.y</w:t>
      </w:r>
      <w:proofErr w:type="spellEnd"/>
      <w:r w:rsidR="0064445A" w:rsidRPr="004B0C8F">
        <w:rPr>
          <w:lang w:val="lt-LT"/>
        </w:rPr>
        <w:t>, 60 metų arba vyresniems pacientams</w:t>
      </w:r>
      <w:r w:rsidRPr="004B0C8F">
        <w:rPr>
          <w:lang w:val="lt-LT"/>
        </w:rPr>
        <w:t xml:space="preserve"> bei su bent vienu CV rizikos faktoriumi</w:t>
      </w:r>
      <w:r w:rsidR="0064445A" w:rsidRPr="004B0C8F">
        <w:rPr>
          <w:lang w:val="lt-LT"/>
        </w:rPr>
        <w:t xml:space="preserve">). Reikalavimus atitinkantys pacientai buvo gydomi </w:t>
      </w:r>
      <w:proofErr w:type="spellStart"/>
      <w:r w:rsidR="0064445A" w:rsidRPr="004B0C8F">
        <w:rPr>
          <w:lang w:val="lt-LT"/>
        </w:rPr>
        <w:t>alopurinoliu</w:t>
      </w:r>
      <w:proofErr w:type="spellEnd"/>
      <w:r w:rsidR="0064445A" w:rsidRPr="004B0C8F">
        <w:rPr>
          <w:lang w:val="lt-LT"/>
        </w:rPr>
        <w:t xml:space="preserve"> prieš atsitiktinių imčių skirstymą, o prireikus dozę reikėjo koreguoti, atsižvelgiant į klinikinį sprendimą, EULAR rekomendacijas ir patvirtintą dozavimą. Įvadinės </w:t>
      </w:r>
      <w:proofErr w:type="spellStart"/>
      <w:r w:rsidR="0064445A" w:rsidRPr="004B0C8F">
        <w:rPr>
          <w:lang w:val="lt-LT"/>
        </w:rPr>
        <w:t>alopurinolio</w:t>
      </w:r>
      <w:proofErr w:type="spellEnd"/>
      <w:r w:rsidR="0064445A" w:rsidRPr="004B0C8F">
        <w:rPr>
          <w:lang w:val="lt-LT"/>
        </w:rPr>
        <w:t xml:space="preserve"> fazės pabaigoje pacientai, kurių </w:t>
      </w:r>
      <w:proofErr w:type="spellStart"/>
      <w:r w:rsidR="0064445A" w:rsidRPr="004B0C8F">
        <w:rPr>
          <w:lang w:val="lt-LT"/>
        </w:rPr>
        <w:t>sUA</w:t>
      </w:r>
      <w:proofErr w:type="spellEnd"/>
      <w:r w:rsidR="0064445A" w:rsidRPr="004B0C8F">
        <w:rPr>
          <w:lang w:val="lt-LT"/>
        </w:rPr>
        <w:t xml:space="preserve"> lygis &lt;0,36 </w:t>
      </w:r>
      <w:proofErr w:type="spellStart"/>
      <w:r w:rsidR="0064445A" w:rsidRPr="004B0C8F">
        <w:rPr>
          <w:lang w:val="lt-LT"/>
        </w:rPr>
        <w:t>mmol</w:t>
      </w:r>
      <w:proofErr w:type="spellEnd"/>
      <w:r w:rsidR="0064445A" w:rsidRPr="004B0C8F">
        <w:rPr>
          <w:lang w:val="lt-LT"/>
        </w:rPr>
        <w:t>/l (&lt;6 mg/</w:t>
      </w:r>
      <w:proofErr w:type="spellStart"/>
      <w:r w:rsidR="0064445A" w:rsidRPr="004B0C8F">
        <w:rPr>
          <w:lang w:val="lt-LT"/>
        </w:rPr>
        <w:t>dL</w:t>
      </w:r>
      <w:proofErr w:type="spellEnd"/>
      <w:r w:rsidR="0064445A" w:rsidRPr="004B0C8F">
        <w:rPr>
          <w:lang w:val="lt-LT"/>
        </w:rPr>
        <w:t xml:space="preserve">) arba kurie gavo didžiausią toleruojamą ar didžiausią leistiną </w:t>
      </w:r>
      <w:proofErr w:type="spellStart"/>
      <w:r w:rsidR="0064445A" w:rsidRPr="004B0C8F">
        <w:rPr>
          <w:lang w:val="lt-LT"/>
        </w:rPr>
        <w:t>alopurinolio</w:t>
      </w:r>
      <w:proofErr w:type="spellEnd"/>
      <w:r w:rsidR="0064445A" w:rsidRPr="004B0C8F">
        <w:rPr>
          <w:lang w:val="lt-LT"/>
        </w:rPr>
        <w:t xml:space="preserve"> dozę, buvo atsitiktinai suskirstyti santykiu 1:1. gydytis </w:t>
      </w:r>
      <w:proofErr w:type="spellStart"/>
      <w:r w:rsidR="0064445A" w:rsidRPr="004B0C8F">
        <w:rPr>
          <w:lang w:val="lt-LT"/>
        </w:rPr>
        <w:t>febuksostatu</w:t>
      </w:r>
      <w:proofErr w:type="spellEnd"/>
      <w:r w:rsidR="0064445A" w:rsidRPr="004B0C8F">
        <w:rPr>
          <w:lang w:val="lt-LT"/>
        </w:rPr>
        <w:t xml:space="preserve"> arba </w:t>
      </w:r>
      <w:proofErr w:type="spellStart"/>
      <w:r w:rsidR="0064445A" w:rsidRPr="004B0C8F">
        <w:rPr>
          <w:lang w:val="lt-LT"/>
        </w:rPr>
        <w:t>alopurinoliu</w:t>
      </w:r>
      <w:proofErr w:type="spellEnd"/>
      <w:r w:rsidR="0064445A" w:rsidRPr="004B0C8F">
        <w:rPr>
          <w:lang w:val="lt-LT"/>
        </w:rPr>
        <w:t xml:space="preserve">. Pirminė tyrimo FAST baigtis buvo laikas iki pirmojo bet kokio įvykio, įtraukto į </w:t>
      </w:r>
      <w:proofErr w:type="spellStart"/>
      <w:r w:rsidR="0064445A" w:rsidRPr="004B0C8F">
        <w:rPr>
          <w:lang w:val="lt-LT"/>
        </w:rPr>
        <w:t>antitrombocitinių</w:t>
      </w:r>
      <w:proofErr w:type="spellEnd"/>
      <w:r w:rsidR="0064445A" w:rsidRPr="004B0C8F">
        <w:rPr>
          <w:lang w:val="lt-LT"/>
        </w:rPr>
        <w:t xml:space="preserve"> tyrėjų bendradarbiavimo (APTC) sudėtin baigtį, pasireiškimo, įskaitant: i) hospitalizavimą dėl nemirtino MI/</w:t>
      </w:r>
      <w:proofErr w:type="spellStart"/>
      <w:r w:rsidR="0064445A" w:rsidRPr="004B0C8F">
        <w:rPr>
          <w:lang w:val="lt-LT"/>
        </w:rPr>
        <w:t>biožymeklio</w:t>
      </w:r>
      <w:proofErr w:type="spellEnd"/>
      <w:r w:rsidR="0064445A" w:rsidRPr="004B0C8F">
        <w:rPr>
          <w:lang w:val="lt-LT"/>
        </w:rPr>
        <w:t xml:space="preserve"> teigiamo ūminio koronarinio sindromo (AKS). ; ii) nemirtinas insultas; iii) mirtis dėl CV įvykio. Pirminė analizė buvo pagrįsta gydymo metodu (OT).</w:t>
      </w:r>
    </w:p>
    <w:p w14:paraId="6F84F2EC" w14:textId="77777777" w:rsidR="0064445A" w:rsidRPr="004B0C8F" w:rsidRDefault="0064445A" w:rsidP="0064445A">
      <w:pPr>
        <w:tabs>
          <w:tab w:val="left" w:pos="4680"/>
        </w:tabs>
        <w:spacing w:line="240" w:lineRule="auto"/>
        <w:ind w:left="2" w:right="397"/>
        <w:rPr>
          <w:lang w:val="lt-LT"/>
        </w:rPr>
      </w:pPr>
      <w:r w:rsidRPr="004B0C8F">
        <w:rPr>
          <w:lang w:val="lt-LT"/>
        </w:rPr>
        <w:t xml:space="preserve">Iš viso 6 128 pacientai buvo atsitiktinai atrinkti, 3 063 - </w:t>
      </w:r>
      <w:proofErr w:type="spellStart"/>
      <w:r w:rsidRPr="004B0C8F">
        <w:rPr>
          <w:lang w:val="lt-LT"/>
        </w:rPr>
        <w:t>febuksostatui</w:t>
      </w:r>
      <w:proofErr w:type="spellEnd"/>
      <w:r w:rsidRPr="004B0C8F">
        <w:rPr>
          <w:lang w:val="lt-LT"/>
        </w:rPr>
        <w:t xml:space="preserve">, o 3 065 - </w:t>
      </w:r>
      <w:proofErr w:type="spellStart"/>
      <w:r w:rsidRPr="004B0C8F">
        <w:rPr>
          <w:lang w:val="lt-LT"/>
        </w:rPr>
        <w:t>alopurinoliui</w:t>
      </w:r>
      <w:proofErr w:type="spellEnd"/>
      <w:r w:rsidRPr="004B0C8F">
        <w:rPr>
          <w:lang w:val="lt-LT"/>
        </w:rPr>
        <w:t>.</w:t>
      </w:r>
    </w:p>
    <w:p w14:paraId="5A682D30" w14:textId="3F19975A" w:rsidR="0064445A" w:rsidRPr="004B0C8F" w:rsidRDefault="00620D9B" w:rsidP="0064445A">
      <w:pPr>
        <w:tabs>
          <w:tab w:val="left" w:pos="4680"/>
        </w:tabs>
        <w:spacing w:line="240" w:lineRule="auto"/>
        <w:ind w:left="2" w:right="397"/>
        <w:rPr>
          <w:lang w:val="lt-LT"/>
        </w:rPr>
      </w:pPr>
      <w:r w:rsidRPr="004B0C8F">
        <w:rPr>
          <w:lang w:val="lt-LT"/>
        </w:rPr>
        <w:t xml:space="preserve">Vidutinis OT laikas </w:t>
      </w:r>
      <w:proofErr w:type="spellStart"/>
      <w:r w:rsidRPr="004B0C8F">
        <w:rPr>
          <w:lang w:val="lt-LT"/>
        </w:rPr>
        <w:t>febuksostato</w:t>
      </w:r>
      <w:proofErr w:type="spellEnd"/>
      <w:r w:rsidRPr="004B0C8F">
        <w:rPr>
          <w:lang w:val="lt-LT"/>
        </w:rPr>
        <w:t xml:space="preserve"> grupėje buvo trumpesnis nei </w:t>
      </w:r>
      <w:proofErr w:type="spellStart"/>
      <w:r w:rsidRPr="004B0C8F">
        <w:rPr>
          <w:lang w:val="lt-LT"/>
        </w:rPr>
        <w:t>alopurinolio</w:t>
      </w:r>
      <w:proofErr w:type="spellEnd"/>
      <w:r w:rsidRPr="004B0C8F">
        <w:rPr>
          <w:lang w:val="lt-LT"/>
        </w:rPr>
        <w:t xml:space="preserve"> grupėje (1 227 dienos </w:t>
      </w:r>
      <w:proofErr w:type="spellStart"/>
      <w:r w:rsidRPr="004B0C8F">
        <w:rPr>
          <w:lang w:val="lt-LT"/>
        </w:rPr>
        <w:t>v.v</w:t>
      </w:r>
      <w:proofErr w:type="spellEnd"/>
      <w:r w:rsidRPr="004B0C8F">
        <w:rPr>
          <w:lang w:val="lt-LT"/>
        </w:rPr>
        <w:t xml:space="preserve">. 1 393 dienos). </w:t>
      </w:r>
      <w:r w:rsidR="0064445A" w:rsidRPr="004B0C8F">
        <w:rPr>
          <w:lang w:val="lt-LT"/>
        </w:rPr>
        <w:t xml:space="preserve">Pirminės OT analizės metu </w:t>
      </w:r>
      <w:proofErr w:type="spellStart"/>
      <w:r w:rsidR="0064445A" w:rsidRPr="004B0C8F">
        <w:rPr>
          <w:lang w:val="lt-LT"/>
        </w:rPr>
        <w:t>febuksostatas</w:t>
      </w:r>
      <w:proofErr w:type="spellEnd"/>
      <w:r w:rsidR="0064445A" w:rsidRPr="004B0C8F">
        <w:rPr>
          <w:lang w:val="lt-LT"/>
        </w:rPr>
        <w:t xml:space="preserve"> buvo ne </w:t>
      </w:r>
      <w:r w:rsidR="009A6330" w:rsidRPr="004B0C8F">
        <w:rPr>
          <w:lang w:val="lt-LT"/>
        </w:rPr>
        <w:t>blogesnis</w:t>
      </w:r>
      <w:r w:rsidR="0064445A" w:rsidRPr="004B0C8F">
        <w:rPr>
          <w:lang w:val="lt-LT"/>
        </w:rPr>
        <w:t xml:space="preserve"> už </w:t>
      </w:r>
      <w:proofErr w:type="spellStart"/>
      <w:r w:rsidR="0064445A" w:rsidRPr="004B0C8F">
        <w:rPr>
          <w:lang w:val="lt-LT"/>
        </w:rPr>
        <w:t>alopurinolį</w:t>
      </w:r>
      <w:proofErr w:type="spellEnd"/>
      <w:r w:rsidR="0064445A" w:rsidRPr="004B0C8F">
        <w:rPr>
          <w:lang w:val="lt-LT"/>
        </w:rPr>
        <w:t xml:space="preserve"> pagal pirminės vertinamosios baigties dažnį, kuris pasireiškė 172 pacientams (1,72/100 paciento metų), vartojusiems </w:t>
      </w:r>
      <w:proofErr w:type="spellStart"/>
      <w:r w:rsidR="0064445A" w:rsidRPr="004B0C8F">
        <w:rPr>
          <w:lang w:val="lt-LT"/>
        </w:rPr>
        <w:t>febuksostatą</w:t>
      </w:r>
      <w:proofErr w:type="spellEnd"/>
      <w:r w:rsidR="0064445A" w:rsidRPr="004B0C8F">
        <w:rPr>
          <w:lang w:val="lt-LT"/>
        </w:rPr>
        <w:t xml:space="preserve">, palyginti su 241 pacientu (2,05/100 paciento metų), vartojusių </w:t>
      </w:r>
      <w:proofErr w:type="spellStart"/>
      <w:r w:rsidR="0064445A" w:rsidRPr="004B0C8F">
        <w:rPr>
          <w:lang w:val="lt-LT"/>
        </w:rPr>
        <w:t>alopurinolį</w:t>
      </w:r>
      <w:proofErr w:type="spellEnd"/>
      <w:r w:rsidR="009A6330" w:rsidRPr="004B0C8F">
        <w:rPr>
          <w:lang w:val="lt-LT"/>
        </w:rPr>
        <w:t>;</w:t>
      </w:r>
      <w:r w:rsidR="0064445A" w:rsidRPr="004B0C8F">
        <w:rPr>
          <w:lang w:val="lt-LT"/>
        </w:rPr>
        <w:t xml:space="preserve"> pakoreguotas ŠSD 0,85 (95 % PI: 0,70, 1,03), p&lt;0,001. Pirminės vertinamosios baigties OT analizė pacientų, sirgusių MI, insultu ar ŪKS anamnezėje, pogrupyje reikšmingo skirtumo tarp gydymo grupių neparodė: </w:t>
      </w:r>
      <w:proofErr w:type="spellStart"/>
      <w:r w:rsidR="0064445A" w:rsidRPr="004B0C8F">
        <w:rPr>
          <w:lang w:val="lt-LT"/>
        </w:rPr>
        <w:t>febuksostato</w:t>
      </w:r>
      <w:proofErr w:type="spellEnd"/>
      <w:r w:rsidR="0064445A" w:rsidRPr="004B0C8F">
        <w:rPr>
          <w:lang w:val="lt-LT"/>
        </w:rPr>
        <w:t xml:space="preserve"> grupėje buvo 65 (9,5 %) pacientai ir 83 </w:t>
      </w:r>
      <w:r w:rsidR="0064445A" w:rsidRPr="004B0C8F">
        <w:rPr>
          <w:lang w:val="lt-LT"/>
        </w:rPr>
        <w:lastRenderedPageBreak/>
        <w:t xml:space="preserve">(11,8 %) pacientai. su įvykiais </w:t>
      </w:r>
      <w:proofErr w:type="spellStart"/>
      <w:r w:rsidR="0064445A" w:rsidRPr="004B0C8F">
        <w:rPr>
          <w:lang w:val="lt-LT"/>
        </w:rPr>
        <w:t>alopurinolio</w:t>
      </w:r>
      <w:proofErr w:type="spellEnd"/>
      <w:r w:rsidR="0064445A" w:rsidRPr="004B0C8F">
        <w:rPr>
          <w:lang w:val="lt-LT"/>
        </w:rPr>
        <w:t xml:space="preserve"> grupėje; pakoreguotas ŠSD 1,02 (95 % PI: 0,74-1,42); p=0,202.</w:t>
      </w:r>
    </w:p>
    <w:p w14:paraId="699A622D" w14:textId="77777777" w:rsidR="0064445A" w:rsidRPr="004B0C8F" w:rsidRDefault="0064445A" w:rsidP="0064445A">
      <w:pPr>
        <w:tabs>
          <w:tab w:val="left" w:pos="4680"/>
        </w:tabs>
        <w:spacing w:line="240" w:lineRule="auto"/>
        <w:ind w:left="2" w:right="397"/>
        <w:rPr>
          <w:lang w:val="lt-LT"/>
        </w:rPr>
      </w:pPr>
      <w:r w:rsidRPr="004B0C8F">
        <w:rPr>
          <w:lang w:val="lt-LT"/>
        </w:rPr>
        <w:t xml:space="preserve">Gydymas </w:t>
      </w:r>
      <w:proofErr w:type="spellStart"/>
      <w:r w:rsidRPr="004B0C8F">
        <w:rPr>
          <w:lang w:val="lt-LT"/>
        </w:rPr>
        <w:t>febuksostatu</w:t>
      </w:r>
      <w:proofErr w:type="spellEnd"/>
      <w:r w:rsidRPr="004B0C8F">
        <w:rPr>
          <w:lang w:val="lt-LT"/>
        </w:rPr>
        <w:t xml:space="preserve"> nebuvo susijęs su padidėjusiu CV ar dėl bet kokios priežasties mirties atvejų nei apskritai, nei pacientų, kuriems buvo pradinė MI, insultas ar ŪKS, pogrupyje. Apskritai </w:t>
      </w:r>
      <w:proofErr w:type="spellStart"/>
      <w:r w:rsidRPr="004B0C8F">
        <w:rPr>
          <w:lang w:val="lt-LT"/>
        </w:rPr>
        <w:t>febuksostato</w:t>
      </w:r>
      <w:proofErr w:type="spellEnd"/>
      <w:r w:rsidRPr="004B0C8F">
        <w:rPr>
          <w:lang w:val="lt-LT"/>
        </w:rPr>
        <w:t xml:space="preserve"> grupėje buvo mažiau mirčių (62 mirtys nuo CV ir 108 mirtys dėl visų priežasčių) nei </w:t>
      </w:r>
      <w:proofErr w:type="spellStart"/>
      <w:r w:rsidRPr="004B0C8F">
        <w:rPr>
          <w:lang w:val="lt-LT"/>
        </w:rPr>
        <w:t>alopurinolio</w:t>
      </w:r>
      <w:proofErr w:type="spellEnd"/>
      <w:r w:rsidRPr="004B0C8F">
        <w:rPr>
          <w:lang w:val="lt-LT"/>
        </w:rPr>
        <w:t xml:space="preserve"> grupėje (82 CV mirtys ir 174 mirtys dėl visų priežasčių).</w:t>
      </w:r>
    </w:p>
    <w:p w14:paraId="28D0E87E" w14:textId="62B54D16" w:rsidR="00B96F4B" w:rsidRPr="004B0C8F" w:rsidRDefault="0064445A" w:rsidP="0064445A">
      <w:pPr>
        <w:tabs>
          <w:tab w:val="left" w:pos="4680"/>
        </w:tabs>
        <w:spacing w:line="240" w:lineRule="auto"/>
        <w:ind w:left="2" w:right="397"/>
        <w:rPr>
          <w:lang w:val="lt-LT"/>
        </w:rPr>
      </w:pPr>
      <w:r w:rsidRPr="004B0C8F">
        <w:rPr>
          <w:lang w:val="lt-LT"/>
        </w:rPr>
        <w:t xml:space="preserve">Gydant </w:t>
      </w:r>
      <w:proofErr w:type="spellStart"/>
      <w:r w:rsidRPr="004B0C8F">
        <w:rPr>
          <w:lang w:val="lt-LT"/>
        </w:rPr>
        <w:t>febuksostatu</w:t>
      </w:r>
      <w:proofErr w:type="spellEnd"/>
      <w:r w:rsidRPr="004B0C8F">
        <w:rPr>
          <w:lang w:val="lt-LT"/>
        </w:rPr>
        <w:t xml:space="preserve">, šlapimo rūgšties kiekis sumažėjo labiau, nei gydant </w:t>
      </w:r>
      <w:proofErr w:type="spellStart"/>
      <w:r w:rsidRPr="004B0C8F">
        <w:rPr>
          <w:lang w:val="lt-LT"/>
        </w:rPr>
        <w:t>alopurinoliu</w:t>
      </w:r>
      <w:proofErr w:type="spellEnd"/>
      <w:r w:rsidRPr="004B0C8F">
        <w:rPr>
          <w:lang w:val="lt-LT"/>
        </w:rPr>
        <w:t>.</w:t>
      </w:r>
    </w:p>
    <w:p w14:paraId="044D2F26" w14:textId="77777777" w:rsidR="00273470" w:rsidRPr="004A478C" w:rsidRDefault="00273470" w:rsidP="003B28E4">
      <w:pPr>
        <w:tabs>
          <w:tab w:val="left" w:pos="4680"/>
        </w:tabs>
        <w:spacing w:line="240" w:lineRule="auto"/>
        <w:rPr>
          <w:lang w:val="lt-LT"/>
        </w:rPr>
      </w:pPr>
      <w:r w:rsidRPr="004A478C">
        <w:rPr>
          <w:lang w:val="lt-LT"/>
        </w:rPr>
        <w:t xml:space="preserve"> </w:t>
      </w:r>
    </w:p>
    <w:p w14:paraId="20166553" w14:textId="77777777" w:rsidR="00273470" w:rsidRPr="004A478C" w:rsidRDefault="00273470" w:rsidP="003B28E4">
      <w:pPr>
        <w:pStyle w:val="Antrat4"/>
        <w:tabs>
          <w:tab w:val="center" w:pos="1676"/>
          <w:tab w:val="left" w:pos="4680"/>
        </w:tabs>
        <w:spacing w:line="240" w:lineRule="auto"/>
        <w:ind w:left="-15"/>
        <w:rPr>
          <w:rFonts w:ascii="Times New Roman" w:hAnsi="Times New Roman"/>
          <w:sz w:val="22"/>
          <w:lang w:val="lt-LT"/>
        </w:rPr>
      </w:pPr>
      <w:r w:rsidRPr="004A478C">
        <w:rPr>
          <w:rFonts w:ascii="Times New Roman" w:hAnsi="Times New Roman"/>
          <w:sz w:val="22"/>
          <w:lang w:val="lt-LT"/>
        </w:rPr>
        <w:t xml:space="preserve">5.2 </w:t>
      </w:r>
      <w:r w:rsidRPr="004A478C">
        <w:rPr>
          <w:rFonts w:ascii="Times New Roman" w:hAnsi="Times New Roman"/>
          <w:sz w:val="22"/>
          <w:lang w:val="lt-LT"/>
        </w:rPr>
        <w:tab/>
      </w:r>
      <w:proofErr w:type="spellStart"/>
      <w:r w:rsidRPr="004A478C">
        <w:rPr>
          <w:rFonts w:ascii="Times New Roman" w:hAnsi="Times New Roman"/>
          <w:sz w:val="22"/>
          <w:lang w:val="lt-LT"/>
        </w:rPr>
        <w:t>Farmakokinetinės</w:t>
      </w:r>
      <w:proofErr w:type="spellEnd"/>
      <w:r w:rsidRPr="004A478C">
        <w:rPr>
          <w:rFonts w:ascii="Times New Roman" w:hAnsi="Times New Roman"/>
          <w:sz w:val="22"/>
          <w:lang w:val="lt-LT"/>
        </w:rPr>
        <w:t xml:space="preserve"> savybės </w:t>
      </w:r>
    </w:p>
    <w:p w14:paraId="1639F48D" w14:textId="77777777" w:rsidR="00273470" w:rsidRPr="004A478C" w:rsidRDefault="00273470" w:rsidP="003B28E4">
      <w:pPr>
        <w:tabs>
          <w:tab w:val="left" w:pos="4680"/>
        </w:tabs>
        <w:spacing w:line="240" w:lineRule="auto"/>
        <w:rPr>
          <w:lang w:val="lt-LT"/>
        </w:rPr>
      </w:pPr>
      <w:r w:rsidRPr="004A478C">
        <w:rPr>
          <w:lang w:val="lt-LT"/>
        </w:rPr>
        <w:t xml:space="preserve"> </w:t>
      </w:r>
    </w:p>
    <w:p w14:paraId="48677F11" w14:textId="77777777" w:rsidR="00273470" w:rsidRPr="004A478C" w:rsidRDefault="00273470" w:rsidP="003B28E4">
      <w:pPr>
        <w:tabs>
          <w:tab w:val="left" w:pos="4680"/>
        </w:tabs>
        <w:spacing w:line="240" w:lineRule="auto"/>
        <w:ind w:left="2" w:right="397"/>
        <w:rPr>
          <w:lang w:val="lt-LT"/>
        </w:rPr>
      </w:pPr>
      <w:r w:rsidRPr="004A478C">
        <w:rPr>
          <w:lang w:val="lt-LT"/>
        </w:rPr>
        <w:t xml:space="preserve">Sveikiems asmenims </w:t>
      </w:r>
      <w:proofErr w:type="spellStart"/>
      <w:r w:rsidRPr="004A478C">
        <w:rPr>
          <w:lang w:val="lt-LT"/>
        </w:rPr>
        <w:t>febuksostato</w:t>
      </w:r>
      <w:proofErr w:type="spellEnd"/>
      <w:r w:rsidRPr="004A478C">
        <w:rPr>
          <w:lang w:val="lt-LT"/>
        </w:rPr>
        <w:t xml:space="preserve"> maksimali koncentracija plazmoje (</w:t>
      </w:r>
      <w:proofErr w:type="spellStart"/>
      <w:r w:rsidRPr="004A478C">
        <w:rPr>
          <w:lang w:val="lt-LT"/>
        </w:rPr>
        <w:t>C</w:t>
      </w:r>
      <w:r w:rsidRPr="004A478C">
        <w:rPr>
          <w:vertAlign w:val="subscript"/>
          <w:lang w:val="lt-LT"/>
        </w:rPr>
        <w:t>max</w:t>
      </w:r>
      <w:proofErr w:type="spellEnd"/>
      <w:r w:rsidRPr="004A478C">
        <w:rPr>
          <w:lang w:val="lt-LT"/>
        </w:rPr>
        <w:t>) ir plotas, kurį koordinačių sistemoje riboja koncentracijos ir laiko kreivė (AUC) didėjo proporcingai dozei po vienos ir kartotinių 10</w:t>
      </w:r>
      <w:r w:rsidR="00E87295" w:rsidRPr="004A478C">
        <w:rPr>
          <w:lang w:val="lt-LT"/>
        </w:rPr>
        <w:t> mg</w:t>
      </w:r>
      <w:r w:rsidRPr="004A478C">
        <w:rPr>
          <w:lang w:val="lt-LT"/>
        </w:rPr>
        <w:t xml:space="preserve"> – 120</w:t>
      </w:r>
      <w:r w:rsidR="00E87295" w:rsidRPr="004A478C">
        <w:rPr>
          <w:lang w:val="lt-LT"/>
        </w:rPr>
        <w:t> mg</w:t>
      </w:r>
      <w:r w:rsidRPr="004A478C">
        <w:rPr>
          <w:lang w:val="lt-LT"/>
        </w:rPr>
        <w:t xml:space="preserve"> dozių suvartojimo. Vartojant 120</w:t>
      </w:r>
      <w:r w:rsidR="00E87295" w:rsidRPr="004A478C">
        <w:rPr>
          <w:lang w:val="lt-LT"/>
        </w:rPr>
        <w:t> mg</w:t>
      </w:r>
      <w:r w:rsidRPr="004A478C">
        <w:rPr>
          <w:lang w:val="lt-LT"/>
        </w:rPr>
        <w:t xml:space="preserve"> – 300</w:t>
      </w:r>
      <w:r w:rsidR="00E87295" w:rsidRPr="004A478C">
        <w:rPr>
          <w:lang w:val="lt-LT"/>
        </w:rPr>
        <w:t> mg</w:t>
      </w:r>
      <w:r w:rsidRPr="004A478C">
        <w:rPr>
          <w:lang w:val="lt-LT"/>
        </w:rPr>
        <w:t xml:space="preserve"> </w:t>
      </w:r>
      <w:proofErr w:type="spellStart"/>
      <w:r w:rsidRPr="004A478C">
        <w:rPr>
          <w:lang w:val="lt-LT"/>
        </w:rPr>
        <w:t>febuksostato</w:t>
      </w:r>
      <w:proofErr w:type="spellEnd"/>
      <w:r w:rsidRPr="004A478C">
        <w:rPr>
          <w:lang w:val="lt-LT"/>
        </w:rPr>
        <w:t xml:space="preserve"> dozes, AUC didėjo greičiau, nei proporcingai dozei. Vartojant 10</w:t>
      </w:r>
      <w:r w:rsidR="00E87295" w:rsidRPr="004A478C">
        <w:rPr>
          <w:lang w:val="lt-LT"/>
        </w:rPr>
        <w:t> mg</w:t>
      </w:r>
      <w:r w:rsidRPr="004A478C">
        <w:rPr>
          <w:lang w:val="lt-LT"/>
        </w:rPr>
        <w:t xml:space="preserve"> – 240</w:t>
      </w:r>
      <w:r w:rsidR="00E87295" w:rsidRPr="004A478C">
        <w:rPr>
          <w:lang w:val="lt-LT"/>
        </w:rPr>
        <w:t> mg</w:t>
      </w:r>
      <w:r w:rsidRPr="004A478C">
        <w:rPr>
          <w:lang w:val="lt-LT"/>
        </w:rPr>
        <w:t xml:space="preserve"> dozes kas 24 valandas vaisto kaupimosi nepastebėta. </w:t>
      </w:r>
      <w:proofErr w:type="spellStart"/>
      <w:r w:rsidRPr="004A478C">
        <w:rPr>
          <w:lang w:val="lt-LT"/>
        </w:rPr>
        <w:t>Febuksostato</w:t>
      </w:r>
      <w:proofErr w:type="spellEnd"/>
      <w:r w:rsidRPr="004A478C">
        <w:rPr>
          <w:lang w:val="lt-LT"/>
        </w:rPr>
        <w:t xml:space="preserve"> tariamasis vidutinis galutinis pusinės eliminacijos periodas (t</w:t>
      </w:r>
      <w:r w:rsidRPr="004A478C">
        <w:rPr>
          <w:vertAlign w:val="subscript"/>
          <w:lang w:val="lt-LT"/>
        </w:rPr>
        <w:t>1/2</w:t>
      </w:r>
      <w:r w:rsidRPr="004A478C">
        <w:rPr>
          <w:lang w:val="lt-LT"/>
        </w:rPr>
        <w:t xml:space="preserve">) trunka apytiksliai 5–8 val.  </w:t>
      </w:r>
    </w:p>
    <w:p w14:paraId="458291B5" w14:textId="77777777" w:rsidR="00273470" w:rsidRPr="004A478C" w:rsidRDefault="00273470" w:rsidP="003B28E4">
      <w:pPr>
        <w:tabs>
          <w:tab w:val="left" w:pos="4680"/>
        </w:tabs>
        <w:spacing w:line="240" w:lineRule="auto"/>
        <w:rPr>
          <w:lang w:val="lt-LT"/>
        </w:rPr>
      </w:pPr>
      <w:r w:rsidRPr="004A478C">
        <w:rPr>
          <w:lang w:val="lt-LT"/>
        </w:rPr>
        <w:t xml:space="preserve"> </w:t>
      </w:r>
    </w:p>
    <w:p w14:paraId="3D1CA120" w14:textId="62A85B8C" w:rsidR="00273470" w:rsidRPr="004A478C" w:rsidRDefault="00273470" w:rsidP="003B28E4">
      <w:pPr>
        <w:tabs>
          <w:tab w:val="left" w:pos="4680"/>
        </w:tabs>
        <w:spacing w:line="240" w:lineRule="auto"/>
        <w:ind w:left="2" w:right="397"/>
        <w:rPr>
          <w:lang w:val="lt-LT"/>
        </w:rPr>
      </w:pPr>
      <w:r w:rsidRPr="004A478C">
        <w:rPr>
          <w:lang w:val="lt-LT"/>
        </w:rPr>
        <w:t xml:space="preserve">Gyventojų grupių </w:t>
      </w:r>
      <w:proofErr w:type="spellStart"/>
      <w:r w:rsidRPr="004A478C">
        <w:rPr>
          <w:lang w:val="lt-LT"/>
        </w:rPr>
        <w:t>farmakokinetinės</w:t>
      </w:r>
      <w:proofErr w:type="spellEnd"/>
      <w:r w:rsidRPr="004A478C">
        <w:rPr>
          <w:lang w:val="lt-LT"/>
        </w:rPr>
        <w:t>/</w:t>
      </w:r>
      <w:proofErr w:type="spellStart"/>
      <w:r w:rsidRPr="004A478C">
        <w:rPr>
          <w:lang w:val="lt-LT"/>
        </w:rPr>
        <w:t>farmakodinaminės</w:t>
      </w:r>
      <w:proofErr w:type="spellEnd"/>
      <w:r w:rsidRPr="004A478C">
        <w:rPr>
          <w:lang w:val="lt-LT"/>
        </w:rPr>
        <w:t xml:space="preserve"> analizės atliktos su 211 pacientų, sergančių </w:t>
      </w:r>
      <w:proofErr w:type="spellStart"/>
      <w:r w:rsidRPr="004A478C">
        <w:rPr>
          <w:lang w:val="lt-LT"/>
        </w:rPr>
        <w:t>hiperurikemija</w:t>
      </w:r>
      <w:proofErr w:type="spellEnd"/>
      <w:r w:rsidRPr="004A478C">
        <w:rPr>
          <w:lang w:val="lt-LT"/>
        </w:rPr>
        <w:t xml:space="preserve"> ir podagra, kurie buvo gydomi </w:t>
      </w:r>
      <w:r w:rsidR="00DB0523" w:rsidRPr="004A478C">
        <w:rPr>
          <w:lang w:val="lt-LT"/>
        </w:rPr>
        <w:t>febuksostatu</w:t>
      </w:r>
      <w:r w:rsidRPr="004A478C">
        <w:rPr>
          <w:lang w:val="lt-LT"/>
        </w:rPr>
        <w:t>40–240</w:t>
      </w:r>
      <w:r w:rsidR="00E87295" w:rsidRPr="004A478C">
        <w:rPr>
          <w:lang w:val="lt-LT"/>
        </w:rPr>
        <w:t> mg</w:t>
      </w:r>
      <w:r w:rsidRPr="004A478C">
        <w:rPr>
          <w:lang w:val="lt-LT"/>
        </w:rPr>
        <w:t xml:space="preserve"> per parą. Iš esmės, šių analizių pateikti </w:t>
      </w:r>
      <w:proofErr w:type="spellStart"/>
      <w:r w:rsidRPr="004A478C">
        <w:rPr>
          <w:lang w:val="lt-LT"/>
        </w:rPr>
        <w:t>febuksostato</w:t>
      </w:r>
      <w:proofErr w:type="spellEnd"/>
      <w:r w:rsidRPr="004A478C">
        <w:rPr>
          <w:lang w:val="lt-LT"/>
        </w:rPr>
        <w:t xml:space="preserve"> </w:t>
      </w:r>
      <w:proofErr w:type="spellStart"/>
      <w:r w:rsidRPr="004A478C">
        <w:rPr>
          <w:lang w:val="lt-LT"/>
        </w:rPr>
        <w:t>farmakokinetiniai</w:t>
      </w:r>
      <w:proofErr w:type="spellEnd"/>
      <w:r w:rsidRPr="004A478C">
        <w:rPr>
          <w:lang w:val="lt-LT"/>
        </w:rPr>
        <w:t xml:space="preserve"> parametrai atitinka su sveikais asmenimis gautus rezultatus. Tai rodo, kad sveikiems asmenims nustatytus </w:t>
      </w:r>
      <w:proofErr w:type="spellStart"/>
      <w:r w:rsidRPr="004A478C">
        <w:rPr>
          <w:lang w:val="lt-LT"/>
        </w:rPr>
        <w:t>farmakokinetinius</w:t>
      </w:r>
      <w:proofErr w:type="spellEnd"/>
      <w:r w:rsidRPr="004A478C">
        <w:rPr>
          <w:lang w:val="lt-LT"/>
        </w:rPr>
        <w:t>/</w:t>
      </w:r>
      <w:proofErr w:type="spellStart"/>
      <w:r w:rsidRPr="004A478C">
        <w:rPr>
          <w:lang w:val="lt-LT"/>
        </w:rPr>
        <w:t>farmakodinaminius</w:t>
      </w:r>
      <w:proofErr w:type="spellEnd"/>
      <w:r w:rsidRPr="004A478C">
        <w:rPr>
          <w:lang w:val="lt-LT"/>
        </w:rPr>
        <w:t xml:space="preserve"> vertinimus galima taikyti ir podagra sergantiems ligoniams. </w:t>
      </w:r>
    </w:p>
    <w:p w14:paraId="0E5E1056" w14:textId="77777777" w:rsidR="00273470" w:rsidRPr="004A478C" w:rsidRDefault="00273470" w:rsidP="003B28E4">
      <w:pPr>
        <w:tabs>
          <w:tab w:val="left" w:pos="4680"/>
        </w:tabs>
        <w:spacing w:line="240" w:lineRule="auto"/>
        <w:rPr>
          <w:lang w:val="lt-LT"/>
        </w:rPr>
      </w:pPr>
      <w:r w:rsidRPr="004A478C">
        <w:rPr>
          <w:lang w:val="lt-LT"/>
        </w:rPr>
        <w:t xml:space="preserve"> </w:t>
      </w:r>
    </w:p>
    <w:p w14:paraId="49A56033" w14:textId="77777777" w:rsidR="00273470" w:rsidRPr="004A478C" w:rsidRDefault="00273470" w:rsidP="003B28E4">
      <w:pPr>
        <w:tabs>
          <w:tab w:val="left" w:pos="4680"/>
        </w:tabs>
        <w:spacing w:line="240" w:lineRule="auto"/>
        <w:ind w:left="-5"/>
        <w:rPr>
          <w:u w:val="single"/>
          <w:lang w:val="lt-LT"/>
        </w:rPr>
      </w:pPr>
      <w:r w:rsidRPr="004A478C">
        <w:rPr>
          <w:u w:val="single"/>
          <w:lang w:val="lt-LT"/>
        </w:rPr>
        <w:t xml:space="preserve">Absorbcija </w:t>
      </w:r>
    </w:p>
    <w:p w14:paraId="68685DC4" w14:textId="77777777" w:rsidR="00273470" w:rsidRPr="004A478C" w:rsidRDefault="00273470" w:rsidP="003B28E4">
      <w:pPr>
        <w:tabs>
          <w:tab w:val="left" w:pos="4680"/>
        </w:tabs>
        <w:spacing w:line="240" w:lineRule="auto"/>
        <w:ind w:left="2" w:right="397"/>
        <w:rPr>
          <w:lang w:val="lt-LT"/>
        </w:rPr>
      </w:pPr>
      <w:proofErr w:type="spellStart"/>
      <w:r w:rsidRPr="004A478C">
        <w:rPr>
          <w:lang w:val="lt-LT"/>
        </w:rPr>
        <w:t>Febuksostatas</w:t>
      </w:r>
      <w:proofErr w:type="spellEnd"/>
      <w:r w:rsidRPr="004A478C">
        <w:rPr>
          <w:lang w:val="lt-LT"/>
        </w:rPr>
        <w:t xml:space="preserve"> absorbuojamas greitai (</w:t>
      </w:r>
      <w:proofErr w:type="spellStart"/>
      <w:r w:rsidRPr="004A478C">
        <w:rPr>
          <w:lang w:val="lt-LT"/>
        </w:rPr>
        <w:t>t</w:t>
      </w:r>
      <w:r w:rsidRPr="004A478C">
        <w:rPr>
          <w:vertAlign w:val="subscript"/>
          <w:lang w:val="lt-LT"/>
        </w:rPr>
        <w:t>max</w:t>
      </w:r>
      <w:proofErr w:type="spellEnd"/>
      <w:r w:rsidRPr="004A478C">
        <w:rPr>
          <w:lang w:val="lt-LT"/>
        </w:rPr>
        <w:t xml:space="preserve"> yra 1,0–1,5 </w:t>
      </w:r>
      <w:proofErr w:type="spellStart"/>
      <w:r w:rsidRPr="004A478C">
        <w:rPr>
          <w:lang w:val="lt-LT"/>
        </w:rPr>
        <w:t>val</w:t>
      </w:r>
      <w:proofErr w:type="spellEnd"/>
      <w:r w:rsidRPr="004A478C">
        <w:rPr>
          <w:lang w:val="lt-LT"/>
        </w:rPr>
        <w:t>) ir gerai (ne mažiau 84</w:t>
      </w:r>
      <w:r w:rsidR="00DB0523" w:rsidRPr="004A478C">
        <w:rPr>
          <w:lang w:val="lt-LT"/>
        </w:rPr>
        <w:t> </w:t>
      </w:r>
      <w:r w:rsidRPr="004A478C">
        <w:rPr>
          <w:lang w:val="lt-LT"/>
        </w:rPr>
        <w:t>%). Po vienos ar kartotinių per burną vienąkart per parą vartojamų 80</w:t>
      </w:r>
      <w:r w:rsidR="00E87295" w:rsidRPr="004A478C">
        <w:rPr>
          <w:lang w:val="lt-LT"/>
        </w:rPr>
        <w:t> mg</w:t>
      </w:r>
      <w:r w:rsidRPr="004A478C">
        <w:rPr>
          <w:lang w:val="lt-LT"/>
        </w:rPr>
        <w:t xml:space="preserve"> ir 120</w:t>
      </w:r>
      <w:r w:rsidR="00E87295" w:rsidRPr="004A478C">
        <w:rPr>
          <w:lang w:val="lt-LT"/>
        </w:rPr>
        <w:t> mg</w:t>
      </w:r>
      <w:r w:rsidRPr="004A478C">
        <w:rPr>
          <w:lang w:val="lt-LT"/>
        </w:rPr>
        <w:t xml:space="preserve"> dozių, </w:t>
      </w:r>
      <w:proofErr w:type="spellStart"/>
      <w:r w:rsidRPr="004A478C">
        <w:rPr>
          <w:lang w:val="lt-LT"/>
        </w:rPr>
        <w:t>C</w:t>
      </w:r>
      <w:r w:rsidRPr="004A478C">
        <w:rPr>
          <w:vertAlign w:val="subscript"/>
          <w:lang w:val="lt-LT"/>
        </w:rPr>
        <w:t>max</w:t>
      </w:r>
      <w:proofErr w:type="spellEnd"/>
      <w:r w:rsidRPr="004A478C">
        <w:rPr>
          <w:lang w:val="lt-LT"/>
        </w:rPr>
        <w:t xml:space="preserve"> yra atitinkamai maždaug 2,8–3,2 µg/ml ir 5,0–5,3 µg/ml. </w:t>
      </w:r>
      <w:proofErr w:type="spellStart"/>
      <w:r w:rsidRPr="004A478C">
        <w:rPr>
          <w:lang w:val="lt-LT"/>
        </w:rPr>
        <w:t>Febuksostato</w:t>
      </w:r>
      <w:proofErr w:type="spellEnd"/>
      <w:r w:rsidRPr="004A478C">
        <w:rPr>
          <w:lang w:val="lt-LT"/>
        </w:rPr>
        <w:t xml:space="preserve">, vartojamo tabletėmis, absoliutaus biologinio prieinamumo tyrimų neatlikta.  </w:t>
      </w:r>
    </w:p>
    <w:p w14:paraId="06E20EDC" w14:textId="77777777" w:rsidR="00273470" w:rsidRPr="004A478C" w:rsidRDefault="00273470" w:rsidP="003B28E4">
      <w:pPr>
        <w:tabs>
          <w:tab w:val="left" w:pos="4680"/>
        </w:tabs>
        <w:spacing w:line="240" w:lineRule="auto"/>
        <w:rPr>
          <w:lang w:val="lt-LT"/>
        </w:rPr>
      </w:pPr>
      <w:r w:rsidRPr="004A478C">
        <w:rPr>
          <w:lang w:val="lt-LT"/>
        </w:rPr>
        <w:t xml:space="preserve"> </w:t>
      </w:r>
    </w:p>
    <w:p w14:paraId="2960BB8E" w14:textId="77777777" w:rsidR="00273470" w:rsidRPr="004A478C" w:rsidRDefault="00273470" w:rsidP="003B28E4">
      <w:pPr>
        <w:tabs>
          <w:tab w:val="left" w:pos="4680"/>
        </w:tabs>
        <w:spacing w:line="240" w:lineRule="auto"/>
        <w:ind w:left="2" w:right="397"/>
        <w:rPr>
          <w:lang w:val="lt-LT"/>
        </w:rPr>
      </w:pPr>
      <w:r w:rsidRPr="004A478C">
        <w:rPr>
          <w:lang w:val="lt-LT"/>
        </w:rPr>
        <w:t>Po kartotinių vienąkart per parą per burną vartojamų 80</w:t>
      </w:r>
      <w:r w:rsidR="00E87295" w:rsidRPr="004A478C">
        <w:rPr>
          <w:lang w:val="lt-LT"/>
        </w:rPr>
        <w:t> mg</w:t>
      </w:r>
      <w:r w:rsidRPr="004A478C">
        <w:rPr>
          <w:lang w:val="lt-LT"/>
        </w:rPr>
        <w:t xml:space="preserve"> dozių </w:t>
      </w:r>
      <w:proofErr w:type="spellStart"/>
      <w:r w:rsidRPr="004A478C">
        <w:rPr>
          <w:lang w:val="lt-LT"/>
        </w:rPr>
        <w:t>C</w:t>
      </w:r>
      <w:r w:rsidRPr="004A478C">
        <w:rPr>
          <w:vertAlign w:val="subscript"/>
          <w:lang w:val="lt-LT"/>
        </w:rPr>
        <w:t>max</w:t>
      </w:r>
      <w:proofErr w:type="spellEnd"/>
      <w:r w:rsidRPr="004A478C">
        <w:rPr>
          <w:lang w:val="lt-LT"/>
        </w:rPr>
        <w:t xml:space="preserve"> sumažėjo 49</w:t>
      </w:r>
      <w:r w:rsidR="00DB0523" w:rsidRPr="004A478C">
        <w:rPr>
          <w:lang w:val="lt-LT"/>
        </w:rPr>
        <w:t> </w:t>
      </w:r>
      <w:r w:rsidRPr="004A478C">
        <w:rPr>
          <w:lang w:val="lt-LT"/>
        </w:rPr>
        <w:t>%, o AUC – 18</w:t>
      </w:r>
      <w:r w:rsidR="00DB0523" w:rsidRPr="004A478C">
        <w:rPr>
          <w:lang w:val="lt-LT"/>
        </w:rPr>
        <w:t> </w:t>
      </w:r>
      <w:r w:rsidRPr="004A478C">
        <w:rPr>
          <w:lang w:val="lt-LT"/>
        </w:rPr>
        <w:t>%; po vienos 120</w:t>
      </w:r>
      <w:r w:rsidR="00E87295" w:rsidRPr="004A478C">
        <w:rPr>
          <w:lang w:val="lt-LT"/>
        </w:rPr>
        <w:t> mg</w:t>
      </w:r>
      <w:r w:rsidRPr="004A478C">
        <w:rPr>
          <w:lang w:val="lt-LT"/>
        </w:rPr>
        <w:t xml:space="preserve"> dozės, vartojamos su riebiu maistu šie parametrai atitinkamai sumažėjos 38</w:t>
      </w:r>
      <w:r w:rsidR="00DB0523" w:rsidRPr="004A478C">
        <w:rPr>
          <w:lang w:val="lt-LT"/>
        </w:rPr>
        <w:t> </w:t>
      </w:r>
      <w:r w:rsidRPr="004A478C">
        <w:rPr>
          <w:lang w:val="lt-LT"/>
        </w:rPr>
        <w:t>% ir 16</w:t>
      </w:r>
      <w:r w:rsidR="00DB0523" w:rsidRPr="004A478C">
        <w:rPr>
          <w:lang w:val="lt-LT"/>
        </w:rPr>
        <w:t> </w:t>
      </w:r>
      <w:r w:rsidRPr="004A478C">
        <w:rPr>
          <w:lang w:val="lt-LT"/>
        </w:rPr>
        <w:t>%. Kliniškai reikšmingo procentinio šlapimo rūgšties koncentracijos serume pokyčio tyrimų metu nenustatyta (vartojant 80</w:t>
      </w:r>
      <w:r w:rsidR="00E87295" w:rsidRPr="004A478C">
        <w:rPr>
          <w:lang w:val="lt-LT"/>
        </w:rPr>
        <w:t> mg</w:t>
      </w:r>
      <w:r w:rsidRPr="004A478C">
        <w:rPr>
          <w:lang w:val="lt-LT"/>
        </w:rPr>
        <w:t xml:space="preserve"> kartotinę dozę). Tad </w:t>
      </w:r>
      <w:proofErr w:type="spellStart"/>
      <w:r w:rsidR="00DB0523" w:rsidRPr="004B0C8F">
        <w:rPr>
          <w:szCs w:val="22"/>
          <w:lang w:val="lt-LT"/>
        </w:rPr>
        <w:t>febuksostato</w:t>
      </w:r>
      <w:proofErr w:type="spellEnd"/>
      <w:r w:rsidR="00DB0523" w:rsidRPr="004B0C8F">
        <w:rPr>
          <w:szCs w:val="22"/>
          <w:lang w:val="lt-LT"/>
        </w:rPr>
        <w:t xml:space="preserve"> </w:t>
      </w:r>
      <w:r w:rsidRPr="004A478C">
        <w:rPr>
          <w:lang w:val="lt-LT"/>
        </w:rPr>
        <w:t xml:space="preserve">galima vartoti neatsižvelgiant į valgį.  </w:t>
      </w:r>
    </w:p>
    <w:p w14:paraId="7F0801CF" w14:textId="77777777" w:rsidR="00273470" w:rsidRPr="004A478C" w:rsidRDefault="00273470" w:rsidP="003B28E4">
      <w:pPr>
        <w:tabs>
          <w:tab w:val="left" w:pos="4680"/>
        </w:tabs>
        <w:spacing w:line="240" w:lineRule="auto"/>
        <w:rPr>
          <w:lang w:val="lt-LT"/>
        </w:rPr>
      </w:pPr>
      <w:r w:rsidRPr="004A478C">
        <w:rPr>
          <w:lang w:val="lt-LT"/>
        </w:rPr>
        <w:t xml:space="preserve"> </w:t>
      </w:r>
    </w:p>
    <w:p w14:paraId="713A707C" w14:textId="77777777" w:rsidR="00273470" w:rsidRPr="004A478C" w:rsidRDefault="00273470" w:rsidP="003B28E4">
      <w:pPr>
        <w:tabs>
          <w:tab w:val="left" w:pos="4680"/>
        </w:tabs>
        <w:spacing w:line="240" w:lineRule="auto"/>
        <w:ind w:left="-5"/>
        <w:rPr>
          <w:u w:val="single"/>
          <w:lang w:val="lt-LT"/>
        </w:rPr>
      </w:pPr>
      <w:r w:rsidRPr="004A478C">
        <w:rPr>
          <w:u w:val="single"/>
          <w:lang w:val="lt-LT"/>
        </w:rPr>
        <w:t xml:space="preserve">Pasiskirstymas </w:t>
      </w:r>
    </w:p>
    <w:p w14:paraId="69FA42D9" w14:textId="77777777" w:rsidR="00273470" w:rsidRPr="004A478C" w:rsidRDefault="00273470" w:rsidP="003B28E4">
      <w:pPr>
        <w:tabs>
          <w:tab w:val="left" w:pos="4680"/>
        </w:tabs>
        <w:spacing w:line="240" w:lineRule="auto"/>
        <w:ind w:left="2" w:right="522"/>
        <w:rPr>
          <w:lang w:val="lt-LT"/>
        </w:rPr>
      </w:pPr>
      <w:proofErr w:type="spellStart"/>
      <w:r w:rsidRPr="004A478C">
        <w:rPr>
          <w:lang w:val="lt-LT"/>
        </w:rPr>
        <w:t>Febuksostato</w:t>
      </w:r>
      <w:proofErr w:type="spellEnd"/>
      <w:r w:rsidRPr="004A478C">
        <w:rPr>
          <w:lang w:val="lt-LT"/>
        </w:rPr>
        <w:t xml:space="preserve"> tariamasis pasiskirstymo tūris nusistovėjus </w:t>
      </w:r>
      <w:proofErr w:type="spellStart"/>
      <w:r w:rsidRPr="004A478C">
        <w:rPr>
          <w:lang w:val="lt-LT"/>
        </w:rPr>
        <w:t>pusiausvyrinei</w:t>
      </w:r>
      <w:proofErr w:type="spellEnd"/>
      <w:r w:rsidRPr="004A478C">
        <w:rPr>
          <w:lang w:val="lt-LT"/>
        </w:rPr>
        <w:t xml:space="preserve"> koncentracijai (</w:t>
      </w:r>
      <w:proofErr w:type="spellStart"/>
      <w:r w:rsidRPr="004A478C">
        <w:rPr>
          <w:lang w:val="lt-LT"/>
        </w:rPr>
        <w:t>Vss</w:t>
      </w:r>
      <w:proofErr w:type="spellEnd"/>
      <w:r w:rsidRPr="004A478C">
        <w:rPr>
          <w:lang w:val="lt-LT"/>
        </w:rPr>
        <w:t>/F) yra 29 – 75 l po 10–300</w:t>
      </w:r>
      <w:r w:rsidR="00E87295" w:rsidRPr="004A478C">
        <w:rPr>
          <w:lang w:val="lt-LT"/>
        </w:rPr>
        <w:t> mg</w:t>
      </w:r>
      <w:r w:rsidRPr="004A478C">
        <w:rPr>
          <w:lang w:val="lt-LT"/>
        </w:rPr>
        <w:t xml:space="preserve"> dozių suvartojimo per burną. Maždaug 99,2</w:t>
      </w:r>
      <w:r w:rsidR="00D1468E" w:rsidRPr="004A478C">
        <w:rPr>
          <w:lang w:val="lt-LT"/>
        </w:rPr>
        <w:t> </w:t>
      </w:r>
      <w:r w:rsidRPr="004A478C">
        <w:rPr>
          <w:lang w:val="lt-LT"/>
        </w:rPr>
        <w:t xml:space="preserve">% </w:t>
      </w:r>
      <w:proofErr w:type="spellStart"/>
      <w:r w:rsidRPr="004A478C">
        <w:rPr>
          <w:lang w:val="lt-LT"/>
        </w:rPr>
        <w:t>febuksostato</w:t>
      </w:r>
      <w:proofErr w:type="spellEnd"/>
      <w:r w:rsidRPr="004A478C">
        <w:rPr>
          <w:lang w:val="lt-LT"/>
        </w:rPr>
        <w:t xml:space="preserve"> </w:t>
      </w:r>
      <w:r w:rsidR="00D1468E" w:rsidRPr="004A478C">
        <w:rPr>
          <w:lang w:val="lt-LT"/>
        </w:rPr>
        <w:t xml:space="preserve">jungiasi </w:t>
      </w:r>
      <w:r w:rsidRPr="004A478C">
        <w:rPr>
          <w:lang w:val="lt-LT"/>
        </w:rPr>
        <w:t xml:space="preserve">su plazmos baltymais (daugiausia su </w:t>
      </w:r>
      <w:proofErr w:type="spellStart"/>
      <w:r w:rsidRPr="004A478C">
        <w:rPr>
          <w:lang w:val="lt-LT"/>
        </w:rPr>
        <w:t>albuminu</w:t>
      </w:r>
      <w:proofErr w:type="spellEnd"/>
      <w:r w:rsidRPr="004A478C">
        <w:rPr>
          <w:lang w:val="lt-LT"/>
        </w:rPr>
        <w:t>); šis kiekis nekinta, nepriklausomai nuo koncentracijos, kuri pasiekiama vartojant 80</w:t>
      </w:r>
      <w:r w:rsidR="00E87295" w:rsidRPr="004A478C">
        <w:rPr>
          <w:lang w:val="lt-LT"/>
        </w:rPr>
        <w:t> mg</w:t>
      </w:r>
      <w:r w:rsidRPr="004A478C">
        <w:rPr>
          <w:lang w:val="lt-LT"/>
        </w:rPr>
        <w:t xml:space="preserve"> ir 120</w:t>
      </w:r>
      <w:r w:rsidR="00E87295" w:rsidRPr="004A478C">
        <w:rPr>
          <w:lang w:val="lt-LT"/>
        </w:rPr>
        <w:t> mg</w:t>
      </w:r>
      <w:r w:rsidRPr="004A478C">
        <w:rPr>
          <w:lang w:val="lt-LT"/>
        </w:rPr>
        <w:t xml:space="preserve"> dozes. Apie 82</w:t>
      </w:r>
      <w:r w:rsidR="00D1468E" w:rsidRPr="004A478C">
        <w:rPr>
          <w:lang w:val="lt-LT"/>
        </w:rPr>
        <w:t> </w:t>
      </w:r>
      <w:r w:rsidRPr="004A478C">
        <w:rPr>
          <w:lang w:val="lt-LT"/>
        </w:rPr>
        <w:t>% – 91</w:t>
      </w:r>
      <w:r w:rsidR="00D1468E" w:rsidRPr="004A478C">
        <w:rPr>
          <w:lang w:val="lt-LT"/>
        </w:rPr>
        <w:t> </w:t>
      </w:r>
      <w:r w:rsidRPr="004A478C">
        <w:rPr>
          <w:lang w:val="lt-LT"/>
        </w:rPr>
        <w:t xml:space="preserve">% aktyviųjų metabolitų jungiasi su plazmos baltymais.  </w:t>
      </w:r>
    </w:p>
    <w:p w14:paraId="40E37E23" w14:textId="77777777" w:rsidR="00273470" w:rsidRPr="004A478C" w:rsidRDefault="00273470" w:rsidP="003B28E4">
      <w:pPr>
        <w:tabs>
          <w:tab w:val="left" w:pos="4680"/>
        </w:tabs>
        <w:spacing w:line="240" w:lineRule="auto"/>
        <w:rPr>
          <w:lang w:val="lt-LT"/>
        </w:rPr>
      </w:pPr>
      <w:r w:rsidRPr="004A478C">
        <w:rPr>
          <w:lang w:val="lt-LT"/>
        </w:rPr>
        <w:t xml:space="preserve"> </w:t>
      </w:r>
    </w:p>
    <w:p w14:paraId="726ACF7E" w14:textId="77777777" w:rsidR="00273470" w:rsidRPr="004A478C" w:rsidRDefault="00273470" w:rsidP="003B28E4">
      <w:pPr>
        <w:tabs>
          <w:tab w:val="left" w:pos="4680"/>
        </w:tabs>
        <w:spacing w:line="240" w:lineRule="auto"/>
        <w:ind w:left="-5"/>
        <w:rPr>
          <w:u w:val="single"/>
          <w:lang w:val="lt-LT"/>
        </w:rPr>
      </w:pPr>
      <w:proofErr w:type="spellStart"/>
      <w:r w:rsidRPr="004A478C">
        <w:rPr>
          <w:u w:val="single"/>
          <w:lang w:val="lt-LT"/>
        </w:rPr>
        <w:t>Biotransformacija</w:t>
      </w:r>
      <w:proofErr w:type="spellEnd"/>
      <w:r w:rsidRPr="004A478C">
        <w:rPr>
          <w:u w:val="single"/>
          <w:lang w:val="lt-LT"/>
        </w:rPr>
        <w:t xml:space="preserve"> </w:t>
      </w:r>
    </w:p>
    <w:p w14:paraId="06A6F942" w14:textId="7D39B4B7" w:rsidR="00273470" w:rsidRPr="004A478C" w:rsidRDefault="00273470" w:rsidP="003B28E4">
      <w:pPr>
        <w:tabs>
          <w:tab w:val="left" w:pos="4680"/>
        </w:tabs>
        <w:spacing w:line="240" w:lineRule="auto"/>
        <w:ind w:left="2" w:right="397"/>
        <w:rPr>
          <w:lang w:val="lt-LT"/>
        </w:rPr>
      </w:pPr>
      <w:proofErr w:type="spellStart"/>
      <w:r w:rsidRPr="004A478C">
        <w:rPr>
          <w:lang w:val="lt-LT"/>
        </w:rPr>
        <w:t>Febuksostatas</w:t>
      </w:r>
      <w:proofErr w:type="spellEnd"/>
      <w:r w:rsidRPr="004A478C">
        <w:rPr>
          <w:lang w:val="lt-LT"/>
        </w:rPr>
        <w:t xml:space="preserve"> daugiausia </w:t>
      </w:r>
      <w:proofErr w:type="spellStart"/>
      <w:r w:rsidRPr="004A478C">
        <w:rPr>
          <w:lang w:val="lt-LT"/>
        </w:rPr>
        <w:t>metabolizuojamas</w:t>
      </w:r>
      <w:proofErr w:type="spellEnd"/>
      <w:r w:rsidRPr="004A478C">
        <w:rPr>
          <w:lang w:val="lt-LT"/>
        </w:rPr>
        <w:t xml:space="preserve"> </w:t>
      </w:r>
      <w:proofErr w:type="spellStart"/>
      <w:r w:rsidRPr="004A478C">
        <w:rPr>
          <w:lang w:val="lt-LT"/>
        </w:rPr>
        <w:t>konjugacijos</w:t>
      </w:r>
      <w:proofErr w:type="spellEnd"/>
      <w:r w:rsidRPr="004A478C">
        <w:rPr>
          <w:lang w:val="lt-LT"/>
        </w:rPr>
        <w:t xml:space="preserve"> būdu per </w:t>
      </w:r>
      <w:proofErr w:type="spellStart"/>
      <w:r w:rsidRPr="004A478C">
        <w:rPr>
          <w:lang w:val="lt-LT"/>
        </w:rPr>
        <w:t>uridino</w:t>
      </w:r>
      <w:proofErr w:type="spellEnd"/>
      <w:r w:rsidRPr="004A478C">
        <w:rPr>
          <w:lang w:val="lt-LT"/>
        </w:rPr>
        <w:t xml:space="preserve"> </w:t>
      </w:r>
      <w:proofErr w:type="spellStart"/>
      <w:r w:rsidRPr="004A478C">
        <w:rPr>
          <w:lang w:val="lt-LT"/>
        </w:rPr>
        <w:t>difosfato</w:t>
      </w:r>
      <w:proofErr w:type="spellEnd"/>
      <w:r w:rsidRPr="004A478C">
        <w:rPr>
          <w:lang w:val="lt-LT"/>
        </w:rPr>
        <w:t xml:space="preserve"> </w:t>
      </w:r>
      <w:proofErr w:type="spellStart"/>
      <w:r w:rsidRPr="004A478C">
        <w:rPr>
          <w:lang w:val="lt-LT"/>
        </w:rPr>
        <w:t>gliukuroniltransferazės</w:t>
      </w:r>
      <w:proofErr w:type="spellEnd"/>
      <w:r w:rsidRPr="004A478C">
        <w:rPr>
          <w:lang w:val="lt-LT"/>
        </w:rPr>
        <w:t xml:space="preserve"> (UDGT) fermentų sistemą ir oksidacijos būdu per </w:t>
      </w:r>
      <w:proofErr w:type="spellStart"/>
      <w:r w:rsidRPr="004A478C">
        <w:rPr>
          <w:lang w:val="lt-LT"/>
        </w:rPr>
        <w:t>citochromo</w:t>
      </w:r>
      <w:proofErr w:type="spellEnd"/>
      <w:r w:rsidRPr="004A478C">
        <w:rPr>
          <w:lang w:val="lt-LT"/>
        </w:rPr>
        <w:t xml:space="preserve"> P450 (CYP) sistemą. Identifikuoti </w:t>
      </w:r>
      <w:r w:rsidR="00E66BC2" w:rsidRPr="004A478C">
        <w:rPr>
          <w:lang w:val="lt-LT"/>
        </w:rPr>
        <w:t>keturi</w:t>
      </w:r>
      <w:r w:rsidR="00B96F4B" w:rsidRPr="004A478C">
        <w:rPr>
          <w:lang w:val="lt-LT"/>
        </w:rPr>
        <w:t xml:space="preserve"> </w:t>
      </w:r>
      <w:r w:rsidRPr="004A478C">
        <w:rPr>
          <w:lang w:val="lt-LT"/>
        </w:rPr>
        <w:t xml:space="preserve">farmakologiškai aktyvūs </w:t>
      </w:r>
      <w:proofErr w:type="spellStart"/>
      <w:r w:rsidRPr="004A478C">
        <w:rPr>
          <w:lang w:val="lt-LT"/>
        </w:rPr>
        <w:t>hidroksiliniai</w:t>
      </w:r>
      <w:proofErr w:type="spellEnd"/>
      <w:r w:rsidRPr="004A478C">
        <w:rPr>
          <w:lang w:val="lt-LT"/>
        </w:rPr>
        <w:t xml:space="preserve"> metabolitai, kurių </w:t>
      </w:r>
      <w:r w:rsidR="00E66BC2" w:rsidRPr="004A478C">
        <w:rPr>
          <w:lang w:val="lt-LT"/>
        </w:rPr>
        <w:t xml:space="preserve">trys </w:t>
      </w:r>
      <w:r w:rsidRPr="004A478C">
        <w:rPr>
          <w:lang w:val="lt-LT"/>
        </w:rPr>
        <w:t xml:space="preserve">randami žmonių plazmoje. </w:t>
      </w:r>
      <w:proofErr w:type="spellStart"/>
      <w:r w:rsidRPr="004A478C">
        <w:rPr>
          <w:i/>
          <w:lang w:val="lt-LT"/>
        </w:rPr>
        <w:t>In</w:t>
      </w:r>
      <w:proofErr w:type="spellEnd"/>
      <w:r w:rsidRPr="004A478C">
        <w:rPr>
          <w:i/>
          <w:lang w:val="lt-LT"/>
        </w:rPr>
        <w:t xml:space="preserve"> </w:t>
      </w:r>
      <w:proofErr w:type="spellStart"/>
      <w:r w:rsidRPr="004A478C">
        <w:rPr>
          <w:i/>
          <w:lang w:val="lt-LT"/>
        </w:rPr>
        <w:t>vitro</w:t>
      </w:r>
      <w:proofErr w:type="spellEnd"/>
      <w:r w:rsidRPr="004A478C">
        <w:rPr>
          <w:lang w:val="lt-LT"/>
        </w:rPr>
        <w:t xml:space="preserve"> tyrimai su žmogaus kepenų </w:t>
      </w:r>
      <w:proofErr w:type="spellStart"/>
      <w:r w:rsidRPr="004A478C">
        <w:rPr>
          <w:lang w:val="lt-LT"/>
        </w:rPr>
        <w:t>mikrosomomis</w:t>
      </w:r>
      <w:proofErr w:type="spellEnd"/>
      <w:r w:rsidRPr="004A478C">
        <w:rPr>
          <w:lang w:val="lt-LT"/>
        </w:rPr>
        <w:t xml:space="preserve"> parodė, kad šiuos oksidacinius metabolitus daugiausia formuoja CYP1A1, CYP1A2, CYP2C8 arba CYP2C9, o </w:t>
      </w:r>
      <w:proofErr w:type="spellStart"/>
      <w:r w:rsidRPr="004A478C">
        <w:rPr>
          <w:lang w:val="lt-LT"/>
        </w:rPr>
        <w:t>febuksostato</w:t>
      </w:r>
      <w:proofErr w:type="spellEnd"/>
      <w:r w:rsidRPr="004A478C">
        <w:rPr>
          <w:lang w:val="lt-LT"/>
        </w:rPr>
        <w:t xml:space="preserve"> </w:t>
      </w:r>
      <w:proofErr w:type="spellStart"/>
      <w:r w:rsidRPr="004A478C">
        <w:rPr>
          <w:lang w:val="lt-LT"/>
        </w:rPr>
        <w:t>gliukoronidą</w:t>
      </w:r>
      <w:proofErr w:type="spellEnd"/>
      <w:r w:rsidRPr="004A478C">
        <w:rPr>
          <w:lang w:val="lt-LT"/>
        </w:rPr>
        <w:t xml:space="preserve"> daugiausia formuoja UGT 1A1, 1A8 ir 1A9. </w:t>
      </w:r>
    </w:p>
    <w:p w14:paraId="4EB4FC6B" w14:textId="77777777" w:rsidR="00273470" w:rsidRPr="004A478C" w:rsidRDefault="00273470" w:rsidP="003B28E4">
      <w:pPr>
        <w:tabs>
          <w:tab w:val="left" w:pos="4680"/>
        </w:tabs>
        <w:spacing w:line="240" w:lineRule="auto"/>
        <w:rPr>
          <w:lang w:val="lt-LT"/>
        </w:rPr>
      </w:pPr>
      <w:r w:rsidRPr="004A478C">
        <w:rPr>
          <w:i/>
          <w:lang w:val="lt-LT"/>
        </w:rPr>
        <w:t xml:space="preserve"> </w:t>
      </w:r>
    </w:p>
    <w:p w14:paraId="10446B7E" w14:textId="77777777" w:rsidR="00273470" w:rsidRPr="004A478C" w:rsidRDefault="00273470" w:rsidP="003B28E4">
      <w:pPr>
        <w:tabs>
          <w:tab w:val="left" w:pos="4680"/>
        </w:tabs>
        <w:spacing w:line="240" w:lineRule="auto"/>
        <w:ind w:left="-5"/>
        <w:rPr>
          <w:u w:val="single"/>
          <w:lang w:val="lt-LT"/>
        </w:rPr>
      </w:pPr>
      <w:r w:rsidRPr="004A478C">
        <w:rPr>
          <w:u w:val="single"/>
          <w:lang w:val="lt-LT"/>
        </w:rPr>
        <w:t xml:space="preserve">Eliminacija </w:t>
      </w:r>
    </w:p>
    <w:p w14:paraId="2BDC735A" w14:textId="77777777" w:rsidR="00273470" w:rsidRPr="004A478C" w:rsidRDefault="00273470" w:rsidP="003B28E4">
      <w:pPr>
        <w:tabs>
          <w:tab w:val="left" w:pos="4680"/>
        </w:tabs>
        <w:spacing w:line="240" w:lineRule="auto"/>
        <w:ind w:left="2" w:right="397"/>
        <w:rPr>
          <w:lang w:val="lt-LT"/>
        </w:rPr>
      </w:pPr>
      <w:proofErr w:type="spellStart"/>
      <w:r w:rsidRPr="004A478C">
        <w:rPr>
          <w:lang w:val="lt-LT"/>
        </w:rPr>
        <w:t>Febuksostatas</w:t>
      </w:r>
      <w:proofErr w:type="spellEnd"/>
      <w:r w:rsidRPr="004A478C">
        <w:rPr>
          <w:lang w:val="lt-LT"/>
        </w:rPr>
        <w:t xml:space="preserve"> šalinamas per kepenis ir per inkstus. Per burną suvartojus 80</w:t>
      </w:r>
      <w:r w:rsidR="00E87295" w:rsidRPr="004A478C">
        <w:rPr>
          <w:lang w:val="lt-LT"/>
        </w:rPr>
        <w:t> mg</w:t>
      </w:r>
      <w:r w:rsidRPr="004A478C">
        <w:rPr>
          <w:lang w:val="lt-LT"/>
        </w:rPr>
        <w:t xml:space="preserve"> </w:t>
      </w:r>
      <w:r w:rsidRPr="004A478C">
        <w:rPr>
          <w:vertAlign w:val="superscript"/>
          <w:lang w:val="lt-LT"/>
        </w:rPr>
        <w:t>14</w:t>
      </w:r>
      <w:r w:rsidRPr="004A478C">
        <w:rPr>
          <w:lang w:val="lt-LT"/>
        </w:rPr>
        <w:t xml:space="preserve">C pažymėtą </w:t>
      </w:r>
      <w:proofErr w:type="spellStart"/>
      <w:r w:rsidRPr="004A478C">
        <w:rPr>
          <w:lang w:val="lt-LT"/>
        </w:rPr>
        <w:t>febuksostato</w:t>
      </w:r>
      <w:proofErr w:type="spellEnd"/>
      <w:r w:rsidRPr="004A478C">
        <w:rPr>
          <w:lang w:val="lt-LT"/>
        </w:rPr>
        <w:t xml:space="preserve"> dozę, maždaug 49</w:t>
      </w:r>
      <w:r w:rsidR="00D1468E" w:rsidRPr="004A478C">
        <w:rPr>
          <w:lang w:val="lt-LT"/>
        </w:rPr>
        <w:t> </w:t>
      </w:r>
      <w:r w:rsidRPr="004A478C">
        <w:rPr>
          <w:lang w:val="lt-LT"/>
        </w:rPr>
        <w:t xml:space="preserve">% suvartotos dozės rasta šlapime nepakitusio </w:t>
      </w:r>
      <w:proofErr w:type="spellStart"/>
      <w:r w:rsidRPr="004A478C">
        <w:rPr>
          <w:lang w:val="lt-LT"/>
        </w:rPr>
        <w:t>febuksostato</w:t>
      </w:r>
      <w:proofErr w:type="spellEnd"/>
      <w:r w:rsidRPr="004A478C">
        <w:rPr>
          <w:lang w:val="lt-LT"/>
        </w:rPr>
        <w:t xml:space="preserve"> pavidalu (3</w:t>
      </w:r>
      <w:r w:rsidR="00D1468E" w:rsidRPr="004A478C">
        <w:rPr>
          <w:lang w:val="lt-LT"/>
        </w:rPr>
        <w:t> </w:t>
      </w:r>
      <w:r w:rsidRPr="004A478C">
        <w:rPr>
          <w:lang w:val="lt-LT"/>
        </w:rPr>
        <w:t xml:space="preserve">%), veikliosios medžiagos </w:t>
      </w:r>
      <w:proofErr w:type="spellStart"/>
      <w:r w:rsidRPr="004A478C">
        <w:rPr>
          <w:lang w:val="lt-LT"/>
        </w:rPr>
        <w:t>acilgliukuronido</w:t>
      </w:r>
      <w:proofErr w:type="spellEnd"/>
      <w:r w:rsidRPr="004A478C">
        <w:rPr>
          <w:lang w:val="lt-LT"/>
        </w:rPr>
        <w:t xml:space="preserve"> forma (30</w:t>
      </w:r>
      <w:r w:rsidR="00D1468E" w:rsidRPr="004A478C">
        <w:rPr>
          <w:lang w:val="lt-LT"/>
        </w:rPr>
        <w:t> </w:t>
      </w:r>
      <w:r w:rsidRPr="004A478C">
        <w:rPr>
          <w:lang w:val="lt-LT"/>
        </w:rPr>
        <w:t xml:space="preserve">%), žinomų oksidacinių metabolitų ir jų </w:t>
      </w:r>
      <w:proofErr w:type="spellStart"/>
      <w:r w:rsidRPr="004A478C">
        <w:rPr>
          <w:lang w:val="lt-LT"/>
        </w:rPr>
        <w:t>konjugatų</w:t>
      </w:r>
      <w:proofErr w:type="spellEnd"/>
      <w:r w:rsidRPr="004A478C">
        <w:rPr>
          <w:lang w:val="lt-LT"/>
        </w:rPr>
        <w:t xml:space="preserve"> forma (13</w:t>
      </w:r>
      <w:r w:rsidR="00D1468E" w:rsidRPr="004A478C">
        <w:rPr>
          <w:lang w:val="lt-LT"/>
        </w:rPr>
        <w:t> </w:t>
      </w:r>
      <w:r w:rsidRPr="004A478C">
        <w:rPr>
          <w:lang w:val="lt-LT"/>
        </w:rPr>
        <w:t>%) ir kitų nežinomų metabolitų forma (3</w:t>
      </w:r>
      <w:r w:rsidR="00D1468E" w:rsidRPr="004A478C">
        <w:rPr>
          <w:lang w:val="lt-LT"/>
        </w:rPr>
        <w:t> </w:t>
      </w:r>
      <w:r w:rsidRPr="004A478C">
        <w:rPr>
          <w:lang w:val="lt-LT"/>
        </w:rPr>
        <w:t>%). Be išsiskyrimo su šlapimu, maždaug 45</w:t>
      </w:r>
      <w:r w:rsidR="00D1468E" w:rsidRPr="004A478C">
        <w:rPr>
          <w:lang w:val="lt-LT"/>
        </w:rPr>
        <w:t> </w:t>
      </w:r>
      <w:r w:rsidRPr="004A478C">
        <w:rPr>
          <w:lang w:val="lt-LT"/>
        </w:rPr>
        <w:t xml:space="preserve">% suvartotos dozės rasta išmatose nepakitusio </w:t>
      </w:r>
      <w:proofErr w:type="spellStart"/>
      <w:r w:rsidRPr="004A478C">
        <w:rPr>
          <w:lang w:val="lt-LT"/>
        </w:rPr>
        <w:t>febuksostato</w:t>
      </w:r>
      <w:proofErr w:type="spellEnd"/>
      <w:r w:rsidRPr="004A478C">
        <w:rPr>
          <w:lang w:val="lt-LT"/>
        </w:rPr>
        <w:t xml:space="preserve"> pavidalu </w:t>
      </w:r>
      <w:r w:rsidRPr="004A478C">
        <w:rPr>
          <w:lang w:val="lt-LT"/>
        </w:rPr>
        <w:lastRenderedPageBreak/>
        <w:t>(12</w:t>
      </w:r>
      <w:r w:rsidR="00D1468E" w:rsidRPr="004A478C">
        <w:rPr>
          <w:lang w:val="lt-LT"/>
        </w:rPr>
        <w:t> </w:t>
      </w:r>
      <w:r w:rsidRPr="004A478C">
        <w:rPr>
          <w:lang w:val="lt-LT"/>
        </w:rPr>
        <w:t xml:space="preserve">%), veikliosios medžiagos </w:t>
      </w:r>
      <w:proofErr w:type="spellStart"/>
      <w:r w:rsidRPr="004A478C">
        <w:rPr>
          <w:lang w:val="lt-LT"/>
        </w:rPr>
        <w:t>acilgliukuronido</w:t>
      </w:r>
      <w:proofErr w:type="spellEnd"/>
      <w:r w:rsidRPr="004A478C">
        <w:rPr>
          <w:lang w:val="lt-LT"/>
        </w:rPr>
        <w:t xml:space="preserve"> forma (1</w:t>
      </w:r>
      <w:r w:rsidR="00D1468E" w:rsidRPr="004A478C">
        <w:rPr>
          <w:lang w:val="lt-LT"/>
        </w:rPr>
        <w:t> </w:t>
      </w:r>
      <w:r w:rsidRPr="004A478C">
        <w:rPr>
          <w:lang w:val="lt-LT"/>
        </w:rPr>
        <w:t xml:space="preserve">%), žinomų oksidacinių metabolitų ir jų </w:t>
      </w:r>
      <w:proofErr w:type="spellStart"/>
      <w:r w:rsidRPr="004A478C">
        <w:rPr>
          <w:lang w:val="lt-LT"/>
        </w:rPr>
        <w:t>konjugatų</w:t>
      </w:r>
      <w:proofErr w:type="spellEnd"/>
      <w:r w:rsidRPr="004A478C">
        <w:rPr>
          <w:lang w:val="lt-LT"/>
        </w:rPr>
        <w:t xml:space="preserve"> forma (25</w:t>
      </w:r>
      <w:r w:rsidR="00D1468E" w:rsidRPr="004A478C">
        <w:rPr>
          <w:lang w:val="lt-LT"/>
        </w:rPr>
        <w:t> </w:t>
      </w:r>
      <w:r w:rsidRPr="004A478C">
        <w:rPr>
          <w:lang w:val="lt-LT"/>
        </w:rPr>
        <w:t>%) ir kitų nežinomų metabolitų forma (7</w:t>
      </w:r>
      <w:r w:rsidR="00D1468E" w:rsidRPr="004A478C">
        <w:rPr>
          <w:lang w:val="lt-LT"/>
        </w:rPr>
        <w:t> </w:t>
      </w:r>
      <w:r w:rsidRPr="004A478C">
        <w:rPr>
          <w:lang w:val="lt-LT"/>
        </w:rPr>
        <w:t xml:space="preserve">%). </w:t>
      </w:r>
    </w:p>
    <w:p w14:paraId="43420E79" w14:textId="77777777" w:rsidR="00273470" w:rsidRPr="004A478C" w:rsidRDefault="00273470" w:rsidP="003B28E4">
      <w:pPr>
        <w:tabs>
          <w:tab w:val="left" w:pos="4680"/>
        </w:tabs>
        <w:spacing w:line="240" w:lineRule="auto"/>
        <w:rPr>
          <w:lang w:val="lt-LT"/>
        </w:rPr>
      </w:pPr>
      <w:r w:rsidRPr="004A478C">
        <w:rPr>
          <w:lang w:val="lt-LT"/>
        </w:rPr>
        <w:t xml:space="preserve"> </w:t>
      </w:r>
    </w:p>
    <w:p w14:paraId="58321C6F" w14:textId="77777777" w:rsidR="00B475D6" w:rsidRPr="004A478C" w:rsidRDefault="00B475D6" w:rsidP="003B28E4">
      <w:pPr>
        <w:tabs>
          <w:tab w:val="left" w:pos="4680"/>
        </w:tabs>
        <w:spacing w:line="240" w:lineRule="auto"/>
        <w:ind w:left="2" w:right="397"/>
        <w:rPr>
          <w:u w:val="single"/>
          <w:lang w:val="lt-LT"/>
        </w:rPr>
      </w:pPr>
      <w:r w:rsidRPr="004A478C">
        <w:rPr>
          <w:u w:val="single"/>
          <w:lang w:val="lt-LT"/>
        </w:rPr>
        <w:t>Sutrikusi inkstų funkcija</w:t>
      </w:r>
    </w:p>
    <w:p w14:paraId="1579BE6B" w14:textId="7DF54D9F" w:rsidR="00273470" w:rsidRPr="004A478C" w:rsidRDefault="00273470" w:rsidP="003B28E4">
      <w:pPr>
        <w:tabs>
          <w:tab w:val="left" w:pos="4680"/>
        </w:tabs>
        <w:spacing w:line="240" w:lineRule="auto"/>
        <w:ind w:left="2" w:right="397"/>
        <w:rPr>
          <w:lang w:val="lt-LT"/>
        </w:rPr>
      </w:pPr>
      <w:r w:rsidRPr="004A478C">
        <w:rPr>
          <w:lang w:val="lt-LT"/>
        </w:rPr>
        <w:t xml:space="preserve">Pacientams, sergantiems lengvu, vidutinio sunkumo </w:t>
      </w:r>
      <w:r w:rsidR="00B475D6" w:rsidRPr="004A478C">
        <w:rPr>
          <w:lang w:val="lt-LT"/>
        </w:rPr>
        <w:t>ar</w:t>
      </w:r>
      <w:r w:rsidRPr="004A478C">
        <w:rPr>
          <w:lang w:val="lt-LT"/>
        </w:rPr>
        <w:t xml:space="preserve"> sunkiu inkstų </w:t>
      </w:r>
      <w:r w:rsidR="00B475D6" w:rsidRPr="004A478C">
        <w:rPr>
          <w:lang w:val="lt-LT"/>
        </w:rPr>
        <w:t>funkcijos sutrikimu</w:t>
      </w:r>
      <w:r w:rsidRPr="004A478C">
        <w:rPr>
          <w:lang w:val="lt-LT"/>
        </w:rPr>
        <w:t>, pavartojus kartotines 80</w:t>
      </w:r>
      <w:r w:rsidR="00E87295" w:rsidRPr="004A478C">
        <w:rPr>
          <w:lang w:val="lt-LT"/>
        </w:rPr>
        <w:t> mg</w:t>
      </w:r>
      <w:r w:rsidRPr="004A478C">
        <w:rPr>
          <w:lang w:val="lt-LT"/>
        </w:rPr>
        <w:t xml:space="preserve"> </w:t>
      </w:r>
      <w:proofErr w:type="spellStart"/>
      <w:r w:rsidR="00D1468E" w:rsidRPr="004B0C8F">
        <w:rPr>
          <w:szCs w:val="22"/>
          <w:lang w:val="lt-LT"/>
        </w:rPr>
        <w:t>febuksostato</w:t>
      </w:r>
      <w:proofErr w:type="spellEnd"/>
      <w:r w:rsidR="00D1468E" w:rsidRPr="004B0C8F">
        <w:rPr>
          <w:szCs w:val="22"/>
          <w:lang w:val="lt-LT"/>
        </w:rPr>
        <w:t xml:space="preserve"> </w:t>
      </w:r>
      <w:r w:rsidRPr="004A478C">
        <w:rPr>
          <w:lang w:val="lt-LT"/>
        </w:rPr>
        <w:t xml:space="preserve">dozes, </w:t>
      </w:r>
      <w:proofErr w:type="spellStart"/>
      <w:r w:rsidRPr="004A478C">
        <w:rPr>
          <w:lang w:val="lt-LT"/>
        </w:rPr>
        <w:t>febuksostato</w:t>
      </w:r>
      <w:proofErr w:type="spellEnd"/>
      <w:r w:rsidRPr="004A478C">
        <w:rPr>
          <w:lang w:val="lt-LT"/>
        </w:rPr>
        <w:t xml:space="preserve"> </w:t>
      </w:r>
      <w:proofErr w:type="spellStart"/>
      <w:r w:rsidRPr="004A478C">
        <w:rPr>
          <w:lang w:val="lt-LT"/>
        </w:rPr>
        <w:t>C</w:t>
      </w:r>
      <w:r w:rsidRPr="004A478C">
        <w:rPr>
          <w:vertAlign w:val="subscript"/>
          <w:lang w:val="lt-LT"/>
        </w:rPr>
        <w:t>max</w:t>
      </w:r>
      <w:proofErr w:type="spellEnd"/>
      <w:r w:rsidRPr="004A478C">
        <w:rPr>
          <w:lang w:val="lt-LT"/>
        </w:rPr>
        <w:t xml:space="preserve"> nepakito ir atitiko koncentraciją, nustatytą inkstų ligomis nesergantiems asmenims. Bendrasis </w:t>
      </w:r>
      <w:proofErr w:type="spellStart"/>
      <w:r w:rsidRPr="004A478C">
        <w:rPr>
          <w:lang w:val="lt-LT"/>
        </w:rPr>
        <w:t>febuksostato</w:t>
      </w:r>
      <w:proofErr w:type="spellEnd"/>
      <w:r w:rsidRPr="004A478C">
        <w:rPr>
          <w:lang w:val="lt-LT"/>
        </w:rPr>
        <w:t xml:space="preserve"> AUC vidurkis, kuris pacientų, nesergančių inkstų ligomis grupėje yra 7,5 </w:t>
      </w:r>
      <w:r w:rsidR="00B475D6" w:rsidRPr="004B0C8F">
        <w:rPr>
          <w:rFonts w:eastAsia="Segoe UI Symbol"/>
          <w:szCs w:val="22"/>
          <w:lang w:val="lt-LT"/>
        </w:rPr>
        <w:t>µ</w:t>
      </w:r>
      <w:r w:rsidRPr="004A478C">
        <w:rPr>
          <w:lang w:val="lt-LT"/>
        </w:rPr>
        <w:t xml:space="preserve">g </w:t>
      </w:r>
      <w:r w:rsidR="00B96F4B" w:rsidRPr="004A478C">
        <w:rPr>
          <w:lang w:val="lt-LT"/>
        </w:rPr>
        <w:t xml:space="preserve">x </w:t>
      </w:r>
      <w:r w:rsidRPr="004A478C">
        <w:rPr>
          <w:lang w:val="lt-LT"/>
        </w:rPr>
        <w:t xml:space="preserve">h/ml, sunkiu inkstų nepakankamumu sergančių pacientų grupėje padidėjo 1,8 kartus iki 13,2 </w:t>
      </w:r>
      <w:r w:rsidR="00B475D6" w:rsidRPr="004B0C8F">
        <w:rPr>
          <w:rFonts w:eastAsia="Segoe UI Symbol"/>
          <w:szCs w:val="22"/>
          <w:lang w:val="lt-LT"/>
        </w:rPr>
        <w:t>µ</w:t>
      </w:r>
      <w:r w:rsidRPr="004A478C">
        <w:rPr>
          <w:lang w:val="lt-LT"/>
        </w:rPr>
        <w:t xml:space="preserve">g </w:t>
      </w:r>
      <w:r w:rsidR="00B96F4B" w:rsidRPr="004A478C">
        <w:rPr>
          <w:lang w:val="lt-LT"/>
        </w:rPr>
        <w:t xml:space="preserve">x </w:t>
      </w:r>
      <w:proofErr w:type="spellStart"/>
      <w:r w:rsidRPr="004A478C">
        <w:rPr>
          <w:lang w:val="lt-LT"/>
        </w:rPr>
        <w:t>val</w:t>
      </w:r>
      <w:proofErr w:type="spellEnd"/>
      <w:r w:rsidRPr="004A478C">
        <w:rPr>
          <w:lang w:val="lt-LT"/>
        </w:rPr>
        <w:t xml:space="preserve">/ml. Aktyviųjų metabolitų </w:t>
      </w:r>
      <w:proofErr w:type="spellStart"/>
      <w:r w:rsidRPr="004A478C">
        <w:rPr>
          <w:lang w:val="lt-LT"/>
        </w:rPr>
        <w:t>C</w:t>
      </w:r>
      <w:r w:rsidRPr="004A478C">
        <w:rPr>
          <w:vertAlign w:val="subscript"/>
          <w:lang w:val="lt-LT"/>
        </w:rPr>
        <w:t>max</w:t>
      </w:r>
      <w:proofErr w:type="spellEnd"/>
      <w:r w:rsidRPr="004A478C">
        <w:rPr>
          <w:lang w:val="lt-LT"/>
        </w:rPr>
        <w:t xml:space="preserve"> padidėjo 2 kartus, o AUC – 4 kartus. Tačiau pacientams, sergantiems lengvo ar vidutinio laipsnio inkstų </w:t>
      </w:r>
      <w:r w:rsidR="00B475D6" w:rsidRPr="004A478C">
        <w:rPr>
          <w:lang w:val="lt-LT"/>
        </w:rPr>
        <w:t>funkcijos sutrikimu</w:t>
      </w:r>
      <w:r w:rsidRPr="004A478C">
        <w:rPr>
          <w:lang w:val="lt-LT"/>
        </w:rPr>
        <w:t xml:space="preserve">, dozės koreguoti nereikia.  </w:t>
      </w:r>
    </w:p>
    <w:p w14:paraId="7A8ADE84" w14:textId="77777777" w:rsidR="00273470" w:rsidRPr="004A478C" w:rsidRDefault="00273470" w:rsidP="003B28E4">
      <w:pPr>
        <w:tabs>
          <w:tab w:val="left" w:pos="4680"/>
        </w:tabs>
        <w:spacing w:line="240" w:lineRule="auto"/>
        <w:rPr>
          <w:lang w:val="lt-LT"/>
        </w:rPr>
      </w:pPr>
      <w:r w:rsidRPr="004A478C">
        <w:rPr>
          <w:lang w:val="lt-LT"/>
        </w:rPr>
        <w:t xml:space="preserve"> </w:t>
      </w:r>
    </w:p>
    <w:p w14:paraId="3C877161" w14:textId="77777777" w:rsidR="00B475D6" w:rsidRPr="004A478C" w:rsidRDefault="00B475D6" w:rsidP="003B28E4">
      <w:pPr>
        <w:tabs>
          <w:tab w:val="left" w:pos="4680"/>
        </w:tabs>
        <w:spacing w:line="240" w:lineRule="auto"/>
        <w:ind w:left="2" w:right="397"/>
        <w:rPr>
          <w:u w:val="single"/>
          <w:lang w:val="lt-LT"/>
        </w:rPr>
      </w:pPr>
      <w:r w:rsidRPr="004A478C">
        <w:rPr>
          <w:u w:val="single"/>
          <w:lang w:val="lt-LT"/>
        </w:rPr>
        <w:t xml:space="preserve">Sutrikusi kepenų </w:t>
      </w:r>
      <w:proofErr w:type="spellStart"/>
      <w:r w:rsidRPr="004A478C">
        <w:rPr>
          <w:u w:val="single"/>
          <w:lang w:val="lt-LT"/>
        </w:rPr>
        <w:t>fukcija</w:t>
      </w:r>
      <w:proofErr w:type="spellEnd"/>
    </w:p>
    <w:p w14:paraId="331560CB" w14:textId="77777777" w:rsidR="00273470" w:rsidRPr="004A478C" w:rsidRDefault="00273470" w:rsidP="003B28E4">
      <w:pPr>
        <w:tabs>
          <w:tab w:val="left" w:pos="4680"/>
        </w:tabs>
        <w:spacing w:line="240" w:lineRule="auto"/>
        <w:ind w:left="2" w:right="397"/>
        <w:rPr>
          <w:lang w:val="lt-LT"/>
        </w:rPr>
      </w:pPr>
      <w:r w:rsidRPr="004A478C">
        <w:rPr>
          <w:lang w:val="lt-LT"/>
        </w:rPr>
        <w:t xml:space="preserve">Pacientams, sergantiems lengvu (A klasė pagal </w:t>
      </w:r>
      <w:proofErr w:type="spellStart"/>
      <w:r w:rsidRPr="004A478C">
        <w:rPr>
          <w:i/>
          <w:lang w:val="lt-LT"/>
        </w:rPr>
        <w:t>Child-Pugh</w:t>
      </w:r>
      <w:proofErr w:type="spellEnd"/>
      <w:r w:rsidRPr="004A478C">
        <w:rPr>
          <w:lang w:val="lt-LT"/>
        </w:rPr>
        <w:t xml:space="preserve">) arba vidutinio sunkumo (B klasė pagal </w:t>
      </w:r>
      <w:proofErr w:type="spellStart"/>
      <w:r w:rsidRPr="004A478C">
        <w:rPr>
          <w:i/>
          <w:lang w:val="lt-LT"/>
        </w:rPr>
        <w:t>Child-Pugh</w:t>
      </w:r>
      <w:proofErr w:type="spellEnd"/>
      <w:r w:rsidRPr="004A478C">
        <w:rPr>
          <w:lang w:val="lt-LT"/>
        </w:rPr>
        <w:t xml:space="preserve">) kepenų </w:t>
      </w:r>
      <w:r w:rsidR="00756245" w:rsidRPr="004A478C">
        <w:rPr>
          <w:lang w:val="lt-LT"/>
        </w:rPr>
        <w:t xml:space="preserve">funkcijos </w:t>
      </w:r>
      <w:r w:rsidRPr="004A478C">
        <w:rPr>
          <w:lang w:val="lt-LT"/>
        </w:rPr>
        <w:t>sutrikimu, pavartojus kartotines 80</w:t>
      </w:r>
      <w:r w:rsidR="00E87295" w:rsidRPr="004A478C">
        <w:rPr>
          <w:lang w:val="lt-LT"/>
        </w:rPr>
        <w:t> mg</w:t>
      </w:r>
      <w:r w:rsidRPr="004A478C">
        <w:rPr>
          <w:lang w:val="lt-LT"/>
        </w:rPr>
        <w:t xml:space="preserve"> </w:t>
      </w:r>
      <w:proofErr w:type="spellStart"/>
      <w:r w:rsidR="00D1468E" w:rsidRPr="004B0C8F">
        <w:rPr>
          <w:szCs w:val="22"/>
          <w:lang w:val="lt-LT"/>
        </w:rPr>
        <w:t>febuksostato</w:t>
      </w:r>
      <w:proofErr w:type="spellEnd"/>
      <w:r w:rsidR="00D1468E" w:rsidRPr="004B0C8F">
        <w:rPr>
          <w:szCs w:val="22"/>
          <w:lang w:val="lt-LT"/>
        </w:rPr>
        <w:t xml:space="preserve"> </w:t>
      </w:r>
      <w:r w:rsidRPr="004A478C">
        <w:rPr>
          <w:lang w:val="lt-LT"/>
        </w:rPr>
        <w:t xml:space="preserve">dozes, </w:t>
      </w:r>
      <w:proofErr w:type="spellStart"/>
      <w:r w:rsidRPr="004A478C">
        <w:rPr>
          <w:lang w:val="lt-LT"/>
        </w:rPr>
        <w:t>febuksostato</w:t>
      </w:r>
      <w:proofErr w:type="spellEnd"/>
      <w:r w:rsidRPr="004A478C">
        <w:rPr>
          <w:lang w:val="lt-LT"/>
        </w:rPr>
        <w:t xml:space="preserve"> ir jo metabolitų </w:t>
      </w:r>
      <w:proofErr w:type="spellStart"/>
      <w:r w:rsidRPr="004A478C">
        <w:rPr>
          <w:lang w:val="lt-LT"/>
        </w:rPr>
        <w:t>C</w:t>
      </w:r>
      <w:r w:rsidRPr="004A478C">
        <w:rPr>
          <w:vertAlign w:val="subscript"/>
          <w:lang w:val="lt-LT"/>
        </w:rPr>
        <w:t>max</w:t>
      </w:r>
      <w:proofErr w:type="spellEnd"/>
      <w:r w:rsidRPr="004A478C">
        <w:rPr>
          <w:lang w:val="lt-LT"/>
        </w:rPr>
        <w:t xml:space="preserve"> ir AUC reikšmingai nepakito, palyginti su asmenimis, kurių kepenų funkcija normali. Tyrimų su pacientais, sergančiais sunkiu kepenų </w:t>
      </w:r>
      <w:r w:rsidR="00756245" w:rsidRPr="004A478C">
        <w:rPr>
          <w:lang w:val="lt-LT"/>
        </w:rPr>
        <w:t xml:space="preserve">funkcijos </w:t>
      </w:r>
      <w:r w:rsidRPr="004A478C">
        <w:rPr>
          <w:lang w:val="lt-LT"/>
        </w:rPr>
        <w:t xml:space="preserve">sutrikimu (C klasė pagal </w:t>
      </w:r>
      <w:proofErr w:type="spellStart"/>
      <w:r w:rsidRPr="004A478C">
        <w:rPr>
          <w:i/>
          <w:lang w:val="lt-LT"/>
        </w:rPr>
        <w:t>Child</w:t>
      </w:r>
      <w:proofErr w:type="spellEnd"/>
      <w:r w:rsidRPr="004A478C">
        <w:rPr>
          <w:i/>
          <w:lang w:val="lt-LT"/>
        </w:rPr>
        <w:t xml:space="preserve"> </w:t>
      </w:r>
      <w:proofErr w:type="spellStart"/>
      <w:r w:rsidRPr="004A478C">
        <w:rPr>
          <w:i/>
          <w:lang w:val="lt-LT"/>
        </w:rPr>
        <w:t>Pugh</w:t>
      </w:r>
      <w:proofErr w:type="spellEnd"/>
      <w:r w:rsidRPr="004A478C">
        <w:rPr>
          <w:lang w:val="lt-LT"/>
        </w:rPr>
        <w:t xml:space="preserve">) tyrimų neatlikta. </w:t>
      </w:r>
    </w:p>
    <w:p w14:paraId="562F1B52" w14:textId="77777777" w:rsidR="00273470" w:rsidRPr="004A478C" w:rsidRDefault="00273470" w:rsidP="003B28E4">
      <w:pPr>
        <w:tabs>
          <w:tab w:val="left" w:pos="4680"/>
        </w:tabs>
        <w:spacing w:line="240" w:lineRule="auto"/>
        <w:rPr>
          <w:lang w:val="lt-LT"/>
        </w:rPr>
      </w:pPr>
      <w:r w:rsidRPr="004A478C">
        <w:rPr>
          <w:lang w:val="lt-LT"/>
        </w:rPr>
        <w:t xml:space="preserve"> </w:t>
      </w:r>
    </w:p>
    <w:p w14:paraId="6837EEE1" w14:textId="77777777" w:rsidR="00273470" w:rsidRPr="004A478C" w:rsidRDefault="00273470" w:rsidP="003B28E4">
      <w:pPr>
        <w:tabs>
          <w:tab w:val="left" w:pos="4680"/>
        </w:tabs>
        <w:spacing w:line="240" w:lineRule="auto"/>
        <w:ind w:left="-5"/>
        <w:rPr>
          <w:u w:val="single"/>
          <w:lang w:val="lt-LT"/>
        </w:rPr>
      </w:pPr>
      <w:r w:rsidRPr="004A478C">
        <w:rPr>
          <w:u w:val="single"/>
          <w:lang w:val="lt-LT"/>
        </w:rPr>
        <w:t xml:space="preserve">Amžius </w:t>
      </w:r>
    </w:p>
    <w:p w14:paraId="44D422A0" w14:textId="77777777" w:rsidR="00273470" w:rsidRPr="004A478C" w:rsidRDefault="00273470" w:rsidP="003B28E4">
      <w:pPr>
        <w:tabs>
          <w:tab w:val="left" w:pos="4680"/>
        </w:tabs>
        <w:spacing w:line="240" w:lineRule="auto"/>
        <w:ind w:left="2" w:right="397"/>
        <w:rPr>
          <w:lang w:val="lt-LT"/>
        </w:rPr>
      </w:pPr>
      <w:r w:rsidRPr="004A478C">
        <w:rPr>
          <w:lang w:val="lt-LT"/>
        </w:rPr>
        <w:t xml:space="preserve">Senyviems pacientams, per burną vartojusiems kartotines </w:t>
      </w:r>
      <w:proofErr w:type="spellStart"/>
      <w:r w:rsidR="00756245" w:rsidRPr="004A478C">
        <w:rPr>
          <w:lang w:val="lt-LT"/>
        </w:rPr>
        <w:t>febuksostato</w:t>
      </w:r>
      <w:proofErr w:type="spellEnd"/>
      <w:r w:rsidR="00756245" w:rsidRPr="004A478C">
        <w:rPr>
          <w:lang w:val="lt-LT"/>
        </w:rPr>
        <w:t xml:space="preserve"> </w:t>
      </w:r>
      <w:r w:rsidRPr="004A478C">
        <w:rPr>
          <w:lang w:val="lt-LT"/>
        </w:rPr>
        <w:t xml:space="preserve">dozes, reikšmingų </w:t>
      </w:r>
      <w:proofErr w:type="spellStart"/>
      <w:r w:rsidRPr="004A478C">
        <w:rPr>
          <w:lang w:val="lt-LT"/>
        </w:rPr>
        <w:t>febuksostato</w:t>
      </w:r>
      <w:proofErr w:type="spellEnd"/>
      <w:r w:rsidRPr="004A478C">
        <w:rPr>
          <w:lang w:val="lt-LT"/>
        </w:rPr>
        <w:t xml:space="preserve"> arba jo metabolitų AUC pokyčių, palyginti su jaunesniais sveikais asmenimis, nenustatyta.  </w:t>
      </w:r>
    </w:p>
    <w:p w14:paraId="19413BC1" w14:textId="77777777" w:rsidR="00273470" w:rsidRPr="004A478C" w:rsidRDefault="00273470" w:rsidP="003B28E4">
      <w:pPr>
        <w:tabs>
          <w:tab w:val="left" w:pos="4680"/>
        </w:tabs>
        <w:spacing w:line="240" w:lineRule="auto"/>
        <w:rPr>
          <w:lang w:val="lt-LT"/>
        </w:rPr>
      </w:pPr>
      <w:r w:rsidRPr="004A478C">
        <w:rPr>
          <w:i/>
          <w:lang w:val="lt-LT"/>
        </w:rPr>
        <w:t xml:space="preserve"> </w:t>
      </w:r>
    </w:p>
    <w:p w14:paraId="769E169A" w14:textId="77777777" w:rsidR="00273470" w:rsidRPr="004A478C" w:rsidRDefault="00273470" w:rsidP="003B28E4">
      <w:pPr>
        <w:tabs>
          <w:tab w:val="left" w:pos="4680"/>
        </w:tabs>
        <w:spacing w:line="240" w:lineRule="auto"/>
        <w:ind w:left="-5"/>
        <w:rPr>
          <w:u w:val="single"/>
          <w:lang w:val="lt-LT"/>
        </w:rPr>
      </w:pPr>
      <w:r w:rsidRPr="004A478C">
        <w:rPr>
          <w:u w:val="single"/>
          <w:lang w:val="lt-LT"/>
        </w:rPr>
        <w:t xml:space="preserve">Lytis </w:t>
      </w:r>
    </w:p>
    <w:p w14:paraId="29D61AB1" w14:textId="77777777" w:rsidR="00273470" w:rsidRPr="004A478C" w:rsidRDefault="00273470" w:rsidP="003B28E4">
      <w:pPr>
        <w:tabs>
          <w:tab w:val="left" w:pos="4680"/>
        </w:tabs>
        <w:spacing w:line="240" w:lineRule="auto"/>
        <w:ind w:left="2" w:right="397"/>
        <w:rPr>
          <w:lang w:val="lt-LT"/>
        </w:rPr>
      </w:pPr>
      <w:r w:rsidRPr="004A478C">
        <w:rPr>
          <w:lang w:val="lt-LT"/>
        </w:rPr>
        <w:t xml:space="preserve">Moterų, per burną vartojusių kartotines </w:t>
      </w:r>
      <w:proofErr w:type="spellStart"/>
      <w:r w:rsidR="00756245" w:rsidRPr="004A478C">
        <w:rPr>
          <w:lang w:val="lt-LT"/>
        </w:rPr>
        <w:t>febuksostato</w:t>
      </w:r>
      <w:proofErr w:type="spellEnd"/>
      <w:r w:rsidR="00756245" w:rsidRPr="004A478C">
        <w:rPr>
          <w:lang w:val="lt-LT"/>
        </w:rPr>
        <w:t xml:space="preserve"> </w:t>
      </w:r>
      <w:r w:rsidRPr="004A478C">
        <w:rPr>
          <w:lang w:val="lt-LT"/>
        </w:rPr>
        <w:t xml:space="preserve">dozes </w:t>
      </w:r>
      <w:proofErr w:type="spellStart"/>
      <w:r w:rsidRPr="004A478C">
        <w:rPr>
          <w:lang w:val="lt-LT"/>
        </w:rPr>
        <w:t>C</w:t>
      </w:r>
      <w:r w:rsidRPr="004A478C">
        <w:rPr>
          <w:vertAlign w:val="subscript"/>
          <w:lang w:val="lt-LT"/>
        </w:rPr>
        <w:t>max</w:t>
      </w:r>
      <w:proofErr w:type="spellEnd"/>
      <w:r w:rsidRPr="004A478C">
        <w:rPr>
          <w:lang w:val="lt-LT"/>
        </w:rPr>
        <w:t xml:space="preserve"> buvo 24%, o AUC 12% didesnės, nei vyrų. Tačiau atmetus kūno masės įtaką, abiejų lyčių </w:t>
      </w:r>
      <w:proofErr w:type="spellStart"/>
      <w:r w:rsidRPr="004A478C">
        <w:rPr>
          <w:lang w:val="lt-LT"/>
        </w:rPr>
        <w:t>C</w:t>
      </w:r>
      <w:r w:rsidRPr="004A478C">
        <w:rPr>
          <w:vertAlign w:val="subscript"/>
          <w:lang w:val="lt-LT"/>
        </w:rPr>
        <w:t>max</w:t>
      </w:r>
      <w:proofErr w:type="spellEnd"/>
      <w:r w:rsidRPr="004A478C">
        <w:rPr>
          <w:lang w:val="lt-LT"/>
        </w:rPr>
        <w:t xml:space="preserve"> ir AUC buvo panašios. Dėl lyties dozės koreguoti nereikia. </w:t>
      </w:r>
    </w:p>
    <w:p w14:paraId="15CABED0" w14:textId="77777777" w:rsidR="00273470" w:rsidRPr="004A478C" w:rsidRDefault="00273470" w:rsidP="003B28E4">
      <w:pPr>
        <w:tabs>
          <w:tab w:val="left" w:pos="4680"/>
        </w:tabs>
        <w:spacing w:line="240" w:lineRule="auto"/>
        <w:rPr>
          <w:lang w:val="lt-LT"/>
        </w:rPr>
      </w:pPr>
      <w:r w:rsidRPr="004A478C">
        <w:rPr>
          <w:lang w:val="lt-LT"/>
        </w:rPr>
        <w:t xml:space="preserve"> </w:t>
      </w:r>
    </w:p>
    <w:p w14:paraId="1E06E21E" w14:textId="77777777" w:rsidR="00273470" w:rsidRPr="004A478C" w:rsidRDefault="00273470" w:rsidP="003B28E4">
      <w:pPr>
        <w:pStyle w:val="Antrat4"/>
        <w:tabs>
          <w:tab w:val="center" w:pos="2290"/>
          <w:tab w:val="left" w:pos="4680"/>
        </w:tabs>
        <w:spacing w:line="240" w:lineRule="auto"/>
        <w:ind w:left="-15"/>
        <w:rPr>
          <w:rFonts w:ascii="Times New Roman" w:hAnsi="Times New Roman"/>
          <w:sz w:val="22"/>
          <w:lang w:val="lt-LT"/>
        </w:rPr>
      </w:pPr>
      <w:r w:rsidRPr="004A478C">
        <w:rPr>
          <w:rFonts w:ascii="Times New Roman" w:hAnsi="Times New Roman"/>
          <w:sz w:val="22"/>
          <w:lang w:val="lt-LT"/>
        </w:rPr>
        <w:t xml:space="preserve">5.3 </w:t>
      </w:r>
      <w:r w:rsidRPr="004A478C">
        <w:rPr>
          <w:rFonts w:ascii="Times New Roman" w:hAnsi="Times New Roman"/>
          <w:sz w:val="22"/>
          <w:lang w:val="lt-LT"/>
        </w:rPr>
        <w:tab/>
      </w:r>
      <w:proofErr w:type="spellStart"/>
      <w:r w:rsidRPr="004A478C">
        <w:rPr>
          <w:rFonts w:ascii="Times New Roman" w:hAnsi="Times New Roman"/>
          <w:sz w:val="22"/>
          <w:lang w:val="lt-LT"/>
        </w:rPr>
        <w:t>Ikiklinikinių</w:t>
      </w:r>
      <w:proofErr w:type="spellEnd"/>
      <w:r w:rsidRPr="004A478C">
        <w:rPr>
          <w:rFonts w:ascii="Times New Roman" w:hAnsi="Times New Roman"/>
          <w:sz w:val="22"/>
          <w:lang w:val="lt-LT"/>
        </w:rPr>
        <w:t xml:space="preserve"> saugumo tyrimų duomenys </w:t>
      </w:r>
    </w:p>
    <w:p w14:paraId="091D675A" w14:textId="77777777" w:rsidR="00273470" w:rsidRPr="004A478C" w:rsidRDefault="00273470" w:rsidP="003B28E4">
      <w:pPr>
        <w:tabs>
          <w:tab w:val="left" w:pos="4680"/>
        </w:tabs>
        <w:spacing w:line="240" w:lineRule="auto"/>
        <w:rPr>
          <w:lang w:val="lt-LT"/>
        </w:rPr>
      </w:pPr>
      <w:r w:rsidRPr="004A478C">
        <w:rPr>
          <w:lang w:val="lt-LT"/>
        </w:rPr>
        <w:t xml:space="preserve"> </w:t>
      </w:r>
    </w:p>
    <w:p w14:paraId="4812A1FD" w14:textId="46AFCE3D" w:rsidR="00273470" w:rsidRPr="004A478C" w:rsidRDefault="00273470" w:rsidP="003B28E4">
      <w:pPr>
        <w:tabs>
          <w:tab w:val="left" w:pos="4680"/>
        </w:tabs>
        <w:spacing w:line="240" w:lineRule="auto"/>
        <w:ind w:left="2" w:right="397"/>
        <w:rPr>
          <w:lang w:val="lt-LT"/>
        </w:rPr>
      </w:pPr>
      <w:proofErr w:type="spellStart"/>
      <w:r w:rsidRPr="004A478C">
        <w:rPr>
          <w:lang w:val="lt-LT"/>
        </w:rPr>
        <w:t>Ikiklinikinių</w:t>
      </w:r>
      <w:proofErr w:type="spellEnd"/>
      <w:r w:rsidRPr="004A478C">
        <w:rPr>
          <w:lang w:val="lt-LT"/>
        </w:rPr>
        <w:t xml:space="preserve"> tyrimų metu poveikis dažniausiai pastebėtas tik tada, kai ekspozicija viršydavo maksimalią ekspoziciją žmogui. </w:t>
      </w:r>
    </w:p>
    <w:p w14:paraId="6187CF34" w14:textId="185DBA41" w:rsidR="00B96F4B" w:rsidRPr="004A478C" w:rsidRDefault="00B96F4B" w:rsidP="003B28E4">
      <w:pPr>
        <w:tabs>
          <w:tab w:val="left" w:pos="4680"/>
        </w:tabs>
        <w:spacing w:line="240" w:lineRule="auto"/>
        <w:ind w:left="2" w:right="397"/>
        <w:rPr>
          <w:lang w:val="lt-LT"/>
        </w:rPr>
      </w:pPr>
      <w:r w:rsidRPr="004A478C">
        <w:rPr>
          <w:lang w:val="lt-LT"/>
        </w:rPr>
        <w:t xml:space="preserve">Su žiurkėmis atliktų modeliavimo ir imitacijos tyrimų duomenys rodo, kad duodant </w:t>
      </w:r>
      <w:proofErr w:type="spellStart"/>
      <w:r w:rsidRPr="004A478C">
        <w:rPr>
          <w:lang w:val="lt-LT"/>
        </w:rPr>
        <w:t>febuksostato</w:t>
      </w:r>
      <w:proofErr w:type="spellEnd"/>
      <w:r w:rsidRPr="004A478C">
        <w:rPr>
          <w:lang w:val="lt-LT"/>
        </w:rPr>
        <w:t xml:space="preserve"> su </w:t>
      </w:r>
      <w:proofErr w:type="spellStart"/>
      <w:r w:rsidRPr="004A478C">
        <w:rPr>
          <w:lang w:val="lt-LT"/>
        </w:rPr>
        <w:t>merkaptopurinu</w:t>
      </w:r>
      <w:proofErr w:type="spellEnd"/>
      <w:r w:rsidRPr="004A478C">
        <w:rPr>
          <w:lang w:val="lt-LT"/>
        </w:rPr>
        <w:t xml:space="preserve"> / </w:t>
      </w:r>
      <w:proofErr w:type="spellStart"/>
      <w:r w:rsidRPr="004A478C">
        <w:rPr>
          <w:lang w:val="lt-LT"/>
        </w:rPr>
        <w:t>azatioprinu</w:t>
      </w:r>
      <w:proofErr w:type="spellEnd"/>
      <w:r w:rsidRPr="004A478C">
        <w:rPr>
          <w:lang w:val="lt-LT"/>
        </w:rPr>
        <w:t>, pastarųjų vaistinių preparatų klinikinė dozė turi būti sumažinama iki 20 % arba mažiau palyginti su ankstesne doze norint išvengti galimų kraujo pokyčių (žr. 4.4 ir 4.5 skyrius).</w:t>
      </w:r>
    </w:p>
    <w:p w14:paraId="0DDD4CE4" w14:textId="77777777" w:rsidR="00273470" w:rsidRPr="004A478C" w:rsidRDefault="00273470" w:rsidP="003B28E4">
      <w:pPr>
        <w:tabs>
          <w:tab w:val="left" w:pos="4680"/>
        </w:tabs>
        <w:spacing w:line="240" w:lineRule="auto"/>
        <w:rPr>
          <w:lang w:val="lt-LT"/>
        </w:rPr>
      </w:pPr>
    </w:p>
    <w:p w14:paraId="7DDB8278" w14:textId="77777777" w:rsidR="00273470" w:rsidRPr="004A478C" w:rsidRDefault="00273470" w:rsidP="003B28E4">
      <w:pPr>
        <w:tabs>
          <w:tab w:val="left" w:pos="4680"/>
        </w:tabs>
        <w:spacing w:line="240" w:lineRule="auto"/>
        <w:ind w:left="-5"/>
        <w:rPr>
          <w:u w:val="single"/>
          <w:lang w:val="lt-LT"/>
        </w:rPr>
      </w:pPr>
      <w:r w:rsidRPr="004A478C">
        <w:rPr>
          <w:u w:val="single"/>
          <w:lang w:val="lt-LT"/>
        </w:rPr>
        <w:t xml:space="preserve">Kancerogeninis ir mutageninis poveikis bei žalingas poveikis vaisingumui  </w:t>
      </w:r>
    </w:p>
    <w:p w14:paraId="692925E9" w14:textId="77777777" w:rsidR="00273470" w:rsidRPr="004A478C" w:rsidRDefault="00273470" w:rsidP="003B28E4">
      <w:pPr>
        <w:tabs>
          <w:tab w:val="left" w:pos="4680"/>
        </w:tabs>
        <w:spacing w:line="240" w:lineRule="auto"/>
        <w:ind w:left="2" w:right="397"/>
        <w:rPr>
          <w:lang w:val="lt-LT"/>
        </w:rPr>
      </w:pPr>
      <w:r w:rsidRPr="004A478C">
        <w:rPr>
          <w:lang w:val="lt-LT"/>
        </w:rPr>
        <w:t xml:space="preserve">Žiurkių patinams statistiškai reikšmingai padaugėjo šlapimo pūslės navikų (pereinamųjų ląstelių papilomų ir karcinomų) tik esant </w:t>
      </w:r>
      <w:proofErr w:type="spellStart"/>
      <w:r w:rsidRPr="004A478C">
        <w:rPr>
          <w:lang w:val="lt-LT"/>
        </w:rPr>
        <w:t>ksantino</w:t>
      </w:r>
      <w:proofErr w:type="spellEnd"/>
      <w:r w:rsidRPr="004A478C">
        <w:rPr>
          <w:lang w:val="lt-LT"/>
        </w:rPr>
        <w:t xml:space="preserve"> akmenų ir vaistą skiriant didelėmis dozėmis, maždaug 11 kartų didesnėmis už ekspoziciją žmogui. Kitų tipų navikų atsiradimo dažnio reikšmingo padidėjimo pelių ir žiurkių patinams ir patelėms nepastebėta. Nuspręsta, kad šie rezultatai susiję su rūšims būdingu purino metabolizmu bei šlapimo sudėtimi ir klinikiniam vartojimui reikšmės neturi. </w:t>
      </w:r>
    </w:p>
    <w:p w14:paraId="6AA04045" w14:textId="77777777" w:rsidR="00273470" w:rsidRPr="004A478C" w:rsidRDefault="00273470" w:rsidP="003B28E4">
      <w:pPr>
        <w:tabs>
          <w:tab w:val="left" w:pos="4680"/>
        </w:tabs>
        <w:spacing w:line="240" w:lineRule="auto"/>
        <w:rPr>
          <w:lang w:val="lt-LT"/>
        </w:rPr>
      </w:pPr>
      <w:r w:rsidRPr="004A478C">
        <w:rPr>
          <w:lang w:val="lt-LT"/>
        </w:rPr>
        <w:t xml:space="preserve"> </w:t>
      </w:r>
    </w:p>
    <w:p w14:paraId="20CE9519" w14:textId="77777777" w:rsidR="00273470" w:rsidRPr="004A478C" w:rsidRDefault="00273470" w:rsidP="003B28E4">
      <w:pPr>
        <w:tabs>
          <w:tab w:val="left" w:pos="4680"/>
        </w:tabs>
        <w:spacing w:line="240" w:lineRule="auto"/>
        <w:ind w:left="2" w:right="397"/>
        <w:rPr>
          <w:lang w:val="lt-LT"/>
        </w:rPr>
      </w:pPr>
      <w:r w:rsidRPr="004A478C">
        <w:rPr>
          <w:lang w:val="lt-LT"/>
        </w:rPr>
        <w:t xml:space="preserve">Standartinių </w:t>
      </w:r>
      <w:proofErr w:type="spellStart"/>
      <w:r w:rsidRPr="004A478C">
        <w:rPr>
          <w:lang w:val="lt-LT"/>
        </w:rPr>
        <w:t>genotoksinio</w:t>
      </w:r>
      <w:proofErr w:type="spellEnd"/>
      <w:r w:rsidRPr="004A478C">
        <w:rPr>
          <w:lang w:val="lt-LT"/>
        </w:rPr>
        <w:t xml:space="preserve"> poveikio testų duomenys biologiškai reikšmingo </w:t>
      </w:r>
      <w:proofErr w:type="spellStart"/>
      <w:r w:rsidRPr="004A478C">
        <w:rPr>
          <w:lang w:val="lt-LT"/>
        </w:rPr>
        <w:t>genotoksinio</w:t>
      </w:r>
      <w:proofErr w:type="spellEnd"/>
      <w:r w:rsidRPr="004A478C">
        <w:rPr>
          <w:lang w:val="lt-LT"/>
        </w:rPr>
        <w:t xml:space="preserve"> </w:t>
      </w:r>
      <w:proofErr w:type="spellStart"/>
      <w:r w:rsidRPr="004A478C">
        <w:rPr>
          <w:lang w:val="lt-LT"/>
        </w:rPr>
        <w:t>febuksostato</w:t>
      </w:r>
      <w:proofErr w:type="spellEnd"/>
      <w:r w:rsidRPr="004A478C">
        <w:rPr>
          <w:lang w:val="lt-LT"/>
        </w:rPr>
        <w:t xml:space="preserve"> poveikio neparodė.  </w:t>
      </w:r>
    </w:p>
    <w:p w14:paraId="303AA77D" w14:textId="77777777" w:rsidR="00273470" w:rsidRPr="004A478C" w:rsidRDefault="00273470" w:rsidP="003B28E4">
      <w:pPr>
        <w:tabs>
          <w:tab w:val="left" w:pos="4680"/>
        </w:tabs>
        <w:spacing w:line="240" w:lineRule="auto"/>
        <w:rPr>
          <w:lang w:val="lt-LT"/>
        </w:rPr>
      </w:pPr>
      <w:r w:rsidRPr="004A478C">
        <w:rPr>
          <w:lang w:val="lt-LT"/>
        </w:rPr>
        <w:t xml:space="preserve"> </w:t>
      </w:r>
    </w:p>
    <w:p w14:paraId="55384438" w14:textId="77777777" w:rsidR="00273470" w:rsidRPr="004A478C" w:rsidRDefault="00273470" w:rsidP="003B28E4">
      <w:pPr>
        <w:tabs>
          <w:tab w:val="left" w:pos="4680"/>
        </w:tabs>
        <w:spacing w:line="240" w:lineRule="auto"/>
        <w:ind w:left="2" w:right="397"/>
        <w:rPr>
          <w:lang w:val="lt-LT"/>
        </w:rPr>
      </w:pPr>
      <w:r w:rsidRPr="004A478C">
        <w:rPr>
          <w:lang w:val="lt-LT"/>
        </w:rPr>
        <w:t>Nustatyta, kad per burną vartojamos iki 48</w:t>
      </w:r>
      <w:r w:rsidR="00E87295" w:rsidRPr="004A478C">
        <w:rPr>
          <w:lang w:val="lt-LT"/>
        </w:rPr>
        <w:t> mg</w:t>
      </w:r>
      <w:r w:rsidRPr="004A478C">
        <w:rPr>
          <w:lang w:val="lt-LT"/>
        </w:rPr>
        <w:t xml:space="preserve">/kg per parą </w:t>
      </w:r>
      <w:proofErr w:type="spellStart"/>
      <w:r w:rsidRPr="004A478C">
        <w:rPr>
          <w:lang w:val="lt-LT"/>
        </w:rPr>
        <w:t>febuksostato</w:t>
      </w:r>
      <w:proofErr w:type="spellEnd"/>
      <w:r w:rsidRPr="004A478C">
        <w:rPr>
          <w:lang w:val="lt-LT"/>
        </w:rPr>
        <w:t xml:space="preserve"> dozės žiurkių patinų ir patelių vaisingumui ir dauginimosi funkcijai įtakos neturi.  </w:t>
      </w:r>
    </w:p>
    <w:p w14:paraId="6A9E0211" w14:textId="77777777" w:rsidR="00273470" w:rsidRPr="004A478C" w:rsidRDefault="00273470" w:rsidP="003B28E4">
      <w:pPr>
        <w:tabs>
          <w:tab w:val="left" w:pos="4680"/>
        </w:tabs>
        <w:spacing w:line="240" w:lineRule="auto"/>
        <w:rPr>
          <w:lang w:val="lt-LT"/>
        </w:rPr>
      </w:pPr>
      <w:r w:rsidRPr="004A478C">
        <w:rPr>
          <w:lang w:val="lt-LT"/>
        </w:rPr>
        <w:t xml:space="preserve"> </w:t>
      </w:r>
    </w:p>
    <w:p w14:paraId="4AC22B54" w14:textId="77777777" w:rsidR="00273470" w:rsidRPr="004A478C" w:rsidRDefault="00273470" w:rsidP="003B28E4">
      <w:pPr>
        <w:tabs>
          <w:tab w:val="left" w:pos="4680"/>
        </w:tabs>
        <w:spacing w:line="240" w:lineRule="auto"/>
        <w:ind w:left="2" w:right="397"/>
        <w:rPr>
          <w:lang w:val="lt-LT"/>
        </w:rPr>
      </w:pPr>
      <w:r w:rsidRPr="004A478C">
        <w:rPr>
          <w:lang w:val="lt-LT"/>
        </w:rPr>
        <w:t xml:space="preserve">Neįrodyta, kad </w:t>
      </w:r>
      <w:proofErr w:type="spellStart"/>
      <w:r w:rsidRPr="004A478C">
        <w:rPr>
          <w:lang w:val="lt-LT"/>
        </w:rPr>
        <w:t>febuksostatas</w:t>
      </w:r>
      <w:proofErr w:type="spellEnd"/>
      <w:r w:rsidRPr="004A478C">
        <w:rPr>
          <w:lang w:val="lt-LT"/>
        </w:rPr>
        <w:t xml:space="preserve"> kenkia vaisingumui, turi </w:t>
      </w:r>
      <w:proofErr w:type="spellStart"/>
      <w:r w:rsidRPr="004A478C">
        <w:rPr>
          <w:lang w:val="lt-LT"/>
        </w:rPr>
        <w:t>teratogeninį</w:t>
      </w:r>
      <w:proofErr w:type="spellEnd"/>
      <w:r w:rsidRPr="004A478C">
        <w:rPr>
          <w:lang w:val="lt-LT"/>
        </w:rPr>
        <w:t xml:space="preserve"> poveikį ar kenkia vaisiui. Didelės (maždaug 4,3 kartus didesnės už ekspoziciją žmogui) dozės turėjo toksinį poveikį vaikingoms žiurkių patelėms, dėl kurio sumažėjo jauniklių išgyvenamumo indeksas ir sulėtėjo jų vystymasis. </w:t>
      </w:r>
    </w:p>
    <w:p w14:paraId="1605179A" w14:textId="77777777" w:rsidR="00273470" w:rsidRPr="004A478C" w:rsidRDefault="00273470" w:rsidP="003B28E4">
      <w:pPr>
        <w:tabs>
          <w:tab w:val="left" w:pos="4680"/>
        </w:tabs>
        <w:spacing w:line="240" w:lineRule="auto"/>
        <w:ind w:left="2" w:right="397"/>
        <w:rPr>
          <w:lang w:val="lt-LT"/>
        </w:rPr>
      </w:pPr>
      <w:proofErr w:type="spellStart"/>
      <w:r w:rsidRPr="004A478C">
        <w:rPr>
          <w:lang w:val="lt-LT"/>
        </w:rPr>
        <w:lastRenderedPageBreak/>
        <w:t>Teratologiniai</w:t>
      </w:r>
      <w:proofErr w:type="spellEnd"/>
      <w:r w:rsidRPr="004A478C">
        <w:rPr>
          <w:lang w:val="lt-LT"/>
        </w:rPr>
        <w:t xml:space="preserve"> tyrimai su vaikingomis žiurkių patelėmis, kurioms buvo skiriamos maždaug 4,3 kartus didesnės dozės už ekspoziciją žmogui, ir su vaikingomis triušėmis, kurioms buvo skiriamos maždaug 13 kartų didesnės dozės už ekspoziciją žmogui, </w:t>
      </w:r>
      <w:proofErr w:type="spellStart"/>
      <w:r w:rsidRPr="004A478C">
        <w:rPr>
          <w:lang w:val="lt-LT"/>
        </w:rPr>
        <w:t>teratogeninio</w:t>
      </w:r>
      <w:proofErr w:type="spellEnd"/>
      <w:r w:rsidRPr="004A478C">
        <w:rPr>
          <w:lang w:val="lt-LT"/>
        </w:rPr>
        <w:t xml:space="preserve"> poveikio neparodė.  </w:t>
      </w:r>
    </w:p>
    <w:p w14:paraId="5C671981" w14:textId="77777777" w:rsidR="00273470" w:rsidRPr="004A478C" w:rsidRDefault="00273470" w:rsidP="003B28E4">
      <w:pPr>
        <w:tabs>
          <w:tab w:val="left" w:pos="4680"/>
        </w:tabs>
        <w:spacing w:line="240" w:lineRule="auto"/>
        <w:rPr>
          <w:lang w:val="lt-LT"/>
        </w:rPr>
      </w:pPr>
      <w:r w:rsidRPr="004A478C">
        <w:rPr>
          <w:b/>
          <w:lang w:val="lt-LT"/>
        </w:rPr>
        <w:t xml:space="preserve"> </w:t>
      </w:r>
    </w:p>
    <w:p w14:paraId="7A4A4A4B" w14:textId="77777777" w:rsidR="00273470" w:rsidRPr="004A478C" w:rsidRDefault="00273470" w:rsidP="003B28E4">
      <w:pPr>
        <w:tabs>
          <w:tab w:val="left" w:pos="4680"/>
        </w:tabs>
        <w:spacing w:line="240" w:lineRule="auto"/>
        <w:rPr>
          <w:lang w:val="lt-LT"/>
        </w:rPr>
      </w:pPr>
      <w:r w:rsidRPr="004A478C">
        <w:rPr>
          <w:b/>
          <w:lang w:val="lt-LT"/>
        </w:rPr>
        <w:t xml:space="preserve"> </w:t>
      </w:r>
    </w:p>
    <w:p w14:paraId="0F1116AF" w14:textId="77777777" w:rsidR="00273470" w:rsidRPr="004A478C" w:rsidRDefault="00273470" w:rsidP="003B28E4">
      <w:pPr>
        <w:pStyle w:val="Antrat3"/>
        <w:tabs>
          <w:tab w:val="center" w:pos="1921"/>
          <w:tab w:val="left" w:pos="4680"/>
        </w:tabs>
        <w:spacing w:before="0" w:after="0" w:line="240" w:lineRule="auto"/>
        <w:ind w:left="-15"/>
        <w:rPr>
          <w:rFonts w:ascii="Times New Roman" w:hAnsi="Times New Roman"/>
          <w:sz w:val="22"/>
          <w:lang w:val="lt-LT"/>
        </w:rPr>
      </w:pPr>
      <w:r w:rsidRPr="004A478C">
        <w:rPr>
          <w:rFonts w:ascii="Times New Roman" w:hAnsi="Times New Roman"/>
          <w:sz w:val="22"/>
          <w:lang w:val="lt-LT"/>
        </w:rPr>
        <w:t xml:space="preserve">6. </w:t>
      </w:r>
      <w:r w:rsidRPr="004A478C">
        <w:rPr>
          <w:rFonts w:ascii="Times New Roman" w:hAnsi="Times New Roman"/>
          <w:sz w:val="22"/>
          <w:lang w:val="lt-LT"/>
        </w:rPr>
        <w:tab/>
        <w:t xml:space="preserve">FARMACINĖ INFORMACIJA </w:t>
      </w:r>
    </w:p>
    <w:p w14:paraId="1D9FFFBC" w14:textId="77777777" w:rsidR="00273470" w:rsidRPr="004A478C" w:rsidRDefault="00273470" w:rsidP="003B28E4">
      <w:pPr>
        <w:tabs>
          <w:tab w:val="left" w:pos="4680"/>
        </w:tabs>
        <w:spacing w:line="240" w:lineRule="auto"/>
        <w:rPr>
          <w:lang w:val="lt-LT"/>
        </w:rPr>
      </w:pPr>
      <w:r w:rsidRPr="004A478C">
        <w:rPr>
          <w:b/>
          <w:lang w:val="lt-LT"/>
        </w:rPr>
        <w:t xml:space="preserve"> </w:t>
      </w:r>
    </w:p>
    <w:p w14:paraId="1E227FB4" w14:textId="77777777" w:rsidR="00273470" w:rsidRPr="004A478C" w:rsidRDefault="00273470" w:rsidP="003B28E4">
      <w:pPr>
        <w:pStyle w:val="Antrat4"/>
        <w:tabs>
          <w:tab w:val="center" w:pos="1781"/>
          <w:tab w:val="left" w:pos="4680"/>
        </w:tabs>
        <w:spacing w:line="240" w:lineRule="auto"/>
        <w:ind w:left="-15"/>
        <w:rPr>
          <w:rFonts w:ascii="Times New Roman" w:hAnsi="Times New Roman"/>
          <w:sz w:val="22"/>
          <w:lang w:val="lt-LT"/>
        </w:rPr>
      </w:pPr>
      <w:r w:rsidRPr="004A478C">
        <w:rPr>
          <w:rFonts w:ascii="Times New Roman" w:hAnsi="Times New Roman"/>
          <w:sz w:val="22"/>
          <w:lang w:val="lt-LT"/>
        </w:rPr>
        <w:t xml:space="preserve">6.1 </w:t>
      </w:r>
      <w:r w:rsidRPr="004A478C">
        <w:rPr>
          <w:rFonts w:ascii="Times New Roman" w:hAnsi="Times New Roman"/>
          <w:sz w:val="22"/>
          <w:lang w:val="lt-LT"/>
        </w:rPr>
        <w:tab/>
        <w:t xml:space="preserve">Pagalbinių medžiagų sąrašas </w:t>
      </w:r>
    </w:p>
    <w:p w14:paraId="2C89DCE8" w14:textId="77777777" w:rsidR="00273470" w:rsidRPr="004A478C" w:rsidRDefault="00273470" w:rsidP="003B28E4">
      <w:pPr>
        <w:tabs>
          <w:tab w:val="left" w:pos="4680"/>
        </w:tabs>
        <w:spacing w:line="240" w:lineRule="auto"/>
        <w:rPr>
          <w:lang w:val="lt-LT"/>
        </w:rPr>
      </w:pPr>
      <w:r w:rsidRPr="004A478C">
        <w:rPr>
          <w:lang w:val="lt-LT"/>
        </w:rPr>
        <w:t xml:space="preserve"> </w:t>
      </w:r>
    </w:p>
    <w:p w14:paraId="3FEC72D1" w14:textId="77777777" w:rsidR="00273470" w:rsidRPr="004A478C" w:rsidRDefault="00273470" w:rsidP="003B28E4">
      <w:pPr>
        <w:tabs>
          <w:tab w:val="left" w:pos="4680"/>
        </w:tabs>
        <w:spacing w:line="240" w:lineRule="auto"/>
        <w:ind w:left="-5"/>
        <w:rPr>
          <w:lang w:val="lt-LT"/>
        </w:rPr>
      </w:pPr>
      <w:r w:rsidRPr="004A478C">
        <w:rPr>
          <w:i/>
          <w:lang w:val="lt-LT"/>
        </w:rPr>
        <w:t xml:space="preserve">Tabletės šerdis </w:t>
      </w:r>
    </w:p>
    <w:p w14:paraId="6CFDA127" w14:textId="77777777" w:rsidR="00273470" w:rsidRPr="004A478C" w:rsidRDefault="00273470" w:rsidP="003B28E4">
      <w:pPr>
        <w:tabs>
          <w:tab w:val="left" w:pos="4680"/>
        </w:tabs>
        <w:spacing w:line="240" w:lineRule="auto"/>
        <w:rPr>
          <w:lang w:val="lt-LT"/>
        </w:rPr>
      </w:pPr>
      <w:r w:rsidRPr="004A478C">
        <w:rPr>
          <w:lang w:val="lt-LT"/>
        </w:rPr>
        <w:t xml:space="preserve">Laktozė </w:t>
      </w:r>
      <w:proofErr w:type="spellStart"/>
      <w:r w:rsidRPr="004A478C">
        <w:rPr>
          <w:lang w:val="lt-LT"/>
        </w:rPr>
        <w:t>monohidratas</w:t>
      </w:r>
      <w:proofErr w:type="spellEnd"/>
    </w:p>
    <w:p w14:paraId="591C3E37" w14:textId="77777777" w:rsidR="00273470" w:rsidRPr="004A478C" w:rsidRDefault="00273470" w:rsidP="003B28E4">
      <w:pPr>
        <w:tabs>
          <w:tab w:val="left" w:pos="4680"/>
        </w:tabs>
        <w:spacing w:line="240" w:lineRule="auto"/>
        <w:rPr>
          <w:lang w:val="lt-LT"/>
        </w:rPr>
      </w:pPr>
      <w:proofErr w:type="spellStart"/>
      <w:r w:rsidRPr="004A478C">
        <w:rPr>
          <w:lang w:val="lt-LT"/>
        </w:rPr>
        <w:t>Mikrokristalinė</w:t>
      </w:r>
      <w:proofErr w:type="spellEnd"/>
      <w:r w:rsidRPr="004A478C">
        <w:rPr>
          <w:lang w:val="lt-LT"/>
        </w:rPr>
        <w:t xml:space="preserve"> celiuliozė</w:t>
      </w:r>
    </w:p>
    <w:p w14:paraId="2B8BB74C" w14:textId="77777777" w:rsidR="00273470" w:rsidRPr="004A478C" w:rsidRDefault="00273470" w:rsidP="003B28E4">
      <w:pPr>
        <w:tabs>
          <w:tab w:val="left" w:pos="4680"/>
        </w:tabs>
        <w:spacing w:line="240" w:lineRule="auto"/>
        <w:rPr>
          <w:lang w:val="lt-LT"/>
        </w:rPr>
      </w:pPr>
      <w:proofErr w:type="spellStart"/>
      <w:r w:rsidRPr="004A478C">
        <w:rPr>
          <w:lang w:val="lt-LT"/>
        </w:rPr>
        <w:t>Kroskarmeliozės</w:t>
      </w:r>
      <w:proofErr w:type="spellEnd"/>
      <w:r w:rsidRPr="004A478C">
        <w:rPr>
          <w:lang w:val="lt-LT"/>
        </w:rPr>
        <w:t xml:space="preserve"> natrio druska</w:t>
      </w:r>
    </w:p>
    <w:p w14:paraId="2A03A6FE" w14:textId="77777777" w:rsidR="00273470" w:rsidRPr="004A478C" w:rsidRDefault="00273470" w:rsidP="003B28E4">
      <w:pPr>
        <w:tabs>
          <w:tab w:val="left" w:pos="4680"/>
        </w:tabs>
        <w:spacing w:line="240" w:lineRule="auto"/>
        <w:rPr>
          <w:lang w:val="lt-LT"/>
        </w:rPr>
      </w:pPr>
      <w:proofErr w:type="spellStart"/>
      <w:r w:rsidRPr="004A478C">
        <w:rPr>
          <w:lang w:val="lt-LT"/>
        </w:rPr>
        <w:t>Hidroksipropilceliuliozė</w:t>
      </w:r>
      <w:proofErr w:type="spellEnd"/>
    </w:p>
    <w:p w14:paraId="692A2394" w14:textId="77777777" w:rsidR="00273470" w:rsidRPr="004A478C" w:rsidRDefault="00935615" w:rsidP="003B28E4">
      <w:pPr>
        <w:tabs>
          <w:tab w:val="left" w:pos="4680"/>
        </w:tabs>
        <w:spacing w:line="240" w:lineRule="auto"/>
        <w:rPr>
          <w:lang w:val="lt-LT"/>
        </w:rPr>
      </w:pPr>
      <w:proofErr w:type="spellStart"/>
      <w:r w:rsidRPr="004A478C">
        <w:rPr>
          <w:lang w:val="lt-LT"/>
        </w:rPr>
        <w:t>Mikronizuotas</w:t>
      </w:r>
      <w:proofErr w:type="spellEnd"/>
      <w:r w:rsidRPr="004A478C">
        <w:rPr>
          <w:lang w:val="lt-LT"/>
        </w:rPr>
        <w:t xml:space="preserve"> </w:t>
      </w:r>
      <w:proofErr w:type="spellStart"/>
      <w:r w:rsidRPr="004A478C">
        <w:rPr>
          <w:lang w:val="lt-LT"/>
        </w:rPr>
        <w:t>poloksameras</w:t>
      </w:r>
      <w:proofErr w:type="spellEnd"/>
      <w:r w:rsidRPr="004A478C">
        <w:rPr>
          <w:lang w:val="lt-LT"/>
        </w:rPr>
        <w:t xml:space="preserve"> </w:t>
      </w:r>
      <w:r w:rsidR="00273470" w:rsidRPr="004A478C">
        <w:rPr>
          <w:lang w:val="lt-LT"/>
        </w:rPr>
        <w:t xml:space="preserve">407 </w:t>
      </w:r>
    </w:p>
    <w:p w14:paraId="10A3E5A5" w14:textId="5FF6A037" w:rsidR="00273470" w:rsidRPr="004A478C" w:rsidRDefault="00355836" w:rsidP="003B28E4">
      <w:pPr>
        <w:tabs>
          <w:tab w:val="left" w:pos="4680"/>
        </w:tabs>
        <w:spacing w:line="240" w:lineRule="auto"/>
        <w:rPr>
          <w:lang w:val="lt-LT"/>
        </w:rPr>
      </w:pPr>
      <w:r w:rsidRPr="004A478C">
        <w:rPr>
          <w:lang w:val="lt-LT"/>
        </w:rPr>
        <w:t>Koloidinis h</w:t>
      </w:r>
      <w:r w:rsidR="00935615" w:rsidRPr="004A478C">
        <w:rPr>
          <w:lang w:val="lt-LT"/>
        </w:rPr>
        <w:t xml:space="preserve">idratuotas silicio </w:t>
      </w:r>
      <w:r w:rsidR="00273470" w:rsidRPr="004A478C">
        <w:rPr>
          <w:lang w:val="lt-LT"/>
        </w:rPr>
        <w:t>dioksidas</w:t>
      </w:r>
    </w:p>
    <w:p w14:paraId="7AADAE99" w14:textId="77777777" w:rsidR="00273470" w:rsidRPr="004A478C" w:rsidRDefault="00273470" w:rsidP="003B28E4">
      <w:pPr>
        <w:tabs>
          <w:tab w:val="left" w:pos="4680"/>
        </w:tabs>
        <w:spacing w:line="240" w:lineRule="auto"/>
        <w:rPr>
          <w:lang w:val="lt-LT"/>
        </w:rPr>
      </w:pPr>
      <w:r w:rsidRPr="004A478C">
        <w:rPr>
          <w:lang w:val="lt-LT"/>
        </w:rPr>
        <w:t xml:space="preserve">Magnio </w:t>
      </w:r>
      <w:proofErr w:type="spellStart"/>
      <w:r w:rsidRPr="004A478C">
        <w:rPr>
          <w:lang w:val="lt-LT"/>
        </w:rPr>
        <w:t>stearatas</w:t>
      </w:r>
      <w:proofErr w:type="spellEnd"/>
      <w:r w:rsidRPr="004A478C">
        <w:rPr>
          <w:lang w:val="lt-LT"/>
        </w:rPr>
        <w:t xml:space="preserve"> </w:t>
      </w:r>
    </w:p>
    <w:p w14:paraId="7410249B" w14:textId="77777777" w:rsidR="00273470" w:rsidRPr="004A478C" w:rsidRDefault="00273470" w:rsidP="003B28E4">
      <w:pPr>
        <w:tabs>
          <w:tab w:val="left" w:pos="4680"/>
        </w:tabs>
        <w:spacing w:line="240" w:lineRule="auto"/>
        <w:rPr>
          <w:lang w:val="lt-LT"/>
        </w:rPr>
      </w:pPr>
    </w:p>
    <w:p w14:paraId="2A59466C" w14:textId="77777777" w:rsidR="00273470" w:rsidRPr="004A478C" w:rsidRDefault="00273470" w:rsidP="003B28E4">
      <w:pPr>
        <w:tabs>
          <w:tab w:val="left" w:pos="4680"/>
        </w:tabs>
        <w:spacing w:line="240" w:lineRule="auto"/>
        <w:ind w:left="-5"/>
        <w:rPr>
          <w:lang w:val="lt-LT"/>
        </w:rPr>
      </w:pPr>
      <w:r w:rsidRPr="004A478C">
        <w:rPr>
          <w:i/>
          <w:lang w:val="lt-LT"/>
        </w:rPr>
        <w:t xml:space="preserve">Tabletės </w:t>
      </w:r>
      <w:r w:rsidR="000963C6" w:rsidRPr="004A478C">
        <w:rPr>
          <w:i/>
          <w:lang w:val="lt-LT"/>
        </w:rPr>
        <w:t>plėvelė</w:t>
      </w:r>
    </w:p>
    <w:p w14:paraId="3DEF574E" w14:textId="77777777" w:rsidR="00273470" w:rsidRPr="004A478C" w:rsidRDefault="00273470" w:rsidP="003B28E4">
      <w:pPr>
        <w:tabs>
          <w:tab w:val="left" w:pos="4680"/>
        </w:tabs>
        <w:spacing w:line="240" w:lineRule="auto"/>
        <w:rPr>
          <w:lang w:val="lt-LT"/>
        </w:rPr>
      </w:pPr>
      <w:r w:rsidRPr="004A478C">
        <w:rPr>
          <w:lang w:val="lt-LT"/>
        </w:rPr>
        <w:t>Polivinilo alkoholis</w:t>
      </w:r>
    </w:p>
    <w:p w14:paraId="21F51C69" w14:textId="77777777" w:rsidR="00273470" w:rsidRPr="004A478C" w:rsidRDefault="00273470" w:rsidP="003B28E4">
      <w:pPr>
        <w:tabs>
          <w:tab w:val="left" w:pos="4680"/>
        </w:tabs>
        <w:spacing w:line="240" w:lineRule="auto"/>
        <w:rPr>
          <w:lang w:val="lt-LT"/>
        </w:rPr>
      </w:pPr>
      <w:r w:rsidRPr="004A478C">
        <w:rPr>
          <w:lang w:val="lt-LT"/>
        </w:rPr>
        <w:t>Titano dioksidas E 171</w:t>
      </w:r>
    </w:p>
    <w:p w14:paraId="534FB026" w14:textId="77777777" w:rsidR="00273470" w:rsidRPr="004A478C" w:rsidRDefault="00273470" w:rsidP="003B28E4">
      <w:pPr>
        <w:tabs>
          <w:tab w:val="left" w:pos="4680"/>
        </w:tabs>
        <w:spacing w:line="240" w:lineRule="auto"/>
        <w:rPr>
          <w:lang w:val="lt-LT"/>
        </w:rPr>
      </w:pPr>
      <w:proofErr w:type="spellStart"/>
      <w:r w:rsidRPr="004A478C">
        <w:rPr>
          <w:lang w:val="lt-LT"/>
        </w:rPr>
        <w:t>Polietilenglikolis</w:t>
      </w:r>
      <w:proofErr w:type="spellEnd"/>
      <w:r w:rsidRPr="004A478C">
        <w:rPr>
          <w:lang w:val="lt-LT"/>
        </w:rPr>
        <w:t xml:space="preserve"> / </w:t>
      </w:r>
      <w:r w:rsidR="008174C3" w:rsidRPr="004A478C">
        <w:rPr>
          <w:lang w:val="lt-LT"/>
        </w:rPr>
        <w:t>M</w:t>
      </w:r>
      <w:r w:rsidRPr="004A478C">
        <w:rPr>
          <w:lang w:val="lt-LT"/>
        </w:rPr>
        <w:t>akrogolis 4000</w:t>
      </w:r>
    </w:p>
    <w:p w14:paraId="33259100" w14:textId="77777777" w:rsidR="00273470" w:rsidRPr="004A478C" w:rsidRDefault="00273470" w:rsidP="003B28E4">
      <w:pPr>
        <w:tabs>
          <w:tab w:val="left" w:pos="4680"/>
        </w:tabs>
        <w:spacing w:line="240" w:lineRule="auto"/>
        <w:rPr>
          <w:lang w:val="lt-LT"/>
        </w:rPr>
      </w:pPr>
      <w:r w:rsidRPr="004A478C">
        <w:rPr>
          <w:lang w:val="lt-LT"/>
        </w:rPr>
        <w:t>Talkas</w:t>
      </w:r>
    </w:p>
    <w:p w14:paraId="433875C1" w14:textId="77777777" w:rsidR="00273470" w:rsidRPr="004A478C" w:rsidRDefault="00273470" w:rsidP="003B28E4">
      <w:pPr>
        <w:tabs>
          <w:tab w:val="left" w:pos="4680"/>
        </w:tabs>
        <w:spacing w:line="240" w:lineRule="auto"/>
        <w:rPr>
          <w:lang w:val="lt-LT"/>
        </w:rPr>
      </w:pPr>
      <w:r w:rsidRPr="004A478C">
        <w:rPr>
          <w:lang w:val="lt-LT"/>
        </w:rPr>
        <w:t>Geltonasis geležies oksidas E 172</w:t>
      </w:r>
    </w:p>
    <w:p w14:paraId="680A5543" w14:textId="77777777" w:rsidR="00273470" w:rsidRPr="004A478C" w:rsidRDefault="00273470" w:rsidP="003B28E4">
      <w:pPr>
        <w:tabs>
          <w:tab w:val="left" w:pos="4680"/>
        </w:tabs>
        <w:spacing w:line="240" w:lineRule="auto"/>
        <w:rPr>
          <w:lang w:val="lt-LT"/>
        </w:rPr>
      </w:pPr>
      <w:r w:rsidRPr="004A478C">
        <w:rPr>
          <w:lang w:val="lt-LT"/>
        </w:rPr>
        <w:t xml:space="preserve"> </w:t>
      </w:r>
    </w:p>
    <w:p w14:paraId="6F75D79C" w14:textId="77777777" w:rsidR="00273470" w:rsidRPr="004A478C" w:rsidRDefault="00273470" w:rsidP="003B28E4">
      <w:pPr>
        <w:tabs>
          <w:tab w:val="center" w:pos="1333"/>
          <w:tab w:val="left" w:pos="4680"/>
        </w:tabs>
        <w:spacing w:line="240" w:lineRule="auto"/>
        <w:ind w:left="-15"/>
        <w:rPr>
          <w:lang w:val="lt-LT"/>
        </w:rPr>
      </w:pPr>
      <w:r w:rsidRPr="004A478C">
        <w:rPr>
          <w:b/>
          <w:lang w:val="lt-LT"/>
        </w:rPr>
        <w:t xml:space="preserve">6.2 </w:t>
      </w:r>
      <w:r w:rsidRPr="004A478C">
        <w:rPr>
          <w:b/>
          <w:lang w:val="lt-LT"/>
        </w:rPr>
        <w:tab/>
        <w:t xml:space="preserve">Nesuderinamumas </w:t>
      </w:r>
    </w:p>
    <w:p w14:paraId="16DD6792" w14:textId="77777777" w:rsidR="00273470" w:rsidRPr="004A478C" w:rsidRDefault="00273470" w:rsidP="003B28E4">
      <w:pPr>
        <w:tabs>
          <w:tab w:val="left" w:pos="4680"/>
        </w:tabs>
        <w:spacing w:line="240" w:lineRule="auto"/>
        <w:rPr>
          <w:lang w:val="lt-LT"/>
        </w:rPr>
      </w:pPr>
      <w:r w:rsidRPr="004A478C">
        <w:rPr>
          <w:lang w:val="lt-LT"/>
        </w:rPr>
        <w:t xml:space="preserve"> </w:t>
      </w:r>
    </w:p>
    <w:p w14:paraId="46DB1518" w14:textId="77777777" w:rsidR="00273470" w:rsidRPr="004A478C" w:rsidRDefault="00273470" w:rsidP="003B28E4">
      <w:pPr>
        <w:tabs>
          <w:tab w:val="left" w:pos="4680"/>
        </w:tabs>
        <w:spacing w:line="240" w:lineRule="auto"/>
        <w:ind w:left="2" w:right="397"/>
        <w:rPr>
          <w:lang w:val="lt-LT"/>
        </w:rPr>
      </w:pPr>
      <w:r w:rsidRPr="004A478C">
        <w:rPr>
          <w:lang w:val="lt-LT"/>
        </w:rPr>
        <w:t xml:space="preserve">Duomenys nebūtini. </w:t>
      </w:r>
    </w:p>
    <w:p w14:paraId="5DC51761" w14:textId="77777777" w:rsidR="00273470" w:rsidRPr="004A478C" w:rsidRDefault="00273470" w:rsidP="003B28E4">
      <w:pPr>
        <w:tabs>
          <w:tab w:val="left" w:pos="4680"/>
        </w:tabs>
        <w:spacing w:line="240" w:lineRule="auto"/>
        <w:rPr>
          <w:lang w:val="lt-LT"/>
        </w:rPr>
      </w:pPr>
      <w:r w:rsidRPr="004A478C">
        <w:rPr>
          <w:lang w:val="lt-LT"/>
        </w:rPr>
        <w:t xml:space="preserve"> </w:t>
      </w:r>
    </w:p>
    <w:p w14:paraId="6D1EC006" w14:textId="77777777" w:rsidR="00273470" w:rsidRPr="004A478C" w:rsidRDefault="00273470" w:rsidP="003B28E4">
      <w:pPr>
        <w:tabs>
          <w:tab w:val="center" w:pos="1336"/>
          <w:tab w:val="left" w:pos="4680"/>
        </w:tabs>
        <w:spacing w:line="240" w:lineRule="auto"/>
        <w:ind w:left="-15"/>
        <w:rPr>
          <w:lang w:val="lt-LT"/>
        </w:rPr>
      </w:pPr>
      <w:r w:rsidRPr="004A478C">
        <w:rPr>
          <w:b/>
          <w:lang w:val="lt-LT"/>
        </w:rPr>
        <w:t xml:space="preserve">6.3 </w:t>
      </w:r>
      <w:r w:rsidRPr="004A478C">
        <w:rPr>
          <w:b/>
          <w:lang w:val="lt-LT"/>
        </w:rPr>
        <w:tab/>
        <w:t xml:space="preserve">Tinkamumo laikas </w:t>
      </w:r>
    </w:p>
    <w:p w14:paraId="4FB99393" w14:textId="77777777" w:rsidR="00273470" w:rsidRPr="004A478C" w:rsidRDefault="00273470" w:rsidP="003B28E4">
      <w:pPr>
        <w:tabs>
          <w:tab w:val="left" w:pos="4680"/>
        </w:tabs>
        <w:spacing w:line="240" w:lineRule="auto"/>
        <w:rPr>
          <w:lang w:val="lt-LT"/>
        </w:rPr>
      </w:pPr>
      <w:r w:rsidRPr="004A478C">
        <w:rPr>
          <w:lang w:val="lt-LT"/>
        </w:rPr>
        <w:t xml:space="preserve"> </w:t>
      </w:r>
    </w:p>
    <w:p w14:paraId="1D5F4FBD" w14:textId="77777777" w:rsidR="00273470" w:rsidRPr="004A478C" w:rsidRDefault="00273470" w:rsidP="003B28E4">
      <w:pPr>
        <w:tabs>
          <w:tab w:val="left" w:pos="4680"/>
        </w:tabs>
        <w:spacing w:line="240" w:lineRule="auto"/>
        <w:ind w:left="2" w:right="397"/>
        <w:rPr>
          <w:lang w:val="lt-LT"/>
        </w:rPr>
      </w:pPr>
      <w:r w:rsidRPr="004A478C">
        <w:rPr>
          <w:lang w:val="lt-LT"/>
        </w:rPr>
        <w:t xml:space="preserve">2 metai </w:t>
      </w:r>
    </w:p>
    <w:p w14:paraId="6C82B743" w14:textId="77777777" w:rsidR="00273470" w:rsidRPr="004A478C" w:rsidRDefault="00273470" w:rsidP="003B28E4">
      <w:pPr>
        <w:tabs>
          <w:tab w:val="left" w:pos="4680"/>
        </w:tabs>
        <w:spacing w:line="240" w:lineRule="auto"/>
        <w:rPr>
          <w:lang w:val="lt-LT"/>
        </w:rPr>
      </w:pPr>
      <w:r w:rsidRPr="004A478C">
        <w:rPr>
          <w:lang w:val="lt-LT"/>
        </w:rPr>
        <w:t xml:space="preserve"> </w:t>
      </w:r>
    </w:p>
    <w:p w14:paraId="6DBD689E" w14:textId="77777777" w:rsidR="00273470" w:rsidRPr="004A478C" w:rsidRDefault="00273470" w:rsidP="003B28E4">
      <w:pPr>
        <w:tabs>
          <w:tab w:val="center" w:pos="1668"/>
          <w:tab w:val="left" w:pos="4680"/>
        </w:tabs>
        <w:spacing w:line="240" w:lineRule="auto"/>
        <w:ind w:left="-15"/>
        <w:rPr>
          <w:lang w:val="lt-LT"/>
        </w:rPr>
      </w:pPr>
      <w:r w:rsidRPr="004A478C">
        <w:rPr>
          <w:b/>
          <w:lang w:val="lt-LT"/>
        </w:rPr>
        <w:t xml:space="preserve">6.4 </w:t>
      </w:r>
      <w:r w:rsidRPr="004A478C">
        <w:rPr>
          <w:b/>
          <w:lang w:val="lt-LT"/>
        </w:rPr>
        <w:tab/>
        <w:t xml:space="preserve">Specialios laikymo sąlygos </w:t>
      </w:r>
    </w:p>
    <w:p w14:paraId="1663692A" w14:textId="77777777" w:rsidR="00273470" w:rsidRPr="004A478C" w:rsidRDefault="00273470" w:rsidP="003B28E4">
      <w:pPr>
        <w:tabs>
          <w:tab w:val="left" w:pos="4680"/>
        </w:tabs>
        <w:spacing w:line="240" w:lineRule="auto"/>
        <w:rPr>
          <w:lang w:val="lt-LT"/>
        </w:rPr>
      </w:pPr>
      <w:r w:rsidRPr="004A478C">
        <w:rPr>
          <w:lang w:val="lt-LT"/>
        </w:rPr>
        <w:t xml:space="preserve"> </w:t>
      </w:r>
    </w:p>
    <w:p w14:paraId="7EC63C28" w14:textId="77777777" w:rsidR="00273470" w:rsidRPr="004A478C" w:rsidRDefault="00273470" w:rsidP="003B28E4">
      <w:pPr>
        <w:tabs>
          <w:tab w:val="left" w:pos="4680"/>
        </w:tabs>
        <w:spacing w:line="240" w:lineRule="auto"/>
        <w:ind w:left="2" w:right="397"/>
        <w:rPr>
          <w:lang w:val="lt-LT"/>
        </w:rPr>
      </w:pPr>
      <w:r w:rsidRPr="004A478C">
        <w:rPr>
          <w:lang w:val="lt-LT"/>
        </w:rPr>
        <w:t xml:space="preserve">Šiam vaistiniam preparatui specialių laikymo sąlygų nereikia. </w:t>
      </w:r>
    </w:p>
    <w:p w14:paraId="15FECAD0" w14:textId="77777777" w:rsidR="00273470" w:rsidRPr="004A478C" w:rsidRDefault="00273470" w:rsidP="003B28E4">
      <w:pPr>
        <w:tabs>
          <w:tab w:val="left" w:pos="4680"/>
        </w:tabs>
        <w:spacing w:line="240" w:lineRule="auto"/>
        <w:rPr>
          <w:lang w:val="lt-LT"/>
        </w:rPr>
      </w:pPr>
      <w:r w:rsidRPr="004A478C">
        <w:rPr>
          <w:lang w:val="lt-LT"/>
        </w:rPr>
        <w:t xml:space="preserve"> </w:t>
      </w:r>
    </w:p>
    <w:p w14:paraId="6AB73FD6" w14:textId="77777777" w:rsidR="00273470" w:rsidRPr="004A478C" w:rsidRDefault="00273470" w:rsidP="003B28E4">
      <w:pPr>
        <w:pStyle w:val="Antrat4"/>
        <w:tabs>
          <w:tab w:val="center" w:pos="1909"/>
          <w:tab w:val="left" w:pos="4680"/>
        </w:tabs>
        <w:spacing w:line="240" w:lineRule="auto"/>
        <w:ind w:left="-15"/>
        <w:rPr>
          <w:rFonts w:ascii="Times New Roman" w:hAnsi="Times New Roman"/>
          <w:sz w:val="22"/>
          <w:lang w:val="lt-LT"/>
        </w:rPr>
      </w:pPr>
      <w:r w:rsidRPr="004A478C">
        <w:rPr>
          <w:rFonts w:ascii="Times New Roman" w:hAnsi="Times New Roman"/>
          <w:sz w:val="22"/>
          <w:lang w:val="lt-LT"/>
        </w:rPr>
        <w:t xml:space="preserve">6.5 </w:t>
      </w:r>
      <w:r w:rsidRPr="004A478C">
        <w:rPr>
          <w:rFonts w:ascii="Times New Roman" w:hAnsi="Times New Roman"/>
          <w:sz w:val="22"/>
          <w:lang w:val="lt-LT"/>
        </w:rPr>
        <w:tab/>
      </w:r>
      <w:proofErr w:type="spellStart"/>
      <w:r w:rsidRPr="004A478C">
        <w:rPr>
          <w:rFonts w:ascii="Times New Roman" w:hAnsi="Times New Roman"/>
          <w:sz w:val="22"/>
          <w:lang w:val="lt-LT"/>
        </w:rPr>
        <w:t>Talpyklės</w:t>
      </w:r>
      <w:proofErr w:type="spellEnd"/>
      <w:r w:rsidRPr="004A478C">
        <w:rPr>
          <w:rFonts w:ascii="Times New Roman" w:hAnsi="Times New Roman"/>
          <w:sz w:val="22"/>
          <w:lang w:val="lt-LT"/>
        </w:rPr>
        <w:t xml:space="preserve"> pobūdis ir jos turinys </w:t>
      </w:r>
    </w:p>
    <w:p w14:paraId="1318F060" w14:textId="77777777" w:rsidR="00273470" w:rsidRPr="004A478C" w:rsidRDefault="00273470" w:rsidP="003B28E4">
      <w:pPr>
        <w:tabs>
          <w:tab w:val="left" w:pos="4680"/>
        </w:tabs>
        <w:spacing w:line="240" w:lineRule="auto"/>
        <w:rPr>
          <w:lang w:val="lt-LT"/>
        </w:rPr>
      </w:pPr>
      <w:r w:rsidRPr="004A478C">
        <w:rPr>
          <w:lang w:val="lt-LT"/>
        </w:rPr>
        <w:t xml:space="preserve"> </w:t>
      </w:r>
    </w:p>
    <w:p w14:paraId="3ECA617A" w14:textId="77777777" w:rsidR="00273470" w:rsidRPr="004A478C" w:rsidRDefault="00273470" w:rsidP="003B28E4">
      <w:pPr>
        <w:tabs>
          <w:tab w:val="left" w:pos="4680"/>
        </w:tabs>
        <w:spacing w:line="240" w:lineRule="auto"/>
        <w:rPr>
          <w:lang w:val="lt-LT"/>
        </w:rPr>
      </w:pPr>
      <w:r w:rsidRPr="004A478C">
        <w:rPr>
          <w:lang w:val="lt-LT"/>
        </w:rPr>
        <w:t>Skaidrios PVC / PVDC-</w:t>
      </w:r>
      <w:r w:rsidR="00FD3CC5" w:rsidRPr="004A478C">
        <w:rPr>
          <w:lang w:val="lt-LT"/>
        </w:rPr>
        <w:t>A</w:t>
      </w:r>
      <w:r w:rsidRPr="004A478C">
        <w:rPr>
          <w:lang w:val="lt-LT"/>
        </w:rPr>
        <w:t>liuminio lizdinės plokštelės.</w:t>
      </w:r>
    </w:p>
    <w:p w14:paraId="750A4D8C" w14:textId="77777777" w:rsidR="00273470" w:rsidRPr="004A478C" w:rsidRDefault="00273470" w:rsidP="003B28E4">
      <w:pPr>
        <w:tabs>
          <w:tab w:val="left" w:pos="4680"/>
        </w:tabs>
        <w:spacing w:line="240" w:lineRule="auto"/>
        <w:rPr>
          <w:lang w:val="lt-LT"/>
        </w:rPr>
      </w:pPr>
      <w:r w:rsidRPr="004A478C">
        <w:rPr>
          <w:lang w:val="lt-LT"/>
        </w:rPr>
        <w:t xml:space="preserve"> </w:t>
      </w:r>
    </w:p>
    <w:p w14:paraId="274DF7F6" w14:textId="04221368" w:rsidR="00273470" w:rsidRPr="004A478C" w:rsidRDefault="001A5C63" w:rsidP="003B28E4">
      <w:pPr>
        <w:tabs>
          <w:tab w:val="left" w:pos="4680"/>
        </w:tabs>
        <w:spacing w:line="240" w:lineRule="auto"/>
        <w:ind w:left="2" w:right="397"/>
        <w:rPr>
          <w:lang w:val="lt-LT"/>
        </w:rPr>
      </w:pPr>
      <w:proofErr w:type="spellStart"/>
      <w:r w:rsidRPr="004A478C">
        <w:rPr>
          <w:lang w:val="lt-LT"/>
        </w:rPr>
        <w:t>Febuxostat</w:t>
      </w:r>
      <w:proofErr w:type="spellEnd"/>
      <w:r w:rsidRPr="004A478C">
        <w:rPr>
          <w:lang w:val="lt-LT"/>
        </w:rPr>
        <w:t xml:space="preserve"> </w:t>
      </w:r>
      <w:proofErr w:type="spellStart"/>
      <w:r w:rsidR="00651A1C" w:rsidRPr="004A478C">
        <w:rPr>
          <w:lang w:val="lt-LT"/>
        </w:rPr>
        <w:t>Zentiva</w:t>
      </w:r>
      <w:proofErr w:type="spellEnd"/>
      <w:r w:rsidR="00651A1C" w:rsidRPr="004A478C">
        <w:rPr>
          <w:lang w:val="lt-LT"/>
        </w:rPr>
        <w:t xml:space="preserve"> </w:t>
      </w:r>
      <w:r w:rsidR="00273470" w:rsidRPr="004A478C">
        <w:rPr>
          <w:lang w:val="lt-LT"/>
        </w:rPr>
        <w:t>80 mg tiekiamas pakuotėse</w:t>
      </w:r>
      <w:r w:rsidR="008174C3" w:rsidRPr="004A478C">
        <w:rPr>
          <w:lang w:val="lt-LT"/>
        </w:rPr>
        <w:t>, kuriose yra</w:t>
      </w:r>
      <w:r w:rsidR="00273470" w:rsidRPr="004A478C">
        <w:rPr>
          <w:lang w:val="lt-LT"/>
        </w:rPr>
        <w:t xml:space="preserve"> 14, 28, 42, 56, 84 arba 98 plėvele dengt</w:t>
      </w:r>
      <w:r w:rsidR="008174C3" w:rsidRPr="004A478C">
        <w:rPr>
          <w:lang w:val="lt-LT"/>
        </w:rPr>
        <w:t>o</w:t>
      </w:r>
      <w:r w:rsidR="00273470" w:rsidRPr="004A478C">
        <w:rPr>
          <w:lang w:val="lt-LT"/>
        </w:rPr>
        <w:t>s tablet</w:t>
      </w:r>
      <w:r w:rsidR="008174C3" w:rsidRPr="004A478C">
        <w:rPr>
          <w:lang w:val="lt-LT"/>
        </w:rPr>
        <w:t>ė</w:t>
      </w:r>
      <w:r w:rsidR="00273470" w:rsidRPr="004A478C">
        <w:rPr>
          <w:lang w:val="lt-LT"/>
        </w:rPr>
        <w:t xml:space="preserve">s. </w:t>
      </w:r>
    </w:p>
    <w:p w14:paraId="752E54D5" w14:textId="77777777" w:rsidR="00273470" w:rsidRPr="004A478C" w:rsidRDefault="00273470" w:rsidP="003B28E4">
      <w:pPr>
        <w:tabs>
          <w:tab w:val="left" w:pos="4680"/>
        </w:tabs>
        <w:spacing w:line="240" w:lineRule="auto"/>
        <w:rPr>
          <w:lang w:val="lt-LT"/>
        </w:rPr>
      </w:pPr>
      <w:r w:rsidRPr="004A478C">
        <w:rPr>
          <w:lang w:val="lt-LT"/>
        </w:rPr>
        <w:t xml:space="preserve"> </w:t>
      </w:r>
    </w:p>
    <w:p w14:paraId="0D795FA0" w14:textId="77777777" w:rsidR="00273470" w:rsidRPr="004A478C" w:rsidRDefault="00273470" w:rsidP="003B28E4">
      <w:pPr>
        <w:tabs>
          <w:tab w:val="left" w:pos="4680"/>
        </w:tabs>
        <w:spacing w:line="240" w:lineRule="auto"/>
        <w:ind w:left="2" w:right="397"/>
        <w:rPr>
          <w:lang w:val="lt-LT"/>
        </w:rPr>
      </w:pPr>
      <w:r w:rsidRPr="004A478C">
        <w:rPr>
          <w:lang w:val="lt-LT"/>
        </w:rPr>
        <w:t xml:space="preserve">Gali būti tiekiamos ne visų dydžių pakuotės. </w:t>
      </w:r>
    </w:p>
    <w:p w14:paraId="04563480" w14:textId="77777777" w:rsidR="00273470" w:rsidRPr="004A478C" w:rsidRDefault="00273470" w:rsidP="003B28E4">
      <w:pPr>
        <w:tabs>
          <w:tab w:val="left" w:pos="4680"/>
        </w:tabs>
        <w:spacing w:line="240" w:lineRule="auto"/>
        <w:rPr>
          <w:lang w:val="lt-LT"/>
        </w:rPr>
      </w:pPr>
      <w:r w:rsidRPr="004A478C">
        <w:rPr>
          <w:lang w:val="lt-LT"/>
        </w:rPr>
        <w:t xml:space="preserve"> </w:t>
      </w:r>
    </w:p>
    <w:p w14:paraId="7A28CEE4" w14:textId="77777777" w:rsidR="00273470" w:rsidRPr="004A478C" w:rsidRDefault="00273470" w:rsidP="003B28E4">
      <w:pPr>
        <w:tabs>
          <w:tab w:val="center" w:pos="2335"/>
          <w:tab w:val="left" w:pos="4680"/>
        </w:tabs>
        <w:spacing w:line="240" w:lineRule="auto"/>
        <w:ind w:left="-15"/>
        <w:rPr>
          <w:lang w:val="lt-LT"/>
        </w:rPr>
      </w:pPr>
      <w:r w:rsidRPr="004A478C">
        <w:rPr>
          <w:b/>
          <w:lang w:val="lt-LT"/>
        </w:rPr>
        <w:t xml:space="preserve">6.6 </w:t>
      </w:r>
      <w:r w:rsidRPr="004A478C">
        <w:rPr>
          <w:b/>
          <w:lang w:val="lt-LT"/>
        </w:rPr>
        <w:tab/>
        <w:t xml:space="preserve">Specialūs reikalavimai atliekoms tvarkyti </w:t>
      </w:r>
    </w:p>
    <w:p w14:paraId="0A95EA1B" w14:textId="77777777" w:rsidR="00273470" w:rsidRPr="007F09F8" w:rsidRDefault="00273470" w:rsidP="003B28E4">
      <w:pPr>
        <w:tabs>
          <w:tab w:val="left" w:pos="4680"/>
        </w:tabs>
        <w:spacing w:line="240" w:lineRule="auto"/>
        <w:rPr>
          <w:sz w:val="16"/>
          <w:szCs w:val="16"/>
          <w:lang w:val="lt-LT"/>
        </w:rPr>
      </w:pPr>
      <w:r w:rsidRPr="004A478C">
        <w:rPr>
          <w:lang w:val="lt-LT"/>
        </w:rPr>
        <w:t xml:space="preserve"> </w:t>
      </w:r>
    </w:p>
    <w:p w14:paraId="3442C93A" w14:textId="77777777" w:rsidR="00273470" w:rsidRPr="004A478C" w:rsidRDefault="00273470" w:rsidP="003B28E4">
      <w:pPr>
        <w:tabs>
          <w:tab w:val="left" w:pos="4680"/>
        </w:tabs>
        <w:spacing w:line="240" w:lineRule="auto"/>
        <w:ind w:left="2" w:right="397"/>
        <w:rPr>
          <w:lang w:val="lt-LT"/>
        </w:rPr>
      </w:pPr>
      <w:r w:rsidRPr="004A478C">
        <w:rPr>
          <w:lang w:val="lt-LT"/>
        </w:rPr>
        <w:t xml:space="preserve">Specialių reikalavimų nėra.  </w:t>
      </w:r>
    </w:p>
    <w:p w14:paraId="012E917D" w14:textId="77777777" w:rsidR="00273470" w:rsidRPr="007F09F8" w:rsidRDefault="00273470" w:rsidP="003B28E4">
      <w:pPr>
        <w:tabs>
          <w:tab w:val="left" w:pos="4680"/>
        </w:tabs>
        <w:spacing w:line="240" w:lineRule="auto"/>
        <w:rPr>
          <w:sz w:val="18"/>
          <w:szCs w:val="18"/>
          <w:lang w:val="lt-LT"/>
        </w:rPr>
      </w:pPr>
      <w:r w:rsidRPr="004A478C">
        <w:rPr>
          <w:lang w:val="lt-LT"/>
        </w:rPr>
        <w:t xml:space="preserve"> </w:t>
      </w:r>
    </w:p>
    <w:p w14:paraId="72900C99" w14:textId="77777777" w:rsidR="00273470" w:rsidRPr="004A478C" w:rsidRDefault="00273470" w:rsidP="003B28E4">
      <w:pPr>
        <w:tabs>
          <w:tab w:val="left" w:pos="4680"/>
        </w:tabs>
        <w:spacing w:line="240" w:lineRule="auto"/>
        <w:rPr>
          <w:lang w:val="lt-LT"/>
        </w:rPr>
      </w:pPr>
      <w:r w:rsidRPr="004A478C">
        <w:rPr>
          <w:lang w:val="lt-LT"/>
        </w:rPr>
        <w:t xml:space="preserve"> </w:t>
      </w:r>
    </w:p>
    <w:p w14:paraId="1B403F86" w14:textId="77777777" w:rsidR="00273470" w:rsidRPr="004A478C" w:rsidRDefault="00273470" w:rsidP="003B28E4">
      <w:pPr>
        <w:pStyle w:val="Antrat3"/>
        <w:tabs>
          <w:tab w:val="center" w:pos="1459"/>
          <w:tab w:val="left" w:pos="4680"/>
        </w:tabs>
        <w:spacing w:before="0" w:after="0" w:line="240" w:lineRule="auto"/>
        <w:ind w:left="-15"/>
        <w:rPr>
          <w:rFonts w:ascii="Times New Roman" w:hAnsi="Times New Roman"/>
          <w:sz w:val="22"/>
          <w:lang w:val="lt-LT"/>
        </w:rPr>
      </w:pPr>
      <w:r w:rsidRPr="004A478C">
        <w:rPr>
          <w:rFonts w:ascii="Times New Roman" w:hAnsi="Times New Roman"/>
          <w:sz w:val="22"/>
          <w:lang w:val="lt-LT"/>
        </w:rPr>
        <w:t xml:space="preserve">7. </w:t>
      </w:r>
      <w:r w:rsidRPr="004A478C">
        <w:rPr>
          <w:rFonts w:ascii="Times New Roman" w:hAnsi="Times New Roman"/>
          <w:sz w:val="22"/>
          <w:lang w:val="lt-LT"/>
        </w:rPr>
        <w:tab/>
        <w:t xml:space="preserve">REGISTRUOTOJAS </w:t>
      </w:r>
    </w:p>
    <w:p w14:paraId="0AD1B2F4" w14:textId="77777777" w:rsidR="00273470" w:rsidRPr="004A478C" w:rsidRDefault="00273470" w:rsidP="003B28E4">
      <w:pPr>
        <w:tabs>
          <w:tab w:val="left" w:pos="4680"/>
        </w:tabs>
        <w:spacing w:line="240" w:lineRule="auto"/>
        <w:rPr>
          <w:lang w:val="lt-LT"/>
        </w:rPr>
      </w:pPr>
      <w:r w:rsidRPr="004A478C">
        <w:rPr>
          <w:lang w:val="lt-LT"/>
        </w:rPr>
        <w:t xml:space="preserve"> </w:t>
      </w:r>
    </w:p>
    <w:p w14:paraId="3104F6BD" w14:textId="77777777" w:rsidR="002606A3" w:rsidRPr="004A478C" w:rsidRDefault="002606A3" w:rsidP="002606A3">
      <w:pPr>
        <w:tabs>
          <w:tab w:val="left" w:pos="4680"/>
        </w:tabs>
        <w:spacing w:line="240" w:lineRule="auto"/>
        <w:rPr>
          <w:lang w:val="lt-LT"/>
        </w:rPr>
      </w:pPr>
      <w:proofErr w:type="spellStart"/>
      <w:r w:rsidRPr="004A478C">
        <w:rPr>
          <w:lang w:val="lt-LT"/>
        </w:rPr>
        <w:t>Zentiva</w:t>
      </w:r>
      <w:proofErr w:type="spellEnd"/>
      <w:r w:rsidRPr="004A478C">
        <w:rPr>
          <w:lang w:val="lt-LT"/>
        </w:rPr>
        <w:t xml:space="preserve">, </w:t>
      </w:r>
      <w:proofErr w:type="spellStart"/>
      <w:r w:rsidRPr="004A478C">
        <w:rPr>
          <w:lang w:val="lt-LT"/>
        </w:rPr>
        <w:t>k.s</w:t>
      </w:r>
      <w:proofErr w:type="spellEnd"/>
      <w:r w:rsidRPr="004A478C">
        <w:rPr>
          <w:lang w:val="lt-LT"/>
        </w:rPr>
        <w:t>.</w:t>
      </w:r>
    </w:p>
    <w:p w14:paraId="267A82DC" w14:textId="77777777" w:rsidR="002606A3" w:rsidRPr="004A478C" w:rsidRDefault="002606A3" w:rsidP="002606A3">
      <w:pPr>
        <w:tabs>
          <w:tab w:val="left" w:pos="4680"/>
        </w:tabs>
        <w:spacing w:line="240" w:lineRule="auto"/>
        <w:rPr>
          <w:lang w:val="lt-LT"/>
        </w:rPr>
      </w:pPr>
      <w:r w:rsidRPr="004A478C">
        <w:rPr>
          <w:lang w:val="lt-LT"/>
        </w:rPr>
        <w:t xml:space="preserve">U </w:t>
      </w:r>
      <w:proofErr w:type="spellStart"/>
      <w:r w:rsidRPr="004A478C">
        <w:rPr>
          <w:lang w:val="lt-LT"/>
        </w:rPr>
        <w:t>kabelovny</w:t>
      </w:r>
      <w:proofErr w:type="spellEnd"/>
      <w:r w:rsidRPr="004A478C">
        <w:rPr>
          <w:lang w:val="lt-LT"/>
        </w:rPr>
        <w:t xml:space="preserve"> 130</w:t>
      </w:r>
    </w:p>
    <w:p w14:paraId="44FAEF5D" w14:textId="77777777" w:rsidR="002606A3" w:rsidRPr="004A478C" w:rsidRDefault="002606A3" w:rsidP="002606A3">
      <w:pPr>
        <w:tabs>
          <w:tab w:val="left" w:pos="4680"/>
        </w:tabs>
        <w:spacing w:line="240" w:lineRule="auto"/>
        <w:rPr>
          <w:lang w:val="lt-LT"/>
        </w:rPr>
      </w:pPr>
      <w:proofErr w:type="spellStart"/>
      <w:r w:rsidRPr="004A478C">
        <w:rPr>
          <w:lang w:val="lt-LT"/>
        </w:rPr>
        <w:t>Dolní</w:t>
      </w:r>
      <w:proofErr w:type="spellEnd"/>
      <w:r w:rsidRPr="004A478C">
        <w:rPr>
          <w:lang w:val="lt-LT"/>
        </w:rPr>
        <w:t xml:space="preserve"> </w:t>
      </w:r>
      <w:proofErr w:type="spellStart"/>
      <w:r w:rsidRPr="004A478C">
        <w:rPr>
          <w:lang w:val="lt-LT"/>
        </w:rPr>
        <w:t>Měcholupy</w:t>
      </w:r>
      <w:proofErr w:type="spellEnd"/>
    </w:p>
    <w:p w14:paraId="69BD9A86" w14:textId="29D6C84B" w:rsidR="002606A3" w:rsidRPr="004A478C" w:rsidRDefault="002606A3" w:rsidP="002606A3">
      <w:pPr>
        <w:tabs>
          <w:tab w:val="left" w:pos="4680"/>
        </w:tabs>
        <w:spacing w:line="240" w:lineRule="auto"/>
        <w:rPr>
          <w:lang w:val="lt-LT"/>
        </w:rPr>
      </w:pPr>
      <w:r w:rsidRPr="004A478C">
        <w:rPr>
          <w:lang w:val="lt-LT"/>
        </w:rPr>
        <w:t>102 37 Praha 10</w:t>
      </w:r>
    </w:p>
    <w:p w14:paraId="41E3F74E" w14:textId="3F19411F" w:rsidR="00273470" w:rsidRPr="004A478C" w:rsidRDefault="002606A3" w:rsidP="003B28E4">
      <w:pPr>
        <w:tabs>
          <w:tab w:val="left" w:pos="4680"/>
        </w:tabs>
        <w:spacing w:line="240" w:lineRule="auto"/>
        <w:rPr>
          <w:lang w:val="lt-LT"/>
        </w:rPr>
      </w:pPr>
      <w:r w:rsidRPr="004A478C">
        <w:rPr>
          <w:lang w:val="lt-LT"/>
        </w:rPr>
        <w:t xml:space="preserve">Čekija </w:t>
      </w:r>
      <w:r w:rsidR="00273470" w:rsidRPr="004A478C">
        <w:rPr>
          <w:lang w:val="lt-LT"/>
        </w:rPr>
        <w:t xml:space="preserve"> </w:t>
      </w:r>
    </w:p>
    <w:p w14:paraId="61934F37" w14:textId="77777777" w:rsidR="003B1300" w:rsidRPr="004A478C" w:rsidRDefault="003B1300" w:rsidP="003B28E4">
      <w:pPr>
        <w:tabs>
          <w:tab w:val="left" w:pos="4680"/>
        </w:tabs>
        <w:spacing w:line="240" w:lineRule="auto"/>
        <w:rPr>
          <w:lang w:val="lt-LT"/>
        </w:rPr>
      </w:pPr>
    </w:p>
    <w:p w14:paraId="6B52CFB0" w14:textId="77777777" w:rsidR="00273470" w:rsidRPr="004A478C" w:rsidRDefault="00273470" w:rsidP="003B28E4">
      <w:pPr>
        <w:pStyle w:val="Antrat3"/>
        <w:tabs>
          <w:tab w:val="center" w:pos="2893"/>
          <w:tab w:val="left" w:pos="4680"/>
        </w:tabs>
        <w:spacing w:before="0" w:after="0" w:line="240" w:lineRule="auto"/>
        <w:ind w:left="-15"/>
        <w:rPr>
          <w:rFonts w:ascii="Times New Roman" w:hAnsi="Times New Roman"/>
          <w:sz w:val="22"/>
          <w:lang w:val="lt-LT"/>
        </w:rPr>
      </w:pPr>
      <w:r w:rsidRPr="004A478C">
        <w:rPr>
          <w:rFonts w:ascii="Times New Roman" w:hAnsi="Times New Roman"/>
          <w:sz w:val="22"/>
          <w:lang w:val="lt-LT"/>
        </w:rPr>
        <w:t xml:space="preserve">8. </w:t>
      </w:r>
      <w:r w:rsidRPr="004A478C">
        <w:rPr>
          <w:rFonts w:ascii="Times New Roman" w:hAnsi="Times New Roman"/>
          <w:sz w:val="22"/>
          <w:lang w:val="lt-LT"/>
        </w:rPr>
        <w:tab/>
        <w:t xml:space="preserve">REGISTRACIJOS PAŽYMĖJIMO NUMERIS (-IAI)  </w:t>
      </w:r>
    </w:p>
    <w:p w14:paraId="62F6838E" w14:textId="77777777" w:rsidR="00273470" w:rsidRPr="004A478C" w:rsidRDefault="00273470" w:rsidP="003B28E4">
      <w:pPr>
        <w:tabs>
          <w:tab w:val="left" w:pos="4680"/>
        </w:tabs>
        <w:spacing w:line="240" w:lineRule="auto"/>
        <w:rPr>
          <w:lang w:val="lt-LT"/>
        </w:rPr>
      </w:pPr>
      <w:r w:rsidRPr="004A478C">
        <w:rPr>
          <w:lang w:val="lt-LT"/>
        </w:rPr>
        <w:t xml:space="preserve"> </w:t>
      </w:r>
    </w:p>
    <w:p w14:paraId="55FC3C27" w14:textId="09040CAD" w:rsidR="004A7E1F" w:rsidRPr="004B0C8F" w:rsidRDefault="004A7E1F" w:rsidP="004A7E1F">
      <w:pPr>
        <w:tabs>
          <w:tab w:val="left" w:pos="4680"/>
        </w:tabs>
        <w:spacing w:line="240" w:lineRule="auto"/>
        <w:rPr>
          <w:bCs/>
          <w:szCs w:val="22"/>
          <w:lang w:val="lt-LT"/>
        </w:rPr>
      </w:pPr>
      <w:r w:rsidRPr="004B0C8F">
        <w:rPr>
          <w:szCs w:val="22"/>
          <w:lang w:val="lt-LT"/>
        </w:rPr>
        <w:t>LT/1/19/4396/001</w:t>
      </w:r>
      <w:r w:rsidRPr="004B0C8F">
        <w:rPr>
          <w:bCs/>
          <w:szCs w:val="22"/>
          <w:lang w:val="lt-LT"/>
        </w:rPr>
        <w:t xml:space="preserve"> – N14</w:t>
      </w:r>
    </w:p>
    <w:p w14:paraId="489C814E" w14:textId="3AF0368C" w:rsidR="004A7E1F" w:rsidRPr="004B0C8F" w:rsidRDefault="004A7E1F" w:rsidP="004A7E1F">
      <w:pPr>
        <w:rPr>
          <w:bCs/>
          <w:szCs w:val="22"/>
          <w:lang w:val="lt-LT"/>
        </w:rPr>
      </w:pPr>
      <w:r w:rsidRPr="004B0C8F">
        <w:rPr>
          <w:szCs w:val="22"/>
          <w:lang w:val="lt-LT"/>
        </w:rPr>
        <w:t>LT/1/19/4396/002</w:t>
      </w:r>
      <w:r w:rsidRPr="004B0C8F">
        <w:rPr>
          <w:bCs/>
          <w:szCs w:val="22"/>
          <w:lang w:val="lt-LT"/>
        </w:rPr>
        <w:t xml:space="preserve"> – N28</w:t>
      </w:r>
    </w:p>
    <w:p w14:paraId="37195EB5" w14:textId="62682575" w:rsidR="004A7E1F" w:rsidRPr="004B0C8F" w:rsidRDefault="004A7E1F" w:rsidP="004A7E1F">
      <w:pPr>
        <w:rPr>
          <w:bCs/>
          <w:szCs w:val="22"/>
          <w:lang w:val="lt-LT"/>
        </w:rPr>
      </w:pPr>
      <w:r w:rsidRPr="004B0C8F">
        <w:rPr>
          <w:szCs w:val="22"/>
          <w:lang w:val="lt-LT"/>
        </w:rPr>
        <w:t>LT/1/19/4396/003</w:t>
      </w:r>
      <w:r w:rsidRPr="004B0C8F">
        <w:rPr>
          <w:bCs/>
          <w:szCs w:val="22"/>
          <w:lang w:val="lt-LT"/>
        </w:rPr>
        <w:t xml:space="preserve"> – N42</w:t>
      </w:r>
    </w:p>
    <w:p w14:paraId="635329A2" w14:textId="3EEA2D69" w:rsidR="004A7E1F" w:rsidRPr="004B0C8F" w:rsidRDefault="004A7E1F" w:rsidP="004A7E1F">
      <w:pPr>
        <w:rPr>
          <w:bCs/>
          <w:szCs w:val="22"/>
          <w:lang w:val="lt-LT"/>
        </w:rPr>
      </w:pPr>
      <w:r w:rsidRPr="004B0C8F">
        <w:rPr>
          <w:szCs w:val="22"/>
          <w:lang w:val="lt-LT"/>
        </w:rPr>
        <w:t>LT/1/19/4396/004</w:t>
      </w:r>
      <w:r w:rsidRPr="004B0C8F">
        <w:rPr>
          <w:bCs/>
          <w:szCs w:val="22"/>
          <w:lang w:val="lt-LT"/>
        </w:rPr>
        <w:t xml:space="preserve"> – N56</w:t>
      </w:r>
    </w:p>
    <w:p w14:paraId="08710A91" w14:textId="0D929930" w:rsidR="004A7E1F" w:rsidRPr="004B0C8F" w:rsidRDefault="004A7E1F" w:rsidP="004A7E1F">
      <w:pPr>
        <w:rPr>
          <w:bCs/>
          <w:szCs w:val="22"/>
          <w:lang w:val="lt-LT"/>
        </w:rPr>
      </w:pPr>
      <w:r w:rsidRPr="004B0C8F">
        <w:rPr>
          <w:szCs w:val="22"/>
          <w:lang w:val="lt-LT"/>
        </w:rPr>
        <w:t>LT/1/19/4396/005</w:t>
      </w:r>
      <w:r w:rsidRPr="004B0C8F">
        <w:rPr>
          <w:bCs/>
          <w:szCs w:val="22"/>
          <w:lang w:val="lt-LT"/>
        </w:rPr>
        <w:t xml:space="preserve"> – N84</w:t>
      </w:r>
    </w:p>
    <w:p w14:paraId="1A083633" w14:textId="72B4F09F" w:rsidR="00536AF3" w:rsidRPr="004B0C8F" w:rsidRDefault="004A7E1F" w:rsidP="004A7E1F">
      <w:pPr>
        <w:tabs>
          <w:tab w:val="left" w:pos="4680"/>
        </w:tabs>
        <w:spacing w:line="240" w:lineRule="auto"/>
        <w:rPr>
          <w:bCs/>
          <w:szCs w:val="22"/>
          <w:lang w:val="lt-LT"/>
        </w:rPr>
      </w:pPr>
      <w:r w:rsidRPr="004B0C8F">
        <w:rPr>
          <w:szCs w:val="22"/>
          <w:lang w:val="lt-LT"/>
        </w:rPr>
        <w:t>LT/1/19/4396/006</w:t>
      </w:r>
      <w:r w:rsidRPr="004B0C8F">
        <w:rPr>
          <w:bCs/>
          <w:szCs w:val="22"/>
          <w:lang w:val="lt-LT"/>
        </w:rPr>
        <w:t xml:space="preserve"> – N98</w:t>
      </w:r>
    </w:p>
    <w:p w14:paraId="2017FD64" w14:textId="77777777" w:rsidR="004A7E1F" w:rsidRPr="004A478C" w:rsidRDefault="004A7E1F" w:rsidP="004A7E1F">
      <w:pPr>
        <w:tabs>
          <w:tab w:val="left" w:pos="4680"/>
        </w:tabs>
        <w:spacing w:line="240" w:lineRule="auto"/>
        <w:rPr>
          <w:lang w:val="lt-LT"/>
        </w:rPr>
      </w:pPr>
    </w:p>
    <w:p w14:paraId="7EEE794F" w14:textId="77777777" w:rsidR="00406279" w:rsidRPr="004A478C" w:rsidRDefault="00406279" w:rsidP="003B28E4">
      <w:pPr>
        <w:tabs>
          <w:tab w:val="left" w:pos="4680"/>
        </w:tabs>
        <w:spacing w:line="240" w:lineRule="auto"/>
        <w:rPr>
          <w:lang w:val="lt-LT"/>
        </w:rPr>
      </w:pPr>
    </w:p>
    <w:p w14:paraId="76B87EC0" w14:textId="77777777" w:rsidR="00273470" w:rsidRPr="004A478C" w:rsidRDefault="00273470" w:rsidP="003B28E4">
      <w:pPr>
        <w:pStyle w:val="Antrat3"/>
        <w:tabs>
          <w:tab w:val="center" w:pos="2776"/>
          <w:tab w:val="left" w:pos="4680"/>
        </w:tabs>
        <w:spacing w:before="0" w:after="0" w:line="240" w:lineRule="auto"/>
        <w:ind w:left="-15"/>
        <w:rPr>
          <w:rFonts w:ascii="Times New Roman" w:hAnsi="Times New Roman"/>
          <w:sz w:val="22"/>
          <w:lang w:val="lt-LT"/>
        </w:rPr>
      </w:pPr>
      <w:r w:rsidRPr="004A478C">
        <w:rPr>
          <w:rFonts w:ascii="Times New Roman" w:hAnsi="Times New Roman"/>
          <w:sz w:val="22"/>
          <w:lang w:val="lt-LT"/>
        </w:rPr>
        <w:t xml:space="preserve">9. </w:t>
      </w:r>
      <w:r w:rsidRPr="004A478C">
        <w:rPr>
          <w:rFonts w:ascii="Times New Roman" w:hAnsi="Times New Roman"/>
          <w:sz w:val="22"/>
          <w:lang w:val="lt-LT"/>
        </w:rPr>
        <w:tab/>
        <w:t xml:space="preserve">REGISTRAVIMO / PERREGISTRAVIMO DATA </w:t>
      </w:r>
    </w:p>
    <w:p w14:paraId="1EE37B05" w14:textId="77777777" w:rsidR="00273470" w:rsidRPr="004A478C" w:rsidRDefault="00273470" w:rsidP="003B28E4">
      <w:pPr>
        <w:tabs>
          <w:tab w:val="left" w:pos="4680"/>
        </w:tabs>
        <w:spacing w:line="240" w:lineRule="auto"/>
        <w:rPr>
          <w:lang w:val="lt-LT"/>
        </w:rPr>
      </w:pPr>
      <w:r w:rsidRPr="004A478C">
        <w:rPr>
          <w:lang w:val="lt-LT"/>
        </w:rPr>
        <w:t xml:space="preserve"> </w:t>
      </w:r>
    </w:p>
    <w:p w14:paraId="43D1C46F" w14:textId="77777777" w:rsidR="004A7E1F" w:rsidRPr="004B0C8F" w:rsidRDefault="00273470" w:rsidP="004A7E1F">
      <w:pPr>
        <w:tabs>
          <w:tab w:val="clear" w:pos="567"/>
        </w:tabs>
        <w:spacing w:line="240" w:lineRule="auto"/>
        <w:rPr>
          <w:noProof/>
          <w:szCs w:val="24"/>
          <w:lang w:val="lt-LT"/>
        </w:rPr>
      </w:pPr>
      <w:r w:rsidRPr="004A478C">
        <w:rPr>
          <w:lang w:val="lt-LT"/>
        </w:rPr>
        <w:t xml:space="preserve">Registravimo data </w:t>
      </w:r>
      <w:r w:rsidR="004A7E1F" w:rsidRPr="004B0C8F">
        <w:rPr>
          <w:noProof/>
          <w:szCs w:val="24"/>
          <w:lang w:val="lt-LT"/>
        </w:rPr>
        <w:t>2019 m. birželio 10 d.</w:t>
      </w:r>
    </w:p>
    <w:p w14:paraId="17F33E9E" w14:textId="22820E31" w:rsidR="00273470" w:rsidRDefault="000954C1" w:rsidP="003B28E4">
      <w:pPr>
        <w:tabs>
          <w:tab w:val="left" w:pos="4680"/>
        </w:tabs>
        <w:spacing w:line="240" w:lineRule="auto"/>
        <w:ind w:left="2" w:right="397"/>
        <w:rPr>
          <w:szCs w:val="22"/>
          <w:lang w:val="lt-LT"/>
        </w:rPr>
      </w:pPr>
      <w:r w:rsidRPr="000954C1">
        <w:rPr>
          <w:szCs w:val="22"/>
          <w:lang w:val="lt-LT"/>
        </w:rPr>
        <w:t xml:space="preserve">Paskutinio perregistravimo data </w:t>
      </w:r>
      <w:r w:rsidR="007F09F8">
        <w:rPr>
          <w:szCs w:val="22"/>
          <w:lang w:val="lt-LT"/>
        </w:rPr>
        <w:t>2024 m. rugsėjo 9 d.</w:t>
      </w:r>
    </w:p>
    <w:p w14:paraId="30B4CE96" w14:textId="77777777" w:rsidR="007F09F8" w:rsidRDefault="007F09F8" w:rsidP="003B28E4">
      <w:pPr>
        <w:tabs>
          <w:tab w:val="left" w:pos="4680"/>
        </w:tabs>
        <w:spacing w:line="240" w:lineRule="auto"/>
        <w:ind w:left="2" w:right="397"/>
        <w:rPr>
          <w:szCs w:val="22"/>
          <w:lang w:val="lt-LT"/>
        </w:rPr>
      </w:pPr>
    </w:p>
    <w:p w14:paraId="1E719725" w14:textId="77777777" w:rsidR="000954C1" w:rsidRPr="004A478C" w:rsidRDefault="000954C1" w:rsidP="003B28E4">
      <w:pPr>
        <w:tabs>
          <w:tab w:val="left" w:pos="4680"/>
        </w:tabs>
        <w:spacing w:line="240" w:lineRule="auto"/>
        <w:ind w:left="2" w:right="397"/>
        <w:rPr>
          <w:lang w:val="lt-LT"/>
        </w:rPr>
      </w:pPr>
    </w:p>
    <w:p w14:paraId="04F9336F" w14:textId="77777777" w:rsidR="00FD3CC5" w:rsidRPr="004B0C8F" w:rsidRDefault="00FD3CC5" w:rsidP="003B28E4">
      <w:pPr>
        <w:tabs>
          <w:tab w:val="left" w:pos="4680"/>
        </w:tabs>
        <w:spacing w:line="240" w:lineRule="auto"/>
        <w:ind w:left="-5" w:right="383"/>
        <w:jc w:val="both"/>
        <w:rPr>
          <w:noProof/>
          <w:szCs w:val="24"/>
          <w:lang w:val="lt-LT"/>
        </w:rPr>
      </w:pPr>
    </w:p>
    <w:p w14:paraId="6736EBB5" w14:textId="77777777" w:rsidR="00FD3CC5" w:rsidRPr="004B0C8F" w:rsidRDefault="00FD3CC5" w:rsidP="00FD3CC5">
      <w:pPr>
        <w:pStyle w:val="Antrat3"/>
        <w:spacing w:before="0" w:after="0" w:line="240" w:lineRule="auto"/>
        <w:rPr>
          <w:rFonts w:ascii="Times New Roman" w:hAnsi="Times New Roman"/>
          <w:sz w:val="22"/>
          <w:lang w:val="lt-LT"/>
        </w:rPr>
      </w:pPr>
      <w:r w:rsidRPr="004B0C8F">
        <w:rPr>
          <w:rFonts w:ascii="Times New Roman" w:hAnsi="Times New Roman"/>
          <w:sz w:val="22"/>
          <w:lang w:val="lt-LT"/>
        </w:rPr>
        <w:t>10.</w:t>
      </w:r>
      <w:r w:rsidRPr="004B0C8F">
        <w:rPr>
          <w:rFonts w:ascii="Times New Roman" w:hAnsi="Times New Roman"/>
          <w:sz w:val="22"/>
          <w:lang w:val="lt-LT"/>
        </w:rPr>
        <w:tab/>
        <w:t>TEKSTO PERŽIŪROS DATA</w:t>
      </w:r>
    </w:p>
    <w:p w14:paraId="40FD7C69" w14:textId="77777777" w:rsidR="00FD3CC5" w:rsidRPr="004B0C8F" w:rsidRDefault="00FD3CC5" w:rsidP="00FD3CC5">
      <w:pPr>
        <w:tabs>
          <w:tab w:val="clear" w:pos="567"/>
        </w:tabs>
        <w:spacing w:line="240" w:lineRule="auto"/>
        <w:rPr>
          <w:szCs w:val="24"/>
          <w:lang w:val="lt-LT"/>
        </w:rPr>
      </w:pPr>
    </w:p>
    <w:p w14:paraId="561C777D" w14:textId="59DB917A" w:rsidR="00FD3CC5" w:rsidRPr="004B0C8F" w:rsidRDefault="00353DCA" w:rsidP="00FD3CC5">
      <w:pPr>
        <w:tabs>
          <w:tab w:val="clear" w:pos="567"/>
        </w:tabs>
        <w:spacing w:line="240" w:lineRule="auto"/>
        <w:rPr>
          <w:noProof/>
          <w:szCs w:val="24"/>
          <w:lang w:val="lt-LT"/>
        </w:rPr>
      </w:pPr>
      <w:r w:rsidRPr="004B0C8F">
        <w:rPr>
          <w:noProof/>
          <w:szCs w:val="24"/>
          <w:lang w:val="lt-LT"/>
        </w:rPr>
        <w:t>202</w:t>
      </w:r>
      <w:r w:rsidR="007F09F8">
        <w:rPr>
          <w:noProof/>
          <w:szCs w:val="24"/>
          <w:lang w:val="lt-LT"/>
        </w:rPr>
        <w:t xml:space="preserve">4 </w:t>
      </w:r>
      <w:r w:rsidRPr="004B0C8F">
        <w:rPr>
          <w:noProof/>
          <w:szCs w:val="24"/>
          <w:lang w:val="lt-LT"/>
        </w:rPr>
        <w:t xml:space="preserve">m. </w:t>
      </w:r>
      <w:r w:rsidR="007F09F8">
        <w:rPr>
          <w:noProof/>
          <w:szCs w:val="24"/>
          <w:lang w:val="lt-LT"/>
        </w:rPr>
        <w:t>rugsėjo 9 d.</w:t>
      </w:r>
    </w:p>
    <w:p w14:paraId="19F3C6BF" w14:textId="77777777" w:rsidR="00406279" w:rsidRPr="004B0C8F" w:rsidRDefault="00406279" w:rsidP="00FD3CC5">
      <w:pPr>
        <w:tabs>
          <w:tab w:val="clear" w:pos="567"/>
        </w:tabs>
        <w:spacing w:line="240" w:lineRule="auto"/>
        <w:rPr>
          <w:noProof/>
          <w:szCs w:val="24"/>
          <w:lang w:val="lt-LT"/>
        </w:rPr>
      </w:pPr>
    </w:p>
    <w:p w14:paraId="1D20ED2D" w14:textId="65CF9796" w:rsidR="00FD3CC5" w:rsidRPr="004B0C8F" w:rsidRDefault="00FD3CC5" w:rsidP="00FD3CC5">
      <w:pPr>
        <w:pStyle w:val="Paprastasistekstas"/>
        <w:tabs>
          <w:tab w:val="left" w:pos="5954"/>
          <w:tab w:val="left" w:pos="6237"/>
          <w:tab w:val="left" w:pos="6663"/>
          <w:tab w:val="left" w:pos="6946"/>
        </w:tabs>
        <w:rPr>
          <w:rFonts w:ascii="Times New Roman" w:hAnsi="Times New Roman"/>
          <w:sz w:val="22"/>
          <w:szCs w:val="22"/>
          <w:lang w:val="lt-LT"/>
        </w:rPr>
      </w:pPr>
      <w:r w:rsidRPr="004B0C8F">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4B0C8F">
        <w:rPr>
          <w:rFonts w:ascii="Times New Roman" w:hAnsi="Times New Roman"/>
          <w:i/>
          <w:noProof/>
          <w:sz w:val="22"/>
          <w:szCs w:val="22"/>
          <w:lang w:val="lt-LT"/>
        </w:rPr>
        <w:t xml:space="preserve"> </w:t>
      </w:r>
      <w:hyperlink r:id="rId10" w:history="1">
        <w:r w:rsidR="000954C1" w:rsidRPr="000954C1">
          <w:rPr>
            <w:rFonts w:ascii="Times New Roman" w:hAnsi="Times New Roman"/>
            <w:color w:val="0000FF"/>
            <w:sz w:val="22"/>
            <w:szCs w:val="22"/>
            <w:u w:val="single"/>
            <w:lang w:val="lt-LT" w:eastAsia="en-US"/>
          </w:rPr>
          <w:t>https://vvkt.lrv.lt/lt/</w:t>
        </w:r>
      </w:hyperlink>
      <w:r w:rsidR="000954C1">
        <w:rPr>
          <w:rFonts w:ascii="Times New Roman" w:hAnsi="Times New Roman"/>
          <w:color w:val="0000FF"/>
          <w:sz w:val="22"/>
          <w:szCs w:val="22"/>
          <w:u w:val="single"/>
          <w:lang w:val="lt-LT" w:eastAsia="en-US"/>
        </w:rPr>
        <w:t>.</w:t>
      </w:r>
    </w:p>
    <w:p w14:paraId="13378701" w14:textId="77777777" w:rsidR="00FD3CC5" w:rsidRPr="004B0C8F" w:rsidRDefault="00FD3CC5" w:rsidP="00FD3CC5">
      <w:pPr>
        <w:tabs>
          <w:tab w:val="clear" w:pos="567"/>
        </w:tabs>
        <w:spacing w:line="240" w:lineRule="auto"/>
        <w:rPr>
          <w:szCs w:val="24"/>
          <w:lang w:val="lt-LT"/>
        </w:rPr>
      </w:pPr>
    </w:p>
    <w:p w14:paraId="5442F8EB" w14:textId="77777777" w:rsidR="00FD3CC5" w:rsidRPr="004B0C8F" w:rsidRDefault="00FD3CC5" w:rsidP="003B28E4">
      <w:pPr>
        <w:tabs>
          <w:tab w:val="left" w:pos="4680"/>
        </w:tabs>
        <w:spacing w:line="240" w:lineRule="auto"/>
        <w:ind w:left="-5" w:right="383"/>
        <w:jc w:val="both"/>
        <w:rPr>
          <w:lang w:val="lt-LT"/>
        </w:rPr>
      </w:pPr>
    </w:p>
    <w:p w14:paraId="28543B1F" w14:textId="77777777" w:rsidR="00273470" w:rsidRPr="004B0C8F" w:rsidRDefault="00273470" w:rsidP="003B28E4">
      <w:pPr>
        <w:tabs>
          <w:tab w:val="left" w:pos="4680"/>
        </w:tabs>
        <w:spacing w:line="240" w:lineRule="auto"/>
        <w:rPr>
          <w:lang w:val="lt-LT"/>
        </w:rPr>
      </w:pPr>
      <w:r w:rsidRPr="004B0C8F">
        <w:rPr>
          <w:lang w:val="lt-LT"/>
        </w:rPr>
        <w:t xml:space="preserve"> </w:t>
      </w:r>
    </w:p>
    <w:p w14:paraId="426CCF61" w14:textId="77777777" w:rsidR="00273470" w:rsidRPr="004B0C8F" w:rsidRDefault="00273470" w:rsidP="003B28E4">
      <w:pPr>
        <w:tabs>
          <w:tab w:val="left" w:pos="4680"/>
        </w:tabs>
        <w:spacing w:line="240" w:lineRule="auto"/>
        <w:rPr>
          <w:lang w:val="lt-LT"/>
        </w:rPr>
      </w:pPr>
      <w:r w:rsidRPr="004B0C8F">
        <w:rPr>
          <w:lang w:val="lt-LT"/>
        </w:rPr>
        <w:t xml:space="preserve"> </w:t>
      </w:r>
    </w:p>
    <w:p w14:paraId="635CA224" w14:textId="77777777" w:rsidR="00273470" w:rsidRPr="004B0C8F" w:rsidRDefault="00273470" w:rsidP="003B28E4">
      <w:pPr>
        <w:tabs>
          <w:tab w:val="left" w:pos="4680"/>
        </w:tabs>
        <w:spacing w:line="240" w:lineRule="auto"/>
        <w:rPr>
          <w:lang w:val="lt-LT"/>
        </w:rPr>
      </w:pPr>
    </w:p>
    <w:p w14:paraId="73C51A1D" w14:textId="77777777" w:rsidR="00273470" w:rsidRPr="004B0C8F" w:rsidRDefault="00273470" w:rsidP="003B28E4">
      <w:pPr>
        <w:tabs>
          <w:tab w:val="left" w:pos="4680"/>
        </w:tabs>
        <w:spacing w:line="240" w:lineRule="auto"/>
        <w:rPr>
          <w:lang w:val="lt-LT"/>
        </w:rPr>
      </w:pPr>
    </w:p>
    <w:p w14:paraId="6B87BEF9" w14:textId="77777777" w:rsidR="00F34163" w:rsidRPr="004B0C8F" w:rsidRDefault="00F34163" w:rsidP="003B28E4">
      <w:pPr>
        <w:pStyle w:val="Paprastasistekstas"/>
        <w:tabs>
          <w:tab w:val="left" w:pos="4680"/>
          <w:tab w:val="left" w:pos="5954"/>
          <w:tab w:val="left" w:pos="6237"/>
          <w:tab w:val="left" w:pos="6663"/>
          <w:tab w:val="left" w:pos="6946"/>
        </w:tabs>
        <w:jc w:val="center"/>
        <w:rPr>
          <w:rFonts w:ascii="Times New Roman" w:hAnsi="Times New Roman"/>
          <w:sz w:val="22"/>
          <w:szCs w:val="22"/>
          <w:lang w:val="lt-LT"/>
        </w:rPr>
      </w:pPr>
    </w:p>
    <w:p w14:paraId="5F1DD35C" w14:textId="1321B726" w:rsidR="00F34163" w:rsidRPr="004B0C8F" w:rsidRDefault="00F34163" w:rsidP="00542090">
      <w:pPr>
        <w:pStyle w:val="Paprastasistekstas"/>
        <w:tabs>
          <w:tab w:val="left" w:pos="4680"/>
          <w:tab w:val="left" w:pos="5954"/>
          <w:tab w:val="left" w:pos="6237"/>
          <w:tab w:val="left" w:pos="6663"/>
          <w:tab w:val="left" w:pos="6946"/>
        </w:tabs>
        <w:rPr>
          <w:rFonts w:ascii="Times New Roman" w:hAnsi="Times New Roman"/>
          <w:sz w:val="22"/>
          <w:szCs w:val="22"/>
          <w:lang w:val="lt-LT"/>
        </w:rPr>
      </w:pPr>
    </w:p>
    <w:p w14:paraId="1642689C" w14:textId="77777777" w:rsidR="00F34163" w:rsidRPr="004B0C8F" w:rsidRDefault="00F34163" w:rsidP="003B28E4">
      <w:pPr>
        <w:pStyle w:val="Paprastasistekstas"/>
        <w:tabs>
          <w:tab w:val="left" w:pos="4680"/>
          <w:tab w:val="left" w:pos="5954"/>
          <w:tab w:val="left" w:pos="6237"/>
          <w:tab w:val="left" w:pos="6663"/>
          <w:tab w:val="left" w:pos="6946"/>
        </w:tabs>
        <w:jc w:val="center"/>
        <w:rPr>
          <w:rFonts w:ascii="Times New Roman" w:hAnsi="Times New Roman"/>
          <w:sz w:val="22"/>
          <w:szCs w:val="22"/>
          <w:lang w:val="lt-LT"/>
        </w:rPr>
      </w:pPr>
    </w:p>
    <w:p w14:paraId="0CB3E9A3" w14:textId="77777777" w:rsidR="00F34163" w:rsidRPr="004B0C8F" w:rsidRDefault="00F34163" w:rsidP="003B28E4">
      <w:pPr>
        <w:pStyle w:val="Paprastasistekstas"/>
        <w:tabs>
          <w:tab w:val="left" w:pos="4680"/>
          <w:tab w:val="left" w:pos="5954"/>
          <w:tab w:val="left" w:pos="6237"/>
          <w:tab w:val="left" w:pos="6663"/>
          <w:tab w:val="left" w:pos="6946"/>
        </w:tabs>
        <w:jc w:val="center"/>
        <w:rPr>
          <w:rFonts w:ascii="Times New Roman" w:hAnsi="Times New Roman"/>
          <w:sz w:val="22"/>
          <w:szCs w:val="22"/>
          <w:lang w:val="lt-LT"/>
        </w:rPr>
      </w:pPr>
    </w:p>
    <w:p w14:paraId="6D16D832" w14:textId="77777777" w:rsidR="00273470" w:rsidRPr="004A478C" w:rsidRDefault="00273470" w:rsidP="003B28E4">
      <w:pPr>
        <w:tabs>
          <w:tab w:val="center" w:pos="2498"/>
          <w:tab w:val="left" w:pos="4680"/>
        </w:tabs>
        <w:spacing w:line="240" w:lineRule="auto"/>
        <w:ind w:left="-15"/>
        <w:rPr>
          <w:lang w:val="lt-LT"/>
        </w:rPr>
      </w:pPr>
      <w:r w:rsidRPr="004B0C8F">
        <w:rPr>
          <w:szCs w:val="22"/>
          <w:lang w:val="lt-LT"/>
        </w:rPr>
        <w:br w:type="page"/>
      </w:r>
      <w:r w:rsidRPr="004A478C">
        <w:rPr>
          <w:b/>
          <w:lang w:val="lt-LT"/>
        </w:rPr>
        <w:lastRenderedPageBreak/>
        <w:t xml:space="preserve">1. </w:t>
      </w:r>
      <w:r w:rsidRPr="004A478C">
        <w:rPr>
          <w:b/>
          <w:lang w:val="lt-LT"/>
        </w:rPr>
        <w:tab/>
        <w:t xml:space="preserve">VAISTINIO PREPARATO PAVADINIMAS </w:t>
      </w:r>
    </w:p>
    <w:p w14:paraId="2070E908" w14:textId="77777777" w:rsidR="00273470" w:rsidRPr="004A478C" w:rsidRDefault="00273470" w:rsidP="003B28E4">
      <w:pPr>
        <w:tabs>
          <w:tab w:val="left" w:pos="4680"/>
        </w:tabs>
        <w:spacing w:line="240" w:lineRule="auto"/>
        <w:rPr>
          <w:lang w:val="lt-LT"/>
        </w:rPr>
      </w:pPr>
      <w:r w:rsidRPr="004A478C">
        <w:rPr>
          <w:lang w:val="lt-LT"/>
        </w:rPr>
        <w:t xml:space="preserve"> </w:t>
      </w:r>
    </w:p>
    <w:p w14:paraId="26A89CEB" w14:textId="34F7C712" w:rsidR="00273470" w:rsidRPr="004A478C" w:rsidRDefault="00273470" w:rsidP="003B28E4">
      <w:pPr>
        <w:tabs>
          <w:tab w:val="left" w:pos="4680"/>
        </w:tabs>
        <w:spacing w:line="240" w:lineRule="auto"/>
        <w:ind w:left="2" w:right="397"/>
        <w:rPr>
          <w:lang w:val="lt-LT"/>
        </w:rPr>
      </w:pPr>
      <w:proofErr w:type="spellStart"/>
      <w:r w:rsidRPr="004A478C">
        <w:rPr>
          <w:lang w:val="lt-LT"/>
        </w:rPr>
        <w:t>Febuxostat</w:t>
      </w:r>
      <w:proofErr w:type="spellEnd"/>
      <w:r w:rsidRPr="004A478C">
        <w:rPr>
          <w:lang w:val="lt-LT"/>
        </w:rPr>
        <w:t xml:space="preserve"> </w:t>
      </w:r>
      <w:proofErr w:type="spellStart"/>
      <w:r w:rsidR="002606A3" w:rsidRPr="004A478C">
        <w:rPr>
          <w:lang w:val="lt-LT"/>
        </w:rPr>
        <w:t>Zentiva</w:t>
      </w:r>
      <w:proofErr w:type="spellEnd"/>
      <w:r w:rsidRPr="004A478C">
        <w:rPr>
          <w:lang w:val="lt-LT"/>
        </w:rPr>
        <w:t xml:space="preserve"> </w:t>
      </w:r>
      <w:r w:rsidR="003B1300" w:rsidRPr="004A478C">
        <w:rPr>
          <w:lang w:val="lt-LT"/>
        </w:rPr>
        <w:t>120 </w:t>
      </w:r>
      <w:r w:rsidRPr="004A478C">
        <w:rPr>
          <w:lang w:val="lt-LT"/>
        </w:rPr>
        <w:t xml:space="preserve">mg </w:t>
      </w:r>
      <w:r w:rsidR="00405B1C" w:rsidRPr="004A478C">
        <w:rPr>
          <w:lang w:val="lt-LT"/>
        </w:rPr>
        <w:t>plėvele dengtos tabletės</w:t>
      </w:r>
      <w:r w:rsidRPr="004A478C">
        <w:rPr>
          <w:lang w:val="lt-LT"/>
        </w:rPr>
        <w:t xml:space="preserve"> </w:t>
      </w:r>
    </w:p>
    <w:p w14:paraId="2D98A203" w14:textId="77777777" w:rsidR="00273470" w:rsidRPr="004A478C" w:rsidRDefault="00273470" w:rsidP="003B28E4">
      <w:pPr>
        <w:tabs>
          <w:tab w:val="left" w:pos="4680"/>
        </w:tabs>
        <w:spacing w:line="240" w:lineRule="auto"/>
        <w:rPr>
          <w:lang w:val="lt-LT"/>
        </w:rPr>
      </w:pPr>
      <w:r w:rsidRPr="004A478C">
        <w:rPr>
          <w:lang w:val="lt-LT"/>
        </w:rPr>
        <w:t xml:space="preserve"> </w:t>
      </w:r>
    </w:p>
    <w:p w14:paraId="538C213C" w14:textId="77777777" w:rsidR="00273470" w:rsidRPr="004A478C" w:rsidRDefault="00273470" w:rsidP="003B28E4">
      <w:pPr>
        <w:tabs>
          <w:tab w:val="left" w:pos="4680"/>
        </w:tabs>
        <w:spacing w:line="240" w:lineRule="auto"/>
        <w:rPr>
          <w:lang w:val="lt-LT"/>
        </w:rPr>
      </w:pPr>
      <w:r w:rsidRPr="004A478C">
        <w:rPr>
          <w:lang w:val="lt-LT"/>
        </w:rPr>
        <w:t xml:space="preserve"> </w:t>
      </w:r>
    </w:p>
    <w:p w14:paraId="41E3D3F6" w14:textId="77777777" w:rsidR="00273470" w:rsidRPr="004A478C" w:rsidRDefault="00273470" w:rsidP="003B28E4">
      <w:pPr>
        <w:pStyle w:val="Antrat3"/>
        <w:tabs>
          <w:tab w:val="center" w:pos="2306"/>
          <w:tab w:val="left" w:pos="4680"/>
        </w:tabs>
        <w:spacing w:before="0" w:after="0" w:line="240" w:lineRule="auto"/>
        <w:ind w:left="-15"/>
        <w:rPr>
          <w:rFonts w:ascii="Times New Roman" w:hAnsi="Times New Roman"/>
          <w:sz w:val="22"/>
          <w:lang w:val="lt-LT"/>
        </w:rPr>
      </w:pPr>
      <w:r w:rsidRPr="004A478C">
        <w:rPr>
          <w:rFonts w:ascii="Times New Roman" w:hAnsi="Times New Roman"/>
          <w:sz w:val="22"/>
          <w:lang w:val="lt-LT"/>
        </w:rPr>
        <w:t xml:space="preserve">2. </w:t>
      </w:r>
      <w:r w:rsidRPr="004A478C">
        <w:rPr>
          <w:rFonts w:ascii="Times New Roman" w:hAnsi="Times New Roman"/>
          <w:sz w:val="22"/>
          <w:lang w:val="lt-LT"/>
        </w:rPr>
        <w:tab/>
        <w:t xml:space="preserve">KOKYBINĖ IR KIEKYBINĖ SUDĖTIS </w:t>
      </w:r>
    </w:p>
    <w:p w14:paraId="5C47640D" w14:textId="77777777" w:rsidR="00273470" w:rsidRPr="004A478C" w:rsidRDefault="00273470" w:rsidP="003B28E4">
      <w:pPr>
        <w:tabs>
          <w:tab w:val="left" w:pos="4680"/>
        </w:tabs>
        <w:spacing w:line="240" w:lineRule="auto"/>
        <w:rPr>
          <w:lang w:val="lt-LT"/>
        </w:rPr>
      </w:pPr>
      <w:r w:rsidRPr="004A478C">
        <w:rPr>
          <w:lang w:val="lt-LT"/>
        </w:rPr>
        <w:t xml:space="preserve"> </w:t>
      </w:r>
    </w:p>
    <w:p w14:paraId="39D61ED7" w14:textId="77777777" w:rsidR="00273470" w:rsidRPr="004A478C" w:rsidRDefault="002855D9" w:rsidP="003B28E4">
      <w:pPr>
        <w:tabs>
          <w:tab w:val="left" w:pos="4680"/>
        </w:tabs>
        <w:spacing w:line="240" w:lineRule="auto"/>
        <w:ind w:left="2" w:right="397"/>
        <w:rPr>
          <w:lang w:val="lt-LT"/>
        </w:rPr>
      </w:pPr>
      <w:r w:rsidRPr="004A478C">
        <w:rPr>
          <w:lang w:val="lt-LT"/>
        </w:rPr>
        <w:t>Kiekv</w:t>
      </w:r>
      <w:r w:rsidR="00273470" w:rsidRPr="004A478C">
        <w:rPr>
          <w:lang w:val="lt-LT"/>
        </w:rPr>
        <w:t xml:space="preserve">ienoje tabletėje yra 120 mg </w:t>
      </w:r>
      <w:proofErr w:type="spellStart"/>
      <w:r w:rsidR="00273470" w:rsidRPr="004A478C">
        <w:rPr>
          <w:lang w:val="lt-LT"/>
        </w:rPr>
        <w:t>febuksostato</w:t>
      </w:r>
      <w:proofErr w:type="spellEnd"/>
      <w:r w:rsidR="00273470" w:rsidRPr="004A478C">
        <w:rPr>
          <w:lang w:val="lt-LT"/>
        </w:rPr>
        <w:t xml:space="preserve"> (</w:t>
      </w:r>
      <w:proofErr w:type="spellStart"/>
      <w:r w:rsidRPr="004A478C">
        <w:rPr>
          <w:lang w:val="lt-LT"/>
        </w:rPr>
        <w:t>hemihidrato</w:t>
      </w:r>
      <w:proofErr w:type="spellEnd"/>
      <w:r w:rsidRPr="004A478C">
        <w:rPr>
          <w:lang w:val="lt-LT"/>
        </w:rPr>
        <w:t xml:space="preserve"> pavidalu</w:t>
      </w:r>
      <w:r w:rsidR="00273470" w:rsidRPr="004A478C">
        <w:rPr>
          <w:lang w:val="lt-LT"/>
        </w:rPr>
        <w:t xml:space="preserve">). </w:t>
      </w:r>
    </w:p>
    <w:p w14:paraId="6669E8F5" w14:textId="77777777" w:rsidR="00273470" w:rsidRPr="004A478C" w:rsidRDefault="00273470" w:rsidP="003B28E4">
      <w:pPr>
        <w:tabs>
          <w:tab w:val="left" w:pos="4680"/>
        </w:tabs>
        <w:spacing w:line="240" w:lineRule="auto"/>
        <w:rPr>
          <w:lang w:val="lt-LT"/>
        </w:rPr>
      </w:pPr>
      <w:r w:rsidRPr="004A478C">
        <w:rPr>
          <w:lang w:val="lt-LT"/>
        </w:rPr>
        <w:t xml:space="preserve"> </w:t>
      </w:r>
    </w:p>
    <w:p w14:paraId="081AEA74" w14:textId="77777777" w:rsidR="00273470" w:rsidRPr="004A478C" w:rsidRDefault="00273470" w:rsidP="003B28E4">
      <w:pPr>
        <w:tabs>
          <w:tab w:val="left" w:pos="4680"/>
        </w:tabs>
        <w:spacing w:line="240" w:lineRule="auto"/>
        <w:ind w:left="2" w:right="397"/>
        <w:rPr>
          <w:u w:val="single"/>
          <w:lang w:val="lt-LT"/>
        </w:rPr>
      </w:pPr>
      <w:r w:rsidRPr="004A478C">
        <w:rPr>
          <w:u w:val="single"/>
          <w:lang w:val="lt-LT"/>
        </w:rPr>
        <w:t>Pagalbinė medžiaga, kurios poveikis žinomas</w:t>
      </w:r>
    </w:p>
    <w:p w14:paraId="0BA129C1" w14:textId="28F92D72" w:rsidR="00273470" w:rsidRPr="004A478C" w:rsidRDefault="002855D9" w:rsidP="003B28E4">
      <w:pPr>
        <w:tabs>
          <w:tab w:val="left" w:pos="4680"/>
        </w:tabs>
        <w:spacing w:line="240" w:lineRule="auto"/>
        <w:ind w:left="2" w:right="397"/>
        <w:rPr>
          <w:lang w:val="lt-LT"/>
        </w:rPr>
      </w:pPr>
      <w:r w:rsidRPr="004A478C">
        <w:rPr>
          <w:lang w:val="lt-LT"/>
        </w:rPr>
        <w:t>Kiek</w:t>
      </w:r>
      <w:r w:rsidR="00273470" w:rsidRPr="004A478C">
        <w:rPr>
          <w:lang w:val="lt-LT"/>
        </w:rPr>
        <w:t>vienoje tabletėje yra 1</w:t>
      </w:r>
      <w:r w:rsidR="00E01AC5" w:rsidRPr="004A478C">
        <w:rPr>
          <w:lang w:val="lt-LT"/>
        </w:rPr>
        <w:t>09,0</w:t>
      </w:r>
      <w:r w:rsidR="00273470" w:rsidRPr="004A478C">
        <w:rPr>
          <w:lang w:val="lt-LT"/>
        </w:rPr>
        <w:t xml:space="preserve"> mg laktozės </w:t>
      </w:r>
      <w:r w:rsidR="00E01AC5" w:rsidRPr="004A478C">
        <w:rPr>
          <w:lang w:val="lt-LT"/>
        </w:rPr>
        <w:t>(</w:t>
      </w:r>
      <w:proofErr w:type="spellStart"/>
      <w:r w:rsidR="00273470" w:rsidRPr="004A478C">
        <w:rPr>
          <w:lang w:val="lt-LT"/>
        </w:rPr>
        <w:t>monohidrato</w:t>
      </w:r>
      <w:proofErr w:type="spellEnd"/>
      <w:r w:rsidR="00E01AC5" w:rsidRPr="004A478C">
        <w:rPr>
          <w:lang w:val="lt-LT"/>
        </w:rPr>
        <w:t xml:space="preserve"> pavidalu)</w:t>
      </w:r>
      <w:r w:rsidR="00273470" w:rsidRPr="004A478C">
        <w:rPr>
          <w:lang w:val="lt-LT"/>
        </w:rPr>
        <w:t xml:space="preserve">. </w:t>
      </w:r>
    </w:p>
    <w:p w14:paraId="40CB7AC6" w14:textId="77777777" w:rsidR="00273470" w:rsidRPr="004A478C" w:rsidRDefault="00273470" w:rsidP="003B28E4">
      <w:pPr>
        <w:tabs>
          <w:tab w:val="left" w:pos="4680"/>
        </w:tabs>
        <w:spacing w:line="240" w:lineRule="auto"/>
        <w:rPr>
          <w:lang w:val="lt-LT"/>
        </w:rPr>
      </w:pPr>
      <w:r w:rsidRPr="004A478C">
        <w:rPr>
          <w:lang w:val="lt-LT"/>
        </w:rPr>
        <w:t xml:space="preserve"> </w:t>
      </w:r>
    </w:p>
    <w:p w14:paraId="5931D778" w14:textId="77777777" w:rsidR="00273470" w:rsidRPr="004A478C" w:rsidRDefault="00273470" w:rsidP="003B28E4">
      <w:pPr>
        <w:tabs>
          <w:tab w:val="left" w:pos="4680"/>
        </w:tabs>
        <w:spacing w:line="240" w:lineRule="auto"/>
        <w:ind w:left="2" w:right="397"/>
        <w:rPr>
          <w:lang w:val="lt-LT"/>
        </w:rPr>
      </w:pPr>
      <w:r w:rsidRPr="004A478C">
        <w:rPr>
          <w:lang w:val="lt-LT"/>
        </w:rPr>
        <w:t xml:space="preserve">Visos pagalbinės medžiagos išvardytos 6.1 skyriuje. </w:t>
      </w:r>
    </w:p>
    <w:p w14:paraId="6823F2C1" w14:textId="77777777" w:rsidR="00273470" w:rsidRPr="004A478C" w:rsidRDefault="00273470" w:rsidP="003B28E4">
      <w:pPr>
        <w:tabs>
          <w:tab w:val="left" w:pos="4680"/>
        </w:tabs>
        <w:spacing w:line="240" w:lineRule="auto"/>
        <w:rPr>
          <w:lang w:val="lt-LT"/>
        </w:rPr>
      </w:pPr>
      <w:r w:rsidRPr="004A478C">
        <w:rPr>
          <w:lang w:val="lt-LT"/>
        </w:rPr>
        <w:t xml:space="preserve"> </w:t>
      </w:r>
    </w:p>
    <w:p w14:paraId="4624BFFD" w14:textId="77777777" w:rsidR="00273470" w:rsidRPr="004A478C" w:rsidRDefault="00273470" w:rsidP="003B28E4">
      <w:pPr>
        <w:tabs>
          <w:tab w:val="left" w:pos="4680"/>
        </w:tabs>
        <w:spacing w:line="240" w:lineRule="auto"/>
        <w:rPr>
          <w:lang w:val="lt-LT"/>
        </w:rPr>
      </w:pPr>
      <w:r w:rsidRPr="004A478C">
        <w:rPr>
          <w:lang w:val="lt-LT"/>
        </w:rPr>
        <w:t xml:space="preserve"> </w:t>
      </w:r>
    </w:p>
    <w:p w14:paraId="0AE619A4" w14:textId="77777777" w:rsidR="00273470" w:rsidRPr="004A478C" w:rsidRDefault="00273470" w:rsidP="003B28E4">
      <w:pPr>
        <w:pStyle w:val="Antrat3"/>
        <w:tabs>
          <w:tab w:val="center" w:pos="1566"/>
          <w:tab w:val="left" w:pos="4680"/>
        </w:tabs>
        <w:spacing w:before="0" w:after="0" w:line="240" w:lineRule="auto"/>
        <w:ind w:left="-15"/>
        <w:rPr>
          <w:rFonts w:ascii="Times New Roman" w:hAnsi="Times New Roman"/>
          <w:sz w:val="22"/>
          <w:lang w:val="lt-LT"/>
        </w:rPr>
      </w:pPr>
      <w:r w:rsidRPr="004A478C">
        <w:rPr>
          <w:rFonts w:ascii="Times New Roman" w:hAnsi="Times New Roman"/>
          <w:sz w:val="22"/>
          <w:lang w:val="lt-LT"/>
        </w:rPr>
        <w:t xml:space="preserve">3. </w:t>
      </w:r>
      <w:r w:rsidRPr="004A478C">
        <w:rPr>
          <w:rFonts w:ascii="Times New Roman" w:hAnsi="Times New Roman"/>
          <w:sz w:val="22"/>
          <w:lang w:val="lt-LT"/>
        </w:rPr>
        <w:tab/>
        <w:t xml:space="preserve">FARMACINĖ FORMA </w:t>
      </w:r>
    </w:p>
    <w:p w14:paraId="38725C0E" w14:textId="77777777" w:rsidR="00273470" w:rsidRPr="004A478C" w:rsidRDefault="00273470" w:rsidP="003B28E4">
      <w:pPr>
        <w:tabs>
          <w:tab w:val="left" w:pos="4680"/>
        </w:tabs>
        <w:spacing w:line="240" w:lineRule="auto"/>
        <w:rPr>
          <w:lang w:val="lt-LT"/>
        </w:rPr>
      </w:pPr>
      <w:r w:rsidRPr="004A478C">
        <w:rPr>
          <w:lang w:val="lt-LT"/>
        </w:rPr>
        <w:t xml:space="preserve"> </w:t>
      </w:r>
    </w:p>
    <w:p w14:paraId="164256C3" w14:textId="77777777" w:rsidR="00273470" w:rsidRPr="004A478C" w:rsidRDefault="00273470" w:rsidP="003B28E4">
      <w:pPr>
        <w:tabs>
          <w:tab w:val="left" w:pos="4680"/>
        </w:tabs>
        <w:spacing w:line="240" w:lineRule="auto"/>
        <w:ind w:left="2" w:right="397"/>
        <w:rPr>
          <w:lang w:val="lt-LT"/>
        </w:rPr>
      </w:pPr>
      <w:r w:rsidRPr="004A478C">
        <w:rPr>
          <w:lang w:val="lt-LT"/>
        </w:rPr>
        <w:t>Plėvele dengta tabletė</w:t>
      </w:r>
      <w:r w:rsidR="005A5844" w:rsidRPr="004A478C">
        <w:rPr>
          <w:lang w:val="lt-LT"/>
        </w:rPr>
        <w:t xml:space="preserve"> (tabletė)</w:t>
      </w:r>
      <w:r w:rsidRPr="004A478C">
        <w:rPr>
          <w:lang w:val="lt-LT"/>
        </w:rPr>
        <w:t xml:space="preserve">. </w:t>
      </w:r>
    </w:p>
    <w:p w14:paraId="0A0729DF" w14:textId="77777777" w:rsidR="00273470" w:rsidRPr="004A478C" w:rsidRDefault="00273470" w:rsidP="003B28E4">
      <w:pPr>
        <w:tabs>
          <w:tab w:val="left" w:pos="4680"/>
        </w:tabs>
        <w:spacing w:line="240" w:lineRule="auto"/>
        <w:rPr>
          <w:lang w:val="lt-LT"/>
        </w:rPr>
      </w:pPr>
      <w:r w:rsidRPr="004A478C">
        <w:rPr>
          <w:lang w:val="lt-LT"/>
        </w:rPr>
        <w:t xml:space="preserve"> </w:t>
      </w:r>
    </w:p>
    <w:p w14:paraId="4FDDF7DF" w14:textId="77777777" w:rsidR="00273470" w:rsidRPr="004A478C" w:rsidRDefault="00273470" w:rsidP="003B28E4">
      <w:pPr>
        <w:tabs>
          <w:tab w:val="left" w:pos="4680"/>
        </w:tabs>
        <w:spacing w:line="240" w:lineRule="auto"/>
        <w:ind w:left="2" w:right="397"/>
        <w:rPr>
          <w:lang w:val="lt-LT"/>
        </w:rPr>
      </w:pPr>
      <w:r w:rsidRPr="004A478C">
        <w:rPr>
          <w:lang w:val="lt-LT"/>
        </w:rPr>
        <w:t>Šviesiai geltonos spalvos</w:t>
      </w:r>
      <w:r w:rsidR="00935615" w:rsidRPr="004A478C">
        <w:rPr>
          <w:lang w:val="lt-LT"/>
        </w:rPr>
        <w:t>,</w:t>
      </w:r>
      <w:r w:rsidRPr="004A478C">
        <w:rPr>
          <w:lang w:val="lt-LT"/>
        </w:rPr>
        <w:t xml:space="preserve"> pailgos formos</w:t>
      </w:r>
      <w:r w:rsidR="002855D9" w:rsidRPr="004A478C">
        <w:rPr>
          <w:lang w:val="lt-LT"/>
        </w:rPr>
        <w:t>, maždaug 19 mm x 8 mm dydžio</w:t>
      </w:r>
      <w:r w:rsidRPr="004A478C">
        <w:rPr>
          <w:lang w:val="lt-LT"/>
        </w:rPr>
        <w:t xml:space="preserve"> plėvele dengtos tabletės, kurių vienoje pusėje yra </w:t>
      </w:r>
      <w:r w:rsidR="00935615" w:rsidRPr="004A478C">
        <w:rPr>
          <w:lang w:val="lt-LT"/>
        </w:rPr>
        <w:t>vagelė</w:t>
      </w:r>
      <w:r w:rsidR="002855D9" w:rsidRPr="004A478C">
        <w:rPr>
          <w:lang w:val="lt-LT"/>
        </w:rPr>
        <w:t>.</w:t>
      </w:r>
    </w:p>
    <w:p w14:paraId="117B1821" w14:textId="77777777" w:rsidR="002855D9" w:rsidRPr="004A478C" w:rsidRDefault="002855D9" w:rsidP="002855D9">
      <w:pPr>
        <w:tabs>
          <w:tab w:val="left" w:pos="4680"/>
        </w:tabs>
        <w:spacing w:line="240" w:lineRule="auto"/>
        <w:ind w:left="2" w:right="397"/>
        <w:rPr>
          <w:lang w:val="lt-LT"/>
        </w:rPr>
      </w:pPr>
      <w:r w:rsidRPr="004A478C">
        <w:rPr>
          <w:lang w:val="lt-LT"/>
        </w:rPr>
        <w:t xml:space="preserve">Vagelė skirta tik tabletei perlaužti, kad būtų lengviau nuryti, bet ne jai padalyti į lygias dozes. </w:t>
      </w:r>
    </w:p>
    <w:p w14:paraId="3A5975F7" w14:textId="77777777" w:rsidR="002855D9" w:rsidRPr="004A478C" w:rsidRDefault="002855D9" w:rsidP="003B28E4">
      <w:pPr>
        <w:tabs>
          <w:tab w:val="left" w:pos="4680"/>
        </w:tabs>
        <w:spacing w:line="240" w:lineRule="auto"/>
        <w:ind w:left="2" w:right="397"/>
        <w:rPr>
          <w:lang w:val="lt-LT"/>
        </w:rPr>
      </w:pPr>
    </w:p>
    <w:p w14:paraId="150F659E" w14:textId="77777777" w:rsidR="00273470" w:rsidRPr="004A478C" w:rsidRDefault="00273470" w:rsidP="003B28E4">
      <w:pPr>
        <w:tabs>
          <w:tab w:val="left" w:pos="4680"/>
        </w:tabs>
        <w:spacing w:line="240" w:lineRule="auto"/>
        <w:rPr>
          <w:lang w:val="lt-LT"/>
        </w:rPr>
      </w:pPr>
      <w:r w:rsidRPr="004A478C">
        <w:rPr>
          <w:lang w:val="lt-LT"/>
        </w:rPr>
        <w:t xml:space="preserve">  </w:t>
      </w:r>
    </w:p>
    <w:p w14:paraId="0ABA0C8F" w14:textId="77777777" w:rsidR="00273470" w:rsidRPr="004A478C" w:rsidRDefault="00273470" w:rsidP="003B28E4">
      <w:pPr>
        <w:pStyle w:val="Antrat3"/>
        <w:tabs>
          <w:tab w:val="center" w:pos="1847"/>
          <w:tab w:val="left" w:pos="4680"/>
        </w:tabs>
        <w:spacing w:before="0" w:after="0" w:line="240" w:lineRule="auto"/>
        <w:ind w:left="-15"/>
        <w:rPr>
          <w:rFonts w:ascii="Times New Roman" w:hAnsi="Times New Roman"/>
          <w:sz w:val="22"/>
          <w:lang w:val="lt-LT"/>
        </w:rPr>
      </w:pPr>
      <w:r w:rsidRPr="004A478C">
        <w:rPr>
          <w:rFonts w:ascii="Times New Roman" w:hAnsi="Times New Roman"/>
          <w:sz w:val="22"/>
          <w:lang w:val="lt-LT"/>
        </w:rPr>
        <w:t xml:space="preserve">4. </w:t>
      </w:r>
      <w:r w:rsidRPr="004A478C">
        <w:rPr>
          <w:rFonts w:ascii="Times New Roman" w:hAnsi="Times New Roman"/>
          <w:sz w:val="22"/>
          <w:lang w:val="lt-LT"/>
        </w:rPr>
        <w:tab/>
        <w:t xml:space="preserve">KLINIKINĖ INFORMACIJA </w:t>
      </w:r>
    </w:p>
    <w:p w14:paraId="1E80793B" w14:textId="77777777" w:rsidR="00273470" w:rsidRPr="004A478C" w:rsidRDefault="00273470" w:rsidP="003B28E4">
      <w:pPr>
        <w:tabs>
          <w:tab w:val="left" w:pos="4680"/>
        </w:tabs>
        <w:spacing w:line="240" w:lineRule="auto"/>
        <w:rPr>
          <w:lang w:val="lt-LT"/>
        </w:rPr>
      </w:pPr>
      <w:r w:rsidRPr="004A478C">
        <w:rPr>
          <w:lang w:val="lt-LT"/>
        </w:rPr>
        <w:t xml:space="preserve"> </w:t>
      </w:r>
    </w:p>
    <w:p w14:paraId="41B79783" w14:textId="77777777" w:rsidR="00273470" w:rsidRPr="004A478C" w:rsidRDefault="00273470" w:rsidP="003B28E4">
      <w:pPr>
        <w:pStyle w:val="Antrat4"/>
        <w:tabs>
          <w:tab w:val="center" w:pos="1459"/>
          <w:tab w:val="left" w:pos="4680"/>
        </w:tabs>
        <w:spacing w:line="240" w:lineRule="auto"/>
        <w:ind w:left="-15"/>
        <w:rPr>
          <w:rFonts w:ascii="Times New Roman" w:hAnsi="Times New Roman"/>
          <w:sz w:val="22"/>
          <w:lang w:val="lt-LT"/>
        </w:rPr>
      </w:pPr>
      <w:r w:rsidRPr="004A478C">
        <w:rPr>
          <w:rFonts w:ascii="Times New Roman" w:hAnsi="Times New Roman"/>
          <w:sz w:val="22"/>
          <w:lang w:val="lt-LT"/>
        </w:rPr>
        <w:t xml:space="preserve">4.1 </w:t>
      </w:r>
      <w:r w:rsidRPr="004A478C">
        <w:rPr>
          <w:rFonts w:ascii="Times New Roman" w:hAnsi="Times New Roman"/>
          <w:sz w:val="22"/>
          <w:lang w:val="lt-LT"/>
        </w:rPr>
        <w:tab/>
        <w:t xml:space="preserve">Terapinės indikacijos </w:t>
      </w:r>
    </w:p>
    <w:p w14:paraId="3B3C5694" w14:textId="77777777" w:rsidR="00273470" w:rsidRPr="004A478C" w:rsidRDefault="00273470" w:rsidP="003B28E4">
      <w:pPr>
        <w:tabs>
          <w:tab w:val="left" w:pos="4680"/>
        </w:tabs>
        <w:spacing w:line="240" w:lineRule="auto"/>
        <w:rPr>
          <w:lang w:val="lt-LT"/>
        </w:rPr>
      </w:pPr>
      <w:r w:rsidRPr="004A478C">
        <w:rPr>
          <w:lang w:val="lt-LT"/>
        </w:rPr>
        <w:t xml:space="preserve"> </w:t>
      </w:r>
    </w:p>
    <w:p w14:paraId="14D24B61" w14:textId="209CD1B0" w:rsidR="00273470" w:rsidRPr="004A478C" w:rsidRDefault="00273470" w:rsidP="003B28E4">
      <w:pPr>
        <w:tabs>
          <w:tab w:val="left" w:pos="4680"/>
        </w:tabs>
        <w:spacing w:line="240" w:lineRule="auto"/>
        <w:ind w:left="2" w:right="397"/>
        <w:rPr>
          <w:lang w:val="lt-LT"/>
        </w:rPr>
      </w:pPr>
      <w:proofErr w:type="spellStart"/>
      <w:r w:rsidRPr="004A478C">
        <w:rPr>
          <w:lang w:val="lt-LT"/>
        </w:rPr>
        <w:t>Febuxostat</w:t>
      </w:r>
      <w:proofErr w:type="spellEnd"/>
      <w:r w:rsidRPr="004A478C">
        <w:rPr>
          <w:lang w:val="lt-LT"/>
        </w:rPr>
        <w:t xml:space="preserve"> </w:t>
      </w:r>
      <w:proofErr w:type="spellStart"/>
      <w:r w:rsidR="002606A3" w:rsidRPr="004A478C">
        <w:rPr>
          <w:lang w:val="lt-LT"/>
        </w:rPr>
        <w:t>Zentiva</w:t>
      </w:r>
      <w:proofErr w:type="spellEnd"/>
      <w:r w:rsidR="002606A3" w:rsidRPr="004A478C">
        <w:rPr>
          <w:lang w:val="lt-LT"/>
        </w:rPr>
        <w:t xml:space="preserve"> </w:t>
      </w:r>
      <w:r w:rsidRPr="004A478C">
        <w:rPr>
          <w:lang w:val="lt-LT"/>
        </w:rPr>
        <w:t xml:space="preserve">skirtas lėtinės </w:t>
      </w:r>
      <w:proofErr w:type="spellStart"/>
      <w:r w:rsidRPr="004A478C">
        <w:rPr>
          <w:lang w:val="lt-LT"/>
        </w:rPr>
        <w:t>hiperurikemijos</w:t>
      </w:r>
      <w:proofErr w:type="spellEnd"/>
      <w:r w:rsidRPr="004A478C">
        <w:rPr>
          <w:lang w:val="lt-LT"/>
        </w:rPr>
        <w:t xml:space="preserve"> būklių, kurių metu jau yra uratų nuosėdų (įskaitant buvusius ar esančius podagrinius mazgelius ir (ar) podagrinį artritą), gydymui. </w:t>
      </w:r>
    </w:p>
    <w:p w14:paraId="62A27305" w14:textId="77777777" w:rsidR="00582C96" w:rsidRPr="004A478C" w:rsidRDefault="00582C96" w:rsidP="003B28E4">
      <w:pPr>
        <w:tabs>
          <w:tab w:val="left" w:pos="4680"/>
        </w:tabs>
        <w:spacing w:line="240" w:lineRule="auto"/>
        <w:ind w:left="2" w:right="397"/>
        <w:rPr>
          <w:lang w:val="lt-LT"/>
        </w:rPr>
      </w:pPr>
    </w:p>
    <w:p w14:paraId="0D237C28" w14:textId="3B24FFBD" w:rsidR="00273470" w:rsidRPr="004A478C" w:rsidRDefault="00273470" w:rsidP="003B28E4">
      <w:pPr>
        <w:tabs>
          <w:tab w:val="left" w:pos="4680"/>
        </w:tabs>
        <w:spacing w:line="240" w:lineRule="auto"/>
        <w:ind w:left="2" w:right="397"/>
        <w:rPr>
          <w:lang w:val="lt-LT"/>
        </w:rPr>
      </w:pPr>
      <w:proofErr w:type="spellStart"/>
      <w:r w:rsidRPr="004A478C">
        <w:rPr>
          <w:lang w:val="lt-LT"/>
        </w:rPr>
        <w:t>Febuxostat</w:t>
      </w:r>
      <w:proofErr w:type="spellEnd"/>
      <w:r w:rsidRPr="004A478C">
        <w:rPr>
          <w:lang w:val="lt-LT"/>
        </w:rPr>
        <w:t xml:space="preserve"> </w:t>
      </w:r>
      <w:proofErr w:type="spellStart"/>
      <w:r w:rsidR="002606A3" w:rsidRPr="004A478C">
        <w:rPr>
          <w:lang w:val="lt-LT"/>
        </w:rPr>
        <w:t>Zentiva</w:t>
      </w:r>
      <w:proofErr w:type="spellEnd"/>
      <w:r w:rsidR="002606A3" w:rsidRPr="004A478C">
        <w:rPr>
          <w:lang w:val="lt-LT"/>
        </w:rPr>
        <w:t xml:space="preserve"> </w:t>
      </w:r>
      <w:r w:rsidRPr="004A478C">
        <w:rPr>
          <w:lang w:val="lt-LT"/>
        </w:rPr>
        <w:t xml:space="preserve">skirtas suaugusiųjų </w:t>
      </w:r>
      <w:proofErr w:type="spellStart"/>
      <w:r w:rsidRPr="004A478C">
        <w:rPr>
          <w:lang w:val="lt-LT"/>
        </w:rPr>
        <w:t>hiperurikemijos</w:t>
      </w:r>
      <w:proofErr w:type="spellEnd"/>
      <w:r w:rsidRPr="004A478C">
        <w:rPr>
          <w:lang w:val="lt-LT"/>
        </w:rPr>
        <w:t xml:space="preserve">, atsirandančios dėl piktybinių </w:t>
      </w:r>
      <w:r w:rsidR="00A12B41" w:rsidRPr="004A478C">
        <w:rPr>
          <w:lang w:val="lt-LT"/>
        </w:rPr>
        <w:t xml:space="preserve">hematologinių </w:t>
      </w:r>
      <w:r w:rsidRPr="004A478C">
        <w:rPr>
          <w:lang w:val="lt-LT"/>
        </w:rPr>
        <w:t xml:space="preserve">ligų gydymo chemoterapija, profilaktikai ir gydymui esant vidutinei ar didelei naviko </w:t>
      </w:r>
      <w:proofErr w:type="spellStart"/>
      <w:r w:rsidRPr="004A478C">
        <w:rPr>
          <w:lang w:val="lt-LT"/>
        </w:rPr>
        <w:t>lizės</w:t>
      </w:r>
      <w:proofErr w:type="spellEnd"/>
      <w:r w:rsidRPr="004A478C">
        <w:rPr>
          <w:lang w:val="lt-LT"/>
        </w:rPr>
        <w:t xml:space="preserve"> sindromo (NLS) rizikai. </w:t>
      </w:r>
    </w:p>
    <w:p w14:paraId="255ECF3E" w14:textId="77777777" w:rsidR="00273470" w:rsidRPr="004A478C" w:rsidRDefault="00273470" w:rsidP="003B28E4">
      <w:pPr>
        <w:tabs>
          <w:tab w:val="left" w:pos="4680"/>
        </w:tabs>
        <w:spacing w:line="240" w:lineRule="auto"/>
        <w:rPr>
          <w:lang w:val="lt-LT"/>
        </w:rPr>
      </w:pPr>
      <w:r w:rsidRPr="004A478C">
        <w:rPr>
          <w:lang w:val="lt-LT"/>
        </w:rPr>
        <w:t xml:space="preserve"> </w:t>
      </w:r>
    </w:p>
    <w:p w14:paraId="414146A7" w14:textId="1573D559" w:rsidR="00273470" w:rsidRPr="004A478C" w:rsidRDefault="00273470" w:rsidP="003B28E4">
      <w:pPr>
        <w:tabs>
          <w:tab w:val="left" w:pos="4680"/>
        </w:tabs>
        <w:spacing w:line="240" w:lineRule="auto"/>
        <w:ind w:left="2" w:right="397"/>
        <w:rPr>
          <w:lang w:val="lt-LT"/>
        </w:rPr>
      </w:pPr>
      <w:proofErr w:type="spellStart"/>
      <w:r w:rsidRPr="004A478C">
        <w:rPr>
          <w:lang w:val="lt-LT"/>
        </w:rPr>
        <w:t>Febuxostat</w:t>
      </w:r>
      <w:proofErr w:type="spellEnd"/>
      <w:r w:rsidRPr="004A478C">
        <w:rPr>
          <w:lang w:val="lt-LT"/>
        </w:rPr>
        <w:t xml:space="preserve"> </w:t>
      </w:r>
      <w:proofErr w:type="spellStart"/>
      <w:r w:rsidR="002606A3" w:rsidRPr="004A478C">
        <w:rPr>
          <w:lang w:val="lt-LT"/>
        </w:rPr>
        <w:t>Zentiva</w:t>
      </w:r>
      <w:proofErr w:type="spellEnd"/>
      <w:r w:rsidR="002606A3" w:rsidRPr="004A478C">
        <w:rPr>
          <w:lang w:val="lt-LT"/>
        </w:rPr>
        <w:t xml:space="preserve"> </w:t>
      </w:r>
      <w:r w:rsidRPr="004A478C">
        <w:rPr>
          <w:lang w:val="lt-LT"/>
        </w:rPr>
        <w:t>skirtas suaugusie</w:t>
      </w:r>
      <w:r w:rsidR="00A12B41" w:rsidRPr="004A478C">
        <w:rPr>
          <w:lang w:val="lt-LT"/>
        </w:rPr>
        <w:t>sie</w:t>
      </w:r>
      <w:r w:rsidRPr="004A478C">
        <w:rPr>
          <w:lang w:val="lt-LT"/>
        </w:rPr>
        <w:t xml:space="preserve">ms. </w:t>
      </w:r>
    </w:p>
    <w:p w14:paraId="0040594D" w14:textId="77777777" w:rsidR="00273470" w:rsidRPr="004A478C" w:rsidRDefault="00273470" w:rsidP="003B28E4">
      <w:pPr>
        <w:tabs>
          <w:tab w:val="left" w:pos="4680"/>
        </w:tabs>
        <w:spacing w:line="240" w:lineRule="auto"/>
        <w:rPr>
          <w:lang w:val="lt-LT"/>
        </w:rPr>
      </w:pPr>
      <w:r w:rsidRPr="004A478C">
        <w:rPr>
          <w:lang w:val="lt-LT"/>
        </w:rPr>
        <w:t xml:space="preserve"> </w:t>
      </w:r>
    </w:p>
    <w:p w14:paraId="3FAE9047" w14:textId="77777777" w:rsidR="00273470" w:rsidRPr="004A478C" w:rsidRDefault="00273470" w:rsidP="003B28E4">
      <w:pPr>
        <w:pStyle w:val="Antrat4"/>
        <w:tabs>
          <w:tab w:val="center" w:pos="1946"/>
          <w:tab w:val="left" w:pos="4680"/>
        </w:tabs>
        <w:spacing w:line="240" w:lineRule="auto"/>
        <w:ind w:left="-15"/>
        <w:rPr>
          <w:rFonts w:ascii="Times New Roman" w:hAnsi="Times New Roman"/>
          <w:sz w:val="22"/>
          <w:lang w:val="lt-LT"/>
        </w:rPr>
      </w:pPr>
      <w:r w:rsidRPr="004A478C">
        <w:rPr>
          <w:rFonts w:ascii="Times New Roman" w:hAnsi="Times New Roman"/>
          <w:sz w:val="22"/>
          <w:lang w:val="lt-LT"/>
        </w:rPr>
        <w:t xml:space="preserve">4.2 </w:t>
      </w:r>
      <w:r w:rsidRPr="004A478C">
        <w:rPr>
          <w:rFonts w:ascii="Times New Roman" w:hAnsi="Times New Roman"/>
          <w:sz w:val="22"/>
          <w:lang w:val="lt-LT"/>
        </w:rPr>
        <w:tab/>
        <w:t xml:space="preserve">Dozavimas ir vartojimo metodas </w:t>
      </w:r>
    </w:p>
    <w:p w14:paraId="26E1BB34" w14:textId="77777777" w:rsidR="00273470" w:rsidRPr="004A478C" w:rsidRDefault="00273470" w:rsidP="003B28E4">
      <w:pPr>
        <w:tabs>
          <w:tab w:val="left" w:pos="4680"/>
        </w:tabs>
        <w:spacing w:line="240" w:lineRule="auto"/>
        <w:rPr>
          <w:lang w:val="lt-LT"/>
        </w:rPr>
      </w:pPr>
      <w:r w:rsidRPr="004A478C">
        <w:rPr>
          <w:lang w:val="lt-LT"/>
        </w:rPr>
        <w:t xml:space="preserve"> </w:t>
      </w:r>
    </w:p>
    <w:p w14:paraId="3CD77FB9" w14:textId="77777777" w:rsidR="00273470" w:rsidRPr="004A478C" w:rsidRDefault="00273470" w:rsidP="003B28E4">
      <w:pPr>
        <w:tabs>
          <w:tab w:val="left" w:pos="4680"/>
        </w:tabs>
        <w:spacing w:line="240" w:lineRule="auto"/>
        <w:ind w:left="2" w:right="397"/>
        <w:rPr>
          <w:u w:val="single"/>
          <w:lang w:val="lt-LT"/>
        </w:rPr>
      </w:pPr>
      <w:r w:rsidRPr="004A478C">
        <w:rPr>
          <w:u w:val="single"/>
          <w:lang w:val="lt-LT"/>
        </w:rPr>
        <w:t xml:space="preserve">Dozavimas </w:t>
      </w:r>
    </w:p>
    <w:p w14:paraId="324BC123" w14:textId="17E83BD9" w:rsidR="00273470" w:rsidRPr="004A478C" w:rsidRDefault="00273470" w:rsidP="003B28E4">
      <w:pPr>
        <w:tabs>
          <w:tab w:val="left" w:pos="4680"/>
        </w:tabs>
        <w:spacing w:line="240" w:lineRule="auto"/>
        <w:ind w:left="2" w:right="397"/>
        <w:rPr>
          <w:lang w:val="lt-LT"/>
        </w:rPr>
      </w:pPr>
      <w:r w:rsidRPr="004A478C">
        <w:rPr>
          <w:i/>
          <w:lang w:val="lt-LT"/>
        </w:rPr>
        <w:t>Podagra:</w:t>
      </w:r>
      <w:r w:rsidRPr="004A478C">
        <w:rPr>
          <w:lang w:val="lt-LT"/>
        </w:rPr>
        <w:t xml:space="preserve"> Rekomenduojama per burną vartojamo </w:t>
      </w:r>
      <w:proofErr w:type="spellStart"/>
      <w:r w:rsidRPr="004A478C">
        <w:rPr>
          <w:lang w:val="lt-LT"/>
        </w:rPr>
        <w:t>Febuxostat</w:t>
      </w:r>
      <w:proofErr w:type="spellEnd"/>
      <w:r w:rsidRPr="004A478C">
        <w:rPr>
          <w:lang w:val="lt-LT"/>
        </w:rPr>
        <w:t xml:space="preserve"> </w:t>
      </w:r>
      <w:proofErr w:type="spellStart"/>
      <w:r w:rsidR="002606A3" w:rsidRPr="004A478C">
        <w:rPr>
          <w:lang w:val="lt-LT"/>
        </w:rPr>
        <w:t>Zentiva</w:t>
      </w:r>
      <w:proofErr w:type="spellEnd"/>
      <w:r w:rsidR="002606A3" w:rsidRPr="004A478C">
        <w:rPr>
          <w:lang w:val="lt-LT"/>
        </w:rPr>
        <w:t xml:space="preserve"> </w:t>
      </w:r>
      <w:r w:rsidRPr="004A478C">
        <w:rPr>
          <w:lang w:val="lt-LT"/>
        </w:rPr>
        <w:t>dozė yra 80</w:t>
      </w:r>
      <w:r w:rsidR="00E87295" w:rsidRPr="004A478C">
        <w:rPr>
          <w:lang w:val="lt-LT"/>
        </w:rPr>
        <w:t> mg</w:t>
      </w:r>
      <w:r w:rsidRPr="004A478C">
        <w:rPr>
          <w:lang w:val="lt-LT"/>
        </w:rPr>
        <w:t>, vartojama kartą per parą nepriklausomai nuo valgio. Jeigu po 2–4 gydymo savaičių šlapimo rūgšties serume yra &gt; 6</w:t>
      </w:r>
      <w:r w:rsidR="00E87295" w:rsidRPr="004A478C">
        <w:rPr>
          <w:lang w:val="lt-LT"/>
        </w:rPr>
        <w:t> mg</w:t>
      </w:r>
      <w:r w:rsidRPr="004A478C">
        <w:rPr>
          <w:lang w:val="lt-LT"/>
        </w:rPr>
        <w:t>/dl (357 µ</w:t>
      </w:r>
      <w:proofErr w:type="spellStart"/>
      <w:r w:rsidRPr="004A478C">
        <w:rPr>
          <w:lang w:val="lt-LT"/>
        </w:rPr>
        <w:t>mol</w:t>
      </w:r>
      <w:proofErr w:type="spellEnd"/>
      <w:r w:rsidRPr="004A478C">
        <w:rPr>
          <w:lang w:val="lt-LT"/>
        </w:rPr>
        <w:t xml:space="preserve">/l), gali </w:t>
      </w:r>
      <w:r w:rsidR="00DF759F" w:rsidRPr="004A478C">
        <w:rPr>
          <w:lang w:val="lt-LT"/>
        </w:rPr>
        <w:t xml:space="preserve">būti apsvarstytas </w:t>
      </w:r>
      <w:proofErr w:type="spellStart"/>
      <w:r w:rsidRPr="004A478C">
        <w:rPr>
          <w:lang w:val="lt-LT"/>
        </w:rPr>
        <w:t>Febuxostat</w:t>
      </w:r>
      <w:proofErr w:type="spellEnd"/>
      <w:r w:rsidRPr="004A478C">
        <w:rPr>
          <w:lang w:val="lt-LT"/>
        </w:rPr>
        <w:t xml:space="preserve"> </w:t>
      </w:r>
      <w:proofErr w:type="spellStart"/>
      <w:r w:rsidR="002606A3" w:rsidRPr="004A478C">
        <w:rPr>
          <w:lang w:val="lt-LT"/>
        </w:rPr>
        <w:t>Zentiva</w:t>
      </w:r>
      <w:proofErr w:type="spellEnd"/>
      <w:r w:rsidRPr="004A478C">
        <w:rPr>
          <w:lang w:val="lt-LT"/>
        </w:rPr>
        <w:t xml:space="preserve"> </w:t>
      </w:r>
      <w:r w:rsidR="00DF759F" w:rsidRPr="004A478C">
        <w:rPr>
          <w:lang w:val="lt-LT"/>
        </w:rPr>
        <w:t xml:space="preserve">120 mg </w:t>
      </w:r>
      <w:r w:rsidRPr="004A478C">
        <w:rPr>
          <w:lang w:val="lt-LT"/>
        </w:rPr>
        <w:t>per parą</w:t>
      </w:r>
      <w:r w:rsidR="00DF759F" w:rsidRPr="004A478C">
        <w:rPr>
          <w:lang w:val="lt-LT"/>
        </w:rPr>
        <w:t xml:space="preserve"> vartojimas</w:t>
      </w:r>
      <w:r w:rsidRPr="004A478C">
        <w:rPr>
          <w:lang w:val="lt-LT"/>
        </w:rPr>
        <w:t xml:space="preserve">.  </w:t>
      </w:r>
    </w:p>
    <w:p w14:paraId="1F3D28E5" w14:textId="77777777" w:rsidR="00273470" w:rsidRPr="004A478C" w:rsidRDefault="00273470" w:rsidP="003B28E4">
      <w:pPr>
        <w:tabs>
          <w:tab w:val="left" w:pos="4680"/>
        </w:tabs>
        <w:spacing w:line="240" w:lineRule="auto"/>
        <w:rPr>
          <w:lang w:val="lt-LT"/>
        </w:rPr>
      </w:pPr>
      <w:r w:rsidRPr="004A478C">
        <w:rPr>
          <w:lang w:val="lt-LT"/>
        </w:rPr>
        <w:t xml:space="preserve"> </w:t>
      </w:r>
    </w:p>
    <w:p w14:paraId="0856901E" w14:textId="434CB8EB" w:rsidR="00273470" w:rsidRPr="004A478C" w:rsidRDefault="00273470" w:rsidP="003B28E4">
      <w:pPr>
        <w:tabs>
          <w:tab w:val="left" w:pos="4680"/>
        </w:tabs>
        <w:spacing w:line="240" w:lineRule="auto"/>
        <w:ind w:left="2" w:right="735"/>
        <w:rPr>
          <w:lang w:val="lt-LT"/>
        </w:rPr>
      </w:pPr>
      <w:proofErr w:type="spellStart"/>
      <w:r w:rsidRPr="004A478C">
        <w:rPr>
          <w:lang w:val="lt-LT"/>
        </w:rPr>
        <w:t>Febuxostat</w:t>
      </w:r>
      <w:proofErr w:type="spellEnd"/>
      <w:r w:rsidRPr="004A478C">
        <w:rPr>
          <w:lang w:val="lt-LT"/>
        </w:rPr>
        <w:t xml:space="preserve"> </w:t>
      </w:r>
      <w:proofErr w:type="spellStart"/>
      <w:r w:rsidR="002606A3" w:rsidRPr="004A478C">
        <w:rPr>
          <w:lang w:val="lt-LT"/>
        </w:rPr>
        <w:t>Zentiva</w:t>
      </w:r>
      <w:proofErr w:type="spellEnd"/>
      <w:r w:rsidR="002606A3" w:rsidRPr="004A478C">
        <w:rPr>
          <w:lang w:val="lt-LT"/>
        </w:rPr>
        <w:t xml:space="preserve"> </w:t>
      </w:r>
      <w:r w:rsidRPr="004A478C">
        <w:rPr>
          <w:lang w:val="lt-LT"/>
        </w:rPr>
        <w:t>veikia pakankamai greitai; šlapimo rūgšties kiekio serume tyrimą galima pakartoti po 2 savaičių. Gydymo tikslas yra sumažinti ir palaikyti šlapimo rūgšties kiekį serume mažesnį kaip 6</w:t>
      </w:r>
      <w:r w:rsidR="00E87295" w:rsidRPr="004A478C">
        <w:rPr>
          <w:lang w:val="lt-LT"/>
        </w:rPr>
        <w:t> mg</w:t>
      </w:r>
      <w:r w:rsidRPr="004A478C">
        <w:rPr>
          <w:lang w:val="lt-LT"/>
        </w:rPr>
        <w:t xml:space="preserve">/dl (357 </w:t>
      </w:r>
      <w:proofErr w:type="spellStart"/>
      <w:r w:rsidRPr="004A478C">
        <w:rPr>
          <w:lang w:val="lt-LT"/>
        </w:rPr>
        <w:t>μmol</w:t>
      </w:r>
      <w:proofErr w:type="spellEnd"/>
      <w:r w:rsidRPr="004A478C">
        <w:rPr>
          <w:lang w:val="lt-LT"/>
        </w:rPr>
        <w:t xml:space="preserve">/l). </w:t>
      </w:r>
    </w:p>
    <w:p w14:paraId="7BE387D7" w14:textId="77777777" w:rsidR="00273470" w:rsidRPr="004A478C" w:rsidRDefault="00273470" w:rsidP="003B28E4">
      <w:pPr>
        <w:tabs>
          <w:tab w:val="left" w:pos="4680"/>
        </w:tabs>
        <w:spacing w:line="240" w:lineRule="auto"/>
        <w:rPr>
          <w:lang w:val="lt-LT"/>
        </w:rPr>
      </w:pPr>
      <w:r w:rsidRPr="004A478C">
        <w:rPr>
          <w:lang w:val="lt-LT"/>
        </w:rPr>
        <w:t xml:space="preserve"> </w:t>
      </w:r>
    </w:p>
    <w:p w14:paraId="62DF451B" w14:textId="77777777" w:rsidR="00273470" w:rsidRPr="004A478C" w:rsidRDefault="00273470" w:rsidP="003B28E4">
      <w:pPr>
        <w:tabs>
          <w:tab w:val="left" w:pos="4680"/>
        </w:tabs>
        <w:spacing w:line="240" w:lineRule="auto"/>
        <w:ind w:left="2" w:right="397"/>
        <w:rPr>
          <w:lang w:val="lt-LT"/>
        </w:rPr>
      </w:pPr>
      <w:r w:rsidRPr="004A478C">
        <w:rPr>
          <w:lang w:val="lt-LT"/>
        </w:rPr>
        <w:t xml:space="preserve">Ne mažiau kaip 6 mėnesius patartina atlikti podagros paūmėjimo profilaktiką (žr. 4.4 skyrių). </w:t>
      </w:r>
    </w:p>
    <w:p w14:paraId="2A6AFC58" w14:textId="77777777" w:rsidR="00273470" w:rsidRPr="004A478C" w:rsidRDefault="00273470" w:rsidP="003B28E4">
      <w:pPr>
        <w:tabs>
          <w:tab w:val="left" w:pos="4680"/>
        </w:tabs>
        <w:spacing w:line="240" w:lineRule="auto"/>
        <w:rPr>
          <w:lang w:val="lt-LT"/>
        </w:rPr>
      </w:pPr>
      <w:r w:rsidRPr="004A478C">
        <w:rPr>
          <w:lang w:val="lt-LT"/>
        </w:rPr>
        <w:t xml:space="preserve"> </w:t>
      </w:r>
    </w:p>
    <w:p w14:paraId="655F8625" w14:textId="4A9A0FF4" w:rsidR="00273470" w:rsidRPr="004A478C" w:rsidRDefault="00273470" w:rsidP="003B28E4">
      <w:pPr>
        <w:tabs>
          <w:tab w:val="left" w:pos="4680"/>
        </w:tabs>
        <w:spacing w:line="240" w:lineRule="auto"/>
        <w:ind w:left="2" w:right="397"/>
        <w:rPr>
          <w:lang w:val="lt-LT"/>
        </w:rPr>
      </w:pPr>
      <w:r w:rsidRPr="004A478C">
        <w:rPr>
          <w:i/>
          <w:lang w:val="lt-LT"/>
        </w:rPr>
        <w:t xml:space="preserve">Naviko </w:t>
      </w:r>
      <w:proofErr w:type="spellStart"/>
      <w:r w:rsidRPr="004A478C">
        <w:rPr>
          <w:i/>
          <w:lang w:val="lt-LT"/>
        </w:rPr>
        <w:t>lizės</w:t>
      </w:r>
      <w:proofErr w:type="spellEnd"/>
      <w:r w:rsidRPr="004A478C">
        <w:rPr>
          <w:i/>
          <w:lang w:val="lt-LT"/>
        </w:rPr>
        <w:t xml:space="preserve"> sindromas</w:t>
      </w:r>
      <w:r w:rsidR="000F3DFC" w:rsidRPr="004A478C">
        <w:rPr>
          <w:i/>
          <w:lang w:val="lt-LT"/>
        </w:rPr>
        <w:t xml:space="preserve"> (NLS)</w:t>
      </w:r>
      <w:r w:rsidRPr="004A478C">
        <w:rPr>
          <w:lang w:val="lt-LT"/>
        </w:rPr>
        <w:t xml:space="preserve">: rekomenduojama geriamoji </w:t>
      </w:r>
      <w:proofErr w:type="spellStart"/>
      <w:r w:rsidRPr="004A478C">
        <w:rPr>
          <w:lang w:val="lt-LT"/>
        </w:rPr>
        <w:t>Febuxostat</w:t>
      </w:r>
      <w:proofErr w:type="spellEnd"/>
      <w:r w:rsidRPr="004A478C">
        <w:rPr>
          <w:lang w:val="lt-LT"/>
        </w:rPr>
        <w:t xml:space="preserve"> </w:t>
      </w:r>
      <w:proofErr w:type="spellStart"/>
      <w:r w:rsidR="002606A3" w:rsidRPr="004A478C">
        <w:rPr>
          <w:lang w:val="lt-LT"/>
        </w:rPr>
        <w:t>Zentiva</w:t>
      </w:r>
      <w:proofErr w:type="spellEnd"/>
      <w:r w:rsidR="002606A3" w:rsidRPr="004A478C">
        <w:rPr>
          <w:lang w:val="lt-LT"/>
        </w:rPr>
        <w:t xml:space="preserve"> </w:t>
      </w:r>
      <w:r w:rsidRPr="004A478C">
        <w:rPr>
          <w:lang w:val="lt-LT"/>
        </w:rPr>
        <w:t>dozė yra 120</w:t>
      </w:r>
      <w:r w:rsidR="00E87295" w:rsidRPr="004A478C">
        <w:rPr>
          <w:lang w:val="lt-LT"/>
        </w:rPr>
        <w:t> mg</w:t>
      </w:r>
      <w:r w:rsidRPr="004A478C">
        <w:rPr>
          <w:lang w:val="lt-LT"/>
        </w:rPr>
        <w:t xml:space="preserve"> kartą per parą, neatsižvelgiant į valgymą. </w:t>
      </w:r>
    </w:p>
    <w:p w14:paraId="1CAA32E7" w14:textId="5E1D7135" w:rsidR="00273470" w:rsidRPr="004A478C" w:rsidRDefault="00273470" w:rsidP="003B28E4">
      <w:pPr>
        <w:tabs>
          <w:tab w:val="left" w:pos="4680"/>
        </w:tabs>
        <w:spacing w:line="240" w:lineRule="auto"/>
        <w:ind w:left="2" w:right="397"/>
        <w:rPr>
          <w:lang w:val="lt-LT"/>
        </w:rPr>
      </w:pPr>
      <w:proofErr w:type="spellStart"/>
      <w:r w:rsidRPr="004A478C">
        <w:rPr>
          <w:lang w:val="lt-LT"/>
        </w:rPr>
        <w:t>Febuxostat</w:t>
      </w:r>
      <w:proofErr w:type="spellEnd"/>
      <w:r w:rsidRPr="004A478C">
        <w:rPr>
          <w:lang w:val="lt-LT"/>
        </w:rPr>
        <w:t xml:space="preserve"> </w:t>
      </w:r>
      <w:proofErr w:type="spellStart"/>
      <w:r w:rsidR="002606A3" w:rsidRPr="004A478C">
        <w:rPr>
          <w:lang w:val="lt-LT"/>
        </w:rPr>
        <w:t>Zentiva</w:t>
      </w:r>
      <w:proofErr w:type="spellEnd"/>
      <w:r w:rsidR="002606A3" w:rsidRPr="004A478C">
        <w:rPr>
          <w:lang w:val="lt-LT"/>
        </w:rPr>
        <w:t xml:space="preserve"> </w:t>
      </w:r>
      <w:r w:rsidRPr="004A478C">
        <w:rPr>
          <w:lang w:val="lt-LT"/>
        </w:rPr>
        <w:t xml:space="preserve">vartojimą reikia pradėti 2 </w:t>
      </w:r>
      <w:r w:rsidR="00DF759F" w:rsidRPr="004A478C">
        <w:rPr>
          <w:lang w:val="lt-LT"/>
        </w:rPr>
        <w:t xml:space="preserve">paras </w:t>
      </w:r>
      <w:r w:rsidRPr="004A478C">
        <w:rPr>
          <w:lang w:val="lt-LT"/>
        </w:rPr>
        <w:t xml:space="preserve">prieš pradedant </w:t>
      </w:r>
      <w:proofErr w:type="spellStart"/>
      <w:r w:rsidR="00153B16" w:rsidRPr="004A478C">
        <w:rPr>
          <w:lang w:val="lt-LT"/>
        </w:rPr>
        <w:t>citotoksinį</w:t>
      </w:r>
      <w:proofErr w:type="spellEnd"/>
      <w:r w:rsidR="00153B16" w:rsidRPr="004A478C">
        <w:rPr>
          <w:lang w:val="lt-LT"/>
        </w:rPr>
        <w:t xml:space="preserve"> </w:t>
      </w:r>
      <w:r w:rsidRPr="004A478C">
        <w:rPr>
          <w:lang w:val="lt-LT"/>
        </w:rPr>
        <w:t xml:space="preserve">gydymą ir tęsti bent 7 </w:t>
      </w:r>
      <w:r w:rsidR="00DF759F" w:rsidRPr="004A478C">
        <w:rPr>
          <w:lang w:val="lt-LT"/>
        </w:rPr>
        <w:t>paras</w:t>
      </w:r>
      <w:r w:rsidRPr="004A478C">
        <w:rPr>
          <w:lang w:val="lt-LT"/>
        </w:rPr>
        <w:t xml:space="preserve">; tačiau, vertinant pagal klinikinę būklę, chemoterapijos trukmę, gydymas gali būti pratęstas iki 9 </w:t>
      </w:r>
      <w:r w:rsidR="00DF759F" w:rsidRPr="004A478C">
        <w:rPr>
          <w:lang w:val="lt-LT"/>
        </w:rPr>
        <w:t>parų</w:t>
      </w:r>
      <w:r w:rsidRPr="004A478C">
        <w:rPr>
          <w:lang w:val="lt-LT"/>
        </w:rPr>
        <w:t xml:space="preserve">. </w:t>
      </w:r>
    </w:p>
    <w:p w14:paraId="486F8C41" w14:textId="77777777" w:rsidR="00273470" w:rsidRPr="004A478C" w:rsidRDefault="00273470" w:rsidP="003B28E4">
      <w:pPr>
        <w:tabs>
          <w:tab w:val="left" w:pos="4680"/>
        </w:tabs>
        <w:spacing w:line="240" w:lineRule="auto"/>
        <w:rPr>
          <w:lang w:val="lt-LT"/>
        </w:rPr>
      </w:pPr>
      <w:r w:rsidRPr="004A478C">
        <w:rPr>
          <w:i/>
          <w:lang w:val="lt-LT"/>
        </w:rPr>
        <w:t xml:space="preserve"> </w:t>
      </w:r>
    </w:p>
    <w:p w14:paraId="7A646643" w14:textId="77777777" w:rsidR="00273470" w:rsidRPr="004A478C" w:rsidRDefault="00273470" w:rsidP="004A478C">
      <w:pPr>
        <w:keepNext/>
        <w:tabs>
          <w:tab w:val="left" w:pos="4680"/>
        </w:tabs>
        <w:spacing w:line="240" w:lineRule="auto"/>
        <w:ind w:left="-6"/>
        <w:rPr>
          <w:lang w:val="lt-LT"/>
        </w:rPr>
      </w:pPr>
      <w:r w:rsidRPr="004A478C">
        <w:rPr>
          <w:i/>
          <w:lang w:val="lt-LT"/>
        </w:rPr>
        <w:lastRenderedPageBreak/>
        <w:t xml:space="preserve">Senyviems </w:t>
      </w:r>
      <w:r w:rsidR="00A12B41" w:rsidRPr="004A478C">
        <w:rPr>
          <w:i/>
          <w:lang w:val="lt-LT"/>
        </w:rPr>
        <w:t xml:space="preserve">pacientams </w:t>
      </w:r>
    </w:p>
    <w:p w14:paraId="78B41192" w14:textId="77777777" w:rsidR="00273470" w:rsidRPr="004A478C" w:rsidRDefault="00273470" w:rsidP="003B28E4">
      <w:pPr>
        <w:tabs>
          <w:tab w:val="left" w:pos="4680"/>
        </w:tabs>
        <w:spacing w:line="240" w:lineRule="auto"/>
        <w:ind w:left="2" w:right="397"/>
        <w:rPr>
          <w:lang w:val="lt-LT"/>
        </w:rPr>
      </w:pPr>
      <w:r w:rsidRPr="004A478C">
        <w:rPr>
          <w:lang w:val="lt-LT"/>
        </w:rPr>
        <w:t xml:space="preserve">Senyviems žmonėms dozės koreguoti nereikia (žr. 5.2 skyrių). </w:t>
      </w:r>
    </w:p>
    <w:p w14:paraId="2F130A59" w14:textId="77777777" w:rsidR="00273470" w:rsidRPr="004A478C" w:rsidRDefault="00273470" w:rsidP="003B28E4">
      <w:pPr>
        <w:tabs>
          <w:tab w:val="left" w:pos="4680"/>
        </w:tabs>
        <w:spacing w:line="240" w:lineRule="auto"/>
        <w:rPr>
          <w:lang w:val="lt-LT"/>
        </w:rPr>
      </w:pPr>
      <w:r w:rsidRPr="004A478C">
        <w:rPr>
          <w:lang w:val="lt-LT"/>
        </w:rPr>
        <w:t xml:space="preserve"> </w:t>
      </w:r>
    </w:p>
    <w:p w14:paraId="0880B900" w14:textId="77777777" w:rsidR="00257C07" w:rsidRPr="004A478C" w:rsidRDefault="00A12B41" w:rsidP="003B28E4">
      <w:pPr>
        <w:tabs>
          <w:tab w:val="left" w:pos="4680"/>
        </w:tabs>
        <w:spacing w:line="240" w:lineRule="auto"/>
        <w:ind w:left="2" w:right="397"/>
        <w:rPr>
          <w:i/>
          <w:lang w:val="lt-LT"/>
        </w:rPr>
      </w:pPr>
      <w:r w:rsidRPr="004A478C">
        <w:rPr>
          <w:i/>
          <w:lang w:val="lt-LT"/>
        </w:rPr>
        <w:t>Pacientams, kurių inkstų funkcija sutrikusi</w:t>
      </w:r>
    </w:p>
    <w:p w14:paraId="4D45DF1C" w14:textId="77777777" w:rsidR="00273470" w:rsidRPr="004A478C" w:rsidRDefault="00273470" w:rsidP="003B28E4">
      <w:pPr>
        <w:tabs>
          <w:tab w:val="left" w:pos="4680"/>
        </w:tabs>
        <w:spacing w:line="240" w:lineRule="auto"/>
        <w:ind w:left="2" w:right="397"/>
        <w:rPr>
          <w:lang w:val="lt-LT"/>
        </w:rPr>
      </w:pPr>
      <w:r w:rsidRPr="004A478C">
        <w:rPr>
          <w:lang w:val="lt-LT"/>
        </w:rPr>
        <w:t xml:space="preserve">Vaistinio preparato veiksmingumas ir saugumas pacientams, sergantiems sunkiu inkstų </w:t>
      </w:r>
      <w:r w:rsidR="00153B16" w:rsidRPr="004A478C">
        <w:rPr>
          <w:lang w:val="lt-LT"/>
        </w:rPr>
        <w:t xml:space="preserve">funkcijos </w:t>
      </w:r>
      <w:r w:rsidRPr="004A478C">
        <w:rPr>
          <w:lang w:val="lt-LT"/>
        </w:rPr>
        <w:t xml:space="preserve">sutrikimu (kai kreatinino klirensas &lt; 30 ml/min), nėra pakankamai įvertintas (žr. 5.2 skyrių). Pacientams, sergantiems lengvo ar vidutinio laipsnio inkstų </w:t>
      </w:r>
      <w:r w:rsidR="00153B16" w:rsidRPr="004A478C">
        <w:rPr>
          <w:lang w:val="lt-LT"/>
        </w:rPr>
        <w:t xml:space="preserve">funkcijos </w:t>
      </w:r>
      <w:r w:rsidRPr="004A478C">
        <w:rPr>
          <w:lang w:val="lt-LT"/>
        </w:rPr>
        <w:t xml:space="preserve">sutrikimu, dozės koreguoti nereikia.  </w:t>
      </w:r>
    </w:p>
    <w:p w14:paraId="0C8D1229" w14:textId="77777777" w:rsidR="00273470" w:rsidRPr="004A478C" w:rsidRDefault="00273470" w:rsidP="003B28E4">
      <w:pPr>
        <w:tabs>
          <w:tab w:val="left" w:pos="4680"/>
        </w:tabs>
        <w:spacing w:line="240" w:lineRule="auto"/>
        <w:rPr>
          <w:lang w:val="lt-LT"/>
        </w:rPr>
      </w:pPr>
      <w:r w:rsidRPr="004A478C">
        <w:rPr>
          <w:lang w:val="lt-LT"/>
        </w:rPr>
        <w:t xml:space="preserve"> </w:t>
      </w:r>
    </w:p>
    <w:p w14:paraId="1AFE7255" w14:textId="77777777" w:rsidR="00257C07" w:rsidRPr="004A478C" w:rsidRDefault="00A12B41" w:rsidP="003B28E4">
      <w:pPr>
        <w:tabs>
          <w:tab w:val="left" w:pos="4680"/>
        </w:tabs>
        <w:spacing w:line="240" w:lineRule="auto"/>
        <w:ind w:left="2" w:right="397"/>
        <w:rPr>
          <w:i/>
          <w:lang w:val="lt-LT"/>
        </w:rPr>
      </w:pPr>
      <w:r w:rsidRPr="004A478C">
        <w:rPr>
          <w:i/>
          <w:lang w:val="lt-LT"/>
        </w:rPr>
        <w:t>Pacientams, kurių kepenų funkcija sutrikusi</w:t>
      </w:r>
      <w:r w:rsidRPr="004A478C" w:rsidDel="00A12B41">
        <w:rPr>
          <w:i/>
          <w:lang w:val="lt-LT"/>
        </w:rPr>
        <w:t xml:space="preserve"> </w:t>
      </w:r>
    </w:p>
    <w:p w14:paraId="2E74ECA3" w14:textId="77777777" w:rsidR="00273470" w:rsidRPr="004A478C" w:rsidRDefault="00273470" w:rsidP="003B28E4">
      <w:pPr>
        <w:tabs>
          <w:tab w:val="left" w:pos="4680"/>
        </w:tabs>
        <w:spacing w:line="240" w:lineRule="auto"/>
        <w:ind w:left="2" w:right="397"/>
        <w:rPr>
          <w:lang w:val="lt-LT"/>
        </w:rPr>
      </w:pPr>
      <w:proofErr w:type="spellStart"/>
      <w:r w:rsidRPr="004A478C">
        <w:rPr>
          <w:lang w:val="lt-LT"/>
        </w:rPr>
        <w:t>Febuksostato</w:t>
      </w:r>
      <w:proofErr w:type="spellEnd"/>
      <w:r w:rsidRPr="004A478C">
        <w:rPr>
          <w:lang w:val="lt-LT"/>
        </w:rPr>
        <w:t xml:space="preserve"> veiksmingumo ir saugumo tyrimų pacientams, sergantiems sunkiu kepenų </w:t>
      </w:r>
      <w:r w:rsidR="00153B16" w:rsidRPr="004A478C">
        <w:rPr>
          <w:lang w:val="lt-LT"/>
        </w:rPr>
        <w:t xml:space="preserve">funkcijos </w:t>
      </w:r>
      <w:r w:rsidRPr="004A478C">
        <w:rPr>
          <w:lang w:val="lt-LT"/>
        </w:rPr>
        <w:t xml:space="preserve">sutrikimu (C </w:t>
      </w:r>
      <w:r w:rsidR="00153B16" w:rsidRPr="004A478C">
        <w:rPr>
          <w:lang w:val="lt-LT"/>
        </w:rPr>
        <w:t xml:space="preserve">klasės </w:t>
      </w:r>
      <w:r w:rsidRPr="004A478C">
        <w:rPr>
          <w:lang w:val="lt-LT"/>
        </w:rPr>
        <w:t xml:space="preserve">pagal </w:t>
      </w:r>
      <w:proofErr w:type="spellStart"/>
      <w:r w:rsidRPr="004A478C">
        <w:rPr>
          <w:i/>
          <w:lang w:val="lt-LT"/>
        </w:rPr>
        <w:t>Child</w:t>
      </w:r>
      <w:proofErr w:type="spellEnd"/>
      <w:r w:rsidRPr="004A478C">
        <w:rPr>
          <w:i/>
          <w:lang w:val="lt-LT"/>
        </w:rPr>
        <w:t xml:space="preserve"> </w:t>
      </w:r>
      <w:proofErr w:type="spellStart"/>
      <w:r w:rsidRPr="004A478C">
        <w:rPr>
          <w:i/>
          <w:lang w:val="lt-LT"/>
        </w:rPr>
        <w:t>Pugh</w:t>
      </w:r>
      <w:proofErr w:type="spellEnd"/>
      <w:r w:rsidRPr="004A478C">
        <w:rPr>
          <w:lang w:val="lt-LT"/>
        </w:rPr>
        <w:t xml:space="preserve"> klasifikaciją), neatlikta. </w:t>
      </w:r>
    </w:p>
    <w:p w14:paraId="56A7072D" w14:textId="77777777" w:rsidR="00273470" w:rsidRPr="004A478C" w:rsidRDefault="00273470" w:rsidP="003B28E4">
      <w:pPr>
        <w:tabs>
          <w:tab w:val="left" w:pos="4680"/>
        </w:tabs>
        <w:spacing w:line="240" w:lineRule="auto"/>
        <w:ind w:left="2" w:right="397"/>
        <w:rPr>
          <w:lang w:val="lt-LT"/>
        </w:rPr>
      </w:pPr>
      <w:r w:rsidRPr="004A478C">
        <w:rPr>
          <w:i/>
          <w:lang w:val="lt-LT"/>
        </w:rPr>
        <w:t>Podagra</w:t>
      </w:r>
      <w:r w:rsidRPr="004A478C">
        <w:rPr>
          <w:lang w:val="lt-LT"/>
        </w:rPr>
        <w:t xml:space="preserve">. Pacientams, sergantiems lengvu kepenų </w:t>
      </w:r>
      <w:r w:rsidR="00153B16" w:rsidRPr="004A478C">
        <w:rPr>
          <w:lang w:val="lt-LT"/>
        </w:rPr>
        <w:t xml:space="preserve">funkcijos </w:t>
      </w:r>
      <w:r w:rsidRPr="004A478C">
        <w:rPr>
          <w:lang w:val="lt-LT"/>
        </w:rPr>
        <w:t>sutrikimu, rekomenduojama vaisto dozė yra 80</w:t>
      </w:r>
      <w:r w:rsidR="00E87295" w:rsidRPr="004A478C">
        <w:rPr>
          <w:lang w:val="lt-LT"/>
        </w:rPr>
        <w:t> mg</w:t>
      </w:r>
      <w:r w:rsidRPr="004A478C">
        <w:rPr>
          <w:lang w:val="lt-LT"/>
        </w:rPr>
        <w:t xml:space="preserve">. Apie pacientų, sergančių vidutinio sunkumo kepenų </w:t>
      </w:r>
      <w:r w:rsidR="00153B16" w:rsidRPr="004A478C">
        <w:rPr>
          <w:lang w:val="lt-LT"/>
        </w:rPr>
        <w:t xml:space="preserve">funkcijos </w:t>
      </w:r>
      <w:r w:rsidRPr="004A478C">
        <w:rPr>
          <w:lang w:val="lt-LT"/>
        </w:rPr>
        <w:t xml:space="preserve">sutrikimu, gydymą duomenys yra riboti. </w:t>
      </w:r>
    </w:p>
    <w:p w14:paraId="60CB1AA5" w14:textId="77777777" w:rsidR="00273470" w:rsidRPr="004A478C" w:rsidRDefault="00273470" w:rsidP="003B28E4">
      <w:pPr>
        <w:tabs>
          <w:tab w:val="left" w:pos="4680"/>
        </w:tabs>
        <w:spacing w:line="240" w:lineRule="auto"/>
        <w:rPr>
          <w:lang w:val="lt-LT"/>
        </w:rPr>
      </w:pPr>
      <w:r w:rsidRPr="004A478C">
        <w:rPr>
          <w:lang w:val="lt-LT"/>
        </w:rPr>
        <w:t xml:space="preserve"> </w:t>
      </w:r>
    </w:p>
    <w:p w14:paraId="6ACA08DA" w14:textId="0F020D6D" w:rsidR="00273470" w:rsidRPr="004A478C" w:rsidRDefault="00273470" w:rsidP="003B28E4">
      <w:pPr>
        <w:tabs>
          <w:tab w:val="left" w:pos="4680"/>
        </w:tabs>
        <w:spacing w:line="240" w:lineRule="auto"/>
        <w:ind w:left="2" w:right="397"/>
        <w:rPr>
          <w:lang w:val="lt-LT"/>
        </w:rPr>
      </w:pPr>
      <w:r w:rsidRPr="004A478C">
        <w:rPr>
          <w:i/>
          <w:lang w:val="lt-LT"/>
        </w:rPr>
        <w:t xml:space="preserve">Naviko </w:t>
      </w:r>
      <w:proofErr w:type="spellStart"/>
      <w:r w:rsidRPr="004A478C">
        <w:rPr>
          <w:i/>
          <w:lang w:val="lt-LT"/>
        </w:rPr>
        <w:t>lizės</w:t>
      </w:r>
      <w:proofErr w:type="spellEnd"/>
      <w:r w:rsidRPr="004A478C">
        <w:rPr>
          <w:i/>
          <w:lang w:val="lt-LT"/>
        </w:rPr>
        <w:t xml:space="preserve"> sindromas</w:t>
      </w:r>
      <w:r w:rsidR="000F3DFC" w:rsidRPr="004A478C">
        <w:rPr>
          <w:i/>
          <w:lang w:val="lt-LT"/>
        </w:rPr>
        <w:t xml:space="preserve"> (NLS)</w:t>
      </w:r>
      <w:r w:rsidRPr="004A478C">
        <w:rPr>
          <w:lang w:val="lt-LT"/>
        </w:rPr>
        <w:t xml:space="preserve">. III fazės pagrindiniame klinikiniame tyrime (FLORENCE) į tyrimą neįtraukti tik pacientai su sunkiu kepenų nepakankamumu. Įtrauktiems į tyrimą pacientams dozė, atsižvelgiant į kepenų funkciją, nebuvo koreguojama. </w:t>
      </w:r>
    </w:p>
    <w:p w14:paraId="63C27606" w14:textId="77777777" w:rsidR="00273470" w:rsidRPr="004A478C" w:rsidRDefault="00273470" w:rsidP="003B28E4">
      <w:pPr>
        <w:tabs>
          <w:tab w:val="left" w:pos="4680"/>
        </w:tabs>
        <w:spacing w:line="240" w:lineRule="auto"/>
        <w:rPr>
          <w:lang w:val="lt-LT"/>
        </w:rPr>
      </w:pPr>
      <w:r w:rsidRPr="004A478C">
        <w:rPr>
          <w:lang w:val="lt-LT"/>
        </w:rPr>
        <w:t xml:space="preserve"> </w:t>
      </w:r>
    </w:p>
    <w:p w14:paraId="3636B480" w14:textId="77777777" w:rsidR="00273470" w:rsidRPr="004A478C" w:rsidRDefault="00273470" w:rsidP="003B28E4">
      <w:pPr>
        <w:tabs>
          <w:tab w:val="left" w:pos="4680"/>
        </w:tabs>
        <w:spacing w:line="240" w:lineRule="auto"/>
        <w:ind w:left="-5"/>
        <w:rPr>
          <w:lang w:val="lt-LT"/>
        </w:rPr>
      </w:pPr>
      <w:r w:rsidRPr="004A478C">
        <w:rPr>
          <w:i/>
          <w:lang w:val="lt-LT"/>
        </w:rPr>
        <w:t xml:space="preserve">Vaikų populiacija  </w:t>
      </w:r>
    </w:p>
    <w:p w14:paraId="6BB750B0" w14:textId="19B6D324" w:rsidR="00273470" w:rsidRPr="004A478C" w:rsidRDefault="000F3DFC" w:rsidP="003B28E4">
      <w:pPr>
        <w:tabs>
          <w:tab w:val="left" w:pos="4680"/>
        </w:tabs>
        <w:spacing w:line="240" w:lineRule="auto"/>
        <w:ind w:left="2" w:right="397"/>
        <w:rPr>
          <w:lang w:val="lt-LT"/>
        </w:rPr>
      </w:pPr>
      <w:proofErr w:type="spellStart"/>
      <w:r w:rsidRPr="004A478C">
        <w:rPr>
          <w:lang w:val="lt-LT"/>
        </w:rPr>
        <w:t>Febuksostato</w:t>
      </w:r>
      <w:proofErr w:type="spellEnd"/>
      <w:r w:rsidR="002606A3" w:rsidRPr="004A478C">
        <w:rPr>
          <w:lang w:val="lt-LT"/>
        </w:rPr>
        <w:t xml:space="preserve"> </w:t>
      </w:r>
      <w:r w:rsidR="00273470" w:rsidRPr="004A478C">
        <w:rPr>
          <w:lang w:val="lt-LT"/>
        </w:rPr>
        <w:t xml:space="preserve">vartojimo jaunesniems kaip 18 metų vaikams saugumas ir veiksmingumas nenustatytas. Duomenų nėra.  </w:t>
      </w:r>
    </w:p>
    <w:p w14:paraId="729F66FF" w14:textId="77777777" w:rsidR="00273470" w:rsidRPr="004A478C" w:rsidRDefault="00273470" w:rsidP="003B28E4">
      <w:pPr>
        <w:tabs>
          <w:tab w:val="left" w:pos="4680"/>
        </w:tabs>
        <w:spacing w:line="240" w:lineRule="auto"/>
        <w:rPr>
          <w:lang w:val="lt-LT"/>
        </w:rPr>
      </w:pPr>
      <w:r w:rsidRPr="004A478C">
        <w:rPr>
          <w:lang w:val="lt-LT"/>
        </w:rPr>
        <w:t xml:space="preserve"> </w:t>
      </w:r>
    </w:p>
    <w:p w14:paraId="683F369A" w14:textId="77777777" w:rsidR="00DF759F" w:rsidRPr="004A478C" w:rsidRDefault="00273470" w:rsidP="003B28E4">
      <w:pPr>
        <w:tabs>
          <w:tab w:val="left" w:pos="4680"/>
        </w:tabs>
        <w:spacing w:line="240" w:lineRule="auto"/>
        <w:ind w:left="2" w:right="6695"/>
        <w:rPr>
          <w:lang w:val="lt-LT"/>
        </w:rPr>
      </w:pPr>
      <w:r w:rsidRPr="004A478C">
        <w:rPr>
          <w:u w:val="single" w:color="000000"/>
          <w:lang w:val="lt-LT"/>
        </w:rPr>
        <w:t>Vartojimo metodas</w:t>
      </w:r>
      <w:r w:rsidRPr="004A478C">
        <w:rPr>
          <w:lang w:val="lt-LT"/>
        </w:rPr>
        <w:t xml:space="preserve"> </w:t>
      </w:r>
    </w:p>
    <w:p w14:paraId="5C1E966C" w14:textId="77777777" w:rsidR="00273470" w:rsidRPr="004A478C" w:rsidRDefault="00273470" w:rsidP="003B28E4">
      <w:pPr>
        <w:tabs>
          <w:tab w:val="left" w:pos="4680"/>
        </w:tabs>
        <w:spacing w:line="240" w:lineRule="auto"/>
        <w:ind w:left="2" w:right="6695"/>
        <w:rPr>
          <w:lang w:val="lt-LT"/>
        </w:rPr>
      </w:pPr>
      <w:r w:rsidRPr="004A478C">
        <w:rPr>
          <w:lang w:val="lt-LT"/>
        </w:rPr>
        <w:t xml:space="preserve">Vartoti per burną. </w:t>
      </w:r>
    </w:p>
    <w:p w14:paraId="1C7D9D54" w14:textId="783F62E8" w:rsidR="00273470" w:rsidRPr="004A478C" w:rsidRDefault="00273470" w:rsidP="003B28E4">
      <w:pPr>
        <w:tabs>
          <w:tab w:val="left" w:pos="4680"/>
        </w:tabs>
        <w:spacing w:line="240" w:lineRule="auto"/>
        <w:ind w:left="2" w:right="397"/>
        <w:rPr>
          <w:lang w:val="lt-LT"/>
        </w:rPr>
      </w:pPr>
      <w:proofErr w:type="spellStart"/>
      <w:r w:rsidRPr="004A478C">
        <w:rPr>
          <w:lang w:val="lt-LT"/>
        </w:rPr>
        <w:t>Febuxostat</w:t>
      </w:r>
      <w:proofErr w:type="spellEnd"/>
      <w:r w:rsidRPr="004A478C">
        <w:rPr>
          <w:lang w:val="lt-LT"/>
        </w:rPr>
        <w:t xml:space="preserve"> </w:t>
      </w:r>
      <w:proofErr w:type="spellStart"/>
      <w:r w:rsidR="002606A3" w:rsidRPr="004A478C">
        <w:rPr>
          <w:lang w:val="lt-LT"/>
        </w:rPr>
        <w:t>Zentiva</w:t>
      </w:r>
      <w:proofErr w:type="spellEnd"/>
      <w:r w:rsidR="002606A3" w:rsidRPr="004A478C">
        <w:rPr>
          <w:lang w:val="lt-LT"/>
        </w:rPr>
        <w:t xml:space="preserve"> </w:t>
      </w:r>
      <w:r w:rsidR="00153B16" w:rsidRPr="004A478C">
        <w:rPr>
          <w:lang w:val="lt-LT"/>
        </w:rPr>
        <w:t xml:space="preserve">turi būti vartojamas per burną ir </w:t>
      </w:r>
      <w:r w:rsidRPr="004A478C">
        <w:rPr>
          <w:lang w:val="lt-LT"/>
        </w:rPr>
        <w:t xml:space="preserve">galima vartoti valgant arba tarp valgymų. </w:t>
      </w:r>
    </w:p>
    <w:p w14:paraId="1A096F2B" w14:textId="77777777" w:rsidR="00273470" w:rsidRPr="004A478C" w:rsidRDefault="00273470" w:rsidP="003B28E4">
      <w:pPr>
        <w:tabs>
          <w:tab w:val="left" w:pos="4680"/>
        </w:tabs>
        <w:spacing w:line="240" w:lineRule="auto"/>
        <w:rPr>
          <w:lang w:val="lt-LT"/>
        </w:rPr>
      </w:pPr>
      <w:r w:rsidRPr="004A478C">
        <w:rPr>
          <w:lang w:val="lt-LT"/>
        </w:rPr>
        <w:t xml:space="preserve"> </w:t>
      </w:r>
    </w:p>
    <w:p w14:paraId="76FA7B51" w14:textId="77777777" w:rsidR="00273470" w:rsidRPr="004A478C" w:rsidRDefault="00273470" w:rsidP="003B28E4">
      <w:pPr>
        <w:pStyle w:val="Antrat4"/>
        <w:tabs>
          <w:tab w:val="center" w:pos="1311"/>
          <w:tab w:val="left" w:pos="4680"/>
        </w:tabs>
        <w:spacing w:line="240" w:lineRule="auto"/>
        <w:ind w:left="-15"/>
        <w:rPr>
          <w:rFonts w:ascii="Times New Roman" w:hAnsi="Times New Roman"/>
          <w:sz w:val="22"/>
          <w:lang w:val="lt-LT"/>
        </w:rPr>
      </w:pPr>
      <w:r w:rsidRPr="004A478C">
        <w:rPr>
          <w:rFonts w:ascii="Times New Roman" w:hAnsi="Times New Roman"/>
          <w:sz w:val="22"/>
          <w:lang w:val="lt-LT"/>
        </w:rPr>
        <w:t xml:space="preserve">4.3 </w:t>
      </w:r>
      <w:r w:rsidRPr="004A478C">
        <w:rPr>
          <w:rFonts w:ascii="Times New Roman" w:hAnsi="Times New Roman"/>
          <w:sz w:val="22"/>
          <w:lang w:val="lt-LT"/>
        </w:rPr>
        <w:tab/>
        <w:t xml:space="preserve">Kontraindikacijos </w:t>
      </w:r>
    </w:p>
    <w:p w14:paraId="0259C332" w14:textId="77777777" w:rsidR="00273470" w:rsidRPr="004A478C" w:rsidRDefault="00273470" w:rsidP="003B28E4">
      <w:pPr>
        <w:tabs>
          <w:tab w:val="left" w:pos="4680"/>
        </w:tabs>
        <w:spacing w:line="240" w:lineRule="auto"/>
        <w:rPr>
          <w:lang w:val="lt-LT"/>
        </w:rPr>
      </w:pPr>
      <w:r w:rsidRPr="004A478C">
        <w:rPr>
          <w:lang w:val="lt-LT"/>
        </w:rPr>
        <w:t xml:space="preserve"> </w:t>
      </w:r>
    </w:p>
    <w:p w14:paraId="48A216E0" w14:textId="77777777" w:rsidR="00273470" w:rsidRPr="004A478C" w:rsidRDefault="00273470" w:rsidP="003B28E4">
      <w:pPr>
        <w:tabs>
          <w:tab w:val="left" w:pos="4680"/>
        </w:tabs>
        <w:spacing w:line="240" w:lineRule="auto"/>
        <w:ind w:left="2" w:right="397"/>
        <w:rPr>
          <w:lang w:val="lt-LT"/>
        </w:rPr>
      </w:pPr>
      <w:r w:rsidRPr="004A478C">
        <w:rPr>
          <w:lang w:val="lt-LT"/>
        </w:rPr>
        <w:t xml:space="preserve">Padidėjęs jautrumas veikliajai arba bet kuriai pagalbinei medžiagai išvardytai 6.1 skyriuje (taip pat žr. </w:t>
      </w:r>
    </w:p>
    <w:p w14:paraId="0D5474AF" w14:textId="77777777" w:rsidR="00273470" w:rsidRPr="004A478C" w:rsidRDefault="00273470" w:rsidP="003B28E4">
      <w:pPr>
        <w:tabs>
          <w:tab w:val="left" w:pos="4680"/>
        </w:tabs>
        <w:spacing w:line="240" w:lineRule="auto"/>
        <w:ind w:left="2" w:right="397"/>
        <w:rPr>
          <w:lang w:val="lt-LT"/>
        </w:rPr>
      </w:pPr>
      <w:r w:rsidRPr="004A478C">
        <w:rPr>
          <w:lang w:val="lt-LT"/>
        </w:rPr>
        <w:t xml:space="preserve">4.8 skyrių). </w:t>
      </w:r>
    </w:p>
    <w:p w14:paraId="7C0D17DD" w14:textId="77777777" w:rsidR="00273470" w:rsidRPr="004A478C" w:rsidRDefault="00273470" w:rsidP="003B28E4">
      <w:pPr>
        <w:tabs>
          <w:tab w:val="left" w:pos="4680"/>
        </w:tabs>
        <w:spacing w:line="240" w:lineRule="auto"/>
        <w:rPr>
          <w:lang w:val="lt-LT"/>
        </w:rPr>
      </w:pPr>
      <w:r w:rsidRPr="004A478C">
        <w:rPr>
          <w:lang w:val="lt-LT"/>
        </w:rPr>
        <w:t xml:space="preserve"> </w:t>
      </w:r>
    </w:p>
    <w:p w14:paraId="1D5985A1" w14:textId="77777777" w:rsidR="00273470" w:rsidRPr="004A478C" w:rsidRDefault="00273470" w:rsidP="003B28E4">
      <w:pPr>
        <w:tabs>
          <w:tab w:val="center" w:pos="2431"/>
          <w:tab w:val="left" w:pos="4680"/>
        </w:tabs>
        <w:spacing w:line="240" w:lineRule="auto"/>
        <w:ind w:left="-15"/>
        <w:rPr>
          <w:lang w:val="lt-LT"/>
        </w:rPr>
      </w:pPr>
      <w:r w:rsidRPr="004A478C">
        <w:rPr>
          <w:b/>
          <w:lang w:val="lt-LT"/>
        </w:rPr>
        <w:t xml:space="preserve">4.4 </w:t>
      </w:r>
      <w:r w:rsidRPr="004A478C">
        <w:rPr>
          <w:b/>
          <w:lang w:val="lt-LT"/>
        </w:rPr>
        <w:tab/>
        <w:t xml:space="preserve">Specialūs įspėjimai ir atsargumo priemonės </w:t>
      </w:r>
    </w:p>
    <w:p w14:paraId="0E682D36" w14:textId="77777777" w:rsidR="00273470" w:rsidRPr="004A478C" w:rsidRDefault="00273470" w:rsidP="003B28E4">
      <w:pPr>
        <w:tabs>
          <w:tab w:val="left" w:pos="4680"/>
        </w:tabs>
        <w:spacing w:line="240" w:lineRule="auto"/>
        <w:rPr>
          <w:lang w:val="lt-LT"/>
        </w:rPr>
      </w:pPr>
      <w:r w:rsidRPr="004A478C">
        <w:rPr>
          <w:lang w:val="lt-LT"/>
        </w:rPr>
        <w:t xml:space="preserve"> </w:t>
      </w:r>
    </w:p>
    <w:p w14:paraId="4D9B1B2D" w14:textId="77777777" w:rsidR="00273470" w:rsidRPr="004A478C" w:rsidRDefault="00273470" w:rsidP="003B28E4">
      <w:pPr>
        <w:tabs>
          <w:tab w:val="left" w:pos="4680"/>
        </w:tabs>
        <w:spacing w:line="240" w:lineRule="auto"/>
        <w:ind w:left="-5"/>
        <w:rPr>
          <w:lang w:val="lt-LT"/>
        </w:rPr>
      </w:pPr>
      <w:r w:rsidRPr="004A478C">
        <w:rPr>
          <w:i/>
          <w:lang w:val="lt-LT"/>
        </w:rPr>
        <w:t xml:space="preserve">Širdies ir kraujagyslių sutrikimai </w:t>
      </w:r>
    </w:p>
    <w:p w14:paraId="526E6DC8" w14:textId="77777777" w:rsidR="00273470" w:rsidRPr="004A478C" w:rsidRDefault="00273470" w:rsidP="003B28E4">
      <w:pPr>
        <w:pStyle w:val="Antrat3"/>
        <w:tabs>
          <w:tab w:val="left" w:pos="4680"/>
        </w:tabs>
        <w:spacing w:before="0" w:after="0" w:line="240" w:lineRule="auto"/>
        <w:ind w:left="-5"/>
        <w:rPr>
          <w:rFonts w:ascii="Times New Roman" w:hAnsi="Times New Roman"/>
          <w:sz w:val="22"/>
          <w:lang w:val="lt-LT"/>
        </w:rPr>
      </w:pPr>
      <w:r w:rsidRPr="004A478C">
        <w:rPr>
          <w:rFonts w:ascii="Times New Roman" w:hAnsi="Times New Roman"/>
          <w:b w:val="0"/>
          <w:i/>
          <w:sz w:val="22"/>
          <w:u w:val="single" w:color="000000"/>
          <w:lang w:val="lt-LT"/>
        </w:rPr>
        <w:t xml:space="preserve">Lėtinės </w:t>
      </w:r>
      <w:proofErr w:type="spellStart"/>
      <w:r w:rsidRPr="004A478C">
        <w:rPr>
          <w:rFonts w:ascii="Times New Roman" w:hAnsi="Times New Roman"/>
          <w:b w:val="0"/>
          <w:i/>
          <w:sz w:val="22"/>
          <w:u w:val="single" w:color="000000"/>
          <w:lang w:val="lt-LT"/>
        </w:rPr>
        <w:t>hiperurikemijos</w:t>
      </w:r>
      <w:proofErr w:type="spellEnd"/>
      <w:r w:rsidRPr="004A478C">
        <w:rPr>
          <w:rFonts w:ascii="Times New Roman" w:hAnsi="Times New Roman"/>
          <w:b w:val="0"/>
          <w:i/>
          <w:sz w:val="22"/>
          <w:u w:val="single" w:color="000000"/>
          <w:lang w:val="lt-LT"/>
        </w:rPr>
        <w:t xml:space="preserve"> gydymas</w:t>
      </w:r>
      <w:r w:rsidRPr="004A478C">
        <w:rPr>
          <w:rFonts w:ascii="Times New Roman" w:hAnsi="Times New Roman"/>
          <w:b w:val="0"/>
          <w:i/>
          <w:sz w:val="22"/>
          <w:lang w:val="lt-LT"/>
        </w:rPr>
        <w:t xml:space="preserve"> </w:t>
      </w:r>
    </w:p>
    <w:p w14:paraId="5F528EC0" w14:textId="00E50351" w:rsidR="00E01AC5" w:rsidRPr="004A478C" w:rsidRDefault="00E01AC5" w:rsidP="00E01AC5">
      <w:pPr>
        <w:tabs>
          <w:tab w:val="left" w:pos="4680"/>
        </w:tabs>
        <w:spacing w:line="240" w:lineRule="auto"/>
        <w:ind w:left="2" w:right="397"/>
        <w:rPr>
          <w:lang w:val="lt-LT"/>
        </w:rPr>
      </w:pPr>
      <w:r w:rsidRPr="004A478C">
        <w:rPr>
          <w:lang w:val="lt-LT"/>
        </w:rPr>
        <w:t>P</w:t>
      </w:r>
      <w:r w:rsidR="00E402FE" w:rsidRPr="004A478C">
        <w:rPr>
          <w:lang w:val="lt-LT"/>
        </w:rPr>
        <w:t>acient</w:t>
      </w:r>
      <w:r w:rsidRPr="004A478C">
        <w:rPr>
          <w:lang w:val="lt-LT"/>
        </w:rPr>
        <w:t>ams</w:t>
      </w:r>
      <w:r w:rsidR="00E402FE" w:rsidRPr="004A478C">
        <w:rPr>
          <w:lang w:val="lt-LT"/>
        </w:rPr>
        <w:t xml:space="preserve">, kurie jau serga sunkiomis širdies ir kraujagyslių sistemos ligomis (pvz., miokardo infarktu, insultu arba nestabilia krūtinės angina), </w:t>
      </w:r>
      <w:r w:rsidRPr="004A478C">
        <w:rPr>
          <w:lang w:val="lt-LT"/>
        </w:rPr>
        <w:t>vaistinio preparato k</w:t>
      </w:r>
      <w:r w:rsidRPr="004B0C8F">
        <w:rPr>
          <w:szCs w:val="22"/>
          <w:lang w:val="lt-LT"/>
        </w:rPr>
        <w:t xml:space="preserve">ūrimo metu ir vieno </w:t>
      </w:r>
      <w:proofErr w:type="spellStart"/>
      <w:r w:rsidRPr="004B0C8F">
        <w:rPr>
          <w:szCs w:val="22"/>
          <w:lang w:val="lt-LT"/>
        </w:rPr>
        <w:t>poregistracinio</w:t>
      </w:r>
      <w:proofErr w:type="spellEnd"/>
      <w:r w:rsidRPr="004B0C8F">
        <w:rPr>
          <w:szCs w:val="22"/>
          <w:lang w:val="lt-LT"/>
        </w:rPr>
        <w:t xml:space="preserve"> CARES klinikinio tyrimo metu, vartojant </w:t>
      </w:r>
      <w:proofErr w:type="spellStart"/>
      <w:r w:rsidRPr="004B0C8F">
        <w:rPr>
          <w:szCs w:val="22"/>
          <w:lang w:val="lt-LT"/>
        </w:rPr>
        <w:t>febuksostato</w:t>
      </w:r>
      <w:proofErr w:type="spellEnd"/>
      <w:r w:rsidRPr="004B0C8F">
        <w:rPr>
          <w:szCs w:val="22"/>
          <w:lang w:val="lt-LT"/>
        </w:rPr>
        <w:t xml:space="preserve">, buvo pastebėtas didesnis mirtinų širdies ir kraujagyslių sistemos reiškinių skaičius lyginant su </w:t>
      </w:r>
      <w:proofErr w:type="spellStart"/>
      <w:r w:rsidRPr="004B0C8F">
        <w:rPr>
          <w:szCs w:val="22"/>
          <w:lang w:val="lt-LT"/>
        </w:rPr>
        <w:t>alopurinoliu</w:t>
      </w:r>
      <w:proofErr w:type="spellEnd"/>
      <w:r w:rsidRPr="004B0C8F">
        <w:rPr>
          <w:szCs w:val="22"/>
          <w:lang w:val="lt-LT"/>
        </w:rPr>
        <w:t>.</w:t>
      </w:r>
      <w:r w:rsidRPr="004A478C">
        <w:rPr>
          <w:lang w:val="lt-LT"/>
        </w:rPr>
        <w:t xml:space="preserve"> </w:t>
      </w:r>
    </w:p>
    <w:p w14:paraId="7D3B507C" w14:textId="6CBCFC49" w:rsidR="00E01AC5" w:rsidRPr="004A478C" w:rsidRDefault="00E01AC5" w:rsidP="00E01AC5">
      <w:pPr>
        <w:tabs>
          <w:tab w:val="left" w:pos="4680"/>
        </w:tabs>
        <w:spacing w:line="240" w:lineRule="auto"/>
        <w:ind w:left="2" w:right="397"/>
        <w:rPr>
          <w:lang w:val="lt-LT"/>
        </w:rPr>
      </w:pPr>
      <w:r w:rsidRPr="004A478C">
        <w:rPr>
          <w:lang w:val="lt-LT"/>
        </w:rPr>
        <w:t xml:space="preserve">Tačiau vėlesniame </w:t>
      </w:r>
      <w:proofErr w:type="spellStart"/>
      <w:r w:rsidRPr="004A478C">
        <w:rPr>
          <w:lang w:val="lt-LT"/>
        </w:rPr>
        <w:t>poregistraciniame</w:t>
      </w:r>
      <w:proofErr w:type="spellEnd"/>
      <w:r w:rsidRPr="004A478C">
        <w:rPr>
          <w:lang w:val="lt-LT"/>
        </w:rPr>
        <w:t xml:space="preserve"> tyrime (FAST) </w:t>
      </w:r>
      <w:proofErr w:type="spellStart"/>
      <w:r w:rsidRPr="004A478C">
        <w:rPr>
          <w:lang w:val="lt-LT"/>
        </w:rPr>
        <w:t>febuksostatas</w:t>
      </w:r>
      <w:proofErr w:type="spellEnd"/>
      <w:r w:rsidRPr="004A478C">
        <w:rPr>
          <w:lang w:val="lt-LT"/>
        </w:rPr>
        <w:t xml:space="preserve"> nebuvo prastesnis už </w:t>
      </w:r>
      <w:proofErr w:type="spellStart"/>
      <w:r w:rsidRPr="004A478C">
        <w:rPr>
          <w:lang w:val="lt-LT"/>
        </w:rPr>
        <w:t>alopurinolį</w:t>
      </w:r>
      <w:proofErr w:type="spellEnd"/>
      <w:r w:rsidRPr="004A478C">
        <w:rPr>
          <w:lang w:val="lt-LT"/>
        </w:rPr>
        <w:t xml:space="preserve"> </w:t>
      </w:r>
      <w:r w:rsidR="00AE5D3A" w:rsidRPr="004A478C">
        <w:rPr>
          <w:lang w:val="lt-LT"/>
        </w:rPr>
        <w:t xml:space="preserve">pagal </w:t>
      </w:r>
      <w:r w:rsidRPr="004A478C">
        <w:rPr>
          <w:lang w:val="lt-LT"/>
        </w:rPr>
        <w:t>mirtinų ir nemirtinų širdies ir kraujagyslių sistemos reiškinių dažn</w:t>
      </w:r>
      <w:r w:rsidR="00AE5D3A" w:rsidRPr="004A478C">
        <w:rPr>
          <w:lang w:val="lt-LT"/>
        </w:rPr>
        <w:t>į</w:t>
      </w:r>
      <w:r w:rsidRPr="004A478C">
        <w:rPr>
          <w:lang w:val="lt-LT"/>
        </w:rPr>
        <w:t>.</w:t>
      </w:r>
    </w:p>
    <w:p w14:paraId="678BA519" w14:textId="77777777" w:rsidR="00E01AC5" w:rsidRPr="004A478C" w:rsidRDefault="00E01AC5" w:rsidP="00E01AC5">
      <w:pPr>
        <w:tabs>
          <w:tab w:val="left" w:pos="4680"/>
        </w:tabs>
        <w:spacing w:line="240" w:lineRule="auto"/>
        <w:ind w:left="2" w:right="397"/>
        <w:rPr>
          <w:lang w:val="lt-LT"/>
        </w:rPr>
      </w:pPr>
      <w:r w:rsidRPr="004A478C">
        <w:rPr>
          <w:lang w:val="lt-LT"/>
        </w:rPr>
        <w:t>Šios grupės pacientų gydymas turi būti atliekamas atsargiai ir juos reikia reguliariai stebėti.</w:t>
      </w:r>
    </w:p>
    <w:p w14:paraId="2730A908" w14:textId="04815672" w:rsidR="00E402FE" w:rsidRPr="004A478C" w:rsidRDefault="00E01AC5" w:rsidP="00E01AC5">
      <w:pPr>
        <w:tabs>
          <w:tab w:val="left" w:pos="4680"/>
        </w:tabs>
        <w:spacing w:line="240" w:lineRule="auto"/>
        <w:ind w:left="2" w:right="397"/>
        <w:rPr>
          <w:lang w:val="lt-LT"/>
        </w:rPr>
      </w:pPr>
      <w:r w:rsidRPr="004A478C">
        <w:rPr>
          <w:lang w:val="lt-LT"/>
        </w:rPr>
        <w:t xml:space="preserve">Daugiau informacijos apie </w:t>
      </w:r>
      <w:proofErr w:type="spellStart"/>
      <w:r w:rsidRPr="004A478C">
        <w:rPr>
          <w:lang w:val="lt-LT"/>
        </w:rPr>
        <w:t>febuksostato</w:t>
      </w:r>
      <w:proofErr w:type="spellEnd"/>
      <w:r w:rsidRPr="004A478C">
        <w:rPr>
          <w:lang w:val="lt-LT"/>
        </w:rPr>
        <w:t xml:space="preserve"> saugumą širdies ir kraujagyslių sistemai rasite 4.8 ir 5.1 skyriuose.</w:t>
      </w:r>
    </w:p>
    <w:p w14:paraId="21BE5175" w14:textId="4839A48D" w:rsidR="00273470" w:rsidRPr="004A478C" w:rsidRDefault="00273470" w:rsidP="003B28E4">
      <w:pPr>
        <w:tabs>
          <w:tab w:val="left" w:pos="4680"/>
        </w:tabs>
        <w:spacing w:line="240" w:lineRule="auto"/>
        <w:rPr>
          <w:lang w:val="lt-LT"/>
        </w:rPr>
      </w:pPr>
    </w:p>
    <w:p w14:paraId="1D47C53B" w14:textId="77777777" w:rsidR="00273470" w:rsidRPr="004A478C" w:rsidRDefault="00273470" w:rsidP="003B28E4">
      <w:pPr>
        <w:pStyle w:val="Antrat3"/>
        <w:tabs>
          <w:tab w:val="left" w:pos="4680"/>
        </w:tabs>
        <w:spacing w:before="0" w:after="0" w:line="240" w:lineRule="auto"/>
        <w:ind w:left="-5"/>
        <w:rPr>
          <w:rFonts w:ascii="Times New Roman" w:hAnsi="Times New Roman"/>
          <w:sz w:val="22"/>
          <w:lang w:val="lt-LT"/>
        </w:rPr>
      </w:pPr>
      <w:proofErr w:type="spellStart"/>
      <w:r w:rsidRPr="004A478C">
        <w:rPr>
          <w:rFonts w:ascii="Times New Roman" w:hAnsi="Times New Roman"/>
          <w:b w:val="0"/>
          <w:i/>
          <w:sz w:val="22"/>
          <w:u w:val="single" w:color="000000"/>
          <w:lang w:val="lt-LT"/>
        </w:rPr>
        <w:t>Hiperurikemijos</w:t>
      </w:r>
      <w:proofErr w:type="spellEnd"/>
      <w:r w:rsidRPr="004A478C">
        <w:rPr>
          <w:rFonts w:ascii="Times New Roman" w:hAnsi="Times New Roman"/>
          <w:b w:val="0"/>
          <w:i/>
          <w:sz w:val="22"/>
          <w:u w:val="single" w:color="000000"/>
          <w:lang w:val="lt-LT"/>
        </w:rPr>
        <w:t xml:space="preserve"> profilaktika ir gydymas, esant NLS (Naviko </w:t>
      </w:r>
      <w:proofErr w:type="spellStart"/>
      <w:r w:rsidRPr="004A478C">
        <w:rPr>
          <w:rFonts w:ascii="Times New Roman" w:hAnsi="Times New Roman"/>
          <w:b w:val="0"/>
          <w:i/>
          <w:sz w:val="22"/>
          <w:u w:val="single" w:color="000000"/>
          <w:lang w:val="lt-LT"/>
        </w:rPr>
        <w:t>lizės</w:t>
      </w:r>
      <w:proofErr w:type="spellEnd"/>
      <w:r w:rsidRPr="004A478C">
        <w:rPr>
          <w:rFonts w:ascii="Times New Roman" w:hAnsi="Times New Roman"/>
          <w:b w:val="0"/>
          <w:i/>
          <w:sz w:val="22"/>
          <w:u w:val="single" w:color="000000"/>
          <w:lang w:val="lt-LT"/>
        </w:rPr>
        <w:t xml:space="preserve"> sindromo) rizikai</w:t>
      </w:r>
      <w:r w:rsidRPr="004A478C">
        <w:rPr>
          <w:rFonts w:ascii="Times New Roman" w:hAnsi="Times New Roman"/>
          <w:b w:val="0"/>
          <w:i/>
          <w:sz w:val="22"/>
          <w:lang w:val="lt-LT"/>
        </w:rPr>
        <w:t xml:space="preserve"> </w:t>
      </w:r>
    </w:p>
    <w:p w14:paraId="65662619" w14:textId="3538A2EC" w:rsidR="00273470" w:rsidRPr="004A478C" w:rsidRDefault="00273470" w:rsidP="003B28E4">
      <w:pPr>
        <w:tabs>
          <w:tab w:val="left" w:pos="4680"/>
        </w:tabs>
        <w:spacing w:line="240" w:lineRule="auto"/>
        <w:ind w:left="2" w:right="397"/>
        <w:rPr>
          <w:lang w:val="lt-LT"/>
        </w:rPr>
      </w:pPr>
      <w:r w:rsidRPr="004A478C">
        <w:rPr>
          <w:lang w:val="lt-LT"/>
        </w:rPr>
        <w:t xml:space="preserve">Pacientams, kuriems taikoma chemoterapija dėl piktybinių </w:t>
      </w:r>
      <w:proofErr w:type="spellStart"/>
      <w:r w:rsidRPr="004A478C">
        <w:rPr>
          <w:lang w:val="lt-LT"/>
        </w:rPr>
        <w:t>kraujodaros</w:t>
      </w:r>
      <w:proofErr w:type="spellEnd"/>
      <w:r w:rsidRPr="004A478C">
        <w:rPr>
          <w:lang w:val="lt-LT"/>
        </w:rPr>
        <w:t xml:space="preserve"> navikų, ir kuriems naviko </w:t>
      </w:r>
      <w:proofErr w:type="spellStart"/>
      <w:r w:rsidRPr="004A478C">
        <w:rPr>
          <w:lang w:val="lt-LT"/>
        </w:rPr>
        <w:t>lizės</w:t>
      </w:r>
      <w:proofErr w:type="spellEnd"/>
      <w:r w:rsidRPr="004A478C">
        <w:rPr>
          <w:lang w:val="lt-LT"/>
        </w:rPr>
        <w:t xml:space="preserve"> sindromo </w:t>
      </w:r>
      <w:r w:rsidR="00E402FE" w:rsidRPr="004A478C">
        <w:rPr>
          <w:lang w:val="lt-LT"/>
        </w:rPr>
        <w:t xml:space="preserve">(NLS) </w:t>
      </w:r>
      <w:r w:rsidRPr="004A478C">
        <w:rPr>
          <w:lang w:val="lt-LT"/>
        </w:rPr>
        <w:t xml:space="preserve">rizika vertinama kaip vidutinė ar didelė, gydymas </w:t>
      </w:r>
      <w:proofErr w:type="spellStart"/>
      <w:r w:rsidR="00CA5A0C" w:rsidRPr="004A478C">
        <w:rPr>
          <w:lang w:val="lt-LT"/>
        </w:rPr>
        <w:t>febuksostatu</w:t>
      </w:r>
      <w:proofErr w:type="spellEnd"/>
      <w:r w:rsidR="00CA5A0C" w:rsidRPr="004A478C">
        <w:rPr>
          <w:lang w:val="lt-LT"/>
        </w:rPr>
        <w:t xml:space="preserve"> </w:t>
      </w:r>
      <w:r w:rsidRPr="004A478C">
        <w:rPr>
          <w:lang w:val="lt-LT"/>
        </w:rPr>
        <w:t xml:space="preserve">skiriamas stebint širdies veiklą, atitinkamai pagal klinikinę būklę. </w:t>
      </w:r>
    </w:p>
    <w:p w14:paraId="1AD079BB" w14:textId="77777777" w:rsidR="00273470" w:rsidRPr="004A478C" w:rsidRDefault="00273470" w:rsidP="003B28E4">
      <w:pPr>
        <w:tabs>
          <w:tab w:val="left" w:pos="4680"/>
        </w:tabs>
        <w:spacing w:line="240" w:lineRule="auto"/>
        <w:rPr>
          <w:lang w:val="lt-LT"/>
        </w:rPr>
      </w:pPr>
      <w:r w:rsidRPr="004A478C">
        <w:rPr>
          <w:i/>
          <w:lang w:val="lt-LT"/>
        </w:rPr>
        <w:t xml:space="preserve"> </w:t>
      </w:r>
    </w:p>
    <w:p w14:paraId="4ADABCF2" w14:textId="6170D876" w:rsidR="00273470" w:rsidRPr="004A478C" w:rsidRDefault="00273470" w:rsidP="003B28E4">
      <w:pPr>
        <w:tabs>
          <w:tab w:val="left" w:pos="4680"/>
        </w:tabs>
        <w:spacing w:line="240" w:lineRule="auto"/>
        <w:ind w:left="-5"/>
        <w:rPr>
          <w:lang w:val="lt-LT"/>
        </w:rPr>
      </w:pPr>
      <w:r w:rsidRPr="004A478C">
        <w:rPr>
          <w:i/>
          <w:lang w:val="lt-LT"/>
        </w:rPr>
        <w:t>Alergija</w:t>
      </w:r>
      <w:r w:rsidR="001F30AC" w:rsidRPr="004A478C">
        <w:rPr>
          <w:i/>
          <w:lang w:val="lt-LT"/>
        </w:rPr>
        <w:t xml:space="preserve"> arba</w:t>
      </w:r>
      <w:r w:rsidRPr="004A478C">
        <w:rPr>
          <w:i/>
          <w:lang w:val="lt-LT"/>
        </w:rPr>
        <w:t xml:space="preserve"> padidėjęs jautrumas vaistiniam preparatui </w:t>
      </w:r>
    </w:p>
    <w:p w14:paraId="448F6ABA" w14:textId="77777777" w:rsidR="00273470" w:rsidRPr="004A478C" w:rsidRDefault="00273470" w:rsidP="003B28E4">
      <w:pPr>
        <w:tabs>
          <w:tab w:val="left" w:pos="4680"/>
        </w:tabs>
        <w:spacing w:line="240" w:lineRule="auto"/>
        <w:ind w:left="2" w:right="397"/>
        <w:rPr>
          <w:lang w:val="lt-LT"/>
        </w:rPr>
      </w:pPr>
      <w:r w:rsidRPr="004A478C">
        <w:rPr>
          <w:lang w:val="lt-LT"/>
        </w:rPr>
        <w:t xml:space="preserve">Vaistiniam preparatui patekus į rinką retai pasitaikė sunkių alerginių arba padidėjusio jautrumo reakcijų, įskaitant gyvybei pavojingus </w:t>
      </w:r>
      <w:proofErr w:type="spellStart"/>
      <w:r w:rsidRPr="004A478C">
        <w:rPr>
          <w:lang w:val="lt-LT"/>
        </w:rPr>
        <w:t>Stivenso</w:t>
      </w:r>
      <w:proofErr w:type="spellEnd"/>
      <w:r w:rsidRPr="004A478C">
        <w:rPr>
          <w:lang w:val="lt-LT"/>
        </w:rPr>
        <w:t xml:space="preserve">-Džonsono </w:t>
      </w:r>
      <w:r w:rsidR="00CA5A0C" w:rsidRPr="004A478C">
        <w:rPr>
          <w:lang w:val="lt-LT"/>
        </w:rPr>
        <w:t>(</w:t>
      </w:r>
      <w:proofErr w:type="spellStart"/>
      <w:r w:rsidR="00CA5A0C" w:rsidRPr="004A478C">
        <w:rPr>
          <w:i/>
          <w:lang w:val="lt-LT"/>
        </w:rPr>
        <w:t>Stevens-Johnson</w:t>
      </w:r>
      <w:proofErr w:type="spellEnd"/>
      <w:r w:rsidR="00CA5A0C" w:rsidRPr="004A478C">
        <w:rPr>
          <w:lang w:val="lt-LT"/>
        </w:rPr>
        <w:t xml:space="preserve">) </w:t>
      </w:r>
      <w:r w:rsidRPr="004A478C">
        <w:rPr>
          <w:lang w:val="lt-LT"/>
        </w:rPr>
        <w:t xml:space="preserve">sindromą, toksinę epidermio </w:t>
      </w:r>
      <w:proofErr w:type="spellStart"/>
      <w:r w:rsidRPr="004A478C">
        <w:rPr>
          <w:lang w:val="lt-LT"/>
        </w:rPr>
        <w:t>nekrolizę</w:t>
      </w:r>
      <w:proofErr w:type="spellEnd"/>
      <w:r w:rsidRPr="004A478C">
        <w:rPr>
          <w:lang w:val="lt-LT"/>
        </w:rPr>
        <w:t xml:space="preserve"> ir ūminę anafilaksinę reakciją arba šoką. Dažniausiai šių reakcijų pasitaikė </w:t>
      </w:r>
      <w:r w:rsidRPr="004A478C">
        <w:rPr>
          <w:lang w:val="lt-LT"/>
        </w:rPr>
        <w:lastRenderedPageBreak/>
        <w:t xml:space="preserve">pirmaisiais gydymo </w:t>
      </w:r>
      <w:proofErr w:type="spellStart"/>
      <w:r w:rsidRPr="004A478C">
        <w:rPr>
          <w:lang w:val="lt-LT"/>
        </w:rPr>
        <w:t>febuksostatu</w:t>
      </w:r>
      <w:proofErr w:type="spellEnd"/>
      <w:r w:rsidRPr="004A478C">
        <w:rPr>
          <w:lang w:val="lt-LT"/>
        </w:rPr>
        <w:t xml:space="preserve"> mėnesiais. Kai kuriems</w:t>
      </w:r>
      <w:r w:rsidR="00CA5A0C" w:rsidRPr="004A478C">
        <w:rPr>
          <w:lang w:val="lt-LT"/>
        </w:rPr>
        <w:t>, bet ne visiems,</w:t>
      </w:r>
      <w:r w:rsidRPr="004A478C">
        <w:rPr>
          <w:lang w:val="lt-LT"/>
        </w:rPr>
        <w:t xml:space="preserve"> iš šių pacientų pasireiškė inkstų </w:t>
      </w:r>
      <w:r w:rsidR="00CA5A0C" w:rsidRPr="004A478C">
        <w:rPr>
          <w:lang w:val="lt-LT"/>
        </w:rPr>
        <w:t xml:space="preserve">funkcijos </w:t>
      </w:r>
      <w:r w:rsidRPr="004A478C">
        <w:rPr>
          <w:lang w:val="lt-LT"/>
        </w:rPr>
        <w:t xml:space="preserve">sutrikimai ir (arba) jiems anksčiau buvo pasireiškęs padidėjęs jautrumas </w:t>
      </w:r>
      <w:proofErr w:type="spellStart"/>
      <w:r w:rsidRPr="004A478C">
        <w:rPr>
          <w:lang w:val="lt-LT"/>
        </w:rPr>
        <w:t>alopurinoliui</w:t>
      </w:r>
      <w:proofErr w:type="spellEnd"/>
      <w:r w:rsidRPr="004A478C">
        <w:rPr>
          <w:lang w:val="lt-LT"/>
        </w:rPr>
        <w:t>. Kai kuriais atvejais sunkios padidėjusio jautrumo reakcijos, įskaitant reakciją į vaist</w:t>
      </w:r>
      <w:r w:rsidR="00CA5A0C" w:rsidRPr="004A478C">
        <w:rPr>
          <w:lang w:val="lt-LT"/>
        </w:rPr>
        <w:t>inį preparatą</w:t>
      </w:r>
      <w:r w:rsidRPr="004A478C">
        <w:rPr>
          <w:lang w:val="lt-LT"/>
        </w:rPr>
        <w:t xml:space="preserve"> su </w:t>
      </w:r>
      <w:proofErr w:type="spellStart"/>
      <w:r w:rsidRPr="004A478C">
        <w:rPr>
          <w:lang w:val="lt-LT"/>
        </w:rPr>
        <w:t>eozinofiliją</w:t>
      </w:r>
      <w:proofErr w:type="spellEnd"/>
      <w:r w:rsidRPr="004A478C">
        <w:rPr>
          <w:lang w:val="lt-LT"/>
        </w:rPr>
        <w:t xml:space="preserve"> ir sisteminiais (bendraisiais) simptomais (DRESS), kurios buvo susijusios su karščiavimu, hematologiniais, inkstų arba kepenų veiklos pakitimais. </w:t>
      </w:r>
    </w:p>
    <w:p w14:paraId="4CFE411A" w14:textId="77777777" w:rsidR="00273470" w:rsidRPr="004A478C" w:rsidRDefault="00273470" w:rsidP="003B28E4">
      <w:pPr>
        <w:tabs>
          <w:tab w:val="left" w:pos="4680"/>
        </w:tabs>
        <w:spacing w:line="240" w:lineRule="auto"/>
        <w:ind w:left="2" w:right="397"/>
        <w:rPr>
          <w:lang w:val="lt-LT"/>
        </w:rPr>
      </w:pPr>
      <w:r w:rsidRPr="004A478C">
        <w:rPr>
          <w:lang w:val="lt-LT"/>
        </w:rPr>
        <w:t xml:space="preserve">Pacientus reikia įspėti apie tokių reakcijų požymius ir simptomus, juos reikia atidžiai stebėti dėl alerginių arba padidėjusio jautrumo reakcijų (žr. 4.8 skyrių). Pastebėjus sunkių alerginių arba padidėjusio jautrumo reakcijų, įskaitant </w:t>
      </w:r>
      <w:proofErr w:type="spellStart"/>
      <w:r w:rsidRPr="004A478C">
        <w:rPr>
          <w:lang w:val="lt-LT"/>
        </w:rPr>
        <w:t>Stivenso</w:t>
      </w:r>
      <w:proofErr w:type="spellEnd"/>
      <w:r w:rsidRPr="004A478C">
        <w:rPr>
          <w:lang w:val="lt-LT"/>
        </w:rPr>
        <w:t>-Džonsono</w:t>
      </w:r>
      <w:r w:rsidR="00CA5A0C" w:rsidRPr="004A478C">
        <w:rPr>
          <w:lang w:val="lt-LT"/>
        </w:rPr>
        <w:t xml:space="preserve"> (</w:t>
      </w:r>
      <w:proofErr w:type="spellStart"/>
      <w:r w:rsidR="00CA5A0C" w:rsidRPr="004A478C">
        <w:rPr>
          <w:i/>
          <w:lang w:val="lt-LT"/>
        </w:rPr>
        <w:t>Stevens-Johnson</w:t>
      </w:r>
      <w:proofErr w:type="spellEnd"/>
      <w:r w:rsidR="00CA5A0C" w:rsidRPr="004A478C">
        <w:rPr>
          <w:lang w:val="lt-LT"/>
        </w:rPr>
        <w:t>)</w:t>
      </w:r>
      <w:r w:rsidRPr="004A478C">
        <w:rPr>
          <w:lang w:val="lt-LT"/>
        </w:rPr>
        <w:t xml:space="preserve"> sindromą, požymių, </w:t>
      </w:r>
      <w:proofErr w:type="spellStart"/>
      <w:r w:rsidRPr="004A478C">
        <w:rPr>
          <w:lang w:val="lt-LT"/>
        </w:rPr>
        <w:t>febuksostato</w:t>
      </w:r>
      <w:proofErr w:type="spellEnd"/>
      <w:r w:rsidRPr="004A478C">
        <w:rPr>
          <w:lang w:val="lt-LT"/>
        </w:rPr>
        <w:t xml:space="preserve"> vartojimą reikia nedelsiant nutraukti, nes laiku nutraukus gydymą prognozė yra geresnė. Jeigu pacientui pasireiškė alerginė arba padidėjusio jautrumo reakcija, įskaitant </w:t>
      </w:r>
      <w:proofErr w:type="spellStart"/>
      <w:r w:rsidRPr="004A478C">
        <w:rPr>
          <w:lang w:val="lt-LT"/>
        </w:rPr>
        <w:t>Stivenso</w:t>
      </w:r>
      <w:proofErr w:type="spellEnd"/>
      <w:r w:rsidRPr="004A478C">
        <w:rPr>
          <w:lang w:val="lt-LT"/>
        </w:rPr>
        <w:t xml:space="preserve">-Džonsono </w:t>
      </w:r>
      <w:r w:rsidR="00CA5A0C" w:rsidRPr="004A478C">
        <w:rPr>
          <w:lang w:val="lt-LT"/>
        </w:rPr>
        <w:t>(</w:t>
      </w:r>
      <w:proofErr w:type="spellStart"/>
      <w:r w:rsidR="00CA5A0C" w:rsidRPr="004A478C">
        <w:rPr>
          <w:i/>
          <w:lang w:val="lt-LT"/>
        </w:rPr>
        <w:t>Stevens-Johnson</w:t>
      </w:r>
      <w:proofErr w:type="spellEnd"/>
      <w:r w:rsidR="00CA5A0C" w:rsidRPr="004A478C">
        <w:rPr>
          <w:lang w:val="lt-LT"/>
        </w:rPr>
        <w:t xml:space="preserve">) </w:t>
      </w:r>
      <w:r w:rsidRPr="004A478C">
        <w:rPr>
          <w:lang w:val="lt-LT"/>
        </w:rPr>
        <w:t xml:space="preserve">sindromą, tokiems pacientams atnaujinti gydymą </w:t>
      </w:r>
      <w:proofErr w:type="spellStart"/>
      <w:r w:rsidRPr="004A478C">
        <w:rPr>
          <w:lang w:val="lt-LT"/>
        </w:rPr>
        <w:t>febuksostatu</w:t>
      </w:r>
      <w:proofErr w:type="spellEnd"/>
      <w:r w:rsidRPr="004A478C">
        <w:rPr>
          <w:lang w:val="lt-LT"/>
        </w:rPr>
        <w:t xml:space="preserve"> draudžiama. </w:t>
      </w:r>
    </w:p>
    <w:p w14:paraId="511472FD" w14:textId="77777777" w:rsidR="00273470" w:rsidRPr="004A478C" w:rsidRDefault="00273470" w:rsidP="003B28E4">
      <w:pPr>
        <w:tabs>
          <w:tab w:val="left" w:pos="4680"/>
        </w:tabs>
        <w:spacing w:line="240" w:lineRule="auto"/>
        <w:rPr>
          <w:lang w:val="lt-LT"/>
        </w:rPr>
      </w:pPr>
      <w:r w:rsidRPr="004A478C">
        <w:rPr>
          <w:lang w:val="lt-LT"/>
        </w:rPr>
        <w:t xml:space="preserve"> </w:t>
      </w:r>
    </w:p>
    <w:p w14:paraId="188C2702" w14:textId="77777777" w:rsidR="00273470" w:rsidRPr="004A478C" w:rsidRDefault="00273470" w:rsidP="003B28E4">
      <w:pPr>
        <w:tabs>
          <w:tab w:val="left" w:pos="4680"/>
        </w:tabs>
        <w:spacing w:line="240" w:lineRule="auto"/>
        <w:ind w:left="-5"/>
        <w:rPr>
          <w:lang w:val="lt-LT"/>
        </w:rPr>
      </w:pPr>
      <w:r w:rsidRPr="004A478C">
        <w:rPr>
          <w:i/>
          <w:lang w:val="lt-LT"/>
        </w:rPr>
        <w:t xml:space="preserve">Ūmūs podagros priepuoliai (podagros paūmėjimas) </w:t>
      </w:r>
    </w:p>
    <w:p w14:paraId="53C13C0F" w14:textId="77777777" w:rsidR="00273470" w:rsidRPr="004A478C" w:rsidRDefault="00273470" w:rsidP="003B28E4">
      <w:pPr>
        <w:tabs>
          <w:tab w:val="left" w:pos="4680"/>
        </w:tabs>
        <w:spacing w:line="240" w:lineRule="auto"/>
        <w:ind w:left="2" w:right="397"/>
        <w:rPr>
          <w:lang w:val="lt-LT"/>
        </w:rPr>
      </w:pPr>
      <w:r w:rsidRPr="004A478C">
        <w:rPr>
          <w:lang w:val="lt-LT"/>
        </w:rPr>
        <w:t xml:space="preserve">Negalima pradėti gydymo </w:t>
      </w:r>
      <w:proofErr w:type="spellStart"/>
      <w:r w:rsidRPr="004A478C">
        <w:rPr>
          <w:lang w:val="lt-LT"/>
        </w:rPr>
        <w:t>febuksostatu</w:t>
      </w:r>
      <w:proofErr w:type="spellEnd"/>
      <w:r w:rsidRPr="004A478C">
        <w:rPr>
          <w:lang w:val="lt-LT"/>
        </w:rPr>
        <w:t xml:space="preserve">, kol visiškai nenurimo podagros priepuolis. Podagros priepuoliai gali ištikti gydymo pradžioje dėl pakitusio šlapimo rūgšties kiekio serume, nes tirpinami uratai, susikaupę audiniuose (žr. 4.8 ir 5.1 skyrius). Gydymo </w:t>
      </w:r>
      <w:proofErr w:type="spellStart"/>
      <w:r w:rsidRPr="004A478C">
        <w:rPr>
          <w:lang w:val="lt-LT"/>
        </w:rPr>
        <w:t>febuksostatu</w:t>
      </w:r>
      <w:proofErr w:type="spellEnd"/>
      <w:r w:rsidRPr="004A478C">
        <w:rPr>
          <w:lang w:val="lt-LT"/>
        </w:rPr>
        <w:t xml:space="preserve"> pradžioje patartina atlikti ne trumpesnę kaip 6 mėnesių paūmėjimų profilaktiką nesteroidiniu vaistu nuo uždegimo (NVNU) arba </w:t>
      </w:r>
      <w:proofErr w:type="spellStart"/>
      <w:r w:rsidRPr="004A478C">
        <w:rPr>
          <w:lang w:val="lt-LT"/>
        </w:rPr>
        <w:t>kolchicinu</w:t>
      </w:r>
      <w:proofErr w:type="spellEnd"/>
      <w:r w:rsidRPr="004A478C">
        <w:rPr>
          <w:lang w:val="lt-LT"/>
        </w:rPr>
        <w:t xml:space="preserve"> (žr. 4.2 skyrių). </w:t>
      </w:r>
    </w:p>
    <w:p w14:paraId="3729FE77" w14:textId="77777777" w:rsidR="00273470" w:rsidRPr="004A478C" w:rsidRDefault="00273470" w:rsidP="003B28E4">
      <w:pPr>
        <w:tabs>
          <w:tab w:val="left" w:pos="4680"/>
        </w:tabs>
        <w:spacing w:line="240" w:lineRule="auto"/>
        <w:ind w:left="2" w:right="397"/>
        <w:rPr>
          <w:lang w:val="lt-LT"/>
        </w:rPr>
      </w:pPr>
      <w:r w:rsidRPr="004A478C">
        <w:rPr>
          <w:lang w:val="lt-LT"/>
        </w:rPr>
        <w:t xml:space="preserve">Jeigu gydymo </w:t>
      </w:r>
      <w:proofErr w:type="spellStart"/>
      <w:r w:rsidRPr="004A478C">
        <w:rPr>
          <w:lang w:val="lt-LT"/>
        </w:rPr>
        <w:t>febuksostatu</w:t>
      </w:r>
      <w:proofErr w:type="spellEnd"/>
      <w:r w:rsidRPr="004A478C">
        <w:rPr>
          <w:lang w:val="lt-LT"/>
        </w:rPr>
        <w:t xml:space="preserve"> metu ištinka podagros priepuolis, gydymo nutraukti nereikia. Podagros priepuolį reikia gydyti konkrečiam pacientui tinkamomis priemonėmis. Nuolatinis </w:t>
      </w:r>
      <w:proofErr w:type="spellStart"/>
      <w:r w:rsidRPr="004A478C">
        <w:rPr>
          <w:lang w:val="lt-LT"/>
        </w:rPr>
        <w:t>febuksostato</w:t>
      </w:r>
      <w:proofErr w:type="spellEnd"/>
      <w:r w:rsidRPr="004A478C">
        <w:rPr>
          <w:lang w:val="lt-LT"/>
        </w:rPr>
        <w:t xml:space="preserve"> vartojimas mažina podagros priepuolių dažnį ir intensyvumą. </w:t>
      </w:r>
    </w:p>
    <w:p w14:paraId="6113EE19" w14:textId="77777777" w:rsidR="00273470" w:rsidRPr="004A478C" w:rsidRDefault="00273470" w:rsidP="003B28E4">
      <w:pPr>
        <w:tabs>
          <w:tab w:val="left" w:pos="4680"/>
        </w:tabs>
        <w:spacing w:line="240" w:lineRule="auto"/>
        <w:rPr>
          <w:lang w:val="lt-LT"/>
        </w:rPr>
      </w:pPr>
      <w:r w:rsidRPr="004A478C">
        <w:rPr>
          <w:lang w:val="lt-LT"/>
        </w:rPr>
        <w:t xml:space="preserve"> </w:t>
      </w:r>
    </w:p>
    <w:p w14:paraId="54A2313D" w14:textId="77777777" w:rsidR="00273470" w:rsidRPr="004A478C" w:rsidRDefault="00273470" w:rsidP="003B28E4">
      <w:pPr>
        <w:tabs>
          <w:tab w:val="left" w:pos="4680"/>
        </w:tabs>
        <w:spacing w:line="240" w:lineRule="auto"/>
        <w:ind w:left="-5"/>
        <w:rPr>
          <w:lang w:val="lt-LT"/>
        </w:rPr>
      </w:pPr>
      <w:proofErr w:type="spellStart"/>
      <w:r w:rsidRPr="004A478C">
        <w:rPr>
          <w:i/>
          <w:lang w:val="lt-LT"/>
        </w:rPr>
        <w:t>Ksantino</w:t>
      </w:r>
      <w:proofErr w:type="spellEnd"/>
      <w:r w:rsidRPr="004A478C">
        <w:rPr>
          <w:i/>
          <w:lang w:val="lt-LT"/>
        </w:rPr>
        <w:t xml:space="preserve"> nusėdimas </w:t>
      </w:r>
    </w:p>
    <w:p w14:paraId="6D47CA2C" w14:textId="77777777" w:rsidR="00273470" w:rsidRPr="004A478C" w:rsidRDefault="00273470" w:rsidP="003B28E4">
      <w:pPr>
        <w:tabs>
          <w:tab w:val="left" w:pos="4680"/>
        </w:tabs>
        <w:spacing w:line="240" w:lineRule="auto"/>
        <w:ind w:left="2" w:right="397"/>
        <w:rPr>
          <w:lang w:val="lt-LT"/>
        </w:rPr>
      </w:pPr>
      <w:r w:rsidRPr="004A478C">
        <w:rPr>
          <w:lang w:val="lt-LT"/>
        </w:rPr>
        <w:t xml:space="preserve">Pacientams, kuriems uratų susidarymo greitis </w:t>
      </w:r>
      <w:r w:rsidR="00CA5A0C" w:rsidRPr="004A478C">
        <w:rPr>
          <w:lang w:val="lt-LT"/>
        </w:rPr>
        <w:t xml:space="preserve">labai </w:t>
      </w:r>
      <w:r w:rsidRPr="004A478C">
        <w:rPr>
          <w:lang w:val="lt-LT"/>
        </w:rPr>
        <w:t xml:space="preserve">padidėjęs (pvz., dėl piktybinės ligos ar jos gydymo, sergant </w:t>
      </w:r>
      <w:proofErr w:type="spellStart"/>
      <w:r w:rsidRPr="004A478C">
        <w:rPr>
          <w:i/>
          <w:lang w:val="lt-LT"/>
        </w:rPr>
        <w:t>Lesch-Nyhan</w:t>
      </w:r>
      <w:proofErr w:type="spellEnd"/>
      <w:r w:rsidRPr="004A478C">
        <w:rPr>
          <w:lang w:val="lt-LT"/>
        </w:rPr>
        <w:t xml:space="preserve"> sindromu), retais atvejais </w:t>
      </w:r>
      <w:proofErr w:type="spellStart"/>
      <w:r w:rsidRPr="004A478C">
        <w:rPr>
          <w:lang w:val="lt-LT"/>
        </w:rPr>
        <w:t>ksantino</w:t>
      </w:r>
      <w:proofErr w:type="spellEnd"/>
      <w:r w:rsidRPr="004A478C">
        <w:rPr>
          <w:lang w:val="lt-LT"/>
        </w:rPr>
        <w:t xml:space="preserve"> kiekis šlapime gali padidėti tiek, kad šlapimo takuose gali susidaryti jo nuosėdų. Pagrindiniame </w:t>
      </w:r>
      <w:proofErr w:type="spellStart"/>
      <w:r w:rsidR="00CA5A0C" w:rsidRPr="004A478C">
        <w:rPr>
          <w:lang w:val="lt-LT"/>
        </w:rPr>
        <w:t>febuksostato</w:t>
      </w:r>
      <w:proofErr w:type="spellEnd"/>
      <w:r w:rsidR="00CA5A0C" w:rsidRPr="004A478C">
        <w:rPr>
          <w:lang w:val="lt-LT"/>
        </w:rPr>
        <w:t xml:space="preserve"> </w:t>
      </w:r>
      <w:r w:rsidRPr="004A478C">
        <w:rPr>
          <w:lang w:val="lt-LT"/>
        </w:rPr>
        <w:t xml:space="preserve">klinikiniame tyrime pacientams su naviko </w:t>
      </w:r>
      <w:proofErr w:type="spellStart"/>
      <w:r w:rsidRPr="004A478C">
        <w:rPr>
          <w:lang w:val="lt-LT"/>
        </w:rPr>
        <w:t>lizės</w:t>
      </w:r>
      <w:proofErr w:type="spellEnd"/>
      <w:r w:rsidRPr="004A478C">
        <w:rPr>
          <w:lang w:val="lt-LT"/>
        </w:rPr>
        <w:t xml:space="preserve"> sindromu minėto reiškinio nestebėta. Kadangi pacientų, sergančių </w:t>
      </w:r>
      <w:proofErr w:type="spellStart"/>
      <w:r w:rsidRPr="004A478C">
        <w:rPr>
          <w:i/>
          <w:lang w:val="lt-LT"/>
        </w:rPr>
        <w:t>LeschNyhan</w:t>
      </w:r>
      <w:proofErr w:type="spellEnd"/>
      <w:r w:rsidRPr="004A478C">
        <w:rPr>
          <w:lang w:val="lt-LT"/>
        </w:rPr>
        <w:t xml:space="preserve"> sindromu, gydymo patirties </w:t>
      </w:r>
      <w:proofErr w:type="spellStart"/>
      <w:r w:rsidRPr="004A478C">
        <w:rPr>
          <w:lang w:val="lt-LT"/>
        </w:rPr>
        <w:t>febuksostatu</w:t>
      </w:r>
      <w:proofErr w:type="spellEnd"/>
      <w:r w:rsidRPr="004A478C">
        <w:rPr>
          <w:lang w:val="lt-LT"/>
        </w:rPr>
        <w:t xml:space="preserve"> nėra, jų gydyti šiuo vaistu nerekomenduojama.</w:t>
      </w:r>
    </w:p>
    <w:p w14:paraId="7623F217" w14:textId="77777777" w:rsidR="00273470" w:rsidRPr="004A478C" w:rsidRDefault="00273470" w:rsidP="003B28E4">
      <w:pPr>
        <w:tabs>
          <w:tab w:val="left" w:pos="4680"/>
        </w:tabs>
        <w:spacing w:line="240" w:lineRule="auto"/>
        <w:rPr>
          <w:lang w:val="lt-LT"/>
        </w:rPr>
      </w:pPr>
      <w:r w:rsidRPr="004A478C">
        <w:rPr>
          <w:lang w:val="lt-LT"/>
        </w:rPr>
        <w:t xml:space="preserve"> </w:t>
      </w:r>
    </w:p>
    <w:p w14:paraId="5C0B6326" w14:textId="211329DE" w:rsidR="00273470" w:rsidRPr="004A478C" w:rsidRDefault="00273470" w:rsidP="003B28E4">
      <w:pPr>
        <w:tabs>
          <w:tab w:val="left" w:pos="4680"/>
        </w:tabs>
        <w:spacing w:line="240" w:lineRule="auto"/>
        <w:ind w:left="-5"/>
        <w:rPr>
          <w:lang w:val="lt-LT"/>
        </w:rPr>
      </w:pPr>
      <w:proofErr w:type="spellStart"/>
      <w:r w:rsidRPr="004A478C">
        <w:rPr>
          <w:i/>
          <w:lang w:val="lt-LT"/>
        </w:rPr>
        <w:t>Merkaptopurinas</w:t>
      </w:r>
      <w:proofErr w:type="spellEnd"/>
      <w:r w:rsidR="00E402FE" w:rsidRPr="004A478C">
        <w:rPr>
          <w:i/>
          <w:lang w:val="lt-LT"/>
        </w:rPr>
        <w:t>/</w:t>
      </w:r>
      <w:r w:rsidR="00CA5A0C" w:rsidRPr="004A478C">
        <w:rPr>
          <w:i/>
          <w:lang w:val="lt-LT"/>
        </w:rPr>
        <w:t xml:space="preserve"> </w:t>
      </w:r>
      <w:proofErr w:type="spellStart"/>
      <w:r w:rsidRPr="004A478C">
        <w:rPr>
          <w:i/>
          <w:lang w:val="lt-LT"/>
        </w:rPr>
        <w:t>azatioprinas</w:t>
      </w:r>
      <w:proofErr w:type="spellEnd"/>
      <w:r w:rsidRPr="004A478C">
        <w:rPr>
          <w:i/>
          <w:lang w:val="lt-LT"/>
        </w:rPr>
        <w:t xml:space="preserve"> </w:t>
      </w:r>
    </w:p>
    <w:p w14:paraId="5DA1A347" w14:textId="666A92E2" w:rsidR="00E402FE" w:rsidRPr="004B0C8F" w:rsidRDefault="00273470" w:rsidP="00E402FE">
      <w:pPr>
        <w:tabs>
          <w:tab w:val="left" w:pos="4680"/>
        </w:tabs>
        <w:spacing w:line="240" w:lineRule="auto"/>
        <w:ind w:left="2" w:right="397"/>
        <w:rPr>
          <w:szCs w:val="22"/>
          <w:lang w:val="lt-LT"/>
        </w:rPr>
      </w:pPr>
      <w:proofErr w:type="spellStart"/>
      <w:r w:rsidRPr="004A478C">
        <w:rPr>
          <w:lang w:val="lt-LT"/>
        </w:rPr>
        <w:t>Febuksostato</w:t>
      </w:r>
      <w:proofErr w:type="spellEnd"/>
      <w:r w:rsidRPr="004A478C">
        <w:rPr>
          <w:lang w:val="lt-LT"/>
        </w:rPr>
        <w:t xml:space="preserve"> nepatartina skirti pacientams, vartojantiems </w:t>
      </w:r>
      <w:proofErr w:type="spellStart"/>
      <w:r w:rsidRPr="004A478C">
        <w:rPr>
          <w:lang w:val="lt-LT"/>
        </w:rPr>
        <w:t>merkaptopuriną</w:t>
      </w:r>
      <w:proofErr w:type="spellEnd"/>
      <w:r w:rsidR="00E402FE" w:rsidRPr="004A478C">
        <w:rPr>
          <w:lang w:val="lt-LT"/>
        </w:rPr>
        <w:t>/</w:t>
      </w:r>
      <w:r w:rsidR="00CA5A0C" w:rsidRPr="004A478C">
        <w:rPr>
          <w:lang w:val="lt-LT"/>
        </w:rPr>
        <w:t xml:space="preserve"> </w:t>
      </w:r>
      <w:proofErr w:type="spellStart"/>
      <w:r w:rsidRPr="004A478C">
        <w:rPr>
          <w:lang w:val="lt-LT"/>
        </w:rPr>
        <w:t>azatiopriną</w:t>
      </w:r>
      <w:proofErr w:type="spellEnd"/>
      <w:r w:rsidR="00E402FE" w:rsidRPr="004A478C">
        <w:rPr>
          <w:lang w:val="lt-LT"/>
        </w:rPr>
        <w:t xml:space="preserve">, </w:t>
      </w:r>
      <w:r w:rsidR="00E402FE" w:rsidRPr="004B0C8F">
        <w:rPr>
          <w:szCs w:val="22"/>
          <w:lang w:val="lt-LT"/>
        </w:rPr>
        <w:t xml:space="preserve">nes </w:t>
      </w:r>
      <w:proofErr w:type="spellStart"/>
      <w:r w:rsidR="00E402FE" w:rsidRPr="004B0C8F">
        <w:rPr>
          <w:szCs w:val="22"/>
          <w:lang w:val="lt-LT"/>
        </w:rPr>
        <w:t>febuksostatas</w:t>
      </w:r>
      <w:proofErr w:type="spellEnd"/>
      <w:r w:rsidR="00E402FE" w:rsidRPr="004B0C8F">
        <w:rPr>
          <w:szCs w:val="22"/>
          <w:lang w:val="lt-LT"/>
        </w:rPr>
        <w:t xml:space="preserve"> slopina </w:t>
      </w:r>
      <w:proofErr w:type="spellStart"/>
      <w:r w:rsidR="00E402FE" w:rsidRPr="004B0C8F">
        <w:rPr>
          <w:szCs w:val="22"/>
          <w:lang w:val="lt-LT"/>
        </w:rPr>
        <w:t>ksantinoksidazę</w:t>
      </w:r>
      <w:proofErr w:type="spellEnd"/>
      <w:r w:rsidR="00E402FE" w:rsidRPr="004B0C8F">
        <w:rPr>
          <w:szCs w:val="22"/>
          <w:lang w:val="lt-LT"/>
        </w:rPr>
        <w:t xml:space="preserve"> (KO) ir dėl to gali sukelti </w:t>
      </w:r>
      <w:proofErr w:type="spellStart"/>
      <w:r w:rsidR="00E402FE" w:rsidRPr="004B0C8F">
        <w:rPr>
          <w:szCs w:val="22"/>
          <w:lang w:val="lt-LT"/>
        </w:rPr>
        <w:t>merkaptopurino</w:t>
      </w:r>
      <w:proofErr w:type="spellEnd"/>
      <w:r w:rsidR="00E402FE" w:rsidRPr="004B0C8F">
        <w:rPr>
          <w:szCs w:val="22"/>
          <w:lang w:val="lt-LT"/>
        </w:rPr>
        <w:t xml:space="preserve">/ </w:t>
      </w:r>
      <w:proofErr w:type="spellStart"/>
      <w:r w:rsidR="00E402FE" w:rsidRPr="004B0C8F">
        <w:rPr>
          <w:szCs w:val="22"/>
          <w:lang w:val="lt-LT"/>
        </w:rPr>
        <w:t>azatioprino</w:t>
      </w:r>
      <w:proofErr w:type="spellEnd"/>
      <w:r w:rsidR="00E402FE" w:rsidRPr="004B0C8F">
        <w:rPr>
          <w:szCs w:val="22"/>
          <w:lang w:val="lt-LT"/>
        </w:rPr>
        <w:t xml:space="preserve"> koncentracijos plazmoje padidėjimą, kuris gali sukelti sunkų toksinį poveikį. </w:t>
      </w:r>
    </w:p>
    <w:p w14:paraId="1D01B29D" w14:textId="2191C3E4" w:rsidR="00E402FE" w:rsidRPr="004B0C8F" w:rsidRDefault="00E402FE" w:rsidP="00E402FE">
      <w:pPr>
        <w:tabs>
          <w:tab w:val="left" w:pos="4680"/>
        </w:tabs>
        <w:spacing w:line="240" w:lineRule="auto"/>
        <w:ind w:left="2" w:right="397"/>
        <w:rPr>
          <w:szCs w:val="22"/>
          <w:lang w:val="lt-LT"/>
        </w:rPr>
      </w:pPr>
      <w:r w:rsidRPr="004B0C8F">
        <w:rPr>
          <w:szCs w:val="22"/>
          <w:lang w:val="lt-LT"/>
        </w:rPr>
        <w:t xml:space="preserve">Kai toks derinys neišvengiamas, </w:t>
      </w:r>
      <w:proofErr w:type="spellStart"/>
      <w:r w:rsidRPr="004B0C8F">
        <w:rPr>
          <w:szCs w:val="22"/>
          <w:lang w:val="lt-LT"/>
        </w:rPr>
        <w:t>merkaptopurino</w:t>
      </w:r>
      <w:proofErr w:type="spellEnd"/>
      <w:r w:rsidRPr="004B0C8F">
        <w:rPr>
          <w:szCs w:val="22"/>
          <w:lang w:val="lt-LT"/>
        </w:rPr>
        <w:t xml:space="preserve"> / </w:t>
      </w:r>
      <w:proofErr w:type="spellStart"/>
      <w:r w:rsidRPr="004B0C8F">
        <w:rPr>
          <w:szCs w:val="22"/>
          <w:lang w:val="lt-LT"/>
        </w:rPr>
        <w:t>azatioprino</w:t>
      </w:r>
      <w:proofErr w:type="spellEnd"/>
      <w:r w:rsidRPr="004B0C8F">
        <w:rPr>
          <w:szCs w:val="22"/>
          <w:lang w:val="lt-LT"/>
        </w:rPr>
        <w:t xml:space="preserve"> dozę rekomenduojama sumažinti iki 20 % arba mažiau ankstesnės dozės, kad būtų išvengta galimų kraujo pokyčių (žr. 4.5 ir 5.3 skyrius).</w:t>
      </w:r>
    </w:p>
    <w:p w14:paraId="3BE7A051" w14:textId="34AE14BB" w:rsidR="00273470" w:rsidRPr="004A478C" w:rsidRDefault="00E402FE" w:rsidP="00E402FE">
      <w:pPr>
        <w:tabs>
          <w:tab w:val="left" w:pos="4680"/>
        </w:tabs>
        <w:spacing w:line="240" w:lineRule="auto"/>
        <w:ind w:left="2" w:right="397"/>
        <w:rPr>
          <w:lang w:val="lt-LT"/>
        </w:rPr>
      </w:pPr>
      <w:r w:rsidRPr="004B0C8F">
        <w:rPr>
          <w:szCs w:val="22"/>
          <w:lang w:val="lt-LT"/>
        </w:rPr>
        <w:t xml:space="preserve">Pacientus reikia atidžiai stebėti ir </w:t>
      </w:r>
      <w:proofErr w:type="spellStart"/>
      <w:r w:rsidRPr="004B0C8F">
        <w:rPr>
          <w:szCs w:val="22"/>
          <w:lang w:val="lt-LT"/>
        </w:rPr>
        <w:t>merkaptopurino</w:t>
      </w:r>
      <w:proofErr w:type="spellEnd"/>
      <w:r w:rsidRPr="004B0C8F">
        <w:rPr>
          <w:szCs w:val="22"/>
          <w:lang w:val="lt-LT"/>
        </w:rPr>
        <w:t xml:space="preserve"> / </w:t>
      </w:r>
      <w:proofErr w:type="spellStart"/>
      <w:r w:rsidRPr="004B0C8F">
        <w:rPr>
          <w:szCs w:val="22"/>
          <w:lang w:val="lt-LT"/>
        </w:rPr>
        <w:t>azatioprino</w:t>
      </w:r>
      <w:proofErr w:type="spellEnd"/>
      <w:r w:rsidRPr="004B0C8F">
        <w:rPr>
          <w:szCs w:val="22"/>
          <w:lang w:val="lt-LT"/>
        </w:rPr>
        <w:t xml:space="preserve"> dozę palengva pritaikyti vertinant terapinį atsaką ir galimo toksinio poveikio pradžią.</w:t>
      </w:r>
    </w:p>
    <w:p w14:paraId="3FFE1267" w14:textId="77777777" w:rsidR="00273470" w:rsidRPr="004A478C" w:rsidRDefault="00273470" w:rsidP="003B28E4">
      <w:pPr>
        <w:tabs>
          <w:tab w:val="left" w:pos="4680"/>
        </w:tabs>
        <w:spacing w:line="240" w:lineRule="auto"/>
        <w:rPr>
          <w:lang w:val="lt-LT"/>
        </w:rPr>
      </w:pPr>
      <w:r w:rsidRPr="004A478C">
        <w:rPr>
          <w:b/>
          <w:lang w:val="lt-LT"/>
        </w:rPr>
        <w:t xml:space="preserve"> </w:t>
      </w:r>
    </w:p>
    <w:p w14:paraId="1114BE21" w14:textId="77777777" w:rsidR="00D27485" w:rsidRPr="004A478C" w:rsidRDefault="00D27485" w:rsidP="003B28E4">
      <w:pPr>
        <w:tabs>
          <w:tab w:val="left" w:pos="4680"/>
        </w:tabs>
        <w:spacing w:line="240" w:lineRule="auto"/>
        <w:ind w:left="2" w:right="397"/>
        <w:rPr>
          <w:i/>
          <w:lang w:val="lt-LT"/>
        </w:rPr>
      </w:pPr>
      <w:r w:rsidRPr="004A478C">
        <w:rPr>
          <w:i/>
          <w:lang w:val="lt-LT"/>
        </w:rPr>
        <w:t>Pacientai, kuriems persodintas organas (recipientai)</w:t>
      </w:r>
    </w:p>
    <w:p w14:paraId="63CEC11E" w14:textId="77777777" w:rsidR="00273470" w:rsidRPr="004A478C" w:rsidRDefault="00273470" w:rsidP="003B28E4">
      <w:pPr>
        <w:tabs>
          <w:tab w:val="left" w:pos="4680"/>
        </w:tabs>
        <w:spacing w:line="240" w:lineRule="auto"/>
        <w:ind w:left="2" w:right="397"/>
        <w:rPr>
          <w:lang w:val="lt-LT"/>
        </w:rPr>
      </w:pPr>
      <w:r w:rsidRPr="004A478C">
        <w:rPr>
          <w:lang w:val="lt-LT"/>
        </w:rPr>
        <w:t xml:space="preserve">Kadangi vaistinio preparato vartojimo patirties </w:t>
      </w:r>
      <w:r w:rsidR="00D27485" w:rsidRPr="004A478C">
        <w:rPr>
          <w:lang w:val="lt-LT"/>
        </w:rPr>
        <w:t>pacientams, kuriems persodintas organas</w:t>
      </w:r>
      <w:r w:rsidR="00D27485" w:rsidRPr="004A478C" w:rsidDel="00D27485">
        <w:rPr>
          <w:lang w:val="lt-LT"/>
        </w:rPr>
        <w:t xml:space="preserve"> </w:t>
      </w:r>
      <w:r w:rsidRPr="004A478C">
        <w:rPr>
          <w:lang w:val="lt-LT"/>
        </w:rPr>
        <w:t xml:space="preserve">nėra, </w:t>
      </w:r>
      <w:proofErr w:type="spellStart"/>
      <w:r w:rsidRPr="004A478C">
        <w:rPr>
          <w:lang w:val="lt-LT"/>
        </w:rPr>
        <w:t>febuksostato</w:t>
      </w:r>
      <w:proofErr w:type="spellEnd"/>
      <w:r w:rsidRPr="004A478C">
        <w:rPr>
          <w:lang w:val="lt-LT"/>
        </w:rPr>
        <w:t xml:space="preserve"> vartoti šiems pacientams nerekomenduojama (žr. 5.1 skyrių). </w:t>
      </w:r>
    </w:p>
    <w:p w14:paraId="0DD38088" w14:textId="77777777" w:rsidR="00273470" w:rsidRPr="004A478C" w:rsidRDefault="00273470" w:rsidP="003B28E4">
      <w:pPr>
        <w:tabs>
          <w:tab w:val="left" w:pos="4680"/>
        </w:tabs>
        <w:spacing w:line="240" w:lineRule="auto"/>
        <w:rPr>
          <w:lang w:val="lt-LT"/>
        </w:rPr>
      </w:pPr>
      <w:r w:rsidRPr="004A478C">
        <w:rPr>
          <w:b/>
          <w:lang w:val="lt-LT"/>
        </w:rPr>
        <w:t xml:space="preserve"> </w:t>
      </w:r>
    </w:p>
    <w:p w14:paraId="05F692B7" w14:textId="77777777" w:rsidR="00273470" w:rsidRPr="004A478C" w:rsidRDefault="00273470" w:rsidP="003B28E4">
      <w:pPr>
        <w:tabs>
          <w:tab w:val="left" w:pos="4680"/>
        </w:tabs>
        <w:spacing w:line="240" w:lineRule="auto"/>
        <w:ind w:left="-5"/>
        <w:rPr>
          <w:lang w:val="lt-LT"/>
        </w:rPr>
      </w:pPr>
      <w:proofErr w:type="spellStart"/>
      <w:r w:rsidRPr="004A478C">
        <w:rPr>
          <w:i/>
          <w:lang w:val="lt-LT"/>
        </w:rPr>
        <w:t>Teofilinas</w:t>
      </w:r>
      <w:proofErr w:type="spellEnd"/>
      <w:r w:rsidRPr="004A478C">
        <w:rPr>
          <w:i/>
          <w:lang w:val="lt-LT"/>
        </w:rPr>
        <w:t xml:space="preserve"> </w:t>
      </w:r>
    </w:p>
    <w:p w14:paraId="5F671786" w14:textId="77777777" w:rsidR="00273470" w:rsidRPr="004A478C" w:rsidRDefault="00273470" w:rsidP="003B28E4">
      <w:pPr>
        <w:tabs>
          <w:tab w:val="left" w:pos="4680"/>
        </w:tabs>
        <w:spacing w:line="240" w:lineRule="auto"/>
        <w:ind w:left="2" w:right="397"/>
        <w:rPr>
          <w:lang w:val="lt-LT"/>
        </w:rPr>
      </w:pPr>
      <w:r w:rsidRPr="004A478C">
        <w:rPr>
          <w:lang w:val="lt-LT"/>
        </w:rPr>
        <w:t>Kartu skiriant 80</w:t>
      </w:r>
      <w:r w:rsidR="00E87295" w:rsidRPr="004A478C">
        <w:rPr>
          <w:lang w:val="lt-LT"/>
        </w:rPr>
        <w:t> mg</w:t>
      </w:r>
      <w:r w:rsidRPr="004A478C">
        <w:rPr>
          <w:lang w:val="lt-LT"/>
        </w:rPr>
        <w:t xml:space="preserve"> </w:t>
      </w:r>
      <w:proofErr w:type="spellStart"/>
      <w:r w:rsidRPr="004A478C">
        <w:rPr>
          <w:lang w:val="lt-LT"/>
        </w:rPr>
        <w:t>febuksostato</w:t>
      </w:r>
      <w:proofErr w:type="spellEnd"/>
      <w:r w:rsidRPr="004A478C">
        <w:rPr>
          <w:lang w:val="lt-LT"/>
        </w:rPr>
        <w:t xml:space="preserve"> ir 400</w:t>
      </w:r>
      <w:r w:rsidR="00E87295" w:rsidRPr="004A478C">
        <w:rPr>
          <w:lang w:val="lt-LT"/>
        </w:rPr>
        <w:t> mg</w:t>
      </w:r>
      <w:r w:rsidRPr="004A478C">
        <w:rPr>
          <w:lang w:val="lt-LT"/>
        </w:rPr>
        <w:t xml:space="preserve"> vienkartinę dozę </w:t>
      </w:r>
      <w:proofErr w:type="spellStart"/>
      <w:r w:rsidRPr="004A478C">
        <w:rPr>
          <w:lang w:val="lt-LT"/>
        </w:rPr>
        <w:t>teofilino</w:t>
      </w:r>
      <w:proofErr w:type="spellEnd"/>
      <w:r w:rsidRPr="004A478C">
        <w:rPr>
          <w:lang w:val="lt-LT"/>
        </w:rPr>
        <w:t xml:space="preserve"> sveikiems asmenims, </w:t>
      </w:r>
      <w:r w:rsidR="00D27485" w:rsidRPr="004A478C">
        <w:rPr>
          <w:lang w:val="lt-LT"/>
        </w:rPr>
        <w:t>jokia</w:t>
      </w:r>
      <w:r w:rsidRPr="004A478C">
        <w:rPr>
          <w:lang w:val="lt-LT"/>
        </w:rPr>
        <w:t xml:space="preserve"> </w:t>
      </w:r>
      <w:proofErr w:type="spellStart"/>
      <w:r w:rsidRPr="004A478C">
        <w:rPr>
          <w:lang w:val="lt-LT"/>
        </w:rPr>
        <w:t>farmakokinetinė</w:t>
      </w:r>
      <w:proofErr w:type="spellEnd"/>
      <w:r w:rsidRPr="004A478C">
        <w:rPr>
          <w:lang w:val="lt-LT"/>
        </w:rPr>
        <w:t xml:space="preserve"> sąveika nenustatyta (žr. 4.5 skyrių). 80</w:t>
      </w:r>
      <w:r w:rsidR="00E87295" w:rsidRPr="004A478C">
        <w:rPr>
          <w:lang w:val="lt-LT"/>
        </w:rPr>
        <w:t> mg</w:t>
      </w:r>
      <w:r w:rsidRPr="004A478C">
        <w:rPr>
          <w:lang w:val="lt-LT"/>
        </w:rPr>
        <w:t xml:space="preserve"> </w:t>
      </w:r>
      <w:proofErr w:type="spellStart"/>
      <w:r w:rsidRPr="004A478C">
        <w:rPr>
          <w:lang w:val="lt-LT"/>
        </w:rPr>
        <w:t>febuksostato</w:t>
      </w:r>
      <w:proofErr w:type="spellEnd"/>
      <w:r w:rsidRPr="004A478C">
        <w:rPr>
          <w:lang w:val="lt-LT"/>
        </w:rPr>
        <w:t xml:space="preserve"> galima skirti </w:t>
      </w:r>
      <w:proofErr w:type="spellStart"/>
      <w:r w:rsidRPr="004A478C">
        <w:rPr>
          <w:lang w:val="lt-LT"/>
        </w:rPr>
        <w:t>teofilinu</w:t>
      </w:r>
      <w:proofErr w:type="spellEnd"/>
      <w:r w:rsidRPr="004A478C">
        <w:rPr>
          <w:lang w:val="lt-LT"/>
        </w:rPr>
        <w:t xml:space="preserve"> gydomiems pacientams be </w:t>
      </w:r>
      <w:proofErr w:type="spellStart"/>
      <w:r w:rsidRPr="004A478C">
        <w:rPr>
          <w:lang w:val="lt-LT"/>
        </w:rPr>
        <w:t>teofilino</w:t>
      </w:r>
      <w:proofErr w:type="spellEnd"/>
      <w:r w:rsidRPr="004A478C">
        <w:rPr>
          <w:lang w:val="lt-LT"/>
        </w:rPr>
        <w:t xml:space="preserve"> koncentracijos kraujo plazmoje padidėjimo pavojaus. Duomenų 120</w:t>
      </w:r>
      <w:r w:rsidR="00E87295" w:rsidRPr="004A478C">
        <w:rPr>
          <w:lang w:val="lt-LT"/>
        </w:rPr>
        <w:t> mg</w:t>
      </w:r>
      <w:r w:rsidRPr="004A478C">
        <w:rPr>
          <w:lang w:val="lt-LT"/>
        </w:rPr>
        <w:t xml:space="preserve"> </w:t>
      </w:r>
      <w:proofErr w:type="spellStart"/>
      <w:r w:rsidRPr="004A478C">
        <w:rPr>
          <w:lang w:val="lt-LT"/>
        </w:rPr>
        <w:t>febuksostato</w:t>
      </w:r>
      <w:proofErr w:type="spellEnd"/>
      <w:r w:rsidRPr="004A478C">
        <w:rPr>
          <w:lang w:val="lt-LT"/>
        </w:rPr>
        <w:t xml:space="preserve"> dozei nėra. </w:t>
      </w:r>
    </w:p>
    <w:p w14:paraId="10FE4D7E" w14:textId="77777777" w:rsidR="00273470" w:rsidRPr="004A478C" w:rsidRDefault="00273470" w:rsidP="003B28E4">
      <w:pPr>
        <w:tabs>
          <w:tab w:val="left" w:pos="4680"/>
        </w:tabs>
        <w:spacing w:line="240" w:lineRule="auto"/>
        <w:rPr>
          <w:lang w:val="lt-LT"/>
        </w:rPr>
      </w:pPr>
      <w:r w:rsidRPr="004A478C">
        <w:rPr>
          <w:lang w:val="lt-LT"/>
        </w:rPr>
        <w:t xml:space="preserve"> </w:t>
      </w:r>
    </w:p>
    <w:p w14:paraId="06EF9E23" w14:textId="77777777" w:rsidR="00273470" w:rsidRPr="004A478C" w:rsidRDefault="00D27485" w:rsidP="003B28E4">
      <w:pPr>
        <w:tabs>
          <w:tab w:val="left" w:pos="4680"/>
        </w:tabs>
        <w:spacing w:line="240" w:lineRule="auto"/>
        <w:ind w:left="-5"/>
        <w:rPr>
          <w:lang w:val="lt-LT"/>
        </w:rPr>
      </w:pPr>
      <w:r w:rsidRPr="004A478C">
        <w:rPr>
          <w:i/>
          <w:lang w:val="lt-LT"/>
        </w:rPr>
        <w:t>Sutrikusi k</w:t>
      </w:r>
      <w:r w:rsidR="00273470" w:rsidRPr="004A478C">
        <w:rPr>
          <w:i/>
          <w:lang w:val="lt-LT"/>
        </w:rPr>
        <w:t xml:space="preserve">epenų </w:t>
      </w:r>
      <w:r w:rsidRPr="004A478C">
        <w:rPr>
          <w:i/>
          <w:lang w:val="lt-LT"/>
        </w:rPr>
        <w:t xml:space="preserve">funkcija </w:t>
      </w:r>
    </w:p>
    <w:p w14:paraId="31926382" w14:textId="6336801A" w:rsidR="00273470" w:rsidRPr="004A478C" w:rsidRDefault="00273470" w:rsidP="003B28E4">
      <w:pPr>
        <w:tabs>
          <w:tab w:val="left" w:pos="4680"/>
        </w:tabs>
        <w:spacing w:line="240" w:lineRule="auto"/>
        <w:ind w:left="2" w:right="397"/>
        <w:rPr>
          <w:lang w:val="lt-LT"/>
        </w:rPr>
      </w:pPr>
      <w:r w:rsidRPr="004A478C">
        <w:rPr>
          <w:lang w:val="lt-LT"/>
        </w:rPr>
        <w:t xml:space="preserve">Jungtinio trečiosios fazės klinikinio tyrimo metu </w:t>
      </w:r>
      <w:proofErr w:type="spellStart"/>
      <w:r w:rsidRPr="004A478C">
        <w:rPr>
          <w:lang w:val="lt-LT"/>
        </w:rPr>
        <w:t>febuksostatą</w:t>
      </w:r>
      <w:proofErr w:type="spellEnd"/>
      <w:r w:rsidRPr="004A478C">
        <w:rPr>
          <w:lang w:val="lt-LT"/>
        </w:rPr>
        <w:t xml:space="preserve"> vartojusiems pacientams nustatyta nedidelių kepenų funkcijos tyrimų pakitimų (5,0</w:t>
      </w:r>
      <w:r w:rsidR="00D27485" w:rsidRPr="004A478C">
        <w:rPr>
          <w:lang w:val="lt-LT"/>
        </w:rPr>
        <w:t> </w:t>
      </w:r>
      <w:r w:rsidRPr="004A478C">
        <w:rPr>
          <w:lang w:val="lt-LT"/>
        </w:rPr>
        <w:t xml:space="preserve">%). Prieš pradedant gydymą </w:t>
      </w:r>
      <w:proofErr w:type="spellStart"/>
      <w:r w:rsidRPr="004A478C">
        <w:rPr>
          <w:lang w:val="lt-LT"/>
        </w:rPr>
        <w:t>febuksostatu</w:t>
      </w:r>
      <w:proofErr w:type="spellEnd"/>
      <w:r w:rsidRPr="004A478C">
        <w:rPr>
          <w:lang w:val="lt-LT"/>
        </w:rPr>
        <w:t xml:space="preserve">, rekomenduojama atlikti kepenų funkcijos tyrimą ir, atsižvelgiant į klinikines aplinkybes, periodiškai jį kartoti vėliau (žr. 5.1 skyrių).  </w:t>
      </w:r>
    </w:p>
    <w:p w14:paraId="58002DF1" w14:textId="77777777" w:rsidR="00273470" w:rsidRPr="004A478C" w:rsidRDefault="00273470" w:rsidP="003B28E4">
      <w:pPr>
        <w:tabs>
          <w:tab w:val="left" w:pos="4680"/>
        </w:tabs>
        <w:spacing w:line="240" w:lineRule="auto"/>
        <w:rPr>
          <w:lang w:val="lt-LT"/>
        </w:rPr>
      </w:pPr>
      <w:r w:rsidRPr="004A478C">
        <w:rPr>
          <w:lang w:val="lt-LT"/>
        </w:rPr>
        <w:t xml:space="preserve"> </w:t>
      </w:r>
    </w:p>
    <w:p w14:paraId="19EF6DD7" w14:textId="77777777" w:rsidR="00273470" w:rsidRPr="004A478C" w:rsidRDefault="00D27485" w:rsidP="003B28E4">
      <w:pPr>
        <w:tabs>
          <w:tab w:val="left" w:pos="4680"/>
        </w:tabs>
        <w:spacing w:line="240" w:lineRule="auto"/>
        <w:ind w:left="-5"/>
        <w:rPr>
          <w:lang w:val="lt-LT"/>
        </w:rPr>
      </w:pPr>
      <w:r w:rsidRPr="004A478C">
        <w:rPr>
          <w:i/>
          <w:lang w:val="lt-LT"/>
        </w:rPr>
        <w:lastRenderedPageBreak/>
        <w:t>Sutrikusi s</w:t>
      </w:r>
      <w:r w:rsidR="00273470" w:rsidRPr="004A478C">
        <w:rPr>
          <w:i/>
          <w:lang w:val="lt-LT"/>
        </w:rPr>
        <w:t xml:space="preserve">kydliaukės </w:t>
      </w:r>
      <w:r w:rsidRPr="004A478C">
        <w:rPr>
          <w:i/>
          <w:lang w:val="lt-LT"/>
        </w:rPr>
        <w:t xml:space="preserve">funkcija  </w:t>
      </w:r>
    </w:p>
    <w:p w14:paraId="11558B2E" w14:textId="77777777" w:rsidR="00273470" w:rsidRPr="004A478C" w:rsidRDefault="00273470" w:rsidP="003B28E4">
      <w:pPr>
        <w:tabs>
          <w:tab w:val="left" w:pos="4680"/>
        </w:tabs>
        <w:spacing w:line="240" w:lineRule="auto"/>
        <w:ind w:left="2" w:right="397"/>
        <w:rPr>
          <w:lang w:val="lt-LT"/>
        </w:rPr>
      </w:pPr>
      <w:r w:rsidRPr="004A478C">
        <w:rPr>
          <w:lang w:val="lt-LT"/>
        </w:rPr>
        <w:t xml:space="preserve">Ilgalaikių atvirųjų tęstinių tyrimų metu nustatytas </w:t>
      </w:r>
      <w:r w:rsidR="00D27485" w:rsidRPr="004A478C">
        <w:rPr>
          <w:lang w:val="lt-LT"/>
        </w:rPr>
        <w:t>T</w:t>
      </w:r>
      <w:r w:rsidRPr="004A478C">
        <w:rPr>
          <w:lang w:val="lt-LT"/>
        </w:rPr>
        <w:t xml:space="preserve">SH kiekio padidėjimas (&gt; 5,5 µIU/ml) pacientams, ilgą laiką vartojusiems </w:t>
      </w:r>
      <w:proofErr w:type="spellStart"/>
      <w:r w:rsidRPr="004A478C">
        <w:rPr>
          <w:lang w:val="lt-LT"/>
        </w:rPr>
        <w:t>febuksostato</w:t>
      </w:r>
      <w:proofErr w:type="spellEnd"/>
      <w:r w:rsidRPr="004A478C">
        <w:rPr>
          <w:lang w:val="lt-LT"/>
        </w:rPr>
        <w:t xml:space="preserve"> (5,5%). Pacientams, kurių skydliaukės </w:t>
      </w:r>
      <w:r w:rsidR="00D27485" w:rsidRPr="004A478C">
        <w:rPr>
          <w:lang w:val="lt-LT"/>
        </w:rPr>
        <w:t xml:space="preserve">funkcija </w:t>
      </w:r>
      <w:r w:rsidRPr="004A478C">
        <w:rPr>
          <w:lang w:val="lt-LT"/>
        </w:rPr>
        <w:t xml:space="preserve">sutrikusi, </w:t>
      </w:r>
      <w:proofErr w:type="spellStart"/>
      <w:r w:rsidRPr="004A478C">
        <w:rPr>
          <w:lang w:val="lt-LT"/>
        </w:rPr>
        <w:t>febuksostatą</w:t>
      </w:r>
      <w:proofErr w:type="spellEnd"/>
      <w:r w:rsidRPr="004A478C">
        <w:rPr>
          <w:lang w:val="lt-LT"/>
        </w:rPr>
        <w:t xml:space="preserve"> reikia skirti atsargiai (žr. 5.1 skyrių). </w:t>
      </w:r>
    </w:p>
    <w:p w14:paraId="19C90E6C" w14:textId="77777777" w:rsidR="00273470" w:rsidRPr="004A478C" w:rsidRDefault="00273470" w:rsidP="003B28E4">
      <w:pPr>
        <w:tabs>
          <w:tab w:val="left" w:pos="4680"/>
        </w:tabs>
        <w:spacing w:line="240" w:lineRule="auto"/>
        <w:rPr>
          <w:lang w:val="lt-LT"/>
        </w:rPr>
      </w:pPr>
      <w:r w:rsidRPr="004A478C">
        <w:rPr>
          <w:lang w:val="lt-LT"/>
        </w:rPr>
        <w:t xml:space="preserve"> </w:t>
      </w:r>
    </w:p>
    <w:p w14:paraId="513B0D3D" w14:textId="77777777" w:rsidR="00273470" w:rsidRPr="004A478C" w:rsidRDefault="00273470" w:rsidP="003B28E4">
      <w:pPr>
        <w:tabs>
          <w:tab w:val="left" w:pos="4680"/>
        </w:tabs>
        <w:spacing w:line="240" w:lineRule="auto"/>
        <w:rPr>
          <w:lang w:val="lt-LT"/>
        </w:rPr>
      </w:pPr>
      <w:r w:rsidRPr="004A478C">
        <w:rPr>
          <w:i/>
          <w:lang w:val="lt-LT"/>
        </w:rPr>
        <w:t xml:space="preserve">Laktozė </w:t>
      </w:r>
    </w:p>
    <w:p w14:paraId="6177CC5A" w14:textId="436F30BE" w:rsidR="00BE4EE6" w:rsidRPr="004B0C8F" w:rsidRDefault="00E402FE" w:rsidP="003B28E4">
      <w:pPr>
        <w:tabs>
          <w:tab w:val="left" w:pos="4680"/>
        </w:tabs>
        <w:spacing w:line="240" w:lineRule="auto"/>
        <w:rPr>
          <w:szCs w:val="24"/>
          <w:lang w:val="lt-LT"/>
        </w:rPr>
      </w:pPr>
      <w:r w:rsidRPr="004A478C">
        <w:rPr>
          <w:lang w:val="lt-LT"/>
        </w:rPr>
        <w:t xml:space="preserve">Šio vaistinio preparato </w:t>
      </w:r>
      <w:r w:rsidR="00BE4EE6" w:rsidRPr="004B0C8F">
        <w:rPr>
          <w:szCs w:val="24"/>
          <w:lang w:val="lt-LT"/>
        </w:rPr>
        <w:t xml:space="preserve">sudėtyje yra laktozės. Šio vaistinio preparato negalima vartoti pacientams, kuriems nustatytas retas paveldimas sutrikimas – </w:t>
      </w:r>
      <w:proofErr w:type="spellStart"/>
      <w:r w:rsidR="00BE4EE6" w:rsidRPr="004B0C8F">
        <w:rPr>
          <w:szCs w:val="24"/>
          <w:lang w:val="lt-LT"/>
        </w:rPr>
        <w:t>galaktozės</w:t>
      </w:r>
      <w:proofErr w:type="spellEnd"/>
      <w:r w:rsidR="00BE4EE6" w:rsidRPr="004B0C8F">
        <w:rPr>
          <w:szCs w:val="24"/>
          <w:lang w:val="lt-LT"/>
        </w:rPr>
        <w:t xml:space="preserve"> netoleravimas, visiškas laktazės stygius arba gliukozės ir </w:t>
      </w:r>
      <w:proofErr w:type="spellStart"/>
      <w:r w:rsidR="00BE4EE6" w:rsidRPr="004B0C8F">
        <w:rPr>
          <w:szCs w:val="24"/>
          <w:lang w:val="lt-LT"/>
        </w:rPr>
        <w:t>galaktozės</w:t>
      </w:r>
      <w:proofErr w:type="spellEnd"/>
      <w:r w:rsidR="00BE4EE6" w:rsidRPr="004B0C8F">
        <w:rPr>
          <w:szCs w:val="24"/>
          <w:lang w:val="lt-LT"/>
        </w:rPr>
        <w:t xml:space="preserve"> </w:t>
      </w:r>
      <w:proofErr w:type="spellStart"/>
      <w:r w:rsidR="00BE4EE6" w:rsidRPr="004B0C8F">
        <w:rPr>
          <w:szCs w:val="24"/>
          <w:lang w:val="lt-LT"/>
        </w:rPr>
        <w:t>malabsorbcija</w:t>
      </w:r>
      <w:proofErr w:type="spellEnd"/>
      <w:r w:rsidR="00BE4EE6" w:rsidRPr="004B0C8F">
        <w:rPr>
          <w:szCs w:val="24"/>
          <w:lang w:val="lt-LT"/>
        </w:rPr>
        <w:t>.</w:t>
      </w:r>
    </w:p>
    <w:p w14:paraId="4BE787D0" w14:textId="77777777" w:rsidR="001A5C63" w:rsidRPr="004B0C8F" w:rsidRDefault="001A5C63" w:rsidP="003B28E4">
      <w:pPr>
        <w:tabs>
          <w:tab w:val="left" w:pos="4680"/>
        </w:tabs>
        <w:spacing w:line="240" w:lineRule="auto"/>
        <w:rPr>
          <w:lang w:val="lt-LT"/>
        </w:rPr>
      </w:pPr>
    </w:p>
    <w:p w14:paraId="0C521EB7" w14:textId="77777777" w:rsidR="001A5C63" w:rsidRPr="004B0C8F" w:rsidRDefault="001A5C63" w:rsidP="003B28E4">
      <w:pPr>
        <w:tabs>
          <w:tab w:val="left" w:pos="4680"/>
        </w:tabs>
        <w:spacing w:line="240" w:lineRule="auto"/>
        <w:rPr>
          <w:i/>
          <w:szCs w:val="22"/>
          <w:lang w:val="lt-LT"/>
        </w:rPr>
      </w:pPr>
      <w:r w:rsidRPr="004B0C8F">
        <w:rPr>
          <w:i/>
          <w:szCs w:val="22"/>
          <w:lang w:val="lt-LT"/>
        </w:rPr>
        <w:t>Natri</w:t>
      </w:r>
      <w:r w:rsidR="00BE4EE6" w:rsidRPr="004B0C8F">
        <w:rPr>
          <w:i/>
          <w:szCs w:val="22"/>
          <w:lang w:val="lt-LT"/>
        </w:rPr>
        <w:t>s</w:t>
      </w:r>
    </w:p>
    <w:p w14:paraId="45711863" w14:textId="77777777" w:rsidR="001A5C63" w:rsidRPr="004B0C8F" w:rsidRDefault="001A5C63" w:rsidP="003B28E4">
      <w:pPr>
        <w:tabs>
          <w:tab w:val="left" w:pos="4680"/>
        </w:tabs>
        <w:spacing w:line="240" w:lineRule="auto"/>
        <w:rPr>
          <w:lang w:val="lt-LT"/>
        </w:rPr>
      </w:pPr>
      <w:r w:rsidRPr="004B0C8F">
        <w:rPr>
          <w:szCs w:val="22"/>
          <w:lang w:val="lt-LT"/>
        </w:rPr>
        <w:t>Šio vaist</w:t>
      </w:r>
      <w:r w:rsidR="00935615" w:rsidRPr="004B0C8F">
        <w:rPr>
          <w:szCs w:val="22"/>
          <w:lang w:val="lt-LT"/>
        </w:rPr>
        <w:t>ini</w:t>
      </w:r>
      <w:r w:rsidRPr="004B0C8F">
        <w:rPr>
          <w:szCs w:val="22"/>
          <w:lang w:val="lt-LT"/>
        </w:rPr>
        <w:t>o</w:t>
      </w:r>
      <w:r w:rsidR="00935615" w:rsidRPr="004B0C8F">
        <w:rPr>
          <w:szCs w:val="22"/>
          <w:lang w:val="lt-LT"/>
        </w:rPr>
        <w:t xml:space="preserve"> preparato</w:t>
      </w:r>
      <w:r w:rsidRPr="004B0C8F">
        <w:rPr>
          <w:szCs w:val="22"/>
          <w:lang w:val="lt-LT"/>
        </w:rPr>
        <w:t xml:space="preserve"> </w:t>
      </w:r>
      <w:r w:rsidR="00BE4EE6" w:rsidRPr="004B0C8F">
        <w:rPr>
          <w:szCs w:val="22"/>
          <w:lang w:val="lt-LT"/>
        </w:rPr>
        <w:t xml:space="preserve">vienoje tabletėje </w:t>
      </w:r>
      <w:r w:rsidRPr="004B0C8F">
        <w:rPr>
          <w:szCs w:val="22"/>
          <w:lang w:val="lt-LT"/>
        </w:rPr>
        <w:t xml:space="preserve">yra mažiau kaip 1 </w:t>
      </w:r>
      <w:proofErr w:type="spellStart"/>
      <w:r w:rsidRPr="004B0C8F">
        <w:rPr>
          <w:szCs w:val="22"/>
          <w:lang w:val="lt-LT"/>
        </w:rPr>
        <w:t>mmol</w:t>
      </w:r>
      <w:proofErr w:type="spellEnd"/>
      <w:r w:rsidRPr="004B0C8F">
        <w:rPr>
          <w:szCs w:val="22"/>
          <w:lang w:val="lt-LT"/>
        </w:rPr>
        <w:t xml:space="preserve"> </w:t>
      </w:r>
      <w:r w:rsidR="00BE4EE6" w:rsidRPr="004B0C8F">
        <w:rPr>
          <w:szCs w:val="22"/>
          <w:lang w:val="lt-LT"/>
        </w:rPr>
        <w:t>(23</w:t>
      </w:r>
      <w:r w:rsidR="00E87295" w:rsidRPr="004B0C8F">
        <w:rPr>
          <w:szCs w:val="22"/>
          <w:lang w:val="lt-LT"/>
        </w:rPr>
        <w:t> mg</w:t>
      </w:r>
      <w:r w:rsidR="00BE4EE6" w:rsidRPr="004B0C8F">
        <w:rPr>
          <w:szCs w:val="22"/>
          <w:lang w:val="lt-LT"/>
        </w:rPr>
        <w:t xml:space="preserve">) </w:t>
      </w:r>
      <w:r w:rsidRPr="004B0C8F">
        <w:rPr>
          <w:szCs w:val="22"/>
          <w:lang w:val="lt-LT"/>
        </w:rPr>
        <w:t>natrio</w:t>
      </w:r>
      <w:r w:rsidR="00BE4EE6" w:rsidRPr="004B0C8F">
        <w:rPr>
          <w:szCs w:val="22"/>
          <w:lang w:val="lt-LT"/>
        </w:rPr>
        <w:t>,</w:t>
      </w:r>
      <w:r w:rsidRPr="004B0C8F">
        <w:rPr>
          <w:szCs w:val="22"/>
          <w:lang w:val="lt-LT"/>
        </w:rPr>
        <w:t xml:space="preserve"> </w:t>
      </w:r>
      <w:proofErr w:type="spellStart"/>
      <w:r w:rsidR="00BE4EE6" w:rsidRPr="004B0C8F">
        <w:rPr>
          <w:color w:val="212121"/>
          <w:szCs w:val="22"/>
          <w:lang w:val="lt-LT"/>
        </w:rPr>
        <w:t>t.y</w:t>
      </w:r>
      <w:proofErr w:type="spellEnd"/>
      <w:r w:rsidR="00BE4EE6" w:rsidRPr="004B0C8F">
        <w:rPr>
          <w:color w:val="212121"/>
          <w:szCs w:val="22"/>
          <w:lang w:val="lt-LT"/>
        </w:rPr>
        <w:t>. jis beveik neturi reikšmės</w:t>
      </w:r>
      <w:r w:rsidRPr="004B0C8F">
        <w:rPr>
          <w:szCs w:val="22"/>
          <w:lang w:val="lt-LT"/>
        </w:rPr>
        <w:t>.</w:t>
      </w:r>
    </w:p>
    <w:p w14:paraId="1EC179DD" w14:textId="77777777" w:rsidR="001A5C63" w:rsidRPr="004B0C8F" w:rsidRDefault="001A5C63" w:rsidP="003B28E4">
      <w:pPr>
        <w:tabs>
          <w:tab w:val="left" w:pos="4680"/>
        </w:tabs>
        <w:spacing w:line="240" w:lineRule="auto"/>
        <w:rPr>
          <w:lang w:val="lt-LT"/>
        </w:rPr>
      </w:pPr>
    </w:p>
    <w:p w14:paraId="7F6CDC56" w14:textId="77777777" w:rsidR="00273470" w:rsidRPr="004B0C8F" w:rsidRDefault="00273470" w:rsidP="003B28E4">
      <w:pPr>
        <w:pStyle w:val="Antrat4"/>
        <w:tabs>
          <w:tab w:val="center" w:pos="3036"/>
          <w:tab w:val="left" w:pos="4680"/>
        </w:tabs>
        <w:spacing w:line="240" w:lineRule="auto"/>
        <w:ind w:left="-15"/>
        <w:rPr>
          <w:rFonts w:ascii="Times New Roman" w:hAnsi="Times New Roman"/>
          <w:sz w:val="22"/>
          <w:lang w:val="lt-LT"/>
        </w:rPr>
      </w:pPr>
      <w:r w:rsidRPr="004B0C8F">
        <w:rPr>
          <w:rFonts w:ascii="Times New Roman" w:hAnsi="Times New Roman"/>
          <w:sz w:val="22"/>
          <w:lang w:val="lt-LT"/>
        </w:rPr>
        <w:t xml:space="preserve">4.5 </w:t>
      </w:r>
      <w:r w:rsidRPr="004B0C8F">
        <w:rPr>
          <w:rFonts w:ascii="Times New Roman" w:hAnsi="Times New Roman"/>
          <w:sz w:val="22"/>
          <w:lang w:val="lt-LT"/>
        </w:rPr>
        <w:tab/>
        <w:t xml:space="preserve">Sąveika su kitais vaistiniais preparatais ir kitokia sąveika </w:t>
      </w:r>
    </w:p>
    <w:p w14:paraId="0E4DD345" w14:textId="77777777" w:rsidR="00273470" w:rsidRPr="004B0C8F" w:rsidRDefault="00273470" w:rsidP="003B28E4">
      <w:pPr>
        <w:tabs>
          <w:tab w:val="left" w:pos="4680"/>
        </w:tabs>
        <w:spacing w:line="240" w:lineRule="auto"/>
        <w:rPr>
          <w:lang w:val="lt-LT"/>
        </w:rPr>
      </w:pPr>
      <w:r w:rsidRPr="004B0C8F">
        <w:rPr>
          <w:lang w:val="lt-LT"/>
        </w:rPr>
        <w:t xml:space="preserve"> </w:t>
      </w:r>
    </w:p>
    <w:p w14:paraId="5AAEB3A4" w14:textId="1BADC6FC" w:rsidR="00273470" w:rsidRPr="004B0C8F" w:rsidRDefault="00273470" w:rsidP="003B28E4">
      <w:pPr>
        <w:tabs>
          <w:tab w:val="left" w:pos="4680"/>
        </w:tabs>
        <w:spacing w:line="240" w:lineRule="auto"/>
        <w:ind w:left="-5"/>
        <w:rPr>
          <w:lang w:val="lt-LT"/>
        </w:rPr>
      </w:pPr>
      <w:proofErr w:type="spellStart"/>
      <w:r w:rsidRPr="004B0C8F">
        <w:rPr>
          <w:i/>
          <w:lang w:val="lt-LT"/>
        </w:rPr>
        <w:t>Merkaptopurinas</w:t>
      </w:r>
      <w:proofErr w:type="spellEnd"/>
      <w:r w:rsidR="00E402FE" w:rsidRPr="004B0C8F">
        <w:rPr>
          <w:i/>
          <w:lang w:val="lt-LT"/>
        </w:rPr>
        <w:t>/</w:t>
      </w:r>
      <w:r w:rsidR="00D27485" w:rsidRPr="004B0C8F">
        <w:rPr>
          <w:i/>
          <w:lang w:val="lt-LT"/>
        </w:rPr>
        <w:t xml:space="preserve"> </w:t>
      </w:r>
      <w:proofErr w:type="spellStart"/>
      <w:r w:rsidRPr="004B0C8F">
        <w:rPr>
          <w:i/>
          <w:lang w:val="lt-LT"/>
        </w:rPr>
        <w:t>azatioprinas</w:t>
      </w:r>
      <w:proofErr w:type="spellEnd"/>
      <w:r w:rsidRPr="004B0C8F">
        <w:rPr>
          <w:i/>
          <w:lang w:val="lt-LT"/>
        </w:rPr>
        <w:t xml:space="preserve"> </w:t>
      </w:r>
    </w:p>
    <w:p w14:paraId="07D2E44C" w14:textId="30E250C5" w:rsidR="003E71FD" w:rsidRPr="004B0C8F" w:rsidRDefault="00273470" w:rsidP="003E71FD">
      <w:pPr>
        <w:tabs>
          <w:tab w:val="left" w:pos="4680"/>
        </w:tabs>
        <w:spacing w:line="240" w:lineRule="auto"/>
        <w:ind w:left="2" w:right="397"/>
        <w:rPr>
          <w:lang w:val="lt-LT"/>
        </w:rPr>
      </w:pPr>
      <w:r w:rsidRPr="004B0C8F">
        <w:rPr>
          <w:lang w:val="lt-LT"/>
        </w:rPr>
        <w:t xml:space="preserve">Atsižvelgiant į </w:t>
      </w:r>
      <w:proofErr w:type="spellStart"/>
      <w:r w:rsidRPr="004B0C8F">
        <w:rPr>
          <w:lang w:val="lt-LT"/>
        </w:rPr>
        <w:t>febuksostato</w:t>
      </w:r>
      <w:proofErr w:type="spellEnd"/>
      <w:r w:rsidRPr="004B0C8F">
        <w:rPr>
          <w:lang w:val="lt-LT"/>
        </w:rPr>
        <w:t xml:space="preserve"> slopinamąjį poveikį </w:t>
      </w:r>
      <w:proofErr w:type="spellStart"/>
      <w:r w:rsidR="005D5424" w:rsidRPr="004B0C8F">
        <w:rPr>
          <w:lang w:val="lt-LT"/>
        </w:rPr>
        <w:t>ksantinoksidazei</w:t>
      </w:r>
      <w:proofErr w:type="spellEnd"/>
      <w:r w:rsidR="005D5424" w:rsidRPr="004B0C8F">
        <w:rPr>
          <w:lang w:val="lt-LT"/>
        </w:rPr>
        <w:t xml:space="preserve"> (</w:t>
      </w:r>
      <w:r w:rsidRPr="004B0C8F">
        <w:rPr>
          <w:lang w:val="lt-LT"/>
        </w:rPr>
        <w:t>KO</w:t>
      </w:r>
      <w:r w:rsidR="005D5424" w:rsidRPr="004B0C8F">
        <w:rPr>
          <w:lang w:val="lt-LT"/>
        </w:rPr>
        <w:t>)</w:t>
      </w:r>
      <w:r w:rsidRPr="004B0C8F">
        <w:rPr>
          <w:lang w:val="lt-LT"/>
        </w:rPr>
        <w:t xml:space="preserve">, šių vaistų vartoti kartu nerekomenduojama. Dėl KO slopinimo </w:t>
      </w:r>
      <w:proofErr w:type="spellStart"/>
      <w:r w:rsidRPr="004B0C8F">
        <w:rPr>
          <w:lang w:val="lt-LT"/>
        </w:rPr>
        <w:t>febuksostatas</w:t>
      </w:r>
      <w:proofErr w:type="spellEnd"/>
      <w:r w:rsidRPr="004B0C8F">
        <w:rPr>
          <w:lang w:val="lt-LT"/>
        </w:rPr>
        <w:t xml:space="preserve"> gali didinti minėtų vaistų koncentraciją plazmoje, kartu didindamas jų </w:t>
      </w:r>
      <w:proofErr w:type="spellStart"/>
      <w:r w:rsidR="003E71FD" w:rsidRPr="004B0C8F">
        <w:rPr>
          <w:lang w:val="lt-LT"/>
        </w:rPr>
        <w:t>mielo</w:t>
      </w:r>
      <w:r w:rsidRPr="004B0C8F">
        <w:rPr>
          <w:lang w:val="lt-LT"/>
        </w:rPr>
        <w:t>toksiškumą</w:t>
      </w:r>
      <w:proofErr w:type="spellEnd"/>
      <w:r w:rsidRPr="004B0C8F">
        <w:rPr>
          <w:lang w:val="lt-LT"/>
        </w:rPr>
        <w:t xml:space="preserve">. </w:t>
      </w:r>
      <w:r w:rsidR="003E71FD" w:rsidRPr="004B0C8F">
        <w:rPr>
          <w:lang w:val="lt-LT"/>
        </w:rPr>
        <w:t xml:space="preserve">Jei kartu vartojama </w:t>
      </w:r>
      <w:proofErr w:type="spellStart"/>
      <w:r w:rsidR="003E71FD" w:rsidRPr="004B0C8F">
        <w:rPr>
          <w:lang w:val="lt-LT"/>
        </w:rPr>
        <w:t>febuksostato</w:t>
      </w:r>
      <w:proofErr w:type="spellEnd"/>
      <w:r w:rsidR="003E71FD" w:rsidRPr="004B0C8F">
        <w:rPr>
          <w:lang w:val="lt-LT"/>
        </w:rPr>
        <w:t xml:space="preserve">, </w:t>
      </w:r>
      <w:proofErr w:type="spellStart"/>
      <w:r w:rsidR="003E71FD" w:rsidRPr="004B0C8F">
        <w:rPr>
          <w:lang w:val="lt-LT"/>
        </w:rPr>
        <w:t>merkaptopurino</w:t>
      </w:r>
      <w:proofErr w:type="spellEnd"/>
      <w:r w:rsidR="003E71FD" w:rsidRPr="004B0C8F">
        <w:rPr>
          <w:lang w:val="lt-LT"/>
        </w:rPr>
        <w:t>/</w:t>
      </w:r>
      <w:proofErr w:type="spellStart"/>
      <w:r w:rsidR="003E71FD" w:rsidRPr="004B0C8F">
        <w:rPr>
          <w:lang w:val="lt-LT"/>
        </w:rPr>
        <w:t>azatioprino</w:t>
      </w:r>
      <w:proofErr w:type="spellEnd"/>
      <w:r w:rsidR="003E71FD" w:rsidRPr="004B0C8F">
        <w:rPr>
          <w:lang w:val="lt-LT"/>
        </w:rPr>
        <w:t xml:space="preserve"> dozę reikia sumažinti iki 20 % ar mažesnės, palyginti su anksčiau paskirta dozė (žr. 4.4 ir 5.3 skyrius).</w:t>
      </w:r>
    </w:p>
    <w:p w14:paraId="408CE0AC" w14:textId="77777777" w:rsidR="003E71FD" w:rsidRPr="004B0C8F" w:rsidRDefault="003E71FD" w:rsidP="003E71FD">
      <w:pPr>
        <w:tabs>
          <w:tab w:val="left" w:pos="4680"/>
        </w:tabs>
        <w:spacing w:line="240" w:lineRule="auto"/>
        <w:ind w:left="2" w:right="397"/>
        <w:rPr>
          <w:lang w:val="lt-LT"/>
        </w:rPr>
      </w:pPr>
      <w:r w:rsidRPr="004B0C8F">
        <w:rPr>
          <w:lang w:val="lt-LT"/>
        </w:rPr>
        <w:t xml:space="preserve">Siūlomo dozės koregavimo, kuris buvo pagrįstas </w:t>
      </w:r>
      <w:proofErr w:type="spellStart"/>
      <w:r w:rsidRPr="004B0C8F">
        <w:rPr>
          <w:lang w:val="lt-LT"/>
        </w:rPr>
        <w:t>ikiklinikinių</w:t>
      </w:r>
      <w:proofErr w:type="spellEnd"/>
      <w:r w:rsidRPr="004B0C8F">
        <w:rPr>
          <w:lang w:val="lt-LT"/>
        </w:rPr>
        <w:t xml:space="preserve"> modeliavimo </w:t>
      </w:r>
      <w:proofErr w:type="spellStart"/>
      <w:r w:rsidRPr="004B0C8F">
        <w:rPr>
          <w:lang w:val="lt-LT"/>
        </w:rPr>
        <w:t>tyrimimų</w:t>
      </w:r>
      <w:proofErr w:type="spellEnd"/>
      <w:r w:rsidRPr="004B0C8F">
        <w:rPr>
          <w:lang w:val="lt-LT"/>
        </w:rPr>
        <w:t xml:space="preserve"> su žiurkėmis duomenų analize, adekvatumas buvo patvirtintas klinikinio vaistinių preparatų sąveikos tyrimo su sveikais savanoriais, vartojusiais vien 100 mg </w:t>
      </w:r>
      <w:proofErr w:type="spellStart"/>
      <w:r w:rsidRPr="004B0C8F">
        <w:rPr>
          <w:lang w:val="lt-LT"/>
        </w:rPr>
        <w:t>azatioprino</w:t>
      </w:r>
      <w:proofErr w:type="spellEnd"/>
      <w:r w:rsidRPr="004B0C8F">
        <w:rPr>
          <w:lang w:val="lt-LT"/>
        </w:rPr>
        <w:t xml:space="preserve"> dozę ir sumažintą </w:t>
      </w:r>
      <w:proofErr w:type="spellStart"/>
      <w:r w:rsidRPr="004B0C8F">
        <w:rPr>
          <w:lang w:val="lt-LT"/>
        </w:rPr>
        <w:t>azatioprino</w:t>
      </w:r>
      <w:proofErr w:type="spellEnd"/>
      <w:r w:rsidRPr="004B0C8F">
        <w:rPr>
          <w:lang w:val="lt-LT"/>
        </w:rPr>
        <w:t xml:space="preserve"> (25 mg) dozę kartu su </w:t>
      </w:r>
      <w:proofErr w:type="spellStart"/>
      <w:r w:rsidRPr="004B0C8F">
        <w:rPr>
          <w:lang w:val="lt-LT"/>
        </w:rPr>
        <w:t>febuksostatu</w:t>
      </w:r>
      <w:proofErr w:type="spellEnd"/>
      <w:r w:rsidRPr="004B0C8F">
        <w:rPr>
          <w:lang w:val="lt-LT"/>
        </w:rPr>
        <w:t xml:space="preserve"> (40 arba 120 mg).</w:t>
      </w:r>
    </w:p>
    <w:p w14:paraId="4C351111" w14:textId="3520931F" w:rsidR="00273470" w:rsidRPr="004B0C8F" w:rsidRDefault="00273470" w:rsidP="003B28E4">
      <w:pPr>
        <w:tabs>
          <w:tab w:val="left" w:pos="4680"/>
        </w:tabs>
        <w:spacing w:line="240" w:lineRule="auto"/>
        <w:ind w:left="2" w:right="397"/>
        <w:rPr>
          <w:lang w:val="lt-LT"/>
        </w:rPr>
      </w:pPr>
      <w:proofErr w:type="spellStart"/>
      <w:r w:rsidRPr="004B0C8F">
        <w:rPr>
          <w:lang w:val="lt-LT"/>
        </w:rPr>
        <w:t>Febuksostato</w:t>
      </w:r>
      <w:proofErr w:type="spellEnd"/>
      <w:r w:rsidRPr="004B0C8F">
        <w:rPr>
          <w:lang w:val="lt-LT"/>
        </w:rPr>
        <w:t xml:space="preserve"> sąveikos su </w:t>
      </w:r>
      <w:r w:rsidR="00E402FE" w:rsidRPr="004B0C8F">
        <w:rPr>
          <w:lang w:val="lt-LT"/>
        </w:rPr>
        <w:t xml:space="preserve">kita </w:t>
      </w:r>
      <w:proofErr w:type="spellStart"/>
      <w:r w:rsidRPr="004B0C8F">
        <w:rPr>
          <w:lang w:val="lt-LT"/>
        </w:rPr>
        <w:t>citotoksine</w:t>
      </w:r>
      <w:proofErr w:type="spellEnd"/>
      <w:r w:rsidRPr="004B0C8F">
        <w:rPr>
          <w:lang w:val="lt-LT"/>
        </w:rPr>
        <w:t xml:space="preserve"> chemoterapija tyrimų neatlikta. </w:t>
      </w:r>
    </w:p>
    <w:p w14:paraId="2ADC9C62" w14:textId="4B8C73DD" w:rsidR="00273470" w:rsidRPr="004A478C" w:rsidRDefault="00273470" w:rsidP="003B28E4">
      <w:pPr>
        <w:tabs>
          <w:tab w:val="left" w:pos="4680"/>
        </w:tabs>
        <w:spacing w:line="240" w:lineRule="auto"/>
        <w:ind w:left="2" w:right="397"/>
        <w:rPr>
          <w:lang w:val="lt-LT"/>
        </w:rPr>
      </w:pPr>
      <w:proofErr w:type="spellStart"/>
      <w:r w:rsidRPr="004B0C8F">
        <w:rPr>
          <w:lang w:val="lt-LT"/>
        </w:rPr>
        <w:t>Febuksostato</w:t>
      </w:r>
      <w:proofErr w:type="spellEnd"/>
      <w:r w:rsidRPr="004B0C8F">
        <w:rPr>
          <w:lang w:val="lt-LT"/>
        </w:rPr>
        <w:t xml:space="preserve"> 120</w:t>
      </w:r>
      <w:r w:rsidR="00E87295" w:rsidRPr="004B0C8F">
        <w:rPr>
          <w:lang w:val="lt-LT"/>
        </w:rPr>
        <w:t> mg</w:t>
      </w:r>
      <w:r w:rsidRPr="004B0C8F">
        <w:rPr>
          <w:lang w:val="lt-LT"/>
        </w:rPr>
        <w:t xml:space="preserve"> per parą, naviko </w:t>
      </w:r>
      <w:proofErr w:type="spellStart"/>
      <w:r w:rsidRPr="004B0C8F">
        <w:rPr>
          <w:lang w:val="lt-LT"/>
        </w:rPr>
        <w:t>lizės</w:t>
      </w:r>
      <w:proofErr w:type="spellEnd"/>
      <w:r w:rsidRPr="004B0C8F">
        <w:rPr>
          <w:lang w:val="lt-LT"/>
        </w:rPr>
        <w:t xml:space="preserve"> sindromo</w:t>
      </w:r>
      <w:r w:rsidR="00E402FE" w:rsidRPr="004B0C8F">
        <w:rPr>
          <w:lang w:val="lt-LT"/>
        </w:rPr>
        <w:t xml:space="preserve"> (NLS)</w:t>
      </w:r>
      <w:r w:rsidRPr="004B0C8F">
        <w:rPr>
          <w:lang w:val="lt-LT"/>
        </w:rPr>
        <w:t xml:space="preserve"> pagrindinio tyrimo metu, buvo skiriama įvairių chemoterapinių vaistų, įskaitant gydymą </w:t>
      </w:r>
      <w:proofErr w:type="spellStart"/>
      <w:r w:rsidRPr="004B0C8F">
        <w:rPr>
          <w:lang w:val="lt-LT"/>
        </w:rPr>
        <w:t>monokloniniais</w:t>
      </w:r>
      <w:proofErr w:type="spellEnd"/>
      <w:r w:rsidRPr="004B0C8F">
        <w:rPr>
          <w:lang w:val="lt-LT"/>
        </w:rPr>
        <w:t xml:space="preserve"> antikūnais, režimu. </w:t>
      </w:r>
      <w:r w:rsidRPr="004A478C">
        <w:rPr>
          <w:lang w:val="lt-LT"/>
        </w:rPr>
        <w:t xml:space="preserve">Tačiau vaisto-vaisto sąveika ir vaisto-ligos sąveika nebuvo tirta. Todėl negalima atmesti galimos sąveikos su bet kokiais vartojamais </w:t>
      </w:r>
      <w:proofErr w:type="spellStart"/>
      <w:r w:rsidRPr="004A478C">
        <w:rPr>
          <w:lang w:val="lt-LT"/>
        </w:rPr>
        <w:t>citotoksiniais</w:t>
      </w:r>
      <w:proofErr w:type="spellEnd"/>
      <w:r w:rsidRPr="004A478C">
        <w:rPr>
          <w:lang w:val="lt-LT"/>
        </w:rPr>
        <w:t xml:space="preserve"> vaistiniais preparatais. </w:t>
      </w:r>
    </w:p>
    <w:p w14:paraId="6C6821F5" w14:textId="77777777" w:rsidR="00273470" w:rsidRPr="004A478C" w:rsidRDefault="00273470" w:rsidP="003B28E4">
      <w:pPr>
        <w:tabs>
          <w:tab w:val="left" w:pos="4680"/>
        </w:tabs>
        <w:spacing w:line="240" w:lineRule="auto"/>
        <w:rPr>
          <w:lang w:val="lt-LT"/>
        </w:rPr>
      </w:pPr>
      <w:r w:rsidRPr="004A478C">
        <w:rPr>
          <w:lang w:val="lt-LT"/>
        </w:rPr>
        <w:t xml:space="preserve"> </w:t>
      </w:r>
    </w:p>
    <w:p w14:paraId="71EBA358" w14:textId="4E5AED11" w:rsidR="00273470" w:rsidRPr="004A478C" w:rsidRDefault="00273470" w:rsidP="003B28E4">
      <w:pPr>
        <w:tabs>
          <w:tab w:val="left" w:pos="4680"/>
        </w:tabs>
        <w:spacing w:line="240" w:lineRule="auto"/>
        <w:ind w:left="-5"/>
        <w:rPr>
          <w:lang w:val="lt-LT"/>
        </w:rPr>
      </w:pPr>
      <w:proofErr w:type="spellStart"/>
      <w:r w:rsidRPr="004A478C">
        <w:rPr>
          <w:i/>
          <w:lang w:val="lt-LT"/>
        </w:rPr>
        <w:t>Roziglitazonas</w:t>
      </w:r>
      <w:proofErr w:type="spellEnd"/>
      <w:r w:rsidR="00E402FE" w:rsidRPr="004A478C">
        <w:rPr>
          <w:i/>
          <w:lang w:val="lt-LT"/>
        </w:rPr>
        <w:t>/</w:t>
      </w:r>
      <w:r w:rsidR="00A11533" w:rsidRPr="004A478C">
        <w:rPr>
          <w:i/>
          <w:lang w:val="lt-LT"/>
        </w:rPr>
        <w:t xml:space="preserve"> </w:t>
      </w:r>
      <w:r w:rsidRPr="004A478C">
        <w:rPr>
          <w:i/>
          <w:lang w:val="lt-LT"/>
        </w:rPr>
        <w:t xml:space="preserve">CYP2C8 substratai </w:t>
      </w:r>
    </w:p>
    <w:p w14:paraId="77E6642C" w14:textId="77777777" w:rsidR="00273470" w:rsidRPr="004A478C" w:rsidRDefault="00273470" w:rsidP="003B28E4">
      <w:pPr>
        <w:tabs>
          <w:tab w:val="left" w:pos="4680"/>
        </w:tabs>
        <w:spacing w:line="240" w:lineRule="auto"/>
        <w:ind w:left="2" w:right="397"/>
        <w:rPr>
          <w:lang w:val="lt-LT"/>
        </w:rPr>
      </w:pPr>
      <w:r w:rsidRPr="004A478C">
        <w:rPr>
          <w:lang w:val="lt-LT"/>
        </w:rPr>
        <w:t xml:space="preserve">Tyrimuose </w:t>
      </w:r>
      <w:proofErr w:type="spellStart"/>
      <w:r w:rsidRPr="004A478C">
        <w:rPr>
          <w:i/>
          <w:lang w:val="lt-LT"/>
        </w:rPr>
        <w:t>in</w:t>
      </w:r>
      <w:proofErr w:type="spellEnd"/>
      <w:r w:rsidRPr="004A478C">
        <w:rPr>
          <w:i/>
          <w:lang w:val="lt-LT"/>
        </w:rPr>
        <w:t xml:space="preserve"> </w:t>
      </w:r>
      <w:proofErr w:type="spellStart"/>
      <w:r w:rsidRPr="004A478C">
        <w:rPr>
          <w:i/>
          <w:lang w:val="lt-LT"/>
        </w:rPr>
        <w:t>vitro</w:t>
      </w:r>
      <w:proofErr w:type="spellEnd"/>
      <w:r w:rsidRPr="004A478C">
        <w:rPr>
          <w:lang w:val="lt-LT"/>
        </w:rPr>
        <w:t xml:space="preserve"> nustatyta, kad </w:t>
      </w:r>
      <w:proofErr w:type="spellStart"/>
      <w:r w:rsidRPr="004A478C">
        <w:rPr>
          <w:lang w:val="lt-LT"/>
        </w:rPr>
        <w:t>febuksostatas</w:t>
      </w:r>
      <w:proofErr w:type="spellEnd"/>
      <w:r w:rsidRPr="004A478C">
        <w:rPr>
          <w:lang w:val="lt-LT"/>
        </w:rPr>
        <w:t xml:space="preserve"> yra silpnas CYP2C8 inhibitorius. Tiriant sveikus savanorius, kuriems buvo skiriama 120</w:t>
      </w:r>
      <w:r w:rsidR="00E87295" w:rsidRPr="004A478C">
        <w:rPr>
          <w:lang w:val="lt-LT"/>
        </w:rPr>
        <w:t> mg</w:t>
      </w:r>
      <w:r w:rsidRPr="004A478C">
        <w:rPr>
          <w:lang w:val="lt-LT"/>
        </w:rPr>
        <w:t xml:space="preserve"> </w:t>
      </w:r>
      <w:proofErr w:type="spellStart"/>
      <w:r w:rsidRPr="004A478C">
        <w:rPr>
          <w:lang w:val="lt-LT"/>
        </w:rPr>
        <w:t>febuksostato</w:t>
      </w:r>
      <w:proofErr w:type="spellEnd"/>
      <w:r w:rsidRPr="004A478C">
        <w:rPr>
          <w:lang w:val="lt-LT"/>
        </w:rPr>
        <w:t xml:space="preserve"> kartą per parą ir 4</w:t>
      </w:r>
      <w:r w:rsidR="00E87295" w:rsidRPr="004A478C">
        <w:rPr>
          <w:lang w:val="lt-LT"/>
        </w:rPr>
        <w:t> mg</w:t>
      </w:r>
      <w:r w:rsidRPr="004A478C">
        <w:rPr>
          <w:lang w:val="lt-LT"/>
        </w:rPr>
        <w:t xml:space="preserve"> vienkartinė </w:t>
      </w:r>
      <w:proofErr w:type="spellStart"/>
      <w:r w:rsidRPr="004A478C">
        <w:rPr>
          <w:lang w:val="lt-LT"/>
        </w:rPr>
        <w:t>roziglitazono</w:t>
      </w:r>
      <w:proofErr w:type="spellEnd"/>
      <w:r w:rsidRPr="004A478C">
        <w:rPr>
          <w:lang w:val="lt-LT"/>
        </w:rPr>
        <w:t xml:space="preserve"> dozė, poveikio </w:t>
      </w:r>
      <w:proofErr w:type="spellStart"/>
      <w:r w:rsidRPr="004A478C">
        <w:rPr>
          <w:lang w:val="lt-LT"/>
        </w:rPr>
        <w:t>roziglitazono</w:t>
      </w:r>
      <w:proofErr w:type="spellEnd"/>
      <w:r w:rsidRPr="004A478C">
        <w:rPr>
          <w:lang w:val="lt-LT"/>
        </w:rPr>
        <w:t xml:space="preserve"> ir jo metabolito N-</w:t>
      </w:r>
      <w:proofErr w:type="spellStart"/>
      <w:r w:rsidRPr="004A478C">
        <w:rPr>
          <w:lang w:val="lt-LT"/>
        </w:rPr>
        <w:t>desmetilroziglitazono</w:t>
      </w:r>
      <w:proofErr w:type="spellEnd"/>
      <w:r w:rsidRPr="004A478C">
        <w:rPr>
          <w:lang w:val="lt-LT"/>
        </w:rPr>
        <w:t xml:space="preserve"> farmakokinetikai nenustatyta, </w:t>
      </w:r>
      <w:r w:rsidR="00A11533" w:rsidRPr="004A478C">
        <w:rPr>
          <w:lang w:val="lt-LT"/>
        </w:rPr>
        <w:t xml:space="preserve">tai </w:t>
      </w:r>
      <w:r w:rsidRPr="004A478C">
        <w:rPr>
          <w:lang w:val="lt-LT"/>
        </w:rPr>
        <w:t xml:space="preserve">rodo, kad </w:t>
      </w:r>
      <w:proofErr w:type="spellStart"/>
      <w:r w:rsidRPr="004A478C">
        <w:rPr>
          <w:lang w:val="lt-LT"/>
        </w:rPr>
        <w:t>roziglitazonas</w:t>
      </w:r>
      <w:proofErr w:type="spellEnd"/>
      <w:r w:rsidRPr="004A478C">
        <w:rPr>
          <w:lang w:val="lt-LT"/>
        </w:rPr>
        <w:t xml:space="preserve"> </w:t>
      </w:r>
      <w:proofErr w:type="spellStart"/>
      <w:r w:rsidRPr="004A478C">
        <w:rPr>
          <w:i/>
          <w:lang w:val="lt-LT"/>
        </w:rPr>
        <w:t>in</w:t>
      </w:r>
      <w:proofErr w:type="spellEnd"/>
      <w:r w:rsidRPr="004A478C">
        <w:rPr>
          <w:i/>
          <w:lang w:val="lt-LT"/>
        </w:rPr>
        <w:t xml:space="preserve"> </w:t>
      </w:r>
      <w:proofErr w:type="spellStart"/>
      <w:r w:rsidRPr="004A478C">
        <w:rPr>
          <w:i/>
          <w:lang w:val="lt-LT"/>
        </w:rPr>
        <w:t>vivo</w:t>
      </w:r>
      <w:proofErr w:type="spellEnd"/>
      <w:r w:rsidRPr="004A478C">
        <w:rPr>
          <w:lang w:val="lt-LT"/>
        </w:rPr>
        <w:t xml:space="preserve"> neslopina fermento CYP2C8 aktyvumo. </w:t>
      </w:r>
      <w:r w:rsidR="00A11533" w:rsidRPr="004A478C">
        <w:rPr>
          <w:lang w:val="lt-LT"/>
        </w:rPr>
        <w:t>Taigi</w:t>
      </w:r>
      <w:r w:rsidRPr="004A478C">
        <w:rPr>
          <w:lang w:val="lt-LT"/>
        </w:rPr>
        <w:t xml:space="preserve">, vartojant </w:t>
      </w:r>
      <w:proofErr w:type="spellStart"/>
      <w:r w:rsidRPr="004A478C">
        <w:rPr>
          <w:lang w:val="lt-LT"/>
        </w:rPr>
        <w:t>febuksostatą</w:t>
      </w:r>
      <w:proofErr w:type="spellEnd"/>
      <w:r w:rsidRPr="004A478C">
        <w:rPr>
          <w:lang w:val="lt-LT"/>
        </w:rPr>
        <w:t xml:space="preserve"> su </w:t>
      </w:r>
      <w:proofErr w:type="spellStart"/>
      <w:r w:rsidRPr="004A478C">
        <w:rPr>
          <w:lang w:val="lt-LT"/>
        </w:rPr>
        <w:t>roziglitazonu</w:t>
      </w:r>
      <w:proofErr w:type="spellEnd"/>
      <w:r w:rsidRPr="004A478C">
        <w:rPr>
          <w:lang w:val="lt-LT"/>
        </w:rPr>
        <w:t xml:space="preserve"> ar kitais CYP2C8 </w:t>
      </w:r>
      <w:proofErr w:type="spellStart"/>
      <w:r w:rsidRPr="004A478C">
        <w:rPr>
          <w:lang w:val="lt-LT"/>
        </w:rPr>
        <w:t>metabolizuojamais</w:t>
      </w:r>
      <w:proofErr w:type="spellEnd"/>
      <w:r w:rsidRPr="004A478C">
        <w:rPr>
          <w:lang w:val="lt-LT"/>
        </w:rPr>
        <w:t xml:space="preserve"> vaistiniais preparatais, jų dozių korekcija nebūtina. </w:t>
      </w:r>
    </w:p>
    <w:p w14:paraId="5C9DD9E7" w14:textId="77777777" w:rsidR="00273470" w:rsidRPr="004A478C" w:rsidRDefault="00273470" w:rsidP="003B28E4">
      <w:pPr>
        <w:tabs>
          <w:tab w:val="left" w:pos="4680"/>
        </w:tabs>
        <w:spacing w:line="240" w:lineRule="auto"/>
        <w:rPr>
          <w:lang w:val="lt-LT"/>
        </w:rPr>
      </w:pPr>
      <w:r w:rsidRPr="004A478C">
        <w:rPr>
          <w:lang w:val="lt-LT"/>
        </w:rPr>
        <w:t xml:space="preserve"> </w:t>
      </w:r>
    </w:p>
    <w:p w14:paraId="2EBD5EBE" w14:textId="77777777" w:rsidR="00273470" w:rsidRPr="004A478C" w:rsidRDefault="00273470" w:rsidP="003B28E4">
      <w:pPr>
        <w:tabs>
          <w:tab w:val="left" w:pos="4680"/>
        </w:tabs>
        <w:spacing w:line="240" w:lineRule="auto"/>
        <w:ind w:left="-5"/>
        <w:rPr>
          <w:lang w:val="lt-LT"/>
        </w:rPr>
      </w:pPr>
      <w:proofErr w:type="spellStart"/>
      <w:r w:rsidRPr="004A478C">
        <w:rPr>
          <w:i/>
          <w:lang w:val="lt-LT"/>
        </w:rPr>
        <w:t>Teofilinas</w:t>
      </w:r>
      <w:proofErr w:type="spellEnd"/>
      <w:r w:rsidRPr="004A478C">
        <w:rPr>
          <w:i/>
          <w:lang w:val="lt-LT"/>
        </w:rPr>
        <w:t xml:space="preserve"> </w:t>
      </w:r>
    </w:p>
    <w:p w14:paraId="31E8611D" w14:textId="77777777" w:rsidR="00273470" w:rsidRPr="004A478C" w:rsidRDefault="00273470" w:rsidP="003B28E4">
      <w:pPr>
        <w:tabs>
          <w:tab w:val="left" w:pos="4680"/>
        </w:tabs>
        <w:spacing w:line="240" w:lineRule="auto"/>
        <w:ind w:left="2" w:right="397"/>
        <w:rPr>
          <w:lang w:val="lt-LT"/>
        </w:rPr>
      </w:pPr>
      <w:r w:rsidRPr="004A478C">
        <w:rPr>
          <w:lang w:val="lt-LT"/>
        </w:rPr>
        <w:t xml:space="preserve">Buvo atliktas tyrimas su sveikais žmonėmis, kurio tikslas nustatyti, ar dėl KO slopinimo gali padidėti </w:t>
      </w:r>
      <w:proofErr w:type="spellStart"/>
      <w:r w:rsidRPr="004A478C">
        <w:rPr>
          <w:lang w:val="lt-LT"/>
        </w:rPr>
        <w:t>teofilino</w:t>
      </w:r>
      <w:proofErr w:type="spellEnd"/>
      <w:r w:rsidRPr="004A478C">
        <w:rPr>
          <w:lang w:val="lt-LT"/>
        </w:rPr>
        <w:t xml:space="preserve"> koncentracija kraujyje (kadangi tokia sąveika buvo nustatyta su kitais KO inhibitoriais). Tyrimo rezultatai parodė, kad skiriant 80</w:t>
      </w:r>
      <w:r w:rsidR="00E87295" w:rsidRPr="004A478C">
        <w:rPr>
          <w:lang w:val="lt-LT"/>
        </w:rPr>
        <w:t> mg</w:t>
      </w:r>
      <w:r w:rsidRPr="004A478C">
        <w:rPr>
          <w:lang w:val="lt-LT"/>
        </w:rPr>
        <w:t xml:space="preserve"> </w:t>
      </w:r>
      <w:proofErr w:type="spellStart"/>
      <w:r w:rsidRPr="004A478C">
        <w:rPr>
          <w:lang w:val="lt-LT"/>
        </w:rPr>
        <w:t>febuksostato</w:t>
      </w:r>
      <w:proofErr w:type="spellEnd"/>
      <w:r w:rsidRPr="004A478C">
        <w:rPr>
          <w:lang w:val="lt-LT"/>
        </w:rPr>
        <w:t xml:space="preserve"> kartą per parą ir 400</w:t>
      </w:r>
      <w:r w:rsidR="00E87295" w:rsidRPr="004A478C">
        <w:rPr>
          <w:lang w:val="lt-LT"/>
        </w:rPr>
        <w:t> mg</w:t>
      </w:r>
      <w:r w:rsidRPr="004A478C">
        <w:rPr>
          <w:lang w:val="lt-LT"/>
        </w:rPr>
        <w:t xml:space="preserve"> </w:t>
      </w:r>
      <w:proofErr w:type="spellStart"/>
      <w:r w:rsidRPr="004A478C">
        <w:rPr>
          <w:lang w:val="lt-LT"/>
        </w:rPr>
        <w:t>teofilino</w:t>
      </w:r>
      <w:proofErr w:type="spellEnd"/>
      <w:r w:rsidRPr="004A478C">
        <w:rPr>
          <w:lang w:val="lt-LT"/>
        </w:rPr>
        <w:t xml:space="preserve"> vienkartinę dozę, kokio nors poveikio </w:t>
      </w:r>
      <w:proofErr w:type="spellStart"/>
      <w:r w:rsidRPr="004A478C">
        <w:rPr>
          <w:lang w:val="lt-LT"/>
        </w:rPr>
        <w:t>teofilino</w:t>
      </w:r>
      <w:proofErr w:type="spellEnd"/>
      <w:r w:rsidRPr="004A478C">
        <w:rPr>
          <w:lang w:val="lt-LT"/>
        </w:rPr>
        <w:t xml:space="preserve"> farmakokinetikai ar saugumui nėra. Todėl kartu skiriant 80</w:t>
      </w:r>
      <w:r w:rsidR="00E87295" w:rsidRPr="004A478C">
        <w:rPr>
          <w:lang w:val="lt-LT"/>
        </w:rPr>
        <w:t> mg</w:t>
      </w:r>
      <w:r w:rsidRPr="004A478C">
        <w:rPr>
          <w:lang w:val="lt-LT"/>
        </w:rPr>
        <w:t xml:space="preserve"> </w:t>
      </w:r>
      <w:proofErr w:type="spellStart"/>
      <w:r w:rsidRPr="004A478C">
        <w:rPr>
          <w:lang w:val="lt-LT"/>
        </w:rPr>
        <w:t>febuksostato</w:t>
      </w:r>
      <w:proofErr w:type="spellEnd"/>
      <w:r w:rsidRPr="004A478C">
        <w:rPr>
          <w:lang w:val="lt-LT"/>
        </w:rPr>
        <w:t xml:space="preserve"> ir </w:t>
      </w:r>
      <w:proofErr w:type="spellStart"/>
      <w:r w:rsidRPr="004A478C">
        <w:rPr>
          <w:lang w:val="lt-LT"/>
        </w:rPr>
        <w:t>teofilino</w:t>
      </w:r>
      <w:proofErr w:type="spellEnd"/>
      <w:r w:rsidRPr="004A478C">
        <w:rPr>
          <w:lang w:val="lt-LT"/>
        </w:rPr>
        <w:t xml:space="preserve"> specialių atsargumo priemonių imtis nebūtina. 120</w:t>
      </w:r>
      <w:r w:rsidR="00E87295" w:rsidRPr="004A478C">
        <w:rPr>
          <w:lang w:val="lt-LT"/>
        </w:rPr>
        <w:t> mg</w:t>
      </w:r>
      <w:r w:rsidRPr="004A478C">
        <w:rPr>
          <w:lang w:val="lt-LT"/>
        </w:rPr>
        <w:t xml:space="preserve"> </w:t>
      </w:r>
      <w:proofErr w:type="spellStart"/>
      <w:r w:rsidRPr="004A478C">
        <w:rPr>
          <w:lang w:val="lt-LT"/>
        </w:rPr>
        <w:t>febuksostato</w:t>
      </w:r>
      <w:proofErr w:type="spellEnd"/>
      <w:r w:rsidRPr="004A478C">
        <w:rPr>
          <w:lang w:val="lt-LT"/>
        </w:rPr>
        <w:t xml:space="preserve"> dozei duomenų nėra. </w:t>
      </w:r>
    </w:p>
    <w:p w14:paraId="3AE250F4" w14:textId="77777777" w:rsidR="00273470" w:rsidRPr="004A478C" w:rsidRDefault="00273470" w:rsidP="003B28E4">
      <w:pPr>
        <w:tabs>
          <w:tab w:val="left" w:pos="4680"/>
        </w:tabs>
        <w:spacing w:line="240" w:lineRule="auto"/>
        <w:rPr>
          <w:lang w:val="lt-LT"/>
        </w:rPr>
      </w:pPr>
      <w:r w:rsidRPr="004A478C">
        <w:rPr>
          <w:lang w:val="lt-LT"/>
        </w:rPr>
        <w:t xml:space="preserve"> </w:t>
      </w:r>
    </w:p>
    <w:p w14:paraId="17487C0E" w14:textId="77777777" w:rsidR="00273470" w:rsidRPr="004A478C" w:rsidRDefault="00273470" w:rsidP="003B28E4">
      <w:pPr>
        <w:tabs>
          <w:tab w:val="left" w:pos="4680"/>
        </w:tabs>
        <w:spacing w:line="240" w:lineRule="auto"/>
        <w:ind w:left="-5"/>
        <w:rPr>
          <w:lang w:val="lt-LT"/>
        </w:rPr>
      </w:pPr>
      <w:proofErr w:type="spellStart"/>
      <w:r w:rsidRPr="004A478C">
        <w:rPr>
          <w:i/>
          <w:lang w:val="lt-LT"/>
        </w:rPr>
        <w:t>Naproksenas</w:t>
      </w:r>
      <w:proofErr w:type="spellEnd"/>
      <w:r w:rsidRPr="004A478C">
        <w:rPr>
          <w:i/>
          <w:lang w:val="lt-LT"/>
        </w:rPr>
        <w:t xml:space="preserve"> ir kiti </w:t>
      </w:r>
      <w:proofErr w:type="spellStart"/>
      <w:r w:rsidRPr="004A478C">
        <w:rPr>
          <w:i/>
          <w:lang w:val="lt-LT"/>
        </w:rPr>
        <w:t>konjugacijos</w:t>
      </w:r>
      <w:proofErr w:type="spellEnd"/>
      <w:r w:rsidRPr="004A478C">
        <w:rPr>
          <w:i/>
          <w:lang w:val="lt-LT"/>
        </w:rPr>
        <w:t xml:space="preserve"> su </w:t>
      </w:r>
      <w:proofErr w:type="spellStart"/>
      <w:r w:rsidRPr="004A478C">
        <w:rPr>
          <w:i/>
          <w:lang w:val="lt-LT"/>
        </w:rPr>
        <w:t>gliukurono</w:t>
      </w:r>
      <w:proofErr w:type="spellEnd"/>
      <w:r w:rsidRPr="004A478C">
        <w:rPr>
          <w:i/>
          <w:lang w:val="lt-LT"/>
        </w:rPr>
        <w:t xml:space="preserve"> rūgštimi inhibitoriai </w:t>
      </w:r>
    </w:p>
    <w:p w14:paraId="52CBEFA4" w14:textId="77777777" w:rsidR="00273470" w:rsidRPr="004A478C" w:rsidRDefault="00273470" w:rsidP="003B28E4">
      <w:pPr>
        <w:tabs>
          <w:tab w:val="left" w:pos="4680"/>
        </w:tabs>
        <w:spacing w:line="240" w:lineRule="auto"/>
        <w:ind w:left="2" w:right="397"/>
        <w:rPr>
          <w:lang w:val="lt-LT"/>
        </w:rPr>
      </w:pPr>
      <w:proofErr w:type="spellStart"/>
      <w:r w:rsidRPr="004A478C">
        <w:rPr>
          <w:lang w:val="lt-LT"/>
        </w:rPr>
        <w:t>Febuksostato</w:t>
      </w:r>
      <w:proofErr w:type="spellEnd"/>
      <w:r w:rsidRPr="004A478C">
        <w:rPr>
          <w:lang w:val="lt-LT"/>
        </w:rPr>
        <w:t xml:space="preserve"> metabolizmas priklauso nuo </w:t>
      </w:r>
      <w:proofErr w:type="spellStart"/>
      <w:r w:rsidRPr="004A478C">
        <w:rPr>
          <w:lang w:val="lt-LT"/>
        </w:rPr>
        <w:t>uridino</w:t>
      </w:r>
      <w:proofErr w:type="spellEnd"/>
      <w:r w:rsidRPr="004A478C">
        <w:rPr>
          <w:lang w:val="lt-LT"/>
        </w:rPr>
        <w:t xml:space="preserve"> </w:t>
      </w:r>
      <w:proofErr w:type="spellStart"/>
      <w:r w:rsidRPr="004A478C">
        <w:rPr>
          <w:lang w:val="lt-LT"/>
        </w:rPr>
        <w:t>glukuronoziltransferazės</w:t>
      </w:r>
      <w:proofErr w:type="spellEnd"/>
      <w:r w:rsidRPr="004A478C">
        <w:rPr>
          <w:lang w:val="lt-LT"/>
        </w:rPr>
        <w:t xml:space="preserve"> (UGT) fermentų. Todėl vaistiniai preparatai, slopinantys </w:t>
      </w:r>
      <w:proofErr w:type="spellStart"/>
      <w:r w:rsidRPr="004A478C">
        <w:rPr>
          <w:lang w:val="lt-LT"/>
        </w:rPr>
        <w:t>konjugaciją</w:t>
      </w:r>
      <w:proofErr w:type="spellEnd"/>
      <w:r w:rsidRPr="004A478C">
        <w:rPr>
          <w:lang w:val="lt-LT"/>
        </w:rPr>
        <w:t xml:space="preserve"> su </w:t>
      </w:r>
      <w:proofErr w:type="spellStart"/>
      <w:r w:rsidRPr="004A478C">
        <w:rPr>
          <w:lang w:val="lt-LT"/>
        </w:rPr>
        <w:t>gliukurono</w:t>
      </w:r>
      <w:proofErr w:type="spellEnd"/>
      <w:r w:rsidRPr="004A478C">
        <w:rPr>
          <w:lang w:val="lt-LT"/>
        </w:rPr>
        <w:t xml:space="preserve"> rūgštimi (pvz., NVNU ir </w:t>
      </w:r>
      <w:proofErr w:type="spellStart"/>
      <w:r w:rsidRPr="004A478C">
        <w:rPr>
          <w:lang w:val="lt-LT"/>
        </w:rPr>
        <w:t>probenecidas</w:t>
      </w:r>
      <w:proofErr w:type="spellEnd"/>
      <w:r w:rsidRPr="004A478C">
        <w:rPr>
          <w:lang w:val="lt-LT"/>
        </w:rPr>
        <w:t xml:space="preserve">), teoriškai gali turėti poveikį </w:t>
      </w:r>
      <w:proofErr w:type="spellStart"/>
      <w:r w:rsidRPr="004A478C">
        <w:rPr>
          <w:lang w:val="lt-LT"/>
        </w:rPr>
        <w:t>febuksostato</w:t>
      </w:r>
      <w:proofErr w:type="spellEnd"/>
      <w:r w:rsidRPr="004A478C">
        <w:rPr>
          <w:lang w:val="lt-LT"/>
        </w:rPr>
        <w:t xml:space="preserve"> šalinimui. Sveikiems asmenims, kartu vartojusiems </w:t>
      </w:r>
      <w:proofErr w:type="spellStart"/>
      <w:r w:rsidRPr="004A478C">
        <w:rPr>
          <w:lang w:val="lt-LT"/>
        </w:rPr>
        <w:t>febuksostato</w:t>
      </w:r>
      <w:proofErr w:type="spellEnd"/>
      <w:r w:rsidRPr="004A478C">
        <w:rPr>
          <w:lang w:val="lt-LT"/>
        </w:rPr>
        <w:t xml:space="preserve"> ir </w:t>
      </w:r>
      <w:proofErr w:type="spellStart"/>
      <w:r w:rsidRPr="004A478C">
        <w:rPr>
          <w:lang w:val="lt-LT"/>
        </w:rPr>
        <w:t>naprokseno</w:t>
      </w:r>
      <w:proofErr w:type="spellEnd"/>
      <w:r w:rsidRPr="004A478C">
        <w:rPr>
          <w:lang w:val="lt-LT"/>
        </w:rPr>
        <w:t xml:space="preserve"> 250</w:t>
      </w:r>
      <w:r w:rsidR="00E87295" w:rsidRPr="004A478C">
        <w:rPr>
          <w:lang w:val="lt-LT"/>
        </w:rPr>
        <w:t> mg</w:t>
      </w:r>
      <w:r w:rsidRPr="004A478C">
        <w:rPr>
          <w:lang w:val="lt-LT"/>
        </w:rPr>
        <w:t xml:space="preserve"> du kartus per parą, padidėjo </w:t>
      </w:r>
      <w:proofErr w:type="spellStart"/>
      <w:r w:rsidRPr="004A478C">
        <w:rPr>
          <w:lang w:val="lt-LT"/>
        </w:rPr>
        <w:t>febuksostato</w:t>
      </w:r>
      <w:proofErr w:type="spellEnd"/>
      <w:r w:rsidRPr="004A478C">
        <w:rPr>
          <w:lang w:val="lt-LT"/>
        </w:rPr>
        <w:t xml:space="preserve"> ekspozicija (</w:t>
      </w:r>
      <w:proofErr w:type="spellStart"/>
      <w:r w:rsidRPr="004A478C">
        <w:rPr>
          <w:lang w:val="lt-LT"/>
        </w:rPr>
        <w:t>C</w:t>
      </w:r>
      <w:r w:rsidRPr="004A478C">
        <w:rPr>
          <w:vertAlign w:val="subscript"/>
          <w:lang w:val="lt-LT"/>
        </w:rPr>
        <w:t>max</w:t>
      </w:r>
      <w:proofErr w:type="spellEnd"/>
      <w:r w:rsidRPr="004A478C">
        <w:rPr>
          <w:lang w:val="lt-LT"/>
        </w:rPr>
        <w:t xml:space="preserve"> 28%, AUC 41%, o t</w:t>
      </w:r>
      <w:r w:rsidRPr="004A478C">
        <w:rPr>
          <w:vertAlign w:val="subscript"/>
          <w:lang w:val="lt-LT"/>
        </w:rPr>
        <w:t>1/2</w:t>
      </w:r>
      <w:r w:rsidRPr="004A478C">
        <w:rPr>
          <w:lang w:val="lt-LT"/>
        </w:rPr>
        <w:t xml:space="preserve"> 26%). Klinikinių tyrimų metu </w:t>
      </w:r>
      <w:proofErr w:type="spellStart"/>
      <w:r w:rsidRPr="004A478C">
        <w:rPr>
          <w:lang w:val="lt-LT"/>
        </w:rPr>
        <w:t>naprokseno</w:t>
      </w:r>
      <w:proofErr w:type="spellEnd"/>
      <w:r w:rsidRPr="004A478C">
        <w:rPr>
          <w:lang w:val="lt-LT"/>
        </w:rPr>
        <w:t xml:space="preserve"> arba kitų NVNU</w:t>
      </w:r>
      <w:r w:rsidR="00A11533" w:rsidRPr="004A478C">
        <w:rPr>
          <w:lang w:val="lt-LT"/>
        </w:rPr>
        <w:t xml:space="preserve"> arba </w:t>
      </w:r>
      <w:r w:rsidRPr="004A478C">
        <w:rPr>
          <w:lang w:val="lt-LT"/>
        </w:rPr>
        <w:t xml:space="preserve">Cox-2 inhibitorių vartojimas nebuvo susijęs su kliniškai reikšmingu nepageidaujamų reiškinių padidėjimu. </w:t>
      </w:r>
    </w:p>
    <w:p w14:paraId="74B53626" w14:textId="77777777" w:rsidR="00273470" w:rsidRPr="004A478C" w:rsidRDefault="00273470" w:rsidP="003B28E4">
      <w:pPr>
        <w:tabs>
          <w:tab w:val="left" w:pos="4680"/>
        </w:tabs>
        <w:spacing w:line="240" w:lineRule="auto"/>
        <w:rPr>
          <w:lang w:val="lt-LT"/>
        </w:rPr>
      </w:pPr>
      <w:r w:rsidRPr="004A478C">
        <w:rPr>
          <w:lang w:val="lt-LT"/>
        </w:rPr>
        <w:t xml:space="preserve"> </w:t>
      </w:r>
    </w:p>
    <w:p w14:paraId="66EB4C42" w14:textId="77777777" w:rsidR="00273470" w:rsidRPr="004A478C" w:rsidRDefault="00273470" w:rsidP="003B28E4">
      <w:pPr>
        <w:tabs>
          <w:tab w:val="left" w:pos="4680"/>
        </w:tabs>
        <w:spacing w:line="240" w:lineRule="auto"/>
        <w:ind w:left="2" w:right="397"/>
        <w:rPr>
          <w:lang w:val="lt-LT"/>
        </w:rPr>
      </w:pPr>
      <w:proofErr w:type="spellStart"/>
      <w:r w:rsidRPr="004A478C">
        <w:rPr>
          <w:lang w:val="lt-LT"/>
        </w:rPr>
        <w:lastRenderedPageBreak/>
        <w:t>Febuksostatą</w:t>
      </w:r>
      <w:proofErr w:type="spellEnd"/>
      <w:r w:rsidRPr="004A478C">
        <w:rPr>
          <w:lang w:val="lt-LT"/>
        </w:rPr>
        <w:t xml:space="preserve"> galima vartoti kartu su </w:t>
      </w:r>
      <w:proofErr w:type="spellStart"/>
      <w:r w:rsidRPr="004A478C">
        <w:rPr>
          <w:lang w:val="lt-LT"/>
        </w:rPr>
        <w:t>naproksenu</w:t>
      </w:r>
      <w:proofErr w:type="spellEnd"/>
      <w:r w:rsidRPr="004A478C">
        <w:rPr>
          <w:lang w:val="lt-LT"/>
        </w:rPr>
        <w:t xml:space="preserve">; </w:t>
      </w:r>
      <w:proofErr w:type="spellStart"/>
      <w:r w:rsidRPr="004A478C">
        <w:rPr>
          <w:lang w:val="lt-LT"/>
        </w:rPr>
        <w:t>febuksostato</w:t>
      </w:r>
      <w:proofErr w:type="spellEnd"/>
      <w:r w:rsidRPr="004A478C">
        <w:rPr>
          <w:lang w:val="lt-LT"/>
        </w:rPr>
        <w:t xml:space="preserve"> arba </w:t>
      </w:r>
      <w:proofErr w:type="spellStart"/>
      <w:r w:rsidRPr="004A478C">
        <w:rPr>
          <w:lang w:val="lt-LT"/>
        </w:rPr>
        <w:t>naprokseno</w:t>
      </w:r>
      <w:proofErr w:type="spellEnd"/>
      <w:r w:rsidRPr="004A478C">
        <w:rPr>
          <w:lang w:val="lt-LT"/>
        </w:rPr>
        <w:t xml:space="preserve"> dozių koreguoti nereikia. </w:t>
      </w:r>
    </w:p>
    <w:p w14:paraId="6BD974F0" w14:textId="77777777" w:rsidR="00273470" w:rsidRPr="004A478C" w:rsidRDefault="00273470" w:rsidP="003B28E4">
      <w:pPr>
        <w:tabs>
          <w:tab w:val="left" w:pos="4680"/>
        </w:tabs>
        <w:spacing w:line="240" w:lineRule="auto"/>
        <w:rPr>
          <w:lang w:val="lt-LT"/>
        </w:rPr>
      </w:pPr>
      <w:r w:rsidRPr="004A478C">
        <w:rPr>
          <w:lang w:val="lt-LT"/>
        </w:rPr>
        <w:t xml:space="preserve"> </w:t>
      </w:r>
    </w:p>
    <w:p w14:paraId="106809C9" w14:textId="77777777" w:rsidR="00273470" w:rsidRPr="004A478C" w:rsidRDefault="00273470" w:rsidP="003B28E4">
      <w:pPr>
        <w:tabs>
          <w:tab w:val="left" w:pos="4680"/>
        </w:tabs>
        <w:spacing w:line="240" w:lineRule="auto"/>
        <w:ind w:left="-5"/>
        <w:rPr>
          <w:lang w:val="lt-LT"/>
        </w:rPr>
      </w:pPr>
      <w:proofErr w:type="spellStart"/>
      <w:r w:rsidRPr="004A478C">
        <w:rPr>
          <w:i/>
          <w:lang w:val="lt-LT"/>
        </w:rPr>
        <w:t>Konjugacijos</w:t>
      </w:r>
      <w:proofErr w:type="spellEnd"/>
      <w:r w:rsidRPr="004A478C">
        <w:rPr>
          <w:i/>
          <w:lang w:val="lt-LT"/>
        </w:rPr>
        <w:t xml:space="preserve"> su </w:t>
      </w:r>
      <w:proofErr w:type="spellStart"/>
      <w:r w:rsidRPr="004A478C">
        <w:rPr>
          <w:i/>
          <w:lang w:val="lt-LT"/>
        </w:rPr>
        <w:t>gliukurono</w:t>
      </w:r>
      <w:proofErr w:type="spellEnd"/>
      <w:r w:rsidRPr="004A478C">
        <w:rPr>
          <w:i/>
          <w:lang w:val="lt-LT"/>
        </w:rPr>
        <w:t xml:space="preserve"> rūgštimi </w:t>
      </w:r>
      <w:proofErr w:type="spellStart"/>
      <w:r w:rsidRPr="004A478C">
        <w:rPr>
          <w:i/>
          <w:lang w:val="lt-LT"/>
        </w:rPr>
        <w:t>induktoriai</w:t>
      </w:r>
      <w:proofErr w:type="spellEnd"/>
      <w:r w:rsidRPr="004A478C">
        <w:rPr>
          <w:i/>
          <w:lang w:val="lt-LT"/>
        </w:rPr>
        <w:t xml:space="preserve"> </w:t>
      </w:r>
    </w:p>
    <w:p w14:paraId="024C1B65" w14:textId="77777777" w:rsidR="00273470" w:rsidRPr="004A478C" w:rsidRDefault="00273470" w:rsidP="003B28E4">
      <w:pPr>
        <w:tabs>
          <w:tab w:val="left" w:pos="4680"/>
        </w:tabs>
        <w:spacing w:line="240" w:lineRule="auto"/>
        <w:ind w:left="2" w:right="397"/>
        <w:rPr>
          <w:lang w:val="lt-LT"/>
        </w:rPr>
      </w:pPr>
      <w:r w:rsidRPr="004A478C">
        <w:rPr>
          <w:lang w:val="lt-LT"/>
        </w:rPr>
        <w:t xml:space="preserve">Stiprūs UGT fermentų </w:t>
      </w:r>
      <w:proofErr w:type="spellStart"/>
      <w:r w:rsidRPr="004A478C">
        <w:rPr>
          <w:lang w:val="lt-LT"/>
        </w:rPr>
        <w:t>induktoriai</w:t>
      </w:r>
      <w:proofErr w:type="spellEnd"/>
      <w:r w:rsidRPr="004A478C">
        <w:rPr>
          <w:lang w:val="lt-LT"/>
        </w:rPr>
        <w:t xml:space="preserve"> gali paskatinti </w:t>
      </w:r>
      <w:proofErr w:type="spellStart"/>
      <w:r w:rsidRPr="004A478C">
        <w:rPr>
          <w:lang w:val="lt-LT"/>
        </w:rPr>
        <w:t>febuksostato</w:t>
      </w:r>
      <w:proofErr w:type="spellEnd"/>
      <w:r w:rsidRPr="004A478C">
        <w:rPr>
          <w:lang w:val="lt-LT"/>
        </w:rPr>
        <w:t xml:space="preserve"> metabolizmą ir susilpninti jo veiksmingumą. Todėl 1-2 savaites nuo gydymo stipriu </w:t>
      </w:r>
      <w:proofErr w:type="spellStart"/>
      <w:r w:rsidRPr="004A478C">
        <w:rPr>
          <w:lang w:val="lt-LT"/>
        </w:rPr>
        <w:t>konjugacijos</w:t>
      </w:r>
      <w:proofErr w:type="spellEnd"/>
      <w:r w:rsidRPr="004A478C">
        <w:rPr>
          <w:lang w:val="lt-LT"/>
        </w:rPr>
        <w:t xml:space="preserve"> su </w:t>
      </w:r>
      <w:proofErr w:type="spellStart"/>
      <w:r w:rsidRPr="004A478C">
        <w:rPr>
          <w:lang w:val="lt-LT"/>
        </w:rPr>
        <w:t>gliukurono</w:t>
      </w:r>
      <w:proofErr w:type="spellEnd"/>
      <w:r w:rsidRPr="004A478C">
        <w:rPr>
          <w:lang w:val="lt-LT"/>
        </w:rPr>
        <w:t xml:space="preserve"> rūgštimi </w:t>
      </w:r>
      <w:proofErr w:type="spellStart"/>
      <w:r w:rsidRPr="004A478C">
        <w:rPr>
          <w:lang w:val="lt-LT"/>
        </w:rPr>
        <w:t>induktoriumi</w:t>
      </w:r>
      <w:proofErr w:type="spellEnd"/>
      <w:r w:rsidRPr="004A478C">
        <w:rPr>
          <w:lang w:val="lt-LT"/>
        </w:rPr>
        <w:t xml:space="preserve"> pradžios rekomenduojama patikrinti šlapimo rūgšties kiekį serume. Ir atvirkščiai, nutraukus gydymą </w:t>
      </w:r>
      <w:proofErr w:type="spellStart"/>
      <w:r w:rsidRPr="004A478C">
        <w:rPr>
          <w:lang w:val="lt-LT"/>
        </w:rPr>
        <w:t>induktoriumi</w:t>
      </w:r>
      <w:proofErr w:type="spellEnd"/>
      <w:r w:rsidRPr="004A478C">
        <w:rPr>
          <w:lang w:val="lt-LT"/>
        </w:rPr>
        <w:t xml:space="preserve">, gali padidėti </w:t>
      </w:r>
      <w:proofErr w:type="spellStart"/>
      <w:r w:rsidRPr="004A478C">
        <w:rPr>
          <w:lang w:val="lt-LT"/>
        </w:rPr>
        <w:t>febuksostato</w:t>
      </w:r>
      <w:proofErr w:type="spellEnd"/>
      <w:r w:rsidRPr="004A478C">
        <w:rPr>
          <w:lang w:val="lt-LT"/>
        </w:rPr>
        <w:t xml:space="preserve"> kiekis plazmoje. </w:t>
      </w:r>
    </w:p>
    <w:p w14:paraId="3CC3AE16" w14:textId="77777777" w:rsidR="00273470" w:rsidRPr="004A478C" w:rsidRDefault="00273470" w:rsidP="003B28E4">
      <w:pPr>
        <w:tabs>
          <w:tab w:val="left" w:pos="4680"/>
        </w:tabs>
        <w:spacing w:line="240" w:lineRule="auto"/>
        <w:rPr>
          <w:lang w:val="lt-LT"/>
        </w:rPr>
      </w:pPr>
      <w:r w:rsidRPr="004A478C">
        <w:rPr>
          <w:lang w:val="lt-LT"/>
        </w:rPr>
        <w:t xml:space="preserve"> </w:t>
      </w:r>
    </w:p>
    <w:p w14:paraId="39FA44E8" w14:textId="3231834E" w:rsidR="00273470" w:rsidRPr="004A478C" w:rsidRDefault="00273470" w:rsidP="003B28E4">
      <w:pPr>
        <w:tabs>
          <w:tab w:val="left" w:pos="4680"/>
        </w:tabs>
        <w:spacing w:line="240" w:lineRule="auto"/>
        <w:ind w:left="-5"/>
        <w:rPr>
          <w:lang w:val="lt-LT"/>
        </w:rPr>
      </w:pPr>
      <w:proofErr w:type="spellStart"/>
      <w:r w:rsidRPr="004A478C">
        <w:rPr>
          <w:i/>
          <w:lang w:val="lt-LT"/>
        </w:rPr>
        <w:t>Kolchicinas</w:t>
      </w:r>
      <w:proofErr w:type="spellEnd"/>
      <w:r w:rsidR="00E402FE" w:rsidRPr="004A478C">
        <w:rPr>
          <w:i/>
          <w:lang w:val="lt-LT"/>
        </w:rPr>
        <w:t>/</w:t>
      </w:r>
      <w:r w:rsidR="00A11533" w:rsidRPr="004A478C">
        <w:rPr>
          <w:i/>
          <w:lang w:val="lt-LT"/>
        </w:rPr>
        <w:t xml:space="preserve"> </w:t>
      </w:r>
      <w:proofErr w:type="spellStart"/>
      <w:r w:rsidRPr="004A478C">
        <w:rPr>
          <w:i/>
          <w:lang w:val="lt-LT"/>
        </w:rPr>
        <w:t>indometacinas</w:t>
      </w:r>
      <w:proofErr w:type="spellEnd"/>
      <w:r w:rsidR="00E402FE" w:rsidRPr="004A478C">
        <w:rPr>
          <w:i/>
          <w:lang w:val="lt-LT"/>
        </w:rPr>
        <w:t>/</w:t>
      </w:r>
      <w:r w:rsidR="00A11533" w:rsidRPr="004A478C">
        <w:rPr>
          <w:i/>
          <w:lang w:val="lt-LT"/>
        </w:rPr>
        <w:t xml:space="preserve"> </w:t>
      </w:r>
      <w:proofErr w:type="spellStart"/>
      <w:r w:rsidRPr="004A478C">
        <w:rPr>
          <w:i/>
          <w:lang w:val="lt-LT"/>
        </w:rPr>
        <w:t>hidrochlorotiazidas</w:t>
      </w:r>
      <w:proofErr w:type="spellEnd"/>
      <w:r w:rsidR="00E402FE" w:rsidRPr="004A478C">
        <w:rPr>
          <w:i/>
          <w:lang w:val="lt-LT"/>
        </w:rPr>
        <w:t>/</w:t>
      </w:r>
      <w:r w:rsidR="00A11533" w:rsidRPr="004A478C">
        <w:rPr>
          <w:i/>
          <w:lang w:val="lt-LT"/>
        </w:rPr>
        <w:t xml:space="preserve"> </w:t>
      </w:r>
      <w:r w:rsidRPr="004A478C">
        <w:rPr>
          <w:i/>
          <w:lang w:val="lt-LT"/>
        </w:rPr>
        <w:t xml:space="preserve">varfarinas </w:t>
      </w:r>
    </w:p>
    <w:p w14:paraId="51324AA0" w14:textId="77777777" w:rsidR="00273470" w:rsidRPr="004A478C" w:rsidRDefault="00273470" w:rsidP="003B28E4">
      <w:pPr>
        <w:tabs>
          <w:tab w:val="left" w:pos="4680"/>
        </w:tabs>
        <w:spacing w:line="240" w:lineRule="auto"/>
        <w:ind w:left="2" w:right="397"/>
        <w:rPr>
          <w:lang w:val="lt-LT"/>
        </w:rPr>
      </w:pPr>
      <w:proofErr w:type="spellStart"/>
      <w:r w:rsidRPr="004A478C">
        <w:rPr>
          <w:lang w:val="lt-LT"/>
        </w:rPr>
        <w:t>Febuksostatą</w:t>
      </w:r>
      <w:proofErr w:type="spellEnd"/>
      <w:r w:rsidRPr="004A478C">
        <w:rPr>
          <w:lang w:val="lt-LT"/>
        </w:rPr>
        <w:t xml:space="preserve"> galima vartoti kartu su </w:t>
      </w:r>
      <w:proofErr w:type="spellStart"/>
      <w:r w:rsidRPr="004A478C">
        <w:rPr>
          <w:lang w:val="lt-LT"/>
        </w:rPr>
        <w:t>kolchicinu</w:t>
      </w:r>
      <w:proofErr w:type="spellEnd"/>
      <w:r w:rsidRPr="004A478C">
        <w:rPr>
          <w:lang w:val="lt-LT"/>
        </w:rPr>
        <w:t xml:space="preserve"> arba </w:t>
      </w:r>
      <w:proofErr w:type="spellStart"/>
      <w:r w:rsidRPr="004A478C">
        <w:rPr>
          <w:lang w:val="lt-LT"/>
        </w:rPr>
        <w:t>indometacinu</w:t>
      </w:r>
      <w:proofErr w:type="spellEnd"/>
      <w:r w:rsidRPr="004A478C">
        <w:rPr>
          <w:lang w:val="lt-LT"/>
        </w:rPr>
        <w:t xml:space="preserve">; </w:t>
      </w:r>
      <w:proofErr w:type="spellStart"/>
      <w:r w:rsidRPr="004A478C">
        <w:rPr>
          <w:lang w:val="lt-LT"/>
        </w:rPr>
        <w:t>febuksostato</w:t>
      </w:r>
      <w:proofErr w:type="spellEnd"/>
      <w:r w:rsidRPr="004A478C">
        <w:rPr>
          <w:lang w:val="lt-LT"/>
        </w:rPr>
        <w:t xml:space="preserve"> arba kartu vartojamos veikliosios medžiagos dozių koreguoti nereikia. </w:t>
      </w:r>
    </w:p>
    <w:p w14:paraId="1165CDDF" w14:textId="77777777" w:rsidR="00273470" w:rsidRPr="004A478C" w:rsidRDefault="00273470" w:rsidP="003B28E4">
      <w:pPr>
        <w:tabs>
          <w:tab w:val="left" w:pos="4680"/>
        </w:tabs>
        <w:spacing w:line="240" w:lineRule="auto"/>
        <w:rPr>
          <w:lang w:val="lt-LT"/>
        </w:rPr>
      </w:pPr>
      <w:r w:rsidRPr="004A478C">
        <w:rPr>
          <w:lang w:val="lt-LT"/>
        </w:rPr>
        <w:t xml:space="preserve"> </w:t>
      </w:r>
    </w:p>
    <w:p w14:paraId="09978D27" w14:textId="77777777" w:rsidR="00273470" w:rsidRPr="004A478C" w:rsidRDefault="00273470" w:rsidP="003B28E4">
      <w:pPr>
        <w:tabs>
          <w:tab w:val="left" w:pos="4680"/>
        </w:tabs>
        <w:spacing w:line="240" w:lineRule="auto"/>
        <w:ind w:left="2" w:right="397"/>
        <w:rPr>
          <w:lang w:val="lt-LT"/>
        </w:rPr>
      </w:pPr>
      <w:r w:rsidRPr="004A478C">
        <w:rPr>
          <w:lang w:val="lt-LT"/>
        </w:rPr>
        <w:t xml:space="preserve">Nereikia koreguoti </w:t>
      </w:r>
      <w:proofErr w:type="spellStart"/>
      <w:r w:rsidRPr="004A478C">
        <w:rPr>
          <w:lang w:val="lt-LT"/>
        </w:rPr>
        <w:t>febuksostato</w:t>
      </w:r>
      <w:proofErr w:type="spellEnd"/>
      <w:r w:rsidRPr="004A478C">
        <w:rPr>
          <w:lang w:val="lt-LT"/>
        </w:rPr>
        <w:t xml:space="preserve"> dozės, kai jis vartojamas kartu su </w:t>
      </w:r>
      <w:proofErr w:type="spellStart"/>
      <w:r w:rsidRPr="004A478C">
        <w:rPr>
          <w:lang w:val="lt-LT"/>
        </w:rPr>
        <w:t>hidrochlorotiazidu</w:t>
      </w:r>
      <w:proofErr w:type="spellEnd"/>
      <w:r w:rsidRPr="004A478C">
        <w:rPr>
          <w:lang w:val="lt-LT"/>
        </w:rPr>
        <w:t xml:space="preserve">.  </w:t>
      </w:r>
    </w:p>
    <w:p w14:paraId="160EB9EF" w14:textId="77777777" w:rsidR="00273470" w:rsidRPr="004A478C" w:rsidRDefault="00273470" w:rsidP="003B28E4">
      <w:pPr>
        <w:tabs>
          <w:tab w:val="left" w:pos="4680"/>
        </w:tabs>
        <w:spacing w:line="240" w:lineRule="auto"/>
        <w:rPr>
          <w:lang w:val="lt-LT"/>
        </w:rPr>
      </w:pPr>
      <w:r w:rsidRPr="004A478C">
        <w:rPr>
          <w:lang w:val="lt-LT"/>
        </w:rPr>
        <w:t xml:space="preserve"> </w:t>
      </w:r>
    </w:p>
    <w:p w14:paraId="4DFFB21B" w14:textId="77777777" w:rsidR="00273470" w:rsidRPr="004A478C" w:rsidRDefault="00273470" w:rsidP="003B28E4">
      <w:pPr>
        <w:tabs>
          <w:tab w:val="left" w:pos="4680"/>
        </w:tabs>
        <w:spacing w:line="240" w:lineRule="auto"/>
        <w:ind w:left="2" w:right="397"/>
        <w:rPr>
          <w:lang w:val="lt-LT"/>
        </w:rPr>
      </w:pPr>
      <w:r w:rsidRPr="004A478C">
        <w:rPr>
          <w:lang w:val="lt-LT"/>
        </w:rPr>
        <w:t xml:space="preserve">Varfarino, vartojamo kartu su </w:t>
      </w:r>
      <w:proofErr w:type="spellStart"/>
      <w:r w:rsidRPr="004A478C">
        <w:rPr>
          <w:lang w:val="lt-LT"/>
        </w:rPr>
        <w:t>febuksostatu</w:t>
      </w:r>
      <w:proofErr w:type="spellEnd"/>
      <w:r w:rsidRPr="004A478C">
        <w:rPr>
          <w:lang w:val="lt-LT"/>
        </w:rPr>
        <w:t xml:space="preserve">, dozės koreguoti nereikia. Sveikiems asmenims </w:t>
      </w:r>
      <w:proofErr w:type="spellStart"/>
      <w:r w:rsidRPr="004A478C">
        <w:rPr>
          <w:lang w:val="lt-LT"/>
        </w:rPr>
        <w:t>febuksostato</w:t>
      </w:r>
      <w:proofErr w:type="spellEnd"/>
      <w:r w:rsidRPr="004A478C">
        <w:rPr>
          <w:lang w:val="lt-LT"/>
        </w:rPr>
        <w:t xml:space="preserve"> (80</w:t>
      </w:r>
      <w:r w:rsidR="00E87295" w:rsidRPr="004A478C">
        <w:rPr>
          <w:lang w:val="lt-LT"/>
        </w:rPr>
        <w:t> mg</w:t>
      </w:r>
      <w:r w:rsidRPr="004A478C">
        <w:rPr>
          <w:lang w:val="lt-LT"/>
        </w:rPr>
        <w:t xml:space="preserve"> arba 120</w:t>
      </w:r>
      <w:r w:rsidR="00E87295" w:rsidRPr="004A478C">
        <w:rPr>
          <w:lang w:val="lt-LT"/>
        </w:rPr>
        <w:t> mg</w:t>
      </w:r>
      <w:r w:rsidRPr="004A478C">
        <w:rPr>
          <w:lang w:val="lt-LT"/>
        </w:rPr>
        <w:t xml:space="preserve"> vieną kartą per parą) vartojant kartu su varfarinu, įtakos varfarino farmakokinetikai nenustatyta. Vartojant kartu su </w:t>
      </w:r>
      <w:proofErr w:type="spellStart"/>
      <w:r w:rsidRPr="004A478C">
        <w:rPr>
          <w:lang w:val="lt-LT"/>
        </w:rPr>
        <w:t>febuksostatu</w:t>
      </w:r>
      <w:proofErr w:type="spellEnd"/>
      <w:r w:rsidRPr="004A478C">
        <w:rPr>
          <w:lang w:val="lt-LT"/>
        </w:rPr>
        <w:t xml:space="preserve"> tarptautinis </w:t>
      </w:r>
      <w:r w:rsidR="00A11533" w:rsidRPr="004A478C">
        <w:rPr>
          <w:lang w:val="lt-LT"/>
        </w:rPr>
        <w:t xml:space="preserve">normalizuotas </w:t>
      </w:r>
      <w:r w:rsidRPr="004A478C">
        <w:rPr>
          <w:lang w:val="lt-LT"/>
        </w:rPr>
        <w:t>santykis (</w:t>
      </w:r>
      <w:r w:rsidRPr="004A478C">
        <w:rPr>
          <w:i/>
          <w:lang w:val="lt-LT"/>
        </w:rPr>
        <w:t>angl. INR)</w:t>
      </w:r>
      <w:r w:rsidRPr="004A478C">
        <w:rPr>
          <w:lang w:val="lt-LT"/>
        </w:rPr>
        <w:t xml:space="preserve"> ir VII faktoriaus aktyvumas nepasikeitė. </w:t>
      </w:r>
    </w:p>
    <w:p w14:paraId="65609D0F" w14:textId="77777777" w:rsidR="00273470" w:rsidRPr="004A478C" w:rsidRDefault="00273470" w:rsidP="003B28E4">
      <w:pPr>
        <w:tabs>
          <w:tab w:val="left" w:pos="4680"/>
        </w:tabs>
        <w:spacing w:line="240" w:lineRule="auto"/>
        <w:rPr>
          <w:lang w:val="lt-LT"/>
        </w:rPr>
      </w:pPr>
      <w:r w:rsidRPr="004A478C">
        <w:rPr>
          <w:lang w:val="lt-LT"/>
        </w:rPr>
        <w:t xml:space="preserve"> </w:t>
      </w:r>
    </w:p>
    <w:p w14:paraId="46762DD4" w14:textId="3087284B" w:rsidR="00273470" w:rsidRPr="004A478C" w:rsidRDefault="00273470" w:rsidP="003B28E4">
      <w:pPr>
        <w:tabs>
          <w:tab w:val="left" w:pos="4680"/>
        </w:tabs>
        <w:spacing w:line="240" w:lineRule="auto"/>
        <w:ind w:left="-5"/>
        <w:rPr>
          <w:lang w:val="lt-LT"/>
        </w:rPr>
      </w:pPr>
      <w:proofErr w:type="spellStart"/>
      <w:r w:rsidRPr="004A478C">
        <w:rPr>
          <w:i/>
          <w:lang w:val="lt-LT"/>
        </w:rPr>
        <w:t>Dezipraminas</w:t>
      </w:r>
      <w:proofErr w:type="spellEnd"/>
      <w:r w:rsidR="00E402FE" w:rsidRPr="004A478C">
        <w:rPr>
          <w:i/>
          <w:lang w:val="lt-LT"/>
        </w:rPr>
        <w:t>/</w:t>
      </w:r>
      <w:r w:rsidR="00A11533" w:rsidRPr="004A478C">
        <w:rPr>
          <w:i/>
          <w:lang w:val="lt-LT"/>
        </w:rPr>
        <w:t xml:space="preserve"> </w:t>
      </w:r>
      <w:r w:rsidRPr="004A478C">
        <w:rPr>
          <w:i/>
          <w:lang w:val="lt-LT"/>
        </w:rPr>
        <w:t xml:space="preserve">CYP2D6 substratai </w:t>
      </w:r>
    </w:p>
    <w:p w14:paraId="3EC8EEA4" w14:textId="77777777" w:rsidR="00273470" w:rsidRPr="004A478C" w:rsidRDefault="00273470" w:rsidP="003B28E4">
      <w:pPr>
        <w:tabs>
          <w:tab w:val="left" w:pos="4680"/>
        </w:tabs>
        <w:spacing w:line="240" w:lineRule="auto"/>
        <w:ind w:left="2" w:right="397"/>
        <w:rPr>
          <w:lang w:val="lt-LT"/>
        </w:rPr>
      </w:pPr>
      <w:proofErr w:type="spellStart"/>
      <w:r w:rsidRPr="004A478C">
        <w:rPr>
          <w:i/>
          <w:lang w:val="lt-LT"/>
        </w:rPr>
        <w:t>In</w:t>
      </w:r>
      <w:proofErr w:type="spellEnd"/>
      <w:r w:rsidRPr="004A478C">
        <w:rPr>
          <w:i/>
          <w:lang w:val="lt-LT"/>
        </w:rPr>
        <w:t xml:space="preserve"> </w:t>
      </w:r>
      <w:proofErr w:type="spellStart"/>
      <w:r w:rsidRPr="004A478C">
        <w:rPr>
          <w:i/>
          <w:lang w:val="lt-LT"/>
        </w:rPr>
        <w:t>vitro</w:t>
      </w:r>
      <w:proofErr w:type="spellEnd"/>
      <w:r w:rsidRPr="004A478C">
        <w:rPr>
          <w:lang w:val="lt-LT"/>
        </w:rPr>
        <w:t xml:space="preserve"> tyrimais nustatyta, kad </w:t>
      </w:r>
      <w:proofErr w:type="spellStart"/>
      <w:r w:rsidRPr="004A478C">
        <w:rPr>
          <w:lang w:val="lt-LT"/>
        </w:rPr>
        <w:t>febuksostatas</w:t>
      </w:r>
      <w:proofErr w:type="spellEnd"/>
      <w:r w:rsidRPr="004A478C">
        <w:rPr>
          <w:lang w:val="lt-LT"/>
        </w:rPr>
        <w:t xml:space="preserve"> yra silpnas CYP2D6 inhibitorius.</w:t>
      </w:r>
      <w:r w:rsidRPr="004A478C">
        <w:rPr>
          <w:i/>
          <w:lang w:val="lt-LT"/>
        </w:rPr>
        <w:t xml:space="preserve"> </w:t>
      </w:r>
      <w:r w:rsidRPr="004A478C">
        <w:rPr>
          <w:lang w:val="lt-LT"/>
        </w:rPr>
        <w:t>Tyrimo su sveikais pacientais metu, nuo 120</w:t>
      </w:r>
      <w:r w:rsidR="00E87295" w:rsidRPr="004A478C">
        <w:rPr>
          <w:lang w:val="lt-LT"/>
        </w:rPr>
        <w:t> mg</w:t>
      </w:r>
      <w:r w:rsidRPr="004A478C">
        <w:rPr>
          <w:lang w:val="lt-LT"/>
        </w:rPr>
        <w:t xml:space="preserve"> </w:t>
      </w:r>
      <w:proofErr w:type="spellStart"/>
      <w:r w:rsidR="00A11533" w:rsidRPr="004A478C">
        <w:rPr>
          <w:lang w:val="lt-LT"/>
        </w:rPr>
        <w:t>febuksostato</w:t>
      </w:r>
      <w:r w:rsidRPr="004A478C">
        <w:rPr>
          <w:lang w:val="lt-LT"/>
        </w:rPr>
        <w:t>dozės</w:t>
      </w:r>
      <w:proofErr w:type="spellEnd"/>
      <w:r w:rsidRPr="004A478C">
        <w:rPr>
          <w:lang w:val="lt-LT"/>
        </w:rPr>
        <w:t xml:space="preserve"> per parą vidutiniškai 22% padidėjo CYP2D6 substrato </w:t>
      </w:r>
      <w:proofErr w:type="spellStart"/>
      <w:r w:rsidRPr="004A478C">
        <w:rPr>
          <w:lang w:val="lt-LT"/>
        </w:rPr>
        <w:t>dezipramino</w:t>
      </w:r>
      <w:proofErr w:type="spellEnd"/>
      <w:r w:rsidRPr="004A478C">
        <w:rPr>
          <w:lang w:val="lt-LT"/>
        </w:rPr>
        <w:t xml:space="preserve"> AUC; tai rodo, kad </w:t>
      </w:r>
      <w:proofErr w:type="spellStart"/>
      <w:r w:rsidRPr="004A478C">
        <w:rPr>
          <w:lang w:val="lt-LT"/>
        </w:rPr>
        <w:t>febuksostatas</w:t>
      </w:r>
      <w:proofErr w:type="spellEnd"/>
      <w:r w:rsidRPr="004A478C">
        <w:rPr>
          <w:lang w:val="lt-LT"/>
        </w:rPr>
        <w:t xml:space="preserve"> turi silpną slopinamąjį poveikį CYP2D6 fermentui </w:t>
      </w:r>
      <w:proofErr w:type="spellStart"/>
      <w:r w:rsidRPr="004A478C">
        <w:rPr>
          <w:i/>
          <w:lang w:val="lt-LT"/>
        </w:rPr>
        <w:t>in</w:t>
      </w:r>
      <w:proofErr w:type="spellEnd"/>
      <w:r w:rsidRPr="004A478C">
        <w:rPr>
          <w:i/>
          <w:lang w:val="lt-LT"/>
        </w:rPr>
        <w:t xml:space="preserve"> </w:t>
      </w:r>
      <w:proofErr w:type="spellStart"/>
      <w:r w:rsidRPr="004A478C">
        <w:rPr>
          <w:i/>
          <w:lang w:val="lt-LT"/>
        </w:rPr>
        <w:t>vivo</w:t>
      </w:r>
      <w:proofErr w:type="spellEnd"/>
      <w:r w:rsidRPr="004A478C">
        <w:rPr>
          <w:lang w:val="lt-LT"/>
        </w:rPr>
        <w:t xml:space="preserve">. Tad mažai tikėtina, kad vartojant </w:t>
      </w:r>
      <w:proofErr w:type="spellStart"/>
      <w:r w:rsidRPr="004A478C">
        <w:rPr>
          <w:lang w:val="lt-LT"/>
        </w:rPr>
        <w:t>febuksostatą</w:t>
      </w:r>
      <w:proofErr w:type="spellEnd"/>
      <w:r w:rsidRPr="004A478C">
        <w:rPr>
          <w:lang w:val="lt-LT"/>
        </w:rPr>
        <w:t xml:space="preserve"> su kitais CYP2D6 substratais reiktų koreguoti šių medžiagų dozes. </w:t>
      </w:r>
    </w:p>
    <w:p w14:paraId="3D77CE23" w14:textId="77777777" w:rsidR="00273470" w:rsidRPr="004A478C" w:rsidRDefault="00273470" w:rsidP="003B28E4">
      <w:pPr>
        <w:tabs>
          <w:tab w:val="left" w:pos="4680"/>
        </w:tabs>
        <w:spacing w:line="240" w:lineRule="auto"/>
        <w:rPr>
          <w:lang w:val="lt-LT"/>
        </w:rPr>
      </w:pPr>
      <w:r w:rsidRPr="004A478C">
        <w:rPr>
          <w:lang w:val="lt-LT"/>
        </w:rPr>
        <w:t xml:space="preserve"> </w:t>
      </w:r>
    </w:p>
    <w:p w14:paraId="382BF646" w14:textId="77777777" w:rsidR="00273470" w:rsidRPr="004A478C" w:rsidRDefault="00273470" w:rsidP="003B28E4">
      <w:pPr>
        <w:tabs>
          <w:tab w:val="left" w:pos="4680"/>
        </w:tabs>
        <w:spacing w:line="240" w:lineRule="auto"/>
        <w:ind w:left="-5"/>
        <w:rPr>
          <w:lang w:val="lt-LT"/>
        </w:rPr>
      </w:pPr>
      <w:proofErr w:type="spellStart"/>
      <w:r w:rsidRPr="004A478C">
        <w:rPr>
          <w:i/>
          <w:lang w:val="lt-LT"/>
        </w:rPr>
        <w:t>Antacidiniai</w:t>
      </w:r>
      <w:proofErr w:type="spellEnd"/>
      <w:r w:rsidRPr="004A478C">
        <w:rPr>
          <w:i/>
          <w:lang w:val="lt-LT"/>
        </w:rPr>
        <w:t xml:space="preserve"> vaist</w:t>
      </w:r>
      <w:r w:rsidR="00A11533" w:rsidRPr="004A478C">
        <w:rPr>
          <w:i/>
          <w:lang w:val="lt-LT"/>
        </w:rPr>
        <w:t>iniai preparatai</w:t>
      </w:r>
      <w:r w:rsidRPr="004A478C">
        <w:rPr>
          <w:i/>
          <w:lang w:val="lt-LT"/>
        </w:rPr>
        <w:t xml:space="preserve"> </w:t>
      </w:r>
    </w:p>
    <w:p w14:paraId="0993A1F1" w14:textId="77777777" w:rsidR="00273470" w:rsidRPr="004A478C" w:rsidRDefault="00273470" w:rsidP="003B28E4">
      <w:pPr>
        <w:tabs>
          <w:tab w:val="left" w:pos="4680"/>
        </w:tabs>
        <w:spacing w:line="240" w:lineRule="auto"/>
        <w:ind w:left="2" w:right="397"/>
        <w:rPr>
          <w:lang w:val="lt-LT"/>
        </w:rPr>
      </w:pPr>
      <w:r w:rsidRPr="004A478C">
        <w:rPr>
          <w:lang w:val="lt-LT"/>
        </w:rPr>
        <w:t xml:space="preserve">Nustatyta, kad kartu geriant </w:t>
      </w:r>
      <w:proofErr w:type="spellStart"/>
      <w:r w:rsidRPr="004A478C">
        <w:rPr>
          <w:lang w:val="lt-LT"/>
        </w:rPr>
        <w:t>antacidinių</w:t>
      </w:r>
      <w:proofErr w:type="spellEnd"/>
      <w:r w:rsidRPr="004A478C">
        <w:rPr>
          <w:lang w:val="lt-LT"/>
        </w:rPr>
        <w:t xml:space="preserve"> vaist</w:t>
      </w:r>
      <w:r w:rsidR="00A11533" w:rsidRPr="004A478C">
        <w:rPr>
          <w:lang w:val="lt-LT"/>
        </w:rPr>
        <w:t>ini</w:t>
      </w:r>
      <w:r w:rsidRPr="004A478C">
        <w:rPr>
          <w:lang w:val="lt-LT"/>
        </w:rPr>
        <w:t>ų</w:t>
      </w:r>
      <w:r w:rsidR="00A11533" w:rsidRPr="004A478C">
        <w:rPr>
          <w:lang w:val="lt-LT"/>
        </w:rPr>
        <w:t xml:space="preserve"> preparatų</w:t>
      </w:r>
      <w:r w:rsidRPr="004A478C">
        <w:rPr>
          <w:lang w:val="lt-LT"/>
        </w:rPr>
        <w:t xml:space="preserve">, kurių sudėtyje yra magnio hidroksido ir aliuminio hidroksido, sulėtėja </w:t>
      </w:r>
      <w:proofErr w:type="spellStart"/>
      <w:r w:rsidRPr="004A478C">
        <w:rPr>
          <w:lang w:val="lt-LT"/>
        </w:rPr>
        <w:t>febuksostato</w:t>
      </w:r>
      <w:proofErr w:type="spellEnd"/>
      <w:r w:rsidRPr="004A478C">
        <w:rPr>
          <w:lang w:val="lt-LT"/>
        </w:rPr>
        <w:t xml:space="preserve"> absorbcija (maždaug 1 valanda) ir 32% sumažėja </w:t>
      </w:r>
      <w:proofErr w:type="spellStart"/>
      <w:r w:rsidRPr="004A478C">
        <w:rPr>
          <w:lang w:val="lt-LT"/>
        </w:rPr>
        <w:t>C</w:t>
      </w:r>
      <w:r w:rsidRPr="004A478C">
        <w:rPr>
          <w:vertAlign w:val="subscript"/>
          <w:lang w:val="lt-LT"/>
        </w:rPr>
        <w:t>max</w:t>
      </w:r>
      <w:proofErr w:type="spellEnd"/>
      <w:r w:rsidRPr="004A478C">
        <w:rPr>
          <w:lang w:val="lt-LT"/>
        </w:rPr>
        <w:t xml:space="preserve">, tačiau žymių AUC pokyčių nepastebėta. Todėl </w:t>
      </w:r>
      <w:proofErr w:type="spellStart"/>
      <w:r w:rsidRPr="004A478C">
        <w:rPr>
          <w:lang w:val="lt-LT"/>
        </w:rPr>
        <w:t>febuksostatą</w:t>
      </w:r>
      <w:proofErr w:type="spellEnd"/>
      <w:r w:rsidRPr="004A478C">
        <w:rPr>
          <w:lang w:val="lt-LT"/>
        </w:rPr>
        <w:t xml:space="preserve"> galima vartoti kartu su </w:t>
      </w:r>
      <w:proofErr w:type="spellStart"/>
      <w:r w:rsidRPr="004A478C">
        <w:rPr>
          <w:lang w:val="lt-LT"/>
        </w:rPr>
        <w:t>antacidiniais</w:t>
      </w:r>
      <w:proofErr w:type="spellEnd"/>
      <w:r w:rsidRPr="004A478C">
        <w:rPr>
          <w:lang w:val="lt-LT"/>
        </w:rPr>
        <w:t xml:space="preserve"> vaist</w:t>
      </w:r>
      <w:r w:rsidR="00A11533" w:rsidRPr="004A478C">
        <w:rPr>
          <w:lang w:val="lt-LT"/>
        </w:rPr>
        <w:t>ini</w:t>
      </w:r>
      <w:r w:rsidRPr="004A478C">
        <w:rPr>
          <w:lang w:val="lt-LT"/>
        </w:rPr>
        <w:t>ais</w:t>
      </w:r>
      <w:r w:rsidR="00A11533" w:rsidRPr="004A478C">
        <w:rPr>
          <w:lang w:val="lt-LT"/>
        </w:rPr>
        <w:t xml:space="preserve"> preparatais</w:t>
      </w:r>
      <w:r w:rsidRPr="004A478C">
        <w:rPr>
          <w:lang w:val="lt-LT"/>
        </w:rPr>
        <w:t xml:space="preserve">. </w:t>
      </w:r>
    </w:p>
    <w:p w14:paraId="7FB84B1A" w14:textId="77777777" w:rsidR="00273470" w:rsidRPr="004A478C" w:rsidRDefault="00273470" w:rsidP="003B28E4">
      <w:pPr>
        <w:tabs>
          <w:tab w:val="left" w:pos="4680"/>
        </w:tabs>
        <w:spacing w:line="240" w:lineRule="auto"/>
        <w:rPr>
          <w:lang w:val="lt-LT"/>
        </w:rPr>
      </w:pPr>
      <w:r w:rsidRPr="004A478C">
        <w:rPr>
          <w:lang w:val="lt-LT"/>
        </w:rPr>
        <w:t xml:space="preserve"> </w:t>
      </w:r>
    </w:p>
    <w:p w14:paraId="5C261942" w14:textId="77777777" w:rsidR="00273470" w:rsidRPr="004A478C" w:rsidRDefault="00273470" w:rsidP="003B28E4">
      <w:pPr>
        <w:pStyle w:val="Antrat4"/>
        <w:tabs>
          <w:tab w:val="center" w:pos="2509"/>
          <w:tab w:val="left" w:pos="4680"/>
        </w:tabs>
        <w:spacing w:line="240" w:lineRule="auto"/>
        <w:ind w:left="-15"/>
        <w:rPr>
          <w:rFonts w:ascii="Times New Roman" w:hAnsi="Times New Roman"/>
          <w:sz w:val="22"/>
          <w:lang w:val="lt-LT"/>
        </w:rPr>
      </w:pPr>
      <w:r w:rsidRPr="004A478C">
        <w:rPr>
          <w:rFonts w:ascii="Times New Roman" w:hAnsi="Times New Roman"/>
          <w:sz w:val="22"/>
          <w:lang w:val="lt-LT"/>
        </w:rPr>
        <w:t xml:space="preserve">4.6 </w:t>
      </w:r>
      <w:r w:rsidRPr="004A478C">
        <w:rPr>
          <w:rFonts w:ascii="Times New Roman" w:hAnsi="Times New Roman"/>
          <w:sz w:val="22"/>
          <w:lang w:val="lt-LT"/>
        </w:rPr>
        <w:tab/>
        <w:t xml:space="preserve">Vaisingumas, nėštumo ir žindymo laikotarpis </w:t>
      </w:r>
    </w:p>
    <w:p w14:paraId="3CA3D9B6" w14:textId="77777777" w:rsidR="00273470" w:rsidRPr="004A478C" w:rsidRDefault="00273470" w:rsidP="003B28E4">
      <w:pPr>
        <w:tabs>
          <w:tab w:val="left" w:pos="4680"/>
        </w:tabs>
        <w:spacing w:line="240" w:lineRule="auto"/>
        <w:rPr>
          <w:lang w:val="lt-LT"/>
        </w:rPr>
      </w:pPr>
      <w:r w:rsidRPr="004A478C">
        <w:rPr>
          <w:lang w:val="lt-LT"/>
        </w:rPr>
        <w:t xml:space="preserve"> </w:t>
      </w:r>
    </w:p>
    <w:p w14:paraId="74E3E1B2" w14:textId="77777777" w:rsidR="00273470" w:rsidRPr="004A478C" w:rsidRDefault="00273470" w:rsidP="003B28E4">
      <w:pPr>
        <w:tabs>
          <w:tab w:val="left" w:pos="4680"/>
        </w:tabs>
        <w:spacing w:line="240" w:lineRule="auto"/>
        <w:ind w:left="-5"/>
        <w:rPr>
          <w:u w:val="single"/>
          <w:lang w:val="lt-LT"/>
        </w:rPr>
      </w:pPr>
      <w:r w:rsidRPr="004A478C">
        <w:rPr>
          <w:u w:val="single"/>
          <w:lang w:val="lt-LT"/>
        </w:rPr>
        <w:t xml:space="preserve">Nėštumas </w:t>
      </w:r>
    </w:p>
    <w:p w14:paraId="65566DE9" w14:textId="77777777" w:rsidR="00273470" w:rsidRPr="004A478C" w:rsidRDefault="00273470" w:rsidP="003B28E4">
      <w:pPr>
        <w:tabs>
          <w:tab w:val="left" w:pos="4680"/>
        </w:tabs>
        <w:spacing w:line="240" w:lineRule="auto"/>
        <w:ind w:left="2" w:right="397"/>
        <w:rPr>
          <w:lang w:val="lt-LT"/>
        </w:rPr>
      </w:pPr>
      <w:r w:rsidRPr="004A478C">
        <w:rPr>
          <w:lang w:val="lt-LT"/>
        </w:rPr>
        <w:t xml:space="preserve">Labai ribotais duomenimis apie preparato vartojimą nėštumo metu, nepageidaujamo </w:t>
      </w:r>
      <w:proofErr w:type="spellStart"/>
      <w:r w:rsidRPr="004A478C">
        <w:rPr>
          <w:lang w:val="lt-LT"/>
        </w:rPr>
        <w:t>febuksostato</w:t>
      </w:r>
      <w:proofErr w:type="spellEnd"/>
      <w:r w:rsidRPr="004A478C">
        <w:rPr>
          <w:lang w:val="lt-LT"/>
        </w:rPr>
        <w:t xml:space="preserve"> poveikio nėštumui arba vaisiaus</w:t>
      </w:r>
      <w:r w:rsidR="00A11533" w:rsidRPr="004A478C">
        <w:rPr>
          <w:lang w:val="lt-LT"/>
        </w:rPr>
        <w:t xml:space="preserve"> ir </w:t>
      </w:r>
      <w:r w:rsidRPr="004A478C">
        <w:rPr>
          <w:lang w:val="lt-LT"/>
        </w:rPr>
        <w:t xml:space="preserve">naujagimio sveikatai nenustatyta. Tyrimai su gyvūnais tiesioginio ar netiesioginio kenksmingo poveikio nėštumo eigai, embriono ar vaisiaus vystymuisi, gimdymui ar </w:t>
      </w:r>
      <w:r w:rsidR="00A11533" w:rsidRPr="004A478C">
        <w:rPr>
          <w:lang w:val="lt-LT"/>
        </w:rPr>
        <w:t>jauniklių atsivedimui</w:t>
      </w:r>
      <w:r w:rsidRPr="004A478C">
        <w:rPr>
          <w:lang w:val="lt-LT"/>
        </w:rPr>
        <w:t xml:space="preserve"> neparodė (žr. 5.3 skyrių). Galimas pavojus žmogui nežinomas. </w:t>
      </w:r>
      <w:proofErr w:type="spellStart"/>
      <w:r w:rsidRPr="004A478C">
        <w:rPr>
          <w:lang w:val="lt-LT"/>
        </w:rPr>
        <w:t>Febuksostato</w:t>
      </w:r>
      <w:proofErr w:type="spellEnd"/>
      <w:r w:rsidRPr="004A478C">
        <w:rPr>
          <w:lang w:val="lt-LT"/>
        </w:rPr>
        <w:t xml:space="preserve"> nėštumo metu vartoti negalima. </w:t>
      </w:r>
    </w:p>
    <w:p w14:paraId="3FC37469" w14:textId="77777777" w:rsidR="00273470" w:rsidRPr="004A478C" w:rsidRDefault="00273470" w:rsidP="003B28E4">
      <w:pPr>
        <w:tabs>
          <w:tab w:val="left" w:pos="4680"/>
        </w:tabs>
        <w:spacing w:line="240" w:lineRule="auto"/>
        <w:rPr>
          <w:lang w:val="lt-LT"/>
        </w:rPr>
      </w:pPr>
      <w:r w:rsidRPr="004A478C">
        <w:rPr>
          <w:lang w:val="lt-LT"/>
        </w:rPr>
        <w:t xml:space="preserve"> </w:t>
      </w:r>
    </w:p>
    <w:p w14:paraId="4855C825" w14:textId="77777777" w:rsidR="00273470" w:rsidRPr="004A478C" w:rsidRDefault="00273470" w:rsidP="003B28E4">
      <w:pPr>
        <w:tabs>
          <w:tab w:val="left" w:pos="4680"/>
        </w:tabs>
        <w:spacing w:line="240" w:lineRule="auto"/>
        <w:ind w:left="-5"/>
        <w:rPr>
          <w:u w:val="single"/>
          <w:lang w:val="lt-LT"/>
        </w:rPr>
      </w:pPr>
      <w:r w:rsidRPr="004A478C">
        <w:rPr>
          <w:u w:val="single"/>
          <w:lang w:val="lt-LT"/>
        </w:rPr>
        <w:t xml:space="preserve">Žindymas </w:t>
      </w:r>
    </w:p>
    <w:p w14:paraId="1DEC11C7" w14:textId="77777777" w:rsidR="00273470" w:rsidRPr="004A478C" w:rsidRDefault="00273470" w:rsidP="003B28E4">
      <w:pPr>
        <w:tabs>
          <w:tab w:val="left" w:pos="4680"/>
        </w:tabs>
        <w:spacing w:line="240" w:lineRule="auto"/>
        <w:ind w:left="2" w:right="397"/>
        <w:rPr>
          <w:lang w:val="lt-LT"/>
        </w:rPr>
      </w:pPr>
      <w:r w:rsidRPr="004A478C">
        <w:rPr>
          <w:lang w:val="lt-LT"/>
        </w:rPr>
        <w:t xml:space="preserve">Nežinoma, ar </w:t>
      </w:r>
      <w:proofErr w:type="spellStart"/>
      <w:r w:rsidRPr="004A478C">
        <w:rPr>
          <w:lang w:val="lt-LT"/>
        </w:rPr>
        <w:t>febuksostato</w:t>
      </w:r>
      <w:proofErr w:type="spellEnd"/>
      <w:r w:rsidRPr="004A478C">
        <w:rPr>
          <w:lang w:val="lt-LT"/>
        </w:rPr>
        <w:t xml:space="preserve"> išsiskiria į moters pieną. Tyrimai su gyvūnais parodė, kad šios veikliosios medžiagos į patelių pieną išsiskiria ir ji turi neigiamą poveikį jauniklių vystymuisi. Pavojaus žindomiems kūdikiams atmesti negalima. </w:t>
      </w:r>
      <w:proofErr w:type="spellStart"/>
      <w:r w:rsidRPr="004A478C">
        <w:rPr>
          <w:lang w:val="lt-LT"/>
        </w:rPr>
        <w:t>Febuksostato</w:t>
      </w:r>
      <w:proofErr w:type="spellEnd"/>
      <w:r w:rsidRPr="004A478C">
        <w:rPr>
          <w:lang w:val="lt-LT"/>
        </w:rPr>
        <w:t xml:space="preserve"> negalima vartoti žindymo metu. </w:t>
      </w:r>
    </w:p>
    <w:p w14:paraId="0472CD13" w14:textId="77777777" w:rsidR="00273470" w:rsidRPr="004A478C" w:rsidRDefault="00273470" w:rsidP="003B28E4">
      <w:pPr>
        <w:tabs>
          <w:tab w:val="left" w:pos="4680"/>
        </w:tabs>
        <w:spacing w:line="240" w:lineRule="auto"/>
        <w:rPr>
          <w:lang w:val="lt-LT"/>
        </w:rPr>
      </w:pPr>
      <w:r w:rsidRPr="004A478C">
        <w:rPr>
          <w:lang w:val="lt-LT"/>
        </w:rPr>
        <w:t xml:space="preserve"> </w:t>
      </w:r>
    </w:p>
    <w:p w14:paraId="4331F3D8" w14:textId="77777777" w:rsidR="00273470" w:rsidRPr="004A478C" w:rsidRDefault="00273470" w:rsidP="003B28E4">
      <w:pPr>
        <w:tabs>
          <w:tab w:val="left" w:pos="4680"/>
        </w:tabs>
        <w:spacing w:line="240" w:lineRule="auto"/>
        <w:ind w:left="-5"/>
        <w:rPr>
          <w:u w:val="single"/>
          <w:lang w:val="lt-LT"/>
        </w:rPr>
      </w:pPr>
      <w:r w:rsidRPr="004A478C">
        <w:rPr>
          <w:u w:val="single"/>
          <w:lang w:val="lt-LT"/>
        </w:rPr>
        <w:t xml:space="preserve">Vaisingumas </w:t>
      </w:r>
    </w:p>
    <w:p w14:paraId="6E648A2B" w14:textId="0824CCBF" w:rsidR="00273470" w:rsidRPr="004A478C" w:rsidRDefault="00273470" w:rsidP="003B28E4">
      <w:pPr>
        <w:tabs>
          <w:tab w:val="left" w:pos="4680"/>
        </w:tabs>
        <w:spacing w:line="240" w:lineRule="auto"/>
        <w:ind w:left="2" w:right="397"/>
        <w:rPr>
          <w:lang w:val="lt-LT"/>
        </w:rPr>
      </w:pPr>
      <w:r w:rsidRPr="004A478C">
        <w:rPr>
          <w:lang w:val="lt-LT"/>
        </w:rPr>
        <w:t>Tyrimais su gyvūnais nustatyta, kad duodant 48</w:t>
      </w:r>
      <w:r w:rsidR="00E87295" w:rsidRPr="004A478C">
        <w:rPr>
          <w:lang w:val="lt-LT"/>
        </w:rPr>
        <w:t> mg</w:t>
      </w:r>
      <w:r w:rsidRPr="004A478C">
        <w:rPr>
          <w:lang w:val="lt-LT"/>
        </w:rPr>
        <w:t xml:space="preserve">/kg kūno svorio per parą su vaisto doze susijusio nepageidaujamo poveikio vaisingumui nebuvo (žr. 5.3 skyrių). </w:t>
      </w:r>
      <w:proofErr w:type="spellStart"/>
      <w:r w:rsidRPr="004A478C">
        <w:rPr>
          <w:lang w:val="lt-LT"/>
        </w:rPr>
        <w:t>Febu</w:t>
      </w:r>
      <w:r w:rsidR="00E402FE" w:rsidRPr="004A478C">
        <w:rPr>
          <w:lang w:val="lt-LT"/>
        </w:rPr>
        <w:t>ksostato</w:t>
      </w:r>
      <w:proofErr w:type="spellEnd"/>
      <w:r w:rsidR="00E402FE" w:rsidRPr="004A478C">
        <w:rPr>
          <w:lang w:val="lt-LT"/>
        </w:rPr>
        <w:t xml:space="preserve"> </w:t>
      </w:r>
      <w:r w:rsidRPr="004A478C">
        <w:rPr>
          <w:lang w:val="lt-LT"/>
        </w:rPr>
        <w:t xml:space="preserve">poveikis žmonių vaisingumui nežinomas. </w:t>
      </w:r>
    </w:p>
    <w:p w14:paraId="2215989F" w14:textId="77777777" w:rsidR="00273470" w:rsidRPr="004A478C" w:rsidRDefault="00273470" w:rsidP="003B28E4">
      <w:pPr>
        <w:tabs>
          <w:tab w:val="left" w:pos="4680"/>
        </w:tabs>
        <w:spacing w:line="240" w:lineRule="auto"/>
        <w:rPr>
          <w:lang w:val="lt-LT"/>
        </w:rPr>
      </w:pPr>
      <w:r w:rsidRPr="004A478C">
        <w:rPr>
          <w:lang w:val="lt-LT"/>
        </w:rPr>
        <w:t xml:space="preserve"> </w:t>
      </w:r>
    </w:p>
    <w:p w14:paraId="318CCF20" w14:textId="77777777" w:rsidR="00273470" w:rsidRPr="004A478C" w:rsidRDefault="00273470" w:rsidP="003B28E4">
      <w:pPr>
        <w:pStyle w:val="Antrat4"/>
        <w:tabs>
          <w:tab w:val="center" w:pos="2773"/>
          <w:tab w:val="left" w:pos="4680"/>
        </w:tabs>
        <w:spacing w:line="240" w:lineRule="auto"/>
        <w:ind w:left="-15"/>
        <w:rPr>
          <w:rFonts w:ascii="Times New Roman" w:hAnsi="Times New Roman"/>
          <w:sz w:val="22"/>
          <w:lang w:val="lt-LT"/>
        </w:rPr>
      </w:pPr>
      <w:r w:rsidRPr="004A478C">
        <w:rPr>
          <w:rFonts w:ascii="Times New Roman" w:hAnsi="Times New Roman"/>
          <w:sz w:val="22"/>
          <w:lang w:val="lt-LT"/>
        </w:rPr>
        <w:t xml:space="preserve">4.7 </w:t>
      </w:r>
      <w:r w:rsidRPr="004A478C">
        <w:rPr>
          <w:rFonts w:ascii="Times New Roman" w:hAnsi="Times New Roman"/>
          <w:sz w:val="22"/>
          <w:lang w:val="lt-LT"/>
        </w:rPr>
        <w:tab/>
        <w:t xml:space="preserve">Poveikis gebėjimui vairuoti ir valdyti mechanizmus </w:t>
      </w:r>
    </w:p>
    <w:p w14:paraId="01F2BD6B" w14:textId="77777777" w:rsidR="00273470" w:rsidRPr="004A478C" w:rsidRDefault="00273470" w:rsidP="003B28E4">
      <w:pPr>
        <w:tabs>
          <w:tab w:val="left" w:pos="4680"/>
        </w:tabs>
        <w:spacing w:line="240" w:lineRule="auto"/>
        <w:rPr>
          <w:lang w:val="lt-LT"/>
        </w:rPr>
      </w:pPr>
      <w:r w:rsidRPr="004A478C">
        <w:rPr>
          <w:lang w:val="lt-LT"/>
        </w:rPr>
        <w:t xml:space="preserve"> </w:t>
      </w:r>
    </w:p>
    <w:p w14:paraId="58596D96" w14:textId="756F017C" w:rsidR="00273470" w:rsidRPr="004A478C" w:rsidRDefault="00273470" w:rsidP="003B28E4">
      <w:pPr>
        <w:tabs>
          <w:tab w:val="left" w:pos="4680"/>
        </w:tabs>
        <w:spacing w:line="240" w:lineRule="auto"/>
        <w:ind w:left="2" w:right="397"/>
        <w:rPr>
          <w:lang w:val="lt-LT"/>
        </w:rPr>
      </w:pPr>
      <w:r w:rsidRPr="004A478C">
        <w:rPr>
          <w:lang w:val="lt-LT"/>
        </w:rPr>
        <w:t xml:space="preserve">Vartojant </w:t>
      </w:r>
      <w:proofErr w:type="spellStart"/>
      <w:r w:rsidRPr="004A478C">
        <w:rPr>
          <w:lang w:val="lt-LT"/>
        </w:rPr>
        <w:t>febuksostato</w:t>
      </w:r>
      <w:proofErr w:type="spellEnd"/>
      <w:r w:rsidRPr="004A478C">
        <w:rPr>
          <w:lang w:val="lt-LT"/>
        </w:rPr>
        <w:t xml:space="preserve"> pasireiškė mieguistumas, svaigulys, </w:t>
      </w:r>
      <w:proofErr w:type="spellStart"/>
      <w:r w:rsidRPr="004A478C">
        <w:rPr>
          <w:lang w:val="lt-LT"/>
        </w:rPr>
        <w:t>parestezija</w:t>
      </w:r>
      <w:proofErr w:type="spellEnd"/>
      <w:r w:rsidRPr="004A478C">
        <w:rPr>
          <w:lang w:val="lt-LT"/>
        </w:rPr>
        <w:t xml:space="preserve"> ir neryškus matymas. Prieš vairuodami, valdydami mechanizmus arba dalyvaudami pavojingoje veikloje pacientai turi būti visiškai įsitikinę, kad </w:t>
      </w:r>
      <w:proofErr w:type="spellStart"/>
      <w:r w:rsidRPr="004A478C">
        <w:rPr>
          <w:lang w:val="lt-LT"/>
        </w:rPr>
        <w:t>Febuxostat</w:t>
      </w:r>
      <w:proofErr w:type="spellEnd"/>
      <w:r w:rsidRPr="004A478C">
        <w:rPr>
          <w:lang w:val="lt-LT"/>
        </w:rPr>
        <w:t xml:space="preserve"> </w:t>
      </w:r>
      <w:proofErr w:type="spellStart"/>
      <w:r w:rsidR="002606A3" w:rsidRPr="004A478C">
        <w:rPr>
          <w:lang w:val="lt-LT"/>
        </w:rPr>
        <w:t>Zentiva</w:t>
      </w:r>
      <w:proofErr w:type="spellEnd"/>
      <w:r w:rsidR="002606A3" w:rsidRPr="004A478C">
        <w:rPr>
          <w:lang w:val="lt-LT"/>
        </w:rPr>
        <w:t xml:space="preserve"> </w:t>
      </w:r>
      <w:r w:rsidRPr="004A478C">
        <w:rPr>
          <w:lang w:val="lt-LT"/>
        </w:rPr>
        <w:t xml:space="preserve">neturi neigiamo poveikio jų gebėjimams. </w:t>
      </w:r>
    </w:p>
    <w:p w14:paraId="79CE0AC7" w14:textId="77777777" w:rsidR="00273470" w:rsidRPr="004A478C" w:rsidRDefault="00273470" w:rsidP="003B28E4">
      <w:pPr>
        <w:tabs>
          <w:tab w:val="left" w:pos="4680"/>
        </w:tabs>
        <w:spacing w:line="240" w:lineRule="auto"/>
        <w:rPr>
          <w:lang w:val="lt-LT"/>
        </w:rPr>
      </w:pPr>
      <w:r w:rsidRPr="004A478C">
        <w:rPr>
          <w:lang w:val="lt-LT"/>
        </w:rPr>
        <w:lastRenderedPageBreak/>
        <w:t xml:space="preserve"> </w:t>
      </w:r>
    </w:p>
    <w:p w14:paraId="70806BBA" w14:textId="77777777" w:rsidR="00273470" w:rsidRPr="004A478C" w:rsidRDefault="00273470" w:rsidP="003B28E4">
      <w:pPr>
        <w:pStyle w:val="Antrat4"/>
        <w:tabs>
          <w:tab w:val="center" w:pos="1682"/>
          <w:tab w:val="left" w:pos="4680"/>
        </w:tabs>
        <w:spacing w:line="240" w:lineRule="auto"/>
        <w:ind w:left="-15"/>
        <w:rPr>
          <w:rFonts w:ascii="Times New Roman" w:hAnsi="Times New Roman"/>
          <w:sz w:val="22"/>
          <w:lang w:val="lt-LT"/>
        </w:rPr>
      </w:pPr>
      <w:r w:rsidRPr="004A478C">
        <w:rPr>
          <w:rFonts w:ascii="Times New Roman" w:hAnsi="Times New Roman"/>
          <w:sz w:val="22"/>
          <w:lang w:val="lt-LT"/>
        </w:rPr>
        <w:t xml:space="preserve">4.8 </w:t>
      </w:r>
      <w:r w:rsidRPr="004A478C">
        <w:rPr>
          <w:rFonts w:ascii="Times New Roman" w:hAnsi="Times New Roman"/>
          <w:sz w:val="22"/>
          <w:lang w:val="lt-LT"/>
        </w:rPr>
        <w:tab/>
        <w:t xml:space="preserve">Nepageidaujamas poveikis </w:t>
      </w:r>
    </w:p>
    <w:p w14:paraId="09B1AD18" w14:textId="77777777" w:rsidR="00273470" w:rsidRPr="004A478C" w:rsidRDefault="00273470" w:rsidP="003B28E4">
      <w:pPr>
        <w:tabs>
          <w:tab w:val="left" w:pos="4680"/>
        </w:tabs>
        <w:spacing w:line="240" w:lineRule="auto"/>
        <w:rPr>
          <w:lang w:val="lt-LT"/>
        </w:rPr>
      </w:pPr>
      <w:r w:rsidRPr="004A478C">
        <w:rPr>
          <w:lang w:val="lt-LT"/>
        </w:rPr>
        <w:t xml:space="preserve">  </w:t>
      </w:r>
    </w:p>
    <w:p w14:paraId="004A2234" w14:textId="77777777" w:rsidR="00273470" w:rsidRPr="004A478C" w:rsidRDefault="00273470" w:rsidP="003B28E4">
      <w:pPr>
        <w:tabs>
          <w:tab w:val="left" w:pos="4680"/>
        </w:tabs>
        <w:spacing w:line="240" w:lineRule="auto"/>
        <w:ind w:left="-5"/>
        <w:rPr>
          <w:u w:val="single"/>
          <w:lang w:val="lt-LT"/>
        </w:rPr>
      </w:pPr>
      <w:r w:rsidRPr="004A478C">
        <w:rPr>
          <w:u w:val="single"/>
          <w:lang w:val="lt-LT"/>
        </w:rPr>
        <w:t xml:space="preserve">Saugumo </w:t>
      </w:r>
      <w:r w:rsidR="00A11533" w:rsidRPr="004A478C">
        <w:rPr>
          <w:u w:val="single"/>
          <w:lang w:val="lt-LT"/>
        </w:rPr>
        <w:t xml:space="preserve">duomenų </w:t>
      </w:r>
      <w:r w:rsidRPr="004A478C">
        <w:rPr>
          <w:u w:val="single"/>
          <w:lang w:val="lt-LT"/>
        </w:rPr>
        <w:t xml:space="preserve">santrauka </w:t>
      </w:r>
    </w:p>
    <w:p w14:paraId="370EC603" w14:textId="6695E5E8" w:rsidR="00273470" w:rsidRPr="004A478C" w:rsidRDefault="00273470" w:rsidP="003B28E4">
      <w:pPr>
        <w:tabs>
          <w:tab w:val="left" w:pos="4680"/>
        </w:tabs>
        <w:spacing w:line="240" w:lineRule="auto"/>
        <w:ind w:left="2" w:right="397"/>
        <w:rPr>
          <w:lang w:val="lt-LT"/>
        </w:rPr>
      </w:pPr>
      <w:r w:rsidRPr="004A478C">
        <w:rPr>
          <w:lang w:val="lt-LT"/>
        </w:rPr>
        <w:t>Klinikinių tyrimų metu (iš viso 4072 pacientai suvartojo bent vieną 10</w:t>
      </w:r>
      <w:r w:rsidR="00E87295" w:rsidRPr="004A478C">
        <w:rPr>
          <w:lang w:val="lt-LT"/>
        </w:rPr>
        <w:t> mg</w:t>
      </w:r>
      <w:r w:rsidRPr="004A478C">
        <w:rPr>
          <w:lang w:val="lt-LT"/>
        </w:rPr>
        <w:t xml:space="preserve"> - 300</w:t>
      </w:r>
      <w:r w:rsidR="00E87295" w:rsidRPr="004A478C">
        <w:rPr>
          <w:lang w:val="lt-LT"/>
        </w:rPr>
        <w:t> mg</w:t>
      </w:r>
      <w:r w:rsidRPr="004A478C">
        <w:rPr>
          <w:lang w:val="lt-LT"/>
        </w:rPr>
        <w:t xml:space="preserve"> dozę)</w:t>
      </w:r>
      <w:r w:rsidR="003E71FD" w:rsidRPr="004A478C">
        <w:rPr>
          <w:lang w:val="lt-LT"/>
        </w:rPr>
        <w:t xml:space="preserve">, </w:t>
      </w:r>
      <w:proofErr w:type="spellStart"/>
      <w:r w:rsidR="003E71FD" w:rsidRPr="004A478C">
        <w:rPr>
          <w:lang w:val="lt-LT"/>
        </w:rPr>
        <w:t>poregistracinių</w:t>
      </w:r>
      <w:proofErr w:type="spellEnd"/>
      <w:r w:rsidR="003E71FD" w:rsidRPr="004A478C">
        <w:rPr>
          <w:lang w:val="lt-LT"/>
        </w:rPr>
        <w:t xml:space="preserve"> saugumo tyrimų metu (FAST tyrimas: 3 001 tiriamasis buvo gydomas mažiausiai 80-120 mg doze)</w:t>
      </w:r>
      <w:r w:rsidRPr="004A478C">
        <w:rPr>
          <w:lang w:val="lt-LT"/>
        </w:rPr>
        <w:t xml:space="preserve"> ir po vaistinio preparato </w:t>
      </w:r>
      <w:r w:rsidR="0094630F" w:rsidRPr="004A478C">
        <w:rPr>
          <w:lang w:val="lt-LT"/>
        </w:rPr>
        <w:t>registracijos</w:t>
      </w:r>
      <w:r w:rsidRPr="004A478C">
        <w:rPr>
          <w:lang w:val="lt-LT"/>
        </w:rPr>
        <w:t xml:space="preserve"> dažniausios nepageidaujamos reakcijos sergantiems podagra pacientams buvo podagros priepuoliai, kepenų funkcijos sutrikimas, viduriavimas, pykinimas, galvos skausmas,</w:t>
      </w:r>
      <w:r w:rsidR="003E71FD" w:rsidRPr="004A478C">
        <w:rPr>
          <w:lang w:val="lt-LT"/>
        </w:rPr>
        <w:t xml:space="preserve"> svaigulys, dusulys,</w:t>
      </w:r>
      <w:r w:rsidRPr="004A478C">
        <w:rPr>
          <w:lang w:val="lt-LT"/>
        </w:rPr>
        <w:t xml:space="preserve"> išbėrimas</w:t>
      </w:r>
      <w:r w:rsidR="009115BA" w:rsidRPr="004A478C">
        <w:rPr>
          <w:lang w:val="lt-LT"/>
        </w:rPr>
        <w:t xml:space="preserve">, niežėjimas, </w:t>
      </w:r>
      <w:proofErr w:type="spellStart"/>
      <w:r w:rsidR="009115BA" w:rsidRPr="004A478C">
        <w:rPr>
          <w:lang w:val="lt-LT"/>
        </w:rPr>
        <w:t>artralgija</w:t>
      </w:r>
      <w:proofErr w:type="spellEnd"/>
      <w:r w:rsidR="009115BA" w:rsidRPr="004A478C">
        <w:rPr>
          <w:lang w:val="lt-LT"/>
        </w:rPr>
        <w:t xml:space="preserve">, </w:t>
      </w:r>
      <w:proofErr w:type="spellStart"/>
      <w:r w:rsidR="009115BA" w:rsidRPr="004A478C">
        <w:rPr>
          <w:lang w:val="lt-LT"/>
        </w:rPr>
        <w:t>mialgoja</w:t>
      </w:r>
      <w:proofErr w:type="spellEnd"/>
      <w:r w:rsidR="009115BA" w:rsidRPr="004A478C">
        <w:rPr>
          <w:lang w:val="lt-LT"/>
        </w:rPr>
        <w:t>, galūnių skausmas,</w:t>
      </w:r>
      <w:r w:rsidRPr="004A478C">
        <w:rPr>
          <w:lang w:val="lt-LT"/>
        </w:rPr>
        <w:t xml:space="preserve"> edema</w:t>
      </w:r>
      <w:r w:rsidR="009115BA" w:rsidRPr="004A478C">
        <w:rPr>
          <w:lang w:val="lt-LT"/>
        </w:rPr>
        <w:t xml:space="preserve"> ir nuovargis</w:t>
      </w:r>
      <w:r w:rsidRPr="004A478C">
        <w:rPr>
          <w:lang w:val="lt-LT"/>
        </w:rPr>
        <w:t xml:space="preserve">. Šios nepageidaujamos reakcijos dažniausiai buvo nesunkios arba vidutinio sunkumo. Po vaistinio preparato patekimo į rinką sunkios padidėjusio jautrumo reakcijos į </w:t>
      </w:r>
      <w:proofErr w:type="spellStart"/>
      <w:r w:rsidRPr="004A478C">
        <w:rPr>
          <w:lang w:val="lt-LT"/>
        </w:rPr>
        <w:t>febuksostatą</w:t>
      </w:r>
      <w:proofErr w:type="spellEnd"/>
      <w:r w:rsidRPr="004A478C">
        <w:rPr>
          <w:lang w:val="lt-LT"/>
        </w:rPr>
        <w:t>, kai kurios iš jų susijusios su sisteminiais požymiais</w:t>
      </w:r>
      <w:r w:rsidR="00E402FE" w:rsidRPr="004A478C">
        <w:rPr>
          <w:lang w:val="lt-LT"/>
        </w:rPr>
        <w:t xml:space="preserve"> ir staigios </w:t>
      </w:r>
      <w:proofErr w:type="spellStart"/>
      <w:r w:rsidR="00E402FE" w:rsidRPr="004A478C">
        <w:rPr>
          <w:lang w:val="lt-LT"/>
        </w:rPr>
        <w:t>kardialinės</w:t>
      </w:r>
      <w:proofErr w:type="spellEnd"/>
      <w:r w:rsidR="00E402FE" w:rsidRPr="004A478C">
        <w:rPr>
          <w:lang w:val="lt-LT"/>
        </w:rPr>
        <w:t xml:space="preserve"> mirties atvejai</w:t>
      </w:r>
      <w:r w:rsidRPr="004A478C">
        <w:rPr>
          <w:lang w:val="lt-LT"/>
        </w:rPr>
        <w:t xml:space="preserve"> pasitaikė retai.  </w:t>
      </w:r>
    </w:p>
    <w:p w14:paraId="4CCF1F82" w14:textId="77777777" w:rsidR="00273470" w:rsidRPr="004A478C" w:rsidRDefault="00273470" w:rsidP="003B28E4">
      <w:pPr>
        <w:tabs>
          <w:tab w:val="left" w:pos="4680"/>
        </w:tabs>
        <w:spacing w:line="240" w:lineRule="auto"/>
        <w:rPr>
          <w:lang w:val="lt-LT"/>
        </w:rPr>
      </w:pPr>
      <w:r w:rsidRPr="004A478C">
        <w:rPr>
          <w:lang w:val="lt-LT"/>
        </w:rPr>
        <w:t xml:space="preserve"> </w:t>
      </w:r>
    </w:p>
    <w:p w14:paraId="40F88BDA" w14:textId="67F730D4" w:rsidR="00273470" w:rsidRPr="004A478C" w:rsidRDefault="00273470" w:rsidP="003B28E4">
      <w:pPr>
        <w:tabs>
          <w:tab w:val="left" w:pos="4680"/>
        </w:tabs>
        <w:spacing w:line="240" w:lineRule="auto"/>
        <w:ind w:left="-5"/>
        <w:rPr>
          <w:u w:val="single"/>
          <w:lang w:val="lt-LT"/>
        </w:rPr>
      </w:pPr>
      <w:r w:rsidRPr="004A478C">
        <w:rPr>
          <w:u w:val="single"/>
          <w:lang w:val="lt-LT"/>
        </w:rPr>
        <w:t xml:space="preserve">Nepageidaujamų reakcijų </w:t>
      </w:r>
      <w:r w:rsidR="000954C1">
        <w:rPr>
          <w:iCs/>
          <w:szCs w:val="22"/>
          <w:u w:val="single"/>
          <w:lang w:val="lt-LT"/>
        </w:rPr>
        <w:t>santrauka</w:t>
      </w:r>
      <w:r w:rsidRPr="004A478C">
        <w:rPr>
          <w:u w:val="single"/>
          <w:lang w:val="lt-LT"/>
        </w:rPr>
        <w:t xml:space="preserve"> lentelėje </w:t>
      </w:r>
    </w:p>
    <w:p w14:paraId="7422130A" w14:textId="3C00D451" w:rsidR="00273470" w:rsidRPr="004A478C" w:rsidRDefault="00273470" w:rsidP="003B28E4">
      <w:pPr>
        <w:tabs>
          <w:tab w:val="left" w:pos="4680"/>
        </w:tabs>
        <w:spacing w:line="240" w:lineRule="auto"/>
        <w:ind w:left="2" w:right="397"/>
        <w:rPr>
          <w:lang w:val="lt-LT"/>
        </w:rPr>
      </w:pPr>
      <w:r w:rsidRPr="004A478C">
        <w:rPr>
          <w:lang w:val="lt-LT"/>
        </w:rPr>
        <w:t xml:space="preserve">Toliau išvardytos nepageidaujamos reakcijos, pasireiškusios vartojant </w:t>
      </w:r>
      <w:proofErr w:type="spellStart"/>
      <w:r w:rsidRPr="004A478C">
        <w:rPr>
          <w:lang w:val="lt-LT"/>
        </w:rPr>
        <w:t>febuksostatą</w:t>
      </w:r>
      <w:proofErr w:type="spellEnd"/>
      <w:r w:rsidR="000954C1">
        <w:rPr>
          <w:szCs w:val="22"/>
          <w:lang w:val="lt-LT"/>
        </w:rPr>
        <w:t xml:space="preserve">. </w:t>
      </w:r>
      <w:r w:rsidR="000954C1" w:rsidRPr="000954C1">
        <w:rPr>
          <w:snapToGrid/>
          <w:szCs w:val="22"/>
          <w:lang w:val="lt-LT"/>
        </w:rPr>
        <w:t xml:space="preserve">Nepageidaujamo poveikio </w:t>
      </w:r>
      <w:r w:rsidR="000954C1" w:rsidRPr="000954C1">
        <w:rPr>
          <w:snapToGrid/>
          <w:lang w:val="lt-LT"/>
        </w:rPr>
        <w:t>dažnis apibūdinamas taip</w:t>
      </w:r>
      <w:r w:rsidRPr="004B0C8F">
        <w:rPr>
          <w:szCs w:val="22"/>
          <w:lang w:val="lt-LT"/>
        </w:rPr>
        <w:t>: dažn</w:t>
      </w:r>
      <w:r w:rsidR="000954C1">
        <w:rPr>
          <w:szCs w:val="22"/>
          <w:lang w:val="lt-LT"/>
        </w:rPr>
        <w:t>as</w:t>
      </w:r>
      <w:r w:rsidRPr="004A478C">
        <w:rPr>
          <w:lang w:val="lt-LT"/>
        </w:rPr>
        <w:t xml:space="preserve"> (nuo ≥ 1/100 iki &lt; 1/10), </w:t>
      </w:r>
      <w:r w:rsidRPr="004B0C8F">
        <w:rPr>
          <w:szCs w:val="22"/>
          <w:lang w:val="lt-LT"/>
        </w:rPr>
        <w:t>nedažn</w:t>
      </w:r>
      <w:r w:rsidR="000954C1">
        <w:rPr>
          <w:szCs w:val="22"/>
          <w:lang w:val="lt-LT"/>
        </w:rPr>
        <w:t>as</w:t>
      </w:r>
      <w:r w:rsidRPr="004A478C">
        <w:rPr>
          <w:lang w:val="lt-LT"/>
        </w:rPr>
        <w:t xml:space="preserve"> (nuo ≥ 1/1</w:t>
      </w:r>
      <w:r w:rsidR="009115BA" w:rsidRPr="004A478C">
        <w:rPr>
          <w:lang w:val="lt-LT"/>
        </w:rPr>
        <w:t> </w:t>
      </w:r>
      <w:r w:rsidRPr="004A478C">
        <w:rPr>
          <w:lang w:val="lt-LT"/>
        </w:rPr>
        <w:t>000 iki</w:t>
      </w:r>
      <w:r w:rsidR="009115BA" w:rsidRPr="004A478C">
        <w:rPr>
          <w:lang w:val="lt-LT"/>
        </w:rPr>
        <w:t xml:space="preserve"> </w:t>
      </w:r>
      <w:r w:rsidRPr="004A478C">
        <w:rPr>
          <w:lang w:val="lt-LT"/>
        </w:rPr>
        <w:t xml:space="preserve">&lt; 1/100) ir </w:t>
      </w:r>
      <w:r w:rsidRPr="004B0C8F">
        <w:rPr>
          <w:szCs w:val="22"/>
          <w:lang w:val="lt-LT"/>
        </w:rPr>
        <w:t>ret</w:t>
      </w:r>
      <w:r w:rsidR="000954C1">
        <w:rPr>
          <w:szCs w:val="22"/>
          <w:lang w:val="lt-LT"/>
        </w:rPr>
        <w:t>as</w:t>
      </w:r>
      <w:r w:rsidRPr="004A478C">
        <w:rPr>
          <w:lang w:val="lt-LT"/>
        </w:rPr>
        <w:t xml:space="preserve"> (nuo </w:t>
      </w:r>
      <w:r w:rsidR="00A11533" w:rsidRPr="004A478C">
        <w:rPr>
          <w:rFonts w:eastAsia="Segoe UI Symbol"/>
          <w:lang w:val="lt-LT"/>
        </w:rPr>
        <w:t>≥</w:t>
      </w:r>
      <w:r w:rsidRPr="004A478C">
        <w:rPr>
          <w:lang w:val="lt-LT"/>
        </w:rPr>
        <w:t xml:space="preserve"> 1/10 000 iki &lt; 1/1</w:t>
      </w:r>
      <w:r w:rsidR="009115BA" w:rsidRPr="004A478C">
        <w:rPr>
          <w:lang w:val="lt-LT"/>
        </w:rPr>
        <w:t> </w:t>
      </w:r>
      <w:r w:rsidRPr="004A478C">
        <w:rPr>
          <w:lang w:val="lt-LT"/>
        </w:rPr>
        <w:t xml:space="preserve">000). </w:t>
      </w:r>
    </w:p>
    <w:p w14:paraId="5A416AE1" w14:textId="77777777" w:rsidR="00273470" w:rsidRPr="004A478C" w:rsidRDefault="00273470" w:rsidP="003B28E4">
      <w:pPr>
        <w:tabs>
          <w:tab w:val="left" w:pos="4680"/>
        </w:tabs>
        <w:spacing w:line="240" w:lineRule="auto"/>
        <w:ind w:left="2" w:right="397"/>
        <w:rPr>
          <w:lang w:val="lt-LT"/>
        </w:rPr>
      </w:pPr>
      <w:r w:rsidRPr="004A478C">
        <w:rPr>
          <w:lang w:val="lt-LT"/>
        </w:rPr>
        <w:t xml:space="preserve">Nepageidaujamų reakcijų dažnumas nustatytas, remiantis tyrimais po vaistinio preparato patekimo į rinką podagra sergantiems pacientams. </w:t>
      </w:r>
    </w:p>
    <w:p w14:paraId="1AAE2A82" w14:textId="77777777" w:rsidR="00273470" w:rsidRPr="004A478C" w:rsidRDefault="00273470" w:rsidP="003B28E4">
      <w:pPr>
        <w:tabs>
          <w:tab w:val="left" w:pos="4680"/>
        </w:tabs>
        <w:spacing w:line="240" w:lineRule="auto"/>
        <w:ind w:left="2" w:right="397"/>
        <w:rPr>
          <w:lang w:val="lt-LT"/>
        </w:rPr>
      </w:pPr>
      <w:r w:rsidRPr="004A478C">
        <w:rPr>
          <w:lang w:val="lt-LT"/>
        </w:rPr>
        <w:t xml:space="preserve">Kiekvienoje dažnio grupėje nepageidaujamos reakcijos pateikiamos mažėjančio sunkumo tvarka. </w:t>
      </w:r>
    </w:p>
    <w:p w14:paraId="26A17EDE" w14:textId="77777777" w:rsidR="00273470" w:rsidRPr="004A478C" w:rsidRDefault="00273470" w:rsidP="003B28E4">
      <w:pPr>
        <w:tabs>
          <w:tab w:val="left" w:pos="4680"/>
        </w:tabs>
        <w:spacing w:line="240" w:lineRule="auto"/>
        <w:rPr>
          <w:lang w:val="lt-LT"/>
        </w:rPr>
      </w:pPr>
      <w:r w:rsidRPr="004A478C">
        <w:rPr>
          <w:i/>
          <w:lang w:val="lt-LT"/>
        </w:rPr>
        <w:t xml:space="preserve"> </w:t>
      </w:r>
    </w:p>
    <w:p w14:paraId="1C8CC29F" w14:textId="4A786E4F" w:rsidR="00273470" w:rsidRPr="004A478C" w:rsidRDefault="00273470" w:rsidP="003B28E4">
      <w:pPr>
        <w:tabs>
          <w:tab w:val="left" w:pos="4680"/>
        </w:tabs>
        <w:spacing w:line="240" w:lineRule="auto"/>
        <w:ind w:left="-5"/>
        <w:rPr>
          <w:lang w:val="lt-LT"/>
        </w:rPr>
      </w:pPr>
      <w:r w:rsidRPr="004A478C">
        <w:rPr>
          <w:i/>
          <w:lang w:val="lt-LT"/>
        </w:rPr>
        <w:t>1 lentelė. Nepageidaujamos reakcijos</w:t>
      </w:r>
      <w:r w:rsidR="00257C07" w:rsidRPr="004A478C">
        <w:rPr>
          <w:i/>
          <w:lang w:val="lt-LT"/>
        </w:rPr>
        <w:t xml:space="preserve"> nustatytos </w:t>
      </w:r>
      <w:r w:rsidRPr="004A478C">
        <w:rPr>
          <w:i/>
          <w:lang w:val="lt-LT"/>
        </w:rPr>
        <w:t>jungtinių 3 fazės ilgalaikių tęstinių tyrimų metu</w:t>
      </w:r>
      <w:r w:rsidR="009115BA" w:rsidRPr="004A478C">
        <w:rPr>
          <w:i/>
          <w:lang w:val="lt-LT"/>
        </w:rPr>
        <w:t xml:space="preserve">, </w:t>
      </w:r>
      <w:proofErr w:type="spellStart"/>
      <w:r w:rsidR="009115BA" w:rsidRPr="004A478C">
        <w:rPr>
          <w:i/>
          <w:lang w:val="lt-LT"/>
        </w:rPr>
        <w:t>poregistracinių</w:t>
      </w:r>
      <w:proofErr w:type="spellEnd"/>
      <w:r w:rsidR="009115BA" w:rsidRPr="004A478C">
        <w:rPr>
          <w:i/>
          <w:lang w:val="lt-LT"/>
        </w:rPr>
        <w:t xml:space="preserve"> saugumo tyrimų metu</w:t>
      </w:r>
      <w:r w:rsidRPr="004A478C">
        <w:rPr>
          <w:i/>
          <w:lang w:val="lt-LT"/>
        </w:rPr>
        <w:t xml:space="preserve"> ir po vaistinio preparato patekimo į rinką podagra sergantiems pacientams. </w:t>
      </w:r>
    </w:p>
    <w:tbl>
      <w:tblPr>
        <w:tblW w:w="8756" w:type="dxa"/>
        <w:tblInd w:w="-103" w:type="dxa"/>
        <w:tblCellMar>
          <w:top w:w="45" w:type="dxa"/>
          <w:left w:w="100" w:type="dxa"/>
          <w:right w:w="72" w:type="dxa"/>
        </w:tblCellMar>
        <w:tblLook w:val="04A0" w:firstRow="1" w:lastRow="0" w:firstColumn="1" w:lastColumn="0" w:noHBand="0" w:noVBand="1"/>
      </w:tblPr>
      <w:tblGrid>
        <w:gridCol w:w="3034"/>
        <w:gridCol w:w="5722"/>
      </w:tblGrid>
      <w:tr w:rsidR="00273470" w:rsidRPr="007F09F8" w14:paraId="716CE0F6" w14:textId="77777777" w:rsidTr="004A478C">
        <w:trPr>
          <w:trHeight w:val="486"/>
        </w:trPr>
        <w:tc>
          <w:tcPr>
            <w:tcW w:w="3034" w:type="dxa"/>
            <w:tcBorders>
              <w:top w:val="single" w:sz="4" w:space="0" w:color="000000"/>
              <w:left w:val="single" w:sz="4" w:space="0" w:color="000000"/>
              <w:bottom w:val="single" w:sz="3" w:space="0" w:color="000000"/>
              <w:right w:val="single" w:sz="4" w:space="0" w:color="000000"/>
            </w:tcBorders>
            <w:shd w:val="clear" w:color="auto" w:fill="auto"/>
          </w:tcPr>
          <w:p w14:paraId="5F131B89" w14:textId="77777777" w:rsidR="00273470" w:rsidRPr="004A478C" w:rsidRDefault="00273470" w:rsidP="003B28E4">
            <w:pPr>
              <w:tabs>
                <w:tab w:val="left" w:pos="4680"/>
              </w:tabs>
              <w:spacing w:line="240" w:lineRule="auto"/>
              <w:ind w:left="3"/>
              <w:rPr>
                <w:lang w:val="lt-LT"/>
              </w:rPr>
            </w:pPr>
            <w:r w:rsidRPr="004A478C">
              <w:rPr>
                <w:lang w:val="lt-LT"/>
              </w:rPr>
              <w:t xml:space="preserve">Kraujo ir limfinės sistemos sutrikimai </w:t>
            </w:r>
          </w:p>
        </w:tc>
        <w:tc>
          <w:tcPr>
            <w:tcW w:w="5722" w:type="dxa"/>
            <w:tcBorders>
              <w:top w:val="single" w:sz="4" w:space="0" w:color="000000"/>
              <w:left w:val="single" w:sz="4" w:space="0" w:color="000000"/>
              <w:bottom w:val="single" w:sz="3" w:space="0" w:color="000000"/>
              <w:right w:val="single" w:sz="3" w:space="0" w:color="000000"/>
            </w:tcBorders>
            <w:shd w:val="clear" w:color="auto" w:fill="auto"/>
          </w:tcPr>
          <w:p w14:paraId="7B14456F" w14:textId="06DDF97A" w:rsidR="00273470" w:rsidRPr="004A478C" w:rsidRDefault="00273470" w:rsidP="004A478C">
            <w:pPr>
              <w:tabs>
                <w:tab w:val="left" w:pos="5552"/>
              </w:tabs>
              <w:spacing w:line="240" w:lineRule="auto"/>
              <w:ind w:left="1"/>
              <w:rPr>
                <w:lang w:val="lt-LT"/>
              </w:rPr>
            </w:pPr>
            <w:r w:rsidRPr="004B0C8F">
              <w:rPr>
                <w:szCs w:val="22"/>
                <w:u w:val="single" w:color="000000"/>
                <w:lang w:val="lt-LT"/>
              </w:rPr>
              <w:t>Ret</w:t>
            </w:r>
            <w:r w:rsidR="000954C1">
              <w:rPr>
                <w:szCs w:val="22"/>
                <w:u w:val="single" w:color="000000"/>
                <w:lang w:val="lt-LT"/>
              </w:rPr>
              <w:t>as</w:t>
            </w:r>
            <w:r w:rsidRPr="004A478C">
              <w:rPr>
                <w:lang w:val="lt-LT"/>
              </w:rPr>
              <w:t xml:space="preserve"> </w:t>
            </w:r>
          </w:p>
          <w:p w14:paraId="53B8BE64" w14:textId="7A1FCBF3" w:rsidR="00273470" w:rsidRPr="004A478C" w:rsidRDefault="00273470" w:rsidP="004A478C">
            <w:pPr>
              <w:tabs>
                <w:tab w:val="left" w:pos="5552"/>
              </w:tabs>
              <w:spacing w:line="240" w:lineRule="auto"/>
              <w:ind w:left="1"/>
              <w:rPr>
                <w:lang w:val="lt-LT"/>
              </w:rPr>
            </w:pPr>
            <w:proofErr w:type="spellStart"/>
            <w:r w:rsidRPr="004A478C">
              <w:rPr>
                <w:lang w:val="lt-LT"/>
              </w:rPr>
              <w:t>Pancitopenija</w:t>
            </w:r>
            <w:proofErr w:type="spellEnd"/>
            <w:r w:rsidRPr="004A478C">
              <w:rPr>
                <w:lang w:val="lt-LT"/>
              </w:rPr>
              <w:t xml:space="preserve">, </w:t>
            </w:r>
            <w:proofErr w:type="spellStart"/>
            <w:r w:rsidRPr="004A478C">
              <w:rPr>
                <w:lang w:val="lt-LT"/>
              </w:rPr>
              <w:t>trombocitopenija</w:t>
            </w:r>
            <w:proofErr w:type="spellEnd"/>
            <w:r w:rsidRPr="004A478C">
              <w:rPr>
                <w:lang w:val="lt-LT"/>
              </w:rPr>
              <w:t xml:space="preserve">, </w:t>
            </w:r>
            <w:proofErr w:type="spellStart"/>
            <w:r w:rsidR="00E402FE" w:rsidRPr="004A478C">
              <w:rPr>
                <w:lang w:val="lt-LT"/>
              </w:rPr>
              <w:t>agranulocitozė</w:t>
            </w:r>
            <w:proofErr w:type="spellEnd"/>
            <w:r w:rsidR="00E402FE" w:rsidRPr="004A478C">
              <w:rPr>
                <w:lang w:val="lt-LT"/>
              </w:rPr>
              <w:t>*</w:t>
            </w:r>
            <w:r w:rsidR="009115BA" w:rsidRPr="004A478C">
              <w:rPr>
                <w:lang w:val="lt-LT"/>
              </w:rPr>
              <w:t>, anemija</w:t>
            </w:r>
            <w:r w:rsidR="009115BA" w:rsidRPr="004A478C">
              <w:rPr>
                <w:vertAlign w:val="superscript"/>
                <w:lang w:val="lt-LT"/>
              </w:rPr>
              <w:t>#</w:t>
            </w:r>
            <w:r w:rsidRPr="004A478C">
              <w:rPr>
                <w:lang w:val="lt-LT"/>
              </w:rPr>
              <w:t xml:space="preserve"> </w:t>
            </w:r>
          </w:p>
        </w:tc>
      </w:tr>
      <w:tr w:rsidR="00273470" w:rsidRPr="004A478C" w14:paraId="2E6EE626" w14:textId="77777777" w:rsidTr="004A478C">
        <w:trPr>
          <w:trHeight w:val="485"/>
        </w:trPr>
        <w:tc>
          <w:tcPr>
            <w:tcW w:w="3034" w:type="dxa"/>
            <w:tcBorders>
              <w:top w:val="single" w:sz="3" w:space="0" w:color="000000"/>
              <w:left w:val="single" w:sz="4" w:space="0" w:color="000000"/>
              <w:bottom w:val="single" w:sz="3" w:space="0" w:color="000000"/>
              <w:right w:val="single" w:sz="4" w:space="0" w:color="000000"/>
            </w:tcBorders>
            <w:shd w:val="clear" w:color="auto" w:fill="auto"/>
          </w:tcPr>
          <w:p w14:paraId="78FF2703" w14:textId="77777777" w:rsidR="00273470" w:rsidRPr="004A478C" w:rsidRDefault="00273470" w:rsidP="003B28E4">
            <w:pPr>
              <w:tabs>
                <w:tab w:val="left" w:pos="4680"/>
              </w:tabs>
              <w:spacing w:line="240" w:lineRule="auto"/>
              <w:ind w:left="3"/>
              <w:rPr>
                <w:lang w:val="lt-LT"/>
              </w:rPr>
            </w:pPr>
            <w:r w:rsidRPr="004A478C">
              <w:rPr>
                <w:lang w:val="lt-LT"/>
              </w:rPr>
              <w:t xml:space="preserve">Imuninės sistemos sutrikimai </w:t>
            </w:r>
          </w:p>
        </w:tc>
        <w:tc>
          <w:tcPr>
            <w:tcW w:w="5722" w:type="dxa"/>
            <w:tcBorders>
              <w:top w:val="single" w:sz="3" w:space="0" w:color="000000"/>
              <w:left w:val="single" w:sz="4" w:space="0" w:color="000000"/>
              <w:bottom w:val="single" w:sz="3" w:space="0" w:color="000000"/>
              <w:right w:val="single" w:sz="3" w:space="0" w:color="000000"/>
            </w:tcBorders>
            <w:shd w:val="clear" w:color="auto" w:fill="auto"/>
          </w:tcPr>
          <w:p w14:paraId="6F88A2C9" w14:textId="0CB86CD4" w:rsidR="00273470" w:rsidRPr="004A478C" w:rsidRDefault="00273470" w:rsidP="004A478C">
            <w:pPr>
              <w:tabs>
                <w:tab w:val="left" w:pos="5552"/>
              </w:tabs>
              <w:spacing w:line="240" w:lineRule="auto"/>
              <w:rPr>
                <w:lang w:val="lt-LT"/>
              </w:rPr>
            </w:pPr>
            <w:r w:rsidRPr="004B0C8F">
              <w:rPr>
                <w:szCs w:val="22"/>
                <w:u w:val="single" w:color="000000"/>
                <w:lang w:val="lt-LT"/>
              </w:rPr>
              <w:t>Ret</w:t>
            </w:r>
            <w:r w:rsidR="000954C1">
              <w:rPr>
                <w:szCs w:val="22"/>
                <w:u w:val="single" w:color="000000"/>
                <w:lang w:val="lt-LT"/>
              </w:rPr>
              <w:t>as</w:t>
            </w:r>
            <w:r w:rsidRPr="004A478C">
              <w:rPr>
                <w:lang w:val="lt-LT"/>
              </w:rPr>
              <w:t xml:space="preserve"> </w:t>
            </w:r>
          </w:p>
          <w:p w14:paraId="67D9ED3B" w14:textId="77777777" w:rsidR="00273470" w:rsidRPr="004A478C" w:rsidRDefault="00273470" w:rsidP="004A478C">
            <w:pPr>
              <w:tabs>
                <w:tab w:val="left" w:pos="5552"/>
              </w:tabs>
              <w:spacing w:line="240" w:lineRule="auto"/>
              <w:ind w:left="1"/>
              <w:rPr>
                <w:lang w:val="lt-LT"/>
              </w:rPr>
            </w:pPr>
            <w:r w:rsidRPr="004A478C">
              <w:rPr>
                <w:lang w:val="lt-LT"/>
              </w:rPr>
              <w:t xml:space="preserve">Anafilaksinė reakcija*, padidėjęs jautrumas vaistiniam preparatui </w:t>
            </w:r>
          </w:p>
        </w:tc>
      </w:tr>
      <w:tr w:rsidR="00273470" w:rsidRPr="007F09F8" w14:paraId="39A570FC" w14:textId="77777777" w:rsidTr="004A478C">
        <w:trPr>
          <w:trHeight w:val="485"/>
        </w:trPr>
        <w:tc>
          <w:tcPr>
            <w:tcW w:w="3034" w:type="dxa"/>
            <w:tcBorders>
              <w:top w:val="single" w:sz="3" w:space="0" w:color="000000"/>
              <w:left w:val="single" w:sz="4" w:space="0" w:color="000000"/>
              <w:bottom w:val="single" w:sz="3" w:space="0" w:color="000000"/>
              <w:right w:val="single" w:sz="4" w:space="0" w:color="000000"/>
            </w:tcBorders>
            <w:shd w:val="clear" w:color="auto" w:fill="auto"/>
          </w:tcPr>
          <w:p w14:paraId="6F8000FD" w14:textId="77777777" w:rsidR="00273470" w:rsidRPr="004A478C" w:rsidRDefault="00273470" w:rsidP="003B28E4">
            <w:pPr>
              <w:tabs>
                <w:tab w:val="left" w:pos="4680"/>
              </w:tabs>
              <w:spacing w:line="240" w:lineRule="auto"/>
              <w:ind w:left="3"/>
              <w:rPr>
                <w:lang w:val="lt-LT"/>
              </w:rPr>
            </w:pPr>
            <w:r w:rsidRPr="004A478C">
              <w:rPr>
                <w:lang w:val="lt-LT"/>
              </w:rPr>
              <w:t xml:space="preserve">Endokrininiai sutrikimai </w:t>
            </w:r>
          </w:p>
        </w:tc>
        <w:tc>
          <w:tcPr>
            <w:tcW w:w="5722" w:type="dxa"/>
            <w:tcBorders>
              <w:top w:val="single" w:sz="3" w:space="0" w:color="000000"/>
              <w:left w:val="single" w:sz="4" w:space="0" w:color="000000"/>
              <w:bottom w:val="single" w:sz="3" w:space="0" w:color="000000"/>
              <w:right w:val="single" w:sz="3" w:space="0" w:color="000000"/>
            </w:tcBorders>
            <w:shd w:val="clear" w:color="auto" w:fill="auto"/>
          </w:tcPr>
          <w:p w14:paraId="1CB2EB2A" w14:textId="1A33BAA3" w:rsidR="00273470" w:rsidRPr="004A478C" w:rsidRDefault="00273470" w:rsidP="004A478C">
            <w:pPr>
              <w:tabs>
                <w:tab w:val="left" w:pos="5552"/>
              </w:tabs>
              <w:spacing w:line="240" w:lineRule="auto"/>
              <w:rPr>
                <w:lang w:val="lt-LT"/>
              </w:rPr>
            </w:pPr>
            <w:r w:rsidRPr="004B0C8F">
              <w:rPr>
                <w:szCs w:val="22"/>
                <w:u w:val="single" w:color="000000"/>
                <w:lang w:val="lt-LT"/>
              </w:rPr>
              <w:t>Nedažn</w:t>
            </w:r>
            <w:r w:rsidR="000954C1">
              <w:rPr>
                <w:szCs w:val="22"/>
                <w:u w:val="single" w:color="000000"/>
                <w:lang w:val="lt-LT"/>
              </w:rPr>
              <w:t>as</w:t>
            </w:r>
            <w:r w:rsidRPr="004A478C">
              <w:rPr>
                <w:lang w:val="lt-LT"/>
              </w:rPr>
              <w:t xml:space="preserve"> </w:t>
            </w:r>
          </w:p>
          <w:p w14:paraId="16F46A79" w14:textId="11FA3233" w:rsidR="00273470" w:rsidRPr="004A478C" w:rsidRDefault="00273470" w:rsidP="004A478C">
            <w:pPr>
              <w:tabs>
                <w:tab w:val="left" w:pos="5552"/>
              </w:tabs>
              <w:spacing w:line="240" w:lineRule="auto"/>
              <w:ind w:left="1"/>
              <w:rPr>
                <w:lang w:val="lt-LT"/>
              </w:rPr>
            </w:pPr>
            <w:r w:rsidRPr="004A478C">
              <w:rPr>
                <w:lang w:val="lt-LT"/>
              </w:rPr>
              <w:t xml:space="preserve">Padidėjęs </w:t>
            </w:r>
            <w:proofErr w:type="spellStart"/>
            <w:r w:rsidRPr="004A478C">
              <w:rPr>
                <w:lang w:val="lt-LT"/>
              </w:rPr>
              <w:t>tireotropinio</w:t>
            </w:r>
            <w:proofErr w:type="spellEnd"/>
            <w:r w:rsidRPr="004A478C">
              <w:rPr>
                <w:lang w:val="lt-LT"/>
              </w:rPr>
              <w:t xml:space="preserve"> hormono kiekis kraujyje</w:t>
            </w:r>
            <w:r w:rsidR="009115BA" w:rsidRPr="004A478C">
              <w:rPr>
                <w:lang w:val="lt-LT"/>
              </w:rPr>
              <w:t xml:space="preserve">, </w:t>
            </w:r>
            <w:proofErr w:type="spellStart"/>
            <w:r w:rsidR="009115BA" w:rsidRPr="004A478C">
              <w:rPr>
                <w:lang w:val="lt-LT"/>
              </w:rPr>
              <w:t>hipotirozė</w:t>
            </w:r>
            <w:proofErr w:type="spellEnd"/>
            <w:r w:rsidR="009115BA" w:rsidRPr="004A478C">
              <w:rPr>
                <w:vertAlign w:val="superscript"/>
                <w:lang w:val="lt-LT"/>
              </w:rPr>
              <w:t>#</w:t>
            </w:r>
            <w:r w:rsidRPr="004A478C">
              <w:rPr>
                <w:lang w:val="lt-LT"/>
              </w:rPr>
              <w:t xml:space="preserve"> </w:t>
            </w:r>
          </w:p>
        </w:tc>
      </w:tr>
      <w:tr w:rsidR="00273470" w:rsidRPr="004A478C" w14:paraId="181D3A39" w14:textId="77777777" w:rsidTr="004A478C">
        <w:trPr>
          <w:trHeight w:val="486"/>
        </w:trPr>
        <w:tc>
          <w:tcPr>
            <w:tcW w:w="3034" w:type="dxa"/>
            <w:tcBorders>
              <w:top w:val="single" w:sz="3" w:space="0" w:color="000000"/>
              <w:left w:val="single" w:sz="4" w:space="0" w:color="000000"/>
              <w:bottom w:val="single" w:sz="4" w:space="0" w:color="000000"/>
              <w:right w:val="single" w:sz="4" w:space="0" w:color="000000"/>
            </w:tcBorders>
            <w:shd w:val="clear" w:color="auto" w:fill="auto"/>
          </w:tcPr>
          <w:p w14:paraId="1AEC42E6" w14:textId="77777777" w:rsidR="00273470" w:rsidRPr="004A478C" w:rsidRDefault="00273470" w:rsidP="003B28E4">
            <w:pPr>
              <w:tabs>
                <w:tab w:val="left" w:pos="4680"/>
              </w:tabs>
              <w:spacing w:line="240" w:lineRule="auto"/>
              <w:ind w:left="3"/>
              <w:rPr>
                <w:lang w:val="lt-LT"/>
              </w:rPr>
            </w:pPr>
            <w:r w:rsidRPr="004A478C">
              <w:rPr>
                <w:lang w:val="lt-LT"/>
              </w:rPr>
              <w:t xml:space="preserve">Akių sutrikimai </w:t>
            </w:r>
          </w:p>
        </w:tc>
        <w:tc>
          <w:tcPr>
            <w:tcW w:w="5722" w:type="dxa"/>
            <w:tcBorders>
              <w:top w:val="single" w:sz="3" w:space="0" w:color="000000"/>
              <w:left w:val="single" w:sz="4" w:space="0" w:color="000000"/>
              <w:bottom w:val="single" w:sz="4" w:space="0" w:color="000000"/>
              <w:right w:val="single" w:sz="3" w:space="0" w:color="000000"/>
            </w:tcBorders>
            <w:shd w:val="clear" w:color="auto" w:fill="auto"/>
          </w:tcPr>
          <w:p w14:paraId="74CF32BD" w14:textId="073E34D7" w:rsidR="00273470" w:rsidRPr="004A478C" w:rsidRDefault="009115BA" w:rsidP="004A478C">
            <w:pPr>
              <w:tabs>
                <w:tab w:val="left" w:pos="5552"/>
              </w:tabs>
              <w:spacing w:line="240" w:lineRule="auto"/>
              <w:ind w:left="1"/>
              <w:rPr>
                <w:lang w:val="lt-LT"/>
              </w:rPr>
            </w:pPr>
            <w:r w:rsidRPr="004B0C8F">
              <w:rPr>
                <w:szCs w:val="22"/>
                <w:u w:val="single" w:color="000000"/>
                <w:lang w:val="lt-LT"/>
              </w:rPr>
              <w:t>Nedažn</w:t>
            </w:r>
            <w:r w:rsidR="000954C1">
              <w:rPr>
                <w:szCs w:val="22"/>
                <w:u w:val="single" w:color="000000"/>
                <w:lang w:val="lt-LT"/>
              </w:rPr>
              <w:t>as</w:t>
            </w:r>
            <w:r w:rsidR="00273470" w:rsidRPr="004A478C">
              <w:rPr>
                <w:lang w:val="lt-LT"/>
              </w:rPr>
              <w:t xml:space="preserve"> </w:t>
            </w:r>
          </w:p>
          <w:p w14:paraId="5031CDDE" w14:textId="77777777" w:rsidR="00273470" w:rsidRPr="004A478C" w:rsidRDefault="00273470" w:rsidP="004A478C">
            <w:pPr>
              <w:tabs>
                <w:tab w:val="left" w:pos="5552"/>
              </w:tabs>
              <w:spacing w:line="240" w:lineRule="auto"/>
              <w:ind w:left="1"/>
              <w:rPr>
                <w:lang w:val="lt-LT"/>
              </w:rPr>
            </w:pPr>
            <w:r w:rsidRPr="004A478C">
              <w:rPr>
                <w:lang w:val="lt-LT"/>
              </w:rPr>
              <w:t xml:space="preserve">Neryškus matymas </w:t>
            </w:r>
          </w:p>
          <w:p w14:paraId="21B3AC65" w14:textId="31E9102C" w:rsidR="009115BA" w:rsidRPr="004B0C8F" w:rsidRDefault="009115BA" w:rsidP="000954C1">
            <w:pPr>
              <w:tabs>
                <w:tab w:val="left" w:pos="5552"/>
              </w:tabs>
              <w:spacing w:line="240" w:lineRule="auto"/>
              <w:rPr>
                <w:szCs w:val="22"/>
                <w:lang w:val="lt-LT"/>
              </w:rPr>
            </w:pPr>
            <w:r w:rsidRPr="004B0C8F">
              <w:rPr>
                <w:szCs w:val="22"/>
                <w:u w:val="single"/>
                <w:lang w:val="lt-LT"/>
              </w:rPr>
              <w:t>Ret</w:t>
            </w:r>
            <w:r w:rsidR="000954C1">
              <w:rPr>
                <w:szCs w:val="22"/>
                <w:u w:val="single"/>
                <w:lang w:val="lt-LT"/>
              </w:rPr>
              <w:t>as</w:t>
            </w:r>
          </w:p>
          <w:p w14:paraId="4BDA7DE9" w14:textId="04E96401" w:rsidR="009115BA" w:rsidRPr="004A478C" w:rsidRDefault="009115BA" w:rsidP="004A478C">
            <w:pPr>
              <w:tabs>
                <w:tab w:val="left" w:pos="5552"/>
              </w:tabs>
              <w:spacing w:line="240" w:lineRule="auto"/>
              <w:ind w:left="1"/>
              <w:rPr>
                <w:lang w:val="lt-LT"/>
              </w:rPr>
            </w:pPr>
            <w:r w:rsidRPr="004A478C">
              <w:rPr>
                <w:lang w:val="lt-LT"/>
              </w:rPr>
              <w:t xml:space="preserve">Tinklainės arterijos </w:t>
            </w:r>
            <w:proofErr w:type="spellStart"/>
            <w:r w:rsidRPr="004A478C">
              <w:rPr>
                <w:lang w:val="lt-LT"/>
              </w:rPr>
              <w:t>okliuzija</w:t>
            </w:r>
            <w:proofErr w:type="spellEnd"/>
            <w:r w:rsidRPr="004A478C">
              <w:rPr>
                <w:vertAlign w:val="superscript"/>
                <w:lang w:val="lt-LT"/>
              </w:rPr>
              <w:t>#</w:t>
            </w:r>
          </w:p>
        </w:tc>
      </w:tr>
      <w:tr w:rsidR="00273470" w:rsidRPr="007F09F8" w14:paraId="3C041156" w14:textId="77777777" w:rsidTr="004A478C">
        <w:trPr>
          <w:trHeight w:val="1673"/>
        </w:trPr>
        <w:tc>
          <w:tcPr>
            <w:tcW w:w="3034" w:type="dxa"/>
            <w:tcBorders>
              <w:top w:val="single" w:sz="4" w:space="0" w:color="000000"/>
              <w:left w:val="single" w:sz="4" w:space="0" w:color="000000"/>
              <w:bottom w:val="single" w:sz="4" w:space="0" w:color="000000"/>
              <w:right w:val="single" w:sz="4" w:space="0" w:color="000000"/>
            </w:tcBorders>
            <w:shd w:val="clear" w:color="auto" w:fill="auto"/>
          </w:tcPr>
          <w:p w14:paraId="344F69BC" w14:textId="77777777" w:rsidR="00273470" w:rsidRPr="004A478C" w:rsidRDefault="00273470" w:rsidP="003B28E4">
            <w:pPr>
              <w:tabs>
                <w:tab w:val="left" w:pos="4680"/>
              </w:tabs>
              <w:spacing w:line="240" w:lineRule="auto"/>
              <w:ind w:left="3"/>
              <w:rPr>
                <w:lang w:val="lt-LT"/>
              </w:rPr>
            </w:pPr>
            <w:r w:rsidRPr="004A478C">
              <w:rPr>
                <w:lang w:val="lt-LT"/>
              </w:rPr>
              <w:t xml:space="preserve">Metabolizmo ir mitybos sutrikimai </w:t>
            </w:r>
          </w:p>
        </w:tc>
        <w:tc>
          <w:tcPr>
            <w:tcW w:w="5722" w:type="dxa"/>
            <w:tcBorders>
              <w:top w:val="single" w:sz="4" w:space="0" w:color="000000"/>
              <w:left w:val="single" w:sz="4" w:space="0" w:color="000000"/>
              <w:bottom w:val="single" w:sz="4" w:space="0" w:color="000000"/>
              <w:right w:val="single" w:sz="3" w:space="0" w:color="000000"/>
            </w:tcBorders>
            <w:shd w:val="clear" w:color="auto" w:fill="auto"/>
          </w:tcPr>
          <w:p w14:paraId="659820A5" w14:textId="106E57D3" w:rsidR="00273470" w:rsidRPr="004A478C" w:rsidRDefault="00273470" w:rsidP="004A478C">
            <w:pPr>
              <w:tabs>
                <w:tab w:val="left" w:pos="5552"/>
              </w:tabs>
              <w:spacing w:line="240" w:lineRule="auto"/>
              <w:ind w:left="1"/>
              <w:rPr>
                <w:lang w:val="lt-LT"/>
              </w:rPr>
            </w:pPr>
            <w:r w:rsidRPr="004B0C8F">
              <w:rPr>
                <w:szCs w:val="22"/>
                <w:u w:val="single" w:color="000000"/>
                <w:lang w:val="lt-LT"/>
              </w:rPr>
              <w:t>Dažn</w:t>
            </w:r>
            <w:r w:rsidR="000954C1">
              <w:rPr>
                <w:szCs w:val="22"/>
                <w:u w:val="single" w:color="000000"/>
                <w:lang w:val="lt-LT"/>
              </w:rPr>
              <w:t>as</w:t>
            </w:r>
            <w:r w:rsidRPr="004A478C">
              <w:rPr>
                <w:u w:val="single" w:color="000000"/>
                <w:lang w:val="lt-LT"/>
              </w:rPr>
              <w:t>***</w:t>
            </w:r>
            <w:r w:rsidRPr="004A478C">
              <w:rPr>
                <w:lang w:val="lt-LT"/>
              </w:rPr>
              <w:t xml:space="preserve"> </w:t>
            </w:r>
          </w:p>
          <w:p w14:paraId="1829417F" w14:textId="77777777" w:rsidR="00273470" w:rsidRPr="004A478C" w:rsidRDefault="00273470" w:rsidP="004A478C">
            <w:pPr>
              <w:tabs>
                <w:tab w:val="left" w:pos="5552"/>
              </w:tabs>
              <w:spacing w:line="240" w:lineRule="auto"/>
              <w:ind w:left="1"/>
              <w:rPr>
                <w:lang w:val="lt-LT"/>
              </w:rPr>
            </w:pPr>
            <w:r w:rsidRPr="004A478C">
              <w:rPr>
                <w:lang w:val="lt-LT"/>
              </w:rPr>
              <w:t xml:space="preserve">Podagros paūmėjimas </w:t>
            </w:r>
          </w:p>
          <w:p w14:paraId="01C259AA" w14:textId="742C040E" w:rsidR="00273470" w:rsidRPr="004A478C" w:rsidRDefault="00273470" w:rsidP="004A478C">
            <w:pPr>
              <w:tabs>
                <w:tab w:val="left" w:pos="5552"/>
              </w:tabs>
              <w:spacing w:line="240" w:lineRule="auto"/>
              <w:ind w:left="1"/>
              <w:rPr>
                <w:lang w:val="lt-LT"/>
              </w:rPr>
            </w:pPr>
            <w:r w:rsidRPr="004B0C8F">
              <w:rPr>
                <w:szCs w:val="22"/>
                <w:u w:val="single" w:color="000000"/>
                <w:lang w:val="lt-LT"/>
              </w:rPr>
              <w:t>Nedažn</w:t>
            </w:r>
            <w:r w:rsidR="000954C1">
              <w:rPr>
                <w:szCs w:val="22"/>
                <w:u w:val="single" w:color="000000"/>
                <w:lang w:val="lt-LT"/>
              </w:rPr>
              <w:t>as</w:t>
            </w:r>
            <w:r w:rsidRPr="004A478C">
              <w:rPr>
                <w:lang w:val="lt-LT"/>
              </w:rPr>
              <w:t xml:space="preserve"> </w:t>
            </w:r>
          </w:p>
          <w:p w14:paraId="17F68EE6" w14:textId="77777777" w:rsidR="00273470" w:rsidRPr="004A478C" w:rsidRDefault="00273470" w:rsidP="004A478C">
            <w:pPr>
              <w:tabs>
                <w:tab w:val="left" w:pos="5552"/>
              </w:tabs>
              <w:spacing w:line="240" w:lineRule="auto"/>
              <w:ind w:left="1"/>
              <w:rPr>
                <w:lang w:val="lt-LT"/>
              </w:rPr>
            </w:pPr>
            <w:r w:rsidRPr="004A478C">
              <w:rPr>
                <w:lang w:val="lt-LT"/>
              </w:rPr>
              <w:t xml:space="preserve">Cukrinis diabetas, </w:t>
            </w:r>
            <w:proofErr w:type="spellStart"/>
            <w:r w:rsidRPr="004A478C">
              <w:rPr>
                <w:lang w:val="lt-LT"/>
              </w:rPr>
              <w:t>hiperlipidemija</w:t>
            </w:r>
            <w:proofErr w:type="spellEnd"/>
            <w:r w:rsidRPr="004A478C">
              <w:rPr>
                <w:lang w:val="lt-LT"/>
              </w:rPr>
              <w:t xml:space="preserve">, apetito sumažėjimas, svorio padidėjimas </w:t>
            </w:r>
          </w:p>
          <w:p w14:paraId="68D4D39D" w14:textId="57A47516" w:rsidR="00273470" w:rsidRPr="004A478C" w:rsidRDefault="00273470" w:rsidP="004A478C">
            <w:pPr>
              <w:tabs>
                <w:tab w:val="left" w:pos="5552"/>
              </w:tabs>
              <w:spacing w:line="240" w:lineRule="auto"/>
              <w:ind w:left="1"/>
              <w:rPr>
                <w:lang w:val="lt-LT"/>
              </w:rPr>
            </w:pPr>
            <w:r w:rsidRPr="004B0C8F">
              <w:rPr>
                <w:szCs w:val="22"/>
                <w:u w:val="single" w:color="000000"/>
                <w:lang w:val="lt-LT"/>
              </w:rPr>
              <w:t>Ret</w:t>
            </w:r>
            <w:r w:rsidR="000954C1">
              <w:rPr>
                <w:szCs w:val="22"/>
                <w:u w:val="single" w:color="000000"/>
                <w:lang w:val="lt-LT"/>
              </w:rPr>
              <w:t>as</w:t>
            </w:r>
            <w:r w:rsidRPr="004A478C">
              <w:rPr>
                <w:lang w:val="lt-LT"/>
              </w:rPr>
              <w:t xml:space="preserve"> </w:t>
            </w:r>
          </w:p>
          <w:p w14:paraId="47C71882" w14:textId="77777777" w:rsidR="00273470" w:rsidRPr="004A478C" w:rsidRDefault="00273470" w:rsidP="004A478C">
            <w:pPr>
              <w:tabs>
                <w:tab w:val="left" w:pos="5552"/>
              </w:tabs>
              <w:spacing w:line="240" w:lineRule="auto"/>
              <w:ind w:left="1"/>
              <w:rPr>
                <w:lang w:val="lt-LT"/>
              </w:rPr>
            </w:pPr>
            <w:r w:rsidRPr="004A478C">
              <w:rPr>
                <w:lang w:val="lt-LT"/>
              </w:rPr>
              <w:t xml:space="preserve">Svorio sumažėjimas, apetito padidėjimas, apetito nebuvimas </w:t>
            </w:r>
          </w:p>
        </w:tc>
      </w:tr>
      <w:tr w:rsidR="00273470" w:rsidRPr="007F09F8" w14:paraId="4EBDC417" w14:textId="77777777" w:rsidTr="004A478C">
        <w:trPr>
          <w:trHeight w:val="960"/>
        </w:trPr>
        <w:tc>
          <w:tcPr>
            <w:tcW w:w="3034" w:type="dxa"/>
            <w:tcBorders>
              <w:top w:val="single" w:sz="4" w:space="0" w:color="000000"/>
              <w:left w:val="single" w:sz="4" w:space="0" w:color="000000"/>
              <w:bottom w:val="single" w:sz="4" w:space="0" w:color="000000"/>
              <w:right w:val="single" w:sz="4" w:space="0" w:color="000000"/>
            </w:tcBorders>
            <w:shd w:val="clear" w:color="auto" w:fill="auto"/>
          </w:tcPr>
          <w:p w14:paraId="0319EF7B" w14:textId="77777777" w:rsidR="00273470" w:rsidRPr="004A478C" w:rsidRDefault="00273470" w:rsidP="003B28E4">
            <w:pPr>
              <w:tabs>
                <w:tab w:val="left" w:pos="4680"/>
              </w:tabs>
              <w:spacing w:line="240" w:lineRule="auto"/>
              <w:ind w:left="3"/>
              <w:rPr>
                <w:lang w:val="lt-LT"/>
              </w:rPr>
            </w:pPr>
            <w:r w:rsidRPr="004A478C">
              <w:rPr>
                <w:lang w:val="lt-LT"/>
              </w:rPr>
              <w:t xml:space="preserve">Psichikos sutrikimai </w:t>
            </w:r>
          </w:p>
        </w:tc>
        <w:tc>
          <w:tcPr>
            <w:tcW w:w="5722" w:type="dxa"/>
            <w:tcBorders>
              <w:top w:val="single" w:sz="4" w:space="0" w:color="000000"/>
              <w:left w:val="single" w:sz="4" w:space="0" w:color="000000"/>
              <w:bottom w:val="single" w:sz="4" w:space="0" w:color="000000"/>
              <w:right w:val="single" w:sz="3" w:space="0" w:color="000000"/>
            </w:tcBorders>
            <w:shd w:val="clear" w:color="auto" w:fill="auto"/>
          </w:tcPr>
          <w:p w14:paraId="1504EFFE" w14:textId="5B2CAB53" w:rsidR="00273470" w:rsidRPr="004A478C" w:rsidRDefault="00273470" w:rsidP="004A478C">
            <w:pPr>
              <w:tabs>
                <w:tab w:val="left" w:pos="5552"/>
              </w:tabs>
              <w:spacing w:line="240" w:lineRule="auto"/>
              <w:ind w:left="1"/>
              <w:rPr>
                <w:lang w:val="lt-LT"/>
              </w:rPr>
            </w:pPr>
            <w:r w:rsidRPr="004B0C8F">
              <w:rPr>
                <w:szCs w:val="22"/>
                <w:u w:val="single" w:color="000000"/>
                <w:lang w:val="lt-LT"/>
              </w:rPr>
              <w:t>Nedažn</w:t>
            </w:r>
            <w:r w:rsidR="000954C1">
              <w:rPr>
                <w:szCs w:val="22"/>
                <w:u w:val="single" w:color="000000"/>
                <w:lang w:val="lt-LT"/>
              </w:rPr>
              <w:t>as</w:t>
            </w:r>
            <w:r w:rsidRPr="004A478C">
              <w:rPr>
                <w:lang w:val="lt-LT"/>
              </w:rPr>
              <w:t xml:space="preserve"> </w:t>
            </w:r>
          </w:p>
          <w:p w14:paraId="7977A07D" w14:textId="77777777" w:rsidR="00273470" w:rsidRPr="004A478C" w:rsidRDefault="00273470" w:rsidP="004A478C">
            <w:pPr>
              <w:tabs>
                <w:tab w:val="left" w:pos="5552"/>
              </w:tabs>
              <w:spacing w:line="240" w:lineRule="auto"/>
              <w:ind w:left="1"/>
              <w:rPr>
                <w:lang w:val="lt-LT"/>
              </w:rPr>
            </w:pPr>
            <w:r w:rsidRPr="004A478C">
              <w:rPr>
                <w:lang w:val="lt-LT"/>
              </w:rPr>
              <w:t xml:space="preserve">Sumažėjęs </w:t>
            </w:r>
            <w:proofErr w:type="spellStart"/>
            <w:r w:rsidRPr="004A478C">
              <w:rPr>
                <w:lang w:val="lt-LT"/>
              </w:rPr>
              <w:t>libido</w:t>
            </w:r>
            <w:proofErr w:type="spellEnd"/>
            <w:r w:rsidRPr="004A478C">
              <w:rPr>
                <w:lang w:val="lt-LT"/>
              </w:rPr>
              <w:t xml:space="preserve">, </w:t>
            </w:r>
            <w:r w:rsidR="00A11533" w:rsidRPr="004A478C">
              <w:rPr>
                <w:lang w:val="lt-LT"/>
              </w:rPr>
              <w:t xml:space="preserve">nemiga </w:t>
            </w:r>
          </w:p>
          <w:p w14:paraId="7D54DB9C" w14:textId="5BB5834A" w:rsidR="00273470" w:rsidRPr="004A478C" w:rsidRDefault="00273470" w:rsidP="004A478C">
            <w:pPr>
              <w:tabs>
                <w:tab w:val="left" w:pos="5552"/>
              </w:tabs>
              <w:spacing w:line="240" w:lineRule="auto"/>
              <w:ind w:left="1"/>
              <w:rPr>
                <w:lang w:val="lt-LT"/>
              </w:rPr>
            </w:pPr>
            <w:r w:rsidRPr="004B0C8F">
              <w:rPr>
                <w:szCs w:val="22"/>
                <w:u w:val="single" w:color="000000"/>
                <w:lang w:val="lt-LT"/>
              </w:rPr>
              <w:t>Ret</w:t>
            </w:r>
            <w:r w:rsidR="000954C1">
              <w:rPr>
                <w:szCs w:val="22"/>
                <w:u w:val="single" w:color="000000"/>
                <w:lang w:val="lt-LT"/>
              </w:rPr>
              <w:t>as</w:t>
            </w:r>
            <w:r w:rsidRPr="004A478C">
              <w:rPr>
                <w:lang w:val="lt-LT"/>
              </w:rPr>
              <w:t xml:space="preserve"> </w:t>
            </w:r>
          </w:p>
          <w:p w14:paraId="3B79E7C8" w14:textId="3F7AEADA" w:rsidR="00273470" w:rsidRPr="004A478C" w:rsidRDefault="00273470" w:rsidP="004A478C">
            <w:pPr>
              <w:tabs>
                <w:tab w:val="left" w:pos="5552"/>
              </w:tabs>
              <w:spacing w:line="240" w:lineRule="auto"/>
              <w:ind w:left="1"/>
              <w:rPr>
                <w:lang w:val="lt-LT"/>
              </w:rPr>
            </w:pPr>
            <w:r w:rsidRPr="004A478C">
              <w:rPr>
                <w:lang w:val="lt-LT"/>
              </w:rPr>
              <w:t>Nervingumas</w:t>
            </w:r>
            <w:r w:rsidR="009115BA" w:rsidRPr="004A478C">
              <w:rPr>
                <w:lang w:val="lt-LT"/>
              </w:rPr>
              <w:t>,</w:t>
            </w:r>
            <w:r w:rsidRPr="004A478C">
              <w:rPr>
                <w:lang w:val="lt-LT"/>
              </w:rPr>
              <w:t xml:space="preserve"> </w:t>
            </w:r>
            <w:r w:rsidR="009115BA" w:rsidRPr="004A478C">
              <w:rPr>
                <w:lang w:val="lt-LT"/>
              </w:rPr>
              <w:t>depresinė nuotaika</w:t>
            </w:r>
            <w:r w:rsidR="009115BA" w:rsidRPr="004A478C">
              <w:rPr>
                <w:vertAlign w:val="superscript"/>
                <w:lang w:val="lt-LT"/>
              </w:rPr>
              <w:t>#</w:t>
            </w:r>
            <w:r w:rsidR="009115BA" w:rsidRPr="004A478C">
              <w:rPr>
                <w:lang w:val="lt-LT"/>
              </w:rPr>
              <w:t>, miego sutrikimai</w:t>
            </w:r>
            <w:r w:rsidR="009115BA" w:rsidRPr="004A478C">
              <w:rPr>
                <w:vertAlign w:val="superscript"/>
                <w:lang w:val="lt-LT"/>
              </w:rPr>
              <w:t>#</w:t>
            </w:r>
          </w:p>
        </w:tc>
      </w:tr>
      <w:tr w:rsidR="00273470" w:rsidRPr="004B0C8F" w14:paraId="7FE13F89" w14:textId="77777777" w:rsidTr="004A478C">
        <w:trPr>
          <w:trHeight w:val="1200"/>
        </w:trPr>
        <w:tc>
          <w:tcPr>
            <w:tcW w:w="3034" w:type="dxa"/>
            <w:tcBorders>
              <w:top w:val="single" w:sz="4" w:space="0" w:color="000000"/>
              <w:left w:val="single" w:sz="4" w:space="0" w:color="000000"/>
              <w:bottom w:val="single" w:sz="4" w:space="0" w:color="000000"/>
              <w:right w:val="single" w:sz="4" w:space="0" w:color="000000"/>
            </w:tcBorders>
            <w:shd w:val="clear" w:color="auto" w:fill="auto"/>
          </w:tcPr>
          <w:p w14:paraId="6118776D" w14:textId="77777777" w:rsidR="00273470" w:rsidRPr="004A478C" w:rsidRDefault="00273470" w:rsidP="003B28E4">
            <w:pPr>
              <w:tabs>
                <w:tab w:val="left" w:pos="4680"/>
              </w:tabs>
              <w:spacing w:line="240" w:lineRule="auto"/>
              <w:ind w:left="3"/>
              <w:rPr>
                <w:lang w:val="lt-LT"/>
              </w:rPr>
            </w:pPr>
            <w:r w:rsidRPr="004A478C">
              <w:rPr>
                <w:lang w:val="lt-LT"/>
              </w:rPr>
              <w:t xml:space="preserve">Nervų sistemos sutrikimai </w:t>
            </w:r>
          </w:p>
        </w:tc>
        <w:tc>
          <w:tcPr>
            <w:tcW w:w="5722" w:type="dxa"/>
            <w:tcBorders>
              <w:top w:val="single" w:sz="4" w:space="0" w:color="000000"/>
              <w:left w:val="single" w:sz="4" w:space="0" w:color="000000"/>
              <w:bottom w:val="single" w:sz="4" w:space="0" w:color="000000"/>
              <w:right w:val="single" w:sz="3" w:space="0" w:color="000000"/>
            </w:tcBorders>
            <w:shd w:val="clear" w:color="auto" w:fill="auto"/>
          </w:tcPr>
          <w:p w14:paraId="02AA7EF9" w14:textId="5D7A9C8D" w:rsidR="00273470" w:rsidRPr="004A478C" w:rsidRDefault="00273470" w:rsidP="004A478C">
            <w:pPr>
              <w:tabs>
                <w:tab w:val="left" w:pos="5552"/>
              </w:tabs>
              <w:spacing w:line="240" w:lineRule="auto"/>
              <w:rPr>
                <w:lang w:val="lt-LT"/>
              </w:rPr>
            </w:pPr>
            <w:r w:rsidRPr="004B0C8F">
              <w:rPr>
                <w:szCs w:val="22"/>
                <w:u w:val="single" w:color="000000"/>
                <w:lang w:val="lt-LT"/>
              </w:rPr>
              <w:t>Dažn</w:t>
            </w:r>
            <w:r w:rsidR="000954C1">
              <w:rPr>
                <w:szCs w:val="22"/>
                <w:u w:val="single" w:color="000000"/>
                <w:lang w:val="lt-LT"/>
              </w:rPr>
              <w:t>as</w:t>
            </w:r>
            <w:r w:rsidRPr="004A478C">
              <w:rPr>
                <w:lang w:val="lt-LT"/>
              </w:rPr>
              <w:t xml:space="preserve"> </w:t>
            </w:r>
          </w:p>
          <w:p w14:paraId="61D5B8EC" w14:textId="4465FB7F" w:rsidR="00273470" w:rsidRPr="004A478C" w:rsidRDefault="00273470" w:rsidP="004A478C">
            <w:pPr>
              <w:tabs>
                <w:tab w:val="left" w:pos="5552"/>
              </w:tabs>
              <w:spacing w:line="240" w:lineRule="auto"/>
              <w:ind w:left="1"/>
              <w:rPr>
                <w:lang w:val="lt-LT"/>
              </w:rPr>
            </w:pPr>
            <w:r w:rsidRPr="004A478C">
              <w:rPr>
                <w:lang w:val="lt-LT"/>
              </w:rPr>
              <w:t>Galvos skausmas</w:t>
            </w:r>
            <w:r w:rsidR="002F695A" w:rsidRPr="004A478C">
              <w:rPr>
                <w:lang w:val="lt-LT"/>
              </w:rPr>
              <w:t>, svaigulys</w:t>
            </w:r>
            <w:r w:rsidRPr="004A478C">
              <w:rPr>
                <w:lang w:val="lt-LT"/>
              </w:rPr>
              <w:t xml:space="preserve"> </w:t>
            </w:r>
          </w:p>
          <w:p w14:paraId="5F2424DB" w14:textId="43D4B1ED" w:rsidR="00273470" w:rsidRPr="004A478C" w:rsidRDefault="00273470" w:rsidP="004A478C">
            <w:pPr>
              <w:tabs>
                <w:tab w:val="left" w:pos="5552"/>
              </w:tabs>
              <w:spacing w:line="240" w:lineRule="auto"/>
              <w:ind w:left="1"/>
              <w:rPr>
                <w:lang w:val="lt-LT"/>
              </w:rPr>
            </w:pPr>
            <w:r w:rsidRPr="004B0C8F">
              <w:rPr>
                <w:szCs w:val="22"/>
                <w:u w:val="single" w:color="000000"/>
                <w:lang w:val="lt-LT"/>
              </w:rPr>
              <w:t>Nedažn</w:t>
            </w:r>
            <w:r w:rsidR="000954C1">
              <w:rPr>
                <w:szCs w:val="22"/>
                <w:u w:val="single" w:color="000000"/>
                <w:lang w:val="lt-LT"/>
              </w:rPr>
              <w:t>as</w:t>
            </w:r>
            <w:r w:rsidRPr="004A478C">
              <w:rPr>
                <w:lang w:val="lt-LT"/>
              </w:rPr>
              <w:t xml:space="preserve"> </w:t>
            </w:r>
          </w:p>
          <w:p w14:paraId="4927AA25" w14:textId="19D14821" w:rsidR="00273470" w:rsidRPr="004A478C" w:rsidRDefault="002F695A" w:rsidP="004A478C">
            <w:pPr>
              <w:tabs>
                <w:tab w:val="left" w:pos="5552"/>
              </w:tabs>
              <w:spacing w:line="240" w:lineRule="auto"/>
              <w:ind w:left="1"/>
              <w:rPr>
                <w:lang w:val="lt-LT"/>
              </w:rPr>
            </w:pPr>
            <w:proofErr w:type="spellStart"/>
            <w:r w:rsidRPr="004A478C">
              <w:rPr>
                <w:lang w:val="lt-LT"/>
              </w:rPr>
              <w:t>P</w:t>
            </w:r>
            <w:r w:rsidR="00273470" w:rsidRPr="004A478C">
              <w:rPr>
                <w:lang w:val="lt-LT"/>
              </w:rPr>
              <w:t>arestezija</w:t>
            </w:r>
            <w:proofErr w:type="spellEnd"/>
            <w:r w:rsidR="00273470" w:rsidRPr="004A478C">
              <w:rPr>
                <w:lang w:val="lt-LT"/>
              </w:rPr>
              <w:t xml:space="preserve">, </w:t>
            </w:r>
            <w:proofErr w:type="spellStart"/>
            <w:r w:rsidR="00273470" w:rsidRPr="004A478C">
              <w:rPr>
                <w:lang w:val="lt-LT"/>
              </w:rPr>
              <w:t>hemiparezė</w:t>
            </w:r>
            <w:proofErr w:type="spellEnd"/>
            <w:r w:rsidR="00273470" w:rsidRPr="004A478C">
              <w:rPr>
                <w:lang w:val="lt-LT"/>
              </w:rPr>
              <w:t xml:space="preserve">, </w:t>
            </w:r>
            <w:r w:rsidR="00A11533" w:rsidRPr="004A478C">
              <w:rPr>
                <w:lang w:val="lt-LT"/>
              </w:rPr>
              <w:t>mieguistumas (</w:t>
            </w:r>
            <w:proofErr w:type="spellStart"/>
            <w:r w:rsidR="00273470" w:rsidRPr="004A478C">
              <w:rPr>
                <w:lang w:val="lt-LT"/>
              </w:rPr>
              <w:t>somnolencija</w:t>
            </w:r>
            <w:proofErr w:type="spellEnd"/>
            <w:r w:rsidR="00A11533" w:rsidRPr="004A478C">
              <w:rPr>
                <w:lang w:val="lt-LT"/>
              </w:rPr>
              <w:t>)</w:t>
            </w:r>
            <w:r w:rsidR="00273470" w:rsidRPr="004A478C">
              <w:rPr>
                <w:lang w:val="lt-LT"/>
              </w:rPr>
              <w:t xml:space="preserve">, </w:t>
            </w:r>
            <w:r w:rsidRPr="004A478C">
              <w:rPr>
                <w:lang w:val="lt-LT"/>
              </w:rPr>
              <w:t>letargija</w:t>
            </w:r>
            <w:r w:rsidRPr="004A478C">
              <w:rPr>
                <w:vertAlign w:val="superscript"/>
                <w:lang w:val="lt-LT"/>
              </w:rPr>
              <w:t>#</w:t>
            </w:r>
            <w:r w:rsidRPr="004A478C">
              <w:rPr>
                <w:lang w:val="lt-LT"/>
              </w:rPr>
              <w:t xml:space="preserve">, </w:t>
            </w:r>
            <w:r w:rsidR="00273470" w:rsidRPr="004A478C">
              <w:rPr>
                <w:lang w:val="lt-LT"/>
              </w:rPr>
              <w:t xml:space="preserve">pakitęs skonio pojūtis, </w:t>
            </w:r>
            <w:proofErr w:type="spellStart"/>
            <w:r w:rsidR="00273470" w:rsidRPr="004A478C">
              <w:rPr>
                <w:lang w:val="lt-LT"/>
              </w:rPr>
              <w:t>hipestezija</w:t>
            </w:r>
            <w:proofErr w:type="spellEnd"/>
            <w:r w:rsidR="00273470" w:rsidRPr="004A478C">
              <w:rPr>
                <w:lang w:val="lt-LT"/>
              </w:rPr>
              <w:t xml:space="preserve">, uoslės jautrumo sumažėjimas  </w:t>
            </w:r>
          </w:p>
          <w:p w14:paraId="487779BA" w14:textId="1B61B210" w:rsidR="002F695A" w:rsidRPr="004B0C8F" w:rsidRDefault="002F695A" w:rsidP="000954C1">
            <w:pPr>
              <w:tabs>
                <w:tab w:val="left" w:pos="5552"/>
              </w:tabs>
              <w:spacing w:line="240" w:lineRule="auto"/>
              <w:ind w:left="1"/>
              <w:rPr>
                <w:szCs w:val="22"/>
                <w:u w:val="single"/>
                <w:lang w:val="lt-LT"/>
              </w:rPr>
            </w:pPr>
            <w:r w:rsidRPr="004B0C8F">
              <w:rPr>
                <w:szCs w:val="22"/>
                <w:u w:val="single"/>
                <w:lang w:val="lt-LT"/>
              </w:rPr>
              <w:t>Ret</w:t>
            </w:r>
            <w:r w:rsidR="000954C1">
              <w:rPr>
                <w:szCs w:val="22"/>
                <w:u w:val="single"/>
                <w:lang w:val="lt-LT"/>
              </w:rPr>
              <w:t>as</w:t>
            </w:r>
          </w:p>
          <w:p w14:paraId="08A6BE5A" w14:textId="33A2D9BD" w:rsidR="002F695A" w:rsidRPr="004A478C" w:rsidRDefault="002F695A" w:rsidP="004A478C">
            <w:pPr>
              <w:tabs>
                <w:tab w:val="left" w:pos="5552"/>
              </w:tabs>
              <w:spacing w:line="240" w:lineRule="auto"/>
              <w:ind w:left="1"/>
              <w:rPr>
                <w:lang w:val="lt-LT"/>
              </w:rPr>
            </w:pPr>
            <w:proofErr w:type="spellStart"/>
            <w:r w:rsidRPr="004A478C">
              <w:rPr>
                <w:lang w:val="lt-LT"/>
              </w:rPr>
              <w:t>Ageuzija</w:t>
            </w:r>
            <w:proofErr w:type="spellEnd"/>
            <w:r w:rsidRPr="004A478C">
              <w:rPr>
                <w:vertAlign w:val="superscript"/>
                <w:lang w:val="lt-LT"/>
              </w:rPr>
              <w:t>#</w:t>
            </w:r>
            <w:r w:rsidRPr="004B0C8F">
              <w:rPr>
                <w:szCs w:val="22"/>
                <w:vertAlign w:val="superscript"/>
                <w:lang w:val="lt-LT"/>
              </w:rPr>
              <w:t>,</w:t>
            </w:r>
            <w:r w:rsidRPr="004A478C">
              <w:rPr>
                <w:lang w:val="lt-LT"/>
              </w:rPr>
              <w:t xml:space="preserve"> deginimo pojūtis</w:t>
            </w:r>
            <w:r w:rsidRPr="004A478C">
              <w:rPr>
                <w:vertAlign w:val="superscript"/>
                <w:lang w:val="lt-LT"/>
              </w:rPr>
              <w:t>#</w:t>
            </w:r>
          </w:p>
        </w:tc>
      </w:tr>
      <w:tr w:rsidR="00273470" w:rsidRPr="004A478C" w14:paraId="6E0CD123" w14:textId="77777777" w:rsidTr="004A478C">
        <w:trPr>
          <w:trHeight w:val="485"/>
        </w:trPr>
        <w:tc>
          <w:tcPr>
            <w:tcW w:w="3034" w:type="dxa"/>
            <w:tcBorders>
              <w:top w:val="single" w:sz="4" w:space="0" w:color="000000"/>
              <w:left w:val="single" w:sz="4" w:space="0" w:color="000000"/>
              <w:bottom w:val="single" w:sz="4" w:space="0" w:color="000000"/>
              <w:right w:val="single" w:sz="4" w:space="0" w:color="000000"/>
            </w:tcBorders>
            <w:shd w:val="clear" w:color="auto" w:fill="auto"/>
          </w:tcPr>
          <w:p w14:paraId="7F4F577D" w14:textId="77777777" w:rsidR="00273470" w:rsidRPr="004A478C" w:rsidRDefault="00273470" w:rsidP="003B28E4">
            <w:pPr>
              <w:tabs>
                <w:tab w:val="left" w:pos="4680"/>
              </w:tabs>
              <w:spacing w:line="240" w:lineRule="auto"/>
              <w:ind w:left="3"/>
              <w:rPr>
                <w:lang w:val="lt-LT"/>
              </w:rPr>
            </w:pPr>
            <w:r w:rsidRPr="004A478C">
              <w:rPr>
                <w:lang w:val="lt-LT"/>
              </w:rPr>
              <w:lastRenderedPageBreak/>
              <w:t xml:space="preserve">Ausų ir labirintų sutrikimai </w:t>
            </w:r>
          </w:p>
          <w:p w14:paraId="21DC45D5" w14:textId="77777777" w:rsidR="00273470" w:rsidRPr="004A478C" w:rsidRDefault="00273470" w:rsidP="003B28E4">
            <w:pPr>
              <w:tabs>
                <w:tab w:val="left" w:pos="4680"/>
              </w:tabs>
              <w:spacing w:line="240" w:lineRule="auto"/>
              <w:ind w:left="3"/>
              <w:rPr>
                <w:lang w:val="lt-LT"/>
              </w:rPr>
            </w:pPr>
            <w:r w:rsidRPr="004A478C">
              <w:rPr>
                <w:lang w:val="lt-LT"/>
              </w:rPr>
              <w:t xml:space="preserve"> </w:t>
            </w:r>
          </w:p>
        </w:tc>
        <w:tc>
          <w:tcPr>
            <w:tcW w:w="5722" w:type="dxa"/>
            <w:tcBorders>
              <w:top w:val="single" w:sz="4" w:space="0" w:color="000000"/>
              <w:left w:val="single" w:sz="4" w:space="0" w:color="000000"/>
              <w:bottom w:val="single" w:sz="4" w:space="0" w:color="000000"/>
              <w:right w:val="single" w:sz="3" w:space="0" w:color="000000"/>
            </w:tcBorders>
            <w:shd w:val="clear" w:color="auto" w:fill="auto"/>
          </w:tcPr>
          <w:p w14:paraId="1A6FB3C1" w14:textId="01F48296" w:rsidR="00273470" w:rsidRPr="004A478C" w:rsidRDefault="002F695A" w:rsidP="004A478C">
            <w:pPr>
              <w:tabs>
                <w:tab w:val="left" w:pos="5552"/>
              </w:tabs>
              <w:spacing w:line="240" w:lineRule="auto"/>
              <w:ind w:left="1"/>
              <w:rPr>
                <w:lang w:val="lt-LT"/>
              </w:rPr>
            </w:pPr>
            <w:r w:rsidRPr="004B0C8F">
              <w:rPr>
                <w:szCs w:val="22"/>
                <w:u w:val="single" w:color="000000"/>
                <w:lang w:val="lt-LT"/>
              </w:rPr>
              <w:t>Nedažn</w:t>
            </w:r>
            <w:r w:rsidR="000954C1">
              <w:rPr>
                <w:szCs w:val="22"/>
                <w:u w:val="single" w:color="000000"/>
                <w:lang w:val="lt-LT"/>
              </w:rPr>
              <w:t>as</w:t>
            </w:r>
            <w:r w:rsidR="00273470" w:rsidRPr="004A478C">
              <w:rPr>
                <w:lang w:val="lt-LT"/>
              </w:rPr>
              <w:t xml:space="preserve"> </w:t>
            </w:r>
          </w:p>
          <w:p w14:paraId="73B73524" w14:textId="77777777" w:rsidR="00273470" w:rsidRPr="004A478C" w:rsidRDefault="00A11533" w:rsidP="004A478C">
            <w:pPr>
              <w:tabs>
                <w:tab w:val="left" w:pos="5552"/>
              </w:tabs>
              <w:spacing w:line="240" w:lineRule="auto"/>
              <w:ind w:left="1"/>
              <w:rPr>
                <w:lang w:val="lt-LT"/>
              </w:rPr>
            </w:pPr>
            <w:r w:rsidRPr="004A478C">
              <w:rPr>
                <w:lang w:val="lt-LT"/>
              </w:rPr>
              <w:t>Ūžesys</w:t>
            </w:r>
            <w:r w:rsidR="00273470" w:rsidRPr="004A478C">
              <w:rPr>
                <w:lang w:val="lt-LT"/>
              </w:rPr>
              <w:t xml:space="preserve"> </w:t>
            </w:r>
            <w:r w:rsidR="00582C96" w:rsidRPr="004A478C">
              <w:rPr>
                <w:lang w:val="lt-LT"/>
              </w:rPr>
              <w:t>(</w:t>
            </w:r>
            <w:proofErr w:type="spellStart"/>
            <w:r w:rsidR="00582C96" w:rsidRPr="004A478C">
              <w:rPr>
                <w:i/>
                <w:lang w:val="lt-LT"/>
              </w:rPr>
              <w:t>tinnitus</w:t>
            </w:r>
            <w:proofErr w:type="spellEnd"/>
            <w:r w:rsidR="00582C96" w:rsidRPr="004A478C">
              <w:rPr>
                <w:lang w:val="lt-LT"/>
              </w:rPr>
              <w:t>)</w:t>
            </w:r>
          </w:p>
          <w:p w14:paraId="567E9306" w14:textId="1FAD0E6A" w:rsidR="002F695A" w:rsidRPr="004B0C8F" w:rsidRDefault="002F695A" w:rsidP="000954C1">
            <w:pPr>
              <w:tabs>
                <w:tab w:val="left" w:pos="5552"/>
              </w:tabs>
              <w:spacing w:line="240" w:lineRule="auto"/>
              <w:rPr>
                <w:szCs w:val="22"/>
                <w:lang w:val="lt-LT"/>
              </w:rPr>
            </w:pPr>
            <w:r w:rsidRPr="004B0C8F">
              <w:rPr>
                <w:szCs w:val="22"/>
                <w:u w:val="single"/>
                <w:lang w:val="lt-LT"/>
              </w:rPr>
              <w:t>Ret</w:t>
            </w:r>
            <w:r w:rsidR="000954C1">
              <w:rPr>
                <w:szCs w:val="22"/>
                <w:u w:val="single"/>
                <w:lang w:val="lt-LT"/>
              </w:rPr>
              <w:t>as</w:t>
            </w:r>
          </w:p>
          <w:p w14:paraId="4A4FAF81" w14:textId="50DB2B37" w:rsidR="002F695A" w:rsidRPr="004A478C" w:rsidRDefault="002F695A" w:rsidP="004A478C">
            <w:pPr>
              <w:tabs>
                <w:tab w:val="left" w:pos="5552"/>
              </w:tabs>
              <w:spacing w:line="240" w:lineRule="auto"/>
              <w:ind w:left="1"/>
              <w:rPr>
                <w:lang w:val="lt-LT"/>
              </w:rPr>
            </w:pPr>
            <w:proofErr w:type="spellStart"/>
            <w:r w:rsidRPr="004A478C">
              <w:rPr>
                <w:lang w:val="lt-LT"/>
              </w:rPr>
              <w:t>Vetigo</w:t>
            </w:r>
            <w:proofErr w:type="spellEnd"/>
            <w:r w:rsidRPr="004A478C">
              <w:rPr>
                <w:vertAlign w:val="superscript"/>
                <w:lang w:val="lt-LT"/>
              </w:rPr>
              <w:t>#</w:t>
            </w:r>
          </w:p>
        </w:tc>
      </w:tr>
      <w:tr w:rsidR="00273470" w:rsidRPr="004B0C8F" w14:paraId="609E0C9C" w14:textId="77777777" w:rsidTr="004A478C">
        <w:trPr>
          <w:trHeight w:val="958"/>
        </w:trPr>
        <w:tc>
          <w:tcPr>
            <w:tcW w:w="3034" w:type="dxa"/>
            <w:tcBorders>
              <w:top w:val="single" w:sz="4" w:space="0" w:color="000000"/>
              <w:left w:val="single" w:sz="4" w:space="0" w:color="000000"/>
              <w:bottom w:val="single" w:sz="4" w:space="0" w:color="000000"/>
              <w:right w:val="single" w:sz="4" w:space="0" w:color="000000"/>
            </w:tcBorders>
            <w:shd w:val="clear" w:color="auto" w:fill="auto"/>
          </w:tcPr>
          <w:p w14:paraId="7CC00D6B" w14:textId="77777777" w:rsidR="00273470" w:rsidRPr="004A478C" w:rsidRDefault="00273470" w:rsidP="003B28E4">
            <w:pPr>
              <w:tabs>
                <w:tab w:val="left" w:pos="4680"/>
              </w:tabs>
              <w:spacing w:line="240" w:lineRule="auto"/>
              <w:ind w:left="3"/>
              <w:rPr>
                <w:lang w:val="lt-LT"/>
              </w:rPr>
            </w:pPr>
            <w:r w:rsidRPr="004A478C">
              <w:rPr>
                <w:lang w:val="lt-LT"/>
              </w:rPr>
              <w:t xml:space="preserve">Širdies sutrikimai </w:t>
            </w:r>
          </w:p>
        </w:tc>
        <w:tc>
          <w:tcPr>
            <w:tcW w:w="5722" w:type="dxa"/>
            <w:tcBorders>
              <w:top w:val="single" w:sz="4" w:space="0" w:color="000000"/>
              <w:left w:val="single" w:sz="4" w:space="0" w:color="000000"/>
              <w:bottom w:val="single" w:sz="4" w:space="0" w:color="000000"/>
              <w:right w:val="single" w:sz="3" w:space="0" w:color="000000"/>
            </w:tcBorders>
            <w:shd w:val="clear" w:color="auto" w:fill="auto"/>
          </w:tcPr>
          <w:p w14:paraId="6ECFBCAD" w14:textId="3B421F45" w:rsidR="00273470" w:rsidRPr="004A478C" w:rsidRDefault="00273470" w:rsidP="004A478C">
            <w:pPr>
              <w:tabs>
                <w:tab w:val="left" w:pos="5552"/>
              </w:tabs>
              <w:spacing w:line="240" w:lineRule="auto"/>
              <w:ind w:left="1"/>
              <w:rPr>
                <w:lang w:val="lt-LT"/>
              </w:rPr>
            </w:pPr>
            <w:r w:rsidRPr="004B0C8F">
              <w:rPr>
                <w:szCs w:val="22"/>
                <w:u w:val="single" w:color="000000"/>
                <w:lang w:val="lt-LT"/>
              </w:rPr>
              <w:t>Nedažn</w:t>
            </w:r>
            <w:r w:rsidR="000954C1">
              <w:rPr>
                <w:szCs w:val="22"/>
                <w:u w:val="single" w:color="000000"/>
                <w:lang w:val="lt-LT"/>
              </w:rPr>
              <w:t>as</w:t>
            </w:r>
            <w:r w:rsidRPr="004A478C">
              <w:rPr>
                <w:lang w:val="lt-LT"/>
              </w:rPr>
              <w:t xml:space="preserve"> </w:t>
            </w:r>
          </w:p>
          <w:p w14:paraId="72161272" w14:textId="7FFFF098" w:rsidR="00273470" w:rsidRPr="004A478C" w:rsidRDefault="00273470" w:rsidP="004A478C">
            <w:pPr>
              <w:tabs>
                <w:tab w:val="left" w:pos="5552"/>
              </w:tabs>
              <w:spacing w:line="240" w:lineRule="auto"/>
              <w:ind w:left="1"/>
              <w:rPr>
                <w:lang w:val="lt-LT"/>
              </w:rPr>
            </w:pPr>
            <w:r w:rsidRPr="004A478C">
              <w:rPr>
                <w:lang w:val="lt-LT"/>
              </w:rPr>
              <w:t xml:space="preserve">Prieširdžių virpėjimas, </w:t>
            </w:r>
            <w:proofErr w:type="spellStart"/>
            <w:r w:rsidRPr="004A478C">
              <w:rPr>
                <w:lang w:val="lt-LT"/>
              </w:rPr>
              <w:t>palpitacija</w:t>
            </w:r>
            <w:proofErr w:type="spellEnd"/>
            <w:r w:rsidRPr="004A478C">
              <w:rPr>
                <w:lang w:val="lt-LT"/>
              </w:rPr>
              <w:t xml:space="preserve">, EKG pakitimai, </w:t>
            </w:r>
            <w:r w:rsidR="002F695A" w:rsidRPr="004A478C">
              <w:rPr>
                <w:lang w:val="lt-LT"/>
              </w:rPr>
              <w:t>aritmija</w:t>
            </w:r>
            <w:r w:rsidR="002F695A" w:rsidRPr="004A478C">
              <w:rPr>
                <w:vertAlign w:val="superscript"/>
                <w:lang w:val="lt-LT"/>
              </w:rPr>
              <w:t>#</w:t>
            </w:r>
            <w:r w:rsidR="002F695A" w:rsidRPr="004A478C">
              <w:rPr>
                <w:lang w:val="lt-LT"/>
              </w:rPr>
              <w:t xml:space="preserve">, </w:t>
            </w:r>
            <w:r w:rsidRPr="004A478C">
              <w:rPr>
                <w:lang w:val="lt-LT"/>
              </w:rPr>
              <w:t xml:space="preserve">kairiosios </w:t>
            </w:r>
            <w:proofErr w:type="spellStart"/>
            <w:r w:rsidRPr="004A478C">
              <w:rPr>
                <w:lang w:val="lt-LT"/>
              </w:rPr>
              <w:t>Hiso</w:t>
            </w:r>
            <w:proofErr w:type="spellEnd"/>
            <w:r w:rsidRPr="004A478C">
              <w:rPr>
                <w:lang w:val="lt-LT"/>
              </w:rPr>
              <w:t xml:space="preserve"> pluošto kojytės blokada (žr. </w:t>
            </w:r>
            <w:r w:rsidR="00964BDA" w:rsidRPr="004A478C">
              <w:rPr>
                <w:rFonts w:eastAsia="Calibri"/>
                <w:lang w:val="lt-LT"/>
              </w:rPr>
              <w:t>„</w:t>
            </w:r>
            <w:r w:rsidR="00A11533" w:rsidRPr="004A478C">
              <w:rPr>
                <w:lang w:val="lt-LT"/>
              </w:rPr>
              <w:t>N</w:t>
            </w:r>
            <w:r w:rsidRPr="004A478C">
              <w:rPr>
                <w:lang w:val="lt-LT"/>
              </w:rPr>
              <w:t xml:space="preserve">aviko </w:t>
            </w:r>
            <w:proofErr w:type="spellStart"/>
            <w:r w:rsidRPr="004A478C">
              <w:rPr>
                <w:lang w:val="lt-LT"/>
              </w:rPr>
              <w:t>lizės</w:t>
            </w:r>
            <w:proofErr w:type="spellEnd"/>
            <w:r w:rsidRPr="004A478C">
              <w:rPr>
                <w:lang w:val="lt-LT"/>
              </w:rPr>
              <w:t xml:space="preserve"> sindromas</w:t>
            </w:r>
            <w:r w:rsidR="00E402FE" w:rsidRPr="004A478C">
              <w:rPr>
                <w:lang w:val="lt-LT"/>
              </w:rPr>
              <w:t xml:space="preserve"> (NLS)</w:t>
            </w:r>
            <w:r w:rsidR="00964BDA" w:rsidRPr="004A478C">
              <w:rPr>
                <w:rFonts w:eastAsia="Calibri"/>
                <w:lang w:val="lt-LT"/>
              </w:rPr>
              <w:t>“</w:t>
            </w:r>
            <w:r w:rsidRPr="004A478C">
              <w:rPr>
                <w:lang w:val="lt-LT"/>
              </w:rPr>
              <w:t xml:space="preserve"> skyrių), sinusinė tachikardija (žr. </w:t>
            </w:r>
            <w:r w:rsidR="00964BDA" w:rsidRPr="004A478C">
              <w:rPr>
                <w:rFonts w:eastAsia="Calibri"/>
                <w:lang w:val="lt-LT"/>
              </w:rPr>
              <w:t>„</w:t>
            </w:r>
            <w:r w:rsidR="00A11533" w:rsidRPr="004A478C">
              <w:rPr>
                <w:lang w:val="lt-LT"/>
              </w:rPr>
              <w:t>N</w:t>
            </w:r>
            <w:r w:rsidRPr="004A478C">
              <w:rPr>
                <w:lang w:val="lt-LT"/>
              </w:rPr>
              <w:t xml:space="preserve">aviko </w:t>
            </w:r>
            <w:proofErr w:type="spellStart"/>
            <w:r w:rsidRPr="004A478C">
              <w:rPr>
                <w:lang w:val="lt-LT"/>
              </w:rPr>
              <w:t>lizės</w:t>
            </w:r>
            <w:proofErr w:type="spellEnd"/>
            <w:r w:rsidRPr="004A478C">
              <w:rPr>
                <w:lang w:val="lt-LT"/>
              </w:rPr>
              <w:t xml:space="preserve"> sindromas</w:t>
            </w:r>
            <w:r w:rsidR="00E402FE" w:rsidRPr="004A478C">
              <w:rPr>
                <w:lang w:val="lt-LT"/>
              </w:rPr>
              <w:t xml:space="preserve"> (NLS)</w:t>
            </w:r>
            <w:r w:rsidR="00964BDA" w:rsidRPr="004A478C">
              <w:rPr>
                <w:rFonts w:eastAsia="Calibri"/>
                <w:lang w:val="lt-LT"/>
              </w:rPr>
              <w:t>“</w:t>
            </w:r>
            <w:r w:rsidRPr="004A478C">
              <w:rPr>
                <w:lang w:val="lt-LT"/>
              </w:rPr>
              <w:t xml:space="preserve"> skyrių)</w:t>
            </w:r>
            <w:r w:rsidR="00A57581" w:rsidRPr="004A478C">
              <w:rPr>
                <w:lang w:val="lt-LT"/>
              </w:rPr>
              <w:t>.</w:t>
            </w:r>
            <w:r w:rsidRPr="004A478C">
              <w:rPr>
                <w:lang w:val="lt-LT"/>
              </w:rPr>
              <w:t xml:space="preserve"> </w:t>
            </w:r>
          </w:p>
          <w:p w14:paraId="1911C9B4" w14:textId="47DFE919" w:rsidR="003D0095" w:rsidRPr="004B0C8F" w:rsidRDefault="003D0095" w:rsidP="000954C1">
            <w:pPr>
              <w:tabs>
                <w:tab w:val="left" w:pos="5552"/>
              </w:tabs>
              <w:spacing w:line="240" w:lineRule="auto"/>
              <w:ind w:left="1"/>
              <w:rPr>
                <w:szCs w:val="22"/>
                <w:u w:val="single"/>
                <w:lang w:val="lt-LT"/>
              </w:rPr>
            </w:pPr>
            <w:r w:rsidRPr="004B0C8F">
              <w:rPr>
                <w:szCs w:val="22"/>
                <w:u w:val="single"/>
                <w:lang w:val="lt-LT"/>
              </w:rPr>
              <w:t>Ret</w:t>
            </w:r>
            <w:r w:rsidR="000954C1">
              <w:rPr>
                <w:szCs w:val="22"/>
                <w:u w:val="single"/>
                <w:lang w:val="lt-LT"/>
              </w:rPr>
              <w:t>as</w:t>
            </w:r>
          </w:p>
          <w:p w14:paraId="32862DF6" w14:textId="5A73B89C" w:rsidR="003D0095" w:rsidRPr="004A478C" w:rsidRDefault="003D0095" w:rsidP="004A478C">
            <w:pPr>
              <w:tabs>
                <w:tab w:val="left" w:pos="5552"/>
              </w:tabs>
              <w:spacing w:line="240" w:lineRule="auto"/>
              <w:ind w:left="1"/>
              <w:rPr>
                <w:lang w:val="lt-LT"/>
              </w:rPr>
            </w:pPr>
            <w:r w:rsidRPr="004A478C">
              <w:rPr>
                <w:lang w:val="lt-LT"/>
              </w:rPr>
              <w:t xml:space="preserve">Staigi </w:t>
            </w:r>
            <w:proofErr w:type="spellStart"/>
            <w:r w:rsidRPr="004A478C">
              <w:rPr>
                <w:lang w:val="lt-LT"/>
              </w:rPr>
              <w:t>kardialinė</w:t>
            </w:r>
            <w:proofErr w:type="spellEnd"/>
            <w:r w:rsidRPr="004A478C">
              <w:rPr>
                <w:lang w:val="lt-LT"/>
              </w:rPr>
              <w:t xml:space="preserve"> mirtis*</w:t>
            </w:r>
          </w:p>
        </w:tc>
      </w:tr>
      <w:tr w:rsidR="00273470" w:rsidRPr="004B0C8F" w14:paraId="74DC7B41" w14:textId="77777777" w:rsidTr="004A478C">
        <w:trPr>
          <w:trHeight w:val="725"/>
        </w:trPr>
        <w:tc>
          <w:tcPr>
            <w:tcW w:w="3034" w:type="dxa"/>
            <w:tcBorders>
              <w:top w:val="single" w:sz="4" w:space="0" w:color="000000"/>
              <w:left w:val="single" w:sz="4" w:space="0" w:color="000000"/>
              <w:bottom w:val="single" w:sz="4" w:space="0" w:color="000000"/>
              <w:right w:val="single" w:sz="4" w:space="0" w:color="000000"/>
            </w:tcBorders>
            <w:shd w:val="clear" w:color="auto" w:fill="auto"/>
          </w:tcPr>
          <w:p w14:paraId="2A569923" w14:textId="77777777" w:rsidR="00273470" w:rsidRPr="004A478C" w:rsidRDefault="00273470" w:rsidP="003B28E4">
            <w:pPr>
              <w:tabs>
                <w:tab w:val="left" w:pos="4680"/>
              </w:tabs>
              <w:spacing w:line="240" w:lineRule="auto"/>
              <w:ind w:left="3"/>
              <w:rPr>
                <w:lang w:val="lt-LT"/>
              </w:rPr>
            </w:pPr>
            <w:r w:rsidRPr="004A478C">
              <w:rPr>
                <w:lang w:val="lt-LT"/>
              </w:rPr>
              <w:t xml:space="preserve">Kraujagyslių sutrikimai </w:t>
            </w:r>
          </w:p>
        </w:tc>
        <w:tc>
          <w:tcPr>
            <w:tcW w:w="5722" w:type="dxa"/>
            <w:tcBorders>
              <w:top w:val="single" w:sz="4" w:space="0" w:color="000000"/>
              <w:left w:val="single" w:sz="4" w:space="0" w:color="000000"/>
              <w:bottom w:val="single" w:sz="4" w:space="0" w:color="000000"/>
              <w:right w:val="single" w:sz="3" w:space="0" w:color="000000"/>
            </w:tcBorders>
            <w:shd w:val="clear" w:color="auto" w:fill="auto"/>
          </w:tcPr>
          <w:p w14:paraId="573D8CBC" w14:textId="58D7A780" w:rsidR="00273470" w:rsidRPr="004A478C" w:rsidRDefault="00273470" w:rsidP="004A478C">
            <w:pPr>
              <w:tabs>
                <w:tab w:val="left" w:pos="5552"/>
              </w:tabs>
              <w:spacing w:line="240" w:lineRule="auto"/>
              <w:rPr>
                <w:lang w:val="lt-LT"/>
              </w:rPr>
            </w:pPr>
            <w:r w:rsidRPr="004B0C8F">
              <w:rPr>
                <w:szCs w:val="22"/>
                <w:u w:val="single" w:color="000000"/>
                <w:lang w:val="lt-LT"/>
              </w:rPr>
              <w:t>Nedažn</w:t>
            </w:r>
            <w:r w:rsidR="000954C1">
              <w:rPr>
                <w:szCs w:val="22"/>
                <w:u w:val="single" w:color="000000"/>
                <w:lang w:val="lt-LT"/>
              </w:rPr>
              <w:t>as</w:t>
            </w:r>
            <w:r w:rsidRPr="004A478C">
              <w:rPr>
                <w:lang w:val="lt-LT"/>
              </w:rPr>
              <w:t xml:space="preserve"> </w:t>
            </w:r>
          </w:p>
          <w:p w14:paraId="705E979C" w14:textId="77777777" w:rsidR="00273470" w:rsidRPr="004A478C" w:rsidRDefault="00273470" w:rsidP="004A478C">
            <w:pPr>
              <w:tabs>
                <w:tab w:val="left" w:pos="5552"/>
              </w:tabs>
              <w:spacing w:line="240" w:lineRule="auto"/>
              <w:ind w:left="1"/>
              <w:rPr>
                <w:lang w:val="lt-LT"/>
              </w:rPr>
            </w:pPr>
            <w:r w:rsidRPr="004A478C">
              <w:rPr>
                <w:lang w:val="lt-LT"/>
              </w:rPr>
              <w:t xml:space="preserve">Hipertenzija, raudonis, karščio pylimas, kraujavimas (žr. </w:t>
            </w:r>
            <w:r w:rsidR="00964BDA" w:rsidRPr="004A478C">
              <w:rPr>
                <w:rFonts w:eastAsia="Calibri"/>
                <w:lang w:val="lt-LT"/>
              </w:rPr>
              <w:t>„</w:t>
            </w:r>
            <w:r w:rsidR="00A57581" w:rsidRPr="004A478C">
              <w:rPr>
                <w:lang w:val="lt-LT"/>
              </w:rPr>
              <w:t>N</w:t>
            </w:r>
            <w:r w:rsidRPr="004A478C">
              <w:rPr>
                <w:lang w:val="lt-LT"/>
              </w:rPr>
              <w:t xml:space="preserve">aviko </w:t>
            </w:r>
            <w:proofErr w:type="spellStart"/>
            <w:r w:rsidRPr="004A478C">
              <w:rPr>
                <w:lang w:val="lt-LT"/>
              </w:rPr>
              <w:t>lizės</w:t>
            </w:r>
            <w:proofErr w:type="spellEnd"/>
            <w:r w:rsidRPr="004A478C">
              <w:rPr>
                <w:lang w:val="lt-LT"/>
              </w:rPr>
              <w:t xml:space="preserve"> sindromas</w:t>
            </w:r>
            <w:r w:rsidR="003D0095" w:rsidRPr="004A478C">
              <w:rPr>
                <w:lang w:val="lt-LT"/>
              </w:rPr>
              <w:t xml:space="preserve"> (NLS)</w:t>
            </w:r>
            <w:r w:rsidR="00964BDA" w:rsidRPr="004A478C">
              <w:rPr>
                <w:rFonts w:eastAsia="Calibri"/>
                <w:lang w:val="lt-LT"/>
              </w:rPr>
              <w:t>“</w:t>
            </w:r>
            <w:r w:rsidRPr="004A478C">
              <w:rPr>
                <w:lang w:val="lt-LT"/>
              </w:rPr>
              <w:t xml:space="preserve"> skyrių) </w:t>
            </w:r>
          </w:p>
          <w:p w14:paraId="77EB3F78" w14:textId="7A2A68F5" w:rsidR="002F695A" w:rsidRPr="004B0C8F" w:rsidRDefault="002F695A" w:rsidP="000954C1">
            <w:pPr>
              <w:tabs>
                <w:tab w:val="left" w:pos="5552"/>
              </w:tabs>
              <w:spacing w:line="240" w:lineRule="auto"/>
              <w:rPr>
                <w:szCs w:val="22"/>
                <w:u w:val="single"/>
                <w:lang w:val="lt-LT"/>
              </w:rPr>
            </w:pPr>
            <w:r w:rsidRPr="004B0C8F">
              <w:rPr>
                <w:szCs w:val="22"/>
                <w:u w:val="single"/>
                <w:lang w:val="lt-LT"/>
              </w:rPr>
              <w:t>Ret</w:t>
            </w:r>
            <w:r w:rsidR="000954C1">
              <w:rPr>
                <w:szCs w:val="22"/>
                <w:u w:val="single"/>
                <w:lang w:val="lt-LT"/>
              </w:rPr>
              <w:t>as</w:t>
            </w:r>
          </w:p>
          <w:p w14:paraId="6F4CEAE6" w14:textId="16EECBEB" w:rsidR="002F695A" w:rsidRPr="004A478C" w:rsidRDefault="002F695A" w:rsidP="004A478C">
            <w:pPr>
              <w:tabs>
                <w:tab w:val="left" w:pos="5552"/>
              </w:tabs>
              <w:spacing w:line="240" w:lineRule="auto"/>
              <w:ind w:left="1"/>
              <w:rPr>
                <w:lang w:val="lt-LT"/>
              </w:rPr>
            </w:pPr>
            <w:r w:rsidRPr="004A478C">
              <w:rPr>
                <w:lang w:val="lt-LT"/>
              </w:rPr>
              <w:t xml:space="preserve">Kraujotakos </w:t>
            </w:r>
            <w:proofErr w:type="spellStart"/>
            <w:r w:rsidRPr="004A478C">
              <w:rPr>
                <w:lang w:val="lt-LT"/>
              </w:rPr>
              <w:t>kolapsas</w:t>
            </w:r>
            <w:proofErr w:type="spellEnd"/>
            <w:r w:rsidRPr="004A478C">
              <w:rPr>
                <w:vertAlign w:val="superscript"/>
                <w:lang w:val="lt-LT"/>
              </w:rPr>
              <w:t>#</w:t>
            </w:r>
          </w:p>
        </w:tc>
      </w:tr>
      <w:tr w:rsidR="00273470" w:rsidRPr="004B0C8F" w14:paraId="7CB4518D" w14:textId="77777777" w:rsidTr="004A478C">
        <w:trPr>
          <w:trHeight w:val="485"/>
        </w:trPr>
        <w:tc>
          <w:tcPr>
            <w:tcW w:w="3034" w:type="dxa"/>
            <w:tcBorders>
              <w:top w:val="single" w:sz="4" w:space="0" w:color="000000"/>
              <w:left w:val="single" w:sz="4" w:space="0" w:color="000000"/>
              <w:bottom w:val="single" w:sz="4" w:space="0" w:color="000000"/>
              <w:right w:val="single" w:sz="4" w:space="0" w:color="000000"/>
            </w:tcBorders>
            <w:shd w:val="clear" w:color="auto" w:fill="auto"/>
          </w:tcPr>
          <w:p w14:paraId="497156A3" w14:textId="77777777" w:rsidR="00273470" w:rsidRPr="004A478C" w:rsidRDefault="00273470" w:rsidP="00F92F8C">
            <w:pPr>
              <w:tabs>
                <w:tab w:val="left" w:pos="4680"/>
              </w:tabs>
              <w:spacing w:line="240" w:lineRule="auto"/>
              <w:ind w:left="3"/>
              <w:rPr>
                <w:lang w:val="lt-LT"/>
              </w:rPr>
            </w:pPr>
            <w:r w:rsidRPr="004A478C">
              <w:rPr>
                <w:lang w:val="lt-LT"/>
              </w:rPr>
              <w:t xml:space="preserve">Kvėpavimo sistemos, krūtinės ląstos ir tarpuplaučio sutrikimai </w:t>
            </w:r>
          </w:p>
        </w:tc>
        <w:tc>
          <w:tcPr>
            <w:tcW w:w="5722" w:type="dxa"/>
            <w:tcBorders>
              <w:top w:val="single" w:sz="4" w:space="0" w:color="000000"/>
              <w:left w:val="single" w:sz="4" w:space="0" w:color="000000"/>
              <w:bottom w:val="single" w:sz="4" w:space="0" w:color="000000"/>
              <w:right w:val="single" w:sz="3" w:space="0" w:color="000000"/>
            </w:tcBorders>
            <w:shd w:val="clear" w:color="auto" w:fill="auto"/>
          </w:tcPr>
          <w:p w14:paraId="1C1585F5" w14:textId="4A7CE898" w:rsidR="00273470" w:rsidRPr="004A478C" w:rsidRDefault="00F92F8C" w:rsidP="004A478C">
            <w:pPr>
              <w:tabs>
                <w:tab w:val="left" w:pos="5552"/>
              </w:tabs>
              <w:spacing w:line="240" w:lineRule="auto"/>
              <w:ind w:left="1"/>
              <w:rPr>
                <w:lang w:val="lt-LT"/>
              </w:rPr>
            </w:pPr>
            <w:r w:rsidRPr="004B0C8F">
              <w:rPr>
                <w:szCs w:val="22"/>
                <w:u w:val="single" w:color="000000"/>
                <w:lang w:val="lt-LT"/>
              </w:rPr>
              <w:t>D</w:t>
            </w:r>
            <w:r w:rsidR="00273470" w:rsidRPr="004B0C8F">
              <w:rPr>
                <w:szCs w:val="22"/>
                <w:u w:val="single" w:color="000000"/>
                <w:lang w:val="lt-LT"/>
              </w:rPr>
              <w:t>ažn</w:t>
            </w:r>
            <w:r w:rsidR="000954C1">
              <w:rPr>
                <w:szCs w:val="22"/>
                <w:u w:val="single" w:color="000000"/>
                <w:lang w:val="lt-LT"/>
              </w:rPr>
              <w:t>as</w:t>
            </w:r>
            <w:r w:rsidR="00273470" w:rsidRPr="004A478C">
              <w:rPr>
                <w:lang w:val="lt-LT"/>
              </w:rPr>
              <w:t xml:space="preserve"> </w:t>
            </w:r>
          </w:p>
          <w:p w14:paraId="50F1FBA3" w14:textId="77777777" w:rsidR="00F92F8C" w:rsidRPr="004A478C" w:rsidRDefault="00273470" w:rsidP="004A478C">
            <w:pPr>
              <w:tabs>
                <w:tab w:val="left" w:pos="5552"/>
              </w:tabs>
              <w:spacing w:line="240" w:lineRule="auto"/>
              <w:ind w:left="1"/>
              <w:rPr>
                <w:lang w:val="lt-LT"/>
              </w:rPr>
            </w:pPr>
            <w:r w:rsidRPr="004A478C">
              <w:rPr>
                <w:lang w:val="lt-LT"/>
              </w:rPr>
              <w:t>Dusulys</w:t>
            </w:r>
          </w:p>
          <w:p w14:paraId="08A4BDA9" w14:textId="2DE67713" w:rsidR="00F92F8C" w:rsidRPr="004B0C8F" w:rsidRDefault="00536403" w:rsidP="000954C1">
            <w:pPr>
              <w:tabs>
                <w:tab w:val="left" w:pos="5552"/>
              </w:tabs>
              <w:spacing w:line="240" w:lineRule="auto"/>
              <w:ind w:left="1"/>
              <w:rPr>
                <w:szCs w:val="22"/>
                <w:lang w:val="lt-LT"/>
              </w:rPr>
            </w:pPr>
            <w:r w:rsidRPr="004B0C8F">
              <w:rPr>
                <w:szCs w:val="22"/>
                <w:u w:val="single"/>
                <w:lang w:val="lt-LT"/>
              </w:rPr>
              <w:t>Nedažn</w:t>
            </w:r>
            <w:r w:rsidR="000954C1">
              <w:rPr>
                <w:szCs w:val="22"/>
                <w:u w:val="single"/>
                <w:lang w:val="lt-LT"/>
              </w:rPr>
              <w:t>as</w:t>
            </w:r>
          </w:p>
          <w:p w14:paraId="487D201E" w14:textId="4C4EAE06" w:rsidR="00F92F8C" w:rsidRPr="004A478C" w:rsidRDefault="00F92F8C" w:rsidP="004A478C">
            <w:pPr>
              <w:tabs>
                <w:tab w:val="left" w:pos="5552"/>
              </w:tabs>
              <w:spacing w:line="240" w:lineRule="auto"/>
              <w:rPr>
                <w:lang w:val="lt-LT"/>
              </w:rPr>
            </w:pPr>
            <w:r w:rsidRPr="004A478C">
              <w:rPr>
                <w:lang w:val="lt-LT"/>
              </w:rPr>
              <w:t>B</w:t>
            </w:r>
            <w:r w:rsidR="00273470" w:rsidRPr="004A478C">
              <w:rPr>
                <w:lang w:val="lt-LT"/>
              </w:rPr>
              <w:t xml:space="preserve">ronchitas, viršutinių kvėpavimo takų infekcija, </w:t>
            </w:r>
            <w:r w:rsidRPr="004A478C">
              <w:rPr>
                <w:lang w:val="lt-LT"/>
              </w:rPr>
              <w:t>apatinių kvėpavimo takų infekcija</w:t>
            </w:r>
            <w:r w:rsidRPr="004A478C">
              <w:rPr>
                <w:vertAlign w:val="superscript"/>
                <w:lang w:val="lt-LT"/>
              </w:rPr>
              <w:t>#</w:t>
            </w:r>
            <w:r w:rsidRPr="004A478C">
              <w:rPr>
                <w:lang w:val="lt-LT"/>
              </w:rPr>
              <w:t xml:space="preserve">, </w:t>
            </w:r>
            <w:r w:rsidR="00273470" w:rsidRPr="004A478C">
              <w:rPr>
                <w:lang w:val="lt-LT"/>
              </w:rPr>
              <w:t>kosulys</w:t>
            </w:r>
            <w:r w:rsidRPr="004A478C">
              <w:rPr>
                <w:lang w:val="lt-LT"/>
              </w:rPr>
              <w:t xml:space="preserve">, </w:t>
            </w:r>
            <w:proofErr w:type="spellStart"/>
            <w:r w:rsidRPr="004A478C">
              <w:rPr>
                <w:lang w:val="lt-LT"/>
              </w:rPr>
              <w:t>rinor</w:t>
            </w:r>
            <w:r w:rsidRPr="004B0C8F">
              <w:rPr>
                <w:szCs w:val="22"/>
                <w:lang w:val="lt-LT"/>
              </w:rPr>
              <w:t>ėja</w:t>
            </w:r>
            <w:proofErr w:type="spellEnd"/>
            <w:r w:rsidRPr="004A478C">
              <w:rPr>
                <w:vertAlign w:val="superscript"/>
                <w:lang w:val="lt-LT"/>
              </w:rPr>
              <w:t>#</w:t>
            </w:r>
          </w:p>
          <w:p w14:paraId="03460B40" w14:textId="7D72D4C9" w:rsidR="00F92F8C" w:rsidRPr="004B0C8F" w:rsidRDefault="00F92F8C" w:rsidP="000954C1">
            <w:pPr>
              <w:tabs>
                <w:tab w:val="left" w:pos="5552"/>
              </w:tabs>
              <w:spacing w:line="240" w:lineRule="auto"/>
              <w:rPr>
                <w:szCs w:val="22"/>
                <w:lang w:val="lt-LT"/>
              </w:rPr>
            </w:pPr>
            <w:r w:rsidRPr="004B0C8F">
              <w:rPr>
                <w:szCs w:val="22"/>
                <w:u w:val="single"/>
                <w:lang w:val="lt-LT"/>
              </w:rPr>
              <w:t>Ret</w:t>
            </w:r>
            <w:r w:rsidR="000954C1">
              <w:rPr>
                <w:szCs w:val="22"/>
                <w:u w:val="single"/>
                <w:lang w:val="lt-LT"/>
              </w:rPr>
              <w:t>as</w:t>
            </w:r>
          </w:p>
          <w:p w14:paraId="00C0BA36" w14:textId="312A3C64" w:rsidR="00273470" w:rsidRPr="004A478C" w:rsidRDefault="00F92F8C" w:rsidP="004A478C">
            <w:pPr>
              <w:tabs>
                <w:tab w:val="left" w:pos="5552"/>
              </w:tabs>
              <w:spacing w:line="240" w:lineRule="auto"/>
              <w:ind w:left="1"/>
              <w:rPr>
                <w:lang w:val="lt-LT"/>
              </w:rPr>
            </w:pPr>
            <w:r w:rsidRPr="004A478C">
              <w:rPr>
                <w:lang w:val="lt-LT"/>
              </w:rPr>
              <w:t>Pneumonija</w:t>
            </w:r>
            <w:r w:rsidRPr="004A478C">
              <w:rPr>
                <w:vertAlign w:val="superscript"/>
                <w:lang w:val="lt-LT"/>
              </w:rPr>
              <w:t>#</w:t>
            </w:r>
            <w:r w:rsidRPr="004A478C">
              <w:rPr>
                <w:lang w:val="lt-LT"/>
              </w:rPr>
              <w:t xml:space="preserve"> </w:t>
            </w:r>
            <w:r w:rsidR="00273470" w:rsidRPr="004A478C">
              <w:rPr>
                <w:lang w:val="lt-LT"/>
              </w:rPr>
              <w:t xml:space="preserve"> </w:t>
            </w:r>
          </w:p>
        </w:tc>
      </w:tr>
      <w:tr w:rsidR="00273470" w:rsidRPr="004A478C" w14:paraId="1167C3DC" w14:textId="77777777" w:rsidTr="004A478C">
        <w:trPr>
          <w:trHeight w:val="962"/>
        </w:trPr>
        <w:tc>
          <w:tcPr>
            <w:tcW w:w="3034" w:type="dxa"/>
            <w:tcBorders>
              <w:top w:val="single" w:sz="4" w:space="0" w:color="000000"/>
              <w:left w:val="single" w:sz="4" w:space="0" w:color="000000"/>
              <w:bottom w:val="single" w:sz="4" w:space="0" w:color="000000"/>
              <w:right w:val="single" w:sz="4" w:space="0" w:color="000000"/>
            </w:tcBorders>
            <w:shd w:val="clear" w:color="auto" w:fill="auto"/>
          </w:tcPr>
          <w:p w14:paraId="2CA9874F" w14:textId="77777777" w:rsidR="00273470" w:rsidRPr="004A478C" w:rsidRDefault="00273470" w:rsidP="00F92F8C">
            <w:pPr>
              <w:tabs>
                <w:tab w:val="left" w:pos="4680"/>
              </w:tabs>
              <w:spacing w:line="240" w:lineRule="auto"/>
              <w:ind w:left="3"/>
              <w:rPr>
                <w:lang w:val="lt-LT"/>
              </w:rPr>
            </w:pPr>
            <w:r w:rsidRPr="004A478C">
              <w:rPr>
                <w:lang w:val="lt-LT"/>
              </w:rPr>
              <w:t xml:space="preserve">Virškinimo trakto sutrikimai </w:t>
            </w:r>
          </w:p>
        </w:tc>
        <w:tc>
          <w:tcPr>
            <w:tcW w:w="5722" w:type="dxa"/>
            <w:tcBorders>
              <w:top w:val="single" w:sz="4" w:space="0" w:color="000000"/>
              <w:left w:val="single" w:sz="4" w:space="0" w:color="000000"/>
              <w:bottom w:val="single" w:sz="4" w:space="0" w:color="000000"/>
              <w:right w:val="single" w:sz="3" w:space="0" w:color="000000"/>
            </w:tcBorders>
            <w:shd w:val="clear" w:color="auto" w:fill="auto"/>
          </w:tcPr>
          <w:p w14:paraId="7EB8B517" w14:textId="7DED4EA4" w:rsidR="00273470" w:rsidRPr="004A478C" w:rsidRDefault="00273470" w:rsidP="004A478C">
            <w:pPr>
              <w:tabs>
                <w:tab w:val="left" w:pos="5552"/>
              </w:tabs>
              <w:spacing w:line="240" w:lineRule="auto"/>
              <w:ind w:left="1"/>
              <w:rPr>
                <w:lang w:val="lt-LT"/>
              </w:rPr>
            </w:pPr>
            <w:r w:rsidRPr="004B0C8F">
              <w:rPr>
                <w:szCs w:val="22"/>
                <w:u w:val="single" w:color="000000"/>
                <w:lang w:val="lt-LT"/>
              </w:rPr>
              <w:t>Dažn</w:t>
            </w:r>
            <w:r w:rsidR="000954C1">
              <w:rPr>
                <w:szCs w:val="22"/>
                <w:u w:val="single" w:color="000000"/>
                <w:lang w:val="lt-LT"/>
              </w:rPr>
              <w:t>as</w:t>
            </w:r>
            <w:r w:rsidRPr="004A478C">
              <w:rPr>
                <w:lang w:val="lt-LT"/>
              </w:rPr>
              <w:t xml:space="preserve"> </w:t>
            </w:r>
          </w:p>
          <w:p w14:paraId="0F0839EE" w14:textId="13EED601" w:rsidR="00273470" w:rsidRPr="004A478C" w:rsidRDefault="00273470" w:rsidP="004A478C">
            <w:pPr>
              <w:tabs>
                <w:tab w:val="left" w:pos="5552"/>
              </w:tabs>
              <w:spacing w:line="240" w:lineRule="auto"/>
              <w:ind w:left="1" w:right="2426"/>
              <w:rPr>
                <w:lang w:val="lt-LT"/>
              </w:rPr>
            </w:pPr>
            <w:r w:rsidRPr="004A478C">
              <w:rPr>
                <w:lang w:val="lt-LT"/>
              </w:rPr>
              <w:t>Viduriavimas*</w:t>
            </w:r>
            <w:r w:rsidRPr="004A478C">
              <w:rPr>
                <w:vertAlign w:val="superscript"/>
                <w:lang w:val="lt-LT"/>
              </w:rPr>
              <w:t>*</w:t>
            </w:r>
            <w:r w:rsidRPr="004A478C">
              <w:rPr>
                <w:lang w:val="lt-LT"/>
              </w:rPr>
              <w:t>, pykinimas</w:t>
            </w:r>
            <w:r w:rsidRPr="004A478C">
              <w:rPr>
                <w:vertAlign w:val="superscript"/>
                <w:lang w:val="lt-LT"/>
              </w:rPr>
              <w:t>*</w:t>
            </w:r>
            <w:r w:rsidRPr="004A478C">
              <w:rPr>
                <w:lang w:val="lt-LT"/>
              </w:rPr>
              <w:t xml:space="preserve"> </w:t>
            </w:r>
            <w:r w:rsidRPr="004B0C8F">
              <w:rPr>
                <w:szCs w:val="22"/>
                <w:u w:val="single" w:color="000000"/>
                <w:lang w:val="lt-LT"/>
              </w:rPr>
              <w:t>Nedažn</w:t>
            </w:r>
            <w:r w:rsidR="000954C1">
              <w:rPr>
                <w:szCs w:val="22"/>
                <w:u w:val="single" w:color="000000"/>
                <w:lang w:val="lt-LT"/>
              </w:rPr>
              <w:t>as</w:t>
            </w:r>
            <w:r w:rsidRPr="004A478C">
              <w:rPr>
                <w:lang w:val="lt-LT"/>
              </w:rPr>
              <w:t xml:space="preserve"> </w:t>
            </w:r>
          </w:p>
          <w:p w14:paraId="663C5CC5" w14:textId="5F4FC758" w:rsidR="000954C1" w:rsidRPr="004B0C8F" w:rsidRDefault="00273470" w:rsidP="000954C1">
            <w:pPr>
              <w:tabs>
                <w:tab w:val="left" w:pos="5552"/>
              </w:tabs>
              <w:spacing w:line="240" w:lineRule="auto"/>
              <w:rPr>
                <w:szCs w:val="22"/>
                <w:lang w:val="lt-LT"/>
              </w:rPr>
            </w:pPr>
            <w:r w:rsidRPr="004A478C">
              <w:rPr>
                <w:lang w:val="lt-LT"/>
              </w:rPr>
              <w:t xml:space="preserve">Pilvo skausmas, </w:t>
            </w:r>
            <w:r w:rsidR="00F92F8C" w:rsidRPr="004A478C">
              <w:rPr>
                <w:lang w:val="lt-LT"/>
              </w:rPr>
              <w:t>pilvo skausmas viršutinėje dalyje</w:t>
            </w:r>
            <w:r w:rsidR="00F92F8C" w:rsidRPr="004A478C">
              <w:rPr>
                <w:vertAlign w:val="superscript"/>
                <w:lang w:val="lt-LT"/>
              </w:rPr>
              <w:t>#</w:t>
            </w:r>
            <w:r w:rsidR="00F92F8C" w:rsidRPr="004A478C">
              <w:rPr>
                <w:lang w:val="lt-LT"/>
              </w:rPr>
              <w:t xml:space="preserve">, </w:t>
            </w:r>
            <w:r w:rsidRPr="004A478C">
              <w:rPr>
                <w:lang w:val="lt-LT"/>
              </w:rPr>
              <w:t xml:space="preserve">pilvo išpūtimas, </w:t>
            </w:r>
            <w:proofErr w:type="spellStart"/>
            <w:r w:rsidRPr="004A478C">
              <w:rPr>
                <w:lang w:val="lt-LT"/>
              </w:rPr>
              <w:t>gastroezofagini</w:t>
            </w:r>
            <w:r w:rsidR="00A11533" w:rsidRPr="004A478C">
              <w:rPr>
                <w:lang w:val="lt-LT"/>
              </w:rPr>
              <w:t>o</w:t>
            </w:r>
            <w:proofErr w:type="spellEnd"/>
            <w:r w:rsidRPr="004A478C">
              <w:rPr>
                <w:lang w:val="lt-LT"/>
              </w:rPr>
              <w:t xml:space="preserve"> </w:t>
            </w:r>
            <w:proofErr w:type="spellStart"/>
            <w:r w:rsidRPr="004A478C">
              <w:rPr>
                <w:lang w:val="lt-LT"/>
              </w:rPr>
              <w:t>refliuks</w:t>
            </w:r>
            <w:r w:rsidR="00A11533" w:rsidRPr="004A478C">
              <w:rPr>
                <w:lang w:val="lt-LT"/>
              </w:rPr>
              <w:t>o</w:t>
            </w:r>
            <w:proofErr w:type="spellEnd"/>
            <w:r w:rsidR="00A11533" w:rsidRPr="004A478C">
              <w:rPr>
                <w:lang w:val="lt-LT"/>
              </w:rPr>
              <w:t xml:space="preserve"> liga</w:t>
            </w:r>
            <w:r w:rsidRPr="004A478C">
              <w:rPr>
                <w:lang w:val="lt-LT"/>
              </w:rPr>
              <w:t>,</w:t>
            </w:r>
            <w:r w:rsidR="000954C1">
              <w:rPr>
                <w:szCs w:val="22"/>
                <w:lang w:val="lt-LT"/>
              </w:rPr>
              <w:t xml:space="preserve"> </w:t>
            </w:r>
            <w:r w:rsidR="000954C1" w:rsidRPr="004B0C8F">
              <w:rPr>
                <w:szCs w:val="22"/>
                <w:lang w:val="lt-LT"/>
              </w:rPr>
              <w:t>vėmimas</w:t>
            </w:r>
            <w:r w:rsidR="000954C1" w:rsidRPr="004B0C8F">
              <w:rPr>
                <w:szCs w:val="22"/>
                <w:vertAlign w:val="superscript"/>
                <w:lang w:val="lt-LT"/>
              </w:rPr>
              <w:t>*</w:t>
            </w:r>
            <w:r w:rsidR="000954C1" w:rsidRPr="004B0C8F">
              <w:rPr>
                <w:szCs w:val="22"/>
                <w:lang w:val="lt-LT"/>
              </w:rPr>
              <w:t>, burnos sausmė, dispepsija, vidurių</w:t>
            </w:r>
            <w:r w:rsidR="000954C1">
              <w:rPr>
                <w:szCs w:val="22"/>
                <w:lang w:val="lt-LT"/>
              </w:rPr>
              <w:t xml:space="preserve"> </w:t>
            </w:r>
            <w:r w:rsidR="000954C1" w:rsidRPr="004B0C8F">
              <w:rPr>
                <w:szCs w:val="22"/>
                <w:lang w:val="lt-LT"/>
              </w:rPr>
              <w:t>užkietėjimas, dažnas tuštinimasis, pilvo pūtimas, nemalonus jausmas skrandyje ir žarnyne, burnos išopėjimas, lūpų patinimas</w:t>
            </w:r>
            <w:r w:rsidR="000954C1" w:rsidRPr="004B0C8F">
              <w:rPr>
                <w:szCs w:val="22"/>
                <w:vertAlign w:val="superscript"/>
                <w:lang w:val="lt-LT"/>
              </w:rPr>
              <w:t>#</w:t>
            </w:r>
            <w:r w:rsidR="000954C1" w:rsidRPr="004B0C8F">
              <w:rPr>
                <w:szCs w:val="22"/>
                <w:lang w:val="lt-LT"/>
              </w:rPr>
              <w:t xml:space="preserve">, pankreatitas    </w:t>
            </w:r>
          </w:p>
          <w:p w14:paraId="34BFD512" w14:textId="2480DCAA" w:rsidR="000954C1" w:rsidRPr="004B0C8F" w:rsidRDefault="000954C1" w:rsidP="000954C1">
            <w:pPr>
              <w:tabs>
                <w:tab w:val="left" w:pos="5552"/>
              </w:tabs>
              <w:spacing w:line="240" w:lineRule="auto"/>
              <w:rPr>
                <w:szCs w:val="22"/>
                <w:lang w:val="lt-LT"/>
              </w:rPr>
            </w:pPr>
            <w:r w:rsidRPr="004B0C8F">
              <w:rPr>
                <w:szCs w:val="22"/>
                <w:u w:val="single" w:color="000000"/>
                <w:lang w:val="lt-LT"/>
              </w:rPr>
              <w:t>Ret</w:t>
            </w:r>
            <w:r w:rsidR="00D1633A">
              <w:rPr>
                <w:szCs w:val="22"/>
                <w:u w:val="single" w:color="000000"/>
                <w:lang w:val="lt-LT"/>
              </w:rPr>
              <w:t>as</w:t>
            </w:r>
            <w:r w:rsidRPr="004B0C8F">
              <w:rPr>
                <w:szCs w:val="22"/>
                <w:lang w:val="lt-LT"/>
              </w:rPr>
              <w:t xml:space="preserve"> </w:t>
            </w:r>
          </w:p>
          <w:p w14:paraId="49A31BA1" w14:textId="3E5DF5C5" w:rsidR="00273470" w:rsidRPr="004A478C" w:rsidRDefault="000954C1" w:rsidP="004A478C">
            <w:pPr>
              <w:tabs>
                <w:tab w:val="left" w:pos="5552"/>
              </w:tabs>
              <w:spacing w:line="240" w:lineRule="auto"/>
              <w:ind w:left="1"/>
              <w:rPr>
                <w:lang w:val="lt-LT"/>
              </w:rPr>
            </w:pPr>
            <w:r w:rsidRPr="004B0C8F">
              <w:rPr>
                <w:szCs w:val="22"/>
                <w:lang w:val="lt-LT"/>
              </w:rPr>
              <w:t>Virškinimo trakto perforacija</w:t>
            </w:r>
            <w:r w:rsidRPr="004B0C8F">
              <w:rPr>
                <w:szCs w:val="22"/>
                <w:vertAlign w:val="superscript"/>
                <w:lang w:val="lt-LT"/>
              </w:rPr>
              <w:t>#</w:t>
            </w:r>
            <w:r w:rsidRPr="004B0C8F">
              <w:rPr>
                <w:szCs w:val="22"/>
                <w:lang w:val="lt-LT"/>
              </w:rPr>
              <w:t>, stomatitas</w:t>
            </w:r>
            <w:r w:rsidRPr="004B0C8F">
              <w:rPr>
                <w:szCs w:val="22"/>
                <w:vertAlign w:val="superscript"/>
                <w:lang w:val="lt-LT"/>
              </w:rPr>
              <w:t>#</w:t>
            </w:r>
            <w:r w:rsidRPr="004B0C8F">
              <w:rPr>
                <w:szCs w:val="22"/>
                <w:lang w:val="lt-LT"/>
              </w:rPr>
              <w:t xml:space="preserve">  </w:t>
            </w:r>
          </w:p>
        </w:tc>
      </w:tr>
      <w:tr w:rsidR="000954C1" w:rsidRPr="004A478C" w14:paraId="6B98C0E0" w14:textId="77777777" w:rsidTr="000D7597">
        <w:tblPrEx>
          <w:tblCellMar>
            <w:top w:w="44" w:type="dxa"/>
            <w:left w:w="101" w:type="dxa"/>
            <w:right w:w="115" w:type="dxa"/>
          </w:tblCellMar>
        </w:tblPrEx>
        <w:trPr>
          <w:trHeight w:val="1434"/>
        </w:trPr>
        <w:tc>
          <w:tcPr>
            <w:tcW w:w="3034" w:type="dxa"/>
            <w:tcBorders>
              <w:top w:val="single" w:sz="4" w:space="0" w:color="000000"/>
              <w:left w:val="single" w:sz="4" w:space="0" w:color="000000"/>
              <w:bottom w:val="single" w:sz="3" w:space="0" w:color="000000"/>
              <w:right w:val="single" w:sz="4" w:space="0" w:color="000000"/>
            </w:tcBorders>
            <w:shd w:val="clear" w:color="auto" w:fill="auto"/>
          </w:tcPr>
          <w:p w14:paraId="39F12073" w14:textId="77777777" w:rsidR="000954C1" w:rsidRPr="004B0C8F" w:rsidRDefault="000954C1" w:rsidP="000D7597">
            <w:pPr>
              <w:tabs>
                <w:tab w:val="left" w:pos="4680"/>
              </w:tabs>
              <w:spacing w:line="240" w:lineRule="auto"/>
              <w:ind w:left="2"/>
              <w:rPr>
                <w:szCs w:val="22"/>
                <w:lang w:val="lt-LT"/>
              </w:rPr>
            </w:pPr>
            <w:r w:rsidRPr="004B0C8F">
              <w:rPr>
                <w:szCs w:val="22"/>
                <w:lang w:val="lt-LT"/>
              </w:rPr>
              <w:t xml:space="preserve">Kepenų, tulžies pūslės ir latakų sutrikimai </w:t>
            </w:r>
          </w:p>
        </w:tc>
        <w:tc>
          <w:tcPr>
            <w:tcW w:w="5722" w:type="dxa"/>
            <w:tcBorders>
              <w:top w:val="single" w:sz="4" w:space="0" w:color="000000"/>
              <w:left w:val="single" w:sz="4" w:space="0" w:color="000000"/>
              <w:bottom w:val="single" w:sz="3" w:space="0" w:color="000000"/>
              <w:right w:val="single" w:sz="3" w:space="0" w:color="000000"/>
            </w:tcBorders>
            <w:shd w:val="clear" w:color="auto" w:fill="auto"/>
          </w:tcPr>
          <w:p w14:paraId="7276AC9F" w14:textId="7E9E1CD4" w:rsidR="000954C1" w:rsidRPr="004B0C8F" w:rsidRDefault="000954C1" w:rsidP="000D7597">
            <w:pPr>
              <w:tabs>
                <w:tab w:val="left" w:pos="4680"/>
              </w:tabs>
              <w:spacing w:line="240" w:lineRule="auto"/>
              <w:rPr>
                <w:szCs w:val="22"/>
                <w:lang w:val="lt-LT"/>
              </w:rPr>
            </w:pPr>
            <w:r w:rsidRPr="004B0C8F">
              <w:rPr>
                <w:szCs w:val="22"/>
                <w:u w:val="single" w:color="000000"/>
                <w:lang w:val="lt-LT"/>
              </w:rPr>
              <w:t>Dažn</w:t>
            </w:r>
            <w:r w:rsidR="00D1633A">
              <w:rPr>
                <w:szCs w:val="22"/>
                <w:u w:val="single" w:color="000000"/>
                <w:lang w:val="lt-LT"/>
              </w:rPr>
              <w:t>as</w:t>
            </w:r>
            <w:r w:rsidRPr="004B0C8F">
              <w:rPr>
                <w:szCs w:val="22"/>
                <w:lang w:val="lt-LT"/>
              </w:rPr>
              <w:t xml:space="preserve"> </w:t>
            </w:r>
          </w:p>
          <w:p w14:paraId="4DC94F97" w14:textId="77777777" w:rsidR="000954C1" w:rsidRPr="004B0C8F" w:rsidRDefault="000954C1" w:rsidP="000D7597">
            <w:pPr>
              <w:tabs>
                <w:tab w:val="left" w:pos="4680"/>
              </w:tabs>
              <w:spacing w:line="240" w:lineRule="auto"/>
              <w:rPr>
                <w:szCs w:val="22"/>
                <w:lang w:val="lt-LT"/>
              </w:rPr>
            </w:pPr>
            <w:r w:rsidRPr="004B0C8F">
              <w:rPr>
                <w:szCs w:val="22"/>
                <w:lang w:val="lt-LT"/>
              </w:rPr>
              <w:t xml:space="preserve">Kepenų funkcijos sutrikimas** </w:t>
            </w:r>
          </w:p>
          <w:p w14:paraId="3EFF2933" w14:textId="12C4DE44" w:rsidR="000954C1" w:rsidRPr="004B0C8F" w:rsidRDefault="000954C1" w:rsidP="000D7597">
            <w:pPr>
              <w:tabs>
                <w:tab w:val="left" w:pos="4680"/>
              </w:tabs>
              <w:spacing w:line="240" w:lineRule="auto"/>
              <w:rPr>
                <w:szCs w:val="22"/>
                <w:lang w:val="lt-LT"/>
              </w:rPr>
            </w:pPr>
            <w:r w:rsidRPr="004B0C8F">
              <w:rPr>
                <w:szCs w:val="22"/>
                <w:u w:val="single" w:color="000000"/>
                <w:lang w:val="lt-LT"/>
              </w:rPr>
              <w:t>Nedažn</w:t>
            </w:r>
            <w:r w:rsidR="00D1633A">
              <w:rPr>
                <w:szCs w:val="22"/>
                <w:u w:val="single" w:color="000000"/>
                <w:lang w:val="lt-LT"/>
              </w:rPr>
              <w:t>as</w:t>
            </w:r>
            <w:r w:rsidRPr="004B0C8F">
              <w:rPr>
                <w:szCs w:val="22"/>
                <w:lang w:val="lt-LT"/>
              </w:rPr>
              <w:t xml:space="preserve"> </w:t>
            </w:r>
          </w:p>
          <w:p w14:paraId="5DDC5F18" w14:textId="77777777" w:rsidR="000954C1" w:rsidRPr="004B0C8F" w:rsidRDefault="000954C1" w:rsidP="000D7597">
            <w:pPr>
              <w:tabs>
                <w:tab w:val="left" w:pos="4680"/>
              </w:tabs>
              <w:spacing w:line="240" w:lineRule="auto"/>
              <w:rPr>
                <w:szCs w:val="22"/>
                <w:lang w:val="lt-LT"/>
              </w:rPr>
            </w:pPr>
            <w:r w:rsidRPr="004B0C8F">
              <w:rPr>
                <w:szCs w:val="22"/>
                <w:lang w:val="lt-LT"/>
              </w:rPr>
              <w:t xml:space="preserve">Tulžies pūslės akmenligė </w:t>
            </w:r>
          </w:p>
          <w:p w14:paraId="6A390631" w14:textId="258F83E3" w:rsidR="000954C1" w:rsidRPr="004B0C8F" w:rsidRDefault="000954C1" w:rsidP="000D7597">
            <w:pPr>
              <w:tabs>
                <w:tab w:val="left" w:pos="4680"/>
              </w:tabs>
              <w:spacing w:line="240" w:lineRule="auto"/>
              <w:rPr>
                <w:szCs w:val="22"/>
                <w:lang w:val="lt-LT"/>
              </w:rPr>
            </w:pPr>
            <w:r w:rsidRPr="004B0C8F">
              <w:rPr>
                <w:szCs w:val="22"/>
                <w:u w:val="single" w:color="000000"/>
                <w:lang w:val="lt-LT"/>
              </w:rPr>
              <w:t>Ret</w:t>
            </w:r>
            <w:r w:rsidR="00D1633A">
              <w:rPr>
                <w:szCs w:val="22"/>
                <w:u w:val="single" w:color="000000"/>
                <w:lang w:val="lt-LT"/>
              </w:rPr>
              <w:t>as</w:t>
            </w:r>
            <w:r w:rsidRPr="004B0C8F">
              <w:rPr>
                <w:szCs w:val="22"/>
                <w:lang w:val="lt-LT"/>
              </w:rPr>
              <w:t xml:space="preserve"> </w:t>
            </w:r>
          </w:p>
          <w:p w14:paraId="28AF63EA" w14:textId="77777777" w:rsidR="000954C1" w:rsidRPr="004B0C8F" w:rsidRDefault="000954C1" w:rsidP="000D7597">
            <w:pPr>
              <w:tabs>
                <w:tab w:val="left" w:pos="4680"/>
              </w:tabs>
              <w:spacing w:line="240" w:lineRule="auto"/>
              <w:rPr>
                <w:szCs w:val="22"/>
                <w:lang w:val="lt-LT"/>
              </w:rPr>
            </w:pPr>
            <w:r w:rsidRPr="004B0C8F">
              <w:rPr>
                <w:szCs w:val="22"/>
                <w:lang w:val="lt-LT"/>
              </w:rPr>
              <w:t>Hepatitas, gelta*, kepenų pažeidimas*, cholecistitas</w:t>
            </w:r>
            <w:r w:rsidRPr="004B0C8F">
              <w:rPr>
                <w:szCs w:val="22"/>
                <w:vertAlign w:val="superscript"/>
                <w:lang w:val="lt-LT"/>
              </w:rPr>
              <w:t>#</w:t>
            </w:r>
            <w:r w:rsidRPr="004B0C8F">
              <w:rPr>
                <w:szCs w:val="22"/>
                <w:lang w:val="lt-LT"/>
              </w:rPr>
              <w:t xml:space="preserve">  </w:t>
            </w:r>
          </w:p>
        </w:tc>
      </w:tr>
      <w:tr w:rsidR="000954C1" w:rsidRPr="007F09F8" w14:paraId="01D012C5" w14:textId="77777777" w:rsidTr="000954C1">
        <w:trPr>
          <w:trHeight w:val="962"/>
        </w:trPr>
        <w:tc>
          <w:tcPr>
            <w:tcW w:w="3034" w:type="dxa"/>
            <w:tcBorders>
              <w:top w:val="single" w:sz="4" w:space="0" w:color="000000"/>
              <w:left w:val="single" w:sz="4" w:space="0" w:color="000000"/>
              <w:bottom w:val="single" w:sz="4" w:space="0" w:color="000000"/>
              <w:right w:val="single" w:sz="4" w:space="0" w:color="000000"/>
            </w:tcBorders>
            <w:shd w:val="clear" w:color="auto" w:fill="auto"/>
          </w:tcPr>
          <w:p w14:paraId="295BF1B3" w14:textId="41F65DCD" w:rsidR="000954C1" w:rsidRPr="004B0C8F" w:rsidRDefault="000954C1" w:rsidP="000954C1">
            <w:pPr>
              <w:tabs>
                <w:tab w:val="left" w:pos="4680"/>
              </w:tabs>
              <w:spacing w:line="240" w:lineRule="auto"/>
              <w:ind w:left="3"/>
              <w:rPr>
                <w:szCs w:val="22"/>
                <w:lang w:val="lt-LT"/>
              </w:rPr>
            </w:pPr>
            <w:r w:rsidRPr="004B0C8F">
              <w:rPr>
                <w:szCs w:val="22"/>
                <w:lang w:val="lt-LT"/>
              </w:rPr>
              <w:t xml:space="preserve">Odos ir poodinio audinio sutrikimai </w:t>
            </w:r>
          </w:p>
        </w:tc>
        <w:tc>
          <w:tcPr>
            <w:tcW w:w="5722" w:type="dxa"/>
            <w:tcBorders>
              <w:top w:val="single" w:sz="4" w:space="0" w:color="000000"/>
              <w:left w:val="single" w:sz="4" w:space="0" w:color="000000"/>
              <w:bottom w:val="single" w:sz="4" w:space="0" w:color="000000"/>
              <w:right w:val="single" w:sz="3" w:space="0" w:color="000000"/>
            </w:tcBorders>
            <w:shd w:val="clear" w:color="auto" w:fill="auto"/>
          </w:tcPr>
          <w:p w14:paraId="237965BB" w14:textId="0DC36340" w:rsidR="000954C1" w:rsidRPr="004B0C8F" w:rsidRDefault="000954C1" w:rsidP="000954C1">
            <w:pPr>
              <w:tabs>
                <w:tab w:val="left" w:pos="4680"/>
              </w:tabs>
              <w:spacing w:line="240" w:lineRule="auto"/>
              <w:rPr>
                <w:szCs w:val="22"/>
                <w:lang w:val="lt-LT"/>
              </w:rPr>
            </w:pPr>
            <w:r w:rsidRPr="004B0C8F">
              <w:rPr>
                <w:szCs w:val="22"/>
                <w:u w:val="single" w:color="000000"/>
                <w:lang w:val="lt-LT"/>
              </w:rPr>
              <w:t>Dažn</w:t>
            </w:r>
            <w:r w:rsidR="00D1633A">
              <w:rPr>
                <w:szCs w:val="22"/>
                <w:u w:val="single" w:color="000000"/>
                <w:lang w:val="lt-LT"/>
              </w:rPr>
              <w:t>as</w:t>
            </w:r>
            <w:r w:rsidRPr="004B0C8F">
              <w:rPr>
                <w:szCs w:val="22"/>
                <w:lang w:val="lt-LT"/>
              </w:rPr>
              <w:t xml:space="preserve"> </w:t>
            </w:r>
          </w:p>
          <w:p w14:paraId="03406BC3" w14:textId="77777777" w:rsidR="000954C1" w:rsidRPr="004B0C8F" w:rsidRDefault="000954C1" w:rsidP="000954C1">
            <w:pPr>
              <w:tabs>
                <w:tab w:val="left" w:pos="4680"/>
              </w:tabs>
              <w:spacing w:line="240" w:lineRule="auto"/>
              <w:rPr>
                <w:szCs w:val="22"/>
                <w:lang w:val="lt-LT"/>
              </w:rPr>
            </w:pPr>
            <w:r w:rsidRPr="004B0C8F">
              <w:rPr>
                <w:szCs w:val="22"/>
                <w:lang w:val="lt-LT"/>
              </w:rPr>
              <w:t xml:space="preserve">Bėrimas (įskaitant žemiau išvardytus rečiau pasitaikančius </w:t>
            </w:r>
          </w:p>
          <w:p w14:paraId="5972CD7D" w14:textId="77777777" w:rsidR="000954C1" w:rsidRPr="004B0C8F" w:rsidRDefault="000954C1" w:rsidP="000954C1">
            <w:pPr>
              <w:tabs>
                <w:tab w:val="left" w:pos="4680"/>
              </w:tabs>
              <w:spacing w:line="240" w:lineRule="auto"/>
              <w:rPr>
                <w:szCs w:val="22"/>
                <w:lang w:val="lt-LT"/>
              </w:rPr>
            </w:pPr>
            <w:r w:rsidRPr="004B0C8F">
              <w:rPr>
                <w:szCs w:val="22"/>
                <w:lang w:val="lt-LT"/>
              </w:rPr>
              <w:t>įvairaus pobūdžio išbėrimus, žr. žemiau), niežėjimas</w:t>
            </w:r>
            <w:r w:rsidRPr="004B0C8F">
              <w:rPr>
                <w:i/>
                <w:szCs w:val="22"/>
                <w:lang w:val="lt-LT"/>
              </w:rPr>
              <w:t xml:space="preserve"> </w:t>
            </w:r>
          </w:p>
          <w:p w14:paraId="2442105A" w14:textId="1BC3422E" w:rsidR="000954C1" w:rsidRPr="004B0C8F" w:rsidRDefault="000954C1" w:rsidP="000954C1">
            <w:pPr>
              <w:tabs>
                <w:tab w:val="left" w:pos="4680"/>
              </w:tabs>
              <w:spacing w:line="240" w:lineRule="auto"/>
              <w:rPr>
                <w:szCs w:val="22"/>
                <w:lang w:val="lt-LT"/>
              </w:rPr>
            </w:pPr>
            <w:r w:rsidRPr="004B0C8F">
              <w:rPr>
                <w:szCs w:val="22"/>
                <w:u w:val="single" w:color="000000"/>
                <w:lang w:val="lt-LT"/>
              </w:rPr>
              <w:t>Nedažn</w:t>
            </w:r>
            <w:r w:rsidR="00D1633A">
              <w:rPr>
                <w:szCs w:val="22"/>
                <w:u w:val="single" w:color="000000"/>
                <w:lang w:val="lt-LT"/>
              </w:rPr>
              <w:t>as</w:t>
            </w:r>
            <w:r w:rsidRPr="004B0C8F">
              <w:rPr>
                <w:szCs w:val="22"/>
                <w:lang w:val="lt-LT"/>
              </w:rPr>
              <w:t xml:space="preserve"> </w:t>
            </w:r>
          </w:p>
          <w:p w14:paraId="157A124E" w14:textId="77777777" w:rsidR="000954C1" w:rsidRPr="004B0C8F" w:rsidRDefault="000954C1" w:rsidP="000954C1">
            <w:pPr>
              <w:tabs>
                <w:tab w:val="left" w:pos="4680"/>
              </w:tabs>
              <w:spacing w:line="240" w:lineRule="auto"/>
              <w:rPr>
                <w:szCs w:val="22"/>
                <w:lang w:val="lt-LT"/>
              </w:rPr>
            </w:pPr>
            <w:r w:rsidRPr="004B0C8F">
              <w:rPr>
                <w:szCs w:val="22"/>
                <w:lang w:val="lt-LT"/>
              </w:rPr>
              <w:t xml:space="preserve">Dermatitas, dilgėlinė, odos spalvos pakitimas, odos pažeidimai, </w:t>
            </w:r>
            <w:proofErr w:type="spellStart"/>
            <w:r w:rsidRPr="004B0C8F">
              <w:rPr>
                <w:szCs w:val="22"/>
                <w:lang w:val="lt-LT"/>
              </w:rPr>
              <w:t>petechijos</w:t>
            </w:r>
            <w:proofErr w:type="spellEnd"/>
            <w:r w:rsidRPr="004B0C8F">
              <w:rPr>
                <w:szCs w:val="22"/>
                <w:lang w:val="lt-LT"/>
              </w:rPr>
              <w:t xml:space="preserve">, </w:t>
            </w:r>
            <w:proofErr w:type="spellStart"/>
            <w:r w:rsidRPr="004B0C8F">
              <w:rPr>
                <w:szCs w:val="22"/>
                <w:lang w:val="lt-LT"/>
              </w:rPr>
              <w:t>makulinis</w:t>
            </w:r>
            <w:proofErr w:type="spellEnd"/>
            <w:r w:rsidRPr="004B0C8F">
              <w:rPr>
                <w:szCs w:val="22"/>
                <w:lang w:val="lt-LT"/>
              </w:rPr>
              <w:t xml:space="preserve"> išbėrimas, </w:t>
            </w:r>
            <w:proofErr w:type="spellStart"/>
            <w:r w:rsidRPr="004B0C8F">
              <w:rPr>
                <w:szCs w:val="22"/>
                <w:lang w:val="lt-LT"/>
              </w:rPr>
              <w:t>makulopapulinis</w:t>
            </w:r>
            <w:proofErr w:type="spellEnd"/>
            <w:r w:rsidRPr="004B0C8F">
              <w:rPr>
                <w:szCs w:val="22"/>
                <w:lang w:val="lt-LT"/>
              </w:rPr>
              <w:t xml:space="preserve"> išbėrimas, </w:t>
            </w:r>
            <w:proofErr w:type="spellStart"/>
            <w:r w:rsidRPr="004B0C8F">
              <w:rPr>
                <w:szCs w:val="22"/>
                <w:lang w:val="lt-LT"/>
              </w:rPr>
              <w:t>papulinis</w:t>
            </w:r>
            <w:proofErr w:type="spellEnd"/>
            <w:r w:rsidRPr="004B0C8F">
              <w:rPr>
                <w:szCs w:val="22"/>
                <w:lang w:val="lt-LT"/>
              </w:rPr>
              <w:t xml:space="preserve"> išbėrimas, padidėjęs prakaitavimas, </w:t>
            </w:r>
            <w:proofErr w:type="spellStart"/>
            <w:r w:rsidRPr="004B0C8F">
              <w:rPr>
                <w:szCs w:val="22"/>
                <w:lang w:val="lt-LT"/>
              </w:rPr>
              <w:t>alopecija</w:t>
            </w:r>
            <w:proofErr w:type="spellEnd"/>
            <w:r w:rsidRPr="004B0C8F">
              <w:rPr>
                <w:szCs w:val="22"/>
                <w:lang w:val="lt-LT"/>
              </w:rPr>
              <w:t>, egzema</w:t>
            </w:r>
            <w:r w:rsidRPr="004B0C8F">
              <w:rPr>
                <w:szCs w:val="22"/>
                <w:vertAlign w:val="superscript"/>
                <w:lang w:val="lt-LT"/>
              </w:rPr>
              <w:t>#</w:t>
            </w:r>
            <w:r w:rsidRPr="004B0C8F">
              <w:rPr>
                <w:szCs w:val="22"/>
                <w:lang w:val="lt-LT"/>
              </w:rPr>
              <w:t xml:space="preserve">, </w:t>
            </w:r>
            <w:proofErr w:type="spellStart"/>
            <w:r w:rsidRPr="004B0C8F">
              <w:rPr>
                <w:szCs w:val="22"/>
                <w:lang w:val="lt-LT"/>
              </w:rPr>
              <w:t>eritema</w:t>
            </w:r>
            <w:proofErr w:type="spellEnd"/>
            <w:r w:rsidRPr="004B0C8F">
              <w:rPr>
                <w:szCs w:val="22"/>
                <w:lang w:val="lt-LT"/>
              </w:rPr>
              <w:t>, naktinis prakaitavimas</w:t>
            </w:r>
            <w:r w:rsidRPr="004B0C8F">
              <w:rPr>
                <w:szCs w:val="22"/>
                <w:vertAlign w:val="superscript"/>
                <w:lang w:val="lt-LT"/>
              </w:rPr>
              <w:t>#</w:t>
            </w:r>
            <w:r w:rsidRPr="004B0C8F">
              <w:rPr>
                <w:szCs w:val="22"/>
                <w:lang w:val="lt-LT"/>
              </w:rPr>
              <w:t>, psoriazė</w:t>
            </w:r>
            <w:r w:rsidRPr="004B0C8F">
              <w:rPr>
                <w:szCs w:val="22"/>
                <w:vertAlign w:val="superscript"/>
                <w:lang w:val="lt-LT"/>
              </w:rPr>
              <w:t>#</w:t>
            </w:r>
            <w:r w:rsidRPr="004B0C8F">
              <w:rPr>
                <w:szCs w:val="22"/>
                <w:lang w:val="lt-LT"/>
              </w:rPr>
              <w:t>, niežtintis išbėrimas</w:t>
            </w:r>
            <w:r w:rsidRPr="004B0C8F">
              <w:rPr>
                <w:szCs w:val="22"/>
                <w:vertAlign w:val="superscript"/>
                <w:lang w:val="lt-LT"/>
              </w:rPr>
              <w:t>#</w:t>
            </w:r>
            <w:r w:rsidRPr="004B0C8F">
              <w:rPr>
                <w:szCs w:val="22"/>
                <w:lang w:val="lt-LT"/>
              </w:rPr>
              <w:t xml:space="preserve">   </w:t>
            </w:r>
          </w:p>
          <w:p w14:paraId="071D0A5D" w14:textId="2CCE8D78" w:rsidR="000954C1" w:rsidRPr="004B0C8F" w:rsidRDefault="000954C1" w:rsidP="000954C1">
            <w:pPr>
              <w:tabs>
                <w:tab w:val="left" w:pos="4680"/>
              </w:tabs>
              <w:spacing w:line="240" w:lineRule="auto"/>
              <w:rPr>
                <w:szCs w:val="22"/>
                <w:lang w:val="lt-LT"/>
              </w:rPr>
            </w:pPr>
            <w:r w:rsidRPr="004B0C8F">
              <w:rPr>
                <w:szCs w:val="22"/>
                <w:u w:val="single" w:color="000000"/>
                <w:lang w:val="lt-LT"/>
              </w:rPr>
              <w:t>Ret</w:t>
            </w:r>
            <w:r w:rsidR="00D1633A">
              <w:rPr>
                <w:szCs w:val="22"/>
                <w:u w:val="single" w:color="000000"/>
                <w:lang w:val="lt-LT"/>
              </w:rPr>
              <w:t>as</w:t>
            </w:r>
            <w:r w:rsidRPr="004B0C8F">
              <w:rPr>
                <w:szCs w:val="22"/>
                <w:lang w:val="lt-LT"/>
              </w:rPr>
              <w:t xml:space="preserve"> </w:t>
            </w:r>
          </w:p>
          <w:p w14:paraId="002344F7" w14:textId="77777777" w:rsidR="000954C1" w:rsidRPr="004B0C8F" w:rsidRDefault="000954C1" w:rsidP="000954C1">
            <w:pPr>
              <w:tabs>
                <w:tab w:val="left" w:pos="4680"/>
              </w:tabs>
              <w:spacing w:line="240" w:lineRule="auto"/>
              <w:rPr>
                <w:szCs w:val="22"/>
                <w:lang w:val="lt-LT"/>
              </w:rPr>
            </w:pPr>
            <w:r w:rsidRPr="004B0C8F">
              <w:rPr>
                <w:szCs w:val="22"/>
                <w:lang w:val="lt-LT"/>
              </w:rPr>
              <w:t xml:space="preserve">Toksinė epidermio </w:t>
            </w:r>
            <w:proofErr w:type="spellStart"/>
            <w:r w:rsidRPr="004B0C8F">
              <w:rPr>
                <w:szCs w:val="22"/>
                <w:lang w:val="lt-LT"/>
              </w:rPr>
              <w:t>nekrolizė</w:t>
            </w:r>
            <w:proofErr w:type="spellEnd"/>
            <w:r w:rsidRPr="004B0C8F">
              <w:rPr>
                <w:szCs w:val="22"/>
                <w:lang w:val="lt-LT"/>
              </w:rPr>
              <w:t xml:space="preserve">*, </w:t>
            </w:r>
            <w:proofErr w:type="spellStart"/>
            <w:r w:rsidRPr="004B0C8F">
              <w:rPr>
                <w:szCs w:val="22"/>
                <w:lang w:val="lt-LT"/>
              </w:rPr>
              <w:t>Stivenso</w:t>
            </w:r>
            <w:proofErr w:type="spellEnd"/>
            <w:r w:rsidRPr="004B0C8F">
              <w:rPr>
                <w:szCs w:val="22"/>
                <w:lang w:val="lt-LT"/>
              </w:rPr>
              <w:t>-Džonsono (</w:t>
            </w:r>
            <w:proofErr w:type="spellStart"/>
            <w:r w:rsidRPr="004B0C8F">
              <w:rPr>
                <w:i/>
                <w:szCs w:val="22"/>
                <w:lang w:val="lt-LT"/>
              </w:rPr>
              <w:t>Stevens-Johnson</w:t>
            </w:r>
            <w:proofErr w:type="spellEnd"/>
            <w:r w:rsidRPr="004B0C8F">
              <w:rPr>
                <w:szCs w:val="22"/>
                <w:lang w:val="lt-LT"/>
              </w:rPr>
              <w:t xml:space="preserve">)sindromas*, </w:t>
            </w:r>
            <w:proofErr w:type="spellStart"/>
            <w:r w:rsidRPr="004B0C8F">
              <w:rPr>
                <w:szCs w:val="22"/>
                <w:lang w:val="lt-LT"/>
              </w:rPr>
              <w:t>angioneurozinė</w:t>
            </w:r>
            <w:proofErr w:type="spellEnd"/>
            <w:r w:rsidRPr="004B0C8F">
              <w:rPr>
                <w:szCs w:val="22"/>
                <w:lang w:val="lt-LT"/>
              </w:rPr>
              <w:t xml:space="preserve"> edema*, reakcija į vaistinį preparatą su </w:t>
            </w:r>
            <w:proofErr w:type="spellStart"/>
            <w:r w:rsidRPr="004B0C8F">
              <w:rPr>
                <w:szCs w:val="22"/>
                <w:lang w:val="lt-LT"/>
              </w:rPr>
              <w:t>eozinofilija</w:t>
            </w:r>
            <w:proofErr w:type="spellEnd"/>
            <w:r w:rsidRPr="004B0C8F">
              <w:rPr>
                <w:szCs w:val="22"/>
                <w:lang w:val="lt-LT"/>
              </w:rPr>
              <w:t xml:space="preserve"> ir sisteminiais (bendraisiais) simptomais*, išplitęs išbėrimas </w:t>
            </w:r>
          </w:p>
          <w:p w14:paraId="47542303" w14:textId="64196D87" w:rsidR="000954C1" w:rsidRPr="004B0C8F" w:rsidRDefault="000954C1" w:rsidP="000954C1">
            <w:pPr>
              <w:tabs>
                <w:tab w:val="left" w:pos="5552"/>
              </w:tabs>
              <w:spacing w:line="240" w:lineRule="auto"/>
              <w:ind w:left="1"/>
              <w:rPr>
                <w:szCs w:val="22"/>
                <w:u w:val="single" w:color="000000"/>
                <w:lang w:val="lt-LT"/>
              </w:rPr>
            </w:pPr>
            <w:r w:rsidRPr="004B0C8F">
              <w:rPr>
                <w:szCs w:val="22"/>
                <w:lang w:val="lt-LT"/>
              </w:rPr>
              <w:t xml:space="preserve">(sunkus)*, </w:t>
            </w:r>
            <w:proofErr w:type="spellStart"/>
            <w:r w:rsidRPr="004B0C8F">
              <w:rPr>
                <w:szCs w:val="22"/>
                <w:lang w:val="lt-LT"/>
              </w:rPr>
              <w:t>eksfoliacinis</w:t>
            </w:r>
            <w:proofErr w:type="spellEnd"/>
            <w:r w:rsidRPr="004B0C8F">
              <w:rPr>
                <w:szCs w:val="22"/>
                <w:lang w:val="lt-LT"/>
              </w:rPr>
              <w:t xml:space="preserve"> išbėrimas, folikulinis išbėrimas, pūslelinis išbėrimas, </w:t>
            </w:r>
            <w:proofErr w:type="spellStart"/>
            <w:r w:rsidRPr="004B0C8F">
              <w:rPr>
                <w:szCs w:val="22"/>
                <w:lang w:val="lt-LT"/>
              </w:rPr>
              <w:t>pustulinis</w:t>
            </w:r>
            <w:proofErr w:type="spellEnd"/>
            <w:r w:rsidRPr="004B0C8F">
              <w:rPr>
                <w:szCs w:val="22"/>
                <w:lang w:val="lt-LT"/>
              </w:rPr>
              <w:t xml:space="preserve"> išbėrimas, </w:t>
            </w:r>
            <w:proofErr w:type="spellStart"/>
            <w:r w:rsidRPr="004B0C8F">
              <w:rPr>
                <w:szCs w:val="22"/>
                <w:lang w:val="lt-LT"/>
              </w:rPr>
              <w:t>eriteminis</w:t>
            </w:r>
            <w:proofErr w:type="spellEnd"/>
            <w:r w:rsidRPr="004B0C8F">
              <w:rPr>
                <w:szCs w:val="22"/>
                <w:lang w:val="lt-LT"/>
              </w:rPr>
              <w:t xml:space="preserve"> išbėrimas, į tymus panašus išbėrimas</w:t>
            </w:r>
          </w:p>
        </w:tc>
      </w:tr>
      <w:tr w:rsidR="000954C1" w:rsidRPr="007F09F8" w14:paraId="0C491B39" w14:textId="77777777" w:rsidTr="000D7597">
        <w:tblPrEx>
          <w:tblCellMar>
            <w:top w:w="44" w:type="dxa"/>
            <w:left w:w="101" w:type="dxa"/>
            <w:right w:w="115" w:type="dxa"/>
          </w:tblCellMar>
        </w:tblPrEx>
        <w:trPr>
          <w:trHeight w:val="1199"/>
        </w:trPr>
        <w:tc>
          <w:tcPr>
            <w:tcW w:w="3034" w:type="dxa"/>
            <w:tcBorders>
              <w:top w:val="single" w:sz="4" w:space="0" w:color="000000"/>
              <w:left w:val="single" w:sz="4" w:space="0" w:color="000000"/>
              <w:bottom w:val="single" w:sz="3" w:space="0" w:color="000000"/>
              <w:right w:val="single" w:sz="4" w:space="0" w:color="000000"/>
            </w:tcBorders>
            <w:shd w:val="clear" w:color="auto" w:fill="auto"/>
          </w:tcPr>
          <w:p w14:paraId="774522FB" w14:textId="77777777" w:rsidR="000954C1" w:rsidRPr="004B0C8F" w:rsidRDefault="000954C1" w:rsidP="000D7597">
            <w:pPr>
              <w:tabs>
                <w:tab w:val="left" w:pos="4680"/>
              </w:tabs>
              <w:spacing w:line="240" w:lineRule="auto"/>
              <w:ind w:left="2"/>
              <w:rPr>
                <w:szCs w:val="22"/>
                <w:lang w:val="lt-LT"/>
              </w:rPr>
            </w:pPr>
            <w:r w:rsidRPr="004B0C8F">
              <w:rPr>
                <w:szCs w:val="22"/>
                <w:lang w:val="lt-LT"/>
              </w:rPr>
              <w:lastRenderedPageBreak/>
              <w:t xml:space="preserve">Skeleto, raumenų ir jungiamojo audinio sutrikimai </w:t>
            </w:r>
          </w:p>
        </w:tc>
        <w:tc>
          <w:tcPr>
            <w:tcW w:w="5722" w:type="dxa"/>
            <w:tcBorders>
              <w:top w:val="single" w:sz="4" w:space="0" w:color="000000"/>
              <w:left w:val="single" w:sz="4" w:space="0" w:color="000000"/>
              <w:bottom w:val="single" w:sz="3" w:space="0" w:color="000000"/>
              <w:right w:val="single" w:sz="3" w:space="0" w:color="000000"/>
            </w:tcBorders>
            <w:shd w:val="clear" w:color="auto" w:fill="auto"/>
          </w:tcPr>
          <w:p w14:paraId="325BF357" w14:textId="0B15F543" w:rsidR="000954C1" w:rsidRPr="004B0C8F" w:rsidRDefault="000954C1" w:rsidP="000D7597">
            <w:pPr>
              <w:tabs>
                <w:tab w:val="left" w:pos="4680"/>
              </w:tabs>
              <w:spacing w:line="240" w:lineRule="auto"/>
              <w:rPr>
                <w:szCs w:val="22"/>
                <w:u w:val="single" w:color="000000"/>
                <w:lang w:val="lt-LT"/>
              </w:rPr>
            </w:pPr>
            <w:r w:rsidRPr="004B0C8F">
              <w:rPr>
                <w:szCs w:val="22"/>
                <w:u w:val="single" w:color="000000"/>
                <w:lang w:val="lt-LT"/>
              </w:rPr>
              <w:t>Dažn</w:t>
            </w:r>
            <w:r w:rsidR="00D1633A">
              <w:rPr>
                <w:szCs w:val="22"/>
                <w:u w:val="single" w:color="000000"/>
                <w:lang w:val="lt-LT"/>
              </w:rPr>
              <w:t>as</w:t>
            </w:r>
          </w:p>
          <w:p w14:paraId="0C9329B3" w14:textId="77777777" w:rsidR="000954C1" w:rsidRPr="004B0C8F" w:rsidRDefault="000954C1" w:rsidP="000D7597">
            <w:pPr>
              <w:tabs>
                <w:tab w:val="left" w:pos="4680"/>
              </w:tabs>
              <w:spacing w:line="240" w:lineRule="auto"/>
              <w:rPr>
                <w:szCs w:val="22"/>
                <w:u w:color="000000"/>
                <w:vertAlign w:val="superscript"/>
                <w:lang w:val="lt-LT"/>
              </w:rPr>
            </w:pPr>
            <w:proofErr w:type="spellStart"/>
            <w:r w:rsidRPr="004B0C8F">
              <w:rPr>
                <w:szCs w:val="22"/>
                <w:u w:color="000000"/>
                <w:lang w:val="lt-LT"/>
              </w:rPr>
              <w:t>Artralgija</w:t>
            </w:r>
            <w:proofErr w:type="spellEnd"/>
            <w:r w:rsidRPr="004B0C8F">
              <w:rPr>
                <w:szCs w:val="22"/>
                <w:u w:color="000000"/>
                <w:lang w:val="lt-LT"/>
              </w:rPr>
              <w:t xml:space="preserve">, </w:t>
            </w:r>
            <w:proofErr w:type="spellStart"/>
            <w:r w:rsidRPr="004B0C8F">
              <w:rPr>
                <w:szCs w:val="22"/>
                <w:u w:color="000000"/>
                <w:lang w:val="lt-LT"/>
              </w:rPr>
              <w:t>mialgija</w:t>
            </w:r>
            <w:proofErr w:type="spellEnd"/>
            <w:r w:rsidRPr="004B0C8F">
              <w:rPr>
                <w:szCs w:val="22"/>
                <w:u w:color="000000"/>
                <w:lang w:val="lt-LT"/>
              </w:rPr>
              <w:t>, galūnių skausmas</w:t>
            </w:r>
            <w:r w:rsidRPr="004B0C8F">
              <w:rPr>
                <w:szCs w:val="22"/>
                <w:u w:color="000000"/>
                <w:vertAlign w:val="superscript"/>
                <w:lang w:val="lt-LT"/>
              </w:rPr>
              <w:t>#</w:t>
            </w:r>
          </w:p>
          <w:p w14:paraId="04B36A62" w14:textId="646EB573" w:rsidR="000954C1" w:rsidRPr="004B0C8F" w:rsidRDefault="000954C1" w:rsidP="000D7597">
            <w:pPr>
              <w:tabs>
                <w:tab w:val="left" w:pos="4680"/>
              </w:tabs>
              <w:spacing w:line="240" w:lineRule="auto"/>
              <w:rPr>
                <w:szCs w:val="22"/>
                <w:lang w:val="lt-LT"/>
              </w:rPr>
            </w:pPr>
            <w:r w:rsidRPr="004B0C8F">
              <w:rPr>
                <w:szCs w:val="22"/>
                <w:u w:val="single" w:color="000000"/>
                <w:lang w:val="lt-LT"/>
              </w:rPr>
              <w:t>Nedažn</w:t>
            </w:r>
            <w:r w:rsidR="00D1633A">
              <w:rPr>
                <w:szCs w:val="22"/>
                <w:u w:val="single" w:color="000000"/>
                <w:lang w:val="lt-LT"/>
              </w:rPr>
              <w:t>as</w:t>
            </w:r>
            <w:r w:rsidRPr="004B0C8F">
              <w:rPr>
                <w:szCs w:val="22"/>
                <w:lang w:val="lt-LT"/>
              </w:rPr>
              <w:t xml:space="preserve"> </w:t>
            </w:r>
          </w:p>
          <w:p w14:paraId="7204E779" w14:textId="77777777" w:rsidR="000954C1" w:rsidRPr="004B0C8F" w:rsidRDefault="000954C1" w:rsidP="000D7597">
            <w:pPr>
              <w:tabs>
                <w:tab w:val="left" w:pos="4680"/>
              </w:tabs>
              <w:spacing w:line="240" w:lineRule="auto"/>
              <w:ind w:right="51"/>
              <w:rPr>
                <w:szCs w:val="22"/>
                <w:lang w:val="lt-LT"/>
              </w:rPr>
            </w:pPr>
            <w:r w:rsidRPr="004B0C8F">
              <w:rPr>
                <w:szCs w:val="22"/>
                <w:lang w:val="lt-LT"/>
              </w:rPr>
              <w:t>Artritas, raumenų ir kaulų skausmas, raumenų silpnumas, raumenų spazmas, raumenų įtempimas, bursitas, sąnarių patinimas</w:t>
            </w:r>
            <w:r w:rsidRPr="004B0C8F">
              <w:rPr>
                <w:szCs w:val="22"/>
                <w:vertAlign w:val="superscript"/>
                <w:lang w:val="lt-LT"/>
              </w:rPr>
              <w:t>#</w:t>
            </w:r>
            <w:r w:rsidRPr="004B0C8F">
              <w:rPr>
                <w:szCs w:val="22"/>
                <w:lang w:val="lt-LT"/>
              </w:rPr>
              <w:t>, nugaros skausmas</w:t>
            </w:r>
            <w:r w:rsidRPr="004B0C8F">
              <w:rPr>
                <w:szCs w:val="22"/>
                <w:vertAlign w:val="superscript"/>
                <w:lang w:val="lt-LT"/>
              </w:rPr>
              <w:t>#</w:t>
            </w:r>
            <w:r w:rsidRPr="004B0C8F">
              <w:rPr>
                <w:szCs w:val="22"/>
                <w:lang w:val="lt-LT"/>
              </w:rPr>
              <w:t>, raumenų ir kaulų sąstingis</w:t>
            </w:r>
            <w:r w:rsidRPr="004B0C8F">
              <w:rPr>
                <w:szCs w:val="22"/>
                <w:vertAlign w:val="superscript"/>
                <w:lang w:val="lt-LT"/>
              </w:rPr>
              <w:t xml:space="preserve"> #</w:t>
            </w:r>
            <w:r w:rsidRPr="004B0C8F">
              <w:rPr>
                <w:szCs w:val="22"/>
                <w:lang w:val="lt-LT"/>
              </w:rPr>
              <w:t xml:space="preserve">, sąnarių sąstingis </w:t>
            </w:r>
          </w:p>
          <w:p w14:paraId="4130FDCD" w14:textId="0633D9C4" w:rsidR="000954C1" w:rsidRPr="004B0C8F" w:rsidRDefault="000954C1" w:rsidP="000D7597">
            <w:pPr>
              <w:tabs>
                <w:tab w:val="left" w:pos="4680"/>
              </w:tabs>
              <w:spacing w:line="240" w:lineRule="auto"/>
              <w:ind w:right="51"/>
              <w:rPr>
                <w:szCs w:val="22"/>
                <w:lang w:val="lt-LT"/>
              </w:rPr>
            </w:pPr>
            <w:r w:rsidRPr="004B0C8F">
              <w:rPr>
                <w:szCs w:val="22"/>
                <w:u w:val="single" w:color="000000"/>
                <w:lang w:val="lt-LT"/>
              </w:rPr>
              <w:t>Ret</w:t>
            </w:r>
            <w:r w:rsidR="00D1633A">
              <w:rPr>
                <w:szCs w:val="22"/>
                <w:u w:val="single" w:color="000000"/>
                <w:lang w:val="lt-LT"/>
              </w:rPr>
              <w:t>as</w:t>
            </w:r>
            <w:r w:rsidRPr="004B0C8F">
              <w:rPr>
                <w:szCs w:val="22"/>
                <w:lang w:val="lt-LT"/>
              </w:rPr>
              <w:t xml:space="preserve"> </w:t>
            </w:r>
          </w:p>
          <w:p w14:paraId="0F856A3B" w14:textId="77777777" w:rsidR="000954C1" w:rsidRPr="004B0C8F" w:rsidRDefault="000954C1" w:rsidP="000D7597">
            <w:pPr>
              <w:tabs>
                <w:tab w:val="left" w:pos="4680"/>
              </w:tabs>
              <w:spacing w:line="240" w:lineRule="auto"/>
              <w:rPr>
                <w:szCs w:val="22"/>
                <w:lang w:val="lt-LT"/>
              </w:rPr>
            </w:pPr>
            <w:proofErr w:type="spellStart"/>
            <w:r w:rsidRPr="004B0C8F">
              <w:rPr>
                <w:szCs w:val="22"/>
                <w:lang w:val="lt-LT"/>
              </w:rPr>
              <w:t>Rabdomiolizė</w:t>
            </w:r>
            <w:proofErr w:type="spellEnd"/>
            <w:r w:rsidRPr="004B0C8F">
              <w:rPr>
                <w:szCs w:val="22"/>
                <w:lang w:val="lt-LT"/>
              </w:rPr>
              <w:t xml:space="preserve">*, rotatoriaus </w:t>
            </w:r>
            <w:proofErr w:type="spellStart"/>
            <w:r w:rsidRPr="004B0C8F">
              <w:rPr>
                <w:szCs w:val="22"/>
                <w:lang w:val="lt-LT"/>
              </w:rPr>
              <w:t>manžetės</w:t>
            </w:r>
            <w:proofErr w:type="spellEnd"/>
            <w:r w:rsidRPr="004B0C8F">
              <w:rPr>
                <w:szCs w:val="22"/>
                <w:lang w:val="lt-LT"/>
              </w:rPr>
              <w:t xml:space="preserve"> sindromas</w:t>
            </w:r>
            <w:r w:rsidRPr="004B0C8F">
              <w:rPr>
                <w:szCs w:val="22"/>
                <w:vertAlign w:val="superscript"/>
                <w:lang w:val="lt-LT"/>
              </w:rPr>
              <w:t>#</w:t>
            </w:r>
            <w:r w:rsidRPr="004B0C8F">
              <w:rPr>
                <w:szCs w:val="22"/>
                <w:lang w:val="lt-LT"/>
              </w:rPr>
              <w:t xml:space="preserve">, reumatinė </w:t>
            </w:r>
            <w:proofErr w:type="spellStart"/>
            <w:r w:rsidRPr="004B0C8F">
              <w:rPr>
                <w:szCs w:val="22"/>
                <w:lang w:val="lt-LT"/>
              </w:rPr>
              <w:t>polimialgija</w:t>
            </w:r>
            <w:proofErr w:type="spellEnd"/>
            <w:r w:rsidRPr="004B0C8F">
              <w:rPr>
                <w:szCs w:val="22"/>
                <w:vertAlign w:val="superscript"/>
                <w:lang w:val="lt-LT"/>
              </w:rPr>
              <w:t>#</w:t>
            </w:r>
            <w:r w:rsidRPr="004B0C8F">
              <w:rPr>
                <w:szCs w:val="22"/>
                <w:lang w:val="lt-LT"/>
              </w:rPr>
              <w:t xml:space="preserve"> </w:t>
            </w:r>
          </w:p>
        </w:tc>
      </w:tr>
      <w:tr w:rsidR="000954C1" w:rsidRPr="004B0C8F" w14:paraId="0B6642E0" w14:textId="77777777" w:rsidTr="000D7597">
        <w:tblPrEx>
          <w:tblCellMar>
            <w:top w:w="44" w:type="dxa"/>
            <w:left w:w="101" w:type="dxa"/>
            <w:right w:w="115" w:type="dxa"/>
          </w:tblCellMar>
        </w:tblPrEx>
        <w:trPr>
          <w:trHeight w:val="1199"/>
        </w:trPr>
        <w:tc>
          <w:tcPr>
            <w:tcW w:w="3034" w:type="dxa"/>
            <w:tcBorders>
              <w:top w:val="single" w:sz="3" w:space="0" w:color="000000"/>
              <w:left w:val="single" w:sz="4" w:space="0" w:color="000000"/>
              <w:bottom w:val="single" w:sz="4" w:space="0" w:color="000000"/>
              <w:right w:val="single" w:sz="4" w:space="0" w:color="000000"/>
            </w:tcBorders>
            <w:shd w:val="clear" w:color="auto" w:fill="auto"/>
          </w:tcPr>
          <w:p w14:paraId="22E61144" w14:textId="77777777" w:rsidR="000954C1" w:rsidRPr="004B0C8F" w:rsidRDefault="000954C1" w:rsidP="000D7597">
            <w:pPr>
              <w:tabs>
                <w:tab w:val="left" w:pos="4680"/>
              </w:tabs>
              <w:spacing w:line="240" w:lineRule="auto"/>
              <w:ind w:left="2"/>
              <w:rPr>
                <w:szCs w:val="22"/>
                <w:lang w:val="lt-LT"/>
              </w:rPr>
            </w:pPr>
            <w:r w:rsidRPr="004B0C8F">
              <w:rPr>
                <w:szCs w:val="22"/>
                <w:lang w:val="lt-LT"/>
              </w:rPr>
              <w:t xml:space="preserve">Inkstų ir šlapimo takų sutrikimai </w:t>
            </w:r>
          </w:p>
        </w:tc>
        <w:tc>
          <w:tcPr>
            <w:tcW w:w="5722" w:type="dxa"/>
            <w:tcBorders>
              <w:top w:val="single" w:sz="3" w:space="0" w:color="000000"/>
              <w:left w:val="single" w:sz="4" w:space="0" w:color="000000"/>
              <w:bottom w:val="single" w:sz="4" w:space="0" w:color="000000"/>
              <w:right w:val="single" w:sz="3" w:space="0" w:color="000000"/>
            </w:tcBorders>
            <w:shd w:val="clear" w:color="auto" w:fill="auto"/>
          </w:tcPr>
          <w:p w14:paraId="6F313238" w14:textId="0E35F7A4" w:rsidR="000954C1" w:rsidRPr="004B0C8F" w:rsidRDefault="000954C1" w:rsidP="000D7597">
            <w:pPr>
              <w:tabs>
                <w:tab w:val="left" w:pos="4680"/>
              </w:tabs>
              <w:spacing w:line="240" w:lineRule="auto"/>
              <w:rPr>
                <w:szCs w:val="22"/>
                <w:lang w:val="lt-LT"/>
              </w:rPr>
            </w:pPr>
            <w:r w:rsidRPr="004B0C8F">
              <w:rPr>
                <w:szCs w:val="22"/>
                <w:u w:val="single" w:color="000000"/>
                <w:lang w:val="lt-LT"/>
              </w:rPr>
              <w:t>Nedažn</w:t>
            </w:r>
            <w:r w:rsidR="00D1633A">
              <w:rPr>
                <w:szCs w:val="22"/>
                <w:u w:val="single" w:color="000000"/>
                <w:lang w:val="lt-LT"/>
              </w:rPr>
              <w:t>as</w:t>
            </w:r>
            <w:r w:rsidRPr="004B0C8F">
              <w:rPr>
                <w:szCs w:val="22"/>
                <w:lang w:val="lt-LT"/>
              </w:rPr>
              <w:t xml:space="preserve"> </w:t>
            </w:r>
          </w:p>
          <w:p w14:paraId="4D608A59" w14:textId="77777777" w:rsidR="000954C1" w:rsidRPr="004B0C8F" w:rsidRDefault="000954C1" w:rsidP="000D7597">
            <w:pPr>
              <w:tabs>
                <w:tab w:val="left" w:pos="4680"/>
              </w:tabs>
              <w:spacing w:line="240" w:lineRule="auto"/>
              <w:ind w:right="310"/>
              <w:rPr>
                <w:szCs w:val="22"/>
                <w:lang w:val="lt-LT"/>
              </w:rPr>
            </w:pPr>
            <w:r w:rsidRPr="004B0C8F">
              <w:rPr>
                <w:szCs w:val="22"/>
                <w:lang w:val="lt-LT"/>
              </w:rPr>
              <w:t xml:space="preserve">Inkstų nepakankamumas, </w:t>
            </w:r>
            <w:proofErr w:type="spellStart"/>
            <w:r w:rsidRPr="004B0C8F">
              <w:rPr>
                <w:szCs w:val="22"/>
                <w:lang w:val="lt-LT"/>
              </w:rPr>
              <w:t>nefrolitiazė</w:t>
            </w:r>
            <w:proofErr w:type="spellEnd"/>
            <w:r w:rsidRPr="004B0C8F">
              <w:rPr>
                <w:szCs w:val="22"/>
                <w:lang w:val="lt-LT"/>
              </w:rPr>
              <w:t xml:space="preserve">, </w:t>
            </w:r>
            <w:proofErr w:type="spellStart"/>
            <w:r w:rsidRPr="004B0C8F">
              <w:rPr>
                <w:szCs w:val="22"/>
                <w:lang w:val="lt-LT"/>
              </w:rPr>
              <w:t>hematurija</w:t>
            </w:r>
            <w:proofErr w:type="spellEnd"/>
            <w:r w:rsidRPr="004B0C8F">
              <w:rPr>
                <w:szCs w:val="22"/>
                <w:lang w:val="lt-LT"/>
              </w:rPr>
              <w:t xml:space="preserve">, </w:t>
            </w:r>
            <w:proofErr w:type="spellStart"/>
            <w:r w:rsidRPr="004B0C8F">
              <w:rPr>
                <w:szCs w:val="22"/>
                <w:lang w:val="lt-LT"/>
              </w:rPr>
              <w:t>poliakiurija</w:t>
            </w:r>
            <w:proofErr w:type="spellEnd"/>
            <w:r w:rsidRPr="004B0C8F">
              <w:rPr>
                <w:szCs w:val="22"/>
                <w:lang w:val="lt-LT"/>
              </w:rPr>
              <w:t xml:space="preserve">, </w:t>
            </w:r>
            <w:proofErr w:type="spellStart"/>
            <w:r w:rsidRPr="004B0C8F">
              <w:rPr>
                <w:szCs w:val="22"/>
                <w:lang w:val="lt-LT"/>
              </w:rPr>
              <w:t>proteinurija</w:t>
            </w:r>
            <w:proofErr w:type="spellEnd"/>
            <w:r w:rsidRPr="004B0C8F">
              <w:rPr>
                <w:szCs w:val="22"/>
                <w:lang w:val="lt-LT"/>
              </w:rPr>
              <w:t>,</w:t>
            </w:r>
            <w:r w:rsidRPr="004B0C8F">
              <w:rPr>
                <w:lang w:val="lt-LT"/>
              </w:rPr>
              <w:t xml:space="preserve"> skubus potraukis šlapintis, šlapimo takų infekcija</w:t>
            </w:r>
            <w:r w:rsidRPr="004B0C8F">
              <w:rPr>
                <w:vertAlign w:val="superscript"/>
                <w:lang w:val="lt-LT"/>
              </w:rPr>
              <w:t>#</w:t>
            </w:r>
            <w:r w:rsidRPr="004B0C8F">
              <w:rPr>
                <w:szCs w:val="22"/>
                <w:lang w:val="lt-LT"/>
              </w:rPr>
              <w:t xml:space="preserve">   </w:t>
            </w:r>
          </w:p>
          <w:p w14:paraId="0BA869DA" w14:textId="476A1456" w:rsidR="000954C1" w:rsidRPr="004B0C8F" w:rsidRDefault="000954C1" w:rsidP="000D7597">
            <w:pPr>
              <w:tabs>
                <w:tab w:val="left" w:pos="4680"/>
              </w:tabs>
              <w:spacing w:line="240" w:lineRule="auto"/>
              <w:ind w:right="310"/>
              <w:rPr>
                <w:lang w:val="lt-LT"/>
              </w:rPr>
            </w:pPr>
            <w:r w:rsidRPr="004B0C8F">
              <w:rPr>
                <w:u w:val="single" w:color="000000"/>
                <w:lang w:val="lt-LT"/>
              </w:rPr>
              <w:t>Ret</w:t>
            </w:r>
            <w:r w:rsidR="00D1633A">
              <w:rPr>
                <w:u w:val="single" w:color="000000"/>
                <w:lang w:val="lt-LT"/>
              </w:rPr>
              <w:t>as</w:t>
            </w:r>
            <w:r w:rsidRPr="004B0C8F">
              <w:rPr>
                <w:lang w:val="lt-LT"/>
              </w:rPr>
              <w:t xml:space="preserve"> </w:t>
            </w:r>
          </w:p>
          <w:p w14:paraId="56F18ACA" w14:textId="77777777" w:rsidR="000954C1" w:rsidRPr="004B0C8F" w:rsidRDefault="000954C1" w:rsidP="000D7597">
            <w:pPr>
              <w:tabs>
                <w:tab w:val="left" w:pos="4680"/>
              </w:tabs>
              <w:spacing w:line="240" w:lineRule="auto"/>
              <w:rPr>
                <w:lang w:val="lt-LT"/>
              </w:rPr>
            </w:pPr>
            <w:proofErr w:type="spellStart"/>
            <w:r w:rsidRPr="004B0C8F">
              <w:rPr>
                <w:lang w:val="lt-LT"/>
              </w:rPr>
              <w:t>Tubulointersticinis</w:t>
            </w:r>
            <w:proofErr w:type="spellEnd"/>
            <w:r w:rsidRPr="004B0C8F">
              <w:rPr>
                <w:lang w:val="lt-LT"/>
              </w:rPr>
              <w:t xml:space="preserve"> nefritas*</w:t>
            </w:r>
          </w:p>
        </w:tc>
      </w:tr>
      <w:tr w:rsidR="000954C1" w:rsidRPr="004B0C8F" w14:paraId="053210C1" w14:textId="77777777" w:rsidTr="000D7597">
        <w:tblPrEx>
          <w:tblCellMar>
            <w:top w:w="44" w:type="dxa"/>
            <w:left w:w="101" w:type="dxa"/>
            <w:right w:w="115" w:type="dxa"/>
          </w:tblCellMar>
        </w:tblPrEx>
        <w:trPr>
          <w:trHeight w:val="485"/>
        </w:trPr>
        <w:tc>
          <w:tcPr>
            <w:tcW w:w="3034" w:type="dxa"/>
            <w:tcBorders>
              <w:top w:val="single" w:sz="4" w:space="0" w:color="000000"/>
              <w:left w:val="single" w:sz="4" w:space="0" w:color="000000"/>
              <w:bottom w:val="single" w:sz="4" w:space="0" w:color="000000"/>
              <w:right w:val="single" w:sz="4" w:space="0" w:color="000000"/>
            </w:tcBorders>
            <w:shd w:val="clear" w:color="auto" w:fill="auto"/>
          </w:tcPr>
          <w:p w14:paraId="7817F396" w14:textId="77777777" w:rsidR="000954C1" w:rsidRPr="004B0C8F" w:rsidRDefault="000954C1" w:rsidP="000D7597">
            <w:pPr>
              <w:tabs>
                <w:tab w:val="left" w:pos="4680"/>
              </w:tabs>
              <w:spacing w:line="240" w:lineRule="auto"/>
              <w:ind w:left="2"/>
              <w:rPr>
                <w:szCs w:val="22"/>
                <w:lang w:val="lt-LT"/>
              </w:rPr>
            </w:pPr>
            <w:r w:rsidRPr="004B0C8F">
              <w:rPr>
                <w:szCs w:val="22"/>
                <w:lang w:val="lt-LT"/>
              </w:rPr>
              <w:t xml:space="preserve">Lytinės sistemos ir krūties sutrikimai </w:t>
            </w:r>
          </w:p>
        </w:tc>
        <w:tc>
          <w:tcPr>
            <w:tcW w:w="5722" w:type="dxa"/>
            <w:tcBorders>
              <w:top w:val="single" w:sz="4" w:space="0" w:color="000000"/>
              <w:left w:val="single" w:sz="4" w:space="0" w:color="000000"/>
              <w:bottom w:val="single" w:sz="4" w:space="0" w:color="000000"/>
              <w:right w:val="single" w:sz="3" w:space="0" w:color="000000"/>
            </w:tcBorders>
            <w:shd w:val="clear" w:color="auto" w:fill="auto"/>
          </w:tcPr>
          <w:p w14:paraId="49E8BE19" w14:textId="4B9B0534" w:rsidR="000954C1" w:rsidRPr="004B0C8F" w:rsidRDefault="000954C1" w:rsidP="000D7597">
            <w:pPr>
              <w:tabs>
                <w:tab w:val="left" w:pos="4680"/>
              </w:tabs>
              <w:spacing w:line="240" w:lineRule="auto"/>
              <w:rPr>
                <w:szCs w:val="22"/>
                <w:lang w:val="lt-LT"/>
              </w:rPr>
            </w:pPr>
            <w:r w:rsidRPr="004B0C8F">
              <w:rPr>
                <w:szCs w:val="22"/>
                <w:u w:val="single" w:color="000000"/>
                <w:lang w:val="lt-LT"/>
              </w:rPr>
              <w:t>Nedažn</w:t>
            </w:r>
            <w:r w:rsidR="00D1633A">
              <w:rPr>
                <w:szCs w:val="22"/>
                <w:u w:val="single" w:color="000000"/>
                <w:lang w:val="lt-LT"/>
              </w:rPr>
              <w:t>as</w:t>
            </w:r>
            <w:r w:rsidRPr="004B0C8F">
              <w:rPr>
                <w:szCs w:val="22"/>
                <w:lang w:val="lt-LT"/>
              </w:rPr>
              <w:t xml:space="preserve"> </w:t>
            </w:r>
          </w:p>
          <w:p w14:paraId="00D1A19F" w14:textId="77777777" w:rsidR="000954C1" w:rsidRPr="004B0C8F" w:rsidRDefault="000954C1" w:rsidP="000D7597">
            <w:pPr>
              <w:tabs>
                <w:tab w:val="left" w:pos="4680"/>
              </w:tabs>
              <w:spacing w:line="240" w:lineRule="auto"/>
              <w:rPr>
                <w:szCs w:val="22"/>
                <w:lang w:val="lt-LT"/>
              </w:rPr>
            </w:pPr>
            <w:r w:rsidRPr="004B0C8F">
              <w:rPr>
                <w:szCs w:val="22"/>
                <w:lang w:val="lt-LT"/>
              </w:rPr>
              <w:t xml:space="preserve">Sutrikusi erekcija </w:t>
            </w:r>
          </w:p>
        </w:tc>
      </w:tr>
      <w:tr w:rsidR="000954C1" w:rsidRPr="004B0C8F" w14:paraId="55D554F8" w14:textId="77777777" w:rsidTr="000D7597">
        <w:tblPrEx>
          <w:tblCellMar>
            <w:top w:w="44" w:type="dxa"/>
            <w:left w:w="101" w:type="dxa"/>
            <w:right w:w="115" w:type="dxa"/>
          </w:tblCellMar>
        </w:tblPrEx>
        <w:trPr>
          <w:trHeight w:val="1436"/>
        </w:trPr>
        <w:tc>
          <w:tcPr>
            <w:tcW w:w="3034" w:type="dxa"/>
            <w:tcBorders>
              <w:top w:val="single" w:sz="4" w:space="0" w:color="000000"/>
              <w:left w:val="single" w:sz="4" w:space="0" w:color="000000"/>
              <w:bottom w:val="single" w:sz="3" w:space="0" w:color="000000"/>
              <w:right w:val="single" w:sz="4" w:space="0" w:color="000000"/>
            </w:tcBorders>
            <w:shd w:val="clear" w:color="auto" w:fill="auto"/>
          </w:tcPr>
          <w:p w14:paraId="47824829" w14:textId="2A1D7925" w:rsidR="000954C1" w:rsidRPr="004B0C8F" w:rsidRDefault="000954C1" w:rsidP="009447A4">
            <w:pPr>
              <w:tabs>
                <w:tab w:val="left" w:pos="4680"/>
              </w:tabs>
              <w:spacing w:line="240" w:lineRule="auto"/>
              <w:ind w:left="2"/>
              <w:rPr>
                <w:szCs w:val="22"/>
                <w:lang w:val="lt-LT"/>
              </w:rPr>
            </w:pPr>
            <w:r w:rsidRPr="004B0C8F">
              <w:rPr>
                <w:szCs w:val="22"/>
                <w:lang w:val="lt-LT"/>
              </w:rPr>
              <w:t>Bendrieji sutrikimai ir vartojimo vietos pažeidimai</w:t>
            </w:r>
          </w:p>
        </w:tc>
        <w:tc>
          <w:tcPr>
            <w:tcW w:w="5722" w:type="dxa"/>
            <w:tcBorders>
              <w:top w:val="single" w:sz="4" w:space="0" w:color="000000"/>
              <w:left w:val="single" w:sz="4" w:space="0" w:color="000000"/>
              <w:bottom w:val="single" w:sz="3" w:space="0" w:color="000000"/>
              <w:right w:val="single" w:sz="3" w:space="0" w:color="000000"/>
            </w:tcBorders>
            <w:shd w:val="clear" w:color="auto" w:fill="auto"/>
          </w:tcPr>
          <w:p w14:paraId="6C173139" w14:textId="15236D31" w:rsidR="000954C1" w:rsidRPr="004B0C8F" w:rsidRDefault="000954C1" w:rsidP="00D1633A">
            <w:pPr>
              <w:tabs>
                <w:tab w:val="left" w:pos="4680"/>
              </w:tabs>
              <w:spacing w:line="240" w:lineRule="auto"/>
              <w:rPr>
                <w:szCs w:val="22"/>
                <w:lang w:val="lt-LT"/>
              </w:rPr>
            </w:pPr>
            <w:r w:rsidRPr="004B0C8F">
              <w:rPr>
                <w:szCs w:val="22"/>
                <w:u w:val="single" w:color="000000"/>
                <w:lang w:val="lt-LT"/>
              </w:rPr>
              <w:t>Dažn</w:t>
            </w:r>
            <w:r w:rsidR="00D1633A">
              <w:rPr>
                <w:szCs w:val="22"/>
                <w:u w:val="single" w:color="000000"/>
                <w:lang w:val="lt-LT"/>
              </w:rPr>
              <w:t>as</w:t>
            </w:r>
          </w:p>
          <w:p w14:paraId="50C839DD" w14:textId="451AFAE4" w:rsidR="000954C1" w:rsidRPr="004B0C8F" w:rsidRDefault="000954C1" w:rsidP="00D1633A">
            <w:pPr>
              <w:tabs>
                <w:tab w:val="left" w:pos="4680"/>
              </w:tabs>
              <w:spacing w:line="240" w:lineRule="auto"/>
              <w:rPr>
                <w:szCs w:val="22"/>
                <w:lang w:val="lt-LT"/>
              </w:rPr>
            </w:pPr>
            <w:r w:rsidRPr="004B0C8F">
              <w:rPr>
                <w:szCs w:val="22"/>
                <w:lang w:val="lt-LT"/>
              </w:rPr>
              <w:t>Edema, nuovargis</w:t>
            </w:r>
          </w:p>
          <w:p w14:paraId="2C60AB54" w14:textId="0B20A75A" w:rsidR="000954C1" w:rsidRPr="004B0C8F" w:rsidRDefault="000954C1" w:rsidP="00D1633A">
            <w:pPr>
              <w:tabs>
                <w:tab w:val="left" w:pos="4680"/>
              </w:tabs>
              <w:spacing w:line="240" w:lineRule="auto"/>
              <w:rPr>
                <w:szCs w:val="22"/>
                <w:lang w:val="lt-LT"/>
              </w:rPr>
            </w:pPr>
            <w:r w:rsidRPr="004B0C8F">
              <w:rPr>
                <w:szCs w:val="22"/>
                <w:u w:val="single" w:color="000000"/>
                <w:lang w:val="lt-LT"/>
              </w:rPr>
              <w:t>Nedažn</w:t>
            </w:r>
            <w:r w:rsidR="00D1633A">
              <w:rPr>
                <w:szCs w:val="22"/>
                <w:u w:val="single" w:color="000000"/>
                <w:lang w:val="lt-LT"/>
              </w:rPr>
              <w:t>as</w:t>
            </w:r>
          </w:p>
          <w:p w14:paraId="13997967" w14:textId="27A49A87" w:rsidR="000954C1" w:rsidRPr="004B0C8F" w:rsidRDefault="000954C1" w:rsidP="00D1633A">
            <w:pPr>
              <w:tabs>
                <w:tab w:val="left" w:pos="4680"/>
              </w:tabs>
              <w:spacing w:line="240" w:lineRule="auto"/>
              <w:ind w:right="178"/>
              <w:rPr>
                <w:szCs w:val="22"/>
                <w:lang w:val="lt-LT"/>
              </w:rPr>
            </w:pPr>
            <w:r w:rsidRPr="004B0C8F">
              <w:rPr>
                <w:szCs w:val="22"/>
                <w:lang w:val="lt-LT"/>
              </w:rPr>
              <w:t>Krūtinės skausmas, nemalonus pojūtis krūtinėje, skausmas</w:t>
            </w:r>
            <w:r w:rsidRPr="004B0C8F">
              <w:rPr>
                <w:szCs w:val="22"/>
                <w:vertAlign w:val="superscript"/>
                <w:lang w:val="lt-LT"/>
              </w:rPr>
              <w:t>#</w:t>
            </w:r>
            <w:r w:rsidRPr="004B0C8F">
              <w:rPr>
                <w:szCs w:val="22"/>
                <w:lang w:val="lt-LT"/>
              </w:rPr>
              <w:t>, bloga savijauta</w:t>
            </w:r>
            <w:r w:rsidRPr="004B0C8F">
              <w:rPr>
                <w:szCs w:val="22"/>
                <w:vertAlign w:val="superscript"/>
                <w:lang w:val="lt-LT"/>
              </w:rPr>
              <w:t>#</w:t>
            </w:r>
          </w:p>
          <w:p w14:paraId="01D32DA1" w14:textId="7EC0E429" w:rsidR="000954C1" w:rsidRPr="004B0C8F" w:rsidRDefault="000954C1" w:rsidP="00D1633A">
            <w:pPr>
              <w:tabs>
                <w:tab w:val="left" w:pos="4680"/>
              </w:tabs>
              <w:spacing w:line="240" w:lineRule="auto"/>
              <w:ind w:right="178"/>
              <w:rPr>
                <w:szCs w:val="22"/>
                <w:lang w:val="lt-LT"/>
              </w:rPr>
            </w:pPr>
            <w:r w:rsidRPr="004B0C8F">
              <w:rPr>
                <w:szCs w:val="22"/>
                <w:u w:val="single" w:color="000000"/>
                <w:lang w:val="lt-LT"/>
              </w:rPr>
              <w:t>Ret</w:t>
            </w:r>
            <w:r w:rsidR="00D1633A">
              <w:rPr>
                <w:szCs w:val="22"/>
                <w:u w:val="single" w:color="000000"/>
                <w:lang w:val="lt-LT"/>
              </w:rPr>
              <w:t>as</w:t>
            </w:r>
          </w:p>
          <w:p w14:paraId="1D8A185C" w14:textId="6A8D041C" w:rsidR="000954C1" w:rsidRPr="004B0C8F" w:rsidRDefault="000954C1" w:rsidP="00D1633A">
            <w:pPr>
              <w:tabs>
                <w:tab w:val="left" w:pos="4680"/>
              </w:tabs>
              <w:spacing w:line="240" w:lineRule="auto"/>
              <w:rPr>
                <w:szCs w:val="22"/>
                <w:lang w:val="lt-LT"/>
              </w:rPr>
            </w:pPr>
            <w:r w:rsidRPr="004B0C8F">
              <w:rPr>
                <w:szCs w:val="22"/>
                <w:lang w:val="lt-LT"/>
              </w:rPr>
              <w:t>Troškulys, karščio pojūtis</w:t>
            </w:r>
            <w:r w:rsidRPr="004B0C8F">
              <w:rPr>
                <w:szCs w:val="22"/>
                <w:vertAlign w:val="superscript"/>
                <w:lang w:val="lt-LT"/>
              </w:rPr>
              <w:t>#</w:t>
            </w:r>
          </w:p>
        </w:tc>
      </w:tr>
      <w:tr w:rsidR="000954C1" w:rsidRPr="007F09F8" w14:paraId="142F0422" w14:textId="77777777" w:rsidTr="000D7597">
        <w:tblPrEx>
          <w:tblCellMar>
            <w:top w:w="44" w:type="dxa"/>
            <w:left w:w="101" w:type="dxa"/>
            <w:right w:w="115" w:type="dxa"/>
          </w:tblCellMar>
        </w:tblPrEx>
        <w:trPr>
          <w:trHeight w:val="3100"/>
        </w:trPr>
        <w:tc>
          <w:tcPr>
            <w:tcW w:w="3034" w:type="dxa"/>
            <w:tcBorders>
              <w:top w:val="single" w:sz="3" w:space="0" w:color="000000"/>
              <w:left w:val="single" w:sz="4" w:space="0" w:color="000000"/>
              <w:bottom w:val="single" w:sz="3" w:space="0" w:color="000000"/>
              <w:right w:val="single" w:sz="4" w:space="0" w:color="000000"/>
            </w:tcBorders>
            <w:shd w:val="clear" w:color="auto" w:fill="auto"/>
          </w:tcPr>
          <w:p w14:paraId="7E0BE950" w14:textId="77777777" w:rsidR="000954C1" w:rsidRPr="004B0C8F" w:rsidRDefault="000954C1" w:rsidP="000D7597">
            <w:pPr>
              <w:tabs>
                <w:tab w:val="left" w:pos="4680"/>
              </w:tabs>
              <w:spacing w:line="240" w:lineRule="auto"/>
              <w:ind w:left="2"/>
              <w:rPr>
                <w:szCs w:val="22"/>
                <w:lang w:val="lt-LT"/>
              </w:rPr>
            </w:pPr>
            <w:r w:rsidRPr="004B0C8F">
              <w:rPr>
                <w:szCs w:val="22"/>
                <w:lang w:val="lt-LT"/>
              </w:rPr>
              <w:t xml:space="preserve">Tyrimai </w:t>
            </w:r>
          </w:p>
        </w:tc>
        <w:tc>
          <w:tcPr>
            <w:tcW w:w="5722" w:type="dxa"/>
            <w:tcBorders>
              <w:top w:val="single" w:sz="3" w:space="0" w:color="000000"/>
              <w:left w:val="single" w:sz="4" w:space="0" w:color="000000"/>
              <w:bottom w:val="single" w:sz="3" w:space="0" w:color="000000"/>
              <w:right w:val="single" w:sz="3" w:space="0" w:color="000000"/>
            </w:tcBorders>
            <w:shd w:val="clear" w:color="auto" w:fill="auto"/>
          </w:tcPr>
          <w:p w14:paraId="2A02A8EF" w14:textId="48FDE923" w:rsidR="000954C1" w:rsidRPr="004B0C8F" w:rsidRDefault="000954C1" w:rsidP="000D7597">
            <w:pPr>
              <w:tabs>
                <w:tab w:val="left" w:pos="4680"/>
              </w:tabs>
              <w:spacing w:line="240" w:lineRule="auto"/>
              <w:rPr>
                <w:szCs w:val="22"/>
                <w:lang w:val="lt-LT"/>
              </w:rPr>
            </w:pPr>
            <w:r w:rsidRPr="004B0C8F">
              <w:rPr>
                <w:szCs w:val="22"/>
                <w:u w:val="single" w:color="000000"/>
                <w:lang w:val="lt-LT"/>
              </w:rPr>
              <w:t>Nedažn</w:t>
            </w:r>
            <w:r w:rsidR="00D1633A">
              <w:rPr>
                <w:szCs w:val="22"/>
                <w:u w:val="single" w:color="000000"/>
                <w:lang w:val="lt-LT"/>
              </w:rPr>
              <w:t>as</w:t>
            </w:r>
            <w:r w:rsidRPr="004B0C8F">
              <w:rPr>
                <w:szCs w:val="22"/>
                <w:lang w:val="lt-LT"/>
              </w:rPr>
              <w:t xml:space="preserve"> </w:t>
            </w:r>
          </w:p>
          <w:p w14:paraId="4317B0DD" w14:textId="77777777" w:rsidR="000954C1" w:rsidRPr="004B0C8F" w:rsidRDefault="000954C1" w:rsidP="000D7597">
            <w:pPr>
              <w:tabs>
                <w:tab w:val="left" w:pos="4680"/>
              </w:tabs>
              <w:spacing w:line="240" w:lineRule="auto"/>
              <w:rPr>
                <w:szCs w:val="22"/>
                <w:lang w:val="lt-LT"/>
              </w:rPr>
            </w:pPr>
            <w:r w:rsidRPr="004B0C8F">
              <w:rPr>
                <w:szCs w:val="22"/>
                <w:lang w:val="lt-LT"/>
              </w:rPr>
              <w:t xml:space="preserve">Padidėjęs </w:t>
            </w:r>
            <w:proofErr w:type="spellStart"/>
            <w:r w:rsidRPr="004B0C8F">
              <w:rPr>
                <w:szCs w:val="22"/>
                <w:lang w:val="lt-LT"/>
              </w:rPr>
              <w:t>amilazės</w:t>
            </w:r>
            <w:proofErr w:type="spellEnd"/>
            <w:r w:rsidRPr="004B0C8F">
              <w:rPr>
                <w:szCs w:val="22"/>
                <w:lang w:val="lt-LT"/>
              </w:rPr>
              <w:t xml:space="preserve"> aktyvumas kraujyje, sumažėjęs trombocitų kiekis, sumažėjęs leukocitų kiekis, sumažėjęs limfocitų kiekis, padidėjęs </w:t>
            </w:r>
            <w:proofErr w:type="spellStart"/>
            <w:r w:rsidRPr="004B0C8F">
              <w:rPr>
                <w:szCs w:val="22"/>
                <w:lang w:val="lt-LT"/>
              </w:rPr>
              <w:t>kreatino</w:t>
            </w:r>
            <w:proofErr w:type="spellEnd"/>
            <w:r w:rsidRPr="004B0C8F">
              <w:rPr>
                <w:szCs w:val="22"/>
                <w:lang w:val="lt-LT"/>
              </w:rPr>
              <w:t xml:space="preserve"> kiekis kraujyje,  sumažėjęs hemoglobino kiekis, padidėjęs šlapalo kiekis kraujyje, padidėjęs trigliceridų kiekis kraujyje, padidėjęs cholesterolio kiekis kraujyje, </w:t>
            </w:r>
            <w:proofErr w:type="spellStart"/>
            <w:r w:rsidRPr="004B0C8F">
              <w:rPr>
                <w:szCs w:val="22"/>
                <w:lang w:val="lt-LT"/>
              </w:rPr>
              <w:t>hematokrito</w:t>
            </w:r>
            <w:proofErr w:type="spellEnd"/>
            <w:r w:rsidRPr="004B0C8F">
              <w:rPr>
                <w:szCs w:val="22"/>
                <w:lang w:val="lt-LT"/>
              </w:rPr>
              <w:t xml:space="preserve"> sumažėjimas, padidėjęs </w:t>
            </w:r>
            <w:proofErr w:type="spellStart"/>
            <w:r w:rsidRPr="004B0C8F">
              <w:rPr>
                <w:szCs w:val="22"/>
                <w:lang w:val="lt-LT"/>
              </w:rPr>
              <w:t>laktatdehidrogenazės</w:t>
            </w:r>
            <w:proofErr w:type="spellEnd"/>
            <w:r w:rsidRPr="004B0C8F">
              <w:rPr>
                <w:szCs w:val="22"/>
                <w:lang w:val="lt-LT"/>
              </w:rPr>
              <w:t xml:space="preserve"> aktyvumas kraujyje, padidėjęs kalio kiekis kraujyje, padidėjęs INR</w:t>
            </w:r>
            <w:r w:rsidRPr="004B0C8F">
              <w:rPr>
                <w:szCs w:val="22"/>
                <w:vertAlign w:val="superscript"/>
                <w:lang w:val="lt-LT"/>
              </w:rPr>
              <w:t>#</w:t>
            </w:r>
            <w:r w:rsidRPr="004B0C8F">
              <w:rPr>
                <w:szCs w:val="22"/>
                <w:lang w:val="lt-LT"/>
              </w:rPr>
              <w:t xml:space="preserve">  </w:t>
            </w:r>
          </w:p>
          <w:p w14:paraId="7EE8F888" w14:textId="4FE5C173" w:rsidR="000954C1" w:rsidRPr="004B0C8F" w:rsidRDefault="000954C1" w:rsidP="000D7597">
            <w:pPr>
              <w:tabs>
                <w:tab w:val="left" w:pos="4680"/>
              </w:tabs>
              <w:spacing w:line="240" w:lineRule="auto"/>
              <w:rPr>
                <w:szCs w:val="22"/>
                <w:lang w:val="lt-LT"/>
              </w:rPr>
            </w:pPr>
            <w:r w:rsidRPr="004B0C8F">
              <w:rPr>
                <w:szCs w:val="22"/>
                <w:u w:val="single" w:color="000000"/>
                <w:lang w:val="lt-LT"/>
              </w:rPr>
              <w:t>Ret</w:t>
            </w:r>
            <w:r w:rsidR="00D1633A">
              <w:rPr>
                <w:szCs w:val="22"/>
                <w:u w:val="single" w:color="000000"/>
                <w:lang w:val="lt-LT"/>
              </w:rPr>
              <w:t>as</w:t>
            </w:r>
            <w:r w:rsidRPr="004B0C8F">
              <w:rPr>
                <w:szCs w:val="22"/>
                <w:lang w:val="lt-LT"/>
              </w:rPr>
              <w:t xml:space="preserve"> </w:t>
            </w:r>
          </w:p>
          <w:p w14:paraId="4A9368F9" w14:textId="77777777" w:rsidR="000954C1" w:rsidRPr="004B0C8F" w:rsidRDefault="000954C1" w:rsidP="000D7597">
            <w:pPr>
              <w:tabs>
                <w:tab w:val="left" w:pos="4680"/>
              </w:tabs>
              <w:spacing w:line="240" w:lineRule="auto"/>
              <w:rPr>
                <w:szCs w:val="22"/>
                <w:lang w:val="lt-LT"/>
              </w:rPr>
            </w:pPr>
            <w:r w:rsidRPr="004B0C8F">
              <w:rPr>
                <w:szCs w:val="22"/>
                <w:lang w:val="lt-LT"/>
              </w:rPr>
              <w:t xml:space="preserve">Padidėjęs gliukozės kiekis kraujyje, aktyvinto dalinio </w:t>
            </w:r>
            <w:proofErr w:type="spellStart"/>
            <w:r w:rsidRPr="004B0C8F">
              <w:rPr>
                <w:szCs w:val="22"/>
                <w:lang w:val="lt-LT"/>
              </w:rPr>
              <w:t>tromboplastino</w:t>
            </w:r>
            <w:proofErr w:type="spellEnd"/>
            <w:r w:rsidRPr="004B0C8F">
              <w:rPr>
                <w:szCs w:val="22"/>
                <w:lang w:val="lt-LT"/>
              </w:rPr>
              <w:t xml:space="preserve"> laiko pailgėjimas, eritrocitų skaičiaus sumažėjimas, padidėjęs šarminės fosfatazės aktyvumas kraujyje, padidėjęs </w:t>
            </w:r>
            <w:proofErr w:type="spellStart"/>
            <w:r w:rsidRPr="004B0C8F">
              <w:rPr>
                <w:szCs w:val="22"/>
                <w:lang w:val="lt-LT"/>
              </w:rPr>
              <w:t>kreatinfosfokinazės</w:t>
            </w:r>
            <w:proofErr w:type="spellEnd"/>
            <w:r w:rsidRPr="004B0C8F">
              <w:rPr>
                <w:szCs w:val="22"/>
                <w:lang w:val="lt-LT"/>
              </w:rPr>
              <w:t xml:space="preserve"> aktyvumas kraujyje*.</w:t>
            </w:r>
          </w:p>
        </w:tc>
      </w:tr>
      <w:tr w:rsidR="000954C1" w:rsidRPr="004B0C8F" w14:paraId="5C824F77" w14:textId="77777777" w:rsidTr="000D7597">
        <w:tblPrEx>
          <w:tblCellMar>
            <w:top w:w="44" w:type="dxa"/>
            <w:left w:w="101" w:type="dxa"/>
            <w:right w:w="115" w:type="dxa"/>
          </w:tblCellMar>
        </w:tblPrEx>
        <w:trPr>
          <w:trHeight w:val="671"/>
        </w:trPr>
        <w:tc>
          <w:tcPr>
            <w:tcW w:w="3034" w:type="dxa"/>
            <w:tcBorders>
              <w:top w:val="single" w:sz="3" w:space="0" w:color="000000"/>
              <w:left w:val="single" w:sz="4" w:space="0" w:color="000000"/>
              <w:bottom w:val="single" w:sz="4" w:space="0" w:color="000000"/>
              <w:right w:val="single" w:sz="4" w:space="0" w:color="000000"/>
            </w:tcBorders>
            <w:shd w:val="clear" w:color="auto" w:fill="auto"/>
          </w:tcPr>
          <w:p w14:paraId="40435FBA" w14:textId="77777777" w:rsidR="000954C1" w:rsidRPr="004B0C8F" w:rsidRDefault="000954C1" w:rsidP="000D7597">
            <w:pPr>
              <w:tabs>
                <w:tab w:val="left" w:pos="4680"/>
              </w:tabs>
              <w:spacing w:line="240" w:lineRule="auto"/>
              <w:ind w:left="2"/>
              <w:rPr>
                <w:szCs w:val="22"/>
                <w:lang w:val="lt-LT"/>
              </w:rPr>
            </w:pPr>
            <w:r w:rsidRPr="004B0C8F">
              <w:rPr>
                <w:szCs w:val="22"/>
                <w:lang w:val="lt-LT"/>
              </w:rPr>
              <w:t>Traumos, apsinuodijimai ir procedūrinės komplikacijos</w:t>
            </w:r>
          </w:p>
        </w:tc>
        <w:tc>
          <w:tcPr>
            <w:tcW w:w="5722" w:type="dxa"/>
            <w:tcBorders>
              <w:top w:val="single" w:sz="3" w:space="0" w:color="000000"/>
              <w:left w:val="single" w:sz="4" w:space="0" w:color="000000"/>
              <w:bottom w:val="single" w:sz="4" w:space="0" w:color="000000"/>
              <w:right w:val="single" w:sz="3" w:space="0" w:color="000000"/>
            </w:tcBorders>
            <w:shd w:val="clear" w:color="auto" w:fill="auto"/>
          </w:tcPr>
          <w:p w14:paraId="73BC34C4" w14:textId="3C3B3B89" w:rsidR="000954C1" w:rsidRPr="004B0C8F" w:rsidRDefault="000954C1" w:rsidP="000D7597">
            <w:pPr>
              <w:tabs>
                <w:tab w:val="left" w:pos="4680"/>
              </w:tabs>
              <w:spacing w:line="240" w:lineRule="auto"/>
              <w:rPr>
                <w:szCs w:val="22"/>
                <w:u w:val="single" w:color="000000"/>
                <w:lang w:val="lt-LT"/>
              </w:rPr>
            </w:pPr>
            <w:r w:rsidRPr="004B0C8F">
              <w:rPr>
                <w:szCs w:val="22"/>
                <w:u w:val="single" w:color="000000"/>
                <w:lang w:val="lt-LT"/>
              </w:rPr>
              <w:t>Nedažn</w:t>
            </w:r>
            <w:r w:rsidR="00D1633A">
              <w:rPr>
                <w:szCs w:val="22"/>
                <w:u w:val="single" w:color="000000"/>
                <w:lang w:val="lt-LT"/>
              </w:rPr>
              <w:t>as</w:t>
            </w:r>
          </w:p>
          <w:p w14:paraId="16412703" w14:textId="77777777" w:rsidR="000954C1" w:rsidRPr="004B0C8F" w:rsidRDefault="000954C1" w:rsidP="000D7597">
            <w:pPr>
              <w:tabs>
                <w:tab w:val="left" w:pos="4680"/>
              </w:tabs>
              <w:spacing w:line="240" w:lineRule="auto"/>
              <w:rPr>
                <w:szCs w:val="22"/>
                <w:u w:val="single" w:color="000000"/>
                <w:lang w:val="lt-LT"/>
              </w:rPr>
            </w:pPr>
            <w:r w:rsidRPr="004B0C8F">
              <w:rPr>
                <w:szCs w:val="22"/>
                <w:lang w:val="lt-LT"/>
              </w:rPr>
              <w:t>Sumušimas</w:t>
            </w:r>
            <w:r w:rsidRPr="004B0C8F">
              <w:rPr>
                <w:szCs w:val="22"/>
                <w:vertAlign w:val="superscript"/>
                <w:lang w:val="lt-LT"/>
              </w:rPr>
              <w:t>#</w:t>
            </w:r>
          </w:p>
        </w:tc>
      </w:tr>
    </w:tbl>
    <w:p w14:paraId="54D196A1" w14:textId="77777777" w:rsidR="00273470" w:rsidRPr="004A478C" w:rsidRDefault="00273470" w:rsidP="00F92F8C">
      <w:pPr>
        <w:tabs>
          <w:tab w:val="left" w:pos="4680"/>
        </w:tabs>
        <w:spacing w:line="240" w:lineRule="auto"/>
        <w:ind w:left="-1853" w:right="268"/>
        <w:rPr>
          <w:lang w:val="lt-LT"/>
        </w:rPr>
      </w:pPr>
    </w:p>
    <w:p w14:paraId="5C13A6AC" w14:textId="497C9C74" w:rsidR="00273470" w:rsidRPr="004A478C" w:rsidRDefault="00273470" w:rsidP="003B28E4">
      <w:pPr>
        <w:tabs>
          <w:tab w:val="left" w:pos="4680"/>
        </w:tabs>
        <w:spacing w:line="240" w:lineRule="auto"/>
        <w:ind w:left="541" w:right="397"/>
        <w:rPr>
          <w:lang w:val="lt-LT"/>
        </w:rPr>
      </w:pPr>
      <w:r w:rsidRPr="004A478C">
        <w:rPr>
          <w:lang w:val="lt-LT"/>
        </w:rPr>
        <w:t>*</w:t>
      </w:r>
      <w:r w:rsidR="008A265E" w:rsidRPr="004A478C">
        <w:rPr>
          <w:lang w:val="lt-LT"/>
        </w:rPr>
        <w:t xml:space="preserve"> </w:t>
      </w:r>
      <w:r w:rsidRPr="004A478C">
        <w:rPr>
          <w:lang w:val="lt-LT"/>
        </w:rPr>
        <w:t xml:space="preserve">Nepageidaujamos reakcijos praneštos vaistiniam preparatui patekus į rinką. </w:t>
      </w:r>
    </w:p>
    <w:p w14:paraId="78EDF85C" w14:textId="77777777" w:rsidR="00273470" w:rsidRPr="004A478C" w:rsidRDefault="00273470" w:rsidP="003B28E4">
      <w:pPr>
        <w:tabs>
          <w:tab w:val="left" w:pos="4680"/>
        </w:tabs>
        <w:spacing w:line="240" w:lineRule="auto"/>
        <w:ind w:left="540" w:right="397"/>
        <w:rPr>
          <w:lang w:val="lt-LT"/>
        </w:rPr>
      </w:pPr>
      <w:r w:rsidRPr="004A478C">
        <w:rPr>
          <w:lang w:val="lt-LT"/>
        </w:rPr>
        <w:t xml:space="preserve">** Skubaus gydymo reikalaujantis neinfekcinės kilmės viduriavimas ir kepenų funkcijos rodiklių pokyčiai jungtinių 3 fazės tyrimų metu dažniau pasireiškė pacientams, kartu vartojusiems </w:t>
      </w:r>
      <w:proofErr w:type="spellStart"/>
      <w:r w:rsidRPr="004A478C">
        <w:rPr>
          <w:lang w:val="lt-LT"/>
        </w:rPr>
        <w:t>kolchicino</w:t>
      </w:r>
      <w:proofErr w:type="spellEnd"/>
      <w:r w:rsidRPr="004A478C">
        <w:rPr>
          <w:b/>
          <w:i/>
          <w:lang w:val="lt-LT"/>
        </w:rPr>
        <w:t xml:space="preserve"> </w:t>
      </w:r>
      <w:r w:rsidRPr="004A478C">
        <w:rPr>
          <w:lang w:val="lt-LT"/>
        </w:rPr>
        <w:t xml:space="preserve"> </w:t>
      </w:r>
    </w:p>
    <w:p w14:paraId="5C5DE67E" w14:textId="73EC40BE" w:rsidR="00273470" w:rsidRPr="004A478C" w:rsidRDefault="00273470" w:rsidP="003B28E4">
      <w:pPr>
        <w:tabs>
          <w:tab w:val="left" w:pos="4680"/>
        </w:tabs>
        <w:spacing w:line="240" w:lineRule="auto"/>
        <w:ind w:left="540" w:right="397"/>
        <w:rPr>
          <w:lang w:val="lt-LT"/>
        </w:rPr>
      </w:pPr>
      <w:r w:rsidRPr="004A478C">
        <w:rPr>
          <w:lang w:val="lt-LT"/>
        </w:rPr>
        <w:t>***</w:t>
      </w:r>
      <w:r w:rsidR="008A265E" w:rsidRPr="004A478C">
        <w:rPr>
          <w:lang w:val="lt-LT"/>
        </w:rPr>
        <w:t xml:space="preserve">  </w:t>
      </w:r>
      <w:r w:rsidRPr="004A478C">
        <w:rPr>
          <w:lang w:val="lt-LT"/>
        </w:rPr>
        <w:t xml:space="preserve">Žr. 5.1 skyrių apie podagros priepuolių dažnį atskirų 3 fazės atsitiktinių imčių tyrimų metu. </w:t>
      </w:r>
    </w:p>
    <w:p w14:paraId="127D735D" w14:textId="34521F0D" w:rsidR="008A265E" w:rsidRPr="004A478C" w:rsidRDefault="00273470" w:rsidP="008A265E">
      <w:pPr>
        <w:tabs>
          <w:tab w:val="left" w:pos="4680"/>
        </w:tabs>
        <w:spacing w:line="240" w:lineRule="auto"/>
        <w:ind w:left="541" w:right="397"/>
        <w:rPr>
          <w:lang w:val="lt-LT"/>
        </w:rPr>
      </w:pPr>
      <w:r w:rsidRPr="004A478C">
        <w:rPr>
          <w:i/>
          <w:lang w:val="lt-LT"/>
        </w:rPr>
        <w:t xml:space="preserve"> </w:t>
      </w:r>
      <w:r w:rsidR="008A265E" w:rsidRPr="004A478C">
        <w:rPr>
          <w:vertAlign w:val="superscript"/>
          <w:lang w:val="lt-LT"/>
        </w:rPr>
        <w:t>#</w:t>
      </w:r>
      <w:r w:rsidR="008A265E" w:rsidRPr="004A478C">
        <w:rPr>
          <w:lang w:val="lt-LT"/>
        </w:rPr>
        <w:t xml:space="preserve">  Nepageidaujamos reakcijos, prane</w:t>
      </w:r>
      <w:r w:rsidR="008A265E" w:rsidRPr="004B0C8F">
        <w:rPr>
          <w:szCs w:val="22"/>
          <w:lang w:val="lt-LT"/>
        </w:rPr>
        <w:t>štos</w:t>
      </w:r>
      <w:r w:rsidR="008A265E" w:rsidRPr="004A478C">
        <w:rPr>
          <w:lang w:val="lt-LT"/>
        </w:rPr>
        <w:t xml:space="preserve"> </w:t>
      </w:r>
      <w:proofErr w:type="spellStart"/>
      <w:r w:rsidR="008A265E" w:rsidRPr="004A478C">
        <w:rPr>
          <w:lang w:val="lt-LT"/>
        </w:rPr>
        <w:t>poregistracinių</w:t>
      </w:r>
      <w:proofErr w:type="spellEnd"/>
      <w:r w:rsidR="008A265E" w:rsidRPr="004A478C">
        <w:rPr>
          <w:lang w:val="lt-LT"/>
        </w:rPr>
        <w:t xml:space="preserve"> saugumo tyrimų metu.</w:t>
      </w:r>
    </w:p>
    <w:p w14:paraId="19606065" w14:textId="71BF65B0" w:rsidR="00273470" w:rsidRPr="004A478C" w:rsidRDefault="00273470" w:rsidP="003B28E4">
      <w:pPr>
        <w:tabs>
          <w:tab w:val="left" w:pos="4680"/>
        </w:tabs>
        <w:spacing w:line="240" w:lineRule="auto"/>
        <w:rPr>
          <w:lang w:val="lt-LT"/>
        </w:rPr>
      </w:pPr>
    </w:p>
    <w:p w14:paraId="215EB665" w14:textId="77777777" w:rsidR="00273470" w:rsidRPr="004A478C" w:rsidRDefault="00273470" w:rsidP="003B28E4">
      <w:pPr>
        <w:tabs>
          <w:tab w:val="left" w:pos="4680"/>
        </w:tabs>
        <w:spacing w:line="240" w:lineRule="auto"/>
        <w:ind w:left="-5"/>
        <w:rPr>
          <w:lang w:val="lt-LT"/>
        </w:rPr>
      </w:pPr>
      <w:r w:rsidRPr="004A478C">
        <w:rPr>
          <w:i/>
          <w:lang w:val="lt-LT"/>
        </w:rPr>
        <w:t xml:space="preserve">Kai kurių nepageidaujamų reakcijų apibūdinimas </w:t>
      </w:r>
    </w:p>
    <w:p w14:paraId="498800E8" w14:textId="77777777" w:rsidR="00273470" w:rsidRPr="004A478C" w:rsidRDefault="00273470" w:rsidP="003B28E4">
      <w:pPr>
        <w:tabs>
          <w:tab w:val="left" w:pos="4680"/>
        </w:tabs>
        <w:spacing w:line="240" w:lineRule="auto"/>
        <w:ind w:left="2" w:right="397"/>
        <w:rPr>
          <w:lang w:val="lt-LT"/>
        </w:rPr>
      </w:pPr>
      <w:r w:rsidRPr="004A478C">
        <w:rPr>
          <w:lang w:val="lt-LT"/>
        </w:rPr>
        <w:t xml:space="preserve">Po vaistinio preparato patekimo į rinką </w:t>
      </w:r>
      <w:proofErr w:type="spellStart"/>
      <w:r w:rsidRPr="004A478C">
        <w:rPr>
          <w:lang w:val="lt-LT"/>
        </w:rPr>
        <w:t>febuksostato</w:t>
      </w:r>
      <w:proofErr w:type="spellEnd"/>
      <w:r w:rsidRPr="004A478C">
        <w:rPr>
          <w:lang w:val="lt-LT"/>
        </w:rPr>
        <w:t xml:space="preserve"> sukeltos sunkios padidėjusio jautrumo reakcijos, įskaitant </w:t>
      </w:r>
      <w:proofErr w:type="spellStart"/>
      <w:r w:rsidRPr="004A478C">
        <w:rPr>
          <w:lang w:val="lt-LT"/>
        </w:rPr>
        <w:t>Stivenso</w:t>
      </w:r>
      <w:proofErr w:type="spellEnd"/>
      <w:r w:rsidRPr="004A478C">
        <w:rPr>
          <w:lang w:val="lt-LT"/>
        </w:rPr>
        <w:t xml:space="preserve">-Džonsono sindromą, toksinę epidermio </w:t>
      </w:r>
      <w:proofErr w:type="spellStart"/>
      <w:r w:rsidRPr="004A478C">
        <w:rPr>
          <w:lang w:val="lt-LT"/>
        </w:rPr>
        <w:t>nekrolizę</w:t>
      </w:r>
      <w:proofErr w:type="spellEnd"/>
      <w:r w:rsidRPr="004A478C">
        <w:rPr>
          <w:lang w:val="lt-LT"/>
        </w:rPr>
        <w:t xml:space="preserve"> ir ūminę anafilaksinę reakciją arba šoką, pasitaikė retai. </w:t>
      </w:r>
      <w:proofErr w:type="spellStart"/>
      <w:r w:rsidRPr="004A478C">
        <w:rPr>
          <w:lang w:val="lt-LT"/>
        </w:rPr>
        <w:t>Stivenso</w:t>
      </w:r>
      <w:proofErr w:type="spellEnd"/>
      <w:r w:rsidRPr="004A478C">
        <w:rPr>
          <w:lang w:val="lt-LT"/>
        </w:rPr>
        <w:t xml:space="preserve">-Džonsono sindromui ir toksinei epidermio </w:t>
      </w:r>
      <w:proofErr w:type="spellStart"/>
      <w:r w:rsidRPr="004A478C">
        <w:rPr>
          <w:lang w:val="lt-LT"/>
        </w:rPr>
        <w:t>nekrolizei</w:t>
      </w:r>
      <w:proofErr w:type="spellEnd"/>
      <w:r w:rsidRPr="004A478C">
        <w:rPr>
          <w:lang w:val="lt-LT"/>
        </w:rPr>
        <w:t xml:space="preserve"> būdingas progresuojantis pūslelinis odos išbėrimas arba gleivinės </w:t>
      </w:r>
      <w:r w:rsidRPr="004A478C">
        <w:rPr>
          <w:lang w:val="lt-LT"/>
        </w:rPr>
        <w:lastRenderedPageBreak/>
        <w:t xml:space="preserve">pažeidimas ir akių sudirginimas. </w:t>
      </w:r>
      <w:proofErr w:type="spellStart"/>
      <w:r w:rsidRPr="004A478C">
        <w:rPr>
          <w:lang w:val="lt-LT"/>
        </w:rPr>
        <w:t>Febuksostato</w:t>
      </w:r>
      <w:proofErr w:type="spellEnd"/>
      <w:r w:rsidRPr="004A478C">
        <w:rPr>
          <w:lang w:val="lt-LT"/>
        </w:rPr>
        <w:t xml:space="preserve"> sukeltos padidėjusio jautrumo reakcijos gali pasireikšti šiais simptomais: infiltraciniu </w:t>
      </w:r>
      <w:proofErr w:type="spellStart"/>
      <w:r w:rsidRPr="004A478C">
        <w:rPr>
          <w:lang w:val="lt-LT"/>
        </w:rPr>
        <w:t>makulopapuliniu</w:t>
      </w:r>
      <w:proofErr w:type="spellEnd"/>
      <w:r w:rsidRPr="004A478C">
        <w:rPr>
          <w:lang w:val="lt-LT"/>
        </w:rPr>
        <w:t xml:space="preserve"> odos išbėrimu, išplitusiu arba </w:t>
      </w:r>
      <w:proofErr w:type="spellStart"/>
      <w:r w:rsidRPr="004A478C">
        <w:rPr>
          <w:lang w:val="lt-LT"/>
        </w:rPr>
        <w:t>eksfoliaciniu</w:t>
      </w:r>
      <w:proofErr w:type="spellEnd"/>
      <w:r w:rsidRPr="004A478C">
        <w:rPr>
          <w:lang w:val="lt-LT"/>
        </w:rPr>
        <w:t xml:space="preserve"> išbėrimu, taip pat odos pažeidimais, veido edema, karščiavimu, kraujo pokyčiais (</w:t>
      </w:r>
      <w:proofErr w:type="spellStart"/>
      <w:r w:rsidRPr="004A478C">
        <w:rPr>
          <w:lang w:val="lt-LT"/>
        </w:rPr>
        <w:t>trombocitopenija</w:t>
      </w:r>
      <w:proofErr w:type="spellEnd"/>
      <w:r w:rsidRPr="004A478C">
        <w:rPr>
          <w:lang w:val="lt-LT"/>
        </w:rPr>
        <w:t xml:space="preserve">) ir </w:t>
      </w:r>
      <w:proofErr w:type="spellStart"/>
      <w:r w:rsidRPr="004A478C">
        <w:rPr>
          <w:lang w:val="lt-LT"/>
        </w:rPr>
        <w:t>eozinofilija</w:t>
      </w:r>
      <w:proofErr w:type="spellEnd"/>
      <w:r w:rsidRPr="004A478C">
        <w:rPr>
          <w:lang w:val="lt-LT"/>
        </w:rPr>
        <w:t xml:space="preserve">, vieno ar kelių organų pažeidimais (kepenų arba inkstų, įskaitant </w:t>
      </w:r>
      <w:proofErr w:type="spellStart"/>
      <w:r w:rsidRPr="004A478C">
        <w:rPr>
          <w:lang w:val="lt-LT"/>
        </w:rPr>
        <w:t>tubulointersticinį</w:t>
      </w:r>
      <w:proofErr w:type="spellEnd"/>
      <w:r w:rsidRPr="004A478C">
        <w:rPr>
          <w:lang w:val="lt-LT"/>
        </w:rPr>
        <w:t xml:space="preserve"> nefritą) (žr. 4.4 skyrių). </w:t>
      </w:r>
    </w:p>
    <w:p w14:paraId="01979150" w14:textId="77777777" w:rsidR="00273470" w:rsidRPr="004A478C" w:rsidRDefault="00273470" w:rsidP="003B28E4">
      <w:pPr>
        <w:tabs>
          <w:tab w:val="left" w:pos="4680"/>
        </w:tabs>
        <w:spacing w:line="240" w:lineRule="auto"/>
        <w:rPr>
          <w:lang w:val="lt-LT"/>
        </w:rPr>
      </w:pPr>
      <w:r w:rsidRPr="004A478C">
        <w:rPr>
          <w:lang w:val="lt-LT"/>
        </w:rPr>
        <w:t xml:space="preserve"> </w:t>
      </w:r>
    </w:p>
    <w:p w14:paraId="2EAE530D" w14:textId="77777777" w:rsidR="00273470" w:rsidRPr="004A478C" w:rsidRDefault="00273470" w:rsidP="003B28E4">
      <w:pPr>
        <w:tabs>
          <w:tab w:val="left" w:pos="4680"/>
        </w:tabs>
        <w:spacing w:line="240" w:lineRule="auto"/>
        <w:ind w:left="2" w:right="397"/>
        <w:rPr>
          <w:lang w:val="lt-LT"/>
        </w:rPr>
      </w:pPr>
      <w:r w:rsidRPr="004A478C">
        <w:rPr>
          <w:lang w:val="lt-LT"/>
        </w:rPr>
        <w:t xml:space="preserve">Dažnai pasitaikė podagros paūmėjimas, pasireiškęs greitai po gydymo pradžios pirmaisiais gydymo mėnesiais. Vėliau podagros priepuolių dažnis mažėja. Rekomenduojama taikyti podagros priepuolių profilaktiką (žr. 4.2 ir 4.4 skyrius). </w:t>
      </w:r>
    </w:p>
    <w:p w14:paraId="70B4DAE9" w14:textId="77777777" w:rsidR="00273470" w:rsidRPr="004A478C" w:rsidRDefault="00273470" w:rsidP="003B28E4">
      <w:pPr>
        <w:tabs>
          <w:tab w:val="left" w:pos="4680"/>
        </w:tabs>
        <w:spacing w:line="240" w:lineRule="auto"/>
        <w:rPr>
          <w:lang w:val="lt-LT"/>
        </w:rPr>
      </w:pPr>
      <w:r w:rsidRPr="004A478C">
        <w:rPr>
          <w:lang w:val="lt-LT"/>
        </w:rPr>
        <w:t xml:space="preserve"> </w:t>
      </w:r>
    </w:p>
    <w:p w14:paraId="653F0308" w14:textId="37B7BAD9" w:rsidR="00273470" w:rsidRPr="004A478C" w:rsidRDefault="00273470" w:rsidP="003B28E4">
      <w:pPr>
        <w:pStyle w:val="Antrat3"/>
        <w:tabs>
          <w:tab w:val="left" w:pos="4680"/>
        </w:tabs>
        <w:spacing w:before="0" w:after="0" w:line="240" w:lineRule="auto"/>
        <w:ind w:left="-5"/>
        <w:rPr>
          <w:rFonts w:ascii="Times New Roman" w:hAnsi="Times New Roman"/>
          <w:sz w:val="22"/>
          <w:lang w:val="lt-LT"/>
        </w:rPr>
      </w:pPr>
      <w:r w:rsidRPr="004A478C">
        <w:rPr>
          <w:rFonts w:ascii="Times New Roman" w:hAnsi="Times New Roman"/>
          <w:b w:val="0"/>
          <w:sz w:val="22"/>
          <w:u w:val="single" w:color="000000"/>
          <w:lang w:val="lt-LT"/>
        </w:rPr>
        <w:t xml:space="preserve">Naviko </w:t>
      </w:r>
      <w:proofErr w:type="spellStart"/>
      <w:r w:rsidRPr="004A478C">
        <w:rPr>
          <w:rFonts w:ascii="Times New Roman" w:hAnsi="Times New Roman"/>
          <w:b w:val="0"/>
          <w:sz w:val="22"/>
          <w:u w:val="single" w:color="000000"/>
          <w:lang w:val="lt-LT"/>
        </w:rPr>
        <w:t>lizės</w:t>
      </w:r>
      <w:proofErr w:type="spellEnd"/>
      <w:r w:rsidRPr="004A478C">
        <w:rPr>
          <w:rFonts w:ascii="Times New Roman" w:hAnsi="Times New Roman"/>
          <w:b w:val="0"/>
          <w:sz w:val="22"/>
          <w:u w:val="single" w:color="000000"/>
          <w:lang w:val="lt-LT"/>
        </w:rPr>
        <w:t xml:space="preserve"> sindromas</w:t>
      </w:r>
      <w:r w:rsidR="003D0095" w:rsidRPr="004A478C">
        <w:rPr>
          <w:rFonts w:ascii="Times New Roman" w:hAnsi="Times New Roman"/>
          <w:b w:val="0"/>
          <w:sz w:val="22"/>
          <w:u w:val="single" w:color="000000"/>
          <w:lang w:val="lt-LT"/>
        </w:rPr>
        <w:t xml:space="preserve"> (NLS)</w:t>
      </w:r>
      <w:r w:rsidRPr="004A478C">
        <w:rPr>
          <w:rFonts w:ascii="Times New Roman" w:hAnsi="Times New Roman"/>
          <w:b w:val="0"/>
          <w:sz w:val="22"/>
          <w:lang w:val="lt-LT"/>
        </w:rPr>
        <w:t xml:space="preserve"> </w:t>
      </w:r>
    </w:p>
    <w:p w14:paraId="3D643F2B" w14:textId="77777777" w:rsidR="00273470" w:rsidRPr="004A478C" w:rsidRDefault="00273470" w:rsidP="003B28E4">
      <w:pPr>
        <w:tabs>
          <w:tab w:val="left" w:pos="4680"/>
        </w:tabs>
        <w:spacing w:line="240" w:lineRule="auto"/>
        <w:ind w:left="-5"/>
        <w:rPr>
          <w:lang w:val="lt-LT"/>
        </w:rPr>
      </w:pPr>
      <w:r w:rsidRPr="004A478C">
        <w:rPr>
          <w:i/>
          <w:lang w:val="lt-LT"/>
        </w:rPr>
        <w:t xml:space="preserve">Saugumo </w:t>
      </w:r>
      <w:r w:rsidR="00A57581" w:rsidRPr="004A478C">
        <w:rPr>
          <w:i/>
          <w:lang w:val="lt-LT"/>
        </w:rPr>
        <w:t xml:space="preserve">duomenų </w:t>
      </w:r>
      <w:r w:rsidRPr="004A478C">
        <w:rPr>
          <w:i/>
          <w:lang w:val="lt-LT"/>
        </w:rPr>
        <w:t xml:space="preserve">santrauka </w:t>
      </w:r>
    </w:p>
    <w:p w14:paraId="49D838BA" w14:textId="77777777" w:rsidR="00273470" w:rsidRPr="004A478C" w:rsidRDefault="00273470" w:rsidP="003B28E4">
      <w:pPr>
        <w:tabs>
          <w:tab w:val="left" w:pos="4680"/>
        </w:tabs>
        <w:spacing w:line="240" w:lineRule="auto"/>
        <w:ind w:left="2" w:right="397"/>
        <w:rPr>
          <w:lang w:val="lt-LT"/>
        </w:rPr>
      </w:pPr>
      <w:proofErr w:type="spellStart"/>
      <w:r w:rsidRPr="004A478C">
        <w:rPr>
          <w:lang w:val="lt-LT"/>
        </w:rPr>
        <w:t>Randomizuotame</w:t>
      </w:r>
      <w:proofErr w:type="spellEnd"/>
      <w:r w:rsidRPr="004A478C">
        <w:rPr>
          <w:lang w:val="lt-LT"/>
        </w:rPr>
        <w:t xml:space="preserve"> dvigubai </w:t>
      </w:r>
      <w:r w:rsidR="003026BB" w:rsidRPr="004A478C">
        <w:rPr>
          <w:lang w:val="lt-LT"/>
        </w:rPr>
        <w:t>koduot</w:t>
      </w:r>
      <w:r w:rsidR="00964BDA" w:rsidRPr="004A478C">
        <w:rPr>
          <w:lang w:val="lt-LT"/>
        </w:rPr>
        <w:t>ame</w:t>
      </w:r>
      <w:r w:rsidRPr="004A478C">
        <w:rPr>
          <w:lang w:val="lt-LT"/>
        </w:rPr>
        <w:t xml:space="preserve">, 3 fazės pagrindiniame tyrime FLORENCE (FLO-01), kuriame </w:t>
      </w:r>
      <w:proofErr w:type="spellStart"/>
      <w:r w:rsidRPr="004A478C">
        <w:rPr>
          <w:lang w:val="lt-LT"/>
        </w:rPr>
        <w:t>febuksostatas</w:t>
      </w:r>
      <w:proofErr w:type="spellEnd"/>
      <w:r w:rsidRPr="004A478C">
        <w:rPr>
          <w:lang w:val="lt-LT"/>
        </w:rPr>
        <w:t xml:space="preserve"> buvo lyginamas su </w:t>
      </w:r>
      <w:proofErr w:type="spellStart"/>
      <w:r w:rsidRPr="004A478C">
        <w:rPr>
          <w:lang w:val="lt-LT"/>
        </w:rPr>
        <w:t>alopurinoliu</w:t>
      </w:r>
      <w:proofErr w:type="spellEnd"/>
      <w:r w:rsidRPr="004A478C">
        <w:rPr>
          <w:lang w:val="lt-LT"/>
        </w:rPr>
        <w:t xml:space="preserve"> (tyrime dalyvavo 346 pacientai, kuriems buvo taikyta chemoterapija dėl kraujo piktybinių susirgimų, turintiems vidutinę ar didelę NLS riziką), šalutiniai reiškiniai nustatyti tiktai 22 (6,4%) pacientams, po 11 (6,4%) kiekvienoje gydymo grupėje. Daugelis nepageidaujamų reiškinių buvo lengvi ar vidutinio sunkumo. </w:t>
      </w:r>
    </w:p>
    <w:p w14:paraId="070504D3" w14:textId="5421447C" w:rsidR="00273470" w:rsidRPr="004A478C" w:rsidRDefault="00273470" w:rsidP="003B28E4">
      <w:pPr>
        <w:tabs>
          <w:tab w:val="left" w:pos="4680"/>
        </w:tabs>
        <w:spacing w:line="240" w:lineRule="auto"/>
        <w:ind w:left="2" w:right="397"/>
        <w:rPr>
          <w:lang w:val="lt-LT"/>
        </w:rPr>
      </w:pPr>
      <w:r w:rsidRPr="004A478C">
        <w:rPr>
          <w:lang w:val="lt-LT"/>
        </w:rPr>
        <w:t xml:space="preserve">Apskritai, FLORENCE tyrimas nenustatė jokių ypatingų nepageidaujamų reakcijų, lyginant su ankstesne podagros gydymo </w:t>
      </w:r>
      <w:proofErr w:type="spellStart"/>
      <w:r w:rsidR="003026BB" w:rsidRPr="004B0C8F">
        <w:rPr>
          <w:szCs w:val="22"/>
          <w:lang w:val="lt-LT"/>
        </w:rPr>
        <w:t>febuksostatu</w:t>
      </w:r>
      <w:proofErr w:type="spellEnd"/>
      <w:r w:rsidR="003026BB" w:rsidRPr="004B0C8F">
        <w:rPr>
          <w:szCs w:val="22"/>
          <w:lang w:val="lt-LT"/>
        </w:rPr>
        <w:t xml:space="preserve"> </w:t>
      </w:r>
      <w:r w:rsidRPr="004A478C">
        <w:rPr>
          <w:lang w:val="lt-LT"/>
        </w:rPr>
        <w:t xml:space="preserve">patirtimi, išskyrus tris nepageidaujamas reakcijas (išvardytas aukščiau pateiktoje 1 lentelėje). </w:t>
      </w:r>
    </w:p>
    <w:p w14:paraId="1B4D2476" w14:textId="797C8D6B" w:rsidR="003D0095" w:rsidRPr="004A478C" w:rsidRDefault="003D0095" w:rsidP="003B28E4">
      <w:pPr>
        <w:tabs>
          <w:tab w:val="left" w:pos="4680"/>
        </w:tabs>
        <w:spacing w:line="240" w:lineRule="auto"/>
        <w:ind w:left="2" w:right="397"/>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088"/>
      </w:tblGrid>
      <w:tr w:rsidR="003D0095" w:rsidRPr="007F09F8" w14:paraId="51FBB48C" w14:textId="77777777" w:rsidTr="003D0095">
        <w:tc>
          <w:tcPr>
            <w:tcW w:w="2864" w:type="dxa"/>
            <w:shd w:val="clear" w:color="auto" w:fill="auto"/>
          </w:tcPr>
          <w:p w14:paraId="05390A1D" w14:textId="77777777" w:rsidR="003D0095" w:rsidRPr="004A478C" w:rsidRDefault="003D0095" w:rsidP="003D0095">
            <w:pPr>
              <w:tabs>
                <w:tab w:val="left" w:pos="4680"/>
              </w:tabs>
              <w:spacing w:line="240" w:lineRule="auto"/>
              <w:ind w:left="2" w:right="397"/>
              <w:rPr>
                <w:lang w:val="lt-LT"/>
              </w:rPr>
            </w:pPr>
            <w:r w:rsidRPr="004A478C">
              <w:rPr>
                <w:lang w:val="lt-LT"/>
              </w:rPr>
              <w:t>Širdies sutrikimai</w:t>
            </w:r>
          </w:p>
        </w:tc>
        <w:tc>
          <w:tcPr>
            <w:tcW w:w="6088" w:type="dxa"/>
            <w:shd w:val="clear" w:color="auto" w:fill="auto"/>
          </w:tcPr>
          <w:p w14:paraId="7845BCEB" w14:textId="77777777" w:rsidR="003D0095" w:rsidRPr="004A478C" w:rsidRDefault="003D0095" w:rsidP="003D0095">
            <w:pPr>
              <w:tabs>
                <w:tab w:val="left" w:pos="4680"/>
              </w:tabs>
              <w:spacing w:line="240" w:lineRule="auto"/>
              <w:ind w:left="2" w:right="397"/>
              <w:rPr>
                <w:u w:val="single"/>
                <w:lang w:val="lt-LT"/>
              </w:rPr>
            </w:pPr>
            <w:r w:rsidRPr="004A478C">
              <w:rPr>
                <w:u w:val="single"/>
                <w:lang w:val="lt-LT"/>
              </w:rPr>
              <w:t>Nedažni</w:t>
            </w:r>
          </w:p>
          <w:p w14:paraId="266D8107" w14:textId="77777777" w:rsidR="003D0095" w:rsidRPr="004A478C" w:rsidRDefault="003D0095" w:rsidP="003D0095">
            <w:pPr>
              <w:tabs>
                <w:tab w:val="left" w:pos="4680"/>
              </w:tabs>
              <w:spacing w:line="240" w:lineRule="auto"/>
              <w:ind w:left="2" w:right="397"/>
              <w:rPr>
                <w:lang w:val="lt-LT"/>
              </w:rPr>
            </w:pPr>
            <w:r w:rsidRPr="004A478C">
              <w:rPr>
                <w:lang w:val="lt-LT"/>
              </w:rPr>
              <w:t xml:space="preserve">Kairiosios </w:t>
            </w:r>
            <w:proofErr w:type="spellStart"/>
            <w:r w:rsidRPr="004A478C">
              <w:rPr>
                <w:lang w:val="lt-LT"/>
              </w:rPr>
              <w:t>Hiso</w:t>
            </w:r>
            <w:proofErr w:type="spellEnd"/>
            <w:r w:rsidRPr="004A478C">
              <w:rPr>
                <w:lang w:val="lt-LT"/>
              </w:rPr>
              <w:t xml:space="preserve"> pluošto kojytės blokada, sinusinė tachikardija</w:t>
            </w:r>
          </w:p>
        </w:tc>
      </w:tr>
      <w:tr w:rsidR="003D0095" w:rsidRPr="004B0C8F" w14:paraId="0754ACCC" w14:textId="77777777" w:rsidTr="003D0095">
        <w:tc>
          <w:tcPr>
            <w:tcW w:w="2864" w:type="dxa"/>
            <w:shd w:val="clear" w:color="auto" w:fill="auto"/>
          </w:tcPr>
          <w:p w14:paraId="404A31E1" w14:textId="77777777" w:rsidR="003D0095" w:rsidRPr="004A478C" w:rsidRDefault="003D0095" w:rsidP="003D0095">
            <w:pPr>
              <w:tabs>
                <w:tab w:val="left" w:pos="4680"/>
              </w:tabs>
              <w:spacing w:line="240" w:lineRule="auto"/>
              <w:ind w:left="2" w:right="397"/>
              <w:rPr>
                <w:lang w:val="lt-LT"/>
              </w:rPr>
            </w:pPr>
            <w:r w:rsidRPr="004A478C">
              <w:rPr>
                <w:lang w:val="lt-LT"/>
              </w:rPr>
              <w:t>Kraujagyslių sutrikimai</w:t>
            </w:r>
          </w:p>
        </w:tc>
        <w:tc>
          <w:tcPr>
            <w:tcW w:w="6088" w:type="dxa"/>
            <w:shd w:val="clear" w:color="auto" w:fill="auto"/>
          </w:tcPr>
          <w:p w14:paraId="79686877" w14:textId="77777777" w:rsidR="003D0095" w:rsidRPr="004A478C" w:rsidRDefault="003D0095" w:rsidP="003D0095">
            <w:pPr>
              <w:tabs>
                <w:tab w:val="left" w:pos="4680"/>
              </w:tabs>
              <w:spacing w:line="240" w:lineRule="auto"/>
              <w:ind w:left="2" w:right="397"/>
              <w:rPr>
                <w:u w:val="single"/>
                <w:lang w:val="lt-LT"/>
              </w:rPr>
            </w:pPr>
            <w:r w:rsidRPr="004A478C">
              <w:rPr>
                <w:u w:val="single"/>
                <w:lang w:val="lt-LT"/>
              </w:rPr>
              <w:t>Nedažni</w:t>
            </w:r>
          </w:p>
          <w:p w14:paraId="357C945E" w14:textId="77777777" w:rsidR="003D0095" w:rsidRPr="004A478C" w:rsidRDefault="003D0095" w:rsidP="003D0095">
            <w:pPr>
              <w:tabs>
                <w:tab w:val="left" w:pos="4680"/>
              </w:tabs>
              <w:spacing w:line="240" w:lineRule="auto"/>
              <w:ind w:left="2" w:right="397"/>
              <w:rPr>
                <w:lang w:val="lt-LT"/>
              </w:rPr>
            </w:pPr>
            <w:r w:rsidRPr="004A478C">
              <w:rPr>
                <w:lang w:val="lt-LT"/>
              </w:rPr>
              <w:t>Kraujavimas</w:t>
            </w:r>
          </w:p>
        </w:tc>
      </w:tr>
    </w:tbl>
    <w:p w14:paraId="40F086F0" w14:textId="7FDA0454" w:rsidR="00273470" w:rsidRPr="004A478C" w:rsidRDefault="00273470" w:rsidP="003B28E4">
      <w:pPr>
        <w:tabs>
          <w:tab w:val="left" w:pos="4680"/>
        </w:tabs>
        <w:spacing w:line="240" w:lineRule="auto"/>
        <w:rPr>
          <w:lang w:val="lt-LT"/>
        </w:rPr>
      </w:pPr>
      <w:r w:rsidRPr="004A478C">
        <w:rPr>
          <w:lang w:val="lt-LT"/>
        </w:rPr>
        <w:t xml:space="preserve"> </w:t>
      </w:r>
    </w:p>
    <w:p w14:paraId="6675816C" w14:textId="77777777" w:rsidR="00BE4EE6" w:rsidRPr="004B0C8F" w:rsidRDefault="00BE4EE6" w:rsidP="00BE4EE6">
      <w:pPr>
        <w:autoSpaceDE w:val="0"/>
        <w:autoSpaceDN w:val="0"/>
        <w:adjustRightInd w:val="0"/>
        <w:jc w:val="both"/>
        <w:rPr>
          <w:szCs w:val="24"/>
          <w:u w:val="single"/>
          <w:lang w:val="lt-LT"/>
        </w:rPr>
      </w:pPr>
      <w:r w:rsidRPr="004B0C8F">
        <w:rPr>
          <w:noProof/>
          <w:szCs w:val="24"/>
          <w:u w:val="single"/>
          <w:lang w:val="lt-LT"/>
        </w:rPr>
        <w:t>Pranešimas apie įtariamas nepageidaujamas reakcijas</w:t>
      </w:r>
    </w:p>
    <w:p w14:paraId="44F2FD14" w14:textId="36C379A0" w:rsidR="00BE4EE6" w:rsidRPr="004B0C8F" w:rsidRDefault="00BE4EE6" w:rsidP="00542090">
      <w:pPr>
        <w:autoSpaceDE w:val="0"/>
        <w:autoSpaceDN w:val="0"/>
        <w:adjustRightInd w:val="0"/>
        <w:rPr>
          <w:noProof/>
          <w:szCs w:val="24"/>
          <w:lang w:val="lt-LT"/>
        </w:rPr>
      </w:pPr>
      <w:r w:rsidRPr="004B0C8F">
        <w:rPr>
          <w:noProof/>
          <w:szCs w:val="24"/>
          <w:lang w:val="lt-LT"/>
        </w:rPr>
        <w:t>Svarbu pranešti apie įtariamas nepageidaujamas reakcijas, pastebėtas po vaistinio preparato registracijos, nes tai leidžia nuolat stebėti vaistinio preparato naudos ir rizikos santykį.</w:t>
      </w:r>
      <w:r w:rsidRPr="004B0C8F">
        <w:rPr>
          <w:szCs w:val="24"/>
          <w:lang w:val="lt-LT"/>
        </w:rPr>
        <w:t xml:space="preserve"> </w:t>
      </w:r>
      <w:r w:rsidR="00D1633A" w:rsidRPr="00D1633A">
        <w:rPr>
          <w:snapToGrid/>
          <w:szCs w:val="22"/>
          <w:lang w:val="lt-LT"/>
        </w:rPr>
        <w:t xml:space="preserve">Sveikatos priežiūros ar farmacijos specialistai turi pranešti apie bet kokias įtariamas nepageidaujamas reakcijas, </w:t>
      </w:r>
      <w:r w:rsidR="00D1633A" w:rsidRPr="004A478C">
        <w:rPr>
          <w:color w:val="000000"/>
          <w:lang w:val="lt-LT"/>
        </w:rPr>
        <w:t xml:space="preserve">užpildę </w:t>
      </w:r>
      <w:r w:rsidR="00D1633A" w:rsidRPr="00D1633A">
        <w:rPr>
          <w:snapToGrid/>
          <w:color w:val="000000"/>
          <w:szCs w:val="22"/>
          <w:lang w:val="lt-LT"/>
        </w:rPr>
        <w:t>ir pateikę pranešimo</w:t>
      </w:r>
      <w:r w:rsidR="00D1633A" w:rsidRPr="004A478C">
        <w:rPr>
          <w:color w:val="000000"/>
          <w:lang w:val="lt-LT"/>
        </w:rPr>
        <w:t xml:space="preserve"> formą</w:t>
      </w:r>
      <w:r w:rsidR="00D1633A" w:rsidRPr="00D1633A">
        <w:rPr>
          <w:snapToGrid/>
          <w:color w:val="000000"/>
          <w:szCs w:val="22"/>
          <w:lang w:val="lt-LT"/>
        </w:rPr>
        <w:t xml:space="preserve"> Valstybinės</w:t>
      </w:r>
      <w:r w:rsidR="00D1633A" w:rsidRPr="004A478C">
        <w:rPr>
          <w:color w:val="000000"/>
          <w:lang w:val="lt-LT"/>
        </w:rPr>
        <w:t xml:space="preserve"> vaistų kontrolės </w:t>
      </w:r>
      <w:r w:rsidR="00D1633A" w:rsidRPr="00D1633A">
        <w:rPr>
          <w:snapToGrid/>
          <w:color w:val="000000"/>
          <w:szCs w:val="22"/>
          <w:lang w:val="lt-LT"/>
        </w:rPr>
        <w:t>tarnybos</w:t>
      </w:r>
      <w:r w:rsidR="00D1633A" w:rsidRPr="004A478C">
        <w:rPr>
          <w:color w:val="000000"/>
          <w:lang w:val="lt-LT"/>
        </w:rPr>
        <w:t xml:space="preserve"> prie Lietuvos Respublikos sveikatos apsaugos ministerijos </w:t>
      </w:r>
      <w:r w:rsidR="00D1633A" w:rsidRPr="00D1633A">
        <w:rPr>
          <w:snapToGrid/>
          <w:color w:val="000000"/>
          <w:szCs w:val="22"/>
          <w:lang w:val="lt-LT"/>
        </w:rPr>
        <w:t>tinklalapyje </w:t>
      </w:r>
      <w:r w:rsidR="00D1633A" w:rsidRPr="00D1633A">
        <w:rPr>
          <w:snapToGrid/>
          <w:color w:val="0000EE"/>
          <w:szCs w:val="22"/>
          <w:u w:val="single"/>
          <w:lang w:val="lt-LT"/>
        </w:rPr>
        <w:t>https://vvkt.lrv.lt/lt/</w:t>
      </w:r>
      <w:r w:rsidR="00D1633A" w:rsidRPr="00D1633A">
        <w:rPr>
          <w:snapToGrid/>
          <w:color w:val="000000"/>
          <w:szCs w:val="22"/>
          <w:lang w:val="lt-LT"/>
        </w:rPr>
        <w:t> nurodytais būdais.</w:t>
      </w:r>
    </w:p>
    <w:p w14:paraId="38E3B0DF" w14:textId="77777777" w:rsidR="00273470" w:rsidRPr="004B0C8F" w:rsidRDefault="00273470" w:rsidP="003B28E4">
      <w:pPr>
        <w:tabs>
          <w:tab w:val="left" w:pos="4680"/>
        </w:tabs>
        <w:spacing w:line="240" w:lineRule="auto"/>
        <w:rPr>
          <w:lang w:val="lt-LT"/>
        </w:rPr>
      </w:pPr>
      <w:r w:rsidRPr="004B0C8F">
        <w:rPr>
          <w:lang w:val="lt-LT"/>
        </w:rPr>
        <w:t xml:space="preserve"> </w:t>
      </w:r>
    </w:p>
    <w:p w14:paraId="1205353A" w14:textId="77777777" w:rsidR="00273470" w:rsidRPr="004A478C" w:rsidRDefault="00273470" w:rsidP="003B28E4">
      <w:pPr>
        <w:tabs>
          <w:tab w:val="center" w:pos="1126"/>
          <w:tab w:val="left" w:pos="4680"/>
        </w:tabs>
        <w:spacing w:line="240" w:lineRule="auto"/>
        <w:ind w:left="-15"/>
        <w:rPr>
          <w:lang w:val="lt-LT"/>
        </w:rPr>
      </w:pPr>
      <w:r w:rsidRPr="004A478C">
        <w:rPr>
          <w:b/>
          <w:lang w:val="lt-LT"/>
        </w:rPr>
        <w:t xml:space="preserve">4.9 </w:t>
      </w:r>
      <w:r w:rsidRPr="004A478C">
        <w:rPr>
          <w:b/>
          <w:lang w:val="lt-LT"/>
        </w:rPr>
        <w:tab/>
        <w:t xml:space="preserve">Perdozavimas </w:t>
      </w:r>
    </w:p>
    <w:p w14:paraId="6CD7C038" w14:textId="77777777" w:rsidR="00273470" w:rsidRPr="004A478C" w:rsidRDefault="00273470" w:rsidP="003B28E4">
      <w:pPr>
        <w:tabs>
          <w:tab w:val="left" w:pos="4680"/>
        </w:tabs>
        <w:spacing w:line="240" w:lineRule="auto"/>
        <w:rPr>
          <w:lang w:val="lt-LT"/>
        </w:rPr>
      </w:pPr>
      <w:r w:rsidRPr="004A478C">
        <w:rPr>
          <w:lang w:val="lt-LT"/>
        </w:rPr>
        <w:t xml:space="preserve"> </w:t>
      </w:r>
    </w:p>
    <w:p w14:paraId="2BF60F7E" w14:textId="77777777" w:rsidR="00273470" w:rsidRPr="004A478C" w:rsidRDefault="003026BB" w:rsidP="003B28E4">
      <w:pPr>
        <w:tabs>
          <w:tab w:val="left" w:pos="4680"/>
        </w:tabs>
        <w:spacing w:line="240" w:lineRule="auto"/>
        <w:ind w:left="2" w:right="397"/>
        <w:rPr>
          <w:lang w:val="lt-LT"/>
        </w:rPr>
      </w:pPr>
      <w:r w:rsidRPr="004A478C">
        <w:rPr>
          <w:lang w:val="lt-LT"/>
        </w:rPr>
        <w:t>Perdozavimo atveju pacientams turi būti</w:t>
      </w:r>
      <w:r w:rsidR="00273470" w:rsidRPr="004A478C">
        <w:rPr>
          <w:lang w:val="lt-LT"/>
        </w:rPr>
        <w:t xml:space="preserve"> taikomas simptominis ir palaikomasis gydymas. </w:t>
      </w:r>
    </w:p>
    <w:p w14:paraId="19BD2506" w14:textId="77777777" w:rsidR="00273470" w:rsidRPr="004A478C" w:rsidRDefault="00273470" w:rsidP="003B28E4">
      <w:pPr>
        <w:tabs>
          <w:tab w:val="left" w:pos="4680"/>
        </w:tabs>
        <w:spacing w:line="240" w:lineRule="auto"/>
        <w:rPr>
          <w:lang w:val="lt-LT"/>
        </w:rPr>
      </w:pPr>
      <w:r w:rsidRPr="004A478C">
        <w:rPr>
          <w:lang w:val="lt-LT"/>
        </w:rPr>
        <w:t xml:space="preserve"> </w:t>
      </w:r>
    </w:p>
    <w:p w14:paraId="08421F44" w14:textId="77777777" w:rsidR="00273470" w:rsidRPr="004A478C" w:rsidRDefault="00273470" w:rsidP="003B28E4">
      <w:pPr>
        <w:tabs>
          <w:tab w:val="left" w:pos="4680"/>
        </w:tabs>
        <w:spacing w:line="240" w:lineRule="auto"/>
        <w:rPr>
          <w:lang w:val="lt-LT"/>
        </w:rPr>
      </w:pPr>
      <w:r w:rsidRPr="004A478C">
        <w:rPr>
          <w:lang w:val="lt-LT"/>
        </w:rPr>
        <w:t xml:space="preserve"> </w:t>
      </w:r>
    </w:p>
    <w:p w14:paraId="6BB61D23" w14:textId="77777777" w:rsidR="00273470" w:rsidRPr="004A478C" w:rsidRDefault="00273470" w:rsidP="003B28E4">
      <w:pPr>
        <w:pStyle w:val="Antrat3"/>
        <w:tabs>
          <w:tab w:val="center" w:pos="2026"/>
          <w:tab w:val="left" w:pos="4680"/>
        </w:tabs>
        <w:spacing w:before="0" w:after="0" w:line="240" w:lineRule="auto"/>
        <w:ind w:left="-15"/>
        <w:rPr>
          <w:rFonts w:ascii="Times New Roman" w:hAnsi="Times New Roman"/>
          <w:sz w:val="22"/>
          <w:lang w:val="lt-LT"/>
        </w:rPr>
      </w:pPr>
      <w:r w:rsidRPr="004A478C">
        <w:rPr>
          <w:rFonts w:ascii="Times New Roman" w:hAnsi="Times New Roman"/>
          <w:sz w:val="22"/>
          <w:lang w:val="lt-LT"/>
        </w:rPr>
        <w:t xml:space="preserve">5. </w:t>
      </w:r>
      <w:r w:rsidRPr="004A478C">
        <w:rPr>
          <w:rFonts w:ascii="Times New Roman" w:hAnsi="Times New Roman"/>
          <w:sz w:val="22"/>
          <w:lang w:val="lt-LT"/>
        </w:rPr>
        <w:tab/>
        <w:t xml:space="preserve">FARMAKOLOGINĖS SAVYBĖS </w:t>
      </w:r>
    </w:p>
    <w:p w14:paraId="4488B2B6" w14:textId="77777777" w:rsidR="00273470" w:rsidRPr="004A478C" w:rsidRDefault="00273470" w:rsidP="003B28E4">
      <w:pPr>
        <w:tabs>
          <w:tab w:val="left" w:pos="4680"/>
        </w:tabs>
        <w:spacing w:line="240" w:lineRule="auto"/>
        <w:rPr>
          <w:lang w:val="lt-LT"/>
        </w:rPr>
      </w:pPr>
      <w:r w:rsidRPr="004A478C">
        <w:rPr>
          <w:lang w:val="lt-LT"/>
        </w:rPr>
        <w:t xml:space="preserve"> </w:t>
      </w:r>
    </w:p>
    <w:p w14:paraId="4B3CD8A4" w14:textId="77777777" w:rsidR="00273470" w:rsidRPr="004A478C" w:rsidRDefault="00273470" w:rsidP="003B28E4">
      <w:pPr>
        <w:pStyle w:val="Antrat4"/>
        <w:tabs>
          <w:tab w:val="center" w:pos="1732"/>
          <w:tab w:val="left" w:pos="4680"/>
        </w:tabs>
        <w:spacing w:line="240" w:lineRule="auto"/>
        <w:ind w:left="-15"/>
        <w:rPr>
          <w:rFonts w:ascii="Times New Roman" w:hAnsi="Times New Roman"/>
          <w:sz w:val="22"/>
          <w:lang w:val="lt-LT"/>
        </w:rPr>
      </w:pPr>
      <w:r w:rsidRPr="004A478C">
        <w:rPr>
          <w:rFonts w:ascii="Times New Roman" w:hAnsi="Times New Roman"/>
          <w:sz w:val="22"/>
          <w:lang w:val="lt-LT"/>
        </w:rPr>
        <w:t xml:space="preserve">5.1 </w:t>
      </w:r>
      <w:r w:rsidRPr="004A478C">
        <w:rPr>
          <w:rFonts w:ascii="Times New Roman" w:hAnsi="Times New Roman"/>
          <w:sz w:val="22"/>
          <w:lang w:val="lt-LT"/>
        </w:rPr>
        <w:tab/>
      </w:r>
      <w:proofErr w:type="spellStart"/>
      <w:r w:rsidRPr="004A478C">
        <w:rPr>
          <w:rFonts w:ascii="Times New Roman" w:hAnsi="Times New Roman"/>
          <w:sz w:val="22"/>
          <w:lang w:val="lt-LT"/>
        </w:rPr>
        <w:t>Farmakodinaminės</w:t>
      </w:r>
      <w:proofErr w:type="spellEnd"/>
      <w:r w:rsidRPr="004A478C">
        <w:rPr>
          <w:rFonts w:ascii="Times New Roman" w:hAnsi="Times New Roman"/>
          <w:sz w:val="22"/>
          <w:lang w:val="lt-LT"/>
        </w:rPr>
        <w:t xml:space="preserve"> savybės </w:t>
      </w:r>
    </w:p>
    <w:p w14:paraId="784FF453" w14:textId="77777777" w:rsidR="00273470" w:rsidRPr="004A478C" w:rsidRDefault="00273470" w:rsidP="003B28E4">
      <w:pPr>
        <w:tabs>
          <w:tab w:val="left" w:pos="4680"/>
        </w:tabs>
        <w:spacing w:line="240" w:lineRule="auto"/>
        <w:rPr>
          <w:lang w:val="lt-LT"/>
        </w:rPr>
      </w:pPr>
      <w:r w:rsidRPr="004A478C">
        <w:rPr>
          <w:lang w:val="lt-LT"/>
        </w:rPr>
        <w:t xml:space="preserve"> </w:t>
      </w:r>
    </w:p>
    <w:p w14:paraId="2E5D11CF" w14:textId="77777777" w:rsidR="00273470" w:rsidRPr="004A478C" w:rsidRDefault="00273470" w:rsidP="003B28E4">
      <w:pPr>
        <w:tabs>
          <w:tab w:val="left" w:pos="4680"/>
        </w:tabs>
        <w:spacing w:line="240" w:lineRule="auto"/>
        <w:ind w:left="2" w:right="397"/>
        <w:rPr>
          <w:lang w:val="lt-LT"/>
        </w:rPr>
      </w:pPr>
      <w:proofErr w:type="spellStart"/>
      <w:r w:rsidRPr="004A478C">
        <w:rPr>
          <w:lang w:val="lt-LT"/>
        </w:rPr>
        <w:t>Farmakoterapinė</w:t>
      </w:r>
      <w:proofErr w:type="spellEnd"/>
      <w:r w:rsidRPr="004A478C">
        <w:rPr>
          <w:lang w:val="lt-LT"/>
        </w:rPr>
        <w:t xml:space="preserve"> grupė – vaistai podagrai gydyti, šlapimo rūgšties sintezę slopinantys </w:t>
      </w:r>
      <w:r w:rsidR="003026BB" w:rsidRPr="004A478C">
        <w:rPr>
          <w:lang w:val="lt-LT"/>
        </w:rPr>
        <w:t xml:space="preserve">vaistiniai </w:t>
      </w:r>
      <w:r w:rsidRPr="004A478C">
        <w:rPr>
          <w:lang w:val="lt-LT"/>
        </w:rPr>
        <w:t xml:space="preserve">preparatai, ATC kodas – M04AA03. </w:t>
      </w:r>
    </w:p>
    <w:p w14:paraId="4380FD34" w14:textId="77777777" w:rsidR="00273470" w:rsidRPr="004A478C" w:rsidRDefault="00273470" w:rsidP="003B28E4">
      <w:pPr>
        <w:tabs>
          <w:tab w:val="left" w:pos="4680"/>
        </w:tabs>
        <w:spacing w:line="240" w:lineRule="auto"/>
        <w:rPr>
          <w:lang w:val="lt-LT"/>
        </w:rPr>
      </w:pPr>
      <w:r w:rsidRPr="004A478C">
        <w:rPr>
          <w:lang w:val="lt-LT"/>
        </w:rPr>
        <w:t xml:space="preserve"> </w:t>
      </w:r>
    </w:p>
    <w:p w14:paraId="467E86E9" w14:textId="77777777" w:rsidR="00273470" w:rsidRPr="004A478C" w:rsidRDefault="00273470" w:rsidP="003B28E4">
      <w:pPr>
        <w:pStyle w:val="Antrat3"/>
        <w:tabs>
          <w:tab w:val="left" w:pos="4680"/>
        </w:tabs>
        <w:spacing w:before="0" w:after="0" w:line="240" w:lineRule="auto"/>
        <w:ind w:left="-5"/>
        <w:rPr>
          <w:rFonts w:ascii="Times New Roman" w:hAnsi="Times New Roman"/>
          <w:sz w:val="22"/>
          <w:lang w:val="lt-LT"/>
        </w:rPr>
      </w:pPr>
      <w:r w:rsidRPr="004A478C">
        <w:rPr>
          <w:rFonts w:ascii="Times New Roman" w:hAnsi="Times New Roman"/>
          <w:b w:val="0"/>
          <w:sz w:val="22"/>
          <w:u w:val="single" w:color="000000"/>
          <w:lang w:val="lt-LT"/>
        </w:rPr>
        <w:t>Veikimo mechanizmas</w:t>
      </w:r>
      <w:r w:rsidRPr="004A478C">
        <w:rPr>
          <w:rFonts w:ascii="Times New Roman" w:hAnsi="Times New Roman"/>
          <w:b w:val="0"/>
          <w:sz w:val="22"/>
          <w:lang w:val="lt-LT"/>
        </w:rPr>
        <w:t xml:space="preserve"> </w:t>
      </w:r>
    </w:p>
    <w:p w14:paraId="7F0A7C5F" w14:textId="77777777" w:rsidR="00273470" w:rsidRPr="004A478C" w:rsidRDefault="00273470" w:rsidP="003B28E4">
      <w:pPr>
        <w:tabs>
          <w:tab w:val="left" w:pos="4680"/>
        </w:tabs>
        <w:spacing w:line="240" w:lineRule="auto"/>
        <w:rPr>
          <w:lang w:val="lt-LT"/>
        </w:rPr>
      </w:pPr>
      <w:r w:rsidRPr="004A478C">
        <w:rPr>
          <w:b/>
          <w:lang w:val="lt-LT"/>
        </w:rPr>
        <w:t xml:space="preserve"> </w:t>
      </w:r>
    </w:p>
    <w:p w14:paraId="50523FA6" w14:textId="77777777" w:rsidR="00273470" w:rsidRPr="004A478C" w:rsidRDefault="00273470" w:rsidP="003B28E4">
      <w:pPr>
        <w:tabs>
          <w:tab w:val="left" w:pos="4680"/>
        </w:tabs>
        <w:spacing w:line="240" w:lineRule="auto"/>
        <w:ind w:left="2" w:right="397"/>
        <w:rPr>
          <w:lang w:val="lt-LT"/>
        </w:rPr>
      </w:pPr>
      <w:r w:rsidRPr="004A478C">
        <w:rPr>
          <w:lang w:val="lt-LT"/>
        </w:rPr>
        <w:t xml:space="preserve">Šlapimo rūgštis yra purino metabolizmo žmogaus organizme galutinis produktas; jis susidaro šia seka: </w:t>
      </w:r>
      <w:proofErr w:type="spellStart"/>
      <w:r w:rsidRPr="004A478C">
        <w:rPr>
          <w:lang w:val="lt-LT"/>
        </w:rPr>
        <w:t>hipoksantinas</w:t>
      </w:r>
      <w:proofErr w:type="spellEnd"/>
      <w:r w:rsidRPr="004A478C">
        <w:rPr>
          <w:lang w:val="lt-LT"/>
        </w:rPr>
        <w:t xml:space="preserve"> </w:t>
      </w:r>
      <w:r w:rsidR="003026BB" w:rsidRPr="004A478C">
        <w:rPr>
          <w:rFonts w:eastAsia="Segoe UI Symbol"/>
          <w:lang w:val="lt-LT"/>
        </w:rPr>
        <w:t xml:space="preserve">→ </w:t>
      </w:r>
      <w:proofErr w:type="spellStart"/>
      <w:r w:rsidRPr="004A478C">
        <w:rPr>
          <w:lang w:val="lt-LT"/>
        </w:rPr>
        <w:t>ksantinas</w:t>
      </w:r>
      <w:proofErr w:type="spellEnd"/>
      <w:r w:rsidRPr="004A478C">
        <w:rPr>
          <w:lang w:val="lt-LT"/>
        </w:rPr>
        <w:t xml:space="preserve"> </w:t>
      </w:r>
      <w:r w:rsidR="003026BB" w:rsidRPr="004A478C">
        <w:rPr>
          <w:rFonts w:eastAsia="Segoe UI Symbol"/>
          <w:lang w:val="lt-LT"/>
        </w:rPr>
        <w:t xml:space="preserve">→ </w:t>
      </w:r>
      <w:r w:rsidRPr="004A478C">
        <w:rPr>
          <w:lang w:val="lt-LT"/>
        </w:rPr>
        <w:t xml:space="preserve">šlapimo rūgštis. Abi sekos reakcijas katalizuoja </w:t>
      </w:r>
      <w:proofErr w:type="spellStart"/>
      <w:r w:rsidRPr="004A478C">
        <w:rPr>
          <w:lang w:val="lt-LT"/>
        </w:rPr>
        <w:t>ksantinoksidazė</w:t>
      </w:r>
      <w:proofErr w:type="spellEnd"/>
      <w:r w:rsidRPr="004A478C">
        <w:rPr>
          <w:lang w:val="lt-LT"/>
        </w:rPr>
        <w:t xml:space="preserve"> (KO). </w:t>
      </w:r>
      <w:proofErr w:type="spellStart"/>
      <w:r w:rsidRPr="004A478C">
        <w:rPr>
          <w:lang w:val="lt-LT"/>
        </w:rPr>
        <w:t>Febuksostatas</w:t>
      </w:r>
      <w:proofErr w:type="spellEnd"/>
      <w:r w:rsidRPr="004A478C">
        <w:rPr>
          <w:lang w:val="lt-LT"/>
        </w:rPr>
        <w:t xml:space="preserve"> yra 2-ariltiazolio darinys, kurio gydomasis poveikis mažinant šlapimo rūgšties kiekį serume pasireiškia dėl selektyvaus KO slopinimo. </w:t>
      </w:r>
      <w:proofErr w:type="spellStart"/>
      <w:r w:rsidRPr="004A478C">
        <w:rPr>
          <w:lang w:val="lt-LT"/>
        </w:rPr>
        <w:t>Febuksostatas</w:t>
      </w:r>
      <w:proofErr w:type="spellEnd"/>
      <w:r w:rsidRPr="004A478C">
        <w:rPr>
          <w:lang w:val="lt-LT"/>
        </w:rPr>
        <w:t xml:space="preserve"> yra stiprus </w:t>
      </w:r>
      <w:proofErr w:type="spellStart"/>
      <w:r w:rsidRPr="004A478C">
        <w:rPr>
          <w:lang w:val="lt-LT"/>
        </w:rPr>
        <w:t>nepurininis</w:t>
      </w:r>
      <w:proofErr w:type="spellEnd"/>
      <w:r w:rsidRPr="004A478C">
        <w:rPr>
          <w:lang w:val="lt-LT"/>
        </w:rPr>
        <w:t xml:space="preserve"> selektyvusis KO inhibitorius (NP SKOI), kurio slopinamoji </w:t>
      </w:r>
      <w:proofErr w:type="spellStart"/>
      <w:r w:rsidRPr="004A478C">
        <w:rPr>
          <w:i/>
          <w:lang w:val="lt-LT"/>
        </w:rPr>
        <w:t>Ki</w:t>
      </w:r>
      <w:proofErr w:type="spellEnd"/>
      <w:r w:rsidRPr="004A478C">
        <w:rPr>
          <w:lang w:val="lt-LT"/>
        </w:rPr>
        <w:t xml:space="preserve"> vertė </w:t>
      </w:r>
      <w:proofErr w:type="spellStart"/>
      <w:r w:rsidRPr="004A478C">
        <w:rPr>
          <w:lang w:val="lt-LT"/>
        </w:rPr>
        <w:t>in</w:t>
      </w:r>
      <w:proofErr w:type="spellEnd"/>
      <w:r w:rsidRPr="004A478C">
        <w:rPr>
          <w:lang w:val="lt-LT"/>
        </w:rPr>
        <w:t xml:space="preserve"> </w:t>
      </w:r>
      <w:proofErr w:type="spellStart"/>
      <w:r w:rsidRPr="004A478C">
        <w:rPr>
          <w:lang w:val="lt-LT"/>
        </w:rPr>
        <w:t>vitro</w:t>
      </w:r>
      <w:proofErr w:type="spellEnd"/>
      <w:r w:rsidRPr="004A478C">
        <w:rPr>
          <w:lang w:val="lt-LT"/>
        </w:rPr>
        <w:t xml:space="preserve"> yra mažesnė už vieną </w:t>
      </w:r>
      <w:proofErr w:type="spellStart"/>
      <w:r w:rsidRPr="004A478C">
        <w:rPr>
          <w:lang w:val="lt-LT"/>
        </w:rPr>
        <w:t>nanomolį</w:t>
      </w:r>
      <w:proofErr w:type="spellEnd"/>
      <w:r w:rsidRPr="004A478C">
        <w:rPr>
          <w:lang w:val="lt-LT"/>
        </w:rPr>
        <w:t xml:space="preserve">. Nustatyta, kad </w:t>
      </w:r>
      <w:proofErr w:type="spellStart"/>
      <w:r w:rsidRPr="004A478C">
        <w:rPr>
          <w:lang w:val="lt-LT"/>
        </w:rPr>
        <w:t>febuksostatas</w:t>
      </w:r>
      <w:proofErr w:type="spellEnd"/>
      <w:r w:rsidRPr="004A478C">
        <w:rPr>
          <w:lang w:val="lt-LT"/>
        </w:rPr>
        <w:t xml:space="preserve"> stipriai slopina abi KO formas: oksiduotąją ir redukuotąją. Terapinės </w:t>
      </w:r>
      <w:proofErr w:type="spellStart"/>
      <w:r w:rsidRPr="004A478C">
        <w:rPr>
          <w:lang w:val="lt-LT"/>
        </w:rPr>
        <w:t>febuksostato</w:t>
      </w:r>
      <w:proofErr w:type="spellEnd"/>
      <w:r w:rsidRPr="004A478C">
        <w:rPr>
          <w:lang w:val="lt-LT"/>
        </w:rPr>
        <w:t xml:space="preserve"> koncentracijos neslopina kitų purino arba </w:t>
      </w:r>
      <w:proofErr w:type="spellStart"/>
      <w:r w:rsidRPr="004A478C">
        <w:rPr>
          <w:lang w:val="lt-LT"/>
        </w:rPr>
        <w:t>pirimidino</w:t>
      </w:r>
      <w:proofErr w:type="spellEnd"/>
      <w:r w:rsidRPr="004A478C">
        <w:rPr>
          <w:lang w:val="lt-LT"/>
        </w:rPr>
        <w:t xml:space="preserve"> metabolizme dalyvaujančių fermentų: </w:t>
      </w:r>
      <w:proofErr w:type="spellStart"/>
      <w:r w:rsidRPr="004A478C">
        <w:rPr>
          <w:lang w:val="lt-LT"/>
        </w:rPr>
        <w:t>guanino</w:t>
      </w:r>
      <w:proofErr w:type="spellEnd"/>
      <w:r w:rsidRPr="004A478C">
        <w:rPr>
          <w:lang w:val="lt-LT"/>
        </w:rPr>
        <w:t xml:space="preserve"> </w:t>
      </w:r>
      <w:proofErr w:type="spellStart"/>
      <w:r w:rsidRPr="004A478C">
        <w:rPr>
          <w:lang w:val="lt-LT"/>
        </w:rPr>
        <w:t>deaminazės</w:t>
      </w:r>
      <w:proofErr w:type="spellEnd"/>
      <w:r w:rsidRPr="004A478C">
        <w:rPr>
          <w:lang w:val="lt-LT"/>
        </w:rPr>
        <w:t xml:space="preserve">, </w:t>
      </w:r>
      <w:proofErr w:type="spellStart"/>
      <w:r w:rsidRPr="004A478C">
        <w:rPr>
          <w:lang w:val="lt-LT"/>
        </w:rPr>
        <w:t>hipoksantinguanino</w:t>
      </w:r>
      <w:proofErr w:type="spellEnd"/>
      <w:r w:rsidRPr="004A478C">
        <w:rPr>
          <w:lang w:val="lt-LT"/>
        </w:rPr>
        <w:t xml:space="preserve"> </w:t>
      </w:r>
      <w:proofErr w:type="spellStart"/>
      <w:r w:rsidRPr="004A478C">
        <w:rPr>
          <w:lang w:val="lt-LT"/>
        </w:rPr>
        <w:t>fosforiboziltransferazės</w:t>
      </w:r>
      <w:proofErr w:type="spellEnd"/>
      <w:r w:rsidRPr="004A478C">
        <w:rPr>
          <w:lang w:val="lt-LT"/>
        </w:rPr>
        <w:t xml:space="preserve">, </w:t>
      </w:r>
      <w:proofErr w:type="spellStart"/>
      <w:r w:rsidRPr="004A478C">
        <w:rPr>
          <w:lang w:val="lt-LT"/>
        </w:rPr>
        <w:t>orotato</w:t>
      </w:r>
      <w:proofErr w:type="spellEnd"/>
      <w:r w:rsidRPr="004A478C">
        <w:rPr>
          <w:lang w:val="lt-LT"/>
        </w:rPr>
        <w:t xml:space="preserve"> </w:t>
      </w:r>
      <w:proofErr w:type="spellStart"/>
      <w:r w:rsidRPr="004A478C">
        <w:rPr>
          <w:lang w:val="lt-LT"/>
        </w:rPr>
        <w:t>fosforiboziltransferazės</w:t>
      </w:r>
      <w:proofErr w:type="spellEnd"/>
      <w:r w:rsidRPr="004A478C">
        <w:rPr>
          <w:lang w:val="lt-LT"/>
        </w:rPr>
        <w:t xml:space="preserve">, </w:t>
      </w:r>
      <w:proofErr w:type="spellStart"/>
      <w:r w:rsidRPr="004A478C">
        <w:rPr>
          <w:lang w:val="lt-LT"/>
        </w:rPr>
        <w:t>orotidino</w:t>
      </w:r>
      <w:proofErr w:type="spellEnd"/>
      <w:r w:rsidRPr="004A478C">
        <w:rPr>
          <w:lang w:val="lt-LT"/>
        </w:rPr>
        <w:t xml:space="preserve"> </w:t>
      </w:r>
      <w:proofErr w:type="spellStart"/>
      <w:r w:rsidRPr="004A478C">
        <w:rPr>
          <w:lang w:val="lt-LT"/>
        </w:rPr>
        <w:t>monofosfato</w:t>
      </w:r>
      <w:proofErr w:type="spellEnd"/>
      <w:r w:rsidRPr="004A478C">
        <w:rPr>
          <w:lang w:val="lt-LT"/>
        </w:rPr>
        <w:t xml:space="preserve"> </w:t>
      </w:r>
      <w:proofErr w:type="spellStart"/>
      <w:r w:rsidRPr="004A478C">
        <w:rPr>
          <w:lang w:val="lt-LT"/>
        </w:rPr>
        <w:t>dekarboksilazės</w:t>
      </w:r>
      <w:proofErr w:type="spellEnd"/>
      <w:r w:rsidRPr="004A478C">
        <w:rPr>
          <w:lang w:val="lt-LT"/>
        </w:rPr>
        <w:t xml:space="preserve"> arba purino </w:t>
      </w:r>
      <w:proofErr w:type="spellStart"/>
      <w:r w:rsidRPr="004A478C">
        <w:rPr>
          <w:lang w:val="lt-LT"/>
        </w:rPr>
        <w:t>nukleozido</w:t>
      </w:r>
      <w:proofErr w:type="spellEnd"/>
      <w:r w:rsidRPr="004A478C">
        <w:rPr>
          <w:lang w:val="lt-LT"/>
        </w:rPr>
        <w:t xml:space="preserve"> </w:t>
      </w:r>
      <w:proofErr w:type="spellStart"/>
      <w:r w:rsidRPr="004A478C">
        <w:rPr>
          <w:lang w:val="lt-LT"/>
        </w:rPr>
        <w:t>fosforilazės</w:t>
      </w:r>
      <w:proofErr w:type="spellEnd"/>
      <w:r w:rsidRPr="004A478C">
        <w:rPr>
          <w:lang w:val="lt-LT"/>
        </w:rPr>
        <w:t xml:space="preserve">. </w:t>
      </w:r>
    </w:p>
    <w:p w14:paraId="7E6095F2" w14:textId="77777777" w:rsidR="00273470" w:rsidRPr="004A478C" w:rsidRDefault="00273470" w:rsidP="003B28E4">
      <w:pPr>
        <w:tabs>
          <w:tab w:val="left" w:pos="4680"/>
        </w:tabs>
        <w:spacing w:line="240" w:lineRule="auto"/>
        <w:rPr>
          <w:lang w:val="lt-LT"/>
        </w:rPr>
      </w:pPr>
      <w:r w:rsidRPr="004A478C">
        <w:rPr>
          <w:lang w:val="lt-LT"/>
        </w:rPr>
        <w:lastRenderedPageBreak/>
        <w:t xml:space="preserve">  </w:t>
      </w:r>
    </w:p>
    <w:p w14:paraId="5A657287" w14:textId="77777777" w:rsidR="00273470" w:rsidRPr="004A478C" w:rsidRDefault="00273470" w:rsidP="003B28E4">
      <w:pPr>
        <w:pStyle w:val="Antrat3"/>
        <w:tabs>
          <w:tab w:val="left" w:pos="4680"/>
        </w:tabs>
        <w:spacing w:before="0" w:after="0" w:line="240" w:lineRule="auto"/>
        <w:ind w:left="-5"/>
        <w:rPr>
          <w:rFonts w:ascii="Times New Roman" w:hAnsi="Times New Roman"/>
          <w:sz w:val="22"/>
          <w:lang w:val="lt-LT"/>
        </w:rPr>
      </w:pPr>
      <w:r w:rsidRPr="004A478C">
        <w:rPr>
          <w:rFonts w:ascii="Times New Roman" w:hAnsi="Times New Roman"/>
          <w:b w:val="0"/>
          <w:sz w:val="22"/>
          <w:u w:val="single" w:color="000000"/>
          <w:lang w:val="lt-LT"/>
        </w:rPr>
        <w:t>Klinikinis veiksmingumas ir saugumas</w:t>
      </w:r>
      <w:r w:rsidRPr="004A478C">
        <w:rPr>
          <w:rFonts w:ascii="Times New Roman" w:hAnsi="Times New Roman"/>
          <w:b w:val="0"/>
          <w:sz w:val="22"/>
          <w:lang w:val="lt-LT"/>
        </w:rPr>
        <w:t xml:space="preserve"> </w:t>
      </w:r>
    </w:p>
    <w:p w14:paraId="00E78A93" w14:textId="77777777" w:rsidR="00273470" w:rsidRPr="004A478C" w:rsidRDefault="00273470" w:rsidP="003B28E4">
      <w:pPr>
        <w:tabs>
          <w:tab w:val="left" w:pos="4680"/>
        </w:tabs>
        <w:spacing w:line="240" w:lineRule="auto"/>
        <w:rPr>
          <w:lang w:val="lt-LT"/>
        </w:rPr>
      </w:pPr>
      <w:r w:rsidRPr="004A478C">
        <w:rPr>
          <w:lang w:val="lt-LT"/>
        </w:rPr>
        <w:t xml:space="preserve"> </w:t>
      </w:r>
    </w:p>
    <w:p w14:paraId="4DBBE199" w14:textId="77777777" w:rsidR="00273470" w:rsidRPr="004A478C" w:rsidRDefault="00273470" w:rsidP="003B28E4">
      <w:pPr>
        <w:tabs>
          <w:tab w:val="left" w:pos="4680"/>
        </w:tabs>
        <w:spacing w:line="240" w:lineRule="auto"/>
        <w:ind w:left="-5"/>
        <w:rPr>
          <w:lang w:val="lt-LT"/>
        </w:rPr>
      </w:pPr>
      <w:r w:rsidRPr="004A478C">
        <w:rPr>
          <w:i/>
          <w:lang w:val="lt-LT"/>
        </w:rPr>
        <w:t xml:space="preserve">Podagra </w:t>
      </w:r>
    </w:p>
    <w:p w14:paraId="3BCA8D44" w14:textId="0F37A692" w:rsidR="00273470" w:rsidRPr="004A478C" w:rsidRDefault="00D324C3" w:rsidP="003B28E4">
      <w:pPr>
        <w:tabs>
          <w:tab w:val="left" w:pos="4680"/>
        </w:tabs>
        <w:spacing w:line="240" w:lineRule="auto"/>
        <w:ind w:left="2" w:right="397"/>
        <w:rPr>
          <w:lang w:val="lt-LT"/>
        </w:rPr>
      </w:pPr>
      <w:proofErr w:type="spellStart"/>
      <w:r w:rsidRPr="004A478C">
        <w:rPr>
          <w:lang w:val="lt-LT"/>
        </w:rPr>
        <w:t>Febuksostato</w:t>
      </w:r>
      <w:proofErr w:type="spellEnd"/>
      <w:r w:rsidRPr="004A478C">
        <w:rPr>
          <w:lang w:val="lt-LT"/>
        </w:rPr>
        <w:t xml:space="preserve"> </w:t>
      </w:r>
      <w:r w:rsidR="00273470" w:rsidRPr="004A478C">
        <w:rPr>
          <w:lang w:val="lt-LT"/>
        </w:rPr>
        <w:t xml:space="preserve">veiksmingumas nustatytas 3 fazės </w:t>
      </w:r>
      <w:r w:rsidR="008A265E" w:rsidRPr="004A478C">
        <w:rPr>
          <w:lang w:val="lt-LT"/>
        </w:rPr>
        <w:t>trijų</w:t>
      </w:r>
      <w:r w:rsidR="003D0095" w:rsidRPr="004A478C">
        <w:rPr>
          <w:lang w:val="lt-LT"/>
        </w:rPr>
        <w:t xml:space="preserve"> </w:t>
      </w:r>
      <w:r w:rsidR="00273470" w:rsidRPr="004A478C">
        <w:rPr>
          <w:lang w:val="lt-LT"/>
        </w:rPr>
        <w:t>pagrindinių tyrimų (</w:t>
      </w:r>
      <w:r w:rsidR="008A265E" w:rsidRPr="004A478C">
        <w:rPr>
          <w:lang w:val="lt-LT"/>
        </w:rPr>
        <w:t>du</w:t>
      </w:r>
      <w:r w:rsidR="003D0095" w:rsidRPr="004A478C">
        <w:rPr>
          <w:lang w:val="lt-LT"/>
        </w:rPr>
        <w:t xml:space="preserve"> </w:t>
      </w:r>
      <w:r w:rsidR="00273470" w:rsidRPr="004A478C">
        <w:rPr>
          <w:lang w:val="lt-LT"/>
        </w:rPr>
        <w:t xml:space="preserve">pagrindiniai APEX ir FACT tyrimai, papildomas CONFIRMS tyrimas aprašyti žemiau) metu, kuriuose dalyvavo 4101 pacientas, sergantis </w:t>
      </w:r>
      <w:proofErr w:type="spellStart"/>
      <w:r w:rsidR="00273470" w:rsidRPr="004A478C">
        <w:rPr>
          <w:lang w:val="lt-LT"/>
        </w:rPr>
        <w:t>hiperurikemija</w:t>
      </w:r>
      <w:proofErr w:type="spellEnd"/>
      <w:r w:rsidR="00273470" w:rsidRPr="004A478C">
        <w:rPr>
          <w:lang w:val="lt-LT"/>
        </w:rPr>
        <w:t xml:space="preserve"> ir podagra. Abiejų pagrindinių 3 fazės tyrimų metu nustatyta, kad </w:t>
      </w:r>
      <w:proofErr w:type="spellStart"/>
      <w:r w:rsidRPr="004A478C">
        <w:rPr>
          <w:lang w:val="lt-LT"/>
        </w:rPr>
        <w:t>febuksostatas</w:t>
      </w:r>
      <w:proofErr w:type="spellEnd"/>
      <w:r w:rsidRPr="004A478C">
        <w:rPr>
          <w:lang w:val="lt-LT"/>
        </w:rPr>
        <w:t xml:space="preserve"> </w:t>
      </w:r>
      <w:r w:rsidR="00273470" w:rsidRPr="004A478C">
        <w:rPr>
          <w:lang w:val="lt-LT"/>
        </w:rPr>
        <w:t xml:space="preserve">geriau sumažina ir palaiko šlapimo rūgšties kiekį serume, lyginant su </w:t>
      </w:r>
      <w:proofErr w:type="spellStart"/>
      <w:r w:rsidR="00273470" w:rsidRPr="004A478C">
        <w:rPr>
          <w:lang w:val="lt-LT"/>
        </w:rPr>
        <w:t>alopurinoliu</w:t>
      </w:r>
      <w:proofErr w:type="spellEnd"/>
      <w:r w:rsidR="00273470" w:rsidRPr="004A478C">
        <w:rPr>
          <w:lang w:val="lt-LT"/>
        </w:rPr>
        <w:t>. Pagrindinė veiksmingumo vertinamoji baigtis APEX ir FACT tyrimuose buvo pacientų santykis, kuriems ne mažiau kaip per 3 kasmėnesinius vizitus šlapimo rūgšties kiekis serume buvo &lt; 6,0</w:t>
      </w:r>
      <w:r w:rsidR="00E87295" w:rsidRPr="004A478C">
        <w:rPr>
          <w:lang w:val="lt-LT"/>
        </w:rPr>
        <w:t> mg</w:t>
      </w:r>
      <w:r w:rsidR="00273470" w:rsidRPr="004A478C">
        <w:rPr>
          <w:lang w:val="lt-LT"/>
        </w:rPr>
        <w:t>/dl (357 µ</w:t>
      </w:r>
      <w:proofErr w:type="spellStart"/>
      <w:r w:rsidR="00273470" w:rsidRPr="004A478C">
        <w:rPr>
          <w:lang w:val="lt-LT"/>
        </w:rPr>
        <w:t>mol</w:t>
      </w:r>
      <w:proofErr w:type="spellEnd"/>
      <w:r w:rsidR="00273470" w:rsidRPr="004A478C">
        <w:rPr>
          <w:lang w:val="lt-LT"/>
        </w:rPr>
        <w:t xml:space="preserve">/l). Papildomo 3 fazės CONFIRMS tyrimo, kurio rezultatai gauti po </w:t>
      </w:r>
      <w:proofErr w:type="spellStart"/>
      <w:r w:rsidRPr="004A478C">
        <w:rPr>
          <w:lang w:val="lt-LT"/>
        </w:rPr>
        <w:t>febuksostato</w:t>
      </w:r>
      <w:proofErr w:type="spellEnd"/>
      <w:r w:rsidRPr="004A478C">
        <w:rPr>
          <w:lang w:val="lt-LT"/>
        </w:rPr>
        <w:t xml:space="preserve"> </w:t>
      </w:r>
      <w:r w:rsidR="00273470" w:rsidRPr="004A478C">
        <w:rPr>
          <w:lang w:val="lt-LT"/>
        </w:rPr>
        <w:t>registracijos buvo pirmą kartą paskelbti, pagrindinė veiksmingumo vertinamoji baigtis buvo pacientų dalis, kurių kraujo serume šlapimo rūgšties koncentracija paskutinio vizito metu buvo &lt;6,0</w:t>
      </w:r>
      <w:r w:rsidR="00E87295" w:rsidRPr="004A478C">
        <w:rPr>
          <w:lang w:val="lt-LT"/>
        </w:rPr>
        <w:t> mg</w:t>
      </w:r>
      <w:r w:rsidR="00273470" w:rsidRPr="004A478C">
        <w:rPr>
          <w:lang w:val="lt-LT"/>
        </w:rPr>
        <w:t>/dl. Šiuose tyrimuose nedalyvavo pacientai, kuriems persodinti organai (</w:t>
      </w:r>
      <w:proofErr w:type="spellStart"/>
      <w:r w:rsidR="00273470" w:rsidRPr="004A478C">
        <w:rPr>
          <w:lang w:val="lt-LT"/>
        </w:rPr>
        <w:t>žr</w:t>
      </w:r>
      <w:proofErr w:type="spellEnd"/>
      <w:r w:rsidR="00273470" w:rsidRPr="004A478C">
        <w:rPr>
          <w:lang w:val="lt-LT"/>
        </w:rPr>
        <w:t xml:space="preserve"> 4.2 skyrių). </w:t>
      </w:r>
    </w:p>
    <w:p w14:paraId="649A311C" w14:textId="77777777" w:rsidR="00273470" w:rsidRPr="004A478C" w:rsidRDefault="00273470" w:rsidP="003B28E4">
      <w:pPr>
        <w:tabs>
          <w:tab w:val="left" w:pos="4680"/>
        </w:tabs>
        <w:spacing w:line="240" w:lineRule="auto"/>
        <w:rPr>
          <w:lang w:val="lt-LT"/>
        </w:rPr>
      </w:pPr>
      <w:r w:rsidRPr="004A478C">
        <w:rPr>
          <w:lang w:val="lt-LT"/>
        </w:rPr>
        <w:t xml:space="preserve"> </w:t>
      </w:r>
    </w:p>
    <w:p w14:paraId="0A5ADCFC" w14:textId="24C07E09" w:rsidR="00273470" w:rsidRPr="004A478C" w:rsidRDefault="00273470" w:rsidP="003B28E4">
      <w:pPr>
        <w:tabs>
          <w:tab w:val="left" w:pos="4680"/>
        </w:tabs>
        <w:spacing w:line="240" w:lineRule="auto"/>
        <w:ind w:left="2" w:right="397"/>
        <w:rPr>
          <w:lang w:val="lt-LT"/>
        </w:rPr>
      </w:pPr>
      <w:r w:rsidRPr="004A478C">
        <w:rPr>
          <w:lang w:val="lt-LT"/>
        </w:rPr>
        <w:t xml:space="preserve">APEX tyrimas: </w:t>
      </w:r>
      <w:proofErr w:type="spellStart"/>
      <w:r w:rsidRPr="004A478C">
        <w:rPr>
          <w:lang w:val="lt-LT"/>
        </w:rPr>
        <w:t>alopurinolio</w:t>
      </w:r>
      <w:proofErr w:type="spellEnd"/>
      <w:r w:rsidRPr="004A478C">
        <w:rPr>
          <w:lang w:val="lt-LT"/>
        </w:rPr>
        <w:t xml:space="preserve"> ir placebo kontroliuojamas </w:t>
      </w:r>
      <w:proofErr w:type="spellStart"/>
      <w:r w:rsidRPr="004A478C">
        <w:rPr>
          <w:lang w:val="lt-LT"/>
        </w:rPr>
        <w:t>febuksostato</w:t>
      </w:r>
      <w:proofErr w:type="spellEnd"/>
      <w:r w:rsidRPr="004A478C">
        <w:rPr>
          <w:lang w:val="lt-LT"/>
        </w:rPr>
        <w:t xml:space="preserve"> veiksmingumo tyrimas (angl. </w:t>
      </w:r>
      <w:proofErr w:type="spellStart"/>
      <w:r w:rsidRPr="004A478C">
        <w:rPr>
          <w:i/>
          <w:lang w:val="lt-LT"/>
        </w:rPr>
        <w:t>Allopurinol</w:t>
      </w:r>
      <w:proofErr w:type="spellEnd"/>
      <w:r w:rsidRPr="004A478C">
        <w:rPr>
          <w:i/>
          <w:lang w:val="lt-LT"/>
        </w:rPr>
        <w:t xml:space="preserve"> </w:t>
      </w:r>
      <w:proofErr w:type="spellStart"/>
      <w:r w:rsidRPr="004A478C">
        <w:rPr>
          <w:i/>
          <w:lang w:val="lt-LT"/>
        </w:rPr>
        <w:t>and</w:t>
      </w:r>
      <w:proofErr w:type="spellEnd"/>
      <w:r w:rsidRPr="004A478C">
        <w:rPr>
          <w:i/>
          <w:lang w:val="lt-LT"/>
        </w:rPr>
        <w:t xml:space="preserve"> Placebo-</w:t>
      </w:r>
      <w:proofErr w:type="spellStart"/>
      <w:r w:rsidRPr="004A478C">
        <w:rPr>
          <w:i/>
          <w:lang w:val="lt-LT"/>
        </w:rPr>
        <w:t>Controlled</w:t>
      </w:r>
      <w:proofErr w:type="spellEnd"/>
      <w:r w:rsidRPr="004A478C">
        <w:rPr>
          <w:i/>
          <w:lang w:val="lt-LT"/>
        </w:rPr>
        <w:t xml:space="preserve"> </w:t>
      </w:r>
      <w:proofErr w:type="spellStart"/>
      <w:r w:rsidRPr="004A478C">
        <w:rPr>
          <w:i/>
          <w:lang w:val="lt-LT"/>
        </w:rPr>
        <w:t>Efficacy</w:t>
      </w:r>
      <w:proofErr w:type="spellEnd"/>
      <w:r w:rsidRPr="004A478C">
        <w:rPr>
          <w:i/>
          <w:lang w:val="lt-LT"/>
        </w:rPr>
        <w:t xml:space="preserve"> </w:t>
      </w:r>
      <w:proofErr w:type="spellStart"/>
      <w:r w:rsidRPr="004A478C">
        <w:rPr>
          <w:i/>
          <w:lang w:val="lt-LT"/>
        </w:rPr>
        <w:t>Study</w:t>
      </w:r>
      <w:proofErr w:type="spellEnd"/>
      <w:r w:rsidRPr="004A478C">
        <w:rPr>
          <w:i/>
          <w:lang w:val="lt-LT"/>
        </w:rPr>
        <w:t xml:space="preserve"> </w:t>
      </w:r>
      <w:proofErr w:type="spellStart"/>
      <w:r w:rsidRPr="004A478C">
        <w:rPr>
          <w:i/>
          <w:lang w:val="lt-LT"/>
        </w:rPr>
        <w:t>of</w:t>
      </w:r>
      <w:proofErr w:type="spellEnd"/>
      <w:r w:rsidRPr="004A478C">
        <w:rPr>
          <w:i/>
          <w:lang w:val="lt-LT"/>
        </w:rPr>
        <w:t xml:space="preserve"> </w:t>
      </w:r>
      <w:proofErr w:type="spellStart"/>
      <w:r w:rsidRPr="004A478C">
        <w:rPr>
          <w:i/>
          <w:lang w:val="lt-LT"/>
        </w:rPr>
        <w:t>Febuxostat</w:t>
      </w:r>
      <w:proofErr w:type="spellEnd"/>
      <w:r w:rsidRPr="004A478C">
        <w:rPr>
          <w:lang w:val="lt-LT"/>
        </w:rPr>
        <w:t xml:space="preserve">, APEX) buvo 3 fazės, atsitiktinių imčių, dvigubai koduotas, </w:t>
      </w:r>
      <w:proofErr w:type="spellStart"/>
      <w:r w:rsidRPr="004A478C">
        <w:rPr>
          <w:lang w:val="lt-LT"/>
        </w:rPr>
        <w:t>daugiacentris</w:t>
      </w:r>
      <w:proofErr w:type="spellEnd"/>
      <w:r w:rsidRPr="004A478C">
        <w:rPr>
          <w:lang w:val="lt-LT"/>
        </w:rPr>
        <w:t xml:space="preserve">, 28 savaites trukęs tyrimas. Atsitiktinių imčių metodu į grupes buvo suskirstyti </w:t>
      </w:r>
      <w:r w:rsidR="003D0095" w:rsidRPr="004A478C">
        <w:rPr>
          <w:lang w:val="lt-LT"/>
        </w:rPr>
        <w:t>1072</w:t>
      </w:r>
      <w:r w:rsidRPr="004A478C">
        <w:rPr>
          <w:lang w:val="lt-LT"/>
        </w:rPr>
        <w:t xml:space="preserve"> pacientai: placebo grupę (n=134), </w:t>
      </w:r>
      <w:proofErr w:type="spellStart"/>
      <w:r w:rsidR="00D324C3" w:rsidRPr="004A478C">
        <w:rPr>
          <w:lang w:val="lt-LT"/>
        </w:rPr>
        <w:t>febuksostato</w:t>
      </w:r>
      <w:proofErr w:type="spellEnd"/>
      <w:r w:rsidR="00D324C3" w:rsidRPr="004A478C">
        <w:rPr>
          <w:lang w:val="lt-LT"/>
        </w:rPr>
        <w:t xml:space="preserve"> </w:t>
      </w:r>
      <w:r w:rsidRPr="004A478C">
        <w:rPr>
          <w:lang w:val="lt-LT"/>
        </w:rPr>
        <w:t>80</w:t>
      </w:r>
      <w:r w:rsidR="00E87295" w:rsidRPr="004A478C">
        <w:rPr>
          <w:lang w:val="lt-LT"/>
        </w:rPr>
        <w:t> mg</w:t>
      </w:r>
      <w:r w:rsidRPr="004A478C">
        <w:rPr>
          <w:lang w:val="lt-LT"/>
        </w:rPr>
        <w:t xml:space="preserve"> per parą grupę (n=267), </w:t>
      </w:r>
      <w:proofErr w:type="spellStart"/>
      <w:r w:rsidR="00D324C3" w:rsidRPr="004A478C">
        <w:rPr>
          <w:lang w:val="lt-LT"/>
        </w:rPr>
        <w:t>febuksostato</w:t>
      </w:r>
      <w:proofErr w:type="spellEnd"/>
      <w:r w:rsidR="00D324C3" w:rsidRPr="004A478C">
        <w:rPr>
          <w:lang w:val="lt-LT"/>
        </w:rPr>
        <w:t xml:space="preserve"> </w:t>
      </w:r>
      <w:r w:rsidRPr="004A478C">
        <w:rPr>
          <w:lang w:val="lt-LT"/>
        </w:rPr>
        <w:t>120</w:t>
      </w:r>
      <w:r w:rsidR="00E87295" w:rsidRPr="004A478C">
        <w:rPr>
          <w:lang w:val="lt-LT"/>
        </w:rPr>
        <w:t> mg</w:t>
      </w:r>
      <w:r w:rsidRPr="004A478C">
        <w:rPr>
          <w:lang w:val="lt-LT"/>
        </w:rPr>
        <w:t xml:space="preserve"> per parą grupę (n=269), </w:t>
      </w:r>
      <w:proofErr w:type="spellStart"/>
      <w:r w:rsidR="00D324C3" w:rsidRPr="004A478C">
        <w:rPr>
          <w:lang w:val="lt-LT"/>
        </w:rPr>
        <w:t>febuksostato</w:t>
      </w:r>
      <w:proofErr w:type="spellEnd"/>
      <w:r w:rsidR="00D324C3" w:rsidRPr="004A478C">
        <w:rPr>
          <w:lang w:val="lt-LT"/>
        </w:rPr>
        <w:t xml:space="preserve"> </w:t>
      </w:r>
      <w:r w:rsidRPr="004A478C">
        <w:rPr>
          <w:lang w:val="lt-LT"/>
        </w:rPr>
        <w:t>240</w:t>
      </w:r>
      <w:r w:rsidR="00E87295" w:rsidRPr="004A478C">
        <w:rPr>
          <w:lang w:val="lt-LT"/>
        </w:rPr>
        <w:t> mg</w:t>
      </w:r>
      <w:r w:rsidRPr="004A478C">
        <w:rPr>
          <w:lang w:val="lt-LT"/>
        </w:rPr>
        <w:t xml:space="preserve"> per parą (n=134) arba </w:t>
      </w:r>
      <w:proofErr w:type="spellStart"/>
      <w:r w:rsidRPr="004A478C">
        <w:rPr>
          <w:lang w:val="lt-LT"/>
        </w:rPr>
        <w:t>alopurinolio</w:t>
      </w:r>
      <w:proofErr w:type="spellEnd"/>
      <w:r w:rsidRPr="004A478C">
        <w:rPr>
          <w:lang w:val="lt-LT"/>
        </w:rPr>
        <w:t xml:space="preserve"> grupę (300</w:t>
      </w:r>
      <w:r w:rsidR="00E87295" w:rsidRPr="004A478C">
        <w:rPr>
          <w:lang w:val="lt-LT"/>
        </w:rPr>
        <w:t> mg</w:t>
      </w:r>
      <w:r w:rsidRPr="004A478C">
        <w:rPr>
          <w:lang w:val="lt-LT"/>
        </w:rPr>
        <w:t xml:space="preserve"> per parą, (n=258) buvo skiriama pacientams, kurių pradinis kreatinino kiekis serume buvo </w:t>
      </w:r>
      <w:r w:rsidR="00D324C3" w:rsidRPr="004A478C">
        <w:rPr>
          <w:rFonts w:eastAsia="Segoe UI Symbol"/>
          <w:lang w:val="lt-LT"/>
        </w:rPr>
        <w:t>≤</w:t>
      </w:r>
      <w:r w:rsidRPr="004A478C">
        <w:rPr>
          <w:lang w:val="lt-LT"/>
        </w:rPr>
        <w:t>1,5</w:t>
      </w:r>
      <w:r w:rsidR="00E87295" w:rsidRPr="004A478C">
        <w:rPr>
          <w:lang w:val="lt-LT"/>
        </w:rPr>
        <w:t> mg</w:t>
      </w:r>
      <w:r w:rsidRPr="004A478C">
        <w:rPr>
          <w:lang w:val="lt-LT"/>
        </w:rPr>
        <w:t>/dl, o 100</w:t>
      </w:r>
      <w:r w:rsidR="00E87295" w:rsidRPr="004A478C">
        <w:rPr>
          <w:lang w:val="lt-LT"/>
        </w:rPr>
        <w:t> mg</w:t>
      </w:r>
      <w:r w:rsidRPr="004A478C">
        <w:rPr>
          <w:lang w:val="lt-LT"/>
        </w:rPr>
        <w:t xml:space="preserve"> per parą [n=10] buvo skiriama pacientams, kurių pradinis kreatinino kiekis serume buvo &gt; 1,5</w:t>
      </w:r>
      <w:r w:rsidR="00E87295" w:rsidRPr="004A478C">
        <w:rPr>
          <w:lang w:val="lt-LT"/>
        </w:rPr>
        <w:t> mg</w:t>
      </w:r>
      <w:r w:rsidRPr="004A478C">
        <w:rPr>
          <w:lang w:val="lt-LT"/>
        </w:rPr>
        <w:t xml:space="preserve">/dl, bet </w:t>
      </w:r>
      <w:r w:rsidR="00D324C3" w:rsidRPr="004A478C">
        <w:rPr>
          <w:rFonts w:eastAsia="Segoe UI Symbol"/>
          <w:lang w:val="lt-LT"/>
        </w:rPr>
        <w:t>≤</w:t>
      </w:r>
      <w:r w:rsidRPr="004A478C">
        <w:rPr>
          <w:lang w:val="lt-LT"/>
        </w:rPr>
        <w:t>2,0</w:t>
      </w:r>
      <w:r w:rsidR="00E87295" w:rsidRPr="004A478C">
        <w:rPr>
          <w:lang w:val="lt-LT"/>
        </w:rPr>
        <w:t> mg</w:t>
      </w:r>
      <w:r w:rsidRPr="004A478C">
        <w:rPr>
          <w:lang w:val="lt-LT"/>
        </w:rPr>
        <w:t xml:space="preserve">/dl). Kaip saugumo įvertinimo dozė buvo naudojama </w:t>
      </w:r>
      <w:r w:rsidR="003D0095" w:rsidRPr="004A478C">
        <w:rPr>
          <w:lang w:val="lt-LT"/>
        </w:rPr>
        <w:t>240</w:t>
      </w:r>
      <w:r w:rsidRPr="004A478C">
        <w:rPr>
          <w:lang w:val="lt-LT"/>
        </w:rPr>
        <w:t xml:space="preserve"> mg </w:t>
      </w:r>
      <w:proofErr w:type="spellStart"/>
      <w:r w:rsidRPr="004A478C">
        <w:rPr>
          <w:lang w:val="lt-LT"/>
        </w:rPr>
        <w:t>febuksostato</w:t>
      </w:r>
      <w:proofErr w:type="spellEnd"/>
      <w:r w:rsidRPr="004A478C">
        <w:rPr>
          <w:lang w:val="lt-LT"/>
        </w:rPr>
        <w:t xml:space="preserve"> dozė (dukart didesnė už rekomenduojamą maksimalią dozę). </w:t>
      </w:r>
    </w:p>
    <w:p w14:paraId="5ADC72E8" w14:textId="77777777" w:rsidR="00273470" w:rsidRPr="004A478C" w:rsidRDefault="00273470" w:rsidP="003B28E4">
      <w:pPr>
        <w:tabs>
          <w:tab w:val="left" w:pos="4680"/>
        </w:tabs>
        <w:spacing w:line="240" w:lineRule="auto"/>
        <w:rPr>
          <w:lang w:val="lt-LT"/>
        </w:rPr>
      </w:pPr>
      <w:r w:rsidRPr="004A478C">
        <w:rPr>
          <w:lang w:val="lt-LT"/>
        </w:rPr>
        <w:t xml:space="preserve"> </w:t>
      </w:r>
    </w:p>
    <w:p w14:paraId="5631136F" w14:textId="77777777" w:rsidR="00273470" w:rsidRPr="004A478C" w:rsidRDefault="00273470" w:rsidP="003B28E4">
      <w:pPr>
        <w:tabs>
          <w:tab w:val="left" w:pos="4680"/>
        </w:tabs>
        <w:spacing w:line="240" w:lineRule="auto"/>
        <w:ind w:left="2" w:right="397"/>
        <w:rPr>
          <w:lang w:val="lt-LT"/>
        </w:rPr>
      </w:pPr>
      <w:r w:rsidRPr="004A478C">
        <w:rPr>
          <w:lang w:val="lt-LT"/>
        </w:rPr>
        <w:t xml:space="preserve">APEX tyrimo metu nustatytas statistiškai reikšmingas gydymo abiem </w:t>
      </w:r>
      <w:proofErr w:type="spellStart"/>
      <w:r w:rsidR="00D324C3" w:rsidRPr="004A478C">
        <w:rPr>
          <w:lang w:val="lt-LT"/>
        </w:rPr>
        <w:t>febuksostato</w:t>
      </w:r>
      <w:proofErr w:type="spellEnd"/>
      <w:r w:rsidR="00D324C3" w:rsidRPr="004A478C">
        <w:rPr>
          <w:lang w:val="lt-LT"/>
        </w:rPr>
        <w:t xml:space="preserve"> (</w:t>
      </w:r>
      <w:r w:rsidRPr="004A478C">
        <w:rPr>
          <w:lang w:val="lt-LT"/>
        </w:rPr>
        <w:t>80</w:t>
      </w:r>
      <w:r w:rsidR="00E87295" w:rsidRPr="004A478C">
        <w:rPr>
          <w:lang w:val="lt-LT"/>
        </w:rPr>
        <w:t> mg</w:t>
      </w:r>
      <w:r w:rsidRPr="004A478C">
        <w:rPr>
          <w:lang w:val="lt-LT"/>
        </w:rPr>
        <w:t xml:space="preserve"> per parą ir120</w:t>
      </w:r>
      <w:r w:rsidR="00E87295" w:rsidRPr="004A478C">
        <w:rPr>
          <w:lang w:val="lt-LT"/>
        </w:rPr>
        <w:t> mg</w:t>
      </w:r>
      <w:r w:rsidRPr="004A478C">
        <w:rPr>
          <w:lang w:val="lt-LT"/>
        </w:rPr>
        <w:t xml:space="preserve"> per parą</w:t>
      </w:r>
      <w:r w:rsidR="00D324C3" w:rsidRPr="004A478C">
        <w:rPr>
          <w:lang w:val="lt-LT"/>
        </w:rPr>
        <w:t>)</w:t>
      </w:r>
      <w:r w:rsidRPr="004A478C">
        <w:rPr>
          <w:lang w:val="lt-LT"/>
        </w:rPr>
        <w:t xml:space="preserve"> dozėmis pranašumas palyginus su tradiciniu gydymu </w:t>
      </w:r>
      <w:proofErr w:type="spellStart"/>
      <w:r w:rsidRPr="004A478C">
        <w:rPr>
          <w:lang w:val="lt-LT"/>
        </w:rPr>
        <w:t>alopurinolio</w:t>
      </w:r>
      <w:proofErr w:type="spellEnd"/>
      <w:r w:rsidRPr="004A478C">
        <w:rPr>
          <w:lang w:val="lt-LT"/>
        </w:rPr>
        <w:t xml:space="preserve"> 300</w:t>
      </w:r>
      <w:r w:rsidR="00E87295" w:rsidRPr="004A478C">
        <w:rPr>
          <w:lang w:val="lt-LT"/>
        </w:rPr>
        <w:t> mg</w:t>
      </w:r>
      <w:r w:rsidRPr="004A478C">
        <w:rPr>
          <w:lang w:val="lt-LT"/>
        </w:rPr>
        <w:t xml:space="preserve"> (n=258) </w:t>
      </w:r>
      <w:r w:rsidR="00D324C3" w:rsidRPr="004A478C">
        <w:rPr>
          <w:lang w:val="lt-LT"/>
        </w:rPr>
        <w:t xml:space="preserve">arba </w:t>
      </w:r>
      <w:r w:rsidRPr="004A478C">
        <w:rPr>
          <w:lang w:val="lt-LT"/>
        </w:rPr>
        <w:t>100</w:t>
      </w:r>
      <w:r w:rsidR="00E87295" w:rsidRPr="004A478C">
        <w:rPr>
          <w:lang w:val="lt-LT"/>
        </w:rPr>
        <w:t> mg</w:t>
      </w:r>
      <w:r w:rsidRPr="004A478C">
        <w:rPr>
          <w:lang w:val="lt-LT"/>
        </w:rPr>
        <w:t xml:space="preserve"> (n=10) dozėmis, sumažinant šlapimo rūgšties serume (</w:t>
      </w:r>
      <w:proofErr w:type="spellStart"/>
      <w:r w:rsidRPr="004A478C">
        <w:rPr>
          <w:lang w:val="lt-LT"/>
        </w:rPr>
        <w:t>sŠR</w:t>
      </w:r>
      <w:proofErr w:type="spellEnd"/>
      <w:r w:rsidRPr="004A478C">
        <w:rPr>
          <w:lang w:val="lt-LT"/>
        </w:rPr>
        <w:t>) kiekį žemiau 6</w:t>
      </w:r>
      <w:r w:rsidR="00E87295" w:rsidRPr="004A478C">
        <w:rPr>
          <w:lang w:val="lt-LT"/>
        </w:rPr>
        <w:t> mg</w:t>
      </w:r>
      <w:r w:rsidRPr="004A478C">
        <w:rPr>
          <w:lang w:val="lt-LT"/>
        </w:rPr>
        <w:t>/dl (357 µ</w:t>
      </w:r>
      <w:proofErr w:type="spellStart"/>
      <w:r w:rsidRPr="004A478C">
        <w:rPr>
          <w:lang w:val="lt-LT"/>
        </w:rPr>
        <w:t>mol</w:t>
      </w:r>
      <w:proofErr w:type="spellEnd"/>
      <w:r w:rsidRPr="004A478C">
        <w:rPr>
          <w:lang w:val="lt-LT"/>
        </w:rPr>
        <w:t xml:space="preserve">/l) ribos (žr. 2 lentelę ir 1 pav.). </w:t>
      </w:r>
    </w:p>
    <w:p w14:paraId="33C36B68" w14:textId="77777777" w:rsidR="00273470" w:rsidRPr="004A478C" w:rsidRDefault="00273470" w:rsidP="003B28E4">
      <w:pPr>
        <w:tabs>
          <w:tab w:val="left" w:pos="4680"/>
        </w:tabs>
        <w:spacing w:line="240" w:lineRule="auto"/>
        <w:rPr>
          <w:lang w:val="lt-LT"/>
        </w:rPr>
      </w:pPr>
      <w:r w:rsidRPr="004A478C">
        <w:rPr>
          <w:lang w:val="lt-LT"/>
        </w:rPr>
        <w:t xml:space="preserve"> </w:t>
      </w:r>
    </w:p>
    <w:p w14:paraId="6AFC45B4" w14:textId="71463778" w:rsidR="00273470" w:rsidRPr="004A478C" w:rsidRDefault="00273470" w:rsidP="003B28E4">
      <w:pPr>
        <w:tabs>
          <w:tab w:val="left" w:pos="4680"/>
        </w:tabs>
        <w:spacing w:line="240" w:lineRule="auto"/>
        <w:ind w:left="2" w:right="397"/>
        <w:rPr>
          <w:lang w:val="lt-LT"/>
        </w:rPr>
      </w:pPr>
      <w:r w:rsidRPr="004A478C">
        <w:rPr>
          <w:lang w:val="lt-LT"/>
        </w:rPr>
        <w:t xml:space="preserve">FACT tyrimas: </w:t>
      </w:r>
      <w:proofErr w:type="spellStart"/>
      <w:r w:rsidRPr="004A478C">
        <w:rPr>
          <w:lang w:val="lt-LT"/>
        </w:rPr>
        <w:t>alopurinolio</w:t>
      </w:r>
      <w:proofErr w:type="spellEnd"/>
      <w:r w:rsidRPr="004A478C">
        <w:rPr>
          <w:lang w:val="lt-LT"/>
        </w:rPr>
        <w:t xml:space="preserve"> kontroliuojamas </w:t>
      </w:r>
      <w:proofErr w:type="spellStart"/>
      <w:r w:rsidRPr="004A478C">
        <w:rPr>
          <w:lang w:val="lt-LT"/>
        </w:rPr>
        <w:t>febuksostato</w:t>
      </w:r>
      <w:proofErr w:type="spellEnd"/>
      <w:r w:rsidRPr="004A478C">
        <w:rPr>
          <w:lang w:val="lt-LT"/>
        </w:rPr>
        <w:t xml:space="preserve"> tyrimas (angl. </w:t>
      </w:r>
      <w:proofErr w:type="spellStart"/>
      <w:r w:rsidRPr="004A478C">
        <w:rPr>
          <w:i/>
          <w:lang w:val="lt-LT"/>
        </w:rPr>
        <w:t>Febuxostat</w:t>
      </w:r>
      <w:proofErr w:type="spellEnd"/>
      <w:r w:rsidRPr="004A478C">
        <w:rPr>
          <w:i/>
          <w:lang w:val="lt-LT"/>
        </w:rPr>
        <w:t xml:space="preserve"> </w:t>
      </w:r>
      <w:proofErr w:type="spellStart"/>
      <w:r w:rsidRPr="004A478C">
        <w:rPr>
          <w:i/>
          <w:lang w:val="lt-LT"/>
        </w:rPr>
        <w:t>Allopurinol</w:t>
      </w:r>
      <w:proofErr w:type="spellEnd"/>
      <w:r w:rsidRPr="004A478C">
        <w:rPr>
          <w:i/>
          <w:lang w:val="lt-LT"/>
        </w:rPr>
        <w:t xml:space="preserve"> </w:t>
      </w:r>
      <w:proofErr w:type="spellStart"/>
      <w:r w:rsidRPr="004A478C">
        <w:rPr>
          <w:i/>
          <w:lang w:val="lt-LT"/>
        </w:rPr>
        <w:t>Controlled</w:t>
      </w:r>
      <w:proofErr w:type="spellEnd"/>
      <w:r w:rsidRPr="004A478C">
        <w:rPr>
          <w:i/>
          <w:lang w:val="lt-LT"/>
        </w:rPr>
        <w:t xml:space="preserve"> </w:t>
      </w:r>
      <w:proofErr w:type="spellStart"/>
      <w:r w:rsidRPr="004A478C">
        <w:rPr>
          <w:i/>
          <w:lang w:val="lt-LT"/>
        </w:rPr>
        <w:t>Trial</w:t>
      </w:r>
      <w:proofErr w:type="spellEnd"/>
      <w:r w:rsidRPr="004A478C">
        <w:rPr>
          <w:lang w:val="lt-LT"/>
        </w:rPr>
        <w:t xml:space="preserve">, FACT) buvo 3 fazės, atsitiktinių imčių, dvigubai koduotas, </w:t>
      </w:r>
      <w:proofErr w:type="spellStart"/>
      <w:r w:rsidRPr="004A478C">
        <w:rPr>
          <w:lang w:val="lt-LT"/>
        </w:rPr>
        <w:t>daugiacentris</w:t>
      </w:r>
      <w:proofErr w:type="spellEnd"/>
      <w:r w:rsidRPr="004A478C">
        <w:rPr>
          <w:lang w:val="lt-LT"/>
        </w:rPr>
        <w:t xml:space="preserve">, 52 savaites trukęs tyrimas. Atsitiktinių imčių metodu į grupes buvo suskirstyta </w:t>
      </w:r>
      <w:r w:rsidR="003D0095" w:rsidRPr="004A478C">
        <w:rPr>
          <w:lang w:val="lt-LT"/>
        </w:rPr>
        <w:t>760</w:t>
      </w:r>
      <w:r w:rsidRPr="004A478C">
        <w:rPr>
          <w:lang w:val="lt-LT"/>
        </w:rPr>
        <w:t xml:space="preserve"> pacientų: </w:t>
      </w:r>
      <w:proofErr w:type="spellStart"/>
      <w:r w:rsidR="00D324C3" w:rsidRPr="004A478C">
        <w:rPr>
          <w:lang w:val="lt-LT"/>
        </w:rPr>
        <w:t>febuksostato</w:t>
      </w:r>
      <w:proofErr w:type="spellEnd"/>
      <w:r w:rsidR="00D324C3" w:rsidRPr="004A478C">
        <w:rPr>
          <w:lang w:val="lt-LT"/>
        </w:rPr>
        <w:t xml:space="preserve"> </w:t>
      </w:r>
      <w:r w:rsidRPr="004A478C">
        <w:rPr>
          <w:lang w:val="lt-LT"/>
        </w:rPr>
        <w:t>80</w:t>
      </w:r>
      <w:r w:rsidR="00E87295" w:rsidRPr="004A478C">
        <w:rPr>
          <w:lang w:val="lt-LT"/>
        </w:rPr>
        <w:t> mg</w:t>
      </w:r>
      <w:r w:rsidRPr="004A478C">
        <w:rPr>
          <w:lang w:val="lt-LT"/>
        </w:rPr>
        <w:t xml:space="preserve"> per parą grupę (n=256), </w:t>
      </w:r>
      <w:proofErr w:type="spellStart"/>
      <w:r w:rsidR="00D324C3" w:rsidRPr="004A478C">
        <w:rPr>
          <w:lang w:val="lt-LT"/>
        </w:rPr>
        <w:t>febuksostato</w:t>
      </w:r>
      <w:proofErr w:type="spellEnd"/>
      <w:r w:rsidRPr="004A478C">
        <w:rPr>
          <w:lang w:val="lt-LT"/>
        </w:rPr>
        <w:t xml:space="preserve"> 120</w:t>
      </w:r>
      <w:r w:rsidR="00E87295" w:rsidRPr="004A478C">
        <w:rPr>
          <w:lang w:val="lt-LT"/>
        </w:rPr>
        <w:t> mg</w:t>
      </w:r>
      <w:r w:rsidRPr="004A478C">
        <w:rPr>
          <w:lang w:val="lt-LT"/>
        </w:rPr>
        <w:t xml:space="preserve"> per parą grupę (n=251) arba </w:t>
      </w:r>
      <w:proofErr w:type="spellStart"/>
      <w:r w:rsidRPr="004A478C">
        <w:rPr>
          <w:lang w:val="lt-LT"/>
        </w:rPr>
        <w:t>alopurinolio</w:t>
      </w:r>
      <w:proofErr w:type="spellEnd"/>
      <w:r w:rsidRPr="004A478C">
        <w:rPr>
          <w:lang w:val="lt-LT"/>
        </w:rPr>
        <w:t xml:space="preserve"> 300</w:t>
      </w:r>
      <w:r w:rsidR="00E87295" w:rsidRPr="004A478C">
        <w:rPr>
          <w:lang w:val="lt-LT"/>
        </w:rPr>
        <w:t> mg</w:t>
      </w:r>
      <w:r w:rsidRPr="004A478C">
        <w:rPr>
          <w:lang w:val="lt-LT"/>
        </w:rPr>
        <w:t xml:space="preserve"> per parą grupę (n=253).  </w:t>
      </w:r>
    </w:p>
    <w:p w14:paraId="6B0AEAD2" w14:textId="77777777" w:rsidR="00273470" w:rsidRPr="004A478C" w:rsidRDefault="00273470" w:rsidP="003B28E4">
      <w:pPr>
        <w:tabs>
          <w:tab w:val="left" w:pos="4680"/>
        </w:tabs>
        <w:spacing w:line="240" w:lineRule="auto"/>
        <w:rPr>
          <w:lang w:val="lt-LT"/>
        </w:rPr>
      </w:pPr>
      <w:r w:rsidRPr="004A478C">
        <w:rPr>
          <w:lang w:val="lt-LT"/>
        </w:rPr>
        <w:t xml:space="preserve"> </w:t>
      </w:r>
    </w:p>
    <w:p w14:paraId="1CDF71CD" w14:textId="77777777" w:rsidR="00273470" w:rsidRPr="004A478C" w:rsidRDefault="00273470" w:rsidP="003B28E4">
      <w:pPr>
        <w:tabs>
          <w:tab w:val="left" w:pos="4680"/>
        </w:tabs>
        <w:spacing w:line="240" w:lineRule="auto"/>
        <w:ind w:left="2" w:right="589"/>
        <w:rPr>
          <w:lang w:val="lt-LT"/>
        </w:rPr>
      </w:pPr>
      <w:r w:rsidRPr="004A478C">
        <w:rPr>
          <w:lang w:val="lt-LT"/>
        </w:rPr>
        <w:t xml:space="preserve">FACT tyrimo metu nustatytas statistiškai reikšmingas gydymo abiem </w:t>
      </w:r>
      <w:proofErr w:type="spellStart"/>
      <w:r w:rsidR="00D324C3" w:rsidRPr="004A478C">
        <w:rPr>
          <w:lang w:val="lt-LT"/>
        </w:rPr>
        <w:t>febuksostato</w:t>
      </w:r>
      <w:proofErr w:type="spellEnd"/>
      <w:r w:rsidR="00D324C3" w:rsidRPr="004A478C">
        <w:rPr>
          <w:lang w:val="lt-LT"/>
        </w:rPr>
        <w:t xml:space="preserve"> </w:t>
      </w:r>
      <w:r w:rsidRPr="004A478C">
        <w:rPr>
          <w:lang w:val="lt-LT"/>
        </w:rPr>
        <w:t>80</w:t>
      </w:r>
      <w:r w:rsidR="00E87295" w:rsidRPr="004A478C">
        <w:rPr>
          <w:lang w:val="lt-LT"/>
        </w:rPr>
        <w:t> mg</w:t>
      </w:r>
      <w:r w:rsidRPr="004A478C">
        <w:rPr>
          <w:lang w:val="lt-LT"/>
        </w:rPr>
        <w:t xml:space="preserve"> per parą ir </w:t>
      </w:r>
      <w:proofErr w:type="spellStart"/>
      <w:r w:rsidR="00D324C3" w:rsidRPr="004A478C">
        <w:rPr>
          <w:lang w:val="lt-LT"/>
        </w:rPr>
        <w:t>febuksostato</w:t>
      </w:r>
      <w:proofErr w:type="spellEnd"/>
      <w:r w:rsidR="00D324C3" w:rsidRPr="004A478C">
        <w:rPr>
          <w:lang w:val="lt-LT"/>
        </w:rPr>
        <w:t xml:space="preserve"> </w:t>
      </w:r>
      <w:r w:rsidRPr="004A478C">
        <w:rPr>
          <w:lang w:val="lt-LT"/>
        </w:rPr>
        <w:t>120</w:t>
      </w:r>
      <w:r w:rsidR="00E87295" w:rsidRPr="004A478C">
        <w:rPr>
          <w:lang w:val="lt-LT"/>
        </w:rPr>
        <w:t> mg</w:t>
      </w:r>
      <w:r w:rsidRPr="004A478C">
        <w:rPr>
          <w:lang w:val="lt-LT"/>
        </w:rPr>
        <w:t xml:space="preserve"> per parą dozėmis pranašumas palyginus su tradiciniu gydymu </w:t>
      </w:r>
      <w:proofErr w:type="spellStart"/>
      <w:r w:rsidRPr="004A478C">
        <w:rPr>
          <w:lang w:val="lt-LT"/>
        </w:rPr>
        <w:t>alopurinolio</w:t>
      </w:r>
      <w:proofErr w:type="spellEnd"/>
      <w:r w:rsidRPr="004A478C">
        <w:rPr>
          <w:lang w:val="lt-LT"/>
        </w:rPr>
        <w:t xml:space="preserve"> 300</w:t>
      </w:r>
      <w:r w:rsidR="00E87295" w:rsidRPr="004A478C">
        <w:rPr>
          <w:lang w:val="lt-LT"/>
        </w:rPr>
        <w:t> mg</w:t>
      </w:r>
      <w:r w:rsidRPr="004A478C">
        <w:rPr>
          <w:lang w:val="lt-LT"/>
        </w:rPr>
        <w:t xml:space="preserve"> doze, sumažinant </w:t>
      </w:r>
      <w:proofErr w:type="spellStart"/>
      <w:r w:rsidRPr="004A478C">
        <w:rPr>
          <w:lang w:val="lt-LT"/>
        </w:rPr>
        <w:t>sŠR</w:t>
      </w:r>
      <w:proofErr w:type="spellEnd"/>
      <w:r w:rsidRPr="004A478C">
        <w:rPr>
          <w:lang w:val="lt-LT"/>
        </w:rPr>
        <w:t xml:space="preserve"> kiekį žemiau 6</w:t>
      </w:r>
      <w:r w:rsidR="00E87295" w:rsidRPr="004A478C">
        <w:rPr>
          <w:lang w:val="lt-LT"/>
        </w:rPr>
        <w:t> mg</w:t>
      </w:r>
      <w:r w:rsidRPr="004A478C">
        <w:rPr>
          <w:lang w:val="lt-LT"/>
        </w:rPr>
        <w:t>/dl (357 µ</w:t>
      </w:r>
      <w:proofErr w:type="spellStart"/>
      <w:r w:rsidRPr="004A478C">
        <w:rPr>
          <w:lang w:val="lt-LT"/>
        </w:rPr>
        <w:t>mol</w:t>
      </w:r>
      <w:proofErr w:type="spellEnd"/>
      <w:r w:rsidRPr="004A478C">
        <w:rPr>
          <w:lang w:val="lt-LT"/>
        </w:rPr>
        <w:t xml:space="preserve">/l) ribos. </w:t>
      </w:r>
    </w:p>
    <w:p w14:paraId="431D9486" w14:textId="77777777" w:rsidR="00273470" w:rsidRPr="004A478C" w:rsidRDefault="00273470" w:rsidP="003B28E4">
      <w:pPr>
        <w:tabs>
          <w:tab w:val="left" w:pos="4680"/>
        </w:tabs>
        <w:spacing w:line="240" w:lineRule="auto"/>
        <w:rPr>
          <w:lang w:val="lt-LT"/>
        </w:rPr>
      </w:pPr>
      <w:r w:rsidRPr="004A478C">
        <w:rPr>
          <w:lang w:val="lt-LT"/>
        </w:rPr>
        <w:t xml:space="preserve"> </w:t>
      </w:r>
    </w:p>
    <w:p w14:paraId="60D7A45B" w14:textId="77777777" w:rsidR="00273470" w:rsidRPr="004A478C" w:rsidRDefault="00273470" w:rsidP="003B28E4">
      <w:pPr>
        <w:tabs>
          <w:tab w:val="left" w:pos="4680"/>
        </w:tabs>
        <w:spacing w:line="240" w:lineRule="auto"/>
        <w:ind w:left="2" w:right="397"/>
        <w:rPr>
          <w:lang w:val="lt-LT"/>
        </w:rPr>
      </w:pPr>
      <w:r w:rsidRPr="004A478C">
        <w:rPr>
          <w:lang w:val="lt-LT"/>
        </w:rPr>
        <w:t xml:space="preserve">2 lentelėje pateiktas pirminių veiksmingumo įvertinimo rezultatų apibendrinimas: </w:t>
      </w:r>
    </w:p>
    <w:p w14:paraId="4BC9226E" w14:textId="77777777" w:rsidR="00273470" w:rsidRPr="004A478C" w:rsidRDefault="00273470" w:rsidP="003B28E4">
      <w:pPr>
        <w:tabs>
          <w:tab w:val="left" w:pos="4680"/>
        </w:tabs>
        <w:spacing w:line="240" w:lineRule="auto"/>
        <w:rPr>
          <w:lang w:val="lt-LT"/>
        </w:rPr>
      </w:pPr>
      <w:r w:rsidRPr="004A478C">
        <w:rPr>
          <w:lang w:val="lt-LT"/>
        </w:rPr>
        <w:t xml:space="preserve">  </w:t>
      </w:r>
    </w:p>
    <w:p w14:paraId="7E3ABAF6" w14:textId="77777777" w:rsidR="00273470" w:rsidRPr="004A478C" w:rsidRDefault="00273470" w:rsidP="003B28E4">
      <w:pPr>
        <w:tabs>
          <w:tab w:val="left" w:pos="4680"/>
        </w:tabs>
        <w:spacing w:line="240" w:lineRule="auto"/>
        <w:ind w:right="396"/>
        <w:jc w:val="center"/>
        <w:rPr>
          <w:lang w:val="lt-LT"/>
        </w:rPr>
      </w:pPr>
      <w:r w:rsidRPr="004A478C">
        <w:rPr>
          <w:b/>
          <w:lang w:val="lt-LT"/>
        </w:rPr>
        <w:t xml:space="preserve">2 lentelė </w:t>
      </w:r>
    </w:p>
    <w:p w14:paraId="2E2369E0" w14:textId="77777777" w:rsidR="00273470" w:rsidRPr="004A478C" w:rsidRDefault="00273470" w:rsidP="003B28E4">
      <w:pPr>
        <w:pStyle w:val="Antrat2"/>
        <w:tabs>
          <w:tab w:val="left" w:pos="4680"/>
        </w:tabs>
        <w:spacing w:before="0" w:after="0" w:line="240" w:lineRule="auto"/>
        <w:ind w:left="1027" w:right="1365"/>
        <w:rPr>
          <w:rFonts w:ascii="Times New Roman" w:hAnsi="Times New Roman"/>
          <w:sz w:val="22"/>
          <w:lang w:val="lt-LT"/>
        </w:rPr>
      </w:pPr>
      <w:r w:rsidRPr="004A478C">
        <w:rPr>
          <w:rFonts w:ascii="Times New Roman" w:hAnsi="Times New Roman"/>
          <w:sz w:val="22"/>
          <w:lang w:val="lt-LT"/>
        </w:rPr>
        <w:t>Pacientų, kurių serume šlapimo rūgšties buvo &lt; 6,0</w:t>
      </w:r>
      <w:r w:rsidR="00E87295" w:rsidRPr="004A478C">
        <w:rPr>
          <w:rFonts w:ascii="Times New Roman" w:hAnsi="Times New Roman"/>
          <w:sz w:val="22"/>
          <w:lang w:val="lt-LT"/>
        </w:rPr>
        <w:t> mg</w:t>
      </w:r>
      <w:r w:rsidRPr="004A478C">
        <w:rPr>
          <w:rFonts w:ascii="Times New Roman" w:hAnsi="Times New Roman"/>
          <w:sz w:val="22"/>
          <w:lang w:val="lt-LT"/>
        </w:rPr>
        <w:t>/dl (357 µ</w:t>
      </w:r>
      <w:proofErr w:type="spellStart"/>
      <w:r w:rsidRPr="004A478C">
        <w:rPr>
          <w:rFonts w:ascii="Times New Roman" w:hAnsi="Times New Roman"/>
          <w:sz w:val="22"/>
          <w:lang w:val="lt-LT"/>
        </w:rPr>
        <w:t>mol</w:t>
      </w:r>
      <w:proofErr w:type="spellEnd"/>
      <w:r w:rsidRPr="004A478C">
        <w:rPr>
          <w:rFonts w:ascii="Times New Roman" w:hAnsi="Times New Roman"/>
          <w:sz w:val="22"/>
          <w:lang w:val="lt-LT"/>
        </w:rPr>
        <w:t xml:space="preserve">/l) per paskutinius tris kasmėnesinius vizitus </w:t>
      </w:r>
    </w:p>
    <w:tbl>
      <w:tblPr>
        <w:tblW w:w="6429" w:type="dxa"/>
        <w:tblInd w:w="1048" w:type="dxa"/>
        <w:tblCellMar>
          <w:top w:w="45" w:type="dxa"/>
          <w:left w:w="95" w:type="dxa"/>
          <w:bottom w:w="11" w:type="dxa"/>
          <w:right w:w="92" w:type="dxa"/>
        </w:tblCellMar>
        <w:tblLook w:val="04A0" w:firstRow="1" w:lastRow="0" w:firstColumn="1" w:lastColumn="0" w:noHBand="0" w:noVBand="1"/>
      </w:tblPr>
      <w:tblGrid>
        <w:gridCol w:w="1586"/>
        <w:gridCol w:w="1492"/>
        <w:gridCol w:w="1654"/>
        <w:gridCol w:w="1697"/>
      </w:tblGrid>
      <w:tr w:rsidR="00273470" w:rsidRPr="004B0C8F" w14:paraId="5FB49388" w14:textId="77777777" w:rsidTr="0090398C">
        <w:trPr>
          <w:trHeight w:val="724"/>
        </w:trPr>
        <w:tc>
          <w:tcPr>
            <w:tcW w:w="1586" w:type="dxa"/>
            <w:tcBorders>
              <w:top w:val="single" w:sz="4" w:space="0" w:color="000000"/>
              <w:left w:val="single" w:sz="7" w:space="0" w:color="000000"/>
              <w:bottom w:val="single" w:sz="3" w:space="0" w:color="000000"/>
              <w:right w:val="single" w:sz="3" w:space="0" w:color="000000"/>
            </w:tcBorders>
            <w:shd w:val="clear" w:color="auto" w:fill="auto"/>
          </w:tcPr>
          <w:p w14:paraId="1FA18F9E" w14:textId="77777777" w:rsidR="00273470" w:rsidRPr="004A478C" w:rsidRDefault="00273470" w:rsidP="003B28E4">
            <w:pPr>
              <w:tabs>
                <w:tab w:val="left" w:pos="4680"/>
              </w:tabs>
              <w:spacing w:line="240" w:lineRule="auto"/>
              <w:rPr>
                <w:lang w:val="lt-LT"/>
              </w:rPr>
            </w:pPr>
            <w:r w:rsidRPr="004A478C">
              <w:rPr>
                <w:lang w:val="lt-LT"/>
              </w:rPr>
              <w:t xml:space="preserve"> </w:t>
            </w:r>
          </w:p>
          <w:p w14:paraId="140F60B1" w14:textId="77777777" w:rsidR="00273470" w:rsidRPr="004A478C" w:rsidRDefault="00273470" w:rsidP="003B28E4">
            <w:pPr>
              <w:tabs>
                <w:tab w:val="left" w:pos="4680"/>
              </w:tabs>
              <w:spacing w:line="240" w:lineRule="auto"/>
              <w:rPr>
                <w:lang w:val="lt-LT"/>
              </w:rPr>
            </w:pPr>
            <w:r w:rsidRPr="004A478C">
              <w:rPr>
                <w:lang w:val="lt-LT"/>
              </w:rPr>
              <w:t xml:space="preserve">Tyrimas </w:t>
            </w:r>
          </w:p>
        </w:tc>
        <w:tc>
          <w:tcPr>
            <w:tcW w:w="1492" w:type="dxa"/>
            <w:tcBorders>
              <w:top w:val="single" w:sz="4" w:space="0" w:color="000000"/>
              <w:left w:val="single" w:sz="3" w:space="0" w:color="000000"/>
              <w:bottom w:val="single" w:sz="3" w:space="0" w:color="000000"/>
              <w:right w:val="single" w:sz="4" w:space="0" w:color="000000"/>
            </w:tcBorders>
            <w:shd w:val="clear" w:color="auto" w:fill="auto"/>
            <w:vAlign w:val="bottom"/>
          </w:tcPr>
          <w:p w14:paraId="2CFD13EF" w14:textId="77777777" w:rsidR="00273470" w:rsidRPr="004A478C" w:rsidRDefault="00D324C3" w:rsidP="003B28E4">
            <w:pPr>
              <w:tabs>
                <w:tab w:val="left" w:pos="4680"/>
              </w:tabs>
              <w:spacing w:line="240" w:lineRule="auto"/>
              <w:ind w:left="7"/>
              <w:rPr>
                <w:lang w:val="lt-LT"/>
              </w:rPr>
            </w:pPr>
            <w:proofErr w:type="spellStart"/>
            <w:r w:rsidRPr="004A478C">
              <w:rPr>
                <w:lang w:val="lt-LT"/>
              </w:rPr>
              <w:t>Febuksostatas</w:t>
            </w:r>
            <w:proofErr w:type="spellEnd"/>
            <w:r w:rsidRPr="004A478C">
              <w:rPr>
                <w:lang w:val="lt-LT"/>
              </w:rPr>
              <w:t xml:space="preserve"> </w:t>
            </w:r>
            <w:r w:rsidR="00273470" w:rsidRPr="004A478C">
              <w:rPr>
                <w:lang w:val="lt-LT"/>
              </w:rPr>
              <w:t>80</w:t>
            </w:r>
            <w:r w:rsidR="00E87295" w:rsidRPr="004A478C">
              <w:rPr>
                <w:lang w:val="lt-LT"/>
              </w:rPr>
              <w:t> mg</w:t>
            </w:r>
            <w:r w:rsidR="00273470" w:rsidRPr="004A478C">
              <w:rPr>
                <w:lang w:val="lt-LT"/>
              </w:rPr>
              <w:t xml:space="preserve"> per parą </w:t>
            </w:r>
          </w:p>
        </w:tc>
        <w:tc>
          <w:tcPr>
            <w:tcW w:w="1654" w:type="dxa"/>
            <w:tcBorders>
              <w:top w:val="single" w:sz="4" w:space="0" w:color="000000"/>
              <w:left w:val="single" w:sz="4" w:space="0" w:color="000000"/>
              <w:bottom w:val="single" w:sz="3" w:space="0" w:color="000000"/>
              <w:right w:val="single" w:sz="4" w:space="0" w:color="000000"/>
            </w:tcBorders>
            <w:shd w:val="clear" w:color="auto" w:fill="auto"/>
            <w:vAlign w:val="bottom"/>
          </w:tcPr>
          <w:p w14:paraId="03F2830E" w14:textId="77777777" w:rsidR="00273470" w:rsidRPr="004A478C" w:rsidRDefault="00D324C3" w:rsidP="003B28E4">
            <w:pPr>
              <w:tabs>
                <w:tab w:val="left" w:pos="4680"/>
              </w:tabs>
              <w:spacing w:line="240" w:lineRule="auto"/>
              <w:ind w:left="6"/>
              <w:rPr>
                <w:lang w:val="lt-LT"/>
              </w:rPr>
            </w:pPr>
            <w:proofErr w:type="spellStart"/>
            <w:r w:rsidRPr="004A478C">
              <w:rPr>
                <w:lang w:val="lt-LT"/>
              </w:rPr>
              <w:t>Febuksostatas</w:t>
            </w:r>
            <w:proofErr w:type="spellEnd"/>
            <w:r w:rsidRPr="004A478C">
              <w:rPr>
                <w:lang w:val="lt-LT"/>
              </w:rPr>
              <w:t xml:space="preserve"> </w:t>
            </w:r>
            <w:r w:rsidR="00273470" w:rsidRPr="004A478C">
              <w:rPr>
                <w:lang w:val="lt-LT"/>
              </w:rPr>
              <w:t>120</w:t>
            </w:r>
            <w:r w:rsidR="00E87295" w:rsidRPr="004A478C">
              <w:rPr>
                <w:lang w:val="lt-LT"/>
              </w:rPr>
              <w:t> mg</w:t>
            </w:r>
            <w:r w:rsidR="00273470" w:rsidRPr="004A478C">
              <w:rPr>
                <w:lang w:val="lt-LT"/>
              </w:rPr>
              <w:t xml:space="preserve"> per parą </w:t>
            </w:r>
          </w:p>
        </w:tc>
        <w:tc>
          <w:tcPr>
            <w:tcW w:w="1697" w:type="dxa"/>
            <w:tcBorders>
              <w:top w:val="single" w:sz="4" w:space="0" w:color="000000"/>
              <w:left w:val="single" w:sz="4" w:space="0" w:color="000000"/>
              <w:bottom w:val="single" w:sz="3" w:space="0" w:color="000000"/>
              <w:right w:val="single" w:sz="4" w:space="0" w:color="000000"/>
            </w:tcBorders>
            <w:shd w:val="clear" w:color="auto" w:fill="auto"/>
          </w:tcPr>
          <w:p w14:paraId="099A71A7" w14:textId="77777777" w:rsidR="00273470" w:rsidRPr="004A478C" w:rsidRDefault="00273470" w:rsidP="003B28E4">
            <w:pPr>
              <w:tabs>
                <w:tab w:val="left" w:pos="4680"/>
              </w:tabs>
              <w:spacing w:line="240" w:lineRule="auto"/>
              <w:ind w:left="4"/>
              <w:rPr>
                <w:lang w:val="lt-LT"/>
              </w:rPr>
            </w:pPr>
            <w:proofErr w:type="spellStart"/>
            <w:r w:rsidRPr="004A478C">
              <w:rPr>
                <w:lang w:val="lt-LT"/>
              </w:rPr>
              <w:t>Alopurinolis</w:t>
            </w:r>
            <w:proofErr w:type="spellEnd"/>
            <w:r w:rsidRPr="004A478C">
              <w:rPr>
                <w:lang w:val="lt-LT"/>
              </w:rPr>
              <w:t xml:space="preserve"> </w:t>
            </w:r>
          </w:p>
          <w:p w14:paraId="0506C4AD" w14:textId="77777777" w:rsidR="00273470" w:rsidRPr="004A478C" w:rsidRDefault="00273470" w:rsidP="003B28E4">
            <w:pPr>
              <w:tabs>
                <w:tab w:val="left" w:pos="4680"/>
              </w:tabs>
              <w:spacing w:line="240" w:lineRule="auto"/>
              <w:ind w:left="4"/>
              <w:rPr>
                <w:lang w:val="lt-LT"/>
              </w:rPr>
            </w:pPr>
            <w:r w:rsidRPr="004A478C">
              <w:rPr>
                <w:lang w:val="lt-LT"/>
              </w:rPr>
              <w:t xml:space="preserve">300 </w:t>
            </w:r>
            <w:r w:rsidR="00D324C3" w:rsidRPr="004A478C">
              <w:rPr>
                <w:lang w:val="lt-LT"/>
              </w:rPr>
              <w:t>arba</w:t>
            </w:r>
            <w:r w:rsidRPr="004A478C">
              <w:rPr>
                <w:lang w:val="lt-LT"/>
              </w:rPr>
              <w:t xml:space="preserve"> </w:t>
            </w:r>
          </w:p>
          <w:p w14:paraId="6FB3CC61" w14:textId="77777777" w:rsidR="00273470" w:rsidRPr="004A478C" w:rsidRDefault="00273470" w:rsidP="003B28E4">
            <w:pPr>
              <w:tabs>
                <w:tab w:val="left" w:pos="4680"/>
              </w:tabs>
              <w:spacing w:line="240" w:lineRule="auto"/>
              <w:ind w:left="4"/>
              <w:rPr>
                <w:lang w:val="lt-LT"/>
              </w:rPr>
            </w:pPr>
            <w:r w:rsidRPr="004A478C">
              <w:rPr>
                <w:lang w:val="lt-LT"/>
              </w:rPr>
              <w:t>100</w:t>
            </w:r>
            <w:r w:rsidR="00E87295" w:rsidRPr="004A478C">
              <w:rPr>
                <w:lang w:val="lt-LT"/>
              </w:rPr>
              <w:t> mg</w:t>
            </w:r>
            <w:r w:rsidRPr="004A478C">
              <w:rPr>
                <w:lang w:val="lt-LT"/>
              </w:rPr>
              <w:t xml:space="preserve"> per parą</w:t>
            </w:r>
            <w:r w:rsidRPr="004A478C">
              <w:rPr>
                <w:vertAlign w:val="superscript"/>
                <w:lang w:val="lt-LT"/>
              </w:rPr>
              <w:t>1</w:t>
            </w:r>
            <w:r w:rsidRPr="004A478C">
              <w:rPr>
                <w:lang w:val="lt-LT"/>
              </w:rPr>
              <w:t xml:space="preserve"> </w:t>
            </w:r>
          </w:p>
        </w:tc>
      </w:tr>
      <w:tr w:rsidR="00273470" w:rsidRPr="004B0C8F" w14:paraId="0AF54F3B" w14:textId="77777777" w:rsidTr="0090398C">
        <w:trPr>
          <w:trHeight w:val="486"/>
        </w:trPr>
        <w:tc>
          <w:tcPr>
            <w:tcW w:w="1586" w:type="dxa"/>
            <w:tcBorders>
              <w:top w:val="single" w:sz="3" w:space="0" w:color="000000"/>
              <w:left w:val="single" w:sz="7" w:space="0" w:color="000000"/>
              <w:bottom w:val="single" w:sz="4" w:space="0" w:color="000000"/>
              <w:right w:val="single" w:sz="3" w:space="0" w:color="000000"/>
            </w:tcBorders>
            <w:shd w:val="clear" w:color="auto" w:fill="auto"/>
          </w:tcPr>
          <w:p w14:paraId="2D8CB0A2" w14:textId="77777777" w:rsidR="00273470" w:rsidRPr="004A478C" w:rsidRDefault="00273470" w:rsidP="003B28E4">
            <w:pPr>
              <w:tabs>
                <w:tab w:val="left" w:pos="4680"/>
              </w:tabs>
              <w:spacing w:line="240" w:lineRule="auto"/>
              <w:rPr>
                <w:lang w:val="lt-LT"/>
              </w:rPr>
            </w:pPr>
            <w:r w:rsidRPr="004A478C">
              <w:rPr>
                <w:lang w:val="lt-LT"/>
              </w:rPr>
              <w:t xml:space="preserve">APEX  </w:t>
            </w:r>
          </w:p>
          <w:p w14:paraId="096103BB" w14:textId="77777777" w:rsidR="00273470" w:rsidRPr="004A478C" w:rsidRDefault="00273470" w:rsidP="003B28E4">
            <w:pPr>
              <w:tabs>
                <w:tab w:val="left" w:pos="4680"/>
              </w:tabs>
              <w:spacing w:line="240" w:lineRule="auto"/>
              <w:rPr>
                <w:lang w:val="lt-LT"/>
              </w:rPr>
            </w:pPr>
            <w:r w:rsidRPr="004A478C">
              <w:rPr>
                <w:lang w:val="lt-LT"/>
              </w:rPr>
              <w:t xml:space="preserve">(28 sav.) </w:t>
            </w:r>
          </w:p>
        </w:tc>
        <w:tc>
          <w:tcPr>
            <w:tcW w:w="1492" w:type="dxa"/>
            <w:tcBorders>
              <w:top w:val="single" w:sz="3" w:space="0" w:color="000000"/>
              <w:left w:val="single" w:sz="3" w:space="0" w:color="000000"/>
              <w:bottom w:val="single" w:sz="4" w:space="0" w:color="000000"/>
              <w:right w:val="single" w:sz="4" w:space="0" w:color="000000"/>
            </w:tcBorders>
            <w:shd w:val="clear" w:color="auto" w:fill="auto"/>
          </w:tcPr>
          <w:p w14:paraId="69D8DE58" w14:textId="77777777" w:rsidR="00273470" w:rsidRPr="004A478C" w:rsidRDefault="00273470" w:rsidP="003B28E4">
            <w:pPr>
              <w:tabs>
                <w:tab w:val="left" w:pos="4680"/>
              </w:tabs>
              <w:spacing w:line="240" w:lineRule="auto"/>
              <w:ind w:left="7"/>
              <w:rPr>
                <w:lang w:val="lt-LT"/>
              </w:rPr>
            </w:pPr>
            <w:r w:rsidRPr="004A478C">
              <w:rPr>
                <w:lang w:val="lt-LT"/>
              </w:rPr>
              <w:t xml:space="preserve">48% *  </w:t>
            </w:r>
          </w:p>
          <w:p w14:paraId="3FD6C5C3" w14:textId="77777777" w:rsidR="00273470" w:rsidRPr="004A478C" w:rsidRDefault="00273470" w:rsidP="003B28E4">
            <w:pPr>
              <w:tabs>
                <w:tab w:val="left" w:pos="4680"/>
              </w:tabs>
              <w:spacing w:line="240" w:lineRule="auto"/>
              <w:ind w:left="7"/>
              <w:rPr>
                <w:lang w:val="lt-LT"/>
              </w:rPr>
            </w:pPr>
            <w:r w:rsidRPr="004A478C">
              <w:rPr>
                <w:lang w:val="lt-LT"/>
              </w:rPr>
              <w:t xml:space="preserve">(n=262) </w:t>
            </w:r>
          </w:p>
        </w:tc>
        <w:tc>
          <w:tcPr>
            <w:tcW w:w="1654" w:type="dxa"/>
            <w:tcBorders>
              <w:top w:val="single" w:sz="3" w:space="0" w:color="000000"/>
              <w:left w:val="single" w:sz="4" w:space="0" w:color="000000"/>
              <w:bottom w:val="single" w:sz="4" w:space="0" w:color="000000"/>
              <w:right w:val="single" w:sz="4" w:space="0" w:color="000000"/>
            </w:tcBorders>
            <w:shd w:val="clear" w:color="auto" w:fill="auto"/>
          </w:tcPr>
          <w:p w14:paraId="2D6DA3FB" w14:textId="77777777" w:rsidR="00273470" w:rsidRPr="004A478C" w:rsidRDefault="00273470" w:rsidP="003B28E4">
            <w:pPr>
              <w:tabs>
                <w:tab w:val="left" w:pos="4680"/>
              </w:tabs>
              <w:spacing w:line="240" w:lineRule="auto"/>
              <w:ind w:left="6"/>
              <w:rPr>
                <w:lang w:val="lt-LT"/>
              </w:rPr>
            </w:pPr>
            <w:r w:rsidRPr="004A478C">
              <w:rPr>
                <w:lang w:val="lt-LT"/>
              </w:rPr>
              <w:t xml:space="preserve">65% *, # </w:t>
            </w:r>
          </w:p>
          <w:p w14:paraId="62389B5D" w14:textId="77777777" w:rsidR="00273470" w:rsidRPr="004A478C" w:rsidRDefault="00273470" w:rsidP="003B28E4">
            <w:pPr>
              <w:tabs>
                <w:tab w:val="left" w:pos="4680"/>
              </w:tabs>
              <w:spacing w:line="240" w:lineRule="auto"/>
              <w:ind w:left="6"/>
              <w:rPr>
                <w:lang w:val="lt-LT"/>
              </w:rPr>
            </w:pPr>
            <w:r w:rsidRPr="004A478C">
              <w:rPr>
                <w:lang w:val="lt-LT"/>
              </w:rPr>
              <w:t xml:space="preserve">(n=269) </w:t>
            </w:r>
          </w:p>
        </w:tc>
        <w:tc>
          <w:tcPr>
            <w:tcW w:w="1697" w:type="dxa"/>
            <w:tcBorders>
              <w:top w:val="single" w:sz="3" w:space="0" w:color="000000"/>
              <w:left w:val="single" w:sz="4" w:space="0" w:color="000000"/>
              <w:bottom w:val="single" w:sz="4" w:space="0" w:color="000000"/>
              <w:right w:val="single" w:sz="4" w:space="0" w:color="000000"/>
            </w:tcBorders>
            <w:shd w:val="clear" w:color="auto" w:fill="auto"/>
          </w:tcPr>
          <w:p w14:paraId="30AD2E0E" w14:textId="77777777" w:rsidR="00273470" w:rsidRPr="004A478C" w:rsidRDefault="00273470" w:rsidP="003B28E4">
            <w:pPr>
              <w:tabs>
                <w:tab w:val="left" w:pos="4680"/>
              </w:tabs>
              <w:spacing w:line="240" w:lineRule="auto"/>
              <w:ind w:left="4"/>
              <w:rPr>
                <w:lang w:val="lt-LT"/>
              </w:rPr>
            </w:pPr>
            <w:r w:rsidRPr="004A478C">
              <w:rPr>
                <w:lang w:val="lt-LT"/>
              </w:rPr>
              <w:t xml:space="preserve">22%  </w:t>
            </w:r>
          </w:p>
          <w:p w14:paraId="7ECC9ECE" w14:textId="77777777" w:rsidR="00273470" w:rsidRPr="004A478C" w:rsidRDefault="00273470" w:rsidP="003B28E4">
            <w:pPr>
              <w:tabs>
                <w:tab w:val="left" w:pos="4680"/>
              </w:tabs>
              <w:spacing w:line="240" w:lineRule="auto"/>
              <w:ind w:left="4"/>
              <w:rPr>
                <w:lang w:val="lt-LT"/>
              </w:rPr>
            </w:pPr>
            <w:r w:rsidRPr="004A478C">
              <w:rPr>
                <w:lang w:val="lt-LT"/>
              </w:rPr>
              <w:t xml:space="preserve">(n=268) </w:t>
            </w:r>
          </w:p>
        </w:tc>
      </w:tr>
      <w:tr w:rsidR="00273470" w:rsidRPr="004B0C8F" w14:paraId="483BE6F4" w14:textId="77777777" w:rsidTr="0090398C">
        <w:trPr>
          <w:trHeight w:val="485"/>
        </w:trPr>
        <w:tc>
          <w:tcPr>
            <w:tcW w:w="1586" w:type="dxa"/>
            <w:tcBorders>
              <w:top w:val="single" w:sz="4" w:space="0" w:color="000000"/>
              <w:left w:val="single" w:sz="7" w:space="0" w:color="000000"/>
              <w:bottom w:val="single" w:sz="4" w:space="0" w:color="000000"/>
              <w:right w:val="single" w:sz="3" w:space="0" w:color="000000"/>
            </w:tcBorders>
            <w:shd w:val="clear" w:color="auto" w:fill="auto"/>
          </w:tcPr>
          <w:p w14:paraId="7FED50CA" w14:textId="77777777" w:rsidR="00273470" w:rsidRPr="004A478C" w:rsidRDefault="00273470" w:rsidP="003B28E4">
            <w:pPr>
              <w:tabs>
                <w:tab w:val="left" w:pos="4680"/>
              </w:tabs>
              <w:spacing w:line="240" w:lineRule="auto"/>
              <w:rPr>
                <w:lang w:val="lt-LT"/>
              </w:rPr>
            </w:pPr>
            <w:r w:rsidRPr="004A478C">
              <w:rPr>
                <w:lang w:val="lt-LT"/>
              </w:rPr>
              <w:t xml:space="preserve">FACT  </w:t>
            </w:r>
          </w:p>
          <w:p w14:paraId="4E4144BA" w14:textId="77777777" w:rsidR="00273470" w:rsidRPr="004A478C" w:rsidRDefault="00273470" w:rsidP="003B28E4">
            <w:pPr>
              <w:tabs>
                <w:tab w:val="left" w:pos="4680"/>
              </w:tabs>
              <w:spacing w:line="240" w:lineRule="auto"/>
              <w:rPr>
                <w:lang w:val="lt-LT"/>
              </w:rPr>
            </w:pPr>
            <w:r w:rsidRPr="004A478C">
              <w:rPr>
                <w:lang w:val="lt-LT"/>
              </w:rPr>
              <w:t xml:space="preserve">(52 sav.) </w:t>
            </w:r>
          </w:p>
        </w:tc>
        <w:tc>
          <w:tcPr>
            <w:tcW w:w="1492" w:type="dxa"/>
            <w:tcBorders>
              <w:top w:val="single" w:sz="4" w:space="0" w:color="000000"/>
              <w:left w:val="single" w:sz="3" w:space="0" w:color="000000"/>
              <w:bottom w:val="single" w:sz="4" w:space="0" w:color="000000"/>
              <w:right w:val="single" w:sz="4" w:space="0" w:color="000000"/>
            </w:tcBorders>
            <w:shd w:val="clear" w:color="auto" w:fill="auto"/>
          </w:tcPr>
          <w:p w14:paraId="38F66A6A" w14:textId="77777777" w:rsidR="00273470" w:rsidRPr="004A478C" w:rsidRDefault="00273470" w:rsidP="003B28E4">
            <w:pPr>
              <w:tabs>
                <w:tab w:val="left" w:pos="4680"/>
              </w:tabs>
              <w:spacing w:line="240" w:lineRule="auto"/>
              <w:ind w:left="7"/>
              <w:rPr>
                <w:lang w:val="lt-LT"/>
              </w:rPr>
            </w:pPr>
            <w:r w:rsidRPr="004A478C">
              <w:rPr>
                <w:lang w:val="lt-LT"/>
              </w:rPr>
              <w:t xml:space="preserve">53%*  </w:t>
            </w:r>
          </w:p>
          <w:p w14:paraId="605D2BFD" w14:textId="77777777" w:rsidR="00273470" w:rsidRPr="004A478C" w:rsidRDefault="00273470" w:rsidP="003B28E4">
            <w:pPr>
              <w:tabs>
                <w:tab w:val="left" w:pos="4680"/>
              </w:tabs>
              <w:spacing w:line="240" w:lineRule="auto"/>
              <w:ind w:left="7"/>
              <w:rPr>
                <w:lang w:val="lt-LT"/>
              </w:rPr>
            </w:pPr>
            <w:r w:rsidRPr="004A478C">
              <w:rPr>
                <w:lang w:val="lt-LT"/>
              </w:rPr>
              <w:t xml:space="preserve">(n=255) </w:t>
            </w:r>
          </w:p>
        </w:tc>
        <w:tc>
          <w:tcPr>
            <w:tcW w:w="1654" w:type="dxa"/>
            <w:tcBorders>
              <w:top w:val="single" w:sz="4" w:space="0" w:color="000000"/>
              <w:left w:val="single" w:sz="4" w:space="0" w:color="000000"/>
              <w:bottom w:val="single" w:sz="4" w:space="0" w:color="000000"/>
              <w:right w:val="single" w:sz="4" w:space="0" w:color="000000"/>
            </w:tcBorders>
            <w:shd w:val="clear" w:color="auto" w:fill="auto"/>
          </w:tcPr>
          <w:p w14:paraId="716D6DB0" w14:textId="77777777" w:rsidR="00273470" w:rsidRPr="004A478C" w:rsidRDefault="00273470" w:rsidP="003B28E4">
            <w:pPr>
              <w:tabs>
                <w:tab w:val="left" w:pos="4680"/>
              </w:tabs>
              <w:spacing w:line="240" w:lineRule="auto"/>
              <w:ind w:left="6" w:right="204"/>
              <w:rPr>
                <w:lang w:val="lt-LT"/>
              </w:rPr>
            </w:pPr>
            <w:r w:rsidRPr="004A478C">
              <w:rPr>
                <w:lang w:val="lt-LT"/>
              </w:rPr>
              <w:t xml:space="preserve">62%*  (n=250)  </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14:paraId="0E15DE8B" w14:textId="77777777" w:rsidR="00273470" w:rsidRPr="004A478C" w:rsidRDefault="00273470" w:rsidP="003B28E4">
            <w:pPr>
              <w:tabs>
                <w:tab w:val="left" w:pos="4680"/>
              </w:tabs>
              <w:spacing w:line="240" w:lineRule="auto"/>
              <w:ind w:left="4"/>
              <w:rPr>
                <w:lang w:val="lt-LT"/>
              </w:rPr>
            </w:pPr>
            <w:r w:rsidRPr="004A478C">
              <w:rPr>
                <w:lang w:val="lt-LT"/>
              </w:rPr>
              <w:t xml:space="preserve">21%  </w:t>
            </w:r>
          </w:p>
          <w:p w14:paraId="780739A8" w14:textId="77777777" w:rsidR="00273470" w:rsidRPr="004A478C" w:rsidRDefault="00273470" w:rsidP="003B28E4">
            <w:pPr>
              <w:tabs>
                <w:tab w:val="left" w:pos="4680"/>
              </w:tabs>
              <w:spacing w:line="240" w:lineRule="auto"/>
              <w:ind w:left="4"/>
              <w:rPr>
                <w:lang w:val="lt-LT"/>
              </w:rPr>
            </w:pPr>
            <w:r w:rsidRPr="004A478C">
              <w:rPr>
                <w:lang w:val="lt-LT"/>
              </w:rPr>
              <w:t xml:space="preserve">(n=251) </w:t>
            </w:r>
          </w:p>
        </w:tc>
      </w:tr>
      <w:tr w:rsidR="00273470" w:rsidRPr="004B0C8F" w14:paraId="1590AFA7" w14:textId="77777777" w:rsidTr="0090398C">
        <w:trPr>
          <w:trHeight w:val="485"/>
        </w:trPr>
        <w:tc>
          <w:tcPr>
            <w:tcW w:w="1586" w:type="dxa"/>
            <w:tcBorders>
              <w:top w:val="single" w:sz="4" w:space="0" w:color="000000"/>
              <w:left w:val="single" w:sz="7" w:space="0" w:color="000000"/>
              <w:bottom w:val="single" w:sz="4" w:space="0" w:color="000000"/>
              <w:right w:val="single" w:sz="3" w:space="0" w:color="000000"/>
            </w:tcBorders>
            <w:shd w:val="clear" w:color="auto" w:fill="auto"/>
          </w:tcPr>
          <w:p w14:paraId="3D180179" w14:textId="77777777" w:rsidR="00273470" w:rsidRPr="004A478C" w:rsidRDefault="00273470" w:rsidP="003B28E4">
            <w:pPr>
              <w:tabs>
                <w:tab w:val="left" w:pos="4680"/>
              </w:tabs>
              <w:spacing w:line="240" w:lineRule="auto"/>
              <w:rPr>
                <w:lang w:val="lt-LT"/>
              </w:rPr>
            </w:pPr>
            <w:r w:rsidRPr="004A478C">
              <w:rPr>
                <w:lang w:val="lt-LT"/>
              </w:rPr>
              <w:t xml:space="preserve">Susumuoti rezultatai </w:t>
            </w:r>
          </w:p>
        </w:tc>
        <w:tc>
          <w:tcPr>
            <w:tcW w:w="1492" w:type="dxa"/>
            <w:tcBorders>
              <w:top w:val="single" w:sz="4" w:space="0" w:color="000000"/>
              <w:left w:val="single" w:sz="3" w:space="0" w:color="000000"/>
              <w:bottom w:val="single" w:sz="4" w:space="0" w:color="000000"/>
              <w:right w:val="single" w:sz="4" w:space="0" w:color="000000"/>
            </w:tcBorders>
            <w:shd w:val="clear" w:color="auto" w:fill="auto"/>
          </w:tcPr>
          <w:p w14:paraId="5CFD48D6" w14:textId="77777777" w:rsidR="00273470" w:rsidRPr="004A478C" w:rsidRDefault="00273470" w:rsidP="003B28E4">
            <w:pPr>
              <w:tabs>
                <w:tab w:val="left" w:pos="4680"/>
              </w:tabs>
              <w:spacing w:line="240" w:lineRule="auto"/>
              <w:ind w:left="7" w:right="94"/>
              <w:rPr>
                <w:lang w:val="lt-LT"/>
              </w:rPr>
            </w:pPr>
            <w:r w:rsidRPr="004A478C">
              <w:rPr>
                <w:lang w:val="lt-LT"/>
              </w:rPr>
              <w:t xml:space="preserve">51%* (n=517) </w:t>
            </w:r>
          </w:p>
        </w:tc>
        <w:tc>
          <w:tcPr>
            <w:tcW w:w="1654" w:type="dxa"/>
            <w:tcBorders>
              <w:top w:val="single" w:sz="4" w:space="0" w:color="000000"/>
              <w:left w:val="single" w:sz="4" w:space="0" w:color="000000"/>
              <w:bottom w:val="single" w:sz="4" w:space="0" w:color="000000"/>
              <w:right w:val="single" w:sz="4" w:space="0" w:color="000000"/>
            </w:tcBorders>
            <w:shd w:val="clear" w:color="auto" w:fill="auto"/>
          </w:tcPr>
          <w:p w14:paraId="7BE01753" w14:textId="77777777" w:rsidR="00273470" w:rsidRPr="004A478C" w:rsidRDefault="00273470" w:rsidP="003B28E4">
            <w:pPr>
              <w:tabs>
                <w:tab w:val="left" w:pos="4680"/>
              </w:tabs>
              <w:spacing w:line="240" w:lineRule="auto"/>
              <w:ind w:left="6"/>
              <w:rPr>
                <w:lang w:val="lt-LT"/>
              </w:rPr>
            </w:pPr>
            <w:r w:rsidRPr="004A478C">
              <w:rPr>
                <w:lang w:val="lt-LT"/>
              </w:rPr>
              <w:t xml:space="preserve">63%*, # </w:t>
            </w:r>
          </w:p>
          <w:p w14:paraId="5EEBC655" w14:textId="77777777" w:rsidR="00273470" w:rsidRPr="004A478C" w:rsidRDefault="00273470" w:rsidP="003B28E4">
            <w:pPr>
              <w:tabs>
                <w:tab w:val="left" w:pos="4680"/>
              </w:tabs>
              <w:spacing w:line="240" w:lineRule="auto"/>
              <w:ind w:left="6"/>
              <w:rPr>
                <w:lang w:val="lt-LT"/>
              </w:rPr>
            </w:pPr>
            <w:r w:rsidRPr="004A478C">
              <w:rPr>
                <w:lang w:val="lt-LT"/>
              </w:rPr>
              <w:t xml:space="preserve">(n=519) </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14:paraId="16249C66" w14:textId="77777777" w:rsidR="00273470" w:rsidRPr="004A478C" w:rsidRDefault="00273470" w:rsidP="003B28E4">
            <w:pPr>
              <w:tabs>
                <w:tab w:val="left" w:pos="4680"/>
              </w:tabs>
              <w:spacing w:line="240" w:lineRule="auto"/>
              <w:ind w:left="4" w:right="406"/>
              <w:rPr>
                <w:lang w:val="lt-LT"/>
              </w:rPr>
            </w:pPr>
            <w:r w:rsidRPr="004A478C">
              <w:rPr>
                <w:lang w:val="lt-LT"/>
              </w:rPr>
              <w:t xml:space="preserve">22% (n=519) </w:t>
            </w:r>
          </w:p>
        </w:tc>
      </w:tr>
      <w:tr w:rsidR="00273470" w:rsidRPr="007F09F8" w14:paraId="47148985" w14:textId="77777777" w:rsidTr="0090398C">
        <w:trPr>
          <w:trHeight w:val="974"/>
        </w:trPr>
        <w:tc>
          <w:tcPr>
            <w:tcW w:w="6429" w:type="dxa"/>
            <w:gridSpan w:val="4"/>
            <w:tcBorders>
              <w:top w:val="single" w:sz="4" w:space="0" w:color="000000"/>
              <w:left w:val="single" w:sz="7" w:space="0" w:color="000000"/>
              <w:bottom w:val="single" w:sz="4" w:space="0" w:color="000000"/>
              <w:right w:val="single" w:sz="3" w:space="0" w:color="000000"/>
            </w:tcBorders>
            <w:shd w:val="clear" w:color="auto" w:fill="auto"/>
          </w:tcPr>
          <w:p w14:paraId="6AAF4ECA" w14:textId="77777777" w:rsidR="00D324C3" w:rsidRPr="004B0C8F" w:rsidRDefault="00D324C3" w:rsidP="003B28E4">
            <w:pPr>
              <w:tabs>
                <w:tab w:val="left" w:pos="4680"/>
              </w:tabs>
              <w:spacing w:line="240" w:lineRule="auto"/>
              <w:rPr>
                <w:szCs w:val="22"/>
                <w:lang w:val="lt-LT"/>
              </w:rPr>
            </w:pPr>
            <w:r w:rsidRPr="004B0C8F">
              <w:rPr>
                <w:szCs w:val="22"/>
                <w:vertAlign w:val="superscript"/>
                <w:lang w:val="lt-LT"/>
              </w:rPr>
              <w:lastRenderedPageBreak/>
              <w:t xml:space="preserve">1 </w:t>
            </w:r>
            <w:r w:rsidRPr="004B0C8F">
              <w:rPr>
                <w:szCs w:val="22"/>
                <w:lang w:val="lt-LT"/>
              </w:rPr>
              <w:t>pacientų, vartojusių 100 mg per parą (n=10, tai pacientai, kurių kreatinino koncentracija serume &gt; 1,5, bet ≤ 2,0 mg/dl) ir 300 mg per parą (n=509) rezultatai analizei buvo bendrai analizuojami.</w:t>
            </w:r>
          </w:p>
          <w:p w14:paraId="626E9344" w14:textId="77777777" w:rsidR="00273470" w:rsidRPr="004A478C" w:rsidRDefault="00273470" w:rsidP="003B28E4">
            <w:pPr>
              <w:tabs>
                <w:tab w:val="left" w:pos="4680"/>
              </w:tabs>
              <w:spacing w:line="240" w:lineRule="auto"/>
              <w:rPr>
                <w:lang w:val="lt-LT"/>
              </w:rPr>
            </w:pPr>
            <w:r w:rsidRPr="004A478C">
              <w:rPr>
                <w:lang w:val="lt-LT"/>
              </w:rPr>
              <w:t xml:space="preserve">* p &lt; 0,001 palyginti su </w:t>
            </w:r>
            <w:proofErr w:type="spellStart"/>
            <w:r w:rsidRPr="004A478C">
              <w:rPr>
                <w:lang w:val="lt-LT"/>
              </w:rPr>
              <w:t>alopurinoliu</w:t>
            </w:r>
            <w:proofErr w:type="spellEnd"/>
            <w:r w:rsidRPr="004A478C">
              <w:rPr>
                <w:lang w:val="lt-LT"/>
              </w:rPr>
              <w:t xml:space="preserve">, </w:t>
            </w:r>
            <w:r w:rsidRPr="004A478C">
              <w:rPr>
                <w:vertAlign w:val="superscript"/>
                <w:lang w:val="lt-LT"/>
              </w:rPr>
              <w:t>#</w:t>
            </w:r>
            <w:r w:rsidRPr="004A478C">
              <w:rPr>
                <w:lang w:val="lt-LT"/>
              </w:rPr>
              <w:t xml:space="preserve"> p &lt; 0,001 palyginti su 80</w:t>
            </w:r>
            <w:r w:rsidR="00E87295" w:rsidRPr="004A478C">
              <w:rPr>
                <w:lang w:val="lt-LT"/>
              </w:rPr>
              <w:t> mg</w:t>
            </w:r>
            <w:r w:rsidRPr="004A478C">
              <w:rPr>
                <w:lang w:val="lt-LT"/>
              </w:rPr>
              <w:t xml:space="preserve"> </w:t>
            </w:r>
          </w:p>
        </w:tc>
      </w:tr>
    </w:tbl>
    <w:p w14:paraId="79EC89C8" w14:textId="64FDFB04" w:rsidR="00273470" w:rsidRPr="004A478C" w:rsidRDefault="00D324C3" w:rsidP="003B28E4">
      <w:pPr>
        <w:tabs>
          <w:tab w:val="left" w:pos="4680"/>
        </w:tabs>
        <w:spacing w:line="240" w:lineRule="auto"/>
        <w:ind w:left="-5" w:right="434"/>
        <w:jc w:val="both"/>
        <w:rPr>
          <w:lang w:val="lt-LT"/>
        </w:rPr>
      </w:pPr>
      <w:proofErr w:type="spellStart"/>
      <w:r w:rsidRPr="004A478C">
        <w:rPr>
          <w:lang w:val="lt-LT"/>
        </w:rPr>
        <w:t>Febuksostatas</w:t>
      </w:r>
      <w:proofErr w:type="spellEnd"/>
      <w:r w:rsidRPr="004A478C">
        <w:rPr>
          <w:lang w:val="lt-LT"/>
        </w:rPr>
        <w:t xml:space="preserve"> </w:t>
      </w:r>
      <w:r w:rsidR="00273470" w:rsidRPr="004A478C">
        <w:rPr>
          <w:lang w:val="lt-LT"/>
        </w:rPr>
        <w:t>mažino šlapimo rūgšties kiekį serume greitai ir nuolat. Šlapimo rūgšties kiekio serume sumažėjimas &lt; 6,0</w:t>
      </w:r>
      <w:r w:rsidR="00E87295" w:rsidRPr="004A478C">
        <w:rPr>
          <w:lang w:val="lt-LT"/>
        </w:rPr>
        <w:t> mg</w:t>
      </w:r>
      <w:r w:rsidR="00273470" w:rsidRPr="004A478C">
        <w:rPr>
          <w:lang w:val="lt-LT"/>
        </w:rPr>
        <w:t>/dl (357 µ</w:t>
      </w:r>
      <w:proofErr w:type="spellStart"/>
      <w:r w:rsidR="00273470" w:rsidRPr="004A478C">
        <w:rPr>
          <w:lang w:val="lt-LT"/>
        </w:rPr>
        <w:t>mol</w:t>
      </w:r>
      <w:proofErr w:type="spellEnd"/>
      <w:r w:rsidR="00273470" w:rsidRPr="004A478C">
        <w:rPr>
          <w:lang w:val="lt-LT"/>
        </w:rPr>
        <w:t xml:space="preserve">/l) nustatytas per 2 savaitės vizitą ir išsilaikė viso tyrimo metu. Pagrindžiamųjų 3 fazės </w:t>
      </w:r>
      <w:r w:rsidR="008A265E" w:rsidRPr="004A478C">
        <w:rPr>
          <w:lang w:val="lt-LT"/>
        </w:rPr>
        <w:t>dviejų</w:t>
      </w:r>
      <w:r w:rsidR="003D0095" w:rsidRPr="004A478C">
        <w:rPr>
          <w:lang w:val="lt-LT"/>
        </w:rPr>
        <w:t xml:space="preserve"> </w:t>
      </w:r>
      <w:r w:rsidR="00273470" w:rsidRPr="004A478C">
        <w:rPr>
          <w:lang w:val="lt-LT"/>
        </w:rPr>
        <w:t xml:space="preserve">tyrimų metu nustatyti šlapimo rūgšties serume vidurkio pokyčiai per ilgą laiką pavaizduoti 1 pav. </w:t>
      </w:r>
    </w:p>
    <w:p w14:paraId="026EAF07" w14:textId="77777777" w:rsidR="00273470" w:rsidRPr="004A478C" w:rsidRDefault="00273470" w:rsidP="003B28E4">
      <w:pPr>
        <w:tabs>
          <w:tab w:val="left" w:pos="4680"/>
        </w:tabs>
        <w:spacing w:line="240" w:lineRule="auto"/>
        <w:rPr>
          <w:lang w:val="lt-LT"/>
        </w:rPr>
      </w:pPr>
      <w:r w:rsidRPr="004A478C">
        <w:rPr>
          <w:lang w:val="lt-LT"/>
        </w:rPr>
        <w:t xml:space="preserve"> </w:t>
      </w:r>
    </w:p>
    <w:p w14:paraId="6B3D4C46" w14:textId="10F6AC7E" w:rsidR="00273470" w:rsidRPr="004A478C" w:rsidRDefault="00273470" w:rsidP="003B28E4">
      <w:pPr>
        <w:pStyle w:val="Antrat3"/>
        <w:tabs>
          <w:tab w:val="left" w:pos="4680"/>
        </w:tabs>
        <w:spacing w:before="0" w:after="0" w:line="240" w:lineRule="auto"/>
        <w:ind w:right="330"/>
        <w:jc w:val="center"/>
        <w:rPr>
          <w:rFonts w:ascii="Times New Roman" w:hAnsi="Times New Roman"/>
          <w:sz w:val="22"/>
          <w:lang w:val="lt-LT"/>
        </w:rPr>
      </w:pPr>
      <w:r w:rsidRPr="004A478C">
        <w:rPr>
          <w:rFonts w:ascii="Times New Roman" w:hAnsi="Times New Roman"/>
          <w:sz w:val="22"/>
          <w:lang w:val="lt-LT"/>
        </w:rPr>
        <w:t xml:space="preserve">1 pav. Apibendrinti jungtinių pagrindinių 3 fazės tyrimų vidutinio šlapimo rūgšties kiekio serume rezultatai </w:t>
      </w:r>
    </w:p>
    <w:p w14:paraId="29A40422" w14:textId="2117D455" w:rsidR="00273470" w:rsidRPr="004A478C" w:rsidRDefault="005D60A2" w:rsidP="003B28E4">
      <w:pPr>
        <w:tabs>
          <w:tab w:val="left" w:pos="4680"/>
        </w:tabs>
        <w:spacing w:line="240" w:lineRule="auto"/>
        <w:ind w:left="1511"/>
        <w:rPr>
          <w:lang w:val="lt-LT"/>
        </w:rPr>
      </w:pPr>
      <w:r w:rsidRPr="004B0C8F">
        <w:rPr>
          <w:noProof/>
          <w:snapToGrid/>
          <w:lang w:val="lt-LT" w:eastAsia="lt-LT"/>
        </w:rPr>
        <w:drawing>
          <wp:anchor distT="0" distB="0" distL="114300" distR="114300" simplePos="0" relativeHeight="251660288" behindDoc="0" locked="0" layoutInCell="1" allowOverlap="1" wp14:anchorId="15CE4FD3" wp14:editId="064F08F8">
            <wp:simplePos x="0" y="0"/>
            <wp:positionH relativeFrom="margin">
              <wp:posOffset>1414145</wp:posOffset>
            </wp:positionH>
            <wp:positionV relativeFrom="margin">
              <wp:posOffset>2899410</wp:posOffset>
            </wp:positionV>
            <wp:extent cx="190500" cy="180975"/>
            <wp:effectExtent l="0" t="0" r="0"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0500" cy="180975"/>
                    </a:xfrm>
                    <a:prstGeom prst="rect">
                      <a:avLst/>
                    </a:prstGeom>
                  </pic:spPr>
                </pic:pic>
              </a:graphicData>
            </a:graphic>
          </wp:anchor>
        </w:drawing>
      </w:r>
      <w:r w:rsidRPr="004B0C8F">
        <w:rPr>
          <w:noProof/>
          <w:snapToGrid/>
          <w:szCs w:val="22"/>
          <w:lang w:val="lt-LT" w:eastAsia="lt-LT"/>
        </w:rPr>
        <w:drawing>
          <wp:inline distT="0" distB="0" distL="0" distR="0" wp14:anchorId="5347EAE2" wp14:editId="22B7070F">
            <wp:extent cx="133350" cy="2276475"/>
            <wp:effectExtent l="0" t="0" r="0" b="9525"/>
            <wp:docPr id="7" name="Picture 82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4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96000"/>
                    <a:stretch/>
                  </pic:blipFill>
                  <pic:spPr bwMode="auto">
                    <a:xfrm>
                      <a:off x="0" y="0"/>
                      <a:ext cx="133350" cy="2276475"/>
                    </a:xfrm>
                    <a:prstGeom prst="rect">
                      <a:avLst/>
                    </a:prstGeom>
                    <a:noFill/>
                    <a:ln>
                      <a:noFill/>
                    </a:ln>
                    <a:extLst>
                      <a:ext uri="{53640926-AAD7-44D8-BBD7-CCE9431645EC}">
                        <a14:shadowObscured xmlns:a14="http://schemas.microsoft.com/office/drawing/2010/main"/>
                      </a:ext>
                    </a:extLst>
                  </pic:spPr>
                </pic:pic>
              </a:graphicData>
            </a:graphic>
          </wp:inline>
        </w:drawing>
      </w:r>
      <w:r w:rsidRPr="004B0C8F">
        <w:rPr>
          <w:noProof/>
          <w:snapToGrid/>
          <w:lang w:val="lt-LT" w:eastAsia="lt-LT"/>
        </w:rPr>
        <w:drawing>
          <wp:inline distT="0" distB="0" distL="0" distR="0" wp14:anchorId="6C6C0E71" wp14:editId="0872EACF">
            <wp:extent cx="3543300" cy="27051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43300" cy="2705100"/>
                    </a:xfrm>
                    <a:prstGeom prst="rect">
                      <a:avLst/>
                    </a:prstGeom>
                  </pic:spPr>
                </pic:pic>
              </a:graphicData>
            </a:graphic>
          </wp:inline>
        </w:drawing>
      </w:r>
    </w:p>
    <w:p w14:paraId="5AFBE89D" w14:textId="77777777" w:rsidR="00273470" w:rsidRPr="004A478C" w:rsidRDefault="00273470" w:rsidP="003B28E4">
      <w:pPr>
        <w:tabs>
          <w:tab w:val="left" w:pos="4680"/>
        </w:tabs>
        <w:spacing w:line="240" w:lineRule="auto"/>
        <w:ind w:right="128"/>
        <w:jc w:val="center"/>
        <w:rPr>
          <w:lang w:val="lt-LT"/>
        </w:rPr>
      </w:pPr>
      <w:r w:rsidRPr="004A478C">
        <w:rPr>
          <w:lang w:val="lt-LT"/>
        </w:rPr>
        <w:t>Savaitė</w:t>
      </w:r>
    </w:p>
    <w:p w14:paraId="0D17C7E6" w14:textId="56F0614C" w:rsidR="00273470" w:rsidRPr="004A478C" w:rsidRDefault="00D324C3" w:rsidP="00AE5899">
      <w:pPr>
        <w:pStyle w:val="Sraopastraipa"/>
        <w:numPr>
          <w:ilvl w:val="0"/>
          <w:numId w:val="16"/>
        </w:numPr>
        <w:tabs>
          <w:tab w:val="left" w:pos="4680"/>
        </w:tabs>
        <w:spacing w:line="240" w:lineRule="auto"/>
        <w:ind w:right="1569"/>
        <w:jc w:val="right"/>
        <w:rPr>
          <w:lang w:val="lt-LT"/>
        </w:rPr>
      </w:pPr>
      <w:r w:rsidRPr="004B0C8F">
        <w:rPr>
          <w:szCs w:val="22"/>
          <w:lang w:val="lt-LT"/>
        </w:rPr>
        <w:t>TP – tyrimo pradžia; SPV – standartinė vidurkio paklaida</w:t>
      </w:r>
    </w:p>
    <w:p w14:paraId="645C7581" w14:textId="77777777" w:rsidR="00273470" w:rsidRPr="004A478C" w:rsidRDefault="00273470" w:rsidP="003B28E4">
      <w:pPr>
        <w:tabs>
          <w:tab w:val="left" w:pos="4680"/>
        </w:tabs>
        <w:spacing w:line="240" w:lineRule="auto"/>
        <w:ind w:left="657" w:right="397" w:hanging="665"/>
        <w:rPr>
          <w:lang w:val="lt-LT"/>
        </w:rPr>
      </w:pPr>
      <w:r w:rsidRPr="004A478C">
        <w:rPr>
          <w:lang w:val="lt-LT"/>
        </w:rPr>
        <w:t>Pastaba:</w:t>
      </w:r>
      <w:r w:rsidRPr="004A478C">
        <w:rPr>
          <w:b/>
          <w:lang w:val="lt-LT"/>
        </w:rPr>
        <w:t xml:space="preserve"> </w:t>
      </w:r>
      <w:r w:rsidRPr="004A478C">
        <w:rPr>
          <w:lang w:val="lt-LT"/>
        </w:rPr>
        <w:t>509 pacientai vartojo 300</w:t>
      </w:r>
      <w:r w:rsidR="00E87295" w:rsidRPr="004A478C">
        <w:rPr>
          <w:lang w:val="lt-LT"/>
        </w:rPr>
        <w:t> mg</w:t>
      </w:r>
      <w:r w:rsidRPr="004A478C">
        <w:rPr>
          <w:lang w:val="lt-LT"/>
        </w:rPr>
        <w:t xml:space="preserve"> </w:t>
      </w:r>
      <w:proofErr w:type="spellStart"/>
      <w:r w:rsidRPr="004A478C">
        <w:rPr>
          <w:lang w:val="lt-LT"/>
        </w:rPr>
        <w:t>alopurinolio</w:t>
      </w:r>
      <w:proofErr w:type="spellEnd"/>
      <w:r w:rsidRPr="004A478C">
        <w:rPr>
          <w:lang w:val="lt-LT"/>
        </w:rPr>
        <w:t xml:space="preserve"> per parą; 10 pacientų, kurių kreatinino koncentracija serume buvo &gt; 1,5, bet ≤ 2,0</w:t>
      </w:r>
      <w:r w:rsidR="00E87295" w:rsidRPr="004A478C">
        <w:rPr>
          <w:lang w:val="lt-LT"/>
        </w:rPr>
        <w:t> mg</w:t>
      </w:r>
      <w:r w:rsidRPr="004A478C">
        <w:rPr>
          <w:lang w:val="lt-LT"/>
        </w:rPr>
        <w:t>/dl, vartojo 100</w:t>
      </w:r>
      <w:r w:rsidR="00E87295" w:rsidRPr="004A478C">
        <w:rPr>
          <w:lang w:val="lt-LT"/>
        </w:rPr>
        <w:t> mg</w:t>
      </w:r>
      <w:r w:rsidRPr="004A478C">
        <w:rPr>
          <w:lang w:val="lt-LT"/>
        </w:rPr>
        <w:t xml:space="preserve"> per parą dozę. (10 pacientų iš 268 APEX tyrimo pacientų). </w:t>
      </w:r>
    </w:p>
    <w:p w14:paraId="4A14C37C" w14:textId="77777777" w:rsidR="00273470" w:rsidRPr="004A478C" w:rsidRDefault="00273470" w:rsidP="003B28E4">
      <w:pPr>
        <w:tabs>
          <w:tab w:val="left" w:pos="4680"/>
        </w:tabs>
        <w:spacing w:line="240" w:lineRule="auto"/>
        <w:ind w:left="675" w:right="397"/>
        <w:rPr>
          <w:lang w:val="lt-LT"/>
        </w:rPr>
      </w:pPr>
      <w:proofErr w:type="spellStart"/>
      <w:r w:rsidRPr="004A478C">
        <w:rPr>
          <w:lang w:val="lt-LT"/>
        </w:rPr>
        <w:t>Febuksostato</w:t>
      </w:r>
      <w:proofErr w:type="spellEnd"/>
      <w:r w:rsidRPr="004A478C">
        <w:rPr>
          <w:lang w:val="lt-LT"/>
        </w:rPr>
        <w:t xml:space="preserve"> saugumui įvertinti buvo naudojama 240</w:t>
      </w:r>
      <w:r w:rsidR="00E87295" w:rsidRPr="004A478C">
        <w:rPr>
          <w:lang w:val="lt-LT"/>
        </w:rPr>
        <w:t> mg</w:t>
      </w:r>
      <w:r w:rsidRPr="004A478C">
        <w:rPr>
          <w:lang w:val="lt-LT"/>
        </w:rPr>
        <w:t xml:space="preserve"> dozė, kuri yra dvigubai didesnė už rekomenduojamą maksimalią dozę.  </w:t>
      </w:r>
    </w:p>
    <w:p w14:paraId="199C3BEC" w14:textId="77777777" w:rsidR="00273470" w:rsidRPr="004A478C" w:rsidRDefault="00273470" w:rsidP="003B28E4">
      <w:pPr>
        <w:tabs>
          <w:tab w:val="left" w:pos="4680"/>
        </w:tabs>
        <w:spacing w:line="240" w:lineRule="auto"/>
        <w:rPr>
          <w:lang w:val="lt-LT"/>
        </w:rPr>
      </w:pPr>
      <w:r w:rsidRPr="004A478C">
        <w:rPr>
          <w:lang w:val="lt-LT"/>
        </w:rPr>
        <w:t xml:space="preserve"> </w:t>
      </w:r>
    </w:p>
    <w:p w14:paraId="19B39857" w14:textId="5CD29438" w:rsidR="00273470" w:rsidRPr="004A478C" w:rsidRDefault="00273470" w:rsidP="003B28E4">
      <w:pPr>
        <w:tabs>
          <w:tab w:val="left" w:pos="4680"/>
        </w:tabs>
        <w:spacing w:line="240" w:lineRule="auto"/>
        <w:ind w:left="2" w:right="397"/>
        <w:rPr>
          <w:lang w:val="lt-LT"/>
        </w:rPr>
      </w:pPr>
      <w:r w:rsidRPr="004A478C">
        <w:rPr>
          <w:lang w:val="lt-LT"/>
        </w:rPr>
        <w:t xml:space="preserve">CONFIRMS tyrimas buvo 3 fazės atsitiktinių imčių kontroliuojamas 26 savaičių trukmės tyrimas siekiant nustatyti </w:t>
      </w:r>
      <w:proofErr w:type="spellStart"/>
      <w:r w:rsidRPr="004A478C">
        <w:rPr>
          <w:lang w:val="lt-LT"/>
        </w:rPr>
        <w:t>febuksostato</w:t>
      </w:r>
      <w:proofErr w:type="spellEnd"/>
      <w:r w:rsidRPr="004A478C">
        <w:rPr>
          <w:lang w:val="lt-LT"/>
        </w:rPr>
        <w:t xml:space="preserve"> 40</w:t>
      </w:r>
      <w:r w:rsidR="00E87295" w:rsidRPr="004A478C">
        <w:rPr>
          <w:lang w:val="lt-LT"/>
        </w:rPr>
        <w:t> mg</w:t>
      </w:r>
      <w:r w:rsidRPr="004A478C">
        <w:rPr>
          <w:lang w:val="lt-LT"/>
        </w:rPr>
        <w:t xml:space="preserve"> ir 80</w:t>
      </w:r>
      <w:r w:rsidR="00E87295" w:rsidRPr="004A478C">
        <w:rPr>
          <w:lang w:val="lt-LT"/>
        </w:rPr>
        <w:t> mg</w:t>
      </w:r>
      <w:r w:rsidRPr="004A478C">
        <w:rPr>
          <w:lang w:val="lt-LT"/>
        </w:rPr>
        <w:t xml:space="preserve"> dozių saugumą ir veiksmingumą palyginti su 300</w:t>
      </w:r>
      <w:r w:rsidR="00E87295" w:rsidRPr="004A478C">
        <w:rPr>
          <w:lang w:val="lt-LT"/>
        </w:rPr>
        <w:t> mg</w:t>
      </w:r>
      <w:r w:rsidRPr="004A478C">
        <w:rPr>
          <w:lang w:val="lt-LT"/>
        </w:rPr>
        <w:t xml:space="preserve"> arba 200</w:t>
      </w:r>
      <w:r w:rsidR="00E87295" w:rsidRPr="004A478C">
        <w:rPr>
          <w:lang w:val="lt-LT"/>
        </w:rPr>
        <w:t> mg</w:t>
      </w:r>
      <w:r w:rsidRPr="004A478C">
        <w:rPr>
          <w:lang w:val="lt-LT"/>
        </w:rPr>
        <w:t xml:space="preserve"> </w:t>
      </w:r>
      <w:proofErr w:type="spellStart"/>
      <w:r w:rsidRPr="004A478C">
        <w:rPr>
          <w:lang w:val="lt-LT"/>
        </w:rPr>
        <w:t>alopurinolio</w:t>
      </w:r>
      <w:proofErr w:type="spellEnd"/>
      <w:r w:rsidRPr="004A478C">
        <w:rPr>
          <w:lang w:val="lt-LT"/>
        </w:rPr>
        <w:t xml:space="preserve"> doze sergantiems podagra ir </w:t>
      </w:r>
      <w:proofErr w:type="spellStart"/>
      <w:r w:rsidRPr="004A478C">
        <w:rPr>
          <w:lang w:val="lt-LT"/>
        </w:rPr>
        <w:t>hiperurikemija</w:t>
      </w:r>
      <w:proofErr w:type="spellEnd"/>
      <w:r w:rsidRPr="004A478C">
        <w:rPr>
          <w:lang w:val="lt-LT"/>
        </w:rPr>
        <w:t xml:space="preserve">. Tirti </w:t>
      </w:r>
      <w:r w:rsidR="003D0095" w:rsidRPr="004A478C">
        <w:rPr>
          <w:lang w:val="lt-LT"/>
        </w:rPr>
        <w:t xml:space="preserve">2269 </w:t>
      </w:r>
      <w:r w:rsidRPr="004A478C">
        <w:rPr>
          <w:lang w:val="lt-LT"/>
        </w:rPr>
        <w:t xml:space="preserve">pacientai: </w:t>
      </w:r>
    </w:p>
    <w:p w14:paraId="19E7FFA6" w14:textId="77777777" w:rsidR="00273470" w:rsidRPr="004A478C" w:rsidRDefault="003D08A1" w:rsidP="003B28E4">
      <w:pPr>
        <w:tabs>
          <w:tab w:val="left" w:pos="4680"/>
        </w:tabs>
        <w:spacing w:line="240" w:lineRule="auto"/>
        <w:ind w:left="2" w:right="470"/>
        <w:rPr>
          <w:lang w:val="lt-LT"/>
        </w:rPr>
      </w:pPr>
      <w:proofErr w:type="spellStart"/>
      <w:r w:rsidRPr="004A478C">
        <w:rPr>
          <w:lang w:val="lt-LT"/>
        </w:rPr>
        <w:t>febuksostato</w:t>
      </w:r>
      <w:proofErr w:type="spellEnd"/>
      <w:r w:rsidRPr="004A478C">
        <w:rPr>
          <w:lang w:val="lt-LT"/>
        </w:rPr>
        <w:t xml:space="preserve"> </w:t>
      </w:r>
      <w:r w:rsidR="00273470" w:rsidRPr="004A478C">
        <w:rPr>
          <w:lang w:val="lt-LT"/>
        </w:rPr>
        <w:t>40</w:t>
      </w:r>
      <w:r w:rsidR="00E87295" w:rsidRPr="004A478C">
        <w:rPr>
          <w:lang w:val="lt-LT"/>
        </w:rPr>
        <w:t> mg</w:t>
      </w:r>
      <w:r w:rsidR="00273470" w:rsidRPr="004A478C">
        <w:rPr>
          <w:lang w:val="lt-LT"/>
        </w:rPr>
        <w:t xml:space="preserve"> per parą (n=757), </w:t>
      </w:r>
      <w:proofErr w:type="spellStart"/>
      <w:r w:rsidRPr="004A478C">
        <w:rPr>
          <w:lang w:val="lt-LT"/>
        </w:rPr>
        <w:t>febuksostato</w:t>
      </w:r>
      <w:proofErr w:type="spellEnd"/>
      <w:r w:rsidRPr="004A478C">
        <w:rPr>
          <w:lang w:val="lt-LT"/>
        </w:rPr>
        <w:t xml:space="preserve"> </w:t>
      </w:r>
      <w:r w:rsidR="00273470" w:rsidRPr="004A478C">
        <w:rPr>
          <w:lang w:val="lt-LT"/>
        </w:rPr>
        <w:t>80</w:t>
      </w:r>
      <w:r w:rsidR="00E87295" w:rsidRPr="004A478C">
        <w:rPr>
          <w:lang w:val="lt-LT"/>
        </w:rPr>
        <w:t> mg</w:t>
      </w:r>
      <w:r w:rsidR="00273470" w:rsidRPr="004A478C">
        <w:rPr>
          <w:lang w:val="lt-LT"/>
        </w:rPr>
        <w:t xml:space="preserve"> per parą (n=756) arba </w:t>
      </w:r>
      <w:proofErr w:type="spellStart"/>
      <w:r w:rsidR="00273470" w:rsidRPr="004A478C">
        <w:rPr>
          <w:lang w:val="lt-LT"/>
        </w:rPr>
        <w:t>alopurinoli</w:t>
      </w:r>
      <w:r w:rsidRPr="004A478C">
        <w:rPr>
          <w:lang w:val="lt-LT"/>
        </w:rPr>
        <w:t>o</w:t>
      </w:r>
      <w:proofErr w:type="spellEnd"/>
      <w:r w:rsidR="00273470" w:rsidRPr="004A478C">
        <w:rPr>
          <w:lang w:val="lt-LT"/>
        </w:rPr>
        <w:t xml:space="preserve"> 300</w:t>
      </w:r>
      <w:r w:rsidRPr="004A478C">
        <w:rPr>
          <w:lang w:val="lt-LT"/>
        </w:rPr>
        <w:t xml:space="preserve"> arba </w:t>
      </w:r>
      <w:r w:rsidR="00273470" w:rsidRPr="004A478C">
        <w:rPr>
          <w:lang w:val="lt-LT"/>
        </w:rPr>
        <w:t>200</w:t>
      </w:r>
      <w:r w:rsidR="00E87295" w:rsidRPr="004A478C">
        <w:rPr>
          <w:lang w:val="lt-LT"/>
        </w:rPr>
        <w:t> mg</w:t>
      </w:r>
      <w:r w:rsidR="00273470" w:rsidRPr="004A478C">
        <w:rPr>
          <w:lang w:val="lt-LT"/>
        </w:rPr>
        <w:t xml:space="preserve"> per parą (n=756). Mažiausiai 65% pacientų buvo nustatytas lengvas arba vidutinis inkstų </w:t>
      </w:r>
      <w:r w:rsidRPr="004A478C">
        <w:rPr>
          <w:lang w:val="lt-LT"/>
        </w:rPr>
        <w:t xml:space="preserve">funkcijos </w:t>
      </w:r>
      <w:r w:rsidR="00273470" w:rsidRPr="004A478C">
        <w:rPr>
          <w:lang w:val="lt-LT"/>
        </w:rPr>
        <w:t xml:space="preserve">sutrikimas (kreatinino klirensas 30-89 ml/min.). Podagros priepuolio profilaktika buvo privaloma 26 savaites. </w:t>
      </w:r>
    </w:p>
    <w:p w14:paraId="74474610" w14:textId="77777777" w:rsidR="00273470" w:rsidRPr="004A478C" w:rsidRDefault="00273470" w:rsidP="003B28E4">
      <w:pPr>
        <w:tabs>
          <w:tab w:val="left" w:pos="4680"/>
        </w:tabs>
        <w:spacing w:line="240" w:lineRule="auto"/>
        <w:ind w:left="2" w:right="397"/>
        <w:rPr>
          <w:lang w:val="lt-LT"/>
        </w:rPr>
      </w:pPr>
      <w:r w:rsidRPr="004A478C">
        <w:rPr>
          <w:lang w:val="lt-LT"/>
        </w:rPr>
        <w:t>Pacientai, kurių kraujo serume šlapimo rūgšties koncentracija galutinio vizito metu buvo &lt;6,0</w:t>
      </w:r>
      <w:r w:rsidR="00E87295" w:rsidRPr="004A478C">
        <w:rPr>
          <w:lang w:val="lt-LT"/>
        </w:rPr>
        <w:t> mg</w:t>
      </w:r>
      <w:r w:rsidRPr="004A478C">
        <w:rPr>
          <w:lang w:val="lt-LT"/>
        </w:rPr>
        <w:t>/dl (357 µ</w:t>
      </w:r>
      <w:proofErr w:type="spellStart"/>
      <w:r w:rsidRPr="004A478C">
        <w:rPr>
          <w:lang w:val="lt-LT"/>
        </w:rPr>
        <w:t>mol</w:t>
      </w:r>
      <w:proofErr w:type="spellEnd"/>
      <w:r w:rsidRPr="004A478C">
        <w:rPr>
          <w:lang w:val="lt-LT"/>
        </w:rPr>
        <w:t xml:space="preserve">/l), sudarė 45% </w:t>
      </w:r>
      <w:proofErr w:type="spellStart"/>
      <w:r w:rsidRPr="004A478C">
        <w:rPr>
          <w:lang w:val="lt-LT"/>
        </w:rPr>
        <w:t>febuksostato</w:t>
      </w:r>
      <w:proofErr w:type="spellEnd"/>
      <w:r w:rsidRPr="004A478C">
        <w:rPr>
          <w:lang w:val="lt-LT"/>
        </w:rPr>
        <w:t xml:space="preserve"> 40</w:t>
      </w:r>
      <w:r w:rsidR="00E87295" w:rsidRPr="004A478C">
        <w:rPr>
          <w:lang w:val="lt-LT"/>
        </w:rPr>
        <w:t> mg</w:t>
      </w:r>
      <w:r w:rsidRPr="004A478C">
        <w:rPr>
          <w:lang w:val="lt-LT"/>
        </w:rPr>
        <w:t xml:space="preserve"> grupėje, 67% - </w:t>
      </w:r>
      <w:proofErr w:type="spellStart"/>
      <w:r w:rsidRPr="004A478C">
        <w:rPr>
          <w:lang w:val="lt-LT"/>
        </w:rPr>
        <w:t>febuksostato</w:t>
      </w:r>
      <w:proofErr w:type="spellEnd"/>
      <w:r w:rsidRPr="004A478C">
        <w:rPr>
          <w:lang w:val="lt-LT"/>
        </w:rPr>
        <w:t xml:space="preserve"> 80</w:t>
      </w:r>
      <w:r w:rsidR="00E87295" w:rsidRPr="004A478C">
        <w:rPr>
          <w:lang w:val="lt-LT"/>
        </w:rPr>
        <w:t> mg</w:t>
      </w:r>
      <w:r w:rsidRPr="004A478C">
        <w:rPr>
          <w:lang w:val="lt-LT"/>
        </w:rPr>
        <w:t xml:space="preserve"> grupėje, 42% </w:t>
      </w:r>
      <w:proofErr w:type="spellStart"/>
      <w:r w:rsidRPr="004A478C">
        <w:rPr>
          <w:lang w:val="lt-LT"/>
        </w:rPr>
        <w:t>alopurinolio</w:t>
      </w:r>
      <w:proofErr w:type="spellEnd"/>
      <w:r w:rsidRPr="004A478C">
        <w:rPr>
          <w:lang w:val="lt-LT"/>
        </w:rPr>
        <w:t xml:space="preserve"> 300</w:t>
      </w:r>
      <w:r w:rsidR="003D08A1" w:rsidRPr="004A478C">
        <w:rPr>
          <w:lang w:val="lt-LT"/>
        </w:rPr>
        <w:t xml:space="preserve"> arba </w:t>
      </w:r>
      <w:r w:rsidRPr="004A478C">
        <w:rPr>
          <w:lang w:val="lt-LT"/>
        </w:rPr>
        <w:t>200</w:t>
      </w:r>
      <w:r w:rsidR="00E87295" w:rsidRPr="004A478C">
        <w:rPr>
          <w:lang w:val="lt-LT"/>
        </w:rPr>
        <w:t> mg</w:t>
      </w:r>
      <w:r w:rsidRPr="004A478C">
        <w:rPr>
          <w:lang w:val="lt-LT"/>
        </w:rPr>
        <w:t xml:space="preserve"> grupėje. </w:t>
      </w:r>
    </w:p>
    <w:p w14:paraId="6D57CDF1" w14:textId="77777777" w:rsidR="00273470" w:rsidRPr="004A478C" w:rsidRDefault="00273470" w:rsidP="003B28E4">
      <w:pPr>
        <w:tabs>
          <w:tab w:val="left" w:pos="4680"/>
        </w:tabs>
        <w:spacing w:line="240" w:lineRule="auto"/>
        <w:rPr>
          <w:lang w:val="lt-LT"/>
        </w:rPr>
      </w:pPr>
      <w:r w:rsidRPr="004A478C">
        <w:rPr>
          <w:lang w:val="lt-LT"/>
        </w:rPr>
        <w:t xml:space="preserve"> </w:t>
      </w:r>
    </w:p>
    <w:p w14:paraId="5C8499C0" w14:textId="77777777" w:rsidR="00273470" w:rsidRPr="004A478C" w:rsidRDefault="00273470" w:rsidP="003B28E4">
      <w:pPr>
        <w:tabs>
          <w:tab w:val="left" w:pos="4680"/>
        </w:tabs>
        <w:spacing w:line="240" w:lineRule="auto"/>
        <w:ind w:left="-5"/>
        <w:rPr>
          <w:lang w:val="lt-LT"/>
        </w:rPr>
      </w:pPr>
      <w:r w:rsidRPr="004A478C">
        <w:rPr>
          <w:i/>
          <w:lang w:val="lt-LT"/>
        </w:rPr>
        <w:t xml:space="preserve">Pacientų, kurių inkstų </w:t>
      </w:r>
      <w:r w:rsidR="003D08A1" w:rsidRPr="004A478C">
        <w:rPr>
          <w:i/>
          <w:lang w:val="lt-LT"/>
        </w:rPr>
        <w:t xml:space="preserve">funkcija </w:t>
      </w:r>
      <w:r w:rsidRPr="004A478C">
        <w:rPr>
          <w:i/>
          <w:lang w:val="lt-LT"/>
        </w:rPr>
        <w:t xml:space="preserve">sutrikusi, pagrindinė vertinamoji baigtis </w:t>
      </w:r>
    </w:p>
    <w:p w14:paraId="660B36AF" w14:textId="77777777" w:rsidR="00273470" w:rsidRPr="004A478C" w:rsidRDefault="00273470" w:rsidP="003B28E4">
      <w:pPr>
        <w:tabs>
          <w:tab w:val="left" w:pos="4680"/>
        </w:tabs>
        <w:spacing w:line="240" w:lineRule="auto"/>
        <w:ind w:left="2" w:right="563"/>
        <w:rPr>
          <w:lang w:val="lt-LT"/>
        </w:rPr>
      </w:pPr>
      <w:r w:rsidRPr="004A478C">
        <w:rPr>
          <w:lang w:val="lt-LT"/>
        </w:rPr>
        <w:t xml:space="preserve">APEX tyrimo metu buvo vertinamas vaisto veiksmingumas 40 pacientų, kurių inkstų </w:t>
      </w:r>
      <w:r w:rsidR="003D08A1" w:rsidRPr="004A478C">
        <w:rPr>
          <w:lang w:val="lt-LT"/>
        </w:rPr>
        <w:t xml:space="preserve">funkcija </w:t>
      </w:r>
      <w:r w:rsidRPr="004A478C">
        <w:rPr>
          <w:lang w:val="lt-LT"/>
        </w:rPr>
        <w:t>sutrikusi (t. y. kai pradinis kreatinino klirensas &lt; 1,5</w:t>
      </w:r>
      <w:r w:rsidR="00E87295" w:rsidRPr="004A478C">
        <w:rPr>
          <w:lang w:val="lt-LT"/>
        </w:rPr>
        <w:t> mg</w:t>
      </w:r>
      <w:r w:rsidRPr="004A478C">
        <w:rPr>
          <w:lang w:val="lt-LT"/>
        </w:rPr>
        <w:t>/dl, bet ≤2</w:t>
      </w:r>
      <w:r w:rsidR="00E87295" w:rsidRPr="004A478C">
        <w:rPr>
          <w:lang w:val="lt-LT"/>
        </w:rPr>
        <w:t>,</w:t>
      </w:r>
      <w:r w:rsidRPr="004A478C">
        <w:rPr>
          <w:lang w:val="lt-LT"/>
        </w:rPr>
        <w:t>0</w:t>
      </w:r>
      <w:r w:rsidR="00E87295" w:rsidRPr="004A478C">
        <w:rPr>
          <w:lang w:val="lt-LT"/>
        </w:rPr>
        <w:t> mg</w:t>
      </w:r>
      <w:r w:rsidRPr="004A478C">
        <w:rPr>
          <w:lang w:val="lt-LT"/>
        </w:rPr>
        <w:t xml:space="preserve">/dl). Inkstų </w:t>
      </w:r>
      <w:r w:rsidR="003D08A1" w:rsidRPr="004A478C">
        <w:rPr>
          <w:lang w:val="lt-LT"/>
        </w:rPr>
        <w:t xml:space="preserve">funkcijos </w:t>
      </w:r>
      <w:r w:rsidRPr="004A478C">
        <w:rPr>
          <w:lang w:val="lt-LT"/>
        </w:rPr>
        <w:t xml:space="preserve">sutrikimu sergantiems pacientams, kurie atsitiktinių imčių būdu pateko į </w:t>
      </w:r>
      <w:proofErr w:type="spellStart"/>
      <w:r w:rsidRPr="004A478C">
        <w:rPr>
          <w:lang w:val="lt-LT"/>
        </w:rPr>
        <w:t>alopurinolio</w:t>
      </w:r>
      <w:proofErr w:type="spellEnd"/>
      <w:r w:rsidRPr="004A478C">
        <w:rPr>
          <w:lang w:val="lt-LT"/>
        </w:rPr>
        <w:t xml:space="preserve"> grupę, buvo skiriama 100</w:t>
      </w:r>
      <w:r w:rsidR="00E87295" w:rsidRPr="004A478C">
        <w:rPr>
          <w:lang w:val="lt-LT"/>
        </w:rPr>
        <w:t> mg</w:t>
      </w:r>
      <w:r w:rsidRPr="004A478C">
        <w:rPr>
          <w:lang w:val="lt-LT"/>
        </w:rPr>
        <w:t xml:space="preserve"> vaisto dozė per parą. </w:t>
      </w:r>
      <w:proofErr w:type="spellStart"/>
      <w:r w:rsidR="003D08A1" w:rsidRPr="004A478C">
        <w:rPr>
          <w:lang w:val="lt-LT"/>
        </w:rPr>
        <w:t>Febuksostato</w:t>
      </w:r>
      <w:proofErr w:type="spellEnd"/>
      <w:r w:rsidR="003D08A1" w:rsidRPr="004A478C">
        <w:rPr>
          <w:lang w:val="lt-LT"/>
        </w:rPr>
        <w:t xml:space="preserve"> </w:t>
      </w:r>
      <w:r w:rsidRPr="004A478C">
        <w:rPr>
          <w:lang w:val="lt-LT"/>
        </w:rPr>
        <w:t>grupėje pagrindinė veiksmingumo vertinamoji baigtis konstatuota 44% (80</w:t>
      </w:r>
      <w:r w:rsidR="00E87295" w:rsidRPr="004A478C">
        <w:rPr>
          <w:lang w:val="lt-LT"/>
        </w:rPr>
        <w:t> mg</w:t>
      </w:r>
      <w:r w:rsidRPr="004A478C">
        <w:rPr>
          <w:lang w:val="lt-LT"/>
        </w:rPr>
        <w:t xml:space="preserve"> per parą), 45% (120</w:t>
      </w:r>
      <w:r w:rsidR="00E87295" w:rsidRPr="004A478C">
        <w:rPr>
          <w:lang w:val="lt-LT"/>
        </w:rPr>
        <w:t> mg</w:t>
      </w:r>
      <w:r w:rsidRPr="004A478C">
        <w:rPr>
          <w:lang w:val="lt-LT"/>
        </w:rPr>
        <w:t xml:space="preserve"> per parą) ir 60% (240</w:t>
      </w:r>
      <w:r w:rsidR="00E87295" w:rsidRPr="004A478C">
        <w:rPr>
          <w:lang w:val="lt-LT"/>
        </w:rPr>
        <w:t> mg</w:t>
      </w:r>
      <w:r w:rsidRPr="004A478C">
        <w:rPr>
          <w:lang w:val="lt-LT"/>
        </w:rPr>
        <w:t xml:space="preserve"> per parą) pacientų, palyginti su 0% </w:t>
      </w:r>
      <w:proofErr w:type="spellStart"/>
      <w:r w:rsidRPr="004A478C">
        <w:rPr>
          <w:lang w:val="lt-LT"/>
        </w:rPr>
        <w:t>alopurinolio</w:t>
      </w:r>
      <w:proofErr w:type="spellEnd"/>
      <w:r w:rsidRPr="004A478C">
        <w:rPr>
          <w:lang w:val="lt-LT"/>
        </w:rPr>
        <w:t xml:space="preserve"> 100</w:t>
      </w:r>
      <w:r w:rsidR="00E87295" w:rsidRPr="004A478C">
        <w:rPr>
          <w:lang w:val="lt-LT"/>
        </w:rPr>
        <w:t> mg</w:t>
      </w:r>
      <w:r w:rsidRPr="004A478C">
        <w:rPr>
          <w:lang w:val="lt-LT"/>
        </w:rPr>
        <w:t xml:space="preserve"> per parą ir placebo grupėmis. </w:t>
      </w:r>
    </w:p>
    <w:p w14:paraId="573DD2E8" w14:textId="77777777" w:rsidR="00273470" w:rsidRPr="004A478C" w:rsidRDefault="00273470" w:rsidP="003B28E4">
      <w:pPr>
        <w:tabs>
          <w:tab w:val="left" w:pos="4680"/>
        </w:tabs>
        <w:spacing w:line="240" w:lineRule="auto"/>
        <w:rPr>
          <w:lang w:val="lt-LT"/>
        </w:rPr>
      </w:pPr>
      <w:r w:rsidRPr="004A478C">
        <w:rPr>
          <w:lang w:val="lt-LT"/>
        </w:rPr>
        <w:t xml:space="preserve"> </w:t>
      </w:r>
    </w:p>
    <w:p w14:paraId="79D0E75E" w14:textId="77777777" w:rsidR="00273470" w:rsidRPr="004A478C" w:rsidRDefault="00273470" w:rsidP="003B28E4">
      <w:pPr>
        <w:tabs>
          <w:tab w:val="left" w:pos="4680"/>
        </w:tabs>
        <w:spacing w:line="240" w:lineRule="auto"/>
        <w:ind w:left="2" w:right="397"/>
        <w:rPr>
          <w:lang w:val="lt-LT"/>
        </w:rPr>
      </w:pPr>
      <w:r w:rsidRPr="004A478C">
        <w:rPr>
          <w:lang w:val="lt-LT"/>
        </w:rPr>
        <w:lastRenderedPageBreak/>
        <w:t xml:space="preserve">Procentinės šlapimo rūgšties koncentracijos serume sumažėjimo išraiškos kliniškai reikšmingų skirtumų sveikiems asmenims, nepriklausomai nuo jų inkstų </w:t>
      </w:r>
      <w:r w:rsidR="003D08A1" w:rsidRPr="004A478C">
        <w:rPr>
          <w:lang w:val="lt-LT"/>
        </w:rPr>
        <w:t>funkcijos</w:t>
      </w:r>
      <w:r w:rsidRPr="004A478C">
        <w:rPr>
          <w:lang w:val="lt-LT"/>
        </w:rPr>
        <w:t xml:space="preserve">, nenustatyta (58% pacientų, kurių inkstų </w:t>
      </w:r>
      <w:r w:rsidR="003D08A1" w:rsidRPr="004A478C">
        <w:rPr>
          <w:lang w:val="lt-LT"/>
        </w:rPr>
        <w:t xml:space="preserve">funkcija </w:t>
      </w:r>
      <w:r w:rsidRPr="004A478C">
        <w:rPr>
          <w:lang w:val="lt-LT"/>
        </w:rPr>
        <w:t xml:space="preserve">normali ir 55% pacientų, </w:t>
      </w:r>
      <w:r w:rsidR="003D08A1" w:rsidRPr="004A478C">
        <w:rPr>
          <w:lang w:val="lt-LT"/>
        </w:rPr>
        <w:t>kuriems buvo sunkus inkstų funkcijos sutrikimas</w:t>
      </w:r>
      <w:r w:rsidRPr="004A478C">
        <w:rPr>
          <w:lang w:val="lt-LT"/>
        </w:rPr>
        <w:t xml:space="preserve">). </w:t>
      </w:r>
    </w:p>
    <w:p w14:paraId="5E49003A" w14:textId="77777777" w:rsidR="00273470" w:rsidRPr="004A478C" w:rsidRDefault="00273470" w:rsidP="003B28E4">
      <w:pPr>
        <w:tabs>
          <w:tab w:val="left" w:pos="4680"/>
        </w:tabs>
        <w:spacing w:line="240" w:lineRule="auto"/>
        <w:rPr>
          <w:lang w:val="lt-LT"/>
        </w:rPr>
      </w:pPr>
      <w:r w:rsidRPr="004A478C">
        <w:rPr>
          <w:lang w:val="lt-LT"/>
        </w:rPr>
        <w:t xml:space="preserve"> </w:t>
      </w:r>
    </w:p>
    <w:p w14:paraId="319A8D4F" w14:textId="77777777" w:rsidR="00273470" w:rsidRPr="004A478C" w:rsidRDefault="00273470" w:rsidP="003B28E4">
      <w:pPr>
        <w:tabs>
          <w:tab w:val="left" w:pos="4680"/>
        </w:tabs>
        <w:spacing w:line="240" w:lineRule="auto"/>
        <w:ind w:left="2" w:right="397"/>
        <w:rPr>
          <w:lang w:val="lt-LT"/>
        </w:rPr>
      </w:pPr>
      <w:r w:rsidRPr="004A478C">
        <w:rPr>
          <w:lang w:val="lt-LT"/>
        </w:rPr>
        <w:t xml:space="preserve">CONFIRMS tyrime buvo numatyta </w:t>
      </w:r>
      <w:proofErr w:type="spellStart"/>
      <w:r w:rsidRPr="004A478C">
        <w:rPr>
          <w:lang w:val="lt-LT"/>
        </w:rPr>
        <w:t>prospektyvi</w:t>
      </w:r>
      <w:proofErr w:type="spellEnd"/>
      <w:r w:rsidRPr="004A478C">
        <w:rPr>
          <w:lang w:val="lt-LT"/>
        </w:rPr>
        <w:t xml:space="preserve"> pacientų su podagra ir inkstų </w:t>
      </w:r>
      <w:r w:rsidR="003D08A1" w:rsidRPr="004A478C">
        <w:rPr>
          <w:lang w:val="lt-LT"/>
        </w:rPr>
        <w:t xml:space="preserve">funkcijos </w:t>
      </w:r>
      <w:r w:rsidRPr="004A478C">
        <w:rPr>
          <w:lang w:val="lt-LT"/>
        </w:rPr>
        <w:t xml:space="preserve">sutrikimu analizė; nustatyta, kad </w:t>
      </w:r>
      <w:proofErr w:type="spellStart"/>
      <w:r w:rsidRPr="004A478C">
        <w:rPr>
          <w:lang w:val="lt-LT"/>
        </w:rPr>
        <w:t>febuksostatas</w:t>
      </w:r>
      <w:proofErr w:type="spellEnd"/>
      <w:r w:rsidRPr="004A478C">
        <w:rPr>
          <w:lang w:val="lt-LT"/>
        </w:rPr>
        <w:t xml:space="preserve"> buvo reikšmingai veiksmingesnis mažinant šlapimo rūgšties kiekį kraujo serume iki &lt;6</w:t>
      </w:r>
      <w:r w:rsidR="00E87295" w:rsidRPr="004A478C">
        <w:rPr>
          <w:lang w:val="lt-LT"/>
        </w:rPr>
        <w:t> mg</w:t>
      </w:r>
      <w:r w:rsidRPr="004A478C">
        <w:rPr>
          <w:lang w:val="lt-LT"/>
        </w:rPr>
        <w:t>/dl palyginti su 300</w:t>
      </w:r>
      <w:r w:rsidR="003D08A1" w:rsidRPr="004A478C">
        <w:rPr>
          <w:lang w:val="lt-LT"/>
        </w:rPr>
        <w:t xml:space="preserve"> arba </w:t>
      </w:r>
      <w:r w:rsidRPr="004A478C">
        <w:rPr>
          <w:lang w:val="lt-LT"/>
        </w:rPr>
        <w:t>200</w:t>
      </w:r>
      <w:r w:rsidR="00E87295" w:rsidRPr="004A478C">
        <w:rPr>
          <w:lang w:val="lt-LT"/>
        </w:rPr>
        <w:t> mg</w:t>
      </w:r>
      <w:r w:rsidRPr="004A478C">
        <w:rPr>
          <w:lang w:val="lt-LT"/>
        </w:rPr>
        <w:t xml:space="preserve"> </w:t>
      </w:r>
      <w:proofErr w:type="spellStart"/>
      <w:r w:rsidRPr="004A478C">
        <w:rPr>
          <w:lang w:val="lt-LT"/>
        </w:rPr>
        <w:t>alopurinolio</w:t>
      </w:r>
      <w:proofErr w:type="spellEnd"/>
      <w:r w:rsidRPr="004A478C">
        <w:rPr>
          <w:lang w:val="lt-LT"/>
        </w:rPr>
        <w:t xml:space="preserve"> paros doze tiems pacientams, kurie sirgo podagra ir lengvu arba vidutinio sunkumo inkstų </w:t>
      </w:r>
      <w:r w:rsidR="003D08A1" w:rsidRPr="004A478C">
        <w:rPr>
          <w:lang w:val="lt-LT"/>
        </w:rPr>
        <w:t xml:space="preserve">funkcijos </w:t>
      </w:r>
      <w:r w:rsidRPr="004A478C">
        <w:rPr>
          <w:lang w:val="lt-LT"/>
        </w:rPr>
        <w:t xml:space="preserve">sutrikimu (65% tirtų pacientų). </w:t>
      </w:r>
    </w:p>
    <w:p w14:paraId="112BDA2E" w14:textId="77777777" w:rsidR="00273470" w:rsidRPr="004A478C" w:rsidRDefault="00273470" w:rsidP="003B28E4">
      <w:pPr>
        <w:tabs>
          <w:tab w:val="left" w:pos="4680"/>
        </w:tabs>
        <w:spacing w:line="240" w:lineRule="auto"/>
        <w:rPr>
          <w:lang w:val="lt-LT"/>
        </w:rPr>
      </w:pPr>
      <w:r w:rsidRPr="004A478C">
        <w:rPr>
          <w:lang w:val="lt-LT"/>
        </w:rPr>
        <w:t xml:space="preserve"> </w:t>
      </w:r>
    </w:p>
    <w:p w14:paraId="5A5DDF51" w14:textId="77777777" w:rsidR="00273470" w:rsidRPr="004A478C" w:rsidRDefault="00273470" w:rsidP="003B28E4">
      <w:pPr>
        <w:tabs>
          <w:tab w:val="left" w:pos="4680"/>
        </w:tabs>
        <w:spacing w:line="240" w:lineRule="auto"/>
        <w:ind w:left="-5"/>
        <w:rPr>
          <w:lang w:val="lt-LT"/>
        </w:rPr>
      </w:pPr>
      <w:r w:rsidRPr="004A478C">
        <w:rPr>
          <w:i/>
          <w:lang w:val="lt-LT"/>
        </w:rPr>
        <w:t xml:space="preserve">Pacientų, kurių </w:t>
      </w:r>
      <w:proofErr w:type="spellStart"/>
      <w:r w:rsidRPr="004A478C">
        <w:rPr>
          <w:i/>
          <w:lang w:val="lt-LT"/>
        </w:rPr>
        <w:t>sŠR</w:t>
      </w:r>
      <w:proofErr w:type="spellEnd"/>
      <w:r w:rsidRPr="004A478C">
        <w:rPr>
          <w:i/>
          <w:lang w:val="lt-LT"/>
        </w:rPr>
        <w:t xml:space="preserve"> ≥ 10</w:t>
      </w:r>
      <w:r w:rsidR="00E87295" w:rsidRPr="004A478C">
        <w:rPr>
          <w:lang w:val="lt-LT"/>
        </w:rPr>
        <w:t> mg</w:t>
      </w:r>
      <w:r w:rsidRPr="004A478C">
        <w:rPr>
          <w:i/>
          <w:lang w:val="lt-LT"/>
        </w:rPr>
        <w:t xml:space="preserve">/dl, pogrupio pagrindinė vertinamoji baigtis </w:t>
      </w:r>
    </w:p>
    <w:p w14:paraId="5E4D00A3" w14:textId="3531734C" w:rsidR="00273470" w:rsidRPr="004A478C" w:rsidRDefault="00273470" w:rsidP="003B28E4">
      <w:pPr>
        <w:tabs>
          <w:tab w:val="left" w:pos="4680"/>
        </w:tabs>
        <w:spacing w:line="240" w:lineRule="auto"/>
        <w:ind w:left="2" w:right="397"/>
        <w:rPr>
          <w:lang w:val="lt-LT"/>
        </w:rPr>
      </w:pPr>
      <w:r w:rsidRPr="004A478C">
        <w:rPr>
          <w:lang w:val="lt-LT"/>
        </w:rPr>
        <w:t xml:space="preserve">Maždaug 40% pacientų (abiejuose APEX ir FACT tyrimuose) pradinis </w:t>
      </w:r>
      <w:proofErr w:type="spellStart"/>
      <w:r w:rsidRPr="004A478C">
        <w:rPr>
          <w:lang w:val="lt-LT"/>
        </w:rPr>
        <w:t>sŠR</w:t>
      </w:r>
      <w:proofErr w:type="spellEnd"/>
      <w:r w:rsidRPr="004A478C">
        <w:rPr>
          <w:lang w:val="lt-LT"/>
        </w:rPr>
        <w:t xml:space="preserve"> buvo ≥ 10</w:t>
      </w:r>
      <w:r w:rsidR="00E87295" w:rsidRPr="004A478C">
        <w:rPr>
          <w:lang w:val="lt-LT"/>
        </w:rPr>
        <w:t> mg</w:t>
      </w:r>
      <w:r w:rsidRPr="004A478C">
        <w:rPr>
          <w:lang w:val="lt-LT"/>
        </w:rPr>
        <w:t xml:space="preserve">/dl. Šio pogrupio </w:t>
      </w:r>
      <w:proofErr w:type="spellStart"/>
      <w:r w:rsidR="003D08A1" w:rsidRPr="004A478C">
        <w:rPr>
          <w:lang w:val="lt-LT"/>
        </w:rPr>
        <w:t>febuksostato</w:t>
      </w:r>
      <w:proofErr w:type="spellEnd"/>
      <w:r w:rsidR="003D08A1" w:rsidRPr="004A478C">
        <w:rPr>
          <w:lang w:val="lt-LT"/>
        </w:rPr>
        <w:t xml:space="preserve"> </w:t>
      </w:r>
      <w:r w:rsidRPr="004A478C">
        <w:rPr>
          <w:lang w:val="lt-LT"/>
        </w:rPr>
        <w:t>grupėje pagrindinė veiksmingumo vertinamoji baigtis (</w:t>
      </w:r>
      <w:proofErr w:type="spellStart"/>
      <w:r w:rsidRPr="004A478C">
        <w:rPr>
          <w:lang w:val="lt-LT"/>
        </w:rPr>
        <w:t>sŠR</w:t>
      </w:r>
      <w:proofErr w:type="spellEnd"/>
      <w:r w:rsidRPr="004A478C">
        <w:rPr>
          <w:lang w:val="lt-LT"/>
        </w:rPr>
        <w:t xml:space="preserve"> &lt;6</w:t>
      </w:r>
      <w:r w:rsidR="00E87295" w:rsidRPr="004A478C">
        <w:rPr>
          <w:lang w:val="lt-LT"/>
        </w:rPr>
        <w:t> mg</w:t>
      </w:r>
      <w:r w:rsidRPr="004A478C">
        <w:rPr>
          <w:lang w:val="lt-LT"/>
        </w:rPr>
        <w:t xml:space="preserve">/dl bent trijų apsilankymų metu) </w:t>
      </w:r>
      <w:r w:rsidR="003D08A1" w:rsidRPr="004A478C">
        <w:rPr>
          <w:lang w:val="lt-LT"/>
        </w:rPr>
        <w:t xml:space="preserve">nustatyta </w:t>
      </w:r>
      <w:r w:rsidRPr="004A478C">
        <w:rPr>
          <w:lang w:val="lt-LT"/>
        </w:rPr>
        <w:t>41% (80</w:t>
      </w:r>
      <w:r w:rsidR="00E87295" w:rsidRPr="004A478C">
        <w:rPr>
          <w:lang w:val="lt-LT"/>
        </w:rPr>
        <w:t> mg</w:t>
      </w:r>
      <w:r w:rsidRPr="004A478C">
        <w:rPr>
          <w:lang w:val="lt-LT"/>
        </w:rPr>
        <w:t xml:space="preserve"> per parą), 48% (120</w:t>
      </w:r>
      <w:r w:rsidR="00E87295" w:rsidRPr="004A478C">
        <w:rPr>
          <w:lang w:val="lt-LT"/>
        </w:rPr>
        <w:t> mg</w:t>
      </w:r>
      <w:r w:rsidRPr="004A478C">
        <w:rPr>
          <w:lang w:val="lt-LT"/>
        </w:rPr>
        <w:t xml:space="preserve"> per parą) ir 66% (240</w:t>
      </w:r>
      <w:r w:rsidR="00E87295" w:rsidRPr="004A478C">
        <w:rPr>
          <w:lang w:val="lt-LT"/>
        </w:rPr>
        <w:t> mg</w:t>
      </w:r>
      <w:r w:rsidRPr="004A478C">
        <w:rPr>
          <w:lang w:val="lt-LT"/>
        </w:rPr>
        <w:t xml:space="preserve"> per parą) pacientų, palyginti su 9% </w:t>
      </w:r>
      <w:proofErr w:type="spellStart"/>
      <w:r w:rsidRPr="004A478C">
        <w:rPr>
          <w:lang w:val="lt-LT"/>
        </w:rPr>
        <w:t>alopurinolio</w:t>
      </w:r>
      <w:proofErr w:type="spellEnd"/>
      <w:r w:rsidRPr="004A478C">
        <w:rPr>
          <w:lang w:val="lt-LT"/>
        </w:rPr>
        <w:t xml:space="preserve"> 300</w:t>
      </w:r>
      <w:r w:rsidR="00E87295" w:rsidRPr="004A478C">
        <w:rPr>
          <w:lang w:val="lt-LT"/>
        </w:rPr>
        <w:t> mg</w:t>
      </w:r>
      <w:r w:rsidR="003D08A1" w:rsidRPr="004A478C">
        <w:rPr>
          <w:lang w:val="lt-LT"/>
        </w:rPr>
        <w:t xml:space="preserve"> arba </w:t>
      </w:r>
      <w:r w:rsidRPr="004A478C">
        <w:rPr>
          <w:lang w:val="lt-LT"/>
        </w:rPr>
        <w:t>100</w:t>
      </w:r>
      <w:r w:rsidR="00E87295" w:rsidRPr="004A478C">
        <w:rPr>
          <w:lang w:val="lt-LT"/>
        </w:rPr>
        <w:t> mg</w:t>
      </w:r>
      <w:r w:rsidRPr="004A478C">
        <w:rPr>
          <w:lang w:val="lt-LT"/>
        </w:rPr>
        <w:t xml:space="preserve"> per parą ir 0% placebo grupėmis. </w:t>
      </w:r>
    </w:p>
    <w:p w14:paraId="4B1E61BA" w14:textId="77777777" w:rsidR="00273470" w:rsidRPr="004A478C" w:rsidRDefault="00273470" w:rsidP="003B28E4">
      <w:pPr>
        <w:tabs>
          <w:tab w:val="left" w:pos="4680"/>
        </w:tabs>
        <w:spacing w:line="240" w:lineRule="auto"/>
        <w:rPr>
          <w:lang w:val="lt-LT"/>
        </w:rPr>
      </w:pPr>
      <w:r w:rsidRPr="004A478C">
        <w:rPr>
          <w:lang w:val="lt-LT"/>
        </w:rPr>
        <w:t xml:space="preserve"> </w:t>
      </w:r>
    </w:p>
    <w:p w14:paraId="679807B7" w14:textId="77777777" w:rsidR="00273470" w:rsidRPr="004A478C" w:rsidRDefault="00273470" w:rsidP="003B28E4">
      <w:pPr>
        <w:tabs>
          <w:tab w:val="left" w:pos="4680"/>
        </w:tabs>
        <w:spacing w:line="240" w:lineRule="auto"/>
        <w:ind w:left="2" w:right="397"/>
        <w:rPr>
          <w:lang w:val="lt-LT"/>
        </w:rPr>
      </w:pPr>
      <w:r w:rsidRPr="004A478C">
        <w:rPr>
          <w:lang w:val="lt-LT"/>
        </w:rPr>
        <w:t>CONFIRMS tyrime pasiekusių pagrindinę veiksmingumo vertinamąją baigtį (</w:t>
      </w:r>
      <w:proofErr w:type="spellStart"/>
      <w:r w:rsidRPr="004A478C">
        <w:rPr>
          <w:lang w:val="lt-LT"/>
        </w:rPr>
        <w:t>sŠR</w:t>
      </w:r>
      <w:proofErr w:type="spellEnd"/>
      <w:r w:rsidRPr="004A478C">
        <w:rPr>
          <w:lang w:val="lt-LT"/>
        </w:rPr>
        <w:t xml:space="preserve"> kiekį </w:t>
      </w:r>
      <w:r w:rsidRPr="004A478C">
        <w:rPr>
          <w:b/>
          <w:lang w:val="lt-LT"/>
        </w:rPr>
        <w:t xml:space="preserve">&lt; </w:t>
      </w:r>
      <w:r w:rsidRPr="004A478C">
        <w:rPr>
          <w:lang w:val="lt-LT"/>
        </w:rPr>
        <w:t>6,0</w:t>
      </w:r>
      <w:r w:rsidR="00E87295" w:rsidRPr="004A478C">
        <w:rPr>
          <w:lang w:val="lt-LT"/>
        </w:rPr>
        <w:t> mg</w:t>
      </w:r>
      <w:r w:rsidRPr="004A478C">
        <w:rPr>
          <w:lang w:val="lt-LT"/>
        </w:rPr>
        <w:t xml:space="preserve">/dl baigiamojo apsilankymo metu) pacientų, kurių šlapimo rūgšties </w:t>
      </w:r>
      <w:r w:rsidR="003D08A1" w:rsidRPr="004A478C">
        <w:rPr>
          <w:lang w:val="lt-LT"/>
        </w:rPr>
        <w:t xml:space="preserve">pradinis </w:t>
      </w:r>
      <w:r w:rsidRPr="004A478C">
        <w:rPr>
          <w:lang w:val="lt-LT"/>
        </w:rPr>
        <w:t>kiekis kraujo serume buvo ≥10</w:t>
      </w:r>
      <w:r w:rsidR="00E87295" w:rsidRPr="004A478C">
        <w:rPr>
          <w:lang w:val="lt-LT"/>
        </w:rPr>
        <w:t> mg</w:t>
      </w:r>
      <w:r w:rsidRPr="004A478C">
        <w:rPr>
          <w:lang w:val="lt-LT"/>
        </w:rPr>
        <w:t xml:space="preserve">/dl, dalis </w:t>
      </w:r>
      <w:r w:rsidR="003D08A1" w:rsidRPr="004A478C">
        <w:rPr>
          <w:lang w:val="lt-LT"/>
        </w:rPr>
        <w:t xml:space="preserve">atitinkamai </w:t>
      </w:r>
      <w:r w:rsidRPr="004A478C">
        <w:rPr>
          <w:lang w:val="lt-LT"/>
        </w:rPr>
        <w:t>buvo</w:t>
      </w:r>
      <w:r w:rsidR="003D08A1" w:rsidRPr="004A478C">
        <w:rPr>
          <w:lang w:val="lt-LT"/>
        </w:rPr>
        <w:t>27 % (66/249) vartojusių 40</w:t>
      </w:r>
      <w:r w:rsidR="00E87295" w:rsidRPr="004A478C">
        <w:rPr>
          <w:lang w:val="lt-LT"/>
        </w:rPr>
        <w:t> mg</w:t>
      </w:r>
      <w:r w:rsidR="003D08A1" w:rsidRPr="004A478C">
        <w:rPr>
          <w:lang w:val="lt-LT"/>
        </w:rPr>
        <w:t xml:space="preserve"> kartą per parą dozę,</w:t>
      </w:r>
      <w:r w:rsidRPr="004A478C">
        <w:rPr>
          <w:lang w:val="lt-LT"/>
        </w:rPr>
        <w:t xml:space="preserve"> 49% (125/254) vartojusių </w:t>
      </w:r>
      <w:proofErr w:type="spellStart"/>
      <w:r w:rsidRPr="004A478C">
        <w:rPr>
          <w:lang w:val="lt-LT"/>
        </w:rPr>
        <w:t>febuksostato</w:t>
      </w:r>
      <w:proofErr w:type="spellEnd"/>
      <w:r w:rsidRPr="004A478C">
        <w:rPr>
          <w:lang w:val="lt-LT"/>
        </w:rPr>
        <w:t xml:space="preserve"> 80</w:t>
      </w:r>
      <w:r w:rsidR="00E87295" w:rsidRPr="004A478C">
        <w:rPr>
          <w:lang w:val="lt-LT"/>
        </w:rPr>
        <w:t> mg</w:t>
      </w:r>
      <w:r w:rsidRPr="004A478C">
        <w:rPr>
          <w:lang w:val="lt-LT"/>
        </w:rPr>
        <w:t xml:space="preserve"> dozę kartą per parą grupėje ir 31% (72/230) vartojusių </w:t>
      </w:r>
      <w:proofErr w:type="spellStart"/>
      <w:r w:rsidRPr="004A478C">
        <w:rPr>
          <w:lang w:val="lt-LT"/>
        </w:rPr>
        <w:t>alopurinolio</w:t>
      </w:r>
      <w:proofErr w:type="spellEnd"/>
      <w:r w:rsidRPr="004A478C">
        <w:rPr>
          <w:lang w:val="lt-LT"/>
        </w:rPr>
        <w:t xml:space="preserve"> 300</w:t>
      </w:r>
      <w:r w:rsidR="003D08A1" w:rsidRPr="004A478C">
        <w:rPr>
          <w:lang w:val="lt-LT"/>
        </w:rPr>
        <w:t xml:space="preserve"> arba </w:t>
      </w:r>
      <w:r w:rsidRPr="004A478C">
        <w:rPr>
          <w:lang w:val="lt-LT"/>
        </w:rPr>
        <w:t>200</w:t>
      </w:r>
      <w:r w:rsidR="00E87295" w:rsidRPr="004A478C">
        <w:rPr>
          <w:lang w:val="lt-LT"/>
        </w:rPr>
        <w:t> mg</w:t>
      </w:r>
      <w:r w:rsidRPr="004A478C">
        <w:rPr>
          <w:lang w:val="lt-LT"/>
        </w:rPr>
        <w:t xml:space="preserve"> dozę vieną kartą per parą grupėje. </w:t>
      </w:r>
    </w:p>
    <w:p w14:paraId="4E6CEDF1" w14:textId="77777777" w:rsidR="00273470" w:rsidRPr="004A478C" w:rsidRDefault="00273470" w:rsidP="003B28E4">
      <w:pPr>
        <w:tabs>
          <w:tab w:val="left" w:pos="4680"/>
        </w:tabs>
        <w:spacing w:line="240" w:lineRule="auto"/>
        <w:rPr>
          <w:lang w:val="lt-LT"/>
        </w:rPr>
      </w:pPr>
      <w:r w:rsidRPr="004A478C">
        <w:rPr>
          <w:lang w:val="lt-LT"/>
        </w:rPr>
        <w:t xml:space="preserve"> </w:t>
      </w:r>
    </w:p>
    <w:p w14:paraId="43F1170F" w14:textId="77777777" w:rsidR="00273470" w:rsidRPr="004A478C" w:rsidRDefault="00273470" w:rsidP="003B28E4">
      <w:pPr>
        <w:tabs>
          <w:tab w:val="left" w:pos="4680"/>
        </w:tabs>
        <w:spacing w:line="240" w:lineRule="auto"/>
        <w:ind w:left="-5"/>
        <w:rPr>
          <w:lang w:val="lt-LT"/>
        </w:rPr>
      </w:pPr>
      <w:r w:rsidRPr="004A478C">
        <w:rPr>
          <w:i/>
          <w:lang w:val="lt-LT"/>
        </w:rPr>
        <w:t xml:space="preserve">Klinikiniai rezultatai: pacientų, kuriems reikalingas podagros priepuolių gydymas </w:t>
      </w:r>
    </w:p>
    <w:p w14:paraId="130E727E" w14:textId="77777777" w:rsidR="00273470" w:rsidRPr="004A478C" w:rsidRDefault="00273470" w:rsidP="003B28E4">
      <w:pPr>
        <w:tabs>
          <w:tab w:val="left" w:pos="4680"/>
        </w:tabs>
        <w:spacing w:line="240" w:lineRule="auto"/>
        <w:ind w:left="2" w:right="397"/>
        <w:rPr>
          <w:lang w:val="lt-LT"/>
        </w:rPr>
      </w:pPr>
      <w:r w:rsidRPr="004A478C">
        <w:rPr>
          <w:lang w:val="lt-LT"/>
        </w:rPr>
        <w:t xml:space="preserve">APEX tyrimas: 8 savaičių trukmės profilaktikos laikotarpiu </w:t>
      </w:r>
      <w:proofErr w:type="spellStart"/>
      <w:r w:rsidRPr="004A478C">
        <w:rPr>
          <w:lang w:val="lt-LT"/>
        </w:rPr>
        <w:t>febuksostato</w:t>
      </w:r>
      <w:proofErr w:type="spellEnd"/>
      <w:r w:rsidRPr="004A478C">
        <w:rPr>
          <w:lang w:val="lt-LT"/>
        </w:rPr>
        <w:t xml:space="preserve"> 120</w:t>
      </w:r>
      <w:r w:rsidR="00E87295" w:rsidRPr="004A478C">
        <w:rPr>
          <w:lang w:val="lt-LT"/>
        </w:rPr>
        <w:t> mg</w:t>
      </w:r>
      <w:r w:rsidRPr="004A478C">
        <w:rPr>
          <w:lang w:val="lt-LT"/>
        </w:rPr>
        <w:t xml:space="preserve"> grupėje didesnei daliai pacientų (36%) reikėjo gydyti podagros priepuolius palyginti su gydytų </w:t>
      </w:r>
      <w:proofErr w:type="spellStart"/>
      <w:r w:rsidRPr="004A478C">
        <w:rPr>
          <w:lang w:val="lt-LT"/>
        </w:rPr>
        <w:t>febuksostato</w:t>
      </w:r>
      <w:proofErr w:type="spellEnd"/>
      <w:r w:rsidRPr="004A478C">
        <w:rPr>
          <w:lang w:val="lt-LT"/>
        </w:rPr>
        <w:t xml:space="preserve"> 80</w:t>
      </w:r>
      <w:r w:rsidR="00E87295" w:rsidRPr="004A478C">
        <w:rPr>
          <w:lang w:val="lt-LT"/>
        </w:rPr>
        <w:t> mg</w:t>
      </w:r>
      <w:r w:rsidRPr="004A478C">
        <w:rPr>
          <w:lang w:val="lt-LT"/>
        </w:rPr>
        <w:t xml:space="preserve"> doze grupe (28%), 300</w:t>
      </w:r>
      <w:r w:rsidR="00E87295" w:rsidRPr="004A478C">
        <w:rPr>
          <w:lang w:val="lt-LT"/>
        </w:rPr>
        <w:t> mg</w:t>
      </w:r>
      <w:r w:rsidRPr="004A478C">
        <w:rPr>
          <w:lang w:val="lt-LT"/>
        </w:rPr>
        <w:t xml:space="preserve"> </w:t>
      </w:r>
      <w:proofErr w:type="spellStart"/>
      <w:r w:rsidRPr="004A478C">
        <w:rPr>
          <w:lang w:val="lt-LT"/>
        </w:rPr>
        <w:t>alopurinolio</w:t>
      </w:r>
      <w:proofErr w:type="spellEnd"/>
      <w:r w:rsidRPr="004A478C">
        <w:rPr>
          <w:lang w:val="lt-LT"/>
        </w:rPr>
        <w:t xml:space="preserve"> doze (23%) ir placebu (20%). Priepuoliai dažnėjo profilaktikos laikotarpiu, po to palengva retėjo. Tarp 8 ir 28 savaitės priepuoliai buvo gydyti 46-55% pacientų. Podagros priepuoliai per paskutines 4 tyrimo savaites</w:t>
      </w:r>
      <w:r w:rsidR="00257C07" w:rsidRPr="004A478C">
        <w:rPr>
          <w:lang w:val="lt-LT"/>
        </w:rPr>
        <w:t xml:space="preserve"> </w:t>
      </w:r>
      <w:r w:rsidRPr="004A478C">
        <w:rPr>
          <w:lang w:val="lt-LT"/>
        </w:rPr>
        <w:t xml:space="preserve">(24-28 savaitė) stebėti 15% </w:t>
      </w:r>
    </w:p>
    <w:p w14:paraId="2C4B0FA9" w14:textId="77777777" w:rsidR="00273470" w:rsidRPr="004A478C" w:rsidRDefault="00273470" w:rsidP="003B28E4">
      <w:pPr>
        <w:tabs>
          <w:tab w:val="left" w:pos="4680"/>
        </w:tabs>
        <w:spacing w:line="240" w:lineRule="auto"/>
        <w:ind w:left="2" w:right="397"/>
        <w:rPr>
          <w:lang w:val="lt-LT"/>
        </w:rPr>
      </w:pPr>
      <w:r w:rsidRPr="004A478C">
        <w:rPr>
          <w:lang w:val="lt-LT"/>
        </w:rPr>
        <w:t>(</w:t>
      </w:r>
      <w:proofErr w:type="spellStart"/>
      <w:r w:rsidRPr="004A478C">
        <w:rPr>
          <w:lang w:val="lt-LT"/>
        </w:rPr>
        <w:t>febuksostato</w:t>
      </w:r>
      <w:proofErr w:type="spellEnd"/>
      <w:r w:rsidRPr="004A478C">
        <w:rPr>
          <w:lang w:val="lt-LT"/>
        </w:rPr>
        <w:t xml:space="preserve"> 80</w:t>
      </w:r>
      <w:r w:rsidR="00E87295" w:rsidRPr="004A478C">
        <w:rPr>
          <w:lang w:val="lt-LT"/>
        </w:rPr>
        <w:t> mg</w:t>
      </w:r>
      <w:r w:rsidRPr="004A478C">
        <w:rPr>
          <w:lang w:val="lt-LT"/>
        </w:rPr>
        <w:t xml:space="preserve"> ir 120</w:t>
      </w:r>
      <w:r w:rsidR="00E87295" w:rsidRPr="004A478C">
        <w:rPr>
          <w:lang w:val="lt-LT"/>
        </w:rPr>
        <w:t> mg</w:t>
      </w:r>
      <w:r w:rsidRPr="004A478C">
        <w:rPr>
          <w:lang w:val="lt-LT"/>
        </w:rPr>
        <w:t xml:space="preserve"> dozės), 14% (</w:t>
      </w:r>
      <w:proofErr w:type="spellStart"/>
      <w:r w:rsidRPr="004A478C">
        <w:rPr>
          <w:lang w:val="lt-LT"/>
        </w:rPr>
        <w:t>alopurinolio</w:t>
      </w:r>
      <w:proofErr w:type="spellEnd"/>
      <w:r w:rsidRPr="004A478C">
        <w:rPr>
          <w:lang w:val="lt-LT"/>
        </w:rPr>
        <w:t xml:space="preserve"> 300</w:t>
      </w:r>
      <w:r w:rsidR="00E87295" w:rsidRPr="004A478C">
        <w:rPr>
          <w:lang w:val="lt-LT"/>
        </w:rPr>
        <w:t> mg</w:t>
      </w:r>
      <w:r w:rsidRPr="004A478C">
        <w:rPr>
          <w:lang w:val="lt-LT"/>
        </w:rPr>
        <w:t xml:space="preserve"> dozė), 20% (placebo) pacientų. </w:t>
      </w:r>
    </w:p>
    <w:p w14:paraId="56A48F99" w14:textId="77777777" w:rsidR="00273470" w:rsidRPr="004A478C" w:rsidRDefault="00273470" w:rsidP="003B28E4">
      <w:pPr>
        <w:tabs>
          <w:tab w:val="left" w:pos="4680"/>
        </w:tabs>
        <w:spacing w:line="240" w:lineRule="auto"/>
        <w:rPr>
          <w:lang w:val="lt-LT"/>
        </w:rPr>
      </w:pPr>
      <w:r w:rsidRPr="004A478C">
        <w:rPr>
          <w:lang w:val="lt-LT"/>
        </w:rPr>
        <w:t xml:space="preserve"> </w:t>
      </w:r>
    </w:p>
    <w:p w14:paraId="0225CC2F" w14:textId="77777777" w:rsidR="00273470" w:rsidRPr="004A478C" w:rsidRDefault="00273470" w:rsidP="003B28E4">
      <w:pPr>
        <w:tabs>
          <w:tab w:val="left" w:pos="4680"/>
        </w:tabs>
        <w:spacing w:line="240" w:lineRule="auto"/>
        <w:ind w:left="2" w:right="397"/>
        <w:rPr>
          <w:lang w:val="lt-LT"/>
        </w:rPr>
      </w:pPr>
      <w:r w:rsidRPr="004A478C">
        <w:rPr>
          <w:lang w:val="lt-LT"/>
        </w:rPr>
        <w:t xml:space="preserve">FACT tyrimas: 8 savaičių trukmės profilaktikos laikotarpiu </w:t>
      </w:r>
      <w:proofErr w:type="spellStart"/>
      <w:r w:rsidRPr="004A478C">
        <w:rPr>
          <w:lang w:val="lt-LT"/>
        </w:rPr>
        <w:t>febuksostato</w:t>
      </w:r>
      <w:proofErr w:type="spellEnd"/>
      <w:r w:rsidRPr="004A478C">
        <w:rPr>
          <w:lang w:val="lt-LT"/>
        </w:rPr>
        <w:t xml:space="preserve"> 120</w:t>
      </w:r>
      <w:r w:rsidR="00E87295" w:rsidRPr="004A478C">
        <w:rPr>
          <w:lang w:val="lt-LT"/>
        </w:rPr>
        <w:t> mg</w:t>
      </w:r>
      <w:r w:rsidRPr="004A478C">
        <w:rPr>
          <w:lang w:val="lt-LT"/>
        </w:rPr>
        <w:t xml:space="preserve"> grupėje didesnei daliai pacientų (36%) reikėjo gydyti podagros priepuolius palyginti su gydytų </w:t>
      </w:r>
      <w:proofErr w:type="spellStart"/>
      <w:r w:rsidRPr="004A478C">
        <w:rPr>
          <w:lang w:val="lt-LT"/>
        </w:rPr>
        <w:t>febuksostato</w:t>
      </w:r>
      <w:proofErr w:type="spellEnd"/>
      <w:r w:rsidRPr="004A478C">
        <w:rPr>
          <w:lang w:val="lt-LT"/>
        </w:rPr>
        <w:t xml:space="preserve"> 80</w:t>
      </w:r>
      <w:r w:rsidR="00E87295" w:rsidRPr="004A478C">
        <w:rPr>
          <w:lang w:val="lt-LT"/>
        </w:rPr>
        <w:t> mg</w:t>
      </w:r>
      <w:r w:rsidRPr="004A478C">
        <w:rPr>
          <w:lang w:val="lt-LT"/>
        </w:rPr>
        <w:t xml:space="preserve"> doze grupe (22%), 300</w:t>
      </w:r>
      <w:r w:rsidR="00E87295" w:rsidRPr="004A478C">
        <w:rPr>
          <w:lang w:val="lt-LT"/>
        </w:rPr>
        <w:t> mg</w:t>
      </w:r>
      <w:r w:rsidRPr="004A478C">
        <w:rPr>
          <w:lang w:val="lt-LT"/>
        </w:rPr>
        <w:t xml:space="preserve"> </w:t>
      </w:r>
      <w:proofErr w:type="spellStart"/>
      <w:r w:rsidRPr="004A478C">
        <w:rPr>
          <w:lang w:val="lt-LT"/>
        </w:rPr>
        <w:t>alopurinolio</w:t>
      </w:r>
      <w:proofErr w:type="spellEnd"/>
      <w:r w:rsidRPr="004A478C">
        <w:rPr>
          <w:lang w:val="lt-LT"/>
        </w:rPr>
        <w:t xml:space="preserve"> doze (21%). Po 8 savaičių profilaktikos laikotarpio priepuolių dažnumas padidėjo, po to palengva retėjo (8-52 savaitę podagros priepuoliai gydyti nuo 64% iki 52% pacientų). Podagros priepuoliai per paskutines 4 tyrimo savaites (49-52 savaitė) stebėti 6-8% (</w:t>
      </w:r>
      <w:proofErr w:type="spellStart"/>
      <w:r w:rsidRPr="004A478C">
        <w:rPr>
          <w:lang w:val="lt-LT"/>
        </w:rPr>
        <w:t>febuksostato</w:t>
      </w:r>
      <w:proofErr w:type="spellEnd"/>
      <w:r w:rsidRPr="004A478C">
        <w:rPr>
          <w:lang w:val="lt-LT"/>
        </w:rPr>
        <w:t xml:space="preserve"> 80</w:t>
      </w:r>
      <w:r w:rsidR="00E87295" w:rsidRPr="004A478C">
        <w:rPr>
          <w:lang w:val="lt-LT"/>
        </w:rPr>
        <w:t> mg</w:t>
      </w:r>
      <w:r w:rsidRPr="004A478C">
        <w:rPr>
          <w:lang w:val="lt-LT"/>
        </w:rPr>
        <w:t xml:space="preserve"> ir 120</w:t>
      </w:r>
      <w:r w:rsidR="00E87295" w:rsidRPr="004A478C">
        <w:rPr>
          <w:lang w:val="lt-LT"/>
        </w:rPr>
        <w:t> mg</w:t>
      </w:r>
      <w:r w:rsidRPr="004A478C">
        <w:rPr>
          <w:lang w:val="lt-LT"/>
        </w:rPr>
        <w:t xml:space="preserve"> dozės), 11% (</w:t>
      </w:r>
      <w:proofErr w:type="spellStart"/>
      <w:r w:rsidRPr="004A478C">
        <w:rPr>
          <w:lang w:val="lt-LT"/>
        </w:rPr>
        <w:t>alopurinolio</w:t>
      </w:r>
      <w:proofErr w:type="spellEnd"/>
      <w:r w:rsidRPr="004A478C">
        <w:rPr>
          <w:lang w:val="lt-LT"/>
        </w:rPr>
        <w:t xml:space="preserve"> 300</w:t>
      </w:r>
      <w:r w:rsidR="00E87295" w:rsidRPr="004A478C">
        <w:rPr>
          <w:lang w:val="lt-LT"/>
        </w:rPr>
        <w:t> mg</w:t>
      </w:r>
      <w:r w:rsidRPr="004A478C">
        <w:rPr>
          <w:lang w:val="lt-LT"/>
        </w:rPr>
        <w:t xml:space="preserve"> dozė) pacientų. </w:t>
      </w:r>
    </w:p>
    <w:p w14:paraId="7F16D441" w14:textId="77777777" w:rsidR="00273470" w:rsidRPr="004A478C" w:rsidRDefault="00273470" w:rsidP="003B28E4">
      <w:pPr>
        <w:tabs>
          <w:tab w:val="left" w:pos="4680"/>
        </w:tabs>
        <w:spacing w:line="240" w:lineRule="auto"/>
        <w:rPr>
          <w:lang w:val="lt-LT"/>
        </w:rPr>
      </w:pPr>
      <w:r w:rsidRPr="004A478C">
        <w:rPr>
          <w:lang w:val="lt-LT"/>
        </w:rPr>
        <w:t xml:space="preserve"> </w:t>
      </w:r>
    </w:p>
    <w:p w14:paraId="29D9AFC3" w14:textId="77777777" w:rsidR="00273470" w:rsidRPr="004A478C" w:rsidRDefault="00273470" w:rsidP="003B28E4">
      <w:pPr>
        <w:tabs>
          <w:tab w:val="left" w:pos="4680"/>
        </w:tabs>
        <w:spacing w:line="240" w:lineRule="auto"/>
        <w:ind w:left="2" w:right="641"/>
        <w:rPr>
          <w:lang w:val="lt-LT"/>
        </w:rPr>
      </w:pPr>
      <w:r w:rsidRPr="004A478C">
        <w:rPr>
          <w:lang w:val="lt-LT"/>
        </w:rPr>
        <w:t>Pacientų, kuriems reikėjo gydyti podagros priepuolius (APEX ir FACT tyrimų metu), santykis buvo mažesnis grupėse, kuriose pradėjus gydymą pacientams šlapimo rūgšties kiekis serume sumažėjo &lt; 6,0</w:t>
      </w:r>
      <w:r w:rsidR="00E87295" w:rsidRPr="004A478C">
        <w:rPr>
          <w:lang w:val="lt-LT"/>
        </w:rPr>
        <w:t> mg</w:t>
      </w:r>
      <w:r w:rsidRPr="004A478C">
        <w:rPr>
          <w:lang w:val="lt-LT"/>
        </w:rPr>
        <w:t>/dl, &lt; 5,0</w:t>
      </w:r>
      <w:r w:rsidR="00E87295" w:rsidRPr="004A478C">
        <w:rPr>
          <w:lang w:val="lt-LT"/>
        </w:rPr>
        <w:t> mg</w:t>
      </w:r>
      <w:r w:rsidRPr="004A478C">
        <w:rPr>
          <w:lang w:val="lt-LT"/>
        </w:rPr>
        <w:t>/dl arba &lt; 4,0</w:t>
      </w:r>
      <w:r w:rsidR="00E87295" w:rsidRPr="004A478C">
        <w:rPr>
          <w:lang w:val="lt-LT"/>
        </w:rPr>
        <w:t> mg</w:t>
      </w:r>
      <w:r w:rsidRPr="004A478C">
        <w:rPr>
          <w:lang w:val="lt-LT"/>
        </w:rPr>
        <w:t>/dl, palyginti su grupe, kurioje pradėjus gydymą pacientams šlapimo rūgšties kiekis serume sumažėjo ≥ 6,0</w:t>
      </w:r>
      <w:r w:rsidR="00E87295" w:rsidRPr="004A478C">
        <w:rPr>
          <w:lang w:val="lt-LT"/>
        </w:rPr>
        <w:t> mg</w:t>
      </w:r>
      <w:r w:rsidRPr="004A478C">
        <w:rPr>
          <w:lang w:val="lt-LT"/>
        </w:rPr>
        <w:t xml:space="preserve">/dl per paskutines 32 gydymo periodo savaites (intervalais nuo 20 savaitės iki 24 savaitės ir nuo 49 savaitės iki 52 savaitės). </w:t>
      </w:r>
    </w:p>
    <w:p w14:paraId="1F3896D8" w14:textId="77777777" w:rsidR="00273470" w:rsidRPr="004A478C" w:rsidRDefault="00273470" w:rsidP="003B28E4">
      <w:pPr>
        <w:tabs>
          <w:tab w:val="left" w:pos="4680"/>
        </w:tabs>
        <w:spacing w:line="240" w:lineRule="auto"/>
        <w:rPr>
          <w:lang w:val="lt-LT"/>
        </w:rPr>
      </w:pPr>
      <w:r w:rsidRPr="004A478C">
        <w:rPr>
          <w:lang w:val="lt-LT"/>
        </w:rPr>
        <w:t xml:space="preserve"> </w:t>
      </w:r>
    </w:p>
    <w:p w14:paraId="58FFAF7D" w14:textId="77777777" w:rsidR="00273470" w:rsidRPr="004A478C" w:rsidRDefault="00273470" w:rsidP="003B28E4">
      <w:pPr>
        <w:tabs>
          <w:tab w:val="left" w:pos="4680"/>
        </w:tabs>
        <w:spacing w:line="240" w:lineRule="auto"/>
        <w:ind w:left="2" w:right="397"/>
        <w:rPr>
          <w:lang w:val="lt-LT"/>
        </w:rPr>
      </w:pPr>
      <w:r w:rsidRPr="004A478C">
        <w:rPr>
          <w:lang w:val="lt-LT"/>
        </w:rPr>
        <w:t xml:space="preserve">CONFIRMS tyrimo metu dalis pacientų, kuriems reikėjo gydyti podagros paūmėjimą (nuo pirmos dienos iki 6 mėnesio imtinai), sudarė 31% </w:t>
      </w:r>
      <w:proofErr w:type="spellStart"/>
      <w:r w:rsidRPr="004A478C">
        <w:rPr>
          <w:lang w:val="lt-LT"/>
        </w:rPr>
        <w:t>febuksostato</w:t>
      </w:r>
      <w:proofErr w:type="spellEnd"/>
      <w:r w:rsidRPr="004A478C">
        <w:rPr>
          <w:lang w:val="lt-LT"/>
        </w:rPr>
        <w:t xml:space="preserve"> 80</w:t>
      </w:r>
      <w:r w:rsidR="00E87295" w:rsidRPr="004A478C">
        <w:rPr>
          <w:lang w:val="lt-LT"/>
        </w:rPr>
        <w:t> mg</w:t>
      </w:r>
      <w:r w:rsidRPr="004A478C">
        <w:rPr>
          <w:lang w:val="lt-LT"/>
        </w:rPr>
        <w:t xml:space="preserve"> dozės grupėje ir 25% </w:t>
      </w:r>
      <w:proofErr w:type="spellStart"/>
      <w:r w:rsidRPr="004A478C">
        <w:rPr>
          <w:lang w:val="lt-LT"/>
        </w:rPr>
        <w:t>alopurinolio</w:t>
      </w:r>
      <w:proofErr w:type="spellEnd"/>
      <w:r w:rsidRPr="004A478C">
        <w:rPr>
          <w:lang w:val="lt-LT"/>
        </w:rPr>
        <w:t xml:space="preserve"> grupėje. Podagros paūmėjimo gydymo dažnumas pacientų, vartojusių </w:t>
      </w:r>
      <w:proofErr w:type="spellStart"/>
      <w:r w:rsidRPr="004A478C">
        <w:rPr>
          <w:lang w:val="lt-LT"/>
        </w:rPr>
        <w:t>febuksostato</w:t>
      </w:r>
      <w:proofErr w:type="spellEnd"/>
      <w:r w:rsidRPr="004A478C">
        <w:rPr>
          <w:lang w:val="lt-LT"/>
        </w:rPr>
        <w:t xml:space="preserve"> 80</w:t>
      </w:r>
      <w:r w:rsidR="00E87295" w:rsidRPr="004A478C">
        <w:rPr>
          <w:lang w:val="lt-LT"/>
        </w:rPr>
        <w:t> mg</w:t>
      </w:r>
      <w:r w:rsidRPr="004A478C">
        <w:rPr>
          <w:lang w:val="lt-LT"/>
        </w:rPr>
        <w:t xml:space="preserve"> ir 40</w:t>
      </w:r>
      <w:r w:rsidR="00E87295" w:rsidRPr="004A478C">
        <w:rPr>
          <w:lang w:val="lt-LT"/>
        </w:rPr>
        <w:t> mg</w:t>
      </w:r>
      <w:r w:rsidRPr="004A478C">
        <w:rPr>
          <w:lang w:val="lt-LT"/>
        </w:rPr>
        <w:t xml:space="preserve"> dozes, grupėse nesiskyrė. </w:t>
      </w:r>
    </w:p>
    <w:p w14:paraId="63FC3223" w14:textId="77777777" w:rsidR="00273470" w:rsidRPr="004A478C" w:rsidRDefault="00273470" w:rsidP="003B28E4">
      <w:pPr>
        <w:tabs>
          <w:tab w:val="left" w:pos="4680"/>
        </w:tabs>
        <w:spacing w:line="240" w:lineRule="auto"/>
        <w:rPr>
          <w:lang w:val="lt-LT"/>
        </w:rPr>
      </w:pPr>
      <w:r w:rsidRPr="004A478C">
        <w:rPr>
          <w:lang w:val="lt-LT"/>
        </w:rPr>
        <w:t xml:space="preserve"> </w:t>
      </w:r>
    </w:p>
    <w:p w14:paraId="5D1C5FD9" w14:textId="77777777" w:rsidR="00273470" w:rsidRPr="004A478C" w:rsidRDefault="00273470" w:rsidP="003B28E4">
      <w:pPr>
        <w:tabs>
          <w:tab w:val="left" w:pos="4680"/>
        </w:tabs>
        <w:spacing w:line="240" w:lineRule="auto"/>
        <w:ind w:left="-5"/>
        <w:rPr>
          <w:lang w:val="lt-LT"/>
        </w:rPr>
      </w:pPr>
      <w:r w:rsidRPr="004A478C">
        <w:rPr>
          <w:i/>
          <w:lang w:val="lt-LT"/>
        </w:rPr>
        <w:t xml:space="preserve">Ilgalaikiai atvirieji tęstiniai tyrimai </w:t>
      </w:r>
    </w:p>
    <w:p w14:paraId="249600B2" w14:textId="7E93A955" w:rsidR="00273470" w:rsidRPr="004A478C" w:rsidRDefault="00273470" w:rsidP="003B28E4">
      <w:pPr>
        <w:tabs>
          <w:tab w:val="left" w:pos="4680"/>
        </w:tabs>
        <w:spacing w:line="240" w:lineRule="auto"/>
        <w:ind w:left="2" w:right="397"/>
        <w:rPr>
          <w:lang w:val="lt-LT"/>
        </w:rPr>
      </w:pPr>
      <w:r w:rsidRPr="004A478C">
        <w:rPr>
          <w:lang w:val="lt-LT"/>
        </w:rPr>
        <w:t xml:space="preserve">EXCEL tyrimas (C02-021): šis tyrimas buvo 3 fazės </w:t>
      </w:r>
      <w:r w:rsidR="008A265E" w:rsidRPr="004A478C">
        <w:rPr>
          <w:lang w:val="lt-LT"/>
        </w:rPr>
        <w:t>trijų</w:t>
      </w:r>
      <w:r w:rsidR="003D0095" w:rsidRPr="004A478C">
        <w:rPr>
          <w:lang w:val="lt-LT"/>
        </w:rPr>
        <w:t xml:space="preserve"> </w:t>
      </w:r>
      <w:r w:rsidRPr="004A478C">
        <w:rPr>
          <w:lang w:val="lt-LT"/>
        </w:rPr>
        <w:t xml:space="preserve">metų atvirasis, </w:t>
      </w:r>
      <w:proofErr w:type="spellStart"/>
      <w:r w:rsidRPr="004A478C">
        <w:rPr>
          <w:lang w:val="lt-LT"/>
        </w:rPr>
        <w:t>daugiacentris</w:t>
      </w:r>
      <w:proofErr w:type="spellEnd"/>
      <w:r w:rsidRPr="004A478C">
        <w:rPr>
          <w:lang w:val="lt-LT"/>
        </w:rPr>
        <w:t xml:space="preserve">, atsitiktinių imčių, </w:t>
      </w:r>
      <w:proofErr w:type="spellStart"/>
      <w:r w:rsidRPr="004A478C">
        <w:rPr>
          <w:lang w:val="lt-LT"/>
        </w:rPr>
        <w:t>alopurinoliu</w:t>
      </w:r>
      <w:proofErr w:type="spellEnd"/>
      <w:r w:rsidRPr="004A478C">
        <w:rPr>
          <w:lang w:val="lt-LT"/>
        </w:rPr>
        <w:t xml:space="preserve"> kontroliuojamas saugumo </w:t>
      </w:r>
      <w:r w:rsidR="00A42455" w:rsidRPr="004A478C">
        <w:rPr>
          <w:lang w:val="lt-LT"/>
        </w:rPr>
        <w:t xml:space="preserve">tęstinis </w:t>
      </w:r>
      <w:r w:rsidRPr="004A478C">
        <w:rPr>
          <w:lang w:val="lt-LT"/>
        </w:rPr>
        <w:t xml:space="preserve">tyrimas su pacientais, užbaigusiais pagrindinius 3 fazės tyrimus (APEX arba FACT). Tyrime iš viso dalyvavo 1086 pacientai: </w:t>
      </w:r>
      <w:r w:rsidR="00A42455" w:rsidRPr="004A478C">
        <w:rPr>
          <w:lang w:val="lt-LT"/>
        </w:rPr>
        <w:t xml:space="preserve">vartoję: </w:t>
      </w:r>
      <w:proofErr w:type="spellStart"/>
      <w:r w:rsidR="00A42455" w:rsidRPr="004A478C">
        <w:rPr>
          <w:lang w:val="lt-LT"/>
        </w:rPr>
        <w:t>febuksostato</w:t>
      </w:r>
      <w:proofErr w:type="spellEnd"/>
      <w:r w:rsidR="00A42455" w:rsidRPr="004A478C" w:rsidDel="00A42455">
        <w:rPr>
          <w:lang w:val="lt-LT"/>
        </w:rPr>
        <w:t xml:space="preserve"> </w:t>
      </w:r>
      <w:r w:rsidRPr="004A478C">
        <w:rPr>
          <w:lang w:val="lt-LT"/>
        </w:rPr>
        <w:t>80</w:t>
      </w:r>
      <w:r w:rsidR="00E87295" w:rsidRPr="004A478C">
        <w:rPr>
          <w:lang w:val="lt-LT"/>
        </w:rPr>
        <w:t> mg</w:t>
      </w:r>
      <w:r w:rsidRPr="004A478C">
        <w:rPr>
          <w:lang w:val="lt-LT"/>
        </w:rPr>
        <w:t xml:space="preserve"> per parą (n=649), </w:t>
      </w:r>
      <w:proofErr w:type="spellStart"/>
      <w:r w:rsidR="00A42455" w:rsidRPr="004A478C">
        <w:rPr>
          <w:lang w:val="lt-LT"/>
        </w:rPr>
        <w:t>febuksostato</w:t>
      </w:r>
      <w:proofErr w:type="spellEnd"/>
      <w:r w:rsidR="00A42455" w:rsidRPr="004A478C">
        <w:rPr>
          <w:lang w:val="lt-LT"/>
        </w:rPr>
        <w:t xml:space="preserve"> </w:t>
      </w:r>
      <w:r w:rsidRPr="004A478C">
        <w:rPr>
          <w:lang w:val="lt-LT"/>
        </w:rPr>
        <w:t>120</w:t>
      </w:r>
      <w:r w:rsidR="00E87295" w:rsidRPr="004A478C">
        <w:rPr>
          <w:lang w:val="lt-LT"/>
        </w:rPr>
        <w:t> mg</w:t>
      </w:r>
      <w:r w:rsidRPr="004A478C">
        <w:rPr>
          <w:lang w:val="lt-LT"/>
        </w:rPr>
        <w:t xml:space="preserve"> per parą (n=292) </w:t>
      </w:r>
      <w:r w:rsidR="00A42455" w:rsidRPr="004A478C">
        <w:rPr>
          <w:lang w:val="lt-LT"/>
        </w:rPr>
        <w:t>ar</w:t>
      </w:r>
      <w:r w:rsidRPr="004A478C">
        <w:rPr>
          <w:lang w:val="lt-LT"/>
        </w:rPr>
        <w:t xml:space="preserve"> </w:t>
      </w:r>
      <w:proofErr w:type="spellStart"/>
      <w:r w:rsidRPr="004A478C">
        <w:rPr>
          <w:lang w:val="lt-LT"/>
        </w:rPr>
        <w:t>alopurinoli</w:t>
      </w:r>
      <w:r w:rsidR="00A42455" w:rsidRPr="004A478C">
        <w:rPr>
          <w:lang w:val="lt-LT"/>
        </w:rPr>
        <w:t>o</w:t>
      </w:r>
      <w:proofErr w:type="spellEnd"/>
      <w:r w:rsidRPr="004A478C">
        <w:rPr>
          <w:lang w:val="lt-LT"/>
        </w:rPr>
        <w:t xml:space="preserve"> 300</w:t>
      </w:r>
      <w:r w:rsidR="00A42455" w:rsidRPr="004A478C">
        <w:rPr>
          <w:lang w:val="lt-LT"/>
        </w:rPr>
        <w:t xml:space="preserve"> arba </w:t>
      </w:r>
      <w:r w:rsidRPr="004A478C">
        <w:rPr>
          <w:lang w:val="lt-LT"/>
        </w:rPr>
        <w:t>100</w:t>
      </w:r>
      <w:r w:rsidR="00E87295" w:rsidRPr="004A478C">
        <w:rPr>
          <w:lang w:val="lt-LT"/>
        </w:rPr>
        <w:t> mg</w:t>
      </w:r>
      <w:r w:rsidRPr="004A478C">
        <w:rPr>
          <w:lang w:val="lt-LT"/>
        </w:rPr>
        <w:t xml:space="preserve"> per parą (n=145). Apie 69% pacientų nereikėjo jokių keitimų </w:t>
      </w:r>
      <w:r w:rsidRPr="004A478C">
        <w:rPr>
          <w:lang w:val="lt-LT"/>
        </w:rPr>
        <w:lastRenderedPageBreak/>
        <w:t xml:space="preserve">pasiekiant galutinį stabilų gydymą. Iš tyrimo buvo </w:t>
      </w:r>
      <w:r w:rsidR="00A42455" w:rsidRPr="004A478C">
        <w:rPr>
          <w:lang w:val="lt-LT"/>
        </w:rPr>
        <w:t xml:space="preserve">pašalinami </w:t>
      </w:r>
      <w:r w:rsidRPr="004A478C">
        <w:rPr>
          <w:lang w:val="lt-LT"/>
        </w:rPr>
        <w:t xml:space="preserve">pacientai, kurių </w:t>
      </w:r>
      <w:proofErr w:type="spellStart"/>
      <w:r w:rsidRPr="004A478C">
        <w:rPr>
          <w:lang w:val="lt-LT"/>
        </w:rPr>
        <w:t>sŠR</w:t>
      </w:r>
      <w:proofErr w:type="spellEnd"/>
      <w:r w:rsidRPr="004A478C">
        <w:rPr>
          <w:lang w:val="lt-LT"/>
        </w:rPr>
        <w:t xml:space="preserve"> tris kartus iš eilės buvo &gt;6,0</w:t>
      </w:r>
      <w:r w:rsidR="00E87295" w:rsidRPr="004A478C">
        <w:rPr>
          <w:lang w:val="lt-LT"/>
        </w:rPr>
        <w:t> mg</w:t>
      </w:r>
      <w:r w:rsidRPr="004A478C">
        <w:rPr>
          <w:lang w:val="lt-LT"/>
        </w:rPr>
        <w:t xml:space="preserve">/dl. </w:t>
      </w:r>
    </w:p>
    <w:p w14:paraId="29A55F9E" w14:textId="77777777" w:rsidR="00273470" w:rsidRPr="004A478C" w:rsidRDefault="00273470" w:rsidP="003B28E4">
      <w:pPr>
        <w:tabs>
          <w:tab w:val="left" w:pos="4680"/>
        </w:tabs>
        <w:spacing w:line="240" w:lineRule="auto"/>
        <w:ind w:left="2" w:right="397"/>
        <w:rPr>
          <w:lang w:val="lt-LT"/>
        </w:rPr>
      </w:pPr>
      <w:r w:rsidRPr="004A478C">
        <w:rPr>
          <w:lang w:val="lt-LT"/>
        </w:rPr>
        <w:t>Šlapimo rūgšties kiekis kraujo serume buvo palaikomas stebėjimo metu (tai yra 91-93% pacientų, kurių pradinis gydymas buvo atitinkamai 80</w:t>
      </w:r>
      <w:r w:rsidR="00E87295" w:rsidRPr="004A478C">
        <w:rPr>
          <w:lang w:val="lt-LT"/>
        </w:rPr>
        <w:t> mg</w:t>
      </w:r>
      <w:r w:rsidRPr="004A478C">
        <w:rPr>
          <w:lang w:val="lt-LT"/>
        </w:rPr>
        <w:t xml:space="preserve"> ir 120</w:t>
      </w:r>
      <w:r w:rsidR="00E87295" w:rsidRPr="004A478C">
        <w:rPr>
          <w:lang w:val="lt-LT"/>
        </w:rPr>
        <w:t> mg</w:t>
      </w:r>
      <w:r w:rsidRPr="004A478C">
        <w:rPr>
          <w:lang w:val="lt-LT"/>
        </w:rPr>
        <w:t xml:space="preserve"> </w:t>
      </w:r>
      <w:proofErr w:type="spellStart"/>
      <w:r w:rsidRPr="004A478C">
        <w:rPr>
          <w:lang w:val="lt-LT"/>
        </w:rPr>
        <w:t>febuksostato</w:t>
      </w:r>
      <w:proofErr w:type="spellEnd"/>
      <w:r w:rsidRPr="004A478C">
        <w:rPr>
          <w:lang w:val="lt-LT"/>
        </w:rPr>
        <w:t xml:space="preserve">, </w:t>
      </w:r>
      <w:proofErr w:type="spellStart"/>
      <w:r w:rsidRPr="004A478C">
        <w:rPr>
          <w:lang w:val="lt-LT"/>
        </w:rPr>
        <w:t>sŠR</w:t>
      </w:r>
      <w:proofErr w:type="spellEnd"/>
      <w:r w:rsidRPr="004A478C">
        <w:rPr>
          <w:lang w:val="lt-LT"/>
        </w:rPr>
        <w:t xml:space="preserve"> buvo &lt;6</w:t>
      </w:r>
      <w:r w:rsidR="00E87295" w:rsidRPr="004A478C">
        <w:rPr>
          <w:lang w:val="lt-LT"/>
        </w:rPr>
        <w:t> mg</w:t>
      </w:r>
      <w:r w:rsidRPr="004A478C">
        <w:rPr>
          <w:lang w:val="lt-LT"/>
        </w:rPr>
        <w:t xml:space="preserve">/dl 36-tą gydymo mėnesį). </w:t>
      </w:r>
    </w:p>
    <w:p w14:paraId="4851F7A8" w14:textId="77777777" w:rsidR="00273470" w:rsidRPr="004A478C" w:rsidRDefault="00273470" w:rsidP="003B28E4">
      <w:pPr>
        <w:tabs>
          <w:tab w:val="left" w:pos="4680"/>
        </w:tabs>
        <w:spacing w:line="240" w:lineRule="auto"/>
        <w:rPr>
          <w:lang w:val="lt-LT"/>
        </w:rPr>
      </w:pPr>
      <w:r w:rsidRPr="004A478C">
        <w:rPr>
          <w:lang w:val="lt-LT"/>
        </w:rPr>
        <w:t xml:space="preserve"> </w:t>
      </w:r>
    </w:p>
    <w:p w14:paraId="0B96B7E9" w14:textId="7B019D90" w:rsidR="00273470" w:rsidRPr="004A478C" w:rsidRDefault="0013167B" w:rsidP="003B28E4">
      <w:pPr>
        <w:tabs>
          <w:tab w:val="left" w:pos="4680"/>
        </w:tabs>
        <w:spacing w:line="240" w:lineRule="auto"/>
        <w:ind w:left="2" w:right="397"/>
        <w:rPr>
          <w:lang w:val="lt-LT"/>
        </w:rPr>
      </w:pPr>
      <w:r w:rsidRPr="004A478C">
        <w:rPr>
          <w:lang w:val="lt-LT"/>
        </w:rPr>
        <w:t xml:space="preserve">Trijų </w:t>
      </w:r>
      <w:r w:rsidR="00273470" w:rsidRPr="004A478C">
        <w:rPr>
          <w:lang w:val="lt-LT"/>
        </w:rPr>
        <w:t>metų duomenys parodė, kad podagros priepuolių sumažėja praktiškai mažiau nei 4% pacientų, kuriems reikalingas priepuolio gydymas (</w:t>
      </w:r>
      <w:proofErr w:type="spellStart"/>
      <w:r w:rsidR="00273470" w:rsidRPr="004A478C">
        <w:rPr>
          <w:lang w:val="lt-LT"/>
        </w:rPr>
        <w:t>t.y</w:t>
      </w:r>
      <w:proofErr w:type="spellEnd"/>
      <w:r w:rsidR="00273470" w:rsidRPr="004A478C">
        <w:rPr>
          <w:lang w:val="lt-LT"/>
        </w:rPr>
        <w:t>. daugiau nei 96% pacientų nereikėjo gydyti priepuolio) 16-24 ir 30-36 mėnesį. Baigiamojo apsilankymo metu 46% ir 38% pacientų, kurie baigiamojo stabilaus gydymo metu atitinkamai vartojo 80</w:t>
      </w:r>
      <w:r w:rsidR="00E87295" w:rsidRPr="004A478C">
        <w:rPr>
          <w:lang w:val="lt-LT"/>
        </w:rPr>
        <w:t> mg</w:t>
      </w:r>
      <w:r w:rsidR="00273470" w:rsidRPr="004A478C">
        <w:rPr>
          <w:lang w:val="lt-LT"/>
        </w:rPr>
        <w:t xml:space="preserve"> arba 120</w:t>
      </w:r>
      <w:r w:rsidR="00E87295" w:rsidRPr="004A478C">
        <w:rPr>
          <w:lang w:val="lt-LT"/>
        </w:rPr>
        <w:t> mg</w:t>
      </w:r>
      <w:r w:rsidR="00273470" w:rsidRPr="004A478C">
        <w:rPr>
          <w:lang w:val="lt-LT"/>
        </w:rPr>
        <w:t xml:space="preserve"> </w:t>
      </w:r>
      <w:proofErr w:type="spellStart"/>
      <w:r w:rsidR="00273470" w:rsidRPr="004A478C">
        <w:rPr>
          <w:lang w:val="lt-LT"/>
        </w:rPr>
        <w:t>febuksostato</w:t>
      </w:r>
      <w:proofErr w:type="spellEnd"/>
      <w:r w:rsidR="00273470" w:rsidRPr="004A478C">
        <w:rPr>
          <w:lang w:val="lt-LT"/>
        </w:rPr>
        <w:t xml:space="preserve"> per parą, buvo pilnai išnykę </w:t>
      </w:r>
      <w:proofErr w:type="spellStart"/>
      <w:r w:rsidR="00273470" w:rsidRPr="004A478C">
        <w:rPr>
          <w:lang w:val="lt-LT"/>
        </w:rPr>
        <w:t>palpuojami</w:t>
      </w:r>
      <w:proofErr w:type="spellEnd"/>
      <w:r w:rsidR="00273470" w:rsidRPr="004A478C">
        <w:rPr>
          <w:lang w:val="lt-LT"/>
        </w:rPr>
        <w:t xml:space="preserve"> </w:t>
      </w:r>
      <w:proofErr w:type="spellStart"/>
      <w:r w:rsidR="00273470" w:rsidRPr="004A478C">
        <w:rPr>
          <w:lang w:val="lt-LT"/>
        </w:rPr>
        <w:t>tofusai</w:t>
      </w:r>
      <w:proofErr w:type="spellEnd"/>
      <w:r w:rsidR="00273470" w:rsidRPr="004A478C">
        <w:rPr>
          <w:lang w:val="lt-LT"/>
        </w:rPr>
        <w:t xml:space="preserve">, palyginti su jų pradine būkle. </w:t>
      </w:r>
    </w:p>
    <w:p w14:paraId="301A0AE3" w14:textId="77777777" w:rsidR="00273470" w:rsidRPr="004A478C" w:rsidRDefault="00273470" w:rsidP="003B28E4">
      <w:pPr>
        <w:tabs>
          <w:tab w:val="left" w:pos="4680"/>
        </w:tabs>
        <w:spacing w:line="240" w:lineRule="auto"/>
        <w:rPr>
          <w:lang w:val="lt-LT"/>
        </w:rPr>
      </w:pPr>
      <w:r w:rsidRPr="004A478C">
        <w:rPr>
          <w:lang w:val="lt-LT"/>
        </w:rPr>
        <w:t xml:space="preserve"> </w:t>
      </w:r>
    </w:p>
    <w:p w14:paraId="72206481" w14:textId="77777777" w:rsidR="00273470" w:rsidRPr="004A478C" w:rsidRDefault="00273470" w:rsidP="003B28E4">
      <w:pPr>
        <w:tabs>
          <w:tab w:val="left" w:pos="4680"/>
        </w:tabs>
        <w:spacing w:line="240" w:lineRule="auto"/>
        <w:ind w:left="2" w:right="397"/>
        <w:rPr>
          <w:lang w:val="lt-LT"/>
        </w:rPr>
      </w:pPr>
      <w:r w:rsidRPr="004A478C">
        <w:rPr>
          <w:lang w:val="lt-LT"/>
        </w:rPr>
        <w:t xml:space="preserve">FOCUS tyrimas (TMX-01-005) buvo 5 metų trukmės 2 fazės atvirasis, </w:t>
      </w:r>
      <w:proofErr w:type="spellStart"/>
      <w:r w:rsidRPr="004A478C">
        <w:rPr>
          <w:lang w:val="lt-LT"/>
        </w:rPr>
        <w:t>daugiacentris</w:t>
      </w:r>
      <w:proofErr w:type="spellEnd"/>
      <w:r w:rsidRPr="004A478C">
        <w:rPr>
          <w:lang w:val="lt-LT"/>
        </w:rPr>
        <w:t xml:space="preserve"> saugumo tyrimas su pacientais, kurie užbaigė </w:t>
      </w:r>
      <w:proofErr w:type="spellStart"/>
      <w:r w:rsidRPr="004A478C">
        <w:rPr>
          <w:lang w:val="lt-LT"/>
        </w:rPr>
        <w:t>febuksostato</w:t>
      </w:r>
      <w:proofErr w:type="spellEnd"/>
      <w:r w:rsidRPr="004A478C">
        <w:rPr>
          <w:lang w:val="lt-LT"/>
        </w:rPr>
        <w:t xml:space="preserve"> 4 savaičių dvigubai </w:t>
      </w:r>
      <w:r w:rsidR="00A42455" w:rsidRPr="004A478C">
        <w:rPr>
          <w:lang w:val="lt-LT"/>
        </w:rPr>
        <w:t xml:space="preserve">koduotą </w:t>
      </w:r>
      <w:r w:rsidRPr="004A478C">
        <w:rPr>
          <w:lang w:val="lt-LT"/>
        </w:rPr>
        <w:t>vartojimą tyrime TMX-00-004. Tyrime dalyvavo 116 pacientų, iš pradžių vartojusių 80</w:t>
      </w:r>
      <w:r w:rsidR="00E87295" w:rsidRPr="004A478C">
        <w:rPr>
          <w:lang w:val="lt-LT"/>
        </w:rPr>
        <w:t> mg</w:t>
      </w:r>
      <w:r w:rsidRPr="004A478C">
        <w:rPr>
          <w:lang w:val="lt-LT"/>
        </w:rPr>
        <w:t xml:space="preserve"> </w:t>
      </w:r>
      <w:proofErr w:type="spellStart"/>
      <w:r w:rsidRPr="004A478C">
        <w:rPr>
          <w:lang w:val="lt-LT"/>
        </w:rPr>
        <w:t>febuksostato</w:t>
      </w:r>
      <w:proofErr w:type="spellEnd"/>
      <w:r w:rsidRPr="004A478C">
        <w:rPr>
          <w:lang w:val="lt-LT"/>
        </w:rPr>
        <w:t xml:space="preserve"> per parą. 62% pacientų, siekiant palaikyti </w:t>
      </w:r>
      <w:proofErr w:type="spellStart"/>
      <w:r w:rsidRPr="004A478C">
        <w:rPr>
          <w:lang w:val="lt-LT"/>
        </w:rPr>
        <w:t>sŠR</w:t>
      </w:r>
      <w:proofErr w:type="spellEnd"/>
      <w:r w:rsidRPr="004A478C">
        <w:rPr>
          <w:lang w:val="lt-LT"/>
        </w:rPr>
        <w:t>&lt;6</w:t>
      </w:r>
      <w:r w:rsidR="00E87295" w:rsidRPr="004A478C">
        <w:rPr>
          <w:lang w:val="lt-LT"/>
        </w:rPr>
        <w:t> mg</w:t>
      </w:r>
      <w:r w:rsidRPr="004A478C">
        <w:rPr>
          <w:lang w:val="lt-LT"/>
        </w:rPr>
        <w:t xml:space="preserve">/dl koncentraciją jokios dozės korekcijos nereikėjo, 38% pacientų dozę reikėjo koreguoti, kad būtų pasiekta galutinė stabili dozė. </w:t>
      </w:r>
    </w:p>
    <w:p w14:paraId="5FBC91FC" w14:textId="77777777" w:rsidR="00273470" w:rsidRPr="004A478C" w:rsidRDefault="00273470" w:rsidP="003B28E4">
      <w:pPr>
        <w:tabs>
          <w:tab w:val="left" w:pos="4680"/>
        </w:tabs>
        <w:spacing w:line="240" w:lineRule="auto"/>
        <w:rPr>
          <w:lang w:val="lt-LT"/>
        </w:rPr>
      </w:pPr>
      <w:r w:rsidRPr="004A478C">
        <w:rPr>
          <w:lang w:val="lt-LT"/>
        </w:rPr>
        <w:t xml:space="preserve"> </w:t>
      </w:r>
    </w:p>
    <w:p w14:paraId="60396AC1" w14:textId="77777777" w:rsidR="00273470" w:rsidRPr="004A478C" w:rsidRDefault="00273470" w:rsidP="003B28E4">
      <w:pPr>
        <w:tabs>
          <w:tab w:val="left" w:pos="4680"/>
        </w:tabs>
        <w:spacing w:line="240" w:lineRule="auto"/>
        <w:ind w:left="2" w:right="397"/>
        <w:rPr>
          <w:lang w:val="lt-LT"/>
        </w:rPr>
      </w:pPr>
      <w:r w:rsidRPr="004A478C">
        <w:rPr>
          <w:lang w:val="lt-LT"/>
        </w:rPr>
        <w:t xml:space="preserve">Vartojant bet kurią </w:t>
      </w:r>
      <w:proofErr w:type="spellStart"/>
      <w:r w:rsidRPr="004A478C">
        <w:rPr>
          <w:lang w:val="lt-LT"/>
        </w:rPr>
        <w:t>febuksostato</w:t>
      </w:r>
      <w:proofErr w:type="spellEnd"/>
      <w:r w:rsidRPr="004A478C">
        <w:rPr>
          <w:lang w:val="lt-LT"/>
        </w:rPr>
        <w:t xml:space="preserve"> dozę pacientų, kurių kraujyje šlapimo rūgšties koncentracija buvo &lt;6,0</w:t>
      </w:r>
      <w:r w:rsidR="00E87295" w:rsidRPr="004A478C">
        <w:rPr>
          <w:lang w:val="lt-LT"/>
        </w:rPr>
        <w:t> mg</w:t>
      </w:r>
      <w:r w:rsidRPr="004A478C">
        <w:rPr>
          <w:lang w:val="lt-LT"/>
        </w:rPr>
        <w:t>/dl (357 µ</w:t>
      </w:r>
      <w:proofErr w:type="spellStart"/>
      <w:r w:rsidRPr="004A478C">
        <w:rPr>
          <w:lang w:val="lt-LT"/>
        </w:rPr>
        <w:t>mol</w:t>
      </w:r>
      <w:proofErr w:type="spellEnd"/>
      <w:r w:rsidRPr="004A478C">
        <w:rPr>
          <w:lang w:val="lt-LT"/>
        </w:rPr>
        <w:t xml:space="preserve">/l) galutinio apsilankymo metu, dalis buvo didesnė negu 80% (81-100%). </w:t>
      </w:r>
    </w:p>
    <w:p w14:paraId="15C151C5" w14:textId="77777777" w:rsidR="00273470" w:rsidRPr="004A478C" w:rsidRDefault="00273470" w:rsidP="003B28E4">
      <w:pPr>
        <w:tabs>
          <w:tab w:val="left" w:pos="4680"/>
        </w:tabs>
        <w:spacing w:line="240" w:lineRule="auto"/>
        <w:rPr>
          <w:lang w:val="lt-LT"/>
        </w:rPr>
      </w:pPr>
      <w:r w:rsidRPr="004A478C">
        <w:rPr>
          <w:lang w:val="lt-LT"/>
        </w:rPr>
        <w:t xml:space="preserve"> </w:t>
      </w:r>
    </w:p>
    <w:p w14:paraId="346ABC5F" w14:textId="5D5E43B0" w:rsidR="00273470" w:rsidRPr="004A478C" w:rsidRDefault="00273470" w:rsidP="003B28E4">
      <w:pPr>
        <w:tabs>
          <w:tab w:val="left" w:pos="4680"/>
        </w:tabs>
        <w:spacing w:line="240" w:lineRule="auto"/>
        <w:ind w:left="2" w:right="397"/>
        <w:rPr>
          <w:lang w:val="lt-LT"/>
        </w:rPr>
      </w:pPr>
      <w:r w:rsidRPr="004A478C">
        <w:rPr>
          <w:lang w:val="lt-LT"/>
        </w:rPr>
        <w:t xml:space="preserve">3 fazės klinikinių tyrimų metu buvo stebimi lengvi kepenų funkcijos tyrimų sutrikimai pacientams, gydytiems </w:t>
      </w:r>
      <w:proofErr w:type="spellStart"/>
      <w:r w:rsidRPr="004A478C">
        <w:rPr>
          <w:lang w:val="lt-LT"/>
        </w:rPr>
        <w:t>febuksostatu</w:t>
      </w:r>
      <w:proofErr w:type="spellEnd"/>
      <w:r w:rsidRPr="004A478C">
        <w:rPr>
          <w:lang w:val="lt-LT"/>
        </w:rPr>
        <w:t xml:space="preserve"> (5,0%). Šie rodikliai buvo panašūs į rodiklius, kurie buvo užfiksuoti </w:t>
      </w:r>
      <w:r w:rsidR="00A42455" w:rsidRPr="004A478C">
        <w:rPr>
          <w:lang w:val="lt-LT"/>
        </w:rPr>
        <w:t xml:space="preserve">vartojant </w:t>
      </w:r>
      <w:proofErr w:type="spellStart"/>
      <w:r w:rsidRPr="004A478C">
        <w:rPr>
          <w:lang w:val="lt-LT"/>
        </w:rPr>
        <w:t>alopurinol</w:t>
      </w:r>
      <w:r w:rsidR="00A42455" w:rsidRPr="004A478C">
        <w:rPr>
          <w:lang w:val="lt-LT"/>
        </w:rPr>
        <w:t>į</w:t>
      </w:r>
      <w:proofErr w:type="spellEnd"/>
      <w:r w:rsidRPr="004A478C">
        <w:rPr>
          <w:lang w:val="lt-LT"/>
        </w:rPr>
        <w:t xml:space="preserve"> (4,2%) (žr. 4.4 skyrių). Buvo pastebėtas TSH padidėjimas (&gt;5,5 µIU/ml) ilgą laiką gydant pacientus </w:t>
      </w:r>
      <w:proofErr w:type="spellStart"/>
      <w:r w:rsidRPr="004A478C">
        <w:rPr>
          <w:lang w:val="lt-LT"/>
        </w:rPr>
        <w:t>febuksostatu</w:t>
      </w:r>
      <w:proofErr w:type="spellEnd"/>
      <w:r w:rsidRPr="004A478C">
        <w:rPr>
          <w:lang w:val="lt-LT"/>
        </w:rPr>
        <w:t xml:space="preserve"> (5,5%) ir gydant </w:t>
      </w:r>
      <w:proofErr w:type="spellStart"/>
      <w:r w:rsidRPr="004A478C">
        <w:rPr>
          <w:lang w:val="lt-LT"/>
        </w:rPr>
        <w:t>alopurinoliu</w:t>
      </w:r>
      <w:proofErr w:type="spellEnd"/>
      <w:r w:rsidRPr="004A478C">
        <w:rPr>
          <w:lang w:val="lt-LT"/>
        </w:rPr>
        <w:t xml:space="preserve"> (5,8%) ilgalaikių atvirų tęstinių klinikinių tyrimų metu (žr. 4.4 skyrių). </w:t>
      </w:r>
    </w:p>
    <w:p w14:paraId="0457A7A3" w14:textId="31C6B7FC" w:rsidR="003D0095" w:rsidRPr="004A478C" w:rsidRDefault="003D0095" w:rsidP="003B28E4">
      <w:pPr>
        <w:tabs>
          <w:tab w:val="left" w:pos="4680"/>
        </w:tabs>
        <w:spacing w:line="240" w:lineRule="auto"/>
        <w:ind w:left="2" w:right="397"/>
        <w:rPr>
          <w:lang w:val="lt-LT"/>
        </w:rPr>
      </w:pPr>
    </w:p>
    <w:p w14:paraId="584313D0" w14:textId="77777777" w:rsidR="003D0095" w:rsidRPr="004B0C8F" w:rsidRDefault="003D0095" w:rsidP="003D0095">
      <w:pPr>
        <w:tabs>
          <w:tab w:val="left" w:pos="4680"/>
        </w:tabs>
        <w:spacing w:line="240" w:lineRule="auto"/>
        <w:ind w:left="2" w:right="397"/>
        <w:rPr>
          <w:i/>
          <w:iCs/>
          <w:u w:val="single"/>
          <w:lang w:val="lt-LT"/>
        </w:rPr>
      </w:pPr>
      <w:r w:rsidRPr="004B0C8F">
        <w:rPr>
          <w:i/>
          <w:iCs/>
          <w:u w:val="single"/>
          <w:lang w:val="lt-LT"/>
        </w:rPr>
        <w:t xml:space="preserve">Ilgalaikiai </w:t>
      </w:r>
      <w:proofErr w:type="spellStart"/>
      <w:r w:rsidRPr="004B0C8F">
        <w:rPr>
          <w:i/>
          <w:iCs/>
          <w:u w:val="single"/>
          <w:lang w:val="lt-LT"/>
        </w:rPr>
        <w:t>poregistraciniai</w:t>
      </w:r>
      <w:proofErr w:type="spellEnd"/>
      <w:r w:rsidRPr="004B0C8F">
        <w:rPr>
          <w:i/>
          <w:iCs/>
          <w:u w:val="single"/>
          <w:lang w:val="lt-LT"/>
        </w:rPr>
        <w:t xml:space="preserve"> klinikiniai tyrimai</w:t>
      </w:r>
    </w:p>
    <w:p w14:paraId="205C0A4D" w14:textId="77777777" w:rsidR="003D0095" w:rsidRPr="004B0C8F" w:rsidRDefault="003D0095" w:rsidP="003D0095">
      <w:pPr>
        <w:tabs>
          <w:tab w:val="left" w:pos="4680"/>
        </w:tabs>
        <w:spacing w:line="240" w:lineRule="auto"/>
        <w:ind w:left="2" w:right="397"/>
        <w:rPr>
          <w:lang w:val="lt-LT"/>
        </w:rPr>
      </w:pPr>
      <w:r w:rsidRPr="004B0C8F">
        <w:rPr>
          <w:lang w:val="lt-LT"/>
        </w:rPr>
        <w:t xml:space="preserve">IV fazės CARES tyrimas buvo </w:t>
      </w:r>
      <w:proofErr w:type="spellStart"/>
      <w:r w:rsidRPr="004B0C8F">
        <w:rPr>
          <w:lang w:val="lt-LT"/>
        </w:rPr>
        <w:t>daugiacentrinis</w:t>
      </w:r>
      <w:proofErr w:type="spellEnd"/>
      <w:r w:rsidRPr="004B0C8F">
        <w:rPr>
          <w:lang w:val="lt-LT"/>
        </w:rPr>
        <w:t xml:space="preserve">, atsitiktinių imčių, dvigubai koduotas, ne mažesnės naudos tyrimas, atliktas siekiant įvertinti </w:t>
      </w:r>
      <w:proofErr w:type="spellStart"/>
      <w:r w:rsidRPr="004B0C8F">
        <w:rPr>
          <w:lang w:val="lt-LT"/>
        </w:rPr>
        <w:t>febuksostato</w:t>
      </w:r>
      <w:proofErr w:type="spellEnd"/>
      <w:r w:rsidRPr="004B0C8F">
        <w:rPr>
          <w:lang w:val="lt-LT"/>
        </w:rPr>
        <w:t xml:space="preserve"> ir </w:t>
      </w:r>
      <w:proofErr w:type="spellStart"/>
      <w:r w:rsidRPr="004B0C8F">
        <w:rPr>
          <w:lang w:val="lt-LT"/>
        </w:rPr>
        <w:t>alopurinolio</w:t>
      </w:r>
      <w:proofErr w:type="spellEnd"/>
      <w:r w:rsidRPr="004B0C8F">
        <w:rPr>
          <w:lang w:val="lt-LT"/>
        </w:rPr>
        <w:t xml:space="preserve"> vartojimo išeitis pacientams, sergantiems podagra ir sunkia kardiovaskuline liga, įskaitant miokardo infarktą (MI), hospitalizaciją dėl nestabiliosios krūtinės anginos, širdies vainikinių arba smegenų kraujagyslių </w:t>
      </w:r>
      <w:proofErr w:type="spellStart"/>
      <w:r w:rsidRPr="004B0C8F">
        <w:rPr>
          <w:lang w:val="lt-LT"/>
        </w:rPr>
        <w:t>revaskuliarizacijos</w:t>
      </w:r>
      <w:proofErr w:type="spellEnd"/>
      <w:r w:rsidRPr="004B0C8F">
        <w:rPr>
          <w:lang w:val="lt-LT"/>
        </w:rPr>
        <w:t xml:space="preserve"> procedūras, insultą, hospitalizaciją dėl praeinančio smegenų išemijos priepuolio, periferinių kraujagyslių ligą arba cukrinį diabetą su smulkiųjų arba stambiųjų kraujagyslių pažeidimu. Norint pasiekti, kad </w:t>
      </w:r>
      <w:proofErr w:type="spellStart"/>
      <w:r w:rsidRPr="004B0C8F">
        <w:rPr>
          <w:lang w:val="lt-LT"/>
        </w:rPr>
        <w:t>sŠR</w:t>
      </w:r>
      <w:proofErr w:type="spellEnd"/>
      <w:r w:rsidRPr="004B0C8F">
        <w:rPr>
          <w:lang w:val="lt-LT"/>
        </w:rPr>
        <w:t xml:space="preserve"> būtų mažesnis negu 6 mg/dl, </w:t>
      </w:r>
      <w:proofErr w:type="spellStart"/>
      <w:r w:rsidRPr="004B0C8F">
        <w:rPr>
          <w:lang w:val="lt-LT"/>
        </w:rPr>
        <w:t>febuksostato</w:t>
      </w:r>
      <w:proofErr w:type="spellEnd"/>
      <w:r w:rsidRPr="004B0C8F">
        <w:rPr>
          <w:lang w:val="lt-LT"/>
        </w:rPr>
        <w:t xml:space="preserve"> dozė buvo didinama nuo 40 mg iki 80 mg (atsižvelgiant į inkstų funkciją), o </w:t>
      </w:r>
      <w:proofErr w:type="spellStart"/>
      <w:r w:rsidRPr="004B0C8F">
        <w:rPr>
          <w:lang w:val="lt-LT"/>
        </w:rPr>
        <w:t>alopurinolio</w:t>
      </w:r>
      <w:proofErr w:type="spellEnd"/>
      <w:r w:rsidRPr="004B0C8F">
        <w:rPr>
          <w:lang w:val="lt-LT"/>
        </w:rPr>
        <w:t xml:space="preserve"> dozė buvo didinama po 100 mg nuo 300 mg iki 600 mg pacientams, kurių inkstų funkcija normali arba lengvas funkcijos sutrikimas, bei nuo 200 mg iki 400 mg pacientams, kurių inkstų funkcijos sutrikimas buvo vidutinio sunkumo.</w:t>
      </w:r>
    </w:p>
    <w:p w14:paraId="0603E97E" w14:textId="77777777" w:rsidR="003D0095" w:rsidRPr="004B0C8F" w:rsidRDefault="003D0095" w:rsidP="003D0095">
      <w:pPr>
        <w:tabs>
          <w:tab w:val="left" w:pos="4680"/>
        </w:tabs>
        <w:spacing w:line="240" w:lineRule="auto"/>
        <w:ind w:left="2" w:right="397"/>
        <w:rPr>
          <w:lang w:val="lt-LT"/>
        </w:rPr>
      </w:pPr>
      <w:r w:rsidRPr="004B0C8F">
        <w:rPr>
          <w:lang w:val="lt-LT"/>
        </w:rPr>
        <w:t>CARES pirminė (pagrindinė) vertinamoji baigtis buvo laikas iki pirmojo didžiojo nepageidaujamo širdies ir kraujagyslių sistemos reiškinio (</w:t>
      </w:r>
      <w:r w:rsidRPr="004B0C8F">
        <w:rPr>
          <w:i/>
          <w:iCs/>
          <w:lang w:val="lt-LT"/>
        </w:rPr>
        <w:t xml:space="preserve">angl.: </w:t>
      </w:r>
      <w:proofErr w:type="spellStart"/>
      <w:r w:rsidRPr="004B0C8F">
        <w:rPr>
          <w:i/>
          <w:iCs/>
          <w:lang w:val="lt-LT"/>
        </w:rPr>
        <w:t>major</w:t>
      </w:r>
      <w:proofErr w:type="spellEnd"/>
      <w:r w:rsidRPr="004B0C8F">
        <w:rPr>
          <w:i/>
          <w:iCs/>
          <w:lang w:val="lt-LT"/>
        </w:rPr>
        <w:t xml:space="preserve"> </w:t>
      </w:r>
      <w:proofErr w:type="spellStart"/>
      <w:r w:rsidRPr="004B0C8F">
        <w:rPr>
          <w:i/>
          <w:iCs/>
          <w:lang w:val="lt-LT"/>
        </w:rPr>
        <w:t>adverse</w:t>
      </w:r>
      <w:proofErr w:type="spellEnd"/>
      <w:r w:rsidRPr="004B0C8F">
        <w:rPr>
          <w:i/>
          <w:iCs/>
          <w:lang w:val="lt-LT"/>
        </w:rPr>
        <w:t xml:space="preserve"> </w:t>
      </w:r>
      <w:proofErr w:type="spellStart"/>
      <w:r w:rsidRPr="004B0C8F">
        <w:rPr>
          <w:i/>
          <w:iCs/>
          <w:lang w:val="lt-LT"/>
        </w:rPr>
        <w:t>cardiovascular</w:t>
      </w:r>
      <w:proofErr w:type="spellEnd"/>
      <w:r w:rsidRPr="004B0C8F">
        <w:rPr>
          <w:i/>
          <w:iCs/>
          <w:lang w:val="lt-LT"/>
        </w:rPr>
        <w:t xml:space="preserve"> </w:t>
      </w:r>
      <w:proofErr w:type="spellStart"/>
      <w:r w:rsidRPr="004B0C8F">
        <w:rPr>
          <w:i/>
          <w:iCs/>
          <w:lang w:val="lt-LT"/>
        </w:rPr>
        <w:t>events</w:t>
      </w:r>
      <w:proofErr w:type="spellEnd"/>
      <w:r w:rsidRPr="004B0C8F">
        <w:rPr>
          <w:i/>
          <w:iCs/>
          <w:lang w:val="lt-LT"/>
        </w:rPr>
        <w:t xml:space="preserve"> </w:t>
      </w:r>
      <w:r w:rsidRPr="004B0C8F">
        <w:rPr>
          <w:lang w:val="lt-LT"/>
        </w:rPr>
        <w:t xml:space="preserve">(MACE)), tai yra nemirtino miokardo infarkto (MI), nemirtino insulto, mirties dėl kardiovaskulinės ligos arba nestabiliosios krūtinės anginos su neatidėliotina širdies vainikinių kraujagyslių </w:t>
      </w:r>
      <w:proofErr w:type="spellStart"/>
      <w:r w:rsidRPr="004B0C8F">
        <w:rPr>
          <w:lang w:val="lt-LT"/>
        </w:rPr>
        <w:t>revaskuliarizacijos</w:t>
      </w:r>
      <w:proofErr w:type="spellEnd"/>
      <w:r w:rsidRPr="004B0C8F">
        <w:rPr>
          <w:lang w:val="lt-LT"/>
        </w:rPr>
        <w:t xml:space="preserve"> procedūra, pasireiškimo. Vertinamosios baigtys (pirminė ir antrinė) buvo analizuojamos pagal numatytų gydyti pacientų populiacijos (</w:t>
      </w:r>
      <w:r w:rsidRPr="004B0C8F">
        <w:rPr>
          <w:i/>
          <w:iCs/>
          <w:lang w:val="lt-LT"/>
        </w:rPr>
        <w:t xml:space="preserve">angl.: </w:t>
      </w:r>
      <w:proofErr w:type="spellStart"/>
      <w:r w:rsidRPr="004B0C8F">
        <w:rPr>
          <w:i/>
          <w:iCs/>
          <w:lang w:val="lt-LT"/>
        </w:rPr>
        <w:t>intention</w:t>
      </w:r>
      <w:proofErr w:type="spellEnd"/>
      <w:r w:rsidRPr="004B0C8F">
        <w:rPr>
          <w:i/>
          <w:iCs/>
          <w:lang w:val="lt-LT"/>
        </w:rPr>
        <w:t>-to-</w:t>
      </w:r>
      <w:proofErr w:type="spellStart"/>
      <w:r w:rsidRPr="004B0C8F">
        <w:rPr>
          <w:i/>
          <w:iCs/>
          <w:lang w:val="lt-LT"/>
        </w:rPr>
        <w:t>treat</w:t>
      </w:r>
      <w:proofErr w:type="spellEnd"/>
      <w:r w:rsidRPr="004B0C8F">
        <w:rPr>
          <w:i/>
          <w:iCs/>
          <w:lang w:val="lt-LT"/>
        </w:rPr>
        <w:t>, ITT</w:t>
      </w:r>
      <w:r w:rsidRPr="004B0C8F">
        <w:rPr>
          <w:lang w:val="lt-LT"/>
        </w:rPr>
        <w:t>) analizę, įskaitant visus tiriamuosius, paskirstytus atsitiktinės atrankos būdu ir pavartojusius mažiausiai vieną dvigubai koduoto tyrimo vaistinio preparato dozę.</w:t>
      </w:r>
    </w:p>
    <w:p w14:paraId="5F213F1E" w14:textId="77777777" w:rsidR="003D0095" w:rsidRPr="004B0C8F" w:rsidRDefault="003D0095" w:rsidP="003D0095">
      <w:pPr>
        <w:tabs>
          <w:tab w:val="left" w:pos="4680"/>
        </w:tabs>
        <w:spacing w:line="240" w:lineRule="auto"/>
        <w:ind w:left="2" w:right="397"/>
        <w:rPr>
          <w:lang w:val="lt-LT"/>
        </w:rPr>
      </w:pPr>
      <w:r w:rsidRPr="004B0C8F">
        <w:rPr>
          <w:lang w:val="lt-LT"/>
        </w:rPr>
        <w:t xml:space="preserve">Iš viso 56,6 % pacientų anksčiau laiko nutraukė gydymą ir 45 % atvyko ne į visus tyrimo vizitus. Iš viso stebėta 6190 pacientų, jų stebėjimo mediana - 32 mėn., </w:t>
      </w:r>
      <w:proofErr w:type="spellStart"/>
      <w:r w:rsidRPr="004B0C8F">
        <w:rPr>
          <w:lang w:val="lt-LT"/>
        </w:rPr>
        <w:t>febuksostato</w:t>
      </w:r>
      <w:proofErr w:type="spellEnd"/>
      <w:r w:rsidRPr="004B0C8F">
        <w:rPr>
          <w:lang w:val="lt-LT"/>
        </w:rPr>
        <w:t xml:space="preserve"> grupės pacientų (n = 3098) ekspozicijos mediana buvo 728 dienos, </w:t>
      </w:r>
      <w:proofErr w:type="spellStart"/>
      <w:r w:rsidRPr="004B0C8F">
        <w:rPr>
          <w:lang w:val="lt-LT"/>
        </w:rPr>
        <w:t>alopurinolio</w:t>
      </w:r>
      <w:proofErr w:type="spellEnd"/>
      <w:r w:rsidRPr="004B0C8F">
        <w:rPr>
          <w:lang w:val="lt-LT"/>
        </w:rPr>
        <w:t xml:space="preserve"> grupės pacientų - 719 dienų (n = 3092).</w:t>
      </w:r>
    </w:p>
    <w:p w14:paraId="197F5285" w14:textId="41603A7C" w:rsidR="003D0095" w:rsidRPr="004B0C8F" w:rsidRDefault="003D0095" w:rsidP="003D0095">
      <w:pPr>
        <w:tabs>
          <w:tab w:val="left" w:pos="4680"/>
        </w:tabs>
        <w:spacing w:line="240" w:lineRule="auto"/>
        <w:ind w:left="2" w:right="397"/>
        <w:rPr>
          <w:lang w:val="lt-LT"/>
        </w:rPr>
      </w:pPr>
      <w:r w:rsidRPr="004B0C8F">
        <w:rPr>
          <w:lang w:val="lt-LT"/>
        </w:rPr>
        <w:t xml:space="preserve">Pirminė (pagrindinė) vertinamoji baigtis (MACE) </w:t>
      </w:r>
      <w:proofErr w:type="spellStart"/>
      <w:r w:rsidRPr="004B0C8F">
        <w:rPr>
          <w:lang w:val="lt-LT"/>
        </w:rPr>
        <w:t>febuksostato</w:t>
      </w:r>
      <w:proofErr w:type="spellEnd"/>
      <w:r w:rsidRPr="004B0C8F">
        <w:rPr>
          <w:lang w:val="lt-LT"/>
        </w:rPr>
        <w:t xml:space="preserve"> ir </w:t>
      </w:r>
      <w:proofErr w:type="spellStart"/>
      <w:r w:rsidRPr="004B0C8F">
        <w:rPr>
          <w:lang w:val="lt-LT"/>
        </w:rPr>
        <w:t>alopurinolio</w:t>
      </w:r>
      <w:proofErr w:type="spellEnd"/>
      <w:r w:rsidRPr="004B0C8F">
        <w:rPr>
          <w:lang w:val="lt-LT"/>
        </w:rPr>
        <w:t xml:space="preserve"> gydymo grupėse buvo panaši (atitinkamai 10,8 % ir 10,4 % pacientų; RS 1,03; abipusis pakartotinis 95 % PI 0,8</w:t>
      </w:r>
      <w:r w:rsidR="008A265E" w:rsidRPr="004B0C8F">
        <w:rPr>
          <w:lang w:val="lt-LT"/>
        </w:rPr>
        <w:t>9</w:t>
      </w:r>
      <w:r w:rsidRPr="004B0C8F">
        <w:rPr>
          <w:lang w:val="lt-LT"/>
        </w:rPr>
        <w:t xml:space="preserve"> - 1,2</w:t>
      </w:r>
      <w:r w:rsidR="008A265E" w:rsidRPr="004B0C8F">
        <w:rPr>
          <w:lang w:val="lt-LT"/>
        </w:rPr>
        <w:t>1</w:t>
      </w:r>
      <w:r w:rsidRPr="004B0C8F">
        <w:rPr>
          <w:lang w:val="lt-LT"/>
        </w:rPr>
        <w:t>).</w:t>
      </w:r>
    </w:p>
    <w:p w14:paraId="2F8D18FD" w14:textId="5F6B69B3" w:rsidR="003D0095" w:rsidRPr="004A478C" w:rsidRDefault="003D0095" w:rsidP="00060829">
      <w:pPr>
        <w:tabs>
          <w:tab w:val="left" w:pos="4680"/>
        </w:tabs>
        <w:spacing w:line="240" w:lineRule="auto"/>
        <w:ind w:left="2" w:right="397"/>
        <w:rPr>
          <w:lang w:val="lt-LT"/>
        </w:rPr>
      </w:pPr>
      <w:r w:rsidRPr="004B0C8F">
        <w:rPr>
          <w:lang w:val="lt-LT"/>
        </w:rPr>
        <w:t xml:space="preserve">Analizuojant MACE komponentus, mirties dėl kardiovaskulinės ligos atvejų dažnis </w:t>
      </w:r>
      <w:proofErr w:type="spellStart"/>
      <w:r w:rsidRPr="004B0C8F">
        <w:rPr>
          <w:lang w:val="lt-LT"/>
        </w:rPr>
        <w:t>febuksostato</w:t>
      </w:r>
      <w:proofErr w:type="spellEnd"/>
      <w:r w:rsidRPr="004B0C8F">
        <w:rPr>
          <w:lang w:val="lt-LT"/>
        </w:rPr>
        <w:t xml:space="preserve"> grupėje, palyginti su </w:t>
      </w:r>
      <w:proofErr w:type="spellStart"/>
      <w:r w:rsidRPr="004B0C8F">
        <w:rPr>
          <w:lang w:val="lt-LT"/>
        </w:rPr>
        <w:t>alopurinoliu</w:t>
      </w:r>
      <w:proofErr w:type="spellEnd"/>
      <w:r w:rsidRPr="004B0C8F">
        <w:rPr>
          <w:lang w:val="lt-LT"/>
        </w:rPr>
        <w:t xml:space="preserve">, buvo reikšmingai didesnis (4,3 %, palyginti su 3,2 % pacientų; </w:t>
      </w:r>
      <w:r w:rsidRPr="004B0C8F">
        <w:rPr>
          <w:lang w:val="lt-LT"/>
        </w:rPr>
        <w:lastRenderedPageBreak/>
        <w:t xml:space="preserve">RS 1,34; 95 % PI 1,03-1,73). Kitų MACE reiškinių dažnis </w:t>
      </w:r>
      <w:proofErr w:type="spellStart"/>
      <w:r w:rsidRPr="004B0C8F">
        <w:rPr>
          <w:lang w:val="lt-LT"/>
        </w:rPr>
        <w:t>febuksostato</w:t>
      </w:r>
      <w:proofErr w:type="spellEnd"/>
      <w:r w:rsidRPr="004B0C8F">
        <w:rPr>
          <w:lang w:val="lt-LT"/>
        </w:rPr>
        <w:t xml:space="preserve"> ir </w:t>
      </w:r>
      <w:proofErr w:type="spellStart"/>
      <w:r w:rsidRPr="004B0C8F">
        <w:rPr>
          <w:lang w:val="lt-LT"/>
        </w:rPr>
        <w:t>alopurinolio</w:t>
      </w:r>
      <w:proofErr w:type="spellEnd"/>
      <w:r w:rsidRPr="004B0C8F">
        <w:rPr>
          <w:lang w:val="lt-LT"/>
        </w:rPr>
        <w:t xml:space="preserve"> grupėse buvo panašus: nemirtino MI (3,6%, palyginti su 3,8 % pacientų; RS 0,93; 95 % PI 0,72-1,21), nemirtino insulto (2,3 % palyginti su 2,3 % pacientų, RS 1,01, 95 % PI 0,73-1,41) ir neatidėliotina </w:t>
      </w:r>
      <w:proofErr w:type="spellStart"/>
      <w:r w:rsidRPr="004B0C8F">
        <w:rPr>
          <w:lang w:val="lt-LT"/>
        </w:rPr>
        <w:t>revaskuliarizacijos</w:t>
      </w:r>
      <w:proofErr w:type="spellEnd"/>
      <w:r w:rsidRPr="004B0C8F">
        <w:rPr>
          <w:lang w:val="lt-LT"/>
        </w:rPr>
        <w:t xml:space="preserve"> procedūra dėl nestabiliosios krūtinės anginos (1,6 %, palyginti su 1,8% pacientų; RS 0,86; 95% PI 0,59-1,26). Bet kokios priežasties sukeltas mirtingumas taip pat buvo reikšmingai didesnis gydant </w:t>
      </w:r>
      <w:proofErr w:type="spellStart"/>
      <w:r w:rsidRPr="004B0C8F">
        <w:rPr>
          <w:lang w:val="lt-LT"/>
        </w:rPr>
        <w:t>febuksostatu</w:t>
      </w:r>
      <w:proofErr w:type="spellEnd"/>
      <w:r w:rsidRPr="004B0C8F">
        <w:rPr>
          <w:lang w:val="lt-LT"/>
        </w:rPr>
        <w:t xml:space="preserve"> palyginti su </w:t>
      </w:r>
      <w:proofErr w:type="spellStart"/>
      <w:r w:rsidRPr="004B0C8F">
        <w:rPr>
          <w:lang w:val="lt-LT"/>
        </w:rPr>
        <w:t>alopurinoliu</w:t>
      </w:r>
      <w:proofErr w:type="spellEnd"/>
      <w:r w:rsidRPr="004B0C8F">
        <w:rPr>
          <w:lang w:val="lt-LT"/>
        </w:rPr>
        <w:t xml:space="preserve"> (7,8 %, palyginti su 6,4 % pacientų; RS 1,22; 95 % PI 1,01 - 1,47), kurį daugiausia nulėmė didesnis mirties atvejų skaičius dėl kardiovaskulinių ligų (žr. 4.4 skyrių). Sprendimo hospitalizuoti dėl širdies nepakankamumo, dėl nesusijusios su išemija širdies aritmijos, venų tromboembolijos reiškinių bei dėl praeinančiojo smegenų išemijos priepuolio dažnis buvo panašus vartojant </w:t>
      </w:r>
      <w:proofErr w:type="spellStart"/>
      <w:r w:rsidRPr="004B0C8F">
        <w:rPr>
          <w:lang w:val="lt-LT"/>
        </w:rPr>
        <w:t>febuksostato</w:t>
      </w:r>
      <w:proofErr w:type="spellEnd"/>
      <w:r w:rsidRPr="004B0C8F">
        <w:rPr>
          <w:lang w:val="lt-LT"/>
        </w:rPr>
        <w:t xml:space="preserve"> ir </w:t>
      </w:r>
      <w:proofErr w:type="spellStart"/>
      <w:r w:rsidRPr="004B0C8F">
        <w:rPr>
          <w:lang w:val="lt-LT"/>
        </w:rPr>
        <w:t>alopurinolio</w:t>
      </w:r>
      <w:proofErr w:type="spellEnd"/>
      <w:r w:rsidRPr="004B0C8F">
        <w:rPr>
          <w:lang w:val="lt-LT"/>
        </w:rPr>
        <w:t>.</w:t>
      </w:r>
    </w:p>
    <w:p w14:paraId="7DC95F20" w14:textId="78E227A3" w:rsidR="00273470" w:rsidRPr="004A478C" w:rsidRDefault="00273470" w:rsidP="003B28E4">
      <w:pPr>
        <w:tabs>
          <w:tab w:val="left" w:pos="4680"/>
        </w:tabs>
        <w:spacing w:line="240" w:lineRule="auto"/>
        <w:rPr>
          <w:lang w:val="lt-LT"/>
        </w:rPr>
      </w:pPr>
      <w:r w:rsidRPr="004A478C">
        <w:rPr>
          <w:lang w:val="lt-LT"/>
        </w:rPr>
        <w:t xml:space="preserve"> </w:t>
      </w:r>
    </w:p>
    <w:p w14:paraId="7E2B1F08" w14:textId="1CC28745" w:rsidR="008A265E" w:rsidRPr="004B0C8F" w:rsidRDefault="008A265E" w:rsidP="008A265E">
      <w:pPr>
        <w:tabs>
          <w:tab w:val="left" w:pos="4680"/>
        </w:tabs>
        <w:spacing w:line="240" w:lineRule="auto"/>
        <w:ind w:left="2" w:right="397"/>
        <w:rPr>
          <w:lang w:val="lt-LT"/>
        </w:rPr>
      </w:pPr>
      <w:r w:rsidRPr="004B0C8F">
        <w:rPr>
          <w:lang w:val="lt-LT"/>
        </w:rPr>
        <w:t xml:space="preserve">FAST tyrimas buvo </w:t>
      </w:r>
      <w:proofErr w:type="spellStart"/>
      <w:r w:rsidRPr="004B0C8F">
        <w:rPr>
          <w:lang w:val="lt-LT"/>
        </w:rPr>
        <w:t>prospektyvus</w:t>
      </w:r>
      <w:proofErr w:type="spellEnd"/>
      <w:r w:rsidRPr="004B0C8F">
        <w:rPr>
          <w:lang w:val="lt-LT"/>
        </w:rPr>
        <w:t xml:space="preserve">, atsitiktinių imčių, atviras, aklas baigties tyrimas, kurio metu buvo lyginamas </w:t>
      </w:r>
      <w:proofErr w:type="spellStart"/>
      <w:r w:rsidRPr="004B0C8F">
        <w:rPr>
          <w:lang w:val="lt-LT"/>
        </w:rPr>
        <w:t>febuksostato</w:t>
      </w:r>
      <w:proofErr w:type="spellEnd"/>
      <w:r w:rsidRPr="004B0C8F">
        <w:rPr>
          <w:lang w:val="lt-LT"/>
        </w:rPr>
        <w:t xml:space="preserve"> ir </w:t>
      </w:r>
      <w:proofErr w:type="spellStart"/>
      <w:r w:rsidRPr="004B0C8F">
        <w:rPr>
          <w:lang w:val="lt-LT"/>
        </w:rPr>
        <w:t>alopurinolio</w:t>
      </w:r>
      <w:proofErr w:type="spellEnd"/>
      <w:r w:rsidRPr="004B0C8F">
        <w:rPr>
          <w:lang w:val="lt-LT"/>
        </w:rPr>
        <w:t xml:space="preserve"> CV </w:t>
      </w:r>
      <w:r w:rsidR="00F00F31" w:rsidRPr="004B0C8F">
        <w:rPr>
          <w:lang w:val="lt-LT"/>
        </w:rPr>
        <w:t xml:space="preserve">(širdies ir kraujagyslių sistema) </w:t>
      </w:r>
      <w:r w:rsidRPr="004B0C8F">
        <w:rPr>
          <w:lang w:val="lt-LT"/>
        </w:rPr>
        <w:t xml:space="preserve">saugumo profilis pacientams, sergantiems lėtine </w:t>
      </w:r>
      <w:proofErr w:type="spellStart"/>
      <w:r w:rsidRPr="004B0C8F">
        <w:rPr>
          <w:lang w:val="lt-LT"/>
        </w:rPr>
        <w:t>hiperurikemija</w:t>
      </w:r>
      <w:proofErr w:type="spellEnd"/>
      <w:r w:rsidRPr="004B0C8F">
        <w:rPr>
          <w:lang w:val="lt-LT"/>
        </w:rPr>
        <w:t xml:space="preserve"> (sąlygomis, kai jau buvo pasireiškęs uratų nusėdimas) ir CV rizikos veiksniais (</w:t>
      </w:r>
      <w:proofErr w:type="spellStart"/>
      <w:r w:rsidRPr="004B0C8F">
        <w:rPr>
          <w:lang w:val="lt-LT"/>
        </w:rPr>
        <w:t>t.y</w:t>
      </w:r>
      <w:proofErr w:type="spellEnd"/>
      <w:r w:rsidRPr="004B0C8F">
        <w:rPr>
          <w:lang w:val="lt-LT"/>
        </w:rPr>
        <w:t>, 60 metų arba vyresniems pacientams</w:t>
      </w:r>
      <w:r w:rsidR="00F00F31" w:rsidRPr="004B0C8F">
        <w:rPr>
          <w:lang w:val="lt-LT"/>
        </w:rPr>
        <w:t xml:space="preserve"> bei turintiems bent vieną CV rizikos faktorių</w:t>
      </w:r>
      <w:r w:rsidRPr="004B0C8F">
        <w:rPr>
          <w:lang w:val="lt-LT"/>
        </w:rPr>
        <w:t xml:space="preserve">). Reikalavimus atitinkantys pacientai buvo gydomi </w:t>
      </w:r>
      <w:proofErr w:type="spellStart"/>
      <w:r w:rsidRPr="004B0C8F">
        <w:rPr>
          <w:lang w:val="lt-LT"/>
        </w:rPr>
        <w:t>alopurinoliu</w:t>
      </w:r>
      <w:proofErr w:type="spellEnd"/>
      <w:r w:rsidRPr="004B0C8F">
        <w:rPr>
          <w:lang w:val="lt-LT"/>
        </w:rPr>
        <w:t xml:space="preserve"> prieš atsitiktinių imčių skirstymą, o prireikus dozę reikėjo koreguoti, atsižvelgiant į klinikinį sprendimą, EULAR rekomendacijas ir patvirtintą dozavimą. Įvadinės </w:t>
      </w:r>
      <w:proofErr w:type="spellStart"/>
      <w:r w:rsidRPr="004B0C8F">
        <w:rPr>
          <w:lang w:val="lt-LT"/>
        </w:rPr>
        <w:t>alopurinolio</w:t>
      </w:r>
      <w:proofErr w:type="spellEnd"/>
      <w:r w:rsidRPr="004B0C8F">
        <w:rPr>
          <w:lang w:val="lt-LT"/>
        </w:rPr>
        <w:t xml:space="preserve"> fazės pabaigoje pacientai, kurių </w:t>
      </w:r>
      <w:proofErr w:type="spellStart"/>
      <w:r w:rsidRPr="004B0C8F">
        <w:rPr>
          <w:lang w:val="lt-LT"/>
        </w:rPr>
        <w:t>sUA</w:t>
      </w:r>
      <w:proofErr w:type="spellEnd"/>
      <w:r w:rsidRPr="004B0C8F">
        <w:rPr>
          <w:lang w:val="lt-LT"/>
        </w:rPr>
        <w:t xml:space="preserve"> lygis &lt;0,36 </w:t>
      </w:r>
      <w:proofErr w:type="spellStart"/>
      <w:r w:rsidRPr="004B0C8F">
        <w:rPr>
          <w:lang w:val="lt-LT"/>
        </w:rPr>
        <w:t>mmol</w:t>
      </w:r>
      <w:proofErr w:type="spellEnd"/>
      <w:r w:rsidRPr="004B0C8F">
        <w:rPr>
          <w:lang w:val="lt-LT"/>
        </w:rPr>
        <w:t>/l (&lt;6 mg/</w:t>
      </w:r>
      <w:proofErr w:type="spellStart"/>
      <w:r w:rsidRPr="004B0C8F">
        <w:rPr>
          <w:lang w:val="lt-LT"/>
        </w:rPr>
        <w:t>dL</w:t>
      </w:r>
      <w:proofErr w:type="spellEnd"/>
      <w:r w:rsidRPr="004B0C8F">
        <w:rPr>
          <w:lang w:val="lt-LT"/>
        </w:rPr>
        <w:t xml:space="preserve">) arba kurie gavo didžiausią toleruojamą ar didžiausią leistiną </w:t>
      </w:r>
      <w:proofErr w:type="spellStart"/>
      <w:r w:rsidRPr="004B0C8F">
        <w:rPr>
          <w:lang w:val="lt-LT"/>
        </w:rPr>
        <w:t>alopurinolio</w:t>
      </w:r>
      <w:proofErr w:type="spellEnd"/>
      <w:r w:rsidRPr="004B0C8F">
        <w:rPr>
          <w:lang w:val="lt-LT"/>
        </w:rPr>
        <w:t xml:space="preserve"> dozę, buvo atsitiktinai suskirstyti santykiu 1:1. gydytis </w:t>
      </w:r>
      <w:proofErr w:type="spellStart"/>
      <w:r w:rsidRPr="004B0C8F">
        <w:rPr>
          <w:lang w:val="lt-LT"/>
        </w:rPr>
        <w:t>febuksostatu</w:t>
      </w:r>
      <w:proofErr w:type="spellEnd"/>
      <w:r w:rsidRPr="004B0C8F">
        <w:rPr>
          <w:lang w:val="lt-LT"/>
        </w:rPr>
        <w:t xml:space="preserve"> arba </w:t>
      </w:r>
      <w:proofErr w:type="spellStart"/>
      <w:r w:rsidRPr="004B0C8F">
        <w:rPr>
          <w:lang w:val="lt-LT"/>
        </w:rPr>
        <w:t>alopurinoliu</w:t>
      </w:r>
      <w:proofErr w:type="spellEnd"/>
      <w:r w:rsidRPr="004B0C8F">
        <w:rPr>
          <w:lang w:val="lt-LT"/>
        </w:rPr>
        <w:t xml:space="preserve">. Pirminė tyrimo FAST baigtis buvo laikas iki pirmojo bet kokio įvykio, įtraukto į </w:t>
      </w:r>
      <w:proofErr w:type="spellStart"/>
      <w:r w:rsidRPr="004B0C8F">
        <w:rPr>
          <w:lang w:val="lt-LT"/>
        </w:rPr>
        <w:t>antitrombocitinių</w:t>
      </w:r>
      <w:proofErr w:type="spellEnd"/>
      <w:r w:rsidRPr="004B0C8F">
        <w:rPr>
          <w:lang w:val="lt-LT"/>
        </w:rPr>
        <w:t xml:space="preserve"> tyrėjų bendradarbiavimo (APTC) sudėtinį baigtį, pasireiškimo, įskaitant: i) hospitalizavimą dėl nemirtino MI/</w:t>
      </w:r>
      <w:proofErr w:type="spellStart"/>
      <w:r w:rsidRPr="004B0C8F">
        <w:rPr>
          <w:lang w:val="lt-LT"/>
        </w:rPr>
        <w:t>biožymeklio</w:t>
      </w:r>
      <w:proofErr w:type="spellEnd"/>
      <w:r w:rsidRPr="004B0C8F">
        <w:rPr>
          <w:lang w:val="lt-LT"/>
        </w:rPr>
        <w:t xml:space="preserve"> teigiamo ūminio koronarinio sindromo (AKS). ; ii) nemirtinas insultas; iii) mirtis dėl CV įvykio. Pirminė analizė buvo pagrįsta gydymo metodu (OT).</w:t>
      </w:r>
    </w:p>
    <w:p w14:paraId="57526240" w14:textId="12FFB9E2" w:rsidR="008A265E" w:rsidRPr="004B0C8F" w:rsidRDefault="008A265E" w:rsidP="008A265E">
      <w:pPr>
        <w:tabs>
          <w:tab w:val="left" w:pos="4680"/>
        </w:tabs>
        <w:spacing w:line="240" w:lineRule="auto"/>
        <w:ind w:left="2" w:right="397"/>
        <w:rPr>
          <w:lang w:val="lt-LT"/>
        </w:rPr>
      </w:pPr>
      <w:r w:rsidRPr="004B0C8F">
        <w:rPr>
          <w:lang w:val="lt-LT"/>
        </w:rPr>
        <w:t xml:space="preserve">Iš viso 6 128 pacientai buvo atsitiktinai atrinkti, 3 063 - </w:t>
      </w:r>
      <w:proofErr w:type="spellStart"/>
      <w:r w:rsidRPr="004B0C8F">
        <w:rPr>
          <w:lang w:val="lt-LT"/>
        </w:rPr>
        <w:t>febuksostatui</w:t>
      </w:r>
      <w:proofErr w:type="spellEnd"/>
      <w:r w:rsidRPr="004B0C8F">
        <w:rPr>
          <w:lang w:val="lt-LT"/>
        </w:rPr>
        <w:t xml:space="preserve">, o 3 065 - </w:t>
      </w:r>
      <w:proofErr w:type="spellStart"/>
      <w:r w:rsidRPr="004B0C8F">
        <w:rPr>
          <w:lang w:val="lt-LT"/>
        </w:rPr>
        <w:t>alopurinoliui</w:t>
      </w:r>
      <w:proofErr w:type="spellEnd"/>
      <w:r w:rsidRPr="004B0C8F">
        <w:rPr>
          <w:lang w:val="lt-LT"/>
        </w:rPr>
        <w:t>.</w:t>
      </w:r>
      <w:r w:rsidR="00B665D3" w:rsidRPr="004B0C8F">
        <w:rPr>
          <w:lang w:val="lt-LT"/>
        </w:rPr>
        <w:t xml:space="preserve"> Vidutinis OT laikas </w:t>
      </w:r>
      <w:proofErr w:type="spellStart"/>
      <w:r w:rsidR="00B665D3" w:rsidRPr="004B0C8F">
        <w:rPr>
          <w:lang w:val="lt-LT"/>
        </w:rPr>
        <w:t>febuksostato</w:t>
      </w:r>
      <w:proofErr w:type="spellEnd"/>
      <w:r w:rsidR="00B665D3" w:rsidRPr="004B0C8F">
        <w:rPr>
          <w:lang w:val="lt-LT"/>
        </w:rPr>
        <w:t xml:space="preserve"> grupėje buvo trumpesnis nei </w:t>
      </w:r>
      <w:proofErr w:type="spellStart"/>
      <w:r w:rsidR="00B665D3" w:rsidRPr="004B0C8F">
        <w:rPr>
          <w:lang w:val="lt-LT"/>
        </w:rPr>
        <w:t>alopurinolio</w:t>
      </w:r>
      <w:proofErr w:type="spellEnd"/>
      <w:r w:rsidR="00B665D3" w:rsidRPr="004B0C8F">
        <w:rPr>
          <w:lang w:val="lt-LT"/>
        </w:rPr>
        <w:t xml:space="preserve"> grupėje (1 227 dienos </w:t>
      </w:r>
      <w:proofErr w:type="spellStart"/>
      <w:r w:rsidR="00B665D3" w:rsidRPr="004B0C8F">
        <w:rPr>
          <w:lang w:val="lt-LT"/>
        </w:rPr>
        <w:t>v.v</w:t>
      </w:r>
      <w:proofErr w:type="spellEnd"/>
      <w:r w:rsidR="00B665D3" w:rsidRPr="004B0C8F">
        <w:rPr>
          <w:lang w:val="lt-LT"/>
        </w:rPr>
        <w:t>. 1 393 dienos).</w:t>
      </w:r>
    </w:p>
    <w:p w14:paraId="0E902445" w14:textId="4317269E" w:rsidR="008A265E" w:rsidRPr="004B0C8F" w:rsidRDefault="008A265E" w:rsidP="008A265E">
      <w:pPr>
        <w:tabs>
          <w:tab w:val="left" w:pos="4680"/>
        </w:tabs>
        <w:spacing w:line="240" w:lineRule="auto"/>
        <w:ind w:left="2" w:right="397"/>
        <w:rPr>
          <w:lang w:val="lt-LT"/>
        </w:rPr>
      </w:pPr>
      <w:r w:rsidRPr="004B0C8F">
        <w:rPr>
          <w:lang w:val="lt-LT"/>
        </w:rPr>
        <w:t xml:space="preserve">Pirminės OT analizės metu </w:t>
      </w:r>
      <w:proofErr w:type="spellStart"/>
      <w:r w:rsidRPr="004B0C8F">
        <w:rPr>
          <w:lang w:val="lt-LT"/>
        </w:rPr>
        <w:t>febuksostatas</w:t>
      </w:r>
      <w:proofErr w:type="spellEnd"/>
      <w:r w:rsidRPr="004B0C8F">
        <w:rPr>
          <w:lang w:val="lt-LT"/>
        </w:rPr>
        <w:t xml:space="preserve"> buvo ne </w:t>
      </w:r>
      <w:r w:rsidR="00B35CD8" w:rsidRPr="004B0C8F">
        <w:rPr>
          <w:lang w:val="lt-LT"/>
        </w:rPr>
        <w:t>blogesnis</w:t>
      </w:r>
      <w:r w:rsidRPr="004B0C8F">
        <w:rPr>
          <w:lang w:val="lt-LT"/>
        </w:rPr>
        <w:t xml:space="preserve"> už </w:t>
      </w:r>
      <w:proofErr w:type="spellStart"/>
      <w:r w:rsidRPr="004B0C8F">
        <w:rPr>
          <w:lang w:val="lt-LT"/>
        </w:rPr>
        <w:t>alopurinolį</w:t>
      </w:r>
      <w:proofErr w:type="spellEnd"/>
      <w:r w:rsidRPr="004B0C8F">
        <w:rPr>
          <w:lang w:val="lt-LT"/>
        </w:rPr>
        <w:t xml:space="preserve"> pagal pirminės vertinamosios baigties dažnį, kuris pasireiškė 172 pacientams (1,72/100 paciento metų), vartojusiems </w:t>
      </w:r>
      <w:proofErr w:type="spellStart"/>
      <w:r w:rsidRPr="004B0C8F">
        <w:rPr>
          <w:lang w:val="lt-LT"/>
        </w:rPr>
        <w:t>febuksostatą</w:t>
      </w:r>
      <w:proofErr w:type="spellEnd"/>
      <w:r w:rsidRPr="004B0C8F">
        <w:rPr>
          <w:lang w:val="lt-LT"/>
        </w:rPr>
        <w:t xml:space="preserve">, palyginti su 241 pacientu (2,05/100 paciento metų), vartojusių </w:t>
      </w:r>
      <w:proofErr w:type="spellStart"/>
      <w:r w:rsidRPr="004B0C8F">
        <w:rPr>
          <w:lang w:val="lt-LT"/>
        </w:rPr>
        <w:t>alopurinolį</w:t>
      </w:r>
      <w:proofErr w:type="spellEnd"/>
      <w:r w:rsidRPr="004B0C8F">
        <w:rPr>
          <w:lang w:val="lt-LT"/>
        </w:rPr>
        <w:t>. pakoreguotas ŠSD 0,85 (95 % PI: 0,70, 1,03), p&lt;0,001.</w:t>
      </w:r>
      <w:r w:rsidR="00B665D3" w:rsidRPr="004B0C8F">
        <w:rPr>
          <w:lang w:val="lt-LT"/>
        </w:rPr>
        <w:t xml:space="preserve"> </w:t>
      </w:r>
      <w:r w:rsidRPr="004B0C8F">
        <w:rPr>
          <w:lang w:val="lt-LT"/>
        </w:rPr>
        <w:t xml:space="preserve">Pirminės vertinamosios baigties OT analizė pacientų, sirgusių MI, insultu ar ŪKS anamnezėje, pogrupyje reikšmingo skirtumo tarp gydymo grupių neparodė: </w:t>
      </w:r>
      <w:proofErr w:type="spellStart"/>
      <w:r w:rsidRPr="004B0C8F">
        <w:rPr>
          <w:lang w:val="lt-LT"/>
        </w:rPr>
        <w:t>febuksostato</w:t>
      </w:r>
      <w:proofErr w:type="spellEnd"/>
      <w:r w:rsidRPr="004B0C8F">
        <w:rPr>
          <w:lang w:val="lt-LT"/>
        </w:rPr>
        <w:t xml:space="preserve"> grupėje buvo 65 (9,5 %) pacientai ir 83 (11,8 %) pacientai. su įvykiais </w:t>
      </w:r>
      <w:proofErr w:type="spellStart"/>
      <w:r w:rsidRPr="004B0C8F">
        <w:rPr>
          <w:lang w:val="lt-LT"/>
        </w:rPr>
        <w:t>alopurinolio</w:t>
      </w:r>
      <w:proofErr w:type="spellEnd"/>
      <w:r w:rsidRPr="004B0C8F">
        <w:rPr>
          <w:lang w:val="lt-LT"/>
        </w:rPr>
        <w:t xml:space="preserve"> grupėje; pakoreguotas ŠSD 1,02 (95 % PI: 0,74-1,42); p=0,202.</w:t>
      </w:r>
    </w:p>
    <w:p w14:paraId="4ACC1793" w14:textId="77777777" w:rsidR="008A265E" w:rsidRPr="004B0C8F" w:rsidRDefault="008A265E" w:rsidP="008A265E">
      <w:pPr>
        <w:tabs>
          <w:tab w:val="left" w:pos="4680"/>
        </w:tabs>
        <w:spacing w:line="240" w:lineRule="auto"/>
        <w:ind w:left="2" w:right="397"/>
        <w:rPr>
          <w:lang w:val="lt-LT"/>
        </w:rPr>
      </w:pPr>
      <w:r w:rsidRPr="004B0C8F">
        <w:rPr>
          <w:lang w:val="lt-LT"/>
        </w:rPr>
        <w:t xml:space="preserve">Gydymas </w:t>
      </w:r>
      <w:proofErr w:type="spellStart"/>
      <w:r w:rsidRPr="004B0C8F">
        <w:rPr>
          <w:lang w:val="lt-LT"/>
        </w:rPr>
        <w:t>febuksostatu</w:t>
      </w:r>
      <w:proofErr w:type="spellEnd"/>
      <w:r w:rsidRPr="004B0C8F">
        <w:rPr>
          <w:lang w:val="lt-LT"/>
        </w:rPr>
        <w:t xml:space="preserve"> nebuvo susijęs su padidėjusiu CV ar dėl bet kokios priežasties mirties atvejų nei apskritai, nei pacientų, kuriems buvo pradinė MI, insultas ar ŪKS, pogrupyje. Apskritai </w:t>
      </w:r>
      <w:proofErr w:type="spellStart"/>
      <w:r w:rsidRPr="004B0C8F">
        <w:rPr>
          <w:lang w:val="lt-LT"/>
        </w:rPr>
        <w:t>febuksostato</w:t>
      </w:r>
      <w:proofErr w:type="spellEnd"/>
      <w:r w:rsidRPr="004B0C8F">
        <w:rPr>
          <w:lang w:val="lt-LT"/>
        </w:rPr>
        <w:t xml:space="preserve"> grupėje buvo mažiau mirčių (62 mirtys nuo CV ir 108 mirtys dėl visų priežasčių) nei </w:t>
      </w:r>
      <w:proofErr w:type="spellStart"/>
      <w:r w:rsidRPr="004B0C8F">
        <w:rPr>
          <w:lang w:val="lt-LT"/>
        </w:rPr>
        <w:t>alopurinolio</w:t>
      </w:r>
      <w:proofErr w:type="spellEnd"/>
      <w:r w:rsidRPr="004B0C8F">
        <w:rPr>
          <w:lang w:val="lt-LT"/>
        </w:rPr>
        <w:t xml:space="preserve"> grupėje (82 CV mirtys ir 174 mirtys dėl visų priežasčių).</w:t>
      </w:r>
    </w:p>
    <w:p w14:paraId="12B13833" w14:textId="77777777" w:rsidR="008A265E" w:rsidRPr="004B0C8F" w:rsidRDefault="008A265E" w:rsidP="008A265E">
      <w:pPr>
        <w:tabs>
          <w:tab w:val="left" w:pos="4680"/>
        </w:tabs>
        <w:spacing w:line="240" w:lineRule="auto"/>
        <w:ind w:left="2" w:right="397"/>
        <w:rPr>
          <w:lang w:val="lt-LT"/>
        </w:rPr>
      </w:pPr>
      <w:r w:rsidRPr="004B0C8F">
        <w:rPr>
          <w:lang w:val="lt-LT"/>
        </w:rPr>
        <w:t xml:space="preserve">Gydant </w:t>
      </w:r>
      <w:proofErr w:type="spellStart"/>
      <w:r w:rsidRPr="004B0C8F">
        <w:rPr>
          <w:lang w:val="lt-LT"/>
        </w:rPr>
        <w:t>febuksostatu</w:t>
      </w:r>
      <w:proofErr w:type="spellEnd"/>
      <w:r w:rsidRPr="004B0C8F">
        <w:rPr>
          <w:lang w:val="lt-LT"/>
        </w:rPr>
        <w:t xml:space="preserve">, šlapimo rūgšties kiekis sumažėjo labiau, nei gydant </w:t>
      </w:r>
      <w:proofErr w:type="spellStart"/>
      <w:r w:rsidRPr="004B0C8F">
        <w:rPr>
          <w:lang w:val="lt-LT"/>
        </w:rPr>
        <w:t>alopurinoliu</w:t>
      </w:r>
      <w:proofErr w:type="spellEnd"/>
      <w:r w:rsidRPr="004B0C8F">
        <w:rPr>
          <w:lang w:val="lt-LT"/>
        </w:rPr>
        <w:t>.</w:t>
      </w:r>
    </w:p>
    <w:p w14:paraId="1717913A" w14:textId="77777777" w:rsidR="008A265E" w:rsidRPr="004B0C8F" w:rsidRDefault="008A265E" w:rsidP="003B28E4">
      <w:pPr>
        <w:tabs>
          <w:tab w:val="left" w:pos="4680"/>
        </w:tabs>
        <w:spacing w:line="240" w:lineRule="auto"/>
        <w:rPr>
          <w:lang w:val="lt-LT"/>
        </w:rPr>
      </w:pPr>
    </w:p>
    <w:p w14:paraId="31534DEE" w14:textId="3A8F9B0F" w:rsidR="00273470" w:rsidRPr="004A478C" w:rsidRDefault="00273470" w:rsidP="003B28E4">
      <w:pPr>
        <w:pStyle w:val="Antrat3"/>
        <w:tabs>
          <w:tab w:val="left" w:pos="4680"/>
        </w:tabs>
        <w:spacing w:before="0" w:after="0" w:line="240" w:lineRule="auto"/>
        <w:ind w:left="-5"/>
        <w:rPr>
          <w:rFonts w:ascii="Times New Roman" w:hAnsi="Times New Roman"/>
          <w:sz w:val="22"/>
          <w:lang w:val="lt-LT"/>
        </w:rPr>
      </w:pPr>
      <w:r w:rsidRPr="004A478C">
        <w:rPr>
          <w:rFonts w:ascii="Times New Roman" w:hAnsi="Times New Roman"/>
          <w:b w:val="0"/>
          <w:i/>
          <w:sz w:val="22"/>
          <w:u w:val="single" w:color="000000"/>
          <w:lang w:val="lt-LT"/>
        </w:rPr>
        <w:t xml:space="preserve">Naviko </w:t>
      </w:r>
      <w:proofErr w:type="spellStart"/>
      <w:r w:rsidRPr="004A478C">
        <w:rPr>
          <w:rFonts w:ascii="Times New Roman" w:hAnsi="Times New Roman"/>
          <w:b w:val="0"/>
          <w:i/>
          <w:sz w:val="22"/>
          <w:u w:val="single" w:color="000000"/>
          <w:lang w:val="lt-LT"/>
        </w:rPr>
        <w:t>lizės</w:t>
      </w:r>
      <w:proofErr w:type="spellEnd"/>
      <w:r w:rsidRPr="004A478C">
        <w:rPr>
          <w:rFonts w:ascii="Times New Roman" w:hAnsi="Times New Roman"/>
          <w:b w:val="0"/>
          <w:i/>
          <w:sz w:val="22"/>
          <w:u w:val="single" w:color="000000"/>
          <w:lang w:val="lt-LT"/>
        </w:rPr>
        <w:t xml:space="preserve"> sindromas</w:t>
      </w:r>
      <w:r w:rsidR="003D0095" w:rsidRPr="004A478C">
        <w:rPr>
          <w:rFonts w:ascii="Times New Roman" w:hAnsi="Times New Roman"/>
          <w:b w:val="0"/>
          <w:i/>
          <w:sz w:val="22"/>
          <w:u w:val="single" w:color="000000"/>
          <w:lang w:val="lt-LT"/>
        </w:rPr>
        <w:t xml:space="preserve"> (NLS)</w:t>
      </w:r>
      <w:r w:rsidRPr="004A478C">
        <w:rPr>
          <w:rFonts w:ascii="Times New Roman" w:hAnsi="Times New Roman"/>
          <w:b w:val="0"/>
          <w:i/>
          <w:sz w:val="22"/>
          <w:lang w:val="lt-LT"/>
        </w:rPr>
        <w:t xml:space="preserve"> </w:t>
      </w:r>
    </w:p>
    <w:p w14:paraId="63E16E50" w14:textId="61E8B90C" w:rsidR="00273470" w:rsidRPr="004A478C" w:rsidRDefault="00A42455" w:rsidP="003B28E4">
      <w:pPr>
        <w:tabs>
          <w:tab w:val="left" w:pos="4680"/>
        </w:tabs>
        <w:spacing w:line="240" w:lineRule="auto"/>
        <w:ind w:left="2" w:right="397"/>
        <w:rPr>
          <w:lang w:val="lt-LT"/>
        </w:rPr>
      </w:pPr>
      <w:proofErr w:type="spellStart"/>
      <w:r w:rsidRPr="004B0C8F">
        <w:rPr>
          <w:szCs w:val="22"/>
          <w:lang w:val="lt-LT"/>
        </w:rPr>
        <w:t>Febuksostato</w:t>
      </w:r>
      <w:proofErr w:type="spellEnd"/>
      <w:r w:rsidRPr="004B0C8F">
        <w:rPr>
          <w:szCs w:val="22"/>
          <w:lang w:val="lt-LT"/>
        </w:rPr>
        <w:t xml:space="preserve"> </w:t>
      </w:r>
      <w:r w:rsidR="00273470" w:rsidRPr="004A478C">
        <w:rPr>
          <w:lang w:val="lt-LT"/>
        </w:rPr>
        <w:t xml:space="preserve">veiksmingumas ir saugumas </w:t>
      </w:r>
      <w:r w:rsidR="003D0095" w:rsidRPr="004A478C">
        <w:rPr>
          <w:lang w:val="lt-LT"/>
        </w:rPr>
        <w:t>NLS</w:t>
      </w:r>
      <w:r w:rsidR="00273470" w:rsidRPr="004A478C">
        <w:rPr>
          <w:lang w:val="lt-LT"/>
        </w:rPr>
        <w:t xml:space="preserve"> profilaktikoje ir gydyme buvo vertintas FLORENCE (FLO-01) tyrim</w:t>
      </w:r>
      <w:r w:rsidRPr="004A478C">
        <w:rPr>
          <w:lang w:val="lt-LT"/>
        </w:rPr>
        <w:t xml:space="preserve">o metu. </w:t>
      </w:r>
      <w:proofErr w:type="spellStart"/>
      <w:r w:rsidRPr="004B0C8F">
        <w:rPr>
          <w:szCs w:val="22"/>
          <w:lang w:val="lt-LT"/>
        </w:rPr>
        <w:t>Febuksostatas</w:t>
      </w:r>
      <w:proofErr w:type="spellEnd"/>
      <w:r w:rsidRPr="004B0C8F">
        <w:rPr>
          <w:szCs w:val="22"/>
          <w:lang w:val="lt-LT"/>
        </w:rPr>
        <w:t xml:space="preserve"> </w:t>
      </w:r>
      <w:r w:rsidR="00273470" w:rsidRPr="004A478C">
        <w:rPr>
          <w:lang w:val="lt-LT"/>
        </w:rPr>
        <w:t xml:space="preserve">veiksmingiau ir greičiau sumažino uratų koncentraciją serume, lyginant su </w:t>
      </w:r>
      <w:proofErr w:type="spellStart"/>
      <w:r w:rsidR="00273470" w:rsidRPr="004A478C">
        <w:rPr>
          <w:lang w:val="lt-LT"/>
        </w:rPr>
        <w:t>alopurinoliu</w:t>
      </w:r>
      <w:proofErr w:type="spellEnd"/>
      <w:r w:rsidR="00273470" w:rsidRPr="004A478C">
        <w:rPr>
          <w:lang w:val="lt-LT"/>
        </w:rPr>
        <w:t xml:space="preserve">. </w:t>
      </w:r>
    </w:p>
    <w:p w14:paraId="5A51DE82" w14:textId="77777777" w:rsidR="00273470" w:rsidRPr="004A478C" w:rsidRDefault="00273470" w:rsidP="003B28E4">
      <w:pPr>
        <w:tabs>
          <w:tab w:val="left" w:pos="4680"/>
        </w:tabs>
        <w:spacing w:line="240" w:lineRule="auto"/>
        <w:ind w:left="2" w:right="397"/>
        <w:rPr>
          <w:lang w:val="lt-LT"/>
        </w:rPr>
      </w:pPr>
      <w:r w:rsidRPr="004A478C">
        <w:rPr>
          <w:lang w:val="lt-LT"/>
        </w:rPr>
        <w:t xml:space="preserve">FLORENCE buvo </w:t>
      </w:r>
      <w:proofErr w:type="spellStart"/>
      <w:r w:rsidRPr="004A478C">
        <w:rPr>
          <w:lang w:val="lt-LT"/>
        </w:rPr>
        <w:t>randomizuotas</w:t>
      </w:r>
      <w:proofErr w:type="spellEnd"/>
      <w:r w:rsidRPr="004A478C">
        <w:rPr>
          <w:lang w:val="lt-LT"/>
        </w:rPr>
        <w:t xml:space="preserve"> (1:1), dvigubai </w:t>
      </w:r>
      <w:r w:rsidR="00A42455" w:rsidRPr="004A478C">
        <w:rPr>
          <w:lang w:val="lt-LT"/>
        </w:rPr>
        <w:t>koduotas</w:t>
      </w:r>
      <w:r w:rsidRPr="004A478C">
        <w:rPr>
          <w:lang w:val="lt-LT"/>
        </w:rPr>
        <w:t xml:space="preserve">, III fazės pagrindinis tyrimas, lyginantis </w:t>
      </w:r>
      <w:proofErr w:type="spellStart"/>
      <w:r w:rsidR="00A42455" w:rsidRPr="004B0C8F">
        <w:rPr>
          <w:szCs w:val="22"/>
          <w:lang w:val="lt-LT"/>
        </w:rPr>
        <w:t>febuksostato</w:t>
      </w:r>
      <w:proofErr w:type="spellEnd"/>
      <w:r w:rsidR="00A42455" w:rsidRPr="004B0C8F">
        <w:rPr>
          <w:szCs w:val="22"/>
          <w:lang w:val="lt-LT"/>
        </w:rPr>
        <w:t xml:space="preserve"> </w:t>
      </w:r>
      <w:r w:rsidRPr="004A478C">
        <w:rPr>
          <w:lang w:val="lt-LT"/>
        </w:rPr>
        <w:t>120</w:t>
      </w:r>
      <w:r w:rsidR="00E87295" w:rsidRPr="004A478C">
        <w:rPr>
          <w:lang w:val="lt-LT"/>
        </w:rPr>
        <w:t> mg</w:t>
      </w:r>
      <w:r w:rsidRPr="004A478C">
        <w:rPr>
          <w:lang w:val="lt-LT"/>
        </w:rPr>
        <w:t xml:space="preserve"> (skiriamo kartą per parą) su </w:t>
      </w:r>
      <w:proofErr w:type="spellStart"/>
      <w:r w:rsidRPr="004A478C">
        <w:rPr>
          <w:lang w:val="lt-LT"/>
        </w:rPr>
        <w:t>alopurinolio</w:t>
      </w:r>
      <w:proofErr w:type="spellEnd"/>
      <w:r w:rsidRPr="004A478C">
        <w:rPr>
          <w:lang w:val="lt-LT"/>
        </w:rPr>
        <w:t xml:space="preserve"> (skiriamo nuo 200 iki 600</w:t>
      </w:r>
      <w:r w:rsidR="00E87295" w:rsidRPr="004A478C">
        <w:rPr>
          <w:lang w:val="lt-LT"/>
        </w:rPr>
        <w:t> mg</w:t>
      </w:r>
      <w:r w:rsidRPr="004A478C">
        <w:rPr>
          <w:lang w:val="lt-LT"/>
        </w:rPr>
        <w:t xml:space="preserve"> per parą) veiksmingumą, kontroliuojant serumo šlapimo rūgštį. Vidutinė </w:t>
      </w:r>
      <w:proofErr w:type="spellStart"/>
      <w:r w:rsidRPr="004A478C">
        <w:rPr>
          <w:lang w:val="lt-LT"/>
        </w:rPr>
        <w:t>alopurinolio</w:t>
      </w:r>
      <w:proofErr w:type="spellEnd"/>
      <w:r w:rsidRPr="004A478C">
        <w:rPr>
          <w:lang w:val="lt-LT"/>
        </w:rPr>
        <w:t xml:space="preserve"> paros dozė buvo 349</w:t>
      </w:r>
      <w:r w:rsidR="00A02E65" w:rsidRPr="004A478C">
        <w:rPr>
          <w:lang w:val="lt-LT"/>
        </w:rPr>
        <w:t>,</w:t>
      </w:r>
      <w:r w:rsidRPr="004A478C">
        <w:rPr>
          <w:lang w:val="lt-LT"/>
        </w:rPr>
        <w:t>7 ± 112</w:t>
      </w:r>
      <w:r w:rsidR="00A02E65" w:rsidRPr="004A478C">
        <w:rPr>
          <w:lang w:val="lt-LT"/>
        </w:rPr>
        <w:t>,</w:t>
      </w:r>
      <w:r w:rsidRPr="004A478C">
        <w:rPr>
          <w:lang w:val="lt-LT"/>
        </w:rPr>
        <w:t>90</w:t>
      </w:r>
      <w:r w:rsidR="00E87295" w:rsidRPr="004A478C">
        <w:rPr>
          <w:lang w:val="lt-LT"/>
        </w:rPr>
        <w:t> mg</w:t>
      </w:r>
      <w:r w:rsidRPr="004A478C">
        <w:rPr>
          <w:lang w:val="lt-LT"/>
        </w:rPr>
        <w:t xml:space="preserve"> (± standartinė paklaida). Atrinkti ir tinkami tyrimui pacientai turėjo būti kandidatais gydyti </w:t>
      </w:r>
      <w:proofErr w:type="spellStart"/>
      <w:r w:rsidRPr="004A478C">
        <w:rPr>
          <w:lang w:val="lt-LT"/>
        </w:rPr>
        <w:t>alopurinoliu</w:t>
      </w:r>
      <w:proofErr w:type="spellEnd"/>
      <w:r w:rsidRPr="004A478C">
        <w:rPr>
          <w:lang w:val="lt-LT"/>
        </w:rPr>
        <w:t xml:space="preserve"> arba jie nebuvo gydyti </w:t>
      </w:r>
      <w:proofErr w:type="spellStart"/>
      <w:r w:rsidRPr="004A478C">
        <w:rPr>
          <w:lang w:val="lt-LT"/>
        </w:rPr>
        <w:t>rasburikaze</w:t>
      </w:r>
      <w:proofErr w:type="spellEnd"/>
      <w:r w:rsidRPr="004A478C">
        <w:rPr>
          <w:lang w:val="lt-LT"/>
        </w:rPr>
        <w:t>. Tyrimo pirminiais tikslais buvo šlapimo rūgšties koncentracijos serume (</w:t>
      </w:r>
      <w:proofErr w:type="spellStart"/>
      <w:r w:rsidRPr="004A478C">
        <w:rPr>
          <w:lang w:val="lt-LT"/>
        </w:rPr>
        <w:t>t.y</w:t>
      </w:r>
      <w:proofErr w:type="spellEnd"/>
      <w:r w:rsidRPr="004A478C">
        <w:rPr>
          <w:lang w:val="lt-LT"/>
        </w:rPr>
        <w:t>. uratų “plotas po kreive” – AUC sUA</w:t>
      </w:r>
      <w:r w:rsidRPr="004A478C">
        <w:rPr>
          <w:vertAlign w:val="subscript"/>
          <w:lang w:val="lt-LT"/>
        </w:rPr>
        <w:t>1-8</w:t>
      </w:r>
      <w:r w:rsidRPr="004A478C">
        <w:rPr>
          <w:lang w:val="lt-LT"/>
        </w:rPr>
        <w:t>) ir kreatinino koncentracijos serume (</w:t>
      </w:r>
      <w:proofErr w:type="spellStart"/>
      <w:r w:rsidRPr="004A478C">
        <w:rPr>
          <w:lang w:val="lt-LT"/>
        </w:rPr>
        <w:t>sC</w:t>
      </w:r>
      <w:proofErr w:type="spellEnd"/>
      <w:r w:rsidRPr="004A478C">
        <w:rPr>
          <w:lang w:val="lt-LT"/>
        </w:rPr>
        <w:t>) pokyčiai 8 gydymo dieną, lyginant su pradiniais duomenimis.</w:t>
      </w:r>
    </w:p>
    <w:p w14:paraId="11D20D34" w14:textId="60F77093" w:rsidR="00273470" w:rsidRPr="004A478C" w:rsidRDefault="00273470" w:rsidP="003B28E4">
      <w:pPr>
        <w:tabs>
          <w:tab w:val="left" w:pos="4680"/>
        </w:tabs>
        <w:spacing w:line="240" w:lineRule="auto"/>
        <w:ind w:left="2" w:right="397"/>
        <w:rPr>
          <w:lang w:val="lt-LT"/>
        </w:rPr>
      </w:pPr>
      <w:r w:rsidRPr="004A478C">
        <w:rPr>
          <w:lang w:val="lt-LT"/>
        </w:rPr>
        <w:t xml:space="preserve">Iš viso tyrime dalyvavo 346 pacientai, sergantys piktybinėmis kraujo ligomis ir kurie buvo gydomi chemoterapija, kuriems </w:t>
      </w:r>
      <w:r w:rsidR="003D0095" w:rsidRPr="004A478C">
        <w:rPr>
          <w:lang w:val="lt-LT"/>
        </w:rPr>
        <w:t>NLS</w:t>
      </w:r>
      <w:r w:rsidRPr="004A478C">
        <w:rPr>
          <w:lang w:val="lt-LT"/>
        </w:rPr>
        <w:t xml:space="preserve"> rizika buvo vertinama kaip vidutinė ar didelė. Vidutinės šlapimo rūgšties koncentracijos ploto po kreive (AUC sUA1-8;</w:t>
      </w:r>
      <w:r w:rsidR="00E87295" w:rsidRPr="004A478C">
        <w:rPr>
          <w:lang w:val="lt-LT"/>
        </w:rPr>
        <w:t> mg</w:t>
      </w:r>
      <w:r w:rsidRPr="004A478C">
        <w:rPr>
          <w:lang w:val="lt-LT"/>
        </w:rPr>
        <w:t xml:space="preserve"> x </w:t>
      </w:r>
      <w:proofErr w:type="spellStart"/>
      <w:r w:rsidRPr="004A478C">
        <w:rPr>
          <w:lang w:val="lt-LT"/>
        </w:rPr>
        <w:t>val</w:t>
      </w:r>
      <w:proofErr w:type="spellEnd"/>
      <w:r w:rsidRPr="004A478C">
        <w:rPr>
          <w:lang w:val="lt-LT"/>
        </w:rPr>
        <w:t xml:space="preserve">/dl) sumažėjimas gydant </w:t>
      </w:r>
      <w:proofErr w:type="spellStart"/>
      <w:r w:rsidR="004479C6" w:rsidRPr="004B0C8F">
        <w:rPr>
          <w:szCs w:val="22"/>
          <w:lang w:val="lt-LT"/>
        </w:rPr>
        <w:t>febuksostatu</w:t>
      </w:r>
      <w:proofErr w:type="spellEnd"/>
      <w:r w:rsidR="004479C6" w:rsidRPr="004B0C8F">
        <w:rPr>
          <w:szCs w:val="22"/>
          <w:lang w:val="lt-LT"/>
        </w:rPr>
        <w:t xml:space="preserve"> </w:t>
      </w:r>
      <w:r w:rsidRPr="004A478C">
        <w:rPr>
          <w:lang w:val="lt-LT"/>
        </w:rPr>
        <w:t xml:space="preserve">buvo reikšmingai didesnis nei gydant </w:t>
      </w:r>
      <w:proofErr w:type="spellStart"/>
      <w:r w:rsidRPr="004A478C">
        <w:rPr>
          <w:lang w:val="lt-LT"/>
        </w:rPr>
        <w:t>alopurinoliu</w:t>
      </w:r>
      <w:proofErr w:type="spellEnd"/>
      <w:r w:rsidRPr="004A478C">
        <w:rPr>
          <w:lang w:val="lt-LT"/>
        </w:rPr>
        <w:t xml:space="preserve"> (514</w:t>
      </w:r>
      <w:r w:rsidR="00A02E65" w:rsidRPr="004A478C">
        <w:rPr>
          <w:lang w:val="lt-LT"/>
        </w:rPr>
        <w:t>,</w:t>
      </w:r>
      <w:r w:rsidRPr="004A478C">
        <w:rPr>
          <w:lang w:val="lt-LT"/>
        </w:rPr>
        <w:t>0 ± 225</w:t>
      </w:r>
      <w:r w:rsidR="00A02E65" w:rsidRPr="004A478C">
        <w:rPr>
          <w:lang w:val="lt-LT"/>
        </w:rPr>
        <w:t>,</w:t>
      </w:r>
      <w:r w:rsidRPr="004A478C">
        <w:rPr>
          <w:lang w:val="lt-LT"/>
        </w:rPr>
        <w:t>71 lyginant su 708</w:t>
      </w:r>
      <w:r w:rsidR="00A02E65" w:rsidRPr="004A478C">
        <w:rPr>
          <w:lang w:val="lt-LT"/>
        </w:rPr>
        <w:t>,</w:t>
      </w:r>
      <w:r w:rsidRPr="004A478C">
        <w:rPr>
          <w:lang w:val="lt-LT"/>
        </w:rPr>
        <w:t xml:space="preserve">0 </w:t>
      </w:r>
      <w:r w:rsidRPr="004A478C">
        <w:rPr>
          <w:lang w:val="lt-LT"/>
        </w:rPr>
        <w:lastRenderedPageBreak/>
        <w:t>±</w:t>
      </w:r>
      <w:r w:rsidR="002005C3" w:rsidRPr="004A478C">
        <w:rPr>
          <w:lang w:val="lt-LT"/>
        </w:rPr>
        <w:t xml:space="preserve"> </w:t>
      </w:r>
      <w:r w:rsidRPr="004A478C">
        <w:rPr>
          <w:lang w:val="lt-LT"/>
        </w:rPr>
        <w:t>234</w:t>
      </w:r>
      <w:r w:rsidR="00A02E65" w:rsidRPr="004A478C">
        <w:rPr>
          <w:lang w:val="lt-LT"/>
        </w:rPr>
        <w:t>,</w:t>
      </w:r>
      <w:r w:rsidRPr="004A478C">
        <w:rPr>
          <w:lang w:val="lt-LT"/>
        </w:rPr>
        <w:t>42; mažiausių kvadratų vidurkio skirtumas: -196</w:t>
      </w:r>
      <w:r w:rsidR="00A02E65" w:rsidRPr="004A478C">
        <w:rPr>
          <w:lang w:val="lt-LT"/>
        </w:rPr>
        <w:t>,</w:t>
      </w:r>
      <w:r w:rsidRPr="004A478C">
        <w:rPr>
          <w:lang w:val="lt-LT"/>
        </w:rPr>
        <w:t xml:space="preserve">794 [95% </w:t>
      </w:r>
      <w:r w:rsidR="003D0095" w:rsidRPr="004A478C">
        <w:rPr>
          <w:lang w:val="lt-LT"/>
        </w:rPr>
        <w:t>PI</w:t>
      </w:r>
      <w:r w:rsidRPr="004A478C">
        <w:rPr>
          <w:lang w:val="lt-LT"/>
        </w:rPr>
        <w:t>: -238</w:t>
      </w:r>
      <w:r w:rsidR="00A02E65" w:rsidRPr="004A478C">
        <w:rPr>
          <w:lang w:val="lt-LT"/>
        </w:rPr>
        <w:t>,</w:t>
      </w:r>
      <w:r w:rsidRPr="004A478C">
        <w:rPr>
          <w:lang w:val="lt-LT"/>
        </w:rPr>
        <w:t>600 ; 154</w:t>
      </w:r>
      <w:r w:rsidR="00A02E65" w:rsidRPr="004A478C">
        <w:rPr>
          <w:lang w:val="lt-LT"/>
        </w:rPr>
        <w:t>,</w:t>
      </w:r>
      <w:r w:rsidRPr="004A478C">
        <w:rPr>
          <w:lang w:val="lt-LT"/>
        </w:rPr>
        <w:t xml:space="preserve">988]; p &lt; </w:t>
      </w:r>
      <w:r w:rsidR="00A02E65" w:rsidRPr="004A478C">
        <w:rPr>
          <w:lang w:val="lt-LT"/>
        </w:rPr>
        <w:t>0,</w:t>
      </w:r>
      <w:r w:rsidRPr="004A478C">
        <w:rPr>
          <w:lang w:val="lt-LT"/>
        </w:rPr>
        <w:t xml:space="preserve">0001). Dar daugiau, gydant </w:t>
      </w:r>
      <w:proofErr w:type="spellStart"/>
      <w:r w:rsidR="00A02E65" w:rsidRPr="004B0C8F">
        <w:rPr>
          <w:szCs w:val="22"/>
          <w:lang w:val="lt-LT"/>
        </w:rPr>
        <w:t>febuksostatu</w:t>
      </w:r>
      <w:proofErr w:type="spellEnd"/>
      <w:r w:rsidR="00A02E65" w:rsidRPr="004B0C8F">
        <w:rPr>
          <w:szCs w:val="22"/>
          <w:lang w:val="lt-LT"/>
        </w:rPr>
        <w:t xml:space="preserve"> </w:t>
      </w:r>
      <w:r w:rsidRPr="004A478C">
        <w:rPr>
          <w:lang w:val="lt-LT"/>
        </w:rPr>
        <w:t>vidutinė serumo šlapimo rūgšties koncentracija per pirmąsias 24 val. ir bet kuriuo tolimesniu laikotarpiu buvo reikšmingai mažesnė.</w:t>
      </w:r>
      <w:r w:rsidR="00A02E65" w:rsidRPr="004A478C">
        <w:rPr>
          <w:lang w:val="lt-LT"/>
        </w:rPr>
        <w:t xml:space="preserve"> </w:t>
      </w:r>
      <w:r w:rsidRPr="004A478C">
        <w:rPr>
          <w:lang w:val="lt-LT"/>
        </w:rPr>
        <w:t>Reikšmingo skirtumo, vertinant vidutinį kreatinino koncentracijos serume pokytį</w:t>
      </w:r>
      <w:r w:rsidR="00A02E65" w:rsidRPr="004A478C">
        <w:rPr>
          <w:lang w:val="lt-LT"/>
        </w:rPr>
        <w:t xml:space="preserve"> </w:t>
      </w:r>
      <w:r w:rsidRPr="004A478C">
        <w:rPr>
          <w:lang w:val="lt-LT"/>
        </w:rPr>
        <w:t xml:space="preserve">(%) </w:t>
      </w:r>
      <w:proofErr w:type="spellStart"/>
      <w:r w:rsidR="00A02E65" w:rsidRPr="004B0C8F">
        <w:rPr>
          <w:szCs w:val="22"/>
          <w:lang w:val="lt-LT"/>
        </w:rPr>
        <w:t>febuksostatu</w:t>
      </w:r>
      <w:proofErr w:type="spellEnd"/>
      <w:r w:rsidR="00A02E65" w:rsidRPr="004B0C8F">
        <w:rPr>
          <w:szCs w:val="22"/>
          <w:lang w:val="lt-LT"/>
        </w:rPr>
        <w:t xml:space="preserve"> </w:t>
      </w:r>
      <w:r w:rsidRPr="004A478C">
        <w:rPr>
          <w:lang w:val="lt-LT"/>
        </w:rPr>
        <w:t xml:space="preserve">ir </w:t>
      </w:r>
      <w:proofErr w:type="spellStart"/>
      <w:r w:rsidRPr="004A478C">
        <w:rPr>
          <w:lang w:val="lt-LT"/>
        </w:rPr>
        <w:t>alopurinoliu</w:t>
      </w:r>
      <w:proofErr w:type="spellEnd"/>
      <w:r w:rsidRPr="004A478C">
        <w:rPr>
          <w:lang w:val="lt-LT"/>
        </w:rPr>
        <w:t xml:space="preserve"> gydomų pacientų grupėse, nebuvo (atitinkamai, -0</w:t>
      </w:r>
      <w:r w:rsidR="00A02E65" w:rsidRPr="004A478C">
        <w:rPr>
          <w:lang w:val="lt-LT"/>
        </w:rPr>
        <w:t>,</w:t>
      </w:r>
      <w:r w:rsidRPr="004A478C">
        <w:rPr>
          <w:lang w:val="lt-LT"/>
        </w:rPr>
        <w:t>83 ± 26</w:t>
      </w:r>
      <w:r w:rsidR="00A02E65" w:rsidRPr="004A478C">
        <w:rPr>
          <w:lang w:val="lt-LT"/>
        </w:rPr>
        <w:t>,</w:t>
      </w:r>
      <w:r w:rsidRPr="004A478C">
        <w:rPr>
          <w:lang w:val="lt-LT"/>
        </w:rPr>
        <w:t>98 ir -4</w:t>
      </w:r>
      <w:r w:rsidR="00A02E65" w:rsidRPr="004A478C">
        <w:rPr>
          <w:lang w:val="lt-LT"/>
        </w:rPr>
        <w:t>,</w:t>
      </w:r>
      <w:r w:rsidRPr="004A478C">
        <w:rPr>
          <w:lang w:val="lt-LT"/>
        </w:rPr>
        <w:t>92 ± 16</w:t>
      </w:r>
      <w:r w:rsidR="00A02E65" w:rsidRPr="004A478C">
        <w:rPr>
          <w:lang w:val="lt-LT"/>
        </w:rPr>
        <w:t>,</w:t>
      </w:r>
      <w:r w:rsidRPr="004A478C">
        <w:rPr>
          <w:lang w:val="lt-LT"/>
        </w:rPr>
        <w:t>70 reikšmingai; mažiausių kvadratų vidurkio skirtumas: 4</w:t>
      </w:r>
      <w:r w:rsidR="00A02E65" w:rsidRPr="004A478C">
        <w:rPr>
          <w:lang w:val="lt-LT"/>
        </w:rPr>
        <w:t>,</w:t>
      </w:r>
      <w:r w:rsidRPr="004A478C">
        <w:rPr>
          <w:lang w:val="lt-LT"/>
        </w:rPr>
        <w:t xml:space="preserve">0970 [95% </w:t>
      </w:r>
      <w:r w:rsidR="003D0095" w:rsidRPr="004A478C">
        <w:rPr>
          <w:lang w:val="lt-LT"/>
        </w:rPr>
        <w:t>PI</w:t>
      </w:r>
      <w:r w:rsidRPr="004A478C">
        <w:rPr>
          <w:lang w:val="lt-LT"/>
        </w:rPr>
        <w:t>: 0</w:t>
      </w:r>
      <w:r w:rsidR="00A02E65" w:rsidRPr="004A478C">
        <w:rPr>
          <w:lang w:val="lt-LT"/>
        </w:rPr>
        <w:t>,</w:t>
      </w:r>
      <w:r w:rsidRPr="004A478C">
        <w:rPr>
          <w:lang w:val="lt-LT"/>
        </w:rPr>
        <w:t>6467; 8</w:t>
      </w:r>
      <w:r w:rsidR="00A02E65" w:rsidRPr="004A478C">
        <w:rPr>
          <w:lang w:val="lt-LT"/>
        </w:rPr>
        <w:t>,</w:t>
      </w:r>
      <w:r w:rsidRPr="004A478C">
        <w:rPr>
          <w:lang w:val="lt-LT"/>
        </w:rPr>
        <w:t>8406]; p=0</w:t>
      </w:r>
      <w:r w:rsidR="00A02E65" w:rsidRPr="004A478C">
        <w:rPr>
          <w:lang w:val="lt-LT"/>
        </w:rPr>
        <w:t>,</w:t>
      </w:r>
      <w:r w:rsidRPr="004A478C">
        <w:rPr>
          <w:lang w:val="lt-LT"/>
        </w:rPr>
        <w:t>0903). Vertinant antrinius tyrimo tikslus, reikšmingo skirtumo tarp laboratorinio NLS dažnio (8</w:t>
      </w:r>
      <w:r w:rsidR="00A02E65" w:rsidRPr="004A478C">
        <w:rPr>
          <w:lang w:val="lt-LT"/>
        </w:rPr>
        <w:t>,</w:t>
      </w:r>
      <w:r w:rsidRPr="004A478C">
        <w:rPr>
          <w:lang w:val="lt-LT"/>
        </w:rPr>
        <w:t xml:space="preserve">1% </w:t>
      </w:r>
      <w:proofErr w:type="spellStart"/>
      <w:r w:rsidR="00A02E65" w:rsidRPr="004B0C8F">
        <w:rPr>
          <w:szCs w:val="22"/>
          <w:lang w:val="lt-LT"/>
        </w:rPr>
        <w:t>febuksostato</w:t>
      </w:r>
      <w:proofErr w:type="spellEnd"/>
      <w:r w:rsidR="00A02E65" w:rsidRPr="004B0C8F">
        <w:rPr>
          <w:szCs w:val="22"/>
          <w:lang w:val="lt-LT"/>
        </w:rPr>
        <w:t xml:space="preserve"> </w:t>
      </w:r>
      <w:r w:rsidRPr="004A478C">
        <w:rPr>
          <w:lang w:val="lt-LT"/>
        </w:rPr>
        <w:t>grupėje ir 9</w:t>
      </w:r>
      <w:r w:rsidR="00A02E65" w:rsidRPr="004A478C">
        <w:rPr>
          <w:lang w:val="lt-LT"/>
        </w:rPr>
        <w:t>,</w:t>
      </w:r>
      <w:r w:rsidRPr="004A478C">
        <w:rPr>
          <w:lang w:val="lt-LT"/>
        </w:rPr>
        <w:t xml:space="preserve">2% </w:t>
      </w:r>
      <w:proofErr w:type="spellStart"/>
      <w:r w:rsidRPr="004A478C">
        <w:rPr>
          <w:lang w:val="lt-LT"/>
        </w:rPr>
        <w:t>alopurinolio</w:t>
      </w:r>
      <w:proofErr w:type="spellEnd"/>
      <w:r w:rsidRPr="004A478C">
        <w:rPr>
          <w:lang w:val="lt-LT"/>
        </w:rPr>
        <w:t xml:space="preserve"> grupėje, reikšmingai; santykinė rizika: 0</w:t>
      </w:r>
      <w:r w:rsidR="00A02E65" w:rsidRPr="004A478C">
        <w:rPr>
          <w:lang w:val="lt-LT"/>
        </w:rPr>
        <w:t>,</w:t>
      </w:r>
      <w:r w:rsidRPr="004A478C">
        <w:rPr>
          <w:lang w:val="lt-LT"/>
        </w:rPr>
        <w:t xml:space="preserve">875 [95% </w:t>
      </w:r>
      <w:r w:rsidR="003D0095" w:rsidRPr="004A478C">
        <w:rPr>
          <w:lang w:val="lt-LT"/>
        </w:rPr>
        <w:t>PI</w:t>
      </w:r>
      <w:r w:rsidRPr="004A478C">
        <w:rPr>
          <w:lang w:val="lt-LT"/>
        </w:rPr>
        <w:t>: 0</w:t>
      </w:r>
      <w:r w:rsidR="00A02E65" w:rsidRPr="004A478C">
        <w:rPr>
          <w:lang w:val="lt-LT"/>
        </w:rPr>
        <w:t>,</w:t>
      </w:r>
      <w:r w:rsidRPr="004A478C">
        <w:rPr>
          <w:lang w:val="lt-LT"/>
        </w:rPr>
        <w:t>4408 ; 1</w:t>
      </w:r>
      <w:r w:rsidR="00A02E65" w:rsidRPr="004A478C">
        <w:rPr>
          <w:lang w:val="lt-LT"/>
        </w:rPr>
        <w:t>,</w:t>
      </w:r>
      <w:r w:rsidRPr="004A478C">
        <w:rPr>
          <w:lang w:val="lt-LT"/>
        </w:rPr>
        <w:t>7369]; p=0</w:t>
      </w:r>
      <w:r w:rsidR="00A02E65" w:rsidRPr="004A478C">
        <w:rPr>
          <w:lang w:val="lt-LT"/>
        </w:rPr>
        <w:t>,</w:t>
      </w:r>
      <w:r w:rsidRPr="004A478C">
        <w:rPr>
          <w:lang w:val="lt-LT"/>
        </w:rPr>
        <w:t>8488) ir klinikinio NLS dažnio</w:t>
      </w:r>
      <w:r w:rsidR="009310D4" w:rsidRPr="004A478C">
        <w:rPr>
          <w:lang w:val="lt-LT"/>
        </w:rPr>
        <w:t xml:space="preserve"> </w:t>
      </w:r>
      <w:r w:rsidRPr="004A478C">
        <w:rPr>
          <w:lang w:val="lt-LT"/>
        </w:rPr>
        <w:t>(1</w:t>
      </w:r>
      <w:r w:rsidR="00A02E65" w:rsidRPr="004A478C">
        <w:rPr>
          <w:lang w:val="lt-LT"/>
        </w:rPr>
        <w:t>,</w:t>
      </w:r>
      <w:r w:rsidRPr="004A478C">
        <w:rPr>
          <w:lang w:val="lt-LT"/>
        </w:rPr>
        <w:t xml:space="preserve">7% </w:t>
      </w:r>
      <w:proofErr w:type="spellStart"/>
      <w:r w:rsidR="00A02E65" w:rsidRPr="004B0C8F">
        <w:rPr>
          <w:szCs w:val="22"/>
          <w:lang w:val="lt-LT"/>
        </w:rPr>
        <w:t>febuksostato</w:t>
      </w:r>
      <w:proofErr w:type="spellEnd"/>
      <w:r w:rsidR="00A02E65" w:rsidRPr="004B0C8F">
        <w:rPr>
          <w:szCs w:val="22"/>
          <w:lang w:val="lt-LT"/>
        </w:rPr>
        <w:t xml:space="preserve"> </w:t>
      </w:r>
      <w:r w:rsidRPr="004A478C">
        <w:rPr>
          <w:lang w:val="lt-LT"/>
        </w:rPr>
        <w:t>ir 1</w:t>
      </w:r>
      <w:r w:rsidR="00A02E65" w:rsidRPr="004A478C">
        <w:rPr>
          <w:lang w:val="lt-LT"/>
        </w:rPr>
        <w:t>,</w:t>
      </w:r>
      <w:r w:rsidRPr="004A478C">
        <w:rPr>
          <w:lang w:val="lt-LT"/>
        </w:rPr>
        <w:t xml:space="preserve">2% </w:t>
      </w:r>
      <w:proofErr w:type="spellStart"/>
      <w:r w:rsidRPr="004A478C">
        <w:rPr>
          <w:lang w:val="lt-LT"/>
        </w:rPr>
        <w:t>alopurinolio</w:t>
      </w:r>
      <w:proofErr w:type="spellEnd"/>
      <w:r w:rsidRPr="004A478C">
        <w:rPr>
          <w:lang w:val="lt-LT"/>
        </w:rPr>
        <w:t xml:space="preserve"> grupėse, reikšmingai; santykinė rizika: 0</w:t>
      </w:r>
      <w:r w:rsidR="00A02E65" w:rsidRPr="004A478C">
        <w:rPr>
          <w:lang w:val="lt-LT"/>
        </w:rPr>
        <w:t>,</w:t>
      </w:r>
      <w:r w:rsidRPr="004A478C">
        <w:rPr>
          <w:lang w:val="lt-LT"/>
        </w:rPr>
        <w:t xml:space="preserve">994 [95% </w:t>
      </w:r>
      <w:r w:rsidR="003D0095" w:rsidRPr="004A478C">
        <w:rPr>
          <w:lang w:val="lt-LT"/>
        </w:rPr>
        <w:t>PI</w:t>
      </w:r>
      <w:r w:rsidRPr="004A478C">
        <w:rPr>
          <w:lang w:val="lt-LT"/>
        </w:rPr>
        <w:t>: 0</w:t>
      </w:r>
      <w:r w:rsidR="00A02E65" w:rsidRPr="004A478C">
        <w:rPr>
          <w:lang w:val="lt-LT"/>
        </w:rPr>
        <w:t>,</w:t>
      </w:r>
      <w:r w:rsidRPr="004A478C">
        <w:rPr>
          <w:lang w:val="lt-LT"/>
        </w:rPr>
        <w:t>9691; 1</w:t>
      </w:r>
      <w:r w:rsidR="00A02E65" w:rsidRPr="004A478C">
        <w:rPr>
          <w:lang w:val="lt-LT"/>
        </w:rPr>
        <w:t>,</w:t>
      </w:r>
      <w:r w:rsidRPr="004A478C">
        <w:rPr>
          <w:lang w:val="lt-LT"/>
        </w:rPr>
        <w:t>0199]; p=1</w:t>
      </w:r>
      <w:r w:rsidR="00A02E65" w:rsidRPr="004A478C">
        <w:rPr>
          <w:lang w:val="lt-LT"/>
        </w:rPr>
        <w:t>,</w:t>
      </w:r>
      <w:r w:rsidRPr="004A478C">
        <w:rPr>
          <w:lang w:val="lt-LT"/>
        </w:rPr>
        <w:t xml:space="preserve">0000) nenustatyta. Nuo gydymo atsiradusių šalutinių požymių ir simptomų, ir </w:t>
      </w:r>
      <w:r w:rsidR="00A02E65" w:rsidRPr="004B0C8F">
        <w:rPr>
          <w:szCs w:val="22"/>
          <w:lang w:val="lt-LT"/>
        </w:rPr>
        <w:t xml:space="preserve">nepageidaujamų reakcijų į vaistinį preparatą </w:t>
      </w:r>
      <w:r w:rsidRPr="004A478C">
        <w:rPr>
          <w:lang w:val="lt-LT"/>
        </w:rPr>
        <w:t>dažniai buvo, atitinkamai, 67</w:t>
      </w:r>
      <w:r w:rsidR="00A02E65" w:rsidRPr="004A478C">
        <w:rPr>
          <w:lang w:val="lt-LT"/>
        </w:rPr>
        <w:t>,</w:t>
      </w:r>
      <w:r w:rsidRPr="004A478C">
        <w:rPr>
          <w:lang w:val="lt-LT"/>
        </w:rPr>
        <w:t xml:space="preserve">6% ir 6,4% </w:t>
      </w:r>
      <w:proofErr w:type="spellStart"/>
      <w:r w:rsidR="00A02E65" w:rsidRPr="004A478C">
        <w:rPr>
          <w:lang w:val="lt-LT"/>
        </w:rPr>
        <w:t>febuksostato</w:t>
      </w:r>
      <w:proofErr w:type="spellEnd"/>
      <w:r w:rsidRPr="004A478C">
        <w:rPr>
          <w:lang w:val="lt-LT"/>
        </w:rPr>
        <w:t xml:space="preserve"> grupėje ir 64</w:t>
      </w:r>
      <w:r w:rsidR="00A02E65" w:rsidRPr="004A478C">
        <w:rPr>
          <w:lang w:val="lt-LT"/>
        </w:rPr>
        <w:t>,</w:t>
      </w:r>
      <w:r w:rsidRPr="004A478C">
        <w:rPr>
          <w:lang w:val="lt-LT"/>
        </w:rPr>
        <w:t>7% bei 6</w:t>
      </w:r>
      <w:r w:rsidR="00A02E65" w:rsidRPr="004A478C">
        <w:rPr>
          <w:lang w:val="lt-LT"/>
        </w:rPr>
        <w:t>,</w:t>
      </w:r>
      <w:r w:rsidRPr="004A478C">
        <w:rPr>
          <w:lang w:val="lt-LT"/>
        </w:rPr>
        <w:t xml:space="preserve">4% </w:t>
      </w:r>
      <w:proofErr w:type="spellStart"/>
      <w:r w:rsidRPr="004A478C">
        <w:rPr>
          <w:lang w:val="lt-LT"/>
        </w:rPr>
        <w:t>alopurinolio</w:t>
      </w:r>
      <w:proofErr w:type="spellEnd"/>
      <w:r w:rsidRPr="004A478C">
        <w:rPr>
          <w:lang w:val="lt-LT"/>
        </w:rPr>
        <w:t xml:space="preserve"> grupėje). </w:t>
      </w:r>
    </w:p>
    <w:p w14:paraId="42512D8D" w14:textId="77777777" w:rsidR="00273470" w:rsidRPr="004A478C" w:rsidRDefault="00273470" w:rsidP="003B28E4">
      <w:pPr>
        <w:tabs>
          <w:tab w:val="left" w:pos="4680"/>
        </w:tabs>
        <w:spacing w:line="240" w:lineRule="auto"/>
        <w:ind w:left="2" w:right="397"/>
        <w:rPr>
          <w:lang w:val="lt-LT"/>
        </w:rPr>
      </w:pPr>
      <w:r w:rsidRPr="004A478C">
        <w:rPr>
          <w:lang w:val="lt-LT"/>
        </w:rPr>
        <w:t xml:space="preserve">FLORENCE tyrimas nustatė, kad </w:t>
      </w:r>
      <w:proofErr w:type="spellStart"/>
      <w:r w:rsidR="00A02E65" w:rsidRPr="004B0C8F">
        <w:rPr>
          <w:szCs w:val="22"/>
          <w:lang w:val="lt-LT"/>
        </w:rPr>
        <w:t>febuksostatas</w:t>
      </w:r>
      <w:proofErr w:type="spellEnd"/>
      <w:r w:rsidR="00A02E65" w:rsidRPr="004B0C8F">
        <w:rPr>
          <w:szCs w:val="22"/>
          <w:lang w:val="lt-LT"/>
        </w:rPr>
        <w:t xml:space="preserve"> </w:t>
      </w:r>
      <w:r w:rsidRPr="004A478C">
        <w:rPr>
          <w:lang w:val="lt-LT"/>
        </w:rPr>
        <w:t xml:space="preserve">buvo veiksmingesnis, kontroliuojant pacientų šlapimo rūgšties koncentraciją serume nei </w:t>
      </w:r>
      <w:proofErr w:type="spellStart"/>
      <w:r w:rsidRPr="004A478C">
        <w:rPr>
          <w:lang w:val="lt-LT"/>
        </w:rPr>
        <w:t>alopurinolis</w:t>
      </w:r>
      <w:proofErr w:type="spellEnd"/>
      <w:r w:rsidRPr="004A478C">
        <w:rPr>
          <w:lang w:val="lt-LT"/>
        </w:rPr>
        <w:t xml:space="preserve"> pacientams, atrinktiems gydymui pastaruoju vaistiniu preparatu. Duomenų, lyginančių </w:t>
      </w:r>
      <w:proofErr w:type="spellStart"/>
      <w:r w:rsidR="00A02E65" w:rsidRPr="004B0C8F">
        <w:rPr>
          <w:szCs w:val="22"/>
          <w:lang w:val="lt-LT"/>
        </w:rPr>
        <w:t>febuksostato</w:t>
      </w:r>
      <w:proofErr w:type="spellEnd"/>
      <w:r w:rsidR="00A02E65" w:rsidRPr="004B0C8F">
        <w:rPr>
          <w:szCs w:val="22"/>
          <w:lang w:val="lt-LT"/>
        </w:rPr>
        <w:t xml:space="preserve"> </w:t>
      </w:r>
      <w:r w:rsidRPr="004A478C">
        <w:rPr>
          <w:lang w:val="lt-LT"/>
        </w:rPr>
        <w:t xml:space="preserve">ir </w:t>
      </w:r>
      <w:proofErr w:type="spellStart"/>
      <w:r w:rsidRPr="004A478C">
        <w:rPr>
          <w:lang w:val="lt-LT"/>
        </w:rPr>
        <w:t>rasburikazės</w:t>
      </w:r>
      <w:proofErr w:type="spellEnd"/>
      <w:r w:rsidRPr="004A478C">
        <w:rPr>
          <w:lang w:val="lt-LT"/>
        </w:rPr>
        <w:t xml:space="preserve"> preparatus, kol kas nėra. </w:t>
      </w:r>
    </w:p>
    <w:p w14:paraId="3F4D53C3" w14:textId="0554F053" w:rsidR="00273470" w:rsidRPr="004A478C" w:rsidRDefault="00273470" w:rsidP="003B28E4">
      <w:pPr>
        <w:tabs>
          <w:tab w:val="left" w:pos="4680"/>
        </w:tabs>
        <w:spacing w:line="240" w:lineRule="auto"/>
        <w:ind w:left="2" w:right="397"/>
        <w:rPr>
          <w:lang w:val="lt-LT"/>
        </w:rPr>
      </w:pPr>
      <w:proofErr w:type="spellStart"/>
      <w:r w:rsidRPr="004A478C">
        <w:rPr>
          <w:lang w:val="lt-LT"/>
        </w:rPr>
        <w:t>Febuksostato</w:t>
      </w:r>
      <w:proofErr w:type="spellEnd"/>
      <w:r w:rsidRPr="004A478C">
        <w:rPr>
          <w:lang w:val="lt-LT"/>
        </w:rPr>
        <w:t xml:space="preserve"> veiksmingumas ir saugumas pacientams su ūminiu sunkiu NLS nenustatytas, pavyzdžiui tiems, kuriems </w:t>
      </w:r>
      <w:r w:rsidR="003D0095" w:rsidRPr="004A478C">
        <w:rPr>
          <w:lang w:val="lt-LT"/>
        </w:rPr>
        <w:t>gydymas kitais uratų koncentraciją serume mažinančiais vaistais</w:t>
      </w:r>
      <w:r w:rsidRPr="004A478C">
        <w:rPr>
          <w:lang w:val="lt-LT"/>
        </w:rPr>
        <w:t xml:space="preserve">, buvo neefektyvus. </w:t>
      </w:r>
    </w:p>
    <w:p w14:paraId="14933C01" w14:textId="77777777" w:rsidR="00273470" w:rsidRPr="004A478C" w:rsidRDefault="00273470" w:rsidP="003B28E4">
      <w:pPr>
        <w:tabs>
          <w:tab w:val="left" w:pos="4680"/>
        </w:tabs>
        <w:spacing w:line="240" w:lineRule="auto"/>
        <w:rPr>
          <w:lang w:val="lt-LT"/>
        </w:rPr>
      </w:pPr>
      <w:r w:rsidRPr="004A478C">
        <w:rPr>
          <w:lang w:val="lt-LT"/>
        </w:rPr>
        <w:t xml:space="preserve"> </w:t>
      </w:r>
    </w:p>
    <w:p w14:paraId="6F71B5DF" w14:textId="77777777" w:rsidR="00273470" w:rsidRPr="004A478C" w:rsidRDefault="00273470" w:rsidP="003B28E4">
      <w:pPr>
        <w:pStyle w:val="Antrat4"/>
        <w:tabs>
          <w:tab w:val="center" w:pos="1700"/>
          <w:tab w:val="left" w:pos="4680"/>
        </w:tabs>
        <w:spacing w:line="240" w:lineRule="auto"/>
        <w:ind w:left="-15"/>
        <w:rPr>
          <w:rFonts w:ascii="Times New Roman" w:hAnsi="Times New Roman"/>
          <w:sz w:val="22"/>
          <w:lang w:val="lt-LT"/>
        </w:rPr>
      </w:pPr>
      <w:r w:rsidRPr="004A478C">
        <w:rPr>
          <w:rFonts w:ascii="Times New Roman" w:hAnsi="Times New Roman"/>
          <w:sz w:val="22"/>
          <w:lang w:val="lt-LT"/>
        </w:rPr>
        <w:t xml:space="preserve">5.2 </w:t>
      </w:r>
      <w:r w:rsidRPr="004A478C">
        <w:rPr>
          <w:rFonts w:ascii="Times New Roman" w:hAnsi="Times New Roman"/>
          <w:sz w:val="22"/>
          <w:lang w:val="lt-LT"/>
        </w:rPr>
        <w:tab/>
      </w:r>
      <w:proofErr w:type="spellStart"/>
      <w:r w:rsidRPr="004A478C">
        <w:rPr>
          <w:rFonts w:ascii="Times New Roman" w:hAnsi="Times New Roman"/>
          <w:sz w:val="22"/>
          <w:lang w:val="lt-LT"/>
        </w:rPr>
        <w:t>Farmakokinetinės</w:t>
      </w:r>
      <w:proofErr w:type="spellEnd"/>
      <w:r w:rsidRPr="004A478C">
        <w:rPr>
          <w:rFonts w:ascii="Times New Roman" w:hAnsi="Times New Roman"/>
          <w:sz w:val="22"/>
          <w:lang w:val="lt-LT"/>
        </w:rPr>
        <w:t xml:space="preserve"> savybės</w:t>
      </w:r>
      <w:r w:rsidRPr="004A478C">
        <w:rPr>
          <w:rFonts w:ascii="Times New Roman" w:hAnsi="Times New Roman"/>
          <w:b w:val="0"/>
          <w:sz w:val="22"/>
          <w:lang w:val="lt-LT"/>
        </w:rPr>
        <w:t xml:space="preserve"> </w:t>
      </w:r>
    </w:p>
    <w:p w14:paraId="785B1F19" w14:textId="77777777" w:rsidR="00273470" w:rsidRPr="004A478C" w:rsidRDefault="00273470" w:rsidP="003B28E4">
      <w:pPr>
        <w:tabs>
          <w:tab w:val="left" w:pos="4680"/>
        </w:tabs>
        <w:spacing w:line="240" w:lineRule="auto"/>
        <w:rPr>
          <w:lang w:val="lt-LT"/>
        </w:rPr>
      </w:pPr>
      <w:r w:rsidRPr="004A478C">
        <w:rPr>
          <w:lang w:val="lt-LT"/>
        </w:rPr>
        <w:t xml:space="preserve"> </w:t>
      </w:r>
    </w:p>
    <w:p w14:paraId="5AC50248" w14:textId="77777777" w:rsidR="00273470" w:rsidRPr="004A478C" w:rsidRDefault="00273470" w:rsidP="003B28E4">
      <w:pPr>
        <w:tabs>
          <w:tab w:val="left" w:pos="4680"/>
        </w:tabs>
        <w:spacing w:line="240" w:lineRule="auto"/>
        <w:ind w:left="2" w:right="397"/>
        <w:rPr>
          <w:lang w:val="lt-LT"/>
        </w:rPr>
      </w:pPr>
      <w:r w:rsidRPr="004A478C">
        <w:rPr>
          <w:lang w:val="lt-LT"/>
        </w:rPr>
        <w:t xml:space="preserve">Sveikiems asmenims </w:t>
      </w:r>
      <w:proofErr w:type="spellStart"/>
      <w:r w:rsidRPr="004A478C">
        <w:rPr>
          <w:lang w:val="lt-LT"/>
        </w:rPr>
        <w:t>febuksostato</w:t>
      </w:r>
      <w:proofErr w:type="spellEnd"/>
      <w:r w:rsidRPr="004A478C">
        <w:rPr>
          <w:lang w:val="lt-LT"/>
        </w:rPr>
        <w:t xml:space="preserve"> maksimali koncentracija plazmoje (</w:t>
      </w:r>
      <w:proofErr w:type="spellStart"/>
      <w:r w:rsidRPr="004A478C">
        <w:rPr>
          <w:lang w:val="lt-LT"/>
        </w:rPr>
        <w:t>C</w:t>
      </w:r>
      <w:r w:rsidRPr="004A478C">
        <w:rPr>
          <w:vertAlign w:val="subscript"/>
          <w:lang w:val="lt-LT"/>
        </w:rPr>
        <w:t>max</w:t>
      </w:r>
      <w:proofErr w:type="spellEnd"/>
      <w:r w:rsidRPr="004A478C">
        <w:rPr>
          <w:lang w:val="lt-LT"/>
        </w:rPr>
        <w:t>) ir plotas, kurį koordinačių sistemoje riboja koncentracijos ir laiko kreivė (AUC) didėjo proporcingai dozei po vienos ir kartotinių 10</w:t>
      </w:r>
      <w:r w:rsidR="00E87295" w:rsidRPr="004A478C">
        <w:rPr>
          <w:lang w:val="lt-LT"/>
        </w:rPr>
        <w:t> mg</w:t>
      </w:r>
      <w:r w:rsidRPr="004A478C">
        <w:rPr>
          <w:lang w:val="lt-LT"/>
        </w:rPr>
        <w:t xml:space="preserve"> – 120</w:t>
      </w:r>
      <w:r w:rsidR="00E87295" w:rsidRPr="004A478C">
        <w:rPr>
          <w:lang w:val="lt-LT"/>
        </w:rPr>
        <w:t> mg</w:t>
      </w:r>
      <w:r w:rsidRPr="004A478C">
        <w:rPr>
          <w:lang w:val="lt-LT"/>
        </w:rPr>
        <w:t xml:space="preserve"> dozių suvartojimo. Vartojant 120</w:t>
      </w:r>
      <w:r w:rsidR="00E87295" w:rsidRPr="004A478C">
        <w:rPr>
          <w:lang w:val="lt-LT"/>
        </w:rPr>
        <w:t> mg</w:t>
      </w:r>
      <w:r w:rsidRPr="004A478C">
        <w:rPr>
          <w:lang w:val="lt-LT"/>
        </w:rPr>
        <w:t xml:space="preserve"> – 300</w:t>
      </w:r>
      <w:r w:rsidR="00E87295" w:rsidRPr="004A478C">
        <w:rPr>
          <w:lang w:val="lt-LT"/>
        </w:rPr>
        <w:t> mg</w:t>
      </w:r>
      <w:r w:rsidRPr="004A478C">
        <w:rPr>
          <w:lang w:val="lt-LT"/>
        </w:rPr>
        <w:t xml:space="preserve"> </w:t>
      </w:r>
      <w:proofErr w:type="spellStart"/>
      <w:r w:rsidRPr="004A478C">
        <w:rPr>
          <w:lang w:val="lt-LT"/>
        </w:rPr>
        <w:t>febuksostato</w:t>
      </w:r>
      <w:proofErr w:type="spellEnd"/>
      <w:r w:rsidRPr="004A478C">
        <w:rPr>
          <w:lang w:val="lt-LT"/>
        </w:rPr>
        <w:t xml:space="preserve"> dozes, AUC didėjo greičiau, nei proporcingai dozei. Vartojant 10</w:t>
      </w:r>
      <w:r w:rsidR="00E87295" w:rsidRPr="004A478C">
        <w:rPr>
          <w:lang w:val="lt-LT"/>
        </w:rPr>
        <w:t> mg</w:t>
      </w:r>
      <w:r w:rsidRPr="004A478C">
        <w:rPr>
          <w:lang w:val="lt-LT"/>
        </w:rPr>
        <w:t xml:space="preserve"> – 240</w:t>
      </w:r>
      <w:r w:rsidR="00E87295" w:rsidRPr="004A478C">
        <w:rPr>
          <w:lang w:val="lt-LT"/>
        </w:rPr>
        <w:t> mg</w:t>
      </w:r>
      <w:r w:rsidRPr="004A478C">
        <w:rPr>
          <w:lang w:val="lt-LT"/>
        </w:rPr>
        <w:t xml:space="preserve"> dozes kas 24 valandas vaisto kaupimosi nepastebėta. </w:t>
      </w:r>
      <w:proofErr w:type="spellStart"/>
      <w:r w:rsidRPr="004A478C">
        <w:rPr>
          <w:lang w:val="lt-LT"/>
        </w:rPr>
        <w:t>Febuksostato</w:t>
      </w:r>
      <w:proofErr w:type="spellEnd"/>
      <w:r w:rsidRPr="004A478C">
        <w:rPr>
          <w:lang w:val="lt-LT"/>
        </w:rPr>
        <w:t xml:space="preserve"> tariamasis vidutinis galutinis pusinės eliminacijos periodas (t</w:t>
      </w:r>
      <w:r w:rsidRPr="004A478C">
        <w:rPr>
          <w:vertAlign w:val="subscript"/>
          <w:lang w:val="lt-LT"/>
        </w:rPr>
        <w:t>1/2</w:t>
      </w:r>
      <w:r w:rsidRPr="004A478C">
        <w:rPr>
          <w:lang w:val="lt-LT"/>
        </w:rPr>
        <w:t xml:space="preserve">) trunka apytiksliai 5–8 val.  </w:t>
      </w:r>
    </w:p>
    <w:p w14:paraId="52F57C44" w14:textId="77777777" w:rsidR="00273470" w:rsidRPr="004A478C" w:rsidRDefault="00273470" w:rsidP="003B28E4">
      <w:pPr>
        <w:tabs>
          <w:tab w:val="left" w:pos="4680"/>
        </w:tabs>
        <w:spacing w:line="240" w:lineRule="auto"/>
        <w:rPr>
          <w:lang w:val="lt-LT"/>
        </w:rPr>
      </w:pPr>
      <w:r w:rsidRPr="004A478C">
        <w:rPr>
          <w:lang w:val="lt-LT"/>
        </w:rPr>
        <w:t xml:space="preserve"> </w:t>
      </w:r>
    </w:p>
    <w:p w14:paraId="2EAD1D10" w14:textId="77777777" w:rsidR="00273470" w:rsidRPr="004A478C" w:rsidRDefault="00273470" w:rsidP="003B28E4">
      <w:pPr>
        <w:tabs>
          <w:tab w:val="left" w:pos="4680"/>
        </w:tabs>
        <w:spacing w:line="240" w:lineRule="auto"/>
        <w:ind w:left="2" w:right="397"/>
        <w:rPr>
          <w:lang w:val="lt-LT"/>
        </w:rPr>
      </w:pPr>
      <w:r w:rsidRPr="004A478C">
        <w:rPr>
          <w:lang w:val="lt-LT"/>
        </w:rPr>
        <w:t xml:space="preserve">Gyventojų grupių </w:t>
      </w:r>
      <w:proofErr w:type="spellStart"/>
      <w:r w:rsidRPr="004A478C">
        <w:rPr>
          <w:lang w:val="lt-LT"/>
        </w:rPr>
        <w:t>farmakokinetinės</w:t>
      </w:r>
      <w:proofErr w:type="spellEnd"/>
      <w:r w:rsidRPr="004A478C">
        <w:rPr>
          <w:lang w:val="lt-LT"/>
        </w:rPr>
        <w:t>/</w:t>
      </w:r>
      <w:proofErr w:type="spellStart"/>
      <w:r w:rsidRPr="004A478C">
        <w:rPr>
          <w:lang w:val="lt-LT"/>
        </w:rPr>
        <w:t>farmakodinaminės</w:t>
      </w:r>
      <w:proofErr w:type="spellEnd"/>
      <w:r w:rsidRPr="004A478C">
        <w:rPr>
          <w:lang w:val="lt-LT"/>
        </w:rPr>
        <w:t xml:space="preserve"> analizės atliktos su 211 pacientų, sergančių </w:t>
      </w:r>
      <w:proofErr w:type="spellStart"/>
      <w:r w:rsidRPr="004A478C">
        <w:rPr>
          <w:lang w:val="lt-LT"/>
        </w:rPr>
        <w:t>hiperurikemija</w:t>
      </w:r>
      <w:proofErr w:type="spellEnd"/>
      <w:r w:rsidRPr="004A478C">
        <w:rPr>
          <w:lang w:val="lt-LT"/>
        </w:rPr>
        <w:t xml:space="preserve"> ir podagra, kurie buvo gydomi </w:t>
      </w:r>
      <w:proofErr w:type="spellStart"/>
      <w:r w:rsidR="003B5DEE" w:rsidRPr="004A478C">
        <w:rPr>
          <w:lang w:val="lt-LT"/>
        </w:rPr>
        <w:t>febuksostatu</w:t>
      </w:r>
      <w:proofErr w:type="spellEnd"/>
      <w:r w:rsidR="003B5DEE" w:rsidRPr="004A478C">
        <w:rPr>
          <w:lang w:val="lt-LT"/>
        </w:rPr>
        <w:t xml:space="preserve"> </w:t>
      </w:r>
      <w:r w:rsidRPr="004A478C">
        <w:rPr>
          <w:lang w:val="lt-LT"/>
        </w:rPr>
        <w:t>40–240</w:t>
      </w:r>
      <w:r w:rsidR="00E87295" w:rsidRPr="004A478C">
        <w:rPr>
          <w:lang w:val="lt-LT"/>
        </w:rPr>
        <w:t> mg</w:t>
      </w:r>
      <w:r w:rsidRPr="004A478C">
        <w:rPr>
          <w:lang w:val="lt-LT"/>
        </w:rPr>
        <w:t xml:space="preserve"> per parą. Iš esmės, šių analizių pateikti </w:t>
      </w:r>
      <w:proofErr w:type="spellStart"/>
      <w:r w:rsidRPr="004A478C">
        <w:rPr>
          <w:lang w:val="lt-LT"/>
        </w:rPr>
        <w:t>febuksostato</w:t>
      </w:r>
      <w:proofErr w:type="spellEnd"/>
      <w:r w:rsidRPr="004A478C">
        <w:rPr>
          <w:lang w:val="lt-LT"/>
        </w:rPr>
        <w:t xml:space="preserve"> </w:t>
      </w:r>
      <w:proofErr w:type="spellStart"/>
      <w:r w:rsidRPr="004A478C">
        <w:rPr>
          <w:lang w:val="lt-LT"/>
        </w:rPr>
        <w:t>farmakokinetiniai</w:t>
      </w:r>
      <w:proofErr w:type="spellEnd"/>
      <w:r w:rsidRPr="004A478C">
        <w:rPr>
          <w:lang w:val="lt-LT"/>
        </w:rPr>
        <w:t xml:space="preserve"> parametrai atitinka su sveikais asmenimis gautus rezultatus. Tai rodo, kad sveikiems asmenims nustatytus </w:t>
      </w:r>
      <w:proofErr w:type="spellStart"/>
      <w:r w:rsidRPr="004A478C">
        <w:rPr>
          <w:lang w:val="lt-LT"/>
        </w:rPr>
        <w:t>farmakokinetinius</w:t>
      </w:r>
      <w:proofErr w:type="spellEnd"/>
      <w:r w:rsidRPr="004A478C">
        <w:rPr>
          <w:lang w:val="lt-LT"/>
        </w:rPr>
        <w:t>/</w:t>
      </w:r>
      <w:proofErr w:type="spellStart"/>
      <w:r w:rsidRPr="004A478C">
        <w:rPr>
          <w:lang w:val="lt-LT"/>
        </w:rPr>
        <w:t>farmakodinaminius</w:t>
      </w:r>
      <w:proofErr w:type="spellEnd"/>
      <w:r w:rsidRPr="004A478C">
        <w:rPr>
          <w:lang w:val="lt-LT"/>
        </w:rPr>
        <w:t xml:space="preserve"> vertinimus galima taikyti ir podagra sergantiems ligoniams. </w:t>
      </w:r>
    </w:p>
    <w:p w14:paraId="4240B8EB" w14:textId="77777777" w:rsidR="00273470" w:rsidRPr="004A478C" w:rsidRDefault="00273470" w:rsidP="003B28E4">
      <w:pPr>
        <w:tabs>
          <w:tab w:val="left" w:pos="4680"/>
        </w:tabs>
        <w:spacing w:line="240" w:lineRule="auto"/>
        <w:rPr>
          <w:lang w:val="lt-LT"/>
        </w:rPr>
      </w:pPr>
      <w:r w:rsidRPr="004A478C">
        <w:rPr>
          <w:lang w:val="lt-LT"/>
        </w:rPr>
        <w:t xml:space="preserve"> </w:t>
      </w:r>
    </w:p>
    <w:p w14:paraId="4802DB80" w14:textId="77777777" w:rsidR="00273470" w:rsidRPr="004A478C" w:rsidRDefault="00273470" w:rsidP="003B28E4">
      <w:pPr>
        <w:tabs>
          <w:tab w:val="left" w:pos="4680"/>
        </w:tabs>
        <w:spacing w:line="240" w:lineRule="auto"/>
        <w:ind w:left="-5"/>
        <w:rPr>
          <w:u w:val="single"/>
          <w:lang w:val="lt-LT"/>
        </w:rPr>
      </w:pPr>
      <w:r w:rsidRPr="004A478C">
        <w:rPr>
          <w:u w:val="single"/>
          <w:lang w:val="lt-LT"/>
        </w:rPr>
        <w:t xml:space="preserve">Absorbcija </w:t>
      </w:r>
    </w:p>
    <w:p w14:paraId="30AB85F5" w14:textId="77777777" w:rsidR="00273470" w:rsidRPr="004A478C" w:rsidRDefault="00273470" w:rsidP="003B28E4">
      <w:pPr>
        <w:tabs>
          <w:tab w:val="left" w:pos="4680"/>
        </w:tabs>
        <w:spacing w:line="240" w:lineRule="auto"/>
        <w:ind w:left="2" w:right="397"/>
        <w:rPr>
          <w:lang w:val="lt-LT"/>
        </w:rPr>
      </w:pPr>
      <w:proofErr w:type="spellStart"/>
      <w:r w:rsidRPr="004A478C">
        <w:rPr>
          <w:lang w:val="lt-LT"/>
        </w:rPr>
        <w:t>Febuksostatas</w:t>
      </w:r>
      <w:proofErr w:type="spellEnd"/>
      <w:r w:rsidRPr="004A478C">
        <w:rPr>
          <w:lang w:val="lt-LT"/>
        </w:rPr>
        <w:t xml:space="preserve"> absorbuojamas greitai (</w:t>
      </w:r>
      <w:proofErr w:type="spellStart"/>
      <w:r w:rsidRPr="004A478C">
        <w:rPr>
          <w:lang w:val="lt-LT"/>
        </w:rPr>
        <w:t>t</w:t>
      </w:r>
      <w:r w:rsidRPr="004A478C">
        <w:rPr>
          <w:vertAlign w:val="subscript"/>
          <w:lang w:val="lt-LT"/>
        </w:rPr>
        <w:t>max</w:t>
      </w:r>
      <w:proofErr w:type="spellEnd"/>
      <w:r w:rsidRPr="004A478C">
        <w:rPr>
          <w:lang w:val="lt-LT"/>
        </w:rPr>
        <w:t xml:space="preserve"> yra 1,0–1,5 val.) ir gerai (ne mažiau 84%). Po vienos ar kartotinių per burną vienąkart per parą vartojamų 80</w:t>
      </w:r>
      <w:r w:rsidR="00E87295" w:rsidRPr="004A478C">
        <w:rPr>
          <w:lang w:val="lt-LT"/>
        </w:rPr>
        <w:t> mg</w:t>
      </w:r>
      <w:r w:rsidRPr="004A478C">
        <w:rPr>
          <w:lang w:val="lt-LT"/>
        </w:rPr>
        <w:t xml:space="preserve"> ir 120</w:t>
      </w:r>
      <w:r w:rsidR="00E87295" w:rsidRPr="004A478C">
        <w:rPr>
          <w:lang w:val="lt-LT"/>
        </w:rPr>
        <w:t> mg</w:t>
      </w:r>
      <w:r w:rsidRPr="004A478C">
        <w:rPr>
          <w:lang w:val="lt-LT"/>
        </w:rPr>
        <w:t xml:space="preserve"> dozių, </w:t>
      </w:r>
      <w:proofErr w:type="spellStart"/>
      <w:r w:rsidRPr="004A478C">
        <w:rPr>
          <w:lang w:val="lt-LT"/>
        </w:rPr>
        <w:t>C</w:t>
      </w:r>
      <w:r w:rsidRPr="004A478C">
        <w:rPr>
          <w:vertAlign w:val="subscript"/>
          <w:lang w:val="lt-LT"/>
        </w:rPr>
        <w:t>max</w:t>
      </w:r>
      <w:proofErr w:type="spellEnd"/>
      <w:r w:rsidRPr="004A478C">
        <w:rPr>
          <w:lang w:val="lt-LT"/>
        </w:rPr>
        <w:t xml:space="preserve"> yra atitinkamai maždaug 2,8–3,2 µg/ml ir 5,0–5,3 µg/ml. </w:t>
      </w:r>
      <w:proofErr w:type="spellStart"/>
      <w:r w:rsidRPr="004A478C">
        <w:rPr>
          <w:lang w:val="lt-LT"/>
        </w:rPr>
        <w:t>Febuksostato</w:t>
      </w:r>
      <w:proofErr w:type="spellEnd"/>
      <w:r w:rsidRPr="004A478C">
        <w:rPr>
          <w:lang w:val="lt-LT"/>
        </w:rPr>
        <w:t xml:space="preserve">, vartojamo tabletėmis, absoliučiojo biologinio prieinamumo tyrimų neatlikta.  </w:t>
      </w:r>
    </w:p>
    <w:p w14:paraId="3F3ED448" w14:textId="77777777" w:rsidR="00273470" w:rsidRPr="004A478C" w:rsidRDefault="00273470" w:rsidP="003B28E4">
      <w:pPr>
        <w:tabs>
          <w:tab w:val="left" w:pos="4680"/>
        </w:tabs>
        <w:spacing w:line="240" w:lineRule="auto"/>
        <w:rPr>
          <w:lang w:val="lt-LT"/>
        </w:rPr>
      </w:pPr>
      <w:r w:rsidRPr="004A478C">
        <w:rPr>
          <w:lang w:val="lt-LT"/>
        </w:rPr>
        <w:t xml:space="preserve"> </w:t>
      </w:r>
    </w:p>
    <w:p w14:paraId="6862A48C" w14:textId="77777777" w:rsidR="00273470" w:rsidRPr="004A478C" w:rsidRDefault="00273470" w:rsidP="003B28E4">
      <w:pPr>
        <w:tabs>
          <w:tab w:val="left" w:pos="4680"/>
        </w:tabs>
        <w:spacing w:line="240" w:lineRule="auto"/>
        <w:ind w:left="2" w:right="397"/>
        <w:rPr>
          <w:lang w:val="lt-LT"/>
        </w:rPr>
      </w:pPr>
      <w:r w:rsidRPr="004A478C">
        <w:rPr>
          <w:lang w:val="lt-LT"/>
        </w:rPr>
        <w:t>Po kartotinių vienąkart per parą per burną vartojamų 80</w:t>
      </w:r>
      <w:r w:rsidR="00E87295" w:rsidRPr="004A478C">
        <w:rPr>
          <w:lang w:val="lt-LT"/>
        </w:rPr>
        <w:t> mg</w:t>
      </w:r>
      <w:r w:rsidRPr="004A478C">
        <w:rPr>
          <w:lang w:val="lt-LT"/>
        </w:rPr>
        <w:t xml:space="preserve"> dozių </w:t>
      </w:r>
      <w:proofErr w:type="spellStart"/>
      <w:r w:rsidRPr="004A478C">
        <w:rPr>
          <w:lang w:val="lt-LT"/>
        </w:rPr>
        <w:t>C</w:t>
      </w:r>
      <w:r w:rsidRPr="004A478C">
        <w:rPr>
          <w:vertAlign w:val="subscript"/>
          <w:lang w:val="lt-LT"/>
        </w:rPr>
        <w:t>max</w:t>
      </w:r>
      <w:proofErr w:type="spellEnd"/>
      <w:r w:rsidRPr="004A478C">
        <w:rPr>
          <w:lang w:val="lt-LT"/>
        </w:rPr>
        <w:t xml:space="preserve"> sumažėjo 49%, o AUC – 18%; po vienos 120</w:t>
      </w:r>
      <w:r w:rsidR="00E87295" w:rsidRPr="004A478C">
        <w:rPr>
          <w:lang w:val="lt-LT"/>
        </w:rPr>
        <w:t> mg</w:t>
      </w:r>
      <w:r w:rsidRPr="004A478C">
        <w:rPr>
          <w:lang w:val="lt-LT"/>
        </w:rPr>
        <w:t xml:space="preserve"> dozės, vartojamos su riebiu maistu šie parametrai atitinkamai sumažėjos 38% ir 16%. Kliniškai reikšmingo procentinio šlapimo rūgšties koncentracijos serume pokyčio tyrimų metu nenustatyta (vartojant 80</w:t>
      </w:r>
      <w:r w:rsidR="00E87295" w:rsidRPr="004A478C">
        <w:rPr>
          <w:lang w:val="lt-LT"/>
        </w:rPr>
        <w:t> mg</w:t>
      </w:r>
      <w:r w:rsidRPr="004A478C">
        <w:rPr>
          <w:lang w:val="lt-LT"/>
        </w:rPr>
        <w:t xml:space="preserve"> kartotinę dozę). Tad </w:t>
      </w:r>
      <w:proofErr w:type="spellStart"/>
      <w:r w:rsidR="003B5DEE" w:rsidRPr="004A478C">
        <w:rPr>
          <w:lang w:val="lt-LT"/>
        </w:rPr>
        <w:t>febuksostato</w:t>
      </w:r>
      <w:proofErr w:type="spellEnd"/>
      <w:r w:rsidR="003B5DEE" w:rsidRPr="004A478C">
        <w:rPr>
          <w:lang w:val="lt-LT"/>
        </w:rPr>
        <w:t xml:space="preserve"> </w:t>
      </w:r>
      <w:r w:rsidRPr="004A478C">
        <w:rPr>
          <w:lang w:val="lt-LT"/>
        </w:rPr>
        <w:t xml:space="preserve">galima vartoti neatsižvelgiant į valgį.  </w:t>
      </w:r>
    </w:p>
    <w:p w14:paraId="2B4F7942" w14:textId="77777777" w:rsidR="00273470" w:rsidRPr="004A478C" w:rsidRDefault="00273470" w:rsidP="003B28E4">
      <w:pPr>
        <w:tabs>
          <w:tab w:val="left" w:pos="4680"/>
        </w:tabs>
        <w:spacing w:line="240" w:lineRule="auto"/>
        <w:rPr>
          <w:lang w:val="lt-LT"/>
        </w:rPr>
      </w:pPr>
      <w:r w:rsidRPr="004A478C">
        <w:rPr>
          <w:lang w:val="lt-LT"/>
        </w:rPr>
        <w:t xml:space="preserve"> </w:t>
      </w:r>
    </w:p>
    <w:p w14:paraId="22EBB01F" w14:textId="77777777" w:rsidR="00273470" w:rsidRPr="004A478C" w:rsidRDefault="00273470" w:rsidP="003B28E4">
      <w:pPr>
        <w:tabs>
          <w:tab w:val="left" w:pos="4680"/>
        </w:tabs>
        <w:spacing w:line="240" w:lineRule="auto"/>
        <w:ind w:left="-5"/>
        <w:rPr>
          <w:u w:val="single"/>
          <w:lang w:val="lt-LT"/>
        </w:rPr>
      </w:pPr>
      <w:r w:rsidRPr="004A478C">
        <w:rPr>
          <w:u w:val="single"/>
          <w:lang w:val="lt-LT"/>
        </w:rPr>
        <w:t xml:space="preserve">Pasiskirstymas </w:t>
      </w:r>
    </w:p>
    <w:p w14:paraId="46D05241" w14:textId="77777777" w:rsidR="00273470" w:rsidRPr="004A478C" w:rsidRDefault="00273470" w:rsidP="003B28E4">
      <w:pPr>
        <w:tabs>
          <w:tab w:val="left" w:pos="4680"/>
        </w:tabs>
        <w:spacing w:line="240" w:lineRule="auto"/>
        <w:ind w:left="2" w:right="522"/>
        <w:rPr>
          <w:lang w:val="lt-LT"/>
        </w:rPr>
      </w:pPr>
      <w:proofErr w:type="spellStart"/>
      <w:r w:rsidRPr="004A478C">
        <w:rPr>
          <w:lang w:val="lt-LT"/>
        </w:rPr>
        <w:t>Febuksostato</w:t>
      </w:r>
      <w:proofErr w:type="spellEnd"/>
      <w:r w:rsidRPr="004A478C">
        <w:rPr>
          <w:lang w:val="lt-LT"/>
        </w:rPr>
        <w:t xml:space="preserve"> tariamasis pasiskirstymo tūris nusistovėjus </w:t>
      </w:r>
      <w:proofErr w:type="spellStart"/>
      <w:r w:rsidRPr="004A478C">
        <w:rPr>
          <w:lang w:val="lt-LT"/>
        </w:rPr>
        <w:t>pusiausvyrinei</w:t>
      </w:r>
      <w:proofErr w:type="spellEnd"/>
      <w:r w:rsidRPr="004A478C">
        <w:rPr>
          <w:lang w:val="lt-LT"/>
        </w:rPr>
        <w:t xml:space="preserve"> koncentracijai (</w:t>
      </w:r>
      <w:proofErr w:type="spellStart"/>
      <w:r w:rsidRPr="004A478C">
        <w:rPr>
          <w:lang w:val="lt-LT"/>
        </w:rPr>
        <w:t>Vss</w:t>
      </w:r>
      <w:proofErr w:type="spellEnd"/>
      <w:r w:rsidRPr="004A478C">
        <w:rPr>
          <w:lang w:val="lt-LT"/>
        </w:rPr>
        <w:t>/F) yra 29 – 75 l po 10–300</w:t>
      </w:r>
      <w:r w:rsidR="00E87295" w:rsidRPr="004A478C">
        <w:rPr>
          <w:lang w:val="lt-LT"/>
        </w:rPr>
        <w:t> mg</w:t>
      </w:r>
      <w:r w:rsidRPr="004A478C">
        <w:rPr>
          <w:lang w:val="lt-LT"/>
        </w:rPr>
        <w:t xml:space="preserve"> dozių suvartojimo per burną. Maždaug 99,2% </w:t>
      </w:r>
      <w:proofErr w:type="spellStart"/>
      <w:r w:rsidRPr="004A478C">
        <w:rPr>
          <w:lang w:val="lt-LT"/>
        </w:rPr>
        <w:t>febuksostato</w:t>
      </w:r>
      <w:proofErr w:type="spellEnd"/>
      <w:r w:rsidRPr="004A478C">
        <w:rPr>
          <w:lang w:val="lt-LT"/>
        </w:rPr>
        <w:t xml:space="preserve"> </w:t>
      </w:r>
      <w:r w:rsidR="003B5DEE" w:rsidRPr="004A478C">
        <w:rPr>
          <w:lang w:val="lt-LT"/>
        </w:rPr>
        <w:t xml:space="preserve">jungiasi </w:t>
      </w:r>
      <w:r w:rsidRPr="004A478C">
        <w:rPr>
          <w:lang w:val="lt-LT"/>
        </w:rPr>
        <w:t xml:space="preserve">su plazmos baltymais (daugiausia su </w:t>
      </w:r>
      <w:proofErr w:type="spellStart"/>
      <w:r w:rsidRPr="004A478C">
        <w:rPr>
          <w:lang w:val="lt-LT"/>
        </w:rPr>
        <w:t>albuminu</w:t>
      </w:r>
      <w:proofErr w:type="spellEnd"/>
      <w:r w:rsidRPr="004A478C">
        <w:rPr>
          <w:lang w:val="lt-LT"/>
        </w:rPr>
        <w:t>); šis kiekis nekinta, nepriklausomai nuo koncentracijos, kuri pasiekiama vartojant 80</w:t>
      </w:r>
      <w:r w:rsidR="00E87295" w:rsidRPr="004A478C">
        <w:rPr>
          <w:lang w:val="lt-LT"/>
        </w:rPr>
        <w:t> mg</w:t>
      </w:r>
      <w:r w:rsidRPr="004A478C">
        <w:rPr>
          <w:lang w:val="lt-LT"/>
        </w:rPr>
        <w:t xml:space="preserve"> ir 120</w:t>
      </w:r>
      <w:r w:rsidR="00E87295" w:rsidRPr="004A478C">
        <w:rPr>
          <w:lang w:val="lt-LT"/>
        </w:rPr>
        <w:t> mg</w:t>
      </w:r>
      <w:r w:rsidRPr="004A478C">
        <w:rPr>
          <w:lang w:val="lt-LT"/>
        </w:rPr>
        <w:t xml:space="preserve"> dozes. Apie 82% – 91% aktyviųjų metabolitų jungiasi su plazmos baltymais.  </w:t>
      </w:r>
    </w:p>
    <w:p w14:paraId="40F05BE8" w14:textId="77777777" w:rsidR="00273470" w:rsidRPr="004A478C" w:rsidRDefault="00273470" w:rsidP="003B28E4">
      <w:pPr>
        <w:tabs>
          <w:tab w:val="left" w:pos="4680"/>
        </w:tabs>
        <w:spacing w:line="240" w:lineRule="auto"/>
        <w:rPr>
          <w:lang w:val="lt-LT"/>
        </w:rPr>
      </w:pPr>
      <w:r w:rsidRPr="004A478C">
        <w:rPr>
          <w:lang w:val="lt-LT"/>
        </w:rPr>
        <w:t xml:space="preserve"> </w:t>
      </w:r>
    </w:p>
    <w:p w14:paraId="6002BA62" w14:textId="77777777" w:rsidR="00273470" w:rsidRPr="004A478C" w:rsidRDefault="00273470" w:rsidP="004A478C">
      <w:pPr>
        <w:keepNext/>
        <w:tabs>
          <w:tab w:val="left" w:pos="4680"/>
        </w:tabs>
        <w:spacing w:line="240" w:lineRule="auto"/>
        <w:ind w:left="-6"/>
        <w:rPr>
          <w:u w:val="single"/>
          <w:lang w:val="lt-LT"/>
        </w:rPr>
      </w:pPr>
      <w:proofErr w:type="spellStart"/>
      <w:r w:rsidRPr="004A478C">
        <w:rPr>
          <w:u w:val="single"/>
          <w:lang w:val="lt-LT"/>
        </w:rPr>
        <w:lastRenderedPageBreak/>
        <w:t>Biotransformacija</w:t>
      </w:r>
      <w:proofErr w:type="spellEnd"/>
      <w:r w:rsidRPr="004A478C">
        <w:rPr>
          <w:u w:val="single"/>
          <w:lang w:val="lt-LT"/>
        </w:rPr>
        <w:t xml:space="preserve"> </w:t>
      </w:r>
    </w:p>
    <w:p w14:paraId="63B5190B" w14:textId="2567217F" w:rsidR="00273470" w:rsidRPr="004A478C" w:rsidRDefault="00273470" w:rsidP="003B28E4">
      <w:pPr>
        <w:tabs>
          <w:tab w:val="left" w:pos="4680"/>
        </w:tabs>
        <w:spacing w:line="240" w:lineRule="auto"/>
        <w:ind w:left="2" w:right="397"/>
        <w:rPr>
          <w:lang w:val="lt-LT"/>
        </w:rPr>
      </w:pPr>
      <w:proofErr w:type="spellStart"/>
      <w:r w:rsidRPr="004A478C">
        <w:rPr>
          <w:lang w:val="lt-LT"/>
        </w:rPr>
        <w:t>Febuksostatas</w:t>
      </w:r>
      <w:proofErr w:type="spellEnd"/>
      <w:r w:rsidRPr="004A478C">
        <w:rPr>
          <w:lang w:val="lt-LT"/>
        </w:rPr>
        <w:t xml:space="preserve"> daugiausia </w:t>
      </w:r>
      <w:proofErr w:type="spellStart"/>
      <w:r w:rsidRPr="004A478C">
        <w:rPr>
          <w:lang w:val="lt-LT"/>
        </w:rPr>
        <w:t>metabolizuojamas</w:t>
      </w:r>
      <w:proofErr w:type="spellEnd"/>
      <w:r w:rsidRPr="004A478C">
        <w:rPr>
          <w:lang w:val="lt-LT"/>
        </w:rPr>
        <w:t xml:space="preserve"> </w:t>
      </w:r>
      <w:proofErr w:type="spellStart"/>
      <w:r w:rsidRPr="004A478C">
        <w:rPr>
          <w:lang w:val="lt-LT"/>
        </w:rPr>
        <w:t>konjugacijos</w:t>
      </w:r>
      <w:proofErr w:type="spellEnd"/>
      <w:r w:rsidRPr="004A478C">
        <w:rPr>
          <w:lang w:val="lt-LT"/>
        </w:rPr>
        <w:t xml:space="preserve"> būdu per </w:t>
      </w:r>
      <w:proofErr w:type="spellStart"/>
      <w:r w:rsidRPr="004A478C">
        <w:rPr>
          <w:lang w:val="lt-LT"/>
        </w:rPr>
        <w:t>uridino</w:t>
      </w:r>
      <w:proofErr w:type="spellEnd"/>
      <w:r w:rsidRPr="004A478C">
        <w:rPr>
          <w:lang w:val="lt-LT"/>
        </w:rPr>
        <w:t xml:space="preserve"> </w:t>
      </w:r>
      <w:proofErr w:type="spellStart"/>
      <w:r w:rsidRPr="004A478C">
        <w:rPr>
          <w:lang w:val="lt-LT"/>
        </w:rPr>
        <w:t>difosfato</w:t>
      </w:r>
      <w:proofErr w:type="spellEnd"/>
      <w:r w:rsidRPr="004A478C">
        <w:rPr>
          <w:lang w:val="lt-LT"/>
        </w:rPr>
        <w:t xml:space="preserve"> </w:t>
      </w:r>
      <w:proofErr w:type="spellStart"/>
      <w:r w:rsidRPr="004A478C">
        <w:rPr>
          <w:lang w:val="lt-LT"/>
        </w:rPr>
        <w:t>gliukuroniltransferazės</w:t>
      </w:r>
      <w:proofErr w:type="spellEnd"/>
      <w:r w:rsidRPr="004A478C">
        <w:rPr>
          <w:lang w:val="lt-LT"/>
        </w:rPr>
        <w:t xml:space="preserve"> (UDGT) fermentų sistemą ir oksidacijos būdu per </w:t>
      </w:r>
      <w:proofErr w:type="spellStart"/>
      <w:r w:rsidRPr="004A478C">
        <w:rPr>
          <w:lang w:val="lt-LT"/>
        </w:rPr>
        <w:t>citochromo</w:t>
      </w:r>
      <w:proofErr w:type="spellEnd"/>
      <w:r w:rsidRPr="004A478C">
        <w:rPr>
          <w:lang w:val="lt-LT"/>
        </w:rPr>
        <w:t xml:space="preserve"> P450 (CYP) sistemą. Identifikuoti </w:t>
      </w:r>
      <w:r w:rsidR="003D0095" w:rsidRPr="004A478C">
        <w:rPr>
          <w:lang w:val="lt-LT"/>
        </w:rPr>
        <w:t xml:space="preserve">4 </w:t>
      </w:r>
      <w:r w:rsidRPr="004A478C">
        <w:rPr>
          <w:lang w:val="lt-LT"/>
        </w:rPr>
        <w:t xml:space="preserve">farmakologiškai aktyvūs </w:t>
      </w:r>
      <w:proofErr w:type="spellStart"/>
      <w:r w:rsidRPr="004A478C">
        <w:rPr>
          <w:lang w:val="lt-LT"/>
        </w:rPr>
        <w:t>hidroksiliniai</w:t>
      </w:r>
      <w:proofErr w:type="spellEnd"/>
      <w:r w:rsidRPr="004A478C">
        <w:rPr>
          <w:lang w:val="lt-LT"/>
        </w:rPr>
        <w:t xml:space="preserve"> metabolitai, kurių </w:t>
      </w:r>
      <w:r w:rsidR="003D0095" w:rsidRPr="004A478C">
        <w:rPr>
          <w:lang w:val="lt-LT"/>
        </w:rPr>
        <w:t xml:space="preserve">3 </w:t>
      </w:r>
      <w:r w:rsidRPr="004A478C">
        <w:rPr>
          <w:lang w:val="lt-LT"/>
        </w:rPr>
        <w:t xml:space="preserve">randami žmonių plazmoje. </w:t>
      </w:r>
      <w:proofErr w:type="spellStart"/>
      <w:r w:rsidRPr="004A478C">
        <w:rPr>
          <w:lang w:val="lt-LT"/>
        </w:rPr>
        <w:t>In</w:t>
      </w:r>
      <w:proofErr w:type="spellEnd"/>
      <w:r w:rsidRPr="004A478C">
        <w:rPr>
          <w:lang w:val="lt-LT"/>
        </w:rPr>
        <w:t xml:space="preserve"> </w:t>
      </w:r>
      <w:proofErr w:type="spellStart"/>
      <w:r w:rsidRPr="004A478C">
        <w:rPr>
          <w:lang w:val="lt-LT"/>
        </w:rPr>
        <w:t>vitro</w:t>
      </w:r>
      <w:proofErr w:type="spellEnd"/>
      <w:r w:rsidRPr="004A478C">
        <w:rPr>
          <w:lang w:val="lt-LT"/>
        </w:rPr>
        <w:t xml:space="preserve"> tyrimai su žmogaus kepenų </w:t>
      </w:r>
      <w:proofErr w:type="spellStart"/>
      <w:r w:rsidRPr="004A478C">
        <w:rPr>
          <w:lang w:val="lt-LT"/>
        </w:rPr>
        <w:t>mikrosomomis</w:t>
      </w:r>
      <w:proofErr w:type="spellEnd"/>
      <w:r w:rsidRPr="004A478C">
        <w:rPr>
          <w:lang w:val="lt-LT"/>
        </w:rPr>
        <w:t xml:space="preserve"> parodė, kad šiuos oksidacinius metabolitus daugiausia formuoja CYP1A1, CYP1A2, CYP2C8 arba CYP2C9, o </w:t>
      </w:r>
      <w:proofErr w:type="spellStart"/>
      <w:r w:rsidRPr="004A478C">
        <w:rPr>
          <w:lang w:val="lt-LT"/>
        </w:rPr>
        <w:t>febuksostato</w:t>
      </w:r>
      <w:proofErr w:type="spellEnd"/>
      <w:r w:rsidRPr="004A478C">
        <w:rPr>
          <w:lang w:val="lt-LT"/>
        </w:rPr>
        <w:t xml:space="preserve"> </w:t>
      </w:r>
      <w:proofErr w:type="spellStart"/>
      <w:r w:rsidRPr="004A478C">
        <w:rPr>
          <w:lang w:val="lt-LT"/>
        </w:rPr>
        <w:t>gliukoronidą</w:t>
      </w:r>
      <w:proofErr w:type="spellEnd"/>
      <w:r w:rsidRPr="004A478C">
        <w:rPr>
          <w:lang w:val="lt-LT"/>
        </w:rPr>
        <w:t xml:space="preserve"> daugiausia formuoja UGT 1A1, 1A8 ir 1A9. </w:t>
      </w:r>
    </w:p>
    <w:p w14:paraId="358E93DD" w14:textId="77777777" w:rsidR="00273470" w:rsidRPr="004A478C" w:rsidRDefault="00273470" w:rsidP="003B28E4">
      <w:pPr>
        <w:tabs>
          <w:tab w:val="left" w:pos="4680"/>
        </w:tabs>
        <w:spacing w:line="240" w:lineRule="auto"/>
        <w:rPr>
          <w:lang w:val="lt-LT"/>
        </w:rPr>
      </w:pPr>
      <w:r w:rsidRPr="004A478C">
        <w:rPr>
          <w:lang w:val="lt-LT"/>
        </w:rPr>
        <w:t xml:space="preserve"> </w:t>
      </w:r>
    </w:p>
    <w:p w14:paraId="39CB4919" w14:textId="77777777" w:rsidR="00273470" w:rsidRPr="004A478C" w:rsidRDefault="00273470" w:rsidP="003B28E4">
      <w:pPr>
        <w:tabs>
          <w:tab w:val="left" w:pos="4680"/>
        </w:tabs>
        <w:spacing w:line="240" w:lineRule="auto"/>
        <w:ind w:left="-5"/>
        <w:rPr>
          <w:u w:val="single"/>
          <w:lang w:val="lt-LT"/>
        </w:rPr>
      </w:pPr>
      <w:r w:rsidRPr="004A478C">
        <w:rPr>
          <w:u w:val="single"/>
          <w:lang w:val="lt-LT"/>
        </w:rPr>
        <w:t xml:space="preserve">Eliminacija </w:t>
      </w:r>
    </w:p>
    <w:p w14:paraId="46C00652" w14:textId="77777777" w:rsidR="00273470" w:rsidRPr="004A478C" w:rsidRDefault="00273470" w:rsidP="003B28E4">
      <w:pPr>
        <w:tabs>
          <w:tab w:val="left" w:pos="4680"/>
        </w:tabs>
        <w:spacing w:line="240" w:lineRule="auto"/>
        <w:ind w:left="2" w:right="397"/>
        <w:rPr>
          <w:lang w:val="lt-LT"/>
        </w:rPr>
      </w:pPr>
      <w:proofErr w:type="spellStart"/>
      <w:r w:rsidRPr="004A478C">
        <w:rPr>
          <w:lang w:val="lt-LT"/>
        </w:rPr>
        <w:t>Febuksostatas</w:t>
      </w:r>
      <w:proofErr w:type="spellEnd"/>
      <w:r w:rsidRPr="004A478C">
        <w:rPr>
          <w:lang w:val="lt-LT"/>
        </w:rPr>
        <w:t xml:space="preserve"> šalinamas per kepenis ir per inkstus. Per burną suvartojus 80</w:t>
      </w:r>
      <w:r w:rsidR="00E87295" w:rsidRPr="004A478C">
        <w:rPr>
          <w:lang w:val="lt-LT"/>
        </w:rPr>
        <w:t> mg</w:t>
      </w:r>
      <w:r w:rsidRPr="004A478C">
        <w:rPr>
          <w:lang w:val="lt-LT"/>
        </w:rPr>
        <w:t xml:space="preserve"> 14C pažymėtą </w:t>
      </w:r>
      <w:proofErr w:type="spellStart"/>
      <w:r w:rsidRPr="004A478C">
        <w:rPr>
          <w:lang w:val="lt-LT"/>
        </w:rPr>
        <w:t>febuksostato</w:t>
      </w:r>
      <w:proofErr w:type="spellEnd"/>
      <w:r w:rsidRPr="004A478C">
        <w:rPr>
          <w:lang w:val="lt-LT"/>
        </w:rPr>
        <w:t xml:space="preserve"> dozę, maždaug 49% suvartotos dozės rasta šlapime nepakitusio </w:t>
      </w:r>
      <w:proofErr w:type="spellStart"/>
      <w:r w:rsidRPr="004A478C">
        <w:rPr>
          <w:lang w:val="lt-LT"/>
        </w:rPr>
        <w:t>febuksostato</w:t>
      </w:r>
      <w:proofErr w:type="spellEnd"/>
      <w:r w:rsidRPr="004A478C">
        <w:rPr>
          <w:lang w:val="lt-LT"/>
        </w:rPr>
        <w:t xml:space="preserve"> pavidalu (3%), veikliosios medžiagos </w:t>
      </w:r>
      <w:proofErr w:type="spellStart"/>
      <w:r w:rsidRPr="004A478C">
        <w:rPr>
          <w:lang w:val="lt-LT"/>
        </w:rPr>
        <w:t>acilgliukuronido</w:t>
      </w:r>
      <w:proofErr w:type="spellEnd"/>
      <w:r w:rsidRPr="004A478C">
        <w:rPr>
          <w:lang w:val="lt-LT"/>
        </w:rPr>
        <w:t xml:space="preserve"> forma (30%), žinomų oksidacinių metabolitų ir jų </w:t>
      </w:r>
      <w:proofErr w:type="spellStart"/>
      <w:r w:rsidRPr="004A478C">
        <w:rPr>
          <w:lang w:val="lt-LT"/>
        </w:rPr>
        <w:t>konjugatų</w:t>
      </w:r>
      <w:proofErr w:type="spellEnd"/>
      <w:r w:rsidRPr="004A478C">
        <w:rPr>
          <w:lang w:val="lt-LT"/>
        </w:rPr>
        <w:t xml:space="preserve"> forma (13%) ir kitų nežinomų metabolitų forma (3%). Be išsiskyrimo su šlapimu, maždaug 45% suvartotos dozės rasta išmatose nepakitusio </w:t>
      </w:r>
      <w:proofErr w:type="spellStart"/>
      <w:r w:rsidRPr="004A478C">
        <w:rPr>
          <w:lang w:val="lt-LT"/>
        </w:rPr>
        <w:t>febuksostato</w:t>
      </w:r>
      <w:proofErr w:type="spellEnd"/>
      <w:r w:rsidRPr="004A478C">
        <w:rPr>
          <w:lang w:val="lt-LT"/>
        </w:rPr>
        <w:t xml:space="preserve"> pavidalu (12%), veikliosios medžiagos </w:t>
      </w:r>
      <w:proofErr w:type="spellStart"/>
      <w:r w:rsidRPr="004A478C">
        <w:rPr>
          <w:lang w:val="lt-LT"/>
        </w:rPr>
        <w:t>acilgliukuronido</w:t>
      </w:r>
      <w:proofErr w:type="spellEnd"/>
      <w:r w:rsidRPr="004A478C">
        <w:rPr>
          <w:lang w:val="lt-LT"/>
        </w:rPr>
        <w:t xml:space="preserve"> forma (1%), žinomų oksidacinių metabolitų ir jų </w:t>
      </w:r>
      <w:proofErr w:type="spellStart"/>
      <w:r w:rsidRPr="004A478C">
        <w:rPr>
          <w:lang w:val="lt-LT"/>
        </w:rPr>
        <w:t>konjugatų</w:t>
      </w:r>
      <w:proofErr w:type="spellEnd"/>
      <w:r w:rsidRPr="004A478C">
        <w:rPr>
          <w:lang w:val="lt-LT"/>
        </w:rPr>
        <w:t xml:space="preserve"> forma (25%) ir kitų nežinomų metabolitų forma (7%). </w:t>
      </w:r>
    </w:p>
    <w:p w14:paraId="4FBF4125" w14:textId="77777777" w:rsidR="00273470" w:rsidRPr="004A478C" w:rsidRDefault="00273470" w:rsidP="003B28E4">
      <w:pPr>
        <w:tabs>
          <w:tab w:val="left" w:pos="4680"/>
        </w:tabs>
        <w:spacing w:line="240" w:lineRule="auto"/>
        <w:rPr>
          <w:lang w:val="lt-LT"/>
        </w:rPr>
      </w:pPr>
      <w:r w:rsidRPr="004A478C">
        <w:rPr>
          <w:lang w:val="lt-LT"/>
        </w:rPr>
        <w:t xml:space="preserve"> </w:t>
      </w:r>
    </w:p>
    <w:p w14:paraId="7732FB9C" w14:textId="77777777" w:rsidR="003B5DEE" w:rsidRPr="004A478C" w:rsidRDefault="003B5DEE" w:rsidP="003B28E4">
      <w:pPr>
        <w:tabs>
          <w:tab w:val="left" w:pos="4680"/>
        </w:tabs>
        <w:spacing w:line="240" w:lineRule="auto"/>
        <w:ind w:left="2" w:right="397"/>
        <w:rPr>
          <w:u w:val="single"/>
          <w:lang w:val="lt-LT"/>
        </w:rPr>
      </w:pPr>
      <w:r w:rsidRPr="004A478C">
        <w:rPr>
          <w:u w:val="single"/>
          <w:lang w:val="lt-LT"/>
        </w:rPr>
        <w:t>Sutrikusi inkstų funkcija</w:t>
      </w:r>
    </w:p>
    <w:p w14:paraId="79EB8156" w14:textId="042BE871" w:rsidR="00273470" w:rsidRPr="004A478C" w:rsidRDefault="00273470" w:rsidP="003B28E4">
      <w:pPr>
        <w:tabs>
          <w:tab w:val="left" w:pos="4680"/>
        </w:tabs>
        <w:spacing w:line="240" w:lineRule="auto"/>
        <w:ind w:left="2" w:right="397"/>
        <w:rPr>
          <w:lang w:val="lt-LT"/>
        </w:rPr>
      </w:pPr>
      <w:r w:rsidRPr="004A478C">
        <w:rPr>
          <w:lang w:val="lt-LT"/>
        </w:rPr>
        <w:t xml:space="preserve">Pacientams, sergantiems lengvu, vidutinio sunkumo ir sunkiu inkstų </w:t>
      </w:r>
      <w:r w:rsidR="003B5DEE" w:rsidRPr="004A478C">
        <w:rPr>
          <w:lang w:val="lt-LT"/>
        </w:rPr>
        <w:t>funkcijos sutrikimu</w:t>
      </w:r>
      <w:r w:rsidRPr="004A478C">
        <w:rPr>
          <w:lang w:val="lt-LT"/>
        </w:rPr>
        <w:t>, pavartojus kartotines 80</w:t>
      </w:r>
      <w:r w:rsidR="00E87295" w:rsidRPr="004A478C">
        <w:rPr>
          <w:lang w:val="lt-LT"/>
        </w:rPr>
        <w:t> mg</w:t>
      </w:r>
      <w:r w:rsidRPr="004A478C">
        <w:rPr>
          <w:lang w:val="lt-LT"/>
        </w:rPr>
        <w:t xml:space="preserve"> </w:t>
      </w:r>
      <w:proofErr w:type="spellStart"/>
      <w:r w:rsidR="003B5DEE" w:rsidRPr="004A478C">
        <w:rPr>
          <w:lang w:val="lt-LT"/>
        </w:rPr>
        <w:t>febuksostato</w:t>
      </w:r>
      <w:proofErr w:type="spellEnd"/>
      <w:r w:rsidR="003B5DEE" w:rsidRPr="004A478C">
        <w:rPr>
          <w:lang w:val="lt-LT"/>
        </w:rPr>
        <w:t xml:space="preserve"> </w:t>
      </w:r>
      <w:r w:rsidRPr="004A478C">
        <w:rPr>
          <w:lang w:val="lt-LT"/>
        </w:rPr>
        <w:t xml:space="preserve">dozes, </w:t>
      </w:r>
      <w:proofErr w:type="spellStart"/>
      <w:r w:rsidRPr="004A478C">
        <w:rPr>
          <w:lang w:val="lt-LT"/>
        </w:rPr>
        <w:t>febuksostato</w:t>
      </w:r>
      <w:proofErr w:type="spellEnd"/>
      <w:r w:rsidRPr="004A478C">
        <w:rPr>
          <w:lang w:val="lt-LT"/>
        </w:rPr>
        <w:t xml:space="preserve"> </w:t>
      </w:r>
      <w:proofErr w:type="spellStart"/>
      <w:r w:rsidRPr="004A478C">
        <w:rPr>
          <w:lang w:val="lt-LT"/>
        </w:rPr>
        <w:t>C</w:t>
      </w:r>
      <w:r w:rsidRPr="004A478C">
        <w:rPr>
          <w:vertAlign w:val="subscript"/>
          <w:lang w:val="lt-LT"/>
        </w:rPr>
        <w:t>max</w:t>
      </w:r>
      <w:proofErr w:type="spellEnd"/>
      <w:r w:rsidRPr="004A478C">
        <w:rPr>
          <w:lang w:val="lt-LT"/>
        </w:rPr>
        <w:t xml:space="preserve"> nepakito ir atitiko koncentraciją, nustatytą inkstų ligomis nesergantiems asmenims. Bendrasis </w:t>
      </w:r>
      <w:proofErr w:type="spellStart"/>
      <w:r w:rsidRPr="004A478C">
        <w:rPr>
          <w:lang w:val="lt-LT"/>
        </w:rPr>
        <w:t>febuksostato</w:t>
      </w:r>
      <w:proofErr w:type="spellEnd"/>
      <w:r w:rsidRPr="004A478C">
        <w:rPr>
          <w:lang w:val="lt-LT"/>
        </w:rPr>
        <w:t xml:space="preserve"> AUC vidurkis, kuris pacientų, nesergančių inkstų ligomis grupėje yra 7,5 </w:t>
      </w:r>
      <w:r w:rsidR="003B5DEE" w:rsidRPr="004A478C">
        <w:rPr>
          <w:rFonts w:eastAsia="Segoe UI Symbol"/>
          <w:lang w:val="lt-LT"/>
        </w:rPr>
        <w:t>µ</w:t>
      </w:r>
      <w:r w:rsidR="003B5DEE" w:rsidRPr="004A478C" w:rsidDel="003B5DEE">
        <w:rPr>
          <w:rFonts w:eastAsia="Segoe UI Symbol"/>
          <w:lang w:val="lt-LT"/>
        </w:rPr>
        <w:t xml:space="preserve"> </w:t>
      </w:r>
      <w:r w:rsidRPr="004A478C">
        <w:rPr>
          <w:lang w:val="lt-LT"/>
        </w:rPr>
        <w:t xml:space="preserve">g </w:t>
      </w:r>
      <w:r w:rsidR="003D0095" w:rsidRPr="004A478C">
        <w:rPr>
          <w:lang w:val="lt-LT"/>
        </w:rPr>
        <w:t xml:space="preserve">x </w:t>
      </w:r>
      <w:r w:rsidRPr="004A478C">
        <w:rPr>
          <w:lang w:val="lt-LT"/>
        </w:rPr>
        <w:t xml:space="preserve">h/ml, sunkiu inkstų nepakankamumu sergančių pacientų grupėje padidėjo 1,8 kartus iki 13,2 </w:t>
      </w:r>
      <w:r w:rsidR="003B5DEE" w:rsidRPr="004A478C">
        <w:rPr>
          <w:rFonts w:eastAsia="Segoe UI Symbol"/>
          <w:lang w:val="lt-LT"/>
        </w:rPr>
        <w:t>µ</w:t>
      </w:r>
      <w:r w:rsidR="003B5DEE" w:rsidRPr="004A478C" w:rsidDel="003B5DEE">
        <w:rPr>
          <w:rFonts w:eastAsia="Segoe UI Symbol"/>
          <w:lang w:val="lt-LT"/>
        </w:rPr>
        <w:t xml:space="preserve"> </w:t>
      </w:r>
      <w:r w:rsidRPr="004A478C">
        <w:rPr>
          <w:lang w:val="lt-LT"/>
        </w:rPr>
        <w:t xml:space="preserve">g </w:t>
      </w:r>
      <w:r w:rsidR="003D0095" w:rsidRPr="004A478C">
        <w:rPr>
          <w:lang w:val="lt-LT"/>
        </w:rPr>
        <w:t xml:space="preserve">x </w:t>
      </w:r>
      <w:r w:rsidRPr="004A478C">
        <w:rPr>
          <w:lang w:val="lt-LT"/>
        </w:rPr>
        <w:t xml:space="preserve">val./ml. Aktyviųjų metabolitų </w:t>
      </w:r>
      <w:proofErr w:type="spellStart"/>
      <w:r w:rsidRPr="004A478C">
        <w:rPr>
          <w:lang w:val="lt-LT"/>
        </w:rPr>
        <w:t>C</w:t>
      </w:r>
      <w:r w:rsidRPr="004A478C">
        <w:rPr>
          <w:vertAlign w:val="subscript"/>
          <w:lang w:val="lt-LT"/>
        </w:rPr>
        <w:t>max</w:t>
      </w:r>
      <w:proofErr w:type="spellEnd"/>
      <w:r w:rsidRPr="004A478C">
        <w:rPr>
          <w:lang w:val="lt-LT"/>
        </w:rPr>
        <w:t xml:space="preserve"> padidėjo 2 kartus, o AUC – 4 kartus. Tačiau pacientams, sergantiems lengvo ar vidutinio laipsnio inkstų </w:t>
      </w:r>
      <w:r w:rsidR="003B5DEE" w:rsidRPr="004A478C">
        <w:rPr>
          <w:lang w:val="lt-LT"/>
        </w:rPr>
        <w:t>funkcijos sutrikimu</w:t>
      </w:r>
      <w:r w:rsidRPr="004A478C">
        <w:rPr>
          <w:lang w:val="lt-LT"/>
        </w:rPr>
        <w:t xml:space="preserve">, dozės koreguoti nereikia. </w:t>
      </w:r>
    </w:p>
    <w:p w14:paraId="5ACDAF36" w14:textId="77777777" w:rsidR="00273470" w:rsidRPr="004A478C" w:rsidRDefault="00273470" w:rsidP="003B28E4">
      <w:pPr>
        <w:tabs>
          <w:tab w:val="left" w:pos="4680"/>
        </w:tabs>
        <w:spacing w:line="240" w:lineRule="auto"/>
        <w:rPr>
          <w:lang w:val="lt-LT"/>
        </w:rPr>
      </w:pPr>
      <w:r w:rsidRPr="004A478C">
        <w:rPr>
          <w:lang w:val="lt-LT"/>
        </w:rPr>
        <w:t xml:space="preserve"> </w:t>
      </w:r>
    </w:p>
    <w:p w14:paraId="1FC784E8" w14:textId="77777777" w:rsidR="003B5DEE" w:rsidRPr="004A478C" w:rsidRDefault="003B5DEE" w:rsidP="003B28E4">
      <w:pPr>
        <w:tabs>
          <w:tab w:val="left" w:pos="4680"/>
        </w:tabs>
        <w:spacing w:line="240" w:lineRule="auto"/>
        <w:ind w:left="2" w:right="397"/>
        <w:rPr>
          <w:u w:val="single"/>
          <w:lang w:val="lt-LT"/>
        </w:rPr>
      </w:pPr>
      <w:r w:rsidRPr="004A478C">
        <w:rPr>
          <w:u w:val="single"/>
          <w:lang w:val="lt-LT"/>
        </w:rPr>
        <w:t xml:space="preserve">Sutrikusi kepenų </w:t>
      </w:r>
      <w:proofErr w:type="spellStart"/>
      <w:r w:rsidRPr="004A478C">
        <w:rPr>
          <w:u w:val="single"/>
          <w:lang w:val="lt-LT"/>
        </w:rPr>
        <w:t>fukcija</w:t>
      </w:r>
      <w:proofErr w:type="spellEnd"/>
    </w:p>
    <w:p w14:paraId="44428D66" w14:textId="77777777" w:rsidR="00273470" w:rsidRPr="004A478C" w:rsidRDefault="00273470" w:rsidP="003B28E4">
      <w:pPr>
        <w:tabs>
          <w:tab w:val="left" w:pos="4680"/>
        </w:tabs>
        <w:spacing w:line="240" w:lineRule="auto"/>
        <w:ind w:left="2" w:right="397"/>
        <w:rPr>
          <w:lang w:val="lt-LT"/>
        </w:rPr>
      </w:pPr>
      <w:r w:rsidRPr="004A478C">
        <w:rPr>
          <w:lang w:val="lt-LT"/>
        </w:rPr>
        <w:t xml:space="preserve">Pacientams, sergantiems lengvu (A klasė pagal </w:t>
      </w:r>
      <w:proofErr w:type="spellStart"/>
      <w:r w:rsidRPr="004A478C">
        <w:rPr>
          <w:i/>
          <w:lang w:val="lt-LT"/>
        </w:rPr>
        <w:t>Child-Pugh</w:t>
      </w:r>
      <w:proofErr w:type="spellEnd"/>
      <w:r w:rsidRPr="004A478C">
        <w:rPr>
          <w:lang w:val="lt-LT"/>
        </w:rPr>
        <w:t xml:space="preserve">) arba vidutinio sunkumo (B klasė pagal </w:t>
      </w:r>
      <w:proofErr w:type="spellStart"/>
      <w:r w:rsidRPr="004A478C">
        <w:rPr>
          <w:i/>
          <w:lang w:val="lt-LT"/>
        </w:rPr>
        <w:t>Child-Pugh</w:t>
      </w:r>
      <w:proofErr w:type="spellEnd"/>
      <w:r w:rsidRPr="004A478C">
        <w:rPr>
          <w:lang w:val="lt-LT"/>
        </w:rPr>
        <w:t xml:space="preserve">) kepenų </w:t>
      </w:r>
      <w:r w:rsidR="003B5DEE" w:rsidRPr="004A478C">
        <w:rPr>
          <w:lang w:val="lt-LT"/>
        </w:rPr>
        <w:t xml:space="preserve">funkcijos </w:t>
      </w:r>
      <w:r w:rsidRPr="004A478C">
        <w:rPr>
          <w:lang w:val="lt-LT"/>
        </w:rPr>
        <w:t>sutrikimu, pavartojus kartotines 80</w:t>
      </w:r>
      <w:r w:rsidR="00E87295" w:rsidRPr="004A478C">
        <w:rPr>
          <w:lang w:val="lt-LT"/>
        </w:rPr>
        <w:t> mg</w:t>
      </w:r>
      <w:r w:rsidRPr="004A478C">
        <w:rPr>
          <w:lang w:val="lt-LT"/>
        </w:rPr>
        <w:t xml:space="preserve"> </w:t>
      </w:r>
      <w:proofErr w:type="spellStart"/>
      <w:r w:rsidR="003B5DEE" w:rsidRPr="004A478C">
        <w:rPr>
          <w:lang w:val="lt-LT"/>
        </w:rPr>
        <w:t>febuksostato</w:t>
      </w:r>
      <w:proofErr w:type="spellEnd"/>
      <w:r w:rsidRPr="004A478C">
        <w:rPr>
          <w:lang w:val="lt-LT"/>
        </w:rPr>
        <w:t xml:space="preserve"> dozes, </w:t>
      </w:r>
      <w:proofErr w:type="spellStart"/>
      <w:r w:rsidRPr="004A478C">
        <w:rPr>
          <w:lang w:val="lt-LT"/>
        </w:rPr>
        <w:t>febuksostato</w:t>
      </w:r>
      <w:proofErr w:type="spellEnd"/>
      <w:r w:rsidRPr="004A478C">
        <w:rPr>
          <w:lang w:val="lt-LT"/>
        </w:rPr>
        <w:t xml:space="preserve"> ir jo metabolitų </w:t>
      </w:r>
      <w:proofErr w:type="spellStart"/>
      <w:r w:rsidRPr="004A478C">
        <w:rPr>
          <w:lang w:val="lt-LT"/>
        </w:rPr>
        <w:t>C</w:t>
      </w:r>
      <w:r w:rsidRPr="004A478C">
        <w:rPr>
          <w:vertAlign w:val="subscript"/>
          <w:lang w:val="lt-LT"/>
        </w:rPr>
        <w:t>max</w:t>
      </w:r>
      <w:proofErr w:type="spellEnd"/>
      <w:r w:rsidRPr="004A478C">
        <w:rPr>
          <w:lang w:val="lt-LT"/>
        </w:rPr>
        <w:t xml:space="preserve"> ir AUC reikšmingai nepakito, palyginti su asmenimis, kurių kepenų funkcija normali. Tyrimų su pacientais, sergančiais sunkiu kepenų </w:t>
      </w:r>
      <w:r w:rsidR="003B5DEE" w:rsidRPr="004A478C">
        <w:rPr>
          <w:lang w:val="lt-LT"/>
        </w:rPr>
        <w:t xml:space="preserve">funkcijos </w:t>
      </w:r>
      <w:r w:rsidRPr="004A478C">
        <w:rPr>
          <w:lang w:val="lt-LT"/>
        </w:rPr>
        <w:t xml:space="preserve">sutrikimu (C </w:t>
      </w:r>
      <w:proofErr w:type="spellStart"/>
      <w:r w:rsidRPr="004A478C">
        <w:rPr>
          <w:lang w:val="lt-LT"/>
        </w:rPr>
        <w:t>kalsė</w:t>
      </w:r>
      <w:proofErr w:type="spellEnd"/>
      <w:r w:rsidRPr="004A478C">
        <w:rPr>
          <w:lang w:val="lt-LT"/>
        </w:rPr>
        <w:t xml:space="preserve"> pagal </w:t>
      </w:r>
      <w:proofErr w:type="spellStart"/>
      <w:r w:rsidRPr="004A478C">
        <w:rPr>
          <w:i/>
          <w:lang w:val="lt-LT"/>
        </w:rPr>
        <w:t>Child</w:t>
      </w:r>
      <w:proofErr w:type="spellEnd"/>
      <w:r w:rsidRPr="004A478C">
        <w:rPr>
          <w:i/>
          <w:lang w:val="lt-LT"/>
        </w:rPr>
        <w:t xml:space="preserve"> </w:t>
      </w:r>
      <w:proofErr w:type="spellStart"/>
      <w:r w:rsidRPr="004A478C">
        <w:rPr>
          <w:i/>
          <w:lang w:val="lt-LT"/>
        </w:rPr>
        <w:t>Pugh</w:t>
      </w:r>
      <w:proofErr w:type="spellEnd"/>
      <w:r w:rsidRPr="004A478C">
        <w:rPr>
          <w:lang w:val="lt-LT"/>
        </w:rPr>
        <w:t xml:space="preserve">) tyrimų neatlikta. </w:t>
      </w:r>
    </w:p>
    <w:p w14:paraId="48376915" w14:textId="77777777" w:rsidR="00273470" w:rsidRPr="004A478C" w:rsidRDefault="00273470" w:rsidP="003B28E4">
      <w:pPr>
        <w:tabs>
          <w:tab w:val="left" w:pos="4680"/>
        </w:tabs>
        <w:spacing w:line="240" w:lineRule="auto"/>
        <w:rPr>
          <w:lang w:val="lt-LT"/>
        </w:rPr>
      </w:pPr>
      <w:r w:rsidRPr="004A478C">
        <w:rPr>
          <w:lang w:val="lt-LT"/>
        </w:rPr>
        <w:t xml:space="preserve"> </w:t>
      </w:r>
    </w:p>
    <w:p w14:paraId="10C71B1B" w14:textId="77777777" w:rsidR="00273470" w:rsidRPr="004A478C" w:rsidRDefault="00273470" w:rsidP="003B28E4">
      <w:pPr>
        <w:tabs>
          <w:tab w:val="left" w:pos="4680"/>
        </w:tabs>
        <w:spacing w:line="240" w:lineRule="auto"/>
        <w:ind w:left="-5"/>
        <w:rPr>
          <w:u w:val="single"/>
          <w:lang w:val="lt-LT"/>
        </w:rPr>
      </w:pPr>
      <w:r w:rsidRPr="004A478C">
        <w:rPr>
          <w:u w:val="single"/>
          <w:lang w:val="lt-LT"/>
        </w:rPr>
        <w:t xml:space="preserve">Amžius </w:t>
      </w:r>
    </w:p>
    <w:p w14:paraId="4167916E" w14:textId="77777777" w:rsidR="00273470" w:rsidRPr="004A478C" w:rsidRDefault="00273470" w:rsidP="003B28E4">
      <w:pPr>
        <w:tabs>
          <w:tab w:val="left" w:pos="4680"/>
        </w:tabs>
        <w:spacing w:line="240" w:lineRule="auto"/>
        <w:ind w:left="2" w:right="397"/>
        <w:rPr>
          <w:lang w:val="lt-LT"/>
        </w:rPr>
      </w:pPr>
      <w:r w:rsidRPr="004A478C">
        <w:rPr>
          <w:lang w:val="lt-LT"/>
        </w:rPr>
        <w:t xml:space="preserve">Senyviems pacientams, per burną vartojusiems kartotines </w:t>
      </w:r>
      <w:proofErr w:type="spellStart"/>
      <w:r w:rsidR="003B5DEE" w:rsidRPr="004A478C">
        <w:rPr>
          <w:lang w:val="lt-LT"/>
        </w:rPr>
        <w:t>febuksostato</w:t>
      </w:r>
      <w:proofErr w:type="spellEnd"/>
      <w:r w:rsidR="003B5DEE" w:rsidRPr="004A478C">
        <w:rPr>
          <w:lang w:val="lt-LT"/>
        </w:rPr>
        <w:t xml:space="preserve"> </w:t>
      </w:r>
      <w:r w:rsidRPr="004A478C">
        <w:rPr>
          <w:lang w:val="lt-LT"/>
        </w:rPr>
        <w:t xml:space="preserve">dozes, reikšmingų </w:t>
      </w:r>
      <w:proofErr w:type="spellStart"/>
      <w:r w:rsidRPr="004A478C">
        <w:rPr>
          <w:lang w:val="lt-LT"/>
        </w:rPr>
        <w:t>febuksostato</w:t>
      </w:r>
      <w:proofErr w:type="spellEnd"/>
      <w:r w:rsidRPr="004A478C">
        <w:rPr>
          <w:lang w:val="lt-LT"/>
        </w:rPr>
        <w:t xml:space="preserve"> arba jo metabolitų AUC pokyčių, palyginti su jaunesniais sveikais asmenimis, nenustatyta.  </w:t>
      </w:r>
    </w:p>
    <w:p w14:paraId="3D4312C3" w14:textId="77777777" w:rsidR="00273470" w:rsidRPr="004A478C" w:rsidRDefault="00273470" w:rsidP="003B28E4">
      <w:pPr>
        <w:tabs>
          <w:tab w:val="left" w:pos="4680"/>
        </w:tabs>
        <w:spacing w:line="240" w:lineRule="auto"/>
        <w:rPr>
          <w:lang w:val="lt-LT"/>
        </w:rPr>
      </w:pPr>
      <w:r w:rsidRPr="004A478C">
        <w:rPr>
          <w:i/>
          <w:lang w:val="lt-LT"/>
        </w:rPr>
        <w:t xml:space="preserve"> </w:t>
      </w:r>
    </w:p>
    <w:p w14:paraId="51338899" w14:textId="77777777" w:rsidR="00273470" w:rsidRPr="004A478C" w:rsidRDefault="00273470" w:rsidP="003B28E4">
      <w:pPr>
        <w:tabs>
          <w:tab w:val="left" w:pos="4680"/>
        </w:tabs>
        <w:spacing w:line="240" w:lineRule="auto"/>
        <w:ind w:left="-5"/>
        <w:rPr>
          <w:u w:val="single"/>
          <w:lang w:val="lt-LT"/>
        </w:rPr>
      </w:pPr>
      <w:r w:rsidRPr="004A478C">
        <w:rPr>
          <w:u w:val="single"/>
          <w:lang w:val="lt-LT"/>
        </w:rPr>
        <w:t xml:space="preserve">Lytis </w:t>
      </w:r>
    </w:p>
    <w:p w14:paraId="410C338B" w14:textId="77777777" w:rsidR="00273470" w:rsidRPr="004A478C" w:rsidRDefault="00273470" w:rsidP="003B28E4">
      <w:pPr>
        <w:tabs>
          <w:tab w:val="left" w:pos="4680"/>
        </w:tabs>
        <w:spacing w:line="240" w:lineRule="auto"/>
        <w:ind w:left="2" w:right="397"/>
        <w:rPr>
          <w:lang w:val="lt-LT"/>
        </w:rPr>
      </w:pPr>
      <w:r w:rsidRPr="004A478C">
        <w:rPr>
          <w:lang w:val="lt-LT"/>
        </w:rPr>
        <w:t xml:space="preserve">Moterų, per burną vartojusių kartotines </w:t>
      </w:r>
      <w:proofErr w:type="spellStart"/>
      <w:r w:rsidR="003B5DEE" w:rsidRPr="004A478C">
        <w:rPr>
          <w:lang w:val="lt-LT"/>
        </w:rPr>
        <w:t>febuksostato</w:t>
      </w:r>
      <w:proofErr w:type="spellEnd"/>
      <w:r w:rsidR="003B5DEE" w:rsidRPr="004A478C">
        <w:rPr>
          <w:lang w:val="lt-LT"/>
        </w:rPr>
        <w:t xml:space="preserve"> </w:t>
      </w:r>
      <w:r w:rsidRPr="004A478C">
        <w:rPr>
          <w:lang w:val="lt-LT"/>
        </w:rPr>
        <w:t xml:space="preserve">dozes </w:t>
      </w:r>
      <w:proofErr w:type="spellStart"/>
      <w:r w:rsidRPr="004A478C">
        <w:rPr>
          <w:lang w:val="lt-LT"/>
        </w:rPr>
        <w:t>C</w:t>
      </w:r>
      <w:r w:rsidRPr="004A478C">
        <w:rPr>
          <w:vertAlign w:val="subscript"/>
          <w:lang w:val="lt-LT"/>
        </w:rPr>
        <w:t>max</w:t>
      </w:r>
      <w:proofErr w:type="spellEnd"/>
      <w:r w:rsidRPr="004A478C">
        <w:rPr>
          <w:lang w:val="lt-LT"/>
        </w:rPr>
        <w:t xml:space="preserve"> buvo 24%, o AUC 12% didesnės, nei vyrų. Tačiau atmetus kūno masės įtaką abiejų lyčių </w:t>
      </w:r>
      <w:proofErr w:type="spellStart"/>
      <w:r w:rsidRPr="004A478C">
        <w:rPr>
          <w:lang w:val="lt-LT"/>
        </w:rPr>
        <w:t>C</w:t>
      </w:r>
      <w:r w:rsidRPr="004A478C">
        <w:rPr>
          <w:vertAlign w:val="subscript"/>
          <w:lang w:val="lt-LT"/>
        </w:rPr>
        <w:t>max</w:t>
      </w:r>
      <w:proofErr w:type="spellEnd"/>
      <w:r w:rsidRPr="004A478C">
        <w:rPr>
          <w:lang w:val="lt-LT"/>
        </w:rPr>
        <w:t xml:space="preserve"> ir AUC buvo panašios. Dėl lyties dozės koreguoti nereikia. </w:t>
      </w:r>
    </w:p>
    <w:p w14:paraId="0C222CCC" w14:textId="77777777" w:rsidR="00273470" w:rsidRPr="004A478C" w:rsidRDefault="00273470" w:rsidP="003B28E4">
      <w:pPr>
        <w:tabs>
          <w:tab w:val="left" w:pos="4680"/>
        </w:tabs>
        <w:spacing w:line="240" w:lineRule="auto"/>
        <w:rPr>
          <w:lang w:val="lt-LT"/>
        </w:rPr>
      </w:pPr>
      <w:r w:rsidRPr="004A478C">
        <w:rPr>
          <w:lang w:val="lt-LT"/>
        </w:rPr>
        <w:t xml:space="preserve"> </w:t>
      </w:r>
    </w:p>
    <w:p w14:paraId="161D44A9" w14:textId="77777777" w:rsidR="00273470" w:rsidRPr="004A478C" w:rsidRDefault="00273470" w:rsidP="003B28E4">
      <w:pPr>
        <w:pStyle w:val="Antrat4"/>
        <w:tabs>
          <w:tab w:val="center" w:pos="2316"/>
          <w:tab w:val="left" w:pos="4680"/>
        </w:tabs>
        <w:spacing w:line="240" w:lineRule="auto"/>
        <w:ind w:left="-15"/>
        <w:rPr>
          <w:rFonts w:ascii="Times New Roman" w:hAnsi="Times New Roman"/>
          <w:sz w:val="22"/>
          <w:lang w:val="lt-LT"/>
        </w:rPr>
      </w:pPr>
      <w:r w:rsidRPr="004A478C">
        <w:rPr>
          <w:rFonts w:ascii="Times New Roman" w:hAnsi="Times New Roman"/>
          <w:sz w:val="22"/>
          <w:lang w:val="lt-LT"/>
        </w:rPr>
        <w:t xml:space="preserve">5.3 </w:t>
      </w:r>
      <w:r w:rsidRPr="004A478C">
        <w:rPr>
          <w:rFonts w:ascii="Times New Roman" w:hAnsi="Times New Roman"/>
          <w:sz w:val="22"/>
          <w:lang w:val="lt-LT"/>
        </w:rPr>
        <w:tab/>
      </w:r>
      <w:proofErr w:type="spellStart"/>
      <w:r w:rsidRPr="004A478C">
        <w:rPr>
          <w:rFonts w:ascii="Times New Roman" w:hAnsi="Times New Roman"/>
          <w:sz w:val="22"/>
          <w:lang w:val="lt-LT"/>
        </w:rPr>
        <w:t>Ikiklinikinių</w:t>
      </w:r>
      <w:proofErr w:type="spellEnd"/>
      <w:r w:rsidRPr="004A478C">
        <w:rPr>
          <w:rFonts w:ascii="Times New Roman" w:hAnsi="Times New Roman"/>
          <w:sz w:val="22"/>
          <w:lang w:val="lt-LT"/>
        </w:rPr>
        <w:t xml:space="preserve"> saugumo tyrimų duomenys</w:t>
      </w:r>
      <w:r w:rsidRPr="004A478C">
        <w:rPr>
          <w:rFonts w:ascii="Times New Roman" w:hAnsi="Times New Roman"/>
          <w:b w:val="0"/>
          <w:sz w:val="22"/>
          <w:lang w:val="lt-LT"/>
        </w:rPr>
        <w:t xml:space="preserve"> </w:t>
      </w:r>
    </w:p>
    <w:p w14:paraId="7BDFC3DC" w14:textId="77777777" w:rsidR="00273470" w:rsidRPr="004A478C" w:rsidRDefault="00273470" w:rsidP="003B28E4">
      <w:pPr>
        <w:tabs>
          <w:tab w:val="left" w:pos="4680"/>
        </w:tabs>
        <w:spacing w:line="240" w:lineRule="auto"/>
        <w:rPr>
          <w:lang w:val="lt-LT"/>
        </w:rPr>
      </w:pPr>
      <w:r w:rsidRPr="004A478C">
        <w:rPr>
          <w:lang w:val="lt-LT"/>
        </w:rPr>
        <w:t xml:space="preserve"> </w:t>
      </w:r>
    </w:p>
    <w:p w14:paraId="76BC9E06" w14:textId="77777777" w:rsidR="00060829" w:rsidRPr="004A478C" w:rsidRDefault="00273470" w:rsidP="003B28E4">
      <w:pPr>
        <w:tabs>
          <w:tab w:val="left" w:pos="4680"/>
        </w:tabs>
        <w:spacing w:line="240" w:lineRule="auto"/>
        <w:ind w:left="2" w:right="397"/>
        <w:rPr>
          <w:lang w:val="lt-LT"/>
        </w:rPr>
      </w:pPr>
      <w:proofErr w:type="spellStart"/>
      <w:r w:rsidRPr="004A478C">
        <w:rPr>
          <w:lang w:val="lt-LT"/>
        </w:rPr>
        <w:t>Ikiklinikinių</w:t>
      </w:r>
      <w:proofErr w:type="spellEnd"/>
      <w:r w:rsidRPr="004A478C">
        <w:rPr>
          <w:lang w:val="lt-LT"/>
        </w:rPr>
        <w:t xml:space="preserve"> tyrimų metu poveikis dažniausiai pastebėtas tik tada, kai ekspozicija viršydavo maksimalią ekspoziciją žmogui.</w:t>
      </w:r>
    </w:p>
    <w:p w14:paraId="448B71EA" w14:textId="007CC548" w:rsidR="00060829" w:rsidRPr="004B0C8F" w:rsidRDefault="00060829" w:rsidP="00060829">
      <w:pPr>
        <w:tabs>
          <w:tab w:val="left" w:pos="4680"/>
        </w:tabs>
        <w:spacing w:line="240" w:lineRule="auto"/>
        <w:ind w:left="2" w:right="397"/>
        <w:rPr>
          <w:szCs w:val="22"/>
          <w:lang w:val="lt-LT"/>
        </w:rPr>
      </w:pPr>
      <w:r w:rsidRPr="004B0C8F">
        <w:rPr>
          <w:szCs w:val="22"/>
          <w:lang w:val="lt-LT"/>
        </w:rPr>
        <w:t xml:space="preserve">Su žiurkėmis atliktų modeliavimo ir imitacijos tyrimų duomenys rodo, kad duodant </w:t>
      </w:r>
      <w:proofErr w:type="spellStart"/>
      <w:r w:rsidRPr="004B0C8F">
        <w:rPr>
          <w:szCs w:val="22"/>
          <w:lang w:val="lt-LT"/>
        </w:rPr>
        <w:t>febuksostato</w:t>
      </w:r>
      <w:proofErr w:type="spellEnd"/>
      <w:r w:rsidRPr="004B0C8F">
        <w:rPr>
          <w:szCs w:val="22"/>
          <w:lang w:val="lt-LT"/>
        </w:rPr>
        <w:t xml:space="preserve"> su </w:t>
      </w:r>
      <w:proofErr w:type="spellStart"/>
      <w:r w:rsidRPr="004B0C8F">
        <w:rPr>
          <w:szCs w:val="22"/>
          <w:lang w:val="lt-LT"/>
        </w:rPr>
        <w:t>merkaptopurinu</w:t>
      </w:r>
      <w:proofErr w:type="spellEnd"/>
      <w:r w:rsidRPr="004B0C8F">
        <w:rPr>
          <w:szCs w:val="22"/>
          <w:lang w:val="lt-LT"/>
        </w:rPr>
        <w:t xml:space="preserve"> / </w:t>
      </w:r>
      <w:proofErr w:type="spellStart"/>
      <w:r w:rsidRPr="004B0C8F">
        <w:rPr>
          <w:szCs w:val="22"/>
          <w:lang w:val="lt-LT"/>
        </w:rPr>
        <w:t>azatioprinu</w:t>
      </w:r>
      <w:proofErr w:type="spellEnd"/>
      <w:r w:rsidRPr="004B0C8F">
        <w:rPr>
          <w:szCs w:val="22"/>
          <w:lang w:val="lt-LT"/>
        </w:rPr>
        <w:t>, pastarųjų vaistinių preparatų klinikinė dozė turi būti sumažinama iki 20 % arba mažiau palyginti su ankstesne doze norint išvengti galimų kraujo pokyčių (žr. 4.4 ir 4.5 skyrius).</w:t>
      </w:r>
    </w:p>
    <w:p w14:paraId="3DD78BFE" w14:textId="77777777" w:rsidR="00273470" w:rsidRPr="004B0C8F" w:rsidRDefault="00273470" w:rsidP="004A478C">
      <w:pPr>
        <w:tabs>
          <w:tab w:val="left" w:pos="4680"/>
        </w:tabs>
        <w:spacing w:line="240" w:lineRule="auto"/>
        <w:rPr>
          <w:szCs w:val="22"/>
          <w:lang w:val="lt-LT"/>
        </w:rPr>
      </w:pPr>
    </w:p>
    <w:p w14:paraId="11227208" w14:textId="77777777" w:rsidR="00273470" w:rsidRPr="004A478C" w:rsidRDefault="00273470" w:rsidP="003B28E4">
      <w:pPr>
        <w:tabs>
          <w:tab w:val="left" w:pos="4680"/>
        </w:tabs>
        <w:spacing w:line="240" w:lineRule="auto"/>
        <w:ind w:left="-5"/>
        <w:rPr>
          <w:u w:val="single"/>
          <w:lang w:val="lt-LT"/>
        </w:rPr>
      </w:pPr>
      <w:r w:rsidRPr="004A478C">
        <w:rPr>
          <w:u w:val="single"/>
          <w:lang w:val="lt-LT"/>
        </w:rPr>
        <w:t xml:space="preserve">Kancerogeninis ir mutageninis poveikis bei žalingas poveikis vaisingumui  </w:t>
      </w:r>
    </w:p>
    <w:p w14:paraId="717D5FD1" w14:textId="77777777" w:rsidR="00273470" w:rsidRPr="004A478C" w:rsidRDefault="00273470" w:rsidP="003B28E4">
      <w:pPr>
        <w:tabs>
          <w:tab w:val="left" w:pos="4680"/>
        </w:tabs>
        <w:spacing w:line="240" w:lineRule="auto"/>
        <w:ind w:left="2" w:right="397"/>
        <w:rPr>
          <w:lang w:val="lt-LT"/>
        </w:rPr>
      </w:pPr>
      <w:r w:rsidRPr="004A478C">
        <w:rPr>
          <w:lang w:val="lt-LT"/>
        </w:rPr>
        <w:t xml:space="preserve">Žiurkių patinams statistiškai reikšmingai padaugėjo šlapimo pūslės navikų (pereinamųjų ląstelių papilomų ir karcinomų) tik esant </w:t>
      </w:r>
      <w:proofErr w:type="spellStart"/>
      <w:r w:rsidRPr="004A478C">
        <w:rPr>
          <w:lang w:val="lt-LT"/>
        </w:rPr>
        <w:t>ksantino</w:t>
      </w:r>
      <w:proofErr w:type="spellEnd"/>
      <w:r w:rsidRPr="004A478C">
        <w:rPr>
          <w:lang w:val="lt-LT"/>
        </w:rPr>
        <w:t xml:space="preserve"> akmenų ir vaistą skiriant didelėmis dozėmis, maždaug 11 kartų didesnėmis už ekspoziciją žmogui. Kitų tipų navikų atsiradimo dažnio reikšmingo padidėjimo pelių ir žiurkių patinams ir patelėms nepastebėta. Nuspręsta, kad šie rezultatai susiję </w:t>
      </w:r>
      <w:r w:rsidRPr="004A478C">
        <w:rPr>
          <w:lang w:val="lt-LT"/>
        </w:rPr>
        <w:lastRenderedPageBreak/>
        <w:t xml:space="preserve">su rūšims būdingu purino metabolizmu bei šlapimo sudėtimi ir klinikiniam vartojimui reikšmės neturi. </w:t>
      </w:r>
    </w:p>
    <w:p w14:paraId="71D1B6A1" w14:textId="77777777" w:rsidR="00273470" w:rsidRPr="004A478C" w:rsidRDefault="00273470" w:rsidP="003B28E4">
      <w:pPr>
        <w:tabs>
          <w:tab w:val="left" w:pos="4680"/>
        </w:tabs>
        <w:spacing w:line="240" w:lineRule="auto"/>
        <w:rPr>
          <w:lang w:val="lt-LT"/>
        </w:rPr>
      </w:pPr>
      <w:r w:rsidRPr="004A478C">
        <w:rPr>
          <w:lang w:val="lt-LT"/>
        </w:rPr>
        <w:t xml:space="preserve"> </w:t>
      </w:r>
    </w:p>
    <w:p w14:paraId="1558394C" w14:textId="77777777" w:rsidR="00273470" w:rsidRPr="004A478C" w:rsidRDefault="00273470" w:rsidP="003B28E4">
      <w:pPr>
        <w:tabs>
          <w:tab w:val="left" w:pos="4680"/>
        </w:tabs>
        <w:spacing w:line="240" w:lineRule="auto"/>
        <w:ind w:left="2" w:right="397"/>
        <w:rPr>
          <w:lang w:val="lt-LT"/>
        </w:rPr>
      </w:pPr>
      <w:r w:rsidRPr="004A478C">
        <w:rPr>
          <w:lang w:val="lt-LT"/>
        </w:rPr>
        <w:t xml:space="preserve">Standartinių </w:t>
      </w:r>
      <w:proofErr w:type="spellStart"/>
      <w:r w:rsidRPr="004A478C">
        <w:rPr>
          <w:lang w:val="lt-LT"/>
        </w:rPr>
        <w:t>genotoksinio</w:t>
      </w:r>
      <w:proofErr w:type="spellEnd"/>
      <w:r w:rsidRPr="004A478C">
        <w:rPr>
          <w:lang w:val="lt-LT"/>
        </w:rPr>
        <w:t xml:space="preserve"> poveikio testų duomenys biologiškai reikšmingo </w:t>
      </w:r>
      <w:proofErr w:type="spellStart"/>
      <w:r w:rsidRPr="004A478C">
        <w:rPr>
          <w:lang w:val="lt-LT"/>
        </w:rPr>
        <w:t>genotoksinio</w:t>
      </w:r>
      <w:proofErr w:type="spellEnd"/>
      <w:r w:rsidRPr="004A478C">
        <w:rPr>
          <w:lang w:val="lt-LT"/>
        </w:rPr>
        <w:t xml:space="preserve"> </w:t>
      </w:r>
      <w:proofErr w:type="spellStart"/>
      <w:r w:rsidRPr="004A478C">
        <w:rPr>
          <w:lang w:val="lt-LT"/>
        </w:rPr>
        <w:t>febuksostato</w:t>
      </w:r>
      <w:proofErr w:type="spellEnd"/>
      <w:r w:rsidRPr="004A478C">
        <w:rPr>
          <w:lang w:val="lt-LT"/>
        </w:rPr>
        <w:t xml:space="preserve"> poveikio neparodė.  </w:t>
      </w:r>
    </w:p>
    <w:p w14:paraId="749AE75B" w14:textId="77777777" w:rsidR="00273470" w:rsidRPr="004A478C" w:rsidRDefault="00273470" w:rsidP="003B28E4">
      <w:pPr>
        <w:tabs>
          <w:tab w:val="left" w:pos="4680"/>
        </w:tabs>
        <w:spacing w:line="240" w:lineRule="auto"/>
        <w:rPr>
          <w:lang w:val="lt-LT"/>
        </w:rPr>
      </w:pPr>
      <w:r w:rsidRPr="004A478C">
        <w:rPr>
          <w:lang w:val="lt-LT"/>
        </w:rPr>
        <w:t xml:space="preserve"> </w:t>
      </w:r>
    </w:p>
    <w:p w14:paraId="75AA8A96" w14:textId="77777777" w:rsidR="00273470" w:rsidRPr="004A478C" w:rsidRDefault="00273470" w:rsidP="003B28E4">
      <w:pPr>
        <w:tabs>
          <w:tab w:val="left" w:pos="4680"/>
        </w:tabs>
        <w:spacing w:line="240" w:lineRule="auto"/>
        <w:ind w:left="2" w:right="397"/>
        <w:rPr>
          <w:lang w:val="lt-LT"/>
        </w:rPr>
      </w:pPr>
      <w:r w:rsidRPr="004A478C">
        <w:rPr>
          <w:lang w:val="lt-LT"/>
        </w:rPr>
        <w:t>Nustatyta, kad per burną vartojamos iki 48</w:t>
      </w:r>
      <w:r w:rsidR="00E87295" w:rsidRPr="004A478C">
        <w:rPr>
          <w:lang w:val="lt-LT"/>
        </w:rPr>
        <w:t> mg</w:t>
      </w:r>
      <w:r w:rsidRPr="004A478C">
        <w:rPr>
          <w:lang w:val="lt-LT"/>
        </w:rPr>
        <w:t xml:space="preserve">/kg per parą </w:t>
      </w:r>
      <w:proofErr w:type="spellStart"/>
      <w:r w:rsidRPr="004A478C">
        <w:rPr>
          <w:lang w:val="lt-LT"/>
        </w:rPr>
        <w:t>febuksostato</w:t>
      </w:r>
      <w:proofErr w:type="spellEnd"/>
      <w:r w:rsidRPr="004A478C">
        <w:rPr>
          <w:lang w:val="lt-LT"/>
        </w:rPr>
        <w:t xml:space="preserve"> dozės žiurkių patinų ir patelių vaisingumui ir dauginimosi funkcijai įtakos neturi.  </w:t>
      </w:r>
    </w:p>
    <w:p w14:paraId="2A939880" w14:textId="77777777" w:rsidR="00273470" w:rsidRPr="004A478C" w:rsidRDefault="00273470" w:rsidP="003B28E4">
      <w:pPr>
        <w:tabs>
          <w:tab w:val="left" w:pos="4680"/>
        </w:tabs>
        <w:spacing w:line="240" w:lineRule="auto"/>
        <w:rPr>
          <w:lang w:val="lt-LT"/>
        </w:rPr>
      </w:pPr>
      <w:r w:rsidRPr="004A478C">
        <w:rPr>
          <w:lang w:val="lt-LT"/>
        </w:rPr>
        <w:t xml:space="preserve"> </w:t>
      </w:r>
    </w:p>
    <w:p w14:paraId="7B4E31A6" w14:textId="77777777" w:rsidR="00273470" w:rsidRPr="004A478C" w:rsidRDefault="00273470" w:rsidP="003B28E4">
      <w:pPr>
        <w:tabs>
          <w:tab w:val="left" w:pos="4680"/>
        </w:tabs>
        <w:spacing w:line="240" w:lineRule="auto"/>
        <w:ind w:left="2" w:right="397"/>
        <w:rPr>
          <w:lang w:val="lt-LT"/>
        </w:rPr>
      </w:pPr>
      <w:r w:rsidRPr="004A478C">
        <w:rPr>
          <w:lang w:val="lt-LT"/>
        </w:rPr>
        <w:t xml:space="preserve">Neįrodyta, kad </w:t>
      </w:r>
      <w:proofErr w:type="spellStart"/>
      <w:r w:rsidRPr="004A478C">
        <w:rPr>
          <w:lang w:val="lt-LT"/>
        </w:rPr>
        <w:t>febuksostatas</w:t>
      </w:r>
      <w:proofErr w:type="spellEnd"/>
      <w:r w:rsidRPr="004A478C">
        <w:rPr>
          <w:lang w:val="lt-LT"/>
        </w:rPr>
        <w:t xml:space="preserve"> kenkia vaisingumui, turi </w:t>
      </w:r>
      <w:proofErr w:type="spellStart"/>
      <w:r w:rsidRPr="004A478C">
        <w:rPr>
          <w:lang w:val="lt-LT"/>
        </w:rPr>
        <w:t>teratogeninį</w:t>
      </w:r>
      <w:proofErr w:type="spellEnd"/>
      <w:r w:rsidRPr="004A478C">
        <w:rPr>
          <w:lang w:val="lt-LT"/>
        </w:rPr>
        <w:t xml:space="preserve"> poveikį ar kenkia vaisiui. Didelės (maždaug 4,3 kartus didesnės už ekspoziciją žmogui) dozės turėjo toksinį poveikį vaikingoms žiurkių patelėms, dėl kurio sumažėjo jauniklių išgyvenamumo indeksas ir sulėtėjo jų vystymasis. </w:t>
      </w:r>
    </w:p>
    <w:p w14:paraId="01D3B4A1" w14:textId="77777777" w:rsidR="00273470" w:rsidRPr="004A478C" w:rsidRDefault="00273470" w:rsidP="003B28E4">
      <w:pPr>
        <w:tabs>
          <w:tab w:val="left" w:pos="4680"/>
        </w:tabs>
        <w:spacing w:line="240" w:lineRule="auto"/>
        <w:ind w:left="2" w:right="397"/>
        <w:rPr>
          <w:lang w:val="lt-LT"/>
        </w:rPr>
      </w:pPr>
      <w:proofErr w:type="spellStart"/>
      <w:r w:rsidRPr="004A478C">
        <w:rPr>
          <w:lang w:val="lt-LT"/>
        </w:rPr>
        <w:t>Teratologiniai</w:t>
      </w:r>
      <w:proofErr w:type="spellEnd"/>
      <w:r w:rsidRPr="004A478C">
        <w:rPr>
          <w:lang w:val="lt-LT"/>
        </w:rPr>
        <w:t xml:space="preserve"> tyrimai su vaikingomis žiurkių patelėmis, kurioms buvo skiriamos maždaug 4,3 kartus didesnės dozės už ekspoziciją žmogui, ir su vaikingomis triušėmis, kurioms buvo skiriamos maždaug 13 kartų didesnės dozės už ekspoziciją žmogui, </w:t>
      </w:r>
      <w:proofErr w:type="spellStart"/>
      <w:r w:rsidRPr="004A478C">
        <w:rPr>
          <w:lang w:val="lt-LT"/>
        </w:rPr>
        <w:t>teratogeninio</w:t>
      </w:r>
      <w:proofErr w:type="spellEnd"/>
      <w:r w:rsidRPr="004A478C">
        <w:rPr>
          <w:lang w:val="lt-LT"/>
        </w:rPr>
        <w:t xml:space="preserve"> poveikio neparodė.  </w:t>
      </w:r>
    </w:p>
    <w:p w14:paraId="31C539C3" w14:textId="77777777" w:rsidR="00273470" w:rsidRPr="004A478C" w:rsidRDefault="00273470" w:rsidP="003B28E4">
      <w:pPr>
        <w:tabs>
          <w:tab w:val="left" w:pos="4680"/>
        </w:tabs>
        <w:spacing w:line="240" w:lineRule="auto"/>
        <w:rPr>
          <w:lang w:val="lt-LT"/>
        </w:rPr>
      </w:pPr>
      <w:r w:rsidRPr="004A478C">
        <w:rPr>
          <w:b/>
          <w:lang w:val="lt-LT"/>
        </w:rPr>
        <w:t xml:space="preserve"> </w:t>
      </w:r>
    </w:p>
    <w:p w14:paraId="7645CD4C" w14:textId="77777777" w:rsidR="00273470" w:rsidRPr="004A478C" w:rsidRDefault="00273470" w:rsidP="003B28E4">
      <w:pPr>
        <w:tabs>
          <w:tab w:val="left" w:pos="4680"/>
        </w:tabs>
        <w:spacing w:line="240" w:lineRule="auto"/>
        <w:rPr>
          <w:lang w:val="lt-LT"/>
        </w:rPr>
      </w:pPr>
      <w:r w:rsidRPr="004A478C">
        <w:rPr>
          <w:b/>
          <w:lang w:val="lt-LT"/>
        </w:rPr>
        <w:t xml:space="preserve"> </w:t>
      </w:r>
    </w:p>
    <w:p w14:paraId="6EE1DD2F" w14:textId="77777777" w:rsidR="00273470" w:rsidRPr="004A478C" w:rsidRDefault="00273470" w:rsidP="003B28E4">
      <w:pPr>
        <w:pStyle w:val="Antrat4"/>
        <w:tabs>
          <w:tab w:val="center" w:pos="1945"/>
          <w:tab w:val="left" w:pos="4680"/>
        </w:tabs>
        <w:spacing w:line="240" w:lineRule="auto"/>
        <w:ind w:left="-15"/>
        <w:rPr>
          <w:rFonts w:ascii="Times New Roman" w:hAnsi="Times New Roman"/>
          <w:sz w:val="22"/>
          <w:lang w:val="lt-LT"/>
        </w:rPr>
      </w:pPr>
      <w:r w:rsidRPr="004A478C">
        <w:rPr>
          <w:rFonts w:ascii="Times New Roman" w:hAnsi="Times New Roman"/>
          <w:sz w:val="22"/>
          <w:lang w:val="lt-LT"/>
        </w:rPr>
        <w:t xml:space="preserve">6. </w:t>
      </w:r>
      <w:r w:rsidRPr="004A478C">
        <w:rPr>
          <w:rFonts w:ascii="Times New Roman" w:hAnsi="Times New Roman"/>
          <w:sz w:val="22"/>
          <w:lang w:val="lt-LT"/>
        </w:rPr>
        <w:tab/>
        <w:t xml:space="preserve">FARMACINĖ INFORMACIJA </w:t>
      </w:r>
    </w:p>
    <w:p w14:paraId="69EF4896" w14:textId="77777777" w:rsidR="00273470" w:rsidRPr="004A478C" w:rsidRDefault="00273470" w:rsidP="003B28E4">
      <w:pPr>
        <w:tabs>
          <w:tab w:val="left" w:pos="4680"/>
        </w:tabs>
        <w:spacing w:line="240" w:lineRule="auto"/>
        <w:rPr>
          <w:lang w:val="lt-LT"/>
        </w:rPr>
      </w:pPr>
      <w:r w:rsidRPr="004A478C">
        <w:rPr>
          <w:b/>
          <w:lang w:val="lt-LT"/>
        </w:rPr>
        <w:t xml:space="preserve"> </w:t>
      </w:r>
    </w:p>
    <w:p w14:paraId="1BC08DB8" w14:textId="77777777" w:rsidR="00273470" w:rsidRPr="004A478C" w:rsidRDefault="00273470" w:rsidP="003B28E4">
      <w:pPr>
        <w:pStyle w:val="Antrat5"/>
        <w:tabs>
          <w:tab w:val="center" w:pos="1807"/>
          <w:tab w:val="left" w:pos="4680"/>
        </w:tabs>
        <w:spacing w:line="240" w:lineRule="auto"/>
        <w:ind w:left="-15"/>
        <w:rPr>
          <w:b/>
          <w:sz w:val="22"/>
          <w:lang w:val="lt-LT"/>
        </w:rPr>
      </w:pPr>
      <w:r w:rsidRPr="004A478C">
        <w:rPr>
          <w:b/>
          <w:sz w:val="22"/>
          <w:lang w:val="lt-LT"/>
        </w:rPr>
        <w:t xml:space="preserve">6.1 </w:t>
      </w:r>
      <w:r w:rsidRPr="004A478C">
        <w:rPr>
          <w:b/>
          <w:sz w:val="22"/>
          <w:lang w:val="lt-LT"/>
        </w:rPr>
        <w:tab/>
        <w:t xml:space="preserve">Pagalbinių medžiagų sąrašas </w:t>
      </w:r>
    </w:p>
    <w:p w14:paraId="45097C8C" w14:textId="77777777" w:rsidR="00273470" w:rsidRPr="004A478C" w:rsidRDefault="00273470" w:rsidP="003B28E4">
      <w:pPr>
        <w:tabs>
          <w:tab w:val="left" w:pos="4680"/>
        </w:tabs>
        <w:spacing w:line="240" w:lineRule="auto"/>
        <w:rPr>
          <w:lang w:val="lt-LT"/>
        </w:rPr>
      </w:pPr>
      <w:r w:rsidRPr="004A478C">
        <w:rPr>
          <w:lang w:val="lt-LT"/>
        </w:rPr>
        <w:t xml:space="preserve"> </w:t>
      </w:r>
    </w:p>
    <w:p w14:paraId="17FBE340" w14:textId="77777777" w:rsidR="00273470" w:rsidRPr="004A478C" w:rsidRDefault="00273470" w:rsidP="003B28E4">
      <w:pPr>
        <w:tabs>
          <w:tab w:val="left" w:pos="4680"/>
        </w:tabs>
        <w:spacing w:line="240" w:lineRule="auto"/>
        <w:ind w:left="-5"/>
        <w:rPr>
          <w:lang w:val="lt-LT"/>
        </w:rPr>
      </w:pPr>
      <w:r w:rsidRPr="004A478C">
        <w:rPr>
          <w:i/>
          <w:lang w:val="lt-LT"/>
        </w:rPr>
        <w:t xml:space="preserve">Tabletės šerdis </w:t>
      </w:r>
    </w:p>
    <w:p w14:paraId="3549C04E" w14:textId="77777777" w:rsidR="00273470" w:rsidRPr="004A478C" w:rsidRDefault="00273470" w:rsidP="003B28E4">
      <w:pPr>
        <w:tabs>
          <w:tab w:val="left" w:pos="4680"/>
        </w:tabs>
        <w:spacing w:line="240" w:lineRule="auto"/>
        <w:rPr>
          <w:lang w:val="lt-LT"/>
        </w:rPr>
      </w:pPr>
      <w:r w:rsidRPr="004A478C">
        <w:rPr>
          <w:lang w:val="lt-LT"/>
        </w:rPr>
        <w:t xml:space="preserve">Laktozė </w:t>
      </w:r>
      <w:proofErr w:type="spellStart"/>
      <w:r w:rsidRPr="004A478C">
        <w:rPr>
          <w:lang w:val="lt-LT"/>
        </w:rPr>
        <w:t>monohidratas</w:t>
      </w:r>
      <w:proofErr w:type="spellEnd"/>
    </w:p>
    <w:p w14:paraId="696330B2" w14:textId="77777777" w:rsidR="00273470" w:rsidRPr="004A478C" w:rsidRDefault="00273470" w:rsidP="003B28E4">
      <w:pPr>
        <w:tabs>
          <w:tab w:val="left" w:pos="4680"/>
        </w:tabs>
        <w:spacing w:line="240" w:lineRule="auto"/>
        <w:rPr>
          <w:lang w:val="lt-LT"/>
        </w:rPr>
      </w:pPr>
      <w:proofErr w:type="spellStart"/>
      <w:r w:rsidRPr="004A478C">
        <w:rPr>
          <w:lang w:val="lt-LT"/>
        </w:rPr>
        <w:t>Mikrokristalinė</w:t>
      </w:r>
      <w:proofErr w:type="spellEnd"/>
      <w:r w:rsidRPr="004A478C">
        <w:rPr>
          <w:lang w:val="lt-LT"/>
        </w:rPr>
        <w:t xml:space="preserve"> celiuliozė</w:t>
      </w:r>
    </w:p>
    <w:p w14:paraId="1D501DFE" w14:textId="77777777" w:rsidR="00273470" w:rsidRPr="004A478C" w:rsidRDefault="00273470" w:rsidP="003B28E4">
      <w:pPr>
        <w:tabs>
          <w:tab w:val="left" w:pos="4680"/>
        </w:tabs>
        <w:spacing w:line="240" w:lineRule="auto"/>
        <w:rPr>
          <w:lang w:val="lt-LT"/>
        </w:rPr>
      </w:pPr>
      <w:proofErr w:type="spellStart"/>
      <w:r w:rsidRPr="004A478C">
        <w:rPr>
          <w:lang w:val="lt-LT"/>
        </w:rPr>
        <w:t>Kroskarmeliozės</w:t>
      </w:r>
      <w:proofErr w:type="spellEnd"/>
      <w:r w:rsidRPr="004A478C">
        <w:rPr>
          <w:lang w:val="lt-LT"/>
        </w:rPr>
        <w:t xml:space="preserve"> natrio druska</w:t>
      </w:r>
    </w:p>
    <w:p w14:paraId="259B6062" w14:textId="77777777" w:rsidR="00273470" w:rsidRPr="004A478C" w:rsidRDefault="00273470" w:rsidP="003B28E4">
      <w:pPr>
        <w:tabs>
          <w:tab w:val="left" w:pos="4680"/>
        </w:tabs>
        <w:spacing w:line="240" w:lineRule="auto"/>
        <w:rPr>
          <w:lang w:val="lt-LT"/>
        </w:rPr>
      </w:pPr>
      <w:proofErr w:type="spellStart"/>
      <w:r w:rsidRPr="004A478C">
        <w:rPr>
          <w:lang w:val="lt-LT"/>
        </w:rPr>
        <w:t>Hidroksipropilceliuliozė</w:t>
      </w:r>
      <w:proofErr w:type="spellEnd"/>
    </w:p>
    <w:p w14:paraId="54CD518A" w14:textId="77777777" w:rsidR="00273470" w:rsidRPr="004A478C" w:rsidRDefault="00935615" w:rsidP="003B28E4">
      <w:pPr>
        <w:tabs>
          <w:tab w:val="left" w:pos="4680"/>
        </w:tabs>
        <w:spacing w:line="240" w:lineRule="auto"/>
        <w:rPr>
          <w:lang w:val="lt-LT"/>
        </w:rPr>
      </w:pPr>
      <w:proofErr w:type="spellStart"/>
      <w:r w:rsidRPr="004A478C">
        <w:rPr>
          <w:lang w:val="lt-LT"/>
        </w:rPr>
        <w:t>Mikronizuotas</w:t>
      </w:r>
      <w:proofErr w:type="spellEnd"/>
      <w:r w:rsidRPr="004A478C" w:rsidDel="008174C3">
        <w:rPr>
          <w:lang w:val="lt-LT"/>
        </w:rPr>
        <w:t xml:space="preserve"> </w:t>
      </w:r>
      <w:proofErr w:type="spellStart"/>
      <w:r w:rsidRPr="004A478C">
        <w:rPr>
          <w:lang w:val="lt-LT"/>
        </w:rPr>
        <w:t>poloksameras</w:t>
      </w:r>
      <w:proofErr w:type="spellEnd"/>
      <w:r w:rsidRPr="004A478C">
        <w:rPr>
          <w:lang w:val="lt-LT"/>
        </w:rPr>
        <w:t xml:space="preserve"> </w:t>
      </w:r>
      <w:r w:rsidR="00273470" w:rsidRPr="004A478C">
        <w:rPr>
          <w:lang w:val="lt-LT"/>
        </w:rPr>
        <w:t>407</w:t>
      </w:r>
    </w:p>
    <w:p w14:paraId="63BDEEFA" w14:textId="77777777" w:rsidR="00273470" w:rsidRPr="004A478C" w:rsidRDefault="00355836" w:rsidP="003B28E4">
      <w:pPr>
        <w:tabs>
          <w:tab w:val="left" w:pos="4680"/>
        </w:tabs>
        <w:spacing w:line="240" w:lineRule="auto"/>
        <w:rPr>
          <w:lang w:val="lt-LT"/>
        </w:rPr>
      </w:pPr>
      <w:r w:rsidRPr="004A478C">
        <w:rPr>
          <w:lang w:val="lt-LT"/>
        </w:rPr>
        <w:t>Koloidinis h</w:t>
      </w:r>
      <w:r w:rsidR="00935615" w:rsidRPr="004A478C">
        <w:rPr>
          <w:lang w:val="lt-LT"/>
        </w:rPr>
        <w:t xml:space="preserve">idratuotas silicio </w:t>
      </w:r>
      <w:r w:rsidR="00273470" w:rsidRPr="004A478C">
        <w:rPr>
          <w:lang w:val="lt-LT"/>
        </w:rPr>
        <w:t>dioksidas</w:t>
      </w:r>
    </w:p>
    <w:p w14:paraId="0885D07B" w14:textId="77777777" w:rsidR="00273470" w:rsidRPr="004A478C" w:rsidRDefault="00273470" w:rsidP="003B28E4">
      <w:pPr>
        <w:tabs>
          <w:tab w:val="left" w:pos="4680"/>
        </w:tabs>
        <w:spacing w:line="240" w:lineRule="auto"/>
        <w:rPr>
          <w:lang w:val="lt-LT"/>
        </w:rPr>
      </w:pPr>
      <w:r w:rsidRPr="004A478C">
        <w:rPr>
          <w:lang w:val="lt-LT"/>
        </w:rPr>
        <w:t xml:space="preserve">Magnio </w:t>
      </w:r>
      <w:proofErr w:type="spellStart"/>
      <w:r w:rsidRPr="004A478C">
        <w:rPr>
          <w:lang w:val="lt-LT"/>
        </w:rPr>
        <w:t>stearatas</w:t>
      </w:r>
      <w:proofErr w:type="spellEnd"/>
    </w:p>
    <w:p w14:paraId="109BA221" w14:textId="77777777" w:rsidR="00273470" w:rsidRPr="004A478C" w:rsidRDefault="00273470" w:rsidP="003B28E4">
      <w:pPr>
        <w:tabs>
          <w:tab w:val="left" w:pos="4680"/>
        </w:tabs>
        <w:spacing w:line="240" w:lineRule="auto"/>
        <w:rPr>
          <w:lang w:val="lt-LT"/>
        </w:rPr>
      </w:pPr>
    </w:p>
    <w:p w14:paraId="3DA77C3E" w14:textId="77777777" w:rsidR="00273470" w:rsidRPr="004A478C" w:rsidRDefault="00273470" w:rsidP="003B28E4">
      <w:pPr>
        <w:tabs>
          <w:tab w:val="left" w:pos="4680"/>
        </w:tabs>
        <w:spacing w:line="240" w:lineRule="auto"/>
        <w:ind w:left="-5"/>
        <w:rPr>
          <w:lang w:val="lt-LT"/>
        </w:rPr>
      </w:pPr>
      <w:r w:rsidRPr="004A478C">
        <w:rPr>
          <w:i/>
          <w:lang w:val="lt-LT"/>
        </w:rPr>
        <w:t xml:space="preserve">Tabletės </w:t>
      </w:r>
      <w:r w:rsidR="008174C3" w:rsidRPr="004A478C">
        <w:rPr>
          <w:i/>
          <w:lang w:val="lt-LT"/>
        </w:rPr>
        <w:t>plėvelė</w:t>
      </w:r>
    </w:p>
    <w:p w14:paraId="5D562F76" w14:textId="77777777" w:rsidR="00273470" w:rsidRPr="004A478C" w:rsidRDefault="00273470" w:rsidP="003B28E4">
      <w:pPr>
        <w:tabs>
          <w:tab w:val="left" w:pos="4680"/>
        </w:tabs>
        <w:spacing w:line="240" w:lineRule="auto"/>
        <w:ind w:left="2" w:right="397"/>
        <w:rPr>
          <w:lang w:val="lt-LT"/>
        </w:rPr>
      </w:pPr>
      <w:r w:rsidRPr="004A478C">
        <w:rPr>
          <w:lang w:val="lt-LT"/>
        </w:rPr>
        <w:t>Polivinilo alkoholis</w:t>
      </w:r>
    </w:p>
    <w:p w14:paraId="4E67B302" w14:textId="77777777" w:rsidR="00273470" w:rsidRPr="004A478C" w:rsidRDefault="00273470" w:rsidP="003B28E4">
      <w:pPr>
        <w:tabs>
          <w:tab w:val="left" w:pos="4680"/>
        </w:tabs>
        <w:spacing w:line="240" w:lineRule="auto"/>
        <w:ind w:left="2" w:right="397"/>
        <w:rPr>
          <w:lang w:val="lt-LT"/>
        </w:rPr>
      </w:pPr>
      <w:r w:rsidRPr="004A478C">
        <w:rPr>
          <w:lang w:val="lt-LT"/>
        </w:rPr>
        <w:t>Titano dioksidas E 171</w:t>
      </w:r>
    </w:p>
    <w:p w14:paraId="7B4B3834" w14:textId="77777777" w:rsidR="00273470" w:rsidRPr="004A478C" w:rsidRDefault="00273470" w:rsidP="003B28E4">
      <w:pPr>
        <w:tabs>
          <w:tab w:val="left" w:pos="4680"/>
        </w:tabs>
        <w:spacing w:line="240" w:lineRule="auto"/>
        <w:ind w:left="2" w:right="397"/>
        <w:rPr>
          <w:lang w:val="lt-LT"/>
        </w:rPr>
      </w:pPr>
      <w:proofErr w:type="spellStart"/>
      <w:r w:rsidRPr="004A478C">
        <w:rPr>
          <w:lang w:val="lt-LT"/>
        </w:rPr>
        <w:t>Polietilenglikolis</w:t>
      </w:r>
      <w:proofErr w:type="spellEnd"/>
      <w:r w:rsidRPr="004A478C">
        <w:rPr>
          <w:lang w:val="lt-LT"/>
        </w:rPr>
        <w:t xml:space="preserve"> / </w:t>
      </w:r>
      <w:r w:rsidR="008174C3" w:rsidRPr="004A478C">
        <w:rPr>
          <w:lang w:val="lt-LT"/>
        </w:rPr>
        <w:t>M</w:t>
      </w:r>
      <w:r w:rsidRPr="004A478C">
        <w:rPr>
          <w:lang w:val="lt-LT"/>
        </w:rPr>
        <w:t>akrogolis 4000</w:t>
      </w:r>
    </w:p>
    <w:p w14:paraId="0FB812FD" w14:textId="77777777" w:rsidR="00273470" w:rsidRPr="004A478C" w:rsidRDefault="00273470" w:rsidP="003B28E4">
      <w:pPr>
        <w:tabs>
          <w:tab w:val="left" w:pos="4680"/>
        </w:tabs>
        <w:spacing w:line="240" w:lineRule="auto"/>
        <w:ind w:left="2" w:right="397"/>
        <w:rPr>
          <w:lang w:val="lt-LT"/>
        </w:rPr>
      </w:pPr>
      <w:r w:rsidRPr="004A478C">
        <w:rPr>
          <w:lang w:val="lt-LT"/>
        </w:rPr>
        <w:t>Talkas</w:t>
      </w:r>
    </w:p>
    <w:p w14:paraId="23BD1D33" w14:textId="77777777" w:rsidR="00273470" w:rsidRPr="004A478C" w:rsidRDefault="00273470" w:rsidP="003B28E4">
      <w:pPr>
        <w:tabs>
          <w:tab w:val="left" w:pos="4680"/>
        </w:tabs>
        <w:spacing w:line="240" w:lineRule="auto"/>
        <w:ind w:left="2" w:right="397"/>
        <w:rPr>
          <w:lang w:val="lt-LT"/>
        </w:rPr>
      </w:pPr>
      <w:r w:rsidRPr="004A478C">
        <w:rPr>
          <w:lang w:val="lt-LT"/>
        </w:rPr>
        <w:t xml:space="preserve">Geltonasis geležies oksidas E172 </w:t>
      </w:r>
    </w:p>
    <w:p w14:paraId="2915E43A" w14:textId="77777777" w:rsidR="00273470" w:rsidRPr="004A478C" w:rsidRDefault="00273470" w:rsidP="003B28E4">
      <w:pPr>
        <w:tabs>
          <w:tab w:val="left" w:pos="4680"/>
        </w:tabs>
        <w:spacing w:line="240" w:lineRule="auto"/>
        <w:rPr>
          <w:lang w:val="lt-LT"/>
        </w:rPr>
      </w:pPr>
      <w:r w:rsidRPr="004A478C">
        <w:rPr>
          <w:lang w:val="lt-LT"/>
        </w:rPr>
        <w:t xml:space="preserve"> </w:t>
      </w:r>
    </w:p>
    <w:p w14:paraId="47E14F79" w14:textId="77777777" w:rsidR="00273470" w:rsidRPr="004A478C" w:rsidRDefault="00273470" w:rsidP="003B28E4">
      <w:pPr>
        <w:tabs>
          <w:tab w:val="center" w:pos="1358"/>
          <w:tab w:val="left" w:pos="4680"/>
        </w:tabs>
        <w:spacing w:line="240" w:lineRule="auto"/>
        <w:ind w:left="-15"/>
        <w:rPr>
          <w:lang w:val="lt-LT"/>
        </w:rPr>
      </w:pPr>
      <w:r w:rsidRPr="004A478C">
        <w:rPr>
          <w:b/>
          <w:lang w:val="lt-LT"/>
        </w:rPr>
        <w:t xml:space="preserve">6.2 </w:t>
      </w:r>
      <w:r w:rsidRPr="004A478C">
        <w:rPr>
          <w:b/>
          <w:lang w:val="lt-LT"/>
        </w:rPr>
        <w:tab/>
        <w:t xml:space="preserve">Nesuderinamumas </w:t>
      </w:r>
    </w:p>
    <w:p w14:paraId="29B2BCF6" w14:textId="77777777" w:rsidR="00273470" w:rsidRPr="004A478C" w:rsidRDefault="00273470" w:rsidP="003B28E4">
      <w:pPr>
        <w:tabs>
          <w:tab w:val="left" w:pos="4680"/>
        </w:tabs>
        <w:spacing w:line="240" w:lineRule="auto"/>
        <w:rPr>
          <w:lang w:val="lt-LT"/>
        </w:rPr>
      </w:pPr>
      <w:r w:rsidRPr="004A478C">
        <w:rPr>
          <w:lang w:val="lt-LT"/>
        </w:rPr>
        <w:t xml:space="preserve"> </w:t>
      </w:r>
    </w:p>
    <w:p w14:paraId="4907E157" w14:textId="77777777" w:rsidR="00273470" w:rsidRPr="004A478C" w:rsidRDefault="00273470" w:rsidP="003B28E4">
      <w:pPr>
        <w:tabs>
          <w:tab w:val="left" w:pos="4680"/>
        </w:tabs>
        <w:spacing w:line="240" w:lineRule="auto"/>
        <w:ind w:left="2" w:right="397"/>
        <w:rPr>
          <w:lang w:val="lt-LT"/>
        </w:rPr>
      </w:pPr>
      <w:r w:rsidRPr="004A478C">
        <w:rPr>
          <w:lang w:val="lt-LT"/>
        </w:rPr>
        <w:t xml:space="preserve">Duomenys nebūtini. </w:t>
      </w:r>
    </w:p>
    <w:p w14:paraId="4E5C9461" w14:textId="77777777" w:rsidR="00273470" w:rsidRPr="004A478C" w:rsidRDefault="00273470" w:rsidP="003B28E4">
      <w:pPr>
        <w:tabs>
          <w:tab w:val="left" w:pos="4680"/>
        </w:tabs>
        <w:spacing w:line="240" w:lineRule="auto"/>
        <w:rPr>
          <w:lang w:val="lt-LT"/>
        </w:rPr>
      </w:pPr>
      <w:r w:rsidRPr="004A478C">
        <w:rPr>
          <w:lang w:val="lt-LT"/>
        </w:rPr>
        <w:t xml:space="preserve"> </w:t>
      </w:r>
    </w:p>
    <w:p w14:paraId="50B53BE8" w14:textId="77777777" w:rsidR="00273470" w:rsidRPr="004A478C" w:rsidRDefault="00273470" w:rsidP="003B28E4">
      <w:pPr>
        <w:tabs>
          <w:tab w:val="center" w:pos="1360"/>
          <w:tab w:val="left" w:pos="4680"/>
        </w:tabs>
        <w:spacing w:line="240" w:lineRule="auto"/>
        <w:ind w:left="-15"/>
        <w:rPr>
          <w:lang w:val="lt-LT"/>
        </w:rPr>
      </w:pPr>
      <w:r w:rsidRPr="004A478C">
        <w:rPr>
          <w:b/>
          <w:lang w:val="lt-LT"/>
        </w:rPr>
        <w:t xml:space="preserve">6.3 </w:t>
      </w:r>
      <w:r w:rsidRPr="004A478C">
        <w:rPr>
          <w:b/>
          <w:lang w:val="lt-LT"/>
        </w:rPr>
        <w:tab/>
        <w:t xml:space="preserve">Tinkamumo laikas </w:t>
      </w:r>
    </w:p>
    <w:p w14:paraId="53C817FC" w14:textId="77777777" w:rsidR="00273470" w:rsidRPr="004A478C" w:rsidRDefault="00273470" w:rsidP="003B28E4">
      <w:pPr>
        <w:tabs>
          <w:tab w:val="left" w:pos="4680"/>
        </w:tabs>
        <w:spacing w:line="240" w:lineRule="auto"/>
        <w:rPr>
          <w:lang w:val="lt-LT"/>
        </w:rPr>
      </w:pPr>
      <w:r w:rsidRPr="004A478C">
        <w:rPr>
          <w:lang w:val="lt-LT"/>
        </w:rPr>
        <w:t xml:space="preserve"> </w:t>
      </w:r>
    </w:p>
    <w:p w14:paraId="3E4CFD2F" w14:textId="77777777" w:rsidR="00273470" w:rsidRPr="004A478C" w:rsidRDefault="00273470" w:rsidP="003B28E4">
      <w:pPr>
        <w:tabs>
          <w:tab w:val="left" w:pos="4680"/>
        </w:tabs>
        <w:spacing w:line="240" w:lineRule="auto"/>
        <w:ind w:left="2" w:right="397"/>
        <w:rPr>
          <w:lang w:val="lt-LT"/>
        </w:rPr>
      </w:pPr>
      <w:r w:rsidRPr="004A478C">
        <w:rPr>
          <w:lang w:val="lt-LT"/>
        </w:rPr>
        <w:t xml:space="preserve">2 metai </w:t>
      </w:r>
    </w:p>
    <w:p w14:paraId="2A99B75D" w14:textId="77777777" w:rsidR="00273470" w:rsidRPr="004A478C" w:rsidRDefault="00273470" w:rsidP="003B28E4">
      <w:pPr>
        <w:tabs>
          <w:tab w:val="left" w:pos="4680"/>
        </w:tabs>
        <w:spacing w:line="240" w:lineRule="auto"/>
        <w:rPr>
          <w:lang w:val="lt-LT"/>
        </w:rPr>
      </w:pPr>
      <w:r w:rsidRPr="004A478C">
        <w:rPr>
          <w:lang w:val="lt-LT"/>
        </w:rPr>
        <w:t xml:space="preserve"> </w:t>
      </w:r>
    </w:p>
    <w:p w14:paraId="661C229B" w14:textId="77777777" w:rsidR="00273470" w:rsidRPr="004A478C" w:rsidRDefault="00273470" w:rsidP="003B28E4">
      <w:pPr>
        <w:tabs>
          <w:tab w:val="center" w:pos="1692"/>
          <w:tab w:val="left" w:pos="4680"/>
        </w:tabs>
        <w:spacing w:line="240" w:lineRule="auto"/>
        <w:ind w:left="-15"/>
        <w:rPr>
          <w:lang w:val="lt-LT"/>
        </w:rPr>
      </w:pPr>
      <w:r w:rsidRPr="004A478C">
        <w:rPr>
          <w:b/>
          <w:lang w:val="lt-LT"/>
        </w:rPr>
        <w:t xml:space="preserve">6.4 </w:t>
      </w:r>
      <w:r w:rsidRPr="004A478C">
        <w:rPr>
          <w:b/>
          <w:lang w:val="lt-LT"/>
        </w:rPr>
        <w:tab/>
        <w:t xml:space="preserve">Specialios laikymo sąlygos </w:t>
      </w:r>
    </w:p>
    <w:p w14:paraId="60687A82" w14:textId="77777777" w:rsidR="00273470" w:rsidRPr="004A478C" w:rsidRDefault="00273470" w:rsidP="003B28E4">
      <w:pPr>
        <w:tabs>
          <w:tab w:val="left" w:pos="4680"/>
        </w:tabs>
        <w:spacing w:line="240" w:lineRule="auto"/>
        <w:rPr>
          <w:lang w:val="lt-LT"/>
        </w:rPr>
      </w:pPr>
      <w:r w:rsidRPr="004A478C">
        <w:rPr>
          <w:lang w:val="lt-LT"/>
        </w:rPr>
        <w:t xml:space="preserve"> </w:t>
      </w:r>
    </w:p>
    <w:p w14:paraId="2330C424" w14:textId="77777777" w:rsidR="00273470" w:rsidRPr="004A478C" w:rsidRDefault="00273470" w:rsidP="003B28E4">
      <w:pPr>
        <w:tabs>
          <w:tab w:val="left" w:pos="4680"/>
        </w:tabs>
        <w:spacing w:line="240" w:lineRule="auto"/>
        <w:ind w:left="2" w:right="397"/>
        <w:rPr>
          <w:lang w:val="lt-LT"/>
        </w:rPr>
      </w:pPr>
      <w:r w:rsidRPr="004A478C">
        <w:rPr>
          <w:lang w:val="lt-LT"/>
        </w:rPr>
        <w:t xml:space="preserve">Šiam vaistiniam preparatui specialių laikymo sąlygų nereikia.  </w:t>
      </w:r>
    </w:p>
    <w:p w14:paraId="20E156AC" w14:textId="77777777" w:rsidR="00273470" w:rsidRPr="004A478C" w:rsidRDefault="00273470" w:rsidP="003B28E4">
      <w:pPr>
        <w:tabs>
          <w:tab w:val="left" w:pos="4680"/>
        </w:tabs>
        <w:spacing w:line="240" w:lineRule="auto"/>
        <w:rPr>
          <w:lang w:val="lt-LT"/>
        </w:rPr>
      </w:pPr>
      <w:r w:rsidRPr="004A478C">
        <w:rPr>
          <w:lang w:val="lt-LT"/>
        </w:rPr>
        <w:t xml:space="preserve"> </w:t>
      </w:r>
    </w:p>
    <w:p w14:paraId="7FC6C3CC" w14:textId="77777777" w:rsidR="00273470" w:rsidRPr="004A478C" w:rsidRDefault="00273470" w:rsidP="003B28E4">
      <w:pPr>
        <w:tabs>
          <w:tab w:val="center" w:pos="1692"/>
          <w:tab w:val="left" w:pos="4680"/>
        </w:tabs>
        <w:spacing w:line="240" w:lineRule="auto"/>
        <w:ind w:left="-15"/>
        <w:rPr>
          <w:b/>
          <w:lang w:val="lt-LT"/>
        </w:rPr>
      </w:pPr>
      <w:r w:rsidRPr="004A478C">
        <w:rPr>
          <w:b/>
          <w:lang w:val="lt-LT"/>
        </w:rPr>
        <w:t xml:space="preserve">6.5 </w:t>
      </w:r>
      <w:r w:rsidRPr="004A478C">
        <w:rPr>
          <w:b/>
          <w:lang w:val="lt-LT"/>
        </w:rPr>
        <w:tab/>
      </w:r>
      <w:proofErr w:type="spellStart"/>
      <w:r w:rsidRPr="004A478C">
        <w:rPr>
          <w:b/>
          <w:lang w:val="lt-LT"/>
        </w:rPr>
        <w:t>Talpyklės</w:t>
      </w:r>
      <w:proofErr w:type="spellEnd"/>
      <w:r w:rsidRPr="004A478C">
        <w:rPr>
          <w:b/>
          <w:lang w:val="lt-LT"/>
        </w:rPr>
        <w:t xml:space="preserve"> pobūdis ir jos turinys </w:t>
      </w:r>
    </w:p>
    <w:p w14:paraId="0752559C" w14:textId="77777777" w:rsidR="00273470" w:rsidRPr="004A478C" w:rsidRDefault="00273470" w:rsidP="003B28E4">
      <w:pPr>
        <w:tabs>
          <w:tab w:val="left" w:pos="4680"/>
        </w:tabs>
        <w:spacing w:line="240" w:lineRule="auto"/>
        <w:rPr>
          <w:lang w:val="lt-LT"/>
        </w:rPr>
      </w:pPr>
      <w:r w:rsidRPr="004A478C">
        <w:rPr>
          <w:lang w:val="lt-LT"/>
        </w:rPr>
        <w:t xml:space="preserve"> </w:t>
      </w:r>
    </w:p>
    <w:p w14:paraId="7CAAF5BE" w14:textId="77777777" w:rsidR="00273470" w:rsidRPr="004A478C" w:rsidRDefault="00273470" w:rsidP="003B28E4">
      <w:pPr>
        <w:tabs>
          <w:tab w:val="left" w:pos="4680"/>
        </w:tabs>
        <w:spacing w:line="240" w:lineRule="auto"/>
        <w:rPr>
          <w:lang w:val="lt-LT"/>
        </w:rPr>
      </w:pPr>
      <w:r w:rsidRPr="004A478C">
        <w:rPr>
          <w:lang w:val="lt-LT"/>
        </w:rPr>
        <w:t>Skaidrios PVC / PVDC-</w:t>
      </w:r>
      <w:r w:rsidR="008174C3" w:rsidRPr="004A478C">
        <w:rPr>
          <w:lang w:val="lt-LT"/>
        </w:rPr>
        <w:t>A</w:t>
      </w:r>
      <w:r w:rsidRPr="004A478C">
        <w:rPr>
          <w:lang w:val="lt-LT"/>
        </w:rPr>
        <w:t xml:space="preserve">liuminio lizdinės plokštelės. </w:t>
      </w:r>
    </w:p>
    <w:p w14:paraId="45A28371" w14:textId="77777777" w:rsidR="00273470" w:rsidRPr="004A478C" w:rsidRDefault="00273470" w:rsidP="003B28E4">
      <w:pPr>
        <w:tabs>
          <w:tab w:val="left" w:pos="4680"/>
        </w:tabs>
        <w:spacing w:line="240" w:lineRule="auto"/>
        <w:rPr>
          <w:lang w:val="lt-LT"/>
        </w:rPr>
      </w:pPr>
    </w:p>
    <w:p w14:paraId="069964FD" w14:textId="3E98F22D" w:rsidR="00273470" w:rsidRPr="004A478C" w:rsidRDefault="00273470" w:rsidP="003B28E4">
      <w:pPr>
        <w:tabs>
          <w:tab w:val="left" w:pos="4680"/>
        </w:tabs>
        <w:spacing w:line="240" w:lineRule="auto"/>
        <w:ind w:left="2" w:right="397"/>
        <w:rPr>
          <w:lang w:val="lt-LT"/>
        </w:rPr>
      </w:pPr>
      <w:proofErr w:type="spellStart"/>
      <w:r w:rsidRPr="004A478C">
        <w:rPr>
          <w:lang w:val="lt-LT"/>
        </w:rPr>
        <w:t>Febuxostat</w:t>
      </w:r>
      <w:proofErr w:type="spellEnd"/>
      <w:r w:rsidRPr="004A478C">
        <w:rPr>
          <w:lang w:val="lt-LT"/>
        </w:rPr>
        <w:t xml:space="preserve"> </w:t>
      </w:r>
      <w:proofErr w:type="spellStart"/>
      <w:r w:rsidR="002606A3" w:rsidRPr="004A478C">
        <w:rPr>
          <w:lang w:val="lt-LT"/>
        </w:rPr>
        <w:t>Zentiva</w:t>
      </w:r>
      <w:proofErr w:type="spellEnd"/>
      <w:r w:rsidR="002606A3" w:rsidRPr="004A478C">
        <w:rPr>
          <w:lang w:val="lt-LT"/>
        </w:rPr>
        <w:t xml:space="preserve"> </w:t>
      </w:r>
      <w:r w:rsidRPr="004A478C">
        <w:rPr>
          <w:lang w:val="lt-LT"/>
        </w:rPr>
        <w:t>120 mg tiekiamas pakuotėse</w:t>
      </w:r>
      <w:r w:rsidR="008174C3" w:rsidRPr="004A478C">
        <w:rPr>
          <w:lang w:val="lt-LT"/>
        </w:rPr>
        <w:t>, kuriose yra</w:t>
      </w:r>
      <w:r w:rsidRPr="004A478C">
        <w:rPr>
          <w:lang w:val="lt-LT"/>
        </w:rPr>
        <w:t xml:space="preserve"> 14, 28, 42, 56, 84 arba 98 plėvele dengt</w:t>
      </w:r>
      <w:r w:rsidR="008174C3" w:rsidRPr="004A478C">
        <w:rPr>
          <w:lang w:val="lt-LT"/>
        </w:rPr>
        <w:t>o</w:t>
      </w:r>
      <w:r w:rsidRPr="004A478C">
        <w:rPr>
          <w:lang w:val="lt-LT"/>
        </w:rPr>
        <w:t>s tablet</w:t>
      </w:r>
      <w:r w:rsidR="008174C3" w:rsidRPr="004A478C">
        <w:rPr>
          <w:lang w:val="lt-LT"/>
        </w:rPr>
        <w:t>ė</w:t>
      </w:r>
      <w:r w:rsidRPr="004A478C">
        <w:rPr>
          <w:lang w:val="lt-LT"/>
        </w:rPr>
        <w:t xml:space="preserve">s. </w:t>
      </w:r>
    </w:p>
    <w:p w14:paraId="45C3F6B5" w14:textId="77777777" w:rsidR="00273470" w:rsidRPr="004A478C" w:rsidRDefault="00273470" w:rsidP="003B28E4">
      <w:pPr>
        <w:tabs>
          <w:tab w:val="left" w:pos="4680"/>
        </w:tabs>
        <w:spacing w:line="240" w:lineRule="auto"/>
        <w:rPr>
          <w:lang w:val="lt-LT"/>
        </w:rPr>
      </w:pPr>
      <w:r w:rsidRPr="004A478C">
        <w:rPr>
          <w:lang w:val="lt-LT"/>
        </w:rPr>
        <w:t xml:space="preserve"> </w:t>
      </w:r>
    </w:p>
    <w:p w14:paraId="09DC4B75" w14:textId="77777777" w:rsidR="00273470" w:rsidRPr="004A478C" w:rsidRDefault="00273470" w:rsidP="003B28E4">
      <w:pPr>
        <w:tabs>
          <w:tab w:val="left" w:pos="4680"/>
        </w:tabs>
        <w:spacing w:line="240" w:lineRule="auto"/>
        <w:ind w:left="2" w:right="397"/>
        <w:rPr>
          <w:lang w:val="lt-LT"/>
        </w:rPr>
      </w:pPr>
      <w:r w:rsidRPr="004A478C">
        <w:rPr>
          <w:lang w:val="lt-LT"/>
        </w:rPr>
        <w:lastRenderedPageBreak/>
        <w:t xml:space="preserve">Gali būti tiekiamos ne visų dydžių pakuotės. </w:t>
      </w:r>
    </w:p>
    <w:p w14:paraId="634788D7" w14:textId="77777777" w:rsidR="00273470" w:rsidRPr="004A478C" w:rsidRDefault="00273470" w:rsidP="003B28E4">
      <w:pPr>
        <w:tabs>
          <w:tab w:val="left" w:pos="4680"/>
        </w:tabs>
        <w:spacing w:line="240" w:lineRule="auto"/>
        <w:rPr>
          <w:lang w:val="lt-LT"/>
        </w:rPr>
      </w:pPr>
      <w:r w:rsidRPr="004A478C">
        <w:rPr>
          <w:lang w:val="lt-LT"/>
        </w:rPr>
        <w:t xml:space="preserve"> </w:t>
      </w:r>
    </w:p>
    <w:p w14:paraId="4A5988EE" w14:textId="77777777" w:rsidR="00273470" w:rsidRPr="004A478C" w:rsidRDefault="00273470" w:rsidP="003B28E4">
      <w:pPr>
        <w:tabs>
          <w:tab w:val="center" w:pos="2361"/>
          <w:tab w:val="left" w:pos="4680"/>
        </w:tabs>
        <w:spacing w:line="240" w:lineRule="auto"/>
        <w:ind w:left="-15"/>
        <w:rPr>
          <w:lang w:val="lt-LT"/>
        </w:rPr>
      </w:pPr>
      <w:r w:rsidRPr="004A478C">
        <w:rPr>
          <w:b/>
          <w:lang w:val="lt-LT"/>
        </w:rPr>
        <w:t xml:space="preserve">6.6 </w:t>
      </w:r>
      <w:r w:rsidRPr="004A478C">
        <w:rPr>
          <w:b/>
          <w:lang w:val="lt-LT"/>
        </w:rPr>
        <w:tab/>
        <w:t xml:space="preserve">Specialūs reikalavimai atliekoms tvarkyti </w:t>
      </w:r>
    </w:p>
    <w:p w14:paraId="67E6F0B8" w14:textId="77777777" w:rsidR="00273470" w:rsidRPr="004A478C" w:rsidRDefault="00273470" w:rsidP="003B28E4">
      <w:pPr>
        <w:tabs>
          <w:tab w:val="left" w:pos="4680"/>
        </w:tabs>
        <w:spacing w:line="240" w:lineRule="auto"/>
        <w:rPr>
          <w:lang w:val="lt-LT"/>
        </w:rPr>
      </w:pPr>
      <w:r w:rsidRPr="004A478C">
        <w:rPr>
          <w:lang w:val="lt-LT"/>
        </w:rPr>
        <w:t xml:space="preserve"> </w:t>
      </w:r>
    </w:p>
    <w:p w14:paraId="21ADB004" w14:textId="77777777" w:rsidR="00273470" w:rsidRPr="004A478C" w:rsidRDefault="00273470" w:rsidP="003B28E4">
      <w:pPr>
        <w:tabs>
          <w:tab w:val="left" w:pos="4680"/>
        </w:tabs>
        <w:spacing w:line="240" w:lineRule="auto"/>
        <w:ind w:left="2" w:right="397"/>
        <w:rPr>
          <w:lang w:val="lt-LT"/>
        </w:rPr>
      </w:pPr>
      <w:r w:rsidRPr="004A478C">
        <w:rPr>
          <w:lang w:val="lt-LT"/>
        </w:rPr>
        <w:t xml:space="preserve">Specialių reikalavimų nėra.  </w:t>
      </w:r>
    </w:p>
    <w:p w14:paraId="1F4655E2" w14:textId="77777777" w:rsidR="00273470" w:rsidRPr="004A478C" w:rsidRDefault="00273470" w:rsidP="003B28E4">
      <w:pPr>
        <w:tabs>
          <w:tab w:val="left" w:pos="4680"/>
        </w:tabs>
        <w:spacing w:line="240" w:lineRule="auto"/>
        <w:rPr>
          <w:lang w:val="lt-LT"/>
        </w:rPr>
      </w:pPr>
      <w:r w:rsidRPr="004A478C">
        <w:rPr>
          <w:lang w:val="lt-LT"/>
        </w:rPr>
        <w:t xml:space="preserve"> </w:t>
      </w:r>
    </w:p>
    <w:p w14:paraId="68597D11" w14:textId="77777777" w:rsidR="00273470" w:rsidRPr="004A478C" w:rsidRDefault="00273470" w:rsidP="003B28E4">
      <w:pPr>
        <w:tabs>
          <w:tab w:val="left" w:pos="4680"/>
        </w:tabs>
        <w:spacing w:line="240" w:lineRule="auto"/>
        <w:rPr>
          <w:lang w:val="lt-LT"/>
        </w:rPr>
      </w:pPr>
      <w:r w:rsidRPr="004A478C">
        <w:rPr>
          <w:lang w:val="lt-LT"/>
        </w:rPr>
        <w:t xml:space="preserve"> </w:t>
      </w:r>
    </w:p>
    <w:p w14:paraId="4C1FD755" w14:textId="77777777" w:rsidR="00273470" w:rsidRPr="004A478C" w:rsidRDefault="00273470" w:rsidP="003B28E4">
      <w:pPr>
        <w:pStyle w:val="Antrat4"/>
        <w:tabs>
          <w:tab w:val="center" w:pos="1484"/>
          <w:tab w:val="left" w:pos="4680"/>
        </w:tabs>
        <w:spacing w:line="240" w:lineRule="auto"/>
        <w:ind w:left="-15"/>
        <w:rPr>
          <w:rFonts w:ascii="Times New Roman" w:hAnsi="Times New Roman"/>
          <w:sz w:val="22"/>
          <w:lang w:val="lt-LT"/>
        </w:rPr>
      </w:pPr>
      <w:r w:rsidRPr="004A478C">
        <w:rPr>
          <w:rFonts w:ascii="Times New Roman" w:hAnsi="Times New Roman"/>
          <w:sz w:val="22"/>
          <w:lang w:val="lt-LT"/>
        </w:rPr>
        <w:t xml:space="preserve">7. </w:t>
      </w:r>
      <w:r w:rsidRPr="004A478C">
        <w:rPr>
          <w:rFonts w:ascii="Times New Roman" w:hAnsi="Times New Roman"/>
          <w:sz w:val="22"/>
          <w:lang w:val="lt-LT"/>
        </w:rPr>
        <w:tab/>
        <w:t xml:space="preserve">REGISTRUOTOJAS </w:t>
      </w:r>
    </w:p>
    <w:p w14:paraId="7C94AFC4" w14:textId="77777777" w:rsidR="00273470" w:rsidRPr="004A478C" w:rsidRDefault="00273470" w:rsidP="003B28E4">
      <w:pPr>
        <w:tabs>
          <w:tab w:val="left" w:pos="4680"/>
        </w:tabs>
        <w:spacing w:line="240" w:lineRule="auto"/>
        <w:rPr>
          <w:lang w:val="lt-LT"/>
        </w:rPr>
      </w:pPr>
      <w:r w:rsidRPr="004A478C">
        <w:rPr>
          <w:lang w:val="lt-LT"/>
        </w:rPr>
        <w:t xml:space="preserve"> </w:t>
      </w:r>
    </w:p>
    <w:p w14:paraId="787EB990" w14:textId="77777777" w:rsidR="002606A3" w:rsidRPr="004A478C" w:rsidRDefault="002606A3" w:rsidP="002606A3">
      <w:pPr>
        <w:tabs>
          <w:tab w:val="left" w:pos="4680"/>
        </w:tabs>
        <w:spacing w:line="240" w:lineRule="auto"/>
        <w:rPr>
          <w:lang w:val="lt-LT"/>
        </w:rPr>
      </w:pPr>
      <w:proofErr w:type="spellStart"/>
      <w:r w:rsidRPr="004A478C">
        <w:rPr>
          <w:lang w:val="lt-LT"/>
        </w:rPr>
        <w:t>Zentiva</w:t>
      </w:r>
      <w:proofErr w:type="spellEnd"/>
      <w:r w:rsidRPr="004A478C">
        <w:rPr>
          <w:lang w:val="lt-LT"/>
        </w:rPr>
        <w:t xml:space="preserve">, </w:t>
      </w:r>
      <w:proofErr w:type="spellStart"/>
      <w:r w:rsidRPr="004A478C">
        <w:rPr>
          <w:lang w:val="lt-LT"/>
        </w:rPr>
        <w:t>k.s</w:t>
      </w:r>
      <w:proofErr w:type="spellEnd"/>
      <w:r w:rsidRPr="004A478C">
        <w:rPr>
          <w:lang w:val="lt-LT"/>
        </w:rPr>
        <w:t>.</w:t>
      </w:r>
    </w:p>
    <w:p w14:paraId="30A1B73C" w14:textId="77777777" w:rsidR="002606A3" w:rsidRPr="004A478C" w:rsidRDefault="002606A3" w:rsidP="002606A3">
      <w:pPr>
        <w:tabs>
          <w:tab w:val="left" w:pos="4680"/>
        </w:tabs>
        <w:spacing w:line="240" w:lineRule="auto"/>
        <w:rPr>
          <w:lang w:val="lt-LT"/>
        </w:rPr>
      </w:pPr>
      <w:r w:rsidRPr="004A478C">
        <w:rPr>
          <w:lang w:val="lt-LT"/>
        </w:rPr>
        <w:t xml:space="preserve">U </w:t>
      </w:r>
      <w:proofErr w:type="spellStart"/>
      <w:r w:rsidRPr="004A478C">
        <w:rPr>
          <w:lang w:val="lt-LT"/>
        </w:rPr>
        <w:t>kabelovny</w:t>
      </w:r>
      <w:proofErr w:type="spellEnd"/>
      <w:r w:rsidRPr="004A478C">
        <w:rPr>
          <w:lang w:val="lt-LT"/>
        </w:rPr>
        <w:t xml:space="preserve"> 130</w:t>
      </w:r>
    </w:p>
    <w:p w14:paraId="46FF3E41" w14:textId="77777777" w:rsidR="002606A3" w:rsidRPr="004A478C" w:rsidRDefault="002606A3" w:rsidP="002606A3">
      <w:pPr>
        <w:tabs>
          <w:tab w:val="left" w:pos="4680"/>
        </w:tabs>
        <w:spacing w:line="240" w:lineRule="auto"/>
        <w:rPr>
          <w:lang w:val="lt-LT"/>
        </w:rPr>
      </w:pPr>
      <w:proofErr w:type="spellStart"/>
      <w:r w:rsidRPr="004A478C">
        <w:rPr>
          <w:lang w:val="lt-LT"/>
        </w:rPr>
        <w:t>Dolní</w:t>
      </w:r>
      <w:proofErr w:type="spellEnd"/>
      <w:r w:rsidRPr="004A478C">
        <w:rPr>
          <w:lang w:val="lt-LT"/>
        </w:rPr>
        <w:t xml:space="preserve"> </w:t>
      </w:r>
      <w:proofErr w:type="spellStart"/>
      <w:r w:rsidRPr="004A478C">
        <w:rPr>
          <w:lang w:val="lt-LT"/>
        </w:rPr>
        <w:t>Měcholupy</w:t>
      </w:r>
      <w:proofErr w:type="spellEnd"/>
    </w:p>
    <w:p w14:paraId="49042C10" w14:textId="041DB7E2" w:rsidR="002606A3" w:rsidRPr="004A478C" w:rsidRDefault="002606A3" w:rsidP="002606A3">
      <w:pPr>
        <w:tabs>
          <w:tab w:val="left" w:pos="4680"/>
        </w:tabs>
        <w:spacing w:line="240" w:lineRule="auto"/>
        <w:rPr>
          <w:lang w:val="lt-LT"/>
        </w:rPr>
      </w:pPr>
      <w:r w:rsidRPr="004A478C">
        <w:rPr>
          <w:lang w:val="lt-LT"/>
        </w:rPr>
        <w:t>102 37 Praha 10</w:t>
      </w:r>
    </w:p>
    <w:p w14:paraId="7C7E1A8A" w14:textId="45773AF8" w:rsidR="00273470" w:rsidRPr="004A478C" w:rsidRDefault="002606A3" w:rsidP="003B28E4">
      <w:pPr>
        <w:tabs>
          <w:tab w:val="left" w:pos="4680"/>
        </w:tabs>
        <w:spacing w:line="240" w:lineRule="auto"/>
        <w:rPr>
          <w:lang w:val="lt-LT"/>
        </w:rPr>
      </w:pPr>
      <w:r w:rsidRPr="004A478C">
        <w:rPr>
          <w:lang w:val="lt-LT"/>
        </w:rPr>
        <w:t xml:space="preserve">Čekija </w:t>
      </w:r>
    </w:p>
    <w:p w14:paraId="0CCD194C" w14:textId="77777777" w:rsidR="003B1300" w:rsidRPr="004A478C" w:rsidRDefault="003B1300" w:rsidP="003B28E4">
      <w:pPr>
        <w:tabs>
          <w:tab w:val="left" w:pos="4680"/>
        </w:tabs>
        <w:spacing w:line="240" w:lineRule="auto"/>
        <w:rPr>
          <w:lang w:val="lt-LT"/>
        </w:rPr>
      </w:pPr>
    </w:p>
    <w:p w14:paraId="33502126" w14:textId="77777777" w:rsidR="00273470" w:rsidRPr="004A478C" w:rsidRDefault="00273470" w:rsidP="003B28E4">
      <w:pPr>
        <w:pStyle w:val="Antrat4"/>
        <w:tabs>
          <w:tab w:val="center" w:pos="2917"/>
          <w:tab w:val="left" w:pos="4680"/>
        </w:tabs>
        <w:spacing w:line="240" w:lineRule="auto"/>
        <w:ind w:left="-15"/>
        <w:rPr>
          <w:rFonts w:ascii="Times New Roman" w:hAnsi="Times New Roman"/>
          <w:sz w:val="22"/>
          <w:lang w:val="lt-LT"/>
        </w:rPr>
      </w:pPr>
      <w:r w:rsidRPr="004A478C">
        <w:rPr>
          <w:rFonts w:ascii="Times New Roman" w:hAnsi="Times New Roman"/>
          <w:sz w:val="22"/>
          <w:lang w:val="lt-LT"/>
        </w:rPr>
        <w:t xml:space="preserve">8. </w:t>
      </w:r>
      <w:r w:rsidRPr="004A478C">
        <w:rPr>
          <w:rFonts w:ascii="Times New Roman" w:hAnsi="Times New Roman"/>
          <w:sz w:val="22"/>
          <w:lang w:val="lt-LT"/>
        </w:rPr>
        <w:tab/>
        <w:t xml:space="preserve">REGISTRACIJOS PAŽYMĖJIMO NUMERIS (-IAI)  </w:t>
      </w:r>
    </w:p>
    <w:p w14:paraId="24146C8C" w14:textId="77777777" w:rsidR="00273470" w:rsidRPr="004A478C" w:rsidRDefault="00273470" w:rsidP="003B28E4">
      <w:pPr>
        <w:tabs>
          <w:tab w:val="left" w:pos="4680"/>
        </w:tabs>
        <w:spacing w:line="240" w:lineRule="auto"/>
        <w:rPr>
          <w:lang w:val="lt-LT"/>
        </w:rPr>
      </w:pPr>
      <w:r w:rsidRPr="004A478C">
        <w:rPr>
          <w:lang w:val="lt-LT"/>
        </w:rPr>
        <w:t xml:space="preserve"> </w:t>
      </w:r>
    </w:p>
    <w:p w14:paraId="2E27F1FA" w14:textId="1247DA28" w:rsidR="004A7E1F" w:rsidRPr="004B0C8F" w:rsidRDefault="004A7E1F" w:rsidP="004A7E1F">
      <w:pPr>
        <w:rPr>
          <w:bCs/>
          <w:szCs w:val="22"/>
          <w:lang w:val="lt-LT"/>
        </w:rPr>
      </w:pPr>
      <w:r w:rsidRPr="004B0C8F">
        <w:rPr>
          <w:szCs w:val="22"/>
          <w:lang w:val="lt-LT"/>
        </w:rPr>
        <w:t>LT/1/19/4397/001</w:t>
      </w:r>
      <w:r w:rsidRPr="004B0C8F">
        <w:rPr>
          <w:bCs/>
          <w:szCs w:val="22"/>
          <w:lang w:val="lt-LT"/>
        </w:rPr>
        <w:t xml:space="preserve"> – N14</w:t>
      </w:r>
    </w:p>
    <w:p w14:paraId="4D7ABE1D" w14:textId="44270C52" w:rsidR="004A7E1F" w:rsidRPr="004B0C8F" w:rsidRDefault="004A7E1F" w:rsidP="004A7E1F">
      <w:pPr>
        <w:rPr>
          <w:bCs/>
          <w:szCs w:val="22"/>
          <w:lang w:val="lt-LT"/>
        </w:rPr>
      </w:pPr>
      <w:r w:rsidRPr="004B0C8F">
        <w:rPr>
          <w:szCs w:val="22"/>
          <w:lang w:val="lt-LT"/>
        </w:rPr>
        <w:t>LT/1/19/4397/002</w:t>
      </w:r>
      <w:r w:rsidRPr="004B0C8F">
        <w:rPr>
          <w:bCs/>
          <w:szCs w:val="22"/>
          <w:lang w:val="lt-LT"/>
        </w:rPr>
        <w:t xml:space="preserve"> – N28</w:t>
      </w:r>
    </w:p>
    <w:p w14:paraId="78DC4482" w14:textId="78A3F92B" w:rsidR="004A7E1F" w:rsidRPr="004B0C8F" w:rsidRDefault="004A7E1F" w:rsidP="004A7E1F">
      <w:pPr>
        <w:rPr>
          <w:bCs/>
          <w:szCs w:val="22"/>
          <w:lang w:val="lt-LT"/>
        </w:rPr>
      </w:pPr>
      <w:r w:rsidRPr="004B0C8F">
        <w:rPr>
          <w:szCs w:val="22"/>
          <w:lang w:val="lt-LT"/>
        </w:rPr>
        <w:t>LT/1/19/4397/003</w:t>
      </w:r>
      <w:r w:rsidRPr="004B0C8F">
        <w:rPr>
          <w:bCs/>
          <w:szCs w:val="22"/>
          <w:lang w:val="lt-LT"/>
        </w:rPr>
        <w:t xml:space="preserve"> – N42</w:t>
      </w:r>
    </w:p>
    <w:p w14:paraId="353D3799" w14:textId="5EAACB9B" w:rsidR="004A7E1F" w:rsidRPr="004B0C8F" w:rsidRDefault="004A7E1F" w:rsidP="004A7E1F">
      <w:pPr>
        <w:rPr>
          <w:bCs/>
          <w:szCs w:val="22"/>
          <w:lang w:val="lt-LT"/>
        </w:rPr>
      </w:pPr>
      <w:r w:rsidRPr="004B0C8F">
        <w:rPr>
          <w:szCs w:val="22"/>
          <w:lang w:val="lt-LT"/>
        </w:rPr>
        <w:t>LT/1/19/4397/004</w:t>
      </w:r>
      <w:r w:rsidRPr="004B0C8F">
        <w:rPr>
          <w:bCs/>
          <w:szCs w:val="22"/>
          <w:lang w:val="lt-LT"/>
        </w:rPr>
        <w:t xml:space="preserve"> – N56</w:t>
      </w:r>
    </w:p>
    <w:p w14:paraId="088AB28A" w14:textId="37F512BD" w:rsidR="004A7E1F" w:rsidRPr="004B0C8F" w:rsidRDefault="004A7E1F" w:rsidP="004A7E1F">
      <w:pPr>
        <w:rPr>
          <w:bCs/>
          <w:szCs w:val="22"/>
          <w:lang w:val="lt-LT"/>
        </w:rPr>
      </w:pPr>
      <w:r w:rsidRPr="004B0C8F">
        <w:rPr>
          <w:szCs w:val="22"/>
          <w:lang w:val="lt-LT"/>
        </w:rPr>
        <w:t>LT/1/19/4397/005</w:t>
      </w:r>
      <w:r w:rsidRPr="004B0C8F">
        <w:rPr>
          <w:bCs/>
          <w:szCs w:val="22"/>
          <w:lang w:val="lt-LT"/>
        </w:rPr>
        <w:t xml:space="preserve"> – N84</w:t>
      </w:r>
    </w:p>
    <w:p w14:paraId="7C98FCB8" w14:textId="5F8912BC" w:rsidR="004A7E1F" w:rsidRPr="004B0C8F" w:rsidRDefault="004A7E1F" w:rsidP="004A7E1F">
      <w:pPr>
        <w:tabs>
          <w:tab w:val="left" w:pos="4680"/>
        </w:tabs>
        <w:spacing w:line="240" w:lineRule="auto"/>
        <w:rPr>
          <w:bCs/>
          <w:szCs w:val="22"/>
          <w:lang w:val="lt-LT"/>
        </w:rPr>
      </w:pPr>
      <w:r w:rsidRPr="004B0C8F">
        <w:rPr>
          <w:szCs w:val="22"/>
          <w:lang w:val="lt-LT"/>
        </w:rPr>
        <w:t>LT/1/19/4397/006</w:t>
      </w:r>
      <w:r w:rsidRPr="004B0C8F">
        <w:rPr>
          <w:bCs/>
          <w:szCs w:val="22"/>
          <w:lang w:val="lt-LT"/>
        </w:rPr>
        <w:t xml:space="preserve"> – N98</w:t>
      </w:r>
    </w:p>
    <w:p w14:paraId="4951DAE6" w14:textId="77777777" w:rsidR="004A7E1F" w:rsidRPr="004A478C" w:rsidRDefault="004A7E1F" w:rsidP="004A7E1F">
      <w:pPr>
        <w:tabs>
          <w:tab w:val="left" w:pos="4680"/>
        </w:tabs>
        <w:spacing w:line="240" w:lineRule="auto"/>
        <w:rPr>
          <w:lang w:val="lt-LT"/>
        </w:rPr>
      </w:pPr>
    </w:p>
    <w:p w14:paraId="3E95041C" w14:textId="142422A5" w:rsidR="00273470" w:rsidRPr="004A478C" w:rsidRDefault="00273470" w:rsidP="004A7E1F">
      <w:pPr>
        <w:tabs>
          <w:tab w:val="left" w:pos="4680"/>
        </w:tabs>
        <w:spacing w:line="240" w:lineRule="auto"/>
        <w:rPr>
          <w:lang w:val="lt-LT"/>
        </w:rPr>
      </w:pPr>
      <w:r w:rsidRPr="004A478C">
        <w:rPr>
          <w:lang w:val="lt-LT"/>
        </w:rPr>
        <w:t xml:space="preserve"> </w:t>
      </w:r>
    </w:p>
    <w:p w14:paraId="75CB8A6C" w14:textId="77777777" w:rsidR="00273470" w:rsidRPr="004A478C" w:rsidRDefault="00273470" w:rsidP="003B28E4">
      <w:pPr>
        <w:pStyle w:val="Antrat4"/>
        <w:tabs>
          <w:tab w:val="center" w:pos="2802"/>
          <w:tab w:val="left" w:pos="4680"/>
        </w:tabs>
        <w:spacing w:line="240" w:lineRule="auto"/>
        <w:ind w:left="-15"/>
        <w:rPr>
          <w:rFonts w:ascii="Times New Roman" w:hAnsi="Times New Roman"/>
          <w:sz w:val="22"/>
          <w:lang w:val="lt-LT"/>
        </w:rPr>
      </w:pPr>
      <w:r w:rsidRPr="004A478C">
        <w:rPr>
          <w:rFonts w:ascii="Times New Roman" w:hAnsi="Times New Roman"/>
          <w:sz w:val="22"/>
          <w:lang w:val="lt-LT"/>
        </w:rPr>
        <w:t xml:space="preserve">9. </w:t>
      </w:r>
      <w:r w:rsidRPr="004A478C">
        <w:rPr>
          <w:rFonts w:ascii="Times New Roman" w:hAnsi="Times New Roman"/>
          <w:sz w:val="22"/>
          <w:lang w:val="lt-LT"/>
        </w:rPr>
        <w:tab/>
        <w:t xml:space="preserve">REGISTRAVIMO / PERREGISTRAVIMO DATA </w:t>
      </w:r>
    </w:p>
    <w:p w14:paraId="1C8A52CA" w14:textId="77777777" w:rsidR="00273470" w:rsidRPr="004A478C" w:rsidRDefault="00273470" w:rsidP="003B28E4">
      <w:pPr>
        <w:tabs>
          <w:tab w:val="left" w:pos="4680"/>
        </w:tabs>
        <w:spacing w:line="240" w:lineRule="auto"/>
        <w:rPr>
          <w:lang w:val="lt-LT"/>
        </w:rPr>
      </w:pPr>
      <w:r w:rsidRPr="004A478C">
        <w:rPr>
          <w:lang w:val="lt-LT"/>
        </w:rPr>
        <w:t xml:space="preserve"> </w:t>
      </w:r>
    </w:p>
    <w:p w14:paraId="0196C51C" w14:textId="75E95338" w:rsidR="00273470" w:rsidRPr="004A478C" w:rsidRDefault="00273470" w:rsidP="003B28E4">
      <w:pPr>
        <w:tabs>
          <w:tab w:val="left" w:pos="4680"/>
        </w:tabs>
        <w:spacing w:line="240" w:lineRule="auto"/>
        <w:ind w:left="2" w:right="397"/>
        <w:rPr>
          <w:lang w:val="lt-LT"/>
        </w:rPr>
      </w:pPr>
      <w:r w:rsidRPr="004A478C">
        <w:rPr>
          <w:lang w:val="lt-LT"/>
        </w:rPr>
        <w:t>Registravimo data</w:t>
      </w:r>
      <w:r w:rsidR="00506667" w:rsidRPr="004A478C">
        <w:rPr>
          <w:lang w:val="lt-LT"/>
        </w:rPr>
        <w:t xml:space="preserve"> </w:t>
      </w:r>
      <w:r w:rsidR="001A2680" w:rsidRPr="004B0C8F">
        <w:rPr>
          <w:noProof/>
          <w:szCs w:val="24"/>
          <w:lang w:val="lt-LT"/>
        </w:rPr>
        <w:t>2019 m. birželio 10 d.</w:t>
      </w:r>
    </w:p>
    <w:p w14:paraId="10147FB8" w14:textId="0F512E4A" w:rsidR="008174C3" w:rsidRDefault="00D1633A" w:rsidP="003B28E4">
      <w:pPr>
        <w:pStyle w:val="Paprastasistekstas"/>
        <w:tabs>
          <w:tab w:val="left" w:pos="4680"/>
          <w:tab w:val="left" w:pos="4962"/>
        </w:tabs>
        <w:rPr>
          <w:rFonts w:ascii="Times New Roman" w:hAnsi="Times New Roman"/>
          <w:sz w:val="22"/>
          <w:szCs w:val="22"/>
          <w:lang w:val="lt-LT"/>
        </w:rPr>
      </w:pPr>
      <w:r w:rsidRPr="00D1633A">
        <w:rPr>
          <w:rFonts w:ascii="Times New Roman" w:hAnsi="Times New Roman"/>
          <w:sz w:val="22"/>
          <w:szCs w:val="22"/>
          <w:lang w:val="lt-LT"/>
        </w:rPr>
        <w:t xml:space="preserve">Paskutinio perregistravimo data </w:t>
      </w:r>
      <w:r w:rsidR="007F09F8">
        <w:rPr>
          <w:rFonts w:ascii="Times New Roman" w:hAnsi="Times New Roman"/>
          <w:sz w:val="22"/>
          <w:szCs w:val="22"/>
          <w:lang w:val="lt-LT"/>
        </w:rPr>
        <w:t>2024 m. rugsėjo 9 d.</w:t>
      </w:r>
    </w:p>
    <w:p w14:paraId="416E5375" w14:textId="77777777" w:rsidR="00D1633A" w:rsidRPr="004A478C" w:rsidRDefault="00D1633A" w:rsidP="003B28E4">
      <w:pPr>
        <w:pStyle w:val="Paprastasistekstas"/>
        <w:tabs>
          <w:tab w:val="left" w:pos="4680"/>
          <w:tab w:val="left" w:pos="4962"/>
        </w:tabs>
        <w:rPr>
          <w:rFonts w:ascii="Times New Roman" w:hAnsi="Times New Roman"/>
          <w:sz w:val="22"/>
          <w:lang w:val="lt-LT"/>
        </w:rPr>
      </w:pPr>
    </w:p>
    <w:p w14:paraId="7D746053" w14:textId="77777777" w:rsidR="008174C3" w:rsidRPr="004B0C8F" w:rsidRDefault="008174C3" w:rsidP="003B28E4">
      <w:pPr>
        <w:pStyle w:val="Paprastasistekstas"/>
        <w:tabs>
          <w:tab w:val="left" w:pos="4680"/>
          <w:tab w:val="left" w:pos="4962"/>
        </w:tabs>
        <w:rPr>
          <w:rFonts w:ascii="Times New Roman" w:hAnsi="Times New Roman"/>
          <w:sz w:val="22"/>
          <w:szCs w:val="22"/>
          <w:lang w:val="lt-LT"/>
        </w:rPr>
      </w:pPr>
    </w:p>
    <w:p w14:paraId="74A05B7B" w14:textId="77777777" w:rsidR="008174C3" w:rsidRPr="004B0C8F" w:rsidRDefault="008174C3" w:rsidP="008174C3">
      <w:pPr>
        <w:pStyle w:val="Antrat3"/>
        <w:spacing w:before="0" w:after="0" w:line="240" w:lineRule="auto"/>
        <w:rPr>
          <w:rFonts w:ascii="Times New Roman" w:hAnsi="Times New Roman"/>
          <w:sz w:val="22"/>
          <w:lang w:val="lt-LT"/>
        </w:rPr>
      </w:pPr>
      <w:r w:rsidRPr="004B0C8F">
        <w:rPr>
          <w:rFonts w:ascii="Times New Roman" w:hAnsi="Times New Roman"/>
          <w:sz w:val="22"/>
          <w:lang w:val="lt-LT"/>
        </w:rPr>
        <w:t>10.</w:t>
      </w:r>
      <w:r w:rsidRPr="004B0C8F">
        <w:rPr>
          <w:rFonts w:ascii="Times New Roman" w:hAnsi="Times New Roman"/>
          <w:sz w:val="22"/>
          <w:lang w:val="lt-LT"/>
        </w:rPr>
        <w:tab/>
        <w:t>TEKSTO PERŽIŪROS DATA</w:t>
      </w:r>
    </w:p>
    <w:p w14:paraId="46E26190" w14:textId="77777777" w:rsidR="008174C3" w:rsidRPr="004B0C8F" w:rsidRDefault="008174C3" w:rsidP="008174C3">
      <w:pPr>
        <w:tabs>
          <w:tab w:val="clear" w:pos="567"/>
        </w:tabs>
        <w:spacing w:line="240" w:lineRule="auto"/>
        <w:rPr>
          <w:szCs w:val="24"/>
          <w:lang w:val="lt-LT"/>
        </w:rPr>
      </w:pPr>
    </w:p>
    <w:p w14:paraId="20A40648" w14:textId="439B7E0E" w:rsidR="00506667" w:rsidRPr="004B0C8F" w:rsidRDefault="00353DCA" w:rsidP="008174C3">
      <w:pPr>
        <w:tabs>
          <w:tab w:val="clear" w:pos="567"/>
        </w:tabs>
        <w:spacing w:line="240" w:lineRule="auto"/>
        <w:rPr>
          <w:noProof/>
          <w:szCs w:val="24"/>
          <w:lang w:val="lt-LT"/>
        </w:rPr>
      </w:pPr>
      <w:r w:rsidRPr="004B0C8F">
        <w:rPr>
          <w:noProof/>
          <w:szCs w:val="24"/>
          <w:lang w:val="lt-LT"/>
        </w:rPr>
        <w:t>202</w:t>
      </w:r>
      <w:r w:rsidR="007F09F8">
        <w:rPr>
          <w:noProof/>
          <w:szCs w:val="24"/>
          <w:lang w:val="lt-LT"/>
        </w:rPr>
        <w:t>4</w:t>
      </w:r>
      <w:r w:rsidRPr="004B0C8F">
        <w:rPr>
          <w:noProof/>
          <w:szCs w:val="24"/>
          <w:lang w:val="lt-LT"/>
        </w:rPr>
        <w:t xml:space="preserve"> m. </w:t>
      </w:r>
      <w:r w:rsidR="007F09F8">
        <w:rPr>
          <w:noProof/>
          <w:szCs w:val="24"/>
          <w:lang w:val="lt-LT"/>
        </w:rPr>
        <w:t>rugsėjo 9 d.</w:t>
      </w:r>
    </w:p>
    <w:p w14:paraId="48F5A68E" w14:textId="77777777" w:rsidR="001A2680" w:rsidRPr="004B0C8F" w:rsidRDefault="001A2680" w:rsidP="008174C3">
      <w:pPr>
        <w:tabs>
          <w:tab w:val="clear" w:pos="567"/>
        </w:tabs>
        <w:spacing w:line="240" w:lineRule="auto"/>
        <w:rPr>
          <w:noProof/>
          <w:szCs w:val="24"/>
          <w:lang w:val="lt-LT"/>
        </w:rPr>
      </w:pPr>
    </w:p>
    <w:p w14:paraId="246940E5" w14:textId="63C54773" w:rsidR="008174C3" w:rsidRPr="004B0C8F" w:rsidRDefault="008174C3" w:rsidP="00542090">
      <w:pPr>
        <w:pStyle w:val="Paprastasistekstas"/>
        <w:tabs>
          <w:tab w:val="left" w:pos="5954"/>
          <w:tab w:val="left" w:pos="6237"/>
          <w:tab w:val="left" w:pos="6663"/>
          <w:tab w:val="left" w:pos="6946"/>
        </w:tabs>
        <w:rPr>
          <w:rFonts w:ascii="Times New Roman" w:hAnsi="Times New Roman"/>
          <w:sz w:val="22"/>
          <w:szCs w:val="22"/>
          <w:lang w:val="lt-LT"/>
        </w:rPr>
      </w:pPr>
      <w:r w:rsidRPr="004B0C8F">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4B0C8F">
        <w:rPr>
          <w:rFonts w:ascii="Times New Roman" w:hAnsi="Times New Roman"/>
          <w:i/>
          <w:noProof/>
          <w:sz w:val="22"/>
          <w:szCs w:val="22"/>
          <w:lang w:val="lt-LT"/>
        </w:rPr>
        <w:t xml:space="preserve"> </w:t>
      </w:r>
      <w:hyperlink r:id="rId12" w:history="1">
        <w:r w:rsidR="00D1633A" w:rsidRPr="00D1633A">
          <w:rPr>
            <w:rFonts w:ascii="Times New Roman" w:hAnsi="Times New Roman"/>
            <w:color w:val="0000FF"/>
            <w:sz w:val="22"/>
            <w:szCs w:val="22"/>
            <w:u w:val="single"/>
            <w:lang w:val="lt-LT" w:eastAsia="en-US"/>
          </w:rPr>
          <w:t>https://vvkt.lrv.lt/lt/</w:t>
        </w:r>
      </w:hyperlink>
      <w:r w:rsidR="00D1633A" w:rsidRPr="00D1633A">
        <w:rPr>
          <w:rFonts w:ascii="Times New Roman" w:hAnsi="Times New Roman"/>
          <w:sz w:val="22"/>
          <w:szCs w:val="22"/>
          <w:lang w:val="lt-LT" w:eastAsia="en-US"/>
        </w:rPr>
        <w:t>.</w:t>
      </w:r>
    </w:p>
    <w:p w14:paraId="74EB4BEF" w14:textId="77777777" w:rsidR="001A3DF1" w:rsidRPr="004B0C8F" w:rsidRDefault="00331196" w:rsidP="003B28E4">
      <w:pPr>
        <w:pStyle w:val="Paprastasistekstas"/>
        <w:tabs>
          <w:tab w:val="left" w:pos="4680"/>
          <w:tab w:val="left" w:pos="4962"/>
        </w:tabs>
        <w:rPr>
          <w:rFonts w:ascii="Times New Roman" w:hAnsi="Times New Roman"/>
          <w:sz w:val="22"/>
          <w:szCs w:val="22"/>
          <w:lang w:val="lt-LT"/>
        </w:rPr>
      </w:pPr>
      <w:r w:rsidRPr="004B0C8F">
        <w:rPr>
          <w:rFonts w:ascii="Times New Roman" w:hAnsi="Times New Roman"/>
          <w:sz w:val="22"/>
          <w:szCs w:val="22"/>
          <w:lang w:val="lt-LT"/>
        </w:rPr>
        <w:br w:type="page"/>
      </w:r>
      <w:r w:rsidR="00F34163" w:rsidRPr="004B0C8F">
        <w:rPr>
          <w:rFonts w:ascii="Times New Roman" w:hAnsi="Times New Roman"/>
          <w:b/>
          <w:sz w:val="22"/>
          <w:szCs w:val="22"/>
          <w:lang w:val="lt-LT"/>
        </w:rPr>
        <w:lastRenderedPageBreak/>
        <w:t xml:space="preserve">                                        </w:t>
      </w:r>
      <w:r w:rsidR="001A3DF1" w:rsidRPr="004B0C8F">
        <w:rPr>
          <w:rFonts w:ascii="Times New Roman" w:hAnsi="Times New Roman"/>
          <w:b/>
          <w:sz w:val="22"/>
          <w:szCs w:val="22"/>
          <w:lang w:val="lt-LT"/>
        </w:rPr>
        <w:tab/>
      </w:r>
      <w:r w:rsidR="00F34163" w:rsidRPr="004B0C8F">
        <w:rPr>
          <w:rFonts w:ascii="Times New Roman" w:hAnsi="Times New Roman"/>
          <w:b/>
          <w:sz w:val="22"/>
          <w:szCs w:val="22"/>
          <w:lang w:val="lt-LT"/>
        </w:rPr>
        <w:t xml:space="preserve">  </w:t>
      </w:r>
    </w:p>
    <w:p w14:paraId="01CCF941" w14:textId="77777777" w:rsidR="000A79DC" w:rsidRPr="004B0C8F" w:rsidRDefault="000A79DC" w:rsidP="003B28E4">
      <w:pPr>
        <w:pStyle w:val="Paprastasistekstas"/>
        <w:tabs>
          <w:tab w:val="left" w:pos="4680"/>
          <w:tab w:val="left" w:pos="5954"/>
          <w:tab w:val="left" w:pos="6237"/>
          <w:tab w:val="left" w:pos="6663"/>
          <w:tab w:val="left" w:pos="6946"/>
        </w:tabs>
        <w:jc w:val="center"/>
        <w:rPr>
          <w:rFonts w:ascii="Times New Roman" w:hAnsi="Times New Roman"/>
          <w:sz w:val="22"/>
          <w:szCs w:val="22"/>
          <w:lang w:val="lt-LT"/>
        </w:rPr>
      </w:pPr>
    </w:p>
    <w:p w14:paraId="2F82D59B" w14:textId="77777777" w:rsidR="00F34163" w:rsidRPr="004B0C8F" w:rsidRDefault="00F34163" w:rsidP="003B28E4">
      <w:pPr>
        <w:pStyle w:val="Paprastasistekstas"/>
        <w:tabs>
          <w:tab w:val="left" w:pos="4680"/>
          <w:tab w:val="left" w:pos="5954"/>
          <w:tab w:val="left" w:pos="6237"/>
          <w:tab w:val="left" w:pos="6663"/>
          <w:tab w:val="left" w:pos="6946"/>
        </w:tabs>
        <w:jc w:val="center"/>
        <w:rPr>
          <w:rFonts w:ascii="Times New Roman" w:hAnsi="Times New Roman"/>
          <w:sz w:val="22"/>
          <w:szCs w:val="22"/>
          <w:lang w:val="lt-LT"/>
        </w:rPr>
      </w:pPr>
    </w:p>
    <w:p w14:paraId="49496E7B" w14:textId="77777777" w:rsidR="00F34163" w:rsidRPr="004B0C8F" w:rsidRDefault="00F34163" w:rsidP="003B28E4">
      <w:pPr>
        <w:tabs>
          <w:tab w:val="left" w:pos="4680"/>
        </w:tabs>
        <w:spacing w:line="240" w:lineRule="auto"/>
        <w:rPr>
          <w:noProof/>
          <w:szCs w:val="22"/>
          <w:lang w:val="lt-LT"/>
        </w:rPr>
      </w:pPr>
    </w:p>
    <w:p w14:paraId="212046FE" w14:textId="77777777" w:rsidR="00F34163" w:rsidRPr="004B0C8F" w:rsidRDefault="00F34163" w:rsidP="003B28E4">
      <w:pPr>
        <w:tabs>
          <w:tab w:val="left" w:pos="4680"/>
        </w:tabs>
        <w:spacing w:line="240" w:lineRule="auto"/>
        <w:rPr>
          <w:noProof/>
          <w:szCs w:val="22"/>
          <w:lang w:val="lt-LT"/>
        </w:rPr>
      </w:pPr>
    </w:p>
    <w:p w14:paraId="6E503DBC" w14:textId="77777777" w:rsidR="00F34163" w:rsidRPr="004B0C8F" w:rsidRDefault="00F34163" w:rsidP="003B28E4">
      <w:pPr>
        <w:tabs>
          <w:tab w:val="left" w:pos="4680"/>
        </w:tabs>
        <w:spacing w:line="240" w:lineRule="auto"/>
        <w:rPr>
          <w:noProof/>
          <w:szCs w:val="22"/>
          <w:lang w:val="lt-LT"/>
        </w:rPr>
      </w:pPr>
    </w:p>
    <w:p w14:paraId="175D4FBC" w14:textId="77777777" w:rsidR="00F34163" w:rsidRPr="004B0C8F" w:rsidRDefault="00F34163" w:rsidP="003B28E4">
      <w:pPr>
        <w:tabs>
          <w:tab w:val="left" w:pos="4680"/>
        </w:tabs>
        <w:spacing w:line="240" w:lineRule="auto"/>
        <w:rPr>
          <w:noProof/>
          <w:szCs w:val="22"/>
          <w:lang w:val="lt-LT"/>
        </w:rPr>
      </w:pPr>
    </w:p>
    <w:p w14:paraId="71C88B47" w14:textId="77777777" w:rsidR="00F34163" w:rsidRPr="004B0C8F" w:rsidRDefault="00F34163" w:rsidP="003B28E4">
      <w:pPr>
        <w:tabs>
          <w:tab w:val="left" w:pos="4680"/>
        </w:tabs>
        <w:spacing w:line="240" w:lineRule="auto"/>
        <w:rPr>
          <w:noProof/>
          <w:szCs w:val="22"/>
          <w:lang w:val="lt-LT"/>
        </w:rPr>
      </w:pPr>
    </w:p>
    <w:p w14:paraId="35941489" w14:textId="77777777" w:rsidR="00F34163" w:rsidRPr="004B0C8F" w:rsidRDefault="00F34163" w:rsidP="003B28E4">
      <w:pPr>
        <w:tabs>
          <w:tab w:val="left" w:pos="4680"/>
        </w:tabs>
        <w:spacing w:line="240" w:lineRule="auto"/>
        <w:rPr>
          <w:noProof/>
          <w:szCs w:val="22"/>
          <w:lang w:val="lt-LT"/>
        </w:rPr>
      </w:pPr>
    </w:p>
    <w:p w14:paraId="0CE49B6C" w14:textId="77777777" w:rsidR="00F34163" w:rsidRPr="004B0C8F" w:rsidRDefault="00F34163" w:rsidP="003B28E4">
      <w:pPr>
        <w:tabs>
          <w:tab w:val="left" w:pos="4680"/>
        </w:tabs>
        <w:spacing w:line="240" w:lineRule="auto"/>
        <w:rPr>
          <w:noProof/>
          <w:szCs w:val="22"/>
          <w:lang w:val="lt-LT"/>
        </w:rPr>
      </w:pPr>
    </w:p>
    <w:p w14:paraId="392B34EF" w14:textId="77777777" w:rsidR="00F34163" w:rsidRPr="004B0C8F" w:rsidRDefault="00F34163" w:rsidP="003B28E4">
      <w:pPr>
        <w:tabs>
          <w:tab w:val="left" w:pos="4680"/>
        </w:tabs>
        <w:spacing w:line="240" w:lineRule="auto"/>
        <w:rPr>
          <w:noProof/>
          <w:szCs w:val="22"/>
          <w:lang w:val="lt-LT"/>
        </w:rPr>
      </w:pPr>
    </w:p>
    <w:p w14:paraId="499A7F3A" w14:textId="77777777" w:rsidR="00F34163" w:rsidRPr="004B0C8F" w:rsidRDefault="00F34163" w:rsidP="003B28E4">
      <w:pPr>
        <w:tabs>
          <w:tab w:val="left" w:pos="4680"/>
        </w:tabs>
        <w:spacing w:line="240" w:lineRule="auto"/>
        <w:rPr>
          <w:noProof/>
          <w:szCs w:val="22"/>
          <w:lang w:val="lt-LT"/>
        </w:rPr>
      </w:pPr>
    </w:p>
    <w:p w14:paraId="470FBC12" w14:textId="77777777" w:rsidR="00F34163" w:rsidRPr="004B0C8F" w:rsidRDefault="00F34163" w:rsidP="003B28E4">
      <w:pPr>
        <w:tabs>
          <w:tab w:val="left" w:pos="4680"/>
        </w:tabs>
        <w:spacing w:line="240" w:lineRule="auto"/>
        <w:rPr>
          <w:noProof/>
          <w:szCs w:val="22"/>
          <w:lang w:val="lt-LT"/>
        </w:rPr>
      </w:pPr>
    </w:p>
    <w:p w14:paraId="41AEDCE0" w14:textId="77777777" w:rsidR="00F34163" w:rsidRPr="004B0C8F" w:rsidRDefault="00F34163" w:rsidP="003B28E4">
      <w:pPr>
        <w:tabs>
          <w:tab w:val="left" w:pos="4680"/>
        </w:tabs>
        <w:spacing w:line="240" w:lineRule="auto"/>
        <w:rPr>
          <w:noProof/>
          <w:szCs w:val="22"/>
          <w:lang w:val="lt-LT"/>
        </w:rPr>
      </w:pPr>
    </w:p>
    <w:p w14:paraId="6C5C4B26" w14:textId="77777777" w:rsidR="00F34163" w:rsidRPr="004B0C8F" w:rsidRDefault="00F34163" w:rsidP="003B28E4">
      <w:pPr>
        <w:tabs>
          <w:tab w:val="left" w:pos="4680"/>
        </w:tabs>
        <w:spacing w:line="240" w:lineRule="auto"/>
        <w:rPr>
          <w:noProof/>
          <w:szCs w:val="22"/>
          <w:lang w:val="lt-LT"/>
        </w:rPr>
      </w:pPr>
    </w:p>
    <w:p w14:paraId="2BBBDF7A" w14:textId="77777777" w:rsidR="00F34163" w:rsidRPr="004B0C8F" w:rsidRDefault="00F34163" w:rsidP="003B28E4">
      <w:pPr>
        <w:tabs>
          <w:tab w:val="left" w:pos="4680"/>
        </w:tabs>
        <w:spacing w:line="240" w:lineRule="auto"/>
        <w:rPr>
          <w:noProof/>
          <w:szCs w:val="22"/>
          <w:lang w:val="lt-LT"/>
        </w:rPr>
      </w:pPr>
    </w:p>
    <w:p w14:paraId="617909BC" w14:textId="77777777" w:rsidR="00F34163" w:rsidRPr="004B0C8F" w:rsidRDefault="00F34163" w:rsidP="003B28E4">
      <w:pPr>
        <w:tabs>
          <w:tab w:val="left" w:pos="4680"/>
        </w:tabs>
        <w:spacing w:line="240" w:lineRule="auto"/>
        <w:rPr>
          <w:noProof/>
          <w:szCs w:val="22"/>
          <w:lang w:val="lt-LT"/>
        </w:rPr>
      </w:pPr>
    </w:p>
    <w:p w14:paraId="7B7756E5" w14:textId="77777777" w:rsidR="00F34163" w:rsidRPr="004B0C8F" w:rsidRDefault="00F34163" w:rsidP="003B28E4">
      <w:pPr>
        <w:tabs>
          <w:tab w:val="left" w:pos="4680"/>
        </w:tabs>
        <w:spacing w:line="240" w:lineRule="auto"/>
        <w:rPr>
          <w:noProof/>
          <w:szCs w:val="22"/>
          <w:lang w:val="lt-LT"/>
        </w:rPr>
      </w:pPr>
    </w:p>
    <w:p w14:paraId="2C4D9B16" w14:textId="77777777" w:rsidR="00F34163" w:rsidRPr="004B0C8F" w:rsidRDefault="00F34163" w:rsidP="003B28E4">
      <w:pPr>
        <w:tabs>
          <w:tab w:val="left" w:pos="4680"/>
        </w:tabs>
        <w:spacing w:line="240" w:lineRule="auto"/>
        <w:rPr>
          <w:noProof/>
          <w:szCs w:val="22"/>
          <w:lang w:val="lt-LT"/>
        </w:rPr>
      </w:pPr>
    </w:p>
    <w:p w14:paraId="38435344" w14:textId="77777777" w:rsidR="00F34163" w:rsidRPr="004B0C8F" w:rsidRDefault="00F34163" w:rsidP="003B28E4">
      <w:pPr>
        <w:tabs>
          <w:tab w:val="left" w:pos="4680"/>
        </w:tabs>
        <w:spacing w:line="240" w:lineRule="auto"/>
        <w:rPr>
          <w:noProof/>
          <w:szCs w:val="22"/>
          <w:lang w:val="lt-LT"/>
        </w:rPr>
      </w:pPr>
    </w:p>
    <w:p w14:paraId="09DE1AFE" w14:textId="77777777" w:rsidR="003B1300" w:rsidRPr="004B0C8F" w:rsidRDefault="003B1300" w:rsidP="003B28E4">
      <w:pPr>
        <w:tabs>
          <w:tab w:val="left" w:pos="4680"/>
        </w:tabs>
        <w:spacing w:line="240" w:lineRule="auto"/>
        <w:jc w:val="center"/>
        <w:rPr>
          <w:b/>
          <w:szCs w:val="22"/>
          <w:lang w:val="lt-LT"/>
        </w:rPr>
      </w:pPr>
    </w:p>
    <w:p w14:paraId="28BE3A19" w14:textId="77777777" w:rsidR="003B1300" w:rsidRPr="004B0C8F" w:rsidRDefault="003B1300" w:rsidP="003B28E4">
      <w:pPr>
        <w:tabs>
          <w:tab w:val="left" w:pos="4680"/>
        </w:tabs>
        <w:spacing w:line="240" w:lineRule="auto"/>
        <w:jc w:val="center"/>
        <w:rPr>
          <w:b/>
          <w:szCs w:val="22"/>
          <w:lang w:val="lt-LT"/>
        </w:rPr>
      </w:pPr>
    </w:p>
    <w:p w14:paraId="24C790EC" w14:textId="77777777" w:rsidR="003B1300" w:rsidRPr="004B0C8F" w:rsidRDefault="003B1300" w:rsidP="003B28E4">
      <w:pPr>
        <w:tabs>
          <w:tab w:val="left" w:pos="4680"/>
        </w:tabs>
        <w:spacing w:line="240" w:lineRule="auto"/>
        <w:jc w:val="center"/>
        <w:rPr>
          <w:b/>
          <w:szCs w:val="22"/>
          <w:lang w:val="lt-LT"/>
        </w:rPr>
      </w:pPr>
    </w:p>
    <w:p w14:paraId="170F7E49" w14:textId="77777777" w:rsidR="00F34163" w:rsidRPr="004B0C8F" w:rsidRDefault="00F34163" w:rsidP="003B28E4">
      <w:pPr>
        <w:tabs>
          <w:tab w:val="left" w:pos="4680"/>
        </w:tabs>
        <w:spacing w:line="240" w:lineRule="auto"/>
        <w:jc w:val="center"/>
        <w:rPr>
          <w:b/>
          <w:szCs w:val="22"/>
          <w:lang w:val="lt-LT"/>
        </w:rPr>
      </w:pPr>
      <w:r w:rsidRPr="004B0C8F">
        <w:rPr>
          <w:b/>
          <w:szCs w:val="22"/>
          <w:lang w:val="lt-LT"/>
        </w:rPr>
        <w:t>II PRIEDAS</w:t>
      </w:r>
    </w:p>
    <w:p w14:paraId="486C741C" w14:textId="77777777" w:rsidR="00F34163" w:rsidRPr="004B0C8F" w:rsidRDefault="00F34163" w:rsidP="003B28E4">
      <w:pPr>
        <w:tabs>
          <w:tab w:val="left" w:pos="4680"/>
        </w:tabs>
        <w:spacing w:line="240" w:lineRule="auto"/>
        <w:ind w:left="1701" w:right="1416" w:hanging="567"/>
        <w:rPr>
          <w:szCs w:val="22"/>
          <w:lang w:val="lt-LT"/>
        </w:rPr>
      </w:pPr>
    </w:p>
    <w:p w14:paraId="03AF3BDB" w14:textId="77777777" w:rsidR="00F34163" w:rsidRPr="004B0C8F" w:rsidRDefault="00CE6EC2" w:rsidP="003B28E4">
      <w:pPr>
        <w:tabs>
          <w:tab w:val="left" w:pos="4680"/>
        </w:tabs>
        <w:spacing w:line="240" w:lineRule="auto"/>
        <w:jc w:val="center"/>
        <w:rPr>
          <w:i/>
          <w:szCs w:val="22"/>
          <w:lang w:val="lt-LT"/>
        </w:rPr>
      </w:pPr>
      <w:r w:rsidRPr="004B0C8F">
        <w:rPr>
          <w:b/>
          <w:szCs w:val="22"/>
          <w:lang w:val="lt-LT"/>
        </w:rPr>
        <w:t xml:space="preserve">REGISTRACIJOS </w:t>
      </w:r>
      <w:r w:rsidR="00F34163" w:rsidRPr="004B0C8F">
        <w:rPr>
          <w:b/>
          <w:szCs w:val="22"/>
          <w:lang w:val="lt-LT"/>
        </w:rPr>
        <w:t>SĄLYGOS</w:t>
      </w:r>
    </w:p>
    <w:p w14:paraId="7497E053" w14:textId="77777777" w:rsidR="00F34163" w:rsidRPr="004B0C8F" w:rsidRDefault="00F34163" w:rsidP="003B28E4">
      <w:pPr>
        <w:tabs>
          <w:tab w:val="left" w:pos="4680"/>
        </w:tabs>
        <w:spacing w:line="240" w:lineRule="auto"/>
        <w:rPr>
          <w:szCs w:val="22"/>
          <w:lang w:val="lt-LT"/>
        </w:rPr>
      </w:pPr>
    </w:p>
    <w:p w14:paraId="0185D0F5" w14:textId="77777777" w:rsidR="00F34163" w:rsidRPr="004B0C8F" w:rsidRDefault="00F34163" w:rsidP="003B28E4">
      <w:pPr>
        <w:tabs>
          <w:tab w:val="clear" w:pos="567"/>
          <w:tab w:val="left" w:pos="1701"/>
          <w:tab w:val="left" w:pos="4680"/>
        </w:tabs>
        <w:spacing w:line="240" w:lineRule="auto"/>
        <w:ind w:left="1701" w:right="567" w:hanging="567"/>
        <w:rPr>
          <w:b/>
          <w:noProof/>
          <w:szCs w:val="22"/>
          <w:lang w:val="lt-LT"/>
        </w:rPr>
      </w:pPr>
      <w:r w:rsidRPr="004B0C8F">
        <w:rPr>
          <w:b/>
          <w:noProof/>
          <w:szCs w:val="22"/>
          <w:lang w:val="lt-LT"/>
        </w:rPr>
        <w:t>A.</w:t>
      </w:r>
      <w:r w:rsidRPr="004B0C8F">
        <w:rPr>
          <w:b/>
          <w:noProof/>
          <w:szCs w:val="22"/>
          <w:lang w:val="lt-LT"/>
        </w:rPr>
        <w:tab/>
        <w:t>GAMINTOJAS (-AI), ATSAKINGAS (-I) UŽ SERIJŲ IŠLEIDIMĄ</w:t>
      </w:r>
    </w:p>
    <w:p w14:paraId="05AE03C6" w14:textId="77777777" w:rsidR="00F34163" w:rsidRPr="004B0C8F" w:rsidRDefault="00F34163" w:rsidP="003B28E4">
      <w:pPr>
        <w:tabs>
          <w:tab w:val="clear" w:pos="567"/>
          <w:tab w:val="left" w:pos="1701"/>
          <w:tab w:val="left" w:pos="4680"/>
        </w:tabs>
        <w:spacing w:line="240" w:lineRule="auto"/>
        <w:ind w:left="567" w:right="567" w:hanging="567"/>
        <w:rPr>
          <w:noProof/>
          <w:szCs w:val="22"/>
          <w:lang w:val="lt-LT"/>
        </w:rPr>
      </w:pPr>
    </w:p>
    <w:p w14:paraId="7FD38251" w14:textId="77777777" w:rsidR="00F34163" w:rsidRPr="004B0C8F" w:rsidRDefault="00F34163" w:rsidP="003B28E4">
      <w:pPr>
        <w:tabs>
          <w:tab w:val="clear" w:pos="567"/>
          <w:tab w:val="left" w:pos="1701"/>
          <w:tab w:val="left" w:pos="4680"/>
        </w:tabs>
        <w:spacing w:line="240" w:lineRule="auto"/>
        <w:ind w:left="1701" w:right="567" w:hanging="567"/>
        <w:rPr>
          <w:b/>
          <w:szCs w:val="22"/>
          <w:lang w:val="lt-LT"/>
        </w:rPr>
      </w:pPr>
      <w:r w:rsidRPr="004B0C8F">
        <w:rPr>
          <w:b/>
          <w:szCs w:val="22"/>
          <w:lang w:val="lt-LT"/>
        </w:rPr>
        <w:t>B.</w:t>
      </w:r>
      <w:r w:rsidRPr="004B0C8F">
        <w:rPr>
          <w:b/>
          <w:szCs w:val="22"/>
          <w:lang w:val="lt-LT"/>
        </w:rPr>
        <w:tab/>
        <w:t>TIEKIMO IR VARTOJIMO SĄLYGOS AR APRIBOJIMAI</w:t>
      </w:r>
    </w:p>
    <w:p w14:paraId="703B5C62" w14:textId="77777777" w:rsidR="00F34163" w:rsidRPr="004B0C8F" w:rsidRDefault="00F34163" w:rsidP="003B28E4">
      <w:pPr>
        <w:tabs>
          <w:tab w:val="clear" w:pos="567"/>
          <w:tab w:val="left" w:pos="1701"/>
          <w:tab w:val="left" w:pos="4680"/>
        </w:tabs>
        <w:spacing w:line="240" w:lineRule="auto"/>
        <w:ind w:left="567" w:right="567" w:hanging="567"/>
        <w:rPr>
          <w:szCs w:val="22"/>
          <w:lang w:val="lt-LT"/>
        </w:rPr>
      </w:pPr>
    </w:p>
    <w:p w14:paraId="30541F67" w14:textId="77777777" w:rsidR="00F34163" w:rsidRPr="004B0C8F" w:rsidRDefault="00F34163" w:rsidP="003B28E4">
      <w:pPr>
        <w:tabs>
          <w:tab w:val="left" w:pos="4680"/>
        </w:tabs>
        <w:spacing w:line="240" w:lineRule="auto"/>
        <w:ind w:left="1701" w:right="1558" w:hanging="850"/>
        <w:rPr>
          <w:b/>
          <w:szCs w:val="22"/>
          <w:lang w:val="lt-LT"/>
        </w:rPr>
      </w:pPr>
    </w:p>
    <w:p w14:paraId="26457961" w14:textId="77777777" w:rsidR="00F34163" w:rsidRPr="004B0C8F" w:rsidRDefault="00F34163" w:rsidP="003B28E4">
      <w:pPr>
        <w:tabs>
          <w:tab w:val="left" w:pos="4680"/>
        </w:tabs>
        <w:spacing w:line="240" w:lineRule="auto"/>
        <w:ind w:left="567" w:hanging="567"/>
        <w:rPr>
          <w:szCs w:val="22"/>
          <w:lang w:val="lt-LT"/>
        </w:rPr>
      </w:pPr>
    </w:p>
    <w:p w14:paraId="524E323D" w14:textId="77777777" w:rsidR="00F34163" w:rsidRPr="004B0C8F" w:rsidRDefault="00F34163" w:rsidP="003B28E4">
      <w:pPr>
        <w:tabs>
          <w:tab w:val="left" w:pos="4680"/>
        </w:tabs>
        <w:spacing w:line="240" w:lineRule="auto"/>
        <w:ind w:right="-1"/>
        <w:rPr>
          <w:szCs w:val="22"/>
          <w:lang w:val="lt-LT"/>
        </w:rPr>
      </w:pPr>
    </w:p>
    <w:p w14:paraId="1CEA2A40" w14:textId="77777777" w:rsidR="00F34163" w:rsidRPr="004B0C8F" w:rsidRDefault="00F34163" w:rsidP="003B28E4">
      <w:pPr>
        <w:tabs>
          <w:tab w:val="left" w:pos="4680"/>
        </w:tabs>
        <w:spacing w:line="240" w:lineRule="auto"/>
        <w:ind w:left="567" w:hanging="567"/>
        <w:rPr>
          <w:b/>
          <w:szCs w:val="22"/>
          <w:lang w:val="lt-LT"/>
        </w:rPr>
      </w:pPr>
      <w:r w:rsidRPr="004B0C8F">
        <w:rPr>
          <w:szCs w:val="22"/>
          <w:lang w:val="lt-LT"/>
        </w:rPr>
        <w:br w:type="page"/>
      </w:r>
      <w:r w:rsidRPr="004B0C8F">
        <w:rPr>
          <w:b/>
          <w:szCs w:val="22"/>
          <w:lang w:val="lt-LT"/>
        </w:rPr>
        <w:lastRenderedPageBreak/>
        <w:t>A.</w:t>
      </w:r>
      <w:r w:rsidRPr="004B0C8F">
        <w:rPr>
          <w:b/>
          <w:szCs w:val="22"/>
          <w:lang w:val="lt-LT"/>
        </w:rPr>
        <w:tab/>
        <w:t>GAMINTOJAS (-AI), ATSAKINGAS (-I) UŽ SERIJŲ IŠLEIDIMĄ</w:t>
      </w:r>
    </w:p>
    <w:p w14:paraId="5E6395CA" w14:textId="77777777" w:rsidR="00F34163" w:rsidRPr="004B0C8F" w:rsidRDefault="00F34163" w:rsidP="003B28E4">
      <w:pPr>
        <w:tabs>
          <w:tab w:val="left" w:pos="4680"/>
        </w:tabs>
        <w:spacing w:line="240" w:lineRule="auto"/>
        <w:rPr>
          <w:szCs w:val="22"/>
          <w:lang w:val="lt-LT"/>
        </w:rPr>
      </w:pPr>
    </w:p>
    <w:p w14:paraId="2D765D98" w14:textId="77777777" w:rsidR="00F34163" w:rsidRPr="004B0C8F" w:rsidRDefault="00F34163" w:rsidP="003B28E4">
      <w:pPr>
        <w:tabs>
          <w:tab w:val="left" w:pos="4680"/>
        </w:tabs>
        <w:spacing w:line="240" w:lineRule="auto"/>
        <w:jc w:val="both"/>
        <w:rPr>
          <w:szCs w:val="22"/>
          <w:lang w:val="lt-LT"/>
        </w:rPr>
      </w:pPr>
      <w:r w:rsidRPr="004B0C8F">
        <w:rPr>
          <w:noProof/>
          <w:szCs w:val="22"/>
          <w:u w:val="single"/>
          <w:lang w:val="lt-LT"/>
        </w:rPr>
        <w:t>Gamintojo (-ų), atsakingo (-ų) už serijų išleidimą, pavadinimas (-ai) ir adresas (-ai)</w:t>
      </w:r>
    </w:p>
    <w:p w14:paraId="30F169AF" w14:textId="77777777" w:rsidR="00F34163" w:rsidRPr="004B0C8F" w:rsidRDefault="00F34163" w:rsidP="003B28E4">
      <w:pPr>
        <w:tabs>
          <w:tab w:val="left" w:pos="4680"/>
        </w:tabs>
        <w:spacing w:line="240" w:lineRule="auto"/>
        <w:rPr>
          <w:szCs w:val="22"/>
          <w:lang w:val="lt-LT"/>
        </w:rPr>
      </w:pPr>
    </w:p>
    <w:p w14:paraId="387033C5" w14:textId="77777777" w:rsidR="00F34163" w:rsidRPr="004B0C8F" w:rsidRDefault="002330DF" w:rsidP="003B28E4">
      <w:pPr>
        <w:tabs>
          <w:tab w:val="left" w:pos="4680"/>
        </w:tabs>
        <w:spacing w:line="240" w:lineRule="auto"/>
        <w:rPr>
          <w:szCs w:val="22"/>
          <w:lang w:val="lt-LT"/>
        </w:rPr>
      </w:pPr>
      <w:r w:rsidRPr="004B0C8F">
        <w:rPr>
          <w:noProof/>
          <w:szCs w:val="22"/>
          <w:lang w:val="lt-LT"/>
        </w:rPr>
        <w:t>Laboratorios Liconsa S.A.</w:t>
      </w:r>
    </w:p>
    <w:p w14:paraId="437ED433" w14:textId="77777777" w:rsidR="002330DF" w:rsidRPr="004B0C8F" w:rsidRDefault="002330DF" w:rsidP="003B28E4">
      <w:pPr>
        <w:tabs>
          <w:tab w:val="left" w:pos="4680"/>
        </w:tabs>
        <w:spacing w:line="240" w:lineRule="auto"/>
        <w:rPr>
          <w:szCs w:val="22"/>
          <w:lang w:val="lt-LT"/>
        </w:rPr>
      </w:pPr>
      <w:proofErr w:type="spellStart"/>
      <w:r w:rsidRPr="004B0C8F">
        <w:rPr>
          <w:szCs w:val="22"/>
          <w:lang w:val="lt-LT"/>
        </w:rPr>
        <w:t>Avenida</w:t>
      </w:r>
      <w:proofErr w:type="spellEnd"/>
      <w:r w:rsidRPr="004B0C8F">
        <w:rPr>
          <w:szCs w:val="22"/>
          <w:lang w:val="lt-LT"/>
        </w:rPr>
        <w:t xml:space="preserve"> </w:t>
      </w:r>
      <w:proofErr w:type="spellStart"/>
      <w:r w:rsidRPr="004B0C8F">
        <w:rPr>
          <w:szCs w:val="22"/>
          <w:lang w:val="lt-LT"/>
        </w:rPr>
        <w:t>Miralcampo</w:t>
      </w:r>
      <w:proofErr w:type="spellEnd"/>
      <w:r w:rsidRPr="004B0C8F">
        <w:rPr>
          <w:szCs w:val="22"/>
          <w:lang w:val="lt-LT"/>
        </w:rPr>
        <w:t xml:space="preserve"> 7</w:t>
      </w:r>
    </w:p>
    <w:p w14:paraId="739F74E0" w14:textId="77777777" w:rsidR="002330DF" w:rsidRPr="004B0C8F" w:rsidRDefault="002330DF" w:rsidP="003B28E4">
      <w:pPr>
        <w:tabs>
          <w:tab w:val="left" w:pos="4680"/>
        </w:tabs>
        <w:spacing w:line="240" w:lineRule="auto"/>
        <w:rPr>
          <w:szCs w:val="22"/>
          <w:lang w:val="lt-LT"/>
        </w:rPr>
      </w:pPr>
      <w:r w:rsidRPr="004B0C8F">
        <w:rPr>
          <w:szCs w:val="22"/>
          <w:lang w:val="lt-LT"/>
        </w:rPr>
        <w:t xml:space="preserve">Poligono </w:t>
      </w:r>
      <w:proofErr w:type="spellStart"/>
      <w:r w:rsidRPr="004B0C8F">
        <w:rPr>
          <w:szCs w:val="22"/>
          <w:lang w:val="lt-LT"/>
        </w:rPr>
        <w:t>Industrial</w:t>
      </w:r>
      <w:proofErr w:type="spellEnd"/>
      <w:r w:rsidRPr="004B0C8F">
        <w:rPr>
          <w:szCs w:val="22"/>
          <w:lang w:val="lt-LT"/>
        </w:rPr>
        <w:t xml:space="preserve"> </w:t>
      </w:r>
      <w:proofErr w:type="spellStart"/>
      <w:r w:rsidRPr="004B0C8F">
        <w:rPr>
          <w:szCs w:val="22"/>
          <w:lang w:val="lt-LT"/>
        </w:rPr>
        <w:t>Miralcampo</w:t>
      </w:r>
      <w:proofErr w:type="spellEnd"/>
    </w:p>
    <w:p w14:paraId="4753B919" w14:textId="77777777" w:rsidR="00CF180E" w:rsidRPr="004B0C8F" w:rsidRDefault="00CF180E" w:rsidP="003B28E4">
      <w:pPr>
        <w:tabs>
          <w:tab w:val="left" w:pos="4680"/>
        </w:tabs>
        <w:spacing w:line="240" w:lineRule="auto"/>
        <w:rPr>
          <w:szCs w:val="22"/>
          <w:lang w:val="lt-LT"/>
        </w:rPr>
      </w:pPr>
      <w:proofErr w:type="spellStart"/>
      <w:r w:rsidRPr="004B0C8F">
        <w:rPr>
          <w:szCs w:val="22"/>
          <w:lang w:val="lt-LT"/>
        </w:rPr>
        <w:t>Azuqueca</w:t>
      </w:r>
      <w:proofErr w:type="spellEnd"/>
      <w:r w:rsidRPr="004B0C8F">
        <w:rPr>
          <w:szCs w:val="22"/>
          <w:lang w:val="lt-LT"/>
        </w:rPr>
        <w:t xml:space="preserve"> De </w:t>
      </w:r>
      <w:proofErr w:type="spellStart"/>
      <w:r w:rsidRPr="004B0C8F">
        <w:rPr>
          <w:szCs w:val="22"/>
          <w:lang w:val="lt-LT"/>
        </w:rPr>
        <w:t>Henares</w:t>
      </w:r>
      <w:proofErr w:type="spellEnd"/>
    </w:p>
    <w:p w14:paraId="71F0DA82" w14:textId="77777777" w:rsidR="00CF180E" w:rsidRPr="004B0C8F" w:rsidRDefault="00CF180E" w:rsidP="003B28E4">
      <w:pPr>
        <w:tabs>
          <w:tab w:val="left" w:pos="4680"/>
        </w:tabs>
        <w:spacing w:line="240" w:lineRule="auto"/>
        <w:rPr>
          <w:szCs w:val="22"/>
          <w:lang w:val="lt-LT"/>
        </w:rPr>
      </w:pPr>
      <w:r w:rsidRPr="004B0C8F">
        <w:rPr>
          <w:szCs w:val="22"/>
          <w:lang w:val="lt-LT"/>
        </w:rPr>
        <w:t xml:space="preserve">19200 </w:t>
      </w:r>
      <w:proofErr w:type="spellStart"/>
      <w:r w:rsidRPr="004B0C8F">
        <w:rPr>
          <w:szCs w:val="22"/>
          <w:lang w:val="lt-LT"/>
        </w:rPr>
        <w:t>Guadalajara</w:t>
      </w:r>
      <w:proofErr w:type="spellEnd"/>
    </w:p>
    <w:p w14:paraId="3FFB92AE" w14:textId="77777777" w:rsidR="00CF180E" w:rsidRPr="004B0C8F" w:rsidRDefault="00CF180E" w:rsidP="003B28E4">
      <w:pPr>
        <w:tabs>
          <w:tab w:val="left" w:pos="4680"/>
        </w:tabs>
        <w:spacing w:line="240" w:lineRule="auto"/>
        <w:rPr>
          <w:szCs w:val="22"/>
          <w:lang w:val="lt-LT"/>
        </w:rPr>
      </w:pPr>
      <w:r w:rsidRPr="004B0C8F">
        <w:rPr>
          <w:szCs w:val="22"/>
          <w:lang w:val="lt-LT"/>
        </w:rPr>
        <w:t>Ispanija</w:t>
      </w:r>
    </w:p>
    <w:p w14:paraId="3136F4F4" w14:textId="77777777" w:rsidR="00F34163" w:rsidRPr="004B0C8F" w:rsidRDefault="00F34163" w:rsidP="003B28E4">
      <w:pPr>
        <w:tabs>
          <w:tab w:val="left" w:pos="4680"/>
        </w:tabs>
        <w:spacing w:line="240" w:lineRule="auto"/>
        <w:rPr>
          <w:szCs w:val="22"/>
          <w:lang w:val="lt-LT"/>
        </w:rPr>
      </w:pPr>
    </w:p>
    <w:p w14:paraId="24600305" w14:textId="77777777" w:rsidR="00F34163" w:rsidRPr="004B0C8F" w:rsidRDefault="00F34163" w:rsidP="003B28E4">
      <w:pPr>
        <w:tabs>
          <w:tab w:val="left" w:pos="4680"/>
        </w:tabs>
        <w:spacing w:line="240" w:lineRule="auto"/>
        <w:rPr>
          <w:szCs w:val="22"/>
          <w:lang w:val="lt-LT"/>
        </w:rPr>
      </w:pPr>
    </w:p>
    <w:p w14:paraId="12608A25" w14:textId="77777777" w:rsidR="00F34163" w:rsidRPr="004B0C8F" w:rsidRDefault="00F34163" w:rsidP="003B28E4">
      <w:pPr>
        <w:tabs>
          <w:tab w:val="left" w:pos="4680"/>
        </w:tabs>
        <w:spacing w:line="240" w:lineRule="auto"/>
        <w:ind w:left="567" w:hanging="567"/>
        <w:rPr>
          <w:szCs w:val="22"/>
          <w:lang w:val="lt-LT"/>
        </w:rPr>
      </w:pPr>
      <w:r w:rsidRPr="004B0C8F">
        <w:rPr>
          <w:b/>
          <w:noProof/>
          <w:szCs w:val="22"/>
          <w:lang w:val="lt-LT"/>
        </w:rPr>
        <w:t>B.</w:t>
      </w:r>
      <w:r w:rsidRPr="004B0C8F">
        <w:rPr>
          <w:b/>
          <w:szCs w:val="22"/>
          <w:lang w:val="lt-LT"/>
        </w:rPr>
        <w:tab/>
      </w:r>
      <w:r w:rsidRPr="004B0C8F">
        <w:rPr>
          <w:b/>
          <w:noProof/>
          <w:szCs w:val="22"/>
          <w:lang w:val="lt-LT"/>
        </w:rPr>
        <w:t>TIEKIMO IR VARTOJIMO SĄLYGOS AR APRIBOJIMAI</w:t>
      </w:r>
    </w:p>
    <w:p w14:paraId="1CA0712E" w14:textId="77777777" w:rsidR="00F34163" w:rsidRPr="004B0C8F" w:rsidRDefault="00F34163" w:rsidP="003B28E4">
      <w:pPr>
        <w:tabs>
          <w:tab w:val="left" w:pos="4680"/>
        </w:tabs>
        <w:spacing w:line="240" w:lineRule="auto"/>
        <w:rPr>
          <w:szCs w:val="22"/>
          <w:lang w:val="lt-LT"/>
        </w:rPr>
      </w:pPr>
    </w:p>
    <w:p w14:paraId="5222ACFA" w14:textId="77777777" w:rsidR="00F34163" w:rsidRPr="004B0C8F" w:rsidRDefault="00F34163" w:rsidP="003B28E4">
      <w:pPr>
        <w:tabs>
          <w:tab w:val="left" w:pos="4680"/>
        </w:tabs>
        <w:spacing w:line="240" w:lineRule="auto"/>
        <w:rPr>
          <w:szCs w:val="22"/>
          <w:lang w:val="lt-LT"/>
        </w:rPr>
      </w:pPr>
      <w:r w:rsidRPr="004B0C8F">
        <w:rPr>
          <w:szCs w:val="22"/>
          <w:lang w:val="lt-LT"/>
        </w:rPr>
        <w:t>Receptinis vaistinis preparatas</w:t>
      </w:r>
      <w:r w:rsidR="00655AB5" w:rsidRPr="004B0C8F">
        <w:rPr>
          <w:szCs w:val="22"/>
          <w:lang w:val="lt-LT"/>
        </w:rPr>
        <w:t>.</w:t>
      </w:r>
    </w:p>
    <w:p w14:paraId="1752E6AA" w14:textId="77777777" w:rsidR="00B52088" w:rsidRPr="004B0C8F" w:rsidRDefault="00B52088" w:rsidP="003B28E4">
      <w:pPr>
        <w:pStyle w:val="Paprastasistekstas"/>
        <w:tabs>
          <w:tab w:val="left" w:pos="4680"/>
          <w:tab w:val="left" w:pos="4962"/>
        </w:tabs>
        <w:rPr>
          <w:rFonts w:ascii="Times New Roman" w:hAnsi="Times New Roman"/>
          <w:sz w:val="22"/>
          <w:lang w:val="lt-LT"/>
        </w:rPr>
      </w:pPr>
    </w:p>
    <w:p w14:paraId="6267B430" w14:textId="77777777" w:rsidR="00B52088" w:rsidRPr="004B0C8F" w:rsidRDefault="00B52088" w:rsidP="003B28E4">
      <w:pPr>
        <w:pStyle w:val="NormalAgency"/>
        <w:tabs>
          <w:tab w:val="left" w:pos="4680"/>
        </w:tabs>
        <w:rPr>
          <w:rFonts w:ascii="Times New Roman" w:eastAsia="SimSun" w:hAnsi="Times New Roman"/>
          <w:snapToGrid/>
          <w:sz w:val="22"/>
          <w:szCs w:val="20"/>
          <w:lang w:val="lt-LT" w:eastAsia="x-none"/>
        </w:rPr>
      </w:pPr>
    </w:p>
    <w:p w14:paraId="3F788AA0" w14:textId="77777777" w:rsidR="00E56AAB" w:rsidRPr="004B0C8F" w:rsidRDefault="00655AB5" w:rsidP="003B28E4">
      <w:pPr>
        <w:pStyle w:val="Paprastasistekstas"/>
        <w:tabs>
          <w:tab w:val="left" w:pos="4680"/>
          <w:tab w:val="left" w:pos="4962"/>
        </w:tabs>
        <w:rPr>
          <w:color w:val="000000"/>
          <w:sz w:val="22"/>
          <w:szCs w:val="22"/>
          <w:lang w:val="lt-LT"/>
        </w:rPr>
      </w:pPr>
      <w:r w:rsidRPr="004B0C8F">
        <w:rPr>
          <w:rFonts w:ascii="Times New Roman" w:hAnsi="Times New Roman"/>
          <w:b/>
          <w:noProof/>
          <w:sz w:val="22"/>
          <w:szCs w:val="22"/>
          <w:lang w:val="lt-LT"/>
        </w:rPr>
        <w:br w:type="page"/>
      </w:r>
      <w:r w:rsidR="00F34163" w:rsidRPr="004B0C8F">
        <w:rPr>
          <w:rFonts w:ascii="Times New Roman" w:hAnsi="Times New Roman"/>
          <w:b/>
          <w:sz w:val="22"/>
          <w:szCs w:val="22"/>
          <w:lang w:val="lt-LT"/>
        </w:rPr>
        <w:lastRenderedPageBreak/>
        <w:t xml:space="preserve">               </w:t>
      </w:r>
      <w:r w:rsidR="000A79DC" w:rsidRPr="004B0C8F">
        <w:rPr>
          <w:rFonts w:ascii="Times New Roman" w:hAnsi="Times New Roman"/>
          <w:b/>
          <w:sz w:val="22"/>
          <w:szCs w:val="22"/>
          <w:lang w:val="lt-LT"/>
        </w:rPr>
        <w:t xml:space="preserve">                       </w:t>
      </w:r>
      <w:r w:rsidR="001A3DF1" w:rsidRPr="004B0C8F">
        <w:rPr>
          <w:rFonts w:ascii="Times New Roman" w:hAnsi="Times New Roman"/>
          <w:b/>
          <w:sz w:val="22"/>
          <w:szCs w:val="22"/>
          <w:lang w:val="lt-LT"/>
        </w:rPr>
        <w:tab/>
      </w:r>
    </w:p>
    <w:p w14:paraId="0E6AF944" w14:textId="77777777" w:rsidR="00F34163" w:rsidRPr="004B0C8F" w:rsidRDefault="00F34163" w:rsidP="003B28E4">
      <w:pPr>
        <w:pStyle w:val="Paprastasistekstas"/>
        <w:tabs>
          <w:tab w:val="left" w:pos="4680"/>
          <w:tab w:val="left" w:pos="4962"/>
        </w:tabs>
        <w:rPr>
          <w:rFonts w:ascii="Times New Roman" w:hAnsi="Times New Roman"/>
          <w:noProof/>
          <w:sz w:val="22"/>
          <w:szCs w:val="22"/>
          <w:lang w:val="lt-LT"/>
        </w:rPr>
      </w:pPr>
    </w:p>
    <w:p w14:paraId="38E950B6" w14:textId="77777777" w:rsidR="00F34163" w:rsidRPr="004B0C8F" w:rsidRDefault="00F34163" w:rsidP="003B28E4">
      <w:pPr>
        <w:tabs>
          <w:tab w:val="left" w:pos="4680"/>
        </w:tabs>
        <w:spacing w:line="240" w:lineRule="auto"/>
        <w:rPr>
          <w:szCs w:val="22"/>
          <w:lang w:val="lt-LT"/>
        </w:rPr>
      </w:pPr>
    </w:p>
    <w:p w14:paraId="69CA39FF" w14:textId="77777777" w:rsidR="00F34163" w:rsidRPr="004B0C8F" w:rsidRDefault="00F34163" w:rsidP="003B28E4">
      <w:pPr>
        <w:tabs>
          <w:tab w:val="left" w:pos="4680"/>
        </w:tabs>
        <w:spacing w:line="240" w:lineRule="auto"/>
        <w:rPr>
          <w:szCs w:val="22"/>
          <w:lang w:val="lt-LT"/>
        </w:rPr>
      </w:pPr>
    </w:p>
    <w:p w14:paraId="0E1FCA59" w14:textId="77777777" w:rsidR="00F34163" w:rsidRPr="004B0C8F" w:rsidRDefault="00F34163" w:rsidP="003B28E4">
      <w:pPr>
        <w:tabs>
          <w:tab w:val="left" w:pos="4680"/>
        </w:tabs>
        <w:spacing w:line="240" w:lineRule="auto"/>
        <w:rPr>
          <w:szCs w:val="22"/>
          <w:lang w:val="lt-LT"/>
        </w:rPr>
      </w:pPr>
    </w:p>
    <w:p w14:paraId="74A28295" w14:textId="77777777" w:rsidR="00F34163" w:rsidRPr="004B0C8F" w:rsidRDefault="00F34163" w:rsidP="003B28E4">
      <w:pPr>
        <w:tabs>
          <w:tab w:val="left" w:pos="4680"/>
        </w:tabs>
        <w:spacing w:line="240" w:lineRule="auto"/>
        <w:rPr>
          <w:szCs w:val="22"/>
          <w:lang w:val="lt-LT"/>
        </w:rPr>
      </w:pPr>
    </w:p>
    <w:p w14:paraId="19788E8F" w14:textId="77777777" w:rsidR="00F34163" w:rsidRPr="004B0C8F" w:rsidRDefault="00F34163" w:rsidP="003B28E4">
      <w:pPr>
        <w:tabs>
          <w:tab w:val="left" w:pos="4680"/>
        </w:tabs>
        <w:spacing w:line="240" w:lineRule="auto"/>
        <w:rPr>
          <w:szCs w:val="22"/>
          <w:lang w:val="lt-LT"/>
        </w:rPr>
      </w:pPr>
    </w:p>
    <w:p w14:paraId="4101C450" w14:textId="77777777" w:rsidR="00F34163" w:rsidRPr="004B0C8F" w:rsidRDefault="00F34163" w:rsidP="003B28E4">
      <w:pPr>
        <w:tabs>
          <w:tab w:val="left" w:pos="4680"/>
        </w:tabs>
        <w:spacing w:line="240" w:lineRule="auto"/>
        <w:rPr>
          <w:szCs w:val="22"/>
          <w:lang w:val="lt-LT"/>
        </w:rPr>
      </w:pPr>
    </w:p>
    <w:p w14:paraId="7BD50C06" w14:textId="77777777" w:rsidR="00F34163" w:rsidRPr="004B0C8F" w:rsidRDefault="00F34163" w:rsidP="003B28E4">
      <w:pPr>
        <w:tabs>
          <w:tab w:val="left" w:pos="4680"/>
        </w:tabs>
        <w:spacing w:line="240" w:lineRule="auto"/>
        <w:rPr>
          <w:szCs w:val="22"/>
          <w:lang w:val="lt-LT"/>
        </w:rPr>
      </w:pPr>
    </w:p>
    <w:p w14:paraId="373B2FA7" w14:textId="77777777" w:rsidR="00F34163" w:rsidRPr="004B0C8F" w:rsidRDefault="00F34163" w:rsidP="003B28E4">
      <w:pPr>
        <w:tabs>
          <w:tab w:val="left" w:pos="4680"/>
        </w:tabs>
        <w:spacing w:line="240" w:lineRule="auto"/>
        <w:rPr>
          <w:szCs w:val="22"/>
          <w:lang w:val="lt-LT"/>
        </w:rPr>
      </w:pPr>
    </w:p>
    <w:p w14:paraId="749FDBAD" w14:textId="77777777" w:rsidR="00F34163" w:rsidRPr="004B0C8F" w:rsidRDefault="00F34163" w:rsidP="003B28E4">
      <w:pPr>
        <w:tabs>
          <w:tab w:val="left" w:pos="4680"/>
        </w:tabs>
        <w:spacing w:line="240" w:lineRule="auto"/>
        <w:rPr>
          <w:szCs w:val="22"/>
          <w:lang w:val="lt-LT"/>
        </w:rPr>
      </w:pPr>
    </w:p>
    <w:p w14:paraId="33BB7D06" w14:textId="77777777" w:rsidR="00F34163" w:rsidRPr="004B0C8F" w:rsidRDefault="00F34163" w:rsidP="003B28E4">
      <w:pPr>
        <w:tabs>
          <w:tab w:val="left" w:pos="4680"/>
        </w:tabs>
        <w:spacing w:line="240" w:lineRule="auto"/>
        <w:rPr>
          <w:szCs w:val="22"/>
          <w:lang w:val="lt-LT"/>
        </w:rPr>
      </w:pPr>
    </w:p>
    <w:p w14:paraId="3AB82EB7" w14:textId="77777777" w:rsidR="00F34163" w:rsidRPr="004B0C8F" w:rsidRDefault="00F34163" w:rsidP="003B28E4">
      <w:pPr>
        <w:tabs>
          <w:tab w:val="left" w:pos="4680"/>
        </w:tabs>
        <w:spacing w:line="240" w:lineRule="auto"/>
        <w:rPr>
          <w:szCs w:val="22"/>
          <w:lang w:val="lt-LT"/>
        </w:rPr>
      </w:pPr>
    </w:p>
    <w:p w14:paraId="46E4ECA9" w14:textId="77777777" w:rsidR="00F34163" w:rsidRPr="004B0C8F" w:rsidRDefault="00F34163" w:rsidP="003B28E4">
      <w:pPr>
        <w:tabs>
          <w:tab w:val="left" w:pos="4680"/>
        </w:tabs>
        <w:spacing w:line="240" w:lineRule="auto"/>
        <w:rPr>
          <w:szCs w:val="22"/>
          <w:lang w:val="lt-LT"/>
        </w:rPr>
      </w:pPr>
    </w:p>
    <w:p w14:paraId="5757E27D" w14:textId="77777777" w:rsidR="00F34163" w:rsidRPr="004B0C8F" w:rsidRDefault="00F34163" w:rsidP="003B28E4">
      <w:pPr>
        <w:tabs>
          <w:tab w:val="left" w:pos="4680"/>
        </w:tabs>
        <w:spacing w:line="240" w:lineRule="auto"/>
        <w:rPr>
          <w:szCs w:val="22"/>
          <w:lang w:val="lt-LT"/>
        </w:rPr>
      </w:pPr>
    </w:p>
    <w:p w14:paraId="6198C01B" w14:textId="77777777" w:rsidR="00F34163" w:rsidRPr="004B0C8F" w:rsidRDefault="00F34163" w:rsidP="003B28E4">
      <w:pPr>
        <w:tabs>
          <w:tab w:val="left" w:pos="4680"/>
        </w:tabs>
        <w:spacing w:line="240" w:lineRule="auto"/>
        <w:rPr>
          <w:szCs w:val="22"/>
          <w:lang w:val="lt-LT"/>
        </w:rPr>
      </w:pPr>
    </w:p>
    <w:p w14:paraId="3C0EBED3" w14:textId="77777777" w:rsidR="00F34163" w:rsidRPr="004B0C8F" w:rsidRDefault="00F34163" w:rsidP="003B28E4">
      <w:pPr>
        <w:tabs>
          <w:tab w:val="left" w:pos="4680"/>
        </w:tabs>
        <w:spacing w:line="240" w:lineRule="auto"/>
        <w:rPr>
          <w:szCs w:val="22"/>
          <w:lang w:val="lt-LT"/>
        </w:rPr>
      </w:pPr>
    </w:p>
    <w:p w14:paraId="1CBB7787" w14:textId="77777777" w:rsidR="00F34163" w:rsidRPr="004B0C8F" w:rsidRDefault="00F34163" w:rsidP="003B28E4">
      <w:pPr>
        <w:tabs>
          <w:tab w:val="left" w:pos="4680"/>
        </w:tabs>
        <w:spacing w:line="240" w:lineRule="auto"/>
        <w:rPr>
          <w:szCs w:val="22"/>
          <w:lang w:val="lt-LT"/>
        </w:rPr>
      </w:pPr>
    </w:p>
    <w:p w14:paraId="5EE52579" w14:textId="77777777" w:rsidR="00F34163" w:rsidRPr="004B0C8F" w:rsidRDefault="00F34163" w:rsidP="003B28E4">
      <w:pPr>
        <w:tabs>
          <w:tab w:val="left" w:pos="4680"/>
        </w:tabs>
        <w:spacing w:line="240" w:lineRule="auto"/>
        <w:outlineLvl w:val="0"/>
        <w:rPr>
          <w:b/>
          <w:szCs w:val="22"/>
          <w:lang w:val="lt-LT"/>
        </w:rPr>
      </w:pPr>
    </w:p>
    <w:p w14:paraId="17DB6BFA" w14:textId="77777777" w:rsidR="00F34163" w:rsidRPr="004B0C8F" w:rsidRDefault="00F34163" w:rsidP="003B28E4">
      <w:pPr>
        <w:tabs>
          <w:tab w:val="left" w:pos="4680"/>
        </w:tabs>
        <w:spacing w:line="240" w:lineRule="auto"/>
        <w:outlineLvl w:val="0"/>
        <w:rPr>
          <w:b/>
          <w:szCs w:val="22"/>
          <w:lang w:val="lt-LT"/>
        </w:rPr>
      </w:pPr>
    </w:p>
    <w:p w14:paraId="57CA0134" w14:textId="77777777" w:rsidR="00F34163" w:rsidRPr="004B0C8F" w:rsidRDefault="00F34163" w:rsidP="003B28E4">
      <w:pPr>
        <w:tabs>
          <w:tab w:val="left" w:pos="4680"/>
        </w:tabs>
        <w:spacing w:line="240" w:lineRule="auto"/>
        <w:outlineLvl w:val="0"/>
        <w:rPr>
          <w:b/>
          <w:szCs w:val="22"/>
          <w:lang w:val="lt-LT"/>
        </w:rPr>
      </w:pPr>
    </w:p>
    <w:p w14:paraId="7B9D083F" w14:textId="77777777" w:rsidR="00F34163" w:rsidRPr="004B0C8F" w:rsidRDefault="00F34163" w:rsidP="003B28E4">
      <w:pPr>
        <w:tabs>
          <w:tab w:val="left" w:pos="4680"/>
        </w:tabs>
        <w:spacing w:line="240" w:lineRule="auto"/>
        <w:outlineLvl w:val="0"/>
        <w:rPr>
          <w:b/>
          <w:szCs w:val="22"/>
          <w:lang w:val="lt-LT"/>
        </w:rPr>
      </w:pPr>
    </w:p>
    <w:p w14:paraId="5252495A" w14:textId="77777777" w:rsidR="00F34163" w:rsidRPr="004B0C8F" w:rsidRDefault="00F34163" w:rsidP="003B28E4">
      <w:pPr>
        <w:tabs>
          <w:tab w:val="left" w:pos="4680"/>
        </w:tabs>
        <w:spacing w:line="240" w:lineRule="auto"/>
        <w:outlineLvl w:val="0"/>
        <w:rPr>
          <w:b/>
          <w:szCs w:val="22"/>
          <w:lang w:val="lt-LT"/>
        </w:rPr>
      </w:pPr>
    </w:p>
    <w:p w14:paraId="39D4F443" w14:textId="77777777" w:rsidR="00F34163" w:rsidRPr="004B0C8F" w:rsidRDefault="00F34163" w:rsidP="003B28E4">
      <w:pPr>
        <w:pStyle w:val="Antrat2"/>
        <w:tabs>
          <w:tab w:val="left" w:pos="4680"/>
        </w:tabs>
        <w:spacing w:before="0" w:after="0" w:line="240" w:lineRule="auto"/>
        <w:jc w:val="center"/>
        <w:rPr>
          <w:rFonts w:ascii="Times New Roman" w:hAnsi="Times New Roman"/>
          <w:bCs w:val="0"/>
          <w:i w:val="0"/>
          <w:iCs w:val="0"/>
          <w:sz w:val="22"/>
          <w:szCs w:val="22"/>
          <w:lang w:val="lt-LT"/>
        </w:rPr>
      </w:pPr>
      <w:r w:rsidRPr="004B0C8F">
        <w:rPr>
          <w:rFonts w:ascii="Times New Roman" w:hAnsi="Times New Roman"/>
          <w:i w:val="0"/>
          <w:sz w:val="22"/>
          <w:szCs w:val="22"/>
          <w:lang w:val="lt-LT"/>
        </w:rPr>
        <w:t>III PRIEDAS</w:t>
      </w:r>
    </w:p>
    <w:p w14:paraId="39AB7DC4" w14:textId="77777777" w:rsidR="00F34163" w:rsidRPr="004B0C8F" w:rsidRDefault="00F34163" w:rsidP="003B28E4">
      <w:pPr>
        <w:tabs>
          <w:tab w:val="left" w:pos="4680"/>
        </w:tabs>
        <w:spacing w:line="240" w:lineRule="auto"/>
        <w:rPr>
          <w:szCs w:val="22"/>
          <w:lang w:val="lt-LT"/>
        </w:rPr>
      </w:pPr>
    </w:p>
    <w:p w14:paraId="0304905D" w14:textId="77777777" w:rsidR="00F34163" w:rsidRPr="004B0C8F" w:rsidRDefault="00F34163" w:rsidP="003B28E4">
      <w:pPr>
        <w:pStyle w:val="Antrat2"/>
        <w:tabs>
          <w:tab w:val="left" w:pos="4680"/>
        </w:tabs>
        <w:spacing w:before="0" w:after="0" w:line="240" w:lineRule="auto"/>
        <w:jc w:val="center"/>
        <w:rPr>
          <w:rFonts w:ascii="Times New Roman" w:hAnsi="Times New Roman"/>
          <w:bCs w:val="0"/>
          <w:i w:val="0"/>
          <w:iCs w:val="0"/>
          <w:sz w:val="22"/>
          <w:szCs w:val="22"/>
          <w:lang w:val="lt-LT"/>
        </w:rPr>
      </w:pPr>
      <w:r w:rsidRPr="004B0C8F">
        <w:rPr>
          <w:rFonts w:ascii="Times New Roman" w:hAnsi="Times New Roman"/>
          <w:i w:val="0"/>
          <w:sz w:val="22"/>
          <w:szCs w:val="22"/>
          <w:lang w:val="lt-LT"/>
        </w:rPr>
        <w:t>ŽENKLINIMAS IR PAKUOTĖS LAPELIS</w:t>
      </w:r>
    </w:p>
    <w:p w14:paraId="6122F030" w14:textId="77777777" w:rsidR="00F34163" w:rsidRPr="004B0C8F" w:rsidRDefault="00F34163" w:rsidP="003B28E4">
      <w:pPr>
        <w:tabs>
          <w:tab w:val="left" w:pos="4680"/>
        </w:tabs>
        <w:spacing w:line="240" w:lineRule="auto"/>
        <w:rPr>
          <w:szCs w:val="22"/>
          <w:lang w:val="lt-LT"/>
        </w:rPr>
      </w:pPr>
      <w:r w:rsidRPr="004B0C8F">
        <w:rPr>
          <w:szCs w:val="22"/>
          <w:lang w:val="lt-LT"/>
        </w:rPr>
        <w:br w:type="page"/>
      </w:r>
    </w:p>
    <w:p w14:paraId="14654852" w14:textId="77777777" w:rsidR="00F34163" w:rsidRPr="004B0C8F" w:rsidRDefault="00F34163" w:rsidP="003B28E4">
      <w:pPr>
        <w:tabs>
          <w:tab w:val="left" w:pos="4680"/>
        </w:tabs>
        <w:spacing w:line="240" w:lineRule="auto"/>
        <w:rPr>
          <w:szCs w:val="22"/>
          <w:lang w:val="lt-LT"/>
        </w:rPr>
      </w:pPr>
    </w:p>
    <w:p w14:paraId="0C9424F8" w14:textId="77777777" w:rsidR="00F34163" w:rsidRPr="004B0C8F" w:rsidRDefault="00F34163" w:rsidP="003B28E4">
      <w:pPr>
        <w:tabs>
          <w:tab w:val="left" w:pos="4680"/>
        </w:tabs>
        <w:spacing w:line="240" w:lineRule="auto"/>
        <w:rPr>
          <w:szCs w:val="22"/>
          <w:lang w:val="lt-LT"/>
        </w:rPr>
      </w:pPr>
    </w:p>
    <w:p w14:paraId="2A5AF3E5" w14:textId="77777777" w:rsidR="00F34163" w:rsidRPr="004B0C8F" w:rsidRDefault="00F34163" w:rsidP="003B28E4">
      <w:pPr>
        <w:tabs>
          <w:tab w:val="left" w:pos="4680"/>
        </w:tabs>
        <w:spacing w:line="240" w:lineRule="auto"/>
        <w:rPr>
          <w:szCs w:val="22"/>
          <w:lang w:val="lt-LT"/>
        </w:rPr>
      </w:pPr>
    </w:p>
    <w:p w14:paraId="7E4B5BB3" w14:textId="77777777" w:rsidR="00F34163" w:rsidRPr="004B0C8F" w:rsidRDefault="00F34163" w:rsidP="003B28E4">
      <w:pPr>
        <w:tabs>
          <w:tab w:val="left" w:pos="4680"/>
        </w:tabs>
        <w:spacing w:line="240" w:lineRule="auto"/>
        <w:rPr>
          <w:szCs w:val="22"/>
          <w:lang w:val="lt-LT"/>
        </w:rPr>
      </w:pPr>
    </w:p>
    <w:p w14:paraId="2C09D51E" w14:textId="77777777" w:rsidR="00F34163" w:rsidRPr="004B0C8F" w:rsidRDefault="00F34163" w:rsidP="003B28E4">
      <w:pPr>
        <w:tabs>
          <w:tab w:val="left" w:pos="4680"/>
        </w:tabs>
        <w:spacing w:line="240" w:lineRule="auto"/>
        <w:rPr>
          <w:szCs w:val="22"/>
          <w:lang w:val="lt-LT"/>
        </w:rPr>
      </w:pPr>
    </w:p>
    <w:p w14:paraId="1041B9BE" w14:textId="77777777" w:rsidR="00F34163" w:rsidRPr="004B0C8F" w:rsidRDefault="00F34163" w:rsidP="003B28E4">
      <w:pPr>
        <w:tabs>
          <w:tab w:val="left" w:pos="4680"/>
        </w:tabs>
        <w:spacing w:line="240" w:lineRule="auto"/>
        <w:rPr>
          <w:szCs w:val="22"/>
          <w:lang w:val="lt-LT"/>
        </w:rPr>
      </w:pPr>
    </w:p>
    <w:p w14:paraId="447F5955" w14:textId="77777777" w:rsidR="00F34163" w:rsidRPr="004B0C8F" w:rsidRDefault="00F34163" w:rsidP="003B28E4">
      <w:pPr>
        <w:tabs>
          <w:tab w:val="left" w:pos="4680"/>
        </w:tabs>
        <w:spacing w:line="240" w:lineRule="auto"/>
        <w:rPr>
          <w:szCs w:val="22"/>
          <w:lang w:val="lt-LT"/>
        </w:rPr>
      </w:pPr>
    </w:p>
    <w:p w14:paraId="6492EB44" w14:textId="77777777" w:rsidR="00F34163" w:rsidRPr="004B0C8F" w:rsidRDefault="00F34163" w:rsidP="003B28E4">
      <w:pPr>
        <w:tabs>
          <w:tab w:val="left" w:pos="4680"/>
        </w:tabs>
        <w:spacing w:line="240" w:lineRule="auto"/>
        <w:rPr>
          <w:szCs w:val="22"/>
          <w:lang w:val="lt-LT"/>
        </w:rPr>
      </w:pPr>
    </w:p>
    <w:p w14:paraId="7358844A" w14:textId="77777777" w:rsidR="00F34163" w:rsidRPr="004B0C8F" w:rsidRDefault="00F34163" w:rsidP="003B28E4">
      <w:pPr>
        <w:tabs>
          <w:tab w:val="left" w:pos="4680"/>
        </w:tabs>
        <w:spacing w:line="240" w:lineRule="auto"/>
        <w:rPr>
          <w:szCs w:val="22"/>
          <w:lang w:val="lt-LT"/>
        </w:rPr>
      </w:pPr>
    </w:p>
    <w:p w14:paraId="25D7FD00" w14:textId="77777777" w:rsidR="00F34163" w:rsidRPr="004B0C8F" w:rsidRDefault="00F34163" w:rsidP="003B28E4">
      <w:pPr>
        <w:tabs>
          <w:tab w:val="left" w:pos="4680"/>
        </w:tabs>
        <w:spacing w:line="240" w:lineRule="auto"/>
        <w:rPr>
          <w:szCs w:val="22"/>
          <w:lang w:val="lt-LT"/>
        </w:rPr>
      </w:pPr>
    </w:p>
    <w:p w14:paraId="6A11B50D" w14:textId="77777777" w:rsidR="00F34163" w:rsidRPr="004B0C8F" w:rsidRDefault="00F34163" w:rsidP="003B28E4">
      <w:pPr>
        <w:tabs>
          <w:tab w:val="left" w:pos="4680"/>
        </w:tabs>
        <w:spacing w:line="240" w:lineRule="auto"/>
        <w:rPr>
          <w:szCs w:val="22"/>
          <w:lang w:val="lt-LT"/>
        </w:rPr>
      </w:pPr>
    </w:p>
    <w:p w14:paraId="445B9B93" w14:textId="77777777" w:rsidR="00F34163" w:rsidRPr="004B0C8F" w:rsidRDefault="00F34163" w:rsidP="003B28E4">
      <w:pPr>
        <w:tabs>
          <w:tab w:val="left" w:pos="4680"/>
        </w:tabs>
        <w:spacing w:line="240" w:lineRule="auto"/>
        <w:rPr>
          <w:szCs w:val="22"/>
          <w:lang w:val="lt-LT"/>
        </w:rPr>
      </w:pPr>
    </w:p>
    <w:p w14:paraId="096C26CE" w14:textId="77777777" w:rsidR="00F34163" w:rsidRPr="004B0C8F" w:rsidRDefault="00F34163" w:rsidP="003B28E4">
      <w:pPr>
        <w:tabs>
          <w:tab w:val="left" w:pos="4680"/>
        </w:tabs>
        <w:spacing w:line="240" w:lineRule="auto"/>
        <w:rPr>
          <w:szCs w:val="22"/>
          <w:lang w:val="lt-LT"/>
        </w:rPr>
      </w:pPr>
    </w:p>
    <w:p w14:paraId="15195C7E" w14:textId="77777777" w:rsidR="00F34163" w:rsidRPr="004B0C8F" w:rsidRDefault="00F34163" w:rsidP="003B28E4">
      <w:pPr>
        <w:tabs>
          <w:tab w:val="left" w:pos="4680"/>
        </w:tabs>
        <w:spacing w:line="240" w:lineRule="auto"/>
        <w:rPr>
          <w:szCs w:val="22"/>
          <w:lang w:val="lt-LT"/>
        </w:rPr>
      </w:pPr>
    </w:p>
    <w:p w14:paraId="08FE1555" w14:textId="77777777" w:rsidR="00F34163" w:rsidRPr="004B0C8F" w:rsidRDefault="00F34163" w:rsidP="003B28E4">
      <w:pPr>
        <w:tabs>
          <w:tab w:val="left" w:pos="4680"/>
        </w:tabs>
        <w:spacing w:line="240" w:lineRule="auto"/>
        <w:rPr>
          <w:szCs w:val="22"/>
          <w:lang w:val="lt-LT"/>
        </w:rPr>
      </w:pPr>
    </w:p>
    <w:p w14:paraId="16852344" w14:textId="77777777" w:rsidR="00F34163" w:rsidRPr="004B0C8F" w:rsidRDefault="00F34163" w:rsidP="003B28E4">
      <w:pPr>
        <w:tabs>
          <w:tab w:val="left" w:pos="4680"/>
        </w:tabs>
        <w:spacing w:line="240" w:lineRule="auto"/>
        <w:rPr>
          <w:szCs w:val="22"/>
          <w:lang w:val="lt-LT"/>
        </w:rPr>
      </w:pPr>
    </w:p>
    <w:p w14:paraId="0CA6A2D3" w14:textId="77777777" w:rsidR="00F34163" w:rsidRPr="004B0C8F" w:rsidRDefault="00F34163" w:rsidP="003B28E4">
      <w:pPr>
        <w:tabs>
          <w:tab w:val="left" w:pos="4680"/>
        </w:tabs>
        <w:spacing w:line="240" w:lineRule="auto"/>
        <w:rPr>
          <w:szCs w:val="22"/>
          <w:lang w:val="lt-LT"/>
        </w:rPr>
      </w:pPr>
    </w:p>
    <w:p w14:paraId="6FC13830" w14:textId="77777777" w:rsidR="00F34163" w:rsidRPr="004B0C8F" w:rsidRDefault="00F34163" w:rsidP="003B28E4">
      <w:pPr>
        <w:tabs>
          <w:tab w:val="left" w:pos="4680"/>
        </w:tabs>
        <w:spacing w:line="240" w:lineRule="auto"/>
        <w:rPr>
          <w:szCs w:val="22"/>
          <w:lang w:val="lt-LT"/>
        </w:rPr>
      </w:pPr>
    </w:p>
    <w:p w14:paraId="62958AD6" w14:textId="77777777" w:rsidR="00F34163" w:rsidRPr="004B0C8F" w:rsidRDefault="00F34163" w:rsidP="003B28E4">
      <w:pPr>
        <w:tabs>
          <w:tab w:val="left" w:pos="4680"/>
        </w:tabs>
        <w:spacing w:line="240" w:lineRule="auto"/>
        <w:rPr>
          <w:szCs w:val="22"/>
          <w:lang w:val="lt-LT"/>
        </w:rPr>
      </w:pPr>
    </w:p>
    <w:p w14:paraId="1DFC2842" w14:textId="77777777" w:rsidR="00F34163" w:rsidRPr="004B0C8F" w:rsidRDefault="00F34163" w:rsidP="003B28E4">
      <w:pPr>
        <w:tabs>
          <w:tab w:val="left" w:pos="4680"/>
        </w:tabs>
        <w:spacing w:line="240" w:lineRule="auto"/>
        <w:rPr>
          <w:szCs w:val="22"/>
          <w:lang w:val="lt-LT"/>
        </w:rPr>
      </w:pPr>
    </w:p>
    <w:p w14:paraId="6DA130C2" w14:textId="77777777" w:rsidR="00F34163" w:rsidRPr="004B0C8F" w:rsidRDefault="00F34163" w:rsidP="003B28E4">
      <w:pPr>
        <w:tabs>
          <w:tab w:val="left" w:pos="4680"/>
        </w:tabs>
        <w:spacing w:line="240" w:lineRule="auto"/>
        <w:rPr>
          <w:szCs w:val="22"/>
          <w:lang w:val="lt-LT"/>
        </w:rPr>
      </w:pPr>
    </w:p>
    <w:p w14:paraId="5BD878F0" w14:textId="77777777" w:rsidR="00F34163" w:rsidRPr="004B0C8F" w:rsidRDefault="00F34163" w:rsidP="003B28E4">
      <w:pPr>
        <w:tabs>
          <w:tab w:val="left" w:pos="4680"/>
        </w:tabs>
        <w:spacing w:line="240" w:lineRule="auto"/>
        <w:rPr>
          <w:szCs w:val="22"/>
          <w:lang w:val="lt-LT"/>
        </w:rPr>
      </w:pPr>
    </w:p>
    <w:p w14:paraId="1AA46FC6" w14:textId="77777777" w:rsidR="00F34163" w:rsidRPr="004B0C8F" w:rsidRDefault="00F34163" w:rsidP="003B28E4">
      <w:pPr>
        <w:pStyle w:val="Antrat2"/>
        <w:tabs>
          <w:tab w:val="left" w:pos="4680"/>
        </w:tabs>
        <w:spacing w:before="0" w:after="0" w:line="240" w:lineRule="auto"/>
        <w:jc w:val="center"/>
        <w:rPr>
          <w:rFonts w:ascii="Times New Roman" w:hAnsi="Times New Roman"/>
          <w:bCs w:val="0"/>
          <w:i w:val="0"/>
          <w:iCs w:val="0"/>
          <w:sz w:val="22"/>
          <w:szCs w:val="22"/>
          <w:lang w:val="lt-LT"/>
        </w:rPr>
      </w:pPr>
      <w:r w:rsidRPr="004B0C8F">
        <w:rPr>
          <w:rFonts w:ascii="Times New Roman" w:hAnsi="Times New Roman"/>
          <w:i w:val="0"/>
          <w:sz w:val="22"/>
          <w:szCs w:val="22"/>
          <w:lang w:val="lt-LT"/>
        </w:rPr>
        <w:t>A. ŽENKLINIMAS</w:t>
      </w:r>
    </w:p>
    <w:p w14:paraId="3160B794" w14:textId="77777777" w:rsidR="00655AB5" w:rsidRPr="004B0C8F" w:rsidRDefault="00F34163" w:rsidP="00655AB5">
      <w:pPr>
        <w:rPr>
          <w:szCs w:val="24"/>
          <w:lang w:val="lt-LT"/>
        </w:rPr>
      </w:pPr>
      <w:r w:rsidRPr="004B0C8F">
        <w:rPr>
          <w:szCs w:val="22"/>
          <w:lang w:val="lt-LT"/>
        </w:rPr>
        <w:br w:type="page"/>
      </w:r>
    </w:p>
    <w:p w14:paraId="666F6887" w14:textId="77777777" w:rsidR="00655AB5" w:rsidRPr="004B0C8F" w:rsidRDefault="00655AB5" w:rsidP="00655AB5">
      <w:pPr>
        <w:pBdr>
          <w:top w:val="single" w:sz="4" w:space="1" w:color="auto"/>
          <w:left w:val="single" w:sz="4" w:space="4" w:color="auto"/>
          <w:bottom w:val="single" w:sz="4" w:space="1" w:color="auto"/>
          <w:right w:val="single" w:sz="4" w:space="4" w:color="auto"/>
        </w:pBdr>
        <w:spacing w:line="240" w:lineRule="auto"/>
        <w:rPr>
          <w:b/>
          <w:szCs w:val="24"/>
          <w:lang w:val="lt-LT"/>
        </w:rPr>
      </w:pPr>
      <w:r w:rsidRPr="004B0C8F">
        <w:rPr>
          <w:b/>
          <w:noProof/>
          <w:szCs w:val="24"/>
          <w:lang w:val="lt-LT"/>
        </w:rPr>
        <w:lastRenderedPageBreak/>
        <w:t>INFORMACIJA ANT IŠORINĖS</w:t>
      </w:r>
      <w:r w:rsidR="00F52997" w:rsidRPr="004B0C8F">
        <w:rPr>
          <w:b/>
          <w:noProof/>
          <w:szCs w:val="24"/>
          <w:lang w:val="lt-LT"/>
        </w:rPr>
        <w:t xml:space="preserve"> </w:t>
      </w:r>
      <w:r w:rsidRPr="004B0C8F">
        <w:rPr>
          <w:b/>
          <w:noProof/>
          <w:szCs w:val="24"/>
          <w:lang w:val="lt-LT"/>
        </w:rPr>
        <w:t>PAKUOTĖS</w:t>
      </w:r>
    </w:p>
    <w:p w14:paraId="5B09F2FC" w14:textId="77777777" w:rsidR="00655AB5" w:rsidRPr="004B0C8F" w:rsidRDefault="00655AB5" w:rsidP="00655AB5">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27BB95A0" w14:textId="77777777" w:rsidR="00655AB5" w:rsidRPr="004B0C8F" w:rsidRDefault="00F52997" w:rsidP="00655AB5">
      <w:pPr>
        <w:pBdr>
          <w:top w:val="single" w:sz="4" w:space="1" w:color="auto"/>
          <w:left w:val="single" w:sz="4" w:space="4" w:color="auto"/>
          <w:bottom w:val="single" w:sz="4" w:space="1" w:color="auto"/>
          <w:right w:val="single" w:sz="4" w:space="4" w:color="auto"/>
        </w:pBdr>
        <w:spacing w:line="240" w:lineRule="auto"/>
        <w:rPr>
          <w:b/>
          <w:szCs w:val="24"/>
          <w:lang w:val="lt-LT"/>
        </w:rPr>
      </w:pPr>
      <w:r w:rsidRPr="004B0C8F">
        <w:rPr>
          <w:b/>
          <w:noProof/>
          <w:szCs w:val="24"/>
          <w:lang w:val="lt-LT"/>
        </w:rPr>
        <w:t>KARTONO DĖŽUTĖ</w:t>
      </w:r>
    </w:p>
    <w:p w14:paraId="6267DA10" w14:textId="77777777" w:rsidR="00655AB5" w:rsidRPr="004B0C8F" w:rsidRDefault="00655AB5" w:rsidP="00655AB5">
      <w:pPr>
        <w:rPr>
          <w:szCs w:val="24"/>
          <w:lang w:val="lt-LT"/>
        </w:rPr>
      </w:pPr>
    </w:p>
    <w:p w14:paraId="452587D5" w14:textId="77777777" w:rsidR="00273470" w:rsidRPr="004B0C8F" w:rsidRDefault="00273470" w:rsidP="003B28E4">
      <w:pPr>
        <w:tabs>
          <w:tab w:val="left" w:pos="4680"/>
        </w:tabs>
        <w:spacing w:line="240" w:lineRule="auto"/>
        <w:rPr>
          <w:lang w:val="lt-LT"/>
        </w:rPr>
      </w:pPr>
      <w:r w:rsidRPr="004B0C8F">
        <w:rPr>
          <w:lang w:val="lt-LT"/>
        </w:rPr>
        <w:t xml:space="preserve"> </w:t>
      </w:r>
    </w:p>
    <w:tbl>
      <w:tblPr>
        <w:tblW w:w="8731" w:type="dxa"/>
        <w:tblInd w:w="-103" w:type="dxa"/>
        <w:tblCellMar>
          <w:top w:w="57" w:type="dxa"/>
          <w:left w:w="0" w:type="dxa"/>
          <w:right w:w="115" w:type="dxa"/>
        </w:tblCellMar>
        <w:tblLook w:val="04A0" w:firstRow="1" w:lastRow="0" w:firstColumn="1" w:lastColumn="0" w:noHBand="0" w:noVBand="1"/>
      </w:tblPr>
      <w:tblGrid>
        <w:gridCol w:w="633"/>
        <w:gridCol w:w="8098"/>
      </w:tblGrid>
      <w:tr w:rsidR="00273470" w:rsidRPr="004B0C8F" w14:paraId="4194A7E2" w14:textId="77777777" w:rsidTr="0090398C">
        <w:trPr>
          <w:trHeight w:val="248"/>
        </w:trPr>
        <w:tc>
          <w:tcPr>
            <w:tcW w:w="633" w:type="dxa"/>
            <w:tcBorders>
              <w:top w:val="single" w:sz="4" w:space="0" w:color="000000"/>
              <w:left w:val="single" w:sz="4" w:space="0" w:color="000000"/>
              <w:bottom w:val="single" w:sz="3" w:space="0" w:color="000000"/>
              <w:right w:val="nil"/>
            </w:tcBorders>
            <w:shd w:val="clear" w:color="auto" w:fill="auto"/>
          </w:tcPr>
          <w:p w14:paraId="4BD8BF0F" w14:textId="77777777" w:rsidR="00273470" w:rsidRPr="004A478C" w:rsidRDefault="00273470" w:rsidP="003B28E4">
            <w:pPr>
              <w:tabs>
                <w:tab w:val="left" w:pos="4680"/>
              </w:tabs>
              <w:spacing w:line="240" w:lineRule="auto"/>
              <w:ind w:left="103"/>
              <w:rPr>
                <w:lang w:val="lt-LT"/>
              </w:rPr>
            </w:pPr>
            <w:r w:rsidRPr="004A478C">
              <w:rPr>
                <w:b/>
                <w:lang w:val="lt-LT"/>
              </w:rPr>
              <w:t xml:space="preserve">1. </w:t>
            </w:r>
          </w:p>
        </w:tc>
        <w:tc>
          <w:tcPr>
            <w:tcW w:w="8098" w:type="dxa"/>
            <w:tcBorders>
              <w:top w:val="single" w:sz="4" w:space="0" w:color="000000"/>
              <w:left w:val="nil"/>
              <w:bottom w:val="single" w:sz="3" w:space="0" w:color="000000"/>
              <w:right w:val="single" w:sz="4" w:space="0" w:color="000000"/>
            </w:tcBorders>
            <w:shd w:val="clear" w:color="auto" w:fill="auto"/>
          </w:tcPr>
          <w:p w14:paraId="552683A1" w14:textId="77777777" w:rsidR="00273470" w:rsidRPr="004A478C" w:rsidRDefault="00273470" w:rsidP="003B28E4">
            <w:pPr>
              <w:tabs>
                <w:tab w:val="left" w:pos="4680"/>
              </w:tabs>
              <w:spacing w:line="240" w:lineRule="auto"/>
              <w:rPr>
                <w:lang w:val="lt-LT"/>
              </w:rPr>
            </w:pPr>
            <w:r w:rsidRPr="004A478C">
              <w:rPr>
                <w:b/>
                <w:lang w:val="lt-LT"/>
              </w:rPr>
              <w:t xml:space="preserve">VAISTINIO PREPARATO PAVADINIMAS </w:t>
            </w:r>
          </w:p>
        </w:tc>
      </w:tr>
    </w:tbl>
    <w:p w14:paraId="7EF94E42" w14:textId="77777777" w:rsidR="00273470" w:rsidRPr="004A478C" w:rsidRDefault="00273470" w:rsidP="003B28E4">
      <w:pPr>
        <w:tabs>
          <w:tab w:val="left" w:pos="4680"/>
        </w:tabs>
        <w:spacing w:line="240" w:lineRule="auto"/>
        <w:rPr>
          <w:lang w:val="lt-LT"/>
        </w:rPr>
      </w:pPr>
      <w:r w:rsidRPr="004A478C">
        <w:rPr>
          <w:lang w:val="lt-LT"/>
        </w:rPr>
        <w:t xml:space="preserve"> </w:t>
      </w:r>
    </w:p>
    <w:p w14:paraId="3D3C2CEB" w14:textId="3CA4415F" w:rsidR="00273470" w:rsidRPr="004A478C" w:rsidRDefault="00273470" w:rsidP="003B28E4">
      <w:pPr>
        <w:tabs>
          <w:tab w:val="left" w:pos="4680"/>
        </w:tabs>
        <w:spacing w:line="240" w:lineRule="auto"/>
        <w:ind w:left="2" w:right="397"/>
        <w:rPr>
          <w:lang w:val="lt-LT"/>
        </w:rPr>
      </w:pPr>
      <w:proofErr w:type="spellStart"/>
      <w:r w:rsidRPr="004A478C">
        <w:rPr>
          <w:lang w:val="lt-LT"/>
        </w:rPr>
        <w:t>Febuxostat</w:t>
      </w:r>
      <w:proofErr w:type="spellEnd"/>
      <w:r w:rsidRPr="004A478C">
        <w:rPr>
          <w:lang w:val="lt-LT"/>
        </w:rPr>
        <w:t xml:space="preserve"> </w:t>
      </w:r>
      <w:proofErr w:type="spellStart"/>
      <w:r w:rsidR="002606A3" w:rsidRPr="004A478C">
        <w:rPr>
          <w:lang w:val="lt-LT"/>
        </w:rPr>
        <w:t>Zentiva</w:t>
      </w:r>
      <w:proofErr w:type="spellEnd"/>
      <w:r w:rsidRPr="004A478C">
        <w:rPr>
          <w:lang w:val="lt-LT"/>
        </w:rPr>
        <w:t xml:space="preserve"> </w:t>
      </w:r>
      <w:r w:rsidR="00924CFE" w:rsidRPr="004A478C">
        <w:rPr>
          <w:lang w:val="lt-LT"/>
        </w:rPr>
        <w:t>80 </w:t>
      </w:r>
      <w:r w:rsidRPr="004A478C">
        <w:rPr>
          <w:lang w:val="lt-LT"/>
        </w:rPr>
        <w:t xml:space="preserve">mg plėvele dengtos tabletės </w:t>
      </w:r>
    </w:p>
    <w:p w14:paraId="4893FF6C" w14:textId="046CABC9" w:rsidR="00245B15" w:rsidRPr="004A478C" w:rsidRDefault="00245B15" w:rsidP="00245B15">
      <w:pPr>
        <w:tabs>
          <w:tab w:val="left" w:pos="4680"/>
        </w:tabs>
        <w:spacing w:line="240" w:lineRule="auto"/>
        <w:ind w:left="2" w:right="397"/>
        <w:rPr>
          <w:lang w:val="lt-LT"/>
        </w:rPr>
      </w:pPr>
      <w:proofErr w:type="spellStart"/>
      <w:r w:rsidRPr="004A478C">
        <w:rPr>
          <w:highlight w:val="lightGray"/>
          <w:lang w:val="lt-LT"/>
        </w:rPr>
        <w:t>Febuxostat</w:t>
      </w:r>
      <w:proofErr w:type="spellEnd"/>
      <w:r w:rsidRPr="004A478C">
        <w:rPr>
          <w:highlight w:val="lightGray"/>
          <w:lang w:val="lt-LT"/>
        </w:rPr>
        <w:t xml:space="preserve"> </w:t>
      </w:r>
      <w:proofErr w:type="spellStart"/>
      <w:r w:rsidR="002606A3" w:rsidRPr="004A478C">
        <w:rPr>
          <w:highlight w:val="lightGray"/>
          <w:lang w:val="lt-LT"/>
        </w:rPr>
        <w:t>Zentiva</w:t>
      </w:r>
      <w:proofErr w:type="spellEnd"/>
      <w:r w:rsidRPr="004A478C">
        <w:rPr>
          <w:highlight w:val="lightGray"/>
          <w:lang w:val="lt-LT"/>
        </w:rPr>
        <w:t xml:space="preserve"> 120 mg plėvele dengtos tabletės</w:t>
      </w:r>
    </w:p>
    <w:p w14:paraId="70BABA15" w14:textId="7FE4C4DE" w:rsidR="00273470" w:rsidRPr="004A478C" w:rsidRDefault="008A265E" w:rsidP="003B28E4">
      <w:pPr>
        <w:tabs>
          <w:tab w:val="left" w:pos="4680"/>
        </w:tabs>
        <w:spacing w:line="240" w:lineRule="auto"/>
        <w:ind w:left="2" w:right="397"/>
        <w:rPr>
          <w:lang w:val="lt-LT"/>
        </w:rPr>
      </w:pPr>
      <w:proofErr w:type="spellStart"/>
      <w:r w:rsidRPr="004A478C">
        <w:rPr>
          <w:lang w:val="lt-LT"/>
        </w:rPr>
        <w:t>f</w:t>
      </w:r>
      <w:r w:rsidR="00273470" w:rsidRPr="004A478C">
        <w:rPr>
          <w:lang w:val="lt-LT"/>
        </w:rPr>
        <w:t>ebuxostatum</w:t>
      </w:r>
      <w:proofErr w:type="spellEnd"/>
      <w:r w:rsidR="00273470" w:rsidRPr="004A478C">
        <w:rPr>
          <w:lang w:val="lt-LT"/>
        </w:rPr>
        <w:t xml:space="preserve"> </w:t>
      </w:r>
    </w:p>
    <w:p w14:paraId="4681AE64" w14:textId="77777777" w:rsidR="00273470" w:rsidRPr="004A478C" w:rsidRDefault="00273470" w:rsidP="003B28E4">
      <w:pPr>
        <w:tabs>
          <w:tab w:val="left" w:pos="4680"/>
        </w:tabs>
        <w:spacing w:line="240" w:lineRule="auto"/>
        <w:rPr>
          <w:lang w:val="lt-LT"/>
        </w:rPr>
      </w:pPr>
      <w:r w:rsidRPr="004A478C">
        <w:rPr>
          <w:lang w:val="lt-LT"/>
        </w:rPr>
        <w:t xml:space="preserve"> </w:t>
      </w:r>
    </w:p>
    <w:p w14:paraId="780C086B" w14:textId="77777777" w:rsidR="00273470" w:rsidRPr="004A478C" w:rsidRDefault="00273470" w:rsidP="003B28E4">
      <w:pPr>
        <w:tabs>
          <w:tab w:val="left" w:pos="4680"/>
        </w:tabs>
        <w:spacing w:line="240" w:lineRule="auto"/>
        <w:rPr>
          <w:lang w:val="lt-LT"/>
        </w:rPr>
      </w:pPr>
      <w:r w:rsidRPr="004A478C">
        <w:rPr>
          <w:lang w:val="lt-LT"/>
        </w:rPr>
        <w:t xml:space="preserve"> </w:t>
      </w:r>
    </w:p>
    <w:tbl>
      <w:tblPr>
        <w:tblW w:w="8731" w:type="dxa"/>
        <w:tblInd w:w="-103" w:type="dxa"/>
        <w:tblCellMar>
          <w:top w:w="52" w:type="dxa"/>
          <w:left w:w="0" w:type="dxa"/>
          <w:right w:w="115" w:type="dxa"/>
        </w:tblCellMar>
        <w:tblLook w:val="04A0" w:firstRow="1" w:lastRow="0" w:firstColumn="1" w:lastColumn="0" w:noHBand="0" w:noVBand="1"/>
      </w:tblPr>
      <w:tblGrid>
        <w:gridCol w:w="633"/>
        <w:gridCol w:w="8098"/>
      </w:tblGrid>
      <w:tr w:rsidR="00273470" w:rsidRPr="007F09F8" w14:paraId="7E74664D" w14:textId="77777777" w:rsidTr="0090398C">
        <w:trPr>
          <w:trHeight w:val="247"/>
        </w:trPr>
        <w:tc>
          <w:tcPr>
            <w:tcW w:w="633" w:type="dxa"/>
            <w:tcBorders>
              <w:top w:val="single" w:sz="4" w:space="0" w:color="000000"/>
              <w:left w:val="single" w:sz="4" w:space="0" w:color="000000"/>
              <w:bottom w:val="single" w:sz="4" w:space="0" w:color="000000"/>
              <w:right w:val="nil"/>
            </w:tcBorders>
            <w:shd w:val="clear" w:color="auto" w:fill="auto"/>
          </w:tcPr>
          <w:p w14:paraId="00ABE5C3" w14:textId="77777777" w:rsidR="00273470" w:rsidRPr="004A478C" w:rsidRDefault="00273470" w:rsidP="003B28E4">
            <w:pPr>
              <w:tabs>
                <w:tab w:val="left" w:pos="4680"/>
              </w:tabs>
              <w:spacing w:line="240" w:lineRule="auto"/>
              <w:ind w:left="103"/>
              <w:rPr>
                <w:lang w:val="lt-LT"/>
              </w:rPr>
            </w:pPr>
            <w:r w:rsidRPr="004A478C">
              <w:rPr>
                <w:b/>
                <w:lang w:val="lt-LT"/>
              </w:rPr>
              <w:t xml:space="preserve">2. </w:t>
            </w:r>
          </w:p>
        </w:tc>
        <w:tc>
          <w:tcPr>
            <w:tcW w:w="8098" w:type="dxa"/>
            <w:tcBorders>
              <w:top w:val="single" w:sz="4" w:space="0" w:color="000000"/>
              <w:left w:val="nil"/>
              <w:bottom w:val="single" w:sz="4" w:space="0" w:color="000000"/>
              <w:right w:val="single" w:sz="4" w:space="0" w:color="000000"/>
            </w:tcBorders>
            <w:shd w:val="clear" w:color="auto" w:fill="auto"/>
          </w:tcPr>
          <w:p w14:paraId="5D9A2B1A" w14:textId="77777777" w:rsidR="00273470" w:rsidRPr="004A478C" w:rsidRDefault="00273470" w:rsidP="003B28E4">
            <w:pPr>
              <w:tabs>
                <w:tab w:val="left" w:pos="4680"/>
              </w:tabs>
              <w:spacing w:line="240" w:lineRule="auto"/>
              <w:rPr>
                <w:lang w:val="lt-LT"/>
              </w:rPr>
            </w:pPr>
            <w:r w:rsidRPr="004A478C">
              <w:rPr>
                <w:b/>
                <w:lang w:val="lt-LT"/>
              </w:rPr>
              <w:t xml:space="preserve">VEIKLIOJI (-IOS) MEDŽIAGA (-OS) IR JOS (-Ų) KIEKIS (-IAI) </w:t>
            </w:r>
          </w:p>
        </w:tc>
      </w:tr>
    </w:tbl>
    <w:p w14:paraId="528585D1" w14:textId="77777777" w:rsidR="00273470" w:rsidRPr="004A478C" w:rsidRDefault="00273470" w:rsidP="003B28E4">
      <w:pPr>
        <w:tabs>
          <w:tab w:val="left" w:pos="4680"/>
        </w:tabs>
        <w:spacing w:line="240" w:lineRule="auto"/>
        <w:rPr>
          <w:lang w:val="lt-LT"/>
        </w:rPr>
      </w:pPr>
      <w:r w:rsidRPr="004A478C">
        <w:rPr>
          <w:lang w:val="lt-LT"/>
        </w:rPr>
        <w:t xml:space="preserve"> </w:t>
      </w:r>
    </w:p>
    <w:p w14:paraId="676B87DA" w14:textId="77777777" w:rsidR="00273470" w:rsidRPr="004A478C" w:rsidRDefault="00132989" w:rsidP="003B28E4">
      <w:pPr>
        <w:tabs>
          <w:tab w:val="left" w:pos="4680"/>
        </w:tabs>
        <w:spacing w:line="240" w:lineRule="auto"/>
        <w:ind w:left="2" w:right="397"/>
        <w:rPr>
          <w:lang w:val="lt-LT"/>
        </w:rPr>
      </w:pPr>
      <w:r w:rsidRPr="004A478C">
        <w:rPr>
          <w:lang w:val="lt-LT"/>
        </w:rPr>
        <w:t>Kiekv</w:t>
      </w:r>
      <w:r w:rsidR="00273470" w:rsidRPr="004A478C">
        <w:rPr>
          <w:lang w:val="lt-LT"/>
        </w:rPr>
        <w:t xml:space="preserve">ienoje tabletėje yra 80 mg </w:t>
      </w:r>
      <w:proofErr w:type="spellStart"/>
      <w:r w:rsidR="00273470" w:rsidRPr="004A478C">
        <w:rPr>
          <w:lang w:val="lt-LT"/>
        </w:rPr>
        <w:t>febuksostato</w:t>
      </w:r>
      <w:proofErr w:type="spellEnd"/>
      <w:r w:rsidR="004E724B" w:rsidRPr="004A478C">
        <w:rPr>
          <w:lang w:val="lt-LT"/>
        </w:rPr>
        <w:t xml:space="preserve"> (</w:t>
      </w:r>
      <w:proofErr w:type="spellStart"/>
      <w:r w:rsidR="004E724B" w:rsidRPr="004A478C">
        <w:rPr>
          <w:lang w:val="lt-LT"/>
        </w:rPr>
        <w:t>hemihidrato</w:t>
      </w:r>
      <w:proofErr w:type="spellEnd"/>
      <w:r w:rsidR="004E724B" w:rsidRPr="004A478C">
        <w:rPr>
          <w:lang w:val="lt-LT"/>
        </w:rPr>
        <w:t xml:space="preserve"> pavidalu)</w:t>
      </w:r>
      <w:r w:rsidR="00273470" w:rsidRPr="004A478C">
        <w:rPr>
          <w:lang w:val="lt-LT"/>
        </w:rPr>
        <w:t xml:space="preserve">. </w:t>
      </w:r>
    </w:p>
    <w:p w14:paraId="2347A9BD" w14:textId="77777777" w:rsidR="00245B15" w:rsidRPr="004A478C" w:rsidRDefault="00245B15" w:rsidP="00245B15">
      <w:pPr>
        <w:tabs>
          <w:tab w:val="left" w:pos="4680"/>
        </w:tabs>
        <w:spacing w:line="240" w:lineRule="auto"/>
        <w:ind w:left="2" w:right="397"/>
        <w:rPr>
          <w:lang w:val="lt-LT"/>
        </w:rPr>
      </w:pPr>
      <w:r w:rsidRPr="004A478C">
        <w:rPr>
          <w:highlight w:val="lightGray"/>
          <w:lang w:val="lt-LT"/>
        </w:rPr>
        <w:t xml:space="preserve">Kiekvienoje tabletėje yra 120 mg </w:t>
      </w:r>
      <w:proofErr w:type="spellStart"/>
      <w:r w:rsidRPr="004A478C">
        <w:rPr>
          <w:highlight w:val="lightGray"/>
          <w:lang w:val="lt-LT"/>
        </w:rPr>
        <w:t>febuksostato</w:t>
      </w:r>
      <w:proofErr w:type="spellEnd"/>
      <w:r w:rsidRPr="004A478C">
        <w:rPr>
          <w:highlight w:val="lightGray"/>
          <w:lang w:val="lt-LT"/>
        </w:rPr>
        <w:t xml:space="preserve"> (</w:t>
      </w:r>
      <w:proofErr w:type="spellStart"/>
      <w:r w:rsidRPr="004A478C">
        <w:rPr>
          <w:highlight w:val="lightGray"/>
          <w:lang w:val="lt-LT"/>
        </w:rPr>
        <w:t>hemihidrato</w:t>
      </w:r>
      <w:proofErr w:type="spellEnd"/>
      <w:r w:rsidRPr="004A478C">
        <w:rPr>
          <w:highlight w:val="lightGray"/>
          <w:lang w:val="lt-LT"/>
        </w:rPr>
        <w:t xml:space="preserve"> pavidalu).</w:t>
      </w:r>
      <w:r w:rsidRPr="004A478C">
        <w:rPr>
          <w:lang w:val="lt-LT"/>
        </w:rPr>
        <w:t xml:space="preserve"> </w:t>
      </w:r>
    </w:p>
    <w:p w14:paraId="0F476E96" w14:textId="77777777" w:rsidR="00273470" w:rsidRPr="004A478C" w:rsidRDefault="00273470" w:rsidP="003B28E4">
      <w:pPr>
        <w:tabs>
          <w:tab w:val="left" w:pos="4680"/>
        </w:tabs>
        <w:spacing w:line="240" w:lineRule="auto"/>
        <w:rPr>
          <w:lang w:val="lt-LT"/>
        </w:rPr>
      </w:pPr>
    </w:p>
    <w:p w14:paraId="426A2970" w14:textId="77777777" w:rsidR="00273470" w:rsidRPr="004A478C" w:rsidRDefault="00273470" w:rsidP="003B28E4">
      <w:pPr>
        <w:tabs>
          <w:tab w:val="left" w:pos="4680"/>
        </w:tabs>
        <w:spacing w:line="240" w:lineRule="auto"/>
        <w:rPr>
          <w:lang w:val="lt-LT"/>
        </w:rPr>
      </w:pPr>
      <w:r w:rsidRPr="004A478C">
        <w:rPr>
          <w:lang w:val="lt-LT"/>
        </w:rPr>
        <w:t xml:space="preserve"> </w:t>
      </w:r>
    </w:p>
    <w:tbl>
      <w:tblPr>
        <w:tblW w:w="8731" w:type="dxa"/>
        <w:tblInd w:w="-103" w:type="dxa"/>
        <w:tblCellMar>
          <w:top w:w="48" w:type="dxa"/>
          <w:left w:w="0" w:type="dxa"/>
          <w:right w:w="115" w:type="dxa"/>
        </w:tblCellMar>
        <w:tblLook w:val="04A0" w:firstRow="1" w:lastRow="0" w:firstColumn="1" w:lastColumn="0" w:noHBand="0" w:noVBand="1"/>
      </w:tblPr>
      <w:tblGrid>
        <w:gridCol w:w="633"/>
        <w:gridCol w:w="8098"/>
      </w:tblGrid>
      <w:tr w:rsidR="00273470" w:rsidRPr="004B0C8F" w14:paraId="44848E65" w14:textId="77777777" w:rsidTr="0090398C">
        <w:trPr>
          <w:trHeight w:val="246"/>
        </w:trPr>
        <w:tc>
          <w:tcPr>
            <w:tcW w:w="633" w:type="dxa"/>
            <w:tcBorders>
              <w:top w:val="single" w:sz="3" w:space="0" w:color="000000"/>
              <w:left w:val="single" w:sz="4" w:space="0" w:color="000000"/>
              <w:bottom w:val="single" w:sz="4" w:space="0" w:color="000000"/>
              <w:right w:val="nil"/>
            </w:tcBorders>
            <w:shd w:val="clear" w:color="auto" w:fill="auto"/>
          </w:tcPr>
          <w:p w14:paraId="7DC48952" w14:textId="77777777" w:rsidR="00273470" w:rsidRPr="004A478C" w:rsidRDefault="00273470" w:rsidP="003B28E4">
            <w:pPr>
              <w:tabs>
                <w:tab w:val="left" w:pos="4680"/>
              </w:tabs>
              <w:spacing w:line="240" w:lineRule="auto"/>
              <w:ind w:left="103"/>
              <w:rPr>
                <w:lang w:val="lt-LT"/>
              </w:rPr>
            </w:pPr>
            <w:r w:rsidRPr="004A478C">
              <w:rPr>
                <w:b/>
                <w:lang w:val="lt-LT"/>
              </w:rPr>
              <w:t xml:space="preserve">3. </w:t>
            </w:r>
          </w:p>
        </w:tc>
        <w:tc>
          <w:tcPr>
            <w:tcW w:w="8098" w:type="dxa"/>
            <w:tcBorders>
              <w:top w:val="single" w:sz="3" w:space="0" w:color="000000"/>
              <w:left w:val="nil"/>
              <w:bottom w:val="single" w:sz="4" w:space="0" w:color="000000"/>
              <w:right w:val="single" w:sz="4" w:space="0" w:color="000000"/>
            </w:tcBorders>
            <w:shd w:val="clear" w:color="auto" w:fill="auto"/>
          </w:tcPr>
          <w:p w14:paraId="77D5149C" w14:textId="77777777" w:rsidR="00273470" w:rsidRPr="004A478C" w:rsidRDefault="00273470" w:rsidP="003B28E4">
            <w:pPr>
              <w:tabs>
                <w:tab w:val="left" w:pos="4680"/>
              </w:tabs>
              <w:spacing w:line="240" w:lineRule="auto"/>
              <w:rPr>
                <w:lang w:val="lt-LT"/>
              </w:rPr>
            </w:pPr>
            <w:r w:rsidRPr="004A478C">
              <w:rPr>
                <w:b/>
                <w:lang w:val="lt-LT"/>
              </w:rPr>
              <w:t xml:space="preserve">PAGALBINIŲ MEDŽIAGŲ SĄRAŠAS </w:t>
            </w:r>
          </w:p>
        </w:tc>
      </w:tr>
    </w:tbl>
    <w:p w14:paraId="2C579DEC" w14:textId="77777777" w:rsidR="00273470" w:rsidRPr="004A478C" w:rsidRDefault="00273470" w:rsidP="003B28E4">
      <w:pPr>
        <w:tabs>
          <w:tab w:val="left" w:pos="4680"/>
        </w:tabs>
        <w:spacing w:line="240" w:lineRule="auto"/>
        <w:rPr>
          <w:lang w:val="lt-LT"/>
        </w:rPr>
      </w:pPr>
      <w:r w:rsidRPr="004A478C">
        <w:rPr>
          <w:lang w:val="lt-LT"/>
        </w:rPr>
        <w:t xml:space="preserve"> </w:t>
      </w:r>
    </w:p>
    <w:p w14:paraId="3852296C" w14:textId="77777777" w:rsidR="00273470" w:rsidRPr="004A478C" w:rsidRDefault="00273470" w:rsidP="003B28E4">
      <w:pPr>
        <w:tabs>
          <w:tab w:val="left" w:pos="4680"/>
        </w:tabs>
        <w:spacing w:line="240" w:lineRule="auto"/>
        <w:ind w:left="2" w:right="397"/>
        <w:rPr>
          <w:lang w:val="lt-LT"/>
        </w:rPr>
      </w:pPr>
      <w:r w:rsidRPr="004A478C">
        <w:rPr>
          <w:lang w:val="lt-LT"/>
        </w:rPr>
        <w:t>Sudėtyje yra laktozės (</w:t>
      </w:r>
      <w:proofErr w:type="spellStart"/>
      <w:r w:rsidRPr="004A478C">
        <w:rPr>
          <w:lang w:val="lt-LT"/>
        </w:rPr>
        <w:t>monohidrato</w:t>
      </w:r>
      <w:proofErr w:type="spellEnd"/>
      <w:r w:rsidRPr="004A478C">
        <w:rPr>
          <w:lang w:val="lt-LT"/>
        </w:rPr>
        <w:t xml:space="preserve"> pavidalu). </w:t>
      </w:r>
    </w:p>
    <w:p w14:paraId="430BE109" w14:textId="77777777" w:rsidR="00273470" w:rsidRPr="004A478C" w:rsidRDefault="00273470" w:rsidP="003B28E4">
      <w:pPr>
        <w:tabs>
          <w:tab w:val="left" w:pos="4680"/>
        </w:tabs>
        <w:spacing w:line="240" w:lineRule="auto"/>
        <w:ind w:left="2" w:right="397"/>
        <w:rPr>
          <w:lang w:val="lt-LT"/>
        </w:rPr>
      </w:pPr>
      <w:r w:rsidRPr="004A478C">
        <w:rPr>
          <w:lang w:val="lt-LT"/>
        </w:rPr>
        <w:t xml:space="preserve">Daugiau informacijos </w:t>
      </w:r>
      <w:r w:rsidR="00132989" w:rsidRPr="004A478C">
        <w:rPr>
          <w:lang w:val="lt-LT"/>
        </w:rPr>
        <w:t xml:space="preserve">pateikta </w:t>
      </w:r>
      <w:r w:rsidRPr="004A478C">
        <w:rPr>
          <w:lang w:val="lt-LT"/>
        </w:rPr>
        <w:t xml:space="preserve">pakuotės lapelyje.  </w:t>
      </w:r>
    </w:p>
    <w:p w14:paraId="39C4F714" w14:textId="77777777" w:rsidR="00273470" w:rsidRPr="004A478C" w:rsidRDefault="00273470" w:rsidP="003B28E4">
      <w:pPr>
        <w:tabs>
          <w:tab w:val="left" w:pos="4680"/>
        </w:tabs>
        <w:spacing w:line="240" w:lineRule="auto"/>
        <w:rPr>
          <w:lang w:val="lt-LT"/>
        </w:rPr>
      </w:pPr>
      <w:r w:rsidRPr="004A478C">
        <w:rPr>
          <w:lang w:val="lt-LT"/>
        </w:rPr>
        <w:t xml:space="preserve"> </w:t>
      </w:r>
    </w:p>
    <w:p w14:paraId="544787D1" w14:textId="77777777" w:rsidR="00273470" w:rsidRPr="004A478C" w:rsidRDefault="00273470" w:rsidP="003B28E4">
      <w:pPr>
        <w:tabs>
          <w:tab w:val="left" w:pos="4680"/>
        </w:tabs>
        <w:spacing w:line="240" w:lineRule="auto"/>
        <w:rPr>
          <w:lang w:val="lt-LT"/>
        </w:rPr>
      </w:pPr>
      <w:r w:rsidRPr="004A478C">
        <w:rPr>
          <w:lang w:val="lt-LT"/>
        </w:rPr>
        <w:t xml:space="preserve"> </w:t>
      </w:r>
    </w:p>
    <w:tbl>
      <w:tblPr>
        <w:tblW w:w="8731" w:type="dxa"/>
        <w:tblInd w:w="-103" w:type="dxa"/>
        <w:tblCellMar>
          <w:top w:w="52" w:type="dxa"/>
          <w:left w:w="103" w:type="dxa"/>
          <w:right w:w="115" w:type="dxa"/>
        </w:tblCellMar>
        <w:tblLook w:val="04A0" w:firstRow="1" w:lastRow="0" w:firstColumn="1" w:lastColumn="0" w:noHBand="0" w:noVBand="1"/>
      </w:tblPr>
      <w:tblGrid>
        <w:gridCol w:w="523"/>
        <w:gridCol w:w="8208"/>
      </w:tblGrid>
      <w:tr w:rsidR="00273470" w:rsidRPr="007F09F8" w14:paraId="20A5D6E0" w14:textId="77777777" w:rsidTr="0090398C">
        <w:trPr>
          <w:trHeight w:val="248"/>
        </w:trPr>
        <w:tc>
          <w:tcPr>
            <w:tcW w:w="523" w:type="dxa"/>
            <w:tcBorders>
              <w:top w:val="single" w:sz="4" w:space="0" w:color="000000"/>
              <w:left w:val="single" w:sz="4" w:space="0" w:color="000000"/>
              <w:bottom w:val="single" w:sz="3" w:space="0" w:color="000000"/>
              <w:right w:val="nil"/>
            </w:tcBorders>
            <w:shd w:val="clear" w:color="auto" w:fill="auto"/>
          </w:tcPr>
          <w:p w14:paraId="573236B0" w14:textId="77777777" w:rsidR="00273470" w:rsidRPr="004A478C" w:rsidRDefault="00273470" w:rsidP="003B28E4">
            <w:pPr>
              <w:tabs>
                <w:tab w:val="left" w:pos="4680"/>
              </w:tabs>
              <w:spacing w:line="240" w:lineRule="auto"/>
              <w:rPr>
                <w:lang w:val="lt-LT"/>
              </w:rPr>
            </w:pPr>
            <w:r w:rsidRPr="004A478C">
              <w:rPr>
                <w:b/>
                <w:lang w:val="lt-LT"/>
              </w:rPr>
              <w:t xml:space="preserve">4. </w:t>
            </w:r>
          </w:p>
        </w:tc>
        <w:tc>
          <w:tcPr>
            <w:tcW w:w="8208" w:type="dxa"/>
            <w:tcBorders>
              <w:top w:val="single" w:sz="4" w:space="0" w:color="000000"/>
              <w:left w:val="nil"/>
              <w:bottom w:val="single" w:sz="3" w:space="0" w:color="000000"/>
              <w:right w:val="single" w:sz="4" w:space="0" w:color="000000"/>
            </w:tcBorders>
            <w:shd w:val="clear" w:color="auto" w:fill="auto"/>
          </w:tcPr>
          <w:p w14:paraId="3C68EF01" w14:textId="77777777" w:rsidR="00273470" w:rsidRPr="004A478C" w:rsidRDefault="00273470" w:rsidP="003B28E4">
            <w:pPr>
              <w:tabs>
                <w:tab w:val="left" w:pos="4680"/>
              </w:tabs>
              <w:spacing w:line="240" w:lineRule="auto"/>
              <w:ind w:left="7"/>
              <w:rPr>
                <w:lang w:val="lt-LT"/>
              </w:rPr>
            </w:pPr>
            <w:r w:rsidRPr="004A478C">
              <w:rPr>
                <w:b/>
                <w:lang w:val="lt-LT"/>
              </w:rPr>
              <w:t xml:space="preserve">FARMACINĖ FORMA IR KIEKIS PAKUOTĖJE </w:t>
            </w:r>
          </w:p>
        </w:tc>
      </w:tr>
    </w:tbl>
    <w:p w14:paraId="15311D3A" w14:textId="77777777" w:rsidR="00273470" w:rsidRPr="004A478C" w:rsidRDefault="00273470" w:rsidP="003B28E4">
      <w:pPr>
        <w:tabs>
          <w:tab w:val="left" w:pos="4680"/>
        </w:tabs>
        <w:spacing w:line="240" w:lineRule="auto"/>
        <w:rPr>
          <w:lang w:val="lt-LT"/>
        </w:rPr>
      </w:pPr>
      <w:r w:rsidRPr="004A478C">
        <w:rPr>
          <w:lang w:val="lt-LT"/>
        </w:rPr>
        <w:t xml:space="preserve"> </w:t>
      </w:r>
    </w:p>
    <w:p w14:paraId="183B0959" w14:textId="77777777" w:rsidR="00273470" w:rsidRPr="004A478C" w:rsidRDefault="00273470" w:rsidP="003B28E4">
      <w:pPr>
        <w:tabs>
          <w:tab w:val="left" w:pos="4680"/>
        </w:tabs>
        <w:spacing w:line="240" w:lineRule="auto"/>
        <w:ind w:left="-5"/>
        <w:rPr>
          <w:shd w:val="clear" w:color="auto" w:fill="FFFFFF"/>
          <w:lang w:val="lt-LT"/>
        </w:rPr>
      </w:pPr>
      <w:r w:rsidRPr="004A478C">
        <w:rPr>
          <w:shd w:val="clear" w:color="auto" w:fill="FFFFFF"/>
          <w:lang w:val="lt-LT"/>
        </w:rPr>
        <w:t xml:space="preserve">14 plėvele dengtų tablečių </w:t>
      </w:r>
    </w:p>
    <w:p w14:paraId="2BE2558E" w14:textId="77777777" w:rsidR="00273470" w:rsidRPr="004A478C" w:rsidRDefault="00273470" w:rsidP="003B28E4">
      <w:pPr>
        <w:tabs>
          <w:tab w:val="left" w:pos="4680"/>
        </w:tabs>
        <w:spacing w:line="240" w:lineRule="auto"/>
        <w:ind w:left="2" w:right="397"/>
        <w:rPr>
          <w:highlight w:val="lightGray"/>
          <w:lang w:val="lt-LT"/>
        </w:rPr>
      </w:pPr>
      <w:r w:rsidRPr="004A478C">
        <w:rPr>
          <w:highlight w:val="lightGray"/>
          <w:lang w:val="lt-LT"/>
        </w:rPr>
        <w:t xml:space="preserve">28 plėvele dengtos tabletės </w:t>
      </w:r>
    </w:p>
    <w:p w14:paraId="24F8E13C" w14:textId="77777777" w:rsidR="00273470" w:rsidRPr="004A478C" w:rsidRDefault="00273470" w:rsidP="003B28E4">
      <w:pPr>
        <w:shd w:val="clear" w:color="auto" w:fill="FFFFFF"/>
        <w:tabs>
          <w:tab w:val="left" w:pos="4680"/>
        </w:tabs>
        <w:spacing w:line="240" w:lineRule="auto"/>
        <w:ind w:left="-5"/>
        <w:rPr>
          <w:highlight w:val="lightGray"/>
          <w:lang w:val="lt-LT"/>
        </w:rPr>
      </w:pPr>
      <w:r w:rsidRPr="004A478C">
        <w:rPr>
          <w:highlight w:val="lightGray"/>
          <w:lang w:val="lt-LT"/>
        </w:rPr>
        <w:t xml:space="preserve">42 plėvele dengtos tabletės </w:t>
      </w:r>
    </w:p>
    <w:p w14:paraId="7AE57A8F" w14:textId="77777777" w:rsidR="00273470" w:rsidRPr="004A478C" w:rsidRDefault="00273470" w:rsidP="003B28E4">
      <w:pPr>
        <w:shd w:val="clear" w:color="auto" w:fill="FFFFFF"/>
        <w:tabs>
          <w:tab w:val="left" w:pos="4680"/>
        </w:tabs>
        <w:spacing w:line="240" w:lineRule="auto"/>
        <w:ind w:left="-5"/>
        <w:rPr>
          <w:highlight w:val="lightGray"/>
          <w:lang w:val="lt-LT"/>
        </w:rPr>
      </w:pPr>
      <w:r w:rsidRPr="004A478C">
        <w:rPr>
          <w:highlight w:val="lightGray"/>
          <w:lang w:val="lt-LT"/>
        </w:rPr>
        <w:t xml:space="preserve">56 plėvele dengtos tabletės </w:t>
      </w:r>
    </w:p>
    <w:p w14:paraId="509BAFE4" w14:textId="77777777" w:rsidR="00273470" w:rsidRPr="004A478C" w:rsidRDefault="00273470" w:rsidP="003B28E4">
      <w:pPr>
        <w:shd w:val="clear" w:color="auto" w:fill="FFFFFF"/>
        <w:tabs>
          <w:tab w:val="left" w:pos="4680"/>
        </w:tabs>
        <w:spacing w:line="240" w:lineRule="auto"/>
        <w:ind w:left="-5"/>
        <w:rPr>
          <w:highlight w:val="lightGray"/>
          <w:lang w:val="lt-LT"/>
        </w:rPr>
      </w:pPr>
      <w:r w:rsidRPr="004A478C">
        <w:rPr>
          <w:highlight w:val="lightGray"/>
          <w:lang w:val="lt-LT"/>
        </w:rPr>
        <w:t xml:space="preserve">84 plėvele dengtos tabletės </w:t>
      </w:r>
    </w:p>
    <w:p w14:paraId="7FB7A60D" w14:textId="77777777" w:rsidR="00273470" w:rsidRPr="004A478C" w:rsidRDefault="00273470" w:rsidP="003B28E4">
      <w:pPr>
        <w:shd w:val="clear" w:color="auto" w:fill="FFFFFF"/>
        <w:tabs>
          <w:tab w:val="left" w:pos="4680"/>
        </w:tabs>
        <w:spacing w:line="240" w:lineRule="auto"/>
        <w:ind w:left="-5"/>
        <w:rPr>
          <w:lang w:val="lt-LT"/>
        </w:rPr>
      </w:pPr>
      <w:r w:rsidRPr="004A478C">
        <w:rPr>
          <w:highlight w:val="lightGray"/>
          <w:lang w:val="lt-LT"/>
        </w:rPr>
        <w:t>98 plėvele dengtos tabletės</w:t>
      </w:r>
      <w:r w:rsidRPr="004A478C">
        <w:rPr>
          <w:lang w:val="lt-LT"/>
        </w:rPr>
        <w:t xml:space="preserve"> </w:t>
      </w:r>
    </w:p>
    <w:p w14:paraId="436A33F6" w14:textId="77777777" w:rsidR="00273470" w:rsidRPr="004A478C" w:rsidRDefault="00273470" w:rsidP="003B28E4">
      <w:pPr>
        <w:tabs>
          <w:tab w:val="left" w:pos="4680"/>
        </w:tabs>
        <w:spacing w:line="240" w:lineRule="auto"/>
        <w:rPr>
          <w:lang w:val="lt-LT"/>
        </w:rPr>
      </w:pPr>
      <w:r w:rsidRPr="004A478C">
        <w:rPr>
          <w:lang w:val="lt-LT"/>
        </w:rPr>
        <w:t xml:space="preserve"> </w:t>
      </w:r>
    </w:p>
    <w:p w14:paraId="5C584C4B" w14:textId="77777777" w:rsidR="00273470" w:rsidRPr="004A478C" w:rsidRDefault="00273470" w:rsidP="003B28E4">
      <w:pPr>
        <w:tabs>
          <w:tab w:val="left" w:pos="4680"/>
        </w:tabs>
        <w:spacing w:line="240" w:lineRule="auto"/>
        <w:rPr>
          <w:lang w:val="lt-LT"/>
        </w:rPr>
      </w:pPr>
      <w:r w:rsidRPr="004A478C">
        <w:rPr>
          <w:lang w:val="lt-LT"/>
        </w:rPr>
        <w:t xml:space="preserve"> </w:t>
      </w:r>
    </w:p>
    <w:tbl>
      <w:tblPr>
        <w:tblW w:w="8731" w:type="dxa"/>
        <w:tblInd w:w="-103" w:type="dxa"/>
        <w:tblCellMar>
          <w:top w:w="53" w:type="dxa"/>
          <w:left w:w="19" w:type="dxa"/>
          <w:right w:w="115" w:type="dxa"/>
        </w:tblCellMar>
        <w:tblLook w:val="04A0" w:firstRow="1" w:lastRow="0" w:firstColumn="1" w:lastColumn="0" w:noHBand="0" w:noVBand="1"/>
      </w:tblPr>
      <w:tblGrid>
        <w:gridCol w:w="614"/>
        <w:gridCol w:w="8117"/>
      </w:tblGrid>
      <w:tr w:rsidR="00273470" w:rsidRPr="007F09F8" w14:paraId="4239C0C1" w14:textId="77777777" w:rsidTr="0090398C">
        <w:trPr>
          <w:trHeight w:val="247"/>
        </w:trPr>
        <w:tc>
          <w:tcPr>
            <w:tcW w:w="614" w:type="dxa"/>
            <w:tcBorders>
              <w:top w:val="single" w:sz="4" w:space="0" w:color="000000"/>
              <w:left w:val="single" w:sz="4" w:space="0" w:color="000000"/>
              <w:bottom w:val="single" w:sz="4" w:space="0" w:color="000000"/>
              <w:right w:val="nil"/>
            </w:tcBorders>
            <w:shd w:val="clear" w:color="auto" w:fill="auto"/>
          </w:tcPr>
          <w:p w14:paraId="4273B09D" w14:textId="77777777" w:rsidR="00273470" w:rsidRPr="004A478C" w:rsidRDefault="00273470" w:rsidP="003B28E4">
            <w:pPr>
              <w:tabs>
                <w:tab w:val="left" w:pos="4680"/>
              </w:tabs>
              <w:spacing w:line="240" w:lineRule="auto"/>
              <w:ind w:left="84"/>
              <w:rPr>
                <w:lang w:val="lt-LT"/>
              </w:rPr>
            </w:pPr>
            <w:r w:rsidRPr="004A478C">
              <w:rPr>
                <w:b/>
                <w:lang w:val="lt-LT"/>
              </w:rPr>
              <w:t xml:space="preserve">5. </w:t>
            </w:r>
          </w:p>
        </w:tc>
        <w:tc>
          <w:tcPr>
            <w:tcW w:w="8117" w:type="dxa"/>
            <w:tcBorders>
              <w:top w:val="single" w:sz="4" w:space="0" w:color="000000"/>
              <w:left w:val="nil"/>
              <w:bottom w:val="single" w:sz="4" w:space="0" w:color="000000"/>
              <w:right w:val="single" w:sz="4" w:space="0" w:color="000000"/>
            </w:tcBorders>
            <w:shd w:val="clear" w:color="auto" w:fill="auto"/>
          </w:tcPr>
          <w:p w14:paraId="6B4B48EE" w14:textId="77777777" w:rsidR="00273470" w:rsidRPr="004A478C" w:rsidRDefault="00273470" w:rsidP="003B28E4">
            <w:pPr>
              <w:tabs>
                <w:tab w:val="left" w:pos="4680"/>
              </w:tabs>
              <w:spacing w:line="240" w:lineRule="auto"/>
              <w:rPr>
                <w:lang w:val="lt-LT"/>
              </w:rPr>
            </w:pPr>
            <w:r w:rsidRPr="004A478C">
              <w:rPr>
                <w:b/>
                <w:lang w:val="lt-LT"/>
              </w:rPr>
              <w:t xml:space="preserve">VARTOJIMO METODAS IR BŪDAS (-AI) </w:t>
            </w:r>
          </w:p>
        </w:tc>
      </w:tr>
    </w:tbl>
    <w:p w14:paraId="3CA49457" w14:textId="77777777" w:rsidR="00273470" w:rsidRPr="004A478C" w:rsidRDefault="00273470" w:rsidP="003B28E4">
      <w:pPr>
        <w:tabs>
          <w:tab w:val="left" w:pos="4680"/>
        </w:tabs>
        <w:spacing w:line="240" w:lineRule="auto"/>
        <w:rPr>
          <w:lang w:val="lt-LT"/>
        </w:rPr>
      </w:pPr>
      <w:r w:rsidRPr="004A478C">
        <w:rPr>
          <w:lang w:val="lt-LT"/>
        </w:rPr>
        <w:t xml:space="preserve"> </w:t>
      </w:r>
    </w:p>
    <w:p w14:paraId="10DB9A7C" w14:textId="77777777" w:rsidR="00273470" w:rsidRPr="004A478C" w:rsidRDefault="00273470" w:rsidP="003B28E4">
      <w:pPr>
        <w:tabs>
          <w:tab w:val="left" w:pos="4680"/>
        </w:tabs>
        <w:spacing w:line="240" w:lineRule="auto"/>
        <w:ind w:left="2" w:right="397"/>
        <w:rPr>
          <w:lang w:val="lt-LT"/>
        </w:rPr>
      </w:pPr>
      <w:r w:rsidRPr="004A478C">
        <w:rPr>
          <w:lang w:val="lt-LT"/>
        </w:rPr>
        <w:t xml:space="preserve">Vartoti per burną. </w:t>
      </w:r>
    </w:p>
    <w:p w14:paraId="53C24875" w14:textId="77777777" w:rsidR="00273470" w:rsidRPr="004A478C" w:rsidRDefault="00273470" w:rsidP="003B28E4">
      <w:pPr>
        <w:tabs>
          <w:tab w:val="left" w:pos="4680"/>
        </w:tabs>
        <w:spacing w:line="240" w:lineRule="auto"/>
        <w:ind w:left="2" w:right="397"/>
        <w:rPr>
          <w:lang w:val="lt-LT"/>
        </w:rPr>
      </w:pPr>
      <w:r w:rsidRPr="004A478C">
        <w:rPr>
          <w:lang w:val="lt-LT"/>
        </w:rPr>
        <w:t xml:space="preserve">Prieš vartojimą perskaitykite pakuotės lapelį. </w:t>
      </w:r>
    </w:p>
    <w:p w14:paraId="5F62A04C" w14:textId="77777777" w:rsidR="00273470" w:rsidRPr="004A478C" w:rsidRDefault="00273470" w:rsidP="003B28E4">
      <w:pPr>
        <w:tabs>
          <w:tab w:val="left" w:pos="4680"/>
        </w:tabs>
        <w:spacing w:line="240" w:lineRule="auto"/>
        <w:rPr>
          <w:lang w:val="lt-LT"/>
        </w:rPr>
      </w:pPr>
      <w:r w:rsidRPr="004A478C">
        <w:rPr>
          <w:lang w:val="lt-LT"/>
        </w:rPr>
        <w:t xml:space="preserve"> </w:t>
      </w:r>
    </w:p>
    <w:p w14:paraId="65AC5DBF" w14:textId="77777777" w:rsidR="00273470" w:rsidRPr="004A478C" w:rsidRDefault="00273470" w:rsidP="003B28E4">
      <w:pPr>
        <w:tabs>
          <w:tab w:val="left" w:pos="4680"/>
        </w:tabs>
        <w:spacing w:line="240" w:lineRule="auto"/>
        <w:rPr>
          <w:lang w:val="lt-LT"/>
        </w:rPr>
      </w:pPr>
      <w:r w:rsidRPr="004A478C">
        <w:rPr>
          <w:lang w:val="lt-LT"/>
        </w:rPr>
        <w:t xml:space="preserve"> </w:t>
      </w:r>
    </w:p>
    <w:tbl>
      <w:tblPr>
        <w:tblW w:w="8731" w:type="dxa"/>
        <w:tblInd w:w="-103" w:type="dxa"/>
        <w:tblCellMar>
          <w:top w:w="51" w:type="dxa"/>
          <w:left w:w="0" w:type="dxa"/>
          <w:right w:w="115" w:type="dxa"/>
        </w:tblCellMar>
        <w:tblLook w:val="04A0" w:firstRow="1" w:lastRow="0" w:firstColumn="1" w:lastColumn="0" w:noHBand="0" w:noVBand="1"/>
      </w:tblPr>
      <w:tblGrid>
        <w:gridCol w:w="633"/>
        <w:gridCol w:w="8098"/>
      </w:tblGrid>
      <w:tr w:rsidR="00273470" w:rsidRPr="007F09F8" w14:paraId="728727A8" w14:textId="77777777" w:rsidTr="0090398C">
        <w:trPr>
          <w:trHeight w:val="485"/>
        </w:trPr>
        <w:tc>
          <w:tcPr>
            <w:tcW w:w="633" w:type="dxa"/>
            <w:tcBorders>
              <w:top w:val="single" w:sz="4" w:space="0" w:color="000000"/>
              <w:left w:val="single" w:sz="4" w:space="0" w:color="000000"/>
              <w:bottom w:val="single" w:sz="4" w:space="0" w:color="000000"/>
              <w:right w:val="nil"/>
            </w:tcBorders>
            <w:shd w:val="clear" w:color="auto" w:fill="auto"/>
          </w:tcPr>
          <w:p w14:paraId="209555EF" w14:textId="77777777" w:rsidR="00273470" w:rsidRPr="004A478C" w:rsidRDefault="00273470" w:rsidP="003B28E4">
            <w:pPr>
              <w:tabs>
                <w:tab w:val="left" w:pos="4680"/>
              </w:tabs>
              <w:spacing w:line="240" w:lineRule="auto"/>
              <w:ind w:left="103"/>
              <w:rPr>
                <w:lang w:val="lt-LT"/>
              </w:rPr>
            </w:pPr>
            <w:r w:rsidRPr="004A478C">
              <w:rPr>
                <w:b/>
                <w:lang w:val="lt-LT"/>
              </w:rPr>
              <w:t xml:space="preserve">6. </w:t>
            </w:r>
          </w:p>
        </w:tc>
        <w:tc>
          <w:tcPr>
            <w:tcW w:w="8098" w:type="dxa"/>
            <w:tcBorders>
              <w:top w:val="single" w:sz="4" w:space="0" w:color="000000"/>
              <w:left w:val="nil"/>
              <w:bottom w:val="single" w:sz="4" w:space="0" w:color="000000"/>
              <w:right w:val="single" w:sz="4" w:space="0" w:color="000000"/>
            </w:tcBorders>
            <w:shd w:val="clear" w:color="auto" w:fill="auto"/>
          </w:tcPr>
          <w:p w14:paraId="1C0E7ABB" w14:textId="77777777" w:rsidR="00273470" w:rsidRPr="004A478C" w:rsidRDefault="00273470" w:rsidP="003B28E4">
            <w:pPr>
              <w:tabs>
                <w:tab w:val="left" w:pos="4680"/>
              </w:tabs>
              <w:spacing w:line="240" w:lineRule="auto"/>
              <w:rPr>
                <w:lang w:val="lt-LT"/>
              </w:rPr>
            </w:pPr>
            <w:r w:rsidRPr="004A478C">
              <w:rPr>
                <w:b/>
                <w:lang w:val="lt-LT"/>
              </w:rPr>
              <w:t xml:space="preserve">SPECIALUS ĮSPĖJIMAS, KAD VAISTINĮ PREPARATĄ BŪTINA LAIKYTI VAIKAMS NEPASTEBIMOJE IR NEPASIEKIAMOJE VIETOJE </w:t>
            </w:r>
          </w:p>
        </w:tc>
      </w:tr>
    </w:tbl>
    <w:p w14:paraId="46093C0F" w14:textId="77777777" w:rsidR="00273470" w:rsidRPr="004A478C" w:rsidRDefault="00273470" w:rsidP="003B28E4">
      <w:pPr>
        <w:tabs>
          <w:tab w:val="left" w:pos="4680"/>
        </w:tabs>
        <w:spacing w:line="240" w:lineRule="auto"/>
        <w:rPr>
          <w:lang w:val="lt-LT"/>
        </w:rPr>
      </w:pPr>
      <w:r w:rsidRPr="004A478C">
        <w:rPr>
          <w:lang w:val="lt-LT"/>
        </w:rPr>
        <w:t xml:space="preserve"> </w:t>
      </w:r>
    </w:p>
    <w:p w14:paraId="6B51F82B" w14:textId="77777777" w:rsidR="00273470" w:rsidRPr="004A478C" w:rsidRDefault="00273470" w:rsidP="003B28E4">
      <w:pPr>
        <w:tabs>
          <w:tab w:val="left" w:pos="4680"/>
        </w:tabs>
        <w:spacing w:line="240" w:lineRule="auto"/>
        <w:ind w:left="2" w:right="397"/>
        <w:rPr>
          <w:lang w:val="lt-LT"/>
        </w:rPr>
      </w:pPr>
      <w:r w:rsidRPr="004A478C">
        <w:rPr>
          <w:lang w:val="lt-LT"/>
        </w:rPr>
        <w:t xml:space="preserve">Laikyti vaikams nepastebimoje ir nepasiekiamoje vietoje. </w:t>
      </w:r>
    </w:p>
    <w:p w14:paraId="42AA78F7" w14:textId="77777777" w:rsidR="00273470" w:rsidRPr="004A478C" w:rsidRDefault="00273470" w:rsidP="003B28E4">
      <w:pPr>
        <w:tabs>
          <w:tab w:val="left" w:pos="4680"/>
        </w:tabs>
        <w:spacing w:line="240" w:lineRule="auto"/>
        <w:rPr>
          <w:lang w:val="lt-LT"/>
        </w:rPr>
      </w:pPr>
      <w:r w:rsidRPr="004A478C">
        <w:rPr>
          <w:lang w:val="lt-LT"/>
        </w:rPr>
        <w:t xml:space="preserve"> </w:t>
      </w:r>
    </w:p>
    <w:p w14:paraId="20EF7293" w14:textId="77777777" w:rsidR="00273470" w:rsidRPr="004A478C" w:rsidRDefault="00273470" w:rsidP="003B28E4">
      <w:pPr>
        <w:tabs>
          <w:tab w:val="left" w:pos="4680"/>
        </w:tabs>
        <w:spacing w:line="240" w:lineRule="auto"/>
        <w:rPr>
          <w:lang w:val="lt-LT"/>
        </w:rPr>
      </w:pPr>
      <w:r w:rsidRPr="004A478C">
        <w:rPr>
          <w:lang w:val="lt-LT"/>
        </w:rPr>
        <w:t xml:space="preserve"> </w:t>
      </w:r>
    </w:p>
    <w:tbl>
      <w:tblPr>
        <w:tblW w:w="8731" w:type="dxa"/>
        <w:tblInd w:w="-103" w:type="dxa"/>
        <w:tblCellMar>
          <w:top w:w="51" w:type="dxa"/>
          <w:left w:w="0" w:type="dxa"/>
          <w:right w:w="115" w:type="dxa"/>
        </w:tblCellMar>
        <w:tblLook w:val="04A0" w:firstRow="1" w:lastRow="0" w:firstColumn="1" w:lastColumn="0" w:noHBand="0" w:noVBand="1"/>
      </w:tblPr>
      <w:tblGrid>
        <w:gridCol w:w="633"/>
        <w:gridCol w:w="8098"/>
      </w:tblGrid>
      <w:tr w:rsidR="00273470" w:rsidRPr="004A478C" w14:paraId="4A1E0F57" w14:textId="77777777" w:rsidTr="0090398C">
        <w:trPr>
          <w:trHeight w:val="248"/>
        </w:trPr>
        <w:tc>
          <w:tcPr>
            <w:tcW w:w="633" w:type="dxa"/>
            <w:tcBorders>
              <w:top w:val="single" w:sz="3" w:space="0" w:color="000000"/>
              <w:left w:val="single" w:sz="4" w:space="0" w:color="000000"/>
              <w:bottom w:val="single" w:sz="4" w:space="0" w:color="000000"/>
              <w:right w:val="nil"/>
            </w:tcBorders>
            <w:shd w:val="clear" w:color="auto" w:fill="auto"/>
          </w:tcPr>
          <w:p w14:paraId="1D0B38E3" w14:textId="77777777" w:rsidR="00273470" w:rsidRPr="004A478C" w:rsidRDefault="00273470" w:rsidP="003B28E4">
            <w:pPr>
              <w:tabs>
                <w:tab w:val="left" w:pos="4680"/>
              </w:tabs>
              <w:spacing w:line="240" w:lineRule="auto"/>
              <w:ind w:left="103"/>
              <w:rPr>
                <w:lang w:val="lt-LT"/>
              </w:rPr>
            </w:pPr>
            <w:r w:rsidRPr="004A478C">
              <w:rPr>
                <w:b/>
                <w:lang w:val="lt-LT"/>
              </w:rPr>
              <w:t xml:space="preserve">7. </w:t>
            </w:r>
          </w:p>
        </w:tc>
        <w:tc>
          <w:tcPr>
            <w:tcW w:w="8098" w:type="dxa"/>
            <w:tcBorders>
              <w:top w:val="single" w:sz="3" w:space="0" w:color="000000"/>
              <w:left w:val="nil"/>
              <w:bottom w:val="single" w:sz="4" w:space="0" w:color="000000"/>
              <w:right w:val="single" w:sz="4" w:space="0" w:color="000000"/>
            </w:tcBorders>
            <w:shd w:val="clear" w:color="auto" w:fill="auto"/>
          </w:tcPr>
          <w:p w14:paraId="52921AE1" w14:textId="77777777" w:rsidR="00273470" w:rsidRPr="004A478C" w:rsidRDefault="00273470" w:rsidP="003B28E4">
            <w:pPr>
              <w:tabs>
                <w:tab w:val="left" w:pos="4680"/>
              </w:tabs>
              <w:spacing w:line="240" w:lineRule="auto"/>
              <w:rPr>
                <w:lang w:val="lt-LT"/>
              </w:rPr>
            </w:pPr>
            <w:r w:rsidRPr="004A478C">
              <w:rPr>
                <w:b/>
                <w:lang w:val="lt-LT"/>
              </w:rPr>
              <w:t xml:space="preserve">KITAS (-I) SPECIALUS (-ŪS) ĮSPĖJIMAS (-AI) (JEI REIKIA) </w:t>
            </w:r>
          </w:p>
        </w:tc>
      </w:tr>
    </w:tbl>
    <w:p w14:paraId="7E3F6221" w14:textId="77777777" w:rsidR="00273470" w:rsidRPr="004A478C" w:rsidRDefault="00273470" w:rsidP="003B28E4">
      <w:pPr>
        <w:tabs>
          <w:tab w:val="left" w:pos="4680"/>
        </w:tabs>
        <w:spacing w:line="240" w:lineRule="auto"/>
        <w:rPr>
          <w:lang w:val="lt-LT"/>
        </w:rPr>
      </w:pPr>
      <w:r w:rsidRPr="004A478C">
        <w:rPr>
          <w:lang w:val="lt-LT"/>
        </w:rPr>
        <w:t xml:space="preserve"> </w:t>
      </w:r>
    </w:p>
    <w:p w14:paraId="60A490E9" w14:textId="77777777" w:rsidR="00273470" w:rsidRPr="004A478C" w:rsidRDefault="00273470" w:rsidP="003B28E4">
      <w:pPr>
        <w:tabs>
          <w:tab w:val="left" w:pos="4680"/>
        </w:tabs>
        <w:spacing w:line="240" w:lineRule="auto"/>
        <w:rPr>
          <w:lang w:val="lt-LT"/>
        </w:rPr>
      </w:pPr>
      <w:r w:rsidRPr="004A478C">
        <w:rPr>
          <w:lang w:val="lt-LT"/>
        </w:rPr>
        <w:t xml:space="preserve"> </w:t>
      </w:r>
    </w:p>
    <w:tbl>
      <w:tblPr>
        <w:tblW w:w="8731" w:type="dxa"/>
        <w:tblInd w:w="-103" w:type="dxa"/>
        <w:tblCellMar>
          <w:top w:w="55" w:type="dxa"/>
          <w:left w:w="0" w:type="dxa"/>
          <w:right w:w="115" w:type="dxa"/>
        </w:tblCellMar>
        <w:tblLook w:val="04A0" w:firstRow="1" w:lastRow="0" w:firstColumn="1" w:lastColumn="0" w:noHBand="0" w:noVBand="1"/>
      </w:tblPr>
      <w:tblGrid>
        <w:gridCol w:w="633"/>
        <w:gridCol w:w="8098"/>
      </w:tblGrid>
      <w:tr w:rsidR="00273470" w:rsidRPr="004B0C8F" w14:paraId="4BA1D11D" w14:textId="77777777" w:rsidTr="00AE5899">
        <w:trPr>
          <w:trHeight w:val="160"/>
        </w:trPr>
        <w:tc>
          <w:tcPr>
            <w:tcW w:w="633" w:type="dxa"/>
            <w:tcBorders>
              <w:top w:val="single" w:sz="4" w:space="0" w:color="000000"/>
              <w:left w:val="single" w:sz="4" w:space="0" w:color="000000"/>
              <w:bottom w:val="single" w:sz="4" w:space="0" w:color="000000"/>
              <w:right w:val="nil"/>
            </w:tcBorders>
            <w:shd w:val="clear" w:color="auto" w:fill="auto"/>
          </w:tcPr>
          <w:p w14:paraId="24581D7A" w14:textId="77777777" w:rsidR="00273470" w:rsidRPr="004A478C" w:rsidRDefault="00273470" w:rsidP="003B28E4">
            <w:pPr>
              <w:tabs>
                <w:tab w:val="left" w:pos="4680"/>
              </w:tabs>
              <w:spacing w:line="240" w:lineRule="auto"/>
              <w:ind w:left="103"/>
              <w:rPr>
                <w:lang w:val="lt-LT"/>
              </w:rPr>
            </w:pPr>
            <w:r w:rsidRPr="004A478C">
              <w:rPr>
                <w:b/>
                <w:lang w:val="lt-LT"/>
              </w:rPr>
              <w:t xml:space="preserve">8. </w:t>
            </w:r>
          </w:p>
        </w:tc>
        <w:tc>
          <w:tcPr>
            <w:tcW w:w="8098" w:type="dxa"/>
            <w:tcBorders>
              <w:top w:val="single" w:sz="4" w:space="0" w:color="000000"/>
              <w:left w:val="nil"/>
              <w:bottom w:val="single" w:sz="4" w:space="0" w:color="000000"/>
              <w:right w:val="single" w:sz="4" w:space="0" w:color="000000"/>
            </w:tcBorders>
            <w:shd w:val="clear" w:color="auto" w:fill="auto"/>
          </w:tcPr>
          <w:p w14:paraId="636F9B33" w14:textId="77777777" w:rsidR="00273470" w:rsidRPr="004A478C" w:rsidRDefault="00273470" w:rsidP="003B28E4">
            <w:pPr>
              <w:tabs>
                <w:tab w:val="left" w:pos="4680"/>
              </w:tabs>
              <w:spacing w:line="240" w:lineRule="auto"/>
              <w:rPr>
                <w:lang w:val="lt-LT"/>
              </w:rPr>
            </w:pPr>
            <w:r w:rsidRPr="004A478C">
              <w:rPr>
                <w:b/>
                <w:lang w:val="lt-LT"/>
              </w:rPr>
              <w:t xml:space="preserve">TINKAMUMO LAIKAS </w:t>
            </w:r>
          </w:p>
        </w:tc>
      </w:tr>
    </w:tbl>
    <w:p w14:paraId="19E01A5B" w14:textId="77777777" w:rsidR="00273470" w:rsidRPr="004A478C" w:rsidRDefault="00273470" w:rsidP="003B28E4">
      <w:pPr>
        <w:tabs>
          <w:tab w:val="left" w:pos="4680"/>
        </w:tabs>
        <w:spacing w:line="240" w:lineRule="auto"/>
        <w:rPr>
          <w:lang w:val="lt-LT"/>
        </w:rPr>
      </w:pPr>
      <w:r w:rsidRPr="004A478C">
        <w:rPr>
          <w:lang w:val="lt-LT"/>
        </w:rPr>
        <w:t xml:space="preserve"> </w:t>
      </w:r>
    </w:p>
    <w:p w14:paraId="455FE036" w14:textId="6406F8E7" w:rsidR="00273470" w:rsidRPr="004A478C" w:rsidRDefault="00273470" w:rsidP="003B28E4">
      <w:pPr>
        <w:tabs>
          <w:tab w:val="left" w:pos="4680"/>
        </w:tabs>
        <w:spacing w:line="240" w:lineRule="auto"/>
        <w:ind w:left="2" w:right="397"/>
        <w:rPr>
          <w:lang w:val="lt-LT"/>
        </w:rPr>
      </w:pPr>
      <w:r w:rsidRPr="004A478C">
        <w:rPr>
          <w:lang w:val="lt-LT"/>
        </w:rPr>
        <w:t xml:space="preserve">EXP </w:t>
      </w:r>
      <w:r w:rsidR="002606A3" w:rsidRPr="004A478C">
        <w:rPr>
          <w:lang w:val="lt-LT"/>
        </w:rPr>
        <w:t>{mm/MMMM}</w:t>
      </w:r>
    </w:p>
    <w:p w14:paraId="0A295894" w14:textId="77777777" w:rsidR="00273470" w:rsidRPr="004A478C" w:rsidRDefault="00273470" w:rsidP="003B28E4">
      <w:pPr>
        <w:tabs>
          <w:tab w:val="left" w:pos="4680"/>
        </w:tabs>
        <w:spacing w:line="240" w:lineRule="auto"/>
        <w:rPr>
          <w:lang w:val="lt-LT"/>
        </w:rPr>
      </w:pPr>
      <w:r w:rsidRPr="004A478C">
        <w:rPr>
          <w:lang w:val="lt-LT"/>
        </w:rPr>
        <w:t xml:space="preserve"> </w:t>
      </w:r>
    </w:p>
    <w:p w14:paraId="6F37DAE3" w14:textId="77777777" w:rsidR="00273470" w:rsidRPr="004A478C" w:rsidRDefault="00273470" w:rsidP="003B28E4">
      <w:pPr>
        <w:tabs>
          <w:tab w:val="left" w:pos="4680"/>
        </w:tabs>
        <w:spacing w:line="240" w:lineRule="auto"/>
        <w:rPr>
          <w:lang w:val="lt-LT"/>
        </w:rPr>
      </w:pPr>
      <w:r w:rsidRPr="004A478C">
        <w:rPr>
          <w:lang w:val="lt-LT"/>
        </w:rPr>
        <w:t xml:space="preserve"> </w:t>
      </w:r>
    </w:p>
    <w:tbl>
      <w:tblPr>
        <w:tblW w:w="8731" w:type="dxa"/>
        <w:tblInd w:w="-103" w:type="dxa"/>
        <w:tblCellMar>
          <w:top w:w="53" w:type="dxa"/>
          <w:left w:w="0" w:type="dxa"/>
          <w:right w:w="115" w:type="dxa"/>
        </w:tblCellMar>
        <w:tblLook w:val="04A0" w:firstRow="1" w:lastRow="0" w:firstColumn="1" w:lastColumn="0" w:noHBand="0" w:noVBand="1"/>
      </w:tblPr>
      <w:tblGrid>
        <w:gridCol w:w="633"/>
        <w:gridCol w:w="8098"/>
      </w:tblGrid>
      <w:tr w:rsidR="00273470" w:rsidRPr="004B0C8F" w14:paraId="62A5CE45" w14:textId="77777777" w:rsidTr="0090398C">
        <w:trPr>
          <w:trHeight w:val="247"/>
        </w:trPr>
        <w:tc>
          <w:tcPr>
            <w:tcW w:w="633" w:type="dxa"/>
            <w:tcBorders>
              <w:top w:val="single" w:sz="4" w:space="0" w:color="000000"/>
              <w:left w:val="single" w:sz="4" w:space="0" w:color="000000"/>
              <w:bottom w:val="single" w:sz="4" w:space="0" w:color="000000"/>
              <w:right w:val="nil"/>
            </w:tcBorders>
            <w:shd w:val="clear" w:color="auto" w:fill="auto"/>
          </w:tcPr>
          <w:p w14:paraId="4CD52E5A" w14:textId="77777777" w:rsidR="00273470" w:rsidRPr="004A478C" w:rsidRDefault="00273470" w:rsidP="003B28E4">
            <w:pPr>
              <w:tabs>
                <w:tab w:val="left" w:pos="4680"/>
              </w:tabs>
              <w:spacing w:line="240" w:lineRule="auto"/>
              <w:ind w:left="103"/>
              <w:rPr>
                <w:lang w:val="lt-LT"/>
              </w:rPr>
            </w:pPr>
            <w:r w:rsidRPr="004A478C">
              <w:rPr>
                <w:b/>
                <w:lang w:val="lt-LT"/>
              </w:rPr>
              <w:lastRenderedPageBreak/>
              <w:t xml:space="preserve">9. </w:t>
            </w:r>
          </w:p>
        </w:tc>
        <w:tc>
          <w:tcPr>
            <w:tcW w:w="8098" w:type="dxa"/>
            <w:tcBorders>
              <w:top w:val="single" w:sz="4" w:space="0" w:color="000000"/>
              <w:left w:val="nil"/>
              <w:bottom w:val="single" w:sz="4" w:space="0" w:color="000000"/>
              <w:right w:val="single" w:sz="4" w:space="0" w:color="000000"/>
            </w:tcBorders>
            <w:shd w:val="clear" w:color="auto" w:fill="auto"/>
          </w:tcPr>
          <w:p w14:paraId="295FFE26" w14:textId="77777777" w:rsidR="00273470" w:rsidRPr="004A478C" w:rsidRDefault="00273470" w:rsidP="003B28E4">
            <w:pPr>
              <w:tabs>
                <w:tab w:val="left" w:pos="4680"/>
              </w:tabs>
              <w:spacing w:line="240" w:lineRule="auto"/>
              <w:rPr>
                <w:lang w:val="lt-LT"/>
              </w:rPr>
            </w:pPr>
            <w:r w:rsidRPr="004A478C">
              <w:rPr>
                <w:b/>
                <w:lang w:val="lt-LT"/>
              </w:rPr>
              <w:t xml:space="preserve">SPECIALIOS LAIKYMO SĄLYGOS </w:t>
            </w:r>
          </w:p>
        </w:tc>
      </w:tr>
    </w:tbl>
    <w:p w14:paraId="0DE71E70" w14:textId="77777777" w:rsidR="00273470" w:rsidRPr="004A478C" w:rsidRDefault="00273470" w:rsidP="003B28E4">
      <w:pPr>
        <w:tabs>
          <w:tab w:val="left" w:pos="4680"/>
        </w:tabs>
        <w:spacing w:line="240" w:lineRule="auto"/>
        <w:rPr>
          <w:lang w:val="lt-LT"/>
        </w:rPr>
      </w:pPr>
    </w:p>
    <w:p w14:paraId="76875B57" w14:textId="77777777" w:rsidR="00132989" w:rsidRPr="004A478C" w:rsidRDefault="00132989" w:rsidP="003B28E4">
      <w:pPr>
        <w:tabs>
          <w:tab w:val="left" w:pos="4680"/>
        </w:tabs>
        <w:spacing w:line="240" w:lineRule="auto"/>
        <w:rPr>
          <w:lang w:val="lt-LT"/>
        </w:rPr>
      </w:pPr>
    </w:p>
    <w:tbl>
      <w:tblPr>
        <w:tblW w:w="8731" w:type="dxa"/>
        <w:tblInd w:w="-103" w:type="dxa"/>
        <w:tblCellMar>
          <w:top w:w="53" w:type="dxa"/>
          <w:left w:w="0" w:type="dxa"/>
          <w:right w:w="115" w:type="dxa"/>
        </w:tblCellMar>
        <w:tblLook w:val="04A0" w:firstRow="1" w:lastRow="0" w:firstColumn="1" w:lastColumn="0" w:noHBand="0" w:noVBand="1"/>
      </w:tblPr>
      <w:tblGrid>
        <w:gridCol w:w="633"/>
        <w:gridCol w:w="8098"/>
      </w:tblGrid>
      <w:tr w:rsidR="00273470" w:rsidRPr="007F09F8" w14:paraId="200353D7" w14:textId="77777777" w:rsidTr="0090398C">
        <w:trPr>
          <w:trHeight w:val="485"/>
        </w:trPr>
        <w:tc>
          <w:tcPr>
            <w:tcW w:w="633" w:type="dxa"/>
            <w:tcBorders>
              <w:top w:val="single" w:sz="4" w:space="0" w:color="000000"/>
              <w:left w:val="single" w:sz="4" w:space="0" w:color="000000"/>
              <w:bottom w:val="single" w:sz="4" w:space="0" w:color="000000"/>
              <w:right w:val="nil"/>
            </w:tcBorders>
            <w:shd w:val="clear" w:color="auto" w:fill="auto"/>
          </w:tcPr>
          <w:p w14:paraId="41C822B3" w14:textId="77777777" w:rsidR="00273470" w:rsidRPr="004A478C" w:rsidRDefault="00273470" w:rsidP="003B28E4">
            <w:pPr>
              <w:tabs>
                <w:tab w:val="left" w:pos="4680"/>
              </w:tabs>
              <w:spacing w:line="240" w:lineRule="auto"/>
              <w:ind w:left="103"/>
              <w:rPr>
                <w:lang w:val="lt-LT"/>
              </w:rPr>
            </w:pPr>
            <w:r w:rsidRPr="004A478C">
              <w:rPr>
                <w:b/>
                <w:lang w:val="lt-LT"/>
              </w:rPr>
              <w:t xml:space="preserve">10. </w:t>
            </w:r>
          </w:p>
        </w:tc>
        <w:tc>
          <w:tcPr>
            <w:tcW w:w="8098" w:type="dxa"/>
            <w:tcBorders>
              <w:top w:val="single" w:sz="4" w:space="0" w:color="000000"/>
              <w:left w:val="nil"/>
              <w:bottom w:val="single" w:sz="4" w:space="0" w:color="000000"/>
              <w:right w:val="single" w:sz="4" w:space="0" w:color="000000"/>
            </w:tcBorders>
            <w:shd w:val="clear" w:color="auto" w:fill="auto"/>
          </w:tcPr>
          <w:p w14:paraId="35E7FDE0" w14:textId="77777777" w:rsidR="00273470" w:rsidRPr="004A478C" w:rsidRDefault="00273470" w:rsidP="003B28E4">
            <w:pPr>
              <w:tabs>
                <w:tab w:val="left" w:pos="4680"/>
              </w:tabs>
              <w:spacing w:line="240" w:lineRule="auto"/>
              <w:rPr>
                <w:lang w:val="lt-LT"/>
              </w:rPr>
            </w:pPr>
            <w:r w:rsidRPr="004A478C">
              <w:rPr>
                <w:b/>
                <w:lang w:val="lt-LT"/>
              </w:rPr>
              <w:t xml:space="preserve">SPECIALIOS ATSARGUMO PRIEMONĖS DĖL NESUVARTOTO VAISTINIO PREPARATO AR JO ATLIEKŲ TVARKYMO (JEI REIKIA) </w:t>
            </w:r>
          </w:p>
        </w:tc>
      </w:tr>
    </w:tbl>
    <w:p w14:paraId="3AB4344D" w14:textId="77777777" w:rsidR="00273470" w:rsidRPr="004A478C" w:rsidRDefault="00273470" w:rsidP="003B28E4">
      <w:pPr>
        <w:tabs>
          <w:tab w:val="left" w:pos="4680"/>
        </w:tabs>
        <w:spacing w:line="240" w:lineRule="auto"/>
        <w:rPr>
          <w:lang w:val="lt-LT"/>
        </w:rPr>
      </w:pPr>
      <w:r w:rsidRPr="004A478C">
        <w:rPr>
          <w:lang w:val="lt-LT"/>
        </w:rPr>
        <w:t xml:space="preserve"> </w:t>
      </w:r>
    </w:p>
    <w:p w14:paraId="2E47359B" w14:textId="77777777" w:rsidR="00273470" w:rsidRPr="004A478C" w:rsidRDefault="00273470" w:rsidP="003B28E4">
      <w:pPr>
        <w:tabs>
          <w:tab w:val="left" w:pos="4680"/>
        </w:tabs>
        <w:spacing w:line="240" w:lineRule="auto"/>
        <w:rPr>
          <w:lang w:val="lt-LT"/>
        </w:rPr>
      </w:pPr>
      <w:r w:rsidRPr="004A478C">
        <w:rPr>
          <w:lang w:val="lt-LT"/>
        </w:rPr>
        <w:t xml:space="preserve"> </w:t>
      </w:r>
    </w:p>
    <w:tbl>
      <w:tblPr>
        <w:tblW w:w="8731" w:type="dxa"/>
        <w:tblInd w:w="-103" w:type="dxa"/>
        <w:tblCellMar>
          <w:top w:w="54" w:type="dxa"/>
          <w:left w:w="0" w:type="dxa"/>
          <w:right w:w="115" w:type="dxa"/>
        </w:tblCellMar>
        <w:tblLook w:val="04A0" w:firstRow="1" w:lastRow="0" w:firstColumn="1" w:lastColumn="0" w:noHBand="0" w:noVBand="1"/>
      </w:tblPr>
      <w:tblGrid>
        <w:gridCol w:w="633"/>
        <w:gridCol w:w="8098"/>
      </w:tblGrid>
      <w:tr w:rsidR="00273470" w:rsidRPr="004B0C8F" w14:paraId="3CAC018A" w14:textId="77777777" w:rsidTr="0090398C">
        <w:trPr>
          <w:trHeight w:val="248"/>
        </w:trPr>
        <w:tc>
          <w:tcPr>
            <w:tcW w:w="633" w:type="dxa"/>
            <w:tcBorders>
              <w:top w:val="single" w:sz="3" w:space="0" w:color="000000"/>
              <w:left w:val="single" w:sz="4" w:space="0" w:color="000000"/>
              <w:bottom w:val="single" w:sz="4" w:space="0" w:color="000000"/>
              <w:right w:val="nil"/>
            </w:tcBorders>
            <w:shd w:val="clear" w:color="auto" w:fill="auto"/>
          </w:tcPr>
          <w:p w14:paraId="7CE047A8" w14:textId="77777777" w:rsidR="00273470" w:rsidRPr="004A478C" w:rsidRDefault="00273470" w:rsidP="003B28E4">
            <w:pPr>
              <w:tabs>
                <w:tab w:val="left" w:pos="4680"/>
              </w:tabs>
              <w:spacing w:line="240" w:lineRule="auto"/>
              <w:ind w:left="103"/>
              <w:rPr>
                <w:lang w:val="lt-LT"/>
              </w:rPr>
            </w:pPr>
            <w:r w:rsidRPr="004A478C">
              <w:rPr>
                <w:b/>
                <w:lang w:val="lt-LT"/>
              </w:rPr>
              <w:t xml:space="preserve">11. </w:t>
            </w:r>
          </w:p>
        </w:tc>
        <w:tc>
          <w:tcPr>
            <w:tcW w:w="8098" w:type="dxa"/>
            <w:tcBorders>
              <w:top w:val="single" w:sz="3" w:space="0" w:color="000000"/>
              <w:left w:val="nil"/>
              <w:bottom w:val="single" w:sz="4" w:space="0" w:color="000000"/>
              <w:right w:val="single" w:sz="4" w:space="0" w:color="000000"/>
            </w:tcBorders>
            <w:shd w:val="clear" w:color="auto" w:fill="auto"/>
          </w:tcPr>
          <w:p w14:paraId="4329FBC1" w14:textId="77777777" w:rsidR="00273470" w:rsidRPr="004A478C" w:rsidRDefault="00273470" w:rsidP="003B28E4">
            <w:pPr>
              <w:tabs>
                <w:tab w:val="left" w:pos="4680"/>
              </w:tabs>
              <w:spacing w:line="240" w:lineRule="auto"/>
              <w:rPr>
                <w:lang w:val="lt-LT"/>
              </w:rPr>
            </w:pPr>
            <w:r w:rsidRPr="004A478C">
              <w:rPr>
                <w:b/>
                <w:lang w:val="lt-LT"/>
              </w:rPr>
              <w:t xml:space="preserve">REGISTRUOTOJO PAVADINIMAS IR ADRESAS </w:t>
            </w:r>
          </w:p>
        </w:tc>
      </w:tr>
    </w:tbl>
    <w:p w14:paraId="2DC3F096" w14:textId="77777777" w:rsidR="00273470" w:rsidRPr="004A478C" w:rsidRDefault="00273470" w:rsidP="003B28E4">
      <w:pPr>
        <w:tabs>
          <w:tab w:val="left" w:pos="4680"/>
        </w:tabs>
        <w:spacing w:line="240" w:lineRule="auto"/>
        <w:rPr>
          <w:lang w:val="lt-LT"/>
        </w:rPr>
      </w:pPr>
      <w:r w:rsidRPr="004A478C">
        <w:rPr>
          <w:lang w:val="lt-LT"/>
        </w:rPr>
        <w:t xml:space="preserve"> </w:t>
      </w:r>
    </w:p>
    <w:p w14:paraId="41295787" w14:textId="77777777" w:rsidR="002606A3" w:rsidRPr="004A478C" w:rsidRDefault="002606A3" w:rsidP="002606A3">
      <w:pPr>
        <w:tabs>
          <w:tab w:val="left" w:pos="4680"/>
        </w:tabs>
        <w:spacing w:line="240" w:lineRule="auto"/>
        <w:rPr>
          <w:lang w:val="lt-LT"/>
        </w:rPr>
      </w:pPr>
      <w:proofErr w:type="spellStart"/>
      <w:r w:rsidRPr="004A478C">
        <w:rPr>
          <w:lang w:val="lt-LT"/>
        </w:rPr>
        <w:t>Zentiva</w:t>
      </w:r>
      <w:proofErr w:type="spellEnd"/>
      <w:r w:rsidRPr="004A478C">
        <w:rPr>
          <w:lang w:val="lt-LT"/>
        </w:rPr>
        <w:t xml:space="preserve">, </w:t>
      </w:r>
      <w:proofErr w:type="spellStart"/>
      <w:r w:rsidRPr="004A478C">
        <w:rPr>
          <w:lang w:val="lt-LT"/>
        </w:rPr>
        <w:t>k.s</w:t>
      </w:r>
      <w:proofErr w:type="spellEnd"/>
      <w:r w:rsidRPr="004A478C">
        <w:rPr>
          <w:lang w:val="lt-LT"/>
        </w:rPr>
        <w:t>.</w:t>
      </w:r>
    </w:p>
    <w:p w14:paraId="6A0FA504" w14:textId="77777777" w:rsidR="002606A3" w:rsidRPr="004A478C" w:rsidRDefault="002606A3" w:rsidP="002606A3">
      <w:pPr>
        <w:tabs>
          <w:tab w:val="left" w:pos="4680"/>
        </w:tabs>
        <w:spacing w:line="240" w:lineRule="auto"/>
        <w:rPr>
          <w:lang w:val="lt-LT"/>
        </w:rPr>
      </w:pPr>
      <w:r w:rsidRPr="004A478C">
        <w:rPr>
          <w:lang w:val="lt-LT"/>
        </w:rPr>
        <w:t xml:space="preserve">U </w:t>
      </w:r>
      <w:proofErr w:type="spellStart"/>
      <w:r w:rsidRPr="004A478C">
        <w:rPr>
          <w:lang w:val="lt-LT"/>
        </w:rPr>
        <w:t>kabelovny</w:t>
      </w:r>
      <w:proofErr w:type="spellEnd"/>
      <w:r w:rsidRPr="004A478C">
        <w:rPr>
          <w:lang w:val="lt-LT"/>
        </w:rPr>
        <w:t xml:space="preserve"> 130</w:t>
      </w:r>
    </w:p>
    <w:p w14:paraId="753A7586" w14:textId="77777777" w:rsidR="002606A3" w:rsidRPr="004A478C" w:rsidRDefault="002606A3" w:rsidP="002606A3">
      <w:pPr>
        <w:tabs>
          <w:tab w:val="left" w:pos="4680"/>
        </w:tabs>
        <w:spacing w:line="240" w:lineRule="auto"/>
        <w:rPr>
          <w:lang w:val="lt-LT"/>
        </w:rPr>
      </w:pPr>
      <w:proofErr w:type="spellStart"/>
      <w:r w:rsidRPr="004A478C">
        <w:rPr>
          <w:lang w:val="lt-LT"/>
        </w:rPr>
        <w:t>Dolní</w:t>
      </w:r>
      <w:proofErr w:type="spellEnd"/>
      <w:r w:rsidRPr="004A478C">
        <w:rPr>
          <w:lang w:val="lt-LT"/>
        </w:rPr>
        <w:t xml:space="preserve"> </w:t>
      </w:r>
      <w:proofErr w:type="spellStart"/>
      <w:r w:rsidRPr="004A478C">
        <w:rPr>
          <w:lang w:val="lt-LT"/>
        </w:rPr>
        <w:t>Měcholupy</w:t>
      </w:r>
      <w:proofErr w:type="spellEnd"/>
    </w:p>
    <w:p w14:paraId="5EBB852C" w14:textId="2252F154" w:rsidR="002606A3" w:rsidRPr="004A478C" w:rsidRDefault="002606A3" w:rsidP="002606A3">
      <w:pPr>
        <w:tabs>
          <w:tab w:val="left" w:pos="4680"/>
        </w:tabs>
        <w:spacing w:line="240" w:lineRule="auto"/>
        <w:rPr>
          <w:lang w:val="lt-LT"/>
        </w:rPr>
      </w:pPr>
      <w:r w:rsidRPr="004A478C">
        <w:rPr>
          <w:lang w:val="lt-LT"/>
        </w:rPr>
        <w:t>102 37 Praha 10</w:t>
      </w:r>
    </w:p>
    <w:p w14:paraId="48064E06" w14:textId="484D563D" w:rsidR="00273470" w:rsidRPr="004A478C" w:rsidRDefault="002606A3" w:rsidP="003B28E4">
      <w:pPr>
        <w:tabs>
          <w:tab w:val="left" w:pos="4680"/>
        </w:tabs>
        <w:spacing w:line="240" w:lineRule="auto"/>
        <w:rPr>
          <w:lang w:val="lt-LT"/>
        </w:rPr>
      </w:pPr>
      <w:r w:rsidRPr="004A478C">
        <w:rPr>
          <w:lang w:val="lt-LT"/>
        </w:rPr>
        <w:t>Čekija</w:t>
      </w:r>
      <w:r w:rsidR="00273470" w:rsidRPr="004A478C">
        <w:rPr>
          <w:lang w:val="lt-LT"/>
        </w:rPr>
        <w:t xml:space="preserve"> </w:t>
      </w:r>
    </w:p>
    <w:p w14:paraId="34EC0C81" w14:textId="1DEE7325" w:rsidR="00245B15" w:rsidRPr="004A478C" w:rsidRDefault="00245B15" w:rsidP="003B28E4">
      <w:pPr>
        <w:tabs>
          <w:tab w:val="left" w:pos="4680"/>
        </w:tabs>
        <w:spacing w:line="240" w:lineRule="auto"/>
        <w:rPr>
          <w:lang w:val="lt-LT"/>
        </w:rPr>
      </w:pPr>
    </w:p>
    <w:p w14:paraId="5FC40444" w14:textId="77777777" w:rsidR="002D4631" w:rsidRPr="004A478C" w:rsidRDefault="002D4631" w:rsidP="003B28E4">
      <w:pPr>
        <w:tabs>
          <w:tab w:val="left" w:pos="4680"/>
        </w:tabs>
        <w:spacing w:line="240" w:lineRule="auto"/>
        <w:rPr>
          <w:lang w:val="lt-LT"/>
        </w:rPr>
      </w:pPr>
    </w:p>
    <w:tbl>
      <w:tblPr>
        <w:tblW w:w="8731" w:type="dxa"/>
        <w:tblInd w:w="-103" w:type="dxa"/>
        <w:tblCellMar>
          <w:top w:w="56" w:type="dxa"/>
          <w:left w:w="0" w:type="dxa"/>
          <w:right w:w="115" w:type="dxa"/>
        </w:tblCellMar>
        <w:tblLook w:val="04A0" w:firstRow="1" w:lastRow="0" w:firstColumn="1" w:lastColumn="0" w:noHBand="0" w:noVBand="1"/>
      </w:tblPr>
      <w:tblGrid>
        <w:gridCol w:w="633"/>
        <w:gridCol w:w="8098"/>
      </w:tblGrid>
      <w:tr w:rsidR="00273470" w:rsidRPr="004B0C8F" w14:paraId="0F40C7F3" w14:textId="77777777" w:rsidTr="0090398C">
        <w:trPr>
          <w:trHeight w:val="326"/>
        </w:trPr>
        <w:tc>
          <w:tcPr>
            <w:tcW w:w="633" w:type="dxa"/>
            <w:tcBorders>
              <w:top w:val="single" w:sz="4" w:space="0" w:color="000000"/>
              <w:left w:val="single" w:sz="4" w:space="0" w:color="000000"/>
              <w:bottom w:val="single" w:sz="4" w:space="0" w:color="000000"/>
              <w:right w:val="nil"/>
            </w:tcBorders>
            <w:shd w:val="clear" w:color="auto" w:fill="auto"/>
          </w:tcPr>
          <w:p w14:paraId="5EA87FE9" w14:textId="77777777" w:rsidR="00273470" w:rsidRPr="004A478C" w:rsidRDefault="00273470" w:rsidP="003B28E4">
            <w:pPr>
              <w:tabs>
                <w:tab w:val="left" w:pos="4680"/>
              </w:tabs>
              <w:spacing w:line="240" w:lineRule="auto"/>
              <w:ind w:left="103"/>
              <w:rPr>
                <w:lang w:val="lt-LT"/>
              </w:rPr>
            </w:pPr>
            <w:r w:rsidRPr="004A478C">
              <w:rPr>
                <w:b/>
                <w:lang w:val="lt-LT"/>
              </w:rPr>
              <w:t xml:space="preserve">12. </w:t>
            </w:r>
          </w:p>
        </w:tc>
        <w:tc>
          <w:tcPr>
            <w:tcW w:w="8098" w:type="dxa"/>
            <w:tcBorders>
              <w:top w:val="single" w:sz="4" w:space="0" w:color="000000"/>
              <w:left w:val="nil"/>
              <w:bottom w:val="single" w:sz="4" w:space="0" w:color="000000"/>
              <w:right w:val="single" w:sz="4" w:space="0" w:color="000000"/>
            </w:tcBorders>
            <w:shd w:val="clear" w:color="auto" w:fill="auto"/>
          </w:tcPr>
          <w:p w14:paraId="013FFFB1" w14:textId="77777777" w:rsidR="00273470" w:rsidRPr="004A478C" w:rsidRDefault="00273470" w:rsidP="003B28E4">
            <w:pPr>
              <w:tabs>
                <w:tab w:val="left" w:pos="4680"/>
              </w:tabs>
              <w:spacing w:line="240" w:lineRule="auto"/>
              <w:rPr>
                <w:lang w:val="lt-LT"/>
              </w:rPr>
            </w:pPr>
            <w:r w:rsidRPr="004A478C">
              <w:rPr>
                <w:b/>
                <w:lang w:val="lt-LT"/>
              </w:rPr>
              <w:t xml:space="preserve">REGISTRACIJOS PAŽYMĖJIMO NUMERIS (-IAI) </w:t>
            </w:r>
          </w:p>
        </w:tc>
      </w:tr>
    </w:tbl>
    <w:p w14:paraId="434373EB" w14:textId="2E773A84" w:rsidR="00273470" w:rsidRPr="004A478C" w:rsidRDefault="00273470" w:rsidP="003B28E4">
      <w:pPr>
        <w:tabs>
          <w:tab w:val="left" w:pos="4680"/>
        </w:tabs>
        <w:spacing w:line="240" w:lineRule="auto"/>
        <w:rPr>
          <w:lang w:val="lt-LT"/>
        </w:rPr>
      </w:pPr>
    </w:p>
    <w:p w14:paraId="2F0CA389" w14:textId="09F9B588" w:rsidR="0058239E" w:rsidRPr="004A478C" w:rsidRDefault="007F09F8" w:rsidP="003B28E4">
      <w:pPr>
        <w:tabs>
          <w:tab w:val="left" w:pos="4680"/>
        </w:tabs>
        <w:spacing w:line="240" w:lineRule="auto"/>
        <w:rPr>
          <w:lang w:val="lt-LT"/>
        </w:rPr>
      </w:pPr>
      <w:r>
        <w:rPr>
          <w:highlight w:val="lightGray"/>
          <w:lang w:val="lt-LT"/>
        </w:rPr>
        <w:t>&lt;</w:t>
      </w:r>
      <w:r w:rsidR="0058239E" w:rsidRPr="004A478C">
        <w:rPr>
          <w:highlight w:val="lightGray"/>
          <w:lang w:val="lt-LT"/>
        </w:rPr>
        <w:t>80 mg</w:t>
      </w:r>
      <w:r w:rsidRPr="007F09F8">
        <w:rPr>
          <w:highlight w:val="lightGray"/>
          <w:lang w:val="lt-LT"/>
        </w:rPr>
        <w:t>&gt;</w:t>
      </w:r>
    </w:p>
    <w:p w14:paraId="34E10084" w14:textId="28A76727" w:rsidR="0058239E" w:rsidRPr="004B0C8F" w:rsidRDefault="0058239E" w:rsidP="0058239E">
      <w:pPr>
        <w:rPr>
          <w:bCs/>
          <w:szCs w:val="22"/>
          <w:highlight w:val="lightGray"/>
          <w:lang w:val="lt-LT"/>
        </w:rPr>
      </w:pPr>
      <w:r w:rsidRPr="004B0C8F">
        <w:rPr>
          <w:szCs w:val="22"/>
          <w:lang w:val="lt-LT"/>
        </w:rPr>
        <w:t>LT/1/19/4396/001</w:t>
      </w:r>
      <w:r w:rsidRPr="004B0C8F">
        <w:rPr>
          <w:bCs/>
          <w:szCs w:val="22"/>
          <w:lang w:val="lt-LT"/>
        </w:rPr>
        <w:t xml:space="preserve"> </w:t>
      </w:r>
      <w:r w:rsidRPr="004B0C8F">
        <w:rPr>
          <w:bCs/>
          <w:szCs w:val="22"/>
          <w:highlight w:val="lightGray"/>
          <w:lang w:val="lt-LT"/>
        </w:rPr>
        <w:t>– N14</w:t>
      </w:r>
    </w:p>
    <w:p w14:paraId="36DD9907" w14:textId="11FB3032" w:rsidR="0058239E" w:rsidRPr="004B0C8F" w:rsidRDefault="0058239E" w:rsidP="0058239E">
      <w:pPr>
        <w:rPr>
          <w:bCs/>
          <w:szCs w:val="22"/>
          <w:highlight w:val="lightGray"/>
          <w:lang w:val="lt-LT"/>
        </w:rPr>
      </w:pPr>
      <w:r w:rsidRPr="004B0C8F">
        <w:rPr>
          <w:szCs w:val="22"/>
          <w:highlight w:val="lightGray"/>
          <w:lang w:val="lt-LT"/>
        </w:rPr>
        <w:t>LT/1/19/4396/002</w:t>
      </w:r>
      <w:r w:rsidRPr="004B0C8F">
        <w:rPr>
          <w:bCs/>
          <w:szCs w:val="22"/>
          <w:highlight w:val="lightGray"/>
          <w:lang w:val="lt-LT"/>
        </w:rPr>
        <w:t xml:space="preserve"> – N28</w:t>
      </w:r>
    </w:p>
    <w:p w14:paraId="6E44698C" w14:textId="53190EDA" w:rsidR="0058239E" w:rsidRPr="004B0C8F" w:rsidRDefault="0058239E" w:rsidP="0058239E">
      <w:pPr>
        <w:rPr>
          <w:bCs/>
          <w:szCs w:val="22"/>
          <w:highlight w:val="lightGray"/>
          <w:lang w:val="lt-LT"/>
        </w:rPr>
      </w:pPr>
      <w:r w:rsidRPr="004B0C8F">
        <w:rPr>
          <w:szCs w:val="22"/>
          <w:highlight w:val="lightGray"/>
          <w:lang w:val="lt-LT"/>
        </w:rPr>
        <w:t>LT/1/19/4396/003</w:t>
      </w:r>
      <w:r w:rsidRPr="004B0C8F">
        <w:rPr>
          <w:bCs/>
          <w:szCs w:val="22"/>
          <w:highlight w:val="lightGray"/>
          <w:lang w:val="lt-LT"/>
        </w:rPr>
        <w:t xml:space="preserve"> – N42</w:t>
      </w:r>
    </w:p>
    <w:p w14:paraId="51920F0D" w14:textId="6B9F8237" w:rsidR="0058239E" w:rsidRPr="004B0C8F" w:rsidRDefault="0058239E" w:rsidP="0058239E">
      <w:pPr>
        <w:rPr>
          <w:bCs/>
          <w:szCs w:val="22"/>
          <w:highlight w:val="lightGray"/>
          <w:lang w:val="lt-LT"/>
        </w:rPr>
      </w:pPr>
      <w:r w:rsidRPr="004B0C8F">
        <w:rPr>
          <w:szCs w:val="22"/>
          <w:highlight w:val="lightGray"/>
          <w:lang w:val="lt-LT"/>
        </w:rPr>
        <w:t>LT/1/19/4396/004</w:t>
      </w:r>
      <w:r w:rsidRPr="004B0C8F">
        <w:rPr>
          <w:bCs/>
          <w:szCs w:val="22"/>
          <w:highlight w:val="lightGray"/>
          <w:lang w:val="lt-LT"/>
        </w:rPr>
        <w:t xml:space="preserve"> – N56</w:t>
      </w:r>
    </w:p>
    <w:p w14:paraId="6B5854D7" w14:textId="596D3DDF" w:rsidR="0058239E" w:rsidRPr="004B0C8F" w:rsidRDefault="0058239E" w:rsidP="0058239E">
      <w:pPr>
        <w:rPr>
          <w:bCs/>
          <w:szCs w:val="22"/>
          <w:highlight w:val="lightGray"/>
          <w:lang w:val="lt-LT"/>
        </w:rPr>
      </w:pPr>
      <w:r w:rsidRPr="004B0C8F">
        <w:rPr>
          <w:szCs w:val="22"/>
          <w:highlight w:val="lightGray"/>
          <w:lang w:val="lt-LT"/>
        </w:rPr>
        <w:t>LT/1/19/4396/005</w:t>
      </w:r>
      <w:r w:rsidRPr="004B0C8F">
        <w:rPr>
          <w:bCs/>
          <w:szCs w:val="22"/>
          <w:highlight w:val="lightGray"/>
          <w:lang w:val="lt-LT"/>
        </w:rPr>
        <w:t xml:space="preserve"> – N84</w:t>
      </w:r>
    </w:p>
    <w:p w14:paraId="5929D519" w14:textId="3CD8C837" w:rsidR="0058239E" w:rsidRPr="004B0C8F" w:rsidRDefault="0058239E" w:rsidP="0058239E">
      <w:pPr>
        <w:tabs>
          <w:tab w:val="left" w:pos="4680"/>
        </w:tabs>
        <w:spacing w:line="240" w:lineRule="auto"/>
        <w:rPr>
          <w:bCs/>
          <w:szCs w:val="22"/>
          <w:highlight w:val="lightGray"/>
          <w:lang w:val="lt-LT"/>
        </w:rPr>
      </w:pPr>
      <w:r w:rsidRPr="004B0C8F">
        <w:rPr>
          <w:szCs w:val="22"/>
          <w:highlight w:val="lightGray"/>
          <w:lang w:val="lt-LT"/>
        </w:rPr>
        <w:t>LT/1/19/4396/006</w:t>
      </w:r>
      <w:r w:rsidRPr="004B0C8F">
        <w:rPr>
          <w:bCs/>
          <w:szCs w:val="22"/>
          <w:highlight w:val="lightGray"/>
          <w:lang w:val="lt-LT"/>
        </w:rPr>
        <w:t xml:space="preserve"> – N98</w:t>
      </w:r>
    </w:p>
    <w:p w14:paraId="2CEDB2BE" w14:textId="77777777" w:rsidR="0058239E" w:rsidRPr="004A478C" w:rsidRDefault="0058239E" w:rsidP="0058239E">
      <w:pPr>
        <w:tabs>
          <w:tab w:val="left" w:pos="4680"/>
        </w:tabs>
        <w:spacing w:line="240" w:lineRule="auto"/>
        <w:rPr>
          <w:highlight w:val="lightGray"/>
          <w:lang w:val="lt-LT"/>
        </w:rPr>
      </w:pPr>
    </w:p>
    <w:p w14:paraId="16845A91" w14:textId="1C593411" w:rsidR="0058239E" w:rsidRPr="004A478C" w:rsidRDefault="007F09F8" w:rsidP="0058239E">
      <w:pPr>
        <w:tabs>
          <w:tab w:val="left" w:pos="4680"/>
        </w:tabs>
        <w:spacing w:line="240" w:lineRule="auto"/>
        <w:rPr>
          <w:lang w:val="lt-LT"/>
        </w:rPr>
      </w:pPr>
      <w:r>
        <w:rPr>
          <w:highlight w:val="lightGray"/>
          <w:lang w:val="lt-LT"/>
        </w:rPr>
        <w:t>&lt;</w:t>
      </w:r>
      <w:r w:rsidR="0058239E" w:rsidRPr="004A478C">
        <w:rPr>
          <w:highlight w:val="lightGray"/>
          <w:lang w:val="lt-LT"/>
        </w:rPr>
        <w:t>120 mg</w:t>
      </w:r>
      <w:r w:rsidRPr="007F09F8">
        <w:rPr>
          <w:highlight w:val="lightGray"/>
          <w:lang w:val="lt-LT"/>
        </w:rPr>
        <w:t>&gt;</w:t>
      </w:r>
    </w:p>
    <w:p w14:paraId="6E93355B" w14:textId="682845BF" w:rsidR="0058239E" w:rsidRPr="004B0C8F" w:rsidRDefault="0058239E" w:rsidP="0058239E">
      <w:pPr>
        <w:rPr>
          <w:bCs/>
          <w:szCs w:val="22"/>
          <w:highlight w:val="lightGray"/>
          <w:lang w:val="lt-LT"/>
        </w:rPr>
      </w:pPr>
      <w:r w:rsidRPr="007F09F8">
        <w:rPr>
          <w:szCs w:val="22"/>
          <w:highlight w:val="lightGray"/>
          <w:lang w:val="lt-LT"/>
        </w:rPr>
        <w:t>LT/1/19/4397/001</w:t>
      </w:r>
      <w:r w:rsidRPr="007F09F8">
        <w:rPr>
          <w:bCs/>
          <w:szCs w:val="22"/>
          <w:highlight w:val="lightGray"/>
          <w:lang w:val="lt-LT"/>
        </w:rPr>
        <w:t xml:space="preserve"> – </w:t>
      </w:r>
      <w:r w:rsidRPr="004B0C8F">
        <w:rPr>
          <w:bCs/>
          <w:szCs w:val="22"/>
          <w:highlight w:val="lightGray"/>
          <w:lang w:val="lt-LT"/>
        </w:rPr>
        <w:t>N14</w:t>
      </w:r>
    </w:p>
    <w:p w14:paraId="2072C53E" w14:textId="2403E72F" w:rsidR="0058239E" w:rsidRPr="004B0C8F" w:rsidRDefault="0058239E" w:rsidP="0058239E">
      <w:pPr>
        <w:rPr>
          <w:bCs/>
          <w:szCs w:val="22"/>
          <w:highlight w:val="lightGray"/>
          <w:lang w:val="lt-LT"/>
        </w:rPr>
      </w:pPr>
      <w:r w:rsidRPr="004B0C8F">
        <w:rPr>
          <w:szCs w:val="22"/>
          <w:highlight w:val="lightGray"/>
          <w:lang w:val="lt-LT"/>
        </w:rPr>
        <w:t>LT/1/19/4397/002</w:t>
      </w:r>
      <w:r w:rsidRPr="004B0C8F">
        <w:rPr>
          <w:bCs/>
          <w:szCs w:val="22"/>
          <w:highlight w:val="lightGray"/>
          <w:lang w:val="lt-LT"/>
        </w:rPr>
        <w:t xml:space="preserve"> – N28</w:t>
      </w:r>
    </w:p>
    <w:p w14:paraId="6E05A5A0" w14:textId="660E1EFD" w:rsidR="0058239E" w:rsidRPr="004B0C8F" w:rsidRDefault="0058239E" w:rsidP="0058239E">
      <w:pPr>
        <w:rPr>
          <w:bCs/>
          <w:szCs w:val="22"/>
          <w:highlight w:val="lightGray"/>
          <w:lang w:val="lt-LT"/>
        </w:rPr>
      </w:pPr>
      <w:r w:rsidRPr="004B0C8F">
        <w:rPr>
          <w:szCs w:val="22"/>
          <w:highlight w:val="lightGray"/>
          <w:lang w:val="lt-LT"/>
        </w:rPr>
        <w:t>LT/1/19/4397/003</w:t>
      </w:r>
      <w:r w:rsidRPr="004B0C8F">
        <w:rPr>
          <w:bCs/>
          <w:szCs w:val="22"/>
          <w:highlight w:val="lightGray"/>
          <w:lang w:val="lt-LT"/>
        </w:rPr>
        <w:t xml:space="preserve"> – N42</w:t>
      </w:r>
    </w:p>
    <w:p w14:paraId="69AFDD9D" w14:textId="78EF8C91" w:rsidR="0058239E" w:rsidRPr="004B0C8F" w:rsidRDefault="0058239E" w:rsidP="0058239E">
      <w:pPr>
        <w:rPr>
          <w:bCs/>
          <w:szCs w:val="22"/>
          <w:highlight w:val="lightGray"/>
          <w:lang w:val="lt-LT"/>
        </w:rPr>
      </w:pPr>
      <w:r w:rsidRPr="004B0C8F">
        <w:rPr>
          <w:szCs w:val="22"/>
          <w:highlight w:val="lightGray"/>
          <w:lang w:val="lt-LT"/>
        </w:rPr>
        <w:t>LT/1/19/4397/004</w:t>
      </w:r>
      <w:r w:rsidRPr="004B0C8F">
        <w:rPr>
          <w:bCs/>
          <w:szCs w:val="22"/>
          <w:highlight w:val="lightGray"/>
          <w:lang w:val="lt-LT"/>
        </w:rPr>
        <w:t xml:space="preserve"> – N56</w:t>
      </w:r>
    </w:p>
    <w:p w14:paraId="1AD5BEDB" w14:textId="623D7772" w:rsidR="0058239E" w:rsidRPr="004B0C8F" w:rsidRDefault="0058239E" w:rsidP="0058239E">
      <w:pPr>
        <w:rPr>
          <w:bCs/>
          <w:szCs w:val="22"/>
          <w:highlight w:val="lightGray"/>
          <w:lang w:val="lt-LT"/>
        </w:rPr>
      </w:pPr>
      <w:r w:rsidRPr="004B0C8F">
        <w:rPr>
          <w:szCs w:val="22"/>
          <w:highlight w:val="lightGray"/>
          <w:lang w:val="lt-LT"/>
        </w:rPr>
        <w:t>LT/1/19/4397/005</w:t>
      </w:r>
      <w:r w:rsidRPr="004B0C8F">
        <w:rPr>
          <w:bCs/>
          <w:szCs w:val="22"/>
          <w:highlight w:val="lightGray"/>
          <w:lang w:val="lt-LT"/>
        </w:rPr>
        <w:t xml:space="preserve"> – N84</w:t>
      </w:r>
    </w:p>
    <w:p w14:paraId="494FD3FD" w14:textId="6748A56C" w:rsidR="0058239E" w:rsidRPr="004B0C8F" w:rsidRDefault="0058239E" w:rsidP="0058239E">
      <w:pPr>
        <w:tabs>
          <w:tab w:val="left" w:pos="4680"/>
        </w:tabs>
        <w:spacing w:line="240" w:lineRule="auto"/>
        <w:rPr>
          <w:bCs/>
          <w:szCs w:val="22"/>
          <w:lang w:val="lt-LT"/>
        </w:rPr>
      </w:pPr>
      <w:r w:rsidRPr="004B0C8F">
        <w:rPr>
          <w:szCs w:val="22"/>
          <w:highlight w:val="lightGray"/>
          <w:lang w:val="lt-LT"/>
        </w:rPr>
        <w:t>LT/1/19/4397/006</w:t>
      </w:r>
      <w:r w:rsidRPr="004B0C8F">
        <w:rPr>
          <w:bCs/>
          <w:szCs w:val="22"/>
          <w:highlight w:val="lightGray"/>
          <w:lang w:val="lt-LT"/>
        </w:rPr>
        <w:t xml:space="preserve"> – N98</w:t>
      </w:r>
    </w:p>
    <w:p w14:paraId="68FEFEF1" w14:textId="77777777" w:rsidR="0058239E" w:rsidRPr="004A478C" w:rsidRDefault="0058239E" w:rsidP="0058239E">
      <w:pPr>
        <w:tabs>
          <w:tab w:val="left" w:pos="4680"/>
        </w:tabs>
        <w:spacing w:line="240" w:lineRule="auto"/>
        <w:rPr>
          <w:lang w:val="lt-LT"/>
        </w:rPr>
      </w:pPr>
    </w:p>
    <w:p w14:paraId="0DC2DE05" w14:textId="77777777" w:rsidR="00273470" w:rsidRPr="004A478C" w:rsidRDefault="00273470" w:rsidP="003B28E4">
      <w:pPr>
        <w:tabs>
          <w:tab w:val="left" w:pos="4680"/>
        </w:tabs>
        <w:spacing w:line="240" w:lineRule="auto"/>
        <w:rPr>
          <w:lang w:val="lt-LT"/>
        </w:rPr>
      </w:pPr>
    </w:p>
    <w:tbl>
      <w:tblPr>
        <w:tblW w:w="8731" w:type="dxa"/>
        <w:tblInd w:w="-103" w:type="dxa"/>
        <w:tblCellMar>
          <w:top w:w="55" w:type="dxa"/>
          <w:left w:w="0" w:type="dxa"/>
          <w:right w:w="115" w:type="dxa"/>
        </w:tblCellMar>
        <w:tblLook w:val="04A0" w:firstRow="1" w:lastRow="0" w:firstColumn="1" w:lastColumn="0" w:noHBand="0" w:noVBand="1"/>
      </w:tblPr>
      <w:tblGrid>
        <w:gridCol w:w="633"/>
        <w:gridCol w:w="8098"/>
      </w:tblGrid>
      <w:tr w:rsidR="00273470" w:rsidRPr="004B0C8F" w14:paraId="07252151" w14:textId="77777777" w:rsidTr="0090398C">
        <w:trPr>
          <w:trHeight w:val="247"/>
        </w:trPr>
        <w:tc>
          <w:tcPr>
            <w:tcW w:w="633" w:type="dxa"/>
            <w:tcBorders>
              <w:top w:val="single" w:sz="4" w:space="0" w:color="000000"/>
              <w:left w:val="single" w:sz="4" w:space="0" w:color="000000"/>
              <w:bottom w:val="single" w:sz="4" w:space="0" w:color="000000"/>
              <w:right w:val="nil"/>
            </w:tcBorders>
            <w:shd w:val="clear" w:color="auto" w:fill="auto"/>
          </w:tcPr>
          <w:p w14:paraId="07CC274F" w14:textId="77777777" w:rsidR="00273470" w:rsidRPr="004A478C" w:rsidRDefault="00273470" w:rsidP="003B28E4">
            <w:pPr>
              <w:tabs>
                <w:tab w:val="left" w:pos="4680"/>
              </w:tabs>
              <w:spacing w:line="240" w:lineRule="auto"/>
              <w:ind w:left="103"/>
              <w:rPr>
                <w:lang w:val="lt-LT"/>
              </w:rPr>
            </w:pPr>
            <w:r w:rsidRPr="004A478C">
              <w:rPr>
                <w:b/>
                <w:lang w:val="lt-LT"/>
              </w:rPr>
              <w:t xml:space="preserve">13. </w:t>
            </w:r>
          </w:p>
        </w:tc>
        <w:tc>
          <w:tcPr>
            <w:tcW w:w="8098" w:type="dxa"/>
            <w:tcBorders>
              <w:top w:val="single" w:sz="4" w:space="0" w:color="000000"/>
              <w:left w:val="nil"/>
              <w:bottom w:val="single" w:sz="4" w:space="0" w:color="000000"/>
              <w:right w:val="single" w:sz="4" w:space="0" w:color="000000"/>
            </w:tcBorders>
            <w:shd w:val="clear" w:color="auto" w:fill="auto"/>
          </w:tcPr>
          <w:p w14:paraId="3E0CABBC" w14:textId="77777777" w:rsidR="00273470" w:rsidRPr="004A478C" w:rsidRDefault="00273470" w:rsidP="003B28E4">
            <w:pPr>
              <w:tabs>
                <w:tab w:val="left" w:pos="4680"/>
              </w:tabs>
              <w:spacing w:line="240" w:lineRule="auto"/>
              <w:rPr>
                <w:lang w:val="lt-LT"/>
              </w:rPr>
            </w:pPr>
            <w:r w:rsidRPr="004A478C">
              <w:rPr>
                <w:b/>
                <w:lang w:val="lt-LT"/>
              </w:rPr>
              <w:t xml:space="preserve">SERIJOS NUMERIS </w:t>
            </w:r>
          </w:p>
        </w:tc>
      </w:tr>
    </w:tbl>
    <w:p w14:paraId="367BE7FC" w14:textId="77777777" w:rsidR="00273470" w:rsidRPr="004A478C" w:rsidRDefault="00273470" w:rsidP="003B28E4">
      <w:pPr>
        <w:tabs>
          <w:tab w:val="left" w:pos="4680"/>
        </w:tabs>
        <w:spacing w:line="240" w:lineRule="auto"/>
        <w:rPr>
          <w:lang w:val="lt-LT"/>
        </w:rPr>
      </w:pPr>
      <w:r w:rsidRPr="004A478C">
        <w:rPr>
          <w:lang w:val="lt-LT"/>
        </w:rPr>
        <w:t xml:space="preserve"> </w:t>
      </w:r>
    </w:p>
    <w:p w14:paraId="4A7F73EE" w14:textId="77777777" w:rsidR="00273470" w:rsidRPr="004A478C" w:rsidRDefault="00273470" w:rsidP="003B28E4">
      <w:pPr>
        <w:tabs>
          <w:tab w:val="left" w:pos="4680"/>
        </w:tabs>
        <w:spacing w:line="240" w:lineRule="auto"/>
        <w:ind w:left="2" w:right="397"/>
        <w:rPr>
          <w:lang w:val="lt-LT"/>
        </w:rPr>
      </w:pPr>
      <w:r w:rsidRPr="004A478C">
        <w:rPr>
          <w:lang w:val="lt-LT"/>
        </w:rPr>
        <w:t xml:space="preserve">Lot </w:t>
      </w:r>
    </w:p>
    <w:p w14:paraId="168F52F2" w14:textId="77777777" w:rsidR="00273470" w:rsidRPr="004A478C" w:rsidRDefault="00273470" w:rsidP="003B28E4">
      <w:pPr>
        <w:tabs>
          <w:tab w:val="left" w:pos="4680"/>
        </w:tabs>
        <w:spacing w:line="240" w:lineRule="auto"/>
        <w:rPr>
          <w:lang w:val="lt-LT"/>
        </w:rPr>
      </w:pPr>
      <w:r w:rsidRPr="004A478C">
        <w:rPr>
          <w:lang w:val="lt-LT"/>
        </w:rPr>
        <w:t xml:space="preserve"> </w:t>
      </w:r>
    </w:p>
    <w:p w14:paraId="136DCD75" w14:textId="77777777" w:rsidR="00273470" w:rsidRPr="004A478C" w:rsidRDefault="00273470" w:rsidP="003B28E4">
      <w:pPr>
        <w:tabs>
          <w:tab w:val="left" w:pos="4680"/>
        </w:tabs>
        <w:spacing w:line="240" w:lineRule="auto"/>
        <w:rPr>
          <w:lang w:val="lt-LT"/>
        </w:rPr>
      </w:pPr>
      <w:r w:rsidRPr="004A478C">
        <w:rPr>
          <w:lang w:val="lt-LT"/>
        </w:rPr>
        <w:t xml:space="preserve"> </w:t>
      </w:r>
    </w:p>
    <w:tbl>
      <w:tblPr>
        <w:tblW w:w="8731" w:type="dxa"/>
        <w:tblInd w:w="-103" w:type="dxa"/>
        <w:tblCellMar>
          <w:top w:w="55" w:type="dxa"/>
          <w:left w:w="0" w:type="dxa"/>
          <w:right w:w="115" w:type="dxa"/>
        </w:tblCellMar>
        <w:tblLook w:val="04A0" w:firstRow="1" w:lastRow="0" w:firstColumn="1" w:lastColumn="0" w:noHBand="0" w:noVBand="1"/>
      </w:tblPr>
      <w:tblGrid>
        <w:gridCol w:w="633"/>
        <w:gridCol w:w="8098"/>
      </w:tblGrid>
      <w:tr w:rsidR="00273470" w:rsidRPr="004B0C8F" w14:paraId="1ED2935A" w14:textId="77777777" w:rsidTr="0090398C">
        <w:trPr>
          <w:trHeight w:val="247"/>
        </w:trPr>
        <w:tc>
          <w:tcPr>
            <w:tcW w:w="633" w:type="dxa"/>
            <w:tcBorders>
              <w:top w:val="single" w:sz="4" w:space="0" w:color="000000"/>
              <w:left w:val="single" w:sz="4" w:space="0" w:color="000000"/>
              <w:bottom w:val="single" w:sz="4" w:space="0" w:color="000000"/>
              <w:right w:val="nil"/>
            </w:tcBorders>
            <w:shd w:val="clear" w:color="auto" w:fill="auto"/>
          </w:tcPr>
          <w:p w14:paraId="766FB62D" w14:textId="77777777" w:rsidR="00273470" w:rsidRPr="004A478C" w:rsidRDefault="00273470" w:rsidP="003B28E4">
            <w:pPr>
              <w:tabs>
                <w:tab w:val="left" w:pos="4680"/>
              </w:tabs>
              <w:spacing w:line="240" w:lineRule="auto"/>
              <w:ind w:left="103"/>
              <w:rPr>
                <w:lang w:val="lt-LT"/>
              </w:rPr>
            </w:pPr>
            <w:r w:rsidRPr="004A478C">
              <w:rPr>
                <w:b/>
                <w:lang w:val="lt-LT"/>
              </w:rPr>
              <w:t xml:space="preserve">14. </w:t>
            </w:r>
          </w:p>
        </w:tc>
        <w:tc>
          <w:tcPr>
            <w:tcW w:w="8098" w:type="dxa"/>
            <w:tcBorders>
              <w:top w:val="single" w:sz="4" w:space="0" w:color="000000"/>
              <w:left w:val="nil"/>
              <w:bottom w:val="single" w:sz="4" w:space="0" w:color="000000"/>
              <w:right w:val="single" w:sz="4" w:space="0" w:color="000000"/>
            </w:tcBorders>
            <w:shd w:val="clear" w:color="auto" w:fill="auto"/>
          </w:tcPr>
          <w:p w14:paraId="36ACD0CA" w14:textId="77777777" w:rsidR="00273470" w:rsidRPr="004A478C" w:rsidRDefault="00273470" w:rsidP="003B28E4">
            <w:pPr>
              <w:tabs>
                <w:tab w:val="left" w:pos="4680"/>
              </w:tabs>
              <w:spacing w:line="240" w:lineRule="auto"/>
              <w:rPr>
                <w:lang w:val="lt-LT"/>
              </w:rPr>
            </w:pPr>
            <w:r w:rsidRPr="004A478C">
              <w:rPr>
                <w:b/>
                <w:lang w:val="lt-LT"/>
              </w:rPr>
              <w:t xml:space="preserve">PARDAVIMO (IŠDAVIMO) TVARKA </w:t>
            </w:r>
          </w:p>
        </w:tc>
      </w:tr>
    </w:tbl>
    <w:p w14:paraId="0F6B9F7E" w14:textId="77777777" w:rsidR="00273470" w:rsidRPr="004A478C" w:rsidRDefault="00273470" w:rsidP="003B28E4">
      <w:pPr>
        <w:tabs>
          <w:tab w:val="left" w:pos="4680"/>
        </w:tabs>
        <w:spacing w:line="240" w:lineRule="auto"/>
        <w:rPr>
          <w:lang w:val="lt-LT"/>
        </w:rPr>
      </w:pPr>
      <w:r w:rsidRPr="004A478C">
        <w:rPr>
          <w:lang w:val="lt-LT"/>
        </w:rPr>
        <w:t xml:space="preserve"> </w:t>
      </w:r>
    </w:p>
    <w:p w14:paraId="2ED2564D" w14:textId="77777777" w:rsidR="00273470" w:rsidRPr="004A478C" w:rsidRDefault="00273470" w:rsidP="003B28E4">
      <w:pPr>
        <w:tabs>
          <w:tab w:val="left" w:pos="4680"/>
        </w:tabs>
        <w:spacing w:line="240" w:lineRule="auto"/>
        <w:ind w:left="2" w:right="397"/>
        <w:rPr>
          <w:lang w:val="lt-LT"/>
        </w:rPr>
      </w:pPr>
      <w:r w:rsidRPr="004A478C">
        <w:rPr>
          <w:lang w:val="lt-LT"/>
        </w:rPr>
        <w:t xml:space="preserve">Receptinis vaistas </w:t>
      </w:r>
    </w:p>
    <w:p w14:paraId="5645A449" w14:textId="77777777" w:rsidR="00273470" w:rsidRPr="004A478C" w:rsidRDefault="00273470" w:rsidP="003B28E4">
      <w:pPr>
        <w:tabs>
          <w:tab w:val="left" w:pos="4680"/>
        </w:tabs>
        <w:spacing w:line="240" w:lineRule="auto"/>
        <w:rPr>
          <w:lang w:val="lt-LT"/>
        </w:rPr>
      </w:pPr>
      <w:r w:rsidRPr="004A478C">
        <w:rPr>
          <w:lang w:val="lt-LT"/>
        </w:rPr>
        <w:t xml:space="preserve"> </w:t>
      </w:r>
    </w:p>
    <w:p w14:paraId="48BC55F7" w14:textId="77777777" w:rsidR="00273470" w:rsidRPr="004A478C" w:rsidRDefault="00273470" w:rsidP="003B28E4">
      <w:pPr>
        <w:tabs>
          <w:tab w:val="left" w:pos="4680"/>
        </w:tabs>
        <w:spacing w:line="240" w:lineRule="auto"/>
        <w:rPr>
          <w:lang w:val="lt-LT"/>
        </w:rPr>
      </w:pPr>
      <w:r w:rsidRPr="004A478C">
        <w:rPr>
          <w:lang w:val="lt-LT"/>
        </w:rPr>
        <w:t xml:space="preserve"> </w:t>
      </w:r>
    </w:p>
    <w:tbl>
      <w:tblPr>
        <w:tblW w:w="8731" w:type="dxa"/>
        <w:tblInd w:w="-103" w:type="dxa"/>
        <w:tblCellMar>
          <w:top w:w="53" w:type="dxa"/>
          <w:left w:w="0" w:type="dxa"/>
          <w:right w:w="115" w:type="dxa"/>
        </w:tblCellMar>
        <w:tblLook w:val="04A0" w:firstRow="1" w:lastRow="0" w:firstColumn="1" w:lastColumn="0" w:noHBand="0" w:noVBand="1"/>
      </w:tblPr>
      <w:tblGrid>
        <w:gridCol w:w="633"/>
        <w:gridCol w:w="8098"/>
      </w:tblGrid>
      <w:tr w:rsidR="00273470" w:rsidRPr="004B0C8F" w14:paraId="1003DCC4" w14:textId="77777777" w:rsidTr="0090398C">
        <w:trPr>
          <w:trHeight w:val="245"/>
        </w:trPr>
        <w:tc>
          <w:tcPr>
            <w:tcW w:w="633" w:type="dxa"/>
            <w:tcBorders>
              <w:top w:val="single" w:sz="4" w:space="0" w:color="000000"/>
              <w:left w:val="single" w:sz="4" w:space="0" w:color="000000"/>
              <w:bottom w:val="single" w:sz="4" w:space="0" w:color="000000"/>
              <w:right w:val="nil"/>
            </w:tcBorders>
            <w:shd w:val="clear" w:color="auto" w:fill="auto"/>
          </w:tcPr>
          <w:p w14:paraId="7C3ACF93" w14:textId="77777777" w:rsidR="00273470" w:rsidRPr="004A478C" w:rsidRDefault="00273470" w:rsidP="003B28E4">
            <w:pPr>
              <w:tabs>
                <w:tab w:val="left" w:pos="4680"/>
              </w:tabs>
              <w:spacing w:line="240" w:lineRule="auto"/>
              <w:ind w:left="103"/>
              <w:rPr>
                <w:lang w:val="lt-LT"/>
              </w:rPr>
            </w:pPr>
            <w:r w:rsidRPr="004A478C">
              <w:rPr>
                <w:b/>
                <w:lang w:val="lt-LT"/>
              </w:rPr>
              <w:t xml:space="preserve">15. </w:t>
            </w:r>
          </w:p>
        </w:tc>
        <w:tc>
          <w:tcPr>
            <w:tcW w:w="8098" w:type="dxa"/>
            <w:tcBorders>
              <w:top w:val="single" w:sz="4" w:space="0" w:color="000000"/>
              <w:left w:val="nil"/>
              <w:bottom w:val="single" w:sz="4" w:space="0" w:color="000000"/>
              <w:right w:val="single" w:sz="4" w:space="0" w:color="000000"/>
            </w:tcBorders>
            <w:shd w:val="clear" w:color="auto" w:fill="auto"/>
          </w:tcPr>
          <w:p w14:paraId="773A3B5A" w14:textId="77777777" w:rsidR="00273470" w:rsidRPr="004A478C" w:rsidRDefault="00273470" w:rsidP="003B28E4">
            <w:pPr>
              <w:tabs>
                <w:tab w:val="left" w:pos="4680"/>
              </w:tabs>
              <w:spacing w:line="240" w:lineRule="auto"/>
              <w:rPr>
                <w:lang w:val="lt-LT"/>
              </w:rPr>
            </w:pPr>
            <w:r w:rsidRPr="004A478C">
              <w:rPr>
                <w:b/>
                <w:lang w:val="lt-LT"/>
              </w:rPr>
              <w:t xml:space="preserve">VARTOJIMO INSTRUKCIJA </w:t>
            </w:r>
          </w:p>
        </w:tc>
      </w:tr>
    </w:tbl>
    <w:p w14:paraId="7F39026C" w14:textId="77777777" w:rsidR="00273470" w:rsidRPr="004A478C" w:rsidRDefault="00273470" w:rsidP="003B28E4">
      <w:pPr>
        <w:tabs>
          <w:tab w:val="left" w:pos="4680"/>
        </w:tabs>
        <w:spacing w:line="240" w:lineRule="auto"/>
        <w:rPr>
          <w:lang w:val="lt-LT"/>
        </w:rPr>
      </w:pPr>
      <w:r w:rsidRPr="004A478C">
        <w:rPr>
          <w:lang w:val="lt-LT"/>
        </w:rPr>
        <w:t xml:space="preserve"> </w:t>
      </w:r>
    </w:p>
    <w:p w14:paraId="491EE46B" w14:textId="77777777" w:rsidR="00273470" w:rsidRPr="004A478C" w:rsidRDefault="00273470" w:rsidP="003B28E4">
      <w:pPr>
        <w:tabs>
          <w:tab w:val="left" w:pos="4680"/>
        </w:tabs>
        <w:spacing w:line="240" w:lineRule="auto"/>
        <w:rPr>
          <w:lang w:val="lt-LT"/>
        </w:rPr>
      </w:pPr>
      <w:r w:rsidRPr="004A478C">
        <w:rPr>
          <w:lang w:val="lt-LT"/>
        </w:rPr>
        <w:t xml:space="preserve"> </w:t>
      </w:r>
    </w:p>
    <w:tbl>
      <w:tblPr>
        <w:tblW w:w="8740" w:type="dxa"/>
        <w:tblInd w:w="-107" w:type="dxa"/>
        <w:tblCellMar>
          <w:top w:w="77" w:type="dxa"/>
          <w:left w:w="0" w:type="dxa"/>
          <w:right w:w="115" w:type="dxa"/>
        </w:tblCellMar>
        <w:tblLook w:val="04A0" w:firstRow="1" w:lastRow="0" w:firstColumn="1" w:lastColumn="0" w:noHBand="0" w:noVBand="1"/>
      </w:tblPr>
      <w:tblGrid>
        <w:gridCol w:w="637"/>
        <w:gridCol w:w="8103"/>
      </w:tblGrid>
      <w:tr w:rsidR="00273470" w:rsidRPr="004B0C8F" w14:paraId="347E4D34" w14:textId="77777777" w:rsidTr="0090398C">
        <w:trPr>
          <w:trHeight w:val="288"/>
        </w:trPr>
        <w:tc>
          <w:tcPr>
            <w:tcW w:w="637" w:type="dxa"/>
            <w:tcBorders>
              <w:top w:val="single" w:sz="4" w:space="0" w:color="000000"/>
              <w:left w:val="single" w:sz="3" w:space="0" w:color="000000"/>
              <w:bottom w:val="single" w:sz="4" w:space="0" w:color="000000"/>
              <w:right w:val="nil"/>
            </w:tcBorders>
            <w:shd w:val="clear" w:color="auto" w:fill="auto"/>
          </w:tcPr>
          <w:p w14:paraId="412DA806" w14:textId="77777777" w:rsidR="00273470" w:rsidRPr="004A478C" w:rsidRDefault="00273470" w:rsidP="003B28E4">
            <w:pPr>
              <w:tabs>
                <w:tab w:val="left" w:pos="4680"/>
              </w:tabs>
              <w:spacing w:line="240" w:lineRule="auto"/>
              <w:ind w:left="107"/>
              <w:rPr>
                <w:lang w:val="lt-LT"/>
              </w:rPr>
            </w:pPr>
            <w:r w:rsidRPr="004A478C">
              <w:rPr>
                <w:b/>
                <w:lang w:val="lt-LT"/>
              </w:rPr>
              <w:t xml:space="preserve">16.  </w:t>
            </w:r>
          </w:p>
        </w:tc>
        <w:tc>
          <w:tcPr>
            <w:tcW w:w="8103" w:type="dxa"/>
            <w:tcBorders>
              <w:top w:val="single" w:sz="4" w:space="0" w:color="000000"/>
              <w:left w:val="nil"/>
              <w:bottom w:val="single" w:sz="4" w:space="0" w:color="000000"/>
              <w:right w:val="single" w:sz="4" w:space="0" w:color="000000"/>
            </w:tcBorders>
            <w:shd w:val="clear" w:color="auto" w:fill="auto"/>
          </w:tcPr>
          <w:p w14:paraId="0F93CF24" w14:textId="77777777" w:rsidR="00273470" w:rsidRPr="004A478C" w:rsidRDefault="00273470" w:rsidP="003B28E4">
            <w:pPr>
              <w:tabs>
                <w:tab w:val="left" w:pos="4680"/>
              </w:tabs>
              <w:spacing w:line="240" w:lineRule="auto"/>
              <w:rPr>
                <w:lang w:val="lt-LT"/>
              </w:rPr>
            </w:pPr>
            <w:r w:rsidRPr="004A478C">
              <w:rPr>
                <w:b/>
                <w:lang w:val="lt-LT"/>
              </w:rPr>
              <w:t xml:space="preserve">INFORMACIJA BRAILIO RAŠTU </w:t>
            </w:r>
          </w:p>
        </w:tc>
      </w:tr>
    </w:tbl>
    <w:p w14:paraId="6C649569" w14:textId="77777777" w:rsidR="00273470" w:rsidRPr="004A478C" w:rsidRDefault="00273470" w:rsidP="003B28E4">
      <w:pPr>
        <w:tabs>
          <w:tab w:val="left" w:pos="4680"/>
        </w:tabs>
        <w:spacing w:line="240" w:lineRule="auto"/>
        <w:rPr>
          <w:lang w:val="lt-LT"/>
        </w:rPr>
      </w:pPr>
      <w:r w:rsidRPr="004A478C">
        <w:rPr>
          <w:lang w:val="lt-LT"/>
        </w:rPr>
        <w:t xml:space="preserve"> </w:t>
      </w:r>
    </w:p>
    <w:p w14:paraId="69C4CEF5" w14:textId="59F24032" w:rsidR="00273470" w:rsidRPr="004A478C" w:rsidRDefault="00273470" w:rsidP="003B28E4">
      <w:pPr>
        <w:tabs>
          <w:tab w:val="left" w:pos="4680"/>
        </w:tabs>
        <w:spacing w:line="240" w:lineRule="auto"/>
        <w:ind w:left="2" w:right="397"/>
        <w:rPr>
          <w:lang w:val="lt-LT"/>
        </w:rPr>
      </w:pPr>
      <w:proofErr w:type="spellStart"/>
      <w:r w:rsidRPr="004A478C">
        <w:rPr>
          <w:lang w:val="lt-LT"/>
        </w:rPr>
        <w:t>Febuxostat</w:t>
      </w:r>
      <w:proofErr w:type="spellEnd"/>
      <w:r w:rsidRPr="004A478C">
        <w:rPr>
          <w:lang w:val="lt-LT"/>
        </w:rPr>
        <w:t xml:space="preserve"> </w:t>
      </w:r>
      <w:proofErr w:type="spellStart"/>
      <w:r w:rsidR="002606A3" w:rsidRPr="004A478C">
        <w:rPr>
          <w:lang w:val="lt-LT"/>
        </w:rPr>
        <w:t>Zentiva</w:t>
      </w:r>
      <w:proofErr w:type="spellEnd"/>
      <w:r w:rsidRPr="004A478C">
        <w:rPr>
          <w:lang w:val="lt-LT"/>
        </w:rPr>
        <w:t xml:space="preserve"> 80 mg  </w:t>
      </w:r>
    </w:p>
    <w:p w14:paraId="3E4489E9" w14:textId="3D95966E" w:rsidR="00245B15" w:rsidRPr="004A478C" w:rsidRDefault="00245B15" w:rsidP="00245B15">
      <w:pPr>
        <w:tabs>
          <w:tab w:val="left" w:pos="4680"/>
        </w:tabs>
        <w:spacing w:line="240" w:lineRule="auto"/>
        <w:ind w:left="2" w:right="397"/>
        <w:rPr>
          <w:lang w:val="lt-LT"/>
        </w:rPr>
      </w:pPr>
      <w:proofErr w:type="spellStart"/>
      <w:r w:rsidRPr="004A478C">
        <w:rPr>
          <w:highlight w:val="lightGray"/>
          <w:lang w:val="lt-LT"/>
        </w:rPr>
        <w:t>Febuxostat</w:t>
      </w:r>
      <w:proofErr w:type="spellEnd"/>
      <w:r w:rsidRPr="004A478C">
        <w:rPr>
          <w:highlight w:val="lightGray"/>
          <w:lang w:val="lt-LT"/>
        </w:rPr>
        <w:t xml:space="preserve"> </w:t>
      </w:r>
      <w:proofErr w:type="spellStart"/>
      <w:r w:rsidR="002606A3" w:rsidRPr="004A478C">
        <w:rPr>
          <w:highlight w:val="lightGray"/>
          <w:lang w:val="lt-LT"/>
        </w:rPr>
        <w:t>Zentiva</w:t>
      </w:r>
      <w:proofErr w:type="spellEnd"/>
      <w:r w:rsidRPr="004A478C">
        <w:rPr>
          <w:highlight w:val="lightGray"/>
          <w:lang w:val="lt-LT"/>
        </w:rPr>
        <w:t xml:space="preserve"> 120 mg</w:t>
      </w:r>
      <w:r w:rsidRPr="004A478C">
        <w:rPr>
          <w:lang w:val="lt-LT"/>
        </w:rPr>
        <w:t xml:space="preserve">  </w:t>
      </w:r>
    </w:p>
    <w:p w14:paraId="666B819D" w14:textId="77777777" w:rsidR="00273470" w:rsidRPr="004A478C" w:rsidRDefault="00273470" w:rsidP="003B28E4">
      <w:pPr>
        <w:tabs>
          <w:tab w:val="left" w:pos="4680"/>
        </w:tabs>
        <w:spacing w:line="240" w:lineRule="auto"/>
        <w:rPr>
          <w:lang w:val="lt-LT"/>
        </w:rPr>
      </w:pPr>
    </w:p>
    <w:p w14:paraId="4558594C" w14:textId="77777777" w:rsidR="00273470" w:rsidRPr="004A478C" w:rsidRDefault="00273470" w:rsidP="003B28E4">
      <w:pPr>
        <w:tabs>
          <w:tab w:val="left" w:pos="4680"/>
        </w:tabs>
        <w:spacing w:line="240" w:lineRule="auto"/>
        <w:rPr>
          <w:lang w:val="lt-LT"/>
        </w:rPr>
      </w:pPr>
      <w:r w:rsidRPr="004A478C">
        <w:rPr>
          <w:rFonts w:eastAsia="Calibri"/>
          <w:lang w:val="lt-LT"/>
        </w:rPr>
        <w:t xml:space="preserve"> </w:t>
      </w:r>
    </w:p>
    <w:tbl>
      <w:tblPr>
        <w:tblW w:w="8740" w:type="dxa"/>
        <w:tblInd w:w="-107" w:type="dxa"/>
        <w:tblCellMar>
          <w:top w:w="76" w:type="dxa"/>
          <w:left w:w="53" w:type="dxa"/>
          <w:right w:w="115" w:type="dxa"/>
        </w:tblCellMar>
        <w:tblLook w:val="04A0" w:firstRow="1" w:lastRow="0" w:firstColumn="1" w:lastColumn="0" w:noHBand="0" w:noVBand="1"/>
      </w:tblPr>
      <w:tblGrid>
        <w:gridCol w:w="584"/>
        <w:gridCol w:w="8156"/>
      </w:tblGrid>
      <w:tr w:rsidR="00273470" w:rsidRPr="004B0C8F" w14:paraId="57F81B30" w14:textId="77777777" w:rsidTr="0090398C">
        <w:trPr>
          <w:trHeight w:val="288"/>
        </w:trPr>
        <w:tc>
          <w:tcPr>
            <w:tcW w:w="584" w:type="dxa"/>
            <w:tcBorders>
              <w:top w:val="single" w:sz="4" w:space="0" w:color="000000"/>
              <w:left w:val="single" w:sz="3" w:space="0" w:color="000000"/>
              <w:bottom w:val="single" w:sz="4" w:space="0" w:color="000000"/>
              <w:right w:val="nil"/>
            </w:tcBorders>
            <w:shd w:val="clear" w:color="auto" w:fill="auto"/>
          </w:tcPr>
          <w:p w14:paraId="69669CB6" w14:textId="77777777" w:rsidR="00273470" w:rsidRPr="004A478C" w:rsidRDefault="00273470" w:rsidP="003B28E4">
            <w:pPr>
              <w:tabs>
                <w:tab w:val="left" w:pos="4680"/>
              </w:tabs>
              <w:spacing w:line="240" w:lineRule="auto"/>
              <w:ind w:left="54"/>
              <w:rPr>
                <w:lang w:val="lt-LT"/>
              </w:rPr>
            </w:pPr>
            <w:r w:rsidRPr="004A478C">
              <w:rPr>
                <w:b/>
                <w:lang w:val="lt-LT"/>
              </w:rPr>
              <w:lastRenderedPageBreak/>
              <w:t xml:space="preserve">17. </w:t>
            </w:r>
          </w:p>
        </w:tc>
        <w:tc>
          <w:tcPr>
            <w:tcW w:w="8155" w:type="dxa"/>
            <w:tcBorders>
              <w:top w:val="single" w:sz="4" w:space="0" w:color="000000"/>
              <w:left w:val="nil"/>
              <w:bottom w:val="single" w:sz="4" w:space="0" w:color="000000"/>
              <w:right w:val="single" w:sz="4" w:space="0" w:color="000000"/>
            </w:tcBorders>
            <w:shd w:val="clear" w:color="auto" w:fill="auto"/>
          </w:tcPr>
          <w:p w14:paraId="2096E5BC" w14:textId="77777777" w:rsidR="00273470" w:rsidRPr="004A478C" w:rsidRDefault="00273470" w:rsidP="003B28E4">
            <w:pPr>
              <w:tabs>
                <w:tab w:val="left" w:pos="4680"/>
              </w:tabs>
              <w:spacing w:line="240" w:lineRule="auto"/>
              <w:rPr>
                <w:lang w:val="lt-LT"/>
              </w:rPr>
            </w:pPr>
            <w:r w:rsidRPr="004A478C">
              <w:rPr>
                <w:b/>
                <w:lang w:val="lt-LT"/>
              </w:rPr>
              <w:t xml:space="preserve">UNIKALUS IDENTIFIKATORIUS - 2D BRŪKŠNINIS KODAS </w:t>
            </w:r>
          </w:p>
        </w:tc>
      </w:tr>
    </w:tbl>
    <w:p w14:paraId="6437DBA0" w14:textId="77777777" w:rsidR="00273470" w:rsidRPr="004A478C" w:rsidRDefault="00273470" w:rsidP="003B28E4">
      <w:pPr>
        <w:tabs>
          <w:tab w:val="left" w:pos="4680"/>
        </w:tabs>
        <w:spacing w:line="240" w:lineRule="auto"/>
        <w:rPr>
          <w:lang w:val="lt-LT"/>
        </w:rPr>
      </w:pPr>
      <w:r w:rsidRPr="004A478C">
        <w:rPr>
          <w:rFonts w:eastAsia="Calibri"/>
          <w:lang w:val="lt-LT"/>
        </w:rPr>
        <w:t xml:space="preserve"> </w:t>
      </w:r>
    </w:p>
    <w:p w14:paraId="4DF16523" w14:textId="77777777" w:rsidR="00273470" w:rsidRPr="004A478C" w:rsidRDefault="00273470" w:rsidP="003B28E4">
      <w:pPr>
        <w:tabs>
          <w:tab w:val="left" w:pos="4680"/>
        </w:tabs>
        <w:spacing w:line="240" w:lineRule="auto"/>
        <w:ind w:left="-5"/>
        <w:rPr>
          <w:lang w:val="lt-LT"/>
        </w:rPr>
      </w:pPr>
      <w:r w:rsidRPr="004A478C">
        <w:rPr>
          <w:shd w:val="clear" w:color="auto" w:fill="C0C0C0"/>
          <w:lang w:val="lt-LT"/>
        </w:rPr>
        <w:t>2D brūkšninis kodas su nurodytu unikaliu identifikatoriumi.</w:t>
      </w:r>
      <w:r w:rsidRPr="004A478C">
        <w:rPr>
          <w:lang w:val="lt-LT"/>
        </w:rPr>
        <w:t xml:space="preserve"> </w:t>
      </w:r>
    </w:p>
    <w:p w14:paraId="40C1CBA7" w14:textId="77777777" w:rsidR="00273470" w:rsidRPr="004A478C" w:rsidRDefault="00273470" w:rsidP="003B28E4">
      <w:pPr>
        <w:tabs>
          <w:tab w:val="left" w:pos="4680"/>
        </w:tabs>
        <w:spacing w:line="240" w:lineRule="auto"/>
        <w:rPr>
          <w:lang w:val="lt-LT"/>
        </w:rPr>
      </w:pPr>
      <w:r w:rsidRPr="004A478C">
        <w:rPr>
          <w:rFonts w:eastAsia="Calibri"/>
          <w:lang w:val="lt-LT"/>
        </w:rPr>
        <w:t xml:space="preserve"> </w:t>
      </w:r>
    </w:p>
    <w:p w14:paraId="65AE9AA2" w14:textId="77777777" w:rsidR="00273470" w:rsidRPr="004A478C" w:rsidRDefault="00273470" w:rsidP="003B28E4">
      <w:pPr>
        <w:tabs>
          <w:tab w:val="left" w:pos="4680"/>
        </w:tabs>
        <w:spacing w:line="240" w:lineRule="auto"/>
        <w:rPr>
          <w:lang w:val="lt-LT"/>
        </w:rPr>
      </w:pPr>
      <w:r w:rsidRPr="004A478C">
        <w:rPr>
          <w:rFonts w:eastAsia="Calibri"/>
          <w:lang w:val="lt-LT"/>
        </w:rPr>
        <w:t xml:space="preserve"> </w:t>
      </w:r>
    </w:p>
    <w:tbl>
      <w:tblPr>
        <w:tblW w:w="8740" w:type="dxa"/>
        <w:tblInd w:w="-107" w:type="dxa"/>
        <w:tblCellMar>
          <w:top w:w="73" w:type="dxa"/>
          <w:left w:w="0" w:type="dxa"/>
          <w:right w:w="115" w:type="dxa"/>
        </w:tblCellMar>
        <w:tblLook w:val="04A0" w:firstRow="1" w:lastRow="0" w:firstColumn="1" w:lastColumn="0" w:noHBand="0" w:noVBand="1"/>
      </w:tblPr>
      <w:tblGrid>
        <w:gridCol w:w="637"/>
        <w:gridCol w:w="8103"/>
      </w:tblGrid>
      <w:tr w:rsidR="00273470" w:rsidRPr="004B0C8F" w14:paraId="78F98BF5" w14:textId="77777777" w:rsidTr="0090398C">
        <w:trPr>
          <w:trHeight w:val="284"/>
        </w:trPr>
        <w:tc>
          <w:tcPr>
            <w:tcW w:w="637" w:type="dxa"/>
            <w:tcBorders>
              <w:top w:val="single" w:sz="4" w:space="0" w:color="000000"/>
              <w:left w:val="single" w:sz="3" w:space="0" w:color="000000"/>
              <w:bottom w:val="single" w:sz="3" w:space="0" w:color="000000"/>
              <w:right w:val="nil"/>
            </w:tcBorders>
            <w:shd w:val="clear" w:color="auto" w:fill="auto"/>
          </w:tcPr>
          <w:p w14:paraId="766F384D" w14:textId="77777777" w:rsidR="00273470" w:rsidRPr="004A478C" w:rsidRDefault="00273470" w:rsidP="003B28E4">
            <w:pPr>
              <w:tabs>
                <w:tab w:val="left" w:pos="4680"/>
              </w:tabs>
              <w:spacing w:line="240" w:lineRule="auto"/>
              <w:ind w:left="107"/>
              <w:rPr>
                <w:lang w:val="lt-LT"/>
              </w:rPr>
            </w:pPr>
            <w:r w:rsidRPr="004A478C">
              <w:rPr>
                <w:b/>
                <w:lang w:val="lt-LT"/>
              </w:rPr>
              <w:t xml:space="preserve">18. </w:t>
            </w:r>
          </w:p>
        </w:tc>
        <w:tc>
          <w:tcPr>
            <w:tcW w:w="8103" w:type="dxa"/>
            <w:tcBorders>
              <w:top w:val="single" w:sz="4" w:space="0" w:color="000000"/>
              <w:left w:val="nil"/>
              <w:bottom w:val="single" w:sz="3" w:space="0" w:color="000000"/>
              <w:right w:val="single" w:sz="4" w:space="0" w:color="000000"/>
            </w:tcBorders>
            <w:shd w:val="clear" w:color="auto" w:fill="auto"/>
          </w:tcPr>
          <w:p w14:paraId="23CFE10E" w14:textId="77777777" w:rsidR="00273470" w:rsidRPr="004A478C" w:rsidRDefault="00273470" w:rsidP="003B28E4">
            <w:pPr>
              <w:tabs>
                <w:tab w:val="left" w:pos="4680"/>
              </w:tabs>
              <w:spacing w:line="240" w:lineRule="auto"/>
              <w:rPr>
                <w:lang w:val="lt-LT"/>
              </w:rPr>
            </w:pPr>
            <w:r w:rsidRPr="004A478C">
              <w:rPr>
                <w:b/>
                <w:lang w:val="lt-LT"/>
              </w:rPr>
              <w:t xml:space="preserve">UNIKALUS IDENTIFIKATORIUS – ŽMONĖMS SUPRANTAMI DUOMENYS </w:t>
            </w:r>
          </w:p>
        </w:tc>
      </w:tr>
    </w:tbl>
    <w:p w14:paraId="187B26D9" w14:textId="77777777" w:rsidR="00273470" w:rsidRPr="004A478C" w:rsidRDefault="00273470" w:rsidP="003B28E4">
      <w:pPr>
        <w:tabs>
          <w:tab w:val="left" w:pos="4680"/>
        </w:tabs>
        <w:spacing w:line="240" w:lineRule="auto"/>
        <w:rPr>
          <w:lang w:val="lt-LT"/>
        </w:rPr>
      </w:pPr>
      <w:r w:rsidRPr="004A478C">
        <w:rPr>
          <w:rFonts w:eastAsia="Calibri"/>
          <w:lang w:val="lt-LT"/>
        </w:rPr>
        <w:t xml:space="preserve"> </w:t>
      </w:r>
    </w:p>
    <w:p w14:paraId="3CD6C0DE" w14:textId="066177CE" w:rsidR="002D4631" w:rsidRPr="004A478C" w:rsidRDefault="002D4631" w:rsidP="002D4631">
      <w:pPr>
        <w:rPr>
          <w:color w:val="008000"/>
          <w:lang w:val="lt-LT"/>
        </w:rPr>
      </w:pPr>
      <w:r w:rsidRPr="004A478C">
        <w:rPr>
          <w:lang w:val="lt-LT"/>
        </w:rPr>
        <w:t xml:space="preserve">PC {numeris} </w:t>
      </w:r>
    </w:p>
    <w:p w14:paraId="15B1C7C9" w14:textId="643DD6C0" w:rsidR="002D4631" w:rsidRPr="004A478C" w:rsidRDefault="002D4631" w:rsidP="002D4631">
      <w:pPr>
        <w:rPr>
          <w:lang w:val="lt-LT"/>
        </w:rPr>
      </w:pPr>
      <w:r w:rsidRPr="004A478C">
        <w:rPr>
          <w:lang w:val="lt-LT"/>
        </w:rPr>
        <w:t>SN {numeris}</w:t>
      </w:r>
    </w:p>
    <w:p w14:paraId="40A70CBB" w14:textId="33647771" w:rsidR="00924CFE" w:rsidRPr="004B0C8F" w:rsidRDefault="002D4631" w:rsidP="002D4631">
      <w:pPr>
        <w:rPr>
          <w:szCs w:val="24"/>
          <w:lang w:val="lt-LT"/>
        </w:rPr>
      </w:pPr>
      <w:r w:rsidRPr="004A478C">
        <w:rPr>
          <w:highlight w:val="lightGray"/>
          <w:lang w:val="lt-LT"/>
        </w:rPr>
        <w:t>NN {numeris</w:t>
      </w:r>
      <w:r w:rsidRPr="004A478C">
        <w:rPr>
          <w:lang w:val="lt-LT"/>
        </w:rPr>
        <w:t xml:space="preserve"> </w:t>
      </w:r>
      <w:r w:rsidR="00273470" w:rsidRPr="004A478C">
        <w:rPr>
          <w:lang w:val="lt-LT"/>
        </w:rPr>
        <w:br w:type="page"/>
      </w:r>
    </w:p>
    <w:p w14:paraId="63A02AFD" w14:textId="77777777" w:rsidR="00924CFE" w:rsidRPr="004B0C8F" w:rsidRDefault="00924CFE" w:rsidP="00924CFE">
      <w:pPr>
        <w:pBdr>
          <w:top w:val="single" w:sz="4" w:space="1" w:color="auto"/>
          <w:left w:val="single" w:sz="4" w:space="4" w:color="auto"/>
          <w:bottom w:val="single" w:sz="4" w:space="1" w:color="auto"/>
          <w:right w:val="single" w:sz="4" w:space="4" w:color="auto"/>
        </w:pBdr>
        <w:ind w:left="567" w:hanging="567"/>
        <w:rPr>
          <w:b/>
          <w:noProof/>
          <w:szCs w:val="24"/>
          <w:lang w:val="lt-LT"/>
        </w:rPr>
      </w:pPr>
      <w:r w:rsidRPr="004B0C8F">
        <w:rPr>
          <w:b/>
          <w:noProof/>
          <w:szCs w:val="24"/>
          <w:lang w:val="lt-LT"/>
        </w:rPr>
        <w:lastRenderedPageBreak/>
        <w:t>MINIMALI INFORMACIJA ANT LIZDINIŲ PLOKŠTELIŲ ARBA DVISLUOKSNIŲ JUOSTELIŲ</w:t>
      </w:r>
    </w:p>
    <w:p w14:paraId="129E0993" w14:textId="77777777" w:rsidR="00924CFE" w:rsidRPr="004B0C8F" w:rsidRDefault="00924CFE" w:rsidP="00924CFE">
      <w:pPr>
        <w:pBdr>
          <w:top w:val="single" w:sz="4" w:space="1" w:color="auto"/>
          <w:left w:val="single" w:sz="4" w:space="4" w:color="auto"/>
          <w:bottom w:val="single" w:sz="4" w:space="1" w:color="auto"/>
          <w:right w:val="single" w:sz="4" w:space="4" w:color="auto"/>
        </w:pBdr>
        <w:ind w:left="567" w:hanging="567"/>
        <w:rPr>
          <w:b/>
          <w:noProof/>
          <w:szCs w:val="24"/>
          <w:lang w:val="lt-LT"/>
        </w:rPr>
      </w:pPr>
    </w:p>
    <w:p w14:paraId="53E201D3" w14:textId="77777777" w:rsidR="00924CFE" w:rsidRPr="004B0C8F" w:rsidRDefault="00924CFE" w:rsidP="00924CFE">
      <w:pPr>
        <w:pBdr>
          <w:top w:val="single" w:sz="4" w:space="1" w:color="auto"/>
          <w:left w:val="single" w:sz="4" w:space="4" w:color="auto"/>
          <w:bottom w:val="single" w:sz="4" w:space="1" w:color="auto"/>
          <w:right w:val="single" w:sz="4" w:space="4" w:color="auto"/>
        </w:pBdr>
        <w:ind w:left="567" w:hanging="567"/>
        <w:rPr>
          <w:b/>
          <w:lang w:val="lt-LT"/>
        </w:rPr>
      </w:pPr>
      <w:r w:rsidRPr="004B0C8F">
        <w:rPr>
          <w:b/>
          <w:lang w:val="lt-LT"/>
        </w:rPr>
        <w:t xml:space="preserve">LIZDINĖ PLOKŠTELĖ </w:t>
      </w:r>
    </w:p>
    <w:p w14:paraId="206CE90D" w14:textId="77777777" w:rsidR="00924CFE" w:rsidRPr="004B0C8F" w:rsidRDefault="00924CFE" w:rsidP="00924CFE">
      <w:pPr>
        <w:rPr>
          <w:lang w:val="lt-LT"/>
        </w:rPr>
      </w:pPr>
    </w:p>
    <w:p w14:paraId="0D3552B2" w14:textId="77777777" w:rsidR="00273470" w:rsidRPr="004A478C" w:rsidRDefault="00273470" w:rsidP="003B28E4">
      <w:pPr>
        <w:tabs>
          <w:tab w:val="left" w:pos="4680"/>
        </w:tabs>
        <w:spacing w:line="240" w:lineRule="auto"/>
        <w:rPr>
          <w:lang w:val="lt-LT"/>
        </w:rPr>
      </w:pPr>
      <w:r w:rsidRPr="004A478C">
        <w:rPr>
          <w:lang w:val="lt-LT"/>
        </w:rPr>
        <w:t xml:space="preserve"> </w:t>
      </w:r>
    </w:p>
    <w:tbl>
      <w:tblPr>
        <w:tblW w:w="8731" w:type="dxa"/>
        <w:tblInd w:w="-103" w:type="dxa"/>
        <w:tblCellMar>
          <w:top w:w="55" w:type="dxa"/>
          <w:left w:w="0" w:type="dxa"/>
          <w:right w:w="115" w:type="dxa"/>
        </w:tblCellMar>
        <w:tblLook w:val="04A0" w:firstRow="1" w:lastRow="0" w:firstColumn="1" w:lastColumn="0" w:noHBand="0" w:noVBand="1"/>
      </w:tblPr>
      <w:tblGrid>
        <w:gridCol w:w="633"/>
        <w:gridCol w:w="8098"/>
      </w:tblGrid>
      <w:tr w:rsidR="00273470" w:rsidRPr="004B0C8F" w14:paraId="63CFDFDF" w14:textId="77777777" w:rsidTr="0090398C">
        <w:trPr>
          <w:trHeight w:val="248"/>
        </w:trPr>
        <w:tc>
          <w:tcPr>
            <w:tcW w:w="633" w:type="dxa"/>
            <w:tcBorders>
              <w:top w:val="single" w:sz="4" w:space="0" w:color="000000"/>
              <w:left w:val="single" w:sz="4" w:space="0" w:color="000000"/>
              <w:bottom w:val="single" w:sz="3" w:space="0" w:color="000000"/>
              <w:right w:val="nil"/>
            </w:tcBorders>
            <w:shd w:val="clear" w:color="auto" w:fill="auto"/>
          </w:tcPr>
          <w:p w14:paraId="51B22844" w14:textId="77777777" w:rsidR="00273470" w:rsidRPr="004A478C" w:rsidRDefault="00273470" w:rsidP="003B28E4">
            <w:pPr>
              <w:tabs>
                <w:tab w:val="left" w:pos="4680"/>
              </w:tabs>
              <w:spacing w:line="240" w:lineRule="auto"/>
              <w:ind w:left="103"/>
              <w:rPr>
                <w:lang w:val="lt-LT"/>
              </w:rPr>
            </w:pPr>
            <w:r w:rsidRPr="004A478C">
              <w:rPr>
                <w:b/>
                <w:lang w:val="lt-LT"/>
              </w:rPr>
              <w:t xml:space="preserve">1. </w:t>
            </w:r>
          </w:p>
        </w:tc>
        <w:tc>
          <w:tcPr>
            <w:tcW w:w="8098" w:type="dxa"/>
            <w:tcBorders>
              <w:top w:val="single" w:sz="4" w:space="0" w:color="000000"/>
              <w:left w:val="nil"/>
              <w:bottom w:val="single" w:sz="3" w:space="0" w:color="000000"/>
              <w:right w:val="single" w:sz="4" w:space="0" w:color="000000"/>
            </w:tcBorders>
            <w:shd w:val="clear" w:color="auto" w:fill="auto"/>
          </w:tcPr>
          <w:p w14:paraId="3ABF9BFC" w14:textId="77777777" w:rsidR="00273470" w:rsidRPr="004A478C" w:rsidRDefault="00273470" w:rsidP="003B28E4">
            <w:pPr>
              <w:tabs>
                <w:tab w:val="left" w:pos="4680"/>
              </w:tabs>
              <w:spacing w:line="240" w:lineRule="auto"/>
              <w:rPr>
                <w:lang w:val="lt-LT"/>
              </w:rPr>
            </w:pPr>
            <w:r w:rsidRPr="004A478C">
              <w:rPr>
                <w:b/>
                <w:lang w:val="lt-LT"/>
              </w:rPr>
              <w:t xml:space="preserve">VAISTINIO PREPARATO PAVADINIMAS </w:t>
            </w:r>
          </w:p>
        </w:tc>
      </w:tr>
    </w:tbl>
    <w:p w14:paraId="38CC593C" w14:textId="77777777" w:rsidR="00273470" w:rsidRPr="004A478C" w:rsidRDefault="00273470" w:rsidP="003B28E4">
      <w:pPr>
        <w:tabs>
          <w:tab w:val="left" w:pos="4680"/>
        </w:tabs>
        <w:spacing w:line="240" w:lineRule="auto"/>
        <w:rPr>
          <w:lang w:val="lt-LT"/>
        </w:rPr>
      </w:pPr>
      <w:r w:rsidRPr="004A478C">
        <w:rPr>
          <w:lang w:val="lt-LT"/>
        </w:rPr>
        <w:t xml:space="preserve"> </w:t>
      </w:r>
    </w:p>
    <w:p w14:paraId="128829DE" w14:textId="2EB8D2C1" w:rsidR="00273470" w:rsidRPr="004A478C" w:rsidRDefault="00273470" w:rsidP="003B28E4">
      <w:pPr>
        <w:tabs>
          <w:tab w:val="left" w:pos="4680"/>
        </w:tabs>
        <w:spacing w:line="240" w:lineRule="auto"/>
        <w:ind w:left="2" w:right="397"/>
        <w:rPr>
          <w:lang w:val="lt-LT"/>
        </w:rPr>
      </w:pPr>
      <w:proofErr w:type="spellStart"/>
      <w:r w:rsidRPr="004A478C">
        <w:rPr>
          <w:lang w:val="lt-LT"/>
        </w:rPr>
        <w:t>Febuxostat</w:t>
      </w:r>
      <w:proofErr w:type="spellEnd"/>
      <w:r w:rsidRPr="004A478C">
        <w:rPr>
          <w:lang w:val="lt-LT"/>
        </w:rPr>
        <w:t xml:space="preserve"> </w:t>
      </w:r>
      <w:proofErr w:type="spellStart"/>
      <w:r w:rsidR="002606A3" w:rsidRPr="004A478C">
        <w:rPr>
          <w:lang w:val="lt-LT"/>
        </w:rPr>
        <w:t>Zentiva</w:t>
      </w:r>
      <w:proofErr w:type="spellEnd"/>
      <w:r w:rsidRPr="004A478C">
        <w:rPr>
          <w:lang w:val="lt-LT"/>
        </w:rPr>
        <w:t xml:space="preserve"> 80 mg tabletės </w:t>
      </w:r>
    </w:p>
    <w:p w14:paraId="0CBADFAD" w14:textId="0379F2F6" w:rsidR="00245B15" w:rsidRPr="004A478C" w:rsidRDefault="00245B15" w:rsidP="00245B15">
      <w:pPr>
        <w:tabs>
          <w:tab w:val="left" w:pos="4680"/>
        </w:tabs>
        <w:spacing w:line="240" w:lineRule="auto"/>
        <w:ind w:left="2" w:right="397"/>
        <w:rPr>
          <w:lang w:val="lt-LT"/>
        </w:rPr>
      </w:pPr>
      <w:proofErr w:type="spellStart"/>
      <w:r w:rsidRPr="004A478C">
        <w:rPr>
          <w:highlight w:val="lightGray"/>
          <w:lang w:val="lt-LT"/>
        </w:rPr>
        <w:t>Febuxostat</w:t>
      </w:r>
      <w:proofErr w:type="spellEnd"/>
      <w:r w:rsidRPr="004A478C">
        <w:rPr>
          <w:highlight w:val="lightGray"/>
          <w:lang w:val="lt-LT"/>
        </w:rPr>
        <w:t xml:space="preserve"> </w:t>
      </w:r>
      <w:proofErr w:type="spellStart"/>
      <w:r w:rsidR="002606A3" w:rsidRPr="004A478C">
        <w:rPr>
          <w:highlight w:val="lightGray"/>
          <w:lang w:val="lt-LT"/>
        </w:rPr>
        <w:t>Zentiva</w:t>
      </w:r>
      <w:proofErr w:type="spellEnd"/>
      <w:r w:rsidRPr="004A478C">
        <w:rPr>
          <w:highlight w:val="lightGray"/>
          <w:lang w:val="lt-LT"/>
        </w:rPr>
        <w:t xml:space="preserve"> 120 mg tabletės</w:t>
      </w:r>
      <w:r w:rsidRPr="004A478C">
        <w:rPr>
          <w:lang w:val="lt-LT"/>
        </w:rPr>
        <w:t xml:space="preserve"> </w:t>
      </w:r>
    </w:p>
    <w:p w14:paraId="7823A1E6" w14:textId="3046EEE9" w:rsidR="00273470" w:rsidRPr="004A478C" w:rsidRDefault="008A265E" w:rsidP="003B28E4">
      <w:pPr>
        <w:tabs>
          <w:tab w:val="left" w:pos="4680"/>
        </w:tabs>
        <w:spacing w:line="240" w:lineRule="auto"/>
        <w:ind w:left="2" w:right="397"/>
        <w:rPr>
          <w:lang w:val="lt-LT"/>
        </w:rPr>
      </w:pPr>
      <w:proofErr w:type="spellStart"/>
      <w:r w:rsidRPr="004A478C">
        <w:rPr>
          <w:lang w:val="lt-LT"/>
        </w:rPr>
        <w:t>f</w:t>
      </w:r>
      <w:r w:rsidR="00273470" w:rsidRPr="004A478C">
        <w:rPr>
          <w:lang w:val="lt-LT"/>
        </w:rPr>
        <w:t>ebuxostatum</w:t>
      </w:r>
      <w:proofErr w:type="spellEnd"/>
      <w:r w:rsidR="00273470" w:rsidRPr="004A478C">
        <w:rPr>
          <w:lang w:val="lt-LT"/>
        </w:rPr>
        <w:t xml:space="preserve"> </w:t>
      </w:r>
    </w:p>
    <w:p w14:paraId="0A06DB49" w14:textId="77777777" w:rsidR="00273470" w:rsidRPr="004A478C" w:rsidRDefault="00273470" w:rsidP="003B28E4">
      <w:pPr>
        <w:tabs>
          <w:tab w:val="left" w:pos="4680"/>
        </w:tabs>
        <w:spacing w:line="240" w:lineRule="auto"/>
        <w:rPr>
          <w:lang w:val="lt-LT"/>
        </w:rPr>
      </w:pPr>
      <w:r w:rsidRPr="004A478C">
        <w:rPr>
          <w:lang w:val="lt-LT"/>
        </w:rPr>
        <w:t xml:space="preserve"> </w:t>
      </w:r>
    </w:p>
    <w:p w14:paraId="44173432" w14:textId="77777777" w:rsidR="00273470" w:rsidRPr="004A478C" w:rsidRDefault="00273470" w:rsidP="003B28E4">
      <w:pPr>
        <w:tabs>
          <w:tab w:val="left" w:pos="4680"/>
        </w:tabs>
        <w:spacing w:line="240" w:lineRule="auto"/>
        <w:rPr>
          <w:lang w:val="lt-LT"/>
        </w:rPr>
      </w:pPr>
      <w:r w:rsidRPr="004A478C">
        <w:rPr>
          <w:lang w:val="lt-LT"/>
        </w:rPr>
        <w:t xml:space="preserve"> </w:t>
      </w:r>
    </w:p>
    <w:tbl>
      <w:tblPr>
        <w:tblW w:w="8731" w:type="dxa"/>
        <w:tblInd w:w="-103" w:type="dxa"/>
        <w:tblCellMar>
          <w:top w:w="53" w:type="dxa"/>
          <w:left w:w="0" w:type="dxa"/>
          <w:right w:w="115" w:type="dxa"/>
        </w:tblCellMar>
        <w:tblLook w:val="04A0" w:firstRow="1" w:lastRow="0" w:firstColumn="1" w:lastColumn="0" w:noHBand="0" w:noVBand="1"/>
      </w:tblPr>
      <w:tblGrid>
        <w:gridCol w:w="634"/>
        <w:gridCol w:w="8097"/>
      </w:tblGrid>
      <w:tr w:rsidR="00273470" w:rsidRPr="004B0C8F" w14:paraId="7B6A75D2" w14:textId="77777777" w:rsidTr="0090398C">
        <w:trPr>
          <w:trHeight w:val="247"/>
        </w:trPr>
        <w:tc>
          <w:tcPr>
            <w:tcW w:w="634" w:type="dxa"/>
            <w:tcBorders>
              <w:top w:val="single" w:sz="4" w:space="0" w:color="000000"/>
              <w:left w:val="single" w:sz="4" w:space="0" w:color="000000"/>
              <w:bottom w:val="single" w:sz="4" w:space="0" w:color="000000"/>
              <w:right w:val="nil"/>
            </w:tcBorders>
            <w:shd w:val="clear" w:color="auto" w:fill="auto"/>
          </w:tcPr>
          <w:p w14:paraId="493A303D" w14:textId="77777777" w:rsidR="00273470" w:rsidRPr="004A478C" w:rsidRDefault="00273470" w:rsidP="003B28E4">
            <w:pPr>
              <w:tabs>
                <w:tab w:val="left" w:pos="4680"/>
              </w:tabs>
              <w:spacing w:line="240" w:lineRule="auto"/>
              <w:ind w:left="103"/>
              <w:rPr>
                <w:lang w:val="lt-LT"/>
              </w:rPr>
            </w:pPr>
            <w:r w:rsidRPr="004A478C">
              <w:rPr>
                <w:b/>
                <w:lang w:val="lt-LT"/>
              </w:rPr>
              <w:t xml:space="preserve">2. </w:t>
            </w:r>
          </w:p>
        </w:tc>
        <w:tc>
          <w:tcPr>
            <w:tcW w:w="8098" w:type="dxa"/>
            <w:tcBorders>
              <w:top w:val="single" w:sz="4" w:space="0" w:color="000000"/>
              <w:left w:val="nil"/>
              <w:bottom w:val="single" w:sz="4" w:space="0" w:color="000000"/>
              <w:right w:val="single" w:sz="4" w:space="0" w:color="000000"/>
            </w:tcBorders>
            <w:shd w:val="clear" w:color="auto" w:fill="auto"/>
          </w:tcPr>
          <w:p w14:paraId="58597857" w14:textId="77777777" w:rsidR="00273470" w:rsidRPr="004A478C" w:rsidRDefault="00273470" w:rsidP="003B28E4">
            <w:pPr>
              <w:tabs>
                <w:tab w:val="left" w:pos="4680"/>
              </w:tabs>
              <w:spacing w:line="240" w:lineRule="auto"/>
              <w:rPr>
                <w:lang w:val="lt-LT"/>
              </w:rPr>
            </w:pPr>
            <w:r w:rsidRPr="004A478C">
              <w:rPr>
                <w:b/>
                <w:lang w:val="lt-LT"/>
              </w:rPr>
              <w:t xml:space="preserve">REGISTRUOTOJO PAVADINIMAS </w:t>
            </w:r>
          </w:p>
        </w:tc>
      </w:tr>
    </w:tbl>
    <w:p w14:paraId="3E36FFC9" w14:textId="77777777" w:rsidR="00273470" w:rsidRPr="004A478C" w:rsidRDefault="00273470" w:rsidP="003B28E4">
      <w:pPr>
        <w:tabs>
          <w:tab w:val="left" w:pos="4680"/>
        </w:tabs>
        <w:spacing w:line="240" w:lineRule="auto"/>
        <w:rPr>
          <w:lang w:val="lt-LT"/>
        </w:rPr>
      </w:pPr>
      <w:r w:rsidRPr="004A478C">
        <w:rPr>
          <w:lang w:val="lt-LT"/>
        </w:rPr>
        <w:t xml:space="preserve"> </w:t>
      </w:r>
    </w:p>
    <w:p w14:paraId="2D12F11E" w14:textId="6A1092AF" w:rsidR="002606A3" w:rsidRPr="004B0C8F" w:rsidRDefault="002606A3" w:rsidP="002606A3">
      <w:pPr>
        <w:spacing w:line="240" w:lineRule="auto"/>
        <w:rPr>
          <w:snapToGrid/>
          <w:szCs w:val="22"/>
          <w:lang w:val="lt-LT" w:eastAsia="lt-LT"/>
        </w:rPr>
      </w:pPr>
      <w:proofErr w:type="spellStart"/>
      <w:r w:rsidRPr="004B0C8F">
        <w:rPr>
          <w:snapToGrid/>
          <w:szCs w:val="22"/>
          <w:lang w:val="lt-LT" w:eastAsia="lt-LT"/>
        </w:rPr>
        <w:t>Zentiva</w:t>
      </w:r>
      <w:proofErr w:type="spellEnd"/>
      <w:r w:rsidRPr="004B0C8F">
        <w:rPr>
          <w:snapToGrid/>
          <w:szCs w:val="22"/>
          <w:lang w:val="lt-LT" w:eastAsia="lt-LT"/>
        </w:rPr>
        <w:t xml:space="preserve"> </w:t>
      </w:r>
    </w:p>
    <w:p w14:paraId="0F50157E" w14:textId="77777777" w:rsidR="00273470" w:rsidRPr="004A478C" w:rsidRDefault="00273470" w:rsidP="003B28E4">
      <w:pPr>
        <w:tabs>
          <w:tab w:val="left" w:pos="4680"/>
        </w:tabs>
        <w:spacing w:line="240" w:lineRule="auto"/>
        <w:rPr>
          <w:lang w:val="lt-LT"/>
        </w:rPr>
      </w:pPr>
    </w:p>
    <w:p w14:paraId="0E5545FD" w14:textId="77777777" w:rsidR="00273470" w:rsidRPr="004A478C" w:rsidRDefault="00273470" w:rsidP="003B28E4">
      <w:pPr>
        <w:tabs>
          <w:tab w:val="left" w:pos="4680"/>
        </w:tabs>
        <w:spacing w:line="240" w:lineRule="auto"/>
        <w:rPr>
          <w:lang w:val="lt-LT"/>
        </w:rPr>
      </w:pPr>
      <w:r w:rsidRPr="004A478C">
        <w:rPr>
          <w:lang w:val="lt-LT"/>
        </w:rPr>
        <w:t xml:space="preserve"> </w:t>
      </w:r>
    </w:p>
    <w:tbl>
      <w:tblPr>
        <w:tblW w:w="8731" w:type="dxa"/>
        <w:tblInd w:w="-103" w:type="dxa"/>
        <w:tblCellMar>
          <w:top w:w="56" w:type="dxa"/>
          <w:left w:w="0" w:type="dxa"/>
          <w:right w:w="115" w:type="dxa"/>
        </w:tblCellMar>
        <w:tblLook w:val="04A0" w:firstRow="1" w:lastRow="0" w:firstColumn="1" w:lastColumn="0" w:noHBand="0" w:noVBand="1"/>
      </w:tblPr>
      <w:tblGrid>
        <w:gridCol w:w="633"/>
        <w:gridCol w:w="8098"/>
      </w:tblGrid>
      <w:tr w:rsidR="00273470" w:rsidRPr="004B0C8F" w14:paraId="1B931582" w14:textId="77777777" w:rsidTr="0090398C">
        <w:trPr>
          <w:trHeight w:val="248"/>
        </w:trPr>
        <w:tc>
          <w:tcPr>
            <w:tcW w:w="633" w:type="dxa"/>
            <w:tcBorders>
              <w:top w:val="single" w:sz="3" w:space="0" w:color="000000"/>
              <w:left w:val="single" w:sz="4" w:space="0" w:color="000000"/>
              <w:bottom w:val="single" w:sz="4" w:space="0" w:color="000000"/>
              <w:right w:val="nil"/>
            </w:tcBorders>
            <w:shd w:val="clear" w:color="auto" w:fill="auto"/>
          </w:tcPr>
          <w:p w14:paraId="786AABC3" w14:textId="77777777" w:rsidR="00273470" w:rsidRPr="004A478C" w:rsidRDefault="00273470" w:rsidP="003B28E4">
            <w:pPr>
              <w:tabs>
                <w:tab w:val="left" w:pos="4680"/>
              </w:tabs>
              <w:spacing w:line="240" w:lineRule="auto"/>
              <w:ind w:left="103"/>
              <w:rPr>
                <w:lang w:val="lt-LT"/>
              </w:rPr>
            </w:pPr>
            <w:r w:rsidRPr="004A478C">
              <w:rPr>
                <w:b/>
                <w:lang w:val="lt-LT"/>
              </w:rPr>
              <w:t xml:space="preserve">3. </w:t>
            </w:r>
          </w:p>
        </w:tc>
        <w:tc>
          <w:tcPr>
            <w:tcW w:w="8098" w:type="dxa"/>
            <w:tcBorders>
              <w:top w:val="single" w:sz="3" w:space="0" w:color="000000"/>
              <w:left w:val="nil"/>
              <w:bottom w:val="single" w:sz="4" w:space="0" w:color="000000"/>
              <w:right w:val="single" w:sz="4" w:space="0" w:color="000000"/>
            </w:tcBorders>
            <w:shd w:val="clear" w:color="auto" w:fill="auto"/>
          </w:tcPr>
          <w:p w14:paraId="2F4C422A" w14:textId="77777777" w:rsidR="00273470" w:rsidRPr="004A478C" w:rsidRDefault="00273470" w:rsidP="003B28E4">
            <w:pPr>
              <w:tabs>
                <w:tab w:val="left" w:pos="4680"/>
              </w:tabs>
              <w:spacing w:line="240" w:lineRule="auto"/>
              <w:rPr>
                <w:lang w:val="lt-LT"/>
              </w:rPr>
            </w:pPr>
            <w:r w:rsidRPr="004A478C">
              <w:rPr>
                <w:b/>
                <w:lang w:val="lt-LT"/>
              </w:rPr>
              <w:t xml:space="preserve">TINKAMUMO LAIKAS </w:t>
            </w:r>
          </w:p>
        </w:tc>
      </w:tr>
    </w:tbl>
    <w:p w14:paraId="74ACE44E" w14:textId="77777777" w:rsidR="00273470" w:rsidRPr="004A478C" w:rsidRDefault="00273470" w:rsidP="003B28E4">
      <w:pPr>
        <w:tabs>
          <w:tab w:val="left" w:pos="4680"/>
        </w:tabs>
        <w:spacing w:line="240" w:lineRule="auto"/>
        <w:rPr>
          <w:lang w:val="lt-LT"/>
        </w:rPr>
      </w:pPr>
      <w:r w:rsidRPr="004A478C">
        <w:rPr>
          <w:lang w:val="lt-LT"/>
        </w:rPr>
        <w:t xml:space="preserve"> </w:t>
      </w:r>
    </w:p>
    <w:p w14:paraId="27BF7A80" w14:textId="5A578242" w:rsidR="00273470" w:rsidRPr="004A478C" w:rsidRDefault="00273470" w:rsidP="003B28E4">
      <w:pPr>
        <w:tabs>
          <w:tab w:val="left" w:pos="4680"/>
        </w:tabs>
        <w:spacing w:line="240" w:lineRule="auto"/>
        <w:ind w:left="2" w:right="397"/>
        <w:rPr>
          <w:lang w:val="lt-LT"/>
        </w:rPr>
      </w:pPr>
      <w:r w:rsidRPr="004A478C">
        <w:rPr>
          <w:lang w:val="lt-LT"/>
        </w:rPr>
        <w:t xml:space="preserve">EXP </w:t>
      </w:r>
      <w:r w:rsidR="002606A3" w:rsidRPr="004A478C">
        <w:rPr>
          <w:lang w:val="lt-LT"/>
        </w:rPr>
        <w:t>mm/MMMM</w:t>
      </w:r>
    </w:p>
    <w:p w14:paraId="77CB4535" w14:textId="419312DE" w:rsidR="00273470" w:rsidRPr="004A478C" w:rsidRDefault="00273470" w:rsidP="003B28E4">
      <w:pPr>
        <w:tabs>
          <w:tab w:val="left" w:pos="4680"/>
        </w:tabs>
        <w:spacing w:line="240" w:lineRule="auto"/>
        <w:rPr>
          <w:lang w:val="lt-LT"/>
        </w:rPr>
      </w:pPr>
      <w:r w:rsidRPr="004A478C">
        <w:rPr>
          <w:lang w:val="lt-LT"/>
        </w:rPr>
        <w:t xml:space="preserve"> </w:t>
      </w:r>
    </w:p>
    <w:p w14:paraId="4C2AF1BF" w14:textId="77777777" w:rsidR="00273470" w:rsidRPr="004A478C" w:rsidRDefault="00273470" w:rsidP="003B28E4">
      <w:pPr>
        <w:tabs>
          <w:tab w:val="left" w:pos="4680"/>
        </w:tabs>
        <w:spacing w:line="240" w:lineRule="auto"/>
        <w:rPr>
          <w:lang w:val="lt-LT"/>
        </w:rPr>
      </w:pPr>
      <w:r w:rsidRPr="004A478C">
        <w:rPr>
          <w:lang w:val="lt-LT"/>
        </w:rPr>
        <w:t xml:space="preserve"> </w:t>
      </w:r>
    </w:p>
    <w:tbl>
      <w:tblPr>
        <w:tblW w:w="8731" w:type="dxa"/>
        <w:tblInd w:w="-103" w:type="dxa"/>
        <w:tblCellMar>
          <w:top w:w="54" w:type="dxa"/>
          <w:left w:w="0" w:type="dxa"/>
          <w:right w:w="115" w:type="dxa"/>
        </w:tblCellMar>
        <w:tblLook w:val="04A0" w:firstRow="1" w:lastRow="0" w:firstColumn="1" w:lastColumn="0" w:noHBand="0" w:noVBand="1"/>
      </w:tblPr>
      <w:tblGrid>
        <w:gridCol w:w="633"/>
        <w:gridCol w:w="8098"/>
      </w:tblGrid>
      <w:tr w:rsidR="00273470" w:rsidRPr="004B0C8F" w14:paraId="0FE4D2AC" w14:textId="77777777" w:rsidTr="0090398C">
        <w:trPr>
          <w:trHeight w:val="248"/>
        </w:trPr>
        <w:tc>
          <w:tcPr>
            <w:tcW w:w="633" w:type="dxa"/>
            <w:tcBorders>
              <w:top w:val="single" w:sz="3" w:space="0" w:color="000000"/>
              <w:left w:val="single" w:sz="4" w:space="0" w:color="000000"/>
              <w:bottom w:val="single" w:sz="4" w:space="0" w:color="000000"/>
              <w:right w:val="nil"/>
            </w:tcBorders>
            <w:shd w:val="clear" w:color="auto" w:fill="auto"/>
          </w:tcPr>
          <w:p w14:paraId="26891104" w14:textId="77777777" w:rsidR="00273470" w:rsidRPr="004A478C" w:rsidRDefault="00273470" w:rsidP="003B28E4">
            <w:pPr>
              <w:tabs>
                <w:tab w:val="left" w:pos="4680"/>
              </w:tabs>
              <w:spacing w:line="240" w:lineRule="auto"/>
              <w:ind w:left="103"/>
              <w:rPr>
                <w:lang w:val="lt-LT"/>
              </w:rPr>
            </w:pPr>
            <w:r w:rsidRPr="004A478C">
              <w:rPr>
                <w:b/>
                <w:lang w:val="lt-LT"/>
              </w:rPr>
              <w:t xml:space="preserve">4. </w:t>
            </w:r>
          </w:p>
        </w:tc>
        <w:tc>
          <w:tcPr>
            <w:tcW w:w="8098" w:type="dxa"/>
            <w:tcBorders>
              <w:top w:val="single" w:sz="3" w:space="0" w:color="000000"/>
              <w:left w:val="nil"/>
              <w:bottom w:val="single" w:sz="4" w:space="0" w:color="000000"/>
              <w:right w:val="single" w:sz="4" w:space="0" w:color="000000"/>
            </w:tcBorders>
            <w:shd w:val="clear" w:color="auto" w:fill="auto"/>
          </w:tcPr>
          <w:p w14:paraId="735E9E1E" w14:textId="77777777" w:rsidR="00273470" w:rsidRPr="004A478C" w:rsidRDefault="00273470" w:rsidP="003B28E4">
            <w:pPr>
              <w:tabs>
                <w:tab w:val="left" w:pos="4680"/>
              </w:tabs>
              <w:spacing w:line="240" w:lineRule="auto"/>
              <w:rPr>
                <w:lang w:val="lt-LT"/>
              </w:rPr>
            </w:pPr>
            <w:r w:rsidRPr="004A478C">
              <w:rPr>
                <w:b/>
                <w:lang w:val="lt-LT"/>
              </w:rPr>
              <w:t xml:space="preserve">SERIJOS NUMERIS </w:t>
            </w:r>
          </w:p>
        </w:tc>
      </w:tr>
    </w:tbl>
    <w:p w14:paraId="5872C801" w14:textId="77777777" w:rsidR="00273470" w:rsidRPr="004A478C" w:rsidRDefault="00273470" w:rsidP="003B28E4">
      <w:pPr>
        <w:tabs>
          <w:tab w:val="left" w:pos="4680"/>
        </w:tabs>
        <w:spacing w:line="240" w:lineRule="auto"/>
        <w:rPr>
          <w:lang w:val="lt-LT"/>
        </w:rPr>
      </w:pPr>
      <w:r w:rsidRPr="004A478C">
        <w:rPr>
          <w:lang w:val="lt-LT"/>
        </w:rPr>
        <w:t xml:space="preserve"> </w:t>
      </w:r>
    </w:p>
    <w:p w14:paraId="466FBF0E" w14:textId="77777777" w:rsidR="00273470" w:rsidRPr="004A478C" w:rsidRDefault="00273470" w:rsidP="003B28E4">
      <w:pPr>
        <w:tabs>
          <w:tab w:val="left" w:pos="4680"/>
        </w:tabs>
        <w:spacing w:line="240" w:lineRule="auto"/>
        <w:ind w:left="2" w:right="397"/>
        <w:rPr>
          <w:lang w:val="lt-LT"/>
        </w:rPr>
      </w:pPr>
      <w:r w:rsidRPr="004A478C">
        <w:rPr>
          <w:lang w:val="lt-LT"/>
        </w:rPr>
        <w:t xml:space="preserve">Lot </w:t>
      </w:r>
    </w:p>
    <w:p w14:paraId="48015D1E" w14:textId="77777777" w:rsidR="00273470" w:rsidRPr="004A478C" w:rsidRDefault="00273470" w:rsidP="003B28E4">
      <w:pPr>
        <w:tabs>
          <w:tab w:val="left" w:pos="4680"/>
        </w:tabs>
        <w:spacing w:line="240" w:lineRule="auto"/>
        <w:rPr>
          <w:lang w:val="lt-LT"/>
        </w:rPr>
      </w:pPr>
      <w:r w:rsidRPr="004A478C">
        <w:rPr>
          <w:lang w:val="lt-LT"/>
        </w:rPr>
        <w:t xml:space="preserve"> </w:t>
      </w:r>
    </w:p>
    <w:p w14:paraId="775E2A5A" w14:textId="77777777" w:rsidR="00273470" w:rsidRPr="004A478C" w:rsidRDefault="00273470" w:rsidP="003B28E4">
      <w:pPr>
        <w:tabs>
          <w:tab w:val="left" w:pos="4680"/>
        </w:tabs>
        <w:spacing w:line="240" w:lineRule="auto"/>
        <w:rPr>
          <w:lang w:val="lt-LT"/>
        </w:rPr>
      </w:pPr>
      <w:r w:rsidRPr="004A478C">
        <w:rPr>
          <w:lang w:val="lt-LT"/>
        </w:rPr>
        <w:t xml:space="preserve"> </w:t>
      </w:r>
    </w:p>
    <w:tbl>
      <w:tblPr>
        <w:tblW w:w="8740" w:type="dxa"/>
        <w:tblInd w:w="-107" w:type="dxa"/>
        <w:tblCellMar>
          <w:top w:w="77" w:type="dxa"/>
          <w:left w:w="0" w:type="dxa"/>
          <w:right w:w="115" w:type="dxa"/>
        </w:tblCellMar>
        <w:tblLook w:val="04A0" w:firstRow="1" w:lastRow="0" w:firstColumn="1" w:lastColumn="0" w:noHBand="0" w:noVBand="1"/>
      </w:tblPr>
      <w:tblGrid>
        <w:gridCol w:w="637"/>
        <w:gridCol w:w="8103"/>
      </w:tblGrid>
      <w:tr w:rsidR="00273470" w:rsidRPr="004B0C8F" w14:paraId="5B71738E" w14:textId="77777777" w:rsidTr="0090398C">
        <w:trPr>
          <w:trHeight w:val="288"/>
        </w:trPr>
        <w:tc>
          <w:tcPr>
            <w:tcW w:w="637" w:type="dxa"/>
            <w:tcBorders>
              <w:top w:val="single" w:sz="4" w:space="0" w:color="000000"/>
              <w:left w:val="single" w:sz="3" w:space="0" w:color="000000"/>
              <w:bottom w:val="single" w:sz="4" w:space="0" w:color="000000"/>
              <w:right w:val="nil"/>
            </w:tcBorders>
            <w:shd w:val="clear" w:color="auto" w:fill="auto"/>
          </w:tcPr>
          <w:p w14:paraId="728BB275" w14:textId="77777777" w:rsidR="00273470" w:rsidRPr="004A478C" w:rsidRDefault="00273470" w:rsidP="003B28E4">
            <w:pPr>
              <w:tabs>
                <w:tab w:val="left" w:pos="4680"/>
              </w:tabs>
              <w:spacing w:line="240" w:lineRule="auto"/>
              <w:ind w:left="107"/>
              <w:rPr>
                <w:lang w:val="lt-LT"/>
              </w:rPr>
            </w:pPr>
            <w:r w:rsidRPr="004A478C">
              <w:rPr>
                <w:b/>
                <w:lang w:val="lt-LT"/>
              </w:rPr>
              <w:t xml:space="preserve">5. </w:t>
            </w:r>
          </w:p>
        </w:tc>
        <w:tc>
          <w:tcPr>
            <w:tcW w:w="8103" w:type="dxa"/>
            <w:tcBorders>
              <w:top w:val="single" w:sz="4" w:space="0" w:color="000000"/>
              <w:left w:val="nil"/>
              <w:bottom w:val="single" w:sz="4" w:space="0" w:color="000000"/>
              <w:right w:val="single" w:sz="4" w:space="0" w:color="000000"/>
            </w:tcBorders>
            <w:shd w:val="clear" w:color="auto" w:fill="auto"/>
          </w:tcPr>
          <w:p w14:paraId="744A24C4" w14:textId="77777777" w:rsidR="00273470" w:rsidRPr="004A478C" w:rsidRDefault="00273470" w:rsidP="003B28E4">
            <w:pPr>
              <w:tabs>
                <w:tab w:val="left" w:pos="4680"/>
              </w:tabs>
              <w:spacing w:line="240" w:lineRule="auto"/>
              <w:rPr>
                <w:lang w:val="lt-LT"/>
              </w:rPr>
            </w:pPr>
            <w:r w:rsidRPr="004A478C">
              <w:rPr>
                <w:b/>
                <w:lang w:val="lt-LT"/>
              </w:rPr>
              <w:t xml:space="preserve">KITA </w:t>
            </w:r>
          </w:p>
        </w:tc>
      </w:tr>
    </w:tbl>
    <w:p w14:paraId="2A6AEE45" w14:textId="77777777" w:rsidR="00273470" w:rsidRPr="004A478C" w:rsidRDefault="00273470" w:rsidP="003B28E4">
      <w:pPr>
        <w:tabs>
          <w:tab w:val="left" w:pos="4680"/>
        </w:tabs>
        <w:spacing w:line="240" w:lineRule="auto"/>
        <w:rPr>
          <w:lang w:val="lt-LT"/>
        </w:rPr>
      </w:pPr>
      <w:r w:rsidRPr="004A478C">
        <w:rPr>
          <w:lang w:val="lt-LT"/>
        </w:rPr>
        <w:t xml:space="preserve"> </w:t>
      </w:r>
    </w:p>
    <w:p w14:paraId="6343A52E" w14:textId="77777777" w:rsidR="00F34163" w:rsidRPr="004B0C8F" w:rsidRDefault="00273470" w:rsidP="003B28E4">
      <w:pPr>
        <w:tabs>
          <w:tab w:val="left" w:pos="4680"/>
        </w:tabs>
        <w:spacing w:line="240" w:lineRule="auto"/>
        <w:rPr>
          <w:szCs w:val="22"/>
          <w:lang w:val="lt-LT"/>
        </w:rPr>
      </w:pPr>
      <w:r w:rsidRPr="004A478C">
        <w:rPr>
          <w:lang w:val="lt-LT"/>
        </w:rPr>
        <w:br w:type="page"/>
      </w:r>
    </w:p>
    <w:p w14:paraId="3524C6EE" w14:textId="77777777" w:rsidR="00F34163" w:rsidRPr="004B0C8F" w:rsidRDefault="00F34163" w:rsidP="003B28E4">
      <w:pPr>
        <w:tabs>
          <w:tab w:val="left" w:pos="4680"/>
        </w:tabs>
        <w:spacing w:line="240" w:lineRule="auto"/>
        <w:outlineLvl w:val="0"/>
        <w:rPr>
          <w:szCs w:val="22"/>
          <w:lang w:val="lt-LT"/>
        </w:rPr>
      </w:pPr>
    </w:p>
    <w:p w14:paraId="5EF05D8B" w14:textId="77777777" w:rsidR="00F34163" w:rsidRPr="004B0C8F" w:rsidRDefault="00F34163" w:rsidP="003B28E4">
      <w:pPr>
        <w:tabs>
          <w:tab w:val="left" w:pos="4680"/>
        </w:tabs>
        <w:spacing w:line="240" w:lineRule="auto"/>
        <w:outlineLvl w:val="0"/>
        <w:rPr>
          <w:szCs w:val="22"/>
          <w:lang w:val="lt-LT"/>
        </w:rPr>
      </w:pPr>
    </w:p>
    <w:p w14:paraId="46418978" w14:textId="77777777" w:rsidR="00F34163" w:rsidRPr="004B0C8F" w:rsidRDefault="00F34163" w:rsidP="003B28E4">
      <w:pPr>
        <w:tabs>
          <w:tab w:val="left" w:pos="4680"/>
        </w:tabs>
        <w:spacing w:line="240" w:lineRule="auto"/>
        <w:outlineLvl w:val="0"/>
        <w:rPr>
          <w:szCs w:val="22"/>
          <w:lang w:val="lt-LT"/>
        </w:rPr>
      </w:pPr>
    </w:p>
    <w:p w14:paraId="5B43909E" w14:textId="77777777" w:rsidR="00F34163" w:rsidRPr="004B0C8F" w:rsidRDefault="00F34163" w:rsidP="003B28E4">
      <w:pPr>
        <w:tabs>
          <w:tab w:val="left" w:pos="4680"/>
        </w:tabs>
        <w:spacing w:line="240" w:lineRule="auto"/>
        <w:outlineLvl w:val="0"/>
        <w:rPr>
          <w:szCs w:val="22"/>
          <w:lang w:val="lt-LT"/>
        </w:rPr>
      </w:pPr>
    </w:p>
    <w:p w14:paraId="4A0FD6F0" w14:textId="77777777" w:rsidR="00F34163" w:rsidRPr="004B0C8F" w:rsidRDefault="00F34163" w:rsidP="003B28E4">
      <w:pPr>
        <w:tabs>
          <w:tab w:val="left" w:pos="4680"/>
        </w:tabs>
        <w:spacing w:line="240" w:lineRule="auto"/>
        <w:outlineLvl w:val="0"/>
        <w:rPr>
          <w:szCs w:val="22"/>
          <w:lang w:val="lt-LT"/>
        </w:rPr>
      </w:pPr>
    </w:p>
    <w:p w14:paraId="5CB59159" w14:textId="77777777" w:rsidR="00F34163" w:rsidRPr="004B0C8F" w:rsidRDefault="00F34163" w:rsidP="003B28E4">
      <w:pPr>
        <w:tabs>
          <w:tab w:val="left" w:pos="4680"/>
        </w:tabs>
        <w:spacing w:line="240" w:lineRule="auto"/>
        <w:outlineLvl w:val="0"/>
        <w:rPr>
          <w:szCs w:val="22"/>
          <w:lang w:val="lt-LT"/>
        </w:rPr>
      </w:pPr>
    </w:p>
    <w:p w14:paraId="3C95ED35" w14:textId="77777777" w:rsidR="00F34163" w:rsidRPr="004B0C8F" w:rsidRDefault="00F34163" w:rsidP="003B28E4">
      <w:pPr>
        <w:tabs>
          <w:tab w:val="left" w:pos="4680"/>
        </w:tabs>
        <w:spacing w:line="240" w:lineRule="auto"/>
        <w:outlineLvl w:val="0"/>
        <w:rPr>
          <w:szCs w:val="22"/>
          <w:lang w:val="lt-LT"/>
        </w:rPr>
      </w:pPr>
    </w:p>
    <w:p w14:paraId="5EB9D6FB" w14:textId="77777777" w:rsidR="00F34163" w:rsidRPr="004B0C8F" w:rsidRDefault="00F34163" w:rsidP="003B28E4">
      <w:pPr>
        <w:tabs>
          <w:tab w:val="left" w:pos="4680"/>
        </w:tabs>
        <w:spacing w:line="240" w:lineRule="auto"/>
        <w:outlineLvl w:val="0"/>
        <w:rPr>
          <w:szCs w:val="22"/>
          <w:lang w:val="lt-LT"/>
        </w:rPr>
      </w:pPr>
    </w:p>
    <w:p w14:paraId="1A793506" w14:textId="77777777" w:rsidR="00F34163" w:rsidRPr="004B0C8F" w:rsidRDefault="00F34163" w:rsidP="003B28E4">
      <w:pPr>
        <w:tabs>
          <w:tab w:val="left" w:pos="4680"/>
        </w:tabs>
        <w:spacing w:line="240" w:lineRule="auto"/>
        <w:outlineLvl w:val="0"/>
        <w:rPr>
          <w:szCs w:val="22"/>
          <w:lang w:val="lt-LT"/>
        </w:rPr>
      </w:pPr>
    </w:p>
    <w:p w14:paraId="36F3F8DA" w14:textId="77777777" w:rsidR="00F34163" w:rsidRPr="004B0C8F" w:rsidRDefault="00F34163" w:rsidP="003B28E4">
      <w:pPr>
        <w:tabs>
          <w:tab w:val="left" w:pos="4680"/>
        </w:tabs>
        <w:spacing w:line="240" w:lineRule="auto"/>
        <w:outlineLvl w:val="0"/>
        <w:rPr>
          <w:szCs w:val="22"/>
          <w:lang w:val="lt-LT"/>
        </w:rPr>
      </w:pPr>
    </w:p>
    <w:p w14:paraId="489E9C96" w14:textId="77777777" w:rsidR="00F34163" w:rsidRPr="004B0C8F" w:rsidRDefault="00F34163" w:rsidP="003B28E4">
      <w:pPr>
        <w:tabs>
          <w:tab w:val="left" w:pos="4680"/>
        </w:tabs>
        <w:spacing w:line="240" w:lineRule="auto"/>
        <w:outlineLvl w:val="0"/>
        <w:rPr>
          <w:szCs w:val="22"/>
          <w:lang w:val="lt-LT"/>
        </w:rPr>
      </w:pPr>
    </w:p>
    <w:p w14:paraId="07E9F4B9" w14:textId="77777777" w:rsidR="00F34163" w:rsidRPr="004B0C8F" w:rsidRDefault="00F34163" w:rsidP="003B28E4">
      <w:pPr>
        <w:tabs>
          <w:tab w:val="left" w:pos="4680"/>
        </w:tabs>
        <w:spacing w:line="240" w:lineRule="auto"/>
        <w:outlineLvl w:val="0"/>
        <w:rPr>
          <w:szCs w:val="22"/>
          <w:lang w:val="lt-LT"/>
        </w:rPr>
      </w:pPr>
    </w:p>
    <w:p w14:paraId="355E0299" w14:textId="77777777" w:rsidR="00F34163" w:rsidRPr="004B0C8F" w:rsidRDefault="00F34163" w:rsidP="003B28E4">
      <w:pPr>
        <w:tabs>
          <w:tab w:val="left" w:pos="4680"/>
        </w:tabs>
        <w:spacing w:line="240" w:lineRule="auto"/>
        <w:outlineLvl w:val="0"/>
        <w:rPr>
          <w:szCs w:val="22"/>
          <w:lang w:val="lt-LT"/>
        </w:rPr>
      </w:pPr>
    </w:p>
    <w:p w14:paraId="7296738E" w14:textId="77777777" w:rsidR="00F34163" w:rsidRPr="004B0C8F" w:rsidRDefault="00F34163" w:rsidP="003B28E4">
      <w:pPr>
        <w:tabs>
          <w:tab w:val="left" w:pos="4680"/>
        </w:tabs>
        <w:spacing w:line="240" w:lineRule="auto"/>
        <w:outlineLvl w:val="0"/>
        <w:rPr>
          <w:szCs w:val="22"/>
          <w:lang w:val="lt-LT"/>
        </w:rPr>
      </w:pPr>
    </w:p>
    <w:p w14:paraId="10DC15D6" w14:textId="77777777" w:rsidR="00F34163" w:rsidRPr="004B0C8F" w:rsidRDefault="00F34163" w:rsidP="003B28E4">
      <w:pPr>
        <w:tabs>
          <w:tab w:val="left" w:pos="4680"/>
        </w:tabs>
        <w:spacing w:line="240" w:lineRule="auto"/>
        <w:outlineLvl w:val="0"/>
        <w:rPr>
          <w:szCs w:val="22"/>
          <w:lang w:val="lt-LT"/>
        </w:rPr>
      </w:pPr>
    </w:p>
    <w:p w14:paraId="663E60F9" w14:textId="77777777" w:rsidR="00F34163" w:rsidRPr="004B0C8F" w:rsidRDefault="00F34163" w:rsidP="003B28E4">
      <w:pPr>
        <w:tabs>
          <w:tab w:val="left" w:pos="4680"/>
        </w:tabs>
        <w:spacing w:line="240" w:lineRule="auto"/>
        <w:outlineLvl w:val="0"/>
        <w:rPr>
          <w:szCs w:val="22"/>
          <w:lang w:val="lt-LT"/>
        </w:rPr>
      </w:pPr>
    </w:p>
    <w:p w14:paraId="021B0D13" w14:textId="77777777" w:rsidR="00F34163" w:rsidRPr="004B0C8F" w:rsidRDefault="00F34163" w:rsidP="003B28E4">
      <w:pPr>
        <w:tabs>
          <w:tab w:val="left" w:pos="4680"/>
        </w:tabs>
        <w:spacing w:line="240" w:lineRule="auto"/>
        <w:outlineLvl w:val="0"/>
        <w:rPr>
          <w:szCs w:val="22"/>
          <w:lang w:val="lt-LT"/>
        </w:rPr>
      </w:pPr>
    </w:p>
    <w:p w14:paraId="62D1327F" w14:textId="77777777" w:rsidR="00F34163" w:rsidRPr="004B0C8F" w:rsidRDefault="00F34163" w:rsidP="003B28E4">
      <w:pPr>
        <w:tabs>
          <w:tab w:val="left" w:pos="4680"/>
        </w:tabs>
        <w:spacing w:line="240" w:lineRule="auto"/>
        <w:outlineLvl w:val="0"/>
        <w:rPr>
          <w:szCs w:val="22"/>
          <w:lang w:val="lt-LT"/>
        </w:rPr>
      </w:pPr>
    </w:p>
    <w:p w14:paraId="0E8B0C82" w14:textId="77777777" w:rsidR="00F34163" w:rsidRPr="004B0C8F" w:rsidRDefault="00F34163" w:rsidP="003B28E4">
      <w:pPr>
        <w:tabs>
          <w:tab w:val="left" w:pos="4680"/>
        </w:tabs>
        <w:spacing w:line="240" w:lineRule="auto"/>
        <w:outlineLvl w:val="0"/>
        <w:rPr>
          <w:szCs w:val="22"/>
          <w:lang w:val="lt-LT"/>
        </w:rPr>
      </w:pPr>
    </w:p>
    <w:p w14:paraId="076B7D98" w14:textId="77777777" w:rsidR="00F34163" w:rsidRPr="004B0C8F" w:rsidRDefault="00F34163" w:rsidP="003B28E4">
      <w:pPr>
        <w:tabs>
          <w:tab w:val="left" w:pos="4680"/>
        </w:tabs>
        <w:spacing w:line="240" w:lineRule="auto"/>
        <w:outlineLvl w:val="0"/>
        <w:rPr>
          <w:szCs w:val="22"/>
          <w:lang w:val="lt-LT"/>
        </w:rPr>
      </w:pPr>
    </w:p>
    <w:p w14:paraId="41BDE3B2" w14:textId="77777777" w:rsidR="00F34163" w:rsidRPr="004B0C8F" w:rsidRDefault="00F34163" w:rsidP="003B28E4">
      <w:pPr>
        <w:tabs>
          <w:tab w:val="left" w:pos="4680"/>
        </w:tabs>
        <w:spacing w:line="240" w:lineRule="auto"/>
        <w:outlineLvl w:val="0"/>
        <w:rPr>
          <w:szCs w:val="22"/>
          <w:lang w:val="lt-LT"/>
        </w:rPr>
      </w:pPr>
    </w:p>
    <w:p w14:paraId="2CD4F556" w14:textId="77777777" w:rsidR="00F34163" w:rsidRPr="004B0C8F" w:rsidRDefault="00F34163" w:rsidP="003B28E4">
      <w:pPr>
        <w:tabs>
          <w:tab w:val="left" w:pos="4680"/>
        </w:tabs>
        <w:spacing w:line="240" w:lineRule="auto"/>
        <w:outlineLvl w:val="0"/>
        <w:rPr>
          <w:szCs w:val="22"/>
          <w:lang w:val="lt-LT"/>
        </w:rPr>
      </w:pPr>
    </w:p>
    <w:p w14:paraId="00D4BDA3" w14:textId="77777777" w:rsidR="00F34163" w:rsidRPr="004B0C8F" w:rsidRDefault="00F34163" w:rsidP="003B28E4">
      <w:pPr>
        <w:tabs>
          <w:tab w:val="left" w:pos="4680"/>
        </w:tabs>
        <w:spacing w:line="240" w:lineRule="auto"/>
        <w:jc w:val="center"/>
        <w:outlineLvl w:val="0"/>
        <w:rPr>
          <w:b/>
          <w:szCs w:val="22"/>
          <w:lang w:val="lt-LT"/>
        </w:rPr>
      </w:pPr>
      <w:r w:rsidRPr="004B0C8F">
        <w:rPr>
          <w:b/>
          <w:szCs w:val="22"/>
          <w:lang w:val="lt-LT"/>
        </w:rPr>
        <w:t>B. PAKUOTĖS LAPELIS</w:t>
      </w:r>
    </w:p>
    <w:p w14:paraId="7C7BBE13" w14:textId="2C4837B6" w:rsidR="00273470" w:rsidRPr="004A478C" w:rsidRDefault="00F34163" w:rsidP="003B28E4">
      <w:pPr>
        <w:tabs>
          <w:tab w:val="left" w:pos="4680"/>
        </w:tabs>
        <w:spacing w:line="240" w:lineRule="auto"/>
        <w:ind w:right="394"/>
        <w:jc w:val="center"/>
        <w:rPr>
          <w:lang w:val="lt-LT"/>
        </w:rPr>
      </w:pPr>
      <w:r w:rsidRPr="004B0C8F">
        <w:rPr>
          <w:i/>
          <w:szCs w:val="22"/>
          <w:lang w:val="lt-LT"/>
        </w:rPr>
        <w:br w:type="page"/>
      </w:r>
      <w:r w:rsidR="00273470" w:rsidRPr="004A478C">
        <w:rPr>
          <w:b/>
          <w:lang w:val="lt-LT"/>
        </w:rPr>
        <w:lastRenderedPageBreak/>
        <w:t xml:space="preserve">Pakuotės lapelis: informacija </w:t>
      </w:r>
      <w:r w:rsidR="008A265E" w:rsidRPr="004A478C">
        <w:rPr>
          <w:b/>
          <w:lang w:val="lt-LT"/>
        </w:rPr>
        <w:t xml:space="preserve">pacientui </w:t>
      </w:r>
    </w:p>
    <w:p w14:paraId="3237D105" w14:textId="77777777" w:rsidR="00273470" w:rsidRPr="004A478C" w:rsidRDefault="00273470" w:rsidP="003B28E4">
      <w:pPr>
        <w:tabs>
          <w:tab w:val="left" w:pos="4680"/>
        </w:tabs>
        <w:spacing w:line="240" w:lineRule="auto"/>
        <w:ind w:right="345"/>
        <w:jc w:val="center"/>
        <w:rPr>
          <w:lang w:val="lt-LT"/>
        </w:rPr>
      </w:pPr>
      <w:r w:rsidRPr="004A478C">
        <w:rPr>
          <w:b/>
          <w:lang w:val="lt-LT"/>
        </w:rPr>
        <w:t xml:space="preserve"> </w:t>
      </w:r>
    </w:p>
    <w:p w14:paraId="225A8469" w14:textId="6EE198E2" w:rsidR="00273470" w:rsidRPr="004A478C" w:rsidRDefault="001A5C63" w:rsidP="003B28E4">
      <w:pPr>
        <w:tabs>
          <w:tab w:val="left" w:pos="4680"/>
        </w:tabs>
        <w:spacing w:line="240" w:lineRule="auto"/>
        <w:ind w:right="398"/>
        <w:jc w:val="center"/>
        <w:rPr>
          <w:b/>
          <w:lang w:val="lt-LT"/>
        </w:rPr>
      </w:pPr>
      <w:proofErr w:type="spellStart"/>
      <w:r w:rsidRPr="004A478C">
        <w:rPr>
          <w:b/>
          <w:lang w:val="lt-LT"/>
        </w:rPr>
        <w:t>Febuxostat</w:t>
      </w:r>
      <w:proofErr w:type="spellEnd"/>
      <w:r w:rsidRPr="004A478C">
        <w:rPr>
          <w:b/>
          <w:lang w:val="lt-LT"/>
        </w:rPr>
        <w:t xml:space="preserve"> </w:t>
      </w:r>
      <w:proofErr w:type="spellStart"/>
      <w:r w:rsidR="00911F26" w:rsidRPr="004A478C">
        <w:rPr>
          <w:b/>
          <w:lang w:val="lt-LT"/>
        </w:rPr>
        <w:t>Zentiva</w:t>
      </w:r>
      <w:proofErr w:type="spellEnd"/>
      <w:r w:rsidR="00273470" w:rsidRPr="004A478C">
        <w:rPr>
          <w:b/>
          <w:lang w:val="lt-LT"/>
        </w:rPr>
        <w:t xml:space="preserve"> </w:t>
      </w:r>
      <w:r w:rsidR="008F7666" w:rsidRPr="004A478C">
        <w:rPr>
          <w:b/>
          <w:lang w:val="lt-LT"/>
        </w:rPr>
        <w:t>80 </w:t>
      </w:r>
      <w:r w:rsidR="00273470" w:rsidRPr="004A478C">
        <w:rPr>
          <w:b/>
          <w:lang w:val="lt-LT"/>
        </w:rPr>
        <w:t xml:space="preserve">mg plėvele dengtos tabletės </w:t>
      </w:r>
    </w:p>
    <w:p w14:paraId="05967096" w14:textId="5FB2FBB4" w:rsidR="00273470" w:rsidRPr="004A478C" w:rsidRDefault="001A5C63" w:rsidP="003B28E4">
      <w:pPr>
        <w:tabs>
          <w:tab w:val="left" w:pos="4680"/>
        </w:tabs>
        <w:spacing w:line="240" w:lineRule="auto"/>
        <w:ind w:right="398"/>
        <w:jc w:val="center"/>
        <w:rPr>
          <w:lang w:val="lt-LT"/>
        </w:rPr>
      </w:pPr>
      <w:proofErr w:type="spellStart"/>
      <w:r w:rsidRPr="004A478C">
        <w:rPr>
          <w:b/>
          <w:lang w:val="lt-LT"/>
        </w:rPr>
        <w:t>Febuxostat</w:t>
      </w:r>
      <w:proofErr w:type="spellEnd"/>
      <w:r w:rsidRPr="004A478C">
        <w:rPr>
          <w:b/>
          <w:lang w:val="lt-LT"/>
        </w:rPr>
        <w:t xml:space="preserve"> </w:t>
      </w:r>
      <w:proofErr w:type="spellStart"/>
      <w:r w:rsidR="00911F26" w:rsidRPr="004A478C">
        <w:rPr>
          <w:b/>
          <w:lang w:val="lt-LT"/>
        </w:rPr>
        <w:t>Zentiva</w:t>
      </w:r>
      <w:proofErr w:type="spellEnd"/>
      <w:r w:rsidR="00273470" w:rsidRPr="004A478C">
        <w:rPr>
          <w:b/>
          <w:lang w:val="lt-LT"/>
        </w:rPr>
        <w:t xml:space="preserve"> </w:t>
      </w:r>
      <w:r w:rsidR="008F7666" w:rsidRPr="004A478C">
        <w:rPr>
          <w:b/>
          <w:lang w:val="lt-LT"/>
        </w:rPr>
        <w:t>120 </w:t>
      </w:r>
      <w:r w:rsidR="00273470" w:rsidRPr="004A478C">
        <w:rPr>
          <w:b/>
          <w:lang w:val="lt-LT"/>
        </w:rPr>
        <w:t xml:space="preserve">mg plėvele dengtos tabletės </w:t>
      </w:r>
    </w:p>
    <w:p w14:paraId="7769E60F" w14:textId="698E1D80" w:rsidR="00273470" w:rsidRPr="004A478C" w:rsidRDefault="008A265E" w:rsidP="003B28E4">
      <w:pPr>
        <w:tabs>
          <w:tab w:val="left" w:pos="4680"/>
        </w:tabs>
        <w:spacing w:line="240" w:lineRule="auto"/>
        <w:ind w:right="397"/>
        <w:jc w:val="center"/>
        <w:rPr>
          <w:lang w:val="lt-LT"/>
        </w:rPr>
      </w:pPr>
      <w:proofErr w:type="spellStart"/>
      <w:r w:rsidRPr="004A478C">
        <w:rPr>
          <w:lang w:val="lt-LT"/>
        </w:rPr>
        <w:t>f</w:t>
      </w:r>
      <w:r w:rsidR="00273470" w:rsidRPr="004A478C">
        <w:rPr>
          <w:lang w:val="lt-LT"/>
        </w:rPr>
        <w:t>ebuksostatas</w:t>
      </w:r>
      <w:proofErr w:type="spellEnd"/>
      <w:r w:rsidR="00273470" w:rsidRPr="004A478C">
        <w:rPr>
          <w:lang w:val="lt-LT"/>
        </w:rPr>
        <w:t xml:space="preserve">  </w:t>
      </w:r>
    </w:p>
    <w:p w14:paraId="34ABB6CD" w14:textId="77777777" w:rsidR="00273470" w:rsidRPr="004A478C" w:rsidRDefault="00273470" w:rsidP="003B28E4">
      <w:pPr>
        <w:tabs>
          <w:tab w:val="left" w:pos="4680"/>
        </w:tabs>
        <w:spacing w:line="240" w:lineRule="auto"/>
        <w:rPr>
          <w:lang w:val="lt-LT"/>
        </w:rPr>
      </w:pPr>
      <w:r w:rsidRPr="004A478C">
        <w:rPr>
          <w:b/>
          <w:lang w:val="lt-LT"/>
        </w:rPr>
        <w:t xml:space="preserve"> </w:t>
      </w:r>
    </w:p>
    <w:p w14:paraId="3A9098EF" w14:textId="77777777" w:rsidR="00273470" w:rsidRPr="004A478C" w:rsidRDefault="00273470" w:rsidP="003B28E4">
      <w:pPr>
        <w:pStyle w:val="Antrat2"/>
        <w:tabs>
          <w:tab w:val="left" w:pos="4680"/>
        </w:tabs>
        <w:spacing w:before="0" w:after="0" w:line="240" w:lineRule="auto"/>
        <w:ind w:right="77" w:hanging="533"/>
        <w:rPr>
          <w:rFonts w:ascii="Times New Roman" w:hAnsi="Times New Roman"/>
          <w:sz w:val="22"/>
          <w:lang w:val="lt-LT"/>
        </w:rPr>
      </w:pPr>
      <w:r w:rsidRPr="004A478C">
        <w:rPr>
          <w:rFonts w:ascii="Times New Roman" w:hAnsi="Times New Roman"/>
          <w:sz w:val="22"/>
          <w:lang w:val="lt-LT"/>
        </w:rPr>
        <w:t xml:space="preserve"> </w:t>
      </w:r>
      <w:r w:rsidRPr="004A478C">
        <w:rPr>
          <w:rFonts w:ascii="Times New Roman" w:hAnsi="Times New Roman"/>
          <w:sz w:val="22"/>
          <w:lang w:val="lt-LT"/>
        </w:rPr>
        <w:tab/>
      </w:r>
      <w:r w:rsidRPr="004A478C">
        <w:rPr>
          <w:rFonts w:ascii="Times New Roman" w:hAnsi="Times New Roman"/>
          <w:i w:val="0"/>
          <w:sz w:val="22"/>
          <w:lang w:val="lt-LT"/>
        </w:rPr>
        <w:t>Atidžiai perskaitykite visą šį lapelį, prieš pradėdami vartoti vaistą, nes jame pateikiama Jums svarbi informacija</w:t>
      </w:r>
      <w:r w:rsidR="005C5DE3" w:rsidRPr="004A478C">
        <w:rPr>
          <w:rFonts w:ascii="Times New Roman" w:hAnsi="Times New Roman"/>
          <w:i w:val="0"/>
          <w:sz w:val="22"/>
          <w:lang w:val="lt-LT"/>
        </w:rPr>
        <w:t>.</w:t>
      </w:r>
      <w:r w:rsidRPr="004A478C">
        <w:rPr>
          <w:rFonts w:ascii="Times New Roman" w:hAnsi="Times New Roman"/>
          <w:b w:val="0"/>
          <w:sz w:val="22"/>
          <w:lang w:val="lt-LT"/>
        </w:rPr>
        <w:t xml:space="preserve"> </w:t>
      </w:r>
    </w:p>
    <w:p w14:paraId="5847E715" w14:textId="77777777" w:rsidR="00273470" w:rsidRPr="004A478C" w:rsidRDefault="00273470" w:rsidP="003B28E4">
      <w:pPr>
        <w:numPr>
          <w:ilvl w:val="0"/>
          <w:numId w:val="14"/>
        </w:numPr>
        <w:spacing w:line="240" w:lineRule="auto"/>
        <w:ind w:left="567" w:right="397" w:hanging="567"/>
        <w:rPr>
          <w:lang w:val="lt-LT"/>
        </w:rPr>
      </w:pPr>
      <w:r w:rsidRPr="004A478C">
        <w:rPr>
          <w:lang w:val="lt-LT"/>
        </w:rPr>
        <w:t xml:space="preserve">Neišmeskite šio lapelio, nes vėl gali prireikti jį perskaityti. </w:t>
      </w:r>
    </w:p>
    <w:p w14:paraId="5978FDCC" w14:textId="77777777" w:rsidR="00273470" w:rsidRPr="004A478C" w:rsidRDefault="00273470" w:rsidP="003B28E4">
      <w:pPr>
        <w:numPr>
          <w:ilvl w:val="0"/>
          <w:numId w:val="14"/>
        </w:numPr>
        <w:spacing w:line="240" w:lineRule="auto"/>
        <w:ind w:left="567" w:right="397" w:hanging="567"/>
        <w:rPr>
          <w:lang w:val="lt-LT"/>
        </w:rPr>
      </w:pPr>
      <w:r w:rsidRPr="004A478C">
        <w:rPr>
          <w:lang w:val="lt-LT"/>
        </w:rPr>
        <w:t xml:space="preserve">Jeigu kiltų daugiau klausimų, kreipkitės į gydytoją arba vaistininką. </w:t>
      </w:r>
    </w:p>
    <w:p w14:paraId="11AD6DE7" w14:textId="77777777" w:rsidR="00273470" w:rsidRPr="004A478C" w:rsidRDefault="00273470" w:rsidP="003B28E4">
      <w:pPr>
        <w:numPr>
          <w:ilvl w:val="0"/>
          <w:numId w:val="14"/>
        </w:numPr>
        <w:spacing w:line="240" w:lineRule="auto"/>
        <w:ind w:left="567" w:right="397" w:hanging="567"/>
        <w:rPr>
          <w:lang w:val="lt-LT"/>
        </w:rPr>
      </w:pPr>
      <w:r w:rsidRPr="004A478C">
        <w:rPr>
          <w:lang w:val="lt-LT"/>
        </w:rPr>
        <w:t xml:space="preserve">Šis vaistas skirtas tik Jums, todėl kitiems žmonėms jo duoti negalima. Vaistas gali jiems pakenkti (net tiems, kurių ligos požymiai yra tokie patys kaip Jūsų). </w:t>
      </w:r>
    </w:p>
    <w:p w14:paraId="455DF4E2" w14:textId="77777777" w:rsidR="00273470" w:rsidRPr="004A478C" w:rsidRDefault="00273470" w:rsidP="003B28E4">
      <w:pPr>
        <w:numPr>
          <w:ilvl w:val="0"/>
          <w:numId w:val="14"/>
        </w:numPr>
        <w:spacing w:line="240" w:lineRule="auto"/>
        <w:ind w:left="567" w:right="397" w:hanging="567"/>
        <w:rPr>
          <w:lang w:val="lt-LT"/>
        </w:rPr>
      </w:pPr>
      <w:r w:rsidRPr="004A478C">
        <w:rPr>
          <w:lang w:val="lt-LT"/>
        </w:rPr>
        <w:t xml:space="preserve">Jeigu pasireiškė šalutinis poveikis (net jeigu jis šiame lapelyje nenurodytas), kreipkitės į gydytoją arba vaistininką. Žr. 4 skyrių. </w:t>
      </w:r>
    </w:p>
    <w:p w14:paraId="40886442" w14:textId="77777777" w:rsidR="00273470" w:rsidRPr="004A478C" w:rsidRDefault="00273470" w:rsidP="003B28E4">
      <w:pPr>
        <w:tabs>
          <w:tab w:val="left" w:pos="4680"/>
        </w:tabs>
        <w:spacing w:line="240" w:lineRule="auto"/>
        <w:rPr>
          <w:lang w:val="lt-LT"/>
        </w:rPr>
      </w:pPr>
      <w:r w:rsidRPr="004A478C">
        <w:rPr>
          <w:lang w:val="lt-LT"/>
        </w:rPr>
        <w:t xml:space="preserve"> </w:t>
      </w:r>
    </w:p>
    <w:p w14:paraId="4B7B0FDE" w14:textId="55C65787" w:rsidR="00273470" w:rsidRPr="004A478C" w:rsidRDefault="00273470" w:rsidP="003B28E4">
      <w:pPr>
        <w:tabs>
          <w:tab w:val="left" w:pos="4680"/>
        </w:tabs>
        <w:spacing w:line="240" w:lineRule="auto"/>
        <w:ind w:left="-5" w:right="77"/>
        <w:rPr>
          <w:b/>
          <w:lang w:val="lt-LT"/>
        </w:rPr>
      </w:pPr>
      <w:r w:rsidRPr="004A478C">
        <w:rPr>
          <w:b/>
          <w:lang w:val="lt-LT"/>
        </w:rPr>
        <w:t xml:space="preserve">Apie ką rašoma šiame lapelyje? </w:t>
      </w:r>
    </w:p>
    <w:p w14:paraId="3518AD69" w14:textId="77777777" w:rsidR="0014189A" w:rsidRPr="004A478C" w:rsidRDefault="0014189A" w:rsidP="003B28E4">
      <w:pPr>
        <w:tabs>
          <w:tab w:val="left" w:pos="4680"/>
        </w:tabs>
        <w:spacing w:line="240" w:lineRule="auto"/>
        <w:ind w:left="-5" w:right="77"/>
        <w:rPr>
          <w:lang w:val="lt-LT"/>
        </w:rPr>
      </w:pPr>
    </w:p>
    <w:p w14:paraId="050C78BC" w14:textId="41B72D1D" w:rsidR="0014189A" w:rsidRPr="004B0C8F" w:rsidRDefault="0014189A" w:rsidP="0014189A">
      <w:pPr>
        <w:numPr>
          <w:ilvl w:val="12"/>
          <w:numId w:val="0"/>
        </w:numPr>
        <w:tabs>
          <w:tab w:val="clear" w:pos="567"/>
          <w:tab w:val="left" w:pos="709"/>
        </w:tabs>
        <w:spacing w:line="240" w:lineRule="auto"/>
        <w:ind w:right="-2"/>
        <w:rPr>
          <w:szCs w:val="24"/>
          <w:lang w:val="lt-LT"/>
        </w:rPr>
      </w:pPr>
      <w:r w:rsidRPr="004B0C8F">
        <w:rPr>
          <w:szCs w:val="24"/>
          <w:lang w:val="lt-LT"/>
        </w:rPr>
        <w:t>1.</w:t>
      </w:r>
      <w:r w:rsidRPr="004B0C8F">
        <w:rPr>
          <w:szCs w:val="24"/>
          <w:lang w:val="lt-LT"/>
        </w:rPr>
        <w:tab/>
      </w:r>
      <w:r w:rsidRPr="004B0C8F">
        <w:rPr>
          <w:lang w:val="lt-LT"/>
        </w:rPr>
        <w:t xml:space="preserve">Kas yra </w:t>
      </w:r>
      <w:proofErr w:type="spellStart"/>
      <w:r w:rsidRPr="004B0C8F">
        <w:rPr>
          <w:lang w:val="lt-LT"/>
        </w:rPr>
        <w:t>Febuxostat</w:t>
      </w:r>
      <w:proofErr w:type="spellEnd"/>
      <w:r w:rsidRPr="004B0C8F">
        <w:rPr>
          <w:lang w:val="lt-LT"/>
        </w:rPr>
        <w:t xml:space="preserve"> </w:t>
      </w:r>
      <w:proofErr w:type="spellStart"/>
      <w:r w:rsidRPr="004B0C8F">
        <w:rPr>
          <w:lang w:val="lt-LT"/>
        </w:rPr>
        <w:t>Zentiva</w:t>
      </w:r>
      <w:proofErr w:type="spellEnd"/>
      <w:r w:rsidRPr="004B0C8F">
        <w:rPr>
          <w:lang w:val="lt-LT"/>
        </w:rPr>
        <w:t xml:space="preserve"> ir kam jis vartojamas</w:t>
      </w:r>
      <w:r w:rsidRPr="004B0C8F">
        <w:rPr>
          <w:szCs w:val="24"/>
          <w:lang w:val="lt-LT"/>
        </w:rPr>
        <w:t xml:space="preserve"> </w:t>
      </w:r>
    </w:p>
    <w:p w14:paraId="4A80699C" w14:textId="5E38E8F3" w:rsidR="0014189A" w:rsidRPr="004B0C8F" w:rsidRDefault="0014189A" w:rsidP="0014189A">
      <w:pPr>
        <w:numPr>
          <w:ilvl w:val="12"/>
          <w:numId w:val="0"/>
        </w:numPr>
        <w:tabs>
          <w:tab w:val="clear" w:pos="567"/>
          <w:tab w:val="left" w:pos="709"/>
        </w:tabs>
        <w:spacing w:line="240" w:lineRule="auto"/>
        <w:ind w:right="-2"/>
        <w:rPr>
          <w:szCs w:val="24"/>
          <w:lang w:val="lt-LT"/>
        </w:rPr>
      </w:pPr>
      <w:r w:rsidRPr="004B0C8F">
        <w:rPr>
          <w:szCs w:val="24"/>
          <w:lang w:val="lt-LT"/>
        </w:rPr>
        <w:t>2.</w:t>
      </w:r>
      <w:r w:rsidRPr="004B0C8F">
        <w:rPr>
          <w:szCs w:val="24"/>
          <w:lang w:val="lt-LT"/>
        </w:rPr>
        <w:tab/>
      </w:r>
      <w:r w:rsidRPr="004B0C8F">
        <w:rPr>
          <w:noProof/>
          <w:szCs w:val="24"/>
          <w:lang w:val="lt-LT"/>
        </w:rPr>
        <w:t xml:space="preserve">Kas žinotina prieš vartojant </w:t>
      </w:r>
      <w:r w:rsidRPr="004B0C8F">
        <w:rPr>
          <w:szCs w:val="24"/>
          <w:lang w:val="lt-LT"/>
        </w:rPr>
        <w:t xml:space="preserve"> </w:t>
      </w:r>
      <w:proofErr w:type="spellStart"/>
      <w:r w:rsidRPr="004B0C8F">
        <w:rPr>
          <w:szCs w:val="24"/>
          <w:lang w:val="lt-LT"/>
        </w:rPr>
        <w:t>Febuxostat</w:t>
      </w:r>
      <w:proofErr w:type="spellEnd"/>
      <w:r w:rsidRPr="004B0C8F">
        <w:rPr>
          <w:szCs w:val="24"/>
          <w:lang w:val="lt-LT"/>
        </w:rPr>
        <w:t xml:space="preserve"> </w:t>
      </w:r>
      <w:proofErr w:type="spellStart"/>
      <w:r w:rsidRPr="004B0C8F">
        <w:rPr>
          <w:szCs w:val="24"/>
          <w:lang w:val="lt-LT"/>
        </w:rPr>
        <w:t>Zentiva</w:t>
      </w:r>
      <w:proofErr w:type="spellEnd"/>
    </w:p>
    <w:p w14:paraId="3B60710B" w14:textId="682D95F6" w:rsidR="0014189A" w:rsidRPr="004B0C8F" w:rsidRDefault="0014189A" w:rsidP="0014189A">
      <w:pPr>
        <w:numPr>
          <w:ilvl w:val="12"/>
          <w:numId w:val="0"/>
        </w:numPr>
        <w:tabs>
          <w:tab w:val="clear" w:pos="567"/>
          <w:tab w:val="left" w:pos="709"/>
        </w:tabs>
        <w:spacing w:line="240" w:lineRule="auto"/>
        <w:ind w:right="-2"/>
        <w:rPr>
          <w:szCs w:val="24"/>
          <w:lang w:val="lt-LT"/>
        </w:rPr>
      </w:pPr>
      <w:r w:rsidRPr="004B0C8F">
        <w:rPr>
          <w:szCs w:val="24"/>
          <w:lang w:val="lt-LT"/>
        </w:rPr>
        <w:t>3.</w:t>
      </w:r>
      <w:r w:rsidRPr="004B0C8F">
        <w:rPr>
          <w:szCs w:val="24"/>
          <w:lang w:val="lt-LT"/>
        </w:rPr>
        <w:tab/>
      </w:r>
      <w:r w:rsidRPr="004B0C8F">
        <w:rPr>
          <w:noProof/>
          <w:szCs w:val="24"/>
          <w:lang w:val="lt-LT"/>
        </w:rPr>
        <w:t xml:space="preserve">Kaip vartoti </w:t>
      </w:r>
      <w:r w:rsidRPr="004B0C8F">
        <w:rPr>
          <w:lang w:val="lt-LT"/>
        </w:rPr>
        <w:t xml:space="preserve"> </w:t>
      </w:r>
      <w:r w:rsidRPr="004B0C8F">
        <w:rPr>
          <w:noProof/>
          <w:szCs w:val="24"/>
          <w:lang w:val="lt-LT"/>
        </w:rPr>
        <w:t>Febuxostat Zentiva</w:t>
      </w:r>
    </w:p>
    <w:p w14:paraId="7DDD97FF" w14:textId="77777777" w:rsidR="0014189A" w:rsidRPr="004B0C8F" w:rsidRDefault="0014189A" w:rsidP="0014189A">
      <w:pPr>
        <w:numPr>
          <w:ilvl w:val="12"/>
          <w:numId w:val="0"/>
        </w:numPr>
        <w:tabs>
          <w:tab w:val="clear" w:pos="567"/>
          <w:tab w:val="left" w:pos="709"/>
        </w:tabs>
        <w:spacing w:line="240" w:lineRule="auto"/>
        <w:ind w:right="-2"/>
        <w:rPr>
          <w:szCs w:val="24"/>
          <w:lang w:val="lt-LT"/>
        </w:rPr>
      </w:pPr>
      <w:r w:rsidRPr="004B0C8F">
        <w:rPr>
          <w:szCs w:val="24"/>
          <w:lang w:val="lt-LT"/>
        </w:rPr>
        <w:t>4.</w:t>
      </w:r>
      <w:r w:rsidRPr="004B0C8F">
        <w:rPr>
          <w:szCs w:val="24"/>
          <w:lang w:val="lt-LT"/>
        </w:rPr>
        <w:tab/>
      </w:r>
      <w:r w:rsidRPr="004B0C8F">
        <w:rPr>
          <w:lang w:val="lt-LT"/>
        </w:rPr>
        <w:t>Galimas šalutinis poveikis</w:t>
      </w:r>
      <w:r w:rsidRPr="004B0C8F">
        <w:rPr>
          <w:szCs w:val="24"/>
          <w:lang w:val="lt-LT"/>
        </w:rPr>
        <w:t xml:space="preserve"> </w:t>
      </w:r>
    </w:p>
    <w:p w14:paraId="391D0C25" w14:textId="78EA23B8" w:rsidR="0014189A" w:rsidRPr="004B0C8F" w:rsidRDefault="0014189A" w:rsidP="0014189A">
      <w:pPr>
        <w:numPr>
          <w:ilvl w:val="12"/>
          <w:numId w:val="0"/>
        </w:numPr>
        <w:tabs>
          <w:tab w:val="clear" w:pos="567"/>
          <w:tab w:val="left" w:pos="709"/>
        </w:tabs>
        <w:spacing w:line="240" w:lineRule="auto"/>
        <w:ind w:right="-2"/>
        <w:rPr>
          <w:szCs w:val="24"/>
          <w:lang w:val="lt-LT"/>
        </w:rPr>
      </w:pPr>
      <w:r w:rsidRPr="004B0C8F">
        <w:rPr>
          <w:szCs w:val="24"/>
          <w:lang w:val="lt-LT"/>
        </w:rPr>
        <w:t>5.</w:t>
      </w:r>
      <w:r w:rsidRPr="004B0C8F">
        <w:rPr>
          <w:szCs w:val="24"/>
          <w:lang w:val="lt-LT"/>
        </w:rPr>
        <w:tab/>
      </w:r>
      <w:r w:rsidRPr="004B0C8F">
        <w:rPr>
          <w:lang w:val="lt-LT"/>
        </w:rPr>
        <w:t xml:space="preserve">Kaip laikyti </w:t>
      </w:r>
      <w:proofErr w:type="spellStart"/>
      <w:r w:rsidRPr="004B0C8F">
        <w:rPr>
          <w:szCs w:val="24"/>
          <w:lang w:val="lt-LT"/>
        </w:rPr>
        <w:t>Febuxostat</w:t>
      </w:r>
      <w:proofErr w:type="spellEnd"/>
      <w:r w:rsidRPr="004B0C8F">
        <w:rPr>
          <w:szCs w:val="24"/>
          <w:lang w:val="lt-LT"/>
        </w:rPr>
        <w:t xml:space="preserve"> </w:t>
      </w:r>
      <w:proofErr w:type="spellStart"/>
      <w:r w:rsidRPr="004B0C8F">
        <w:rPr>
          <w:szCs w:val="24"/>
          <w:lang w:val="lt-LT"/>
        </w:rPr>
        <w:t>Zentiva</w:t>
      </w:r>
      <w:proofErr w:type="spellEnd"/>
    </w:p>
    <w:p w14:paraId="2A67C0AF" w14:textId="77777777" w:rsidR="0014189A" w:rsidRPr="004B0C8F" w:rsidRDefault="0014189A" w:rsidP="0014189A">
      <w:pPr>
        <w:numPr>
          <w:ilvl w:val="12"/>
          <w:numId w:val="0"/>
        </w:numPr>
        <w:tabs>
          <w:tab w:val="clear" w:pos="567"/>
          <w:tab w:val="left" w:pos="709"/>
        </w:tabs>
        <w:spacing w:line="240" w:lineRule="auto"/>
        <w:ind w:right="-2"/>
        <w:rPr>
          <w:szCs w:val="24"/>
          <w:lang w:val="lt-LT"/>
        </w:rPr>
      </w:pPr>
      <w:r w:rsidRPr="004B0C8F">
        <w:rPr>
          <w:szCs w:val="24"/>
          <w:lang w:val="lt-LT"/>
        </w:rPr>
        <w:t>6.</w:t>
      </w:r>
      <w:r w:rsidRPr="004B0C8F">
        <w:rPr>
          <w:szCs w:val="24"/>
          <w:lang w:val="lt-LT"/>
        </w:rPr>
        <w:tab/>
      </w:r>
      <w:r w:rsidRPr="004B0C8F">
        <w:rPr>
          <w:noProof/>
          <w:szCs w:val="24"/>
          <w:lang w:val="lt-LT"/>
        </w:rPr>
        <w:t>Pakuotės turinys ir kita informacija</w:t>
      </w:r>
    </w:p>
    <w:p w14:paraId="44B5D9FE" w14:textId="69731430" w:rsidR="00273470" w:rsidRPr="004B0C8F" w:rsidRDefault="00273470" w:rsidP="003B28E4">
      <w:pPr>
        <w:tabs>
          <w:tab w:val="left" w:pos="4680"/>
        </w:tabs>
        <w:spacing w:line="240" w:lineRule="auto"/>
        <w:rPr>
          <w:lang w:val="lt-LT"/>
        </w:rPr>
      </w:pPr>
    </w:p>
    <w:p w14:paraId="0F78C543" w14:textId="77777777" w:rsidR="00273470" w:rsidRPr="004B0C8F" w:rsidRDefault="00273470" w:rsidP="003B28E4">
      <w:pPr>
        <w:tabs>
          <w:tab w:val="left" w:pos="4680"/>
        </w:tabs>
        <w:spacing w:line="240" w:lineRule="auto"/>
        <w:rPr>
          <w:lang w:val="lt-LT"/>
        </w:rPr>
      </w:pPr>
      <w:r w:rsidRPr="004B0C8F">
        <w:rPr>
          <w:lang w:val="lt-LT"/>
        </w:rPr>
        <w:t xml:space="preserve"> </w:t>
      </w:r>
    </w:p>
    <w:p w14:paraId="2734429B" w14:textId="506BBF35" w:rsidR="00273470" w:rsidRPr="004A478C" w:rsidRDefault="00273470" w:rsidP="003B28E4">
      <w:pPr>
        <w:pStyle w:val="Antrat3"/>
        <w:tabs>
          <w:tab w:val="center" w:pos="2438"/>
          <w:tab w:val="left" w:pos="4680"/>
        </w:tabs>
        <w:spacing w:before="0" w:after="0" w:line="240" w:lineRule="auto"/>
        <w:ind w:left="-15"/>
        <w:rPr>
          <w:rFonts w:ascii="Times New Roman" w:hAnsi="Times New Roman"/>
          <w:sz w:val="22"/>
          <w:lang w:val="lt-LT"/>
        </w:rPr>
      </w:pPr>
      <w:r w:rsidRPr="004A478C">
        <w:rPr>
          <w:rFonts w:ascii="Times New Roman" w:hAnsi="Times New Roman"/>
          <w:sz w:val="22"/>
          <w:lang w:val="lt-LT"/>
        </w:rPr>
        <w:t xml:space="preserve">1. </w:t>
      </w:r>
      <w:r w:rsidRPr="004A478C">
        <w:rPr>
          <w:rFonts w:ascii="Times New Roman" w:hAnsi="Times New Roman"/>
          <w:sz w:val="22"/>
          <w:lang w:val="lt-LT"/>
        </w:rPr>
        <w:tab/>
        <w:t xml:space="preserve">Kas yra </w:t>
      </w:r>
      <w:proofErr w:type="spellStart"/>
      <w:r w:rsidR="001A5C63" w:rsidRPr="004A478C">
        <w:rPr>
          <w:rFonts w:ascii="Times New Roman" w:hAnsi="Times New Roman"/>
          <w:sz w:val="22"/>
          <w:lang w:val="lt-LT"/>
        </w:rPr>
        <w:t>Febuxostat</w:t>
      </w:r>
      <w:proofErr w:type="spellEnd"/>
      <w:r w:rsidR="001A5C63" w:rsidRPr="004A478C">
        <w:rPr>
          <w:rFonts w:ascii="Times New Roman" w:hAnsi="Times New Roman"/>
          <w:sz w:val="22"/>
          <w:lang w:val="lt-LT"/>
        </w:rPr>
        <w:t xml:space="preserve"> </w:t>
      </w:r>
      <w:proofErr w:type="spellStart"/>
      <w:r w:rsidR="00911F26" w:rsidRPr="004A478C">
        <w:rPr>
          <w:rFonts w:ascii="Times New Roman" w:hAnsi="Times New Roman"/>
          <w:sz w:val="22"/>
          <w:lang w:val="lt-LT"/>
        </w:rPr>
        <w:t>Zentiva</w:t>
      </w:r>
      <w:proofErr w:type="spellEnd"/>
      <w:r w:rsidR="00911F26" w:rsidRPr="004A478C">
        <w:rPr>
          <w:rFonts w:ascii="Times New Roman" w:hAnsi="Times New Roman"/>
          <w:sz w:val="22"/>
          <w:lang w:val="lt-LT"/>
        </w:rPr>
        <w:t xml:space="preserve"> </w:t>
      </w:r>
      <w:r w:rsidRPr="004A478C">
        <w:rPr>
          <w:rFonts w:ascii="Times New Roman" w:hAnsi="Times New Roman"/>
          <w:sz w:val="22"/>
          <w:lang w:val="lt-LT"/>
        </w:rPr>
        <w:t xml:space="preserve">ir kam jis vartojamas </w:t>
      </w:r>
    </w:p>
    <w:p w14:paraId="1AEBEEAE" w14:textId="77777777" w:rsidR="00273470" w:rsidRPr="004A478C" w:rsidRDefault="00273470" w:rsidP="003B28E4">
      <w:pPr>
        <w:tabs>
          <w:tab w:val="left" w:pos="4680"/>
        </w:tabs>
        <w:spacing w:line="240" w:lineRule="auto"/>
        <w:rPr>
          <w:lang w:val="lt-LT"/>
        </w:rPr>
      </w:pPr>
      <w:r w:rsidRPr="004A478C">
        <w:rPr>
          <w:lang w:val="lt-LT"/>
        </w:rPr>
        <w:t xml:space="preserve"> </w:t>
      </w:r>
    </w:p>
    <w:p w14:paraId="68304FCB" w14:textId="3864EB83" w:rsidR="00273470" w:rsidRPr="004A478C" w:rsidRDefault="001A5C63" w:rsidP="003B28E4">
      <w:pPr>
        <w:tabs>
          <w:tab w:val="left" w:pos="4680"/>
        </w:tabs>
        <w:spacing w:line="240" w:lineRule="auto"/>
        <w:ind w:left="2" w:right="397"/>
        <w:rPr>
          <w:lang w:val="lt-LT"/>
        </w:rPr>
      </w:pPr>
      <w:proofErr w:type="spellStart"/>
      <w:r w:rsidRPr="004A478C">
        <w:rPr>
          <w:lang w:val="lt-LT"/>
        </w:rPr>
        <w:t>Febuxostat</w:t>
      </w:r>
      <w:proofErr w:type="spellEnd"/>
      <w:r w:rsidRPr="004A478C">
        <w:rPr>
          <w:lang w:val="lt-LT"/>
        </w:rPr>
        <w:t xml:space="preserve"> </w:t>
      </w:r>
      <w:proofErr w:type="spellStart"/>
      <w:r w:rsidR="00911F26" w:rsidRPr="004A478C">
        <w:rPr>
          <w:lang w:val="lt-LT"/>
        </w:rPr>
        <w:t>Zentiva</w:t>
      </w:r>
      <w:proofErr w:type="spellEnd"/>
      <w:r w:rsidR="00911F26" w:rsidRPr="004A478C">
        <w:rPr>
          <w:lang w:val="lt-LT"/>
        </w:rPr>
        <w:t xml:space="preserve"> </w:t>
      </w:r>
      <w:r w:rsidR="00273470" w:rsidRPr="004A478C">
        <w:rPr>
          <w:lang w:val="lt-LT"/>
        </w:rPr>
        <w:t xml:space="preserve">tablečių sudėtyje yra veikliosios medžiagos </w:t>
      </w:r>
      <w:proofErr w:type="spellStart"/>
      <w:r w:rsidR="00273470" w:rsidRPr="004A478C">
        <w:rPr>
          <w:lang w:val="lt-LT"/>
        </w:rPr>
        <w:t>febuksostato</w:t>
      </w:r>
      <w:proofErr w:type="spellEnd"/>
      <w:r w:rsidR="00273470" w:rsidRPr="004A478C">
        <w:rPr>
          <w:lang w:val="lt-LT"/>
        </w:rPr>
        <w:t>; jomis gydoma podagra, kuria sergant organizme susidaro per daug cheminės medžiagos, vadinamos šlapimo rūgštimi (urat</w:t>
      </w:r>
      <w:r w:rsidR="00724017" w:rsidRPr="004A478C">
        <w:rPr>
          <w:lang w:val="lt-LT"/>
        </w:rPr>
        <w:t>u</w:t>
      </w:r>
      <w:r w:rsidR="00273470" w:rsidRPr="004A478C">
        <w:rPr>
          <w:lang w:val="lt-LT"/>
        </w:rPr>
        <w:t xml:space="preserve">). Kai kuriems žmonėms šlapimo rūgšties kraujyje gali susikaupti tiek daug, kad ji negali išlikti tirpi. Tokiu atveju sąnarių srityje ir inkstuose gali susiformuoti uratų kristalai. Dėl šių kristalų gali kilti ūmus, stiprus skausmas, sąnarys gali parausti, tapti įkaitęs ir patinti (tai vadinama podagros priepuoliu). Jeigu būsena negydoma, sąnariuose ir aplink juos gali susidaryti didesnės nuosėdos, vadinamieji podagriniai mazgeliai. Šie mazgeliai gali pažeisti sąnarius ir kaulus. </w:t>
      </w:r>
    </w:p>
    <w:p w14:paraId="2071FCA2" w14:textId="77777777" w:rsidR="00273470" w:rsidRPr="004A478C" w:rsidRDefault="00273470" w:rsidP="003B28E4">
      <w:pPr>
        <w:tabs>
          <w:tab w:val="left" w:pos="4680"/>
        </w:tabs>
        <w:spacing w:line="240" w:lineRule="auto"/>
        <w:rPr>
          <w:lang w:val="lt-LT"/>
        </w:rPr>
      </w:pPr>
      <w:r w:rsidRPr="004A478C">
        <w:rPr>
          <w:lang w:val="lt-LT"/>
        </w:rPr>
        <w:t xml:space="preserve"> </w:t>
      </w:r>
    </w:p>
    <w:p w14:paraId="4FF59D2E" w14:textId="256CC745" w:rsidR="00273470" w:rsidRPr="004A478C" w:rsidRDefault="001A5C63" w:rsidP="003B28E4">
      <w:pPr>
        <w:tabs>
          <w:tab w:val="left" w:pos="4680"/>
        </w:tabs>
        <w:spacing w:line="240" w:lineRule="auto"/>
        <w:ind w:left="2" w:right="397"/>
        <w:rPr>
          <w:lang w:val="lt-LT"/>
        </w:rPr>
      </w:pPr>
      <w:proofErr w:type="spellStart"/>
      <w:r w:rsidRPr="004A478C">
        <w:rPr>
          <w:lang w:val="lt-LT"/>
        </w:rPr>
        <w:t>Febuxostat</w:t>
      </w:r>
      <w:proofErr w:type="spellEnd"/>
      <w:r w:rsidRPr="004A478C">
        <w:rPr>
          <w:lang w:val="lt-LT"/>
        </w:rPr>
        <w:t xml:space="preserve"> </w:t>
      </w:r>
      <w:proofErr w:type="spellStart"/>
      <w:r w:rsidR="00911F26" w:rsidRPr="004A478C">
        <w:rPr>
          <w:lang w:val="lt-LT"/>
        </w:rPr>
        <w:t>Zentiva</w:t>
      </w:r>
      <w:proofErr w:type="spellEnd"/>
      <w:r w:rsidR="00911F26" w:rsidRPr="004A478C">
        <w:rPr>
          <w:lang w:val="lt-LT"/>
        </w:rPr>
        <w:t xml:space="preserve"> </w:t>
      </w:r>
      <w:r w:rsidR="00273470" w:rsidRPr="004A478C">
        <w:rPr>
          <w:lang w:val="lt-LT"/>
        </w:rPr>
        <w:t xml:space="preserve">mažina šlapimo rūgšties kiekį. </w:t>
      </w:r>
      <w:proofErr w:type="spellStart"/>
      <w:r w:rsidRPr="004A478C">
        <w:rPr>
          <w:lang w:val="lt-LT"/>
        </w:rPr>
        <w:t>Febuxostat</w:t>
      </w:r>
      <w:proofErr w:type="spellEnd"/>
      <w:r w:rsidRPr="004A478C">
        <w:rPr>
          <w:lang w:val="lt-LT"/>
        </w:rPr>
        <w:t xml:space="preserve"> </w:t>
      </w:r>
      <w:proofErr w:type="spellStart"/>
      <w:r w:rsidR="00911F26" w:rsidRPr="004A478C">
        <w:rPr>
          <w:lang w:val="lt-LT"/>
        </w:rPr>
        <w:t>Zentiva</w:t>
      </w:r>
      <w:proofErr w:type="spellEnd"/>
      <w:r w:rsidR="00911F26" w:rsidRPr="004A478C">
        <w:rPr>
          <w:lang w:val="lt-LT"/>
        </w:rPr>
        <w:t xml:space="preserve"> </w:t>
      </w:r>
      <w:r w:rsidR="00273470" w:rsidRPr="004A478C">
        <w:rPr>
          <w:lang w:val="lt-LT"/>
        </w:rPr>
        <w:t>vartojim</w:t>
      </w:r>
      <w:r w:rsidR="00724017" w:rsidRPr="004A478C">
        <w:rPr>
          <w:lang w:val="lt-LT"/>
        </w:rPr>
        <w:t>as</w:t>
      </w:r>
      <w:r w:rsidR="00273470" w:rsidRPr="004A478C">
        <w:rPr>
          <w:lang w:val="lt-LT"/>
        </w:rPr>
        <w:t xml:space="preserve"> </w:t>
      </w:r>
      <w:r w:rsidR="00724017" w:rsidRPr="004A478C">
        <w:rPr>
          <w:lang w:val="lt-LT"/>
        </w:rPr>
        <w:t xml:space="preserve">kartą per parą </w:t>
      </w:r>
      <w:r w:rsidR="00273470" w:rsidRPr="004A478C">
        <w:rPr>
          <w:lang w:val="lt-LT"/>
        </w:rPr>
        <w:t>palaiko maž</w:t>
      </w:r>
      <w:r w:rsidR="00724017" w:rsidRPr="004A478C">
        <w:rPr>
          <w:lang w:val="lt-LT"/>
        </w:rPr>
        <w:t>ą</w:t>
      </w:r>
      <w:r w:rsidR="00273470" w:rsidRPr="004A478C">
        <w:rPr>
          <w:lang w:val="lt-LT"/>
        </w:rPr>
        <w:t xml:space="preserve"> šlapimo rūgšties kiek</w:t>
      </w:r>
      <w:r w:rsidR="00724017" w:rsidRPr="004A478C">
        <w:rPr>
          <w:lang w:val="lt-LT"/>
        </w:rPr>
        <w:t>į</w:t>
      </w:r>
      <w:r w:rsidR="00273470" w:rsidRPr="004A478C">
        <w:rPr>
          <w:lang w:val="lt-LT"/>
        </w:rPr>
        <w:t xml:space="preserve">, kristalų susidarymas </w:t>
      </w:r>
      <w:r w:rsidR="00724017" w:rsidRPr="004A478C">
        <w:rPr>
          <w:lang w:val="lt-LT"/>
        </w:rPr>
        <w:t xml:space="preserve">sustoja </w:t>
      </w:r>
      <w:r w:rsidR="00273470" w:rsidRPr="004A478C">
        <w:rPr>
          <w:lang w:val="lt-LT"/>
        </w:rPr>
        <w:t xml:space="preserve">ir ilgainiui simptomai susilpnėja. Jeigu ilgą laiką palaikomas pakankamai mažas šlapimo rūgšties kiekis, gali sumažėti ir podagriniai mazgeliai. </w:t>
      </w:r>
    </w:p>
    <w:p w14:paraId="1C9BCEBF" w14:textId="77777777" w:rsidR="00273470" w:rsidRPr="004A478C" w:rsidRDefault="00273470" w:rsidP="003B28E4">
      <w:pPr>
        <w:tabs>
          <w:tab w:val="left" w:pos="4680"/>
        </w:tabs>
        <w:spacing w:line="240" w:lineRule="auto"/>
        <w:rPr>
          <w:lang w:val="lt-LT"/>
        </w:rPr>
      </w:pPr>
      <w:r w:rsidRPr="004A478C">
        <w:rPr>
          <w:lang w:val="lt-LT"/>
        </w:rPr>
        <w:t xml:space="preserve"> </w:t>
      </w:r>
    </w:p>
    <w:p w14:paraId="2057317B" w14:textId="0DF845FE" w:rsidR="00273470" w:rsidRPr="004A478C" w:rsidRDefault="001A5C63" w:rsidP="003B28E4">
      <w:pPr>
        <w:tabs>
          <w:tab w:val="left" w:pos="4680"/>
        </w:tabs>
        <w:spacing w:line="240" w:lineRule="auto"/>
        <w:ind w:left="2" w:right="397"/>
        <w:rPr>
          <w:lang w:val="lt-LT"/>
        </w:rPr>
      </w:pPr>
      <w:proofErr w:type="spellStart"/>
      <w:r w:rsidRPr="004A478C">
        <w:rPr>
          <w:lang w:val="lt-LT"/>
        </w:rPr>
        <w:t>Febuxostat</w:t>
      </w:r>
      <w:proofErr w:type="spellEnd"/>
      <w:r w:rsidRPr="004A478C">
        <w:rPr>
          <w:lang w:val="lt-LT"/>
        </w:rPr>
        <w:t xml:space="preserve"> </w:t>
      </w:r>
      <w:proofErr w:type="spellStart"/>
      <w:r w:rsidR="00911F26" w:rsidRPr="004A478C">
        <w:rPr>
          <w:lang w:val="lt-LT"/>
        </w:rPr>
        <w:t>Zentiva</w:t>
      </w:r>
      <w:proofErr w:type="spellEnd"/>
      <w:r w:rsidR="00911F26" w:rsidRPr="004A478C">
        <w:rPr>
          <w:lang w:val="lt-LT"/>
        </w:rPr>
        <w:t xml:space="preserve"> </w:t>
      </w:r>
      <w:r w:rsidR="00273470" w:rsidRPr="004A478C">
        <w:rPr>
          <w:lang w:val="lt-LT"/>
        </w:rPr>
        <w:t>120</w:t>
      </w:r>
      <w:r w:rsidR="00E87295" w:rsidRPr="004A478C">
        <w:rPr>
          <w:lang w:val="lt-LT"/>
        </w:rPr>
        <w:t> mg</w:t>
      </w:r>
      <w:r w:rsidR="00273470" w:rsidRPr="004A478C">
        <w:rPr>
          <w:lang w:val="lt-LT"/>
        </w:rPr>
        <w:t xml:space="preserve"> tabletės taip pat vartojamos pernelyg didelės šlapimo rūgšties koncentracijos kraujyje, kuri gali susidaryti, kai piktybinės kraujo ligos pradedamos gydyti chemoterapiniais vaistais, gydymui ir profilaktikai. </w:t>
      </w:r>
    </w:p>
    <w:p w14:paraId="4C120916" w14:textId="77777777" w:rsidR="00273470" w:rsidRPr="004A478C" w:rsidRDefault="00273470" w:rsidP="003B28E4">
      <w:pPr>
        <w:tabs>
          <w:tab w:val="left" w:pos="4680"/>
        </w:tabs>
        <w:spacing w:line="240" w:lineRule="auto"/>
        <w:ind w:left="2" w:right="397"/>
        <w:rPr>
          <w:lang w:val="lt-LT"/>
        </w:rPr>
      </w:pPr>
      <w:r w:rsidRPr="004A478C">
        <w:rPr>
          <w:lang w:val="lt-LT"/>
        </w:rPr>
        <w:t xml:space="preserve">Taikant chemoterapiją, sunaikinamos vėžio ląstelės ir atitinkamai padidėja šlapimo rūgšties koncentracija kraujyje, nebent užkertamas kelias šlapimo rūgšties susidarymui. </w:t>
      </w:r>
    </w:p>
    <w:p w14:paraId="6AF35CD1" w14:textId="77777777" w:rsidR="00273470" w:rsidRPr="004A478C" w:rsidRDefault="00273470" w:rsidP="003B28E4">
      <w:pPr>
        <w:tabs>
          <w:tab w:val="left" w:pos="4680"/>
        </w:tabs>
        <w:spacing w:line="240" w:lineRule="auto"/>
        <w:rPr>
          <w:lang w:val="lt-LT"/>
        </w:rPr>
      </w:pPr>
      <w:r w:rsidRPr="004A478C">
        <w:rPr>
          <w:lang w:val="lt-LT"/>
        </w:rPr>
        <w:t xml:space="preserve"> </w:t>
      </w:r>
    </w:p>
    <w:p w14:paraId="153CB73D" w14:textId="428B6582" w:rsidR="00273470" w:rsidRPr="004A478C" w:rsidRDefault="001A5C63" w:rsidP="003B28E4">
      <w:pPr>
        <w:tabs>
          <w:tab w:val="left" w:pos="4680"/>
        </w:tabs>
        <w:spacing w:line="240" w:lineRule="auto"/>
        <w:ind w:left="2" w:right="397"/>
        <w:rPr>
          <w:lang w:val="lt-LT"/>
        </w:rPr>
      </w:pPr>
      <w:proofErr w:type="spellStart"/>
      <w:r w:rsidRPr="004A478C">
        <w:rPr>
          <w:lang w:val="lt-LT"/>
        </w:rPr>
        <w:t>Febuxostat</w:t>
      </w:r>
      <w:proofErr w:type="spellEnd"/>
      <w:r w:rsidRPr="004A478C">
        <w:rPr>
          <w:lang w:val="lt-LT"/>
        </w:rPr>
        <w:t xml:space="preserve"> </w:t>
      </w:r>
      <w:proofErr w:type="spellStart"/>
      <w:r w:rsidR="00911F26" w:rsidRPr="004A478C">
        <w:rPr>
          <w:lang w:val="lt-LT"/>
        </w:rPr>
        <w:t>Zentiva</w:t>
      </w:r>
      <w:proofErr w:type="spellEnd"/>
      <w:r w:rsidR="00911F26" w:rsidRPr="004A478C">
        <w:rPr>
          <w:lang w:val="lt-LT"/>
        </w:rPr>
        <w:t xml:space="preserve"> </w:t>
      </w:r>
      <w:r w:rsidR="00273470" w:rsidRPr="004A478C">
        <w:rPr>
          <w:lang w:val="lt-LT"/>
        </w:rPr>
        <w:t xml:space="preserve">skirtas suaugusiesiems. </w:t>
      </w:r>
    </w:p>
    <w:p w14:paraId="554E55A2" w14:textId="77777777" w:rsidR="00273470" w:rsidRPr="004A478C" w:rsidRDefault="00273470" w:rsidP="003B28E4">
      <w:pPr>
        <w:tabs>
          <w:tab w:val="left" w:pos="4680"/>
        </w:tabs>
        <w:spacing w:line="240" w:lineRule="auto"/>
        <w:rPr>
          <w:lang w:val="lt-LT"/>
        </w:rPr>
      </w:pPr>
      <w:r w:rsidRPr="004A478C">
        <w:rPr>
          <w:lang w:val="lt-LT"/>
        </w:rPr>
        <w:t xml:space="preserve"> </w:t>
      </w:r>
    </w:p>
    <w:p w14:paraId="393803B7" w14:textId="77777777" w:rsidR="00273470" w:rsidRPr="004A478C" w:rsidRDefault="00273470" w:rsidP="003B28E4">
      <w:pPr>
        <w:tabs>
          <w:tab w:val="left" w:pos="4680"/>
        </w:tabs>
        <w:spacing w:line="240" w:lineRule="auto"/>
        <w:rPr>
          <w:lang w:val="lt-LT"/>
        </w:rPr>
      </w:pPr>
      <w:r w:rsidRPr="004A478C">
        <w:rPr>
          <w:lang w:val="lt-LT"/>
        </w:rPr>
        <w:t xml:space="preserve"> </w:t>
      </w:r>
    </w:p>
    <w:p w14:paraId="34F3517B" w14:textId="488BF389" w:rsidR="00273470" w:rsidRPr="004A478C" w:rsidRDefault="00273470" w:rsidP="003B28E4">
      <w:pPr>
        <w:pStyle w:val="Antrat3"/>
        <w:tabs>
          <w:tab w:val="center" w:pos="2351"/>
          <w:tab w:val="left" w:pos="4680"/>
        </w:tabs>
        <w:spacing w:before="0" w:after="0" w:line="240" w:lineRule="auto"/>
        <w:ind w:left="-15"/>
        <w:rPr>
          <w:rFonts w:ascii="Times New Roman" w:hAnsi="Times New Roman"/>
          <w:sz w:val="22"/>
          <w:lang w:val="lt-LT"/>
        </w:rPr>
      </w:pPr>
      <w:r w:rsidRPr="004A478C">
        <w:rPr>
          <w:rFonts w:ascii="Times New Roman" w:hAnsi="Times New Roman"/>
          <w:sz w:val="22"/>
          <w:lang w:val="lt-LT"/>
        </w:rPr>
        <w:t xml:space="preserve">2. </w:t>
      </w:r>
      <w:r w:rsidRPr="004A478C">
        <w:rPr>
          <w:rFonts w:ascii="Times New Roman" w:hAnsi="Times New Roman"/>
          <w:sz w:val="22"/>
          <w:lang w:val="lt-LT"/>
        </w:rPr>
        <w:tab/>
        <w:t xml:space="preserve">Kas žinotina prieš vartojant </w:t>
      </w:r>
      <w:proofErr w:type="spellStart"/>
      <w:r w:rsidR="001A5C63" w:rsidRPr="004A478C">
        <w:rPr>
          <w:rFonts w:ascii="Times New Roman" w:hAnsi="Times New Roman"/>
          <w:sz w:val="22"/>
          <w:lang w:val="lt-LT"/>
        </w:rPr>
        <w:t>Febuxostat</w:t>
      </w:r>
      <w:proofErr w:type="spellEnd"/>
      <w:r w:rsidR="001A5C63" w:rsidRPr="004A478C">
        <w:rPr>
          <w:rFonts w:ascii="Times New Roman" w:hAnsi="Times New Roman"/>
          <w:sz w:val="22"/>
          <w:lang w:val="lt-LT"/>
        </w:rPr>
        <w:t xml:space="preserve"> </w:t>
      </w:r>
      <w:proofErr w:type="spellStart"/>
      <w:r w:rsidR="00911F26" w:rsidRPr="004A478C">
        <w:rPr>
          <w:rFonts w:ascii="Times New Roman" w:hAnsi="Times New Roman"/>
          <w:sz w:val="22"/>
          <w:lang w:val="lt-LT"/>
        </w:rPr>
        <w:t>Zentiva</w:t>
      </w:r>
      <w:proofErr w:type="spellEnd"/>
    </w:p>
    <w:p w14:paraId="7589B8E4" w14:textId="77777777" w:rsidR="00273470" w:rsidRPr="004A478C" w:rsidRDefault="00273470" w:rsidP="003B28E4">
      <w:pPr>
        <w:tabs>
          <w:tab w:val="left" w:pos="4680"/>
        </w:tabs>
        <w:spacing w:line="240" w:lineRule="auto"/>
        <w:rPr>
          <w:lang w:val="lt-LT"/>
        </w:rPr>
      </w:pPr>
      <w:r w:rsidRPr="004A478C">
        <w:rPr>
          <w:b/>
          <w:lang w:val="lt-LT"/>
        </w:rPr>
        <w:t xml:space="preserve"> </w:t>
      </w:r>
    </w:p>
    <w:p w14:paraId="39529E3E" w14:textId="6300E23B" w:rsidR="00273470" w:rsidRPr="004A478C" w:rsidRDefault="001A5C63" w:rsidP="009447A4">
      <w:pPr>
        <w:tabs>
          <w:tab w:val="left" w:pos="4680"/>
        </w:tabs>
        <w:spacing w:line="240" w:lineRule="auto"/>
        <w:ind w:left="-5" w:right="77"/>
        <w:rPr>
          <w:lang w:val="lt-LT"/>
        </w:rPr>
      </w:pPr>
      <w:proofErr w:type="spellStart"/>
      <w:r w:rsidRPr="004A478C">
        <w:rPr>
          <w:b/>
          <w:lang w:val="lt-LT"/>
        </w:rPr>
        <w:t>Febuxostat</w:t>
      </w:r>
      <w:proofErr w:type="spellEnd"/>
      <w:r w:rsidRPr="004A478C">
        <w:rPr>
          <w:b/>
          <w:lang w:val="lt-LT"/>
        </w:rPr>
        <w:t xml:space="preserve"> </w:t>
      </w:r>
      <w:proofErr w:type="spellStart"/>
      <w:r w:rsidR="00911F26" w:rsidRPr="004A478C">
        <w:rPr>
          <w:b/>
          <w:lang w:val="lt-LT"/>
        </w:rPr>
        <w:t>Zentiva</w:t>
      </w:r>
      <w:proofErr w:type="spellEnd"/>
      <w:r w:rsidR="00911F26" w:rsidRPr="004A478C">
        <w:rPr>
          <w:b/>
          <w:lang w:val="lt-LT"/>
        </w:rPr>
        <w:t xml:space="preserve"> </w:t>
      </w:r>
      <w:r w:rsidR="00273470" w:rsidRPr="004A478C">
        <w:rPr>
          <w:b/>
          <w:lang w:val="lt-LT"/>
        </w:rPr>
        <w:t xml:space="preserve">vartoti </w:t>
      </w:r>
      <w:r w:rsidR="00D1633A">
        <w:rPr>
          <w:b/>
          <w:szCs w:val="22"/>
          <w:lang w:val="lt-LT"/>
        </w:rPr>
        <w:t>draudžiama</w:t>
      </w:r>
      <w:r w:rsidR="00273470" w:rsidRPr="004A478C">
        <w:rPr>
          <w:b/>
          <w:lang w:val="lt-LT"/>
        </w:rPr>
        <w:t xml:space="preserve">: </w:t>
      </w:r>
    </w:p>
    <w:p w14:paraId="318D7037" w14:textId="2AFAEBE8" w:rsidR="00273470" w:rsidRPr="004A478C" w:rsidRDefault="00273470" w:rsidP="004A478C">
      <w:pPr>
        <w:pStyle w:val="Sraopastraipa"/>
        <w:numPr>
          <w:ilvl w:val="0"/>
          <w:numId w:val="19"/>
        </w:numPr>
        <w:tabs>
          <w:tab w:val="left" w:pos="4680"/>
        </w:tabs>
        <w:spacing w:line="240" w:lineRule="auto"/>
        <w:ind w:left="567" w:right="397" w:hanging="567"/>
        <w:rPr>
          <w:lang w:val="lt-LT"/>
        </w:rPr>
      </w:pPr>
      <w:r w:rsidRPr="004A478C">
        <w:rPr>
          <w:lang w:val="lt-LT"/>
        </w:rPr>
        <w:t xml:space="preserve">jeigu yra alergija </w:t>
      </w:r>
      <w:proofErr w:type="spellStart"/>
      <w:r w:rsidRPr="004A478C">
        <w:rPr>
          <w:lang w:val="lt-LT"/>
        </w:rPr>
        <w:t>febuksostatui</w:t>
      </w:r>
      <w:proofErr w:type="spellEnd"/>
      <w:r w:rsidRPr="004A478C">
        <w:rPr>
          <w:lang w:val="lt-LT"/>
        </w:rPr>
        <w:t xml:space="preserve"> arba bet kuriai pagalbinei šių tablečių medžiaga (jos išvardytos 6 skyriuje).  </w:t>
      </w:r>
    </w:p>
    <w:p w14:paraId="1A16B098" w14:textId="77777777" w:rsidR="00273470" w:rsidRPr="004A478C" w:rsidRDefault="00273470" w:rsidP="003B28E4">
      <w:pPr>
        <w:tabs>
          <w:tab w:val="left" w:pos="4680"/>
        </w:tabs>
        <w:spacing w:line="240" w:lineRule="auto"/>
        <w:rPr>
          <w:lang w:val="lt-LT"/>
        </w:rPr>
      </w:pPr>
      <w:r w:rsidRPr="004A478C">
        <w:rPr>
          <w:b/>
          <w:lang w:val="lt-LT"/>
        </w:rPr>
        <w:t xml:space="preserve"> </w:t>
      </w:r>
    </w:p>
    <w:p w14:paraId="73817D0D" w14:textId="77777777" w:rsidR="00273470" w:rsidRPr="004A478C" w:rsidRDefault="00273470" w:rsidP="003B28E4">
      <w:pPr>
        <w:tabs>
          <w:tab w:val="left" w:pos="4680"/>
        </w:tabs>
        <w:spacing w:line="240" w:lineRule="auto"/>
        <w:rPr>
          <w:lang w:val="lt-LT"/>
        </w:rPr>
      </w:pPr>
      <w:r w:rsidRPr="004A478C">
        <w:rPr>
          <w:b/>
          <w:lang w:val="lt-LT"/>
        </w:rPr>
        <w:t xml:space="preserve"> </w:t>
      </w:r>
    </w:p>
    <w:p w14:paraId="49A740A7" w14:textId="5B82376A" w:rsidR="00273470" w:rsidRPr="004A478C" w:rsidRDefault="00273470" w:rsidP="004A478C">
      <w:pPr>
        <w:pStyle w:val="Antrat2"/>
        <w:tabs>
          <w:tab w:val="left" w:pos="4680"/>
        </w:tabs>
        <w:spacing w:before="0" w:after="0" w:line="240" w:lineRule="auto"/>
        <w:ind w:left="-5" w:right="77"/>
        <w:rPr>
          <w:rFonts w:ascii="Times New Roman" w:hAnsi="Times New Roman"/>
          <w:i w:val="0"/>
          <w:sz w:val="22"/>
          <w:lang w:val="lt-LT"/>
        </w:rPr>
      </w:pPr>
      <w:r w:rsidRPr="004A478C">
        <w:rPr>
          <w:rFonts w:ascii="Times New Roman" w:hAnsi="Times New Roman"/>
          <w:i w:val="0"/>
          <w:sz w:val="22"/>
          <w:lang w:val="lt-LT"/>
        </w:rPr>
        <w:lastRenderedPageBreak/>
        <w:t xml:space="preserve">Įspėjimai ir atsargumo priemonės </w:t>
      </w:r>
    </w:p>
    <w:p w14:paraId="23D102A1" w14:textId="47AFD1A2" w:rsidR="00273470" w:rsidRPr="004A478C" w:rsidRDefault="00273470" w:rsidP="004A478C">
      <w:pPr>
        <w:tabs>
          <w:tab w:val="left" w:pos="4680"/>
        </w:tabs>
        <w:spacing w:line="240" w:lineRule="auto"/>
        <w:rPr>
          <w:lang w:val="lt-LT"/>
        </w:rPr>
      </w:pPr>
      <w:r w:rsidRPr="004A478C">
        <w:rPr>
          <w:lang w:val="lt-LT"/>
        </w:rPr>
        <w:t xml:space="preserve">Pasitarkite su gydytoju, prieš pradėdami vartoti </w:t>
      </w:r>
      <w:proofErr w:type="spellStart"/>
      <w:r w:rsidR="001A5C63" w:rsidRPr="004A478C">
        <w:rPr>
          <w:lang w:val="lt-LT"/>
        </w:rPr>
        <w:t>Febuxostat</w:t>
      </w:r>
      <w:proofErr w:type="spellEnd"/>
      <w:r w:rsidR="001A5C63" w:rsidRPr="004A478C">
        <w:rPr>
          <w:lang w:val="lt-LT"/>
        </w:rPr>
        <w:t xml:space="preserve"> </w:t>
      </w:r>
      <w:proofErr w:type="spellStart"/>
      <w:r w:rsidR="00911F26" w:rsidRPr="004A478C">
        <w:rPr>
          <w:lang w:val="lt-LT"/>
        </w:rPr>
        <w:t>Zentiva</w:t>
      </w:r>
      <w:proofErr w:type="spellEnd"/>
      <w:r w:rsidRPr="004A478C">
        <w:rPr>
          <w:lang w:val="lt-LT"/>
        </w:rPr>
        <w:t>:</w:t>
      </w:r>
    </w:p>
    <w:p w14:paraId="245E8F51" w14:textId="4CE34893" w:rsidR="00273470" w:rsidRPr="004A478C" w:rsidRDefault="00273470" w:rsidP="003B28E4">
      <w:pPr>
        <w:numPr>
          <w:ilvl w:val="0"/>
          <w:numId w:val="8"/>
        </w:numPr>
        <w:spacing w:line="240" w:lineRule="auto"/>
        <w:ind w:right="397" w:hanging="506"/>
        <w:rPr>
          <w:lang w:val="lt-LT"/>
        </w:rPr>
      </w:pPr>
      <w:r w:rsidRPr="004A478C">
        <w:rPr>
          <w:lang w:val="lt-LT"/>
        </w:rPr>
        <w:t>jeigu yra arba yra buvęs širdies nepakankamumas</w:t>
      </w:r>
      <w:r w:rsidR="00060829" w:rsidRPr="004A478C">
        <w:rPr>
          <w:lang w:val="lt-LT"/>
        </w:rPr>
        <w:t xml:space="preserve">, </w:t>
      </w:r>
      <w:r w:rsidRPr="004A478C">
        <w:rPr>
          <w:lang w:val="lt-LT"/>
        </w:rPr>
        <w:t xml:space="preserve">širdies </w:t>
      </w:r>
      <w:r w:rsidR="00060829" w:rsidRPr="004A478C">
        <w:rPr>
          <w:lang w:val="lt-LT"/>
        </w:rPr>
        <w:t>problemų arba insultas</w:t>
      </w:r>
      <w:r w:rsidRPr="004A478C">
        <w:rPr>
          <w:lang w:val="lt-LT"/>
        </w:rPr>
        <w:t xml:space="preserve">; </w:t>
      </w:r>
    </w:p>
    <w:p w14:paraId="5AACCC13" w14:textId="77777777" w:rsidR="00273470" w:rsidRPr="004A478C" w:rsidRDefault="00273470" w:rsidP="003B28E4">
      <w:pPr>
        <w:numPr>
          <w:ilvl w:val="0"/>
          <w:numId w:val="8"/>
        </w:numPr>
        <w:spacing w:line="240" w:lineRule="auto"/>
        <w:ind w:right="397" w:hanging="506"/>
        <w:rPr>
          <w:lang w:val="lt-LT"/>
        </w:rPr>
      </w:pPr>
      <w:r w:rsidRPr="004A478C">
        <w:rPr>
          <w:lang w:val="lt-LT"/>
        </w:rPr>
        <w:t xml:space="preserve">jeigu sergate arba sirgote inkstų liga ir (arba) buvo sunki alerginė reakcija vartojant </w:t>
      </w:r>
      <w:proofErr w:type="spellStart"/>
      <w:r w:rsidRPr="004A478C">
        <w:rPr>
          <w:lang w:val="lt-LT"/>
        </w:rPr>
        <w:t>alopurinolį</w:t>
      </w:r>
      <w:proofErr w:type="spellEnd"/>
      <w:r w:rsidRPr="004A478C">
        <w:rPr>
          <w:lang w:val="lt-LT"/>
        </w:rPr>
        <w:t xml:space="preserve"> (vaistą podagros gydymui); </w:t>
      </w:r>
    </w:p>
    <w:p w14:paraId="321DD0D7" w14:textId="77777777" w:rsidR="00273470" w:rsidRPr="004A478C" w:rsidRDefault="00273470" w:rsidP="003B28E4">
      <w:pPr>
        <w:numPr>
          <w:ilvl w:val="0"/>
          <w:numId w:val="8"/>
        </w:numPr>
        <w:spacing w:line="240" w:lineRule="auto"/>
        <w:ind w:right="397" w:hanging="506"/>
        <w:rPr>
          <w:lang w:val="lt-LT"/>
        </w:rPr>
      </w:pPr>
      <w:r w:rsidRPr="004A478C">
        <w:rPr>
          <w:lang w:val="lt-LT"/>
        </w:rPr>
        <w:t xml:space="preserve">jeigu sergate arba sirgote kepenų liga arba buvo nenormalūs kepenų funkcijos tyrimų rezultatai; </w:t>
      </w:r>
    </w:p>
    <w:p w14:paraId="3CE19D13" w14:textId="77777777" w:rsidR="00FC3488" w:rsidRPr="004A478C" w:rsidRDefault="00273470" w:rsidP="003B28E4">
      <w:pPr>
        <w:numPr>
          <w:ilvl w:val="0"/>
          <w:numId w:val="8"/>
        </w:numPr>
        <w:spacing w:line="240" w:lineRule="auto"/>
        <w:ind w:right="397" w:hanging="506"/>
        <w:rPr>
          <w:lang w:val="lt-LT"/>
        </w:rPr>
      </w:pPr>
      <w:r w:rsidRPr="004A478C">
        <w:rPr>
          <w:lang w:val="lt-LT"/>
        </w:rPr>
        <w:t xml:space="preserve">jeigu Jums taikomas gydymas nuo padidėjusio šlapimo rūgšties kiekio, kurį sukėlė </w:t>
      </w:r>
      <w:proofErr w:type="spellStart"/>
      <w:r w:rsidRPr="004A478C">
        <w:rPr>
          <w:i/>
          <w:lang w:val="lt-LT"/>
        </w:rPr>
        <w:t>Lesch-Nyhan</w:t>
      </w:r>
      <w:proofErr w:type="spellEnd"/>
      <w:r w:rsidRPr="004A478C">
        <w:rPr>
          <w:lang w:val="lt-LT"/>
        </w:rPr>
        <w:t xml:space="preserve"> sindromas (reta paveldima būklė, kurios metu būna per daug šlapimo rūgšties kraujyje)</w:t>
      </w:r>
      <w:r w:rsidR="00FC3488" w:rsidRPr="004A478C">
        <w:rPr>
          <w:lang w:val="lt-LT"/>
        </w:rPr>
        <w:t>;</w:t>
      </w:r>
      <w:r w:rsidRPr="004A478C">
        <w:rPr>
          <w:lang w:val="lt-LT"/>
        </w:rPr>
        <w:t xml:space="preserve"> </w:t>
      </w:r>
    </w:p>
    <w:p w14:paraId="3653BAFE" w14:textId="77777777" w:rsidR="00273470" w:rsidRPr="004A478C" w:rsidRDefault="00273470" w:rsidP="003B28E4">
      <w:pPr>
        <w:numPr>
          <w:ilvl w:val="0"/>
          <w:numId w:val="8"/>
        </w:numPr>
        <w:spacing w:line="240" w:lineRule="auto"/>
        <w:ind w:right="397" w:hanging="506"/>
        <w:rPr>
          <w:lang w:val="lt-LT"/>
        </w:rPr>
      </w:pPr>
      <w:r w:rsidRPr="004A478C">
        <w:rPr>
          <w:lang w:val="lt-LT"/>
        </w:rPr>
        <w:t xml:space="preserve">jeigu yra skydliaukės problemų. </w:t>
      </w:r>
    </w:p>
    <w:p w14:paraId="45397AFD" w14:textId="77777777" w:rsidR="00273470" w:rsidRPr="004A478C" w:rsidRDefault="00273470" w:rsidP="003B28E4">
      <w:pPr>
        <w:spacing w:line="240" w:lineRule="auto"/>
        <w:rPr>
          <w:lang w:val="lt-LT"/>
        </w:rPr>
      </w:pPr>
      <w:r w:rsidRPr="004A478C">
        <w:rPr>
          <w:b/>
          <w:lang w:val="lt-LT"/>
        </w:rPr>
        <w:t xml:space="preserve"> </w:t>
      </w:r>
    </w:p>
    <w:p w14:paraId="49301826" w14:textId="3F0A1B8D" w:rsidR="00273470" w:rsidRPr="004A478C" w:rsidRDefault="00273470" w:rsidP="003B28E4">
      <w:pPr>
        <w:spacing w:line="240" w:lineRule="auto"/>
        <w:ind w:left="2" w:right="397"/>
        <w:rPr>
          <w:lang w:val="lt-LT"/>
        </w:rPr>
      </w:pPr>
      <w:r w:rsidRPr="004A478C">
        <w:rPr>
          <w:lang w:val="lt-LT"/>
        </w:rPr>
        <w:t xml:space="preserve">Jeigu Jums atsirastų alerginių reakcijų vartojant </w:t>
      </w:r>
      <w:proofErr w:type="spellStart"/>
      <w:r w:rsidR="001A5C63" w:rsidRPr="004A478C">
        <w:rPr>
          <w:lang w:val="lt-LT"/>
        </w:rPr>
        <w:t>Febuxostat</w:t>
      </w:r>
      <w:proofErr w:type="spellEnd"/>
      <w:r w:rsidR="001A5C63" w:rsidRPr="004A478C">
        <w:rPr>
          <w:lang w:val="lt-LT"/>
        </w:rPr>
        <w:t xml:space="preserve"> </w:t>
      </w:r>
      <w:proofErr w:type="spellStart"/>
      <w:r w:rsidR="00911F26" w:rsidRPr="004A478C">
        <w:rPr>
          <w:lang w:val="lt-LT"/>
        </w:rPr>
        <w:t>Zentiva</w:t>
      </w:r>
      <w:proofErr w:type="spellEnd"/>
      <w:r w:rsidRPr="004A478C">
        <w:rPr>
          <w:lang w:val="lt-LT"/>
        </w:rPr>
        <w:t xml:space="preserve">, nutraukite šio vaisto vartojimą (žr. 4 skyrių). Alerginių reakcijų požymiai gali būti: </w:t>
      </w:r>
    </w:p>
    <w:p w14:paraId="551B3448" w14:textId="77777777" w:rsidR="00273470" w:rsidRPr="004A478C" w:rsidRDefault="00273470" w:rsidP="003B28E4">
      <w:pPr>
        <w:numPr>
          <w:ilvl w:val="0"/>
          <w:numId w:val="9"/>
        </w:numPr>
        <w:spacing w:line="240" w:lineRule="auto"/>
        <w:ind w:right="397" w:hanging="530"/>
        <w:rPr>
          <w:lang w:val="lt-LT"/>
        </w:rPr>
      </w:pPr>
      <w:r w:rsidRPr="004A478C">
        <w:rPr>
          <w:lang w:val="lt-LT"/>
        </w:rPr>
        <w:t xml:space="preserve">išbėrimas, įskaitant sunkias jo formas (pvz., pūslės, mazgai, išbėrimas su atsisluoksniavimu), niežulys; </w:t>
      </w:r>
    </w:p>
    <w:p w14:paraId="0FB19D21" w14:textId="77777777" w:rsidR="00273470" w:rsidRPr="004A478C" w:rsidRDefault="00273470" w:rsidP="003B28E4">
      <w:pPr>
        <w:numPr>
          <w:ilvl w:val="0"/>
          <w:numId w:val="9"/>
        </w:numPr>
        <w:spacing w:line="240" w:lineRule="auto"/>
        <w:ind w:right="397" w:hanging="530"/>
        <w:rPr>
          <w:lang w:val="lt-LT"/>
        </w:rPr>
      </w:pPr>
      <w:r w:rsidRPr="004A478C">
        <w:rPr>
          <w:lang w:val="lt-LT"/>
        </w:rPr>
        <w:t xml:space="preserve">galūnių arba veido patinimas; </w:t>
      </w:r>
    </w:p>
    <w:p w14:paraId="2BE5AED7" w14:textId="77777777" w:rsidR="00273470" w:rsidRPr="004A478C" w:rsidRDefault="00273470" w:rsidP="003B28E4">
      <w:pPr>
        <w:numPr>
          <w:ilvl w:val="0"/>
          <w:numId w:val="9"/>
        </w:numPr>
        <w:spacing w:line="240" w:lineRule="auto"/>
        <w:ind w:right="397" w:hanging="530"/>
        <w:rPr>
          <w:lang w:val="lt-LT"/>
        </w:rPr>
      </w:pPr>
      <w:r w:rsidRPr="004A478C">
        <w:rPr>
          <w:lang w:val="lt-LT"/>
        </w:rPr>
        <w:t xml:space="preserve">pasunkėjęs kvėpavimas; </w:t>
      </w:r>
    </w:p>
    <w:p w14:paraId="25713C42" w14:textId="77777777" w:rsidR="00273470" w:rsidRPr="004A478C" w:rsidRDefault="00273470" w:rsidP="003B28E4">
      <w:pPr>
        <w:numPr>
          <w:ilvl w:val="0"/>
          <w:numId w:val="9"/>
        </w:numPr>
        <w:spacing w:line="240" w:lineRule="auto"/>
        <w:ind w:right="397" w:hanging="530"/>
        <w:rPr>
          <w:lang w:val="lt-LT"/>
        </w:rPr>
      </w:pPr>
      <w:r w:rsidRPr="004A478C">
        <w:rPr>
          <w:lang w:val="lt-LT"/>
        </w:rPr>
        <w:t xml:space="preserve">karščiavimas su padidėjusiais limfmazgiais; </w:t>
      </w:r>
    </w:p>
    <w:p w14:paraId="042174C4" w14:textId="77777777" w:rsidR="00273470" w:rsidRPr="004A478C" w:rsidRDefault="00FC3488" w:rsidP="003B28E4">
      <w:pPr>
        <w:numPr>
          <w:ilvl w:val="0"/>
          <w:numId w:val="9"/>
        </w:numPr>
        <w:spacing w:line="240" w:lineRule="auto"/>
        <w:ind w:right="397" w:hanging="530"/>
        <w:rPr>
          <w:lang w:val="lt-LT"/>
        </w:rPr>
      </w:pPr>
      <w:r w:rsidRPr="004A478C">
        <w:rPr>
          <w:lang w:val="lt-LT"/>
        </w:rPr>
        <w:t xml:space="preserve">sunkios, </w:t>
      </w:r>
      <w:r w:rsidR="00273470" w:rsidRPr="004A478C">
        <w:rPr>
          <w:lang w:val="lt-LT"/>
        </w:rPr>
        <w:t xml:space="preserve">gyvybei pavojingos alerginės reakcijos su kvėpavimo ir širdies sustojimu. </w:t>
      </w:r>
    </w:p>
    <w:p w14:paraId="12892CF1" w14:textId="77777777" w:rsidR="00273470" w:rsidRPr="004A478C" w:rsidRDefault="00273470" w:rsidP="003B28E4">
      <w:pPr>
        <w:tabs>
          <w:tab w:val="left" w:pos="4680"/>
        </w:tabs>
        <w:spacing w:line="240" w:lineRule="auto"/>
        <w:rPr>
          <w:lang w:val="lt-LT"/>
        </w:rPr>
      </w:pPr>
    </w:p>
    <w:p w14:paraId="338DD3B2" w14:textId="1DC67F9F" w:rsidR="00273470" w:rsidRPr="004A478C" w:rsidRDefault="00273470" w:rsidP="003B28E4">
      <w:pPr>
        <w:tabs>
          <w:tab w:val="left" w:pos="4680"/>
        </w:tabs>
        <w:spacing w:line="240" w:lineRule="auto"/>
        <w:ind w:left="-5" w:right="77"/>
        <w:rPr>
          <w:lang w:val="lt-LT"/>
        </w:rPr>
      </w:pPr>
      <w:r w:rsidRPr="004A478C">
        <w:rPr>
          <w:lang w:val="lt-LT"/>
        </w:rPr>
        <w:t xml:space="preserve">Jūsų gydytojas gali nurodyti visam laikui nutraukti </w:t>
      </w:r>
      <w:proofErr w:type="spellStart"/>
      <w:r w:rsidR="001A5C63" w:rsidRPr="004A478C">
        <w:rPr>
          <w:lang w:val="lt-LT"/>
        </w:rPr>
        <w:t>Febuxostat</w:t>
      </w:r>
      <w:proofErr w:type="spellEnd"/>
      <w:r w:rsidR="001A5C63" w:rsidRPr="004A478C">
        <w:rPr>
          <w:lang w:val="lt-LT"/>
        </w:rPr>
        <w:t xml:space="preserve"> </w:t>
      </w:r>
      <w:proofErr w:type="spellStart"/>
      <w:r w:rsidR="00911F26" w:rsidRPr="004A478C">
        <w:rPr>
          <w:lang w:val="lt-LT"/>
        </w:rPr>
        <w:t>Zentiva</w:t>
      </w:r>
      <w:proofErr w:type="spellEnd"/>
      <w:r w:rsidR="00911F26" w:rsidRPr="004A478C">
        <w:rPr>
          <w:lang w:val="lt-LT"/>
        </w:rPr>
        <w:t xml:space="preserve"> </w:t>
      </w:r>
      <w:r w:rsidRPr="004A478C">
        <w:rPr>
          <w:lang w:val="lt-LT"/>
        </w:rPr>
        <w:t xml:space="preserve">vartojimą. </w:t>
      </w:r>
    </w:p>
    <w:p w14:paraId="62FF2BB4" w14:textId="77777777" w:rsidR="00273470" w:rsidRPr="004A478C" w:rsidRDefault="00273470" w:rsidP="003B28E4">
      <w:pPr>
        <w:tabs>
          <w:tab w:val="left" w:pos="4680"/>
        </w:tabs>
        <w:spacing w:line="240" w:lineRule="auto"/>
        <w:rPr>
          <w:lang w:val="lt-LT"/>
        </w:rPr>
      </w:pPr>
      <w:r w:rsidRPr="004A478C">
        <w:rPr>
          <w:lang w:val="lt-LT"/>
        </w:rPr>
        <w:t xml:space="preserve"> </w:t>
      </w:r>
    </w:p>
    <w:p w14:paraId="723C82A3" w14:textId="079257E3" w:rsidR="00273470" w:rsidRPr="004A478C" w:rsidRDefault="00273470" w:rsidP="003B28E4">
      <w:pPr>
        <w:tabs>
          <w:tab w:val="left" w:pos="4680"/>
        </w:tabs>
        <w:spacing w:line="240" w:lineRule="auto"/>
        <w:ind w:left="2" w:right="397"/>
        <w:rPr>
          <w:lang w:val="lt-LT"/>
        </w:rPr>
      </w:pPr>
      <w:r w:rsidRPr="004A478C">
        <w:rPr>
          <w:lang w:val="lt-LT"/>
        </w:rPr>
        <w:t xml:space="preserve">Pasitaikė retų pranešimų, kad vartojant </w:t>
      </w:r>
      <w:proofErr w:type="spellStart"/>
      <w:r w:rsidR="00060829" w:rsidRPr="004A478C">
        <w:rPr>
          <w:lang w:val="lt-LT"/>
        </w:rPr>
        <w:t>febuksostato</w:t>
      </w:r>
      <w:proofErr w:type="spellEnd"/>
      <w:r w:rsidR="00911F26" w:rsidRPr="004A478C">
        <w:rPr>
          <w:lang w:val="lt-LT"/>
        </w:rPr>
        <w:t xml:space="preserve"> </w:t>
      </w:r>
      <w:r w:rsidRPr="004A478C">
        <w:rPr>
          <w:lang w:val="lt-LT"/>
        </w:rPr>
        <w:t>buvo gyvybei pavojingų odos išbėrimų (</w:t>
      </w:r>
      <w:proofErr w:type="spellStart"/>
      <w:r w:rsidRPr="004A478C">
        <w:rPr>
          <w:lang w:val="lt-LT"/>
        </w:rPr>
        <w:t>Stivenso</w:t>
      </w:r>
      <w:proofErr w:type="spellEnd"/>
      <w:r w:rsidR="00FC3488" w:rsidRPr="004A478C">
        <w:rPr>
          <w:lang w:val="lt-LT"/>
        </w:rPr>
        <w:t xml:space="preserve"> </w:t>
      </w:r>
      <w:r w:rsidRPr="004A478C">
        <w:rPr>
          <w:lang w:val="lt-LT"/>
        </w:rPr>
        <w:t xml:space="preserve">Džonsono </w:t>
      </w:r>
      <w:r w:rsidR="00FC3488" w:rsidRPr="004B0C8F">
        <w:rPr>
          <w:szCs w:val="22"/>
          <w:lang w:val="lt-LT"/>
        </w:rPr>
        <w:t>(</w:t>
      </w:r>
      <w:proofErr w:type="spellStart"/>
      <w:r w:rsidR="00FC3488" w:rsidRPr="004B0C8F">
        <w:rPr>
          <w:i/>
          <w:szCs w:val="22"/>
          <w:lang w:val="lt-LT"/>
        </w:rPr>
        <w:t>Stevens-Johnson</w:t>
      </w:r>
      <w:proofErr w:type="spellEnd"/>
      <w:r w:rsidR="00FC3488" w:rsidRPr="004B0C8F">
        <w:rPr>
          <w:szCs w:val="22"/>
          <w:lang w:val="lt-LT"/>
        </w:rPr>
        <w:t xml:space="preserve">) </w:t>
      </w:r>
      <w:r w:rsidRPr="004A478C">
        <w:rPr>
          <w:lang w:val="lt-LT"/>
        </w:rPr>
        <w:t xml:space="preserve">sindromas), kurie iš pradžių atrodė kaip ant liemens susidarančios rausvos odos dėmės arba apskriti lopai </w:t>
      </w:r>
      <w:r w:rsidR="00BE65F3" w:rsidRPr="004A478C">
        <w:rPr>
          <w:lang w:val="lt-LT"/>
        </w:rPr>
        <w:t xml:space="preserve">dažnai </w:t>
      </w:r>
      <w:r w:rsidRPr="004A478C">
        <w:rPr>
          <w:lang w:val="lt-LT"/>
        </w:rPr>
        <w:t xml:space="preserve">su pūslele viduryje. Taip pat gali būti opelės burnoje, ryklėje, nosyje, ant lyties organų ir akių junginėje (raudonos ir pabrinkusios akys). Bėrimas gali plisti susidarant pūslėms arba odos lupimuisi. </w:t>
      </w:r>
    </w:p>
    <w:p w14:paraId="166C96C9" w14:textId="5853078A" w:rsidR="00273470" w:rsidRPr="004A478C" w:rsidRDefault="00273470" w:rsidP="003B28E4">
      <w:pPr>
        <w:tabs>
          <w:tab w:val="left" w:pos="4680"/>
        </w:tabs>
        <w:spacing w:line="240" w:lineRule="auto"/>
        <w:ind w:left="2" w:right="397"/>
        <w:rPr>
          <w:lang w:val="lt-LT"/>
        </w:rPr>
      </w:pPr>
      <w:r w:rsidRPr="004A478C">
        <w:rPr>
          <w:lang w:val="lt-LT"/>
        </w:rPr>
        <w:t xml:space="preserve">Jeigu Jums atsirado </w:t>
      </w:r>
      <w:proofErr w:type="spellStart"/>
      <w:r w:rsidRPr="004A478C">
        <w:rPr>
          <w:lang w:val="lt-LT"/>
        </w:rPr>
        <w:t>Stivenso</w:t>
      </w:r>
      <w:proofErr w:type="spellEnd"/>
      <w:r w:rsidRPr="004A478C">
        <w:rPr>
          <w:lang w:val="lt-LT"/>
        </w:rPr>
        <w:t xml:space="preserve">-Džonsono sindromas vartojant </w:t>
      </w:r>
      <w:proofErr w:type="spellStart"/>
      <w:r w:rsidRPr="004A478C">
        <w:rPr>
          <w:lang w:val="lt-LT"/>
        </w:rPr>
        <w:t>febuksostatą</w:t>
      </w:r>
      <w:proofErr w:type="spellEnd"/>
      <w:r w:rsidRPr="004A478C">
        <w:rPr>
          <w:lang w:val="lt-LT"/>
        </w:rPr>
        <w:t xml:space="preserve">, niekada daugiau </w:t>
      </w:r>
      <w:proofErr w:type="spellStart"/>
      <w:r w:rsidR="001A5C63" w:rsidRPr="004A478C">
        <w:rPr>
          <w:lang w:val="lt-LT"/>
        </w:rPr>
        <w:t>Febuxostat</w:t>
      </w:r>
      <w:proofErr w:type="spellEnd"/>
      <w:r w:rsidR="001A5C63" w:rsidRPr="004A478C">
        <w:rPr>
          <w:lang w:val="lt-LT"/>
        </w:rPr>
        <w:t xml:space="preserve"> </w:t>
      </w:r>
      <w:proofErr w:type="spellStart"/>
      <w:r w:rsidR="00911F26" w:rsidRPr="004A478C">
        <w:rPr>
          <w:lang w:val="lt-LT"/>
        </w:rPr>
        <w:t>Zentiva</w:t>
      </w:r>
      <w:proofErr w:type="spellEnd"/>
      <w:r w:rsidR="00911F26" w:rsidRPr="004A478C">
        <w:rPr>
          <w:lang w:val="lt-LT"/>
        </w:rPr>
        <w:t xml:space="preserve"> </w:t>
      </w:r>
      <w:r w:rsidRPr="004A478C">
        <w:rPr>
          <w:lang w:val="lt-LT"/>
        </w:rPr>
        <w:t xml:space="preserve">nevartokite. Jeigu atsirado išbėrimas ar išvardyti odos pakitimai, nedelsiant kreipkitės į gydytoją ir pasakykite jam, kad vartojate šį vaistą. </w:t>
      </w:r>
    </w:p>
    <w:p w14:paraId="5EE16254" w14:textId="77777777" w:rsidR="00273470" w:rsidRPr="004A478C" w:rsidRDefault="00273470" w:rsidP="003B28E4">
      <w:pPr>
        <w:tabs>
          <w:tab w:val="left" w:pos="4680"/>
        </w:tabs>
        <w:spacing w:line="240" w:lineRule="auto"/>
        <w:rPr>
          <w:lang w:val="lt-LT"/>
        </w:rPr>
      </w:pPr>
      <w:r w:rsidRPr="004A478C">
        <w:rPr>
          <w:lang w:val="lt-LT"/>
        </w:rPr>
        <w:t xml:space="preserve"> </w:t>
      </w:r>
    </w:p>
    <w:p w14:paraId="07860B08" w14:textId="045510F4" w:rsidR="00273470" w:rsidRPr="004A478C" w:rsidRDefault="00273470" w:rsidP="003B28E4">
      <w:pPr>
        <w:tabs>
          <w:tab w:val="left" w:pos="4680"/>
        </w:tabs>
        <w:spacing w:line="240" w:lineRule="auto"/>
        <w:ind w:left="2" w:right="397"/>
        <w:rPr>
          <w:lang w:val="lt-LT"/>
        </w:rPr>
      </w:pPr>
      <w:r w:rsidRPr="004A478C">
        <w:rPr>
          <w:lang w:val="lt-LT"/>
        </w:rPr>
        <w:t xml:space="preserve">Jeigu Jus ištiko podagros priepuolis (ūmus, stiprus skausmas, sąnarys paraudęs, įkaitęs ir ištinęs), prieš pradėdami gydytis </w:t>
      </w:r>
      <w:proofErr w:type="spellStart"/>
      <w:r w:rsidR="001A5C63" w:rsidRPr="004A478C">
        <w:rPr>
          <w:lang w:val="lt-LT"/>
        </w:rPr>
        <w:t>Febuxostat</w:t>
      </w:r>
      <w:proofErr w:type="spellEnd"/>
      <w:r w:rsidR="001A5C63" w:rsidRPr="004A478C">
        <w:rPr>
          <w:lang w:val="lt-LT"/>
        </w:rPr>
        <w:t xml:space="preserve"> </w:t>
      </w:r>
      <w:proofErr w:type="spellStart"/>
      <w:r w:rsidR="00911F26" w:rsidRPr="004A478C">
        <w:rPr>
          <w:lang w:val="lt-LT"/>
        </w:rPr>
        <w:t>Zentiva</w:t>
      </w:r>
      <w:proofErr w:type="spellEnd"/>
      <w:r w:rsidRPr="004A478C">
        <w:rPr>
          <w:lang w:val="lt-LT"/>
        </w:rPr>
        <w:t xml:space="preserve">, palaukite, kol priepuolis liausis. </w:t>
      </w:r>
    </w:p>
    <w:p w14:paraId="3C61F591" w14:textId="77777777" w:rsidR="00273470" w:rsidRPr="004A478C" w:rsidRDefault="00273470" w:rsidP="003B28E4">
      <w:pPr>
        <w:tabs>
          <w:tab w:val="left" w:pos="4680"/>
        </w:tabs>
        <w:spacing w:line="240" w:lineRule="auto"/>
        <w:rPr>
          <w:lang w:val="lt-LT"/>
        </w:rPr>
      </w:pPr>
      <w:r w:rsidRPr="004A478C">
        <w:rPr>
          <w:lang w:val="lt-LT"/>
        </w:rPr>
        <w:t xml:space="preserve"> </w:t>
      </w:r>
    </w:p>
    <w:p w14:paraId="15169658" w14:textId="6BEAA61C" w:rsidR="00273470" w:rsidRPr="004A478C" w:rsidRDefault="00273470" w:rsidP="003B28E4">
      <w:pPr>
        <w:tabs>
          <w:tab w:val="left" w:pos="4680"/>
        </w:tabs>
        <w:spacing w:line="240" w:lineRule="auto"/>
        <w:ind w:left="2" w:right="397"/>
        <w:rPr>
          <w:lang w:val="lt-LT"/>
        </w:rPr>
      </w:pPr>
      <w:r w:rsidRPr="004A478C">
        <w:rPr>
          <w:lang w:val="lt-LT"/>
        </w:rPr>
        <w:t xml:space="preserve">Kai kuriems žmonėms podagros priepuoliai paūmėja pradėjus vartoti vaistus, kontroliuojančius šlapimo rūgšties kiekį. Priepuoliai ištinka ne visus, tačiau priepuolių galite patirti net ir gydymosi </w:t>
      </w:r>
      <w:proofErr w:type="spellStart"/>
      <w:r w:rsidR="001A5C63" w:rsidRPr="004A478C">
        <w:rPr>
          <w:lang w:val="lt-LT"/>
        </w:rPr>
        <w:t>Febuxostat</w:t>
      </w:r>
      <w:proofErr w:type="spellEnd"/>
      <w:r w:rsidR="001A5C63" w:rsidRPr="004A478C">
        <w:rPr>
          <w:lang w:val="lt-LT"/>
        </w:rPr>
        <w:t xml:space="preserve"> </w:t>
      </w:r>
      <w:proofErr w:type="spellStart"/>
      <w:r w:rsidR="00911F26" w:rsidRPr="004A478C">
        <w:rPr>
          <w:lang w:val="lt-LT"/>
        </w:rPr>
        <w:t>Zentiva</w:t>
      </w:r>
      <w:proofErr w:type="spellEnd"/>
      <w:r w:rsidR="00911F26" w:rsidRPr="004A478C">
        <w:rPr>
          <w:lang w:val="lt-LT"/>
        </w:rPr>
        <w:t xml:space="preserve"> </w:t>
      </w:r>
      <w:r w:rsidRPr="004A478C">
        <w:rPr>
          <w:lang w:val="lt-LT"/>
        </w:rPr>
        <w:t xml:space="preserve">metu, ypač pirmosiomis gydymo savaitėmis arba mėnesiais. Labai svarbu toliau vartoti </w:t>
      </w:r>
      <w:proofErr w:type="spellStart"/>
      <w:r w:rsidR="001A5C63" w:rsidRPr="004A478C">
        <w:rPr>
          <w:lang w:val="lt-LT"/>
        </w:rPr>
        <w:t>Febuxostat</w:t>
      </w:r>
      <w:proofErr w:type="spellEnd"/>
      <w:r w:rsidR="001A5C63" w:rsidRPr="004A478C">
        <w:rPr>
          <w:lang w:val="lt-LT"/>
        </w:rPr>
        <w:t xml:space="preserve"> </w:t>
      </w:r>
      <w:proofErr w:type="spellStart"/>
      <w:r w:rsidR="00911F26" w:rsidRPr="004A478C">
        <w:rPr>
          <w:lang w:val="lt-LT"/>
        </w:rPr>
        <w:t>Zentiva</w:t>
      </w:r>
      <w:proofErr w:type="spellEnd"/>
      <w:r w:rsidRPr="004A478C">
        <w:rPr>
          <w:lang w:val="lt-LT"/>
        </w:rPr>
        <w:t xml:space="preserve">, net jeigu ir patiriate priepuolį, nes </w:t>
      </w:r>
      <w:proofErr w:type="spellStart"/>
      <w:r w:rsidR="001A5C63" w:rsidRPr="004A478C">
        <w:rPr>
          <w:lang w:val="lt-LT"/>
        </w:rPr>
        <w:t>Febuxostat</w:t>
      </w:r>
      <w:proofErr w:type="spellEnd"/>
      <w:r w:rsidR="001A5C63" w:rsidRPr="004A478C">
        <w:rPr>
          <w:lang w:val="lt-LT"/>
        </w:rPr>
        <w:t xml:space="preserve"> </w:t>
      </w:r>
      <w:proofErr w:type="spellStart"/>
      <w:r w:rsidR="00911F26" w:rsidRPr="004A478C">
        <w:rPr>
          <w:lang w:val="lt-LT"/>
        </w:rPr>
        <w:t>Zentiva</w:t>
      </w:r>
      <w:proofErr w:type="spellEnd"/>
      <w:r w:rsidR="00911F26" w:rsidRPr="004A478C">
        <w:rPr>
          <w:lang w:val="lt-LT"/>
        </w:rPr>
        <w:t xml:space="preserve"> </w:t>
      </w:r>
      <w:r w:rsidRPr="004A478C">
        <w:rPr>
          <w:lang w:val="lt-LT"/>
        </w:rPr>
        <w:t xml:space="preserve">toliau mažina šlapimo rūgšties kiekį. Jeigu vartosite </w:t>
      </w:r>
      <w:proofErr w:type="spellStart"/>
      <w:r w:rsidR="001A5C63" w:rsidRPr="004A478C">
        <w:rPr>
          <w:lang w:val="lt-LT"/>
        </w:rPr>
        <w:t>Febuxostat</w:t>
      </w:r>
      <w:proofErr w:type="spellEnd"/>
      <w:r w:rsidR="001A5C63" w:rsidRPr="004A478C">
        <w:rPr>
          <w:lang w:val="lt-LT"/>
        </w:rPr>
        <w:t xml:space="preserve"> </w:t>
      </w:r>
      <w:proofErr w:type="spellStart"/>
      <w:r w:rsidR="00911F26" w:rsidRPr="004A478C">
        <w:rPr>
          <w:lang w:val="lt-LT"/>
        </w:rPr>
        <w:t>Zentiva</w:t>
      </w:r>
      <w:proofErr w:type="spellEnd"/>
      <w:r w:rsidR="00911F26" w:rsidRPr="004A478C">
        <w:rPr>
          <w:lang w:val="lt-LT"/>
        </w:rPr>
        <w:t xml:space="preserve"> </w:t>
      </w:r>
      <w:r w:rsidRPr="004A478C">
        <w:rPr>
          <w:lang w:val="lt-LT"/>
        </w:rPr>
        <w:t xml:space="preserve">kasdien, ilgainiui podagros priepuoliai retės ir taps mažiau skausmingi. </w:t>
      </w:r>
    </w:p>
    <w:p w14:paraId="1E925934" w14:textId="77777777" w:rsidR="00273470" w:rsidRPr="004A478C" w:rsidRDefault="00273470" w:rsidP="003B28E4">
      <w:pPr>
        <w:tabs>
          <w:tab w:val="left" w:pos="4680"/>
        </w:tabs>
        <w:spacing w:line="240" w:lineRule="auto"/>
        <w:rPr>
          <w:lang w:val="lt-LT"/>
        </w:rPr>
      </w:pPr>
      <w:r w:rsidRPr="004A478C">
        <w:rPr>
          <w:lang w:val="lt-LT"/>
        </w:rPr>
        <w:t xml:space="preserve"> </w:t>
      </w:r>
    </w:p>
    <w:p w14:paraId="6F74F24F" w14:textId="77777777" w:rsidR="00273470" w:rsidRPr="004A478C" w:rsidRDefault="00273470" w:rsidP="003B28E4">
      <w:pPr>
        <w:tabs>
          <w:tab w:val="left" w:pos="4680"/>
        </w:tabs>
        <w:spacing w:line="240" w:lineRule="auto"/>
        <w:ind w:left="2" w:right="397"/>
        <w:rPr>
          <w:lang w:val="lt-LT"/>
        </w:rPr>
      </w:pPr>
      <w:r w:rsidRPr="004A478C">
        <w:rPr>
          <w:lang w:val="lt-LT"/>
        </w:rPr>
        <w:t xml:space="preserve">Prireikus, gydytojas dažnai skirs kitų vaistų, padėsiančių palengvinti priepuolių simptomus (sąnario skausmą ir patinimą). </w:t>
      </w:r>
    </w:p>
    <w:p w14:paraId="7480B968" w14:textId="77777777" w:rsidR="00273470" w:rsidRPr="004A478C" w:rsidRDefault="00273470" w:rsidP="003B28E4">
      <w:pPr>
        <w:tabs>
          <w:tab w:val="left" w:pos="4680"/>
        </w:tabs>
        <w:spacing w:line="240" w:lineRule="auto"/>
        <w:rPr>
          <w:lang w:val="lt-LT"/>
        </w:rPr>
      </w:pPr>
      <w:r w:rsidRPr="004A478C">
        <w:rPr>
          <w:lang w:val="lt-LT"/>
        </w:rPr>
        <w:t xml:space="preserve"> </w:t>
      </w:r>
    </w:p>
    <w:p w14:paraId="0955BC9A" w14:textId="4B9CE225" w:rsidR="00273470" w:rsidRPr="004A478C" w:rsidRDefault="00273470" w:rsidP="003B28E4">
      <w:pPr>
        <w:tabs>
          <w:tab w:val="left" w:pos="4680"/>
        </w:tabs>
        <w:spacing w:line="240" w:lineRule="auto"/>
        <w:ind w:left="2" w:right="397"/>
        <w:rPr>
          <w:lang w:val="lt-LT"/>
        </w:rPr>
      </w:pPr>
      <w:r w:rsidRPr="004A478C">
        <w:rPr>
          <w:lang w:val="lt-LT"/>
        </w:rPr>
        <w:t xml:space="preserve">Pacientams, kurių uratų koncentracija yra labai didelė (pvz., </w:t>
      </w:r>
      <w:r w:rsidR="00BE65F3" w:rsidRPr="004A478C">
        <w:rPr>
          <w:lang w:val="lt-LT"/>
        </w:rPr>
        <w:t xml:space="preserve">pacientams </w:t>
      </w:r>
      <w:r w:rsidRPr="004A478C">
        <w:rPr>
          <w:lang w:val="lt-LT"/>
        </w:rPr>
        <w:t xml:space="preserve">gydomiems </w:t>
      </w:r>
      <w:r w:rsidR="00BE65F3" w:rsidRPr="004A478C">
        <w:rPr>
          <w:lang w:val="lt-LT"/>
        </w:rPr>
        <w:t>chemoterapija nuo vėžio</w:t>
      </w:r>
      <w:r w:rsidRPr="004A478C">
        <w:rPr>
          <w:lang w:val="lt-LT"/>
        </w:rPr>
        <w:t xml:space="preserve">), dėl gydymo šlapimo rūgšties koncentraciją mažinančiais vaistais, šlapimo takuose gali susidaryti </w:t>
      </w:r>
      <w:proofErr w:type="spellStart"/>
      <w:r w:rsidRPr="004A478C">
        <w:rPr>
          <w:lang w:val="lt-LT"/>
        </w:rPr>
        <w:t>ksantino</w:t>
      </w:r>
      <w:proofErr w:type="spellEnd"/>
      <w:r w:rsidRPr="004A478C">
        <w:rPr>
          <w:lang w:val="lt-LT"/>
        </w:rPr>
        <w:t xml:space="preserve"> nuosėdos, galimai ir akmenys, nors tokių reiškinių </w:t>
      </w:r>
      <w:proofErr w:type="spellStart"/>
      <w:r w:rsidR="001A5C63" w:rsidRPr="004A478C">
        <w:rPr>
          <w:lang w:val="lt-LT"/>
        </w:rPr>
        <w:t>Febuxostat</w:t>
      </w:r>
      <w:proofErr w:type="spellEnd"/>
      <w:r w:rsidR="001A5C63" w:rsidRPr="004A478C">
        <w:rPr>
          <w:lang w:val="lt-LT"/>
        </w:rPr>
        <w:t xml:space="preserve"> </w:t>
      </w:r>
      <w:proofErr w:type="spellStart"/>
      <w:r w:rsidR="00911F26" w:rsidRPr="004A478C">
        <w:rPr>
          <w:lang w:val="lt-LT"/>
        </w:rPr>
        <w:t>Zentiva</w:t>
      </w:r>
      <w:proofErr w:type="spellEnd"/>
      <w:r w:rsidR="00911F26" w:rsidRPr="004A478C">
        <w:rPr>
          <w:lang w:val="lt-LT"/>
        </w:rPr>
        <w:t xml:space="preserve"> </w:t>
      </w:r>
      <w:r w:rsidRPr="004A478C">
        <w:rPr>
          <w:lang w:val="lt-LT"/>
        </w:rPr>
        <w:t xml:space="preserve">gydytiems pacientams naviko </w:t>
      </w:r>
      <w:proofErr w:type="spellStart"/>
      <w:r w:rsidRPr="004A478C">
        <w:rPr>
          <w:lang w:val="lt-LT"/>
        </w:rPr>
        <w:t>lizės</w:t>
      </w:r>
      <w:proofErr w:type="spellEnd"/>
      <w:r w:rsidRPr="004A478C">
        <w:rPr>
          <w:lang w:val="lt-LT"/>
        </w:rPr>
        <w:t xml:space="preserve"> sindromo tyrime nebuvo nustatyta. </w:t>
      </w:r>
    </w:p>
    <w:p w14:paraId="39311020" w14:textId="77777777" w:rsidR="00273470" w:rsidRPr="004A478C" w:rsidRDefault="00273470" w:rsidP="003B28E4">
      <w:pPr>
        <w:tabs>
          <w:tab w:val="left" w:pos="4680"/>
        </w:tabs>
        <w:spacing w:line="240" w:lineRule="auto"/>
        <w:rPr>
          <w:lang w:val="lt-LT"/>
        </w:rPr>
      </w:pPr>
      <w:r w:rsidRPr="004A478C">
        <w:rPr>
          <w:lang w:val="lt-LT"/>
        </w:rPr>
        <w:t xml:space="preserve"> </w:t>
      </w:r>
    </w:p>
    <w:p w14:paraId="2A446D99" w14:textId="77777777" w:rsidR="00273470" w:rsidRPr="004A478C" w:rsidRDefault="00273470" w:rsidP="003B28E4">
      <w:pPr>
        <w:tabs>
          <w:tab w:val="left" w:pos="4680"/>
        </w:tabs>
        <w:spacing w:line="240" w:lineRule="auto"/>
        <w:ind w:left="2" w:right="397"/>
        <w:rPr>
          <w:lang w:val="lt-LT"/>
        </w:rPr>
      </w:pPr>
      <w:r w:rsidRPr="004A478C">
        <w:rPr>
          <w:lang w:val="lt-LT"/>
        </w:rPr>
        <w:t xml:space="preserve">Jūsų gydytojas gali Jūsų paprašyti atlikti kraujo tyrimus, kad įsitikintų, jog kepenys dirba normaliai. </w:t>
      </w:r>
    </w:p>
    <w:p w14:paraId="1E2D557C" w14:textId="77777777" w:rsidR="00273470" w:rsidRPr="004A478C" w:rsidRDefault="00273470" w:rsidP="003B28E4">
      <w:pPr>
        <w:tabs>
          <w:tab w:val="left" w:pos="4680"/>
        </w:tabs>
        <w:spacing w:line="240" w:lineRule="auto"/>
        <w:rPr>
          <w:lang w:val="lt-LT"/>
        </w:rPr>
      </w:pPr>
      <w:r w:rsidRPr="004A478C">
        <w:rPr>
          <w:lang w:val="lt-LT"/>
        </w:rPr>
        <w:t xml:space="preserve"> </w:t>
      </w:r>
    </w:p>
    <w:p w14:paraId="4C3533CA" w14:textId="77777777" w:rsidR="00273470" w:rsidRPr="004A478C" w:rsidRDefault="00273470" w:rsidP="003B28E4">
      <w:pPr>
        <w:tabs>
          <w:tab w:val="left" w:pos="4680"/>
        </w:tabs>
        <w:spacing w:line="240" w:lineRule="auto"/>
        <w:ind w:left="-5" w:right="77"/>
        <w:rPr>
          <w:lang w:val="lt-LT"/>
        </w:rPr>
      </w:pPr>
      <w:r w:rsidRPr="004A478C">
        <w:rPr>
          <w:b/>
          <w:lang w:val="lt-LT"/>
        </w:rPr>
        <w:t xml:space="preserve">Vaikams ir paaugliams </w:t>
      </w:r>
    </w:p>
    <w:p w14:paraId="07E2C01C" w14:textId="77777777" w:rsidR="00273470" w:rsidRPr="004A478C" w:rsidRDefault="00273470" w:rsidP="004A478C">
      <w:pPr>
        <w:tabs>
          <w:tab w:val="left" w:pos="4680"/>
        </w:tabs>
        <w:spacing w:line="240" w:lineRule="auto"/>
        <w:rPr>
          <w:lang w:val="lt-LT"/>
        </w:rPr>
      </w:pPr>
      <w:r w:rsidRPr="004A478C">
        <w:rPr>
          <w:lang w:val="lt-LT"/>
        </w:rPr>
        <w:t xml:space="preserve">Neduokite šio vaisto jaunesniems kaip 18 metų vaikams, nes jo saugumas ir veiksmingumas neištirtas. </w:t>
      </w:r>
    </w:p>
    <w:p w14:paraId="20F0A700" w14:textId="77777777" w:rsidR="00273470" w:rsidRPr="004A478C" w:rsidRDefault="00273470" w:rsidP="003B28E4">
      <w:pPr>
        <w:tabs>
          <w:tab w:val="left" w:pos="4680"/>
        </w:tabs>
        <w:spacing w:line="240" w:lineRule="auto"/>
        <w:rPr>
          <w:lang w:val="lt-LT"/>
        </w:rPr>
      </w:pPr>
      <w:r w:rsidRPr="004A478C">
        <w:rPr>
          <w:lang w:val="lt-LT"/>
        </w:rPr>
        <w:t xml:space="preserve">  </w:t>
      </w:r>
    </w:p>
    <w:p w14:paraId="4B4360A6" w14:textId="2A2D10E9" w:rsidR="00273470" w:rsidRPr="004A478C" w:rsidRDefault="00273470" w:rsidP="003B28E4">
      <w:pPr>
        <w:pStyle w:val="Antrat2"/>
        <w:tabs>
          <w:tab w:val="left" w:pos="4680"/>
        </w:tabs>
        <w:spacing w:before="0" w:after="0" w:line="240" w:lineRule="auto"/>
        <w:ind w:left="-5" w:right="77"/>
        <w:rPr>
          <w:rFonts w:ascii="Times New Roman" w:hAnsi="Times New Roman"/>
          <w:i w:val="0"/>
          <w:sz w:val="22"/>
          <w:lang w:val="lt-LT"/>
        </w:rPr>
      </w:pPr>
      <w:r w:rsidRPr="004A478C">
        <w:rPr>
          <w:rFonts w:ascii="Times New Roman" w:hAnsi="Times New Roman"/>
          <w:i w:val="0"/>
          <w:sz w:val="22"/>
          <w:lang w:val="lt-LT"/>
        </w:rPr>
        <w:lastRenderedPageBreak/>
        <w:t>Kit</w:t>
      </w:r>
      <w:r w:rsidR="002D4631" w:rsidRPr="004A478C">
        <w:rPr>
          <w:rFonts w:ascii="Times New Roman" w:hAnsi="Times New Roman"/>
          <w:i w:val="0"/>
          <w:sz w:val="22"/>
          <w:lang w:val="lt-LT"/>
        </w:rPr>
        <w:t>i</w:t>
      </w:r>
      <w:r w:rsidRPr="004A478C">
        <w:rPr>
          <w:rFonts w:ascii="Times New Roman" w:hAnsi="Times New Roman"/>
          <w:i w:val="0"/>
          <w:sz w:val="22"/>
          <w:lang w:val="lt-LT"/>
        </w:rPr>
        <w:t xml:space="preserve"> vaistai ir </w:t>
      </w:r>
      <w:proofErr w:type="spellStart"/>
      <w:r w:rsidR="001A5C63" w:rsidRPr="004A478C">
        <w:rPr>
          <w:rFonts w:ascii="Times New Roman" w:hAnsi="Times New Roman"/>
          <w:i w:val="0"/>
          <w:sz w:val="22"/>
          <w:lang w:val="lt-LT"/>
        </w:rPr>
        <w:t>Febuxostat</w:t>
      </w:r>
      <w:proofErr w:type="spellEnd"/>
      <w:r w:rsidR="001A5C63" w:rsidRPr="004A478C">
        <w:rPr>
          <w:rFonts w:ascii="Times New Roman" w:hAnsi="Times New Roman"/>
          <w:i w:val="0"/>
          <w:sz w:val="22"/>
          <w:lang w:val="lt-LT"/>
        </w:rPr>
        <w:t xml:space="preserve"> </w:t>
      </w:r>
      <w:proofErr w:type="spellStart"/>
      <w:r w:rsidR="00911F26" w:rsidRPr="004A478C">
        <w:rPr>
          <w:rFonts w:ascii="Times New Roman" w:hAnsi="Times New Roman"/>
          <w:i w:val="0"/>
          <w:sz w:val="22"/>
          <w:lang w:val="lt-LT"/>
        </w:rPr>
        <w:t>Zentiva</w:t>
      </w:r>
      <w:proofErr w:type="spellEnd"/>
    </w:p>
    <w:p w14:paraId="0779CB7F" w14:textId="77777777" w:rsidR="00273470" w:rsidRPr="004A478C" w:rsidRDefault="00273470" w:rsidP="004A478C">
      <w:pPr>
        <w:tabs>
          <w:tab w:val="left" w:pos="4680"/>
        </w:tabs>
        <w:spacing w:line="240" w:lineRule="auto"/>
        <w:rPr>
          <w:lang w:val="lt-LT"/>
        </w:rPr>
      </w:pPr>
      <w:r w:rsidRPr="004A478C">
        <w:rPr>
          <w:lang w:val="lt-LT"/>
        </w:rPr>
        <w:t xml:space="preserve">Jeigu vartojate ar neseniai vartojote kitų vaistų arba dėl to nesate tikri, įskaitant įsigytus be recepto, apie tai pasakykite gydytojui arba vaistininkui. </w:t>
      </w:r>
    </w:p>
    <w:p w14:paraId="66807A03" w14:textId="77777777" w:rsidR="00273470" w:rsidRPr="004A478C" w:rsidRDefault="00273470" w:rsidP="003B28E4">
      <w:pPr>
        <w:tabs>
          <w:tab w:val="left" w:pos="4680"/>
        </w:tabs>
        <w:spacing w:line="240" w:lineRule="auto"/>
        <w:rPr>
          <w:lang w:val="lt-LT"/>
        </w:rPr>
      </w:pPr>
      <w:r w:rsidRPr="004A478C">
        <w:rPr>
          <w:lang w:val="lt-LT"/>
        </w:rPr>
        <w:t xml:space="preserve"> </w:t>
      </w:r>
    </w:p>
    <w:p w14:paraId="69D5ABBD" w14:textId="1355262F" w:rsidR="00273470" w:rsidRPr="004A478C" w:rsidRDefault="00273470" w:rsidP="003B28E4">
      <w:pPr>
        <w:tabs>
          <w:tab w:val="left" w:pos="4680"/>
        </w:tabs>
        <w:spacing w:line="240" w:lineRule="auto"/>
        <w:ind w:left="2" w:right="397"/>
        <w:rPr>
          <w:lang w:val="lt-LT"/>
        </w:rPr>
      </w:pPr>
      <w:r w:rsidRPr="004A478C">
        <w:rPr>
          <w:lang w:val="lt-LT"/>
        </w:rPr>
        <w:t xml:space="preserve">Ypač svarbu pasakyti gydytojui arba vaistininkui, jeigu vartojate vaistų, kurių sudėtyje yra bet kuri iš toliau išvardytų medžiagų, nes jos gali sąveikauti su </w:t>
      </w:r>
      <w:proofErr w:type="spellStart"/>
      <w:r w:rsidR="001A5C63" w:rsidRPr="004A478C">
        <w:rPr>
          <w:lang w:val="lt-LT"/>
        </w:rPr>
        <w:t>Febuxostat</w:t>
      </w:r>
      <w:proofErr w:type="spellEnd"/>
      <w:r w:rsidR="001A5C63" w:rsidRPr="004A478C">
        <w:rPr>
          <w:lang w:val="lt-LT"/>
        </w:rPr>
        <w:t xml:space="preserve"> </w:t>
      </w:r>
      <w:proofErr w:type="spellStart"/>
      <w:r w:rsidR="00911F26" w:rsidRPr="004A478C">
        <w:rPr>
          <w:lang w:val="lt-LT"/>
        </w:rPr>
        <w:t>Zentiva</w:t>
      </w:r>
      <w:proofErr w:type="spellEnd"/>
      <w:r w:rsidR="00911F26" w:rsidRPr="004A478C">
        <w:rPr>
          <w:lang w:val="lt-LT"/>
        </w:rPr>
        <w:t xml:space="preserve"> </w:t>
      </w:r>
      <w:r w:rsidRPr="004A478C">
        <w:rPr>
          <w:lang w:val="lt-LT"/>
        </w:rPr>
        <w:t xml:space="preserve">ir gydytojas gali nuspręsti, kad reikia imtis tam tikrų priemonių. Pasakykite gydytojui ar vaistininkui, jei vartojate: </w:t>
      </w:r>
    </w:p>
    <w:p w14:paraId="452A6C05" w14:textId="44A69E28" w:rsidR="006030AA" w:rsidRPr="004A478C" w:rsidRDefault="00273470" w:rsidP="00AD4855">
      <w:pPr>
        <w:pStyle w:val="Sraopastraipa"/>
        <w:numPr>
          <w:ilvl w:val="0"/>
          <w:numId w:val="18"/>
        </w:numPr>
        <w:tabs>
          <w:tab w:val="left" w:pos="4680"/>
        </w:tabs>
        <w:spacing w:line="240" w:lineRule="auto"/>
        <w:ind w:right="4974" w:hanging="722"/>
        <w:rPr>
          <w:rFonts w:eastAsia="Segoe UI Symbol"/>
          <w:lang w:val="lt-LT"/>
        </w:rPr>
      </w:pPr>
      <w:proofErr w:type="spellStart"/>
      <w:r w:rsidRPr="004A478C">
        <w:rPr>
          <w:lang w:val="lt-LT"/>
        </w:rPr>
        <w:t>merkaptopuriną</w:t>
      </w:r>
      <w:proofErr w:type="spellEnd"/>
      <w:r w:rsidRPr="004A478C">
        <w:rPr>
          <w:lang w:val="lt-LT"/>
        </w:rPr>
        <w:t xml:space="preserve"> (vėžiui gydyti); </w:t>
      </w:r>
    </w:p>
    <w:p w14:paraId="077EC70C" w14:textId="1FA042D5" w:rsidR="006030AA" w:rsidRPr="004A478C" w:rsidRDefault="00273470" w:rsidP="00AD4855">
      <w:pPr>
        <w:pStyle w:val="Sraopastraipa"/>
        <w:numPr>
          <w:ilvl w:val="0"/>
          <w:numId w:val="18"/>
        </w:numPr>
        <w:tabs>
          <w:tab w:val="left" w:pos="4088"/>
        </w:tabs>
        <w:spacing w:line="240" w:lineRule="auto"/>
        <w:ind w:left="567" w:right="4974" w:hanging="567"/>
        <w:rPr>
          <w:rFonts w:eastAsia="Segoe UI Symbol"/>
          <w:lang w:val="lt-LT"/>
        </w:rPr>
      </w:pPr>
      <w:proofErr w:type="spellStart"/>
      <w:r w:rsidRPr="004A478C">
        <w:rPr>
          <w:lang w:val="lt-LT"/>
        </w:rPr>
        <w:t>azatriopriną</w:t>
      </w:r>
      <w:proofErr w:type="spellEnd"/>
      <w:r w:rsidR="00761DAA" w:rsidRPr="004A478C">
        <w:rPr>
          <w:lang w:val="lt-LT"/>
        </w:rPr>
        <w:t> </w:t>
      </w:r>
      <w:r w:rsidRPr="004A478C">
        <w:rPr>
          <w:lang w:val="lt-LT"/>
        </w:rPr>
        <w:t>(</w:t>
      </w:r>
      <w:proofErr w:type="spellStart"/>
      <w:r w:rsidRPr="004A478C">
        <w:rPr>
          <w:lang w:val="lt-LT"/>
        </w:rPr>
        <w:t>imuniniamatsakuislopinti</w:t>
      </w:r>
      <w:proofErr w:type="spellEnd"/>
      <w:r w:rsidRPr="004A478C">
        <w:rPr>
          <w:lang w:val="lt-LT"/>
        </w:rPr>
        <w:t>)</w:t>
      </w:r>
    </w:p>
    <w:p w14:paraId="25A6D8EC" w14:textId="05790A8F" w:rsidR="00273470" w:rsidRPr="004A478C" w:rsidRDefault="00273470" w:rsidP="00AD4855">
      <w:pPr>
        <w:pStyle w:val="Sraopastraipa"/>
        <w:numPr>
          <w:ilvl w:val="0"/>
          <w:numId w:val="18"/>
        </w:numPr>
        <w:tabs>
          <w:tab w:val="left" w:pos="4680"/>
        </w:tabs>
        <w:spacing w:line="240" w:lineRule="auto"/>
        <w:ind w:right="4974" w:hanging="722"/>
        <w:rPr>
          <w:lang w:val="lt-LT"/>
        </w:rPr>
      </w:pPr>
      <w:proofErr w:type="spellStart"/>
      <w:r w:rsidRPr="004A478C">
        <w:rPr>
          <w:lang w:val="lt-LT"/>
        </w:rPr>
        <w:t>teofiliną</w:t>
      </w:r>
      <w:proofErr w:type="spellEnd"/>
      <w:r w:rsidRPr="004A478C">
        <w:rPr>
          <w:lang w:val="lt-LT"/>
        </w:rPr>
        <w:t xml:space="preserve"> (astmai gydyti). </w:t>
      </w:r>
    </w:p>
    <w:p w14:paraId="0CDCAD1B" w14:textId="77777777" w:rsidR="00273470" w:rsidRPr="004A478C" w:rsidRDefault="00273470" w:rsidP="003B28E4">
      <w:pPr>
        <w:tabs>
          <w:tab w:val="left" w:pos="4680"/>
        </w:tabs>
        <w:spacing w:line="240" w:lineRule="auto"/>
        <w:rPr>
          <w:lang w:val="lt-LT"/>
        </w:rPr>
      </w:pPr>
      <w:r w:rsidRPr="004A478C">
        <w:rPr>
          <w:b/>
          <w:lang w:val="lt-LT"/>
        </w:rPr>
        <w:t xml:space="preserve"> </w:t>
      </w:r>
    </w:p>
    <w:p w14:paraId="08E99058" w14:textId="77777777" w:rsidR="00273470" w:rsidRPr="004A478C" w:rsidRDefault="00273470" w:rsidP="003B28E4">
      <w:pPr>
        <w:pStyle w:val="Antrat2"/>
        <w:tabs>
          <w:tab w:val="left" w:pos="4680"/>
        </w:tabs>
        <w:spacing w:before="0" w:after="0" w:line="240" w:lineRule="auto"/>
        <w:ind w:left="-5" w:right="77"/>
        <w:rPr>
          <w:rFonts w:ascii="Times New Roman" w:hAnsi="Times New Roman"/>
          <w:i w:val="0"/>
          <w:sz w:val="22"/>
          <w:lang w:val="lt-LT"/>
        </w:rPr>
      </w:pPr>
      <w:r w:rsidRPr="004A478C">
        <w:rPr>
          <w:rFonts w:ascii="Times New Roman" w:hAnsi="Times New Roman"/>
          <w:i w:val="0"/>
          <w:sz w:val="22"/>
          <w:lang w:val="lt-LT"/>
        </w:rPr>
        <w:t xml:space="preserve">Nėštumas ir žindymo laikotarpis </w:t>
      </w:r>
    </w:p>
    <w:p w14:paraId="2CFA2AC8" w14:textId="61A8DCAA" w:rsidR="00273470" w:rsidRPr="004A478C" w:rsidRDefault="00273470" w:rsidP="004A478C">
      <w:pPr>
        <w:tabs>
          <w:tab w:val="left" w:pos="4680"/>
        </w:tabs>
        <w:spacing w:line="240" w:lineRule="auto"/>
        <w:rPr>
          <w:lang w:val="lt-LT"/>
        </w:rPr>
      </w:pPr>
      <w:r w:rsidRPr="004A478C">
        <w:rPr>
          <w:lang w:val="lt-LT"/>
        </w:rPr>
        <w:t xml:space="preserve">Nėra žinoma, ar </w:t>
      </w:r>
      <w:proofErr w:type="spellStart"/>
      <w:r w:rsidR="00060829" w:rsidRPr="004A478C">
        <w:rPr>
          <w:lang w:val="lt-LT"/>
        </w:rPr>
        <w:t>febuksostatas</w:t>
      </w:r>
      <w:proofErr w:type="spellEnd"/>
      <w:r w:rsidR="00911F26" w:rsidRPr="004A478C">
        <w:rPr>
          <w:lang w:val="lt-LT"/>
        </w:rPr>
        <w:t xml:space="preserve"> </w:t>
      </w:r>
      <w:r w:rsidRPr="004A478C">
        <w:rPr>
          <w:lang w:val="lt-LT"/>
        </w:rPr>
        <w:t xml:space="preserve">gali pakenkti negimusiam kūdikiui. </w:t>
      </w:r>
      <w:proofErr w:type="spellStart"/>
      <w:r w:rsidR="001A5C63" w:rsidRPr="004A478C">
        <w:rPr>
          <w:lang w:val="lt-LT"/>
        </w:rPr>
        <w:t>Febuxostat</w:t>
      </w:r>
      <w:proofErr w:type="spellEnd"/>
      <w:r w:rsidR="001A5C63" w:rsidRPr="004A478C">
        <w:rPr>
          <w:lang w:val="lt-LT"/>
        </w:rPr>
        <w:t xml:space="preserve"> </w:t>
      </w:r>
      <w:proofErr w:type="spellStart"/>
      <w:r w:rsidR="007B7EF6" w:rsidRPr="004A478C">
        <w:rPr>
          <w:lang w:val="lt-LT"/>
        </w:rPr>
        <w:t>Zentiva</w:t>
      </w:r>
      <w:proofErr w:type="spellEnd"/>
      <w:r w:rsidRPr="004A478C">
        <w:rPr>
          <w:lang w:val="lt-LT"/>
        </w:rPr>
        <w:t xml:space="preserve"> negalima vartoti nėštumo metu. Nėra žinoma, ar </w:t>
      </w:r>
      <w:proofErr w:type="spellStart"/>
      <w:r w:rsidR="00060829" w:rsidRPr="004A478C">
        <w:rPr>
          <w:lang w:val="lt-LT"/>
        </w:rPr>
        <w:t>febuksostatas</w:t>
      </w:r>
      <w:proofErr w:type="spellEnd"/>
      <w:r w:rsidR="00060829" w:rsidRPr="004A478C">
        <w:rPr>
          <w:lang w:val="lt-LT"/>
        </w:rPr>
        <w:t xml:space="preserve"> </w:t>
      </w:r>
      <w:r w:rsidRPr="004A478C">
        <w:rPr>
          <w:lang w:val="lt-LT"/>
        </w:rPr>
        <w:t xml:space="preserve">išsiskiria į moters pieną. Nevartokite </w:t>
      </w:r>
      <w:proofErr w:type="spellStart"/>
      <w:r w:rsidR="001A5C63" w:rsidRPr="004A478C">
        <w:rPr>
          <w:lang w:val="lt-LT"/>
        </w:rPr>
        <w:t>Febuxostat</w:t>
      </w:r>
      <w:proofErr w:type="spellEnd"/>
      <w:r w:rsidR="001A5C63" w:rsidRPr="004A478C">
        <w:rPr>
          <w:lang w:val="lt-LT"/>
        </w:rPr>
        <w:t xml:space="preserve"> </w:t>
      </w:r>
      <w:proofErr w:type="spellStart"/>
      <w:r w:rsidR="00911F26" w:rsidRPr="004A478C">
        <w:rPr>
          <w:lang w:val="lt-LT"/>
        </w:rPr>
        <w:t>Zentiva</w:t>
      </w:r>
      <w:proofErr w:type="spellEnd"/>
      <w:r w:rsidRPr="004A478C">
        <w:rPr>
          <w:lang w:val="lt-LT"/>
        </w:rPr>
        <w:t xml:space="preserve">, jei žindote kūdikį ar planuojate tai daryti.  </w:t>
      </w:r>
    </w:p>
    <w:p w14:paraId="1448078A" w14:textId="77777777" w:rsidR="00273470" w:rsidRPr="004A478C" w:rsidRDefault="00273470" w:rsidP="003B28E4">
      <w:pPr>
        <w:tabs>
          <w:tab w:val="left" w:pos="4680"/>
        </w:tabs>
        <w:spacing w:line="240" w:lineRule="auto"/>
        <w:rPr>
          <w:lang w:val="lt-LT"/>
        </w:rPr>
      </w:pPr>
      <w:r w:rsidRPr="004A478C">
        <w:rPr>
          <w:lang w:val="lt-LT"/>
        </w:rPr>
        <w:t xml:space="preserve"> </w:t>
      </w:r>
    </w:p>
    <w:p w14:paraId="2A55EB30" w14:textId="0DF25B9D" w:rsidR="00273470" w:rsidRPr="004A478C" w:rsidRDefault="00273470" w:rsidP="003B28E4">
      <w:pPr>
        <w:tabs>
          <w:tab w:val="left" w:pos="4680"/>
        </w:tabs>
        <w:spacing w:line="240" w:lineRule="auto"/>
        <w:ind w:left="2" w:right="397"/>
        <w:rPr>
          <w:lang w:val="lt-LT"/>
        </w:rPr>
      </w:pPr>
      <w:r w:rsidRPr="004A478C">
        <w:rPr>
          <w:lang w:val="lt-LT"/>
        </w:rPr>
        <w:t xml:space="preserve">Jeigu esate nėščia, žindote kūdikį, manote, kad galbūt esate nėščia arba planuojate pastoti, </w:t>
      </w:r>
      <w:r w:rsidR="00D1633A">
        <w:rPr>
          <w:szCs w:val="22"/>
          <w:lang w:val="lt-LT"/>
        </w:rPr>
        <w:t xml:space="preserve">tai </w:t>
      </w:r>
      <w:r w:rsidRPr="004A478C">
        <w:rPr>
          <w:lang w:val="lt-LT"/>
        </w:rPr>
        <w:t xml:space="preserve">prieš vartodama šį vaistą pasitarkite su gydytoju arba vaistininku. </w:t>
      </w:r>
    </w:p>
    <w:p w14:paraId="3D2C50CD" w14:textId="77777777" w:rsidR="00273470" w:rsidRPr="004A478C" w:rsidRDefault="00273470" w:rsidP="003B28E4">
      <w:pPr>
        <w:tabs>
          <w:tab w:val="left" w:pos="4680"/>
        </w:tabs>
        <w:spacing w:line="240" w:lineRule="auto"/>
        <w:rPr>
          <w:lang w:val="lt-LT"/>
        </w:rPr>
      </w:pPr>
      <w:r w:rsidRPr="004A478C">
        <w:rPr>
          <w:lang w:val="lt-LT"/>
        </w:rPr>
        <w:t xml:space="preserve"> </w:t>
      </w:r>
    </w:p>
    <w:p w14:paraId="6824A36F" w14:textId="77777777" w:rsidR="00273470" w:rsidRPr="004A478C" w:rsidRDefault="00273470" w:rsidP="003B28E4">
      <w:pPr>
        <w:pStyle w:val="Antrat2"/>
        <w:tabs>
          <w:tab w:val="left" w:pos="4680"/>
        </w:tabs>
        <w:spacing w:before="0" w:after="0" w:line="240" w:lineRule="auto"/>
        <w:ind w:left="-5" w:right="77"/>
        <w:rPr>
          <w:rFonts w:ascii="Times New Roman" w:hAnsi="Times New Roman"/>
          <w:i w:val="0"/>
          <w:sz w:val="22"/>
          <w:lang w:val="lt-LT"/>
        </w:rPr>
      </w:pPr>
      <w:r w:rsidRPr="004A478C">
        <w:rPr>
          <w:rFonts w:ascii="Times New Roman" w:hAnsi="Times New Roman"/>
          <w:i w:val="0"/>
          <w:sz w:val="22"/>
          <w:lang w:val="lt-LT"/>
        </w:rPr>
        <w:t xml:space="preserve">Vairavimas ir mechanizmų valdymas </w:t>
      </w:r>
    </w:p>
    <w:p w14:paraId="463D420C" w14:textId="77777777" w:rsidR="00273470" w:rsidRPr="004A478C" w:rsidRDefault="00273470" w:rsidP="004A478C">
      <w:pPr>
        <w:tabs>
          <w:tab w:val="left" w:pos="4680"/>
        </w:tabs>
        <w:spacing w:line="240" w:lineRule="auto"/>
        <w:rPr>
          <w:lang w:val="lt-LT"/>
        </w:rPr>
      </w:pPr>
      <w:r w:rsidRPr="004A478C">
        <w:rPr>
          <w:lang w:val="lt-LT"/>
        </w:rPr>
        <w:t xml:space="preserve">Turite žinoti, kad vaisto vartojimo metu galite jausti svaigulį, mieguistumą ir sąstingį arba dilgčiojimą, neryškų matymą. Jeigu jaučiate šį poveikį, nevairuokite ir nevaldykite mechanizmų. </w:t>
      </w:r>
    </w:p>
    <w:p w14:paraId="371B9A34" w14:textId="77777777" w:rsidR="00273470" w:rsidRPr="004A478C" w:rsidRDefault="00273470" w:rsidP="003B28E4">
      <w:pPr>
        <w:tabs>
          <w:tab w:val="left" w:pos="4680"/>
        </w:tabs>
        <w:spacing w:line="240" w:lineRule="auto"/>
        <w:rPr>
          <w:lang w:val="lt-LT"/>
        </w:rPr>
      </w:pPr>
      <w:r w:rsidRPr="004A478C">
        <w:rPr>
          <w:lang w:val="lt-LT"/>
        </w:rPr>
        <w:t xml:space="preserve"> </w:t>
      </w:r>
    </w:p>
    <w:p w14:paraId="38F7A08C" w14:textId="06B1F303" w:rsidR="00273470" w:rsidRPr="004A478C" w:rsidRDefault="001A5C63" w:rsidP="003B28E4">
      <w:pPr>
        <w:pStyle w:val="Antrat2"/>
        <w:tabs>
          <w:tab w:val="left" w:pos="4680"/>
        </w:tabs>
        <w:spacing w:before="0" w:after="0" w:line="240" w:lineRule="auto"/>
        <w:ind w:left="-5" w:right="77"/>
        <w:rPr>
          <w:rFonts w:ascii="Times New Roman" w:hAnsi="Times New Roman"/>
          <w:i w:val="0"/>
          <w:sz w:val="22"/>
          <w:lang w:val="lt-LT"/>
        </w:rPr>
      </w:pPr>
      <w:proofErr w:type="spellStart"/>
      <w:r w:rsidRPr="004A478C">
        <w:rPr>
          <w:rFonts w:ascii="Times New Roman" w:hAnsi="Times New Roman"/>
          <w:i w:val="0"/>
          <w:sz w:val="22"/>
          <w:lang w:val="lt-LT"/>
        </w:rPr>
        <w:t>Febuxostat</w:t>
      </w:r>
      <w:proofErr w:type="spellEnd"/>
      <w:r w:rsidRPr="004A478C">
        <w:rPr>
          <w:rFonts w:ascii="Times New Roman" w:hAnsi="Times New Roman"/>
          <w:i w:val="0"/>
          <w:sz w:val="22"/>
          <w:lang w:val="lt-LT"/>
        </w:rPr>
        <w:t xml:space="preserve"> </w:t>
      </w:r>
      <w:proofErr w:type="spellStart"/>
      <w:r w:rsidR="00911F26" w:rsidRPr="004A478C">
        <w:rPr>
          <w:rFonts w:ascii="Times New Roman" w:hAnsi="Times New Roman"/>
          <w:i w:val="0"/>
          <w:sz w:val="22"/>
          <w:lang w:val="lt-LT"/>
        </w:rPr>
        <w:t>Zentiva</w:t>
      </w:r>
      <w:proofErr w:type="spellEnd"/>
      <w:r w:rsidR="00911F26" w:rsidRPr="004A478C">
        <w:rPr>
          <w:rFonts w:ascii="Times New Roman" w:hAnsi="Times New Roman"/>
          <w:i w:val="0"/>
          <w:sz w:val="22"/>
          <w:lang w:val="lt-LT"/>
        </w:rPr>
        <w:t xml:space="preserve"> </w:t>
      </w:r>
      <w:r w:rsidR="00273470" w:rsidRPr="004A478C">
        <w:rPr>
          <w:rFonts w:ascii="Times New Roman" w:hAnsi="Times New Roman"/>
          <w:i w:val="0"/>
          <w:sz w:val="22"/>
          <w:lang w:val="lt-LT"/>
        </w:rPr>
        <w:t xml:space="preserve">sudėtyje yra laktozės </w:t>
      </w:r>
      <w:r w:rsidR="001F12B5" w:rsidRPr="004A478C">
        <w:rPr>
          <w:rFonts w:ascii="Times New Roman" w:hAnsi="Times New Roman"/>
          <w:i w:val="0"/>
          <w:sz w:val="22"/>
          <w:lang w:val="lt-LT"/>
        </w:rPr>
        <w:t>ir natrio</w:t>
      </w:r>
    </w:p>
    <w:p w14:paraId="650F245F" w14:textId="73C464B9" w:rsidR="00273470" w:rsidRPr="004A478C" w:rsidRDefault="001A5C63" w:rsidP="004A478C">
      <w:pPr>
        <w:tabs>
          <w:tab w:val="left" w:pos="4680"/>
        </w:tabs>
        <w:spacing w:line="240" w:lineRule="auto"/>
        <w:rPr>
          <w:lang w:val="lt-LT"/>
        </w:rPr>
      </w:pPr>
      <w:proofErr w:type="spellStart"/>
      <w:r w:rsidRPr="004A478C">
        <w:rPr>
          <w:lang w:val="lt-LT"/>
        </w:rPr>
        <w:t>Febuxostat</w:t>
      </w:r>
      <w:proofErr w:type="spellEnd"/>
      <w:r w:rsidRPr="004A478C">
        <w:rPr>
          <w:lang w:val="lt-LT"/>
        </w:rPr>
        <w:t xml:space="preserve"> </w:t>
      </w:r>
      <w:proofErr w:type="spellStart"/>
      <w:r w:rsidR="00911F26" w:rsidRPr="004A478C">
        <w:rPr>
          <w:lang w:val="lt-LT"/>
        </w:rPr>
        <w:t>Zentiva</w:t>
      </w:r>
      <w:proofErr w:type="spellEnd"/>
      <w:r w:rsidR="00273470" w:rsidRPr="004A478C">
        <w:rPr>
          <w:lang w:val="lt-LT"/>
        </w:rPr>
        <w:t xml:space="preserve"> tabletėse yra laktozės (cukraus rūšis). Jeigu gydytojas Jums yra sakęs, kad netoleruojate kokių nors angliavandenių, kreipkitės į jį prieš pradėdami vartoti šį vaistą. </w:t>
      </w:r>
    </w:p>
    <w:p w14:paraId="10F34FD1" w14:textId="77777777" w:rsidR="001F12B5" w:rsidRPr="004A478C" w:rsidRDefault="001F12B5" w:rsidP="003B28E4">
      <w:pPr>
        <w:tabs>
          <w:tab w:val="left" w:pos="4680"/>
        </w:tabs>
        <w:spacing w:line="240" w:lineRule="auto"/>
        <w:rPr>
          <w:b/>
          <w:lang w:val="lt-LT"/>
        </w:rPr>
      </w:pPr>
    </w:p>
    <w:p w14:paraId="6149CFB4" w14:textId="77777777" w:rsidR="001F12B5" w:rsidRPr="004B0C8F" w:rsidRDefault="005C5DE3" w:rsidP="003B28E4">
      <w:pPr>
        <w:tabs>
          <w:tab w:val="left" w:pos="4680"/>
        </w:tabs>
        <w:spacing w:line="240" w:lineRule="auto"/>
        <w:rPr>
          <w:color w:val="212121"/>
          <w:szCs w:val="22"/>
          <w:lang w:val="lt-LT"/>
        </w:rPr>
      </w:pPr>
      <w:r w:rsidRPr="004B0C8F">
        <w:rPr>
          <w:color w:val="212121"/>
          <w:szCs w:val="22"/>
          <w:lang w:val="lt-LT"/>
        </w:rPr>
        <w:t xml:space="preserve">Šio vaisto vienoje </w:t>
      </w:r>
      <w:r w:rsidR="001F12B5" w:rsidRPr="004B0C8F">
        <w:rPr>
          <w:color w:val="212121"/>
          <w:szCs w:val="22"/>
          <w:lang w:val="lt-LT"/>
        </w:rPr>
        <w:t xml:space="preserve">tabletėje yra mažiau kaip 1 </w:t>
      </w:r>
      <w:proofErr w:type="spellStart"/>
      <w:r w:rsidR="001F12B5" w:rsidRPr="004B0C8F">
        <w:rPr>
          <w:color w:val="212121"/>
          <w:szCs w:val="22"/>
          <w:lang w:val="lt-LT"/>
        </w:rPr>
        <w:t>mmol</w:t>
      </w:r>
      <w:proofErr w:type="spellEnd"/>
      <w:r w:rsidR="001F12B5" w:rsidRPr="004B0C8F">
        <w:rPr>
          <w:color w:val="212121"/>
          <w:szCs w:val="22"/>
          <w:lang w:val="lt-LT"/>
        </w:rPr>
        <w:t xml:space="preserve"> (23</w:t>
      </w:r>
      <w:r w:rsidR="00E87295" w:rsidRPr="004B0C8F">
        <w:rPr>
          <w:color w:val="212121"/>
          <w:szCs w:val="22"/>
          <w:lang w:val="lt-LT"/>
        </w:rPr>
        <w:t> mg</w:t>
      </w:r>
      <w:r w:rsidR="001F12B5" w:rsidRPr="004B0C8F">
        <w:rPr>
          <w:color w:val="212121"/>
          <w:szCs w:val="22"/>
          <w:lang w:val="lt-LT"/>
        </w:rPr>
        <w:t xml:space="preserve">) natrio, </w:t>
      </w:r>
      <w:proofErr w:type="spellStart"/>
      <w:r w:rsidR="001F12B5" w:rsidRPr="004B0C8F">
        <w:rPr>
          <w:color w:val="212121"/>
          <w:szCs w:val="22"/>
          <w:lang w:val="lt-LT"/>
        </w:rPr>
        <w:t>t.y</w:t>
      </w:r>
      <w:proofErr w:type="spellEnd"/>
      <w:r w:rsidR="001F12B5" w:rsidRPr="004B0C8F">
        <w:rPr>
          <w:color w:val="212121"/>
          <w:szCs w:val="22"/>
          <w:lang w:val="lt-LT"/>
        </w:rPr>
        <w:t>. jis beveik neturi reikšmės.</w:t>
      </w:r>
    </w:p>
    <w:p w14:paraId="67B210DE" w14:textId="77777777" w:rsidR="00273470" w:rsidRPr="004A478C" w:rsidRDefault="00273470" w:rsidP="003B28E4">
      <w:pPr>
        <w:tabs>
          <w:tab w:val="left" w:pos="4680"/>
        </w:tabs>
        <w:spacing w:line="240" w:lineRule="auto"/>
        <w:rPr>
          <w:lang w:val="lt-LT"/>
        </w:rPr>
      </w:pPr>
      <w:r w:rsidRPr="004A478C">
        <w:rPr>
          <w:b/>
          <w:lang w:val="lt-LT"/>
        </w:rPr>
        <w:t xml:space="preserve"> </w:t>
      </w:r>
    </w:p>
    <w:p w14:paraId="353E04BE" w14:textId="77777777" w:rsidR="00273470" w:rsidRPr="004A478C" w:rsidRDefault="00273470" w:rsidP="003B28E4">
      <w:pPr>
        <w:tabs>
          <w:tab w:val="left" w:pos="4680"/>
        </w:tabs>
        <w:spacing w:line="240" w:lineRule="auto"/>
        <w:rPr>
          <w:lang w:val="lt-LT"/>
        </w:rPr>
      </w:pPr>
      <w:r w:rsidRPr="004A478C">
        <w:rPr>
          <w:b/>
          <w:lang w:val="lt-LT"/>
        </w:rPr>
        <w:t xml:space="preserve"> </w:t>
      </w:r>
    </w:p>
    <w:p w14:paraId="2748BCAD" w14:textId="7FACD19F" w:rsidR="00273470" w:rsidRPr="004A478C" w:rsidRDefault="00273470" w:rsidP="003B28E4">
      <w:pPr>
        <w:pStyle w:val="Antrat3"/>
        <w:tabs>
          <w:tab w:val="center" w:pos="1656"/>
          <w:tab w:val="left" w:pos="4680"/>
        </w:tabs>
        <w:spacing w:before="0" w:after="0" w:line="240" w:lineRule="auto"/>
        <w:ind w:left="-15"/>
        <w:rPr>
          <w:rFonts w:ascii="Times New Roman" w:hAnsi="Times New Roman"/>
          <w:sz w:val="22"/>
          <w:lang w:val="lt-LT"/>
        </w:rPr>
      </w:pPr>
      <w:r w:rsidRPr="004A478C">
        <w:rPr>
          <w:rFonts w:ascii="Times New Roman" w:hAnsi="Times New Roman"/>
          <w:sz w:val="22"/>
          <w:lang w:val="lt-LT"/>
        </w:rPr>
        <w:t xml:space="preserve">3. </w:t>
      </w:r>
      <w:r w:rsidRPr="004A478C">
        <w:rPr>
          <w:rFonts w:ascii="Times New Roman" w:hAnsi="Times New Roman"/>
          <w:sz w:val="22"/>
          <w:lang w:val="lt-LT"/>
        </w:rPr>
        <w:tab/>
        <w:t xml:space="preserve">Kaip vartoti </w:t>
      </w:r>
      <w:proofErr w:type="spellStart"/>
      <w:r w:rsidR="001A5C63" w:rsidRPr="004A478C">
        <w:rPr>
          <w:rFonts w:ascii="Times New Roman" w:hAnsi="Times New Roman"/>
          <w:sz w:val="22"/>
          <w:lang w:val="lt-LT"/>
        </w:rPr>
        <w:t>Febuxostat</w:t>
      </w:r>
      <w:proofErr w:type="spellEnd"/>
      <w:r w:rsidR="001A5C63" w:rsidRPr="004A478C">
        <w:rPr>
          <w:rFonts w:ascii="Times New Roman" w:hAnsi="Times New Roman"/>
          <w:sz w:val="22"/>
          <w:lang w:val="lt-LT"/>
        </w:rPr>
        <w:t xml:space="preserve"> </w:t>
      </w:r>
      <w:proofErr w:type="spellStart"/>
      <w:r w:rsidR="00911F26" w:rsidRPr="004A478C">
        <w:rPr>
          <w:rFonts w:ascii="Times New Roman" w:hAnsi="Times New Roman"/>
          <w:sz w:val="22"/>
          <w:lang w:val="lt-LT"/>
        </w:rPr>
        <w:t>Zentiva</w:t>
      </w:r>
      <w:proofErr w:type="spellEnd"/>
    </w:p>
    <w:p w14:paraId="2C7AEF8C" w14:textId="77777777" w:rsidR="00273470" w:rsidRPr="004A478C" w:rsidRDefault="00273470" w:rsidP="003B28E4">
      <w:pPr>
        <w:tabs>
          <w:tab w:val="left" w:pos="4680"/>
        </w:tabs>
        <w:spacing w:line="240" w:lineRule="auto"/>
        <w:rPr>
          <w:lang w:val="lt-LT"/>
        </w:rPr>
      </w:pPr>
      <w:r w:rsidRPr="004A478C">
        <w:rPr>
          <w:lang w:val="lt-LT"/>
        </w:rPr>
        <w:t xml:space="preserve"> </w:t>
      </w:r>
    </w:p>
    <w:p w14:paraId="03449844" w14:textId="77777777" w:rsidR="00273470" w:rsidRPr="004A478C" w:rsidRDefault="00273470" w:rsidP="003B28E4">
      <w:pPr>
        <w:tabs>
          <w:tab w:val="left" w:pos="4680"/>
        </w:tabs>
        <w:spacing w:line="240" w:lineRule="auto"/>
        <w:ind w:left="2" w:right="397"/>
        <w:rPr>
          <w:lang w:val="lt-LT"/>
        </w:rPr>
      </w:pPr>
      <w:r w:rsidRPr="004A478C">
        <w:rPr>
          <w:lang w:val="lt-LT"/>
        </w:rPr>
        <w:t xml:space="preserve">Visada vartokite šį vaistą tiksliai kaip nurodė gydytojas. Jeigu abejojate, kreipkitės į gydytoją arba vaistininką. </w:t>
      </w:r>
    </w:p>
    <w:p w14:paraId="79922A56" w14:textId="77777777" w:rsidR="00273470" w:rsidRPr="004A478C" w:rsidRDefault="00273470" w:rsidP="003B28E4">
      <w:pPr>
        <w:spacing w:line="240" w:lineRule="auto"/>
        <w:rPr>
          <w:lang w:val="lt-LT"/>
        </w:rPr>
      </w:pPr>
      <w:r w:rsidRPr="004A478C">
        <w:rPr>
          <w:lang w:val="lt-LT"/>
        </w:rPr>
        <w:t xml:space="preserve"> </w:t>
      </w:r>
    </w:p>
    <w:p w14:paraId="776F29F1" w14:textId="77777777" w:rsidR="00273470" w:rsidRPr="004A478C" w:rsidRDefault="00273470" w:rsidP="003B28E4">
      <w:pPr>
        <w:numPr>
          <w:ilvl w:val="0"/>
          <w:numId w:val="10"/>
        </w:numPr>
        <w:spacing w:line="240" w:lineRule="auto"/>
        <w:ind w:right="397" w:hanging="506"/>
        <w:rPr>
          <w:lang w:val="lt-LT"/>
        </w:rPr>
      </w:pPr>
      <w:r w:rsidRPr="004A478C">
        <w:rPr>
          <w:lang w:val="lt-LT"/>
        </w:rPr>
        <w:t xml:space="preserve">Įprastinė dozė yra viena tabletė kartą per parą. Kitoje lizdinės plokštelės pusėje sužymėtos savaitės dienos. Tai padės patikrinti, ar suvartojote atitinkamai dienai skirtą tabletę. </w:t>
      </w:r>
    </w:p>
    <w:p w14:paraId="7EA8E753" w14:textId="77777777" w:rsidR="00273470" w:rsidRPr="004A478C" w:rsidRDefault="00273470" w:rsidP="003B28E4">
      <w:pPr>
        <w:numPr>
          <w:ilvl w:val="0"/>
          <w:numId w:val="10"/>
        </w:numPr>
        <w:spacing w:line="240" w:lineRule="auto"/>
        <w:ind w:right="397" w:hanging="506"/>
        <w:rPr>
          <w:lang w:val="lt-LT"/>
        </w:rPr>
      </w:pPr>
      <w:r w:rsidRPr="004A478C">
        <w:rPr>
          <w:lang w:val="lt-LT"/>
        </w:rPr>
        <w:t xml:space="preserve">Tabletės vartojamos per burną, jas galima gerti valgio metu ar nevalgius. </w:t>
      </w:r>
    </w:p>
    <w:p w14:paraId="30BF6732" w14:textId="08069A26" w:rsidR="006030AA" w:rsidRPr="004A478C" w:rsidRDefault="006030AA" w:rsidP="003B28E4">
      <w:pPr>
        <w:numPr>
          <w:ilvl w:val="0"/>
          <w:numId w:val="10"/>
        </w:numPr>
        <w:spacing w:line="240" w:lineRule="auto"/>
        <w:ind w:right="397" w:hanging="506"/>
        <w:rPr>
          <w:lang w:val="lt-LT"/>
        </w:rPr>
      </w:pPr>
      <w:r w:rsidRPr="004A478C">
        <w:rPr>
          <w:lang w:val="lt-LT"/>
        </w:rPr>
        <w:t xml:space="preserve">Vagelė  </w:t>
      </w:r>
      <w:proofErr w:type="spellStart"/>
      <w:r w:rsidR="00060829" w:rsidRPr="004A478C">
        <w:rPr>
          <w:lang w:val="lt-LT"/>
        </w:rPr>
        <w:t>Febuxostat</w:t>
      </w:r>
      <w:proofErr w:type="spellEnd"/>
      <w:r w:rsidR="00060829" w:rsidRPr="004A478C">
        <w:rPr>
          <w:lang w:val="lt-LT"/>
        </w:rPr>
        <w:t xml:space="preserve"> </w:t>
      </w:r>
      <w:proofErr w:type="spellStart"/>
      <w:r w:rsidR="00060829" w:rsidRPr="004A478C">
        <w:rPr>
          <w:lang w:val="lt-LT"/>
        </w:rPr>
        <w:t>Zentiva</w:t>
      </w:r>
      <w:proofErr w:type="spellEnd"/>
      <w:r w:rsidR="00060829" w:rsidRPr="004A478C">
        <w:rPr>
          <w:lang w:val="lt-LT"/>
        </w:rPr>
        <w:t xml:space="preserve"> 120 mg </w:t>
      </w:r>
      <w:r w:rsidR="0013167B" w:rsidRPr="004A478C">
        <w:rPr>
          <w:lang w:val="lt-LT"/>
        </w:rPr>
        <w:t xml:space="preserve">tabletės </w:t>
      </w:r>
      <w:r w:rsidR="00060829" w:rsidRPr="004A478C">
        <w:rPr>
          <w:lang w:val="lt-LT"/>
        </w:rPr>
        <w:t xml:space="preserve">skirta tik </w:t>
      </w:r>
      <w:r w:rsidR="0013167B" w:rsidRPr="004A478C">
        <w:rPr>
          <w:lang w:val="lt-LT"/>
        </w:rPr>
        <w:t xml:space="preserve">tabletei </w:t>
      </w:r>
      <w:r w:rsidRPr="004A478C">
        <w:rPr>
          <w:lang w:val="lt-LT"/>
        </w:rPr>
        <w:t>perlaužti, jeigu ją visą būtų sunku nuryti.</w:t>
      </w:r>
    </w:p>
    <w:p w14:paraId="39E6AF5F" w14:textId="77777777" w:rsidR="00273470" w:rsidRPr="004A478C" w:rsidRDefault="00273470" w:rsidP="003B28E4">
      <w:pPr>
        <w:spacing w:line="240" w:lineRule="auto"/>
        <w:rPr>
          <w:lang w:val="lt-LT"/>
        </w:rPr>
      </w:pPr>
      <w:r w:rsidRPr="004A478C">
        <w:rPr>
          <w:lang w:val="lt-LT"/>
        </w:rPr>
        <w:t xml:space="preserve"> </w:t>
      </w:r>
    </w:p>
    <w:p w14:paraId="61E2B0EB" w14:textId="77777777" w:rsidR="00273470" w:rsidRPr="004A478C" w:rsidRDefault="00273470" w:rsidP="003B28E4">
      <w:pPr>
        <w:tabs>
          <w:tab w:val="left" w:pos="4680"/>
        </w:tabs>
        <w:spacing w:line="240" w:lineRule="auto"/>
        <w:ind w:left="-5"/>
        <w:rPr>
          <w:lang w:val="lt-LT"/>
        </w:rPr>
      </w:pPr>
      <w:r w:rsidRPr="004A478C">
        <w:rPr>
          <w:i/>
          <w:lang w:val="lt-LT"/>
        </w:rPr>
        <w:t xml:space="preserve">Podagra </w:t>
      </w:r>
    </w:p>
    <w:p w14:paraId="50AA064E" w14:textId="3043D3B0" w:rsidR="00273470" w:rsidRPr="004A478C" w:rsidRDefault="001A5C63" w:rsidP="003B28E4">
      <w:pPr>
        <w:tabs>
          <w:tab w:val="left" w:pos="4680"/>
        </w:tabs>
        <w:spacing w:line="240" w:lineRule="auto"/>
        <w:ind w:left="2" w:right="397"/>
        <w:rPr>
          <w:lang w:val="lt-LT"/>
        </w:rPr>
      </w:pPr>
      <w:proofErr w:type="spellStart"/>
      <w:r w:rsidRPr="004A478C">
        <w:rPr>
          <w:lang w:val="lt-LT"/>
        </w:rPr>
        <w:t>Febuxostat</w:t>
      </w:r>
      <w:proofErr w:type="spellEnd"/>
      <w:r w:rsidRPr="004A478C">
        <w:rPr>
          <w:lang w:val="lt-LT"/>
        </w:rPr>
        <w:t xml:space="preserve"> </w:t>
      </w:r>
      <w:proofErr w:type="spellStart"/>
      <w:r w:rsidR="00911F26" w:rsidRPr="004A478C">
        <w:rPr>
          <w:lang w:val="lt-LT"/>
        </w:rPr>
        <w:t>Zentiva</w:t>
      </w:r>
      <w:proofErr w:type="spellEnd"/>
      <w:r w:rsidR="00911F26" w:rsidRPr="004A478C">
        <w:rPr>
          <w:lang w:val="lt-LT"/>
        </w:rPr>
        <w:t xml:space="preserve"> </w:t>
      </w:r>
      <w:r w:rsidR="00273470" w:rsidRPr="004A478C">
        <w:rPr>
          <w:lang w:val="lt-LT"/>
        </w:rPr>
        <w:t>tiekiamas 80</w:t>
      </w:r>
      <w:r w:rsidR="00E87295" w:rsidRPr="004A478C">
        <w:rPr>
          <w:lang w:val="lt-LT"/>
        </w:rPr>
        <w:t> mg</w:t>
      </w:r>
      <w:r w:rsidR="00273470" w:rsidRPr="004A478C">
        <w:rPr>
          <w:lang w:val="lt-LT"/>
        </w:rPr>
        <w:t xml:space="preserve"> arba 120</w:t>
      </w:r>
      <w:r w:rsidR="00E87295" w:rsidRPr="004A478C">
        <w:rPr>
          <w:lang w:val="lt-LT"/>
        </w:rPr>
        <w:t> mg</w:t>
      </w:r>
      <w:r w:rsidR="00273470" w:rsidRPr="004A478C">
        <w:rPr>
          <w:lang w:val="lt-LT"/>
        </w:rPr>
        <w:t xml:space="preserve"> tabletėmis. Gydytojas skyrė Jums tinkamiausio stiprumo tabletes.  </w:t>
      </w:r>
    </w:p>
    <w:p w14:paraId="25C0BD7F" w14:textId="77777777" w:rsidR="00273470" w:rsidRPr="004A478C" w:rsidRDefault="00273470" w:rsidP="003B28E4">
      <w:pPr>
        <w:tabs>
          <w:tab w:val="left" w:pos="4680"/>
        </w:tabs>
        <w:spacing w:line="240" w:lineRule="auto"/>
        <w:rPr>
          <w:lang w:val="lt-LT"/>
        </w:rPr>
      </w:pPr>
      <w:r w:rsidRPr="004A478C">
        <w:rPr>
          <w:lang w:val="lt-LT"/>
        </w:rPr>
        <w:t xml:space="preserve"> </w:t>
      </w:r>
    </w:p>
    <w:p w14:paraId="6E327ED6" w14:textId="2C58CCF6" w:rsidR="00273470" w:rsidRPr="004A478C" w:rsidRDefault="00273470" w:rsidP="003B28E4">
      <w:pPr>
        <w:tabs>
          <w:tab w:val="left" w:pos="4680"/>
        </w:tabs>
        <w:spacing w:line="240" w:lineRule="auto"/>
        <w:ind w:left="2" w:right="397"/>
        <w:rPr>
          <w:lang w:val="lt-LT"/>
        </w:rPr>
      </w:pPr>
      <w:r w:rsidRPr="004A478C">
        <w:rPr>
          <w:lang w:val="lt-LT"/>
        </w:rPr>
        <w:t xml:space="preserve">Toliau vartokite </w:t>
      </w:r>
      <w:proofErr w:type="spellStart"/>
      <w:r w:rsidR="001A5C63" w:rsidRPr="004A478C">
        <w:rPr>
          <w:lang w:val="lt-LT"/>
        </w:rPr>
        <w:t>Febuxostat</w:t>
      </w:r>
      <w:proofErr w:type="spellEnd"/>
      <w:r w:rsidR="001A5C63" w:rsidRPr="004A478C">
        <w:rPr>
          <w:lang w:val="lt-LT"/>
        </w:rPr>
        <w:t xml:space="preserve"> </w:t>
      </w:r>
      <w:proofErr w:type="spellStart"/>
      <w:r w:rsidR="00911F26" w:rsidRPr="004A478C">
        <w:rPr>
          <w:lang w:val="lt-LT"/>
        </w:rPr>
        <w:t>Zentiva</w:t>
      </w:r>
      <w:proofErr w:type="spellEnd"/>
      <w:r w:rsidR="00911F26" w:rsidRPr="004A478C">
        <w:rPr>
          <w:lang w:val="lt-LT"/>
        </w:rPr>
        <w:t xml:space="preserve"> </w:t>
      </w:r>
      <w:r w:rsidRPr="004A478C">
        <w:rPr>
          <w:lang w:val="lt-LT"/>
        </w:rPr>
        <w:t xml:space="preserve">kasdien, net jeigu </w:t>
      </w:r>
      <w:r w:rsidR="006030AA" w:rsidRPr="004A478C">
        <w:rPr>
          <w:lang w:val="lt-LT"/>
        </w:rPr>
        <w:t>ne</w:t>
      </w:r>
      <w:r w:rsidRPr="004A478C">
        <w:rPr>
          <w:lang w:val="lt-LT"/>
        </w:rPr>
        <w:t>patiriate podagros paūmėjim</w:t>
      </w:r>
      <w:r w:rsidR="006030AA" w:rsidRPr="004A478C">
        <w:rPr>
          <w:lang w:val="lt-LT"/>
        </w:rPr>
        <w:t>o</w:t>
      </w:r>
      <w:r w:rsidRPr="004A478C">
        <w:rPr>
          <w:lang w:val="lt-LT"/>
        </w:rPr>
        <w:t xml:space="preserve"> arba priepuol</w:t>
      </w:r>
      <w:r w:rsidR="006030AA" w:rsidRPr="004A478C">
        <w:rPr>
          <w:lang w:val="lt-LT"/>
        </w:rPr>
        <w:t>io</w:t>
      </w:r>
      <w:r w:rsidRPr="004A478C">
        <w:rPr>
          <w:lang w:val="lt-LT"/>
        </w:rPr>
        <w:t xml:space="preserve">. </w:t>
      </w:r>
    </w:p>
    <w:p w14:paraId="2238BF72" w14:textId="77777777" w:rsidR="00273470" w:rsidRPr="004A478C" w:rsidRDefault="00273470" w:rsidP="003B28E4">
      <w:pPr>
        <w:tabs>
          <w:tab w:val="left" w:pos="4680"/>
        </w:tabs>
        <w:spacing w:line="240" w:lineRule="auto"/>
        <w:rPr>
          <w:lang w:val="lt-LT"/>
        </w:rPr>
      </w:pPr>
      <w:r w:rsidRPr="004A478C">
        <w:rPr>
          <w:lang w:val="lt-LT"/>
        </w:rPr>
        <w:t xml:space="preserve"> </w:t>
      </w:r>
    </w:p>
    <w:p w14:paraId="76153ADF" w14:textId="77777777" w:rsidR="00273470" w:rsidRPr="004A478C" w:rsidRDefault="00273470" w:rsidP="003B28E4">
      <w:pPr>
        <w:tabs>
          <w:tab w:val="left" w:pos="4680"/>
        </w:tabs>
        <w:spacing w:line="240" w:lineRule="auto"/>
        <w:ind w:left="-5"/>
        <w:rPr>
          <w:lang w:val="lt-LT"/>
        </w:rPr>
      </w:pPr>
      <w:r w:rsidRPr="004A478C">
        <w:rPr>
          <w:i/>
          <w:lang w:val="lt-LT"/>
        </w:rPr>
        <w:t>Didelės šlapimo rūgšties koncentracijos profilaktika ir gydym</w:t>
      </w:r>
      <w:r w:rsidR="006030AA" w:rsidRPr="004A478C">
        <w:rPr>
          <w:i/>
          <w:lang w:val="lt-LT"/>
        </w:rPr>
        <w:t>as</w:t>
      </w:r>
      <w:r w:rsidRPr="004A478C">
        <w:rPr>
          <w:i/>
          <w:lang w:val="lt-LT"/>
        </w:rPr>
        <w:t xml:space="preserve"> pacientams, kuriems taikoma chemoterapija </w:t>
      </w:r>
      <w:r w:rsidR="00E6042C" w:rsidRPr="004A478C">
        <w:rPr>
          <w:i/>
          <w:lang w:val="lt-LT"/>
        </w:rPr>
        <w:t xml:space="preserve">nuo </w:t>
      </w:r>
      <w:r w:rsidRPr="004A478C">
        <w:rPr>
          <w:i/>
          <w:lang w:val="lt-LT"/>
        </w:rPr>
        <w:t xml:space="preserve">vėžio </w:t>
      </w:r>
    </w:p>
    <w:p w14:paraId="07FA112D" w14:textId="71DEC735" w:rsidR="00273470" w:rsidRPr="004A478C" w:rsidRDefault="001A5C63" w:rsidP="004A478C">
      <w:pPr>
        <w:tabs>
          <w:tab w:val="left" w:pos="4680"/>
        </w:tabs>
        <w:spacing w:line="240" w:lineRule="auto"/>
        <w:rPr>
          <w:lang w:val="lt-LT"/>
        </w:rPr>
      </w:pPr>
      <w:proofErr w:type="spellStart"/>
      <w:r w:rsidRPr="004A478C">
        <w:rPr>
          <w:lang w:val="lt-LT"/>
        </w:rPr>
        <w:t>Febuxostat</w:t>
      </w:r>
      <w:proofErr w:type="spellEnd"/>
      <w:r w:rsidRPr="004A478C">
        <w:rPr>
          <w:lang w:val="lt-LT"/>
        </w:rPr>
        <w:t xml:space="preserve"> </w:t>
      </w:r>
      <w:proofErr w:type="spellStart"/>
      <w:r w:rsidR="00911F26" w:rsidRPr="004A478C">
        <w:rPr>
          <w:lang w:val="lt-LT"/>
        </w:rPr>
        <w:t>Zentiva</w:t>
      </w:r>
      <w:proofErr w:type="spellEnd"/>
      <w:r w:rsidR="00911F26" w:rsidRPr="004A478C">
        <w:rPr>
          <w:lang w:val="lt-LT"/>
        </w:rPr>
        <w:t xml:space="preserve"> </w:t>
      </w:r>
      <w:r w:rsidR="00273470" w:rsidRPr="004A478C">
        <w:rPr>
          <w:lang w:val="lt-LT"/>
        </w:rPr>
        <w:t>tiekiamas 120</w:t>
      </w:r>
      <w:r w:rsidR="00E87295" w:rsidRPr="004A478C">
        <w:rPr>
          <w:lang w:val="lt-LT"/>
        </w:rPr>
        <w:t> mg</w:t>
      </w:r>
      <w:r w:rsidR="00273470" w:rsidRPr="004A478C">
        <w:rPr>
          <w:lang w:val="lt-LT"/>
        </w:rPr>
        <w:t xml:space="preserve"> tabletėmis. </w:t>
      </w:r>
    </w:p>
    <w:p w14:paraId="1F719F5A" w14:textId="0C0EB648" w:rsidR="00273470" w:rsidRPr="004A478C" w:rsidRDefault="00273470" w:rsidP="003B28E4">
      <w:pPr>
        <w:tabs>
          <w:tab w:val="left" w:pos="4680"/>
        </w:tabs>
        <w:spacing w:line="240" w:lineRule="auto"/>
        <w:ind w:left="2" w:right="397"/>
        <w:rPr>
          <w:lang w:val="lt-LT"/>
        </w:rPr>
      </w:pPr>
      <w:r w:rsidRPr="004A478C">
        <w:rPr>
          <w:lang w:val="lt-LT"/>
        </w:rPr>
        <w:t xml:space="preserve">Pradėkite gerti </w:t>
      </w:r>
      <w:proofErr w:type="spellStart"/>
      <w:r w:rsidR="001A5C63" w:rsidRPr="004A478C">
        <w:rPr>
          <w:lang w:val="lt-LT"/>
        </w:rPr>
        <w:t>Febuxostat</w:t>
      </w:r>
      <w:proofErr w:type="spellEnd"/>
      <w:r w:rsidR="001A5C63" w:rsidRPr="004A478C">
        <w:rPr>
          <w:lang w:val="lt-LT"/>
        </w:rPr>
        <w:t xml:space="preserve"> </w:t>
      </w:r>
      <w:proofErr w:type="spellStart"/>
      <w:r w:rsidR="00911F26" w:rsidRPr="004A478C">
        <w:rPr>
          <w:lang w:val="lt-LT"/>
        </w:rPr>
        <w:t>Zentiva</w:t>
      </w:r>
      <w:proofErr w:type="spellEnd"/>
      <w:r w:rsidR="00911F26" w:rsidRPr="004A478C">
        <w:rPr>
          <w:lang w:val="lt-LT"/>
        </w:rPr>
        <w:t xml:space="preserve"> </w:t>
      </w:r>
      <w:r w:rsidRPr="004A478C">
        <w:rPr>
          <w:lang w:val="lt-LT"/>
        </w:rPr>
        <w:t xml:space="preserve">tabletes </w:t>
      </w:r>
      <w:r w:rsidR="008A265E" w:rsidRPr="004A478C">
        <w:rPr>
          <w:lang w:val="lt-LT"/>
        </w:rPr>
        <w:t>dvi</w:t>
      </w:r>
      <w:r w:rsidRPr="004A478C">
        <w:rPr>
          <w:lang w:val="lt-LT"/>
        </w:rPr>
        <w:t xml:space="preserve"> dienas prieš chemoterapijos pradžią ir tęskite vartojimą pagal Jūsų gydytojo nurodymus. Dažniausiai gydymas yra trumpalaikis. </w:t>
      </w:r>
    </w:p>
    <w:p w14:paraId="64FAF56B" w14:textId="77777777" w:rsidR="00273470" w:rsidRPr="004A478C" w:rsidRDefault="00273470" w:rsidP="003B28E4">
      <w:pPr>
        <w:tabs>
          <w:tab w:val="left" w:pos="4680"/>
        </w:tabs>
        <w:spacing w:line="240" w:lineRule="auto"/>
        <w:rPr>
          <w:lang w:val="lt-LT"/>
        </w:rPr>
      </w:pPr>
    </w:p>
    <w:p w14:paraId="0AA5ECC8" w14:textId="360047B7" w:rsidR="00273470" w:rsidRPr="004A478C" w:rsidRDefault="00273470" w:rsidP="004A478C">
      <w:pPr>
        <w:keepNext/>
        <w:tabs>
          <w:tab w:val="left" w:pos="4680"/>
        </w:tabs>
        <w:spacing w:line="240" w:lineRule="auto"/>
        <w:rPr>
          <w:lang w:val="lt-LT"/>
        </w:rPr>
      </w:pPr>
      <w:r w:rsidRPr="004A478C">
        <w:rPr>
          <w:b/>
          <w:lang w:val="lt-LT"/>
        </w:rPr>
        <w:t xml:space="preserve">Ką daryti pavartojus per didelę </w:t>
      </w:r>
      <w:proofErr w:type="spellStart"/>
      <w:r w:rsidR="001A5C63" w:rsidRPr="004A478C">
        <w:rPr>
          <w:b/>
          <w:lang w:val="lt-LT"/>
        </w:rPr>
        <w:t>Febuxostat</w:t>
      </w:r>
      <w:proofErr w:type="spellEnd"/>
      <w:r w:rsidR="001A5C63" w:rsidRPr="004A478C">
        <w:rPr>
          <w:b/>
          <w:lang w:val="lt-LT"/>
        </w:rPr>
        <w:t xml:space="preserve"> </w:t>
      </w:r>
      <w:proofErr w:type="spellStart"/>
      <w:r w:rsidR="00911F26" w:rsidRPr="004A478C">
        <w:rPr>
          <w:b/>
          <w:lang w:val="lt-LT"/>
        </w:rPr>
        <w:t>Zentiva</w:t>
      </w:r>
      <w:proofErr w:type="spellEnd"/>
      <w:r w:rsidR="00911F26" w:rsidRPr="004A478C">
        <w:rPr>
          <w:b/>
          <w:lang w:val="lt-LT"/>
        </w:rPr>
        <w:t xml:space="preserve"> </w:t>
      </w:r>
      <w:r w:rsidRPr="004A478C">
        <w:rPr>
          <w:b/>
          <w:lang w:val="lt-LT"/>
        </w:rPr>
        <w:t xml:space="preserve">dozę </w:t>
      </w:r>
    </w:p>
    <w:p w14:paraId="3D43C18B" w14:textId="77777777" w:rsidR="00273470" w:rsidRPr="004A478C" w:rsidRDefault="00273470" w:rsidP="004A478C">
      <w:pPr>
        <w:tabs>
          <w:tab w:val="left" w:pos="4680"/>
        </w:tabs>
        <w:spacing w:line="240" w:lineRule="auto"/>
        <w:rPr>
          <w:lang w:val="lt-LT"/>
        </w:rPr>
      </w:pPr>
      <w:r w:rsidRPr="004A478C">
        <w:rPr>
          <w:lang w:val="lt-LT"/>
        </w:rPr>
        <w:t xml:space="preserve">Jeigu atsitiktinai pavartojote vaisto daugiau, nei reikia, klauskite gydytojo, ką turėtumėte daryti, arba kreipkitės į artimiausią </w:t>
      </w:r>
      <w:r w:rsidR="00E6042C" w:rsidRPr="004A478C">
        <w:rPr>
          <w:lang w:val="lt-LT"/>
        </w:rPr>
        <w:t xml:space="preserve">skubios </w:t>
      </w:r>
      <w:r w:rsidRPr="004A478C">
        <w:rPr>
          <w:lang w:val="lt-LT"/>
        </w:rPr>
        <w:t xml:space="preserve">pagalbos skyrių. </w:t>
      </w:r>
    </w:p>
    <w:p w14:paraId="6B64C6B0" w14:textId="77777777" w:rsidR="00273470" w:rsidRPr="004A478C" w:rsidRDefault="00273470" w:rsidP="003B28E4">
      <w:pPr>
        <w:tabs>
          <w:tab w:val="left" w:pos="4680"/>
        </w:tabs>
        <w:spacing w:line="240" w:lineRule="auto"/>
        <w:rPr>
          <w:lang w:val="lt-LT"/>
        </w:rPr>
      </w:pPr>
      <w:r w:rsidRPr="004A478C">
        <w:rPr>
          <w:lang w:val="lt-LT"/>
        </w:rPr>
        <w:lastRenderedPageBreak/>
        <w:t xml:space="preserve"> </w:t>
      </w:r>
    </w:p>
    <w:p w14:paraId="14273BEF" w14:textId="7590B9E0" w:rsidR="00273470" w:rsidRPr="004A478C" w:rsidRDefault="00273470" w:rsidP="003B28E4">
      <w:pPr>
        <w:pStyle w:val="Antrat2"/>
        <w:tabs>
          <w:tab w:val="left" w:pos="4680"/>
        </w:tabs>
        <w:spacing w:before="0" w:after="0" w:line="240" w:lineRule="auto"/>
        <w:ind w:left="-5" w:right="77"/>
        <w:rPr>
          <w:rFonts w:ascii="Times New Roman" w:hAnsi="Times New Roman"/>
          <w:i w:val="0"/>
          <w:sz w:val="22"/>
          <w:lang w:val="lt-LT"/>
        </w:rPr>
      </w:pPr>
      <w:r w:rsidRPr="004A478C">
        <w:rPr>
          <w:rFonts w:ascii="Times New Roman" w:hAnsi="Times New Roman"/>
          <w:i w:val="0"/>
          <w:sz w:val="22"/>
          <w:lang w:val="lt-LT"/>
        </w:rPr>
        <w:t xml:space="preserve">Pamiršus pavartoti </w:t>
      </w:r>
      <w:proofErr w:type="spellStart"/>
      <w:r w:rsidR="001A5C63" w:rsidRPr="004A478C">
        <w:rPr>
          <w:rFonts w:ascii="Times New Roman" w:hAnsi="Times New Roman"/>
          <w:i w:val="0"/>
          <w:sz w:val="22"/>
          <w:lang w:val="lt-LT"/>
        </w:rPr>
        <w:t>Febuxostat</w:t>
      </w:r>
      <w:proofErr w:type="spellEnd"/>
      <w:r w:rsidR="001A5C63" w:rsidRPr="004A478C">
        <w:rPr>
          <w:rFonts w:ascii="Times New Roman" w:hAnsi="Times New Roman"/>
          <w:i w:val="0"/>
          <w:sz w:val="22"/>
          <w:lang w:val="lt-LT"/>
        </w:rPr>
        <w:t xml:space="preserve"> </w:t>
      </w:r>
      <w:proofErr w:type="spellStart"/>
      <w:r w:rsidR="00911F26" w:rsidRPr="004A478C">
        <w:rPr>
          <w:rFonts w:ascii="Times New Roman" w:hAnsi="Times New Roman"/>
          <w:i w:val="0"/>
          <w:sz w:val="22"/>
          <w:lang w:val="lt-LT"/>
        </w:rPr>
        <w:t>Zentiva</w:t>
      </w:r>
      <w:proofErr w:type="spellEnd"/>
    </w:p>
    <w:p w14:paraId="0166F7B6" w14:textId="0F743400" w:rsidR="00273470" w:rsidRPr="004A478C" w:rsidRDefault="00273470" w:rsidP="004A478C">
      <w:pPr>
        <w:tabs>
          <w:tab w:val="left" w:pos="4680"/>
        </w:tabs>
        <w:spacing w:line="240" w:lineRule="auto"/>
        <w:rPr>
          <w:lang w:val="lt-LT"/>
        </w:rPr>
      </w:pPr>
      <w:r w:rsidRPr="004A478C">
        <w:rPr>
          <w:lang w:val="lt-LT"/>
        </w:rPr>
        <w:t xml:space="preserve">Jeigu pamiršote išgerti </w:t>
      </w:r>
      <w:proofErr w:type="spellStart"/>
      <w:r w:rsidR="001A5C63" w:rsidRPr="004A478C">
        <w:rPr>
          <w:lang w:val="lt-LT"/>
        </w:rPr>
        <w:t>Febuxostat</w:t>
      </w:r>
      <w:proofErr w:type="spellEnd"/>
      <w:r w:rsidR="001A5C63" w:rsidRPr="004A478C">
        <w:rPr>
          <w:lang w:val="lt-LT"/>
        </w:rPr>
        <w:t xml:space="preserve"> </w:t>
      </w:r>
      <w:proofErr w:type="spellStart"/>
      <w:r w:rsidR="00911F26" w:rsidRPr="004A478C">
        <w:rPr>
          <w:lang w:val="lt-LT"/>
        </w:rPr>
        <w:t>Zentiva</w:t>
      </w:r>
      <w:proofErr w:type="spellEnd"/>
      <w:r w:rsidR="00911F26" w:rsidRPr="004A478C">
        <w:rPr>
          <w:lang w:val="lt-LT"/>
        </w:rPr>
        <w:t xml:space="preserve"> </w:t>
      </w:r>
      <w:r w:rsidRPr="004A478C">
        <w:rPr>
          <w:lang w:val="lt-LT"/>
        </w:rPr>
        <w:t xml:space="preserve">dozę, išgerkite iš karto prisiminę, nebent jau laikas vartoti kitą dozę. Tokiu atveju tiesiog praleiskite pamirštąją dozę ir suvartokite kitą dozę įprastu metu. Negalima vartoti dvigubos dozės norint kompensuoti praleistą dozę. </w:t>
      </w:r>
    </w:p>
    <w:p w14:paraId="6639C107" w14:textId="77777777" w:rsidR="00273470" w:rsidRPr="004A478C" w:rsidRDefault="00273470" w:rsidP="003B28E4">
      <w:pPr>
        <w:tabs>
          <w:tab w:val="left" w:pos="4680"/>
        </w:tabs>
        <w:spacing w:line="240" w:lineRule="auto"/>
        <w:rPr>
          <w:lang w:val="lt-LT"/>
        </w:rPr>
      </w:pPr>
      <w:r w:rsidRPr="004A478C">
        <w:rPr>
          <w:lang w:val="lt-LT"/>
        </w:rPr>
        <w:t xml:space="preserve"> </w:t>
      </w:r>
    </w:p>
    <w:p w14:paraId="50AF276C" w14:textId="1D41BD6B" w:rsidR="00273470" w:rsidRPr="004A478C" w:rsidRDefault="00273470" w:rsidP="003B28E4">
      <w:pPr>
        <w:pStyle w:val="Antrat2"/>
        <w:tabs>
          <w:tab w:val="left" w:pos="4680"/>
        </w:tabs>
        <w:spacing w:before="0" w:after="0" w:line="240" w:lineRule="auto"/>
        <w:ind w:left="-5" w:right="77"/>
        <w:rPr>
          <w:rFonts w:ascii="Times New Roman" w:hAnsi="Times New Roman"/>
          <w:i w:val="0"/>
          <w:sz w:val="22"/>
          <w:lang w:val="lt-LT"/>
        </w:rPr>
      </w:pPr>
      <w:r w:rsidRPr="004A478C">
        <w:rPr>
          <w:rFonts w:ascii="Times New Roman" w:hAnsi="Times New Roman"/>
          <w:i w:val="0"/>
          <w:sz w:val="22"/>
          <w:lang w:val="lt-LT"/>
        </w:rPr>
        <w:t xml:space="preserve">Nustojus vartoti </w:t>
      </w:r>
      <w:proofErr w:type="spellStart"/>
      <w:r w:rsidR="001A5C63" w:rsidRPr="004A478C">
        <w:rPr>
          <w:rFonts w:ascii="Times New Roman" w:hAnsi="Times New Roman"/>
          <w:i w:val="0"/>
          <w:sz w:val="22"/>
          <w:lang w:val="lt-LT"/>
        </w:rPr>
        <w:t>Febuxostat</w:t>
      </w:r>
      <w:proofErr w:type="spellEnd"/>
      <w:r w:rsidR="001A5C63" w:rsidRPr="004A478C">
        <w:rPr>
          <w:rFonts w:ascii="Times New Roman" w:hAnsi="Times New Roman"/>
          <w:i w:val="0"/>
          <w:sz w:val="22"/>
          <w:lang w:val="lt-LT"/>
        </w:rPr>
        <w:t xml:space="preserve"> </w:t>
      </w:r>
      <w:proofErr w:type="spellStart"/>
      <w:r w:rsidR="00911F26" w:rsidRPr="004A478C">
        <w:rPr>
          <w:rFonts w:ascii="Times New Roman" w:hAnsi="Times New Roman"/>
          <w:i w:val="0"/>
          <w:sz w:val="22"/>
          <w:lang w:val="lt-LT"/>
        </w:rPr>
        <w:t>Zentiva</w:t>
      </w:r>
      <w:proofErr w:type="spellEnd"/>
    </w:p>
    <w:p w14:paraId="08E05072" w14:textId="331155F9" w:rsidR="00273470" w:rsidRPr="004A478C" w:rsidRDefault="00273470" w:rsidP="004A478C">
      <w:pPr>
        <w:tabs>
          <w:tab w:val="left" w:pos="4680"/>
        </w:tabs>
        <w:spacing w:line="240" w:lineRule="auto"/>
        <w:rPr>
          <w:lang w:val="lt-LT"/>
        </w:rPr>
      </w:pPr>
      <w:r w:rsidRPr="004A478C">
        <w:rPr>
          <w:lang w:val="lt-LT"/>
        </w:rPr>
        <w:t xml:space="preserve">Nenustokite vartoti </w:t>
      </w:r>
      <w:proofErr w:type="spellStart"/>
      <w:r w:rsidR="001A5C63" w:rsidRPr="004A478C">
        <w:rPr>
          <w:lang w:val="lt-LT"/>
        </w:rPr>
        <w:t>Febuxostat</w:t>
      </w:r>
      <w:proofErr w:type="spellEnd"/>
      <w:r w:rsidR="001A5C63" w:rsidRPr="004A478C">
        <w:rPr>
          <w:lang w:val="lt-LT"/>
        </w:rPr>
        <w:t xml:space="preserve"> </w:t>
      </w:r>
      <w:proofErr w:type="spellStart"/>
      <w:r w:rsidR="00911F26" w:rsidRPr="004A478C">
        <w:rPr>
          <w:lang w:val="lt-LT"/>
        </w:rPr>
        <w:t>Zentiva</w:t>
      </w:r>
      <w:proofErr w:type="spellEnd"/>
      <w:r w:rsidR="00911F26" w:rsidRPr="004A478C">
        <w:rPr>
          <w:lang w:val="lt-LT"/>
        </w:rPr>
        <w:t xml:space="preserve"> </w:t>
      </w:r>
      <w:r w:rsidRPr="004A478C">
        <w:rPr>
          <w:lang w:val="lt-LT"/>
        </w:rPr>
        <w:t xml:space="preserve">be gydytojo nurodymo, net jeigu pasijutote geriau. Jeigu nustosite vartoti </w:t>
      </w:r>
      <w:proofErr w:type="spellStart"/>
      <w:r w:rsidR="001A5C63" w:rsidRPr="004A478C">
        <w:rPr>
          <w:lang w:val="lt-LT"/>
        </w:rPr>
        <w:t>Febuxostat</w:t>
      </w:r>
      <w:proofErr w:type="spellEnd"/>
      <w:r w:rsidR="001A5C63" w:rsidRPr="004A478C">
        <w:rPr>
          <w:lang w:val="lt-LT"/>
        </w:rPr>
        <w:t xml:space="preserve"> </w:t>
      </w:r>
      <w:proofErr w:type="spellStart"/>
      <w:r w:rsidR="00911F26" w:rsidRPr="004A478C">
        <w:rPr>
          <w:lang w:val="lt-LT"/>
        </w:rPr>
        <w:t>Zentiva</w:t>
      </w:r>
      <w:proofErr w:type="spellEnd"/>
      <w:r w:rsidRPr="004A478C">
        <w:rPr>
          <w:lang w:val="lt-LT"/>
        </w:rPr>
        <w:t xml:space="preserve">, šlapimo rūgšties kiekis gali pradėti didėti ir Jūsų simptomai pasunkės dėl susiformavusių naujų uratų kristalų Jūsų sąnariuose ir šalia jų bei </w:t>
      </w:r>
      <w:proofErr w:type="spellStart"/>
      <w:r w:rsidRPr="004A478C">
        <w:rPr>
          <w:lang w:val="lt-LT"/>
        </w:rPr>
        <w:t>bei</w:t>
      </w:r>
      <w:proofErr w:type="spellEnd"/>
      <w:r w:rsidRPr="004A478C">
        <w:rPr>
          <w:lang w:val="lt-LT"/>
        </w:rPr>
        <w:t xml:space="preserve"> inkstuose.  </w:t>
      </w:r>
    </w:p>
    <w:p w14:paraId="207AD752" w14:textId="77777777" w:rsidR="00273470" w:rsidRPr="004A478C" w:rsidRDefault="00273470" w:rsidP="003B28E4">
      <w:pPr>
        <w:tabs>
          <w:tab w:val="left" w:pos="4680"/>
        </w:tabs>
        <w:spacing w:line="240" w:lineRule="auto"/>
        <w:rPr>
          <w:lang w:val="lt-LT"/>
        </w:rPr>
      </w:pPr>
      <w:r w:rsidRPr="004A478C">
        <w:rPr>
          <w:lang w:val="lt-LT"/>
        </w:rPr>
        <w:t xml:space="preserve"> </w:t>
      </w:r>
    </w:p>
    <w:p w14:paraId="23A31738" w14:textId="77777777" w:rsidR="00273470" w:rsidRPr="004A478C" w:rsidRDefault="00273470" w:rsidP="003B28E4">
      <w:pPr>
        <w:tabs>
          <w:tab w:val="left" w:pos="4680"/>
        </w:tabs>
        <w:spacing w:line="240" w:lineRule="auto"/>
        <w:ind w:left="2" w:right="397"/>
        <w:rPr>
          <w:lang w:val="lt-LT"/>
        </w:rPr>
      </w:pPr>
      <w:r w:rsidRPr="004A478C">
        <w:rPr>
          <w:lang w:val="lt-LT"/>
        </w:rPr>
        <w:t xml:space="preserve">Jeigu kiltų daugiau klausimų dėl šio vaisto vartojimo, kreipkitės į gydytoją arba vaistininką. </w:t>
      </w:r>
    </w:p>
    <w:p w14:paraId="42BE7C30" w14:textId="77777777" w:rsidR="00273470" w:rsidRPr="004A478C" w:rsidRDefault="00273470" w:rsidP="003B28E4">
      <w:pPr>
        <w:tabs>
          <w:tab w:val="left" w:pos="4680"/>
        </w:tabs>
        <w:spacing w:line="240" w:lineRule="auto"/>
        <w:rPr>
          <w:lang w:val="lt-LT"/>
        </w:rPr>
      </w:pPr>
      <w:r w:rsidRPr="004A478C">
        <w:rPr>
          <w:lang w:val="lt-LT"/>
        </w:rPr>
        <w:t xml:space="preserve"> </w:t>
      </w:r>
    </w:p>
    <w:p w14:paraId="20AF03CC" w14:textId="77777777" w:rsidR="00273470" w:rsidRPr="004A478C" w:rsidRDefault="00273470" w:rsidP="003B28E4">
      <w:pPr>
        <w:tabs>
          <w:tab w:val="left" w:pos="4680"/>
        </w:tabs>
        <w:spacing w:line="240" w:lineRule="auto"/>
        <w:rPr>
          <w:lang w:val="lt-LT"/>
        </w:rPr>
      </w:pPr>
      <w:r w:rsidRPr="004A478C">
        <w:rPr>
          <w:lang w:val="lt-LT"/>
        </w:rPr>
        <w:t xml:space="preserve"> </w:t>
      </w:r>
    </w:p>
    <w:p w14:paraId="75317216" w14:textId="77777777" w:rsidR="00273470" w:rsidRPr="004A478C" w:rsidRDefault="00273470" w:rsidP="003B28E4">
      <w:pPr>
        <w:pStyle w:val="Antrat3"/>
        <w:tabs>
          <w:tab w:val="center" w:pos="1679"/>
          <w:tab w:val="left" w:pos="4680"/>
        </w:tabs>
        <w:spacing w:before="0" w:after="0" w:line="240" w:lineRule="auto"/>
        <w:ind w:left="-15"/>
        <w:rPr>
          <w:rFonts w:ascii="Times New Roman" w:hAnsi="Times New Roman"/>
          <w:sz w:val="22"/>
          <w:lang w:val="lt-LT"/>
        </w:rPr>
      </w:pPr>
      <w:r w:rsidRPr="004A478C">
        <w:rPr>
          <w:rFonts w:ascii="Times New Roman" w:hAnsi="Times New Roman"/>
          <w:sz w:val="22"/>
          <w:lang w:val="lt-LT"/>
        </w:rPr>
        <w:t xml:space="preserve">4. </w:t>
      </w:r>
      <w:r w:rsidRPr="004A478C">
        <w:rPr>
          <w:rFonts w:ascii="Times New Roman" w:hAnsi="Times New Roman"/>
          <w:sz w:val="22"/>
          <w:lang w:val="lt-LT"/>
        </w:rPr>
        <w:tab/>
        <w:t xml:space="preserve">Galimas šalutinis poveikis </w:t>
      </w:r>
    </w:p>
    <w:p w14:paraId="04F2B30D" w14:textId="77777777" w:rsidR="00273470" w:rsidRPr="004A478C" w:rsidRDefault="00273470" w:rsidP="003B28E4">
      <w:pPr>
        <w:tabs>
          <w:tab w:val="left" w:pos="4680"/>
        </w:tabs>
        <w:spacing w:line="240" w:lineRule="auto"/>
        <w:rPr>
          <w:lang w:val="lt-LT"/>
        </w:rPr>
      </w:pPr>
      <w:r w:rsidRPr="004A478C">
        <w:rPr>
          <w:lang w:val="lt-LT"/>
        </w:rPr>
        <w:t xml:space="preserve"> </w:t>
      </w:r>
    </w:p>
    <w:p w14:paraId="6DCBB357" w14:textId="77777777" w:rsidR="00273470" w:rsidRPr="004A478C" w:rsidRDefault="00273470" w:rsidP="003B28E4">
      <w:pPr>
        <w:tabs>
          <w:tab w:val="left" w:pos="4680"/>
        </w:tabs>
        <w:spacing w:line="240" w:lineRule="auto"/>
        <w:ind w:left="2" w:right="397"/>
        <w:rPr>
          <w:lang w:val="lt-LT"/>
        </w:rPr>
      </w:pPr>
      <w:r w:rsidRPr="004A478C">
        <w:rPr>
          <w:lang w:val="lt-LT"/>
        </w:rPr>
        <w:t xml:space="preserve">Šis vaistas, kaip ir kiti, gali sukelti šalutinį poveikį, nors jis pasireiškia ne visiems žmonėms. </w:t>
      </w:r>
    </w:p>
    <w:p w14:paraId="3AAC0498" w14:textId="77777777" w:rsidR="00273470" w:rsidRPr="004A478C" w:rsidRDefault="00273470" w:rsidP="003B28E4">
      <w:pPr>
        <w:tabs>
          <w:tab w:val="left" w:pos="4680"/>
        </w:tabs>
        <w:spacing w:line="240" w:lineRule="auto"/>
        <w:rPr>
          <w:lang w:val="lt-LT"/>
        </w:rPr>
      </w:pPr>
      <w:r w:rsidRPr="004A478C">
        <w:rPr>
          <w:lang w:val="lt-LT"/>
        </w:rPr>
        <w:t xml:space="preserve"> </w:t>
      </w:r>
    </w:p>
    <w:p w14:paraId="74391BF3" w14:textId="7FE2670C" w:rsidR="00273470" w:rsidRPr="004A478C" w:rsidRDefault="00273470" w:rsidP="003B28E4">
      <w:pPr>
        <w:tabs>
          <w:tab w:val="left" w:pos="4680"/>
        </w:tabs>
        <w:spacing w:line="240" w:lineRule="auto"/>
        <w:ind w:left="-5" w:right="434"/>
        <w:jc w:val="both"/>
        <w:rPr>
          <w:lang w:val="lt-LT"/>
        </w:rPr>
      </w:pPr>
      <w:r w:rsidRPr="004A478C">
        <w:rPr>
          <w:lang w:val="lt-LT"/>
        </w:rPr>
        <w:t xml:space="preserve">Nutraukite vaisto vartojimą ir nedelsiant kreipkitės į gydytoją arba vykite į artimiausią </w:t>
      </w:r>
      <w:r w:rsidR="00E6042C" w:rsidRPr="004A478C">
        <w:rPr>
          <w:lang w:val="lt-LT"/>
        </w:rPr>
        <w:t xml:space="preserve">skubios </w:t>
      </w:r>
      <w:r w:rsidRPr="004A478C">
        <w:rPr>
          <w:lang w:val="lt-LT"/>
        </w:rPr>
        <w:t xml:space="preserve">pagalbos skyrių, jeigu atsirastų retas (gali pasireikšti </w:t>
      </w:r>
      <w:r w:rsidR="00E6042C" w:rsidRPr="004A478C">
        <w:rPr>
          <w:lang w:val="lt-LT"/>
        </w:rPr>
        <w:t xml:space="preserve">rečiau </w:t>
      </w:r>
      <w:proofErr w:type="spellStart"/>
      <w:r w:rsidR="001847A6">
        <w:rPr>
          <w:szCs w:val="22"/>
          <w:lang w:val="lt-LT"/>
        </w:rPr>
        <w:t>kapi</w:t>
      </w:r>
      <w:proofErr w:type="spellEnd"/>
      <w:r w:rsidR="001847A6" w:rsidRPr="004A478C">
        <w:rPr>
          <w:lang w:val="lt-LT"/>
        </w:rPr>
        <w:t xml:space="preserve"> </w:t>
      </w:r>
      <w:r w:rsidRPr="004A478C">
        <w:rPr>
          <w:lang w:val="lt-LT"/>
        </w:rPr>
        <w:t xml:space="preserve">1 iš </w:t>
      </w:r>
      <w:r w:rsidRPr="004B0C8F">
        <w:rPr>
          <w:szCs w:val="22"/>
          <w:lang w:val="lt-LT"/>
        </w:rPr>
        <w:t>1</w:t>
      </w:r>
      <w:r w:rsidR="001847A6">
        <w:rPr>
          <w:szCs w:val="22"/>
          <w:lang w:val="lt-LT"/>
        </w:rPr>
        <w:t> </w:t>
      </w:r>
      <w:r w:rsidRPr="004B0C8F">
        <w:rPr>
          <w:szCs w:val="22"/>
          <w:lang w:val="lt-LT"/>
        </w:rPr>
        <w:t xml:space="preserve">000 </w:t>
      </w:r>
      <w:r w:rsidR="001847A6">
        <w:rPr>
          <w:szCs w:val="22"/>
          <w:lang w:val="lt-LT"/>
        </w:rPr>
        <w:t>asmenų</w:t>
      </w:r>
      <w:r w:rsidRPr="004A478C">
        <w:rPr>
          <w:lang w:val="lt-LT"/>
        </w:rPr>
        <w:t xml:space="preserve">) šalutinis poveikis, nes gali būti sunkių alerginių reakcijų: </w:t>
      </w:r>
    </w:p>
    <w:p w14:paraId="4DF22639" w14:textId="77777777" w:rsidR="00273470" w:rsidRPr="004A478C" w:rsidRDefault="00273470" w:rsidP="003B28E4">
      <w:pPr>
        <w:numPr>
          <w:ilvl w:val="0"/>
          <w:numId w:val="11"/>
        </w:numPr>
        <w:spacing w:line="240" w:lineRule="auto"/>
        <w:ind w:left="567" w:right="488" w:hanging="567"/>
        <w:rPr>
          <w:lang w:val="lt-LT"/>
        </w:rPr>
      </w:pPr>
      <w:r w:rsidRPr="004A478C">
        <w:rPr>
          <w:lang w:val="lt-LT"/>
        </w:rPr>
        <w:t xml:space="preserve">anafilaksinė reakcija, padidėjęs jautrumas vaistams (žr. taip pat 2 skyrių „Įspėjimai ir atsargumo priemonės“); </w:t>
      </w:r>
    </w:p>
    <w:p w14:paraId="5DB136BE" w14:textId="07C3D611" w:rsidR="00AD43B9" w:rsidRPr="004A478C" w:rsidRDefault="00273470" w:rsidP="003B28E4">
      <w:pPr>
        <w:numPr>
          <w:ilvl w:val="0"/>
          <w:numId w:val="11"/>
        </w:numPr>
        <w:spacing w:line="240" w:lineRule="auto"/>
        <w:ind w:left="567" w:right="488" w:hanging="567"/>
        <w:rPr>
          <w:lang w:val="lt-LT"/>
        </w:rPr>
      </w:pPr>
      <w:r w:rsidRPr="004A478C">
        <w:rPr>
          <w:lang w:val="lt-LT"/>
        </w:rPr>
        <w:t>gyvybei pavojingas pūslelinis išbėrimas odoje ir kūno ertmių paviršiuje (burnos ir lyties organų gleivinių pažeidimai), skausmingų opų burnoje ir (arba) lyties organų srityje susidarymas, atsiradęs karščiavimas, gerklės skausmas ir nuovargis (</w:t>
      </w:r>
      <w:proofErr w:type="spellStart"/>
      <w:r w:rsidRPr="004A478C">
        <w:rPr>
          <w:lang w:val="lt-LT"/>
        </w:rPr>
        <w:t>Stivenso</w:t>
      </w:r>
      <w:proofErr w:type="spellEnd"/>
      <w:r w:rsidRPr="004A478C">
        <w:rPr>
          <w:lang w:val="lt-LT"/>
        </w:rPr>
        <w:t xml:space="preserve">-Džonsono sindromas </w:t>
      </w:r>
      <w:r w:rsidR="00AD43B9" w:rsidRPr="004A478C">
        <w:rPr>
          <w:lang w:val="lt-LT"/>
        </w:rPr>
        <w:t>arba</w:t>
      </w:r>
      <w:r w:rsidRPr="004A478C">
        <w:rPr>
          <w:lang w:val="lt-LT"/>
        </w:rPr>
        <w:t xml:space="preserve"> toksinė epidermio </w:t>
      </w:r>
      <w:proofErr w:type="spellStart"/>
      <w:r w:rsidRPr="004A478C">
        <w:rPr>
          <w:lang w:val="lt-LT"/>
        </w:rPr>
        <w:t>nekrolizė</w:t>
      </w:r>
      <w:proofErr w:type="spellEnd"/>
      <w:r w:rsidRPr="004A478C">
        <w:rPr>
          <w:lang w:val="lt-LT"/>
        </w:rPr>
        <w:t xml:space="preserve">), arba padidėję limfmazgiai, kepenų padidėjimas, hepatitas (iki kepenų nepakankamumo), baltųjų kraujo kūnelių skaičiaus padidėjimas (reakcija į vaistą su </w:t>
      </w:r>
      <w:proofErr w:type="spellStart"/>
      <w:r w:rsidRPr="004A478C">
        <w:rPr>
          <w:lang w:val="lt-LT"/>
        </w:rPr>
        <w:t>eozinofilija</w:t>
      </w:r>
      <w:proofErr w:type="spellEnd"/>
      <w:r w:rsidRPr="004A478C">
        <w:rPr>
          <w:lang w:val="lt-LT"/>
        </w:rPr>
        <w:t xml:space="preserve"> ir sisteminiais simptomais - DRESS) (žr. 2 skyrių); </w:t>
      </w:r>
    </w:p>
    <w:p w14:paraId="728DEF49" w14:textId="7EF810C1" w:rsidR="00273470" w:rsidRPr="004A478C" w:rsidRDefault="00273470" w:rsidP="003B28E4">
      <w:pPr>
        <w:numPr>
          <w:ilvl w:val="0"/>
          <w:numId w:val="11"/>
        </w:numPr>
        <w:spacing w:line="240" w:lineRule="auto"/>
        <w:ind w:left="567" w:right="488" w:hanging="567"/>
        <w:rPr>
          <w:lang w:val="lt-LT"/>
        </w:rPr>
      </w:pPr>
      <w:r w:rsidRPr="004A478C">
        <w:rPr>
          <w:lang w:val="lt-LT"/>
        </w:rPr>
        <w:t xml:space="preserve">visame kūne išplitęs odos išbėrimas. </w:t>
      </w:r>
    </w:p>
    <w:p w14:paraId="4A21C2AC" w14:textId="77777777" w:rsidR="00273470" w:rsidRPr="004A478C" w:rsidRDefault="00273470" w:rsidP="003B28E4">
      <w:pPr>
        <w:spacing w:line="240" w:lineRule="auto"/>
        <w:ind w:left="567" w:hanging="567"/>
        <w:rPr>
          <w:lang w:val="lt-LT"/>
        </w:rPr>
      </w:pPr>
      <w:r w:rsidRPr="004A478C">
        <w:rPr>
          <w:lang w:val="lt-LT"/>
        </w:rPr>
        <w:t xml:space="preserve"> </w:t>
      </w:r>
    </w:p>
    <w:p w14:paraId="0C3623C5" w14:textId="0C31BC50" w:rsidR="00273470" w:rsidRPr="004A478C" w:rsidRDefault="001847A6" w:rsidP="003B28E4">
      <w:pPr>
        <w:tabs>
          <w:tab w:val="left" w:pos="4680"/>
        </w:tabs>
        <w:spacing w:line="240" w:lineRule="auto"/>
        <w:ind w:left="2" w:right="397"/>
        <w:rPr>
          <w:lang w:val="lt-LT"/>
        </w:rPr>
      </w:pPr>
      <w:r w:rsidRPr="001847A6">
        <w:rPr>
          <w:b/>
          <w:szCs w:val="22"/>
          <w:lang w:val="lt-LT"/>
        </w:rPr>
        <w:t>Dažni šalutinio poveikio reiškiniai (gali pasireikšti</w:t>
      </w:r>
      <w:r w:rsidRPr="004A478C">
        <w:rPr>
          <w:b/>
          <w:lang w:val="lt-LT"/>
        </w:rPr>
        <w:t xml:space="preserve"> rečiau </w:t>
      </w:r>
      <w:r w:rsidRPr="001847A6">
        <w:rPr>
          <w:b/>
          <w:szCs w:val="22"/>
          <w:lang w:val="lt-LT"/>
        </w:rPr>
        <w:t>kaip</w:t>
      </w:r>
      <w:r w:rsidRPr="004A478C">
        <w:rPr>
          <w:b/>
          <w:lang w:val="lt-LT"/>
        </w:rPr>
        <w:t xml:space="preserve"> 1 iš 10 </w:t>
      </w:r>
      <w:r w:rsidRPr="001847A6">
        <w:rPr>
          <w:b/>
          <w:szCs w:val="22"/>
          <w:lang w:val="lt-LT"/>
        </w:rPr>
        <w:t>asmenų</w:t>
      </w:r>
      <w:r w:rsidRPr="004A478C">
        <w:rPr>
          <w:b/>
          <w:lang w:val="lt-LT"/>
        </w:rPr>
        <w:t>):</w:t>
      </w:r>
      <w:r w:rsidR="00273470" w:rsidRPr="004A478C">
        <w:rPr>
          <w:lang w:val="lt-LT"/>
        </w:rPr>
        <w:t xml:space="preserve"> </w:t>
      </w:r>
    </w:p>
    <w:p w14:paraId="1406E388" w14:textId="77777777" w:rsidR="00273470" w:rsidRPr="004A478C" w:rsidRDefault="00273470" w:rsidP="003B28E4">
      <w:pPr>
        <w:numPr>
          <w:ilvl w:val="0"/>
          <w:numId w:val="12"/>
        </w:numPr>
        <w:spacing w:line="240" w:lineRule="auto"/>
        <w:ind w:right="397" w:hanging="506"/>
        <w:rPr>
          <w:lang w:val="lt-LT"/>
        </w:rPr>
      </w:pPr>
      <w:r w:rsidRPr="004A478C">
        <w:rPr>
          <w:lang w:val="lt-LT"/>
        </w:rPr>
        <w:t xml:space="preserve">nenormalūs kepenų funkcijos tyrimų rezultatai; </w:t>
      </w:r>
    </w:p>
    <w:p w14:paraId="67539D43" w14:textId="77777777" w:rsidR="00273470" w:rsidRPr="004A478C" w:rsidRDefault="00273470" w:rsidP="003B28E4">
      <w:pPr>
        <w:numPr>
          <w:ilvl w:val="0"/>
          <w:numId w:val="12"/>
        </w:numPr>
        <w:spacing w:line="240" w:lineRule="auto"/>
        <w:ind w:right="397" w:hanging="506"/>
        <w:rPr>
          <w:lang w:val="lt-LT"/>
        </w:rPr>
      </w:pPr>
      <w:r w:rsidRPr="004A478C">
        <w:rPr>
          <w:lang w:val="lt-LT"/>
        </w:rPr>
        <w:t xml:space="preserve">viduriavimas;  </w:t>
      </w:r>
    </w:p>
    <w:p w14:paraId="0DC510C6" w14:textId="77777777" w:rsidR="00273470" w:rsidRPr="004A478C" w:rsidRDefault="00273470" w:rsidP="003B28E4">
      <w:pPr>
        <w:numPr>
          <w:ilvl w:val="0"/>
          <w:numId w:val="12"/>
        </w:numPr>
        <w:spacing w:line="240" w:lineRule="auto"/>
        <w:ind w:right="397" w:hanging="506"/>
        <w:rPr>
          <w:lang w:val="lt-LT"/>
        </w:rPr>
      </w:pPr>
      <w:r w:rsidRPr="004A478C">
        <w:rPr>
          <w:lang w:val="lt-LT"/>
        </w:rPr>
        <w:t xml:space="preserve">galvos skausmas;  </w:t>
      </w:r>
    </w:p>
    <w:p w14:paraId="5C2131F4" w14:textId="2C96412E" w:rsidR="00273470" w:rsidRPr="004A478C" w:rsidRDefault="00273470" w:rsidP="003B28E4">
      <w:pPr>
        <w:numPr>
          <w:ilvl w:val="0"/>
          <w:numId w:val="12"/>
        </w:numPr>
        <w:spacing w:line="240" w:lineRule="auto"/>
        <w:ind w:right="397" w:hanging="506"/>
        <w:rPr>
          <w:lang w:val="lt-LT"/>
        </w:rPr>
      </w:pPr>
      <w:r w:rsidRPr="004A478C">
        <w:rPr>
          <w:lang w:val="lt-LT"/>
        </w:rPr>
        <w:t xml:space="preserve">išbėrimas (įskaitant įvairius išbėrimus; žr. žemiau aprašytuose skirsniuose </w:t>
      </w:r>
      <w:r w:rsidR="00D3698C" w:rsidRPr="004B0C8F">
        <w:rPr>
          <w:bCs/>
          <w:szCs w:val="22"/>
          <w:lang w:val="lt-LT"/>
        </w:rPr>
        <w:t>„</w:t>
      </w:r>
      <w:r w:rsidR="00D3698C" w:rsidRPr="004B0C8F">
        <w:rPr>
          <w:szCs w:val="22"/>
          <w:lang w:val="lt-LT"/>
        </w:rPr>
        <w:t>N</w:t>
      </w:r>
      <w:r w:rsidRPr="004B0C8F">
        <w:rPr>
          <w:szCs w:val="22"/>
          <w:lang w:val="lt-LT"/>
        </w:rPr>
        <w:t>edažn</w:t>
      </w:r>
      <w:r w:rsidR="00FC22F8">
        <w:rPr>
          <w:szCs w:val="22"/>
          <w:lang w:val="lt-LT"/>
        </w:rPr>
        <w:t>i</w:t>
      </w:r>
      <w:r w:rsidRPr="004A478C">
        <w:rPr>
          <w:lang w:val="lt-LT"/>
        </w:rPr>
        <w:t xml:space="preserve">” ir </w:t>
      </w:r>
      <w:r w:rsidR="00D3698C" w:rsidRPr="004B0C8F">
        <w:rPr>
          <w:bCs/>
          <w:szCs w:val="22"/>
          <w:lang w:val="lt-LT"/>
        </w:rPr>
        <w:t>„</w:t>
      </w:r>
      <w:r w:rsidR="00D3698C" w:rsidRPr="004B0C8F">
        <w:rPr>
          <w:szCs w:val="22"/>
          <w:lang w:val="lt-LT"/>
        </w:rPr>
        <w:t>R</w:t>
      </w:r>
      <w:r w:rsidRPr="004B0C8F">
        <w:rPr>
          <w:szCs w:val="22"/>
          <w:lang w:val="lt-LT"/>
        </w:rPr>
        <w:t>et</w:t>
      </w:r>
      <w:r w:rsidR="00FC22F8">
        <w:rPr>
          <w:szCs w:val="22"/>
          <w:lang w:val="lt-LT"/>
        </w:rPr>
        <w:t>i</w:t>
      </w:r>
      <w:r w:rsidRPr="004A478C">
        <w:rPr>
          <w:lang w:val="lt-LT"/>
        </w:rPr>
        <w:t xml:space="preserve">”); </w:t>
      </w:r>
    </w:p>
    <w:p w14:paraId="0086360F" w14:textId="77777777" w:rsidR="00273470" w:rsidRPr="004A478C" w:rsidRDefault="00273470" w:rsidP="003B28E4">
      <w:pPr>
        <w:numPr>
          <w:ilvl w:val="0"/>
          <w:numId w:val="12"/>
        </w:numPr>
        <w:spacing w:line="240" w:lineRule="auto"/>
        <w:ind w:right="397" w:hanging="506"/>
        <w:rPr>
          <w:lang w:val="lt-LT"/>
        </w:rPr>
      </w:pPr>
      <w:r w:rsidRPr="004A478C">
        <w:rPr>
          <w:lang w:val="lt-LT"/>
        </w:rPr>
        <w:t xml:space="preserve">pykinimas; </w:t>
      </w:r>
    </w:p>
    <w:p w14:paraId="37D49DD0" w14:textId="77777777" w:rsidR="00273470" w:rsidRPr="004A478C" w:rsidRDefault="00273470" w:rsidP="003B28E4">
      <w:pPr>
        <w:numPr>
          <w:ilvl w:val="0"/>
          <w:numId w:val="12"/>
        </w:numPr>
        <w:spacing w:line="240" w:lineRule="auto"/>
        <w:ind w:right="397" w:hanging="506"/>
        <w:rPr>
          <w:lang w:val="lt-LT"/>
        </w:rPr>
      </w:pPr>
      <w:r w:rsidRPr="004A478C">
        <w:rPr>
          <w:lang w:val="lt-LT"/>
        </w:rPr>
        <w:t>podagros simptomų sustiprėjimas;</w:t>
      </w:r>
    </w:p>
    <w:p w14:paraId="7053363B" w14:textId="2B73A885" w:rsidR="008A265E" w:rsidRPr="004A478C" w:rsidRDefault="00273470" w:rsidP="003B28E4">
      <w:pPr>
        <w:numPr>
          <w:ilvl w:val="0"/>
          <w:numId w:val="12"/>
        </w:numPr>
        <w:spacing w:line="240" w:lineRule="auto"/>
        <w:ind w:right="397" w:hanging="506"/>
        <w:rPr>
          <w:lang w:val="lt-LT"/>
        </w:rPr>
      </w:pPr>
      <w:r w:rsidRPr="004A478C">
        <w:rPr>
          <w:lang w:val="lt-LT"/>
        </w:rPr>
        <w:t>vietinis patinimas dėl skysčių susilaikymo audiniuose (edema)</w:t>
      </w:r>
      <w:r w:rsidR="008A265E" w:rsidRPr="004A478C">
        <w:rPr>
          <w:lang w:val="lt-LT"/>
        </w:rPr>
        <w:t>;</w:t>
      </w:r>
      <w:r w:rsidRPr="004A478C">
        <w:rPr>
          <w:lang w:val="lt-LT"/>
        </w:rPr>
        <w:t xml:space="preserve"> </w:t>
      </w:r>
    </w:p>
    <w:p w14:paraId="3EBF99BA" w14:textId="2158597C" w:rsidR="000725F8" w:rsidRPr="004A478C" w:rsidRDefault="000725F8" w:rsidP="003B28E4">
      <w:pPr>
        <w:numPr>
          <w:ilvl w:val="0"/>
          <w:numId w:val="12"/>
        </w:numPr>
        <w:spacing w:line="240" w:lineRule="auto"/>
        <w:ind w:right="397" w:hanging="506"/>
        <w:rPr>
          <w:lang w:val="lt-LT"/>
        </w:rPr>
      </w:pPr>
      <w:r w:rsidRPr="004A478C">
        <w:rPr>
          <w:lang w:val="lt-LT"/>
        </w:rPr>
        <w:t>svaigulys</w:t>
      </w:r>
    </w:p>
    <w:p w14:paraId="303869B5" w14:textId="77777777" w:rsidR="008A265E" w:rsidRPr="004A478C" w:rsidRDefault="008A265E" w:rsidP="003B28E4">
      <w:pPr>
        <w:numPr>
          <w:ilvl w:val="0"/>
          <w:numId w:val="12"/>
        </w:numPr>
        <w:spacing w:line="240" w:lineRule="auto"/>
        <w:ind w:right="397" w:hanging="506"/>
        <w:rPr>
          <w:lang w:val="lt-LT"/>
        </w:rPr>
      </w:pPr>
      <w:r w:rsidRPr="004A478C">
        <w:rPr>
          <w:lang w:val="lt-LT"/>
        </w:rPr>
        <w:t>dusulys;</w:t>
      </w:r>
    </w:p>
    <w:p w14:paraId="72B70F86" w14:textId="0F14D148" w:rsidR="00273470" w:rsidRPr="004A478C" w:rsidRDefault="008A265E" w:rsidP="003B28E4">
      <w:pPr>
        <w:numPr>
          <w:ilvl w:val="0"/>
          <w:numId w:val="12"/>
        </w:numPr>
        <w:spacing w:line="240" w:lineRule="auto"/>
        <w:ind w:right="397" w:hanging="506"/>
        <w:rPr>
          <w:lang w:val="lt-LT"/>
        </w:rPr>
      </w:pPr>
      <w:r w:rsidRPr="004A478C">
        <w:rPr>
          <w:lang w:val="lt-LT"/>
        </w:rPr>
        <w:t>nie</w:t>
      </w:r>
      <w:r w:rsidRPr="004B0C8F">
        <w:rPr>
          <w:lang w:val="lt-LT"/>
        </w:rPr>
        <w:t>žulys;</w:t>
      </w:r>
    </w:p>
    <w:p w14:paraId="6CD0A532" w14:textId="58848A8A" w:rsidR="008A265E" w:rsidRPr="004A478C" w:rsidRDefault="008A265E" w:rsidP="003B28E4">
      <w:pPr>
        <w:numPr>
          <w:ilvl w:val="0"/>
          <w:numId w:val="12"/>
        </w:numPr>
        <w:spacing w:line="240" w:lineRule="auto"/>
        <w:ind w:right="397" w:hanging="506"/>
        <w:rPr>
          <w:lang w:val="lt-LT"/>
        </w:rPr>
      </w:pPr>
      <w:r w:rsidRPr="004B0C8F">
        <w:rPr>
          <w:lang w:val="lt-LT"/>
        </w:rPr>
        <w:t>galūnių skausmas, raumenų/sąnarių skausmas;</w:t>
      </w:r>
    </w:p>
    <w:p w14:paraId="6FC3C6BE" w14:textId="33625E93" w:rsidR="008A265E" w:rsidRPr="004A478C" w:rsidRDefault="008A265E" w:rsidP="003B28E4">
      <w:pPr>
        <w:numPr>
          <w:ilvl w:val="0"/>
          <w:numId w:val="12"/>
        </w:numPr>
        <w:spacing w:line="240" w:lineRule="auto"/>
        <w:ind w:right="397" w:hanging="506"/>
        <w:rPr>
          <w:lang w:val="lt-LT"/>
        </w:rPr>
      </w:pPr>
      <w:r w:rsidRPr="004B0C8F">
        <w:rPr>
          <w:lang w:val="lt-LT"/>
        </w:rPr>
        <w:t>nuovargis.</w:t>
      </w:r>
    </w:p>
    <w:p w14:paraId="73DB809C" w14:textId="77777777" w:rsidR="00273470" w:rsidRPr="004A478C" w:rsidRDefault="00273470" w:rsidP="003B28E4">
      <w:pPr>
        <w:tabs>
          <w:tab w:val="left" w:pos="4680"/>
        </w:tabs>
        <w:spacing w:line="240" w:lineRule="auto"/>
        <w:rPr>
          <w:lang w:val="lt-LT"/>
        </w:rPr>
      </w:pPr>
      <w:r w:rsidRPr="004A478C">
        <w:rPr>
          <w:lang w:val="lt-LT"/>
        </w:rPr>
        <w:t xml:space="preserve"> </w:t>
      </w:r>
    </w:p>
    <w:p w14:paraId="46E1E778" w14:textId="77777777" w:rsidR="00273470" w:rsidRPr="004A478C" w:rsidRDefault="00273470" w:rsidP="003B28E4">
      <w:pPr>
        <w:tabs>
          <w:tab w:val="left" w:pos="4680"/>
        </w:tabs>
        <w:spacing w:line="240" w:lineRule="auto"/>
        <w:ind w:left="2" w:right="397"/>
        <w:rPr>
          <w:lang w:val="lt-LT"/>
        </w:rPr>
      </w:pPr>
      <w:r w:rsidRPr="004A478C">
        <w:rPr>
          <w:lang w:val="lt-LT"/>
        </w:rPr>
        <w:t xml:space="preserve">Kiti šalutiniai </w:t>
      </w:r>
      <w:r w:rsidR="00D3698C" w:rsidRPr="004A478C">
        <w:rPr>
          <w:lang w:val="lt-LT"/>
        </w:rPr>
        <w:t xml:space="preserve">poveikiai </w:t>
      </w:r>
      <w:r w:rsidRPr="004A478C">
        <w:rPr>
          <w:lang w:val="lt-LT"/>
        </w:rPr>
        <w:t>nepaminėti</w:t>
      </w:r>
      <w:r w:rsidR="00D3698C" w:rsidRPr="004A478C">
        <w:rPr>
          <w:lang w:val="lt-LT"/>
        </w:rPr>
        <w:t xml:space="preserve"> pirmiau</w:t>
      </w:r>
      <w:r w:rsidRPr="004A478C">
        <w:rPr>
          <w:lang w:val="lt-LT"/>
        </w:rPr>
        <w:t xml:space="preserve"> išvardyti </w:t>
      </w:r>
      <w:r w:rsidR="00D3698C" w:rsidRPr="004A478C">
        <w:rPr>
          <w:lang w:val="lt-LT"/>
        </w:rPr>
        <w:t>toliau</w:t>
      </w:r>
      <w:r w:rsidRPr="004A478C">
        <w:rPr>
          <w:lang w:val="lt-LT"/>
        </w:rPr>
        <w:t xml:space="preserve">. </w:t>
      </w:r>
    </w:p>
    <w:p w14:paraId="6379B7BD" w14:textId="77777777" w:rsidR="00273470" w:rsidRPr="004A478C" w:rsidRDefault="00273470" w:rsidP="003B28E4">
      <w:pPr>
        <w:tabs>
          <w:tab w:val="left" w:pos="4680"/>
        </w:tabs>
        <w:spacing w:line="240" w:lineRule="auto"/>
        <w:rPr>
          <w:lang w:val="lt-LT"/>
        </w:rPr>
      </w:pPr>
      <w:r w:rsidRPr="004A478C">
        <w:rPr>
          <w:lang w:val="lt-LT"/>
        </w:rPr>
        <w:t xml:space="preserve"> </w:t>
      </w:r>
    </w:p>
    <w:p w14:paraId="4F8AC2FF" w14:textId="346F91C6" w:rsidR="00273470" w:rsidRPr="004A478C" w:rsidRDefault="001847A6" w:rsidP="003B28E4">
      <w:pPr>
        <w:tabs>
          <w:tab w:val="left" w:pos="4680"/>
        </w:tabs>
        <w:spacing w:line="240" w:lineRule="auto"/>
        <w:ind w:left="2" w:right="397"/>
        <w:rPr>
          <w:lang w:val="lt-LT"/>
        </w:rPr>
      </w:pPr>
      <w:r w:rsidRPr="001847A6">
        <w:rPr>
          <w:b/>
          <w:lang w:val="lt-LT"/>
        </w:rPr>
        <w:t>Nedažni šalutinio poveikio reiškiniai (gali pasireikšti</w:t>
      </w:r>
      <w:r w:rsidRPr="004A478C">
        <w:rPr>
          <w:b/>
          <w:lang w:val="lt-LT"/>
        </w:rPr>
        <w:t xml:space="preserve"> rečiau </w:t>
      </w:r>
      <w:r w:rsidRPr="001847A6">
        <w:rPr>
          <w:b/>
          <w:lang w:val="lt-LT"/>
        </w:rPr>
        <w:t>kaip</w:t>
      </w:r>
      <w:r w:rsidRPr="004A478C">
        <w:rPr>
          <w:b/>
          <w:lang w:val="lt-LT"/>
        </w:rPr>
        <w:t xml:space="preserve"> 1 iš 100 </w:t>
      </w:r>
      <w:r w:rsidRPr="001847A6">
        <w:rPr>
          <w:b/>
          <w:lang w:val="lt-LT"/>
        </w:rPr>
        <w:t>asmenų</w:t>
      </w:r>
      <w:r w:rsidRPr="004A478C">
        <w:rPr>
          <w:b/>
          <w:lang w:val="lt-LT"/>
        </w:rPr>
        <w:t>):</w:t>
      </w:r>
      <w:r w:rsidR="00273470" w:rsidRPr="004A478C">
        <w:rPr>
          <w:lang w:val="lt-LT"/>
        </w:rPr>
        <w:t xml:space="preserve"> </w:t>
      </w:r>
    </w:p>
    <w:p w14:paraId="19679BB6" w14:textId="77777777" w:rsidR="00273470" w:rsidRPr="004A478C" w:rsidRDefault="00273470" w:rsidP="003B28E4">
      <w:pPr>
        <w:numPr>
          <w:ilvl w:val="0"/>
          <w:numId w:val="12"/>
        </w:numPr>
        <w:spacing w:line="240" w:lineRule="auto"/>
        <w:ind w:right="397" w:hanging="506"/>
        <w:rPr>
          <w:lang w:val="lt-LT"/>
        </w:rPr>
      </w:pPr>
      <w:r w:rsidRPr="004A478C">
        <w:rPr>
          <w:lang w:val="lt-LT"/>
        </w:rPr>
        <w:t xml:space="preserve">sumažėjęs apetitas, cukraus kiekio kraujyje pokyčiai (diabetas), kurių požymis gali būti sustiprėjęs troškulys, padidėjęs riebalų kiekis kraujyje, svorio padidėjimas; </w:t>
      </w:r>
    </w:p>
    <w:p w14:paraId="36CD5E40" w14:textId="77777777" w:rsidR="00273470" w:rsidRPr="004A478C" w:rsidRDefault="00273470" w:rsidP="003B28E4">
      <w:pPr>
        <w:numPr>
          <w:ilvl w:val="0"/>
          <w:numId w:val="12"/>
        </w:numPr>
        <w:spacing w:line="240" w:lineRule="auto"/>
        <w:ind w:right="397" w:hanging="506"/>
        <w:rPr>
          <w:lang w:val="lt-LT"/>
        </w:rPr>
      </w:pPr>
      <w:r w:rsidRPr="004A478C">
        <w:rPr>
          <w:lang w:val="lt-LT"/>
        </w:rPr>
        <w:t xml:space="preserve">lytinio potraukio praradimas; </w:t>
      </w:r>
    </w:p>
    <w:p w14:paraId="7FA57B83" w14:textId="77777777" w:rsidR="00273470" w:rsidRPr="004A478C" w:rsidRDefault="00273470" w:rsidP="003B28E4">
      <w:pPr>
        <w:numPr>
          <w:ilvl w:val="0"/>
          <w:numId w:val="12"/>
        </w:numPr>
        <w:spacing w:line="240" w:lineRule="auto"/>
        <w:ind w:right="397" w:hanging="506"/>
        <w:rPr>
          <w:lang w:val="lt-LT"/>
        </w:rPr>
      </w:pPr>
      <w:r w:rsidRPr="004A478C">
        <w:rPr>
          <w:lang w:val="lt-LT"/>
        </w:rPr>
        <w:t xml:space="preserve">miego sutrikimai, mieguistumas; </w:t>
      </w:r>
    </w:p>
    <w:p w14:paraId="0A804E9F" w14:textId="37382103" w:rsidR="00273470" w:rsidRPr="004A478C" w:rsidRDefault="00273470" w:rsidP="003B28E4">
      <w:pPr>
        <w:numPr>
          <w:ilvl w:val="0"/>
          <w:numId w:val="12"/>
        </w:numPr>
        <w:spacing w:line="240" w:lineRule="auto"/>
        <w:ind w:right="397" w:hanging="506"/>
        <w:rPr>
          <w:lang w:val="lt-LT"/>
        </w:rPr>
      </w:pPr>
      <w:r w:rsidRPr="004A478C">
        <w:rPr>
          <w:lang w:val="lt-LT"/>
        </w:rPr>
        <w:t>sąstingis arba dilgčiojimas, jutimo susilpnėjimas arba pakitimas (</w:t>
      </w:r>
      <w:proofErr w:type="spellStart"/>
      <w:r w:rsidRPr="004A478C">
        <w:rPr>
          <w:lang w:val="lt-LT"/>
        </w:rPr>
        <w:t>hipestezija</w:t>
      </w:r>
      <w:proofErr w:type="spellEnd"/>
      <w:r w:rsidRPr="004A478C">
        <w:rPr>
          <w:lang w:val="lt-LT"/>
        </w:rPr>
        <w:t xml:space="preserve">, </w:t>
      </w:r>
    </w:p>
    <w:p w14:paraId="7754F151" w14:textId="00544899" w:rsidR="00273470" w:rsidRPr="004A478C" w:rsidRDefault="00273470" w:rsidP="003B28E4">
      <w:pPr>
        <w:spacing w:line="240" w:lineRule="auto"/>
        <w:ind w:left="517" w:right="397"/>
        <w:rPr>
          <w:lang w:val="lt-LT"/>
        </w:rPr>
      </w:pPr>
      <w:proofErr w:type="spellStart"/>
      <w:r w:rsidRPr="004A478C">
        <w:rPr>
          <w:lang w:val="lt-LT"/>
        </w:rPr>
        <w:t>hemiparezė</w:t>
      </w:r>
      <w:proofErr w:type="spellEnd"/>
      <w:r w:rsidRPr="004A478C">
        <w:rPr>
          <w:lang w:val="lt-LT"/>
        </w:rPr>
        <w:t xml:space="preserve"> arba </w:t>
      </w:r>
      <w:proofErr w:type="spellStart"/>
      <w:r w:rsidRPr="004A478C">
        <w:rPr>
          <w:lang w:val="lt-LT"/>
        </w:rPr>
        <w:t>parestezija</w:t>
      </w:r>
      <w:proofErr w:type="spellEnd"/>
      <w:r w:rsidRPr="004A478C">
        <w:rPr>
          <w:lang w:val="lt-LT"/>
        </w:rPr>
        <w:t>), pakitęs skonio pojūtis</w:t>
      </w:r>
      <w:r w:rsidR="00060829" w:rsidRPr="004A478C">
        <w:rPr>
          <w:lang w:val="lt-LT"/>
        </w:rPr>
        <w:t xml:space="preserve">, susilpnėjusi uoslė </w:t>
      </w:r>
      <w:r w:rsidRPr="004A478C">
        <w:rPr>
          <w:lang w:val="lt-LT"/>
        </w:rPr>
        <w:t>(</w:t>
      </w:r>
      <w:proofErr w:type="spellStart"/>
      <w:r w:rsidRPr="004A478C">
        <w:rPr>
          <w:lang w:val="lt-LT"/>
        </w:rPr>
        <w:t>hiposmija</w:t>
      </w:r>
      <w:proofErr w:type="spellEnd"/>
      <w:r w:rsidRPr="004A478C">
        <w:rPr>
          <w:lang w:val="lt-LT"/>
        </w:rPr>
        <w:t xml:space="preserve">); </w:t>
      </w:r>
    </w:p>
    <w:p w14:paraId="10BA9C2D" w14:textId="77777777" w:rsidR="00273470" w:rsidRPr="004A478C" w:rsidRDefault="00273470" w:rsidP="003B28E4">
      <w:pPr>
        <w:numPr>
          <w:ilvl w:val="0"/>
          <w:numId w:val="12"/>
        </w:numPr>
        <w:spacing w:line="240" w:lineRule="auto"/>
        <w:ind w:right="397" w:hanging="506"/>
        <w:rPr>
          <w:lang w:val="lt-LT"/>
        </w:rPr>
      </w:pPr>
      <w:r w:rsidRPr="004A478C">
        <w:rPr>
          <w:lang w:val="lt-LT"/>
        </w:rPr>
        <w:lastRenderedPageBreak/>
        <w:t>nenormalūs širdies veiklos rodmenys EKG, nereguliarus arba dažnas širdies ritmas, širdies plakimo jutimas (</w:t>
      </w:r>
      <w:proofErr w:type="spellStart"/>
      <w:r w:rsidRPr="004A478C">
        <w:rPr>
          <w:lang w:val="lt-LT"/>
        </w:rPr>
        <w:t>palpitacija</w:t>
      </w:r>
      <w:proofErr w:type="spellEnd"/>
      <w:r w:rsidRPr="004A478C">
        <w:rPr>
          <w:lang w:val="lt-LT"/>
        </w:rPr>
        <w:t xml:space="preserve">); </w:t>
      </w:r>
    </w:p>
    <w:p w14:paraId="6206259D" w14:textId="77777777" w:rsidR="00273470" w:rsidRPr="004A478C" w:rsidRDefault="00273470" w:rsidP="003B28E4">
      <w:pPr>
        <w:numPr>
          <w:ilvl w:val="0"/>
          <w:numId w:val="12"/>
        </w:numPr>
        <w:spacing w:line="240" w:lineRule="auto"/>
        <w:ind w:right="397" w:hanging="506"/>
        <w:rPr>
          <w:lang w:val="lt-LT"/>
        </w:rPr>
      </w:pPr>
      <w:r w:rsidRPr="004A478C">
        <w:rPr>
          <w:lang w:val="lt-LT"/>
        </w:rPr>
        <w:t>karščio pylimas arba kaitimas (pvz., veido arba sprando paraudimas), kraujospūdžio padidėjimas, kraujavimas (</w:t>
      </w:r>
      <w:proofErr w:type="spellStart"/>
      <w:r w:rsidRPr="004A478C">
        <w:rPr>
          <w:lang w:val="lt-LT"/>
        </w:rPr>
        <w:t>hemoragijos</w:t>
      </w:r>
      <w:proofErr w:type="spellEnd"/>
      <w:r w:rsidRPr="004A478C">
        <w:rPr>
          <w:lang w:val="lt-LT"/>
        </w:rPr>
        <w:t xml:space="preserve">, kurios pasitaiko tik kraujo ligomis sergantiems ir chemoterapija gydomiems pacientams dėl šių ligų); </w:t>
      </w:r>
    </w:p>
    <w:p w14:paraId="20DDEBE0" w14:textId="0C7EF5E4" w:rsidR="00273470" w:rsidRPr="004A478C" w:rsidRDefault="00273470" w:rsidP="003B28E4">
      <w:pPr>
        <w:numPr>
          <w:ilvl w:val="0"/>
          <w:numId w:val="12"/>
        </w:numPr>
        <w:spacing w:line="240" w:lineRule="auto"/>
        <w:ind w:right="397" w:hanging="506"/>
        <w:rPr>
          <w:lang w:val="lt-LT"/>
        </w:rPr>
      </w:pPr>
      <w:r w:rsidRPr="004A478C">
        <w:rPr>
          <w:lang w:val="lt-LT"/>
        </w:rPr>
        <w:t>kosulys, nemalonus jausmas arba skausmas krūtinėje, nosies ir (arba) ryklės uždegimas (viršutinių kvėpavimo takų infekcija), bronchitas</w:t>
      </w:r>
      <w:r w:rsidR="001C008B" w:rsidRPr="004A478C">
        <w:rPr>
          <w:lang w:val="lt-LT"/>
        </w:rPr>
        <w:t>, apatinių kvėpavimo takų infekcija</w:t>
      </w:r>
      <w:r w:rsidRPr="004A478C">
        <w:rPr>
          <w:lang w:val="lt-LT"/>
        </w:rPr>
        <w:t xml:space="preserve">; </w:t>
      </w:r>
    </w:p>
    <w:p w14:paraId="7CAEC32B" w14:textId="53F7BE60" w:rsidR="00273470" w:rsidRPr="004A478C" w:rsidRDefault="00273470" w:rsidP="003B28E4">
      <w:pPr>
        <w:numPr>
          <w:ilvl w:val="0"/>
          <w:numId w:val="12"/>
        </w:numPr>
        <w:spacing w:line="240" w:lineRule="auto"/>
        <w:ind w:right="397" w:hanging="506"/>
        <w:rPr>
          <w:lang w:val="lt-LT"/>
        </w:rPr>
      </w:pPr>
      <w:r w:rsidRPr="004A478C">
        <w:rPr>
          <w:lang w:val="lt-LT"/>
        </w:rPr>
        <w:t xml:space="preserve">burnos džiūvimas, pilvo skausmas arba nemalonus jausmas pilve arba pilvo pūtimas, </w:t>
      </w:r>
      <w:r w:rsidR="001C008B" w:rsidRPr="004A478C">
        <w:rPr>
          <w:lang w:val="lt-LT"/>
        </w:rPr>
        <w:t xml:space="preserve">pilvo skausmas viršutinėje dalyje, </w:t>
      </w:r>
      <w:r w:rsidRPr="004A478C">
        <w:rPr>
          <w:lang w:val="lt-LT"/>
        </w:rPr>
        <w:t xml:space="preserve">rėmuo arba virškinimo sutrikimai, vidurių užkietėjimas, padažnėjęs tuštinimasis, vėmimas, nemalonus jutimas skrandyje; </w:t>
      </w:r>
    </w:p>
    <w:p w14:paraId="57823DCF" w14:textId="08B8E4E5" w:rsidR="00273470" w:rsidRPr="004A478C" w:rsidRDefault="00273470" w:rsidP="003B28E4">
      <w:pPr>
        <w:numPr>
          <w:ilvl w:val="0"/>
          <w:numId w:val="12"/>
        </w:numPr>
        <w:spacing w:line="240" w:lineRule="auto"/>
        <w:ind w:right="397" w:hanging="506"/>
        <w:rPr>
          <w:lang w:val="lt-LT"/>
        </w:rPr>
      </w:pPr>
      <w:r w:rsidRPr="004A478C">
        <w:rPr>
          <w:lang w:val="lt-LT"/>
        </w:rPr>
        <w:t>niež</w:t>
      </w:r>
      <w:r w:rsidR="001C008B" w:rsidRPr="004A478C">
        <w:rPr>
          <w:lang w:val="lt-LT"/>
        </w:rPr>
        <w:t>tintis išbėrimas</w:t>
      </w:r>
      <w:r w:rsidRPr="004A478C">
        <w:rPr>
          <w:lang w:val="lt-LT"/>
        </w:rPr>
        <w:t xml:space="preserve">, dilgėlinė, odos uždegimas, odos spalvos pakitimai, mažos raudonos arba purpurinės dėmelės odoje, plokščios raudonos dėmės odoje, plokščias raudonas odos plotas su smulkiais susiliejančiais guzais, išbėrimas, paraudimo plotai ir dėmės odoje, </w:t>
      </w:r>
      <w:r w:rsidR="000725F8" w:rsidRPr="004A478C">
        <w:rPr>
          <w:lang w:val="lt-LT"/>
        </w:rPr>
        <w:t>padidėjęs prakaitavimas</w:t>
      </w:r>
      <w:r w:rsidR="001C008B" w:rsidRPr="004A478C">
        <w:rPr>
          <w:lang w:val="lt-LT"/>
        </w:rPr>
        <w:t xml:space="preserve">, </w:t>
      </w:r>
      <w:r w:rsidR="000725F8" w:rsidRPr="004A478C">
        <w:rPr>
          <w:lang w:val="lt-LT"/>
        </w:rPr>
        <w:t>naktinis prakaitavimas</w:t>
      </w:r>
      <w:r w:rsidR="001C008B" w:rsidRPr="004A478C">
        <w:rPr>
          <w:lang w:val="lt-LT"/>
        </w:rPr>
        <w:t xml:space="preserve">, </w:t>
      </w:r>
      <w:r w:rsidR="000725F8" w:rsidRPr="004A478C">
        <w:rPr>
          <w:lang w:val="lt-LT"/>
        </w:rPr>
        <w:t>plaukų slinkimas</w:t>
      </w:r>
      <w:r w:rsidR="001C008B" w:rsidRPr="004A478C">
        <w:rPr>
          <w:lang w:val="lt-LT"/>
        </w:rPr>
        <w:t xml:space="preserve">, </w:t>
      </w:r>
      <w:r w:rsidR="000725F8" w:rsidRPr="004A478C">
        <w:rPr>
          <w:lang w:val="lt-LT"/>
        </w:rPr>
        <w:t>odos paraudimas</w:t>
      </w:r>
      <w:r w:rsidR="001C008B" w:rsidRPr="004A478C">
        <w:rPr>
          <w:lang w:val="lt-LT"/>
        </w:rPr>
        <w:t>, pso</w:t>
      </w:r>
      <w:r w:rsidR="000725F8" w:rsidRPr="004A478C">
        <w:rPr>
          <w:lang w:val="lt-LT"/>
        </w:rPr>
        <w:t>riazė</w:t>
      </w:r>
      <w:r w:rsidR="001C008B" w:rsidRPr="004A478C">
        <w:rPr>
          <w:lang w:val="lt-LT"/>
        </w:rPr>
        <w:t xml:space="preserve">, </w:t>
      </w:r>
      <w:r w:rsidR="000725F8" w:rsidRPr="004A478C">
        <w:rPr>
          <w:lang w:val="lt-LT"/>
        </w:rPr>
        <w:t>egzema</w:t>
      </w:r>
      <w:r w:rsidR="001C008B" w:rsidRPr="004A478C">
        <w:rPr>
          <w:lang w:val="lt-LT"/>
        </w:rPr>
        <w:t xml:space="preserve">, </w:t>
      </w:r>
      <w:r w:rsidRPr="004A478C">
        <w:rPr>
          <w:lang w:val="lt-LT"/>
        </w:rPr>
        <w:t xml:space="preserve">kitos odos būklės; </w:t>
      </w:r>
    </w:p>
    <w:p w14:paraId="3A8A0B56" w14:textId="6BCD843B" w:rsidR="00273470" w:rsidRPr="004A478C" w:rsidRDefault="008F522D" w:rsidP="003B28E4">
      <w:pPr>
        <w:numPr>
          <w:ilvl w:val="0"/>
          <w:numId w:val="12"/>
        </w:numPr>
        <w:spacing w:line="240" w:lineRule="auto"/>
        <w:ind w:right="397" w:hanging="506"/>
        <w:rPr>
          <w:lang w:val="lt-LT"/>
        </w:rPr>
      </w:pPr>
      <w:r w:rsidRPr="004A478C">
        <w:rPr>
          <w:lang w:val="lt-LT"/>
        </w:rPr>
        <w:t xml:space="preserve">raumenų </w:t>
      </w:r>
      <w:r w:rsidR="00273470" w:rsidRPr="004A478C">
        <w:rPr>
          <w:lang w:val="lt-LT"/>
        </w:rPr>
        <w:t>mėšlungis, raumenų silpnumas, bursitas arba artritas (sąnarių uždegimas, dažnai pasireiškiantis skausmu, tinimu ir (arba) sustingimu),  nugaros skausmas, raumenų spazmas</w:t>
      </w:r>
      <w:r w:rsidR="001C008B" w:rsidRPr="004A478C">
        <w:rPr>
          <w:lang w:val="lt-LT"/>
        </w:rPr>
        <w:t>, raumenų ir (arba) sąnarių sustingimas</w:t>
      </w:r>
      <w:r w:rsidR="00273470" w:rsidRPr="004A478C">
        <w:rPr>
          <w:lang w:val="lt-LT"/>
        </w:rPr>
        <w:t xml:space="preserve">; </w:t>
      </w:r>
    </w:p>
    <w:p w14:paraId="5CE1B39D" w14:textId="77777777" w:rsidR="00273470" w:rsidRPr="004A478C" w:rsidRDefault="00273470" w:rsidP="003B28E4">
      <w:pPr>
        <w:numPr>
          <w:ilvl w:val="0"/>
          <w:numId w:val="12"/>
        </w:numPr>
        <w:spacing w:line="240" w:lineRule="auto"/>
        <w:ind w:right="397" w:hanging="506"/>
        <w:rPr>
          <w:lang w:val="lt-LT"/>
        </w:rPr>
      </w:pPr>
      <w:r w:rsidRPr="004A478C">
        <w:rPr>
          <w:lang w:val="lt-LT"/>
        </w:rPr>
        <w:t xml:space="preserve">kraujas šlapime, nenormaliai dažnas šlapinimasis, nenormalūs šlapimo tyrimo rezultatai </w:t>
      </w:r>
    </w:p>
    <w:p w14:paraId="59B471EA" w14:textId="3CF737D6" w:rsidR="00273470" w:rsidRPr="004A478C" w:rsidRDefault="00273470" w:rsidP="003B28E4">
      <w:pPr>
        <w:spacing w:line="240" w:lineRule="auto"/>
        <w:ind w:left="516" w:right="397"/>
        <w:rPr>
          <w:lang w:val="lt-LT"/>
        </w:rPr>
      </w:pPr>
      <w:r w:rsidRPr="004A478C">
        <w:rPr>
          <w:lang w:val="lt-LT"/>
        </w:rPr>
        <w:t>(padidėjęs baltymų kiekis šlapime), susilpnėjusi inkstų funkcija</w:t>
      </w:r>
      <w:r w:rsidR="001C008B" w:rsidRPr="004A478C">
        <w:rPr>
          <w:lang w:val="lt-LT"/>
        </w:rPr>
        <w:t>, šlapimo takų infekcija</w:t>
      </w:r>
      <w:r w:rsidRPr="004A478C">
        <w:rPr>
          <w:lang w:val="lt-LT"/>
        </w:rPr>
        <w:t xml:space="preserve">; </w:t>
      </w:r>
    </w:p>
    <w:p w14:paraId="7A82FCB7" w14:textId="4656B36F" w:rsidR="00273470" w:rsidRPr="004A478C" w:rsidRDefault="00273470" w:rsidP="003B28E4">
      <w:pPr>
        <w:numPr>
          <w:ilvl w:val="0"/>
          <w:numId w:val="12"/>
        </w:numPr>
        <w:spacing w:line="240" w:lineRule="auto"/>
        <w:ind w:right="397" w:hanging="506"/>
        <w:rPr>
          <w:lang w:val="lt-LT"/>
        </w:rPr>
      </w:pPr>
      <w:r w:rsidRPr="004A478C">
        <w:rPr>
          <w:lang w:val="lt-LT"/>
        </w:rPr>
        <w:t xml:space="preserve">skausmas arba nemalonus pojūtis krūtinėje;  </w:t>
      </w:r>
    </w:p>
    <w:p w14:paraId="0E25E91A" w14:textId="77777777" w:rsidR="00273470" w:rsidRPr="004A478C" w:rsidRDefault="00273470" w:rsidP="003B28E4">
      <w:pPr>
        <w:numPr>
          <w:ilvl w:val="0"/>
          <w:numId w:val="12"/>
        </w:numPr>
        <w:spacing w:line="240" w:lineRule="auto"/>
        <w:ind w:right="397" w:hanging="506"/>
        <w:rPr>
          <w:lang w:val="lt-LT"/>
        </w:rPr>
      </w:pPr>
      <w:r w:rsidRPr="004A478C">
        <w:rPr>
          <w:lang w:val="lt-LT"/>
        </w:rPr>
        <w:t xml:space="preserve">tulžies pūslės arba latakų akmenligė; </w:t>
      </w:r>
    </w:p>
    <w:p w14:paraId="5F6C3E38" w14:textId="77777777" w:rsidR="00273470" w:rsidRPr="004A478C" w:rsidRDefault="00273470" w:rsidP="003B28E4">
      <w:pPr>
        <w:numPr>
          <w:ilvl w:val="0"/>
          <w:numId w:val="12"/>
        </w:numPr>
        <w:spacing w:line="240" w:lineRule="auto"/>
        <w:ind w:right="397" w:hanging="506"/>
        <w:rPr>
          <w:lang w:val="lt-LT"/>
        </w:rPr>
      </w:pPr>
      <w:r w:rsidRPr="004A478C">
        <w:rPr>
          <w:lang w:val="lt-LT"/>
        </w:rPr>
        <w:t xml:space="preserve">padidėjęs skydliaukės funkciją stimuliuojančio hormono kiekis kraujyje (TSH); </w:t>
      </w:r>
    </w:p>
    <w:p w14:paraId="569BD7E3" w14:textId="77777777" w:rsidR="00273470" w:rsidRPr="004A478C" w:rsidRDefault="00273470" w:rsidP="003B28E4">
      <w:pPr>
        <w:numPr>
          <w:ilvl w:val="0"/>
          <w:numId w:val="12"/>
        </w:numPr>
        <w:spacing w:line="240" w:lineRule="auto"/>
        <w:ind w:right="397" w:hanging="506"/>
        <w:rPr>
          <w:lang w:val="lt-LT"/>
        </w:rPr>
      </w:pPr>
      <w:r w:rsidRPr="004A478C">
        <w:rPr>
          <w:lang w:val="lt-LT"/>
        </w:rPr>
        <w:t xml:space="preserve">kraujo cheminių rodmenų arba kraujo ląstelių, trombocitų kiekio pokyčiai (nenormalūs kraujo tyrimo rezultatai); </w:t>
      </w:r>
    </w:p>
    <w:p w14:paraId="33B60EBC" w14:textId="77777777" w:rsidR="00273470" w:rsidRPr="004A478C" w:rsidRDefault="00273470" w:rsidP="003B28E4">
      <w:pPr>
        <w:numPr>
          <w:ilvl w:val="0"/>
          <w:numId w:val="12"/>
        </w:numPr>
        <w:spacing w:line="240" w:lineRule="auto"/>
        <w:ind w:right="397" w:hanging="506"/>
        <w:rPr>
          <w:lang w:val="lt-LT"/>
        </w:rPr>
      </w:pPr>
      <w:r w:rsidRPr="004A478C">
        <w:rPr>
          <w:lang w:val="lt-LT"/>
        </w:rPr>
        <w:t xml:space="preserve">inkstų akmenligė; </w:t>
      </w:r>
    </w:p>
    <w:p w14:paraId="57AEBD32" w14:textId="77777777" w:rsidR="001C008B" w:rsidRPr="004A478C" w:rsidRDefault="00273470" w:rsidP="002D3CB2">
      <w:pPr>
        <w:numPr>
          <w:ilvl w:val="0"/>
          <w:numId w:val="12"/>
        </w:numPr>
        <w:spacing w:line="240" w:lineRule="auto"/>
        <w:ind w:right="397" w:hanging="506"/>
        <w:rPr>
          <w:lang w:val="lt-LT"/>
        </w:rPr>
      </w:pPr>
      <w:r w:rsidRPr="004A478C">
        <w:rPr>
          <w:lang w:val="lt-LT"/>
        </w:rPr>
        <w:t>sutrikusi erekcija</w:t>
      </w:r>
      <w:r w:rsidR="001C008B" w:rsidRPr="004A478C">
        <w:rPr>
          <w:lang w:val="lt-LT"/>
        </w:rPr>
        <w:t>;</w:t>
      </w:r>
    </w:p>
    <w:p w14:paraId="2735F258" w14:textId="5EE31AE7" w:rsidR="001C008B" w:rsidRPr="004A478C" w:rsidRDefault="001C008B" w:rsidP="00FB0B5D">
      <w:pPr>
        <w:numPr>
          <w:ilvl w:val="0"/>
          <w:numId w:val="12"/>
        </w:numPr>
        <w:spacing w:line="240" w:lineRule="auto"/>
        <w:ind w:right="397" w:hanging="506"/>
        <w:rPr>
          <w:lang w:val="lt-LT"/>
        </w:rPr>
      </w:pPr>
      <w:r w:rsidRPr="004A478C">
        <w:rPr>
          <w:lang w:val="lt-LT"/>
        </w:rPr>
        <w:t>sumažėjusi skydliaukės veikla, neryškus matymas, pakitęs matymas;</w:t>
      </w:r>
    </w:p>
    <w:p w14:paraId="5B9ED3F6" w14:textId="1AD523A6" w:rsidR="001C008B" w:rsidRPr="004A478C" w:rsidRDefault="001C008B" w:rsidP="00FB0B5D">
      <w:pPr>
        <w:numPr>
          <w:ilvl w:val="0"/>
          <w:numId w:val="12"/>
        </w:numPr>
        <w:spacing w:line="240" w:lineRule="auto"/>
        <w:ind w:right="397" w:hanging="506"/>
        <w:rPr>
          <w:lang w:val="lt-LT"/>
        </w:rPr>
      </w:pPr>
      <w:r w:rsidRPr="004A478C">
        <w:rPr>
          <w:lang w:val="lt-LT"/>
        </w:rPr>
        <w:t>spengimas ausyse;</w:t>
      </w:r>
    </w:p>
    <w:p w14:paraId="773674D5" w14:textId="13E13732" w:rsidR="001C008B" w:rsidRPr="004A478C" w:rsidRDefault="001C008B" w:rsidP="00FB0B5D">
      <w:pPr>
        <w:numPr>
          <w:ilvl w:val="0"/>
          <w:numId w:val="12"/>
        </w:numPr>
        <w:spacing w:line="240" w:lineRule="auto"/>
        <w:ind w:right="397" w:hanging="506"/>
        <w:rPr>
          <w:lang w:val="lt-LT"/>
        </w:rPr>
      </w:pPr>
      <w:r w:rsidRPr="004A478C">
        <w:rPr>
          <w:lang w:val="lt-LT"/>
        </w:rPr>
        <w:t>sloga;</w:t>
      </w:r>
    </w:p>
    <w:p w14:paraId="7F2D01DE" w14:textId="5B476037" w:rsidR="001C008B" w:rsidRPr="004A478C" w:rsidRDefault="001C008B" w:rsidP="00FB0B5D">
      <w:pPr>
        <w:numPr>
          <w:ilvl w:val="0"/>
          <w:numId w:val="12"/>
        </w:numPr>
        <w:spacing w:line="240" w:lineRule="auto"/>
        <w:ind w:right="397" w:hanging="506"/>
        <w:rPr>
          <w:lang w:val="lt-LT"/>
        </w:rPr>
      </w:pPr>
      <w:r w:rsidRPr="004A478C">
        <w:rPr>
          <w:lang w:val="lt-LT"/>
        </w:rPr>
        <w:t>burnos išopėjimas;</w:t>
      </w:r>
    </w:p>
    <w:p w14:paraId="7CAD9077" w14:textId="10E7BC6E" w:rsidR="001C008B" w:rsidRPr="004A478C" w:rsidRDefault="001C008B" w:rsidP="00FB0B5D">
      <w:pPr>
        <w:numPr>
          <w:ilvl w:val="0"/>
          <w:numId w:val="12"/>
        </w:numPr>
        <w:spacing w:line="240" w:lineRule="auto"/>
        <w:ind w:right="397" w:hanging="506"/>
        <w:rPr>
          <w:lang w:val="lt-LT"/>
        </w:rPr>
      </w:pPr>
      <w:r w:rsidRPr="004A478C">
        <w:rPr>
          <w:lang w:val="lt-LT"/>
        </w:rPr>
        <w:t>kasos uždegimas: dažni simptomai yra pilvo skausmas, pykinimas ir vėmimas;</w:t>
      </w:r>
    </w:p>
    <w:p w14:paraId="298C17F3" w14:textId="68DAD015" w:rsidR="001C008B" w:rsidRPr="004A478C" w:rsidRDefault="001C008B" w:rsidP="00FB0B5D">
      <w:pPr>
        <w:numPr>
          <w:ilvl w:val="0"/>
          <w:numId w:val="12"/>
        </w:numPr>
        <w:spacing w:line="240" w:lineRule="auto"/>
        <w:ind w:right="397" w:hanging="506"/>
        <w:rPr>
          <w:lang w:val="lt-LT"/>
        </w:rPr>
      </w:pPr>
      <w:r w:rsidRPr="004A478C">
        <w:rPr>
          <w:lang w:val="lt-LT"/>
        </w:rPr>
        <w:t>skubus poreikis šlapintis;</w:t>
      </w:r>
    </w:p>
    <w:p w14:paraId="7E7F7C59" w14:textId="6272DA3E" w:rsidR="001C008B" w:rsidRPr="004A478C" w:rsidRDefault="001C008B" w:rsidP="00FB0B5D">
      <w:pPr>
        <w:numPr>
          <w:ilvl w:val="0"/>
          <w:numId w:val="12"/>
        </w:numPr>
        <w:spacing w:line="240" w:lineRule="auto"/>
        <w:ind w:right="397" w:hanging="506"/>
        <w:rPr>
          <w:lang w:val="lt-LT"/>
        </w:rPr>
      </w:pPr>
      <w:r w:rsidRPr="004A478C">
        <w:rPr>
          <w:lang w:val="lt-LT"/>
        </w:rPr>
        <w:t>skausmas;</w:t>
      </w:r>
    </w:p>
    <w:p w14:paraId="7BD24F93" w14:textId="7AF2E48E" w:rsidR="001C008B" w:rsidRPr="004A478C" w:rsidRDefault="001C008B" w:rsidP="00FB0B5D">
      <w:pPr>
        <w:numPr>
          <w:ilvl w:val="0"/>
          <w:numId w:val="12"/>
        </w:numPr>
        <w:spacing w:line="240" w:lineRule="auto"/>
        <w:ind w:right="397" w:hanging="506"/>
        <w:rPr>
          <w:lang w:val="lt-LT"/>
        </w:rPr>
      </w:pPr>
      <w:r w:rsidRPr="004A478C">
        <w:rPr>
          <w:lang w:val="lt-LT"/>
        </w:rPr>
        <w:t>negalavimas;</w:t>
      </w:r>
    </w:p>
    <w:p w14:paraId="4E43B44F" w14:textId="650F564F" w:rsidR="001C008B" w:rsidRPr="004A478C" w:rsidRDefault="001C008B" w:rsidP="00FB0B5D">
      <w:pPr>
        <w:numPr>
          <w:ilvl w:val="0"/>
          <w:numId w:val="12"/>
        </w:numPr>
        <w:spacing w:line="240" w:lineRule="auto"/>
        <w:ind w:right="397" w:hanging="506"/>
        <w:rPr>
          <w:lang w:val="lt-LT"/>
        </w:rPr>
      </w:pPr>
      <w:r w:rsidRPr="004A478C">
        <w:rPr>
          <w:lang w:val="lt-LT"/>
        </w:rPr>
        <w:t>INR padidėjimas;</w:t>
      </w:r>
    </w:p>
    <w:p w14:paraId="166928EC" w14:textId="00129BF2" w:rsidR="001C008B" w:rsidRPr="004A478C" w:rsidRDefault="001C008B" w:rsidP="00FB0B5D">
      <w:pPr>
        <w:numPr>
          <w:ilvl w:val="0"/>
          <w:numId w:val="12"/>
        </w:numPr>
        <w:spacing w:line="240" w:lineRule="auto"/>
        <w:ind w:right="397" w:hanging="506"/>
        <w:rPr>
          <w:lang w:val="lt-LT"/>
        </w:rPr>
      </w:pPr>
      <w:r w:rsidRPr="004A478C">
        <w:rPr>
          <w:lang w:val="lt-LT"/>
        </w:rPr>
        <w:t>sumušimas;</w:t>
      </w:r>
    </w:p>
    <w:p w14:paraId="6A601205" w14:textId="072E87AA" w:rsidR="00273470" w:rsidRPr="004A478C" w:rsidRDefault="001C008B" w:rsidP="002D3CB2">
      <w:pPr>
        <w:numPr>
          <w:ilvl w:val="0"/>
          <w:numId w:val="12"/>
        </w:numPr>
        <w:spacing w:line="240" w:lineRule="auto"/>
        <w:ind w:right="397" w:hanging="506"/>
        <w:rPr>
          <w:lang w:val="lt-LT"/>
        </w:rPr>
      </w:pPr>
      <w:r w:rsidRPr="004A478C">
        <w:rPr>
          <w:lang w:val="lt-LT"/>
        </w:rPr>
        <w:t>lūpų patinimas.</w:t>
      </w:r>
    </w:p>
    <w:p w14:paraId="02A02DDA" w14:textId="77777777" w:rsidR="00273470" w:rsidRPr="004A478C" w:rsidRDefault="00273470" w:rsidP="003B28E4">
      <w:pPr>
        <w:spacing w:line="240" w:lineRule="auto"/>
        <w:rPr>
          <w:lang w:val="lt-LT"/>
        </w:rPr>
      </w:pPr>
      <w:r w:rsidRPr="004A478C">
        <w:rPr>
          <w:lang w:val="lt-LT"/>
        </w:rPr>
        <w:t xml:space="preserve"> </w:t>
      </w:r>
    </w:p>
    <w:p w14:paraId="560BA41D" w14:textId="06B52C3D" w:rsidR="00273470" w:rsidRPr="004A478C" w:rsidRDefault="001847A6" w:rsidP="003B28E4">
      <w:pPr>
        <w:tabs>
          <w:tab w:val="left" w:pos="4680"/>
        </w:tabs>
        <w:spacing w:line="240" w:lineRule="auto"/>
        <w:ind w:left="2" w:right="397"/>
        <w:rPr>
          <w:lang w:val="lt-LT"/>
        </w:rPr>
      </w:pPr>
      <w:r w:rsidRPr="001847A6">
        <w:rPr>
          <w:b/>
          <w:lang w:val="lt-LT"/>
        </w:rPr>
        <w:t>Reti šalutinio poveikio reiškiniai (gali pasireikšti</w:t>
      </w:r>
      <w:r w:rsidRPr="004A478C">
        <w:rPr>
          <w:b/>
          <w:lang w:val="lt-LT"/>
        </w:rPr>
        <w:t xml:space="preserve"> rečiau </w:t>
      </w:r>
      <w:r w:rsidRPr="001847A6">
        <w:rPr>
          <w:b/>
          <w:lang w:val="lt-LT"/>
        </w:rPr>
        <w:t>kaip</w:t>
      </w:r>
      <w:r w:rsidRPr="004A478C">
        <w:rPr>
          <w:b/>
          <w:lang w:val="lt-LT"/>
        </w:rPr>
        <w:t xml:space="preserve"> 1 iš 1 000 </w:t>
      </w:r>
      <w:r w:rsidRPr="001847A6">
        <w:rPr>
          <w:b/>
          <w:lang w:val="lt-LT"/>
        </w:rPr>
        <w:t>asmenų</w:t>
      </w:r>
      <w:r w:rsidRPr="004A478C">
        <w:rPr>
          <w:b/>
          <w:lang w:val="lt-LT"/>
        </w:rPr>
        <w:t>):</w:t>
      </w:r>
      <w:r w:rsidR="00273470" w:rsidRPr="004A478C">
        <w:rPr>
          <w:lang w:val="lt-LT"/>
        </w:rPr>
        <w:t xml:space="preserve"> </w:t>
      </w:r>
    </w:p>
    <w:p w14:paraId="17A3D4EA" w14:textId="77777777" w:rsidR="00273470" w:rsidRPr="004A478C" w:rsidRDefault="00273470" w:rsidP="003B28E4">
      <w:pPr>
        <w:numPr>
          <w:ilvl w:val="0"/>
          <w:numId w:val="12"/>
        </w:numPr>
        <w:spacing w:line="240" w:lineRule="auto"/>
        <w:ind w:right="397" w:hanging="506"/>
        <w:rPr>
          <w:lang w:val="lt-LT"/>
        </w:rPr>
      </w:pPr>
      <w:r w:rsidRPr="004A478C">
        <w:rPr>
          <w:lang w:val="lt-LT"/>
        </w:rPr>
        <w:t xml:space="preserve">raumenų pažeidimas – būklė, kuri retais atvejais gali būti sunki. Tai gali sukelti raumenų sutrikimus, ypač, jeigu tuo pačiu metu jūs blogai jaučiatės ar </w:t>
      </w:r>
      <w:r w:rsidR="008F522D" w:rsidRPr="004A478C">
        <w:rPr>
          <w:lang w:val="lt-LT"/>
        </w:rPr>
        <w:t xml:space="preserve">yra </w:t>
      </w:r>
      <w:r w:rsidRPr="004A478C">
        <w:rPr>
          <w:lang w:val="lt-LT"/>
        </w:rPr>
        <w:t>aukšt</w:t>
      </w:r>
      <w:r w:rsidR="008F522D" w:rsidRPr="004A478C">
        <w:rPr>
          <w:lang w:val="lt-LT"/>
        </w:rPr>
        <w:t>a</w:t>
      </w:r>
      <w:r w:rsidRPr="004A478C">
        <w:rPr>
          <w:lang w:val="lt-LT"/>
        </w:rPr>
        <w:t xml:space="preserve"> temperatūr</w:t>
      </w:r>
      <w:r w:rsidR="008F522D" w:rsidRPr="004A478C">
        <w:rPr>
          <w:lang w:val="lt-LT"/>
        </w:rPr>
        <w:t>a</w:t>
      </w:r>
      <w:r w:rsidRPr="004A478C">
        <w:rPr>
          <w:lang w:val="lt-LT"/>
        </w:rPr>
        <w:t xml:space="preserve">, juos gali sukelti raumenų suirimas. Nedelsiant kreipkitės į savo gydytoją, jeigu jaučiate raumenų skausmą, jautrumą ar silpnumą; </w:t>
      </w:r>
    </w:p>
    <w:p w14:paraId="032BE077" w14:textId="1F172C2C" w:rsidR="00273470" w:rsidRPr="004A478C" w:rsidRDefault="00273470" w:rsidP="003B28E4">
      <w:pPr>
        <w:numPr>
          <w:ilvl w:val="0"/>
          <w:numId w:val="12"/>
        </w:numPr>
        <w:spacing w:line="240" w:lineRule="auto"/>
        <w:ind w:right="397" w:hanging="506"/>
        <w:rPr>
          <w:lang w:val="lt-LT"/>
        </w:rPr>
      </w:pPr>
      <w:r w:rsidRPr="004A478C">
        <w:rPr>
          <w:lang w:val="lt-LT"/>
        </w:rPr>
        <w:t xml:space="preserve">smarkus gilesnių odos sluoksnių patinimas, ypač patinimas apie akis, lyties organuose, rankose, kojose arba liežuvyje; dėl to gali staiga pasunkėti kvėpavimas; </w:t>
      </w:r>
    </w:p>
    <w:p w14:paraId="454EE556" w14:textId="77777777" w:rsidR="00273470" w:rsidRPr="004A478C" w:rsidRDefault="00273470" w:rsidP="003B28E4">
      <w:pPr>
        <w:numPr>
          <w:ilvl w:val="0"/>
          <w:numId w:val="12"/>
        </w:numPr>
        <w:spacing w:line="240" w:lineRule="auto"/>
        <w:ind w:right="397" w:hanging="506"/>
        <w:rPr>
          <w:lang w:val="lt-LT"/>
        </w:rPr>
      </w:pPr>
      <w:r w:rsidRPr="004A478C">
        <w:rPr>
          <w:lang w:val="lt-LT"/>
        </w:rPr>
        <w:t>stiprus karščiavimas su tymams būdingu bėrimu, padidėję limfmazgiai, kepenų padidėjimas, hepatitas (iki kepenų nepakankamumo), baltųjų kraujo kūnelių kiekio kraujyje padidėjimas (</w:t>
      </w:r>
      <w:proofErr w:type="spellStart"/>
      <w:r w:rsidRPr="004A478C">
        <w:rPr>
          <w:lang w:val="lt-LT"/>
        </w:rPr>
        <w:t>leukocitozė</w:t>
      </w:r>
      <w:proofErr w:type="spellEnd"/>
      <w:r w:rsidRPr="004A478C">
        <w:rPr>
          <w:lang w:val="lt-LT"/>
        </w:rPr>
        <w:t xml:space="preserve">, su </w:t>
      </w:r>
      <w:proofErr w:type="spellStart"/>
      <w:r w:rsidRPr="004A478C">
        <w:rPr>
          <w:lang w:val="lt-LT"/>
        </w:rPr>
        <w:t>eozinofilija</w:t>
      </w:r>
      <w:proofErr w:type="spellEnd"/>
      <w:r w:rsidRPr="004A478C">
        <w:rPr>
          <w:lang w:val="lt-LT"/>
        </w:rPr>
        <w:t xml:space="preserve"> ar be jos);  </w:t>
      </w:r>
    </w:p>
    <w:p w14:paraId="7EC0DF3F" w14:textId="2A0F6797" w:rsidR="00273470" w:rsidRPr="004A478C" w:rsidRDefault="00273470" w:rsidP="003B28E4">
      <w:pPr>
        <w:numPr>
          <w:ilvl w:val="0"/>
          <w:numId w:val="12"/>
        </w:numPr>
        <w:spacing w:line="240" w:lineRule="auto"/>
        <w:ind w:right="397" w:hanging="506"/>
        <w:rPr>
          <w:lang w:val="lt-LT"/>
        </w:rPr>
      </w:pPr>
      <w:r w:rsidRPr="004A478C">
        <w:rPr>
          <w:lang w:val="lt-LT"/>
        </w:rPr>
        <w:t xml:space="preserve">įvairaus pobūdžio odos bėrimai (pvz., su baltomis dėmėmis, pūslėmis, pūliais pripildytomis pūslėmis, odos atsisluoksniavimu, į tymus panašiu išbėrimu), išplitusi </w:t>
      </w:r>
      <w:proofErr w:type="spellStart"/>
      <w:r w:rsidRPr="004A478C">
        <w:rPr>
          <w:lang w:val="lt-LT"/>
        </w:rPr>
        <w:t>eritema</w:t>
      </w:r>
      <w:proofErr w:type="spellEnd"/>
      <w:r w:rsidRPr="004A478C">
        <w:rPr>
          <w:lang w:val="lt-LT"/>
        </w:rPr>
        <w:t xml:space="preserve">, nekrozė, </w:t>
      </w:r>
      <w:proofErr w:type="spellStart"/>
      <w:r w:rsidRPr="004A478C">
        <w:rPr>
          <w:lang w:val="lt-LT"/>
        </w:rPr>
        <w:t>pūslinis</w:t>
      </w:r>
      <w:proofErr w:type="spellEnd"/>
      <w:r w:rsidRPr="004A478C">
        <w:rPr>
          <w:lang w:val="lt-LT"/>
        </w:rPr>
        <w:t xml:space="preserve"> odos ir gleivinės atsisluoksniavimas, sukeliantis </w:t>
      </w:r>
      <w:proofErr w:type="spellStart"/>
      <w:r w:rsidRPr="004A478C">
        <w:rPr>
          <w:lang w:val="lt-LT"/>
        </w:rPr>
        <w:t>eksfoliacinį</w:t>
      </w:r>
      <w:proofErr w:type="spellEnd"/>
      <w:r w:rsidRPr="004A478C">
        <w:rPr>
          <w:lang w:val="lt-LT"/>
        </w:rPr>
        <w:t xml:space="preserve"> bėrimą ir galimą sepsį (</w:t>
      </w:r>
      <w:proofErr w:type="spellStart"/>
      <w:r w:rsidRPr="004A478C">
        <w:rPr>
          <w:lang w:val="lt-LT"/>
        </w:rPr>
        <w:t>Stivenso</w:t>
      </w:r>
      <w:proofErr w:type="spellEnd"/>
      <w:r w:rsidRPr="004A478C">
        <w:rPr>
          <w:lang w:val="lt-LT"/>
        </w:rPr>
        <w:t xml:space="preserve">-Džonsono sindromą </w:t>
      </w:r>
      <w:r w:rsidR="008F522D" w:rsidRPr="004A478C">
        <w:rPr>
          <w:lang w:val="lt-LT"/>
        </w:rPr>
        <w:t>arba</w:t>
      </w:r>
      <w:r w:rsidRPr="004A478C">
        <w:rPr>
          <w:lang w:val="lt-LT"/>
        </w:rPr>
        <w:t xml:space="preserve"> toksinę epidermio </w:t>
      </w:r>
      <w:proofErr w:type="spellStart"/>
      <w:r w:rsidRPr="004A478C">
        <w:rPr>
          <w:lang w:val="lt-LT"/>
        </w:rPr>
        <w:t>nekrolizę</w:t>
      </w:r>
      <w:proofErr w:type="spellEnd"/>
      <w:r w:rsidRPr="004A478C">
        <w:rPr>
          <w:lang w:val="lt-LT"/>
        </w:rPr>
        <w:t xml:space="preserve">); </w:t>
      </w:r>
    </w:p>
    <w:p w14:paraId="48415DE9" w14:textId="77777777" w:rsidR="00273470" w:rsidRPr="004A478C" w:rsidRDefault="00273470" w:rsidP="003B28E4">
      <w:pPr>
        <w:numPr>
          <w:ilvl w:val="0"/>
          <w:numId w:val="12"/>
        </w:numPr>
        <w:spacing w:line="240" w:lineRule="auto"/>
        <w:ind w:right="397" w:hanging="506"/>
        <w:rPr>
          <w:lang w:val="lt-LT"/>
        </w:rPr>
      </w:pPr>
      <w:r w:rsidRPr="004A478C">
        <w:rPr>
          <w:lang w:val="lt-LT"/>
        </w:rPr>
        <w:t xml:space="preserve">nervingumas; </w:t>
      </w:r>
    </w:p>
    <w:p w14:paraId="0EBC8E63" w14:textId="77777777" w:rsidR="00273470" w:rsidRPr="004A478C" w:rsidRDefault="00273470" w:rsidP="003B28E4">
      <w:pPr>
        <w:numPr>
          <w:ilvl w:val="0"/>
          <w:numId w:val="12"/>
        </w:numPr>
        <w:spacing w:line="240" w:lineRule="auto"/>
        <w:ind w:right="397" w:hanging="506"/>
        <w:rPr>
          <w:lang w:val="lt-LT"/>
        </w:rPr>
      </w:pPr>
      <w:r w:rsidRPr="004A478C">
        <w:rPr>
          <w:lang w:val="lt-LT"/>
        </w:rPr>
        <w:t xml:space="preserve">troškulys; </w:t>
      </w:r>
    </w:p>
    <w:p w14:paraId="67E07765" w14:textId="77777777" w:rsidR="00273470" w:rsidRPr="004A478C" w:rsidRDefault="00273470" w:rsidP="003B28E4">
      <w:pPr>
        <w:numPr>
          <w:ilvl w:val="0"/>
          <w:numId w:val="12"/>
        </w:numPr>
        <w:spacing w:line="240" w:lineRule="auto"/>
        <w:ind w:right="397" w:hanging="506"/>
        <w:rPr>
          <w:lang w:val="lt-LT"/>
        </w:rPr>
      </w:pPr>
      <w:r w:rsidRPr="004A478C">
        <w:rPr>
          <w:lang w:val="lt-LT"/>
        </w:rPr>
        <w:t xml:space="preserve">svorio sumažėjimas, padidėjęs apetitas, apetito netekimas (anoreksija), nepasiduodantis gydymui; </w:t>
      </w:r>
    </w:p>
    <w:p w14:paraId="2DB1F839" w14:textId="77777777" w:rsidR="00273470" w:rsidRPr="004A478C" w:rsidRDefault="00273470" w:rsidP="003B28E4">
      <w:pPr>
        <w:numPr>
          <w:ilvl w:val="0"/>
          <w:numId w:val="12"/>
        </w:numPr>
        <w:spacing w:line="240" w:lineRule="auto"/>
        <w:ind w:right="397" w:hanging="506"/>
        <w:rPr>
          <w:lang w:val="lt-LT"/>
        </w:rPr>
      </w:pPr>
      <w:r w:rsidRPr="004A478C">
        <w:rPr>
          <w:lang w:val="lt-LT"/>
        </w:rPr>
        <w:lastRenderedPageBreak/>
        <w:t>mažas kraujo ląstelių (baltųjų ar raudonųjų</w:t>
      </w:r>
      <w:r w:rsidR="005D5424" w:rsidRPr="004A478C">
        <w:rPr>
          <w:lang w:val="lt-LT"/>
        </w:rPr>
        <w:t>)</w:t>
      </w:r>
      <w:r w:rsidR="008F522D" w:rsidRPr="004A478C">
        <w:rPr>
          <w:lang w:val="lt-LT"/>
        </w:rPr>
        <w:t xml:space="preserve"> ar</w:t>
      </w:r>
      <w:r w:rsidR="005D5424" w:rsidRPr="004A478C">
        <w:rPr>
          <w:lang w:val="lt-LT"/>
        </w:rPr>
        <w:t xml:space="preserve"> plokštelių (</w:t>
      </w:r>
      <w:r w:rsidR="008F522D" w:rsidRPr="004A478C">
        <w:rPr>
          <w:lang w:val="lt-LT"/>
        </w:rPr>
        <w:t>trombocitų</w:t>
      </w:r>
      <w:r w:rsidRPr="004A478C">
        <w:rPr>
          <w:lang w:val="lt-LT"/>
        </w:rPr>
        <w:t xml:space="preserve">) skaičius; </w:t>
      </w:r>
    </w:p>
    <w:p w14:paraId="6A9E8386" w14:textId="77777777" w:rsidR="008F522D" w:rsidRPr="004A478C" w:rsidRDefault="00273470" w:rsidP="003B28E4">
      <w:pPr>
        <w:numPr>
          <w:ilvl w:val="0"/>
          <w:numId w:val="12"/>
        </w:numPr>
        <w:spacing w:line="240" w:lineRule="auto"/>
        <w:ind w:right="397" w:hanging="506"/>
        <w:rPr>
          <w:lang w:val="lt-LT"/>
        </w:rPr>
      </w:pPr>
      <w:r w:rsidRPr="004A478C">
        <w:rPr>
          <w:lang w:val="lt-LT"/>
        </w:rPr>
        <w:t>šlapimo kiekio pokyčiai arba sumažėjimas dėl inkstų uždegimo (</w:t>
      </w:r>
      <w:proofErr w:type="spellStart"/>
      <w:r w:rsidRPr="004A478C">
        <w:rPr>
          <w:lang w:val="lt-LT"/>
        </w:rPr>
        <w:t>tubulointersticinis</w:t>
      </w:r>
      <w:proofErr w:type="spellEnd"/>
      <w:r w:rsidRPr="004A478C">
        <w:rPr>
          <w:lang w:val="lt-LT"/>
        </w:rPr>
        <w:t xml:space="preserve"> nefritas); </w:t>
      </w:r>
    </w:p>
    <w:p w14:paraId="5E288A16" w14:textId="77777777" w:rsidR="00273470" w:rsidRPr="004A478C" w:rsidRDefault="00273470" w:rsidP="003B28E4">
      <w:pPr>
        <w:numPr>
          <w:ilvl w:val="0"/>
          <w:numId w:val="12"/>
        </w:numPr>
        <w:spacing w:line="240" w:lineRule="auto"/>
        <w:ind w:right="397" w:hanging="506"/>
        <w:rPr>
          <w:lang w:val="lt-LT"/>
        </w:rPr>
      </w:pPr>
      <w:r w:rsidRPr="004A478C">
        <w:rPr>
          <w:lang w:val="lt-LT"/>
        </w:rPr>
        <w:t xml:space="preserve">kepenų uždegimas (hepatitas); </w:t>
      </w:r>
    </w:p>
    <w:p w14:paraId="54466919" w14:textId="7AB8D7E1" w:rsidR="00273470" w:rsidRPr="004A478C" w:rsidRDefault="00273470" w:rsidP="003B28E4">
      <w:pPr>
        <w:numPr>
          <w:ilvl w:val="0"/>
          <w:numId w:val="12"/>
        </w:numPr>
        <w:spacing w:line="240" w:lineRule="auto"/>
        <w:ind w:right="397" w:hanging="506"/>
        <w:rPr>
          <w:lang w:val="lt-LT"/>
        </w:rPr>
      </w:pPr>
      <w:r w:rsidRPr="004A478C">
        <w:rPr>
          <w:lang w:val="lt-LT"/>
        </w:rPr>
        <w:t xml:space="preserve">odos pageltimas (gelta); </w:t>
      </w:r>
    </w:p>
    <w:p w14:paraId="203ED724" w14:textId="34CA69D7" w:rsidR="002D3CB2" w:rsidRPr="004A478C" w:rsidRDefault="002D3CB2" w:rsidP="003B28E4">
      <w:pPr>
        <w:numPr>
          <w:ilvl w:val="0"/>
          <w:numId w:val="12"/>
        </w:numPr>
        <w:spacing w:line="240" w:lineRule="auto"/>
        <w:ind w:right="397" w:hanging="506"/>
        <w:rPr>
          <w:lang w:val="lt-LT"/>
        </w:rPr>
      </w:pPr>
      <w:r w:rsidRPr="004A478C">
        <w:rPr>
          <w:lang w:val="lt-LT"/>
        </w:rPr>
        <w:t>šlapimo pūslės infekcija;</w:t>
      </w:r>
    </w:p>
    <w:p w14:paraId="2C3ACEA2" w14:textId="77777777" w:rsidR="00273470" w:rsidRPr="004A478C" w:rsidRDefault="00273470" w:rsidP="003B28E4">
      <w:pPr>
        <w:numPr>
          <w:ilvl w:val="0"/>
          <w:numId w:val="12"/>
        </w:numPr>
        <w:spacing w:line="240" w:lineRule="auto"/>
        <w:ind w:right="397" w:hanging="506"/>
        <w:rPr>
          <w:lang w:val="lt-LT"/>
        </w:rPr>
      </w:pPr>
      <w:r w:rsidRPr="004A478C">
        <w:rPr>
          <w:lang w:val="lt-LT"/>
        </w:rPr>
        <w:t xml:space="preserve">kepenų pažeidimas; </w:t>
      </w:r>
    </w:p>
    <w:p w14:paraId="58152523" w14:textId="05B1F7B6" w:rsidR="00060829" w:rsidRPr="004A478C" w:rsidRDefault="00273470" w:rsidP="00060829">
      <w:pPr>
        <w:numPr>
          <w:ilvl w:val="0"/>
          <w:numId w:val="12"/>
        </w:numPr>
        <w:spacing w:line="240" w:lineRule="auto"/>
        <w:ind w:right="397" w:hanging="506"/>
        <w:rPr>
          <w:lang w:val="lt-LT"/>
        </w:rPr>
      </w:pPr>
      <w:r w:rsidRPr="004A478C">
        <w:rPr>
          <w:lang w:val="lt-LT"/>
        </w:rPr>
        <w:t xml:space="preserve">padidėjęs </w:t>
      </w:r>
      <w:proofErr w:type="spellStart"/>
      <w:r w:rsidRPr="004A478C">
        <w:rPr>
          <w:lang w:val="lt-LT"/>
        </w:rPr>
        <w:t>kreatinfosfokinazės</w:t>
      </w:r>
      <w:proofErr w:type="spellEnd"/>
      <w:r w:rsidRPr="004A478C">
        <w:rPr>
          <w:lang w:val="lt-LT"/>
        </w:rPr>
        <w:t xml:space="preserve"> aktyvumas kraujyje (raumenų pažeidimo rodiklis)</w:t>
      </w:r>
      <w:r w:rsidR="00060829" w:rsidRPr="004A478C">
        <w:rPr>
          <w:lang w:val="lt-LT"/>
        </w:rPr>
        <w:t>,</w:t>
      </w:r>
    </w:p>
    <w:p w14:paraId="23FDC846" w14:textId="31AA627A" w:rsidR="00060829" w:rsidRPr="004A478C" w:rsidRDefault="00060829" w:rsidP="00060829">
      <w:pPr>
        <w:numPr>
          <w:ilvl w:val="0"/>
          <w:numId w:val="12"/>
        </w:numPr>
        <w:spacing w:line="240" w:lineRule="auto"/>
        <w:ind w:right="397" w:hanging="506"/>
        <w:rPr>
          <w:lang w:val="lt-LT"/>
        </w:rPr>
      </w:pPr>
      <w:r w:rsidRPr="004A478C">
        <w:rPr>
          <w:lang w:val="lt-LT"/>
        </w:rPr>
        <w:t>staigi mirtis dėl širdies sutrikimo</w:t>
      </w:r>
      <w:r w:rsidR="002D3CB2" w:rsidRPr="004A478C">
        <w:rPr>
          <w:lang w:val="lt-LT"/>
        </w:rPr>
        <w:t>;</w:t>
      </w:r>
    </w:p>
    <w:p w14:paraId="50401870" w14:textId="77777777" w:rsidR="002D3CB2" w:rsidRPr="004A478C" w:rsidRDefault="002D3CB2" w:rsidP="00FB0B5D">
      <w:pPr>
        <w:numPr>
          <w:ilvl w:val="0"/>
          <w:numId w:val="12"/>
        </w:numPr>
        <w:spacing w:line="240" w:lineRule="auto"/>
        <w:ind w:right="397" w:hanging="506"/>
        <w:rPr>
          <w:lang w:val="lt-LT"/>
        </w:rPr>
      </w:pPr>
      <w:r w:rsidRPr="004A478C">
        <w:rPr>
          <w:lang w:val="lt-LT"/>
        </w:rPr>
        <w:t>mažas raudonųjų kraujo kūnelių skaičius (anemija);</w:t>
      </w:r>
    </w:p>
    <w:p w14:paraId="45F6683D" w14:textId="77777777" w:rsidR="002D3CB2" w:rsidRPr="004A478C" w:rsidRDefault="002D3CB2" w:rsidP="00FB0B5D">
      <w:pPr>
        <w:numPr>
          <w:ilvl w:val="0"/>
          <w:numId w:val="12"/>
        </w:numPr>
        <w:spacing w:line="240" w:lineRule="auto"/>
        <w:ind w:right="397" w:hanging="506"/>
        <w:rPr>
          <w:lang w:val="lt-LT"/>
        </w:rPr>
      </w:pPr>
      <w:r w:rsidRPr="004A478C">
        <w:rPr>
          <w:lang w:val="lt-LT"/>
        </w:rPr>
        <w:t>depresija;</w:t>
      </w:r>
    </w:p>
    <w:p w14:paraId="1909C70D" w14:textId="77777777" w:rsidR="002D3CB2" w:rsidRPr="004A478C" w:rsidRDefault="002D3CB2" w:rsidP="004A478C">
      <w:pPr>
        <w:numPr>
          <w:ilvl w:val="0"/>
          <w:numId w:val="12"/>
        </w:numPr>
        <w:spacing w:line="240" w:lineRule="auto"/>
        <w:ind w:right="-2" w:hanging="506"/>
        <w:rPr>
          <w:lang w:val="lt-LT"/>
        </w:rPr>
      </w:pPr>
      <w:r w:rsidRPr="004A478C">
        <w:rPr>
          <w:lang w:val="lt-LT"/>
        </w:rPr>
        <w:t>miego sutrikimas;</w:t>
      </w:r>
    </w:p>
    <w:p w14:paraId="2725FDDD" w14:textId="77777777" w:rsidR="002D3CB2" w:rsidRPr="004A478C" w:rsidRDefault="002D3CB2" w:rsidP="00FB0B5D">
      <w:pPr>
        <w:numPr>
          <w:ilvl w:val="0"/>
          <w:numId w:val="12"/>
        </w:numPr>
        <w:spacing w:line="240" w:lineRule="auto"/>
        <w:ind w:right="397" w:hanging="506"/>
        <w:rPr>
          <w:lang w:val="lt-LT"/>
        </w:rPr>
      </w:pPr>
      <w:r w:rsidRPr="004A478C">
        <w:rPr>
          <w:lang w:val="lt-LT"/>
        </w:rPr>
        <w:t>skonio pojūčio praradimas;</w:t>
      </w:r>
    </w:p>
    <w:p w14:paraId="7788CD57" w14:textId="77777777" w:rsidR="002D3CB2" w:rsidRPr="004A478C" w:rsidRDefault="002D3CB2" w:rsidP="00FB0B5D">
      <w:pPr>
        <w:numPr>
          <w:ilvl w:val="0"/>
          <w:numId w:val="12"/>
        </w:numPr>
        <w:spacing w:line="240" w:lineRule="auto"/>
        <w:ind w:right="397" w:hanging="506"/>
        <w:rPr>
          <w:lang w:val="lt-LT"/>
        </w:rPr>
      </w:pPr>
      <w:r w:rsidRPr="004A478C">
        <w:rPr>
          <w:lang w:val="lt-LT"/>
        </w:rPr>
        <w:t>deginimo pojūtis;</w:t>
      </w:r>
    </w:p>
    <w:p w14:paraId="563A7C70" w14:textId="286E71E4" w:rsidR="002D3CB2" w:rsidRPr="004A478C" w:rsidRDefault="002D3CB2" w:rsidP="00FB0B5D">
      <w:pPr>
        <w:numPr>
          <w:ilvl w:val="0"/>
          <w:numId w:val="12"/>
        </w:numPr>
        <w:spacing w:line="240" w:lineRule="auto"/>
        <w:ind w:right="397" w:hanging="506"/>
        <w:rPr>
          <w:lang w:val="lt-LT"/>
        </w:rPr>
      </w:pPr>
      <w:r w:rsidRPr="004A478C">
        <w:rPr>
          <w:lang w:val="lt-LT"/>
        </w:rPr>
        <w:t>svaigulys (</w:t>
      </w:r>
      <w:proofErr w:type="spellStart"/>
      <w:r w:rsidRPr="004A478C">
        <w:rPr>
          <w:lang w:val="lt-LT"/>
        </w:rPr>
        <w:t>vértigo</w:t>
      </w:r>
      <w:proofErr w:type="spellEnd"/>
      <w:r w:rsidRPr="004A478C">
        <w:rPr>
          <w:lang w:val="lt-LT"/>
        </w:rPr>
        <w:t>);</w:t>
      </w:r>
    </w:p>
    <w:p w14:paraId="1CC4BC04" w14:textId="77777777" w:rsidR="002D3CB2" w:rsidRPr="004A478C" w:rsidRDefault="002D3CB2" w:rsidP="00FB0B5D">
      <w:pPr>
        <w:numPr>
          <w:ilvl w:val="0"/>
          <w:numId w:val="12"/>
        </w:numPr>
        <w:spacing w:line="240" w:lineRule="auto"/>
        <w:ind w:right="397" w:hanging="506"/>
        <w:rPr>
          <w:lang w:val="lt-LT"/>
        </w:rPr>
      </w:pPr>
      <w:r w:rsidRPr="004A478C">
        <w:rPr>
          <w:lang w:val="lt-LT"/>
        </w:rPr>
        <w:t>kraujotakos nepakankamumas;</w:t>
      </w:r>
    </w:p>
    <w:p w14:paraId="426DAB70" w14:textId="77777777" w:rsidR="002D3CB2" w:rsidRPr="004A478C" w:rsidRDefault="002D3CB2" w:rsidP="00FB0B5D">
      <w:pPr>
        <w:numPr>
          <w:ilvl w:val="0"/>
          <w:numId w:val="12"/>
        </w:numPr>
        <w:spacing w:line="240" w:lineRule="auto"/>
        <w:ind w:right="397" w:hanging="506"/>
        <w:rPr>
          <w:lang w:val="lt-LT"/>
        </w:rPr>
      </w:pPr>
      <w:r w:rsidRPr="004A478C">
        <w:rPr>
          <w:lang w:val="lt-LT"/>
        </w:rPr>
        <w:t>plaučių infekcija (pneumonija);</w:t>
      </w:r>
    </w:p>
    <w:p w14:paraId="0456B431" w14:textId="77777777" w:rsidR="002D3CB2" w:rsidRPr="004A478C" w:rsidRDefault="002D3CB2" w:rsidP="00FB0B5D">
      <w:pPr>
        <w:numPr>
          <w:ilvl w:val="0"/>
          <w:numId w:val="12"/>
        </w:numPr>
        <w:spacing w:line="240" w:lineRule="auto"/>
        <w:ind w:right="397" w:hanging="506"/>
        <w:rPr>
          <w:lang w:val="lt-LT"/>
        </w:rPr>
      </w:pPr>
      <w:r w:rsidRPr="004A478C">
        <w:rPr>
          <w:lang w:val="lt-LT"/>
        </w:rPr>
        <w:t>burnos opos; burnos ertmės uždegimas;</w:t>
      </w:r>
    </w:p>
    <w:p w14:paraId="0D4B80BD" w14:textId="77777777" w:rsidR="002D3CB2" w:rsidRPr="004A478C" w:rsidRDefault="002D3CB2" w:rsidP="00FB0B5D">
      <w:pPr>
        <w:numPr>
          <w:ilvl w:val="0"/>
          <w:numId w:val="12"/>
        </w:numPr>
        <w:spacing w:line="240" w:lineRule="auto"/>
        <w:ind w:right="397" w:hanging="506"/>
        <w:rPr>
          <w:lang w:val="lt-LT"/>
        </w:rPr>
      </w:pPr>
      <w:r w:rsidRPr="004A478C">
        <w:rPr>
          <w:lang w:val="lt-LT"/>
        </w:rPr>
        <w:t>virškinimo trakto perforacija;</w:t>
      </w:r>
    </w:p>
    <w:p w14:paraId="24968A55" w14:textId="77777777" w:rsidR="002D3CB2" w:rsidRPr="004A478C" w:rsidRDefault="002D3CB2" w:rsidP="00FB0B5D">
      <w:pPr>
        <w:numPr>
          <w:ilvl w:val="0"/>
          <w:numId w:val="12"/>
        </w:numPr>
        <w:spacing w:line="240" w:lineRule="auto"/>
        <w:ind w:right="397" w:hanging="506"/>
        <w:rPr>
          <w:lang w:val="lt-LT"/>
        </w:rPr>
      </w:pPr>
      <w:r w:rsidRPr="004A478C">
        <w:rPr>
          <w:lang w:val="lt-LT"/>
        </w:rPr>
        <w:t xml:space="preserve">rotatoriaus </w:t>
      </w:r>
      <w:proofErr w:type="spellStart"/>
      <w:r w:rsidRPr="004A478C">
        <w:rPr>
          <w:lang w:val="lt-LT"/>
        </w:rPr>
        <w:t>manžetės</w:t>
      </w:r>
      <w:proofErr w:type="spellEnd"/>
      <w:r w:rsidRPr="004A478C">
        <w:rPr>
          <w:lang w:val="lt-LT"/>
        </w:rPr>
        <w:t xml:space="preserve"> sindromas;</w:t>
      </w:r>
    </w:p>
    <w:p w14:paraId="3E45B725" w14:textId="77777777" w:rsidR="002D3CB2" w:rsidRPr="004A478C" w:rsidRDefault="002D3CB2" w:rsidP="00FB0B5D">
      <w:pPr>
        <w:numPr>
          <w:ilvl w:val="0"/>
          <w:numId w:val="12"/>
        </w:numPr>
        <w:spacing w:line="240" w:lineRule="auto"/>
        <w:ind w:right="397" w:hanging="506"/>
        <w:rPr>
          <w:lang w:val="lt-LT"/>
        </w:rPr>
      </w:pPr>
      <w:r w:rsidRPr="004A478C">
        <w:rPr>
          <w:lang w:val="lt-LT"/>
        </w:rPr>
        <w:t xml:space="preserve">reumatinė </w:t>
      </w:r>
      <w:proofErr w:type="spellStart"/>
      <w:r w:rsidRPr="004A478C">
        <w:rPr>
          <w:lang w:val="lt-LT"/>
        </w:rPr>
        <w:t>polimialgija</w:t>
      </w:r>
      <w:proofErr w:type="spellEnd"/>
      <w:r w:rsidRPr="004A478C">
        <w:rPr>
          <w:lang w:val="lt-LT"/>
        </w:rPr>
        <w:t>;</w:t>
      </w:r>
    </w:p>
    <w:p w14:paraId="138FDF3C" w14:textId="77777777" w:rsidR="002D3CB2" w:rsidRPr="004A478C" w:rsidRDefault="002D3CB2" w:rsidP="00FB0B5D">
      <w:pPr>
        <w:numPr>
          <w:ilvl w:val="0"/>
          <w:numId w:val="12"/>
        </w:numPr>
        <w:spacing w:line="240" w:lineRule="auto"/>
        <w:ind w:right="397" w:hanging="506"/>
        <w:rPr>
          <w:lang w:val="lt-LT"/>
        </w:rPr>
      </w:pPr>
      <w:r w:rsidRPr="004A478C">
        <w:rPr>
          <w:lang w:val="lt-LT"/>
        </w:rPr>
        <w:t>karšta;</w:t>
      </w:r>
    </w:p>
    <w:p w14:paraId="7FC62E17" w14:textId="1173BDA4" w:rsidR="002D3CB2" w:rsidRPr="004A478C" w:rsidRDefault="002D3CB2" w:rsidP="002D3CB2">
      <w:pPr>
        <w:numPr>
          <w:ilvl w:val="0"/>
          <w:numId w:val="12"/>
        </w:numPr>
        <w:spacing w:line="240" w:lineRule="auto"/>
        <w:ind w:right="397" w:hanging="506"/>
        <w:rPr>
          <w:lang w:val="lt-LT"/>
        </w:rPr>
      </w:pPr>
      <w:r w:rsidRPr="004A478C">
        <w:rPr>
          <w:lang w:val="lt-LT"/>
        </w:rPr>
        <w:t>staigus regėjimo praradimas dėl akies arterijos užsikimšimo.</w:t>
      </w:r>
    </w:p>
    <w:p w14:paraId="4C9524CA" w14:textId="77777777" w:rsidR="00273470" w:rsidRPr="004A478C" w:rsidRDefault="00273470" w:rsidP="003B28E4">
      <w:pPr>
        <w:tabs>
          <w:tab w:val="left" w:pos="4680"/>
        </w:tabs>
        <w:spacing w:line="240" w:lineRule="auto"/>
        <w:rPr>
          <w:lang w:val="lt-LT"/>
        </w:rPr>
      </w:pPr>
      <w:r w:rsidRPr="004A478C">
        <w:rPr>
          <w:lang w:val="lt-LT"/>
        </w:rPr>
        <w:t xml:space="preserve"> </w:t>
      </w:r>
    </w:p>
    <w:p w14:paraId="10B12E6E" w14:textId="77777777" w:rsidR="00273470" w:rsidRPr="004A478C" w:rsidRDefault="00273470" w:rsidP="003B28E4">
      <w:pPr>
        <w:pStyle w:val="Antrat2"/>
        <w:tabs>
          <w:tab w:val="left" w:pos="4680"/>
        </w:tabs>
        <w:spacing w:before="0" w:after="0" w:line="240" w:lineRule="auto"/>
        <w:ind w:left="-5" w:right="77"/>
        <w:rPr>
          <w:rFonts w:ascii="Times New Roman" w:hAnsi="Times New Roman"/>
          <w:sz w:val="22"/>
          <w:lang w:val="lt-LT"/>
        </w:rPr>
      </w:pPr>
      <w:r w:rsidRPr="004A478C">
        <w:rPr>
          <w:rFonts w:ascii="Times New Roman" w:hAnsi="Times New Roman"/>
          <w:sz w:val="22"/>
          <w:lang w:val="lt-LT"/>
        </w:rPr>
        <w:t xml:space="preserve">Pranešimas apie šalutinį poveikį </w:t>
      </w:r>
    </w:p>
    <w:p w14:paraId="784EEBA7" w14:textId="3A1BA91B" w:rsidR="001F12B5" w:rsidRPr="004B0C8F" w:rsidRDefault="00273470" w:rsidP="004A478C">
      <w:pPr>
        <w:ind w:right="-2"/>
        <w:rPr>
          <w:noProof/>
          <w:szCs w:val="24"/>
          <w:lang w:val="lt-LT"/>
        </w:rPr>
      </w:pPr>
      <w:r w:rsidRPr="004A478C">
        <w:rPr>
          <w:lang w:val="lt-LT"/>
        </w:rPr>
        <w:t xml:space="preserve">Jeigu pasireiškė šalutinis poveikis, įskaitant šiame lapelyje nenurodytą, pasakykite gydytojui arba vaistininkui. </w:t>
      </w:r>
      <w:r w:rsidR="00FC22F8" w:rsidRPr="00FC22F8">
        <w:rPr>
          <w:snapToGrid/>
          <w:color w:val="000000"/>
          <w:sz w:val="24"/>
          <w:lang w:val="lt-LT"/>
        </w:rPr>
        <w:t>Pranešimą apie</w:t>
      </w:r>
      <w:r w:rsidR="00FC22F8" w:rsidRPr="004A478C">
        <w:rPr>
          <w:color w:val="000000"/>
          <w:sz w:val="24"/>
          <w:lang w:val="lt-LT"/>
        </w:rPr>
        <w:t xml:space="preserve"> šalutinį poveikį galite užpildyti ir pateikti Valstybinės vaistų kontrolės tarnybos prie Lietuvos Respublikos sveikatos apsaugos ministerijos </w:t>
      </w:r>
      <w:r w:rsidR="00FC22F8" w:rsidRPr="00FC22F8">
        <w:rPr>
          <w:snapToGrid/>
          <w:color w:val="000000"/>
          <w:sz w:val="24"/>
          <w:lang w:val="lt-LT"/>
        </w:rPr>
        <w:t xml:space="preserve">tinklalapyje </w:t>
      </w:r>
      <w:r w:rsidR="00FC22F8" w:rsidRPr="00FC22F8">
        <w:rPr>
          <w:snapToGrid/>
          <w:color w:val="0000EE"/>
          <w:sz w:val="24"/>
          <w:u w:val="single"/>
          <w:lang w:val="lt-LT"/>
        </w:rPr>
        <w:t>https://vvkt.lrv.lt/lt/</w:t>
      </w:r>
      <w:r w:rsidR="00FC22F8" w:rsidRPr="00FC22F8">
        <w:rPr>
          <w:snapToGrid/>
          <w:color w:val="000000"/>
          <w:sz w:val="24"/>
          <w:lang w:val="lt-LT"/>
        </w:rPr>
        <w:t xml:space="preserve"> nurodytais būdais arba paskambinti nemokamu telefonu 8 800 73 568. </w:t>
      </w:r>
      <w:r w:rsidR="001F12B5" w:rsidRPr="004B0C8F">
        <w:rPr>
          <w:lang w:val="lt-LT"/>
        </w:rPr>
        <w:t xml:space="preserve"> Pranešdami apie šalutinį poveikį galite mums padėti gauti daugiau informacijos apie šio vaisto saugumą.</w:t>
      </w:r>
    </w:p>
    <w:p w14:paraId="06B360A1" w14:textId="77777777" w:rsidR="00273470" w:rsidRPr="004B0C8F" w:rsidRDefault="00273470" w:rsidP="003B28E4">
      <w:pPr>
        <w:tabs>
          <w:tab w:val="left" w:pos="4680"/>
        </w:tabs>
        <w:spacing w:line="240" w:lineRule="auto"/>
        <w:ind w:left="2"/>
        <w:rPr>
          <w:lang w:val="lt-LT"/>
        </w:rPr>
      </w:pPr>
      <w:r w:rsidRPr="004B0C8F">
        <w:rPr>
          <w:lang w:val="lt-LT"/>
        </w:rPr>
        <w:t xml:space="preserve"> </w:t>
      </w:r>
    </w:p>
    <w:p w14:paraId="2A8EB6D0" w14:textId="77777777" w:rsidR="00273470" w:rsidRPr="004B0C8F" w:rsidRDefault="00273470" w:rsidP="003B28E4">
      <w:pPr>
        <w:tabs>
          <w:tab w:val="left" w:pos="4680"/>
        </w:tabs>
        <w:spacing w:line="240" w:lineRule="auto"/>
        <w:rPr>
          <w:lang w:val="lt-LT"/>
        </w:rPr>
      </w:pPr>
      <w:r w:rsidRPr="004B0C8F">
        <w:rPr>
          <w:lang w:val="lt-LT"/>
        </w:rPr>
        <w:t xml:space="preserve"> </w:t>
      </w:r>
    </w:p>
    <w:p w14:paraId="4008177D" w14:textId="3C046A23" w:rsidR="00273470" w:rsidRPr="004B0C8F" w:rsidRDefault="00273470" w:rsidP="003B28E4">
      <w:pPr>
        <w:pStyle w:val="Antrat3"/>
        <w:tabs>
          <w:tab w:val="center" w:pos="1638"/>
          <w:tab w:val="left" w:pos="4680"/>
        </w:tabs>
        <w:spacing w:before="0" w:after="0" w:line="240" w:lineRule="auto"/>
        <w:ind w:left="-15"/>
        <w:rPr>
          <w:rFonts w:ascii="Times New Roman" w:hAnsi="Times New Roman"/>
          <w:sz w:val="22"/>
          <w:lang w:val="lt-LT"/>
        </w:rPr>
      </w:pPr>
      <w:r w:rsidRPr="004B0C8F">
        <w:rPr>
          <w:rFonts w:ascii="Times New Roman" w:hAnsi="Times New Roman"/>
          <w:sz w:val="22"/>
          <w:lang w:val="lt-LT"/>
        </w:rPr>
        <w:t xml:space="preserve">5. </w:t>
      </w:r>
      <w:r w:rsidRPr="004B0C8F">
        <w:rPr>
          <w:rFonts w:ascii="Times New Roman" w:hAnsi="Times New Roman"/>
          <w:sz w:val="22"/>
          <w:lang w:val="lt-LT"/>
        </w:rPr>
        <w:tab/>
        <w:t xml:space="preserve">Kaip laikyti </w:t>
      </w:r>
      <w:proofErr w:type="spellStart"/>
      <w:r w:rsidR="001A5C63" w:rsidRPr="004B0C8F">
        <w:rPr>
          <w:rFonts w:ascii="Times New Roman" w:hAnsi="Times New Roman"/>
          <w:sz w:val="22"/>
          <w:lang w:val="lt-LT"/>
        </w:rPr>
        <w:t>Febuxostat</w:t>
      </w:r>
      <w:proofErr w:type="spellEnd"/>
      <w:r w:rsidR="001A5C63" w:rsidRPr="004B0C8F">
        <w:rPr>
          <w:rFonts w:ascii="Times New Roman" w:hAnsi="Times New Roman"/>
          <w:sz w:val="22"/>
          <w:lang w:val="lt-LT"/>
        </w:rPr>
        <w:t xml:space="preserve"> </w:t>
      </w:r>
      <w:proofErr w:type="spellStart"/>
      <w:r w:rsidR="00911F26" w:rsidRPr="004B0C8F">
        <w:rPr>
          <w:rFonts w:ascii="Times New Roman" w:hAnsi="Times New Roman"/>
          <w:sz w:val="22"/>
          <w:lang w:val="lt-LT"/>
        </w:rPr>
        <w:t>Zentiva</w:t>
      </w:r>
      <w:proofErr w:type="spellEnd"/>
    </w:p>
    <w:p w14:paraId="1179ECA8" w14:textId="77777777" w:rsidR="00273470" w:rsidRPr="004B0C8F" w:rsidRDefault="00273470" w:rsidP="003B28E4">
      <w:pPr>
        <w:tabs>
          <w:tab w:val="left" w:pos="4680"/>
        </w:tabs>
        <w:spacing w:line="240" w:lineRule="auto"/>
        <w:rPr>
          <w:lang w:val="lt-LT"/>
        </w:rPr>
      </w:pPr>
      <w:r w:rsidRPr="004B0C8F">
        <w:rPr>
          <w:lang w:val="lt-LT"/>
        </w:rPr>
        <w:t xml:space="preserve"> </w:t>
      </w:r>
    </w:p>
    <w:p w14:paraId="0D789F22" w14:textId="77777777" w:rsidR="00273470" w:rsidRPr="004B0C8F" w:rsidRDefault="00273470" w:rsidP="003B28E4">
      <w:pPr>
        <w:spacing w:line="240" w:lineRule="auto"/>
        <w:ind w:right="397"/>
        <w:rPr>
          <w:lang w:val="lt-LT"/>
        </w:rPr>
      </w:pPr>
      <w:r w:rsidRPr="004B0C8F">
        <w:rPr>
          <w:lang w:val="lt-LT"/>
        </w:rPr>
        <w:t xml:space="preserve">Šį vaistą laikykite vaikams nepastebimoje ir nepasiekiamoje vietoje. </w:t>
      </w:r>
    </w:p>
    <w:p w14:paraId="677D945F" w14:textId="77777777" w:rsidR="005C5DE3" w:rsidRPr="004B0C8F" w:rsidRDefault="005C5DE3" w:rsidP="003B28E4">
      <w:pPr>
        <w:spacing w:line="240" w:lineRule="auto"/>
        <w:ind w:right="397"/>
        <w:rPr>
          <w:lang w:val="lt-LT"/>
        </w:rPr>
      </w:pPr>
    </w:p>
    <w:p w14:paraId="57B1E31E" w14:textId="77777777" w:rsidR="00273470" w:rsidRPr="004B0C8F" w:rsidRDefault="00273470" w:rsidP="003B28E4">
      <w:pPr>
        <w:spacing w:line="240" w:lineRule="auto"/>
        <w:ind w:right="397"/>
        <w:rPr>
          <w:lang w:val="lt-LT"/>
        </w:rPr>
      </w:pPr>
      <w:r w:rsidRPr="004B0C8F">
        <w:rPr>
          <w:lang w:val="lt-LT"/>
        </w:rPr>
        <w:t>Ant dėžutės ir lizdinės plokštelės po „EXP“ nurodytam tinkamumo laikui pasibaigus, šio vaisto vartoti negalima. Vaistas tinka</w:t>
      </w:r>
      <w:r w:rsidR="001F12B5" w:rsidRPr="004B0C8F">
        <w:rPr>
          <w:lang w:val="lt-LT"/>
        </w:rPr>
        <w:t>mas</w:t>
      </w:r>
      <w:r w:rsidRPr="004B0C8F">
        <w:rPr>
          <w:lang w:val="lt-LT"/>
        </w:rPr>
        <w:t xml:space="preserve"> vartoti iki paskutinės nurodyto mėnesio dienos. </w:t>
      </w:r>
    </w:p>
    <w:p w14:paraId="5E62D13C" w14:textId="77777777" w:rsidR="005C5DE3" w:rsidRPr="004B0C8F" w:rsidRDefault="005C5DE3" w:rsidP="003B28E4">
      <w:pPr>
        <w:spacing w:line="240" w:lineRule="auto"/>
        <w:ind w:right="397"/>
        <w:rPr>
          <w:lang w:val="lt-LT"/>
        </w:rPr>
      </w:pPr>
    </w:p>
    <w:p w14:paraId="1001D4C0" w14:textId="77777777" w:rsidR="00273470" w:rsidRPr="004B0C8F" w:rsidRDefault="00273470" w:rsidP="003B28E4">
      <w:pPr>
        <w:spacing w:line="240" w:lineRule="auto"/>
        <w:ind w:right="397"/>
        <w:rPr>
          <w:lang w:val="lt-LT"/>
        </w:rPr>
      </w:pPr>
      <w:r w:rsidRPr="004B0C8F">
        <w:rPr>
          <w:lang w:val="lt-LT"/>
        </w:rPr>
        <w:t xml:space="preserve">Šiam vaistui specialių laikymo sąlygų nereikia. </w:t>
      </w:r>
    </w:p>
    <w:p w14:paraId="314B7715" w14:textId="77777777" w:rsidR="00273470" w:rsidRPr="004B0C8F" w:rsidRDefault="00273470" w:rsidP="003B28E4">
      <w:pPr>
        <w:spacing w:line="240" w:lineRule="auto"/>
        <w:ind w:left="567" w:hanging="567"/>
        <w:rPr>
          <w:lang w:val="lt-LT"/>
        </w:rPr>
      </w:pPr>
      <w:r w:rsidRPr="004B0C8F">
        <w:rPr>
          <w:lang w:val="lt-LT"/>
        </w:rPr>
        <w:t xml:space="preserve"> </w:t>
      </w:r>
    </w:p>
    <w:p w14:paraId="37243659" w14:textId="77777777" w:rsidR="00273470" w:rsidRPr="004A478C" w:rsidRDefault="00273470" w:rsidP="003B28E4">
      <w:pPr>
        <w:tabs>
          <w:tab w:val="clear" w:pos="567"/>
          <w:tab w:val="left" w:pos="709"/>
        </w:tabs>
        <w:spacing w:line="240" w:lineRule="auto"/>
        <w:ind w:right="397"/>
        <w:rPr>
          <w:lang w:val="lt-LT"/>
        </w:rPr>
      </w:pPr>
      <w:r w:rsidRPr="004A478C">
        <w:rPr>
          <w:lang w:val="lt-LT"/>
        </w:rPr>
        <w:t xml:space="preserve">Vaistų negalima išmesti į kanalizaciją arba su buitinėmis atliekomis. Kaip išmesti nereikalingus vaistus, klauskite vaistininko. Šios priemonės padės apsaugoti aplinką. </w:t>
      </w:r>
    </w:p>
    <w:p w14:paraId="0345C662" w14:textId="77777777" w:rsidR="00273470" w:rsidRPr="004A478C" w:rsidRDefault="00273470" w:rsidP="003B28E4">
      <w:pPr>
        <w:spacing w:line="240" w:lineRule="auto"/>
        <w:ind w:left="567" w:hanging="567"/>
        <w:rPr>
          <w:lang w:val="lt-LT"/>
        </w:rPr>
      </w:pPr>
      <w:r w:rsidRPr="004A478C">
        <w:rPr>
          <w:b/>
          <w:lang w:val="lt-LT"/>
        </w:rPr>
        <w:t xml:space="preserve"> </w:t>
      </w:r>
    </w:p>
    <w:p w14:paraId="26D84D1C" w14:textId="77777777" w:rsidR="00273470" w:rsidRPr="004A478C" w:rsidRDefault="00273470" w:rsidP="003B28E4">
      <w:pPr>
        <w:tabs>
          <w:tab w:val="left" w:pos="4680"/>
        </w:tabs>
        <w:spacing w:line="240" w:lineRule="auto"/>
        <w:rPr>
          <w:lang w:val="lt-LT"/>
        </w:rPr>
      </w:pPr>
      <w:r w:rsidRPr="004A478C">
        <w:rPr>
          <w:b/>
          <w:lang w:val="lt-LT"/>
        </w:rPr>
        <w:t xml:space="preserve"> </w:t>
      </w:r>
    </w:p>
    <w:p w14:paraId="5312E4CB" w14:textId="77777777" w:rsidR="00273470" w:rsidRPr="004A478C" w:rsidRDefault="00273470" w:rsidP="003B28E4">
      <w:pPr>
        <w:tabs>
          <w:tab w:val="center" w:pos="2117"/>
          <w:tab w:val="left" w:pos="4680"/>
        </w:tabs>
        <w:spacing w:line="240" w:lineRule="auto"/>
        <w:ind w:left="-15"/>
        <w:rPr>
          <w:lang w:val="lt-LT"/>
        </w:rPr>
      </w:pPr>
      <w:r w:rsidRPr="004A478C">
        <w:rPr>
          <w:b/>
          <w:lang w:val="lt-LT"/>
        </w:rPr>
        <w:t xml:space="preserve">6. </w:t>
      </w:r>
      <w:r w:rsidRPr="004A478C">
        <w:rPr>
          <w:b/>
          <w:lang w:val="lt-LT"/>
        </w:rPr>
        <w:tab/>
        <w:t xml:space="preserve">Pakuotės turinys ir kita informacija </w:t>
      </w:r>
    </w:p>
    <w:p w14:paraId="16E02461" w14:textId="77777777" w:rsidR="00273470" w:rsidRPr="004A478C" w:rsidRDefault="00273470" w:rsidP="003B28E4">
      <w:pPr>
        <w:tabs>
          <w:tab w:val="left" w:pos="4680"/>
        </w:tabs>
        <w:spacing w:line="240" w:lineRule="auto"/>
        <w:rPr>
          <w:lang w:val="lt-LT"/>
        </w:rPr>
      </w:pPr>
      <w:r w:rsidRPr="004A478C">
        <w:rPr>
          <w:lang w:val="lt-LT"/>
        </w:rPr>
        <w:t xml:space="preserve"> </w:t>
      </w:r>
    </w:p>
    <w:p w14:paraId="2FE04E8B" w14:textId="18CFE1D2" w:rsidR="00273470" w:rsidRPr="004A478C" w:rsidRDefault="001A5C63" w:rsidP="003B28E4">
      <w:pPr>
        <w:pStyle w:val="Antrat2"/>
        <w:tabs>
          <w:tab w:val="left" w:pos="4680"/>
        </w:tabs>
        <w:spacing w:before="0" w:after="0" w:line="240" w:lineRule="auto"/>
        <w:ind w:left="-5" w:right="77"/>
        <w:rPr>
          <w:rFonts w:ascii="Times New Roman" w:hAnsi="Times New Roman"/>
          <w:i w:val="0"/>
          <w:sz w:val="22"/>
          <w:lang w:val="lt-LT"/>
        </w:rPr>
      </w:pPr>
      <w:proofErr w:type="spellStart"/>
      <w:r w:rsidRPr="004A478C">
        <w:rPr>
          <w:rFonts w:ascii="Times New Roman" w:hAnsi="Times New Roman"/>
          <w:i w:val="0"/>
          <w:sz w:val="22"/>
          <w:lang w:val="lt-LT"/>
        </w:rPr>
        <w:t>Febuxostat</w:t>
      </w:r>
      <w:proofErr w:type="spellEnd"/>
      <w:r w:rsidRPr="004A478C">
        <w:rPr>
          <w:rFonts w:ascii="Times New Roman" w:hAnsi="Times New Roman"/>
          <w:i w:val="0"/>
          <w:sz w:val="22"/>
          <w:lang w:val="lt-LT"/>
        </w:rPr>
        <w:t xml:space="preserve"> </w:t>
      </w:r>
      <w:proofErr w:type="spellStart"/>
      <w:r w:rsidR="00911F26" w:rsidRPr="004A478C">
        <w:rPr>
          <w:rFonts w:ascii="Times New Roman" w:hAnsi="Times New Roman"/>
          <w:i w:val="0"/>
          <w:sz w:val="22"/>
          <w:lang w:val="lt-LT"/>
        </w:rPr>
        <w:t>Zentiva</w:t>
      </w:r>
      <w:proofErr w:type="spellEnd"/>
      <w:r w:rsidR="00911F26" w:rsidRPr="004A478C">
        <w:rPr>
          <w:rFonts w:ascii="Times New Roman" w:hAnsi="Times New Roman"/>
          <w:i w:val="0"/>
          <w:sz w:val="22"/>
          <w:lang w:val="lt-LT"/>
        </w:rPr>
        <w:t xml:space="preserve"> </w:t>
      </w:r>
      <w:r w:rsidR="00273470" w:rsidRPr="004A478C">
        <w:rPr>
          <w:rFonts w:ascii="Times New Roman" w:hAnsi="Times New Roman"/>
          <w:i w:val="0"/>
          <w:sz w:val="22"/>
          <w:lang w:val="lt-LT"/>
        </w:rPr>
        <w:t xml:space="preserve">sudėtis </w:t>
      </w:r>
    </w:p>
    <w:p w14:paraId="561A08BA" w14:textId="77777777" w:rsidR="00273470" w:rsidRPr="004A478C" w:rsidRDefault="00355836" w:rsidP="004A478C">
      <w:pPr>
        <w:tabs>
          <w:tab w:val="left" w:pos="4680"/>
        </w:tabs>
        <w:spacing w:line="240" w:lineRule="auto"/>
        <w:rPr>
          <w:lang w:val="lt-LT"/>
        </w:rPr>
      </w:pPr>
      <w:r w:rsidRPr="004A478C">
        <w:rPr>
          <w:lang w:val="lt-LT"/>
        </w:rPr>
        <w:t>-</w:t>
      </w:r>
      <w:r w:rsidRPr="004A478C">
        <w:rPr>
          <w:lang w:val="lt-LT"/>
        </w:rPr>
        <w:tab/>
      </w:r>
      <w:r w:rsidR="00273470" w:rsidRPr="004A478C">
        <w:rPr>
          <w:lang w:val="lt-LT"/>
        </w:rPr>
        <w:t xml:space="preserve">Veiklioji medžiaga yra </w:t>
      </w:r>
      <w:proofErr w:type="spellStart"/>
      <w:r w:rsidR="00273470" w:rsidRPr="004A478C">
        <w:rPr>
          <w:lang w:val="lt-LT"/>
        </w:rPr>
        <w:t>febuksostatas</w:t>
      </w:r>
      <w:proofErr w:type="spellEnd"/>
      <w:r w:rsidR="00273470" w:rsidRPr="004A478C">
        <w:rPr>
          <w:lang w:val="lt-LT"/>
        </w:rPr>
        <w:t xml:space="preserve">. </w:t>
      </w:r>
    </w:p>
    <w:p w14:paraId="3FCDB14B" w14:textId="0A7FD7F0" w:rsidR="00273470" w:rsidRPr="004A478C" w:rsidRDefault="00355836" w:rsidP="003B28E4">
      <w:pPr>
        <w:tabs>
          <w:tab w:val="left" w:pos="4680"/>
        </w:tabs>
        <w:spacing w:line="240" w:lineRule="auto"/>
        <w:ind w:left="2" w:right="397"/>
        <w:rPr>
          <w:lang w:val="lt-LT"/>
        </w:rPr>
      </w:pPr>
      <w:r w:rsidRPr="004A478C">
        <w:rPr>
          <w:lang w:val="lt-LT"/>
        </w:rPr>
        <w:t>-</w:t>
      </w:r>
      <w:r w:rsidRPr="004A478C">
        <w:rPr>
          <w:lang w:val="lt-LT"/>
        </w:rPr>
        <w:tab/>
      </w:r>
      <w:r w:rsidR="001F12B5" w:rsidRPr="004A478C">
        <w:rPr>
          <w:lang w:val="lt-LT"/>
        </w:rPr>
        <w:t>K</w:t>
      </w:r>
      <w:r w:rsidR="005C5DE3" w:rsidRPr="004A478C">
        <w:rPr>
          <w:lang w:val="lt-LT"/>
        </w:rPr>
        <w:t>iekv</w:t>
      </w:r>
      <w:r w:rsidR="00273470" w:rsidRPr="004A478C">
        <w:rPr>
          <w:lang w:val="lt-LT"/>
        </w:rPr>
        <w:t xml:space="preserve">ienoje tabletėje yra 80 mg arba 120 mg </w:t>
      </w:r>
      <w:proofErr w:type="spellStart"/>
      <w:r w:rsidR="00273470" w:rsidRPr="004A478C">
        <w:rPr>
          <w:lang w:val="lt-LT"/>
        </w:rPr>
        <w:t>febuksostato</w:t>
      </w:r>
      <w:proofErr w:type="spellEnd"/>
      <w:r w:rsidR="00273470" w:rsidRPr="004A478C">
        <w:rPr>
          <w:lang w:val="lt-LT"/>
        </w:rPr>
        <w:t xml:space="preserve"> (</w:t>
      </w:r>
      <w:proofErr w:type="spellStart"/>
      <w:r w:rsidR="00273470" w:rsidRPr="004A478C">
        <w:rPr>
          <w:lang w:val="lt-LT"/>
        </w:rPr>
        <w:t>hemihidrat</w:t>
      </w:r>
      <w:r w:rsidR="001F12B5" w:rsidRPr="004A478C">
        <w:rPr>
          <w:lang w:val="lt-LT"/>
        </w:rPr>
        <w:t>o</w:t>
      </w:r>
      <w:proofErr w:type="spellEnd"/>
      <w:r w:rsidR="001F12B5" w:rsidRPr="004A478C">
        <w:rPr>
          <w:lang w:val="lt-LT"/>
        </w:rPr>
        <w:t xml:space="preserve"> pavidalu</w:t>
      </w:r>
      <w:r w:rsidR="00273470" w:rsidRPr="004A478C">
        <w:rPr>
          <w:lang w:val="lt-LT"/>
        </w:rPr>
        <w:t>)</w:t>
      </w:r>
      <w:r w:rsidR="002D4631" w:rsidRPr="004A478C">
        <w:rPr>
          <w:lang w:val="lt-LT"/>
        </w:rPr>
        <w:t>.</w:t>
      </w:r>
    </w:p>
    <w:p w14:paraId="51176F66" w14:textId="77777777" w:rsidR="00273470" w:rsidRPr="004A478C" w:rsidRDefault="00273470" w:rsidP="003B28E4">
      <w:pPr>
        <w:tabs>
          <w:tab w:val="left" w:pos="4680"/>
        </w:tabs>
        <w:spacing w:line="240" w:lineRule="auto"/>
        <w:rPr>
          <w:lang w:val="lt-LT"/>
        </w:rPr>
      </w:pPr>
      <w:r w:rsidRPr="004A478C">
        <w:rPr>
          <w:lang w:val="lt-LT"/>
        </w:rPr>
        <w:t xml:space="preserve"> </w:t>
      </w:r>
    </w:p>
    <w:p w14:paraId="0B197E24" w14:textId="37B088E0" w:rsidR="00273470" w:rsidRPr="004A478C" w:rsidRDefault="00273470" w:rsidP="003B28E4">
      <w:pPr>
        <w:tabs>
          <w:tab w:val="left" w:pos="4680"/>
        </w:tabs>
        <w:spacing w:line="240" w:lineRule="auto"/>
        <w:ind w:left="2" w:right="397"/>
        <w:rPr>
          <w:lang w:val="lt-LT"/>
        </w:rPr>
      </w:pPr>
      <w:r w:rsidRPr="004A478C">
        <w:rPr>
          <w:lang w:val="lt-LT"/>
        </w:rPr>
        <w:t>Pagalbinės medžiagos yra</w:t>
      </w:r>
      <w:r w:rsidR="002D4631" w:rsidRPr="004A478C">
        <w:rPr>
          <w:lang w:val="lt-LT"/>
        </w:rPr>
        <w:t>:</w:t>
      </w:r>
      <w:r w:rsidRPr="004A478C">
        <w:rPr>
          <w:lang w:val="lt-LT"/>
        </w:rPr>
        <w:t xml:space="preserve"> </w:t>
      </w:r>
    </w:p>
    <w:p w14:paraId="6C08D5A3" w14:textId="18D8292E" w:rsidR="00273470" w:rsidRPr="004B0C8F" w:rsidRDefault="00273470" w:rsidP="003B28E4">
      <w:pPr>
        <w:pStyle w:val="HTMLiankstoformatuotas"/>
        <w:tabs>
          <w:tab w:val="left" w:pos="4680"/>
        </w:tabs>
        <w:rPr>
          <w:rFonts w:ascii="Times New Roman" w:hAnsi="Times New Roman"/>
          <w:color w:val="212121"/>
          <w:sz w:val="22"/>
          <w:szCs w:val="22"/>
          <w:lang w:val="lt-LT"/>
        </w:rPr>
      </w:pPr>
      <w:r w:rsidRPr="004A478C">
        <w:rPr>
          <w:rFonts w:ascii="Times New Roman" w:hAnsi="Times New Roman"/>
          <w:i/>
          <w:sz w:val="22"/>
          <w:lang w:val="lt-LT"/>
        </w:rPr>
        <w:t>Tabletės šerdis:</w:t>
      </w:r>
      <w:r w:rsidR="002D4631" w:rsidRPr="004B0C8F">
        <w:rPr>
          <w:rFonts w:ascii="Times New Roman" w:hAnsi="Times New Roman"/>
          <w:i/>
          <w:sz w:val="22"/>
          <w:szCs w:val="22"/>
          <w:lang w:val="lt-LT"/>
        </w:rPr>
        <w:t xml:space="preserve"> </w:t>
      </w:r>
      <w:r w:rsidR="005C5DE3" w:rsidRPr="004B0C8F">
        <w:rPr>
          <w:rFonts w:ascii="Times New Roman" w:hAnsi="Times New Roman"/>
          <w:color w:val="212121"/>
          <w:sz w:val="22"/>
          <w:szCs w:val="22"/>
          <w:lang w:val="lt-LT"/>
        </w:rPr>
        <w:t>l</w:t>
      </w:r>
      <w:r w:rsidRPr="004B0C8F">
        <w:rPr>
          <w:rFonts w:ascii="Times New Roman" w:hAnsi="Times New Roman"/>
          <w:color w:val="212121"/>
          <w:sz w:val="22"/>
          <w:szCs w:val="22"/>
          <w:lang w:val="lt-LT"/>
        </w:rPr>
        <w:t xml:space="preserve">aktozė </w:t>
      </w:r>
      <w:proofErr w:type="spellStart"/>
      <w:r w:rsidRPr="004B0C8F">
        <w:rPr>
          <w:rFonts w:ascii="Times New Roman" w:hAnsi="Times New Roman"/>
          <w:color w:val="212121"/>
          <w:sz w:val="22"/>
          <w:szCs w:val="22"/>
          <w:lang w:val="lt-LT"/>
        </w:rPr>
        <w:t>monohidratas</w:t>
      </w:r>
      <w:proofErr w:type="spellEnd"/>
      <w:r w:rsidRPr="004B0C8F">
        <w:rPr>
          <w:rFonts w:ascii="Times New Roman" w:hAnsi="Times New Roman"/>
          <w:color w:val="212121"/>
          <w:sz w:val="22"/>
          <w:szCs w:val="22"/>
          <w:lang w:val="lt-LT"/>
        </w:rPr>
        <w:t xml:space="preserve">, </w:t>
      </w:r>
      <w:proofErr w:type="spellStart"/>
      <w:r w:rsidRPr="004B0C8F">
        <w:rPr>
          <w:rFonts w:ascii="Times New Roman" w:hAnsi="Times New Roman"/>
          <w:color w:val="212121"/>
          <w:sz w:val="22"/>
          <w:szCs w:val="22"/>
          <w:lang w:val="lt-LT"/>
        </w:rPr>
        <w:t>mikrokristalinė</w:t>
      </w:r>
      <w:proofErr w:type="spellEnd"/>
      <w:r w:rsidRPr="004B0C8F">
        <w:rPr>
          <w:rFonts w:ascii="Times New Roman" w:hAnsi="Times New Roman"/>
          <w:color w:val="212121"/>
          <w:sz w:val="22"/>
          <w:szCs w:val="22"/>
          <w:lang w:val="lt-LT"/>
        </w:rPr>
        <w:t xml:space="preserve"> celiuliozė, </w:t>
      </w:r>
      <w:proofErr w:type="spellStart"/>
      <w:r w:rsidR="00491427" w:rsidRPr="004B0C8F">
        <w:rPr>
          <w:rFonts w:ascii="Times New Roman" w:hAnsi="Times New Roman"/>
          <w:color w:val="212121"/>
          <w:sz w:val="22"/>
          <w:szCs w:val="22"/>
          <w:lang w:val="lt-LT"/>
        </w:rPr>
        <w:t>k</w:t>
      </w:r>
      <w:r w:rsidRPr="004B0C8F">
        <w:rPr>
          <w:rFonts w:ascii="Times New Roman" w:hAnsi="Times New Roman"/>
          <w:color w:val="212121"/>
          <w:sz w:val="22"/>
          <w:szCs w:val="22"/>
          <w:lang w:val="lt-LT"/>
        </w:rPr>
        <w:t>roskarmeliozė</w:t>
      </w:r>
      <w:r w:rsidR="00491427" w:rsidRPr="004B0C8F">
        <w:rPr>
          <w:rFonts w:ascii="Times New Roman" w:hAnsi="Times New Roman"/>
          <w:color w:val="212121"/>
          <w:sz w:val="22"/>
          <w:szCs w:val="22"/>
          <w:lang w:val="lt-LT"/>
        </w:rPr>
        <w:t>s</w:t>
      </w:r>
      <w:proofErr w:type="spellEnd"/>
      <w:r w:rsidR="00491427" w:rsidRPr="004B0C8F">
        <w:rPr>
          <w:rFonts w:ascii="Times New Roman" w:hAnsi="Times New Roman"/>
          <w:color w:val="212121"/>
          <w:sz w:val="22"/>
          <w:szCs w:val="22"/>
          <w:lang w:val="lt-LT"/>
        </w:rPr>
        <w:t xml:space="preserve"> natrio druska</w:t>
      </w:r>
      <w:r w:rsidRPr="004B0C8F">
        <w:rPr>
          <w:rFonts w:ascii="Times New Roman" w:hAnsi="Times New Roman"/>
          <w:color w:val="212121"/>
          <w:sz w:val="22"/>
          <w:szCs w:val="22"/>
          <w:lang w:val="lt-LT"/>
        </w:rPr>
        <w:t xml:space="preserve">, </w:t>
      </w:r>
      <w:proofErr w:type="spellStart"/>
      <w:r w:rsidRPr="004B0C8F">
        <w:rPr>
          <w:rFonts w:ascii="Times New Roman" w:hAnsi="Times New Roman"/>
          <w:color w:val="212121"/>
          <w:sz w:val="22"/>
          <w:szCs w:val="22"/>
          <w:lang w:val="lt-LT"/>
        </w:rPr>
        <w:t>hidroksipropilceliuliozė</w:t>
      </w:r>
      <w:proofErr w:type="spellEnd"/>
      <w:r w:rsidRPr="004B0C8F">
        <w:rPr>
          <w:rFonts w:ascii="Times New Roman" w:hAnsi="Times New Roman"/>
          <w:color w:val="212121"/>
          <w:sz w:val="22"/>
          <w:szCs w:val="22"/>
          <w:lang w:val="lt-LT"/>
        </w:rPr>
        <w:t xml:space="preserve">, </w:t>
      </w:r>
      <w:proofErr w:type="spellStart"/>
      <w:r w:rsidR="005C5DE3" w:rsidRPr="004B0C8F">
        <w:rPr>
          <w:rFonts w:ascii="Times New Roman" w:hAnsi="Times New Roman"/>
          <w:color w:val="212121"/>
          <w:sz w:val="22"/>
          <w:szCs w:val="22"/>
          <w:lang w:val="lt-LT"/>
        </w:rPr>
        <w:t>mikronizuotas</w:t>
      </w:r>
      <w:proofErr w:type="spellEnd"/>
      <w:r w:rsidR="005C5DE3" w:rsidRPr="004B0C8F">
        <w:rPr>
          <w:rFonts w:ascii="Times New Roman" w:hAnsi="Times New Roman"/>
          <w:color w:val="212121"/>
          <w:sz w:val="22"/>
          <w:szCs w:val="22"/>
          <w:lang w:val="lt-LT"/>
        </w:rPr>
        <w:t xml:space="preserve"> </w:t>
      </w:r>
      <w:proofErr w:type="spellStart"/>
      <w:r w:rsidR="00491427" w:rsidRPr="004B0C8F">
        <w:rPr>
          <w:rFonts w:ascii="Times New Roman" w:hAnsi="Times New Roman"/>
          <w:color w:val="212121"/>
          <w:sz w:val="22"/>
          <w:szCs w:val="22"/>
          <w:lang w:val="lt-LT"/>
        </w:rPr>
        <w:t>poloksameras</w:t>
      </w:r>
      <w:proofErr w:type="spellEnd"/>
      <w:r w:rsidR="00491427" w:rsidRPr="004B0C8F">
        <w:rPr>
          <w:rFonts w:ascii="Times New Roman" w:hAnsi="Times New Roman"/>
          <w:color w:val="212121"/>
          <w:sz w:val="22"/>
          <w:szCs w:val="22"/>
          <w:lang w:val="lt-LT"/>
        </w:rPr>
        <w:t xml:space="preserve"> 407, </w:t>
      </w:r>
      <w:r w:rsidR="00355836" w:rsidRPr="004B0C8F">
        <w:rPr>
          <w:rFonts w:ascii="Times New Roman" w:hAnsi="Times New Roman"/>
          <w:color w:val="212121"/>
          <w:sz w:val="22"/>
          <w:szCs w:val="22"/>
          <w:lang w:val="lt-LT"/>
        </w:rPr>
        <w:t xml:space="preserve">koloidinis </w:t>
      </w:r>
      <w:r w:rsidR="005C5DE3" w:rsidRPr="004B0C8F">
        <w:rPr>
          <w:rFonts w:ascii="Times New Roman" w:hAnsi="Times New Roman"/>
          <w:color w:val="212121"/>
          <w:sz w:val="22"/>
          <w:szCs w:val="22"/>
          <w:lang w:val="lt-LT"/>
        </w:rPr>
        <w:t>hidratuotas</w:t>
      </w:r>
      <w:r w:rsidR="005C5DE3" w:rsidRPr="004B0C8F" w:rsidDel="00491427">
        <w:rPr>
          <w:rFonts w:ascii="Times New Roman" w:hAnsi="Times New Roman"/>
          <w:color w:val="212121"/>
          <w:sz w:val="22"/>
          <w:szCs w:val="22"/>
          <w:lang w:val="lt-LT"/>
        </w:rPr>
        <w:t xml:space="preserve"> </w:t>
      </w:r>
      <w:r w:rsidRPr="004B0C8F">
        <w:rPr>
          <w:rFonts w:ascii="Times New Roman" w:hAnsi="Times New Roman"/>
          <w:color w:val="212121"/>
          <w:sz w:val="22"/>
          <w:szCs w:val="22"/>
          <w:lang w:val="lt-LT"/>
        </w:rPr>
        <w:t xml:space="preserve">silicio dioksidas, magnio </w:t>
      </w:r>
      <w:proofErr w:type="spellStart"/>
      <w:r w:rsidRPr="004B0C8F">
        <w:rPr>
          <w:rFonts w:ascii="Times New Roman" w:hAnsi="Times New Roman"/>
          <w:color w:val="212121"/>
          <w:sz w:val="22"/>
          <w:szCs w:val="22"/>
          <w:lang w:val="lt-LT"/>
        </w:rPr>
        <w:t>stearatas</w:t>
      </w:r>
      <w:proofErr w:type="spellEnd"/>
      <w:r w:rsidR="00491427" w:rsidRPr="004B0C8F">
        <w:rPr>
          <w:rFonts w:ascii="Times New Roman" w:hAnsi="Times New Roman"/>
          <w:color w:val="212121"/>
          <w:sz w:val="22"/>
          <w:szCs w:val="22"/>
          <w:lang w:val="lt-LT"/>
        </w:rPr>
        <w:t>.</w:t>
      </w:r>
    </w:p>
    <w:p w14:paraId="29F8AEA6" w14:textId="77777777" w:rsidR="00273470" w:rsidRPr="004A478C" w:rsidRDefault="00491427" w:rsidP="003B28E4">
      <w:pPr>
        <w:pStyle w:val="HTMLiankstoformatuotas"/>
        <w:shd w:val="clear" w:color="auto" w:fill="FFFFFF"/>
        <w:tabs>
          <w:tab w:val="left" w:pos="4680"/>
        </w:tabs>
        <w:rPr>
          <w:rFonts w:ascii="Times New Roman" w:hAnsi="Times New Roman"/>
          <w:color w:val="212121"/>
          <w:sz w:val="22"/>
          <w:lang w:val="lt-LT"/>
        </w:rPr>
      </w:pPr>
      <w:r w:rsidRPr="004B0C8F">
        <w:rPr>
          <w:rFonts w:ascii="Times New Roman" w:hAnsi="Times New Roman"/>
          <w:i/>
          <w:sz w:val="22"/>
          <w:szCs w:val="22"/>
          <w:lang w:val="lt-LT"/>
        </w:rPr>
        <w:t>Tabletės plėvelė</w:t>
      </w:r>
      <w:r w:rsidR="00273470" w:rsidRPr="004A478C">
        <w:rPr>
          <w:rFonts w:ascii="Times New Roman" w:hAnsi="Times New Roman"/>
          <w:i/>
          <w:sz w:val="22"/>
          <w:lang w:val="lt-LT"/>
        </w:rPr>
        <w:t>:</w:t>
      </w:r>
      <w:r w:rsidR="00273470" w:rsidRPr="004A478C">
        <w:rPr>
          <w:rFonts w:ascii="Times New Roman" w:hAnsi="Times New Roman"/>
          <w:sz w:val="22"/>
          <w:lang w:val="lt-LT"/>
        </w:rPr>
        <w:t xml:space="preserve"> </w:t>
      </w:r>
      <w:r w:rsidR="005C5DE3" w:rsidRPr="004B0C8F">
        <w:rPr>
          <w:rFonts w:ascii="Times New Roman" w:hAnsi="Times New Roman"/>
          <w:color w:val="212121"/>
          <w:sz w:val="22"/>
          <w:szCs w:val="22"/>
          <w:lang w:val="lt-LT"/>
        </w:rPr>
        <w:t>p</w:t>
      </w:r>
      <w:r w:rsidR="00273470" w:rsidRPr="004B0C8F">
        <w:rPr>
          <w:rFonts w:ascii="Times New Roman" w:hAnsi="Times New Roman"/>
          <w:color w:val="212121"/>
          <w:sz w:val="22"/>
          <w:szCs w:val="22"/>
          <w:lang w:val="lt-LT"/>
        </w:rPr>
        <w:t xml:space="preserve">olivinilo alkoholis, titano dioksidas E171, </w:t>
      </w:r>
      <w:proofErr w:type="spellStart"/>
      <w:r w:rsidR="00273470" w:rsidRPr="004B0C8F">
        <w:rPr>
          <w:rFonts w:ascii="Times New Roman" w:hAnsi="Times New Roman"/>
          <w:color w:val="212121"/>
          <w:sz w:val="22"/>
          <w:szCs w:val="22"/>
          <w:lang w:val="lt-LT"/>
        </w:rPr>
        <w:t>polietilenglikolis</w:t>
      </w:r>
      <w:proofErr w:type="spellEnd"/>
      <w:r w:rsidR="00273470" w:rsidRPr="004B0C8F">
        <w:rPr>
          <w:rFonts w:ascii="Times New Roman" w:hAnsi="Times New Roman"/>
          <w:color w:val="212121"/>
          <w:sz w:val="22"/>
          <w:szCs w:val="22"/>
          <w:lang w:val="lt-LT"/>
        </w:rPr>
        <w:t xml:space="preserve"> / </w:t>
      </w:r>
      <w:proofErr w:type="spellStart"/>
      <w:r w:rsidR="00273470" w:rsidRPr="004B0C8F">
        <w:rPr>
          <w:rFonts w:ascii="Times New Roman" w:hAnsi="Times New Roman"/>
          <w:color w:val="212121"/>
          <w:sz w:val="22"/>
          <w:szCs w:val="22"/>
          <w:lang w:val="lt-LT"/>
        </w:rPr>
        <w:t>makrogolis</w:t>
      </w:r>
      <w:proofErr w:type="spellEnd"/>
      <w:r w:rsidR="00273470" w:rsidRPr="004B0C8F">
        <w:rPr>
          <w:rFonts w:ascii="Times New Roman" w:hAnsi="Times New Roman"/>
          <w:color w:val="212121"/>
          <w:sz w:val="22"/>
          <w:szCs w:val="22"/>
          <w:lang w:val="lt-LT"/>
        </w:rPr>
        <w:t xml:space="preserve"> 4000, talkas</w:t>
      </w:r>
      <w:r w:rsidR="00282921" w:rsidRPr="004B0C8F">
        <w:rPr>
          <w:rFonts w:ascii="Times New Roman" w:hAnsi="Times New Roman"/>
          <w:color w:val="212121"/>
          <w:sz w:val="22"/>
          <w:szCs w:val="22"/>
          <w:lang w:val="lt-LT"/>
        </w:rPr>
        <w:t xml:space="preserve">, </w:t>
      </w:r>
      <w:r w:rsidR="005C5DE3" w:rsidRPr="004B0C8F">
        <w:rPr>
          <w:rFonts w:ascii="Times New Roman" w:hAnsi="Times New Roman"/>
          <w:color w:val="212121"/>
          <w:sz w:val="22"/>
          <w:szCs w:val="22"/>
          <w:lang w:val="lt-LT"/>
        </w:rPr>
        <w:t>g</w:t>
      </w:r>
      <w:r w:rsidR="00273470" w:rsidRPr="004B0C8F">
        <w:rPr>
          <w:rFonts w:ascii="Times New Roman" w:hAnsi="Times New Roman"/>
          <w:color w:val="212121"/>
          <w:sz w:val="22"/>
          <w:szCs w:val="22"/>
          <w:lang w:val="lt-LT"/>
        </w:rPr>
        <w:t>eltonas</w:t>
      </w:r>
      <w:r w:rsidR="005C5DE3" w:rsidRPr="004B0C8F">
        <w:rPr>
          <w:rFonts w:ascii="Times New Roman" w:hAnsi="Times New Roman"/>
          <w:color w:val="212121"/>
          <w:sz w:val="22"/>
          <w:szCs w:val="22"/>
          <w:lang w:val="lt-LT"/>
        </w:rPr>
        <w:t>is</w:t>
      </w:r>
      <w:r w:rsidR="00273470" w:rsidRPr="004B0C8F">
        <w:rPr>
          <w:rFonts w:ascii="Times New Roman" w:hAnsi="Times New Roman"/>
          <w:color w:val="212121"/>
          <w:sz w:val="22"/>
          <w:szCs w:val="22"/>
          <w:lang w:val="lt-LT"/>
        </w:rPr>
        <w:t xml:space="preserve"> geležies oksidas E172</w:t>
      </w:r>
      <w:r w:rsidR="00355836" w:rsidRPr="004B0C8F">
        <w:rPr>
          <w:rFonts w:ascii="Times New Roman" w:hAnsi="Times New Roman"/>
          <w:color w:val="212121"/>
          <w:sz w:val="22"/>
          <w:szCs w:val="22"/>
          <w:lang w:val="lt-LT"/>
        </w:rPr>
        <w:t>.</w:t>
      </w:r>
    </w:p>
    <w:p w14:paraId="4450E774" w14:textId="77777777" w:rsidR="00273470" w:rsidRPr="004A478C" w:rsidRDefault="00273470" w:rsidP="003B28E4">
      <w:pPr>
        <w:pStyle w:val="HTMLiankstoformatuotas"/>
        <w:shd w:val="clear" w:color="auto" w:fill="FFFFFF"/>
        <w:tabs>
          <w:tab w:val="left" w:pos="4680"/>
        </w:tabs>
        <w:rPr>
          <w:rFonts w:ascii="Times New Roman" w:hAnsi="Times New Roman"/>
          <w:sz w:val="22"/>
          <w:lang w:val="lt-LT"/>
        </w:rPr>
      </w:pPr>
      <w:r w:rsidRPr="004A478C">
        <w:rPr>
          <w:rFonts w:ascii="Times New Roman" w:hAnsi="Times New Roman"/>
          <w:sz w:val="22"/>
          <w:lang w:val="lt-LT"/>
        </w:rPr>
        <w:lastRenderedPageBreak/>
        <w:t xml:space="preserve"> </w:t>
      </w:r>
    </w:p>
    <w:p w14:paraId="6ECC1C1D" w14:textId="5CC40F2D" w:rsidR="00273470" w:rsidRPr="004A478C" w:rsidRDefault="001A5C63" w:rsidP="003B28E4">
      <w:pPr>
        <w:pStyle w:val="Antrat2"/>
        <w:tabs>
          <w:tab w:val="left" w:pos="4680"/>
        </w:tabs>
        <w:spacing w:before="0" w:after="0" w:line="240" w:lineRule="auto"/>
        <w:ind w:left="-5" w:right="77"/>
        <w:rPr>
          <w:rFonts w:ascii="Times New Roman" w:hAnsi="Times New Roman"/>
          <w:i w:val="0"/>
          <w:sz w:val="22"/>
          <w:lang w:val="lt-LT"/>
        </w:rPr>
      </w:pPr>
      <w:proofErr w:type="spellStart"/>
      <w:r w:rsidRPr="004A478C">
        <w:rPr>
          <w:rFonts w:ascii="Times New Roman" w:hAnsi="Times New Roman"/>
          <w:i w:val="0"/>
          <w:sz w:val="22"/>
          <w:lang w:val="lt-LT"/>
        </w:rPr>
        <w:t>Febuxostat</w:t>
      </w:r>
      <w:proofErr w:type="spellEnd"/>
      <w:r w:rsidRPr="004A478C">
        <w:rPr>
          <w:rFonts w:ascii="Times New Roman" w:hAnsi="Times New Roman"/>
          <w:i w:val="0"/>
          <w:sz w:val="22"/>
          <w:lang w:val="lt-LT"/>
        </w:rPr>
        <w:t xml:space="preserve"> </w:t>
      </w:r>
      <w:proofErr w:type="spellStart"/>
      <w:r w:rsidR="00911F26" w:rsidRPr="004A478C">
        <w:rPr>
          <w:rFonts w:ascii="Times New Roman" w:hAnsi="Times New Roman"/>
          <w:i w:val="0"/>
          <w:sz w:val="22"/>
          <w:lang w:val="lt-LT"/>
        </w:rPr>
        <w:t>Zentiva</w:t>
      </w:r>
      <w:proofErr w:type="spellEnd"/>
      <w:r w:rsidR="00911F26" w:rsidRPr="004A478C">
        <w:rPr>
          <w:rFonts w:ascii="Times New Roman" w:hAnsi="Times New Roman"/>
          <w:i w:val="0"/>
          <w:sz w:val="22"/>
          <w:lang w:val="lt-LT"/>
        </w:rPr>
        <w:t xml:space="preserve"> </w:t>
      </w:r>
      <w:r w:rsidR="00273470" w:rsidRPr="004A478C">
        <w:rPr>
          <w:rFonts w:ascii="Times New Roman" w:hAnsi="Times New Roman"/>
          <w:i w:val="0"/>
          <w:sz w:val="22"/>
          <w:lang w:val="lt-LT"/>
        </w:rPr>
        <w:t xml:space="preserve">išvaizda ir kiekis pakuotėje  </w:t>
      </w:r>
    </w:p>
    <w:p w14:paraId="13497CE1" w14:textId="6962F108" w:rsidR="00282921" w:rsidRPr="004B0C8F" w:rsidRDefault="001A5C63" w:rsidP="004A478C">
      <w:pPr>
        <w:tabs>
          <w:tab w:val="left" w:pos="4680"/>
        </w:tabs>
        <w:spacing w:line="240" w:lineRule="auto"/>
        <w:rPr>
          <w:szCs w:val="22"/>
          <w:lang w:val="lt-LT"/>
        </w:rPr>
      </w:pPr>
      <w:proofErr w:type="spellStart"/>
      <w:r w:rsidRPr="004A478C">
        <w:rPr>
          <w:lang w:val="lt-LT"/>
        </w:rPr>
        <w:t>Febuxostat</w:t>
      </w:r>
      <w:proofErr w:type="spellEnd"/>
      <w:r w:rsidRPr="004A478C">
        <w:rPr>
          <w:lang w:val="lt-LT"/>
        </w:rPr>
        <w:t xml:space="preserve"> </w:t>
      </w:r>
      <w:proofErr w:type="spellStart"/>
      <w:r w:rsidR="00911F26" w:rsidRPr="004A478C">
        <w:rPr>
          <w:lang w:val="lt-LT"/>
        </w:rPr>
        <w:t>Zentiva</w:t>
      </w:r>
      <w:proofErr w:type="spellEnd"/>
      <w:r w:rsidR="00911F26" w:rsidRPr="004A478C">
        <w:rPr>
          <w:lang w:val="lt-LT"/>
        </w:rPr>
        <w:t xml:space="preserve"> </w:t>
      </w:r>
      <w:r w:rsidR="00282921" w:rsidRPr="004A478C">
        <w:rPr>
          <w:lang w:val="lt-LT"/>
        </w:rPr>
        <w:t xml:space="preserve">80 mg </w:t>
      </w:r>
      <w:r w:rsidR="00282921" w:rsidRPr="004B0C8F">
        <w:rPr>
          <w:szCs w:val="22"/>
          <w:lang w:val="lt-LT"/>
        </w:rPr>
        <w:t xml:space="preserve">yra </w:t>
      </w:r>
      <w:r w:rsidR="00491427" w:rsidRPr="004B0C8F">
        <w:rPr>
          <w:szCs w:val="22"/>
          <w:lang w:val="lt-LT"/>
        </w:rPr>
        <w:t xml:space="preserve">šviesiai </w:t>
      </w:r>
      <w:r w:rsidR="00282921" w:rsidRPr="004B0C8F">
        <w:rPr>
          <w:szCs w:val="22"/>
          <w:lang w:val="lt-LT"/>
        </w:rPr>
        <w:t>geltonos spalvos</w:t>
      </w:r>
      <w:r w:rsidR="005C5DE3" w:rsidRPr="004B0C8F">
        <w:rPr>
          <w:szCs w:val="22"/>
          <w:lang w:val="lt-LT"/>
        </w:rPr>
        <w:t>,</w:t>
      </w:r>
      <w:r w:rsidR="00282921" w:rsidRPr="004B0C8F">
        <w:rPr>
          <w:szCs w:val="22"/>
          <w:lang w:val="lt-LT"/>
        </w:rPr>
        <w:t xml:space="preserve"> </w:t>
      </w:r>
      <w:r w:rsidR="0083377A" w:rsidRPr="004B0C8F">
        <w:rPr>
          <w:szCs w:val="22"/>
          <w:lang w:val="lt-LT"/>
        </w:rPr>
        <w:t xml:space="preserve">apvalios </w:t>
      </w:r>
      <w:r w:rsidR="00282921" w:rsidRPr="004B0C8F">
        <w:rPr>
          <w:szCs w:val="22"/>
          <w:lang w:val="lt-LT"/>
        </w:rPr>
        <w:t>formos</w:t>
      </w:r>
      <w:r w:rsidR="00491427" w:rsidRPr="004B0C8F">
        <w:rPr>
          <w:szCs w:val="22"/>
          <w:lang w:val="lt-LT"/>
        </w:rPr>
        <w:t xml:space="preserve">, </w:t>
      </w:r>
      <w:r w:rsidR="00491427" w:rsidRPr="004A478C">
        <w:rPr>
          <w:lang w:val="lt-LT"/>
        </w:rPr>
        <w:t xml:space="preserve">maždaug </w:t>
      </w:r>
      <w:r w:rsidR="0083377A" w:rsidRPr="004A478C">
        <w:rPr>
          <w:lang w:val="lt-LT"/>
        </w:rPr>
        <w:t>11</w:t>
      </w:r>
      <w:r w:rsidR="00491427" w:rsidRPr="004A478C">
        <w:rPr>
          <w:lang w:val="lt-LT"/>
        </w:rPr>
        <w:t xml:space="preserve"> mm </w:t>
      </w:r>
      <w:r w:rsidR="0083377A" w:rsidRPr="004A478C">
        <w:rPr>
          <w:lang w:val="lt-LT"/>
        </w:rPr>
        <w:t>skersmens</w:t>
      </w:r>
      <w:r w:rsidR="0083377A" w:rsidRPr="004B0C8F">
        <w:rPr>
          <w:szCs w:val="22"/>
          <w:lang w:val="lt-LT"/>
        </w:rPr>
        <w:t xml:space="preserve"> </w:t>
      </w:r>
      <w:r w:rsidR="00282921" w:rsidRPr="004B0C8F">
        <w:rPr>
          <w:szCs w:val="22"/>
          <w:lang w:val="lt-LT"/>
        </w:rPr>
        <w:t xml:space="preserve">plėvele dengtos tabletės, kurių vienoje pusėje </w:t>
      </w:r>
      <w:r w:rsidR="0083377A" w:rsidRPr="004B0C8F">
        <w:rPr>
          <w:szCs w:val="22"/>
          <w:lang w:val="lt-LT"/>
        </w:rPr>
        <w:t>įspausta „80“</w:t>
      </w:r>
      <w:r w:rsidR="00282921" w:rsidRPr="004B0C8F">
        <w:rPr>
          <w:szCs w:val="22"/>
          <w:lang w:val="lt-LT"/>
        </w:rPr>
        <w:t>.</w:t>
      </w:r>
    </w:p>
    <w:p w14:paraId="054888FA" w14:textId="77777777" w:rsidR="00282921" w:rsidRPr="004B0C8F" w:rsidRDefault="00282921" w:rsidP="003B28E4">
      <w:pPr>
        <w:tabs>
          <w:tab w:val="left" w:pos="4680"/>
        </w:tabs>
        <w:spacing w:line="240" w:lineRule="auto"/>
        <w:ind w:left="2" w:right="397"/>
        <w:rPr>
          <w:szCs w:val="22"/>
          <w:lang w:val="lt-LT"/>
        </w:rPr>
      </w:pPr>
    </w:p>
    <w:p w14:paraId="4ABB8C00" w14:textId="37D165BE" w:rsidR="00282921" w:rsidRPr="004B0C8F" w:rsidRDefault="00282921" w:rsidP="004A478C">
      <w:pPr>
        <w:tabs>
          <w:tab w:val="left" w:pos="4680"/>
        </w:tabs>
        <w:spacing w:line="240" w:lineRule="auto"/>
        <w:ind w:left="2" w:right="-2"/>
        <w:rPr>
          <w:lang w:val="lt-LT"/>
        </w:rPr>
      </w:pPr>
      <w:proofErr w:type="spellStart"/>
      <w:r w:rsidRPr="004B0C8F">
        <w:rPr>
          <w:lang w:val="lt-LT"/>
        </w:rPr>
        <w:t>Febuxostat</w:t>
      </w:r>
      <w:proofErr w:type="spellEnd"/>
      <w:r w:rsidRPr="004B0C8F">
        <w:rPr>
          <w:lang w:val="lt-LT"/>
        </w:rPr>
        <w:t xml:space="preserve"> </w:t>
      </w:r>
      <w:proofErr w:type="spellStart"/>
      <w:r w:rsidR="00911F26" w:rsidRPr="004B0C8F">
        <w:rPr>
          <w:lang w:val="lt-LT"/>
        </w:rPr>
        <w:t>Zentiva</w:t>
      </w:r>
      <w:proofErr w:type="spellEnd"/>
      <w:r w:rsidRPr="004B0C8F">
        <w:rPr>
          <w:lang w:val="lt-LT"/>
        </w:rPr>
        <w:t xml:space="preserve"> 120 mg </w:t>
      </w:r>
      <w:r w:rsidR="00491427" w:rsidRPr="004B0C8F">
        <w:rPr>
          <w:lang w:val="lt-LT"/>
        </w:rPr>
        <w:t>yra šviesiai geltonos spalvos</w:t>
      </w:r>
      <w:r w:rsidR="005C5DE3" w:rsidRPr="004B0C8F">
        <w:rPr>
          <w:lang w:val="lt-LT"/>
        </w:rPr>
        <w:t>,</w:t>
      </w:r>
      <w:r w:rsidR="00491427" w:rsidRPr="004B0C8F">
        <w:rPr>
          <w:lang w:val="lt-LT"/>
        </w:rPr>
        <w:t xml:space="preserve"> pailgos formos, maždaug 19 mm x 8</w:t>
      </w:r>
      <w:r w:rsidR="00FC22F8">
        <w:rPr>
          <w:lang w:val="lt-LT"/>
        </w:rPr>
        <w:t> </w:t>
      </w:r>
      <w:r w:rsidR="00491427" w:rsidRPr="004B0C8F">
        <w:rPr>
          <w:lang w:val="lt-LT"/>
        </w:rPr>
        <w:t xml:space="preserve">mm dydžio plėvele dengtos tabletės, kurių vienoje pusėje yra </w:t>
      </w:r>
      <w:r w:rsidR="005C5DE3" w:rsidRPr="004B0C8F">
        <w:rPr>
          <w:lang w:val="lt-LT"/>
        </w:rPr>
        <w:t>vagelė.</w:t>
      </w:r>
    </w:p>
    <w:p w14:paraId="17F6CA26" w14:textId="77777777" w:rsidR="00491427" w:rsidRPr="004B0C8F" w:rsidRDefault="00491427" w:rsidP="003B28E4">
      <w:pPr>
        <w:tabs>
          <w:tab w:val="left" w:pos="4680"/>
        </w:tabs>
        <w:spacing w:line="240" w:lineRule="auto"/>
        <w:ind w:left="2" w:right="397"/>
        <w:rPr>
          <w:lang w:val="lt-LT"/>
        </w:rPr>
      </w:pPr>
    </w:p>
    <w:p w14:paraId="71B5C7BA" w14:textId="20D88CD8" w:rsidR="00273470" w:rsidRPr="004A478C" w:rsidRDefault="00273470" w:rsidP="003B28E4">
      <w:pPr>
        <w:tabs>
          <w:tab w:val="left" w:pos="4680"/>
        </w:tabs>
        <w:spacing w:line="240" w:lineRule="auto"/>
        <w:rPr>
          <w:lang w:val="lt-LT"/>
        </w:rPr>
      </w:pPr>
      <w:proofErr w:type="spellStart"/>
      <w:r w:rsidRPr="004A478C">
        <w:rPr>
          <w:shd w:val="clear" w:color="auto" w:fill="FFFFFF"/>
          <w:lang w:val="lt-LT"/>
        </w:rPr>
        <w:t>Febuxostat</w:t>
      </w:r>
      <w:proofErr w:type="spellEnd"/>
      <w:r w:rsidRPr="004A478C">
        <w:rPr>
          <w:shd w:val="clear" w:color="auto" w:fill="FFFFFF"/>
          <w:lang w:val="lt-LT"/>
        </w:rPr>
        <w:t xml:space="preserve"> </w:t>
      </w:r>
      <w:proofErr w:type="spellStart"/>
      <w:r w:rsidR="00911F26" w:rsidRPr="004A478C">
        <w:rPr>
          <w:shd w:val="clear" w:color="auto" w:fill="FFFFFF"/>
          <w:lang w:val="lt-LT"/>
        </w:rPr>
        <w:t>Zentiva</w:t>
      </w:r>
      <w:proofErr w:type="spellEnd"/>
      <w:r w:rsidR="00911F26" w:rsidRPr="004A478C">
        <w:rPr>
          <w:shd w:val="clear" w:color="auto" w:fill="FFFFFF"/>
          <w:lang w:val="lt-LT"/>
        </w:rPr>
        <w:t xml:space="preserve"> </w:t>
      </w:r>
      <w:r w:rsidRPr="004A478C">
        <w:rPr>
          <w:shd w:val="clear" w:color="auto" w:fill="FFFFFF"/>
          <w:lang w:val="lt-LT"/>
        </w:rPr>
        <w:t>yra supakuotas į permatomas PVC / PVDC-</w:t>
      </w:r>
      <w:r w:rsidR="00491427" w:rsidRPr="004A478C">
        <w:rPr>
          <w:shd w:val="clear" w:color="auto" w:fill="FFFFFF"/>
          <w:lang w:val="lt-LT"/>
        </w:rPr>
        <w:t>A</w:t>
      </w:r>
      <w:r w:rsidRPr="004A478C">
        <w:rPr>
          <w:shd w:val="clear" w:color="auto" w:fill="FFFFFF"/>
          <w:lang w:val="lt-LT"/>
        </w:rPr>
        <w:t>liuminio lizdines plokšteles.</w:t>
      </w:r>
      <w:r w:rsidRPr="004A478C">
        <w:rPr>
          <w:lang w:val="lt-LT"/>
        </w:rPr>
        <w:t xml:space="preserve"> </w:t>
      </w:r>
    </w:p>
    <w:p w14:paraId="65BC260D" w14:textId="77777777" w:rsidR="00273470" w:rsidRPr="004A478C" w:rsidRDefault="00273470" w:rsidP="003B28E4">
      <w:pPr>
        <w:tabs>
          <w:tab w:val="left" w:pos="4680"/>
        </w:tabs>
        <w:spacing w:line="240" w:lineRule="auto"/>
        <w:rPr>
          <w:lang w:val="lt-LT"/>
        </w:rPr>
      </w:pPr>
    </w:p>
    <w:p w14:paraId="7E0CA7BF" w14:textId="48B48BDF" w:rsidR="00273470" w:rsidRPr="004A478C" w:rsidRDefault="001A5C63" w:rsidP="003B28E4">
      <w:pPr>
        <w:tabs>
          <w:tab w:val="left" w:pos="4680"/>
        </w:tabs>
        <w:spacing w:line="240" w:lineRule="auto"/>
        <w:ind w:left="2" w:right="397"/>
        <w:rPr>
          <w:lang w:val="lt-LT"/>
        </w:rPr>
      </w:pPr>
      <w:proofErr w:type="spellStart"/>
      <w:r w:rsidRPr="004A478C">
        <w:rPr>
          <w:lang w:val="lt-LT"/>
        </w:rPr>
        <w:t>Febuxostat</w:t>
      </w:r>
      <w:proofErr w:type="spellEnd"/>
      <w:r w:rsidRPr="004A478C">
        <w:rPr>
          <w:lang w:val="lt-LT"/>
        </w:rPr>
        <w:t xml:space="preserve"> </w:t>
      </w:r>
      <w:proofErr w:type="spellStart"/>
      <w:r w:rsidR="00911F26" w:rsidRPr="004A478C">
        <w:rPr>
          <w:lang w:val="lt-LT"/>
        </w:rPr>
        <w:t>Zentiva</w:t>
      </w:r>
      <w:proofErr w:type="spellEnd"/>
      <w:r w:rsidR="00911F26" w:rsidRPr="004A478C">
        <w:rPr>
          <w:lang w:val="lt-LT"/>
        </w:rPr>
        <w:t xml:space="preserve"> </w:t>
      </w:r>
      <w:r w:rsidR="00273470" w:rsidRPr="004A478C">
        <w:rPr>
          <w:lang w:val="lt-LT"/>
        </w:rPr>
        <w:t xml:space="preserve">80 mg ir 120 mg tiekiamas </w:t>
      </w:r>
      <w:r w:rsidR="00491427" w:rsidRPr="004A478C">
        <w:rPr>
          <w:lang w:val="lt-LT"/>
        </w:rPr>
        <w:t xml:space="preserve">kartono </w:t>
      </w:r>
      <w:r w:rsidR="00273470" w:rsidRPr="004A478C">
        <w:rPr>
          <w:lang w:val="lt-LT"/>
        </w:rPr>
        <w:t>dėžutėse</w:t>
      </w:r>
      <w:r w:rsidR="00491427" w:rsidRPr="004A478C">
        <w:rPr>
          <w:lang w:val="lt-LT"/>
        </w:rPr>
        <w:t>, kuriose yra</w:t>
      </w:r>
      <w:r w:rsidR="00273470" w:rsidRPr="004A478C">
        <w:rPr>
          <w:lang w:val="lt-LT"/>
        </w:rPr>
        <w:t xml:space="preserve"> 14, 28, 42, 56, 84 arba 98 plėvele dengt</w:t>
      </w:r>
      <w:r w:rsidR="00491427" w:rsidRPr="004A478C">
        <w:rPr>
          <w:lang w:val="lt-LT"/>
        </w:rPr>
        <w:t>o</w:t>
      </w:r>
      <w:r w:rsidR="00273470" w:rsidRPr="004A478C">
        <w:rPr>
          <w:lang w:val="lt-LT"/>
        </w:rPr>
        <w:t>s tablet</w:t>
      </w:r>
      <w:r w:rsidR="00491427" w:rsidRPr="004A478C">
        <w:rPr>
          <w:lang w:val="lt-LT"/>
        </w:rPr>
        <w:t>ė</w:t>
      </w:r>
      <w:r w:rsidR="00273470" w:rsidRPr="004A478C">
        <w:rPr>
          <w:lang w:val="lt-LT"/>
        </w:rPr>
        <w:t xml:space="preserve">s. </w:t>
      </w:r>
    </w:p>
    <w:p w14:paraId="468C4139" w14:textId="77777777" w:rsidR="00273470" w:rsidRPr="004A478C" w:rsidRDefault="00273470" w:rsidP="003B28E4">
      <w:pPr>
        <w:tabs>
          <w:tab w:val="left" w:pos="4680"/>
        </w:tabs>
        <w:spacing w:line="240" w:lineRule="auto"/>
        <w:rPr>
          <w:lang w:val="lt-LT"/>
        </w:rPr>
      </w:pPr>
      <w:r w:rsidRPr="004A478C">
        <w:rPr>
          <w:lang w:val="lt-LT"/>
        </w:rPr>
        <w:t xml:space="preserve"> </w:t>
      </w:r>
    </w:p>
    <w:p w14:paraId="0DAF04D9" w14:textId="77777777" w:rsidR="00273470" w:rsidRPr="004A478C" w:rsidRDefault="00273470" w:rsidP="003B28E4">
      <w:pPr>
        <w:tabs>
          <w:tab w:val="left" w:pos="4680"/>
        </w:tabs>
        <w:spacing w:line="240" w:lineRule="auto"/>
        <w:ind w:left="2" w:right="397"/>
        <w:rPr>
          <w:lang w:val="lt-LT"/>
        </w:rPr>
      </w:pPr>
      <w:r w:rsidRPr="004A478C">
        <w:rPr>
          <w:lang w:val="lt-LT"/>
        </w:rPr>
        <w:t xml:space="preserve">Gali būti tiekiamos ne visų dydžių pakuotės. </w:t>
      </w:r>
    </w:p>
    <w:p w14:paraId="0E59A3D8" w14:textId="77777777" w:rsidR="00273470" w:rsidRPr="004A478C" w:rsidRDefault="00273470" w:rsidP="003B28E4">
      <w:pPr>
        <w:tabs>
          <w:tab w:val="left" w:pos="4680"/>
        </w:tabs>
        <w:spacing w:line="240" w:lineRule="auto"/>
        <w:rPr>
          <w:lang w:val="lt-LT"/>
        </w:rPr>
      </w:pPr>
      <w:r w:rsidRPr="004A478C">
        <w:rPr>
          <w:lang w:val="lt-LT"/>
        </w:rPr>
        <w:t xml:space="preserve"> </w:t>
      </w:r>
    </w:p>
    <w:p w14:paraId="1FEF52FD" w14:textId="77777777" w:rsidR="00273470" w:rsidRPr="004A478C" w:rsidRDefault="00273470" w:rsidP="003B28E4">
      <w:pPr>
        <w:pStyle w:val="Antrat2"/>
        <w:tabs>
          <w:tab w:val="left" w:pos="4680"/>
        </w:tabs>
        <w:spacing w:before="0" w:after="0" w:line="240" w:lineRule="auto"/>
        <w:ind w:left="-5" w:right="77"/>
        <w:rPr>
          <w:rFonts w:ascii="Times New Roman" w:hAnsi="Times New Roman"/>
          <w:i w:val="0"/>
          <w:sz w:val="22"/>
          <w:lang w:val="lt-LT"/>
        </w:rPr>
      </w:pPr>
      <w:r w:rsidRPr="004A478C">
        <w:rPr>
          <w:rFonts w:ascii="Times New Roman" w:hAnsi="Times New Roman"/>
          <w:i w:val="0"/>
          <w:sz w:val="22"/>
          <w:lang w:val="lt-LT"/>
        </w:rPr>
        <w:t xml:space="preserve">Registruotojas ir gamintojas </w:t>
      </w:r>
    </w:p>
    <w:p w14:paraId="70F8EA3A" w14:textId="77777777" w:rsidR="00273470" w:rsidRPr="004A478C" w:rsidRDefault="00273470" w:rsidP="004A478C">
      <w:pPr>
        <w:tabs>
          <w:tab w:val="left" w:pos="4680"/>
        </w:tabs>
        <w:spacing w:line="240" w:lineRule="auto"/>
        <w:rPr>
          <w:i/>
          <w:lang w:val="lt-LT"/>
        </w:rPr>
      </w:pPr>
      <w:r w:rsidRPr="004A478C">
        <w:rPr>
          <w:i/>
          <w:u w:color="000000"/>
          <w:lang w:val="lt-LT"/>
        </w:rPr>
        <w:t>Registruotojas</w:t>
      </w:r>
      <w:r w:rsidRPr="004A478C">
        <w:rPr>
          <w:i/>
          <w:lang w:val="lt-LT"/>
        </w:rPr>
        <w:t xml:space="preserve">  </w:t>
      </w:r>
    </w:p>
    <w:p w14:paraId="3AABCD51" w14:textId="77777777" w:rsidR="00911F26" w:rsidRPr="004A478C" w:rsidRDefault="00911F26" w:rsidP="00911F26">
      <w:pPr>
        <w:tabs>
          <w:tab w:val="left" w:pos="4680"/>
        </w:tabs>
        <w:spacing w:line="240" w:lineRule="auto"/>
        <w:rPr>
          <w:lang w:val="lt-LT"/>
        </w:rPr>
      </w:pPr>
      <w:proofErr w:type="spellStart"/>
      <w:r w:rsidRPr="004A478C">
        <w:rPr>
          <w:lang w:val="lt-LT"/>
        </w:rPr>
        <w:t>Zentiva</w:t>
      </w:r>
      <w:proofErr w:type="spellEnd"/>
      <w:r w:rsidRPr="004A478C">
        <w:rPr>
          <w:lang w:val="lt-LT"/>
        </w:rPr>
        <w:t xml:space="preserve">, </w:t>
      </w:r>
      <w:proofErr w:type="spellStart"/>
      <w:r w:rsidRPr="004A478C">
        <w:rPr>
          <w:lang w:val="lt-LT"/>
        </w:rPr>
        <w:t>k.s</w:t>
      </w:r>
      <w:proofErr w:type="spellEnd"/>
      <w:r w:rsidRPr="004A478C">
        <w:rPr>
          <w:lang w:val="lt-LT"/>
        </w:rPr>
        <w:t>.</w:t>
      </w:r>
    </w:p>
    <w:p w14:paraId="6BF0640E" w14:textId="77777777" w:rsidR="00911F26" w:rsidRPr="004A478C" w:rsidRDefault="00911F26" w:rsidP="00911F26">
      <w:pPr>
        <w:tabs>
          <w:tab w:val="left" w:pos="4680"/>
        </w:tabs>
        <w:spacing w:line="240" w:lineRule="auto"/>
        <w:rPr>
          <w:lang w:val="lt-LT"/>
        </w:rPr>
      </w:pPr>
      <w:r w:rsidRPr="004A478C">
        <w:rPr>
          <w:lang w:val="lt-LT"/>
        </w:rPr>
        <w:t xml:space="preserve">U </w:t>
      </w:r>
      <w:proofErr w:type="spellStart"/>
      <w:r w:rsidRPr="004A478C">
        <w:rPr>
          <w:lang w:val="lt-LT"/>
        </w:rPr>
        <w:t>kabelovny</w:t>
      </w:r>
      <w:proofErr w:type="spellEnd"/>
      <w:r w:rsidRPr="004A478C">
        <w:rPr>
          <w:lang w:val="lt-LT"/>
        </w:rPr>
        <w:t xml:space="preserve"> 130</w:t>
      </w:r>
    </w:p>
    <w:p w14:paraId="003B5FCE" w14:textId="77777777" w:rsidR="00911F26" w:rsidRPr="004A478C" w:rsidRDefault="00911F26" w:rsidP="00911F26">
      <w:pPr>
        <w:tabs>
          <w:tab w:val="left" w:pos="4680"/>
        </w:tabs>
        <w:spacing w:line="240" w:lineRule="auto"/>
        <w:rPr>
          <w:lang w:val="lt-LT"/>
        </w:rPr>
      </w:pPr>
      <w:proofErr w:type="spellStart"/>
      <w:r w:rsidRPr="004A478C">
        <w:rPr>
          <w:lang w:val="lt-LT"/>
        </w:rPr>
        <w:t>Dolní</w:t>
      </w:r>
      <w:proofErr w:type="spellEnd"/>
      <w:r w:rsidRPr="004A478C">
        <w:rPr>
          <w:lang w:val="lt-LT"/>
        </w:rPr>
        <w:t xml:space="preserve"> </w:t>
      </w:r>
      <w:proofErr w:type="spellStart"/>
      <w:r w:rsidRPr="004A478C">
        <w:rPr>
          <w:lang w:val="lt-LT"/>
        </w:rPr>
        <w:t>Měcholupy</w:t>
      </w:r>
      <w:proofErr w:type="spellEnd"/>
    </w:p>
    <w:p w14:paraId="00D718EA" w14:textId="7090BEC7" w:rsidR="00911F26" w:rsidRPr="004A478C" w:rsidRDefault="00911F26" w:rsidP="00911F26">
      <w:pPr>
        <w:tabs>
          <w:tab w:val="left" w:pos="4680"/>
        </w:tabs>
        <w:spacing w:line="240" w:lineRule="auto"/>
        <w:rPr>
          <w:lang w:val="lt-LT"/>
        </w:rPr>
      </w:pPr>
      <w:r w:rsidRPr="004A478C">
        <w:rPr>
          <w:lang w:val="lt-LT"/>
        </w:rPr>
        <w:t>102 37</w:t>
      </w:r>
      <w:r w:rsidR="002D3CB2" w:rsidRPr="004A478C">
        <w:rPr>
          <w:lang w:val="lt-LT"/>
        </w:rPr>
        <w:t xml:space="preserve"> </w:t>
      </w:r>
      <w:r w:rsidRPr="004A478C">
        <w:rPr>
          <w:lang w:val="lt-LT"/>
        </w:rPr>
        <w:t>Praha 10</w:t>
      </w:r>
    </w:p>
    <w:p w14:paraId="5BE0FB5B" w14:textId="4F7FA5C9" w:rsidR="00273470" w:rsidRPr="004A478C" w:rsidRDefault="00911F26" w:rsidP="003B28E4">
      <w:pPr>
        <w:tabs>
          <w:tab w:val="left" w:pos="4680"/>
        </w:tabs>
        <w:spacing w:line="240" w:lineRule="auto"/>
        <w:rPr>
          <w:lang w:val="lt-LT"/>
        </w:rPr>
      </w:pPr>
      <w:r w:rsidRPr="004A478C">
        <w:rPr>
          <w:lang w:val="lt-LT"/>
        </w:rPr>
        <w:t>Čekija</w:t>
      </w:r>
      <w:r w:rsidR="00273470" w:rsidRPr="004A478C">
        <w:rPr>
          <w:lang w:val="lt-LT"/>
        </w:rPr>
        <w:t xml:space="preserve"> </w:t>
      </w:r>
    </w:p>
    <w:p w14:paraId="6D5441CF" w14:textId="77777777" w:rsidR="00911F26" w:rsidRPr="004A478C" w:rsidRDefault="00911F26" w:rsidP="003B28E4">
      <w:pPr>
        <w:tabs>
          <w:tab w:val="left" w:pos="4680"/>
        </w:tabs>
        <w:spacing w:line="240" w:lineRule="auto"/>
        <w:rPr>
          <w:lang w:val="lt-LT"/>
        </w:rPr>
      </w:pPr>
    </w:p>
    <w:p w14:paraId="6117CC44" w14:textId="77777777" w:rsidR="00273470" w:rsidRPr="004A478C" w:rsidRDefault="00273470" w:rsidP="003B28E4">
      <w:pPr>
        <w:pStyle w:val="Antrat3"/>
        <w:tabs>
          <w:tab w:val="left" w:pos="4680"/>
        </w:tabs>
        <w:spacing w:before="0" w:after="0" w:line="240" w:lineRule="auto"/>
        <w:ind w:left="-5"/>
        <w:rPr>
          <w:rFonts w:ascii="Times New Roman" w:hAnsi="Times New Roman"/>
          <w:i/>
          <w:sz w:val="22"/>
          <w:lang w:val="lt-LT"/>
        </w:rPr>
      </w:pPr>
      <w:r w:rsidRPr="004A478C">
        <w:rPr>
          <w:rFonts w:ascii="Times New Roman" w:hAnsi="Times New Roman"/>
          <w:b w:val="0"/>
          <w:i/>
          <w:sz w:val="22"/>
          <w:u w:color="000000"/>
          <w:lang w:val="lt-LT"/>
        </w:rPr>
        <w:t>Gamintojas</w:t>
      </w:r>
      <w:r w:rsidRPr="004A478C">
        <w:rPr>
          <w:rFonts w:ascii="Times New Roman" w:hAnsi="Times New Roman"/>
          <w:b w:val="0"/>
          <w:i/>
          <w:sz w:val="22"/>
          <w:lang w:val="lt-LT"/>
        </w:rPr>
        <w:t xml:space="preserve"> </w:t>
      </w:r>
    </w:p>
    <w:p w14:paraId="6904305B" w14:textId="77777777" w:rsidR="00273470" w:rsidRPr="004A478C" w:rsidRDefault="002914AB" w:rsidP="003B28E4">
      <w:pPr>
        <w:tabs>
          <w:tab w:val="center" w:pos="2441"/>
          <w:tab w:val="left" w:pos="4680"/>
        </w:tabs>
        <w:spacing w:line="240" w:lineRule="auto"/>
        <w:ind w:left="-8"/>
        <w:rPr>
          <w:lang w:val="lt-LT"/>
        </w:rPr>
      </w:pPr>
      <w:proofErr w:type="spellStart"/>
      <w:r w:rsidRPr="004A478C">
        <w:rPr>
          <w:lang w:val="lt-LT"/>
        </w:rPr>
        <w:t>Laboratorios</w:t>
      </w:r>
      <w:proofErr w:type="spellEnd"/>
      <w:r w:rsidRPr="004A478C">
        <w:rPr>
          <w:lang w:val="lt-LT"/>
        </w:rPr>
        <w:t xml:space="preserve"> </w:t>
      </w:r>
      <w:proofErr w:type="spellStart"/>
      <w:r w:rsidRPr="004A478C">
        <w:rPr>
          <w:lang w:val="lt-LT"/>
        </w:rPr>
        <w:t>Liconsa</w:t>
      </w:r>
      <w:proofErr w:type="spellEnd"/>
      <w:r w:rsidRPr="004A478C">
        <w:rPr>
          <w:lang w:val="lt-LT"/>
        </w:rPr>
        <w:t xml:space="preserve"> S.A.</w:t>
      </w:r>
    </w:p>
    <w:p w14:paraId="60C00339" w14:textId="77777777" w:rsidR="00273470" w:rsidRPr="004A478C" w:rsidRDefault="00273470" w:rsidP="003B28E4">
      <w:pPr>
        <w:tabs>
          <w:tab w:val="left" w:pos="4680"/>
        </w:tabs>
        <w:spacing w:line="240" w:lineRule="auto"/>
        <w:rPr>
          <w:lang w:val="lt-LT"/>
        </w:rPr>
      </w:pPr>
      <w:proofErr w:type="spellStart"/>
      <w:r w:rsidRPr="004A478C">
        <w:rPr>
          <w:lang w:val="lt-LT"/>
        </w:rPr>
        <w:t>Av</w:t>
      </w:r>
      <w:r w:rsidR="00AA332F" w:rsidRPr="004A478C">
        <w:rPr>
          <w:lang w:val="lt-LT"/>
        </w:rPr>
        <w:t>eni</w:t>
      </w:r>
      <w:r w:rsidRPr="004A478C">
        <w:rPr>
          <w:lang w:val="lt-LT"/>
        </w:rPr>
        <w:t>da</w:t>
      </w:r>
      <w:proofErr w:type="spellEnd"/>
      <w:r w:rsidRPr="004A478C">
        <w:rPr>
          <w:lang w:val="lt-LT"/>
        </w:rPr>
        <w:t xml:space="preserve">. </w:t>
      </w:r>
      <w:proofErr w:type="spellStart"/>
      <w:r w:rsidRPr="004A478C">
        <w:rPr>
          <w:lang w:val="lt-LT"/>
        </w:rPr>
        <w:t>Miralcampo</w:t>
      </w:r>
      <w:proofErr w:type="spellEnd"/>
      <w:r w:rsidRPr="004A478C">
        <w:rPr>
          <w:lang w:val="lt-LT"/>
        </w:rPr>
        <w:t xml:space="preserve"> 7</w:t>
      </w:r>
    </w:p>
    <w:p w14:paraId="41489EB0" w14:textId="77777777" w:rsidR="00AA332F" w:rsidRPr="004A478C" w:rsidRDefault="00AA332F" w:rsidP="003B28E4">
      <w:pPr>
        <w:tabs>
          <w:tab w:val="left" w:pos="4680"/>
        </w:tabs>
        <w:spacing w:line="240" w:lineRule="auto"/>
        <w:rPr>
          <w:lang w:val="lt-LT"/>
        </w:rPr>
      </w:pPr>
      <w:r w:rsidRPr="004A478C">
        <w:rPr>
          <w:lang w:val="lt-LT"/>
        </w:rPr>
        <w:t xml:space="preserve">Poligono </w:t>
      </w:r>
      <w:proofErr w:type="spellStart"/>
      <w:r w:rsidRPr="004A478C">
        <w:rPr>
          <w:lang w:val="lt-LT"/>
        </w:rPr>
        <w:t>Industrial</w:t>
      </w:r>
      <w:proofErr w:type="spellEnd"/>
      <w:r w:rsidRPr="004A478C">
        <w:rPr>
          <w:lang w:val="lt-LT"/>
        </w:rPr>
        <w:t xml:space="preserve"> </w:t>
      </w:r>
      <w:proofErr w:type="spellStart"/>
      <w:r w:rsidRPr="004A478C">
        <w:rPr>
          <w:lang w:val="lt-LT"/>
        </w:rPr>
        <w:t>Miralcampo</w:t>
      </w:r>
      <w:proofErr w:type="spellEnd"/>
    </w:p>
    <w:p w14:paraId="19FC9EE1" w14:textId="77777777" w:rsidR="00273470" w:rsidRPr="004A478C" w:rsidRDefault="00273470" w:rsidP="003B28E4">
      <w:pPr>
        <w:tabs>
          <w:tab w:val="left" w:pos="4680"/>
        </w:tabs>
        <w:spacing w:line="240" w:lineRule="auto"/>
        <w:ind w:left="-5"/>
        <w:rPr>
          <w:lang w:val="lt-LT"/>
        </w:rPr>
      </w:pPr>
      <w:proofErr w:type="spellStart"/>
      <w:r w:rsidRPr="004A478C">
        <w:rPr>
          <w:lang w:val="lt-LT"/>
        </w:rPr>
        <w:t>Azuqueca</w:t>
      </w:r>
      <w:proofErr w:type="spellEnd"/>
      <w:r w:rsidRPr="004A478C">
        <w:rPr>
          <w:lang w:val="lt-LT"/>
        </w:rPr>
        <w:t xml:space="preserve"> </w:t>
      </w:r>
      <w:r w:rsidR="00AA332F" w:rsidRPr="004A478C">
        <w:rPr>
          <w:lang w:val="lt-LT"/>
        </w:rPr>
        <w:t>D</w:t>
      </w:r>
      <w:r w:rsidRPr="004A478C">
        <w:rPr>
          <w:lang w:val="lt-LT"/>
        </w:rPr>
        <w:t xml:space="preserve">e </w:t>
      </w:r>
      <w:proofErr w:type="spellStart"/>
      <w:r w:rsidRPr="004A478C">
        <w:rPr>
          <w:lang w:val="lt-LT"/>
        </w:rPr>
        <w:t>Henares</w:t>
      </w:r>
      <w:proofErr w:type="spellEnd"/>
    </w:p>
    <w:p w14:paraId="0B67E885" w14:textId="77777777" w:rsidR="00273470" w:rsidRPr="004A478C" w:rsidRDefault="00AA332F" w:rsidP="003B28E4">
      <w:pPr>
        <w:tabs>
          <w:tab w:val="left" w:pos="4680"/>
        </w:tabs>
        <w:spacing w:line="240" w:lineRule="auto"/>
        <w:ind w:left="-5"/>
        <w:rPr>
          <w:lang w:val="lt-LT"/>
        </w:rPr>
      </w:pPr>
      <w:r w:rsidRPr="004A478C">
        <w:rPr>
          <w:lang w:val="lt-LT"/>
        </w:rPr>
        <w:t xml:space="preserve">19200 </w:t>
      </w:r>
      <w:proofErr w:type="spellStart"/>
      <w:r w:rsidR="00273470" w:rsidRPr="004A478C">
        <w:rPr>
          <w:lang w:val="lt-LT"/>
        </w:rPr>
        <w:t>Gvadala</w:t>
      </w:r>
      <w:r w:rsidRPr="004A478C">
        <w:rPr>
          <w:lang w:val="lt-LT"/>
        </w:rPr>
        <w:t>j</w:t>
      </w:r>
      <w:r w:rsidR="00273470" w:rsidRPr="004A478C">
        <w:rPr>
          <w:lang w:val="lt-LT"/>
        </w:rPr>
        <w:t>ara</w:t>
      </w:r>
      <w:proofErr w:type="spellEnd"/>
    </w:p>
    <w:p w14:paraId="2C4FF46F" w14:textId="77777777" w:rsidR="00273470" w:rsidRPr="004A478C" w:rsidRDefault="00273470" w:rsidP="003B28E4">
      <w:pPr>
        <w:tabs>
          <w:tab w:val="left" w:pos="4680"/>
        </w:tabs>
        <w:spacing w:line="240" w:lineRule="auto"/>
        <w:ind w:left="-5"/>
        <w:rPr>
          <w:lang w:val="lt-LT"/>
        </w:rPr>
      </w:pPr>
      <w:r w:rsidRPr="004A478C">
        <w:rPr>
          <w:lang w:val="lt-LT"/>
        </w:rPr>
        <w:t xml:space="preserve">Ispanija </w:t>
      </w:r>
    </w:p>
    <w:p w14:paraId="1261100F" w14:textId="77777777" w:rsidR="00AA332F" w:rsidRPr="004A478C" w:rsidRDefault="00AA332F" w:rsidP="003B28E4">
      <w:pPr>
        <w:tabs>
          <w:tab w:val="left" w:pos="4680"/>
        </w:tabs>
        <w:spacing w:line="240" w:lineRule="auto"/>
        <w:ind w:left="-5"/>
        <w:rPr>
          <w:lang w:val="lt-LT"/>
        </w:rPr>
      </w:pPr>
    </w:p>
    <w:p w14:paraId="3EDE300C" w14:textId="7BF3DE09" w:rsidR="00AA332F" w:rsidRPr="004B0C8F" w:rsidRDefault="00AA332F" w:rsidP="00AA332F">
      <w:pPr>
        <w:numPr>
          <w:ilvl w:val="12"/>
          <w:numId w:val="0"/>
        </w:numPr>
        <w:ind w:right="-2"/>
        <w:rPr>
          <w:lang w:val="lt-LT"/>
        </w:rPr>
      </w:pPr>
      <w:r w:rsidRPr="004B0C8F">
        <w:rPr>
          <w:b/>
          <w:lang w:val="lt-LT"/>
        </w:rPr>
        <w:t>Šis vaistas E</w:t>
      </w:r>
      <w:r w:rsidR="002D3CB2" w:rsidRPr="004B0C8F">
        <w:rPr>
          <w:b/>
          <w:lang w:val="lt-LT"/>
        </w:rPr>
        <w:t>uropos ekonominės erdvės</w:t>
      </w:r>
      <w:r w:rsidRPr="004B0C8F">
        <w:rPr>
          <w:b/>
          <w:lang w:val="lt-LT"/>
        </w:rPr>
        <w:t xml:space="preserve"> valstybėse narėse registruotas tokiais pavadinimais</w:t>
      </w:r>
      <w:r w:rsidRPr="004B0C8F">
        <w:rPr>
          <w:lang w:val="lt-LT"/>
        </w:rPr>
        <w:t>:</w:t>
      </w:r>
    </w:p>
    <w:p w14:paraId="516A3A26" w14:textId="1B15F82A" w:rsidR="00AA332F" w:rsidRPr="004B0C8F" w:rsidRDefault="00AA332F" w:rsidP="00AA332F">
      <w:pPr>
        <w:ind w:left="567" w:hanging="567"/>
        <w:rPr>
          <w:lang w:val="lt-LT"/>
        </w:rPr>
      </w:pP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6"/>
      </w:tblGrid>
      <w:tr w:rsidR="00460E5C" w:rsidRPr="004B0C8F" w14:paraId="7282B2BB" w14:textId="77777777" w:rsidTr="00C10305">
        <w:tc>
          <w:tcPr>
            <w:tcW w:w="4247" w:type="dxa"/>
          </w:tcPr>
          <w:p w14:paraId="50B978BE" w14:textId="113DC772" w:rsidR="00460E5C" w:rsidRPr="004B0C8F" w:rsidRDefault="00460E5C" w:rsidP="00AA332F">
            <w:pPr>
              <w:rPr>
                <w:lang w:val="lt-LT"/>
              </w:rPr>
            </w:pPr>
            <w:r w:rsidRPr="004B0C8F">
              <w:rPr>
                <w:lang w:val="lt-LT"/>
              </w:rPr>
              <w:t>Nyderlandai,</w:t>
            </w:r>
            <w:r w:rsidRPr="004B0C8F">
              <w:rPr>
                <w:rFonts w:ascii="inherit" w:hAnsi="inherit" w:cs="Courier New"/>
                <w:snapToGrid/>
                <w:color w:val="212121"/>
                <w:szCs w:val="22"/>
                <w:lang w:val="lt-LT" w:eastAsia="es-ES"/>
              </w:rPr>
              <w:t xml:space="preserve"> Rumunija, Lenkija,</w:t>
            </w:r>
            <w:r w:rsidRPr="004B0C8F">
              <w:rPr>
                <w:lang w:val="lt-LT"/>
              </w:rPr>
              <w:tab/>
            </w:r>
          </w:p>
        </w:tc>
        <w:tc>
          <w:tcPr>
            <w:tcW w:w="4246" w:type="dxa"/>
          </w:tcPr>
          <w:p w14:paraId="7659EA69" w14:textId="01F422C9" w:rsidR="00460E5C" w:rsidRPr="004B0C8F" w:rsidRDefault="007565FE" w:rsidP="00AA332F">
            <w:pPr>
              <w:rPr>
                <w:lang w:val="lt-LT"/>
              </w:rPr>
            </w:pPr>
            <w:proofErr w:type="spellStart"/>
            <w:r w:rsidRPr="004B0C8F">
              <w:rPr>
                <w:lang w:val="lt-LT"/>
              </w:rPr>
              <w:t>Febuxostat</w:t>
            </w:r>
            <w:proofErr w:type="spellEnd"/>
            <w:r w:rsidRPr="004B0C8F">
              <w:rPr>
                <w:lang w:val="lt-LT"/>
              </w:rPr>
              <w:t xml:space="preserve"> </w:t>
            </w:r>
            <w:proofErr w:type="spellStart"/>
            <w:r w:rsidRPr="004B0C8F">
              <w:rPr>
                <w:szCs w:val="22"/>
                <w:lang w:val="lt-LT"/>
              </w:rPr>
              <w:t>Laboratorios</w:t>
            </w:r>
            <w:proofErr w:type="spellEnd"/>
            <w:r w:rsidRPr="004B0C8F">
              <w:rPr>
                <w:szCs w:val="22"/>
                <w:lang w:val="lt-LT"/>
              </w:rPr>
              <w:t xml:space="preserve"> </w:t>
            </w:r>
            <w:proofErr w:type="spellStart"/>
            <w:r w:rsidRPr="004B0C8F">
              <w:rPr>
                <w:szCs w:val="22"/>
                <w:lang w:val="lt-LT"/>
              </w:rPr>
              <w:t>Liconsa</w:t>
            </w:r>
            <w:proofErr w:type="spellEnd"/>
          </w:p>
        </w:tc>
      </w:tr>
      <w:tr w:rsidR="002D3CB2" w:rsidRPr="004B0C8F" w14:paraId="770B7A2C" w14:textId="77777777" w:rsidTr="00C10305">
        <w:tc>
          <w:tcPr>
            <w:tcW w:w="4247" w:type="dxa"/>
          </w:tcPr>
          <w:p w14:paraId="769A1989" w14:textId="0E5ADE6D" w:rsidR="002D3CB2" w:rsidRPr="004B0C8F" w:rsidRDefault="002D3CB2" w:rsidP="00AA332F">
            <w:pPr>
              <w:rPr>
                <w:lang w:val="lt-LT"/>
              </w:rPr>
            </w:pPr>
            <w:r w:rsidRPr="004B0C8F">
              <w:rPr>
                <w:rFonts w:ascii="inherit" w:hAnsi="inherit" w:cs="Courier New"/>
                <w:snapToGrid/>
                <w:color w:val="212121"/>
                <w:szCs w:val="22"/>
                <w:lang w:val="lt-LT" w:eastAsia="es-ES"/>
              </w:rPr>
              <w:t>Vengrija</w:t>
            </w:r>
          </w:p>
        </w:tc>
        <w:tc>
          <w:tcPr>
            <w:tcW w:w="4246" w:type="dxa"/>
          </w:tcPr>
          <w:p w14:paraId="10D28380" w14:textId="4138F27C" w:rsidR="002D3CB2" w:rsidRPr="004B0C8F" w:rsidRDefault="002D3CB2" w:rsidP="00AA332F">
            <w:pPr>
              <w:rPr>
                <w:lang w:val="lt-LT"/>
              </w:rPr>
            </w:pPr>
            <w:proofErr w:type="spellStart"/>
            <w:r w:rsidRPr="004A478C">
              <w:rPr>
                <w:lang w:val="lt-LT"/>
              </w:rPr>
              <w:t>Febuxostat</w:t>
            </w:r>
            <w:proofErr w:type="spellEnd"/>
            <w:r w:rsidRPr="004A478C">
              <w:rPr>
                <w:lang w:val="lt-LT"/>
              </w:rPr>
              <w:t xml:space="preserve"> Universal </w:t>
            </w:r>
            <w:proofErr w:type="spellStart"/>
            <w:r w:rsidRPr="004A478C">
              <w:rPr>
                <w:lang w:val="lt-LT"/>
              </w:rPr>
              <w:t>Farma</w:t>
            </w:r>
            <w:proofErr w:type="spellEnd"/>
          </w:p>
        </w:tc>
      </w:tr>
      <w:tr w:rsidR="00460E5C" w:rsidRPr="004B0C8F" w14:paraId="4799CBC8" w14:textId="77777777" w:rsidTr="00C10305">
        <w:tc>
          <w:tcPr>
            <w:tcW w:w="4247" w:type="dxa"/>
          </w:tcPr>
          <w:p w14:paraId="1B0FA20D" w14:textId="7ABEE23B" w:rsidR="00460E5C" w:rsidRPr="004B0C8F" w:rsidRDefault="00460E5C" w:rsidP="00AA332F">
            <w:pPr>
              <w:rPr>
                <w:lang w:val="lt-LT"/>
              </w:rPr>
            </w:pPr>
            <w:r w:rsidRPr="004B0C8F">
              <w:rPr>
                <w:rFonts w:ascii="inherit" w:hAnsi="inherit" w:cs="Courier New"/>
                <w:snapToGrid/>
                <w:color w:val="212121"/>
                <w:szCs w:val="22"/>
                <w:lang w:val="lt-LT" w:eastAsia="es-ES"/>
              </w:rPr>
              <w:t>Bulgarija, Čekija</w:t>
            </w:r>
            <w:r w:rsidR="007565FE" w:rsidRPr="004B0C8F">
              <w:rPr>
                <w:rFonts w:ascii="inherit" w:hAnsi="inherit" w:cs="Courier New"/>
                <w:snapToGrid/>
                <w:color w:val="212121"/>
                <w:szCs w:val="22"/>
                <w:lang w:val="lt-LT" w:eastAsia="es-ES"/>
              </w:rPr>
              <w:t>, Lietuva, Latvija, Estija</w:t>
            </w:r>
          </w:p>
        </w:tc>
        <w:tc>
          <w:tcPr>
            <w:tcW w:w="4246" w:type="dxa"/>
          </w:tcPr>
          <w:p w14:paraId="41C898C6" w14:textId="0DE7253B" w:rsidR="00460E5C" w:rsidRPr="004B0C8F" w:rsidRDefault="007565FE" w:rsidP="00AA332F">
            <w:pPr>
              <w:rPr>
                <w:lang w:val="lt-LT"/>
              </w:rPr>
            </w:pPr>
            <w:proofErr w:type="spellStart"/>
            <w:r w:rsidRPr="004B0C8F">
              <w:rPr>
                <w:lang w:val="lt-LT"/>
              </w:rPr>
              <w:t>Febuxostat</w:t>
            </w:r>
            <w:proofErr w:type="spellEnd"/>
            <w:r w:rsidRPr="004B0C8F">
              <w:rPr>
                <w:lang w:val="lt-LT"/>
              </w:rPr>
              <w:t xml:space="preserve"> </w:t>
            </w:r>
            <w:proofErr w:type="spellStart"/>
            <w:r w:rsidRPr="004B0C8F">
              <w:rPr>
                <w:lang w:val="lt-LT"/>
              </w:rPr>
              <w:t>Zentiva</w:t>
            </w:r>
            <w:proofErr w:type="spellEnd"/>
          </w:p>
        </w:tc>
      </w:tr>
      <w:tr w:rsidR="00460E5C" w:rsidRPr="004B0C8F" w14:paraId="0F87FD5F" w14:textId="77777777" w:rsidTr="00C10305">
        <w:tc>
          <w:tcPr>
            <w:tcW w:w="4247" w:type="dxa"/>
          </w:tcPr>
          <w:p w14:paraId="5ACFD188" w14:textId="26751148" w:rsidR="00460E5C" w:rsidRPr="004B0C8F" w:rsidRDefault="007565FE" w:rsidP="00AA332F">
            <w:pPr>
              <w:rPr>
                <w:lang w:val="lt-LT"/>
              </w:rPr>
            </w:pPr>
            <w:r w:rsidRPr="004B0C8F">
              <w:rPr>
                <w:rFonts w:ascii="inherit" w:hAnsi="inherit" w:cs="Courier New"/>
                <w:snapToGrid/>
                <w:color w:val="212121"/>
                <w:szCs w:val="22"/>
                <w:lang w:val="lt-LT" w:eastAsia="es-ES"/>
              </w:rPr>
              <w:t>Slovėnija</w:t>
            </w:r>
          </w:p>
        </w:tc>
        <w:tc>
          <w:tcPr>
            <w:tcW w:w="4246" w:type="dxa"/>
          </w:tcPr>
          <w:p w14:paraId="71A62FE3" w14:textId="6FD8FCE4" w:rsidR="00460E5C" w:rsidRPr="004B0C8F" w:rsidRDefault="002D3CB2" w:rsidP="00AA332F">
            <w:pPr>
              <w:rPr>
                <w:lang w:val="lt-LT"/>
              </w:rPr>
            </w:pPr>
            <w:proofErr w:type="spellStart"/>
            <w:r w:rsidRPr="004A478C">
              <w:rPr>
                <w:lang w:val="lt-LT"/>
              </w:rPr>
              <w:t>Febuksostat</w:t>
            </w:r>
            <w:proofErr w:type="spellEnd"/>
            <w:r w:rsidRPr="004A478C">
              <w:rPr>
                <w:lang w:val="lt-LT"/>
              </w:rPr>
              <w:t xml:space="preserve"> Universal </w:t>
            </w:r>
            <w:proofErr w:type="spellStart"/>
            <w:r w:rsidRPr="004A478C">
              <w:rPr>
                <w:lang w:val="lt-LT"/>
              </w:rPr>
              <w:t>Farma</w:t>
            </w:r>
            <w:proofErr w:type="spellEnd"/>
          </w:p>
        </w:tc>
      </w:tr>
    </w:tbl>
    <w:p w14:paraId="34DE3156" w14:textId="77777777" w:rsidR="00460E5C" w:rsidRPr="004B0C8F" w:rsidRDefault="00460E5C" w:rsidP="00AA332F">
      <w:pPr>
        <w:ind w:left="567" w:hanging="567"/>
        <w:rPr>
          <w:lang w:val="lt-LT"/>
        </w:rPr>
      </w:pPr>
    </w:p>
    <w:p w14:paraId="73459AF2" w14:textId="21B74592" w:rsidR="00AA332F" w:rsidRPr="004B0C8F" w:rsidRDefault="00AA332F" w:rsidP="00AA332F">
      <w:pPr>
        <w:numPr>
          <w:ilvl w:val="12"/>
          <w:numId w:val="0"/>
        </w:numPr>
        <w:tabs>
          <w:tab w:val="clear" w:pos="567"/>
        </w:tabs>
        <w:spacing w:line="240" w:lineRule="auto"/>
        <w:ind w:right="-2"/>
        <w:rPr>
          <w:b/>
          <w:lang w:val="lt-LT"/>
        </w:rPr>
      </w:pPr>
      <w:r w:rsidRPr="004B0C8F">
        <w:rPr>
          <w:b/>
          <w:lang w:val="lt-LT"/>
        </w:rPr>
        <w:t>Šis pakuotės lapelis paskutinį kartą peržiūrėtas</w:t>
      </w:r>
      <w:r w:rsidR="000F34A9" w:rsidRPr="004B0C8F">
        <w:rPr>
          <w:b/>
          <w:lang w:val="lt-LT"/>
        </w:rPr>
        <w:t xml:space="preserve"> </w:t>
      </w:r>
      <w:r w:rsidR="007F09F8">
        <w:rPr>
          <w:b/>
          <w:lang w:val="lt-LT"/>
        </w:rPr>
        <w:t>2024-09-09</w:t>
      </w:r>
      <w:r w:rsidR="00353DCA" w:rsidRPr="004B0C8F">
        <w:rPr>
          <w:b/>
          <w:lang w:val="lt-LT"/>
        </w:rPr>
        <w:t>.</w:t>
      </w:r>
    </w:p>
    <w:p w14:paraId="50561945" w14:textId="77777777" w:rsidR="00AA332F" w:rsidRPr="004B0C8F" w:rsidRDefault="00AA332F" w:rsidP="00AA332F">
      <w:pPr>
        <w:numPr>
          <w:ilvl w:val="12"/>
          <w:numId w:val="0"/>
        </w:numPr>
        <w:tabs>
          <w:tab w:val="clear" w:pos="567"/>
        </w:tabs>
        <w:spacing w:line="240" w:lineRule="auto"/>
        <w:ind w:right="-2"/>
        <w:rPr>
          <w:b/>
          <w:lang w:val="lt-LT"/>
        </w:rPr>
      </w:pPr>
    </w:p>
    <w:p w14:paraId="2DFBB044" w14:textId="6C84B711" w:rsidR="00AA332F" w:rsidRPr="004B0C8F" w:rsidRDefault="00AA332F" w:rsidP="00AA332F">
      <w:pPr>
        <w:numPr>
          <w:ilvl w:val="12"/>
          <w:numId w:val="0"/>
        </w:numPr>
        <w:spacing w:line="240" w:lineRule="auto"/>
        <w:ind w:right="-2"/>
        <w:rPr>
          <w:szCs w:val="24"/>
          <w:lang w:val="lt-LT"/>
        </w:rPr>
      </w:pPr>
      <w:r w:rsidRPr="004B0C8F">
        <w:rPr>
          <w:lang w:val="lt-LT"/>
        </w:rPr>
        <w:t xml:space="preserve">Išsami informacija apie šį </w:t>
      </w:r>
      <w:r w:rsidRPr="004B0C8F">
        <w:rPr>
          <w:szCs w:val="24"/>
          <w:lang w:val="lt-LT"/>
        </w:rPr>
        <w:t>vaistą</w:t>
      </w:r>
      <w:r w:rsidRPr="004B0C8F">
        <w:rPr>
          <w:lang w:val="lt-LT"/>
        </w:rPr>
        <w:t xml:space="preserve"> pateikiama Valstybinės vaistų kontrolės tarnybos prie Lietuvos Respublikos sveikatos apsaugos ministerijos tinklalapyje</w:t>
      </w:r>
      <w:r w:rsidRPr="004B0C8F">
        <w:rPr>
          <w:i/>
          <w:szCs w:val="24"/>
          <w:lang w:val="lt-LT"/>
        </w:rPr>
        <w:t xml:space="preserve"> </w:t>
      </w:r>
      <w:r w:rsidR="00FC22F8" w:rsidRPr="00FC22F8">
        <w:rPr>
          <w:rFonts w:eastAsia="SimSun"/>
          <w:snapToGrid/>
          <w:color w:val="0000FF"/>
          <w:u w:val="single"/>
          <w:lang w:val="lt-LT"/>
        </w:rPr>
        <w:t>https://vvkt.lrv.lt/lt/</w:t>
      </w:r>
      <w:r w:rsidR="00FC22F8" w:rsidRPr="00FC22F8">
        <w:rPr>
          <w:snapToGrid/>
          <w:lang w:val="lt-LT"/>
        </w:rPr>
        <w:t>.</w:t>
      </w:r>
    </w:p>
    <w:p w14:paraId="2BA5EFE7" w14:textId="77777777" w:rsidR="00AA332F" w:rsidRPr="004B0C8F" w:rsidRDefault="00AA332F" w:rsidP="00AA332F">
      <w:pPr>
        <w:numPr>
          <w:ilvl w:val="12"/>
          <w:numId w:val="0"/>
        </w:numPr>
        <w:tabs>
          <w:tab w:val="clear" w:pos="567"/>
        </w:tabs>
        <w:spacing w:line="240" w:lineRule="auto"/>
        <w:ind w:right="-2"/>
        <w:rPr>
          <w:b/>
          <w:lang w:val="lt-LT"/>
        </w:rPr>
      </w:pPr>
    </w:p>
    <w:p w14:paraId="17F14A89" w14:textId="77777777" w:rsidR="00AA332F" w:rsidRPr="004B0C8F" w:rsidRDefault="00AA332F" w:rsidP="00AA332F">
      <w:pPr>
        <w:ind w:left="567" w:hanging="567"/>
        <w:rPr>
          <w:lang w:val="lt-LT"/>
        </w:rPr>
      </w:pPr>
    </w:p>
    <w:p w14:paraId="1EC5268A" w14:textId="29E799AD" w:rsidR="00EC46F9" w:rsidRPr="004B0C8F" w:rsidRDefault="00EC46F9" w:rsidP="000F34A9">
      <w:pPr>
        <w:tabs>
          <w:tab w:val="left" w:pos="4680"/>
        </w:tabs>
        <w:spacing w:line="240" w:lineRule="auto"/>
        <w:ind w:left="-5"/>
        <w:rPr>
          <w:lang w:val="lt-LT"/>
        </w:rPr>
      </w:pPr>
    </w:p>
    <w:sectPr w:rsidR="00EC46F9" w:rsidRPr="004B0C8F" w:rsidSect="001C008B">
      <w:headerReference w:type="default" r:id="rId13"/>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C4423" w14:textId="77777777" w:rsidR="004A478C" w:rsidRDefault="004A478C" w:rsidP="00E66BC2">
      <w:pPr>
        <w:spacing w:line="240" w:lineRule="auto"/>
      </w:pPr>
      <w:r>
        <w:separator/>
      </w:r>
    </w:p>
  </w:endnote>
  <w:endnote w:type="continuationSeparator" w:id="0">
    <w:p w14:paraId="2FCF1733" w14:textId="77777777" w:rsidR="004A478C" w:rsidRDefault="004A478C" w:rsidP="00E66BC2">
      <w:pPr>
        <w:spacing w:line="240" w:lineRule="auto"/>
      </w:pPr>
      <w:r>
        <w:continuationSeparator/>
      </w:r>
    </w:p>
  </w:endnote>
  <w:endnote w:type="continuationNotice" w:id="1">
    <w:p w14:paraId="19F650F8" w14:textId="77777777" w:rsidR="004A478C" w:rsidRDefault="004A47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CBFC5" w14:textId="77777777" w:rsidR="004A478C" w:rsidRDefault="004A478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48464" w14:textId="77777777" w:rsidR="004A478C" w:rsidRDefault="004A478C" w:rsidP="00E66BC2">
      <w:pPr>
        <w:spacing w:line="240" w:lineRule="auto"/>
      </w:pPr>
      <w:r>
        <w:separator/>
      </w:r>
    </w:p>
  </w:footnote>
  <w:footnote w:type="continuationSeparator" w:id="0">
    <w:p w14:paraId="2F66BF54" w14:textId="77777777" w:rsidR="004A478C" w:rsidRDefault="004A478C" w:rsidP="00E66BC2">
      <w:pPr>
        <w:spacing w:line="240" w:lineRule="auto"/>
      </w:pPr>
      <w:r>
        <w:continuationSeparator/>
      </w:r>
    </w:p>
  </w:footnote>
  <w:footnote w:type="continuationNotice" w:id="1">
    <w:p w14:paraId="1B60A61A" w14:textId="77777777" w:rsidR="004A478C" w:rsidRDefault="004A47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B0CA6" w14:textId="77777777" w:rsidR="004A478C" w:rsidRDefault="004A47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4.4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CE0235"/>
    <w:multiLevelType w:val="hybridMultilevel"/>
    <w:tmpl w:val="94B461A2"/>
    <w:lvl w:ilvl="0" w:tplc="E410B75C">
      <w:start w:val="1"/>
      <w:numFmt w:val="bullet"/>
      <w:lvlText w:val="•"/>
      <w:lvlJc w:val="left"/>
      <w:pPr>
        <w:ind w:left="50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87483F8">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46AC9484">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18E6AC4">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92A58E4">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7BC4940E">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7B304B54">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01CF464">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B4A235A">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45EA5"/>
    <w:multiLevelType w:val="hybridMultilevel"/>
    <w:tmpl w:val="350209C6"/>
    <w:lvl w:ilvl="0" w:tplc="2BA6D5D8">
      <w:start w:val="1"/>
      <w:numFmt w:val="bullet"/>
      <w:lvlText w:val="-"/>
      <w:lvlJc w:val="left"/>
      <w:pPr>
        <w:ind w:left="5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13CD7FE">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C7672E2">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1560FEC">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654F6BC">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E1029F4">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27462F0">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0662B38">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08A0B6E">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7640184"/>
    <w:multiLevelType w:val="hybridMultilevel"/>
    <w:tmpl w:val="9174ADD6"/>
    <w:lvl w:ilvl="0" w:tplc="9C88ACFA">
      <w:start w:val="1"/>
      <w:numFmt w:val="bullet"/>
      <w:lvlText w:val=""/>
      <w:lvlPicBulletId w:val="0"/>
      <w:lvlJc w:val="left"/>
      <w:pPr>
        <w:tabs>
          <w:tab w:val="num" w:pos="720"/>
        </w:tabs>
        <w:ind w:left="720" w:hanging="360"/>
      </w:pPr>
      <w:rPr>
        <w:rFonts w:ascii="Symbol" w:hAnsi="Symbol" w:hint="default"/>
      </w:rPr>
    </w:lvl>
    <w:lvl w:ilvl="1" w:tplc="94E24B14" w:tentative="1">
      <w:start w:val="1"/>
      <w:numFmt w:val="bullet"/>
      <w:lvlText w:val=""/>
      <w:lvlJc w:val="left"/>
      <w:pPr>
        <w:tabs>
          <w:tab w:val="num" w:pos="1440"/>
        </w:tabs>
        <w:ind w:left="1440" w:hanging="360"/>
      </w:pPr>
      <w:rPr>
        <w:rFonts w:ascii="Symbol" w:hAnsi="Symbol" w:hint="default"/>
      </w:rPr>
    </w:lvl>
    <w:lvl w:ilvl="2" w:tplc="91167690" w:tentative="1">
      <w:start w:val="1"/>
      <w:numFmt w:val="bullet"/>
      <w:lvlText w:val=""/>
      <w:lvlJc w:val="left"/>
      <w:pPr>
        <w:tabs>
          <w:tab w:val="num" w:pos="2160"/>
        </w:tabs>
        <w:ind w:left="2160" w:hanging="360"/>
      </w:pPr>
      <w:rPr>
        <w:rFonts w:ascii="Symbol" w:hAnsi="Symbol" w:hint="default"/>
      </w:rPr>
    </w:lvl>
    <w:lvl w:ilvl="3" w:tplc="EB409BE6" w:tentative="1">
      <w:start w:val="1"/>
      <w:numFmt w:val="bullet"/>
      <w:lvlText w:val=""/>
      <w:lvlJc w:val="left"/>
      <w:pPr>
        <w:tabs>
          <w:tab w:val="num" w:pos="2880"/>
        </w:tabs>
        <w:ind w:left="2880" w:hanging="360"/>
      </w:pPr>
      <w:rPr>
        <w:rFonts w:ascii="Symbol" w:hAnsi="Symbol" w:hint="default"/>
      </w:rPr>
    </w:lvl>
    <w:lvl w:ilvl="4" w:tplc="7686579E" w:tentative="1">
      <w:start w:val="1"/>
      <w:numFmt w:val="bullet"/>
      <w:lvlText w:val=""/>
      <w:lvlJc w:val="left"/>
      <w:pPr>
        <w:tabs>
          <w:tab w:val="num" w:pos="3600"/>
        </w:tabs>
        <w:ind w:left="3600" w:hanging="360"/>
      </w:pPr>
      <w:rPr>
        <w:rFonts w:ascii="Symbol" w:hAnsi="Symbol" w:hint="default"/>
      </w:rPr>
    </w:lvl>
    <w:lvl w:ilvl="5" w:tplc="B8AA01A4" w:tentative="1">
      <w:start w:val="1"/>
      <w:numFmt w:val="bullet"/>
      <w:lvlText w:val=""/>
      <w:lvlJc w:val="left"/>
      <w:pPr>
        <w:tabs>
          <w:tab w:val="num" w:pos="4320"/>
        </w:tabs>
        <w:ind w:left="4320" w:hanging="360"/>
      </w:pPr>
      <w:rPr>
        <w:rFonts w:ascii="Symbol" w:hAnsi="Symbol" w:hint="default"/>
      </w:rPr>
    </w:lvl>
    <w:lvl w:ilvl="6" w:tplc="53CC480A" w:tentative="1">
      <w:start w:val="1"/>
      <w:numFmt w:val="bullet"/>
      <w:lvlText w:val=""/>
      <w:lvlJc w:val="left"/>
      <w:pPr>
        <w:tabs>
          <w:tab w:val="num" w:pos="5040"/>
        </w:tabs>
        <w:ind w:left="5040" w:hanging="360"/>
      </w:pPr>
      <w:rPr>
        <w:rFonts w:ascii="Symbol" w:hAnsi="Symbol" w:hint="default"/>
      </w:rPr>
    </w:lvl>
    <w:lvl w:ilvl="7" w:tplc="0374CB6E" w:tentative="1">
      <w:start w:val="1"/>
      <w:numFmt w:val="bullet"/>
      <w:lvlText w:val=""/>
      <w:lvlJc w:val="left"/>
      <w:pPr>
        <w:tabs>
          <w:tab w:val="num" w:pos="5760"/>
        </w:tabs>
        <w:ind w:left="5760" w:hanging="360"/>
      </w:pPr>
      <w:rPr>
        <w:rFonts w:ascii="Symbol" w:hAnsi="Symbol" w:hint="default"/>
      </w:rPr>
    </w:lvl>
    <w:lvl w:ilvl="8" w:tplc="DF3484F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B542B75"/>
    <w:multiLevelType w:val="hybridMultilevel"/>
    <w:tmpl w:val="DB4A44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977C38"/>
    <w:multiLevelType w:val="hybridMultilevel"/>
    <w:tmpl w:val="83026F2C"/>
    <w:lvl w:ilvl="0" w:tplc="6A70A288">
      <w:start w:val="1"/>
      <w:numFmt w:val="bullet"/>
      <w:lvlText w:val="•"/>
      <w:lvlJc w:val="left"/>
      <w:pPr>
        <w:ind w:left="50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9BCB962">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8DC6798">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1589404">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15683BC">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5C4EA33C">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688F36E">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46E6A1A">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4AC4FC8">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36174066"/>
    <w:multiLevelType w:val="hybridMultilevel"/>
    <w:tmpl w:val="9C0023A0"/>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8" w15:restartNumberingAfterBreak="0">
    <w:nsid w:val="3D7C0084"/>
    <w:multiLevelType w:val="hybridMultilevel"/>
    <w:tmpl w:val="CB1C7BFC"/>
    <w:lvl w:ilvl="0" w:tplc="12B05434">
      <w:start w:val="1"/>
      <w:numFmt w:val="bullet"/>
      <w:lvlText w:val="•"/>
      <w:lvlJc w:val="left"/>
      <w:pPr>
        <w:ind w:left="50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87E1614">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42A407B8">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4C4C850">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DB00A36">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2480BEB2">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4F4EE07C">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74871F6">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8188C0D4">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426675A7"/>
    <w:multiLevelType w:val="hybridMultilevel"/>
    <w:tmpl w:val="BA56F2F0"/>
    <w:lvl w:ilvl="0" w:tplc="A216CCD0">
      <w:start w:val="1"/>
      <w:numFmt w:val="bullet"/>
      <w:lvlText w:val="-"/>
      <w:lvlJc w:val="left"/>
      <w:pPr>
        <w:ind w:left="5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DC4F6CA">
      <w:start w:val="1"/>
      <w:numFmt w:val="bullet"/>
      <w:lvlText w:val="o"/>
      <w:lvlJc w:val="left"/>
      <w:pPr>
        <w:ind w:left="16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9E0515E">
      <w:start w:val="1"/>
      <w:numFmt w:val="bullet"/>
      <w:lvlText w:val="▪"/>
      <w:lvlJc w:val="left"/>
      <w:pPr>
        <w:ind w:left="2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9005ADA">
      <w:start w:val="1"/>
      <w:numFmt w:val="bullet"/>
      <w:lvlText w:val="•"/>
      <w:lvlJc w:val="left"/>
      <w:pPr>
        <w:ind w:left="30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9B2DA62">
      <w:start w:val="1"/>
      <w:numFmt w:val="bullet"/>
      <w:lvlText w:val="o"/>
      <w:lvlJc w:val="left"/>
      <w:pPr>
        <w:ind w:left="37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87EC6CC">
      <w:start w:val="1"/>
      <w:numFmt w:val="bullet"/>
      <w:lvlText w:val="▪"/>
      <w:lvlJc w:val="left"/>
      <w:pPr>
        <w:ind w:left="449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ED425BA">
      <w:start w:val="1"/>
      <w:numFmt w:val="bullet"/>
      <w:lvlText w:val="•"/>
      <w:lvlJc w:val="left"/>
      <w:pPr>
        <w:ind w:left="52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194FB6C">
      <w:start w:val="1"/>
      <w:numFmt w:val="bullet"/>
      <w:lvlText w:val="o"/>
      <w:lvlJc w:val="left"/>
      <w:pPr>
        <w:ind w:left="59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5AA411A">
      <w:start w:val="1"/>
      <w:numFmt w:val="bullet"/>
      <w:lvlText w:val="▪"/>
      <w:lvlJc w:val="left"/>
      <w:pPr>
        <w:ind w:left="66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455B0862"/>
    <w:multiLevelType w:val="hybridMultilevel"/>
    <w:tmpl w:val="7288597E"/>
    <w:lvl w:ilvl="0" w:tplc="42A407B8">
      <w:start w:val="1"/>
      <w:numFmt w:val="bullet"/>
      <w:lvlText w:val="▪"/>
      <w:lvlJc w:val="left"/>
      <w:pPr>
        <w:ind w:left="722" w:hanging="360"/>
      </w:pPr>
      <w:rPr>
        <w:rFonts w:ascii="Segoe UI Symbol" w:eastAsia="Segoe UI Symbol" w:hAnsi="Segoe UI Symbol" w:cs="Segoe UI Symbol" w:hint="default"/>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1" w15:restartNumberingAfterBreak="0">
    <w:nsid w:val="6B671CF8"/>
    <w:multiLevelType w:val="hybridMultilevel"/>
    <w:tmpl w:val="FA423CC2"/>
    <w:lvl w:ilvl="0" w:tplc="FFFFFFFF">
      <w:start w:val="1"/>
      <w:numFmt w:val="bullet"/>
      <w:lvlText w:val="-"/>
      <w:lvlJc w:val="left"/>
      <w:pPr>
        <w:ind w:left="720" w:hanging="360"/>
      </w:pPr>
      <w:rPr>
        <w:rFonts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B81D59"/>
    <w:multiLevelType w:val="hybridMultilevel"/>
    <w:tmpl w:val="2640B2E0"/>
    <w:lvl w:ilvl="0" w:tplc="EE76CA88">
      <w:start w:val="1"/>
      <w:numFmt w:val="bullet"/>
      <w:lvlText w:val="•"/>
      <w:lvlJc w:val="left"/>
      <w:pPr>
        <w:ind w:left="50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362FAD8">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C869384">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102478A">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8FEF17A">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6618FE06">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D2A0F562">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5B07A22">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1347EC0">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717A345A"/>
    <w:multiLevelType w:val="hybridMultilevel"/>
    <w:tmpl w:val="5BB6A700"/>
    <w:lvl w:ilvl="0" w:tplc="E44CBC2C">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5" w15:restartNumberingAfterBreak="0">
    <w:nsid w:val="7ADE5A1D"/>
    <w:multiLevelType w:val="hybridMultilevel"/>
    <w:tmpl w:val="B86EC430"/>
    <w:lvl w:ilvl="0" w:tplc="0F709644">
      <w:start w:val="1"/>
      <w:numFmt w:val="decimal"/>
      <w:lvlText w:val="%1."/>
      <w:lvlJc w:val="left"/>
      <w:pPr>
        <w:ind w:left="5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6CE34C4">
      <w:start w:val="1"/>
      <w:numFmt w:val="lowerLetter"/>
      <w:lvlText w:val="%2"/>
      <w:lvlJc w:val="left"/>
      <w:pPr>
        <w:ind w:left="16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B164FF6">
      <w:start w:val="1"/>
      <w:numFmt w:val="lowerRoman"/>
      <w:lvlText w:val="%3"/>
      <w:lvlJc w:val="left"/>
      <w:pPr>
        <w:ind w:left="2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124D28E">
      <w:start w:val="1"/>
      <w:numFmt w:val="decimal"/>
      <w:lvlText w:val="%4"/>
      <w:lvlJc w:val="left"/>
      <w:pPr>
        <w:ind w:left="30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FD65DBA">
      <w:start w:val="1"/>
      <w:numFmt w:val="lowerLetter"/>
      <w:lvlText w:val="%5"/>
      <w:lvlJc w:val="left"/>
      <w:pPr>
        <w:ind w:left="37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C4C7EFE">
      <w:start w:val="1"/>
      <w:numFmt w:val="lowerRoman"/>
      <w:lvlText w:val="%6"/>
      <w:lvlJc w:val="left"/>
      <w:pPr>
        <w:ind w:left="449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640F2D0">
      <w:start w:val="1"/>
      <w:numFmt w:val="decimal"/>
      <w:lvlText w:val="%7"/>
      <w:lvlJc w:val="left"/>
      <w:pPr>
        <w:ind w:left="52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708CADA">
      <w:start w:val="1"/>
      <w:numFmt w:val="lowerLetter"/>
      <w:lvlText w:val="%8"/>
      <w:lvlJc w:val="left"/>
      <w:pPr>
        <w:ind w:left="59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2588512">
      <w:start w:val="1"/>
      <w:numFmt w:val="lowerRoman"/>
      <w:lvlText w:val="%9"/>
      <w:lvlJc w:val="left"/>
      <w:pPr>
        <w:ind w:left="66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7EA564EB"/>
    <w:multiLevelType w:val="hybridMultilevel"/>
    <w:tmpl w:val="B332192A"/>
    <w:lvl w:ilvl="0" w:tplc="CECE6FAE">
      <w:start w:val="1"/>
      <w:numFmt w:val="bullet"/>
      <w:lvlText w:val="-"/>
      <w:lvlJc w:val="left"/>
      <w:pPr>
        <w:ind w:left="5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750D528">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E02791A">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EFC6A74">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BC67D66">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CA660A0">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0F4E0CA">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2DA02FC">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FDA5C24">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16cid:durableId="786119620">
    <w:abstractNumId w:val="2"/>
  </w:num>
  <w:num w:numId="2" w16cid:durableId="48460276">
    <w:abstractNumId w:val="12"/>
  </w:num>
  <w:num w:numId="3" w16cid:durableId="309361301">
    <w:abstractNumId w:val="0"/>
    <w:lvlOverride w:ilvl="0">
      <w:lvl w:ilvl="0">
        <w:start w:val="1"/>
        <w:numFmt w:val="bullet"/>
        <w:lvlText w:val="-"/>
        <w:lvlJc w:val="left"/>
        <w:pPr>
          <w:ind w:left="360" w:hanging="360"/>
        </w:pPr>
      </w:lvl>
    </w:lvlOverride>
  </w:num>
  <w:num w:numId="4" w16cid:durableId="802046346">
    <w:abstractNumId w:val="0"/>
    <w:lvlOverride w:ilvl="0">
      <w:lvl w:ilvl="0">
        <w:start w:val="1"/>
        <w:numFmt w:val="bullet"/>
        <w:lvlText w:val=""/>
        <w:lvlJc w:val="left"/>
        <w:pPr>
          <w:ind w:left="360" w:hanging="360"/>
        </w:pPr>
        <w:rPr>
          <w:rFonts w:ascii="Symbol" w:hAnsi="Symbol" w:hint="default"/>
        </w:rPr>
      </w:lvl>
    </w:lvlOverride>
  </w:num>
  <w:num w:numId="5" w16cid:durableId="48461491">
    <w:abstractNumId w:val="0"/>
    <w:lvlOverride w:ilvl="0">
      <w:lvl w:ilvl="0">
        <w:start w:val="1"/>
        <w:numFmt w:val="bullet"/>
        <w:lvlText w:val="-"/>
        <w:lvlJc w:val="left"/>
        <w:pPr>
          <w:ind w:left="360" w:hanging="360"/>
        </w:pPr>
      </w:lvl>
    </w:lvlOverride>
  </w:num>
  <w:num w:numId="6" w16cid:durableId="540555795">
    <w:abstractNumId w:val="9"/>
  </w:num>
  <w:num w:numId="7" w16cid:durableId="188186082">
    <w:abstractNumId w:val="15"/>
  </w:num>
  <w:num w:numId="8" w16cid:durableId="1851144172">
    <w:abstractNumId w:val="8"/>
  </w:num>
  <w:num w:numId="9" w16cid:durableId="832598696">
    <w:abstractNumId w:val="3"/>
  </w:num>
  <w:num w:numId="10" w16cid:durableId="1682123402">
    <w:abstractNumId w:val="13"/>
  </w:num>
  <w:num w:numId="11" w16cid:durableId="2110613629">
    <w:abstractNumId w:val="16"/>
  </w:num>
  <w:num w:numId="12" w16cid:durableId="959069271">
    <w:abstractNumId w:val="6"/>
  </w:num>
  <w:num w:numId="13" w16cid:durableId="1045326635">
    <w:abstractNumId w:val="1"/>
  </w:num>
  <w:num w:numId="14" w16cid:durableId="1082334949">
    <w:abstractNumId w:val="11"/>
  </w:num>
  <w:num w:numId="15" w16cid:durableId="1637711335">
    <w:abstractNumId w:val="5"/>
  </w:num>
  <w:num w:numId="16" w16cid:durableId="1538279268">
    <w:abstractNumId w:val="4"/>
  </w:num>
  <w:num w:numId="17" w16cid:durableId="86925678">
    <w:abstractNumId w:val="7"/>
  </w:num>
  <w:num w:numId="18" w16cid:durableId="1550261300">
    <w:abstractNumId w:val="10"/>
  </w:num>
  <w:num w:numId="19" w16cid:durableId="1313215328">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hideSpellingErrors/>
  <w:activeWritingStyle w:appName="MSWord" w:lang="es-ES" w:vendorID="64" w:dllVersion="6" w:nlCheck="1" w:checkStyle="0"/>
  <w:activeWritingStyle w:appName="MSWord" w:lang="en-GB" w:vendorID="64" w:dllVersion="6" w:nlCheck="1" w:checkStyle="1"/>
  <w:activeWritingStyle w:appName="MSWord" w:lang="de-DE" w:vendorID="64" w:dllVersion="6" w:nlCheck="1" w:checkStyle="0"/>
  <w:activeWritingStyle w:appName="MSWord" w:lang="en-US" w:vendorID="64" w:dllVersion="6" w:nlCheck="1" w:checkStyle="1"/>
  <w:proofState w:spelling="clean" w:grammar="clean"/>
  <w:defaultTabStop w:val="1298"/>
  <w:hyphenationZone w:val="396"/>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12FD2"/>
    <w:rsid w:val="00016A00"/>
    <w:rsid w:val="00060829"/>
    <w:rsid w:val="000674DD"/>
    <w:rsid w:val="000725F8"/>
    <w:rsid w:val="0007666C"/>
    <w:rsid w:val="00082583"/>
    <w:rsid w:val="0009206D"/>
    <w:rsid w:val="000954C1"/>
    <w:rsid w:val="000963C6"/>
    <w:rsid w:val="000A58F3"/>
    <w:rsid w:val="000A79DC"/>
    <w:rsid w:val="000C335F"/>
    <w:rsid w:val="000F34A9"/>
    <w:rsid w:val="000F3DFC"/>
    <w:rsid w:val="000F54BB"/>
    <w:rsid w:val="00126F6D"/>
    <w:rsid w:val="0013167B"/>
    <w:rsid w:val="00132989"/>
    <w:rsid w:val="00132B1F"/>
    <w:rsid w:val="00135F34"/>
    <w:rsid w:val="0014189A"/>
    <w:rsid w:val="00142F26"/>
    <w:rsid w:val="00153B16"/>
    <w:rsid w:val="00154AA9"/>
    <w:rsid w:val="00164127"/>
    <w:rsid w:val="00176CF5"/>
    <w:rsid w:val="001847A6"/>
    <w:rsid w:val="001874E8"/>
    <w:rsid w:val="001A2680"/>
    <w:rsid w:val="001A3DF1"/>
    <w:rsid w:val="001A4353"/>
    <w:rsid w:val="001A4C00"/>
    <w:rsid w:val="001A5C63"/>
    <w:rsid w:val="001C008B"/>
    <w:rsid w:val="001C1EC0"/>
    <w:rsid w:val="001D6EBC"/>
    <w:rsid w:val="001F10B8"/>
    <w:rsid w:val="001F12B5"/>
    <w:rsid w:val="001F30AC"/>
    <w:rsid w:val="002005C3"/>
    <w:rsid w:val="00224048"/>
    <w:rsid w:val="002330DF"/>
    <w:rsid w:val="00245B15"/>
    <w:rsid w:val="00250B57"/>
    <w:rsid w:val="00252F0C"/>
    <w:rsid w:val="00257C07"/>
    <w:rsid w:val="002606A3"/>
    <w:rsid w:val="00270C5D"/>
    <w:rsid w:val="00273470"/>
    <w:rsid w:val="00281BF9"/>
    <w:rsid w:val="00282921"/>
    <w:rsid w:val="002855D9"/>
    <w:rsid w:val="002914AB"/>
    <w:rsid w:val="002B6E60"/>
    <w:rsid w:val="002C150B"/>
    <w:rsid w:val="002D3CB2"/>
    <w:rsid w:val="002D4631"/>
    <w:rsid w:val="002E1A13"/>
    <w:rsid w:val="002E1A5C"/>
    <w:rsid w:val="002E5F5E"/>
    <w:rsid w:val="002F695A"/>
    <w:rsid w:val="003026BB"/>
    <w:rsid w:val="00311E0C"/>
    <w:rsid w:val="003155C7"/>
    <w:rsid w:val="00331196"/>
    <w:rsid w:val="0033289C"/>
    <w:rsid w:val="00335405"/>
    <w:rsid w:val="00353DCA"/>
    <w:rsid w:val="003550FA"/>
    <w:rsid w:val="00355525"/>
    <w:rsid w:val="00355836"/>
    <w:rsid w:val="00355EA9"/>
    <w:rsid w:val="0036377A"/>
    <w:rsid w:val="003649F7"/>
    <w:rsid w:val="003863BE"/>
    <w:rsid w:val="003A06C2"/>
    <w:rsid w:val="003B1300"/>
    <w:rsid w:val="003B1378"/>
    <w:rsid w:val="003B28E4"/>
    <w:rsid w:val="003B5DEE"/>
    <w:rsid w:val="003C3DC1"/>
    <w:rsid w:val="003D0095"/>
    <w:rsid w:val="003D08A1"/>
    <w:rsid w:val="003D224E"/>
    <w:rsid w:val="003E06CC"/>
    <w:rsid w:val="003E6D93"/>
    <w:rsid w:val="003E71FD"/>
    <w:rsid w:val="0040581B"/>
    <w:rsid w:val="00405B1C"/>
    <w:rsid w:val="00406279"/>
    <w:rsid w:val="00431699"/>
    <w:rsid w:val="00431A1E"/>
    <w:rsid w:val="00444711"/>
    <w:rsid w:val="004479C6"/>
    <w:rsid w:val="00447DE7"/>
    <w:rsid w:val="00460430"/>
    <w:rsid w:val="00460E5C"/>
    <w:rsid w:val="00461F31"/>
    <w:rsid w:val="00475C81"/>
    <w:rsid w:val="00491427"/>
    <w:rsid w:val="004951D6"/>
    <w:rsid w:val="004971F6"/>
    <w:rsid w:val="004A478C"/>
    <w:rsid w:val="004A7E1F"/>
    <w:rsid w:val="004B0C8F"/>
    <w:rsid w:val="004B5ABA"/>
    <w:rsid w:val="004E724B"/>
    <w:rsid w:val="004F4AE9"/>
    <w:rsid w:val="004F7211"/>
    <w:rsid w:val="004F72FA"/>
    <w:rsid w:val="00503D27"/>
    <w:rsid w:val="00506667"/>
    <w:rsid w:val="0050771D"/>
    <w:rsid w:val="0051276B"/>
    <w:rsid w:val="00517C1E"/>
    <w:rsid w:val="00536403"/>
    <w:rsid w:val="00536AF3"/>
    <w:rsid w:val="00542090"/>
    <w:rsid w:val="00544251"/>
    <w:rsid w:val="005504AA"/>
    <w:rsid w:val="0058239E"/>
    <w:rsid w:val="005829CF"/>
    <w:rsid w:val="00582C96"/>
    <w:rsid w:val="00584F8B"/>
    <w:rsid w:val="00585EF2"/>
    <w:rsid w:val="00596383"/>
    <w:rsid w:val="00597B83"/>
    <w:rsid w:val="005A5844"/>
    <w:rsid w:val="005C5DE3"/>
    <w:rsid w:val="005D00C0"/>
    <w:rsid w:val="005D0870"/>
    <w:rsid w:val="005D5424"/>
    <w:rsid w:val="005D60A2"/>
    <w:rsid w:val="005D65C0"/>
    <w:rsid w:val="005F35CC"/>
    <w:rsid w:val="006030AA"/>
    <w:rsid w:val="00620D9B"/>
    <w:rsid w:val="00631472"/>
    <w:rsid w:val="0064445A"/>
    <w:rsid w:val="00651A1C"/>
    <w:rsid w:val="00654F25"/>
    <w:rsid w:val="00655AB5"/>
    <w:rsid w:val="006566D5"/>
    <w:rsid w:val="006820DC"/>
    <w:rsid w:val="006849FA"/>
    <w:rsid w:val="00685459"/>
    <w:rsid w:val="006870CB"/>
    <w:rsid w:val="006A1849"/>
    <w:rsid w:val="006A77E0"/>
    <w:rsid w:val="006C28F7"/>
    <w:rsid w:val="006E0500"/>
    <w:rsid w:val="0070394F"/>
    <w:rsid w:val="007046D8"/>
    <w:rsid w:val="00707742"/>
    <w:rsid w:val="00724017"/>
    <w:rsid w:val="00724237"/>
    <w:rsid w:val="0073445C"/>
    <w:rsid w:val="00756245"/>
    <w:rsid w:val="007565FE"/>
    <w:rsid w:val="00761DAA"/>
    <w:rsid w:val="00765887"/>
    <w:rsid w:val="00777265"/>
    <w:rsid w:val="00782E2D"/>
    <w:rsid w:val="007844CE"/>
    <w:rsid w:val="00790F23"/>
    <w:rsid w:val="0079333A"/>
    <w:rsid w:val="00794EC9"/>
    <w:rsid w:val="007A2F95"/>
    <w:rsid w:val="007B7EF6"/>
    <w:rsid w:val="007C48BA"/>
    <w:rsid w:val="007C567E"/>
    <w:rsid w:val="007D0B50"/>
    <w:rsid w:val="007D2D93"/>
    <w:rsid w:val="007F09F8"/>
    <w:rsid w:val="0080684F"/>
    <w:rsid w:val="008174C3"/>
    <w:rsid w:val="00826CB6"/>
    <w:rsid w:val="008327FC"/>
    <w:rsid w:val="0083377A"/>
    <w:rsid w:val="00847E67"/>
    <w:rsid w:val="00860468"/>
    <w:rsid w:val="00861548"/>
    <w:rsid w:val="008622B9"/>
    <w:rsid w:val="008735EE"/>
    <w:rsid w:val="008752A0"/>
    <w:rsid w:val="008845DC"/>
    <w:rsid w:val="008847D7"/>
    <w:rsid w:val="0088770A"/>
    <w:rsid w:val="008A265E"/>
    <w:rsid w:val="008A56E3"/>
    <w:rsid w:val="008B5188"/>
    <w:rsid w:val="008C3661"/>
    <w:rsid w:val="008D4A5E"/>
    <w:rsid w:val="008D543A"/>
    <w:rsid w:val="008F522D"/>
    <w:rsid w:val="008F7666"/>
    <w:rsid w:val="0090398C"/>
    <w:rsid w:val="009115BA"/>
    <w:rsid w:val="00911F26"/>
    <w:rsid w:val="00924CFE"/>
    <w:rsid w:val="009310D4"/>
    <w:rsid w:val="0093285F"/>
    <w:rsid w:val="00935615"/>
    <w:rsid w:val="00943A29"/>
    <w:rsid w:val="009447A4"/>
    <w:rsid w:val="0094630F"/>
    <w:rsid w:val="00964BDA"/>
    <w:rsid w:val="0096765C"/>
    <w:rsid w:val="00972FD3"/>
    <w:rsid w:val="009837F3"/>
    <w:rsid w:val="00986A2E"/>
    <w:rsid w:val="009A25B4"/>
    <w:rsid w:val="009A588A"/>
    <w:rsid w:val="009A6330"/>
    <w:rsid w:val="009B484F"/>
    <w:rsid w:val="009B5E8E"/>
    <w:rsid w:val="009D4B78"/>
    <w:rsid w:val="009F0ECC"/>
    <w:rsid w:val="009F2CF2"/>
    <w:rsid w:val="00A02E65"/>
    <w:rsid w:val="00A11533"/>
    <w:rsid w:val="00A12B41"/>
    <w:rsid w:val="00A229FA"/>
    <w:rsid w:val="00A3393A"/>
    <w:rsid w:val="00A42455"/>
    <w:rsid w:val="00A43633"/>
    <w:rsid w:val="00A470A2"/>
    <w:rsid w:val="00A53D8F"/>
    <w:rsid w:val="00A53E23"/>
    <w:rsid w:val="00A57581"/>
    <w:rsid w:val="00A61D24"/>
    <w:rsid w:val="00A643C3"/>
    <w:rsid w:val="00A64840"/>
    <w:rsid w:val="00A6532A"/>
    <w:rsid w:val="00A76206"/>
    <w:rsid w:val="00AA0B4C"/>
    <w:rsid w:val="00AA148B"/>
    <w:rsid w:val="00AA332F"/>
    <w:rsid w:val="00AB2D83"/>
    <w:rsid w:val="00AD43B9"/>
    <w:rsid w:val="00AD4855"/>
    <w:rsid w:val="00AE5899"/>
    <w:rsid w:val="00AE5D3A"/>
    <w:rsid w:val="00B0490E"/>
    <w:rsid w:val="00B10E0E"/>
    <w:rsid w:val="00B11041"/>
    <w:rsid w:val="00B162B3"/>
    <w:rsid w:val="00B2400E"/>
    <w:rsid w:val="00B35CD8"/>
    <w:rsid w:val="00B475D6"/>
    <w:rsid w:val="00B51C06"/>
    <w:rsid w:val="00B52088"/>
    <w:rsid w:val="00B54F56"/>
    <w:rsid w:val="00B5551E"/>
    <w:rsid w:val="00B665D3"/>
    <w:rsid w:val="00B84BB6"/>
    <w:rsid w:val="00B95AFA"/>
    <w:rsid w:val="00B96F4B"/>
    <w:rsid w:val="00BE4EE6"/>
    <w:rsid w:val="00BE65F3"/>
    <w:rsid w:val="00C10305"/>
    <w:rsid w:val="00C163D4"/>
    <w:rsid w:val="00C31BFA"/>
    <w:rsid w:val="00C372C7"/>
    <w:rsid w:val="00C41FDB"/>
    <w:rsid w:val="00C73B22"/>
    <w:rsid w:val="00C8303A"/>
    <w:rsid w:val="00C83788"/>
    <w:rsid w:val="00C8680A"/>
    <w:rsid w:val="00CA1B31"/>
    <w:rsid w:val="00CA5A0C"/>
    <w:rsid w:val="00CC0D41"/>
    <w:rsid w:val="00CC19B8"/>
    <w:rsid w:val="00CD77F3"/>
    <w:rsid w:val="00CE2F0D"/>
    <w:rsid w:val="00CE3C92"/>
    <w:rsid w:val="00CE3F51"/>
    <w:rsid w:val="00CE4548"/>
    <w:rsid w:val="00CE6EC2"/>
    <w:rsid w:val="00CF180E"/>
    <w:rsid w:val="00D1468E"/>
    <w:rsid w:val="00D15ECA"/>
    <w:rsid w:val="00D1633A"/>
    <w:rsid w:val="00D27485"/>
    <w:rsid w:val="00D324C3"/>
    <w:rsid w:val="00D3698C"/>
    <w:rsid w:val="00D37F40"/>
    <w:rsid w:val="00D96732"/>
    <w:rsid w:val="00DA5DDF"/>
    <w:rsid w:val="00DB0523"/>
    <w:rsid w:val="00DD1BF6"/>
    <w:rsid w:val="00DE43BA"/>
    <w:rsid w:val="00DF759F"/>
    <w:rsid w:val="00E01AC5"/>
    <w:rsid w:val="00E064E0"/>
    <w:rsid w:val="00E2116A"/>
    <w:rsid w:val="00E332F2"/>
    <w:rsid w:val="00E402FE"/>
    <w:rsid w:val="00E5343B"/>
    <w:rsid w:val="00E53ACC"/>
    <w:rsid w:val="00E56AAB"/>
    <w:rsid w:val="00E6042C"/>
    <w:rsid w:val="00E63792"/>
    <w:rsid w:val="00E66BC2"/>
    <w:rsid w:val="00E7064A"/>
    <w:rsid w:val="00E74382"/>
    <w:rsid w:val="00E871B9"/>
    <w:rsid w:val="00E87295"/>
    <w:rsid w:val="00EC46F9"/>
    <w:rsid w:val="00EF473A"/>
    <w:rsid w:val="00F00F31"/>
    <w:rsid w:val="00F02E72"/>
    <w:rsid w:val="00F20CA2"/>
    <w:rsid w:val="00F34163"/>
    <w:rsid w:val="00F34435"/>
    <w:rsid w:val="00F52997"/>
    <w:rsid w:val="00F65C3C"/>
    <w:rsid w:val="00F66A0F"/>
    <w:rsid w:val="00F77946"/>
    <w:rsid w:val="00F8063D"/>
    <w:rsid w:val="00F83B82"/>
    <w:rsid w:val="00F85EBD"/>
    <w:rsid w:val="00F92F8C"/>
    <w:rsid w:val="00F95CAD"/>
    <w:rsid w:val="00F97B53"/>
    <w:rsid w:val="00FB0B5D"/>
    <w:rsid w:val="00FB25BC"/>
    <w:rsid w:val="00FC22F8"/>
    <w:rsid w:val="00FC3488"/>
    <w:rsid w:val="00FD3CC5"/>
    <w:rsid w:val="00FE3FD1"/>
    <w:rsid w:val="00FF50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AB07A79"/>
  <w15:chartTrackingRefBased/>
  <w15:docId w15:val="{3A6A3FEF-2EB7-46CB-AB7C-D32A56DB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588A"/>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eastAsia="x-none"/>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sz w:val="20"/>
      <w:lang w:eastAsia="x-none"/>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sz w:val="20"/>
      <w:lang w:eastAsia="x-none"/>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sz w:val="20"/>
      <w:lang w:eastAsia="x-none"/>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sz w:val="20"/>
      <w:lang w:eastAsia="x-none"/>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sz w:val="20"/>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9A588A"/>
    <w:rPr>
      <w:rFonts w:ascii="Verdana" w:eastAsia="Times New Roman" w:hAnsi="Verdana"/>
      <w:snapToGrid w:val="0"/>
      <w:sz w:val="18"/>
      <w:szCs w:val="22"/>
      <w:lang w:val="en-GB" w:eastAsia="en-US"/>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lang w:eastAsia="x-none"/>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9A588A"/>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sz w:val="20"/>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lang w:eastAsia="x-none"/>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sz w:val="20"/>
      <w:lang w:eastAsia="x-none"/>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lang w:eastAsia="x-non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 w:val="20"/>
      <w:szCs w:val="21"/>
      <w:lang w:eastAsia="x-none"/>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eastAsia="en-US"/>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eastAsia="x-none"/>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9A588A"/>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sz w:val="20"/>
      <w:lang w:eastAsia="x-none"/>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sz w:val="20"/>
      <w:lang w:eastAsia="x-none"/>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table" w:customStyle="1" w:styleId="TableGrid">
    <w:name w:val="TableGrid"/>
    <w:rsid w:val="00273470"/>
    <w:rPr>
      <w:rFonts w:eastAsia="Times New Roman"/>
      <w:sz w:val="22"/>
      <w:szCs w:val="22"/>
      <w:lang w:val="es-ES" w:eastAsia="es-ES"/>
    </w:rPr>
    <w:tblPr>
      <w:tblCellMar>
        <w:top w:w="0" w:type="dxa"/>
        <w:left w:w="0" w:type="dxa"/>
        <w:bottom w:w="0" w:type="dxa"/>
        <w:right w:w="0" w:type="dxa"/>
      </w:tblCellMar>
    </w:tblPr>
  </w:style>
  <w:style w:type="paragraph" w:styleId="HTMLiankstoformatuotas">
    <w:name w:val="HTML Preformatted"/>
    <w:basedOn w:val="prastasis"/>
    <w:link w:val="HTMLiankstoformatuotasDiagrama"/>
    <w:uiPriority w:val="99"/>
    <w:unhideWhenUsed/>
    <w:rsid w:val="00273470"/>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napToGrid/>
      <w:sz w:val="20"/>
      <w:lang w:val="x-none" w:eastAsia="x-none"/>
    </w:rPr>
  </w:style>
  <w:style w:type="character" w:customStyle="1" w:styleId="HTMLiankstoformatuotasDiagrama">
    <w:name w:val="HTML iš anksto formatuotas Diagrama"/>
    <w:link w:val="HTMLiankstoformatuotas"/>
    <w:uiPriority w:val="99"/>
    <w:rsid w:val="00273470"/>
    <w:rPr>
      <w:rFonts w:ascii="Courier New" w:eastAsia="Times New Roman" w:hAnsi="Courier New" w:cs="Courier New"/>
    </w:rPr>
  </w:style>
  <w:style w:type="character" w:customStyle="1" w:styleId="tlid-translation">
    <w:name w:val="tlid-translation"/>
    <w:rsid w:val="003649F7"/>
  </w:style>
  <w:style w:type="paragraph" w:styleId="Sraopastraipa">
    <w:name w:val="List Paragraph"/>
    <w:basedOn w:val="prastasis"/>
    <w:uiPriority w:val="34"/>
    <w:qFormat/>
    <w:rsid w:val="005D60A2"/>
    <w:pPr>
      <w:ind w:left="720"/>
      <w:contextualSpacing/>
    </w:pPr>
  </w:style>
  <w:style w:type="paragraph" w:styleId="Betarp">
    <w:name w:val="No Spacing"/>
    <w:uiPriority w:val="1"/>
    <w:qFormat/>
    <w:rsid w:val="009A588A"/>
    <w:rPr>
      <w:rFonts w:asciiTheme="minorHAnsi" w:eastAsiaTheme="minorHAnsi" w:hAnsiTheme="minorHAnsi" w:cstheme="minorBidi"/>
      <w:sz w:val="22"/>
      <w:szCs w:val="22"/>
      <w:lang w:val="nl-NL" w:eastAsia="en-US"/>
    </w:rPr>
  </w:style>
  <w:style w:type="table" w:styleId="Lentelstinklelis">
    <w:name w:val="Table Grid"/>
    <w:basedOn w:val="prastojilentel"/>
    <w:uiPriority w:val="59"/>
    <w:rsid w:val="00536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737923">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277758364">
      <w:bodyDiv w:val="1"/>
      <w:marLeft w:val="0"/>
      <w:marRight w:val="0"/>
      <w:marTop w:val="0"/>
      <w:marBottom w:val="0"/>
      <w:divBdr>
        <w:top w:val="none" w:sz="0" w:space="0" w:color="auto"/>
        <w:left w:val="none" w:sz="0" w:space="0" w:color="auto"/>
        <w:bottom w:val="none" w:sz="0" w:space="0" w:color="auto"/>
        <w:right w:val="none" w:sz="0" w:space="0" w:color="auto"/>
      </w:divBdr>
    </w:div>
    <w:div w:id="293490504">
      <w:bodyDiv w:val="1"/>
      <w:marLeft w:val="0"/>
      <w:marRight w:val="0"/>
      <w:marTop w:val="0"/>
      <w:marBottom w:val="0"/>
      <w:divBdr>
        <w:top w:val="none" w:sz="0" w:space="0" w:color="auto"/>
        <w:left w:val="none" w:sz="0" w:space="0" w:color="auto"/>
        <w:bottom w:val="none" w:sz="0" w:space="0" w:color="auto"/>
        <w:right w:val="none" w:sz="0" w:space="0" w:color="auto"/>
      </w:divBdr>
    </w:div>
    <w:div w:id="307980204">
      <w:bodyDiv w:val="1"/>
      <w:marLeft w:val="0"/>
      <w:marRight w:val="0"/>
      <w:marTop w:val="0"/>
      <w:marBottom w:val="0"/>
      <w:divBdr>
        <w:top w:val="none" w:sz="0" w:space="0" w:color="auto"/>
        <w:left w:val="none" w:sz="0" w:space="0" w:color="auto"/>
        <w:bottom w:val="none" w:sz="0" w:space="0" w:color="auto"/>
        <w:right w:val="none" w:sz="0" w:space="0" w:color="auto"/>
      </w:divBdr>
    </w:div>
    <w:div w:id="596444455">
      <w:bodyDiv w:val="1"/>
      <w:marLeft w:val="0"/>
      <w:marRight w:val="0"/>
      <w:marTop w:val="0"/>
      <w:marBottom w:val="0"/>
      <w:divBdr>
        <w:top w:val="none" w:sz="0" w:space="0" w:color="auto"/>
        <w:left w:val="none" w:sz="0" w:space="0" w:color="auto"/>
        <w:bottom w:val="none" w:sz="0" w:space="0" w:color="auto"/>
        <w:right w:val="none" w:sz="0" w:space="0" w:color="auto"/>
      </w:divBdr>
    </w:div>
    <w:div w:id="637494465">
      <w:bodyDiv w:val="1"/>
      <w:marLeft w:val="0"/>
      <w:marRight w:val="0"/>
      <w:marTop w:val="0"/>
      <w:marBottom w:val="0"/>
      <w:divBdr>
        <w:top w:val="none" w:sz="0" w:space="0" w:color="auto"/>
        <w:left w:val="none" w:sz="0" w:space="0" w:color="auto"/>
        <w:bottom w:val="none" w:sz="0" w:space="0" w:color="auto"/>
        <w:right w:val="none" w:sz="0" w:space="0" w:color="auto"/>
      </w:divBdr>
    </w:div>
    <w:div w:id="647127386">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21416215">
      <w:bodyDiv w:val="1"/>
      <w:marLeft w:val="0"/>
      <w:marRight w:val="0"/>
      <w:marTop w:val="0"/>
      <w:marBottom w:val="0"/>
      <w:divBdr>
        <w:top w:val="none" w:sz="0" w:space="0" w:color="auto"/>
        <w:left w:val="none" w:sz="0" w:space="0" w:color="auto"/>
        <w:bottom w:val="none" w:sz="0" w:space="0" w:color="auto"/>
        <w:right w:val="none" w:sz="0" w:space="0" w:color="auto"/>
      </w:divBdr>
    </w:div>
    <w:div w:id="1151942867">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218125246">
      <w:bodyDiv w:val="1"/>
      <w:marLeft w:val="0"/>
      <w:marRight w:val="0"/>
      <w:marTop w:val="0"/>
      <w:marBottom w:val="0"/>
      <w:divBdr>
        <w:top w:val="none" w:sz="0" w:space="0" w:color="auto"/>
        <w:left w:val="none" w:sz="0" w:space="0" w:color="auto"/>
        <w:bottom w:val="none" w:sz="0" w:space="0" w:color="auto"/>
        <w:right w:val="none" w:sz="0" w:space="0" w:color="auto"/>
      </w:divBdr>
    </w:div>
    <w:div w:id="12623729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633824406">
      <w:bodyDiv w:val="1"/>
      <w:marLeft w:val="0"/>
      <w:marRight w:val="0"/>
      <w:marTop w:val="0"/>
      <w:marBottom w:val="0"/>
      <w:divBdr>
        <w:top w:val="none" w:sz="0" w:space="0" w:color="auto"/>
        <w:left w:val="none" w:sz="0" w:space="0" w:color="auto"/>
        <w:bottom w:val="none" w:sz="0" w:space="0" w:color="auto"/>
        <w:right w:val="none" w:sz="0" w:space="0" w:color="auto"/>
      </w:divBdr>
    </w:div>
    <w:div w:id="1738282495">
      <w:bodyDiv w:val="1"/>
      <w:marLeft w:val="0"/>
      <w:marRight w:val="0"/>
      <w:marTop w:val="0"/>
      <w:marBottom w:val="0"/>
      <w:divBdr>
        <w:top w:val="none" w:sz="0" w:space="0" w:color="auto"/>
        <w:left w:val="none" w:sz="0" w:space="0" w:color="auto"/>
        <w:bottom w:val="none" w:sz="0" w:space="0" w:color="auto"/>
        <w:right w:val="none" w:sz="0" w:space="0" w:color="auto"/>
      </w:divBdr>
    </w:div>
    <w:div w:id="1885020042">
      <w:bodyDiv w:val="1"/>
      <w:marLeft w:val="0"/>
      <w:marRight w:val="0"/>
      <w:marTop w:val="0"/>
      <w:marBottom w:val="0"/>
      <w:divBdr>
        <w:top w:val="none" w:sz="0" w:space="0" w:color="auto"/>
        <w:left w:val="none" w:sz="0" w:space="0" w:color="auto"/>
        <w:bottom w:val="none" w:sz="0" w:space="0" w:color="auto"/>
        <w:right w:val="none" w:sz="0" w:space="0" w:color="auto"/>
      </w:divBdr>
    </w:div>
    <w:div w:id="1890873990">
      <w:bodyDiv w:val="1"/>
      <w:marLeft w:val="0"/>
      <w:marRight w:val="0"/>
      <w:marTop w:val="0"/>
      <w:marBottom w:val="0"/>
      <w:divBdr>
        <w:top w:val="none" w:sz="0" w:space="0" w:color="auto"/>
        <w:left w:val="none" w:sz="0" w:space="0" w:color="auto"/>
        <w:bottom w:val="none" w:sz="0" w:space="0" w:color="auto"/>
        <w:right w:val="none" w:sz="0" w:space="0" w:color="auto"/>
      </w:divBdr>
    </w:div>
    <w:div w:id="1975715384">
      <w:bodyDiv w:val="1"/>
      <w:marLeft w:val="0"/>
      <w:marRight w:val="0"/>
      <w:marTop w:val="0"/>
      <w:marBottom w:val="0"/>
      <w:divBdr>
        <w:top w:val="none" w:sz="0" w:space="0" w:color="auto"/>
        <w:left w:val="none" w:sz="0" w:space="0" w:color="auto"/>
        <w:bottom w:val="none" w:sz="0" w:space="0" w:color="auto"/>
        <w:right w:val="none" w:sz="0" w:space="0" w:color="auto"/>
      </w:divBdr>
    </w:div>
    <w:div w:id="2095517482">
      <w:bodyDiv w:val="1"/>
      <w:marLeft w:val="0"/>
      <w:marRight w:val="0"/>
      <w:marTop w:val="0"/>
      <w:marBottom w:val="0"/>
      <w:divBdr>
        <w:top w:val="none" w:sz="0" w:space="0" w:color="auto"/>
        <w:left w:val="none" w:sz="0" w:space="0" w:color="auto"/>
        <w:bottom w:val="none" w:sz="0" w:space="0" w:color="auto"/>
        <w:right w:val="none" w:sz="0" w:space="0" w:color="auto"/>
      </w:divBdr>
    </w:div>
    <w:div w:id="211544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vkt.lrv.lt/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59490-53A2-4CF6-9363-D559F6F3C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52</Pages>
  <Words>81350</Words>
  <Characters>46371</Characters>
  <Application>Microsoft Office Word</Application>
  <DocSecurity>0</DocSecurity>
  <Lines>386</Lines>
  <Paragraphs>254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127467</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7077950</vt:i4>
      </vt:variant>
      <vt:variant>
        <vt:i4>24</vt:i4>
      </vt:variant>
      <vt:variant>
        <vt:i4>0</vt:i4>
      </vt:variant>
      <vt:variant>
        <vt:i4>5</vt:i4>
      </vt:variant>
      <vt:variant>
        <vt:lpwstr>http://www.vvkt.lt/</vt:lpwstr>
      </vt:variant>
      <vt:variant>
        <vt:lpwstr/>
      </vt:variant>
      <vt:variant>
        <vt:i4>2162708</vt:i4>
      </vt:variant>
      <vt:variant>
        <vt:i4>21</vt:i4>
      </vt:variant>
      <vt:variant>
        <vt:i4>0</vt:i4>
      </vt:variant>
      <vt:variant>
        <vt:i4>5</vt:i4>
      </vt:variant>
      <vt:variant>
        <vt:lpwstr>mailto:NepageidaujamaR@vvkt.lt</vt:lpwstr>
      </vt:variant>
      <vt:variant>
        <vt:lpwstr/>
      </vt:variant>
      <vt:variant>
        <vt:i4>7077950</vt:i4>
      </vt:variant>
      <vt:variant>
        <vt:i4>18</vt:i4>
      </vt:variant>
      <vt:variant>
        <vt:i4>0</vt:i4>
      </vt:variant>
      <vt:variant>
        <vt:i4>5</vt:i4>
      </vt:variant>
      <vt:variant>
        <vt:lpwstr>http://www.vvkt.lt/</vt:lpwstr>
      </vt:variant>
      <vt:variant>
        <vt:lpwstr/>
      </vt: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VVKT50</dc:creator>
  <cp:keywords/>
  <cp:lastModifiedBy>Birutė Valkauskaitė</cp:lastModifiedBy>
  <cp:revision>2</cp:revision>
  <dcterms:created xsi:type="dcterms:W3CDTF">2024-09-10T07:21:00Z</dcterms:created>
  <dcterms:modified xsi:type="dcterms:W3CDTF">2024-09-10T07:21:00Z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2022-03-15T18:48:10Z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fd1e0de4-004f-4977-afea-4eee3406cd57</vt:lpwstr>
  </property>
  <property fmtid="{D5CDD505-2E9C-101B-9397-08002B2CF9AE}" pid="8" name="MSIP_Label_c63a0701-319b-41bf-8431-58956e491e60_ContentBits">
    <vt:lpwstr>0</vt:lpwstr>
  </property>
</Properties>
</file>