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660" w:rsidRPr="00D11660" w:rsidRDefault="00D11660" w:rsidP="00D11660">
      <w:pPr>
        <w:tabs>
          <w:tab w:val="left" w:pos="567"/>
        </w:tabs>
        <w:spacing w:after="0" w:line="240" w:lineRule="auto"/>
        <w:rPr>
          <w:rFonts w:ascii="Times New Roman" w:eastAsia="Times New Roman" w:hAnsi="Times New Roman"/>
          <w:lang w:val="en-US"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jc w:val="center"/>
        <w:rPr>
          <w:rFonts w:ascii="Times New Roman" w:eastAsia="Times New Roman" w:hAnsi="Times New Roman"/>
          <w:lang w:eastAsia="lt-LT"/>
        </w:rPr>
      </w:pPr>
      <w:r w:rsidRPr="00D11660">
        <w:rPr>
          <w:rFonts w:ascii="Times New Roman" w:eastAsia="Times New Roman" w:hAnsi="Times New Roman"/>
          <w:b/>
          <w:lang w:eastAsia="lt-LT"/>
        </w:rPr>
        <w:t>I PRIEDAS</w:t>
      </w:r>
    </w:p>
    <w:p w:rsidR="00D11660" w:rsidRPr="00D11660" w:rsidRDefault="00D11660" w:rsidP="00D11660">
      <w:pPr>
        <w:tabs>
          <w:tab w:val="left" w:pos="567"/>
        </w:tabs>
        <w:spacing w:after="0" w:line="240" w:lineRule="auto"/>
        <w:ind w:left="567" w:hanging="567"/>
        <w:jc w:val="center"/>
        <w:rPr>
          <w:rFonts w:ascii="Times New Roman" w:eastAsia="Times New Roman" w:hAnsi="Times New Roman"/>
          <w:b/>
          <w:lang w:eastAsia="lt-LT"/>
        </w:rPr>
      </w:pPr>
    </w:p>
    <w:p w:rsidR="00D11660" w:rsidRPr="00D11660" w:rsidRDefault="00D11660" w:rsidP="00D11660">
      <w:pPr>
        <w:tabs>
          <w:tab w:val="left" w:pos="567"/>
        </w:tabs>
        <w:spacing w:after="0" w:line="240" w:lineRule="auto"/>
        <w:ind w:left="567" w:hanging="567"/>
        <w:jc w:val="center"/>
        <w:rPr>
          <w:rFonts w:ascii="Times New Roman" w:eastAsia="Times New Roman" w:hAnsi="Times New Roman"/>
          <w:b/>
          <w:lang w:eastAsia="lt-LT"/>
        </w:rPr>
      </w:pPr>
      <w:r w:rsidRPr="00D11660">
        <w:rPr>
          <w:rFonts w:ascii="Times New Roman" w:eastAsia="Times New Roman" w:hAnsi="Times New Roman"/>
          <w:b/>
          <w:lang w:eastAsia="lt-LT"/>
        </w:rPr>
        <w:t>PREPARATO CHARAKTERISTIKŲ SANTRAUKA</w:t>
      </w:r>
    </w:p>
    <w:p w:rsidR="00D11660" w:rsidRPr="00D11660" w:rsidRDefault="00D11660" w:rsidP="00D11660">
      <w:pPr>
        <w:tabs>
          <w:tab w:val="left" w:pos="567"/>
        </w:tabs>
        <w:spacing w:after="0" w:line="240" w:lineRule="auto"/>
        <w:ind w:left="567" w:hanging="567"/>
        <w:jc w:val="center"/>
        <w:rPr>
          <w:rFonts w:ascii="Times New Roman" w:eastAsia="Times New Roman" w:hAnsi="Times New Roman"/>
          <w:b/>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br w:type="page"/>
      </w:r>
      <w:r w:rsidRPr="00D11660">
        <w:rPr>
          <w:rFonts w:ascii="Times New Roman" w:eastAsia="Times New Roman" w:hAnsi="Times New Roman"/>
          <w:b/>
          <w:lang w:eastAsia="lt-LT"/>
        </w:rPr>
        <w:lastRenderedPageBreak/>
        <w:t xml:space="preserve">1. </w:t>
      </w:r>
      <w:r w:rsidRPr="00D11660">
        <w:rPr>
          <w:rFonts w:ascii="Times New Roman" w:eastAsia="Times New Roman" w:hAnsi="Times New Roman"/>
          <w:b/>
          <w:lang w:eastAsia="lt-LT"/>
        </w:rPr>
        <w:tab/>
        <w:t>VAISTINIO PREPARATO PAVADINIMAS</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Etidylan 60 mg plėvele dengtos tabletės</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Etidylan 90 mg plėvele dengtos tabletės</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5D230C">
        <w:rPr>
          <w:rFonts w:ascii="Times New Roman" w:eastAsia="Times New Roman" w:hAnsi="Times New Roman"/>
          <w:highlight w:val="lightGray"/>
          <w:lang w:eastAsia="lt-LT"/>
        </w:rPr>
        <w:t>Etidylan 120 mg plėvele dengtos tabletės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2. </w:t>
      </w:r>
      <w:r w:rsidRPr="00D11660">
        <w:rPr>
          <w:rFonts w:ascii="Times New Roman" w:eastAsia="Times New Roman" w:hAnsi="Times New Roman"/>
          <w:b/>
          <w:lang w:eastAsia="lt-LT"/>
        </w:rPr>
        <w:tab/>
        <w:t>KOKYBINĖ IR KIEKYBINĖ SUDĖTIS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Kiekvienoje plėvele dengtoje tabletėje yra 60 mg etorikoksibo.</w:t>
      </w:r>
    </w:p>
    <w:p w:rsidR="00D11660" w:rsidRPr="005D230C" w:rsidRDefault="00D11660" w:rsidP="00D11660">
      <w:pPr>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Kiekvienoje plėvele dengtoje tabletėje yra 90 mg etorikoksibo.</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5D230C">
        <w:rPr>
          <w:rFonts w:ascii="Times New Roman" w:eastAsia="Times New Roman" w:hAnsi="Times New Roman"/>
          <w:highlight w:val="lightGray"/>
          <w:lang w:eastAsia="lt-LT"/>
        </w:rPr>
        <w:t>Kiekvienoje plėvele dengtoje tabletėje yra 120 mg etorikoksibo.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Visos pagalbinės medžiagos išvardytos 6.1 skyriuje.</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3.</w:t>
      </w:r>
      <w:r w:rsidRPr="00D11660">
        <w:rPr>
          <w:rFonts w:ascii="Times New Roman" w:eastAsia="Times New Roman" w:hAnsi="Times New Roman"/>
          <w:b/>
          <w:lang w:eastAsia="lt-LT"/>
        </w:rPr>
        <w:tab/>
        <w:t>FARMACINĖ FORMA</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Plėvele dengta tabletė</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60 mg tabletės: tamsiai žalios, obuolio formos, abipus išgaubtos plėvele dengtos tabletės, kurių vienoje pusėje yra įspaudas „60“, kita pusė lygi, dydis 7,1 x 7,3 mm ±7,5</w:t>
      </w:r>
      <w:r w:rsidRPr="00090BDC">
        <w:rPr>
          <w:rFonts w:ascii="Times New Roman" w:eastAsia="Times New Roman" w:hAnsi="Times New Roman"/>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90 mg tabletės: baltos, obuolio formos, abipus išgaubtos plėvele dengtos tabletės, kurių vienoje pusėje yra įspaudas „90“, kita pusė lygi, dydis 8,1 x 8,3 mm ±7,5</w:t>
      </w:r>
      <w:r w:rsidRPr="00090BDC">
        <w:rPr>
          <w:rFonts w:ascii="Times New Roman" w:eastAsia="Times New Roman" w:hAnsi="Times New Roman"/>
          <w:highlight w:val="lightGray"/>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120 mg tabletės: blyškiai žalios, obuolio formos, abipus išgaubtos plėvele dengtos tabletės, kurių vienoje pusėje yra įspaudas „120“, kita pusė lygi, dydis 8,9 x 9,2  mm ±7,5</w:t>
      </w:r>
      <w:r w:rsidRPr="00090BDC">
        <w:rPr>
          <w:rFonts w:ascii="Times New Roman" w:eastAsia="Times New Roman" w:hAnsi="Times New Roman"/>
          <w:highlight w:val="lightGray"/>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 </w:t>
      </w:r>
      <w:r w:rsidRPr="00D11660">
        <w:rPr>
          <w:rFonts w:ascii="Times New Roman" w:eastAsia="Times New Roman" w:hAnsi="Times New Roman"/>
          <w:b/>
          <w:lang w:eastAsia="lt-LT"/>
        </w:rPr>
        <w:tab/>
        <w:t>KLINIKINĖ INFORMACIJA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4.1 </w:t>
      </w:r>
      <w:r w:rsidRPr="00D11660">
        <w:rPr>
          <w:rFonts w:ascii="Times New Roman" w:eastAsia="Times New Roman" w:hAnsi="Times New Roman"/>
          <w:b/>
          <w:lang w:eastAsia="lt-LT"/>
        </w:rPr>
        <w:tab/>
        <w:t>Terapinės indikacijos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Etidylan skirtas suaugusiųjų ir 16 metų bei vyresnių paauglių osteoartrito (OA), reumatoidinio artrito (RA), ankilozinio spondilito simptominiam gydymui bei ūminio podagrinio artrito sukelto skausmo ir uždegimo požymių lengvinimui. </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skirtas suaugusiųjų ir 16 metų bei vyresnių paauglių odontologinės operacijos sukelto vidutinio stiprumo skausmo trumpalaikiam malšinimui.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hAnsi="Times New Roman"/>
        </w:rPr>
      </w:pPr>
      <w:r w:rsidRPr="00D11660">
        <w:rPr>
          <w:rFonts w:ascii="Times New Roman" w:hAnsi="Times New Roman"/>
        </w:rPr>
        <w:t>Sprendimas skirti vartoti selektyvų COX</w:t>
      </w:r>
      <w:r w:rsidRPr="00D11660">
        <w:rPr>
          <w:rFonts w:ascii="Times New Roman" w:hAnsi="Times New Roman"/>
        </w:rPr>
        <w:noBreakHyphen/>
        <w:t>2 inhibitorių turi būti paremtas konkretaus paciento bendrosios rizikos įvertinimu (žr. 4.3 ir 4.4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4.2 </w:t>
      </w:r>
      <w:r w:rsidRPr="00D11660">
        <w:rPr>
          <w:rFonts w:ascii="Times New Roman" w:eastAsia="Times New Roman" w:hAnsi="Times New Roman"/>
          <w:b/>
          <w:lang w:eastAsia="lt-LT"/>
        </w:rPr>
        <w:tab/>
        <w:t>Dozavimas ir vartojimo metodas</w:t>
      </w:r>
    </w:p>
    <w:p w:rsidR="00AE6BE2" w:rsidRDefault="00AE6BE2" w:rsidP="00D11660">
      <w:pPr>
        <w:tabs>
          <w:tab w:val="left" w:pos="567"/>
        </w:tabs>
        <w:spacing w:after="0" w:line="240" w:lineRule="auto"/>
        <w:rPr>
          <w:rFonts w:ascii="Times New Roman" w:eastAsia="Times New Roman" w:hAnsi="Times New Roman"/>
          <w:lang w:eastAsia="lt-LT"/>
        </w:rPr>
      </w:pPr>
    </w:p>
    <w:p w:rsidR="0063085C" w:rsidRDefault="00AE6BE2" w:rsidP="00D1166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Etidylan </w:t>
      </w:r>
      <w:r w:rsidR="0063085C">
        <w:rPr>
          <w:rFonts w:ascii="Times New Roman" w:eastAsia="Times New Roman" w:hAnsi="Times New Roman"/>
          <w:lang w:eastAsia="lt-LT"/>
        </w:rPr>
        <w:t>tinka vartoti</w:t>
      </w:r>
      <w:r>
        <w:rPr>
          <w:rFonts w:ascii="Times New Roman" w:eastAsia="Times New Roman" w:hAnsi="Times New Roman"/>
          <w:lang w:eastAsia="lt-LT"/>
        </w:rPr>
        <w:t xml:space="preserve"> </w:t>
      </w:r>
      <w:r w:rsidR="0063085C">
        <w:rPr>
          <w:rFonts w:ascii="Times New Roman" w:eastAsia="Times New Roman" w:hAnsi="Times New Roman"/>
          <w:lang w:eastAsia="lt-LT"/>
        </w:rPr>
        <w:t xml:space="preserve">ne </w:t>
      </w:r>
      <w:r>
        <w:rPr>
          <w:rFonts w:ascii="Times New Roman" w:eastAsia="Times New Roman" w:hAnsi="Times New Roman"/>
          <w:lang w:eastAsia="lt-LT"/>
        </w:rPr>
        <w:t>visom</w:t>
      </w:r>
      <w:r w:rsidR="0063085C">
        <w:rPr>
          <w:rFonts w:ascii="Times New Roman" w:eastAsia="Times New Roman" w:hAnsi="Times New Roman"/>
          <w:lang w:eastAsia="lt-LT"/>
        </w:rPr>
        <w:t>i</w:t>
      </w:r>
      <w:r>
        <w:rPr>
          <w:rFonts w:ascii="Times New Roman" w:eastAsia="Times New Roman" w:hAnsi="Times New Roman"/>
          <w:lang w:eastAsia="lt-LT"/>
        </w:rPr>
        <w:t>s žemiau nurodytom</w:t>
      </w:r>
      <w:r w:rsidR="0063085C">
        <w:rPr>
          <w:rFonts w:ascii="Times New Roman" w:eastAsia="Times New Roman" w:hAnsi="Times New Roman"/>
          <w:lang w:eastAsia="lt-LT"/>
        </w:rPr>
        <w:t>i</w:t>
      </w:r>
      <w:r>
        <w:rPr>
          <w:rFonts w:ascii="Times New Roman" w:eastAsia="Times New Roman" w:hAnsi="Times New Roman"/>
          <w:lang w:eastAsia="lt-LT"/>
        </w:rPr>
        <w:t>s dozėm</w:t>
      </w:r>
      <w:r w:rsidR="0063085C">
        <w:rPr>
          <w:rFonts w:ascii="Times New Roman" w:eastAsia="Times New Roman" w:hAnsi="Times New Roman"/>
          <w:lang w:eastAsia="lt-LT"/>
        </w:rPr>
        <w:t>i</w:t>
      </w:r>
      <w:r>
        <w:rPr>
          <w:rFonts w:ascii="Times New Roman" w:eastAsia="Times New Roman" w:hAnsi="Times New Roman"/>
          <w:lang w:eastAsia="lt-LT"/>
        </w:rPr>
        <w:t>s. Tokiom</w:t>
      </w:r>
      <w:r w:rsidR="0063085C">
        <w:rPr>
          <w:rFonts w:ascii="Times New Roman" w:eastAsia="Times New Roman" w:hAnsi="Times New Roman"/>
          <w:lang w:eastAsia="lt-LT"/>
        </w:rPr>
        <w:t>i</w:t>
      </w:r>
      <w:r>
        <w:rPr>
          <w:rFonts w:ascii="Times New Roman" w:eastAsia="Times New Roman" w:hAnsi="Times New Roman"/>
          <w:lang w:eastAsia="lt-LT"/>
        </w:rPr>
        <w:t>s do</w:t>
      </w:r>
      <w:r w:rsidR="0063085C">
        <w:rPr>
          <w:rFonts w:ascii="Times New Roman" w:eastAsia="Times New Roman" w:hAnsi="Times New Roman"/>
          <w:lang w:eastAsia="lt-LT"/>
        </w:rPr>
        <w:t>z</w:t>
      </w:r>
      <w:r>
        <w:rPr>
          <w:rFonts w:ascii="Times New Roman" w:eastAsia="Times New Roman" w:hAnsi="Times New Roman"/>
          <w:lang w:eastAsia="lt-LT"/>
        </w:rPr>
        <w:t>ėm</w:t>
      </w:r>
      <w:r w:rsidR="0063085C">
        <w:rPr>
          <w:rFonts w:ascii="Times New Roman" w:eastAsia="Times New Roman" w:hAnsi="Times New Roman"/>
          <w:lang w:eastAsia="lt-LT"/>
        </w:rPr>
        <w:t>i</w:t>
      </w:r>
      <w:r>
        <w:rPr>
          <w:rFonts w:ascii="Times New Roman" w:eastAsia="Times New Roman" w:hAnsi="Times New Roman"/>
          <w:lang w:eastAsia="lt-LT"/>
        </w:rPr>
        <w:t>s reikia naudoti kitus vaist</w:t>
      </w:r>
      <w:r w:rsidR="0063085C">
        <w:rPr>
          <w:rFonts w:ascii="Times New Roman" w:eastAsia="Times New Roman" w:hAnsi="Times New Roman"/>
          <w:lang w:eastAsia="lt-LT"/>
        </w:rPr>
        <w:t>ini</w:t>
      </w:r>
      <w:r>
        <w:rPr>
          <w:rFonts w:ascii="Times New Roman" w:eastAsia="Times New Roman" w:hAnsi="Times New Roman"/>
          <w:lang w:eastAsia="lt-LT"/>
        </w:rPr>
        <w:t>us</w:t>
      </w:r>
      <w:r w:rsidR="0063085C">
        <w:rPr>
          <w:rFonts w:ascii="Times New Roman" w:eastAsia="Times New Roman" w:hAnsi="Times New Roman"/>
          <w:lang w:eastAsia="lt-LT"/>
        </w:rPr>
        <w:t xml:space="preserve"> preparatus</w:t>
      </w:r>
      <w:r>
        <w:rPr>
          <w:rFonts w:ascii="Times New Roman" w:eastAsia="Times New Roman" w:hAnsi="Times New Roman"/>
          <w:lang w:eastAsia="lt-LT"/>
        </w:rPr>
        <w:t>, kurių sudėtyje yra etorikoksibo.</w:t>
      </w:r>
    </w:p>
    <w:p w:rsidR="00AE6BE2" w:rsidRDefault="00AE6BE2" w:rsidP="00D11660">
      <w:pPr>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lang w:eastAsia="lt-LT"/>
        </w:rPr>
        <w:t xml:space="preserve"> </w:t>
      </w: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Dozavimas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Kadangi didėjant etorikoksibo dozei ir ilgėjant ekspozicijai gali didėti širdies ir kraujagyslių sistemos sutrikimų rizika, šio vaistinio preparato reikia vartoti kuo trumpesnį laiką ir mažiausią veiksmingą paros dozę. Būtina reguliariai įvertinti paciento, ypač sergančio osteoartritu, poreikį simptomų lengvinimui ir organizmo atsaką į gydymą (žr. 4.3, 4.4, 4.8 ir 5.1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Osteoartritas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Rekomenduojama dozė yra 30 mg vieną kartą per parą. Kai kuriems pacientams, kuriems simptomai lengvėja nepakankamai, gali būti veiksmingesnis dozės padidinimas iki 60 mg vieną kartą per parą. Jeigu gydomasis poveikis nesustiprėja, reikia apsvarstyti kitas gydymo galimybes.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tabs>
          <w:tab w:val="left" w:pos="567"/>
        </w:tabs>
        <w:spacing w:after="0" w:line="240" w:lineRule="auto"/>
        <w:outlineLvl w:val="0"/>
        <w:rPr>
          <w:rFonts w:ascii="Times New Roman" w:eastAsia="Times New Roman" w:hAnsi="Times New Roman"/>
          <w:lang w:eastAsia="lt-LT"/>
        </w:rPr>
      </w:pPr>
      <w:r w:rsidRPr="00D11660">
        <w:rPr>
          <w:rFonts w:ascii="Times New Roman" w:eastAsia="Times New Roman" w:hAnsi="Times New Roman"/>
          <w:i/>
          <w:lang w:eastAsia="lt-LT"/>
        </w:rPr>
        <w:t>Reumatoidinis artritas</w:t>
      </w:r>
    </w:p>
    <w:p w:rsidR="00D11660" w:rsidRPr="00D11660" w:rsidRDefault="00D11660" w:rsidP="00D11660">
      <w:pPr>
        <w:keepNext/>
        <w:spacing w:after="0" w:line="240" w:lineRule="auto"/>
        <w:outlineLvl w:val="0"/>
        <w:rPr>
          <w:rFonts w:ascii="Times New Roman" w:eastAsia="Times New Roman" w:hAnsi="Times New Roman"/>
          <w:lang w:eastAsia="lt-LT"/>
        </w:rPr>
      </w:pPr>
      <w:r w:rsidRPr="00D11660">
        <w:rPr>
          <w:rFonts w:ascii="Times New Roman" w:eastAsia="Times New Roman" w:hAnsi="Times New Roman"/>
          <w:lang w:eastAsia="lt-LT"/>
        </w:rPr>
        <w:t>Rekomenduojama dozė yra 60 mg vieną kartą per parą. Kai kuriems pacientams, kuriems simptomai lengvėja nepakankamai, veiksmingumą gali sustiprinti dozės padidinimas iki 90 mg vieną kartą per parą. Kai paciento būklė tampa kliniškai stabili, gali būti tikslinga sumažinti dozę iki 60 mg vieną kartą per parą. Jeigu teigiamo gydomojo poveikio nėra, reikia apsvarstyti kitas gydymo galimybes.</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Ankilozinis spondilitas</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Rekomenduojamoji dozė yra 60 mg vieną kartą per parą. Kai kuriems pacientams, kuriems simptomai lengvėja nepakankamai, veiksmingumą gali sustiprinti dozės padidinimas iki 90 mg vieną kartą per parą. Kai paciento būklė tampa kliniškai stabili, gali būti tikslinga palengva sumažinti dozę iki 60 mg vieną kartą per parą. Jeigu teigiamo gydomojo poveikio nėra, reikia apsvarstyti kitas gydymo galimybes.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Ūminio skausmo būklės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Esant ūminiam skausmui etorikoksibo turi būti vartojama tik ūminių simptomų laikotarpiu.</w:t>
      </w:r>
    </w:p>
    <w:p w:rsidR="00D11660" w:rsidRPr="00D11660" w:rsidRDefault="00D11660" w:rsidP="00D11660">
      <w:pPr>
        <w:tabs>
          <w:tab w:val="left" w:pos="567"/>
        </w:tabs>
        <w:spacing w:after="0" w:line="240" w:lineRule="auto"/>
        <w:rPr>
          <w:rFonts w:ascii="Times New Roman" w:eastAsia="Times New Roman" w:hAnsi="Times New Roman"/>
          <w:i/>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Ūminis podagrinis artritas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Rekomenduojama dozė yra 120 mg vieną kartą per parą. Ūminio podagrinio artrito klinikinių tyrimų metu etorikoksibo buvo vartojama 8 paras.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Skausmas po odontologinės operacijos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Rekomenduojama dozė yra 90 mg vieną kartą per parą, vartojama ne ilgiau kaip 3 paras. Šias tris paras vartojant Etidylan, kai kuriems pacientams po operacijos gali prireikti papildomo skausmą slopinančio gydymo.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Didesnės negu rekomenduojamosios kiekvienai indikacijai dozės arba neparodė papildomo veiksmingumo, arba nebuvo tirtos. Todėl:</w:t>
      </w:r>
    </w:p>
    <w:p w:rsidR="00D11660" w:rsidRPr="00D11660" w:rsidRDefault="00D11660" w:rsidP="00D11660">
      <w:pPr>
        <w:numPr>
          <w:ilvl w:val="0"/>
          <w:numId w:val="28"/>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dozė OA gydyti negali viršyti 60 mg dozės per parą;</w:t>
      </w:r>
    </w:p>
    <w:p w:rsidR="00D11660" w:rsidRPr="00D11660" w:rsidRDefault="00D11660" w:rsidP="00D11660">
      <w:pPr>
        <w:numPr>
          <w:ilvl w:val="0"/>
          <w:numId w:val="28"/>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dozė RA ir ankiloziniam spondilitui gydyti negali viršyti 90 mg per parą;</w:t>
      </w:r>
    </w:p>
    <w:p w:rsidR="00D11660" w:rsidRPr="00D11660" w:rsidRDefault="00D11660" w:rsidP="00D11660">
      <w:pPr>
        <w:numPr>
          <w:ilvl w:val="0"/>
          <w:numId w:val="28"/>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dozė ūminei podagrai gydyti negali viršyti 120 mg per parą ir turi būti vartojama daugiausia 8 gydymo paras;</w:t>
      </w:r>
    </w:p>
    <w:p w:rsidR="00D11660" w:rsidRPr="00D11660" w:rsidRDefault="00D11660" w:rsidP="00D11660">
      <w:pPr>
        <w:numPr>
          <w:ilvl w:val="0"/>
          <w:numId w:val="28"/>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dozė ūminiam skausmui po odontologinės operacijos malšinti negali viršyti 90 mg per parą ir turi būti vartojama daugiausia 3 paras.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Ypatingos populiacijos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Senyviems pacientams</w:t>
      </w: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lang w:eastAsia="lt-LT"/>
        </w:rPr>
        <w:t>Senyviems pacientams dozės koreguoti nereikia. Kaip ir vartojant kitus vaistinius preparatus, gydant senyvus pacientus reikia imtis atsargumo priemonių (žr. 4.4 skyrių).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Pacientams, kurių kepenų funkcija sutrikusi</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Pacientams, kuriems yra lengvas kepenų funkcijos sutrikimas (5</w:t>
      </w:r>
      <w:r w:rsidRPr="00D11660">
        <w:rPr>
          <w:rFonts w:ascii="Times New Roman" w:eastAsia="Times New Roman" w:hAnsi="Times New Roman"/>
          <w:lang w:eastAsia="lt-LT"/>
        </w:rPr>
        <w:noBreakHyphen/>
        <w:t xml:space="preserve">6 balai pagal </w:t>
      </w:r>
      <w:r w:rsidRPr="00D11660">
        <w:rPr>
          <w:rFonts w:ascii="Times New Roman" w:eastAsia="Times New Roman" w:hAnsi="Times New Roman"/>
          <w:i/>
          <w:lang w:eastAsia="lt-LT"/>
        </w:rPr>
        <w:t>Child-Pugh</w:t>
      </w:r>
      <w:r w:rsidRPr="00D11660">
        <w:rPr>
          <w:rFonts w:ascii="Times New Roman" w:eastAsia="Times New Roman" w:hAnsi="Times New Roman"/>
          <w:lang w:eastAsia="lt-LT"/>
        </w:rPr>
        <w:t>), nepaisant indikacijos, negalima vartoti daugiau negu 60 mg vieną kartą per parą. Pacientams, kuriems yra vidutinio sunkumo kepenų funkcijos sutrikimas (7</w:t>
      </w:r>
      <w:r w:rsidRPr="00D11660">
        <w:rPr>
          <w:rFonts w:ascii="Times New Roman" w:eastAsia="Times New Roman" w:hAnsi="Times New Roman"/>
          <w:lang w:eastAsia="lt-LT"/>
        </w:rPr>
        <w:noBreakHyphen/>
        <w:t xml:space="preserve">9 balai pagal </w:t>
      </w:r>
      <w:r w:rsidRPr="00D11660">
        <w:rPr>
          <w:rFonts w:ascii="Times New Roman" w:eastAsia="Times New Roman" w:hAnsi="Times New Roman"/>
          <w:i/>
          <w:lang w:eastAsia="lt-LT"/>
        </w:rPr>
        <w:t>Child</w:t>
      </w:r>
      <w:r w:rsidRPr="00D11660">
        <w:rPr>
          <w:rFonts w:ascii="Times New Roman" w:eastAsia="Times New Roman" w:hAnsi="Times New Roman"/>
          <w:i/>
          <w:lang w:eastAsia="lt-LT"/>
        </w:rPr>
        <w:noBreakHyphen/>
        <w:t>Pugh</w:t>
      </w:r>
      <w:r w:rsidRPr="00D11660">
        <w:rPr>
          <w:rFonts w:ascii="Times New Roman" w:eastAsia="Times New Roman" w:hAnsi="Times New Roman"/>
          <w:lang w:eastAsia="lt-LT"/>
        </w:rPr>
        <w:t>), nepaisant indikacijos, negalima vartoti daugiau negu 30 mg vieną kartą per parą.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Klinikinės patirties gydant pacientus, kuriems yra vidutinio sunkumo kepenų funkcijos sutrikimas, yra nedaug, todėl patariama būti atsargiems. Klinikinės patirties gydant pacientus, kuriems yra sunkus kepenų </w:t>
      </w:r>
      <w:r w:rsidRPr="00D11660">
        <w:rPr>
          <w:rFonts w:ascii="Times New Roman" w:eastAsia="Times New Roman" w:hAnsi="Times New Roman"/>
          <w:lang w:eastAsia="lt-LT"/>
        </w:rPr>
        <w:lastRenderedPageBreak/>
        <w:t xml:space="preserve">funkcijos sutrikimas (≥ 10 balų pagal </w:t>
      </w:r>
      <w:r w:rsidRPr="00D11660">
        <w:rPr>
          <w:rFonts w:ascii="Times New Roman" w:eastAsia="Times New Roman" w:hAnsi="Times New Roman"/>
          <w:i/>
          <w:lang w:eastAsia="lt-LT"/>
        </w:rPr>
        <w:t>Child</w:t>
      </w:r>
      <w:r w:rsidRPr="00D11660">
        <w:rPr>
          <w:rFonts w:ascii="Times New Roman" w:eastAsia="Times New Roman" w:hAnsi="Times New Roman"/>
          <w:i/>
          <w:lang w:eastAsia="lt-LT"/>
        </w:rPr>
        <w:noBreakHyphen/>
        <w:t>Pugh</w:t>
      </w:r>
      <w:r w:rsidRPr="00D11660">
        <w:rPr>
          <w:rFonts w:ascii="Times New Roman" w:eastAsia="Times New Roman" w:hAnsi="Times New Roman"/>
          <w:lang w:eastAsia="lt-LT"/>
        </w:rPr>
        <w:t>), nėra, todėl tokiems pacientams etorikoksibo vartoti negalima (žr. 4.3, 4.4 ir 5.2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Pacientams, kurių inkstų funkcija sutrikusi</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Pacientams, kurių kreatinino klirensas </w:t>
      </w:r>
      <w:r w:rsidRPr="00D11660">
        <w:rPr>
          <w:rFonts w:ascii="Times New Roman" w:eastAsia="Times New Roman" w:hAnsi="Times New Roman"/>
          <w:lang w:eastAsia="lt-LT"/>
        </w:rPr>
        <w:sym w:font="Symbol" w:char="F0B3"/>
      </w:r>
      <w:r w:rsidRPr="00D11660">
        <w:rPr>
          <w:rFonts w:ascii="Times New Roman" w:eastAsia="Times New Roman" w:hAnsi="Times New Roman"/>
          <w:lang w:eastAsia="lt-LT"/>
        </w:rPr>
        <w:t> 30 ml/min, dozės koreguoti nereikia (žr. 5.2 skyrių). Pacientams, kurių kreatinino klirensas &lt; 30 ml/min, etorikoksibo vartoti negalima (žr. 4.3 ir 4.4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Vaikų populiacija</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Etorikoksibo negalima vartoti vaikams ir jaunesniems nei 16 metų paaugliams (žr. 4.3 skyrių).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Vartojimo metodas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yra skirtas vartoti per burną, jį galima vartoti valgio metu arba nevalgius. Vaistinio preparato vartojant nevalgius, Etidylan veikimas gali prasidėti greičiau. Į tai reikia atsižvelgti, kai reikalingas greitas simptomų palengvinimas.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4.3 </w:t>
      </w:r>
      <w:r w:rsidRPr="00D11660">
        <w:rPr>
          <w:rFonts w:ascii="Times New Roman" w:eastAsia="Times New Roman" w:hAnsi="Times New Roman"/>
          <w:b/>
          <w:lang w:eastAsia="lt-LT"/>
        </w:rPr>
        <w:tab/>
        <w:t>Kontraindikacijos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Padidėjęs jautrumas veikliajai arba bet kuriai 6.1 skyriuje nurodytai pagalbinei medžiagai.</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Aktyvi peptinė opa arba aktyvus kraujavimas iš virškinimo trakto (VT).</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Pacientai, kuriems buvo bronchų spazmas, ūminis rinitas, nosies polipų, angioneurozinė edema, dilgėlinė arba alerginio tipo reakcijų, pasireiškusių pavartojus acetilsalicilo rūgšties arba NVNU, įskaitant ir COX-2 (ciklooksigenazės-2) inhibitorius.</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Nėštumo ir žindymo laikotarpis (žr. 4.6 ir 5.3 skyrius).</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 xml:space="preserve">Sunkus kepenų funkcijos sutrikimas (albumino koncentracija serume &lt; 25 g/l arba ≥ 10 balų pagal </w:t>
      </w:r>
      <w:r w:rsidRPr="00D11660">
        <w:rPr>
          <w:rFonts w:ascii="Times New Roman" w:eastAsia="Times New Roman" w:hAnsi="Times New Roman"/>
          <w:i/>
          <w:lang w:eastAsia="lt-LT"/>
        </w:rPr>
        <w:t>Child-Pugh</w:t>
      </w:r>
      <w:r w:rsidRPr="00D11660">
        <w:rPr>
          <w:rFonts w:ascii="Times New Roman" w:eastAsia="Times New Roman" w:hAnsi="Times New Roman"/>
          <w:lang w:eastAsia="lt-LT"/>
        </w:rPr>
        <w:t>).</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Apskaičiuotasis inkstų kreatinino klirensas &lt; 30 ml/min.</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Vaikai ir paaugliai iki 16 metų.</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Uždegiminė žarnų liga.</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 xml:space="preserve">Stazinis širdies nepakankamumas (II-IV klasės pagal </w:t>
      </w:r>
      <w:r w:rsidRPr="00D11660">
        <w:rPr>
          <w:rFonts w:ascii="Times New Roman" w:eastAsia="Times New Roman" w:hAnsi="Times New Roman"/>
          <w:i/>
          <w:lang w:eastAsia="lt-LT"/>
        </w:rPr>
        <w:t>NYHA</w:t>
      </w:r>
      <w:r w:rsidRPr="00D11660">
        <w:rPr>
          <w:rFonts w:ascii="Times New Roman" w:eastAsia="Times New Roman" w:hAnsi="Times New Roman"/>
          <w:lang w:eastAsia="lt-LT"/>
        </w:rPr>
        <w:t>).</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Arterine hipertenzija sergantys pacientai, kuriems kraujospūdis yra pastoviai didesnis negu 140/90 mm Hg ir nėra pakankamai kontroliuojamas.</w:t>
      </w:r>
    </w:p>
    <w:p w:rsidR="00D11660" w:rsidRPr="00D11660" w:rsidRDefault="00D11660" w:rsidP="00D11660">
      <w:pPr>
        <w:numPr>
          <w:ilvl w:val="0"/>
          <w:numId w:val="25"/>
        </w:numPr>
        <w:tabs>
          <w:tab w:val="left" w:pos="567"/>
        </w:tabs>
        <w:spacing w:after="0" w:line="240" w:lineRule="auto"/>
        <w:ind w:left="567" w:hanging="567"/>
        <w:contextualSpacing/>
        <w:rPr>
          <w:rFonts w:ascii="Times New Roman" w:eastAsia="Times New Roman" w:hAnsi="Times New Roman"/>
          <w:lang w:eastAsia="lt-LT"/>
        </w:rPr>
      </w:pPr>
      <w:r w:rsidRPr="00D11660">
        <w:rPr>
          <w:rFonts w:ascii="Times New Roman" w:eastAsia="Times New Roman" w:hAnsi="Times New Roman"/>
          <w:lang w:eastAsia="lt-LT"/>
        </w:rPr>
        <w:t>Nustatyta išeminė širdies liga, periferinių arterijų liga ir (arba) smegenų kraujagyslių liga.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4.4 </w:t>
      </w:r>
      <w:r w:rsidRPr="00D11660">
        <w:rPr>
          <w:rFonts w:ascii="Times New Roman" w:eastAsia="Times New Roman" w:hAnsi="Times New Roman"/>
          <w:b/>
          <w:lang w:eastAsia="lt-LT"/>
        </w:rPr>
        <w:tab/>
        <w:t>Specialūs įspėjimai ir atsargumo priemonės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outlineLvl w:val="0"/>
        <w:rPr>
          <w:rFonts w:ascii="Times New Roman" w:eastAsia="Times New Roman" w:hAnsi="Times New Roman"/>
          <w:i/>
          <w:lang w:eastAsia="lt-LT"/>
        </w:rPr>
      </w:pPr>
      <w:r w:rsidRPr="00D11660">
        <w:rPr>
          <w:rFonts w:ascii="Times New Roman" w:eastAsia="Times New Roman" w:hAnsi="Times New Roman"/>
          <w:i/>
          <w:lang w:eastAsia="lt-LT"/>
        </w:rPr>
        <w:t>Poveikis virškinimo traktui</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Etorikoksibu gydytiems pacientams pasireiškė viršutinio virškinimo trakto komplikacijų (perforacijų, opų arba kraujavimų (POK)). Kai kurios iš jų baigėsi mirtimi. </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hAnsi="Times New Roman"/>
        </w:rPr>
      </w:pPr>
      <w:r w:rsidRPr="00D11660">
        <w:rPr>
          <w:rFonts w:ascii="Times New Roman" w:hAnsi="Times New Roman"/>
        </w:rPr>
        <w:t>Atsargumas patartinas gydant pacientus, kuriems yra didžiausia su nesteroidinių vaistų nuo uždegimo (NVNU) vartojimu susijusių virškinimo trakto komplikacijų rizika, t. y. senyvus žmones, kartu vartojančius bet kokio kito NVNU arba acetilsalicilo rūgšties pacientus, arba pacientus, kuriems yra buvusi tokia virškinimo trakto liga, kaip išopėjimas arba VT kraujavimas.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Etorikoksibo</w:t>
      </w:r>
      <w:r w:rsidRPr="00D11660">
        <w:rPr>
          <w:rFonts w:ascii="Times New Roman" w:hAnsi="Times New Roman"/>
        </w:rPr>
        <w:t xml:space="preserve"> vartojant kartu su acetilsalicilo rūgštimi (netgi mažomis dozėmis), nepageidaujamo poveikio virškinimo traktui (virškinimo trakto opų arba kitokių virškinimo trakto komplikacijų) rizika dar labiau padidėja. </w:t>
      </w:r>
      <w:r w:rsidRPr="00D11660">
        <w:rPr>
          <w:rFonts w:ascii="Times New Roman" w:eastAsia="Times New Roman" w:hAnsi="Times New Roman"/>
          <w:lang w:eastAsia="lt-LT"/>
        </w:rPr>
        <w:t>Saugumo virškinimo traktui duomenys reikšmingai nesiskyrė, kai ilgalaikiuose klinikiniuose tyrimuose buvo vartojama selektyvių COX-2 inhibitorių kartu su acetilsalicilo rūgštimi, palyginus su NVNU vartojimu kartu su acetilsalicilo rūgštimi (žr. 5.1 skyrių).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outlineLvl w:val="0"/>
        <w:rPr>
          <w:rFonts w:ascii="Times New Roman" w:eastAsia="Times New Roman" w:hAnsi="Times New Roman"/>
          <w:i/>
          <w:lang w:eastAsia="lt-LT"/>
        </w:rPr>
      </w:pPr>
      <w:r w:rsidRPr="00D11660">
        <w:rPr>
          <w:rFonts w:ascii="Times New Roman" w:eastAsia="Times New Roman" w:hAnsi="Times New Roman"/>
          <w:i/>
          <w:lang w:eastAsia="lt-LT"/>
        </w:rPr>
        <w:lastRenderedPageBreak/>
        <w:t>Poveikis širdies ir kraujagyslių sistemai</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Klinikiniai tyrimai rodo, kad selektyvių COX-2 inhibitorių grupė gali būti susijusi su trombozinių reiškinių (ypač miokardo infarkto (MI) ir insulto) rizika, palyginti su placebu ir kai kuriais NVNU. Kadangi didinant etorikoksibo dozę ir ekspozicijos trukmę gali padidėti širdies ir kraujagyslių sutrikimų rizika, gydymas turi būti kiek įmanoma trumpesnis ir turi būti vartojama mažiausia veiksminga paros dozė. Būtina reguliariai įvertinti paciento, ypač sergančio osteoartritu, poreikį simptomų lengvinimui ir organizmo reakciją į gydymą (žr. 4.2, 4.3, 4.8 ir 5.1 skyrius).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Pacientus, kuriems yra reikšmingų širdies ir kraujagyslių sistemos sutrikimų rizikos veiksnių (pvz., hipertenzija, hiperlipidemija, cukrinis diabetas, rūkymas), gydyti etorikoksibu galima tik atidžiai tai apsvarsčius (žr. 5.1 skyrių).</w:t>
      </w:r>
    </w:p>
    <w:p w:rsidR="00D11660" w:rsidRPr="00D11660" w:rsidRDefault="00D11660" w:rsidP="00D11660">
      <w:pPr>
        <w:keepNext/>
        <w:keepLines/>
        <w:tabs>
          <w:tab w:val="left" w:pos="567"/>
        </w:tabs>
        <w:spacing w:after="0" w:line="240" w:lineRule="auto"/>
        <w:rPr>
          <w:rFonts w:ascii="Times New Roman" w:eastAsia="Times New Roman" w:hAnsi="Times New Roman"/>
          <w:u w:val="double"/>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hAnsi="Times New Roman"/>
        </w:rPr>
        <w:t>Selektyvūs COX</w:t>
      </w:r>
      <w:r w:rsidRPr="00D11660">
        <w:rPr>
          <w:rFonts w:ascii="Times New Roman" w:hAnsi="Times New Roman"/>
        </w:rPr>
        <w:noBreakHyphen/>
        <w:t xml:space="preserve">2 inhibitoriai netinka vartoti vietoj acetilsalicilo rūgšties širdies ir kraujagyslių tromboembolinių ligų profilaktikai, nes jie nesukelia antitrombocitinio poveikio. Dėl to antitrombocitinio gydymo </w:t>
      </w:r>
      <w:r w:rsidRPr="00D11660">
        <w:rPr>
          <w:rFonts w:ascii="Times New Roman" w:eastAsia="Times New Roman" w:hAnsi="Times New Roman"/>
          <w:lang w:eastAsia="lt-LT"/>
        </w:rPr>
        <w:t>nutraukti negalima (žr. 4.5 ir 5.1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tabs>
          <w:tab w:val="left" w:pos="567"/>
        </w:tabs>
        <w:spacing w:after="0" w:line="240" w:lineRule="auto"/>
        <w:outlineLvl w:val="0"/>
        <w:rPr>
          <w:rFonts w:ascii="Times New Roman" w:eastAsia="Times New Roman" w:hAnsi="Times New Roman"/>
          <w:i/>
          <w:lang w:eastAsia="lt-LT"/>
        </w:rPr>
      </w:pPr>
      <w:r w:rsidRPr="00D11660">
        <w:rPr>
          <w:rFonts w:ascii="Times New Roman" w:eastAsia="Times New Roman" w:hAnsi="Times New Roman"/>
          <w:i/>
          <w:lang w:eastAsia="lt-LT"/>
        </w:rPr>
        <w:t>Poveikis inkstams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Inkstų prostaglandinai gali atlikti kompensacinį vaidmenį palaikant inkstų perfuziją. Taigi, vartojant etorikoksibo esant pablogėjusiai inkstų perfuzijai, gali formuotis mažiau prostaglandinų, dėl to dar labiau sumažėti inkstų kraujotaka, taigi ir sutrikti inkstų funkcija. </w:t>
      </w:r>
      <w:r w:rsidRPr="00D11660">
        <w:rPr>
          <w:rFonts w:ascii="Times New Roman" w:hAnsi="Times New Roman"/>
        </w:rPr>
        <w:t xml:space="preserve">Didžiausia tokios organizmo reakcijos rizika yra pacientams, kuriems jau anksčiau buvo reikšmingas inkstų funkcijos sutrikimas, </w:t>
      </w:r>
      <w:r w:rsidRPr="00D11660">
        <w:rPr>
          <w:rFonts w:ascii="Times New Roman" w:eastAsia="Times New Roman" w:hAnsi="Times New Roman"/>
          <w:lang w:eastAsia="lt-LT"/>
        </w:rPr>
        <w:t>nekompensuotas širdies nepakankamumas arba cirozė. Turi būti apgalvota tokių pacientų inkstų funkcijos stebėsena.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tabs>
          <w:tab w:val="left" w:pos="567"/>
        </w:tabs>
        <w:spacing w:after="0" w:line="240" w:lineRule="auto"/>
        <w:outlineLvl w:val="0"/>
        <w:rPr>
          <w:rFonts w:ascii="Times New Roman" w:eastAsia="Times New Roman" w:hAnsi="Times New Roman"/>
          <w:i/>
          <w:lang w:eastAsia="lt-LT"/>
        </w:rPr>
      </w:pPr>
      <w:r w:rsidRPr="00D11660">
        <w:rPr>
          <w:rFonts w:ascii="Times New Roman" w:eastAsia="Times New Roman" w:hAnsi="Times New Roman"/>
          <w:i/>
          <w:lang w:eastAsia="lt-LT"/>
        </w:rPr>
        <w:t>Skysčių susilaikymas, edema ir hipertenzija</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Pacientams vartojantiems etorikoksibo, kaip ir kitų žinomų prostaglandinų sintezę slopinančių vaistinių preparatų, buvo nustatytas skysčio susilaikymas, edema ir hipertenzija. Visi NVNU, įskaitant etorikoksibą, gali būti susiję su stazinio širdies nepakankamumo simptomų atsiradimu arba pasikartojimu. Informaciją apie etorikoksibo dozės ir atsako ryšį rasite 5.1 skyriuje. Atsargumo priemonių reikia laikytis pacientams, kuriems yra buvęs širdies nepakankamumas, kairiojo skilvelio funkcijos sutrikimas arba hipertenzija, ir pacientams, kuriems iš anksčiau yra edema dėl kokios nors kitos priežasties. Jeigu šių pacientų būklė akivaizdžiai blogėja, reikia imtis tinkamų priemonių, įskaitant etorikoksibo vartojimo nutraukimą.</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Etorikoksibas, ypač vartojamas didelėmis dozėmis, gali būti susijęs su dažnesne ir sunkia hipertenzija, negu kai kurie kiti NVNU ir selektyvūs COX-2 inhibitoriai. Todėl, prieš pradedant gydyti etorikoksibu, reikia sureguliuoti padidėjusį kraujospūdį (žr. 4.3 skyrių) ir jo stebėjimui skirti ypatingą dėmesį gydymo etorikoksibu metu. Kraujo spaudimą reikia stebėti dvi savaites nuo gydymo pradžios ir reguliariai vėliau. Jeigu būna reikšmingas kraujospūdžio padidėjimas, turi būti apgalvotas alternatyvus gydymas.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tabs>
          <w:tab w:val="left" w:pos="567"/>
        </w:tabs>
        <w:spacing w:after="0" w:line="240" w:lineRule="auto"/>
        <w:outlineLvl w:val="0"/>
        <w:rPr>
          <w:rFonts w:ascii="Times New Roman" w:eastAsia="Times New Roman" w:hAnsi="Times New Roman"/>
          <w:i/>
          <w:lang w:eastAsia="lt-LT"/>
        </w:rPr>
      </w:pPr>
      <w:r w:rsidRPr="00D11660">
        <w:rPr>
          <w:rFonts w:ascii="Times New Roman" w:eastAsia="Times New Roman" w:hAnsi="Times New Roman"/>
          <w:i/>
          <w:lang w:eastAsia="lt-LT"/>
        </w:rPr>
        <w:t>Poveikis kepenims</w:t>
      </w:r>
    </w:p>
    <w:p w:rsidR="00D11660" w:rsidRPr="00D11660" w:rsidRDefault="00D11660" w:rsidP="00D11660">
      <w:pPr>
        <w:tabs>
          <w:tab w:val="left" w:pos="567"/>
          <w:tab w:val="left" w:pos="5954"/>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Gauta pranešimų, kad klinikinių tyrimų metu maždaug 1 % pacientų, kurie iki vienerių metų vartojo etorikoksibo po 30 mg, 60 mg ir 90 mg vieną kartą per parą, pasireiškė alanino aminotransferazės (ALT) ir (arba) aspartato aminotransferazės (AST) aktyvumo padidėjimas (maždaug tris ir daugiau kartų viršijantis viršutinę normos ribą).</w:t>
      </w:r>
    </w:p>
    <w:p w:rsidR="00D11660" w:rsidRPr="00D11660" w:rsidRDefault="00D11660" w:rsidP="00D11660">
      <w:pPr>
        <w:tabs>
          <w:tab w:val="left" w:pos="567"/>
          <w:tab w:val="left" w:pos="5954"/>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Reikia stebėti pacientus, kuriems yra sutrikusią kepenų funkciją rodančių simptomų ir (arba) požymių arba yra atliktas nenormalius kepenų funkcijos pokyčius rodantis tyrimas. Jeigu pasireiškia kepenų nepakankamumo požymiai arba jeigu yra tyrimais nustatyta nuolatinių kepenų funkcijos pokyčių (tris kartus viršijančių viršutinę normos ribą), etorikoksibo vartojimą reikia nutraukti.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outlineLvl w:val="0"/>
        <w:rPr>
          <w:rFonts w:ascii="Times New Roman" w:eastAsia="Times New Roman" w:hAnsi="Times New Roman"/>
          <w:i/>
          <w:lang w:eastAsia="lt-LT"/>
        </w:rPr>
      </w:pPr>
      <w:r w:rsidRPr="00D11660">
        <w:rPr>
          <w:rFonts w:ascii="Times New Roman" w:eastAsia="Times New Roman" w:hAnsi="Times New Roman"/>
          <w:i/>
          <w:lang w:eastAsia="lt-LT"/>
        </w:rPr>
        <w:lastRenderedPageBreak/>
        <w:t>Bendra informacija</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Jeigu gydymo metu sutrinka kurios nors anksčiau minėtos paciento organų sistemos funkcija, reikia imtis atitinkamų priemonių ir apsvarstyti, ar nereikia nutraukti etorikoksibo vartojimo. Turi būti palaikoma tinkama medicininė priežiūra, jeigu etorikoksibo vartoja senyvi pacientai arba pacientai, kuriems yra sutrikusi inkstų, kepenų ar širdies funkcija.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Reikia laikytis atsargumo pradedant gydyti etorikoksibu pacientus, kurie yra netekę daug skysčio. Prieš pradedant gydyti etorikoksibu, patartina pacientams normalizuoti skysčio kiekį.</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double"/>
          <w:lang w:eastAsia="lt-LT"/>
        </w:rPr>
      </w:pPr>
      <w:r w:rsidRPr="00D11660">
        <w:rPr>
          <w:rFonts w:ascii="Times New Roman" w:eastAsia="Times New Roman" w:hAnsi="Times New Roman"/>
        </w:rPr>
        <w:t xml:space="preserve">Po vaistinio preparato pateikimo į rinką gauta labai retų pranešimų apie su </w:t>
      </w:r>
      <w:r w:rsidRPr="00D11660">
        <w:rPr>
          <w:rFonts w:ascii="Times New Roman" w:eastAsia="Times New Roman" w:hAnsi="Times New Roman"/>
          <w:lang w:eastAsia="lt-LT"/>
        </w:rPr>
        <w:t xml:space="preserve">NVNU ir kai kurių selektyvių COX-2 inhibitorių </w:t>
      </w:r>
      <w:r w:rsidRPr="00D11660">
        <w:rPr>
          <w:rFonts w:ascii="Times New Roman" w:eastAsia="Times New Roman" w:hAnsi="Times New Roman"/>
        </w:rPr>
        <w:t>vartojimu susijusių sunkių (kartais mirtinų) odos reakcijų, įskaitant eksfoliacinį dermatitą, Stivenso-Džonsono sindromą ir toksinę epidermio nekrolizę, atvejus (žr. 4.8 skyrių).</w:t>
      </w:r>
      <w:r w:rsidRPr="00D11660">
        <w:rPr>
          <w:rFonts w:ascii="Times New Roman" w:eastAsia="Times New Roman" w:hAnsi="Times New Roman"/>
          <w:lang w:eastAsia="lt-LT"/>
        </w:rPr>
        <w:t xml:space="preserve"> Gydymo pradžioje tokių reakcijų tikimybė pacientui yra didžiausia; daugeliu atvejų reakcijos prasideda per pirmąjį gydymo mėnesį. Gauta pranešimų apie sunkias padidėjusio jautrumo reakcijas (tokias, kaip anafilaksija ir angioneurozinė edema) etorikoksibo vartojusiems pacientams (žr. 4.8 skyrių). Kai kurie selektyvūs COX-2 inhibitoriai buvo susiję su didesne odos reakcijų rizika pacientams, kuriems anksčiau buvo alergija bet kuriam vaistiniam preparatui. Pasireiškus pirmiesiems odos išbėrimo, gleivinės pažeidimo arba kitiems padidėjusio jautrumo požymiams, etorikoksibo vartojimą reikia nutraukti.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Etorikoksibas gali maskuoti karščiavimą ir kitus uždegimo požymius.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Reikia laikytis atsargumo etorikoksibo vartojant kartu su varfarinu arba kitais per burną vartojamais antikoaguliantais (žr. 4.5 skyrių).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Etorikoksibo, kaip ir bet kokio žinomo ciklooksigenazę arba prostaglandinų sintezę slopinančio vaistinio preparato, pastoti mėginančioms moterims vartoti nerekomenduojama (žr. 4.6, 5.1 ir 5.3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4.5 </w:t>
      </w:r>
      <w:r w:rsidRPr="00D11660">
        <w:rPr>
          <w:rFonts w:ascii="Times New Roman" w:eastAsia="Times New Roman" w:hAnsi="Times New Roman"/>
          <w:b/>
          <w:lang w:eastAsia="lt-LT"/>
        </w:rPr>
        <w:tab/>
        <w:t>Sąveika su kitais vaistiniais preparatais ir kitokia sąveika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Cs/>
          <w:u w:val="single"/>
          <w:lang w:eastAsia="lt-LT"/>
        </w:rPr>
      </w:pPr>
      <w:r w:rsidRPr="00D11660">
        <w:rPr>
          <w:rFonts w:ascii="Times New Roman" w:eastAsia="Times New Roman" w:hAnsi="Times New Roman"/>
          <w:iCs/>
          <w:u w:val="single"/>
          <w:lang w:eastAsia="lt-LT"/>
        </w:rPr>
        <w:t>Farmakodinaminės sąveikos</w:t>
      </w:r>
    </w:p>
    <w:p w:rsidR="00D11660" w:rsidRPr="00D11660" w:rsidRDefault="00D11660" w:rsidP="00D11660">
      <w:pPr>
        <w:tabs>
          <w:tab w:val="left" w:pos="567"/>
        </w:tabs>
        <w:spacing w:after="0" w:line="240" w:lineRule="auto"/>
        <w:rPr>
          <w:rFonts w:ascii="Times New Roman" w:eastAsia="Times New Roman" w:hAnsi="Times New Roman"/>
          <w:i/>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Geriamieji antikoaguliantai</w:t>
      </w: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Nuolatos varfarinu gydomiems pacientams, kurių kraujo krešėjimo rodikliai buvo stabilūs, etorikoksibo po 120 mg per parą vartojimas susijęs su maždaug 13 % padidėjusiu protrombino laiku, apibūdinamu tarptautiniu normalizuotu santykiu (TNS) (angl., INR, </w:t>
      </w:r>
      <w:r w:rsidRPr="00D11660">
        <w:rPr>
          <w:rFonts w:ascii="Times New Roman" w:eastAsia="Times New Roman" w:hAnsi="Times New Roman"/>
          <w:i/>
          <w:lang w:eastAsia="lt-LT"/>
        </w:rPr>
        <w:t>International Normalised Ratio</w:t>
      </w:r>
      <w:r w:rsidRPr="00D11660">
        <w:rPr>
          <w:rFonts w:ascii="Times New Roman" w:eastAsia="Times New Roman" w:hAnsi="Times New Roman"/>
          <w:lang w:eastAsia="lt-LT"/>
        </w:rPr>
        <w:t>). Todėl, kai geriamaisiais antikoaguliantais gydomiems pacientams skiriama vartoti etorikoksibo arba keičiama jo dozė, reikia atidžiai stebėti protrombino laiką, apibūdinamą TNS, ypač kelias pirmąsias dienas (žr. 4.4 skyrių).</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Diuretikai, AKF inhibitoriai ir angiotenzino II antagonistai</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NVNU gali mažinti diuretikų ir kitų antihipertenzinių vaistinių preparatų veiksmingumą. Kai kuriems pacientams, kurių inkstų veikla sutrikusi (pvz., skysčio netekę pacientai arba senyvi pacientai, kurių inkstų funkcija sutrikusi), AKF inhibitoriaus arba angiotenzino II </w:t>
      </w:r>
      <w:r w:rsidRPr="00D11660">
        <w:rPr>
          <w:rFonts w:ascii="Times New Roman" w:eastAsia="Times New Roman" w:hAnsi="Times New Roman"/>
          <w:iCs/>
          <w:lang w:eastAsia="lt-LT"/>
        </w:rPr>
        <w:t>antagonisto vartojimas kartu su</w:t>
      </w:r>
      <w:r w:rsidRPr="00D11660">
        <w:rPr>
          <w:rFonts w:ascii="Times New Roman" w:eastAsia="Times New Roman" w:hAnsi="Times New Roman"/>
          <w:lang w:eastAsia="lt-LT"/>
        </w:rPr>
        <w:t xml:space="preserve"> ciklooksigenazę slopinančia medžiaga gali dar labiau pabloginti inkstų funkciją, įskaitant galimą ūminį inkstų nepakankamumą, kuris dažniausiai būna laikinas. Šią sąveiką reikia įvertinti pacientams, vartojantiems etorikoksibo kartu su AKF inhibitoriais arba angiotenzino II </w:t>
      </w:r>
      <w:r w:rsidRPr="00D11660">
        <w:rPr>
          <w:rFonts w:ascii="Times New Roman" w:eastAsia="Times New Roman" w:hAnsi="Times New Roman"/>
          <w:iCs/>
          <w:lang w:eastAsia="lt-LT"/>
        </w:rPr>
        <w:t>antagonistais</w:t>
      </w:r>
      <w:r w:rsidRPr="00D11660">
        <w:rPr>
          <w:rFonts w:ascii="Times New Roman" w:eastAsia="Times New Roman" w:hAnsi="Times New Roman"/>
          <w:lang w:eastAsia="lt-LT"/>
        </w:rPr>
        <w:t>. Todėl tokį derinį reikia skirti atsargiai, ypač senyviems pacientams. Pacientas turi gauti pakankamai skysčių ir reikia apsvarstyti, ar pradėjus sudėtinį gydymą ir periodiškai vėliau nereikia stebėti inkstų funkcijos.</w:t>
      </w:r>
    </w:p>
    <w:p w:rsidR="00D11660" w:rsidRPr="00D11660" w:rsidRDefault="00D11660" w:rsidP="00D11660">
      <w:pPr>
        <w:tabs>
          <w:tab w:val="left" w:pos="567"/>
        </w:tabs>
        <w:spacing w:after="0" w:line="240" w:lineRule="auto"/>
        <w:rPr>
          <w:rFonts w:ascii="Times New Roman" w:eastAsia="Times New Roman" w:hAnsi="Times New Roman"/>
          <w:u w:val="double"/>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Acetilsalicilo rūgštis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Klinikinio tyrimo su sveikais žmonėmis metu, etorikoksibas, vartojamas po 120 mg vieną kartą per parą, nusistovėjus pusiausvyrinei apykaitai, nedarė įtakos acetilsalicilo rūgšties (vartojamos po 81 mg vieną kartą per parą) antitrombocitiniam aktyvumui. Etorikoksibo galima vartoti kartu su acetilsalicilo rūgšties dozėmis, skiriamomis širdies ir kraujagyslių sistemos sutrikimų profilaktikai (mažomis acetilsalicilo rūgšties dozėmis). Vis dėlto, kai maža acetilsalicilo rūgšties dozė vartojama kartu su etorikoksibu, gali padažnėti virškinimo trakto opų arba kitų komplikacijų, palyginti su vieno etorikoksibo vartojimu. Etorikoksibo nerekomenduojama vartoti kartu su didesnėmis negu širdies ir kraujagyslių sistemos sutrikimų profilaktikai vartojamomis acetilsalicilo rūgšties dozėmis arba kitais NVNU (žr. 5.1 ir 4.4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Ciklosporinas ir takrolimuzas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Nors šių vaistinių preparatų sąveika su etorikoksibu netirta, jų vartojimas kartu su bet kuriuo NVNU gali didinti ciklosporino arba takrolimuzo toksinį poveikį inkstams. Etorikoksibo vartojant kartu su bet kuriuo minėtu vaistiniu preparatu reikia stebėti inkstų funkciją.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Cs/>
          <w:u w:val="single"/>
          <w:lang w:eastAsia="lt-LT"/>
        </w:rPr>
      </w:pPr>
      <w:r w:rsidRPr="00D11660">
        <w:rPr>
          <w:rFonts w:ascii="Times New Roman" w:eastAsia="Times New Roman" w:hAnsi="Times New Roman"/>
          <w:iCs/>
          <w:u w:val="single"/>
          <w:lang w:eastAsia="lt-LT"/>
        </w:rPr>
        <w:t>Farmakokinetinės sąveikos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u w:val="single"/>
          <w:lang w:eastAsia="lt-LT"/>
        </w:rPr>
      </w:pPr>
      <w:r w:rsidRPr="00D11660">
        <w:rPr>
          <w:rFonts w:ascii="Times New Roman" w:eastAsia="Times New Roman" w:hAnsi="Times New Roman"/>
          <w:i/>
          <w:u w:val="single"/>
          <w:lang w:eastAsia="lt-LT"/>
        </w:rPr>
        <w:t>Etorikoksibo įtaka kitų vaistinių preparatų farmakokinetikai</w:t>
      </w:r>
    </w:p>
    <w:p w:rsidR="00D11660" w:rsidRPr="00D11660" w:rsidRDefault="00D11660" w:rsidP="00D11660">
      <w:pPr>
        <w:tabs>
          <w:tab w:val="left" w:pos="567"/>
        </w:tabs>
        <w:spacing w:after="0" w:line="240" w:lineRule="auto"/>
        <w:rPr>
          <w:rFonts w:ascii="Times New Roman" w:eastAsia="Times New Roman" w:hAnsi="Times New Roman"/>
          <w:i/>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Litis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NVNU mažina ličio išskyrimą pro inkstus, todėl ličio kiekis kraujo plazmoje padidėja. Jeigu būtina, reikia atidžiai stebėti ličio kiekį kraujyje ir koreguoti ličio dozę, kol vartojamas toks derinys ir NVNU vartojimą nutraukus.</w:t>
      </w:r>
    </w:p>
    <w:p w:rsidR="00D11660" w:rsidRPr="00D11660" w:rsidRDefault="00D11660" w:rsidP="00D11660">
      <w:pPr>
        <w:tabs>
          <w:tab w:val="left" w:pos="567"/>
        </w:tabs>
        <w:spacing w:after="0" w:line="240" w:lineRule="auto"/>
        <w:rPr>
          <w:rFonts w:ascii="Times New Roman" w:eastAsia="Times New Roman" w:hAnsi="Times New Roman"/>
          <w:i/>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Metotreksatas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Dviejų klinikinių tyrimų metu buvo tirtas po 60 mg, 90 mg arba 120 mg vieną kartą per parą 7 paras vartoto etorikoksibo poveikis pacientams, kurie dėl reumatoidinio artrito kartą per savaitę vartojo nuo 7,5 mg iki 20 mg metotreksato dozes. Etorikoksibas, vartotas po 60 mg ir 90 mg, nedarė poveikio metotreksato koncentracijoms plazmoje arba inkstų klirensui. Vieno tyrimo metu etorikoksibas, vartojamas po 120 mg, metotreksato koncentracijai plazmoje arba inkstų klirensui įtakos nedarė, tačiau kito tyrimo metu, 120 mg etorikoksibo 28 % padidino metotreksato koncentracijas plazmoje ir 13 % sumažino metotreksato inkstų klirensą. Metotreksato vartojant kartu su etorikoksibu rekomenduojama tinkamai stebėti, ar nepasireiškia su metotreksato vartojimu susijęs toksinis poveikis.</w:t>
      </w:r>
    </w:p>
    <w:p w:rsidR="00D11660" w:rsidRPr="00D11660" w:rsidRDefault="00D11660" w:rsidP="00D11660">
      <w:pPr>
        <w:tabs>
          <w:tab w:val="left" w:pos="567"/>
        </w:tabs>
        <w:spacing w:after="0" w:line="240" w:lineRule="auto"/>
        <w:rPr>
          <w:rFonts w:ascii="Times New Roman" w:eastAsia="Times New Roman" w:hAnsi="Times New Roman"/>
          <w:i/>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Geriamieji kontraceptikai</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60 mg etorikoksibo vartojant 21 parą kartu su geriamuoju kontraceptiku, kuriame yra 35 mikrogramai etinilestradiolio (EE) ir nuo 0,5 mg iki 1 mg noretindrono, EE pusiausvyrinės koncentracijos plotą po kreive AUC</w:t>
      </w:r>
      <w:r w:rsidRPr="00D11660">
        <w:rPr>
          <w:rFonts w:ascii="Times New Roman" w:eastAsia="Times New Roman" w:hAnsi="Times New Roman"/>
          <w:vertAlign w:val="subscript"/>
          <w:lang w:eastAsia="lt-LT"/>
        </w:rPr>
        <w:t>0-24val.</w:t>
      </w:r>
      <w:r w:rsidRPr="00D11660">
        <w:rPr>
          <w:rFonts w:ascii="Times New Roman" w:eastAsia="Times New Roman" w:hAnsi="Times New Roman"/>
          <w:lang w:eastAsia="lt-LT"/>
        </w:rPr>
        <w:t xml:space="preserve"> padidino 37 %. 120 mg etorikoksibo dozę vartojant su tuo pačiu geriamuoju kontraceptiku kartu arba praėjus iki 12 valandų, EE AUC</w:t>
      </w:r>
      <w:r w:rsidRPr="00D11660">
        <w:rPr>
          <w:rFonts w:ascii="Times New Roman" w:eastAsia="Times New Roman" w:hAnsi="Times New Roman"/>
          <w:vertAlign w:val="subscript"/>
          <w:lang w:eastAsia="lt-LT"/>
        </w:rPr>
        <w:t>0-24val.</w:t>
      </w:r>
      <w:r w:rsidRPr="00D11660">
        <w:rPr>
          <w:rFonts w:ascii="Times New Roman" w:eastAsia="Times New Roman" w:hAnsi="Times New Roman"/>
          <w:lang w:eastAsia="lt-LT"/>
        </w:rPr>
        <w:t xml:space="preserve"> padidėjo nuo 50 % iki 60 %. Šį EE koncentracijos padidėjimą reikia įvertinti parenkant geriamąjį kontraceptiką vartoti kartu su etorikoksibu. Padidėjus EE ekspozicijai, gali padažnėti su geriamaisiais kontraceptikais susijusių nepageidaujamų reiškinių (pvz., venų tromboembolijos reiškinių padidintos rizikos grupės moterims).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Pakaitinė hormonų terapija (PHT)</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120 mg etorikoksibo dozę vartojus 28 paras kartu su pakaitine hormonų terapija konjuguotais estrogenais (PREMARIN 0,625 mg), padidėjo nekonjuguoto estrono (41 %), ekvilino (76 %) ir 17-beta-estradiolio (22 %) pusiausvyrinės koncentracijos plotas po kreive AUC</w:t>
      </w:r>
      <w:r w:rsidRPr="00D11660">
        <w:rPr>
          <w:rFonts w:ascii="Times New Roman" w:eastAsia="Times New Roman" w:hAnsi="Times New Roman"/>
          <w:vertAlign w:val="subscript"/>
          <w:lang w:eastAsia="lt-LT"/>
        </w:rPr>
        <w:t>0-24val</w:t>
      </w:r>
      <w:r w:rsidRPr="00D11660">
        <w:rPr>
          <w:rFonts w:ascii="Times New Roman" w:eastAsia="Times New Roman" w:hAnsi="Times New Roman"/>
          <w:lang w:eastAsia="lt-LT"/>
        </w:rPr>
        <w:t>. Rekomenduojamų etorikoksibo dozių (30 mg, 60 mg ir 90 mg) poveikis, jį vartojant pastoviai, netirtas. Šių PREMARIN estrogenų sudedamųjų dalių ekspozicija (AUC</w:t>
      </w:r>
      <w:r w:rsidRPr="00D11660">
        <w:rPr>
          <w:rFonts w:ascii="Times New Roman" w:eastAsia="Times New Roman" w:hAnsi="Times New Roman"/>
          <w:vertAlign w:val="subscript"/>
          <w:lang w:eastAsia="lt-LT"/>
        </w:rPr>
        <w:t>0-24val.</w:t>
      </w:r>
      <w:r w:rsidRPr="00D11660">
        <w:rPr>
          <w:rFonts w:ascii="Times New Roman" w:eastAsia="Times New Roman" w:hAnsi="Times New Roman"/>
          <w:lang w:eastAsia="lt-LT"/>
        </w:rPr>
        <w:t>), vartojant kartu su 120 mg etorikoksibo, buvo mažesnė daugiau kaip du kartus, lyginant su PREMARIN, vartojamo vieno, ir jo dozę padidinus nuo 0,625 mg iki 1,25 mg. Šių koncentracijų padidėjimo klinikinė reikšmė nežinoma, didesnių PREMARIN dozių vartojimas kartu su etorikoksibu netirtas. Pomenopauzinę hormonų terapiją derinant kartu su etorikoksibo vartojimu, reikia įvertinti šių estrogenų koncentracijos padidėjimą, nes padidėjusi estrogenų ekspozicija galėtų padidinti su PHT susijusių nepageidaujamo poveikio pavojų.</w:t>
      </w:r>
      <w:r w:rsidRPr="00D11660">
        <w:rPr>
          <w:rFonts w:ascii="Times New Roman" w:eastAsia="Times New Roman" w:hAnsi="Times New Roman"/>
          <w:i/>
          <w:lang w:eastAsia="lt-LT"/>
        </w:rPr>
        <w:t xml:space="preserve"> </w:t>
      </w:r>
    </w:p>
    <w:p w:rsidR="00D11660" w:rsidRPr="00D11660" w:rsidRDefault="00D11660" w:rsidP="00D11660">
      <w:pPr>
        <w:tabs>
          <w:tab w:val="left" w:pos="567"/>
        </w:tabs>
        <w:spacing w:after="0" w:line="240" w:lineRule="auto"/>
        <w:rPr>
          <w:rFonts w:ascii="Times New Roman" w:eastAsia="Times New Roman" w:hAnsi="Times New Roman"/>
          <w:i/>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Prednizonas/prednizolonas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Vaistinių preparatų sąveikos tyrimų metu etorikoksibas kliniškai svarbaus poveikio prednizono/prednizolono farmakokinetikai nedarė.</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Digoksinas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Sveikiems savanoriams etorikoksibo vartojimas po 120 mg vieną kartą per parą 10 parų digoksino pusiausvyrinės būklės AUC</w:t>
      </w:r>
      <w:r w:rsidRPr="00D11660">
        <w:rPr>
          <w:rFonts w:ascii="Times New Roman" w:eastAsia="Times New Roman" w:hAnsi="Times New Roman"/>
          <w:vertAlign w:val="subscript"/>
          <w:lang w:eastAsia="lt-LT"/>
        </w:rPr>
        <w:t>0-24val.</w:t>
      </w:r>
      <w:r w:rsidRPr="00D11660">
        <w:rPr>
          <w:rFonts w:ascii="Times New Roman" w:eastAsia="Times New Roman" w:hAnsi="Times New Roman"/>
          <w:lang w:eastAsia="lt-LT"/>
        </w:rPr>
        <w:t xml:space="preserve"> ar išskyrimo pro inkstus nepaveikė. Digoksino C</w:t>
      </w:r>
      <w:r w:rsidRPr="00D11660">
        <w:rPr>
          <w:rFonts w:ascii="Times New Roman" w:eastAsia="Times New Roman" w:hAnsi="Times New Roman"/>
          <w:vertAlign w:val="subscript"/>
          <w:lang w:eastAsia="lt-LT"/>
        </w:rPr>
        <w:t>max</w:t>
      </w:r>
      <w:r w:rsidRPr="00D11660">
        <w:rPr>
          <w:rFonts w:ascii="Times New Roman" w:eastAsia="Times New Roman" w:hAnsi="Times New Roman"/>
          <w:lang w:eastAsia="lt-LT"/>
        </w:rPr>
        <w:t xml:space="preserve"> padidėjo maždaug 33 %. Daugumai pacientų tai neturi reikšmės. Vis dėlto pacientus, kuriems yra didelė digoksino toksinio poveikio rizika, reikia atidžiai stebėti dėl šio poveikio, jeigu etorikoksibo vartojama kartu su digoksinu.</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i/>
          <w:u w:val="single"/>
          <w:lang w:eastAsia="lt-LT"/>
        </w:rPr>
        <w:t>Etorikoksibo poveikis vaistiniams preparatams, kuriuos metabolizuoja sulfotransferazės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Etorikoksibas slopina žmogaus sulfotransferazių, ypač SULT1E1, aktyvumą ir buvo įrodyta, kad didina etinilestradiolio koncentracijas kraujo plazmoje. Kadangi šiuo metu žinių apie dauginių sulfotransferazių poveikį trūksta ir jų klinikinė reikšmė daugeliui vaistinių preparatų vis dar tiriama, reikalinga laikytis atsargumo etorikoksibo vartojant kartu su kitais vaistiniais preparatais, kuriuos pirmiausiai metabolizuoja žmogaus sulfotransferazės (pvz., geriamuoju salbutamoliu ir minoksidiliu).</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u w:val="single"/>
          <w:lang w:eastAsia="lt-LT"/>
        </w:rPr>
      </w:pPr>
      <w:r w:rsidRPr="00D11660">
        <w:rPr>
          <w:rFonts w:ascii="Times New Roman" w:eastAsia="Times New Roman" w:hAnsi="Times New Roman"/>
          <w:i/>
          <w:u w:val="single"/>
          <w:lang w:eastAsia="lt-LT"/>
        </w:rPr>
        <w:t>Etorikoksibo poveikis vaistiniams preparatams, kuriuos metabolizuoja CYP izofermentai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Remiantis </w:t>
      </w:r>
      <w:r w:rsidRPr="00D11660">
        <w:rPr>
          <w:rFonts w:ascii="Times New Roman" w:eastAsia="Times New Roman" w:hAnsi="Times New Roman"/>
          <w:i/>
          <w:lang w:eastAsia="lt-LT"/>
        </w:rPr>
        <w:t>in vitro</w:t>
      </w:r>
      <w:r w:rsidRPr="00D11660">
        <w:rPr>
          <w:rFonts w:ascii="Times New Roman" w:eastAsia="Times New Roman" w:hAnsi="Times New Roman"/>
          <w:lang w:eastAsia="lt-LT"/>
        </w:rPr>
        <w:t xml:space="preserve"> tyrimais, nesitikima, kad etorikoksibas slopins citochromus P450 (CYP)1A2, 2C9, 2C19, 2D6, 2E1 arba 3A4. Tyrimo su sveikais savanoriais metu 120 mg etorikoksibo vieną kartą per parą dozė kepenų CYP3A4 aktyvumo, nustatyto eritromicino kvėpavimo testu, nepaveikė.</w:t>
      </w:r>
    </w:p>
    <w:p w:rsidR="00D11660" w:rsidRPr="00D11660" w:rsidRDefault="00D11660" w:rsidP="00D11660">
      <w:pPr>
        <w:keepNext/>
        <w:keepLines/>
        <w:spacing w:line="240" w:lineRule="auto"/>
        <w:rPr>
          <w:rFonts w:ascii="Times New Roman" w:eastAsia="Times New Roman" w:hAnsi="Times New Roman"/>
          <w:i/>
          <w:u w:val="single"/>
          <w:lang w:eastAsia="lt-LT"/>
        </w:rPr>
      </w:pPr>
      <w:r w:rsidRPr="00D11660">
        <w:rPr>
          <w:rFonts w:ascii="Times New Roman" w:eastAsia="Times New Roman" w:hAnsi="Times New Roman"/>
          <w:i/>
          <w:u w:val="single"/>
          <w:lang w:eastAsia="lt-LT"/>
        </w:rPr>
        <w:t>Kitų vaistų poveikis etorikoksibo farmakokinetikai</w:t>
      </w:r>
    </w:p>
    <w:p w:rsidR="00D11660" w:rsidRPr="00D11660" w:rsidRDefault="00D11660" w:rsidP="00D11660">
      <w:pPr>
        <w:keepNext/>
        <w:keepLines/>
        <w:spacing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Pagrindinis etorikoksibo metabolizmo būdas priklauso nuo CYP fermentų. Atrodo, kad CYP3A4 prisideda prie etorikoksibo metabolizmo </w:t>
      </w:r>
      <w:r w:rsidRPr="00D11660">
        <w:rPr>
          <w:rFonts w:ascii="Times New Roman" w:eastAsia="Times New Roman" w:hAnsi="Times New Roman"/>
          <w:i/>
          <w:lang w:eastAsia="lt-LT"/>
        </w:rPr>
        <w:t>in vivo</w:t>
      </w:r>
      <w:r w:rsidRPr="00D11660">
        <w:rPr>
          <w:rFonts w:ascii="Times New Roman" w:eastAsia="Times New Roman" w:hAnsi="Times New Roman"/>
          <w:lang w:eastAsia="lt-LT"/>
        </w:rPr>
        <w:t xml:space="preserve">. </w:t>
      </w:r>
      <w:r w:rsidRPr="00D11660">
        <w:rPr>
          <w:rFonts w:ascii="Times New Roman" w:eastAsia="Times New Roman" w:hAnsi="Times New Roman"/>
          <w:i/>
          <w:lang w:eastAsia="lt-LT"/>
        </w:rPr>
        <w:t>In vitro</w:t>
      </w:r>
      <w:r w:rsidRPr="00D11660">
        <w:rPr>
          <w:rFonts w:ascii="Times New Roman" w:eastAsia="Times New Roman" w:hAnsi="Times New Roman"/>
          <w:lang w:eastAsia="lt-LT"/>
        </w:rPr>
        <w:t xml:space="preserve"> tyrimais nustatyta, kad CYP2D6, CYP2C9, CYP1A2 ir CYP2C19 taip pat gali katalizuoti pagrindinį metabolizmo kelią, bet jų kiekybinis vaidmuo </w:t>
      </w:r>
      <w:r w:rsidRPr="00D11660">
        <w:rPr>
          <w:rFonts w:ascii="Times New Roman" w:eastAsia="Times New Roman" w:hAnsi="Times New Roman"/>
          <w:i/>
          <w:lang w:eastAsia="lt-LT"/>
        </w:rPr>
        <w:t>in vivo</w:t>
      </w:r>
      <w:r w:rsidRPr="00D11660">
        <w:rPr>
          <w:rFonts w:ascii="Times New Roman" w:eastAsia="Times New Roman" w:hAnsi="Times New Roman"/>
          <w:lang w:eastAsia="lt-LT"/>
        </w:rPr>
        <w:t xml:space="preserve"> netirtas.</w:t>
      </w:r>
    </w:p>
    <w:p w:rsidR="00D11660" w:rsidRPr="00D11660" w:rsidRDefault="00D11660" w:rsidP="00D11660">
      <w:pPr>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Ketokonazolas</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Stiprus CYP3A4 inhibitorius ketokonazolas, skiriamas sveikiems savanoriams po 400 mg vieną kartą per parą 11 parų, kliniškai svarbaus poveikio vienkartinės 60 mg etorikoksibo dozės farmakokinetikai neturėjo (AUC padidėjo 43 %).</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bCs/>
          <w:i/>
          <w:iCs/>
          <w:lang w:eastAsia="lt-LT"/>
        </w:rPr>
      </w:pPr>
      <w:r w:rsidRPr="00D11660">
        <w:rPr>
          <w:rFonts w:ascii="Times New Roman" w:eastAsia="Times New Roman" w:hAnsi="Times New Roman"/>
          <w:bCs/>
          <w:i/>
          <w:iCs/>
          <w:lang w:eastAsia="lt-LT"/>
        </w:rPr>
        <w:t>Vorikonazolas ir mikonazolas</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Kartu su etorikoksibu vartojant stiprius CYP3A4 inhibitorius, geriamąjį vorikonazolą arba vietinio vartojimo mikonazolo valgomąjį gelį, šiek tiek padidėjo etorikoksibo ekspozicija, tačiau remiantis paskelbtais duomenimis tai nelaikoma kliniškai reikšminga.</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Rifampicinas</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Etorikoksibo vartojant kartu su stipriu CYP fermentų induktoriumi rifampicinu, etorikoksibo koncentracija kraujo plazmoje sumažėjo 65 %. Dėl šios sąveikos, etorikoksibo vartojant kartu su rifampicinu, gali atsinaujinti ligos simptomai. Nors, atsižvelgiant į šiuos duomenis, galima būtų didinti dozę, tačiau didesnės negu kiekvienai indikacijai išvardytos etorikoksibo dozės vartojimas kartu su rifampicinu netirtas, todėl tai nerekomenduojama (žr. 4.2 skyrių). </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Antacidiniai preparatai</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Antacidiniai preparatai kliniškai svarbios įtakos etorikoksibo farmakokinetikai neturi.</w:t>
      </w: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4.6 </w:t>
      </w:r>
      <w:r w:rsidRPr="00D11660">
        <w:rPr>
          <w:rFonts w:ascii="Times New Roman" w:eastAsia="Times New Roman" w:hAnsi="Times New Roman"/>
          <w:b/>
          <w:lang w:eastAsia="lt-LT"/>
        </w:rPr>
        <w:tab/>
        <w:t>Vaisingumas, nėštumo ir žindymo laikotarpis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Nėštumas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Klinikinių duomenų apie etorikoksibo vartojimą nėštumo metu nėra. Su gyvūnais atlikti tyrimai parodė toksinį poveikį reprodukcijai (žr. 5.3 skyrių). Galima rizika nėščioms moterims nežinoma. Etorikoksibas, kaip ir kiti prostaglandinų sintezę slopinantys vaistiniai preparatai, paskutiniuoju nėštumo trimestru gali slopinti gimdos susitraukimus ir sukelti priešlaikinį arterinio latako užsidarymą. Etorikoksibo vartoti nėštumo metu draudžiama (žr. 4.3 skyrių). Jeigu gydymo metu moteris pastoja, etorikoksibo vartojimą reikia nutraukti.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Žindymas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Nežinoma, ar etorikoksibo išsiskiria į motinos pieną. Etorikoksibo išsiskiria į žindančių žiurkių pieną. Etorikoksibo vartojančioms moterims žindyti negalima (žr. 4.3 ir 5.3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Vaisingumas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Etorikoksibo, kaip ir bet kokių kitų COX-2 slopinančių vaistinių medžiagų, pastoti ketinančioms moterims vartoti nerekomenduojama.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4.7 </w:t>
      </w:r>
      <w:r w:rsidRPr="00D11660">
        <w:rPr>
          <w:rFonts w:ascii="Times New Roman" w:eastAsia="Times New Roman" w:hAnsi="Times New Roman"/>
          <w:b/>
          <w:lang w:eastAsia="lt-LT"/>
        </w:rPr>
        <w:tab/>
        <w:t>Poveikis gebėjimui vairuoti ir valdyti mechanizmus</w:t>
      </w:r>
    </w:p>
    <w:p w:rsidR="00D11660" w:rsidRPr="00D11660" w:rsidRDefault="00D11660" w:rsidP="00D11660">
      <w:pPr>
        <w:keepNext/>
        <w:keepLines/>
        <w:spacing w:after="0" w:line="240" w:lineRule="auto"/>
        <w:rPr>
          <w:rFonts w:ascii="Times New Roman" w:eastAsia="Times New Roman" w:hAnsi="Times New Roman"/>
          <w:lang w:eastAsia="lt-LT"/>
        </w:rPr>
      </w:pPr>
    </w:p>
    <w:p w:rsidR="00D11660" w:rsidRPr="00D11660" w:rsidRDefault="00D11660" w:rsidP="00D11660">
      <w:pPr>
        <w:keepNext/>
        <w:keepLine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Pacientai, kuriems pasireiškia svaigulys, svaigimas (</w:t>
      </w:r>
      <w:r w:rsidRPr="00D11660">
        <w:rPr>
          <w:rFonts w:ascii="Times New Roman" w:eastAsia="Times New Roman" w:hAnsi="Times New Roman"/>
          <w:i/>
          <w:lang w:eastAsia="lt-LT"/>
        </w:rPr>
        <w:t>vertigo</w:t>
      </w:r>
      <w:r w:rsidRPr="00D11660">
        <w:rPr>
          <w:rFonts w:ascii="Times New Roman" w:eastAsia="Times New Roman" w:hAnsi="Times New Roman"/>
          <w:lang w:eastAsia="lt-LT"/>
        </w:rPr>
        <w:t>) ar mieguistumas, vartodami etorikoksibą turi vengti vairuoti ar valdyti mechanizmus.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4.8 </w:t>
      </w:r>
      <w:r w:rsidRPr="00D11660">
        <w:rPr>
          <w:rFonts w:ascii="Times New Roman" w:eastAsia="Times New Roman" w:hAnsi="Times New Roman"/>
          <w:b/>
          <w:lang w:eastAsia="lt-LT"/>
        </w:rPr>
        <w:tab/>
        <w:t>Nepageidaujamas poveikis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iCs/>
          <w:u w:val="single"/>
          <w:lang w:eastAsia="lt-LT"/>
        </w:rPr>
        <w:t>Saugumo duomenų santrauka</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Klinikinių tyrimų metu etorikoksibo saugumas buvo įvertintas 9295 asmenims, įskaitant 6757 pacientus, sergančius OA, RA, lėtiniu nugaros skausmu arba ankiloziniu spondilitu (maždaug 600 OA arba RA sergančių pacientų gydyti vienerius metus arba ilgiau).</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Klinikinių tyrimų metu OA ir RA sergantiems pacientams, etorikoksibo vartojusiems vienerius metus ir ilgiau, nepageidaujamų reiškinių charakteristika buvo panaši.</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Ūminio podagrinio artrito klinikinio tyrimo metu pacientai buvo gydyti 120 mg etorikoksibo vieną kartą per parą 8 paras. Šio tyrimo metu patirtų nepageidaujamų reiškinių charakteristika apskritai buvo panaši į nepageidaujamų reiškinių, nustatytų jungtinių OA, RA ir lėtinio nugaros skausmo tyrimų metu.</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 w:val="center" w:pos="4320"/>
          <w:tab w:val="right" w:pos="8640"/>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Saugumo širdies ir kraujagyslių sistemai baigčių nustatymo programoje, trijų aktyviu palyginamuoju vaistiniu preparatu kontroliuotų klinikinių tyrimų jungtiniais duomenimis, 17 412 OA arba RA sergančių pacientų buvo gydyti etorikoksibu (60 mg arba 90 mg doze) vidutiniškai maždaug 18 mėnesių. Saugumo duomenys ir detalės iš šios programos yra pateikti 5.1 skyriuje.</w:t>
      </w:r>
    </w:p>
    <w:p w:rsidR="00D11660" w:rsidRPr="00D11660" w:rsidRDefault="00D11660" w:rsidP="00D11660">
      <w:pPr>
        <w:tabs>
          <w:tab w:val="left" w:pos="567"/>
          <w:tab w:val="center" w:pos="4320"/>
          <w:tab w:val="right" w:pos="8640"/>
        </w:tabs>
        <w:spacing w:after="0" w:line="240" w:lineRule="auto"/>
        <w:rPr>
          <w:rFonts w:ascii="Times New Roman" w:eastAsia="Times New Roman" w:hAnsi="Times New Roman"/>
          <w:lang w:eastAsia="lt-LT"/>
        </w:rPr>
      </w:pPr>
    </w:p>
    <w:p w:rsidR="00D11660" w:rsidRPr="00D11660" w:rsidRDefault="00D11660" w:rsidP="00D11660">
      <w:pPr>
        <w:tabs>
          <w:tab w:val="left" w:pos="567"/>
          <w:tab w:val="center" w:pos="4320"/>
          <w:tab w:val="right" w:pos="8640"/>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Ūminio pooperacinio dantų skausmo klinikinių tyrimų, kuriuose dalyvavo</w:t>
      </w:r>
      <w:r w:rsidRPr="00D11660">
        <w:rPr>
          <w:rFonts w:ascii="Times New Roman" w:eastAsia="Times New Roman" w:hAnsi="Times New Roman"/>
          <w:color w:val="000000"/>
          <w:lang w:eastAsia="lt-LT"/>
        </w:rPr>
        <w:t xml:space="preserve"> 614 </w:t>
      </w:r>
      <w:r w:rsidRPr="00D11660">
        <w:rPr>
          <w:rFonts w:ascii="Times New Roman" w:eastAsia="Times New Roman" w:hAnsi="Times New Roman"/>
          <w:lang w:eastAsia="lt-LT"/>
        </w:rPr>
        <w:t>etorikoksibu (90 mg arba 120 mg) gydytų pacientų, metu nepageidaujamų reiškinių charakteristika apskritai buvo panaši į nepageidaujamų reiškinių charakteristiką, nustatytą jungtinių OA, RA ir lėtinio nugaros skausmo tyrimų metu.</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Cs/>
          <w:u w:val="single"/>
          <w:lang w:eastAsia="lt-LT"/>
        </w:rPr>
      </w:pPr>
      <w:r w:rsidRPr="00D11660">
        <w:rPr>
          <w:rFonts w:ascii="Times New Roman" w:eastAsia="Times New Roman" w:hAnsi="Times New Roman"/>
          <w:iCs/>
          <w:u w:val="single"/>
          <w:lang w:eastAsia="lt-LT"/>
        </w:rPr>
        <w:t>Nepageidaujamų reakcijų santrauka lentelėje</w:t>
      </w: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Toliau išdėstyti nepageidaujamo poveikio reiškiniai, kurie dažniau, negu vartojusiesiems placebą, buvo pastebėti OA, RA, lėtiniu nugaros skausmu ar ankiloziniu spondilitu sirgusiems pacientams iki 12 savaičių vartojusiems etorikoksibą po 30 mg, 60 mg arba 90 mg, neviršijant rekomenduojamos dozės, MEDAL programos klinikinių tyrimų, trukusių iki 3,5 metų, metu, trumpalaikių (iki 7 dienų trukmės) ūminio skausmo tyrimų metu arba poregistraciniu laikotarpiu (žr. 1 lentelę).</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1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4306"/>
        <w:gridCol w:w="2144"/>
      </w:tblGrid>
      <w:tr w:rsidR="00D11660" w:rsidRPr="005D230C" w:rsidTr="0000520C">
        <w:trPr>
          <w:cantSplit/>
        </w:trPr>
        <w:tc>
          <w:tcPr>
            <w:tcW w:w="1567"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Organų sistemų klasė</w:t>
            </w:r>
          </w:p>
        </w:tc>
        <w:tc>
          <w:tcPr>
            <w:tcW w:w="2292"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Nepageidaujamos reakcijos</w:t>
            </w:r>
          </w:p>
        </w:tc>
        <w:tc>
          <w:tcPr>
            <w:tcW w:w="1141"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Dažnio kategorija*</w:t>
            </w:r>
          </w:p>
        </w:tc>
      </w:tr>
      <w:tr w:rsidR="00D11660" w:rsidRPr="005D230C" w:rsidTr="0000520C">
        <w:trPr>
          <w:cantSplit/>
        </w:trPr>
        <w:tc>
          <w:tcPr>
            <w:tcW w:w="1567" w:type="pct"/>
            <w:vMerge w:val="restar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Infekcijos ir infestacijos</w:t>
            </w:r>
          </w:p>
        </w:tc>
        <w:tc>
          <w:tcPr>
            <w:tcW w:w="2292"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Alveolinis osteitas</w:t>
            </w:r>
          </w:p>
        </w:tc>
        <w:tc>
          <w:tcPr>
            <w:tcW w:w="1141"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Gastroenteritas, viršutinių kvėpavimo takų infekcija, šlapimo takų infekcija</w:t>
            </w:r>
          </w:p>
        </w:tc>
        <w:tc>
          <w:tcPr>
            <w:tcW w:w="1141"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Kraujo ir limfinės sistemos sutrikimai</w:t>
            </w:r>
          </w:p>
        </w:tc>
        <w:tc>
          <w:tcPr>
            <w:tcW w:w="2292"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Anemija (pirmiausiai susijusi su kraujavimu iš virškinimo trakto), leukopenija, trombocitopenija</w:t>
            </w:r>
          </w:p>
        </w:tc>
        <w:tc>
          <w:tcPr>
            <w:tcW w:w="1141"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Imuninės sistemos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Padidėjęs jautrumas</w:t>
            </w:r>
            <w:r w:rsidRPr="00D11660">
              <w:rPr>
                <w:rFonts w:ascii="Times New Roman" w:eastAsia="Times New Roman" w:hAnsi="Times New Roman"/>
                <w:vertAlign w:val="superscript"/>
                <w:lang w:eastAsia="lt-LT"/>
              </w:rPr>
              <w:t>‡β</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Angioneurozinė edema arba anafilaksinės, arba anafilaktoidinės reakcijos, įskaitant šoką</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Retas</w:t>
            </w:r>
          </w:p>
        </w:tc>
      </w:tr>
      <w:tr w:rsidR="00D11660" w:rsidRPr="005D230C" w:rsidTr="0000520C">
        <w:trPr>
          <w:cantSplit/>
        </w:trPr>
        <w:tc>
          <w:tcPr>
            <w:tcW w:w="1567" w:type="pct"/>
            <w:vMerge w:val="restar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Metabolizmo ir mitybos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Edema ir (arba) skysčio susilaikymas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Apetito padidėjimas arba praradimas, svorio padidėjimas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val="restar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Psichikos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Nerimas, depresija, sumažėjęs proto aštrumas, haliucinacijos</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Sumišimas</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neramumas</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Retas</w:t>
            </w:r>
          </w:p>
        </w:tc>
      </w:tr>
      <w:tr w:rsidR="00D11660" w:rsidRPr="005D230C" w:rsidTr="0000520C">
        <w:trPr>
          <w:cantSplit/>
        </w:trPr>
        <w:tc>
          <w:tcPr>
            <w:tcW w:w="1567" w:type="pct"/>
            <w:vMerge w:val="restart"/>
            <w:shd w:val="clear" w:color="auto" w:fill="auto"/>
          </w:tcPr>
          <w:p w:rsidR="00D11660" w:rsidRPr="00D11660" w:rsidRDefault="00D11660" w:rsidP="00D11660">
            <w:pPr>
              <w:keepNext/>
              <w:tabs>
                <w:tab w:val="left" w:pos="567"/>
              </w:tabs>
              <w:spacing w:after="0" w:line="240" w:lineRule="auto"/>
              <w:outlineLvl w:val="0"/>
              <w:rPr>
                <w:rFonts w:ascii="Times New Roman" w:eastAsia="Times New Roman" w:hAnsi="Times New Roman"/>
                <w:b/>
                <w:lang w:eastAsia="lt-LT"/>
              </w:rPr>
            </w:pPr>
            <w:r w:rsidRPr="00D11660">
              <w:rPr>
                <w:rFonts w:ascii="Times New Roman" w:eastAsia="Times New Roman" w:hAnsi="Times New Roman"/>
                <w:b/>
                <w:bCs/>
                <w:i/>
                <w:lang w:eastAsia="lt-LT"/>
              </w:rPr>
              <w:t>Nervų sistemos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Svaigulys, galvos skausmas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Disgeuzija, nemiga, parestezija ir (arba) hipestezija, mieguistumas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shd w:val="clear" w:color="auto" w:fill="auto"/>
          </w:tcPr>
          <w:p w:rsidR="00D11660" w:rsidRPr="00D11660" w:rsidRDefault="00D11660" w:rsidP="00D11660">
            <w:pPr>
              <w:keepNext/>
              <w:keepLines/>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b/>
                <w:bCs/>
                <w:i/>
                <w:lang w:eastAsia="lt-LT"/>
              </w:rPr>
              <w:t>Akių sutrikimai</w:t>
            </w:r>
            <w:r w:rsidRPr="00D11660">
              <w:rPr>
                <w:rFonts w:ascii="Times New Roman" w:eastAsia="Times New Roman" w:hAnsi="Times New Roman"/>
                <w:b/>
                <w:lang w:eastAsia="lt-LT"/>
              </w:rPr>
              <w:t xml:space="preserve"> </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Neryškus matymas, konjunktyvitas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Ausų ir labirintų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Ūžesys (</w:t>
            </w:r>
            <w:r w:rsidRPr="00D11660">
              <w:rPr>
                <w:rFonts w:ascii="Times New Roman" w:eastAsia="Times New Roman" w:hAnsi="Times New Roman"/>
                <w:i/>
                <w:lang w:eastAsia="lt-LT"/>
              </w:rPr>
              <w:t>tinnitus</w:t>
            </w:r>
            <w:r w:rsidRPr="00D11660">
              <w:rPr>
                <w:rFonts w:ascii="Times New Roman" w:eastAsia="Times New Roman" w:hAnsi="Times New Roman"/>
                <w:lang w:eastAsia="lt-LT"/>
              </w:rPr>
              <w:t>), svaigimas (</w:t>
            </w:r>
            <w:r w:rsidRPr="00D11660">
              <w:rPr>
                <w:rFonts w:ascii="Times New Roman" w:eastAsia="Times New Roman" w:hAnsi="Times New Roman"/>
                <w:i/>
                <w:lang w:eastAsia="lt-LT"/>
              </w:rPr>
              <w:t>vertigo</w:t>
            </w:r>
            <w:r w:rsidRPr="00D11660">
              <w:rPr>
                <w:rFonts w:ascii="Times New Roman" w:eastAsia="Times New Roman" w:hAnsi="Times New Roman"/>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val="restart"/>
            <w:shd w:val="clear" w:color="auto" w:fill="auto"/>
          </w:tcPr>
          <w:p w:rsidR="00D11660" w:rsidRPr="00D11660" w:rsidRDefault="00D11660" w:rsidP="00D11660">
            <w:pPr>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b/>
                <w:bCs/>
                <w:i/>
                <w:lang w:eastAsia="lt-LT"/>
              </w:rPr>
              <w:t>Širdies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Palpitacijos, aritmija</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Prieširdžių virpėjimas, tachikardija</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stazinis širdies nepakankamumas, nespecifiniai EKG pokyčiai, krūtinės angina</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miokardo infarktas</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val="restart"/>
            <w:shd w:val="clear" w:color="auto" w:fill="auto"/>
          </w:tcPr>
          <w:p w:rsidR="00D11660" w:rsidRPr="00D11660" w:rsidRDefault="00D11660" w:rsidP="00D11660">
            <w:pPr>
              <w:keepNext/>
              <w:keepLines/>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b/>
                <w:bCs/>
                <w:i/>
                <w:lang w:eastAsia="lt-LT"/>
              </w:rPr>
              <w:t>Kraujagyslių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Hipertenzija</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Karščio pylimas, galvos smegenų insultas</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praeinantis išemijos priepuolis, hipertenzinė krizė</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vaskulitas</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val="restar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Kvėpavimo sistemos, krūtinės ląstos ir tarpuplaučio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Bronchų spazmas</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Kosulys, dusulys, kraujavimas iš nosies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val="restart"/>
            <w:shd w:val="clear" w:color="auto" w:fill="auto"/>
          </w:tcPr>
          <w:p w:rsidR="00D11660" w:rsidRPr="00D11660" w:rsidRDefault="00D11660" w:rsidP="00D11660">
            <w:pPr>
              <w:keepNext/>
              <w:keepLines/>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b/>
                <w:bCs/>
                <w:i/>
                <w:lang w:eastAsia="lt-LT"/>
              </w:rPr>
              <w:t>Virškinimo trakto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Pilvo skausmas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Labai 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Vidurių užkietėjimas, vidurių pūtimas, gastritas, rėmuo arba atsirūgimas rūgštimi, viduriavimas, nevirškinimas arba diskomfortas epigastriume, pykinimas, vėmimas, stemplės uždegimas, burnos opa</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Pilvo tempimas, žarnyno motorikos pokyčiai, burnos sausmė, skrandžio ir dvylikapirštės žarnos opa, peptinės opos, įskaitant skrandžio ir žarnų perforaciją bei kraujavimą, dirgliosios žarnos sindromas, pankreatitas</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val="restar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Kepenų, tulžies pūslės ir latakų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Padidėjęs ALT aktyvumas, padidėjęs AST aktyvumas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Hepatitas</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Retas</w:t>
            </w:r>
          </w:p>
        </w:tc>
      </w:tr>
      <w:tr w:rsidR="00D11660" w:rsidRPr="005D230C" w:rsidTr="0000520C">
        <w:trPr>
          <w:cantSplit/>
        </w:trPr>
        <w:tc>
          <w:tcPr>
            <w:tcW w:w="1567"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Kepenų nepakankamumas</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gelta</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Retas</w:t>
            </w:r>
            <w:r w:rsidRPr="00D11660">
              <w:rPr>
                <w:rFonts w:ascii="Times New Roman" w:eastAsia="Times New Roman" w:hAnsi="Times New Roman"/>
                <w:vertAlign w:val="superscript"/>
                <w:lang w:eastAsia="lt-LT"/>
              </w:rPr>
              <w:t>†</w:t>
            </w:r>
          </w:p>
        </w:tc>
      </w:tr>
      <w:tr w:rsidR="00D11660" w:rsidRPr="005D230C" w:rsidTr="0000520C">
        <w:trPr>
          <w:cantSplit/>
        </w:trPr>
        <w:tc>
          <w:tcPr>
            <w:tcW w:w="1567" w:type="pct"/>
            <w:vMerge w:val="restar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Odos ir poodinio audinio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Ekchimozė</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Veido patinimas, niežėjimas, išbėrimas, eritema</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dilgėlinė</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Stivenso-Džonsono (</w:t>
            </w:r>
            <w:r w:rsidRPr="00D11660">
              <w:rPr>
                <w:rFonts w:ascii="Times New Roman" w:eastAsia="Times New Roman" w:hAnsi="Times New Roman"/>
                <w:i/>
                <w:lang w:eastAsia="lt-LT"/>
              </w:rPr>
              <w:t>Stevens-Johnson</w:t>
            </w:r>
            <w:r w:rsidRPr="00D11660">
              <w:rPr>
                <w:rFonts w:ascii="Times New Roman" w:eastAsia="Times New Roman" w:hAnsi="Times New Roman"/>
                <w:lang w:eastAsia="lt-LT"/>
              </w:rPr>
              <w:t>) sindromas</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toksinė epidermio nekrolizė</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pastovus vaistų sukeltas išbėrimas</w:t>
            </w:r>
            <w:r w:rsidRPr="00D11660">
              <w:rPr>
                <w:rFonts w:ascii="Times New Roman" w:eastAsia="Times New Roman" w:hAnsi="Times New Roman"/>
                <w:vertAlign w:val="superscript"/>
                <w:lang w:eastAsia="lt-LT"/>
              </w:rPr>
              <w:t>‡</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Retas</w:t>
            </w:r>
            <w:r w:rsidRPr="00D11660">
              <w:rPr>
                <w:rFonts w:ascii="Times New Roman" w:eastAsia="Times New Roman" w:hAnsi="Times New Roman"/>
                <w:vertAlign w:val="superscript"/>
                <w:lang w:eastAsia="lt-LT"/>
              </w:rPr>
              <w:t>†</w:t>
            </w:r>
          </w:p>
        </w:tc>
      </w:tr>
      <w:tr w:rsidR="00D11660" w:rsidRPr="005D230C" w:rsidTr="0000520C">
        <w:trPr>
          <w:cantSplit/>
        </w:trPr>
        <w:tc>
          <w:tcPr>
            <w:tcW w:w="1567" w:type="pct"/>
            <w:shd w:val="clear" w:color="auto" w:fill="auto"/>
          </w:tcPr>
          <w:p w:rsidR="00D11660" w:rsidRPr="00D11660" w:rsidRDefault="00D11660" w:rsidP="00D11660">
            <w:pPr>
              <w:keepNext/>
              <w:keepLines/>
              <w:tabs>
                <w:tab w:val="left" w:pos="567"/>
              </w:tabs>
              <w:spacing w:after="0" w:line="240" w:lineRule="auto"/>
              <w:rPr>
                <w:rFonts w:ascii="Times New Roman" w:eastAsia="Times New Roman" w:hAnsi="Times New Roman"/>
                <w:b/>
                <w:bCs/>
                <w:lang w:eastAsia="lt-LT"/>
              </w:rPr>
            </w:pPr>
            <w:r w:rsidRPr="00D11660">
              <w:rPr>
                <w:rFonts w:ascii="Times New Roman" w:eastAsia="Times New Roman" w:hAnsi="Times New Roman"/>
                <w:b/>
                <w:bCs/>
                <w:i/>
                <w:lang w:eastAsia="lt-LT"/>
              </w:rPr>
              <w:t>Skeleto, raumenų ir jungiamojo audinio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Raumenų mėšlungis arba spazmas, kaulų ir raumenų skausmas arba sąstingis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bCs/>
                <w:i/>
                <w:lang w:eastAsia="lt-LT"/>
              </w:rPr>
              <w:t>Inkstų ir šlapimo takų sutrikimai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Proteinurija, kreatinino kiekio serume padidėjimas, inkstų nepakankamumas arba inkstų funkcijos sutrikimas </w:t>
            </w: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xml:space="preserve"> (žr. 4.4 skyrių)</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val="restart"/>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bCs/>
                <w:lang w:eastAsia="lt-LT"/>
              </w:rPr>
            </w:pPr>
            <w:r w:rsidRPr="00D11660">
              <w:rPr>
                <w:rFonts w:ascii="Times New Roman" w:eastAsia="Times New Roman" w:hAnsi="Times New Roman"/>
                <w:b/>
                <w:bCs/>
                <w:i/>
                <w:lang w:eastAsia="lt-LT"/>
              </w:rPr>
              <w:t>Bendrieji sutrikimai ir vartojimo vietos pažeidimai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Astenija arba nuovargis, į gripą panaši liga</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Krūtinės skausmas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val="restart"/>
            <w:shd w:val="clear" w:color="auto" w:fill="auto"/>
          </w:tcPr>
          <w:p w:rsidR="00D11660" w:rsidRPr="00D11660" w:rsidRDefault="00D11660" w:rsidP="00D11660">
            <w:pPr>
              <w:keepNext/>
              <w:keepLines/>
              <w:tabs>
                <w:tab w:val="left" w:pos="567"/>
              </w:tabs>
              <w:spacing w:after="0" w:line="240" w:lineRule="auto"/>
              <w:jc w:val="both"/>
              <w:rPr>
                <w:rFonts w:ascii="Times New Roman" w:eastAsia="Times New Roman" w:hAnsi="Times New Roman"/>
                <w:b/>
                <w:bCs/>
                <w:lang w:eastAsia="lt-LT"/>
              </w:rPr>
            </w:pPr>
            <w:r w:rsidRPr="00D11660">
              <w:rPr>
                <w:rFonts w:ascii="Times New Roman" w:eastAsia="Times New Roman" w:hAnsi="Times New Roman"/>
                <w:b/>
                <w:bCs/>
                <w:i/>
                <w:lang w:eastAsia="lt-LT"/>
              </w:rPr>
              <w:t>Tyrimai</w:t>
            </w: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Padidėjęs karbamido kiekis kraujyje, padidėjęs kreatinfosfokinazės aktyvumas, hiperkalemija, padidėjęs šlapimo rūgšties kiekis</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Nedažnas</w:t>
            </w:r>
          </w:p>
        </w:tc>
      </w:tr>
      <w:tr w:rsidR="00D11660" w:rsidRPr="005D230C" w:rsidTr="0000520C">
        <w:trPr>
          <w:cantSplit/>
        </w:trPr>
        <w:tc>
          <w:tcPr>
            <w:tcW w:w="1567" w:type="pct"/>
            <w:vMerge/>
            <w:shd w:val="clear" w:color="auto" w:fill="auto"/>
          </w:tcPr>
          <w:p w:rsidR="00D11660" w:rsidRPr="00D11660" w:rsidRDefault="00D11660" w:rsidP="00D11660">
            <w:pPr>
              <w:tabs>
                <w:tab w:val="left" w:pos="567"/>
              </w:tabs>
              <w:spacing w:after="0" w:line="240" w:lineRule="auto"/>
              <w:rPr>
                <w:rFonts w:ascii="Times New Roman" w:eastAsia="Times New Roman" w:hAnsi="Times New Roman"/>
                <w:b/>
                <w:lang w:eastAsia="lt-LT"/>
              </w:rPr>
            </w:pPr>
          </w:p>
        </w:tc>
        <w:tc>
          <w:tcPr>
            <w:tcW w:w="2292"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Sumažėjęs natrio kiekis kraujyje</w:t>
            </w:r>
          </w:p>
        </w:tc>
        <w:tc>
          <w:tcPr>
            <w:tcW w:w="1141" w:type="pct"/>
            <w:shd w:val="clear" w:color="auto" w:fill="auto"/>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Retas</w:t>
            </w:r>
          </w:p>
        </w:tc>
      </w:tr>
      <w:tr w:rsidR="00D11660" w:rsidRPr="005D230C" w:rsidTr="0000520C">
        <w:trPr>
          <w:cantSplit/>
        </w:trPr>
        <w:tc>
          <w:tcPr>
            <w:tcW w:w="5000" w:type="pct"/>
            <w:gridSpan w:val="3"/>
            <w:shd w:val="clear" w:color="auto" w:fill="auto"/>
          </w:tcPr>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lang w:eastAsia="lt-LT"/>
              </w:rPr>
              <w:t xml:space="preserve">* Dažnio kategorija. Kiekvienai nepageidaujamai reakcijai priskirta pagal klinikinių tyrimų duomenų bazėje užfiksuotą dažnį: </w:t>
            </w:r>
            <w:r w:rsidRPr="00D11660">
              <w:rPr>
                <w:rFonts w:ascii="Times New Roman" w:eastAsia="Times New Roman" w:hAnsi="Times New Roman"/>
              </w:rPr>
              <w:t>labai dažnas (≥ 1/10), dažnas (nuo ≥ 1/100 iki &lt; 1/10), nedažnas (nuo ≥ 1/1000 iki &lt; 1/100), retas (nuo ≥ 1/10000 iki &lt; 1/1000), labai retas (&lt; 1/10000).</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xml:space="preserve"> Ši nepageidaujama reakcija buvo pastebėta vaistiniam preparatui esant rinkoje. Jos pateiktas dažnis nustatytas pagal didžiausią dažnį, nustatytą klinikinių tyrimų duomenimis, sukauptais pagal indikaciją ir įteisintą dozę.</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xml:space="preserve"> Dažnio grupė „Retas“ charakterizuota vadovaujantis Preparato charakteristikų santraukos (PCS) rengimo gairėmis (peržiūrėtos 2009 m. rugsėjo 2 d.), remiantis nustatyta viršutine 95 % pasikliautinojo intervalo riba 0 reiškinių šiam asmenų, gydytų etorikoksibu skaičiui, atliekant III fazės duomenų, sukauptų pagal dozę ir indikaciją analizę (n = 15470).</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vertAlign w:val="superscript"/>
                <w:lang w:eastAsia="lt-LT"/>
              </w:rPr>
              <w:t>β</w:t>
            </w:r>
            <w:r w:rsidRPr="00D11660">
              <w:rPr>
                <w:rFonts w:ascii="Times New Roman" w:eastAsia="Times New Roman" w:hAnsi="Times New Roman"/>
                <w:lang w:eastAsia="lt-LT"/>
              </w:rPr>
              <w:t xml:space="preserve"> Terminas „padidėjęs jautrumas“ apima terminus „alergija“, „alergija vaistiniams preparatams“, „padidėjęs jautrumas vaistiniams preparatams“, „padidėjęs jautrumas“, „nespecifiškai padidėjęs jautrumas“, „padidėjusio jautrumo reakcija“ ir „nespecifinė alergija“.</w:t>
            </w: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vertAlign w:val="superscript"/>
                <w:lang w:eastAsia="lt-LT"/>
              </w:rPr>
              <w:t>§</w:t>
            </w:r>
            <w:r w:rsidRPr="00D11660">
              <w:rPr>
                <w:rFonts w:ascii="Times New Roman" w:eastAsia="Times New Roman" w:hAnsi="Times New Roman"/>
                <w:lang w:eastAsia="lt-LT"/>
              </w:rPr>
              <w:t xml:space="preserve"> Remiantis ilgalaikių placebu ir veikliąja medžiaga kontroliuotų klinikinių tyrimų duomenimis, selektyvūs COX-2 inhibitoriai yra susiję su padidėjusiu sunkių arterijų trombozės reiškinių, įskaitant miokardo infarktą ir insultą, rizika. Remiantis turimais duomenimis (nedažnas) nėra tikėtina, kad tokių reiškinių absoliučios rizikos padažnėjimas būtų didesnis kaip 1 % per metus.</w:t>
            </w:r>
          </w:p>
        </w:tc>
      </w:tr>
    </w:tbl>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Apie toliau pateiktus nepageidaujamus poveikius buvo pranešta kartu vartojant NVNU ir jų negalima paneigti etorikoksibui: toksinis poveikis inkstams, įskaitant intersticinį nefritą ir nefrozinį sindromą.</w:t>
      </w:r>
    </w:p>
    <w:p w:rsidR="00D11660" w:rsidRPr="00D11660" w:rsidRDefault="00D11660" w:rsidP="00D11660">
      <w:pPr>
        <w:tabs>
          <w:tab w:val="left" w:pos="567"/>
        </w:tabs>
        <w:autoSpaceDE w:val="0"/>
        <w:autoSpaceDN w:val="0"/>
        <w:adjustRightInd w:val="0"/>
        <w:spacing w:after="0" w:line="240" w:lineRule="auto"/>
        <w:rPr>
          <w:rFonts w:ascii="Times New Roman" w:eastAsia="Times New Roman" w:hAnsi="Times New Roman"/>
          <w:snapToGrid w:val="0"/>
          <w:u w:val="single"/>
        </w:rPr>
      </w:pPr>
    </w:p>
    <w:p w:rsidR="00D11660" w:rsidRPr="00D11660" w:rsidRDefault="00D11660" w:rsidP="00D11660">
      <w:pPr>
        <w:tabs>
          <w:tab w:val="left" w:pos="567"/>
        </w:tabs>
        <w:autoSpaceDE w:val="0"/>
        <w:autoSpaceDN w:val="0"/>
        <w:adjustRightInd w:val="0"/>
        <w:spacing w:after="0" w:line="240" w:lineRule="auto"/>
        <w:rPr>
          <w:rFonts w:ascii="Times New Roman" w:eastAsia="Times New Roman" w:hAnsi="Times New Roman"/>
          <w:snapToGrid w:val="0"/>
          <w:u w:val="single"/>
        </w:rPr>
      </w:pPr>
      <w:r w:rsidRPr="00D11660">
        <w:rPr>
          <w:rFonts w:ascii="Times New Roman" w:eastAsia="Times New Roman" w:hAnsi="Times New Roman"/>
          <w:snapToGrid w:val="0"/>
          <w:u w:val="single"/>
        </w:rPr>
        <w:t>Pranešimas apie įtariamas nepageidaujamas reakcijas</w:t>
      </w:r>
    </w:p>
    <w:p w:rsidR="00D11660" w:rsidRPr="00D11660" w:rsidRDefault="00D11660" w:rsidP="00D11660">
      <w:pPr>
        <w:tabs>
          <w:tab w:val="left" w:pos="567"/>
        </w:tabs>
        <w:autoSpaceDE w:val="0"/>
        <w:autoSpaceDN w:val="0"/>
        <w:adjustRightInd w:val="0"/>
        <w:spacing w:after="0" w:line="240" w:lineRule="auto"/>
        <w:rPr>
          <w:rFonts w:ascii="Times New Roman" w:eastAsia="Times New Roman" w:hAnsi="Times New Roman"/>
          <w:snapToGrid w:val="0"/>
        </w:rPr>
      </w:pPr>
      <w:r w:rsidRPr="00D11660">
        <w:rPr>
          <w:rFonts w:ascii="Times New Roman" w:eastAsia="Times New Roman" w:hAnsi="Times New Roman"/>
          <w:snapToGrid w:val="0"/>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D11660">
          <w:rPr>
            <w:rFonts w:ascii="Times New Roman" w:eastAsia="SimSun" w:hAnsi="Times New Roman"/>
            <w:snapToGrid w:val="0"/>
            <w:color w:val="0000FF"/>
            <w:u w:val="single"/>
          </w:rPr>
          <w:t>www.vvkt.lt</w:t>
        </w:r>
      </w:hyperlink>
      <w:r w:rsidRPr="00D11660">
        <w:rPr>
          <w:rFonts w:ascii="Times New Roman" w:eastAsia="Times New Roman" w:hAnsi="Times New Roman"/>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D11660">
          <w:rPr>
            <w:rFonts w:ascii="Times New Roman" w:eastAsia="SimSun" w:hAnsi="Times New Roman"/>
            <w:snapToGrid w:val="0"/>
            <w:color w:val="0000FF"/>
            <w:u w:val="single"/>
          </w:rPr>
          <w:t>NepageidaujamaR@vvkt.lt</w:t>
        </w:r>
      </w:hyperlink>
      <w:r w:rsidRPr="00D11660">
        <w:rPr>
          <w:rFonts w:ascii="Times New Roman" w:eastAsia="Times New Roman" w:hAnsi="Times New Roman"/>
          <w:snapToGrid w:val="0"/>
        </w:rPr>
        <w:t xml:space="preserve">), per interneto svetainę (adresu </w:t>
      </w:r>
      <w:hyperlink r:id="rId9" w:history="1">
        <w:r w:rsidRPr="00D11660">
          <w:rPr>
            <w:rFonts w:ascii="Times New Roman" w:eastAsia="Times New Roman" w:hAnsi="Times New Roman"/>
            <w:snapToGrid w:val="0"/>
            <w:color w:val="0000FF"/>
            <w:u w:val="single"/>
          </w:rPr>
          <w:t>http://www.vvkt.lt</w:t>
        </w:r>
      </w:hyperlink>
      <w:r w:rsidRPr="00D11660">
        <w:rPr>
          <w:rFonts w:ascii="Times New Roman" w:eastAsia="Times New Roman" w:hAnsi="Times New Roman"/>
          <w:snapToGrid w:val="0"/>
        </w:rPr>
        <w:t xml:space="preserve"> ).</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4.9 </w:t>
      </w:r>
      <w:r w:rsidRPr="00D11660">
        <w:rPr>
          <w:rFonts w:ascii="Times New Roman" w:eastAsia="Times New Roman" w:hAnsi="Times New Roman"/>
          <w:b/>
          <w:lang w:eastAsia="lt-LT"/>
        </w:rPr>
        <w:tab/>
        <w:t>Perdozavimas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Klinikinių tyrimų metu vienkartinės iki 500 mg etorikoksibo</w:t>
      </w:r>
      <w:r w:rsidRPr="00D11660" w:rsidDel="005A0169">
        <w:rPr>
          <w:rFonts w:ascii="Times New Roman" w:eastAsia="Times New Roman" w:hAnsi="Times New Roman"/>
          <w:lang w:eastAsia="lt-LT"/>
        </w:rPr>
        <w:t xml:space="preserve"> </w:t>
      </w:r>
      <w:r w:rsidRPr="00D11660">
        <w:rPr>
          <w:rFonts w:ascii="Times New Roman" w:eastAsia="Times New Roman" w:hAnsi="Times New Roman"/>
          <w:lang w:eastAsia="lt-LT"/>
        </w:rPr>
        <w:t>dozės ir kartotinės iki 150 mg per parą 21 parą etorikoksibo dozės reikšmingo toksinio poveikio nedarė. Gauta pranešimų apie etorikoksibo ūminio perdozavimo atvejus, nors daugumoje jų apie nepageidaujamas reakcijas nepranešta. Dažniausiai stebėtos nepageidaujamos reakcijos atitiko etorikoksibo saugumo charakteristiką (pvz., nepageidaujami virškinimo trakto, širdies arba inkstų reiškiniai).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Perdozavus tikslinga taikyti įprastines palaikomąsias priemones, pavyzdžiui, šalinti neabsorbuotą medžiagą iš virškinimo trakto, vykdyti klinikinį stebėjimą ir , prireikus, pradėti palaikomąjį gydymą.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Hemodialize etorikoksibo pašalinti neįmanoma. Ar jį įmanoma pašalinti taikant peritoninę dializę, nežinoma.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5. </w:t>
      </w:r>
      <w:r w:rsidRPr="00D11660">
        <w:rPr>
          <w:rFonts w:ascii="Times New Roman" w:eastAsia="Times New Roman" w:hAnsi="Times New Roman"/>
          <w:b/>
          <w:lang w:eastAsia="lt-LT"/>
        </w:rPr>
        <w:tab/>
        <w:t>FARMAKOLOGINĖS SAVYBĖS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5.1 </w:t>
      </w:r>
      <w:r w:rsidRPr="00D11660">
        <w:rPr>
          <w:rFonts w:ascii="Times New Roman" w:eastAsia="Times New Roman" w:hAnsi="Times New Roman"/>
          <w:b/>
          <w:lang w:eastAsia="lt-LT"/>
        </w:rPr>
        <w:tab/>
        <w:t>Farmakodinaminės savybės</w:t>
      </w: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Farmakoterapinė grupė – priešuždegiminiai ir priešreumatiniai vaistiniai preparatai, NVNU, koksibai.</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ATC kodas – M01AH05.</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Veikimo mechanizmas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Etorikoksibas yra per burną vartojamas selektyvus ciklooksigenazės-2 (COX-2) inhibitorius, vartojamas klinikinėmis dozėmis.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Klinikinių farmakologijos tyrimų metu etorikoksibas, priklausomai nuo dozės, slopino COX-2, bet neslopino COX-1 vartojant iki 150 mg per parą dozėmis,. Etorikoksibas neslopino skrandžio prostaglandinų sintezės ir neveikė trombocitų funkcijos.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Ciklooksigenazė yra atsakinga už prostaglandinų gamybą. Nustatytos dvi ciklooksigenazės izoformos – COX-1 ir COX-2. Įrodyta, kad COX-2 fermento izoformą indukuoja uždegimą skatinantys dirgikliai, ir yra daroma prielaida, kad visų pirma ji yra atsakinga už prostanoidinių skausmo, uždegimo ir karščiavimo mediatorių sintezę. COX-2 taip pat dalyvauja ovuliacijos, implantacijos ir arterinio latako (</w:t>
      </w:r>
      <w:r w:rsidRPr="00D11660">
        <w:rPr>
          <w:rFonts w:ascii="Times New Roman" w:eastAsia="Times New Roman" w:hAnsi="Times New Roman"/>
          <w:i/>
          <w:lang w:eastAsia="lt-LT"/>
        </w:rPr>
        <w:t>ductus arteriosus</w:t>
      </w:r>
      <w:r w:rsidRPr="00D11660">
        <w:rPr>
          <w:rFonts w:ascii="Times New Roman" w:eastAsia="Times New Roman" w:hAnsi="Times New Roman"/>
          <w:lang w:eastAsia="lt-LT"/>
        </w:rPr>
        <w:t>) užsidarymo procesuose, inkstų funkcijos reguliavime ir centrinės nervų sistemos funkcijose (karščiavimo indukcija, skausmo suvokimas ir pažinimo funkcija). Ji taip pat gali daryti įtaką opų gijimui. COX-2 nustatyta audinyje aplink skrandžio opas žmonėms, bet jos tiesioginis ryšys su opų gijimu nenustatytas.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rPr>
      </w:pPr>
      <w:r w:rsidRPr="00D11660">
        <w:rPr>
          <w:rFonts w:ascii="Times New Roman" w:eastAsia="Times New Roman" w:hAnsi="Times New Roman"/>
          <w:u w:val="single"/>
        </w:rPr>
        <w:t>Klinikinis veiksmingumas ir saugumas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Lines/>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Veiksmingumas</w:t>
      </w:r>
    </w:p>
    <w:p w:rsidR="00D11660" w:rsidRPr="00D11660" w:rsidRDefault="00D11660" w:rsidP="00D11660">
      <w:pPr>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Osteoartritu (OA) sergantiems pacientams vartojant 60 mg etorikoksibo vieną kartą per parą, reikšmingai sumažėjo skausmas ir pagerėjo paciento ligos būklės įvertinimas. Šis palankus poveikis pasireiškė jau antrąją gydymo parą ir išsilaikė iki 52 savaičių. Tyrimais įrodyta, kad 30 mg etorikoksibo vieną kartą per parą veiksmingumas daugiau kaip 12 savaičių buvo didesnis negu placebo (vertinant panašiai kaip ir aukščiau paminėtuose tyrimuose). Dozės diapazono tyrimo metu nustatyta, kad 6 gydymo savaites vartojant 60 mg dozę pagerėjimas buvo reikšmingai didesnis visų 3 pagrindinių vertinamųjų baigčių atveju, palyginti su 30 mg doze. 30 mg dozė rankų osteoartrito atveju netirta.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Reumatoidiniu artritu (RA) sergantiems pacientams vartojantiems tiek 60 mg, tiek 90 mg etorikoksibo vieną kartą per parą dozę,</w:t>
      </w:r>
      <w:r w:rsidRPr="00D11660" w:rsidDel="00347E23">
        <w:rPr>
          <w:rFonts w:ascii="Times New Roman" w:eastAsia="Times New Roman" w:hAnsi="Times New Roman"/>
          <w:lang w:eastAsia="lt-LT"/>
        </w:rPr>
        <w:t xml:space="preserve"> </w:t>
      </w:r>
      <w:r w:rsidRPr="00D11660">
        <w:rPr>
          <w:rFonts w:ascii="Times New Roman" w:eastAsia="Times New Roman" w:hAnsi="Times New Roman"/>
          <w:lang w:eastAsia="lt-LT"/>
        </w:rPr>
        <w:t>reikšmingai pagerėjo skausmo, uždegimo ir judrumo rodikliai. 60 mg ir 90 mg dozių vertinimo tyrimų metu minėti teigiami poveikiai išliko per visą daugiau kaip 12 savaičių trukmės gydymo laikotarpį.</w:t>
      </w:r>
      <w:r w:rsidRPr="00D11660">
        <w:rPr>
          <w:rFonts w:ascii="Times New Roman" w:eastAsia="Times New Roman" w:hAnsi="Times New Roman"/>
        </w:rPr>
        <w:t xml:space="preserve"> T</w:t>
      </w:r>
      <w:r w:rsidRPr="00D11660">
        <w:rPr>
          <w:rFonts w:ascii="Times New Roman" w:eastAsia="Times New Roman" w:hAnsi="Times New Roman"/>
          <w:lang w:eastAsia="lt-LT"/>
        </w:rPr>
        <w:t xml:space="preserve">yrimo, kurio metu 60 mg dozė buvo vertinta lyginant ją su 90 mg doze, rezultatai parodė, kad tiek 60 mg vieną kartą per parą etorikoksibo dozė, tiek 90 mg vieną kartą per parą etorikoksibo dozė buvo veiksmingesnės už placebą. Pagal Paciento globalaus skausmo įvertinimo skalę (angl., </w:t>
      </w:r>
      <w:r w:rsidRPr="00D11660">
        <w:rPr>
          <w:rFonts w:ascii="Times New Roman" w:eastAsia="Times New Roman" w:hAnsi="Times New Roman"/>
          <w:i/>
          <w:lang w:eastAsia="lt-LT"/>
        </w:rPr>
        <w:t>Patient Global Assessment of Pain</w:t>
      </w:r>
      <w:r w:rsidRPr="00D11660">
        <w:rPr>
          <w:rFonts w:ascii="Times New Roman" w:eastAsia="Times New Roman" w:hAnsi="Times New Roman"/>
          <w:lang w:eastAsia="lt-LT"/>
        </w:rPr>
        <w:t xml:space="preserve">) (0-100 mm vaizdinė analogų skalė) 90 mg dozė buvo pranašesnė už 60 mg dozę, o vidutinis pagerėjimas buvo -2,71 mm (95 % PI: </w:t>
      </w:r>
      <w:r w:rsidRPr="00D11660">
        <w:rPr>
          <w:rFonts w:ascii="Times New Roman" w:eastAsia="Times New Roman" w:hAnsi="Times New Roman"/>
          <w:lang w:eastAsia="lt-LT"/>
        </w:rPr>
        <w:noBreakHyphen/>
        <w:t>4,98 mm; -0,45 mm).</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Pacientams, kuriems pasireškia ūminio podagrinio artrito priepuoliai, per aštuonias gydymo paras etorikoksibas, vartojamas po 120 mg vieną kartą per parą, sumažino sąnarių vidutinio stiprumo ir stiprų sąnarių skausmą bei uždegimą panašiai kaip indometacinas, vartojamas po 50 mg tris kartus per parą. Pradėjus gydymą jau po 4 valandų pastebėta, kad skausmas sumažėjo.</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Ankiloziniu spondilitu sergantiems pacientams, vartojusiems 90 mg etorikoksibo vieną kartą per parą, reikšmingai sumažėjo stuburo skausmas, uždegimas, sustingimas ir pagerėjo funkcija. Teigiamas etorikoksibo klinikinis poveikis buvo pastebėtas anksčiausiai antrąją gydymo parą nuo gydymo pradžios ir išsilaikė visą 52 savaičių gydymo laikotarpį. Antrojo tyrimo, kurio metu 60 mg dozė buvo vertinta lyginant ją su 90 mg doze, rezultatai parodė, kad 60 mg etorikoksibo paros dozės ir 90 mg etorikoksibo paros dozės veiksmingumas buvo panašus, lyginant su 1000 mg naprokseno paros doze. Nepakankamai reagavusiems į 6 savaičių gydymą 60 mg per parą doze pacientams dozę padidinus iki 90 mg per parą, stuburo skausmo intensyvumo (0-100 mm vaizdinėje analogų skalėje) balas sumažėjo, lyginant su tęsiamu gydymu 60 mg per parą doze, o vidutinis pagerėjimas buvo -2,70 mm (95 % PI: -4,88 mm; </w:t>
      </w:r>
      <w:r w:rsidRPr="00D11660">
        <w:rPr>
          <w:rFonts w:ascii="Times New Roman" w:eastAsia="Times New Roman" w:hAnsi="Times New Roman"/>
          <w:lang w:eastAsia="lt-LT"/>
        </w:rPr>
        <w:noBreakHyphen/>
        <w:t>0,52 mm).</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Klinikiniame pooperacinio dantų skausmo įvertinimo tyrime ne ilgiau kaip 3 paras buvo vartojama 90 mg etorikoksibo vieną kartą per parą. Pacientų pogrupyje, kuriems prieš pradedant tyrimą skausmas buvo vidutinio stiprumo, 90 mg etorikoksibo skausmą malšinantis poveikis buvo panašus, kaip ir 600 mg ibuprofeno (16,11 ir 16,39; P = 0,722), ir didesnis už paracetamolio ir kodeino derinio 600 mg/60 mg (11,00; P &lt; 0,001) bei placebo (6,84; P &lt; 0,001) poveikį, išmatuotą kaip visiškas skausmo numalšinimas per pirmąsias 6 valandas</w:t>
      </w:r>
      <w:r w:rsidRPr="00D11660" w:rsidDel="004E6028">
        <w:rPr>
          <w:rFonts w:ascii="Times New Roman" w:eastAsia="Times New Roman" w:hAnsi="Times New Roman"/>
          <w:lang w:eastAsia="lt-LT"/>
        </w:rPr>
        <w:t xml:space="preserve"> </w:t>
      </w:r>
      <w:r w:rsidRPr="00D11660">
        <w:rPr>
          <w:rFonts w:ascii="Times New Roman" w:eastAsia="Times New Roman" w:hAnsi="Times New Roman"/>
          <w:lang w:eastAsia="lt-LT"/>
        </w:rPr>
        <w:t>(TOPAR6). Pacientų, kuriems per pirmąsias 24 valandas po dozės prireikė papildomai vartoti vaistinio preparato, dalis 90 mg etorikoksibo grupėje buvo 40,8 %, 600 mg ibuprofeno (kas 6 val.) – 25,5 %, 600 mg/60 mg paracetamolio / kodeino (kas 6 val.) – 46,7 %, o placebo – 76,2 %. Šio tyrimo metu 90 mg etorikoksibo veikimo pradžios (juntamas skausmo sumažėjimas) mediana buvo 28 minutės po dozės pavartojimo.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Saugumas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Tarptautinė ilgalaikė artrito gydymo etorikoksibu ir diklofenaku programa (</w:t>
      </w:r>
      <w:r w:rsidRPr="00D11660">
        <w:rPr>
          <w:rFonts w:ascii="Times New Roman" w:eastAsia="Times New Roman" w:hAnsi="Times New Roman"/>
          <w:i/>
          <w:lang w:eastAsia="lt-LT"/>
        </w:rPr>
        <w:t>Multinational Etoricoxib and Diclofenac Arthritis Long-term (MEDAL) program</w:t>
      </w:r>
      <w:r w:rsidRPr="00D11660">
        <w:rPr>
          <w:rFonts w:ascii="Times New Roman" w:eastAsia="Times New Roman" w:hAnsi="Times New Roman"/>
          <w:lang w:eastAsia="lt-LT"/>
        </w:rPr>
        <w:t>) (toliau – MEDAL)</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MEDAL programa buvo iš anksto planuota širdies ir kraujagyslių sistemos saugumo baigčių programa (</w:t>
      </w:r>
      <w:r w:rsidRPr="00D11660">
        <w:rPr>
          <w:rFonts w:ascii="Times New Roman" w:eastAsia="Times New Roman" w:hAnsi="Times New Roman"/>
          <w:i/>
          <w:lang w:eastAsia="lt-LT"/>
        </w:rPr>
        <w:t>Cardiovascular (CV) Safety Outcomes Program</w:t>
      </w:r>
      <w:r w:rsidRPr="00D11660">
        <w:rPr>
          <w:rFonts w:ascii="Times New Roman" w:eastAsia="Times New Roman" w:hAnsi="Times New Roman"/>
          <w:lang w:eastAsia="lt-LT"/>
        </w:rPr>
        <w:t xml:space="preserve">), sudaryta iš trijų atsitiktinių imčių, dvigubai aklų, aktyviu palyginamuoju vaistiniu preparatu kontroliuotų klinikinių tyrimų MEDAL, EDGE II ir EDGE jungtinių duomenų. </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MEDAL tyrimas buvo pagrindinis širdies ir kraujagyslių sistemos vertinamųjų baigčių klinikinis tyrimas (</w:t>
      </w:r>
      <w:r w:rsidRPr="00D11660">
        <w:rPr>
          <w:rFonts w:ascii="Times New Roman" w:eastAsia="Times New Roman" w:hAnsi="Times New Roman"/>
          <w:i/>
          <w:lang w:eastAsia="lt-LT"/>
        </w:rPr>
        <w:t>CV Outcomes study</w:t>
      </w:r>
      <w:r w:rsidRPr="00D11660">
        <w:rPr>
          <w:rFonts w:ascii="Times New Roman" w:eastAsia="Times New Roman" w:hAnsi="Times New Roman"/>
          <w:lang w:eastAsia="lt-LT"/>
        </w:rPr>
        <w:t>), kuriame dalyvavo 17804 OA ir 5700 RA sergančių pacientų, gydytų 60 mg (OA) arba 90 mg (OA ir RA) etorikoksibo arba 150 mg diklofenako paros doze vidutiniškai 20,3 mėnesio (ilgiausiai 42,3 mėnesio, mediana 21,3 mėnesio). Šiame tyrime buvo registruojami tik sunkūs nepageidaujami reiškiniai ir gydymo nutraukimai dėl bet kokio nepageidaujamo reiškinio.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autoSpaceDE w:val="0"/>
        <w:autoSpaceDN w:val="0"/>
        <w:adjustRightInd w:val="0"/>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Klinikiniuose tyrimuose EDGE ir EDGE II buvo palygintas etorikoksibo ir diklofenako toleravimas virškinimo trakte. Tyrime EDGE dalyvavo 7111 OA sergančių pacientų, gydytų 90 mg etorikoksibo paros doze (1,5 karto didesne doze, negu rekomenduojama OA gydymui) arba 150 mg diklofenako paros doze vidutiniškai 9,1 mėnesio (ilgiausiai 16,6 mėnesio, mediana 11,4 mėnesio). Tyrime EDGE II dalyvavo 4086 RA sergantys pacientai, gydyti 90 mg etorikoksibo paros doze arba 150 mg diklofenako paros doze vidutiniškai 19,2 mėnesio (ilgiausiai 33,1 mėnesio, mediana 24 mėnesiai).</w:t>
      </w:r>
    </w:p>
    <w:p w:rsidR="00D11660" w:rsidRPr="00D11660" w:rsidRDefault="00D11660" w:rsidP="00D11660">
      <w:pPr>
        <w:tabs>
          <w:tab w:val="left" w:pos="567"/>
        </w:tabs>
        <w:autoSpaceDE w:val="0"/>
        <w:autoSpaceDN w:val="0"/>
        <w:adjustRightInd w:val="0"/>
        <w:spacing w:after="0" w:line="240" w:lineRule="auto"/>
        <w:rPr>
          <w:rFonts w:ascii="Times New Roman" w:eastAsia="Times New Roman" w:hAnsi="Times New Roman"/>
          <w:strike/>
          <w:u w:val="single"/>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Jungtinėje MEDAL programoje 34701 OA arba RA sergantis pacientas buvo gydytas vidutiniškai 17,9 mėnesio (ilgiausiai 42,3 mėnesio, mediana 16,3 mėnesio), o maždaug 12800 pacientų buvo gydomi ilgiau kaip 24 mėnesius. Į programą įtrauktiems pacientams prieš pradedant tyrimą jau buvo įvairių virškinimo trakto bei širdies ir kraujagyslių sistemos rizikos faktorių. Į tyrimą nebuvo įtraukti pacientai, neseniai sirgę miokardo infarktu, operuoti dėl vainikinių arterijų šuntavimo ar perkutaninės intervencijos į vainikines arterijas likus mažiau kaip 6 mėnesiams iki įtraukimo į tyrimą. Šių tyrimų metu buvo leista vartoti skrandį apsaugančių vaistinių preparatų ir mažų acetilsalicilo rūgšties dozių.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Bendrasis saugumas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Pagal širdies ir kraujagyslių sistemos trombozinių reiškinių dažnį tarp etorikoksibo ir diklofenako reikšmingo skirtumo nebuvo. Vartojant etorikoksibo buvo dažniau pastebėta nepageidaujamų širdies ir inkstų reiškinių, negu vartojant diklofenako, šis poveikis priklausė nuo dozės (konkrečius rezultatus žiūrėkite toliau). Nepageidaujamų virškinimo trakto ir kepenų reiškinių reikšmingai dažniau pastebėta vartojusiems diklofenako, negu etorikoksibo. Klinikinių tyrimų EDGE ir EDGE II metu pastebėtų nepageidaujamų poveikių dažnis ir MEDAL klinikinio tyrimo metu sunkiais laikytų arba gydymo nutraukimą sąlygojusių nepageidaujamų poveikių dažnis buvo didesnis vartojusiems etorikoksibo, lyginant su vartojusiais diklofenako.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Širdies ir kraujagyslių sistemos saugumo rezultatai</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Patvirtintų sunkių nepageidaujamų širdies ir kraujagyslių sistemos trombozinių reiškinių (susidedančių iš širdies, smegenų kraujagyslių ir periferinių kraujagyslių nepageidaujamų reiškinių) dažnis etorikoksibo ir diklofenako grupėse buvo panašus, apibendrinti duomenys pateikti lentelėje toliau. Statistiškai reikšmingo trombozinių reiškinių dažnių skirtumo tarp etorikoksibo ir diklofenako visuose analizuotuose pogrupiuose, įskaitant pacientų kategorijas pagal riziką širdies ir kraujagyslių sistemai, buvusiai prieš pradedant tyrimą, nebuvo. Vertinant atskirai, patvirtintų širdies ir kraujagyslių sistemos sunkių nepageidaujamų trombozinių reiškinių santykinės rizikos 60 mg ar 90 mg etorikoksibo dozei, palyginti su 150 mg diklofenako doze, buvo panašios.</w:t>
      </w:r>
    </w:p>
    <w:p w:rsidR="00D11660" w:rsidRPr="00D11660" w:rsidRDefault="00D11660" w:rsidP="00D11660">
      <w:pPr>
        <w:tabs>
          <w:tab w:val="left" w:pos="567"/>
        </w:tabs>
        <w:spacing w:after="0" w:line="240" w:lineRule="auto"/>
        <w:rPr>
          <w:rFonts w:ascii="Times New Roman" w:eastAsia="Times New Roman" w:hAnsi="Times New Roman"/>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71"/>
        <w:gridCol w:w="2579"/>
        <w:gridCol w:w="2646"/>
        <w:gridCol w:w="2280"/>
      </w:tblGrid>
      <w:tr w:rsidR="00D11660" w:rsidRPr="005D230C" w:rsidTr="0000520C">
        <w:trPr>
          <w:trHeight w:val="201"/>
          <w:jc w:val="center"/>
        </w:trPr>
        <w:tc>
          <w:tcPr>
            <w:tcW w:w="5000" w:type="pct"/>
            <w:gridSpan w:val="5"/>
            <w:tcBorders>
              <w:top w:val="nil"/>
              <w:left w:val="nil"/>
              <w:bottom w:val="nil"/>
              <w:right w:val="nil"/>
            </w:tcBorders>
          </w:tcPr>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2 lentelė. Patvirtintų trombozinių širdies ir kraujagyslių (ŠK ) reiškinių dažnis (Jungtinė MEDAL programa)</w:t>
            </w:r>
          </w:p>
        </w:tc>
      </w:tr>
      <w:tr w:rsidR="00D11660" w:rsidRPr="005D230C" w:rsidTr="0000520C">
        <w:trPr>
          <w:trHeight w:val="524"/>
          <w:jc w:val="center"/>
        </w:trPr>
        <w:tc>
          <w:tcPr>
            <w:tcW w:w="972" w:type="pct"/>
          </w:tcPr>
          <w:p w:rsidR="00D11660" w:rsidRPr="00D11660" w:rsidRDefault="00090BDC" w:rsidP="00D11660">
            <w:pPr>
              <w:keepNext/>
              <w:keepLines/>
              <w:tabs>
                <w:tab w:val="left" w:pos="567"/>
              </w:tabs>
              <w:spacing w:after="0" w:line="240" w:lineRule="auto"/>
              <w:rPr>
                <w:rFonts w:ascii="Times New Roman" w:eastAsia="Times New Roman" w:hAnsi="Times New Roman"/>
                <w:b/>
                <w:u w:val="single"/>
                <w:lang w:eastAsia="lt-LT"/>
              </w:rPr>
            </w:pPr>
            <w:r>
              <w:rPr>
                <w:noProof/>
                <w:lang w:eastAsia="lt-LT"/>
              </w:rPr>
              <mc:AlternateContent>
                <mc:Choice Requires="wps">
                  <w:drawing>
                    <wp:anchor distT="4294967290" distB="4294967290" distL="114294" distR="114294" simplePos="0" relativeHeight="251657728" behindDoc="0" locked="0" layoutInCell="1" allowOverlap="1">
                      <wp:simplePos x="0" y="0"/>
                      <wp:positionH relativeFrom="column">
                        <wp:posOffset>5660389</wp:posOffset>
                      </wp:positionH>
                      <wp:positionV relativeFrom="paragraph">
                        <wp:posOffset>-228601</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4FE2B" id="Straight Connector 2" o:spid="_x0000_s1026" style="position:absolute;z-index:251657728;visibility:visible;mso-wrap-style:square;mso-width-percent:0;mso-height-percent:0;mso-wrap-distance-left:3.17483mm;mso-wrap-distance-top:-17e-5mm;mso-wrap-distance-right:3.17483mm;mso-wrap-distance-bottom:-17e-5mm;mso-position-horizontal:absolute;mso-position-horizontal-relative:text;mso-position-vertical:absolute;mso-position-vertical-relative:text;mso-width-percent:0;mso-height-percent:0;mso-width-relative:page;mso-height-relative:page" from="445.7pt,-18pt" to="44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">
                      <v:stroke endarrow="block"/>
                    </v:line>
                  </w:pict>
                </mc:Fallback>
              </mc:AlternateContent>
            </w:r>
          </w:p>
        </w:tc>
        <w:tc>
          <w:tcPr>
            <w:tcW w:w="1408" w:type="pct"/>
            <w:gridSpan w:val="2"/>
          </w:tcPr>
          <w:p w:rsidR="00D11660" w:rsidRPr="00D11660" w:rsidRDefault="00D11660" w:rsidP="00D11660">
            <w:pPr>
              <w:keepNext/>
              <w:keepLines/>
              <w:tabs>
                <w:tab w:val="left" w:pos="567"/>
              </w:tabs>
              <w:spacing w:after="0" w:line="240" w:lineRule="auto"/>
              <w:jc w:val="center"/>
              <w:rPr>
                <w:rFonts w:ascii="Times New Roman" w:eastAsia="Times New Roman" w:hAnsi="Times New Roman"/>
                <w:b/>
                <w:lang w:eastAsia="lt-LT"/>
              </w:rPr>
            </w:pPr>
            <w:r w:rsidRPr="00D11660">
              <w:rPr>
                <w:rFonts w:ascii="Times New Roman" w:eastAsia="Times New Roman" w:hAnsi="Times New Roman"/>
                <w:b/>
                <w:lang w:eastAsia="lt-LT"/>
              </w:rPr>
              <w:t>Etorikoksibas</w:t>
            </w:r>
          </w:p>
          <w:p w:rsidR="00D11660" w:rsidRPr="00D11660" w:rsidRDefault="00D11660" w:rsidP="00D11660">
            <w:pPr>
              <w:keepNext/>
              <w:keepLines/>
              <w:tabs>
                <w:tab w:val="left" w:pos="567"/>
              </w:tabs>
              <w:spacing w:after="0" w:line="240" w:lineRule="auto"/>
              <w:jc w:val="center"/>
              <w:rPr>
                <w:rFonts w:ascii="Times New Roman" w:eastAsia="Times New Roman" w:hAnsi="Times New Roman"/>
                <w:b/>
                <w:u w:val="single"/>
                <w:lang w:eastAsia="lt-LT"/>
              </w:rPr>
            </w:pPr>
            <w:r w:rsidRPr="00D11660">
              <w:rPr>
                <w:rFonts w:ascii="Times New Roman" w:eastAsia="Times New Roman" w:hAnsi="Times New Roman"/>
                <w:b/>
                <w:lang w:eastAsia="lt-LT"/>
              </w:rPr>
              <w:t>(N = 16819)</w:t>
            </w:r>
          </w:p>
          <w:p w:rsidR="00D11660" w:rsidRPr="00D11660" w:rsidRDefault="00D11660" w:rsidP="00D11660">
            <w:pPr>
              <w:keepNext/>
              <w:keepLines/>
              <w:tabs>
                <w:tab w:val="left" w:pos="567"/>
              </w:tabs>
              <w:spacing w:after="0" w:line="240" w:lineRule="auto"/>
              <w:jc w:val="center"/>
              <w:rPr>
                <w:rFonts w:ascii="Times New Roman" w:eastAsia="Times New Roman" w:hAnsi="Times New Roman"/>
                <w:b/>
                <w:lang w:eastAsia="lt-LT"/>
              </w:rPr>
            </w:pPr>
            <w:r w:rsidRPr="00D11660">
              <w:rPr>
                <w:rFonts w:ascii="Times New Roman" w:eastAsia="Times New Roman" w:hAnsi="Times New Roman"/>
                <w:b/>
                <w:lang w:eastAsia="lt-LT"/>
              </w:rPr>
              <w:t>25836 pacientų metai</w:t>
            </w:r>
          </w:p>
        </w:tc>
        <w:tc>
          <w:tcPr>
            <w:tcW w:w="1407"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b/>
                <w:lang w:eastAsia="lt-LT"/>
              </w:rPr>
            </w:pPr>
            <w:r w:rsidRPr="00D11660">
              <w:rPr>
                <w:rFonts w:ascii="Times New Roman" w:eastAsia="Times New Roman" w:hAnsi="Times New Roman"/>
                <w:b/>
                <w:lang w:eastAsia="lt-LT"/>
              </w:rPr>
              <w:t>Diklofenakas</w:t>
            </w:r>
          </w:p>
          <w:p w:rsidR="00D11660" w:rsidRPr="00D11660" w:rsidRDefault="00D11660" w:rsidP="00D11660">
            <w:pPr>
              <w:keepNext/>
              <w:keepLines/>
              <w:tabs>
                <w:tab w:val="left" w:pos="567"/>
              </w:tabs>
              <w:spacing w:after="0" w:line="240" w:lineRule="auto"/>
              <w:jc w:val="center"/>
              <w:rPr>
                <w:rFonts w:ascii="Times New Roman" w:eastAsia="Times New Roman" w:hAnsi="Times New Roman"/>
                <w:b/>
                <w:u w:val="single"/>
                <w:lang w:eastAsia="lt-LT"/>
              </w:rPr>
            </w:pPr>
            <w:r w:rsidRPr="00D11660">
              <w:rPr>
                <w:rFonts w:ascii="Times New Roman" w:eastAsia="Times New Roman" w:hAnsi="Times New Roman"/>
                <w:b/>
                <w:lang w:eastAsia="lt-LT"/>
              </w:rPr>
              <w:t>(N = 16483)</w:t>
            </w:r>
          </w:p>
          <w:p w:rsidR="00D11660" w:rsidRPr="00D11660" w:rsidRDefault="00D11660" w:rsidP="00D11660">
            <w:pPr>
              <w:keepNext/>
              <w:keepLines/>
              <w:tabs>
                <w:tab w:val="left" w:pos="567"/>
              </w:tabs>
              <w:spacing w:after="0" w:line="240" w:lineRule="auto"/>
              <w:jc w:val="center"/>
              <w:rPr>
                <w:rFonts w:ascii="Times New Roman" w:eastAsia="Times New Roman" w:hAnsi="Times New Roman"/>
                <w:b/>
                <w:u w:val="single"/>
                <w:lang w:eastAsia="lt-LT"/>
              </w:rPr>
            </w:pPr>
            <w:r w:rsidRPr="00D11660">
              <w:rPr>
                <w:rFonts w:ascii="Times New Roman" w:eastAsia="Times New Roman" w:hAnsi="Times New Roman"/>
                <w:b/>
                <w:lang w:eastAsia="lt-LT"/>
              </w:rPr>
              <w:t>24766 pacientų metai</w:t>
            </w:r>
          </w:p>
        </w:tc>
        <w:tc>
          <w:tcPr>
            <w:tcW w:w="1207"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b/>
                <w:lang w:eastAsia="lt-LT"/>
              </w:rPr>
            </w:pPr>
            <w:r w:rsidRPr="00D11660">
              <w:rPr>
                <w:rFonts w:ascii="Times New Roman" w:eastAsia="Times New Roman" w:hAnsi="Times New Roman"/>
                <w:b/>
                <w:lang w:eastAsia="lt-LT"/>
              </w:rPr>
              <w:t>Tarp gydymo lyginamųjų grupių</w:t>
            </w:r>
          </w:p>
        </w:tc>
      </w:tr>
      <w:tr w:rsidR="00D11660" w:rsidRPr="005D230C" w:rsidTr="0000520C">
        <w:trPr>
          <w:trHeight w:val="263"/>
          <w:jc w:val="center"/>
        </w:trPr>
        <w:tc>
          <w:tcPr>
            <w:tcW w:w="972" w:type="pct"/>
          </w:tcPr>
          <w:p w:rsidR="00D11660" w:rsidRPr="00D11660" w:rsidRDefault="00D11660" w:rsidP="00D11660">
            <w:pPr>
              <w:keepNext/>
              <w:keepLines/>
              <w:tabs>
                <w:tab w:val="left" w:pos="567"/>
              </w:tabs>
              <w:spacing w:after="0" w:line="240" w:lineRule="auto"/>
              <w:rPr>
                <w:rFonts w:ascii="Times New Roman" w:eastAsia="Times New Roman" w:hAnsi="Times New Roman"/>
                <w:b/>
                <w:u w:val="single"/>
                <w:lang w:eastAsia="lt-LT"/>
              </w:rPr>
            </w:pPr>
          </w:p>
        </w:tc>
        <w:tc>
          <w:tcPr>
            <w:tcW w:w="1408" w:type="pct"/>
            <w:gridSpan w:val="2"/>
          </w:tcPr>
          <w:p w:rsidR="00D11660" w:rsidRPr="00D11660" w:rsidRDefault="00D11660" w:rsidP="00D11660">
            <w:pPr>
              <w:keepNext/>
              <w:keepLines/>
              <w:tabs>
                <w:tab w:val="left" w:pos="567"/>
              </w:tabs>
              <w:spacing w:after="0" w:line="240" w:lineRule="auto"/>
              <w:jc w:val="center"/>
              <w:rPr>
                <w:rFonts w:ascii="Times New Roman" w:eastAsia="Times New Roman" w:hAnsi="Times New Roman"/>
                <w:b/>
                <w:lang w:eastAsia="lt-LT"/>
              </w:rPr>
            </w:pPr>
            <w:r w:rsidRPr="00D11660">
              <w:rPr>
                <w:rFonts w:ascii="Times New Roman" w:eastAsia="Times New Roman" w:hAnsi="Times New Roman"/>
                <w:b/>
                <w:lang w:eastAsia="lt-LT"/>
              </w:rPr>
              <w:t>Dažnis</w:t>
            </w:r>
            <w:r w:rsidRPr="00D11660">
              <w:rPr>
                <w:rFonts w:ascii="Times New Roman" w:eastAsia="Times New Roman" w:hAnsi="Times New Roman"/>
                <w:b/>
                <w:bCs/>
                <w:vertAlign w:val="superscript"/>
                <w:lang w:eastAsia="lt-LT"/>
              </w:rPr>
              <w:t>†</w:t>
            </w:r>
            <w:r w:rsidRPr="00D11660">
              <w:rPr>
                <w:rFonts w:ascii="Times New Roman" w:eastAsia="Times New Roman" w:hAnsi="Times New Roman"/>
                <w:b/>
                <w:lang w:eastAsia="lt-LT"/>
              </w:rPr>
              <w:t xml:space="preserve"> (95 % PI)</w:t>
            </w:r>
          </w:p>
        </w:tc>
        <w:tc>
          <w:tcPr>
            <w:tcW w:w="1407"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b/>
                <w:lang w:eastAsia="lt-LT"/>
              </w:rPr>
            </w:pPr>
            <w:r w:rsidRPr="00D11660">
              <w:rPr>
                <w:rFonts w:ascii="Times New Roman" w:eastAsia="Times New Roman" w:hAnsi="Times New Roman"/>
                <w:b/>
                <w:lang w:eastAsia="lt-LT"/>
              </w:rPr>
              <w:t>Dažnis</w:t>
            </w:r>
            <w:r w:rsidRPr="00D11660">
              <w:rPr>
                <w:rFonts w:ascii="Times New Roman" w:eastAsia="Times New Roman" w:hAnsi="Times New Roman"/>
                <w:b/>
                <w:bCs/>
                <w:vertAlign w:val="superscript"/>
                <w:lang w:eastAsia="lt-LT"/>
              </w:rPr>
              <w:t>†</w:t>
            </w:r>
            <w:r w:rsidRPr="00D11660">
              <w:rPr>
                <w:rFonts w:ascii="Times New Roman" w:eastAsia="Times New Roman" w:hAnsi="Times New Roman"/>
                <w:b/>
                <w:lang w:eastAsia="lt-LT"/>
              </w:rPr>
              <w:t xml:space="preserve"> (95 % PI)</w:t>
            </w:r>
          </w:p>
        </w:tc>
        <w:tc>
          <w:tcPr>
            <w:tcW w:w="1207"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b/>
                <w:lang w:eastAsia="lt-LT"/>
              </w:rPr>
            </w:pPr>
            <w:r w:rsidRPr="00D11660">
              <w:rPr>
                <w:rFonts w:ascii="Times New Roman" w:eastAsia="Times New Roman" w:hAnsi="Times New Roman"/>
                <w:b/>
                <w:lang w:eastAsia="lt-LT"/>
              </w:rPr>
              <w:t>Santykinė rizika</w:t>
            </w:r>
          </w:p>
          <w:p w:rsidR="00D11660" w:rsidRPr="00D11660" w:rsidRDefault="00D11660" w:rsidP="00D11660">
            <w:pPr>
              <w:keepNext/>
              <w:keepLines/>
              <w:tabs>
                <w:tab w:val="left" w:pos="567"/>
              </w:tabs>
              <w:spacing w:after="0" w:line="240" w:lineRule="auto"/>
              <w:jc w:val="center"/>
              <w:rPr>
                <w:rFonts w:ascii="Times New Roman" w:eastAsia="Times New Roman" w:hAnsi="Times New Roman"/>
                <w:b/>
                <w:u w:val="single"/>
                <w:lang w:eastAsia="lt-LT"/>
              </w:rPr>
            </w:pPr>
            <w:r w:rsidRPr="00D11660">
              <w:rPr>
                <w:rFonts w:ascii="Times New Roman" w:eastAsia="Times New Roman" w:hAnsi="Times New Roman"/>
                <w:b/>
                <w:lang w:eastAsia="lt-LT"/>
              </w:rPr>
              <w:t>(95 % PI)</w:t>
            </w:r>
          </w:p>
        </w:tc>
      </w:tr>
      <w:tr w:rsidR="00D11660" w:rsidRPr="005D230C" w:rsidTr="0000520C">
        <w:trPr>
          <w:trHeight w:val="201"/>
          <w:jc w:val="center"/>
        </w:trPr>
        <w:tc>
          <w:tcPr>
            <w:tcW w:w="4995" w:type="pct"/>
            <w:gridSpan w:val="5"/>
            <w:shd w:val="clear" w:color="auto" w:fill="F3F3F3"/>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Patvirtinti širdies ir kraujagyslių sistemos sunkūs nepageidaujami tromboziniai reiškiniai</w:t>
            </w:r>
          </w:p>
        </w:tc>
      </w:tr>
      <w:tr w:rsidR="00D11660" w:rsidRPr="005D230C" w:rsidTr="0000520C">
        <w:trPr>
          <w:trHeight w:val="275"/>
          <w:jc w:val="center"/>
        </w:trPr>
        <w:tc>
          <w:tcPr>
            <w:tcW w:w="1010" w:type="pct"/>
            <w:gridSpan w:val="2"/>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Pagal protokolą</w:t>
            </w:r>
          </w:p>
        </w:tc>
        <w:tc>
          <w:tcPr>
            <w:tcW w:w="1371"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1,24 (1,11; 1,38)</w:t>
            </w:r>
          </w:p>
        </w:tc>
        <w:tc>
          <w:tcPr>
            <w:tcW w:w="1407"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1,30 (1,17; 1,45)</w:t>
            </w:r>
          </w:p>
        </w:tc>
        <w:tc>
          <w:tcPr>
            <w:tcW w:w="1207"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0,95 (0,81; 1,11)</w:t>
            </w:r>
          </w:p>
        </w:tc>
      </w:tr>
      <w:tr w:rsidR="00D11660" w:rsidRPr="005D230C" w:rsidTr="0000520C">
        <w:trPr>
          <w:trHeight w:val="275"/>
          <w:jc w:val="center"/>
        </w:trPr>
        <w:tc>
          <w:tcPr>
            <w:tcW w:w="1010" w:type="pct"/>
            <w:gridSpan w:val="2"/>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Numatyti gydymui pacientai</w:t>
            </w:r>
          </w:p>
        </w:tc>
        <w:tc>
          <w:tcPr>
            <w:tcW w:w="1371"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1,25 (1,14; 1,36)</w:t>
            </w:r>
          </w:p>
        </w:tc>
        <w:tc>
          <w:tcPr>
            <w:tcW w:w="1407"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1,19 (1,08; 1,30)</w:t>
            </w:r>
          </w:p>
        </w:tc>
        <w:tc>
          <w:tcPr>
            <w:tcW w:w="1207" w:type="pct"/>
          </w:tcPr>
          <w:p w:rsidR="00D11660" w:rsidRPr="00D11660" w:rsidRDefault="00D11660" w:rsidP="00D11660">
            <w:pPr>
              <w:keepNext/>
              <w:keepLines/>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1,05 (0,93; 1,19)</w:t>
            </w:r>
          </w:p>
        </w:tc>
      </w:tr>
      <w:tr w:rsidR="00D11660" w:rsidRPr="005D230C" w:rsidTr="0000520C">
        <w:trPr>
          <w:trHeight w:val="275"/>
          <w:jc w:val="center"/>
        </w:trPr>
        <w:tc>
          <w:tcPr>
            <w:tcW w:w="4995" w:type="pct"/>
            <w:gridSpan w:val="5"/>
            <w:shd w:val="clear" w:color="auto" w:fill="F3F3F3"/>
          </w:tcPr>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Patvirtinti širdies reiškiniai</w:t>
            </w:r>
          </w:p>
        </w:tc>
      </w:tr>
      <w:tr w:rsidR="00D11660" w:rsidRPr="005D230C" w:rsidTr="0000520C">
        <w:trPr>
          <w:trHeight w:val="170"/>
          <w:jc w:val="center"/>
        </w:trPr>
        <w:tc>
          <w:tcPr>
            <w:tcW w:w="1010" w:type="pct"/>
            <w:gridSpan w:val="2"/>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Pagal protokolą</w:t>
            </w:r>
          </w:p>
        </w:tc>
        <w:tc>
          <w:tcPr>
            <w:tcW w:w="1371" w:type="pct"/>
          </w:tcPr>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0,71 (0,61; 0,82)</w:t>
            </w:r>
          </w:p>
        </w:tc>
        <w:tc>
          <w:tcPr>
            <w:tcW w:w="1407" w:type="pct"/>
          </w:tcPr>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0,78 (0,68; 0,90)</w:t>
            </w:r>
          </w:p>
        </w:tc>
        <w:tc>
          <w:tcPr>
            <w:tcW w:w="1207" w:type="pct"/>
          </w:tcPr>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0,90 (0,74; 1,10)</w:t>
            </w:r>
          </w:p>
        </w:tc>
      </w:tr>
      <w:tr w:rsidR="00D11660" w:rsidRPr="005D230C" w:rsidTr="0000520C">
        <w:trPr>
          <w:trHeight w:val="170"/>
          <w:jc w:val="center"/>
        </w:trPr>
        <w:tc>
          <w:tcPr>
            <w:tcW w:w="1010" w:type="pct"/>
            <w:gridSpan w:val="2"/>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Numatyti gydymui pacientai</w:t>
            </w:r>
          </w:p>
        </w:tc>
        <w:tc>
          <w:tcPr>
            <w:tcW w:w="1371" w:type="pct"/>
          </w:tcPr>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0,69 (0,61; 0,78)</w:t>
            </w:r>
          </w:p>
        </w:tc>
        <w:tc>
          <w:tcPr>
            <w:tcW w:w="1407" w:type="pct"/>
          </w:tcPr>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0,70 (0,62; 0,79)</w:t>
            </w:r>
          </w:p>
        </w:tc>
        <w:tc>
          <w:tcPr>
            <w:tcW w:w="1207" w:type="pct"/>
          </w:tcPr>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0,99 (0,84; 1,17)</w:t>
            </w:r>
          </w:p>
        </w:tc>
      </w:tr>
      <w:tr w:rsidR="00D11660" w:rsidRPr="005D230C" w:rsidTr="0000520C">
        <w:trPr>
          <w:trHeight w:val="170"/>
          <w:jc w:val="center"/>
        </w:trPr>
        <w:tc>
          <w:tcPr>
            <w:tcW w:w="4995" w:type="pct"/>
            <w:gridSpan w:val="5"/>
            <w:shd w:val="clear" w:color="auto" w:fill="F3F3F3"/>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Patvirtinti galvos smegenų kraujagyslių reiškiniai</w:t>
            </w:r>
          </w:p>
        </w:tc>
      </w:tr>
      <w:tr w:rsidR="00D11660" w:rsidRPr="005D230C" w:rsidTr="0000520C">
        <w:trPr>
          <w:trHeight w:val="170"/>
          <w:jc w:val="center"/>
        </w:trPr>
        <w:tc>
          <w:tcPr>
            <w:tcW w:w="1010" w:type="pct"/>
            <w:gridSpan w:val="2"/>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Pagal protokolą</w:t>
            </w:r>
          </w:p>
        </w:tc>
        <w:tc>
          <w:tcPr>
            <w:tcW w:w="1371"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0,34 (0,28; 0,42)</w:t>
            </w:r>
          </w:p>
        </w:tc>
        <w:tc>
          <w:tcPr>
            <w:tcW w:w="1407"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0,32 (0,25; 0,40)</w:t>
            </w:r>
          </w:p>
        </w:tc>
        <w:tc>
          <w:tcPr>
            <w:tcW w:w="1207"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1,08 (0,80; 1,46)</w:t>
            </w:r>
          </w:p>
        </w:tc>
      </w:tr>
      <w:tr w:rsidR="00D11660" w:rsidRPr="005D230C" w:rsidTr="0000520C">
        <w:trPr>
          <w:trHeight w:val="170"/>
          <w:jc w:val="center"/>
        </w:trPr>
        <w:tc>
          <w:tcPr>
            <w:tcW w:w="1010" w:type="pct"/>
            <w:gridSpan w:val="2"/>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Numatyti gydymui pacientai</w:t>
            </w:r>
          </w:p>
        </w:tc>
        <w:tc>
          <w:tcPr>
            <w:tcW w:w="1371"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0,33 (0,28; 0,39)</w:t>
            </w:r>
          </w:p>
        </w:tc>
        <w:tc>
          <w:tcPr>
            <w:tcW w:w="1407"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0,29 (0,24; 0,35)</w:t>
            </w:r>
          </w:p>
        </w:tc>
        <w:tc>
          <w:tcPr>
            <w:tcW w:w="1207"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1,12 (0,87; 1,44)</w:t>
            </w:r>
          </w:p>
        </w:tc>
      </w:tr>
      <w:tr w:rsidR="00D11660" w:rsidRPr="005D230C" w:rsidTr="0000520C">
        <w:trPr>
          <w:trHeight w:val="170"/>
          <w:jc w:val="center"/>
        </w:trPr>
        <w:tc>
          <w:tcPr>
            <w:tcW w:w="4995" w:type="pct"/>
            <w:gridSpan w:val="5"/>
            <w:shd w:val="clear" w:color="auto" w:fill="F3F3F3"/>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Patvirtinti periferinių kraujagyslių reiškiniai</w:t>
            </w:r>
          </w:p>
        </w:tc>
      </w:tr>
      <w:tr w:rsidR="00D11660" w:rsidRPr="005D230C" w:rsidTr="0000520C">
        <w:trPr>
          <w:trHeight w:val="190"/>
          <w:jc w:val="center"/>
        </w:trPr>
        <w:tc>
          <w:tcPr>
            <w:tcW w:w="1010" w:type="pct"/>
            <w:gridSpan w:val="2"/>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Pagal protokolą</w:t>
            </w:r>
          </w:p>
        </w:tc>
        <w:tc>
          <w:tcPr>
            <w:tcW w:w="1371"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0,20 (0,15; 0,27)</w:t>
            </w:r>
          </w:p>
        </w:tc>
        <w:tc>
          <w:tcPr>
            <w:tcW w:w="1407"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0,22 (0,17; 0,29)</w:t>
            </w:r>
          </w:p>
        </w:tc>
        <w:tc>
          <w:tcPr>
            <w:tcW w:w="1207"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0,92 (0,63; 1,35)</w:t>
            </w:r>
          </w:p>
        </w:tc>
      </w:tr>
      <w:tr w:rsidR="00D11660" w:rsidRPr="005D230C" w:rsidTr="0000520C">
        <w:trPr>
          <w:trHeight w:val="190"/>
          <w:jc w:val="center"/>
        </w:trPr>
        <w:tc>
          <w:tcPr>
            <w:tcW w:w="1010" w:type="pct"/>
            <w:gridSpan w:val="2"/>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Numatyti gydymui pacientai</w:t>
            </w:r>
          </w:p>
        </w:tc>
        <w:tc>
          <w:tcPr>
            <w:tcW w:w="1371"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0,24 (0,20; 0,30)</w:t>
            </w:r>
          </w:p>
        </w:tc>
        <w:tc>
          <w:tcPr>
            <w:tcW w:w="1407"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0,23 (0,18; 0,28)</w:t>
            </w:r>
          </w:p>
        </w:tc>
        <w:tc>
          <w:tcPr>
            <w:tcW w:w="1207" w:type="pct"/>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1,08 (0,81; 1,44)</w:t>
            </w:r>
          </w:p>
        </w:tc>
      </w:tr>
      <w:tr w:rsidR="00D11660" w:rsidRPr="005D230C" w:rsidTr="0000520C">
        <w:trPr>
          <w:trHeight w:val="525"/>
          <w:jc w:val="center"/>
        </w:trPr>
        <w:tc>
          <w:tcPr>
            <w:tcW w:w="4995" w:type="pct"/>
            <w:gridSpan w:val="5"/>
          </w:tcPr>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bCs/>
                <w:vertAlign w:val="superscript"/>
                <w:lang w:eastAsia="lt-LT"/>
              </w:rPr>
              <w:t>†</w:t>
            </w:r>
            <w:r w:rsidRPr="00D11660">
              <w:rPr>
                <w:rFonts w:ascii="Times New Roman" w:eastAsia="Times New Roman" w:hAnsi="Times New Roman"/>
                <w:lang w:eastAsia="lt-LT"/>
              </w:rPr>
              <w:t xml:space="preserve"> reiškinių per 100 paciento metų; PI = pasikliautinasis intervalas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 = bendras pacientų, įtrauktų į populiaciją „pagal protokolą“, skaičius</w:t>
            </w:r>
          </w:p>
          <w:p w:rsidR="00D11660" w:rsidRPr="00D11660" w:rsidRDefault="00D11660" w:rsidP="00D11660">
            <w:pPr>
              <w:tabs>
                <w:tab w:val="left" w:pos="567"/>
              </w:tabs>
              <w:spacing w:after="0" w:line="240" w:lineRule="auto"/>
              <w:rPr>
                <w:rFonts w:ascii="Times New Roman" w:eastAsia="Times New Roman" w:hAnsi="Times New Roman"/>
                <w:strike/>
                <w:lang w:eastAsia="lt-LT"/>
              </w:rPr>
            </w:pPr>
            <w:r w:rsidRPr="00D11660">
              <w:rPr>
                <w:rFonts w:ascii="Times New Roman" w:eastAsia="Times New Roman" w:hAnsi="Times New Roman"/>
                <w:i/>
                <w:lang w:eastAsia="lt-LT"/>
              </w:rPr>
              <w:t>Pagal protokolą</w:t>
            </w:r>
            <w:r w:rsidRPr="00D11660">
              <w:rPr>
                <w:rFonts w:ascii="Times New Roman" w:eastAsia="Times New Roman" w:hAnsi="Times New Roman"/>
                <w:lang w:eastAsia="lt-LT"/>
              </w:rPr>
              <w:t>: visi reiškiniai, pastebėti gydant tyrimo metu arba per 14 parų po gydymo nutraukimo (išskyrus pacientus, kurie suvartojo mažiau kaip 75 % jiems skirto tiriamojo vaistinio preparato arba ilgiau kaip 10 % tyrimo laiko vartojo ne tiriamuosius NVNU).</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lang w:eastAsia="lt-LT"/>
              </w:rPr>
              <w:t>Numatyti gydymui pacientai</w:t>
            </w:r>
            <w:r w:rsidRPr="00D11660">
              <w:rPr>
                <w:rFonts w:ascii="Times New Roman" w:eastAsia="Times New Roman" w:hAnsi="Times New Roman"/>
                <w:lang w:eastAsia="lt-LT"/>
              </w:rPr>
              <w:t>: visi iki tyrimo pabaigos patvirtinti reiškiniai (įskaitant pacientus, kurie nutraukus tiriamąjį gydymą galimai buvo paveikti kitų, nei tiriamieji vaistiniai preparatai, intervencijų). Iš viso buvo randomizuota 17412 pacientų etorikoksibo grupėje ir 17289 pacientai diklofenako grupėje.</w:t>
            </w:r>
          </w:p>
        </w:tc>
      </w:tr>
    </w:tbl>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Mirtingumas dėl širdies ir kraujagyslių sistemos sutrikimų, kaip ir bendrasis mirtingumas, etorikoksibo ir diklofenako gydymo grupėse buvo panašus.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Širdies ir inkstų reiškiniai</w:t>
      </w: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lang w:eastAsia="lt-LT"/>
        </w:rPr>
        <w:t>Maždaug 50 % pacientų, įtrauktų į MEDAL klinikinį tyrimą, prieš pradedant jį sirgo arterine hipertenzija. Klinikinio tyrimo metu gydymo nutraukimo dėl su padidėjusiu kraujospūdžiu susijusių nepageidaujamų reiškinių dažnis etorikoksibo grupėje buvo statistiškai reikšmingai didesnis, palyginti su diklofenako grupe. Stazinio širdies nepakankamumo nepageidaujami reiškiniai (gydymo nutraukimai ir sunkūs reiškiniai), vartojant 60 mg etorikoksibo dozę ar 150 mg diklofenako dozę, pasireiškė panašiai dažnai, bet buvo dažnesni vartojusiems 90 mg etorikoksibo dozę, lyginant su 150 mg diklofenako doze (statistiškai reikšminga MEDAL OA grupėje palyginus 90 mg etorikoksibo dozės ir 150 mg diklofenako dozės vartojimą). Patvirtintų stazinio širdies nepakankamumo nepageidaujamų reiškinių (buvo sunkūs ir dėl jų reikėjo pacientą hospitalizuoti arba kreiptis į skubios pagalbos skyrių) dažnis buvo nereikšmingai didesnis vartojusiems etorikoksibo, negu vartojusiems 150 mg diklofenako dozę, ir tai priklausė nuo dozės. Gydymą nutraukti dėl su edema susijusių nepageidaujamų reiškinių reikėjo dažniau vartojusiems etorikoksibo, negu vartojusiems 150 mg diklofenako dozę, šis poveikis priklausė nuo dozės (statistiškai reikšminga vartojusiems 90 mg, bet ne 60 mg etorikoksibo dozę).</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Širdies ir inkstų reiškinių rezultatai, gauti tyrimų EDGE ir EDGE II metu, atitiko aprašytuosius MEDAL klinikiniame tyrime.</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bidi="he-IL"/>
        </w:rPr>
        <w:t>Atskirų MEDAL programos klinikinių tyrimų metu vartojant etorikoksibo (60 mg arba 90 mg dozę), absoliutus nutraukimo dažnis bet kurioje gydymo grupėje buvo iki 2,6 % dėl hipertenzijos, iki 1,9 % dėl edemos ir iki 1,1 % dėl stazinio širdies nepakankamumo; gydymą nutraukti reikėdavo dažniau vartojusiems 90 mg etorikoksibo dozę, negu vartojusiems 60 mg dozę.</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Toleravimo virškinimo trakte MEDAL programos rezultatai</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Gydymo nutraukimo dėl bet kokių klinikinių virškinimo trakto nepageidaujamų reiškinių (pvz., dispepsijos, pilvo skausmo, opų) dažnis kiekviename iš trijų MEDAL programos klinikinių tyrimų etorikoksibo grupėse buvo reikšmingai mažesnis palyginti su diklofenako grupėmis. Gydymo nutraukimo dėl nepageidaujamų klinikinių virškinimo trakto reiškinių dažnis per vieną šimtą paciento metų viso klinikinio tyrimo metu buvo: 3,23 dėl etorikoksibo ir 4,96 dėl diklofenako MEDAL klinikinio tyrimo metu, 9,12 dėl etorikoksibo ir 12,28 dėl diklofenako EDGE klinikinio tyrimo metu ir 3,71 dėl etorikoksibo ir 4,81 dėl diklofenako EDGE II klinikinio tyrimo metu.</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Saugumo virškinimo traktui MEDAL programos rezultatai</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Bendri viršutinės virškinimo trakto dalies nepageidaujami reiškiniai buvo apibūdinti kaip perforacijos, opos ir kraujavimai. Iš bendrų viršutinės virškinimo trakto dalies nepageidaujamų reiškinių išskirtas pogrupis komplikuotų nepageidaujamų reiškinių, į kurį buvo įtrauktos perforacijos, obstrukcijos ir komplikuotas kraujavimas. Į viršutinės virškinimo trakto dalies nekomplikuotų nepageidaujamų reiškinių pogrupį buvo įtrauktas kraujavimas be komplikacijų ir opos be komplikacijų. Bendrų viršutinės virškinimo trakto dalies nepageidaujamų reiškinių reikšmingai mažiau pastebėta etorikoksibo grupėje, negu diklofenako grupėje. Tarp etorikoksibo ir diklofenako sukeltų komplikuotų reiškinių dažnio reikšmingo skirtumo nebuvo. Viršutinės virškinimo trakto dalies kraujavimo reiškinių (sudėjus komplikuotus ir nekomplikuotus) pogrupyje reikšmingo skirtumo tarp etorikoksibo ir diklofenako nebuvo. Etorikoksibo nauda, lyginant su diklofenaku, viršutinei virškinimo trakto daliai nebuvo statistiškai reikšminga pacientams, kartu vartojusiems mažą acetilsalicilo rūgšties dozę (maždaug 33 % pacientų).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Cs/>
          <w:u w:val="double"/>
          <w:lang w:eastAsia="lt-LT"/>
        </w:rPr>
      </w:pPr>
      <w:r w:rsidRPr="00D11660">
        <w:rPr>
          <w:rFonts w:ascii="Times New Roman" w:eastAsia="Times New Roman" w:hAnsi="Times New Roman"/>
          <w:bCs/>
          <w:lang w:eastAsia="lt-LT"/>
        </w:rPr>
        <w:t xml:space="preserve">Patvirtintų komplikuotų ir nekomplikuotų </w:t>
      </w:r>
      <w:r w:rsidRPr="00D11660">
        <w:rPr>
          <w:rFonts w:ascii="Times New Roman" w:eastAsia="Times New Roman" w:hAnsi="Times New Roman"/>
          <w:lang w:eastAsia="lt-LT"/>
        </w:rPr>
        <w:t xml:space="preserve">viršutinės virškinimo trakto dalies nepageidaujamų reiškinių </w:t>
      </w:r>
      <w:r w:rsidRPr="00D11660">
        <w:rPr>
          <w:rFonts w:ascii="Times New Roman" w:eastAsia="Times New Roman" w:hAnsi="Times New Roman"/>
          <w:bCs/>
          <w:lang w:eastAsia="lt-LT"/>
        </w:rPr>
        <w:t>(</w:t>
      </w:r>
      <w:r w:rsidRPr="00D11660">
        <w:rPr>
          <w:rFonts w:ascii="Times New Roman" w:eastAsia="Times New Roman" w:hAnsi="Times New Roman"/>
          <w:lang w:eastAsia="lt-LT"/>
        </w:rPr>
        <w:t>perforacijų, opų ir kraujavimo (POK)) dažnis per</w:t>
      </w:r>
      <w:r w:rsidRPr="00D11660">
        <w:rPr>
          <w:rFonts w:ascii="Times New Roman" w:eastAsia="Times New Roman" w:hAnsi="Times New Roman"/>
          <w:bCs/>
          <w:lang w:eastAsia="lt-LT"/>
        </w:rPr>
        <w:t xml:space="preserve"> vieną šimtą paciento metų buvo 0,67 (95 % PI 0,57; 0,77) etorikoksibui ir 0,97 (95 % PI 0,85; 1,10) diklofenakui, sąlygojantys 0,69 (95 % PI 0,57; 0,83) santykinę riziką.</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Buvo įvertintas patvirtintų viršutinės virškinimo trakto dalies nepageidaujamų reiškinių dažnis senyviems pacientams ir pastebėta, kad reiškinių dažnis per vieną šimtą paciento metų labiausiai sumažėja 75 metų ir vyresniems pacientams ir yra 1,35 (95 % PI 0,94; 1,87) dėl etorikoksibo bei 2,78 (95 % PI 2,14; 3,56) dėl diklofenako.</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Cs/>
          <w:lang w:eastAsia="lt-LT"/>
        </w:rPr>
      </w:pPr>
      <w:r w:rsidRPr="00D11660">
        <w:rPr>
          <w:rFonts w:ascii="Times New Roman" w:eastAsia="Times New Roman" w:hAnsi="Times New Roman"/>
          <w:bCs/>
          <w:lang w:eastAsia="lt-LT"/>
        </w:rPr>
        <w:t xml:space="preserve">Patvirtintų </w:t>
      </w:r>
      <w:r w:rsidRPr="00D11660">
        <w:rPr>
          <w:rFonts w:ascii="Times New Roman" w:eastAsia="Times New Roman" w:hAnsi="Times New Roman"/>
          <w:lang w:eastAsia="lt-LT"/>
        </w:rPr>
        <w:t xml:space="preserve">apatinės virškinimo trakto dalies nepageidaujamų klinikinių reiškinių </w:t>
      </w:r>
      <w:r w:rsidRPr="00D11660">
        <w:rPr>
          <w:rFonts w:ascii="Times New Roman" w:eastAsia="Times New Roman" w:hAnsi="Times New Roman"/>
          <w:bCs/>
          <w:lang w:eastAsia="lt-LT"/>
        </w:rPr>
        <w:t>(plonojo arba storojo žarnyno perforacija, obstrukcija arba kraujavimas) dažnis tarp etorikoksibo ir diklofenako grupių statistiškai reikšmingai nesiskyrė.</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Kepenų saugumo MEDAL programos rezultatai</w:t>
      </w:r>
    </w:p>
    <w:p w:rsidR="00D11660" w:rsidRPr="00D11660" w:rsidDel="0013056D" w:rsidRDefault="00D11660" w:rsidP="00D11660">
      <w:pPr>
        <w:tabs>
          <w:tab w:val="left" w:pos="567"/>
        </w:tabs>
        <w:spacing w:after="0" w:line="240" w:lineRule="auto"/>
        <w:rPr>
          <w:rFonts w:ascii="Times New Roman" w:eastAsia="Times New Roman" w:hAnsi="Times New Roman"/>
          <w:bCs/>
          <w:lang w:eastAsia="lt-LT"/>
        </w:rPr>
      </w:pPr>
      <w:r w:rsidRPr="00D11660">
        <w:rPr>
          <w:rFonts w:ascii="Times New Roman" w:eastAsia="Times New Roman" w:hAnsi="Times New Roman"/>
          <w:lang w:eastAsia="lt-LT"/>
        </w:rPr>
        <w:t>Etorikoksibas buvo susijęs su statistiškai reikšmingai mažesniu gydymo nutraukimo dėl nepageidaujamų su kepenimis susijusių reiškinių dažniu, palyginti su diklofenaku. Jungtinėje MEDAL programoje 0,3 % etorikoksibo vartojusių pacientų ir 2,7 % diklofenako vartojusių pacientų gydymą nutraukė dėl su kepenimis susijusių nepageidaujamų reiškinių. Dažnis per šimtą paciento metų buvo 0,22 dėl etorikoksibo ir 1,84 dėl diklofenako (p dydis &lt; 0,001 etorikoksibui, palyginti su diklofenaku). Vis dėlto dauguma su kepenų funkcija susijusių nepageidaujamų reiškinių MEDAL programos metu buvo nesunkūs.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Papildomi saugumo dėl širdies ir kraujagyslių sistemos trombozių duomenys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Klinikinių tyrimų, išskyrus MEDAL programos tyrimus, metu apie 3100 pacientų 12 savaičių arba ilgiau buvo gydyti ≥ 60 mg etorikoksibo doze per parą. Pastebimo patvirtintų sunkių trombozinių širdies ir kraujagyslių reiškinių dažnio skirtumo pacientams, vartojusiems ≥ 60 mg etorikoksibo, placebo arba ne naprokseno NVNU, nebuvo. Vis dėlto šių reiškinių dažnis buvo didesnis pacientams, vartojusiems etorikoksibo, lyginant su pacientais, vartojusiais 500 mg naprokseno du kartus per parą dozę. COX-1 slopinančių NVNU ir COX-2 selektyvių inhibitorių antitrombocitinio aktyvumo skirtumas gali būti kliniškai reikšmingas pacientams, kuriems yra tromboembolinių reiškinių rizika. Selektyvūs COX-2 inhibitoriai mažina sisteminio (ir todėl galimai endotelinio) prostaciklino formavimąsi, neveikdami trombocitų tromboksano. Šių pastebėjimų klinikinė reikšmė nenustatyta.</w:t>
      </w: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Papildomi saugumo virškinimo traktui duomenys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Per du 12 savaičių trukmės dvigubai koduotus endoskopijos tyrimus, skrandžio ir dvylikapirštės žarnos opų kumuliacinis dažnis buvo reikšmingai mažesnis pacientams, gydytiems 120 mg etorikoksibo vieną kartą per parą, palyginti su pacientais, gydytais arba 500 mg naprokseno du kartus per parą, arba 800 mg ibuprofeno tris kartus per parą doze. Vartojant etorikoksibo išopėjimų buvo daugiau, negu vartojant placebo.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Senyvų pacientų inkstų funkcijos tyrimas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Randomizuoto, dvigubai aklo, placebu kontroliuoto paralelinių grupių tyrimo metu buvo įvertintas etorikoksibo (90 mg), celekoksibo (200 mg du kartus per parą), naprokseno (500 mg du kartus per parą) ir placebo, vartotų 15 parų, poveikis natrio išsiskyrimui su šlapimu, kraujospūdžiui ir kitiems inkstų funkcijos rodmenims 60</w:t>
      </w:r>
      <w:r w:rsidRPr="00D11660">
        <w:rPr>
          <w:rFonts w:ascii="Times New Roman" w:eastAsia="Times New Roman" w:hAnsi="Times New Roman"/>
          <w:lang w:eastAsia="lt-LT"/>
        </w:rPr>
        <w:noBreakHyphen/>
        <w:t>85 metų pacientams, kurie laikėsi 200 mEq per parą natrio dietos. Etorikoksibas, celekoksibas ir naproksenas, vartojami ilgiau kaip 2 savaites, panašiai veikė natrio išsiskyrimą su šlapimu. Visi veiklūs palyginamieji vaistiniai preparatai didino sistolinį kraujospūdį, lyginant su placebu, vis dėlto etorikoksibas buvo susijęs su statistiškai reikšmingu kraujospūdžio padidėjimu 14-ąją parą, lyginant su celekoksibu ir naproksenu (vidutinis pokytis nuo pradinio sistolinio kraujospūdžio: vartojant etorikoksibo – 7,7 mmHg, celekoksibo – 2,4 mmHg, naprokseno – 3,6 mmHg).</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5.2 </w:t>
      </w:r>
      <w:r w:rsidRPr="00D11660">
        <w:rPr>
          <w:rFonts w:ascii="Times New Roman" w:eastAsia="Times New Roman" w:hAnsi="Times New Roman"/>
          <w:b/>
          <w:lang w:eastAsia="lt-LT"/>
        </w:rPr>
        <w:tab/>
        <w:t>Farmakokinetinės savybės</w:t>
      </w:r>
    </w:p>
    <w:p w:rsidR="00D11660" w:rsidRPr="00D11660" w:rsidRDefault="00D11660" w:rsidP="00D11660">
      <w:pPr>
        <w:keepNext/>
        <w:keepLines/>
        <w:tabs>
          <w:tab w:val="left" w:pos="567"/>
        </w:tabs>
        <w:spacing w:after="0" w:line="240" w:lineRule="auto"/>
        <w:outlineLvl w:val="2"/>
        <w:rPr>
          <w:rFonts w:ascii="Times New Roman" w:eastAsia="Times New Roman" w:hAnsi="Times New Roman"/>
          <w:u w:val="single"/>
          <w:lang w:eastAsia="lt-LT"/>
        </w:rPr>
      </w:pPr>
    </w:p>
    <w:p w:rsidR="00D11660" w:rsidRPr="00D11660" w:rsidRDefault="00D11660" w:rsidP="00D11660">
      <w:pPr>
        <w:keepNext/>
        <w:keepLines/>
        <w:tabs>
          <w:tab w:val="left" w:pos="567"/>
        </w:tabs>
        <w:spacing w:after="0" w:line="240" w:lineRule="auto"/>
        <w:outlineLvl w:val="2"/>
        <w:rPr>
          <w:rFonts w:ascii="Times New Roman" w:eastAsia="Times New Roman" w:hAnsi="Times New Roman"/>
          <w:u w:val="single"/>
          <w:lang w:eastAsia="lt-LT"/>
        </w:rPr>
      </w:pPr>
      <w:r w:rsidRPr="00D11660">
        <w:rPr>
          <w:rFonts w:ascii="Times New Roman" w:eastAsia="Times New Roman" w:hAnsi="Times New Roman"/>
          <w:u w:val="single"/>
          <w:lang w:eastAsia="lt-LT"/>
        </w:rPr>
        <w:t>Absorbcija</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Išgertas etorikoksibas absorbuojamas gerai. Absoliutus biologinis prieinamumas yra apie 100 %. Vartojant 120 mg dozę vieną kartą per parą ir nusistovėjus pusiausvyrinei apykaitai, didžiausia koncentracija plazmoje (geometrinis vidurkis C</w:t>
      </w:r>
      <w:r w:rsidRPr="00D11660">
        <w:rPr>
          <w:rFonts w:ascii="Times New Roman" w:eastAsia="Times New Roman" w:hAnsi="Times New Roman"/>
          <w:vertAlign w:val="subscript"/>
          <w:lang w:eastAsia="lt-LT"/>
        </w:rPr>
        <w:t>max</w:t>
      </w:r>
      <w:r w:rsidRPr="00D11660">
        <w:rPr>
          <w:rFonts w:ascii="Times New Roman" w:eastAsia="Times New Roman" w:hAnsi="Times New Roman"/>
          <w:lang w:eastAsia="lt-LT"/>
        </w:rPr>
        <w:t>= 3,6 </w:t>
      </w:r>
      <w:r w:rsidRPr="00D11660">
        <w:rPr>
          <w:rFonts w:ascii="Times New Roman" w:eastAsia="Times New Roman" w:hAnsi="Times New Roman"/>
          <w:lang w:eastAsia="lt-LT"/>
        </w:rPr>
        <w:sym w:font="Symbol" w:char="F06D"/>
      </w:r>
      <w:r w:rsidRPr="00D11660">
        <w:rPr>
          <w:rFonts w:ascii="Times New Roman" w:eastAsia="Times New Roman" w:hAnsi="Times New Roman"/>
          <w:lang w:eastAsia="lt-LT"/>
        </w:rPr>
        <w:t>g/ml) stebėta praėjus maždaug 1 valandai (T</w:t>
      </w:r>
      <w:r w:rsidRPr="00D11660">
        <w:rPr>
          <w:rFonts w:ascii="Times New Roman" w:eastAsia="Times New Roman" w:hAnsi="Times New Roman"/>
          <w:vertAlign w:val="subscript"/>
          <w:lang w:eastAsia="lt-LT"/>
        </w:rPr>
        <w:t>max</w:t>
      </w:r>
      <w:r w:rsidRPr="00D11660">
        <w:rPr>
          <w:rFonts w:ascii="Times New Roman" w:eastAsia="Times New Roman" w:hAnsi="Times New Roman"/>
          <w:lang w:eastAsia="lt-LT"/>
        </w:rPr>
        <w:t>) po vaistinio preparato suvartojimo nevalgiusiems suaugusiesiems. Ploto po koncentracijos kreive (AUC</w:t>
      </w:r>
      <w:r w:rsidRPr="00D11660">
        <w:rPr>
          <w:rFonts w:ascii="Times New Roman" w:eastAsia="Times New Roman" w:hAnsi="Times New Roman"/>
          <w:vertAlign w:val="subscript"/>
          <w:lang w:eastAsia="lt-LT"/>
        </w:rPr>
        <w:t>0-24val.</w:t>
      </w:r>
      <w:r w:rsidRPr="00D11660">
        <w:rPr>
          <w:rFonts w:ascii="Times New Roman" w:eastAsia="Times New Roman" w:hAnsi="Times New Roman"/>
          <w:lang w:eastAsia="lt-LT"/>
        </w:rPr>
        <w:t>) geometrinis vidurkis buvo 37,8 </w:t>
      </w:r>
      <w:r w:rsidRPr="00D11660">
        <w:rPr>
          <w:rFonts w:ascii="Times New Roman" w:eastAsia="Times New Roman" w:hAnsi="Times New Roman"/>
          <w:lang w:eastAsia="lt-LT"/>
        </w:rPr>
        <w:sym w:font="Symbol" w:char="F06D"/>
      </w:r>
      <w:r w:rsidRPr="00D11660">
        <w:rPr>
          <w:rFonts w:ascii="Times New Roman" w:eastAsia="Times New Roman" w:hAnsi="Times New Roman"/>
          <w:lang w:eastAsia="lt-LT"/>
        </w:rPr>
        <w:t>g</w:t>
      </w:r>
      <w:r w:rsidRPr="00D11660">
        <w:rPr>
          <w:rFonts w:ascii="Times New Roman" w:eastAsia="Times New Roman" w:hAnsi="Times New Roman"/>
          <w:lang w:eastAsia="lt-LT"/>
        </w:rPr>
        <w:sym w:font="Symbol" w:char="F0B7"/>
      </w:r>
      <w:r w:rsidRPr="00D11660">
        <w:rPr>
          <w:rFonts w:ascii="Times New Roman" w:eastAsia="Times New Roman" w:hAnsi="Times New Roman"/>
          <w:lang w:eastAsia="lt-LT"/>
        </w:rPr>
        <w:t>val./ml. Klinikinių dozių diapazone etorikoksibo farmakokinetika yra tiesinė.</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Vartojimas su maistu (labai riebus maistas) neturėjo įtakos išgertos etorikoksibo 120 mg dozės absorbcijos apimčiai. Absorbcijos greitis pakito – C</w:t>
      </w:r>
      <w:r w:rsidRPr="00D11660">
        <w:rPr>
          <w:rFonts w:ascii="Times New Roman" w:eastAsia="Times New Roman" w:hAnsi="Times New Roman"/>
          <w:vertAlign w:val="subscript"/>
          <w:lang w:eastAsia="lt-LT"/>
        </w:rPr>
        <w:t>max</w:t>
      </w:r>
      <w:r w:rsidRPr="00D11660">
        <w:rPr>
          <w:rFonts w:ascii="Times New Roman" w:eastAsia="Times New Roman" w:hAnsi="Times New Roman"/>
          <w:lang w:eastAsia="lt-LT"/>
        </w:rPr>
        <w:t xml:space="preserve"> sumažėjo 36 % ir T</w:t>
      </w:r>
      <w:r w:rsidRPr="00D11660">
        <w:rPr>
          <w:rFonts w:ascii="Times New Roman" w:eastAsia="Times New Roman" w:hAnsi="Times New Roman"/>
          <w:vertAlign w:val="subscript"/>
          <w:lang w:eastAsia="lt-LT"/>
        </w:rPr>
        <w:t>max</w:t>
      </w:r>
      <w:r w:rsidRPr="00D11660">
        <w:rPr>
          <w:rFonts w:ascii="Times New Roman" w:eastAsia="Times New Roman" w:hAnsi="Times New Roman"/>
          <w:lang w:eastAsia="lt-LT"/>
        </w:rPr>
        <w:t xml:space="preserve"> padidėjo 2 valandomis. Manoma, kad šie duomenys kliniškai nereikšmingi. Klinikinių tyrimų metu etorikoksibas buvo vartojamas neatsižvelgiant į maisto vartojimą.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Pasiskirstymas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Apie 92 % etorikoksibo susijungia su plazmos baltymais, kai koncentracija yra nuo 0,05 iki 5 </w:t>
      </w:r>
      <w:r w:rsidRPr="00D11660">
        <w:rPr>
          <w:rFonts w:ascii="Times New Roman" w:eastAsia="Times New Roman" w:hAnsi="Times New Roman"/>
          <w:lang w:eastAsia="lt-LT"/>
        </w:rPr>
        <w:sym w:font="Symbol" w:char="F06D"/>
      </w:r>
      <w:r w:rsidRPr="00D11660">
        <w:rPr>
          <w:rFonts w:ascii="Times New Roman" w:eastAsia="Times New Roman" w:hAnsi="Times New Roman"/>
          <w:lang w:eastAsia="lt-LT"/>
        </w:rPr>
        <w:t>g/ml. Pusiausvyrai nusistovėjus, pasiskirstymo tūris (V</w:t>
      </w:r>
      <w:r w:rsidRPr="00D11660">
        <w:rPr>
          <w:rFonts w:ascii="Times New Roman" w:eastAsia="Times New Roman" w:hAnsi="Times New Roman"/>
          <w:vertAlign w:val="subscript"/>
          <w:lang w:eastAsia="lt-LT"/>
        </w:rPr>
        <w:t>dss</w:t>
      </w:r>
      <w:r w:rsidRPr="00D11660">
        <w:rPr>
          <w:rFonts w:ascii="Times New Roman" w:eastAsia="Times New Roman" w:hAnsi="Times New Roman"/>
          <w:lang w:eastAsia="lt-LT"/>
        </w:rPr>
        <w:t>) žmogaus organizme buvo apie 120 l.</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Etorikoksibas prasiskverbia pro žiurkių ir triušių placentos barjerą bei žiurkių hematoencefalinį barjerą.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Biotransformacija</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Etorikoksibas ekstensyviai metabolizuojamas, šlapime nepakitusiu pavidalu aptinkama &lt; 1 % dozės. Pagrindinis metabolizmo būdas yra CYP fermentams katalizuojant susidarantis 6’-hidroksimetilo darinys. Manoma, kad CYP3A4 prisideda prie etorikoksibo metabolizmo </w:t>
      </w:r>
      <w:r w:rsidRPr="00D11660">
        <w:rPr>
          <w:rFonts w:ascii="Times New Roman" w:eastAsia="Times New Roman" w:hAnsi="Times New Roman"/>
          <w:i/>
          <w:lang w:eastAsia="lt-LT"/>
        </w:rPr>
        <w:t>in vivo</w:t>
      </w:r>
      <w:r w:rsidRPr="00D11660">
        <w:rPr>
          <w:rFonts w:ascii="Times New Roman" w:eastAsia="Times New Roman" w:hAnsi="Times New Roman"/>
          <w:lang w:eastAsia="lt-LT"/>
        </w:rPr>
        <w:t xml:space="preserve">. </w:t>
      </w:r>
      <w:r w:rsidRPr="00D11660">
        <w:rPr>
          <w:rFonts w:ascii="Times New Roman" w:eastAsia="Times New Roman" w:hAnsi="Times New Roman"/>
          <w:i/>
          <w:lang w:eastAsia="lt-LT"/>
        </w:rPr>
        <w:t>In vitro</w:t>
      </w:r>
      <w:r w:rsidRPr="00D11660">
        <w:rPr>
          <w:rFonts w:ascii="Times New Roman" w:eastAsia="Times New Roman" w:hAnsi="Times New Roman"/>
          <w:lang w:eastAsia="lt-LT"/>
        </w:rPr>
        <w:t xml:space="preserve"> tyrimai rodo, kad CYP2D6, CYP2C9, CYP1A2 ir CYP2C19 taip pat gali katalizuoti pagrindinį metabolizmo būdą, bet jų kiekybinis vaidmuo </w:t>
      </w:r>
      <w:r w:rsidRPr="00D11660">
        <w:rPr>
          <w:rFonts w:ascii="Times New Roman" w:eastAsia="Times New Roman" w:hAnsi="Times New Roman"/>
          <w:i/>
          <w:lang w:eastAsia="lt-LT"/>
        </w:rPr>
        <w:t>in vivo</w:t>
      </w:r>
      <w:r w:rsidRPr="00D11660">
        <w:rPr>
          <w:rFonts w:ascii="Times New Roman" w:eastAsia="Times New Roman" w:hAnsi="Times New Roman"/>
          <w:lang w:eastAsia="lt-LT"/>
        </w:rPr>
        <w:t xml:space="preserve"> netirtas.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Žmogaus organizme nustatyti penki metabolitai. Pagrindinis metabolitas yra etorikoksibo 6’-karboksilo rūgšties darinys, suformuojamas toliau oksiduojant 6’-hidroksimetilo darinį. Šių pagrindinių metabolitų ciklooksigenazę slopinančio poveikio nebuvo galima nustatyti arba jie buvo labai silpni COX-2 inhibitoriai. Nė vienas iš šių metabolitų COX-1 neslopino.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Eliminacija</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Sveikiems savanoriams sušvirkštus į veną vienkartinę 25 mg radioaktyviu atomų žymėto etorikoksibo dozę, 70 % radioaktyvumo aptikta šlapime ir 20 % – išmatose, daugiausia metabolitų pavidalu. Mažiau kaip 2 % aptikta nepakitusio vaistinio preparato pavidalu. </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Etorikoksibo eliminacija vyksta beveik vien tik metabolizuojant ir paskui išsiskiriant pro inkstus. Pusiausvyrinė etorikoksibo koncentracijos apykaita nusistovi per 7 paras vartojant po 120 mg kartą per parą, akumuliacijos santykis yra apytiksliai 2, o tai atitinka 22 valandų pusinės eliminacijos laiką. Nustatyta, kad suleidus 25 mg dozę į veną, plazmos klirensas yra apytikriai 50 ml/min. </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Pacientų grupių charakteristikos</w:t>
      </w: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p>
    <w:p w:rsidR="00D11660" w:rsidRPr="00D11660" w:rsidRDefault="00D11660" w:rsidP="00D11660">
      <w:pPr>
        <w:keepNext/>
        <w:keepLines/>
        <w:tabs>
          <w:tab w:val="left" w:pos="567"/>
        </w:tabs>
        <w:spacing w:after="0" w:line="240" w:lineRule="auto"/>
        <w:outlineLvl w:val="0"/>
        <w:rPr>
          <w:rFonts w:ascii="Times New Roman" w:eastAsia="Times New Roman" w:hAnsi="Times New Roman"/>
          <w:lang w:eastAsia="lt-LT"/>
        </w:rPr>
      </w:pPr>
      <w:r w:rsidRPr="00D11660">
        <w:rPr>
          <w:rFonts w:ascii="Times New Roman" w:eastAsia="Times New Roman" w:hAnsi="Times New Roman"/>
          <w:i/>
          <w:u w:val="single"/>
          <w:lang w:eastAsia="lt-LT"/>
        </w:rPr>
        <w:t>Senyvi pacientai.</w:t>
      </w:r>
      <w:r w:rsidRPr="00D11660">
        <w:rPr>
          <w:rFonts w:ascii="Times New Roman" w:eastAsia="Times New Roman" w:hAnsi="Times New Roman"/>
          <w:i/>
          <w:lang w:eastAsia="lt-LT"/>
        </w:rPr>
        <w:t xml:space="preserve"> </w:t>
      </w:r>
      <w:r w:rsidRPr="00D11660">
        <w:rPr>
          <w:rFonts w:ascii="Times New Roman" w:eastAsia="Times New Roman" w:hAnsi="Times New Roman"/>
          <w:lang w:eastAsia="lt-LT"/>
        </w:rPr>
        <w:t>Senyvų (65 metų ir vyresnių) ir jaunų žmonių organizme farmakokinetika yra panaši.</w:t>
      </w:r>
    </w:p>
    <w:p w:rsidR="00D11660" w:rsidRPr="00D11660" w:rsidRDefault="00D11660" w:rsidP="00D11660">
      <w:pPr>
        <w:tabs>
          <w:tab w:val="left" w:pos="567"/>
        </w:tabs>
        <w:spacing w:after="0" w:line="240" w:lineRule="auto"/>
        <w:rPr>
          <w:rFonts w:ascii="Times New Roman" w:eastAsia="Times New Roman" w:hAnsi="Times New Roman"/>
          <w:i/>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u w:val="single"/>
          <w:lang w:eastAsia="lt-LT"/>
        </w:rPr>
        <w:t>Lytis</w:t>
      </w:r>
      <w:r w:rsidRPr="00D11660">
        <w:rPr>
          <w:rFonts w:ascii="Times New Roman" w:eastAsia="Times New Roman" w:hAnsi="Times New Roman"/>
          <w:u w:val="single"/>
          <w:lang w:eastAsia="lt-LT"/>
        </w:rPr>
        <w:t>.</w:t>
      </w:r>
      <w:r w:rsidRPr="00D11660">
        <w:rPr>
          <w:rFonts w:ascii="Times New Roman" w:eastAsia="Times New Roman" w:hAnsi="Times New Roman"/>
          <w:lang w:eastAsia="lt-LT"/>
        </w:rPr>
        <w:t xml:space="preserve"> Vyrų ir moterų organizme etorikoksibo farmakokinetika yra panaši.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 w:val="left" w:pos="3690"/>
        </w:tabs>
        <w:spacing w:after="0" w:line="240" w:lineRule="auto"/>
        <w:rPr>
          <w:rFonts w:ascii="Times New Roman" w:eastAsia="Times New Roman" w:hAnsi="Times New Roman"/>
          <w:lang w:eastAsia="lt-LT"/>
        </w:rPr>
      </w:pPr>
      <w:r w:rsidRPr="00D11660">
        <w:rPr>
          <w:rFonts w:ascii="Times New Roman" w:eastAsia="Times New Roman" w:hAnsi="Times New Roman"/>
          <w:i/>
          <w:u w:val="single"/>
          <w:lang w:eastAsia="lt-LT"/>
        </w:rPr>
        <w:t>Sutrikusi kepenų funkcija</w:t>
      </w:r>
      <w:r w:rsidRPr="00D11660">
        <w:rPr>
          <w:rFonts w:ascii="Times New Roman" w:eastAsia="Times New Roman" w:hAnsi="Times New Roman"/>
          <w:u w:val="single"/>
          <w:lang w:eastAsia="lt-LT"/>
        </w:rPr>
        <w:t>.</w:t>
      </w:r>
      <w:r w:rsidRPr="00D11660">
        <w:rPr>
          <w:rFonts w:ascii="Times New Roman" w:eastAsia="Times New Roman" w:hAnsi="Times New Roman"/>
          <w:lang w:eastAsia="lt-LT"/>
        </w:rPr>
        <w:t xml:space="preserve"> Pacientams, kuriems yra lengvas kepenų funkcijos sutrikimas (5</w:t>
      </w:r>
      <w:r w:rsidRPr="00D11660">
        <w:rPr>
          <w:rFonts w:ascii="Times New Roman" w:eastAsia="Times New Roman" w:hAnsi="Times New Roman"/>
          <w:lang w:eastAsia="lt-LT"/>
        </w:rPr>
        <w:noBreakHyphen/>
        <w:t xml:space="preserve">6 balai pagal </w:t>
      </w:r>
      <w:r w:rsidRPr="00D11660">
        <w:rPr>
          <w:rFonts w:ascii="Times New Roman" w:eastAsia="Times New Roman" w:hAnsi="Times New Roman"/>
          <w:i/>
          <w:lang w:eastAsia="lt-LT"/>
        </w:rPr>
        <w:t>Child-Pugh</w:t>
      </w:r>
      <w:r w:rsidRPr="00D11660">
        <w:rPr>
          <w:rFonts w:ascii="Times New Roman" w:eastAsia="Times New Roman" w:hAnsi="Times New Roman"/>
          <w:lang w:eastAsia="lt-LT"/>
        </w:rPr>
        <w:t>), vartojusiems 60 mg etorikoksibo vieną kartą per parą, AUC buvo maždaug 16 % didesnis negu taip pat gydytiems sveikiems savanoriams. Pacientams, kuriems buvo vidutinio sunkumo kepenų funkcijos sutrikimas (7</w:t>
      </w:r>
      <w:r w:rsidRPr="00D11660">
        <w:rPr>
          <w:rFonts w:ascii="Times New Roman" w:eastAsia="Times New Roman" w:hAnsi="Times New Roman"/>
          <w:lang w:eastAsia="lt-LT"/>
        </w:rPr>
        <w:noBreakHyphen/>
        <w:t xml:space="preserve">9 balai pagal </w:t>
      </w:r>
      <w:r w:rsidRPr="00D11660">
        <w:rPr>
          <w:rFonts w:ascii="Times New Roman" w:eastAsia="Times New Roman" w:hAnsi="Times New Roman"/>
          <w:i/>
          <w:lang w:eastAsia="lt-LT"/>
        </w:rPr>
        <w:t>Child-Pugh</w:t>
      </w:r>
      <w:r w:rsidRPr="00D11660">
        <w:rPr>
          <w:rFonts w:ascii="Times New Roman" w:eastAsia="Times New Roman" w:hAnsi="Times New Roman"/>
          <w:lang w:eastAsia="lt-LT"/>
        </w:rPr>
        <w:t xml:space="preserve">), vartojusiems po 60 mg etorikoksibo </w:t>
      </w:r>
      <w:r w:rsidRPr="00D11660">
        <w:rPr>
          <w:rFonts w:ascii="Times New Roman" w:eastAsia="Times New Roman" w:hAnsi="Times New Roman"/>
          <w:bCs/>
          <w:iCs/>
          <w:lang w:eastAsia="lt-LT"/>
        </w:rPr>
        <w:t>kas antrą parą,</w:t>
      </w:r>
      <w:r w:rsidRPr="00D11660">
        <w:rPr>
          <w:rFonts w:ascii="Times New Roman" w:eastAsia="Times New Roman" w:hAnsi="Times New Roman"/>
          <w:lang w:eastAsia="lt-LT"/>
        </w:rPr>
        <w:t xml:space="preserve"> vidutinis AUC buvo panašus į sveikų asmenų, vartojusių po 60 mg etorikoksibo kartą per parą. Šioje populiacijoje 30 mg etorikoksibo vieną kartą per parą dozė netirta. Klinikinių ir farmakokinetikos duomenų apie pacientus, kuriems yra sunkus kepenų funkcijos sutrikimas (≥ 10 balų pagal </w:t>
      </w:r>
      <w:r w:rsidRPr="00D11660">
        <w:rPr>
          <w:rFonts w:ascii="Times New Roman" w:eastAsia="Times New Roman" w:hAnsi="Times New Roman"/>
          <w:i/>
          <w:lang w:eastAsia="lt-LT"/>
        </w:rPr>
        <w:t>Child</w:t>
      </w:r>
      <w:r w:rsidRPr="00D11660">
        <w:rPr>
          <w:rFonts w:ascii="Times New Roman" w:eastAsia="Times New Roman" w:hAnsi="Times New Roman"/>
          <w:i/>
          <w:lang w:eastAsia="lt-LT"/>
        </w:rPr>
        <w:noBreakHyphen/>
        <w:t>Pugh</w:t>
      </w:r>
      <w:r w:rsidRPr="00D11660">
        <w:rPr>
          <w:rFonts w:ascii="Times New Roman" w:eastAsia="Times New Roman" w:hAnsi="Times New Roman"/>
          <w:lang w:eastAsia="lt-LT"/>
        </w:rPr>
        <w:t>), nėra (Žr. 4.2 ir 4.3 skyrius).</w:t>
      </w:r>
    </w:p>
    <w:p w:rsidR="00D11660" w:rsidRPr="00D11660" w:rsidRDefault="00D11660" w:rsidP="00D11660">
      <w:pPr>
        <w:tabs>
          <w:tab w:val="left" w:pos="567"/>
          <w:tab w:val="left" w:pos="3690"/>
        </w:tabs>
        <w:spacing w:after="0" w:line="240" w:lineRule="auto"/>
        <w:rPr>
          <w:rFonts w:ascii="Times New Roman" w:eastAsia="Times New Roman" w:hAnsi="Times New Roman"/>
          <w:lang w:eastAsia="lt-LT"/>
        </w:rPr>
      </w:pPr>
    </w:p>
    <w:p w:rsidR="00D11660" w:rsidRPr="00D11660" w:rsidRDefault="00D11660" w:rsidP="00D11660">
      <w:pPr>
        <w:tabs>
          <w:tab w:val="left" w:pos="567"/>
          <w:tab w:val="left" w:pos="3690"/>
        </w:tabs>
        <w:spacing w:after="0" w:line="240" w:lineRule="auto"/>
        <w:rPr>
          <w:rFonts w:ascii="Times New Roman" w:eastAsia="Times New Roman" w:hAnsi="Times New Roman"/>
          <w:lang w:eastAsia="lt-LT"/>
        </w:rPr>
      </w:pPr>
      <w:r w:rsidRPr="00D11660">
        <w:rPr>
          <w:rFonts w:ascii="Times New Roman" w:eastAsia="Times New Roman" w:hAnsi="Times New Roman"/>
          <w:i/>
          <w:u w:val="single"/>
          <w:lang w:eastAsia="lt-LT"/>
        </w:rPr>
        <w:t>Sutrikusi inkstų funkcija</w:t>
      </w:r>
      <w:r w:rsidRPr="00D11660">
        <w:rPr>
          <w:rFonts w:ascii="Times New Roman" w:eastAsia="Times New Roman" w:hAnsi="Times New Roman"/>
          <w:lang w:eastAsia="lt-LT"/>
        </w:rPr>
        <w:t>. Pacientams, kuriems yra vidutinio sunkumo arba sunkus inkstų nepakankamumas bei hemodializuojamiems dėl terminalinės inkstų ligos pacientams ir sveikiems savanoriams vienkartinės 120 mg etorikoksibo dozės farmakokinetika buvo panaši. Hemodializė šalinimą veikia nereikšmingai (dializės klirensas – maždaug 50 ml/min). (Žr. 4.3 ir 4.4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i/>
          <w:u w:val="single"/>
          <w:lang w:eastAsia="lt-LT"/>
        </w:rPr>
        <w:t>Vaikų populiacija</w:t>
      </w:r>
      <w:r w:rsidRPr="00D11660">
        <w:rPr>
          <w:rFonts w:ascii="Times New Roman" w:eastAsia="Times New Roman" w:hAnsi="Times New Roman"/>
          <w:u w:val="single"/>
          <w:lang w:eastAsia="lt-LT"/>
        </w:rPr>
        <w:t>.</w:t>
      </w:r>
      <w:r w:rsidRPr="00D11660">
        <w:rPr>
          <w:rFonts w:ascii="Times New Roman" w:eastAsia="Times New Roman" w:hAnsi="Times New Roman"/>
          <w:lang w:eastAsia="lt-LT"/>
        </w:rPr>
        <w:t xml:space="preserve"> Vaikų iki 12 metų amžiaus organizme etorikoksibo farmakokinetika netirta.</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Farmakokinetikos tyrimo metu (N = 16) paauglių (nuo 12 iki 17 metų), svėrusių nuo 40 kg iki 60 kg ir vartojusių 60 mg etorikoksibo vieną kartą per parą, taip pat &gt; 60 kg svėrusių ir vartojusių 90 mg etorikoksibo vieną kartą per parą, organizme farmakokinetika buvo panaši kaip suaugusiųjų, vartojusių 90 mg etorikoksibo vieną kartą per parą. Etorikoksibo saugumas ir veiksmingumas vaikų populiacijai nenustatytas. (žr. 4.2 skyrių).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5.3 </w:t>
      </w:r>
      <w:r w:rsidRPr="00D11660">
        <w:rPr>
          <w:rFonts w:ascii="Times New Roman" w:eastAsia="Times New Roman" w:hAnsi="Times New Roman"/>
          <w:b/>
          <w:lang w:eastAsia="lt-LT"/>
        </w:rPr>
        <w:tab/>
        <w:t>Ikiklinikinių saugumo tyrimų duomenys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Ikiklinikinių tyrimų metu įrodyta, kad etorikoksibas nėra genotoksiškas. Pelėms etorikoksibas nebuvo kancerogeniškas. Žiurkėms maždaug dvejus metus kasdien šeriant dozę, kuri sukelia daugiau kaip du kartus didesnę sisteminę ekspoziciją, negu žmogui sukelia 90 mg paros dozė, atsirado hepatoceliulinių ir skydliaukės folikulinių ląstelių adenomų. Hepatoceliulinių ir skydliaukės folikulinių ląstelių adenomų atsiradimas žiurkėms yra specifinė kepenų CYP fermentų indukcijos pasekmė žiurkėms. Nenustatyta, kad etorikoksibas sužadintų žmogaus kepenų CYP3A fermentą.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Žiurkėms etorikoksibo toksinis poveikis virškinimo traktui didėjo didinant dozę ir ekspozicijos laiką. 14 savaičių trukmės toksinio poveikio tyrime etorikoksibas sukėlė virškinimo trakto opų, kai sisteminė ekspozicija buvo didesnė negu žmonėms vartojant gydomąsias dozes. 53 ir 106 savaičių trukmės toksinio poveikio tyrime virškinimo trakto opų taip pat pastebėta esant ekspozicijai, panašiai kaip būna žmonėms vartojant gydomąsias dozes. Šunims inkstų ir virškinimo trakto anomalijų pastebėta esant didelei sisteminei ekspozicijai.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Žiurkių reprodukcijos tyrimų metu, kai buvo duodama 15 mg/kg kūno svorio per parą dozės (remiantis sistemine ekspozicija tai atitinka maždaug 1,5 karto didesnę dozę negu rekomenduojama žmogui (90 mg)) teratogeninio poveikio nenustatyta. Triušiams stebėtas su gydymu susijusių širdies ir kraujagyslių sklaidos sutrikimų padažnėjimas, kai ekspozicija buvo mažesnė už klinikinį ekspoziciją žmogui vartojant paros dozę (90 mg). Tačiau su gydymu susijusių vaisiaus išorinių arba skeleto sklaidos sutrikimų nepastebėta. Žiurkėms ir triušiams nustatytas nuo dozės priklausomas poimplantacinio persileidimo padažnėjimas, kai ekspozicija buvo 1,5 karto arba didesnė negu žmonėms (žr. 4.3 ir 4.6 skyrius).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Etorikoksibo koncentracija žindančių žiurkių piene yra maždaug du kartus didesnė negu jo koncentracija plazmoje. Patelių, gaunančių etorikoksibo, pienu maitinamų jauniklių kūno masė buvo mažesnė.</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6. </w:t>
      </w:r>
      <w:r w:rsidRPr="00D11660">
        <w:rPr>
          <w:rFonts w:ascii="Times New Roman" w:eastAsia="Times New Roman" w:hAnsi="Times New Roman"/>
          <w:b/>
          <w:lang w:eastAsia="lt-LT"/>
        </w:rPr>
        <w:tab/>
        <w:t>FARMACINĖ INFORMACIJA</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6.1 </w:t>
      </w:r>
      <w:r w:rsidRPr="00D11660">
        <w:rPr>
          <w:rFonts w:ascii="Times New Roman" w:eastAsia="Times New Roman" w:hAnsi="Times New Roman"/>
          <w:b/>
          <w:lang w:eastAsia="lt-LT"/>
        </w:rPr>
        <w:tab/>
        <w:t>Pagalbinių medžiagų sąrašas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Tabletės branduolys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Mikrokristalinė celiuliozė (E460)</w:t>
      </w:r>
    </w:p>
    <w:p w:rsidR="00D11660" w:rsidRPr="00D11660" w:rsidRDefault="00AE6BE2" w:rsidP="00D1166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K</w:t>
      </w:r>
      <w:r w:rsidR="00D11660" w:rsidRPr="00D11660">
        <w:rPr>
          <w:rFonts w:ascii="Times New Roman" w:eastAsia="Times New Roman" w:hAnsi="Times New Roman"/>
          <w:lang w:eastAsia="lt-LT"/>
        </w:rPr>
        <w:t>alcio-vandenilio fosfatas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Kroskarmeliozės natrio druska</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Magnio stearatas (E470b)</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Tabletės plėvelė</w:t>
      </w:r>
    </w:p>
    <w:p w:rsidR="00D11660" w:rsidRPr="005D230C" w:rsidRDefault="00D11660" w:rsidP="00D11660">
      <w:pPr>
        <w:keepNext/>
        <w:keepLines/>
        <w:tabs>
          <w:tab w:val="left" w:pos="567"/>
        </w:tabs>
        <w:spacing w:after="0" w:line="240" w:lineRule="auto"/>
        <w:rPr>
          <w:rFonts w:ascii="Times New Roman" w:eastAsia="Times New Roman" w:hAnsi="Times New Roman"/>
          <w:i/>
          <w:highlight w:val="lightGray"/>
          <w:lang w:eastAsia="lt-LT"/>
        </w:rPr>
      </w:pPr>
      <w:r w:rsidRPr="005D230C">
        <w:rPr>
          <w:rFonts w:ascii="Times New Roman" w:eastAsia="Times New Roman" w:hAnsi="Times New Roman"/>
          <w:i/>
          <w:highlight w:val="lightGray"/>
          <w:lang w:eastAsia="lt-LT"/>
        </w:rPr>
        <w:t>60 mg, 120 mg tabletės</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Polivinilo alkoholis (E1203)</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Titano dioksidas (E171)</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Glicerolio monostearatas (E471)</w:t>
      </w:r>
    </w:p>
    <w:p w:rsidR="00D11660" w:rsidRPr="005D230C" w:rsidRDefault="00D11660" w:rsidP="00D11660">
      <w:pPr>
        <w:keepNext/>
        <w:keepLines/>
        <w:tabs>
          <w:tab w:val="left" w:pos="567"/>
        </w:tabs>
        <w:spacing w:after="0" w:line="240" w:lineRule="auto"/>
        <w:rPr>
          <w:rFonts w:ascii="Times New Roman" w:hAnsi="Times New Roman"/>
          <w:highlight w:val="lightGray"/>
        </w:rPr>
      </w:pPr>
      <w:r w:rsidRPr="005D230C">
        <w:rPr>
          <w:rFonts w:ascii="Times New Roman" w:eastAsia="Times New Roman" w:hAnsi="Times New Roman"/>
          <w:highlight w:val="lightGray"/>
          <w:lang w:eastAsia="lt-LT"/>
        </w:rPr>
        <w:t xml:space="preserve">Indigokarmino </w:t>
      </w:r>
      <w:r w:rsidRPr="005D230C">
        <w:rPr>
          <w:rFonts w:ascii="Times New Roman" w:hAnsi="Times New Roman"/>
          <w:highlight w:val="lightGray"/>
        </w:rPr>
        <w:t xml:space="preserve">aliuminio dažalas (E 132) </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Geltonasis geležies oksidas (E172)</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Talkas (E553b)</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Natrio laurilsulfatas</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p>
    <w:p w:rsidR="00D11660" w:rsidRPr="005D230C" w:rsidRDefault="00D11660" w:rsidP="00D11660">
      <w:pPr>
        <w:keepNext/>
        <w:keepLines/>
        <w:tabs>
          <w:tab w:val="left" w:pos="567"/>
        </w:tabs>
        <w:spacing w:after="0" w:line="240" w:lineRule="auto"/>
        <w:rPr>
          <w:rFonts w:ascii="Times New Roman" w:eastAsia="Times New Roman" w:hAnsi="Times New Roman"/>
          <w:i/>
          <w:highlight w:val="lightGray"/>
          <w:lang w:eastAsia="lt-LT"/>
        </w:rPr>
      </w:pPr>
      <w:r w:rsidRPr="005D230C">
        <w:rPr>
          <w:rFonts w:ascii="Times New Roman" w:eastAsia="Times New Roman" w:hAnsi="Times New Roman"/>
          <w:i/>
          <w:highlight w:val="lightGray"/>
          <w:lang w:eastAsia="lt-LT"/>
        </w:rPr>
        <w:t>90 mg tabletės</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Polivinilo alkoholis (E1203)</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5D230C">
        <w:rPr>
          <w:rFonts w:ascii="Times New Roman" w:eastAsia="Times New Roman" w:hAnsi="Times New Roman"/>
          <w:highlight w:val="lightGray"/>
          <w:lang w:eastAsia="lt-LT"/>
        </w:rPr>
        <w:t>Titano dioksidas (E171)</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Glicerolio monostearatas (E471)</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Talkas (E553b)</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5D230C">
        <w:rPr>
          <w:rFonts w:ascii="Times New Roman" w:eastAsia="Times New Roman" w:hAnsi="Times New Roman"/>
          <w:highlight w:val="lightGray"/>
          <w:lang w:eastAsia="lt-LT"/>
        </w:rPr>
        <w:t>Natrio laurilsulfatas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6.2 </w:t>
      </w:r>
      <w:r w:rsidRPr="00D11660">
        <w:rPr>
          <w:rFonts w:ascii="Times New Roman" w:eastAsia="Times New Roman" w:hAnsi="Times New Roman"/>
          <w:b/>
          <w:lang w:eastAsia="lt-LT"/>
        </w:rPr>
        <w:tab/>
        <w:t>Nesuderinamumas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Duomenys nebūtini.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6.3 </w:t>
      </w:r>
      <w:r w:rsidRPr="00D11660">
        <w:rPr>
          <w:rFonts w:ascii="Times New Roman" w:eastAsia="Times New Roman" w:hAnsi="Times New Roman"/>
          <w:b/>
          <w:lang w:eastAsia="lt-LT"/>
        </w:rPr>
        <w:tab/>
        <w:t>Tinkamumo laikas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3 metai.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6.4 </w:t>
      </w:r>
      <w:r w:rsidRPr="00D11660">
        <w:rPr>
          <w:rFonts w:ascii="Times New Roman" w:eastAsia="Times New Roman" w:hAnsi="Times New Roman"/>
          <w:b/>
          <w:lang w:eastAsia="lt-LT"/>
        </w:rPr>
        <w:tab/>
        <w:t>Specialios laikymo sąlygos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snapToGrid w:val="0"/>
          <w:szCs w:val="20"/>
        </w:rPr>
        <w:t>Šio vaistinio preparato laikymui specialių temperatūros sąlygų nereikalaujama</w:t>
      </w:r>
      <w:r w:rsidRPr="00D11660">
        <w:rPr>
          <w:rFonts w:ascii="Times New Roman" w:eastAsia="Times New Roman" w:hAnsi="Times New Roman"/>
          <w:lang w:eastAsia="lt-LT"/>
        </w:rPr>
        <w:t>.</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Laikyti gamintojo pakuotėje, kad vaistinis preparatas būtų apsaugotas nuo drėgmės.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6.5 </w:t>
      </w:r>
      <w:r w:rsidRPr="00D11660">
        <w:rPr>
          <w:rFonts w:ascii="Times New Roman" w:eastAsia="Times New Roman" w:hAnsi="Times New Roman"/>
          <w:b/>
          <w:lang w:eastAsia="lt-LT"/>
        </w:rPr>
        <w:tab/>
        <w:t>Talpyklės pobūdis ir jos turinys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OPA/Al/PVC-Al lizdinės plokštelės.</w:t>
      </w:r>
    </w:p>
    <w:p w:rsidR="00D11660" w:rsidRPr="005D230C" w:rsidRDefault="00D11660" w:rsidP="00D11660">
      <w:pPr>
        <w:tabs>
          <w:tab w:val="left" w:pos="567"/>
        </w:tabs>
        <w:spacing w:after="0" w:line="240" w:lineRule="auto"/>
        <w:rPr>
          <w:rFonts w:ascii="Times New Roman" w:eastAsia="Times New Roman" w:hAnsi="Times New Roman"/>
          <w:highlight w:val="lightGray"/>
        </w:rPr>
      </w:pP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 xml:space="preserve">2, 5, </w:t>
      </w:r>
      <w:r w:rsidRPr="00D11660">
        <w:rPr>
          <w:rFonts w:ascii="Times New Roman" w:hAnsi="Times New Roman"/>
        </w:rPr>
        <w:t xml:space="preserve">7, 10, 14, 20, 28, 30, 49, 50, 84, 100 tablečių arba sudėtinė pakuotė, kurioje yra 98 (2 pakuotės po 49) </w:t>
      </w:r>
      <w:r w:rsidRPr="00D11660">
        <w:rPr>
          <w:rFonts w:ascii="Times New Roman" w:eastAsia="Times New Roman" w:hAnsi="Times New Roman"/>
        </w:rPr>
        <w:t>tabletės.</w:t>
      </w: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Dalomųjų lizdinių plokštelių pakuotėse yra po 5 x 1, 50 x 1 arba 100 x 1 tablečių.</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r w:rsidRPr="00D11660">
        <w:rPr>
          <w:rFonts w:ascii="Times New Roman" w:eastAsia="Times New Roman" w:hAnsi="Times New Roman"/>
          <w:noProof/>
          <w:lang w:eastAsia="lt-LT"/>
        </w:rPr>
        <w:t>Gali būti tiekiamos ne visų dydžių pakuotės.</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6.6 </w:t>
      </w:r>
      <w:r w:rsidRPr="00D11660">
        <w:rPr>
          <w:rFonts w:ascii="Times New Roman" w:eastAsia="Times New Roman" w:hAnsi="Times New Roman"/>
          <w:b/>
          <w:lang w:eastAsia="lt-LT"/>
        </w:rPr>
        <w:tab/>
        <w:t>Specialūs reikalavimai atliekoms tvarkyti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Specialių reikalavimų nėra.</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Nesuvartotą vaistinį preparatą ar atliekas reikia tvarkyti laikantis vietinių reikalavimų.</w:t>
      </w:r>
    </w:p>
    <w:p w:rsidR="00D11660" w:rsidRPr="00D11660" w:rsidRDefault="00D11660" w:rsidP="00D11660">
      <w:pPr>
        <w:tabs>
          <w:tab w:val="left" w:pos="567"/>
        </w:tabs>
        <w:spacing w:after="0" w:line="240" w:lineRule="auto"/>
        <w:rPr>
          <w:rFonts w:ascii="Times New Roman" w:eastAsia="Times New Roman" w:hAnsi="Times New Roman"/>
          <w:snapToGrid w:val="0"/>
        </w:rPr>
      </w:pPr>
    </w:p>
    <w:p w:rsidR="00D11660" w:rsidRPr="00D11660" w:rsidRDefault="00D11660" w:rsidP="00D11660">
      <w:pPr>
        <w:tabs>
          <w:tab w:val="left" w:pos="567"/>
        </w:tabs>
        <w:spacing w:after="0" w:line="240" w:lineRule="auto"/>
        <w:rPr>
          <w:rFonts w:ascii="Times New Roman" w:eastAsia="Times New Roman" w:hAnsi="Times New Roman"/>
          <w:snapToGrid w:val="0"/>
        </w:rPr>
      </w:pPr>
    </w:p>
    <w:p w:rsidR="00D11660" w:rsidRPr="00D11660" w:rsidRDefault="00D11660" w:rsidP="00D11660">
      <w:pPr>
        <w:keepNext/>
        <w:keepLines/>
        <w:tabs>
          <w:tab w:val="left" w:pos="567"/>
        </w:tabs>
        <w:spacing w:after="0" w:line="240" w:lineRule="auto"/>
        <w:outlineLvl w:val="2"/>
        <w:rPr>
          <w:rFonts w:ascii="Times New Roman" w:eastAsia="Times New Roman" w:hAnsi="Times New Roman"/>
          <w:b/>
          <w:bCs/>
          <w:snapToGrid w:val="0"/>
        </w:rPr>
      </w:pPr>
      <w:r w:rsidRPr="00D11660">
        <w:rPr>
          <w:rFonts w:ascii="Times New Roman" w:eastAsia="Times New Roman" w:hAnsi="Times New Roman"/>
          <w:b/>
          <w:bCs/>
          <w:snapToGrid w:val="0"/>
        </w:rPr>
        <w:t>7.</w:t>
      </w:r>
      <w:r w:rsidRPr="00D11660">
        <w:rPr>
          <w:rFonts w:ascii="Times New Roman" w:eastAsia="Times New Roman" w:hAnsi="Times New Roman"/>
          <w:b/>
          <w:bCs/>
          <w:snapToGrid w:val="0"/>
        </w:rPr>
        <w:tab/>
        <w:t>REGISTRUOTOJAS</w:t>
      </w:r>
    </w:p>
    <w:p w:rsidR="00D11660" w:rsidRPr="00D11660" w:rsidRDefault="00D11660" w:rsidP="00D11660">
      <w:pPr>
        <w:spacing w:after="0" w:line="240" w:lineRule="auto"/>
        <w:rPr>
          <w:rFonts w:ascii="Times New Roman" w:eastAsia="Times New Roman" w:hAnsi="Times New Roman"/>
          <w:snapToGrid w:val="0"/>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G.L. Pharma GmbH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Schlossplatz 1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8502 Lannach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Austrija</w:t>
      </w:r>
    </w:p>
    <w:p w:rsidR="00D11660" w:rsidRPr="00D11660" w:rsidRDefault="00D11660" w:rsidP="00D11660">
      <w:pPr>
        <w:spacing w:after="0" w:line="240" w:lineRule="auto"/>
        <w:rPr>
          <w:rFonts w:ascii="Times New Roman" w:eastAsia="Times New Roman" w:hAnsi="Times New Roman"/>
          <w:snapToGrid w:val="0"/>
        </w:rPr>
      </w:pPr>
    </w:p>
    <w:p w:rsidR="00D11660" w:rsidRPr="00D11660" w:rsidRDefault="00D11660" w:rsidP="00D11660">
      <w:pPr>
        <w:spacing w:after="0" w:line="240" w:lineRule="auto"/>
        <w:rPr>
          <w:rFonts w:ascii="Times New Roman" w:eastAsia="Times New Roman" w:hAnsi="Times New Roman"/>
          <w:snapToGrid w:val="0"/>
        </w:rPr>
      </w:pPr>
    </w:p>
    <w:p w:rsidR="00D11660" w:rsidRPr="00D11660" w:rsidRDefault="00D11660" w:rsidP="00D11660">
      <w:pPr>
        <w:keepNext/>
        <w:keepLines/>
        <w:tabs>
          <w:tab w:val="left" w:pos="567"/>
        </w:tabs>
        <w:spacing w:after="0" w:line="240" w:lineRule="auto"/>
        <w:outlineLvl w:val="2"/>
        <w:rPr>
          <w:rFonts w:ascii="Times New Roman" w:eastAsia="Times New Roman" w:hAnsi="Times New Roman"/>
          <w:b/>
          <w:bCs/>
          <w:snapToGrid w:val="0"/>
        </w:rPr>
      </w:pPr>
      <w:r w:rsidRPr="00D11660">
        <w:rPr>
          <w:rFonts w:ascii="Times New Roman" w:eastAsia="Times New Roman" w:hAnsi="Times New Roman"/>
          <w:b/>
          <w:bCs/>
          <w:snapToGrid w:val="0"/>
        </w:rPr>
        <w:t xml:space="preserve">8. </w:t>
      </w:r>
      <w:r w:rsidRPr="00D11660">
        <w:rPr>
          <w:rFonts w:ascii="Times New Roman" w:eastAsia="Times New Roman" w:hAnsi="Times New Roman"/>
          <w:b/>
          <w:bCs/>
          <w:snapToGrid w:val="0"/>
        </w:rPr>
        <w:tab/>
        <w:t xml:space="preserve">REGISTRACIJOS </w:t>
      </w:r>
      <w:r w:rsidRPr="00D11660">
        <w:rPr>
          <w:rFonts w:ascii="Times New Roman" w:eastAsia="Times New Roman" w:hAnsi="Times New Roman"/>
          <w:b/>
          <w:bCs/>
          <w:noProof/>
          <w:snapToGrid w:val="0"/>
        </w:rPr>
        <w:t>PAŽYMĖJIMO</w:t>
      </w:r>
      <w:r w:rsidRPr="00D11660">
        <w:rPr>
          <w:rFonts w:ascii="Times New Roman" w:eastAsia="Times New Roman" w:hAnsi="Times New Roman"/>
          <w:b/>
          <w:bCs/>
          <w:snapToGrid w:val="0"/>
        </w:rPr>
        <w:t xml:space="preserve"> NUMERIS (-IAI) </w:t>
      </w:r>
    </w:p>
    <w:p w:rsidR="00D11660" w:rsidRPr="00D11660" w:rsidRDefault="00D11660" w:rsidP="00D11660">
      <w:pPr>
        <w:spacing w:after="0" w:line="240" w:lineRule="auto"/>
        <w:rPr>
          <w:rFonts w:ascii="Times New Roman" w:eastAsia="Times New Roman" w:hAnsi="Times New Roman"/>
          <w:snapToGrid w:val="0"/>
        </w:rPr>
      </w:pPr>
    </w:p>
    <w:tbl>
      <w:tblPr>
        <w:tblW w:w="9923" w:type="dxa"/>
        <w:tblLook w:val="04A0" w:firstRow="1" w:lastRow="0" w:firstColumn="1" w:lastColumn="0" w:noHBand="0" w:noVBand="1"/>
      </w:tblPr>
      <w:tblGrid>
        <w:gridCol w:w="3261"/>
        <w:gridCol w:w="3402"/>
        <w:gridCol w:w="3260"/>
      </w:tblGrid>
      <w:tr w:rsidR="00D11660" w:rsidRPr="005D230C" w:rsidTr="005D230C">
        <w:tc>
          <w:tcPr>
            <w:tcW w:w="3261" w:type="dxa"/>
            <w:shd w:val="clear" w:color="auto" w:fill="auto"/>
          </w:tcPr>
          <w:p w:rsidR="00D11660" w:rsidRPr="0060356C" w:rsidRDefault="00D11660" w:rsidP="005D230C">
            <w:pPr>
              <w:spacing w:after="0" w:line="240" w:lineRule="auto"/>
              <w:jc w:val="both"/>
              <w:rPr>
                <w:rFonts w:ascii="Times New Roman" w:eastAsia="Times New Roman" w:hAnsi="Times New Roman"/>
                <w:u w:val="single"/>
                <w:lang w:eastAsia="lt-LT"/>
              </w:rPr>
            </w:pPr>
            <w:r w:rsidRPr="0060356C">
              <w:rPr>
                <w:rFonts w:ascii="Times New Roman" w:eastAsia="Times New Roman" w:hAnsi="Times New Roman"/>
                <w:u w:val="single"/>
                <w:lang w:eastAsia="lt-LT"/>
              </w:rPr>
              <w:t>Etidylan 60 mg</w:t>
            </w:r>
          </w:p>
          <w:p w:rsidR="00D11660" w:rsidRPr="00090BDC" w:rsidRDefault="00D11660" w:rsidP="005D230C">
            <w:pPr>
              <w:spacing w:after="0" w:line="240" w:lineRule="auto"/>
              <w:jc w:val="both"/>
              <w:rPr>
                <w:rFonts w:ascii="Times New Roman" w:hAnsi="Times New Roman"/>
                <w:u w:val="single"/>
                <w:lang w:val="de-AT" w:eastAsia="lt-LT"/>
              </w:rPr>
            </w:pPr>
            <w:r w:rsidRPr="00090BDC">
              <w:rPr>
                <w:rFonts w:ascii="Times New Roman" w:hAnsi="Times New Roman"/>
                <w:u w:val="single"/>
                <w:lang w:val="de-AT" w:eastAsia="lt-LT"/>
              </w:rPr>
              <w:t>Lizdinė plokštelė</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LT/1/18/4194/001 – N2</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LT/1/18/4194/002 – N5</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LT/1/18/4194/003 – N7</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LT/1/18/4194/004 – N10</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LT/1/18/4194/005 – N14</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LT/1/18/4194/006 – N20</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LT/1/18/4194/007 – N28</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LT/1/18/4194/008 – N30</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LT/1/18/4194/009 – N49</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LT/1/18/4194/010 – N50</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LT/1/18/4194/011 – N84</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LT/1/18/4194/012 – N98 (2x49)</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LT/1/18/4194/013 –, N100</w:t>
            </w:r>
          </w:p>
          <w:p w:rsidR="00D11660" w:rsidRPr="00090BDC" w:rsidRDefault="00D11660" w:rsidP="005D230C">
            <w:pPr>
              <w:spacing w:after="0" w:line="240" w:lineRule="auto"/>
              <w:jc w:val="both"/>
              <w:rPr>
                <w:rFonts w:ascii="Times New Roman" w:hAnsi="Times New Roman"/>
                <w:u w:val="single"/>
                <w:lang w:val="de-AT" w:eastAsia="lt-LT"/>
              </w:rPr>
            </w:pPr>
            <w:r w:rsidRPr="00090BDC">
              <w:rPr>
                <w:rFonts w:ascii="Times New Roman" w:hAnsi="Times New Roman"/>
                <w:u w:val="single"/>
                <w:lang w:val="de-AT" w:eastAsia="lt-LT"/>
              </w:rPr>
              <w:t>Dalomoji lizdinė plokštelė</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LT/1/18/4194/014 – N5x1</w:t>
            </w:r>
          </w:p>
          <w:p w:rsidR="00D11660" w:rsidRPr="00090BDC" w:rsidRDefault="00D11660" w:rsidP="005D230C">
            <w:pPr>
              <w:spacing w:after="0" w:line="240" w:lineRule="auto"/>
              <w:jc w:val="both"/>
              <w:rPr>
                <w:rFonts w:ascii="Times New Roman" w:hAnsi="Times New Roman"/>
                <w:lang w:val="de-AT" w:eastAsia="lt-LT"/>
              </w:rPr>
            </w:pPr>
            <w:r w:rsidRPr="00090BDC">
              <w:rPr>
                <w:rFonts w:ascii="Times New Roman" w:hAnsi="Times New Roman"/>
                <w:lang w:val="de-AT" w:eastAsia="lt-LT"/>
              </w:rPr>
              <w:t>LT/1/18/4194/015 – N50x1</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hAnsi="Times New Roman"/>
                <w:lang w:val="de-AT" w:eastAsia="lt-LT"/>
              </w:rPr>
              <w:t>LT/1/18/4194/016 – N100x1</w:t>
            </w:r>
          </w:p>
        </w:tc>
        <w:tc>
          <w:tcPr>
            <w:tcW w:w="3402" w:type="dxa"/>
            <w:shd w:val="clear" w:color="auto" w:fill="auto"/>
          </w:tcPr>
          <w:p w:rsidR="00D11660" w:rsidRPr="0060356C" w:rsidRDefault="00D11660" w:rsidP="005D230C">
            <w:pPr>
              <w:spacing w:after="0" w:line="240" w:lineRule="auto"/>
              <w:jc w:val="both"/>
              <w:rPr>
                <w:rFonts w:ascii="Times New Roman" w:eastAsia="Times New Roman" w:hAnsi="Times New Roman"/>
                <w:u w:val="single"/>
                <w:lang w:eastAsia="lt-LT"/>
              </w:rPr>
            </w:pPr>
            <w:r w:rsidRPr="0060356C">
              <w:rPr>
                <w:rFonts w:ascii="Times New Roman" w:eastAsia="Times New Roman" w:hAnsi="Times New Roman"/>
                <w:u w:val="single"/>
                <w:lang w:eastAsia="lt-LT"/>
              </w:rPr>
              <w:t>Etidylan 90 mg</w:t>
            </w:r>
          </w:p>
          <w:p w:rsidR="00D11660" w:rsidRPr="0060356C" w:rsidRDefault="00D11660" w:rsidP="005D230C">
            <w:pPr>
              <w:spacing w:after="0" w:line="240" w:lineRule="auto"/>
              <w:jc w:val="both"/>
              <w:rPr>
                <w:rFonts w:ascii="Times New Roman" w:hAnsi="Times New Roman"/>
                <w:u w:val="single"/>
                <w:lang w:val="de-AT" w:eastAsia="lt-LT"/>
              </w:rPr>
            </w:pPr>
            <w:r w:rsidRPr="0060356C">
              <w:rPr>
                <w:rFonts w:ascii="Times New Roman" w:eastAsia="Times New Roman" w:hAnsi="Times New Roman"/>
                <w:u w:val="single"/>
                <w:lang w:eastAsia="lt-LT"/>
              </w:rPr>
              <w:t>Lizdinė plokštelė</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LT/1/18/4194/017 – N2</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LT/1/18/4194/018 – N5</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LT/1/18/4194/019 – N7</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LT/1/18/4194/020 – N10</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LT/1/18/4194/021 – N14</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LT/1/18/4194/022 – N20</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LT/1/18/4194/023 – N28</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LT/1/18/4194/024 – N30</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LT/1/18/4194/025 – N49</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LT/1/18/4194/026 – N50</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LT/1/18/4194/027 – N84</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LT/1/18/4194/028 – N98 (2x49)</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LT/1/18/4194/029 – N100</w:t>
            </w:r>
          </w:p>
          <w:p w:rsidR="00D11660" w:rsidRPr="00090BDC" w:rsidRDefault="00D11660" w:rsidP="005D230C">
            <w:pPr>
              <w:spacing w:after="0" w:line="240" w:lineRule="auto"/>
              <w:jc w:val="both"/>
              <w:rPr>
                <w:rFonts w:ascii="Times New Roman" w:eastAsia="Times New Roman" w:hAnsi="Times New Roman"/>
                <w:u w:val="single"/>
                <w:lang w:eastAsia="lt-LT"/>
              </w:rPr>
            </w:pPr>
            <w:r w:rsidRPr="00090BDC">
              <w:rPr>
                <w:rFonts w:ascii="Times New Roman" w:eastAsia="Times New Roman" w:hAnsi="Times New Roman"/>
                <w:u w:val="single"/>
                <w:lang w:eastAsia="lt-LT"/>
              </w:rPr>
              <w:t>Dalomoji lizdinė plokštelė</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LT/1/18/4194/030 – N5x1</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LT/1/18/4194/031 – N50x1</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LT/1/18/4194/032 – N100x1</w:t>
            </w:r>
          </w:p>
        </w:tc>
        <w:tc>
          <w:tcPr>
            <w:tcW w:w="3260" w:type="dxa"/>
            <w:shd w:val="clear" w:color="auto" w:fill="auto"/>
          </w:tcPr>
          <w:p w:rsidR="00D11660" w:rsidRPr="0060356C" w:rsidRDefault="00D11660" w:rsidP="005D230C">
            <w:pPr>
              <w:spacing w:after="0" w:line="240" w:lineRule="auto"/>
              <w:jc w:val="both"/>
              <w:rPr>
                <w:rFonts w:ascii="Times New Roman" w:hAnsi="Times New Roman"/>
                <w:u w:val="single"/>
                <w:lang w:val="de-AT" w:eastAsia="lt-LT"/>
              </w:rPr>
            </w:pPr>
            <w:r w:rsidRPr="0060356C">
              <w:rPr>
                <w:rFonts w:ascii="Times New Roman" w:eastAsia="Times New Roman" w:hAnsi="Times New Roman"/>
                <w:u w:val="single"/>
                <w:lang w:eastAsia="lt-LT"/>
              </w:rPr>
              <w:t>Etidylan 120 mg</w:t>
            </w:r>
          </w:p>
          <w:p w:rsidR="00D11660" w:rsidRPr="0060356C" w:rsidRDefault="00D11660" w:rsidP="005D230C">
            <w:pPr>
              <w:spacing w:after="0" w:line="240" w:lineRule="auto"/>
              <w:jc w:val="both"/>
              <w:rPr>
                <w:rFonts w:ascii="Times New Roman" w:eastAsia="Times New Roman" w:hAnsi="Times New Roman"/>
                <w:u w:val="single"/>
                <w:lang w:eastAsia="lt-LT"/>
              </w:rPr>
            </w:pPr>
            <w:r w:rsidRPr="0060356C">
              <w:rPr>
                <w:rFonts w:ascii="Times New Roman" w:eastAsia="Times New Roman" w:hAnsi="Times New Roman"/>
                <w:u w:val="single"/>
                <w:lang w:eastAsia="lt-LT"/>
              </w:rPr>
              <w:t>lizdinė plokštelė</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LT/1/18/4194/033 – N2</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LT/1/18/4194/034 – N5</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LT/1/18/4194/035 – N7</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LT/1/18/4194/036 – N10</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LT/1/18/4194/037 – N14</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LT/1/18/4194/038 – N20</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LT/1/18/4194/039 – N28</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LT/1/18/4194/040 – N30</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LT/1/18/4194/041 – N49</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LT/1/18/4194/042 – N50</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LT/1/18/4194/043 – N84</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LT/1/18/4194/044 – N98 (2x49)</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LT/1/18/4194/045 – N100</w:t>
            </w:r>
          </w:p>
          <w:p w:rsidR="00D11660" w:rsidRPr="00090BDC" w:rsidRDefault="00D11660" w:rsidP="005D230C">
            <w:pPr>
              <w:spacing w:after="0" w:line="240" w:lineRule="auto"/>
              <w:jc w:val="both"/>
              <w:rPr>
                <w:rFonts w:ascii="Times New Roman" w:eastAsia="Times New Roman" w:hAnsi="Times New Roman"/>
                <w:u w:val="single"/>
                <w:lang w:eastAsia="lt-LT"/>
              </w:rPr>
            </w:pPr>
            <w:r w:rsidRPr="00090BDC">
              <w:rPr>
                <w:rFonts w:ascii="Times New Roman" w:eastAsia="Times New Roman" w:hAnsi="Times New Roman"/>
                <w:u w:val="single"/>
                <w:lang w:eastAsia="lt-LT"/>
              </w:rPr>
              <w:t>Dalomoji lizdinė plokštelė</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LT/1/18/4194/046 – N5x1</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LT/1/18/4194/047 – N50x1</w:t>
            </w:r>
          </w:p>
          <w:p w:rsidR="00D11660" w:rsidRPr="00090BDC" w:rsidRDefault="00D11660" w:rsidP="005D230C">
            <w:pPr>
              <w:spacing w:after="0" w:line="240" w:lineRule="auto"/>
              <w:jc w:val="both"/>
              <w:rPr>
                <w:rFonts w:ascii="Times New Roman" w:eastAsia="Times New Roman" w:hAnsi="Times New Roman"/>
                <w:lang w:eastAsia="lt-LT"/>
              </w:rPr>
            </w:pPr>
            <w:r w:rsidRPr="00090BDC">
              <w:rPr>
                <w:rFonts w:ascii="Times New Roman" w:eastAsia="Times New Roman" w:hAnsi="Times New Roman"/>
                <w:lang w:eastAsia="lt-LT"/>
              </w:rPr>
              <w:t>LT/1/18/4194/048 – N100x1</w:t>
            </w:r>
          </w:p>
        </w:tc>
      </w:tr>
    </w:tbl>
    <w:p w:rsidR="00D11660" w:rsidRPr="00D11660" w:rsidRDefault="00D11660" w:rsidP="00D11660">
      <w:pPr>
        <w:spacing w:after="0" w:line="240" w:lineRule="auto"/>
        <w:jc w:val="both"/>
        <w:rPr>
          <w:rFonts w:ascii="Times New Roman" w:eastAsia="Times New Roman" w:hAnsi="Times New Roman"/>
          <w:lang w:eastAsia="lt-LT"/>
        </w:rPr>
      </w:pPr>
    </w:p>
    <w:p w:rsidR="00D11660" w:rsidRPr="00D11660" w:rsidRDefault="00D11660" w:rsidP="00D11660">
      <w:pPr>
        <w:spacing w:after="0" w:line="240" w:lineRule="auto"/>
        <w:jc w:val="both"/>
        <w:rPr>
          <w:rFonts w:ascii="Times New Roman" w:eastAsia="Times New Roman" w:hAnsi="Times New Roman"/>
          <w:snapToGrid w:val="0"/>
        </w:rPr>
      </w:pPr>
    </w:p>
    <w:p w:rsidR="00D11660" w:rsidRPr="00D11660" w:rsidRDefault="00D11660" w:rsidP="00D11660">
      <w:pPr>
        <w:keepNext/>
        <w:keepLines/>
        <w:tabs>
          <w:tab w:val="left" w:pos="567"/>
        </w:tabs>
        <w:spacing w:after="0" w:line="240" w:lineRule="auto"/>
        <w:outlineLvl w:val="2"/>
        <w:rPr>
          <w:rFonts w:ascii="Times New Roman" w:eastAsia="Times New Roman" w:hAnsi="Times New Roman"/>
          <w:b/>
          <w:bCs/>
          <w:snapToGrid w:val="0"/>
        </w:rPr>
      </w:pPr>
      <w:r w:rsidRPr="00D11660">
        <w:rPr>
          <w:rFonts w:ascii="Times New Roman" w:eastAsia="Times New Roman" w:hAnsi="Times New Roman"/>
          <w:b/>
          <w:bCs/>
          <w:snapToGrid w:val="0"/>
        </w:rPr>
        <w:t>9.</w:t>
      </w:r>
      <w:r w:rsidRPr="00D11660">
        <w:rPr>
          <w:rFonts w:ascii="Times New Roman" w:eastAsia="Times New Roman" w:hAnsi="Times New Roman"/>
          <w:b/>
          <w:bCs/>
          <w:snapToGrid w:val="0"/>
        </w:rPr>
        <w:tab/>
        <w:t>REGISTRAVIMO / PERREGISTRAVIMO DATA</w:t>
      </w:r>
    </w:p>
    <w:p w:rsidR="00D11660" w:rsidRPr="00D11660" w:rsidRDefault="00D11660" w:rsidP="00D11660">
      <w:pPr>
        <w:spacing w:after="0" w:line="240" w:lineRule="auto"/>
        <w:rPr>
          <w:rFonts w:ascii="Times New Roman" w:eastAsia="Times New Roman" w:hAnsi="Times New Roman"/>
          <w:snapToGrid w:val="0"/>
        </w:rPr>
      </w:pPr>
    </w:p>
    <w:p w:rsidR="00D11660" w:rsidRPr="00D11660" w:rsidRDefault="00D11660" w:rsidP="00D11660">
      <w:pPr>
        <w:spacing w:after="0" w:line="240" w:lineRule="auto"/>
        <w:rPr>
          <w:rFonts w:ascii="Times New Roman" w:hAnsi="Times New Roman"/>
          <w:i/>
          <w:noProof/>
        </w:rPr>
      </w:pPr>
      <w:r w:rsidRPr="00D11660">
        <w:rPr>
          <w:rFonts w:ascii="Times New Roman" w:hAnsi="Times New Roman"/>
        </w:rPr>
        <w:t>Registravimo data 2018 m. vasario 7 d.</w:t>
      </w:r>
    </w:p>
    <w:p w:rsidR="00D11660" w:rsidRDefault="00756642" w:rsidP="00D11660">
      <w:pPr>
        <w:spacing w:after="0" w:line="240" w:lineRule="auto"/>
        <w:rPr>
          <w:rFonts w:ascii="Times New Roman" w:eastAsia="Times New Roman" w:hAnsi="Times New Roman"/>
          <w:snapToGrid w:val="0"/>
        </w:rPr>
      </w:pPr>
      <w:r>
        <w:rPr>
          <w:rFonts w:ascii="Times New Roman" w:eastAsia="Times New Roman" w:hAnsi="Times New Roman"/>
          <w:snapToGrid w:val="0"/>
        </w:rPr>
        <w:t>Paskutinio perregistravimo data</w:t>
      </w:r>
      <w:r w:rsidR="0060356C">
        <w:rPr>
          <w:rFonts w:ascii="Times New Roman" w:eastAsia="Times New Roman" w:hAnsi="Times New Roman"/>
          <w:snapToGrid w:val="0"/>
        </w:rPr>
        <w:t xml:space="preserve"> 2022 m. lapkričio 18 d.</w:t>
      </w:r>
    </w:p>
    <w:p w:rsidR="00756642" w:rsidRPr="00D11660" w:rsidRDefault="00756642" w:rsidP="00D11660">
      <w:pPr>
        <w:spacing w:after="0" w:line="240" w:lineRule="auto"/>
        <w:rPr>
          <w:rFonts w:ascii="Times New Roman" w:eastAsia="Times New Roman" w:hAnsi="Times New Roman"/>
          <w:snapToGrid w:val="0"/>
        </w:rPr>
      </w:pPr>
    </w:p>
    <w:p w:rsidR="00D11660" w:rsidRPr="00D11660" w:rsidRDefault="00D11660" w:rsidP="00D11660">
      <w:pPr>
        <w:spacing w:after="0" w:line="240" w:lineRule="auto"/>
        <w:rPr>
          <w:rFonts w:ascii="Times New Roman" w:eastAsia="Times New Roman" w:hAnsi="Times New Roman"/>
          <w:snapToGrid w:val="0"/>
        </w:rPr>
      </w:pPr>
    </w:p>
    <w:p w:rsidR="00D11660" w:rsidRPr="00D11660" w:rsidRDefault="00D11660" w:rsidP="00D11660">
      <w:pPr>
        <w:keepNext/>
        <w:keepLines/>
        <w:tabs>
          <w:tab w:val="left" w:pos="567"/>
        </w:tabs>
        <w:spacing w:after="0" w:line="240" w:lineRule="auto"/>
        <w:outlineLvl w:val="2"/>
        <w:rPr>
          <w:rFonts w:ascii="Times New Roman" w:eastAsia="Times New Roman" w:hAnsi="Times New Roman"/>
          <w:b/>
          <w:bCs/>
          <w:snapToGrid w:val="0"/>
        </w:rPr>
      </w:pPr>
      <w:r w:rsidRPr="00D11660">
        <w:rPr>
          <w:rFonts w:ascii="Times New Roman" w:eastAsia="Times New Roman" w:hAnsi="Times New Roman"/>
          <w:b/>
          <w:bCs/>
          <w:snapToGrid w:val="0"/>
        </w:rPr>
        <w:t>10.</w:t>
      </w:r>
      <w:r w:rsidRPr="00D11660">
        <w:rPr>
          <w:rFonts w:ascii="Times New Roman" w:eastAsia="Times New Roman" w:hAnsi="Times New Roman"/>
          <w:b/>
          <w:bCs/>
          <w:snapToGrid w:val="0"/>
        </w:rPr>
        <w:tab/>
        <w:t>TEKSTO PERŽIŪROS DATA</w:t>
      </w:r>
    </w:p>
    <w:p w:rsidR="00D11660" w:rsidRPr="00D11660" w:rsidRDefault="00D11660" w:rsidP="00D11660">
      <w:pPr>
        <w:spacing w:after="0" w:line="240" w:lineRule="auto"/>
        <w:rPr>
          <w:rFonts w:ascii="Times New Roman" w:hAnsi="Times New Roman"/>
        </w:rPr>
      </w:pPr>
    </w:p>
    <w:p w:rsidR="00D11660" w:rsidRDefault="0060356C" w:rsidP="00D11660">
      <w:pPr>
        <w:tabs>
          <w:tab w:val="left" w:pos="5954"/>
          <w:tab w:val="left" w:pos="6237"/>
          <w:tab w:val="left" w:pos="6663"/>
          <w:tab w:val="left" w:pos="6946"/>
        </w:tabs>
        <w:spacing w:after="0" w:line="240" w:lineRule="auto"/>
        <w:rPr>
          <w:rFonts w:ascii="Times New Roman" w:eastAsia="Times New Roman" w:hAnsi="Times New Roman"/>
          <w:snapToGrid w:val="0"/>
        </w:rPr>
      </w:pPr>
      <w:r>
        <w:rPr>
          <w:rFonts w:ascii="Times New Roman" w:eastAsia="Times New Roman" w:hAnsi="Times New Roman"/>
          <w:snapToGrid w:val="0"/>
        </w:rPr>
        <w:t>2022 m. lapkričio 18 d.</w:t>
      </w:r>
    </w:p>
    <w:p w:rsidR="0060356C" w:rsidRDefault="0060356C" w:rsidP="00D11660">
      <w:pPr>
        <w:tabs>
          <w:tab w:val="left" w:pos="5954"/>
          <w:tab w:val="left" w:pos="6237"/>
          <w:tab w:val="left" w:pos="6663"/>
          <w:tab w:val="left" w:pos="6946"/>
        </w:tabs>
        <w:spacing w:after="0" w:line="240" w:lineRule="auto"/>
        <w:rPr>
          <w:rFonts w:ascii="Times New Roman" w:eastAsia="Times New Roman" w:hAnsi="Times New Roman"/>
          <w:snapToGrid w:val="0"/>
        </w:rPr>
      </w:pPr>
    </w:p>
    <w:p w:rsidR="0060356C" w:rsidRPr="00D11660" w:rsidRDefault="0060356C" w:rsidP="00D11660">
      <w:pPr>
        <w:tabs>
          <w:tab w:val="left" w:pos="5954"/>
          <w:tab w:val="left" w:pos="6237"/>
          <w:tab w:val="left" w:pos="6663"/>
          <w:tab w:val="left" w:pos="6946"/>
        </w:tabs>
        <w:spacing w:after="0" w:line="240" w:lineRule="auto"/>
        <w:rPr>
          <w:rFonts w:ascii="Times New Roman" w:eastAsia="SimSun" w:hAnsi="Times New Roman"/>
          <w:noProof/>
        </w:rPr>
      </w:pPr>
    </w:p>
    <w:p w:rsidR="00D11660" w:rsidRPr="00D11660" w:rsidRDefault="00D11660" w:rsidP="00D11660">
      <w:pPr>
        <w:tabs>
          <w:tab w:val="left" w:pos="5954"/>
          <w:tab w:val="left" w:pos="6237"/>
          <w:tab w:val="left" w:pos="6663"/>
          <w:tab w:val="left" w:pos="6946"/>
        </w:tabs>
        <w:spacing w:after="0" w:line="240" w:lineRule="auto"/>
        <w:rPr>
          <w:rFonts w:ascii="Times New Roman" w:eastAsia="SimSun" w:hAnsi="Times New Roman"/>
          <w:color w:val="0000FF"/>
          <w:u w:val="single"/>
        </w:rPr>
      </w:pPr>
      <w:r w:rsidRPr="00D11660">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D11660">
        <w:rPr>
          <w:rFonts w:ascii="Times New Roman" w:eastAsia="SimSun" w:hAnsi="Times New Roman"/>
          <w:i/>
          <w:noProof/>
        </w:rPr>
        <w:t xml:space="preserve"> </w:t>
      </w:r>
      <w:hyperlink r:id="rId10" w:history="1">
        <w:r w:rsidRPr="00D11660">
          <w:rPr>
            <w:rFonts w:ascii="Times New Roman" w:eastAsia="SimSun" w:hAnsi="Times New Roman"/>
            <w:noProof/>
            <w:color w:val="0000FF"/>
            <w:u w:val="single"/>
          </w:rPr>
          <w:t>http://www.</w:t>
        </w:r>
        <w:r w:rsidRPr="00D11660">
          <w:rPr>
            <w:rFonts w:ascii="Times New Roman" w:eastAsia="SimSun" w:hAnsi="Times New Roman"/>
            <w:color w:val="0000FF"/>
            <w:u w:val="single"/>
          </w:rPr>
          <w:t>vvkt.lt</w:t>
        </w:r>
      </w:hyperlink>
      <w:r w:rsidRPr="00D11660">
        <w:rPr>
          <w:rFonts w:ascii="Times New Roman" w:eastAsia="SimSun" w:hAnsi="Times New Roman"/>
          <w:color w:val="0000FF"/>
          <w:u w:val="single"/>
        </w:rPr>
        <w:br w:type="page"/>
      </w:r>
    </w:p>
    <w:p w:rsidR="00D11660" w:rsidRPr="00D11660" w:rsidRDefault="00D11660" w:rsidP="00D11660">
      <w:pPr>
        <w:tabs>
          <w:tab w:val="left" w:pos="567"/>
          <w:tab w:val="left" w:pos="5954"/>
          <w:tab w:val="left" w:pos="6237"/>
          <w:tab w:val="left" w:pos="6663"/>
          <w:tab w:val="left" w:pos="6946"/>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ind w:left="567" w:hanging="567"/>
        <w:jc w:val="center"/>
        <w:outlineLvl w:val="0"/>
        <w:rPr>
          <w:rFonts w:ascii="Times New Roman" w:eastAsia="Times New Roman" w:hAnsi="Times New Roman"/>
          <w:b/>
          <w:caps/>
        </w:rPr>
      </w:pPr>
      <w:bookmarkStart w:id="0" w:name="_Toc129243128"/>
      <w:bookmarkStart w:id="1" w:name="_Toc129243253"/>
    </w:p>
    <w:p w:rsidR="00D11660" w:rsidRPr="00D11660" w:rsidRDefault="00D11660" w:rsidP="00D11660">
      <w:pPr>
        <w:tabs>
          <w:tab w:val="left" w:pos="567"/>
        </w:tabs>
        <w:spacing w:after="0" w:line="240" w:lineRule="auto"/>
        <w:ind w:left="567" w:hanging="567"/>
        <w:jc w:val="center"/>
        <w:outlineLvl w:val="0"/>
        <w:rPr>
          <w:rFonts w:ascii="Times New Roman" w:eastAsia="Times New Roman" w:hAnsi="Times New Roman"/>
          <w:b/>
          <w:caps/>
        </w:rPr>
      </w:pPr>
      <w:r w:rsidRPr="00D11660">
        <w:rPr>
          <w:rFonts w:ascii="Times New Roman" w:eastAsia="Times New Roman" w:hAnsi="Times New Roman"/>
          <w:b/>
          <w:caps/>
        </w:rPr>
        <w:t>II PRIEDAS</w:t>
      </w:r>
      <w:bookmarkEnd w:id="0"/>
      <w:bookmarkEnd w:id="1"/>
    </w:p>
    <w:p w:rsidR="00D11660" w:rsidRPr="00D11660" w:rsidRDefault="00D11660" w:rsidP="00D11660">
      <w:pPr>
        <w:tabs>
          <w:tab w:val="left" w:pos="567"/>
        </w:tabs>
        <w:spacing w:after="0" w:line="240" w:lineRule="auto"/>
        <w:ind w:left="567" w:hanging="567"/>
        <w:jc w:val="center"/>
        <w:outlineLvl w:val="0"/>
        <w:rPr>
          <w:rFonts w:ascii="Times New Roman" w:eastAsia="Times New Roman" w:hAnsi="Times New Roman"/>
          <w:b/>
          <w:caps/>
        </w:rPr>
      </w:pPr>
    </w:p>
    <w:p w:rsidR="00D11660" w:rsidRPr="00D11660" w:rsidRDefault="00D11660" w:rsidP="00D11660">
      <w:pPr>
        <w:tabs>
          <w:tab w:val="left" w:pos="567"/>
        </w:tabs>
        <w:spacing w:after="0" w:line="240" w:lineRule="auto"/>
        <w:ind w:left="567" w:hanging="567"/>
        <w:jc w:val="center"/>
        <w:outlineLvl w:val="0"/>
        <w:rPr>
          <w:rFonts w:ascii="Times New Roman" w:eastAsia="Times New Roman" w:hAnsi="Times New Roman"/>
          <w:b/>
          <w:caps/>
        </w:rPr>
      </w:pPr>
      <w:r w:rsidRPr="00D11660">
        <w:rPr>
          <w:rFonts w:ascii="Times New Roman" w:eastAsia="Times New Roman" w:hAnsi="Times New Roman"/>
          <w:b/>
          <w:caps/>
        </w:rPr>
        <w:t>REGISTRACIJOS SĄLYGOS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 w:val="left" w:pos="1701"/>
        </w:tabs>
        <w:spacing w:after="0" w:line="240" w:lineRule="auto"/>
        <w:ind w:left="1701" w:hanging="567"/>
        <w:rPr>
          <w:rFonts w:ascii="Times New Roman" w:eastAsia="Times New Roman" w:hAnsi="Times New Roman"/>
          <w:b/>
          <w:highlight w:val="yellow"/>
          <w:lang w:bidi="bo-CN"/>
        </w:rPr>
      </w:pPr>
      <w:r w:rsidRPr="00D11660">
        <w:rPr>
          <w:rFonts w:ascii="Times New Roman" w:eastAsia="Times New Roman" w:hAnsi="Times New Roman"/>
          <w:b/>
          <w:lang w:bidi="bo-CN"/>
        </w:rPr>
        <w:t>A.</w:t>
      </w:r>
      <w:r w:rsidRPr="00D11660">
        <w:rPr>
          <w:rFonts w:ascii="Times New Roman" w:eastAsia="Times New Roman" w:hAnsi="Times New Roman"/>
          <w:b/>
          <w:lang w:bidi="bo-CN"/>
        </w:rPr>
        <w:tab/>
      </w:r>
      <w:r w:rsidRPr="00D11660">
        <w:rPr>
          <w:rFonts w:ascii="Times New Roman" w:eastAsia="Times New Roman" w:hAnsi="Times New Roman"/>
          <w:b/>
          <w:noProof/>
        </w:rPr>
        <w:t>GAMINTOJAS (-AI), ATSAKINGAS (-I) UŽ SERIJŲ IŠLEIDIMĄ</w:t>
      </w:r>
    </w:p>
    <w:p w:rsidR="00D11660" w:rsidRPr="00D11660" w:rsidRDefault="00D11660" w:rsidP="00D11660">
      <w:pPr>
        <w:tabs>
          <w:tab w:val="left" w:pos="567"/>
        </w:tabs>
        <w:spacing w:after="0" w:line="240" w:lineRule="auto"/>
        <w:rPr>
          <w:rFonts w:ascii="Times New Roman" w:eastAsia="Times New Roman" w:hAnsi="Times New Roman"/>
          <w:noProof/>
          <w:highlight w:val="yellow"/>
        </w:rPr>
      </w:pPr>
    </w:p>
    <w:p w:rsidR="00D11660" w:rsidRPr="00D11660" w:rsidRDefault="00D11660" w:rsidP="00D11660">
      <w:pPr>
        <w:tabs>
          <w:tab w:val="left" w:pos="567"/>
          <w:tab w:val="left" w:pos="1701"/>
        </w:tabs>
        <w:spacing w:after="0" w:line="240" w:lineRule="auto"/>
        <w:ind w:left="1701" w:hanging="567"/>
        <w:rPr>
          <w:rFonts w:ascii="Times New Roman" w:eastAsia="Times New Roman" w:hAnsi="Times New Roman"/>
          <w:b/>
        </w:rPr>
      </w:pPr>
      <w:r w:rsidRPr="00D11660">
        <w:rPr>
          <w:rFonts w:ascii="Times New Roman" w:eastAsia="Times New Roman" w:hAnsi="Times New Roman"/>
          <w:b/>
          <w:lang w:bidi="bo-CN"/>
        </w:rPr>
        <w:t>B.</w:t>
      </w:r>
      <w:r w:rsidRPr="00D11660">
        <w:rPr>
          <w:rFonts w:ascii="Times New Roman" w:eastAsia="Times New Roman" w:hAnsi="Times New Roman"/>
          <w:b/>
          <w:lang w:bidi="bo-CN"/>
        </w:rPr>
        <w:tab/>
      </w:r>
      <w:r w:rsidRPr="00D11660">
        <w:rPr>
          <w:rFonts w:ascii="Times New Roman" w:eastAsia="Times New Roman" w:hAnsi="Times New Roman"/>
          <w:b/>
        </w:rPr>
        <w:t>TIEKIMO IR VARTOJIMO SĄLYGOS AR APRIBOJIMAI</w:t>
      </w:r>
    </w:p>
    <w:p w:rsidR="00D11660" w:rsidRPr="00D11660" w:rsidRDefault="00D11660" w:rsidP="00D11660">
      <w:pPr>
        <w:tabs>
          <w:tab w:val="left" w:pos="567"/>
          <w:tab w:val="left" w:pos="1701"/>
        </w:tabs>
        <w:spacing w:after="0" w:line="240" w:lineRule="auto"/>
        <w:ind w:left="1701" w:hanging="567"/>
        <w:rPr>
          <w:rFonts w:ascii="Times New Roman" w:eastAsia="Times New Roman" w:hAnsi="Times New Roman"/>
          <w:b/>
        </w:rPr>
      </w:pPr>
    </w:p>
    <w:p w:rsidR="00D11660" w:rsidRPr="00D11660" w:rsidRDefault="00D11660" w:rsidP="00D11660">
      <w:pPr>
        <w:tabs>
          <w:tab w:val="left" w:pos="567"/>
          <w:tab w:val="left" w:pos="1701"/>
        </w:tabs>
        <w:spacing w:after="0" w:line="240" w:lineRule="auto"/>
        <w:ind w:left="1701" w:hanging="567"/>
        <w:rPr>
          <w:rFonts w:ascii="Times New Roman" w:eastAsia="Times New Roman" w:hAnsi="Times New Roman"/>
          <w:b/>
        </w:rPr>
      </w:pPr>
      <w:r w:rsidRPr="00D11660">
        <w:rPr>
          <w:rFonts w:ascii="Times New Roman" w:eastAsia="Times New Roman" w:hAnsi="Times New Roman"/>
          <w:b/>
        </w:rPr>
        <w:t>C.</w:t>
      </w:r>
      <w:r w:rsidRPr="00D11660">
        <w:rPr>
          <w:rFonts w:ascii="Times New Roman" w:eastAsia="Times New Roman" w:hAnsi="Times New Roman"/>
          <w:b/>
        </w:rPr>
        <w:tab/>
        <w:t>SĄLYGOS AR APRIBOJIMAI SAUGIAM IR VEIKSMINGAM VAISTINIO PREPARATO VARTOJIMUI UŽTIKRINTI</w:t>
      </w:r>
    </w:p>
    <w:p w:rsidR="00D11660" w:rsidRPr="00D11660" w:rsidRDefault="00D11660" w:rsidP="00D11660">
      <w:pPr>
        <w:tabs>
          <w:tab w:val="left" w:pos="567"/>
        </w:tabs>
        <w:spacing w:after="0" w:line="240" w:lineRule="auto"/>
        <w:rPr>
          <w:rFonts w:ascii="Times New Roman" w:eastAsia="Times New Roman" w:hAnsi="Times New Roman"/>
          <w:noProof/>
          <w:highlight w:val="yellow"/>
        </w:rPr>
      </w:pPr>
    </w:p>
    <w:p w:rsidR="00D11660" w:rsidRPr="00D11660" w:rsidRDefault="00D11660" w:rsidP="00D11660">
      <w:pPr>
        <w:keepNext/>
        <w:tabs>
          <w:tab w:val="left" w:pos="567"/>
        </w:tabs>
        <w:spacing w:after="0" w:line="240" w:lineRule="auto"/>
        <w:ind w:left="567" w:hanging="567"/>
        <w:outlineLvl w:val="1"/>
        <w:rPr>
          <w:rFonts w:ascii="Times New Roman" w:eastAsia="Times New Roman" w:hAnsi="Times New Roman"/>
          <w:b/>
          <w:lang w:bidi="bo-CN"/>
        </w:rPr>
      </w:pPr>
      <w:r w:rsidRPr="00D11660">
        <w:rPr>
          <w:rFonts w:ascii="Times New Roman" w:eastAsia="Times New Roman" w:hAnsi="Times New Roman"/>
          <w:b/>
          <w:lang w:bidi="bo-CN"/>
        </w:rPr>
        <w:br w:type="page"/>
        <w:t>A.</w:t>
      </w:r>
      <w:r w:rsidRPr="00D11660">
        <w:rPr>
          <w:rFonts w:ascii="Times New Roman" w:eastAsia="Times New Roman" w:hAnsi="Times New Roman"/>
          <w:b/>
          <w:lang w:bidi="bo-CN"/>
        </w:rPr>
        <w:tab/>
        <w:t>GAMINTOJAS (-AI), ATSAKINGAS (-I) UŽ SERIJŲ IŠLEIDIMĄ</w:t>
      </w:r>
    </w:p>
    <w:p w:rsidR="00D11660" w:rsidRPr="00D11660" w:rsidRDefault="00D11660" w:rsidP="00D11660">
      <w:pPr>
        <w:tabs>
          <w:tab w:val="left" w:pos="567"/>
        </w:tabs>
        <w:spacing w:after="0" w:line="240" w:lineRule="auto"/>
        <w:rPr>
          <w:rFonts w:ascii="Times New Roman" w:eastAsia="Times New Roman" w:hAnsi="Times New Roman"/>
          <w:noProof/>
          <w:highlight w:val="yellow"/>
        </w:rPr>
      </w:pPr>
    </w:p>
    <w:p w:rsidR="00D11660" w:rsidRPr="00D11660" w:rsidRDefault="00D11660" w:rsidP="00D11660">
      <w:pPr>
        <w:tabs>
          <w:tab w:val="left" w:pos="567"/>
        </w:tabs>
        <w:spacing w:after="0" w:line="240" w:lineRule="auto"/>
        <w:rPr>
          <w:rFonts w:ascii="Times New Roman" w:eastAsia="Times New Roman" w:hAnsi="Times New Roman"/>
          <w:noProof/>
          <w:u w:val="single"/>
        </w:rPr>
      </w:pPr>
      <w:r w:rsidRPr="00D11660">
        <w:rPr>
          <w:rFonts w:ascii="Times New Roman" w:eastAsia="Times New Roman" w:hAnsi="Times New Roman"/>
          <w:noProof/>
          <w:u w:val="single"/>
        </w:rPr>
        <w:t>Gamintojo (ų), atsakingo (ų) už serijų išleidimą, pavadinimas (i) ir adresas (i)</w:t>
      </w:r>
    </w:p>
    <w:p w:rsidR="00D11660" w:rsidRPr="00D11660" w:rsidRDefault="00D11660" w:rsidP="00D11660">
      <w:pPr>
        <w:tabs>
          <w:tab w:val="left" w:pos="425"/>
          <w:tab w:val="left" w:pos="567"/>
        </w:tabs>
        <w:spacing w:after="0" w:line="240" w:lineRule="auto"/>
        <w:rPr>
          <w:rFonts w:ascii="Times New Roman" w:hAnsi="Times New Roman"/>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G.L. Pharma GmbH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Schlossplatz 1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8502 Lannach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Austrija</w:t>
      </w:r>
    </w:p>
    <w:p w:rsidR="00D11660" w:rsidRPr="00D11660" w:rsidRDefault="00D11660" w:rsidP="00D11660">
      <w:pPr>
        <w:tabs>
          <w:tab w:val="left" w:pos="567"/>
        </w:tabs>
        <w:spacing w:after="0" w:line="240" w:lineRule="auto"/>
        <w:rPr>
          <w:rFonts w:ascii="Times New Roman" w:eastAsia="Times New Roman" w:hAnsi="Times New Roman"/>
          <w:noProof/>
          <w:highlight w:val="yellow"/>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t>arba</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Rontis Hellas Medical and Pharmaceutical Products S.A.</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P.O. Box 3012 Larisa Industrial Area</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Larisa, 41004</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Graikija</w:t>
      </w:r>
    </w:p>
    <w:p w:rsidR="00D11660" w:rsidRPr="00D11660" w:rsidRDefault="00D11660" w:rsidP="00D11660">
      <w:pPr>
        <w:tabs>
          <w:tab w:val="left" w:pos="567"/>
        </w:tabs>
        <w:spacing w:after="0" w:line="240" w:lineRule="auto"/>
        <w:rPr>
          <w:rFonts w:ascii="Times New Roman" w:eastAsia="Times New Roman" w:hAnsi="Times New Roman"/>
          <w:noProof/>
          <w:highlight w:val="yellow"/>
        </w:rPr>
      </w:pPr>
    </w:p>
    <w:p w:rsidR="00D11660" w:rsidRPr="00D11660" w:rsidRDefault="00D11660" w:rsidP="00D11660">
      <w:pPr>
        <w:tabs>
          <w:tab w:val="left" w:pos="567"/>
        </w:tabs>
        <w:spacing w:after="0" w:line="240" w:lineRule="auto"/>
        <w:jc w:val="both"/>
        <w:rPr>
          <w:rFonts w:ascii="Times New Roman" w:eastAsia="Times New Roman" w:hAnsi="Times New Roman"/>
          <w:noProof/>
          <w:snapToGrid w:val="0"/>
        </w:rPr>
      </w:pPr>
      <w:r w:rsidRPr="00D11660">
        <w:rPr>
          <w:rFonts w:ascii="Times New Roman" w:eastAsia="Times New Roman" w:hAnsi="Times New Roman"/>
          <w:noProof/>
          <w:snapToGrid w:val="0"/>
        </w:rPr>
        <w:t>Su pakuote pateikiamame lapelyje nurodomas gamintojo, atsakingo už konkrečios serijos išleidimą, pavadinimas ir adresas.</w:t>
      </w:r>
    </w:p>
    <w:p w:rsidR="00D11660" w:rsidRPr="00D11660" w:rsidRDefault="00D11660" w:rsidP="00D11660">
      <w:pPr>
        <w:tabs>
          <w:tab w:val="left" w:pos="567"/>
        </w:tabs>
        <w:spacing w:after="0" w:line="240" w:lineRule="auto"/>
        <w:jc w:val="both"/>
        <w:rPr>
          <w:rFonts w:ascii="Times New Roman" w:eastAsia="Times New Roman" w:hAnsi="Times New Roman"/>
          <w:snapToGrid w:val="0"/>
        </w:rPr>
      </w:pPr>
    </w:p>
    <w:p w:rsidR="00D11660" w:rsidRPr="00D11660" w:rsidRDefault="00D11660" w:rsidP="00D11660">
      <w:pPr>
        <w:tabs>
          <w:tab w:val="left" w:pos="567"/>
        </w:tabs>
        <w:spacing w:after="0" w:line="240" w:lineRule="auto"/>
        <w:rPr>
          <w:rFonts w:ascii="Times New Roman" w:eastAsia="Times New Roman" w:hAnsi="Times New Roman"/>
          <w:noProof/>
          <w:highlight w:val="yellow"/>
        </w:rPr>
      </w:pPr>
    </w:p>
    <w:p w:rsidR="00D11660" w:rsidRPr="00D11660" w:rsidRDefault="00D11660" w:rsidP="00D11660">
      <w:pPr>
        <w:keepNext/>
        <w:tabs>
          <w:tab w:val="left" w:pos="567"/>
        </w:tabs>
        <w:spacing w:after="0" w:line="240" w:lineRule="auto"/>
        <w:ind w:left="567" w:hanging="567"/>
        <w:outlineLvl w:val="1"/>
        <w:rPr>
          <w:rFonts w:ascii="Times New Roman" w:eastAsia="Times New Roman" w:hAnsi="Times New Roman"/>
          <w:b/>
          <w:lang w:bidi="bo-CN"/>
        </w:rPr>
      </w:pPr>
      <w:r w:rsidRPr="00D11660">
        <w:rPr>
          <w:rFonts w:ascii="Times New Roman" w:eastAsia="Times New Roman" w:hAnsi="Times New Roman"/>
          <w:b/>
          <w:lang w:bidi="bo-CN"/>
        </w:rPr>
        <w:t>B.</w:t>
      </w:r>
      <w:r w:rsidRPr="00D11660">
        <w:rPr>
          <w:rFonts w:ascii="Times New Roman" w:eastAsia="Times New Roman" w:hAnsi="Times New Roman"/>
          <w:b/>
          <w:lang w:bidi="bo-CN"/>
        </w:rPr>
        <w:tab/>
        <w:t>TIEKIMO IR VARTOJIMO SĄLYGOS AR APRIBOJIMAI</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noProof/>
        </w:rPr>
        <w:t>R</w:t>
      </w:r>
      <w:r w:rsidRPr="00D11660">
        <w:rPr>
          <w:rFonts w:ascii="Times New Roman" w:eastAsia="Times New Roman" w:hAnsi="Times New Roman"/>
        </w:rPr>
        <w:t>eceptinis vaistinis preparatas.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ind w:right="-1"/>
        <w:rPr>
          <w:rFonts w:ascii="Times New Roman" w:hAnsi="Times New Roman"/>
          <w:b/>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br w:type="page"/>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r w:rsidRPr="00D11660">
        <w:rPr>
          <w:rFonts w:ascii="Times New Roman" w:eastAsia="Times New Roman" w:hAnsi="Times New Roman"/>
          <w:b/>
          <w:noProof/>
        </w:rPr>
        <w:t>III PRIEDAS</w:t>
      </w:r>
    </w:p>
    <w:p w:rsidR="00D11660" w:rsidRPr="00D11660" w:rsidRDefault="00D11660" w:rsidP="00D11660">
      <w:pPr>
        <w:tabs>
          <w:tab w:val="left" w:pos="567"/>
        </w:tabs>
        <w:spacing w:after="0" w:line="240" w:lineRule="auto"/>
        <w:jc w:val="center"/>
        <w:rPr>
          <w:rFonts w:ascii="Times New Roman" w:eastAsia="Times New Roman" w:hAnsi="Times New Roman"/>
          <w:b/>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rPr>
      </w:pPr>
      <w:r w:rsidRPr="00D11660">
        <w:rPr>
          <w:rFonts w:ascii="Times New Roman" w:eastAsia="Times New Roman" w:hAnsi="Times New Roman"/>
          <w:b/>
          <w:noProof/>
        </w:rPr>
        <w:t>ŽENKLINIMAS IR PAKUOTĖS LAPELIS</w:t>
      </w: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br w:type="page"/>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noProof/>
        </w:rPr>
      </w:pPr>
      <w:r w:rsidRPr="00D11660">
        <w:rPr>
          <w:rFonts w:ascii="Times New Roman" w:eastAsia="Times New Roman" w:hAnsi="Times New Roman"/>
          <w:b/>
          <w:noProof/>
        </w:rPr>
        <w:t>A. ŽENKLINIMAS</w:t>
      </w:r>
    </w:p>
    <w:p w:rsidR="00D11660" w:rsidRPr="00D11660" w:rsidRDefault="00D11660" w:rsidP="00D11660">
      <w:pPr>
        <w:shd w:val="clear" w:color="auto" w:fill="FFFFFF"/>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br w:type="page"/>
      </w: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rPr>
      </w:pPr>
      <w:r w:rsidRPr="00D11660">
        <w:rPr>
          <w:rFonts w:ascii="Times New Roman" w:eastAsia="Times New Roman" w:hAnsi="Times New Roman"/>
          <w:b/>
          <w:noProof/>
        </w:rPr>
        <w:t>INFORMACIJA ANT IŠORINĖS PAKUOTĖS</w:t>
      </w: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Cs/>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Cs/>
          <w:noProof/>
        </w:rPr>
      </w:pPr>
      <w:r w:rsidRPr="00D11660">
        <w:rPr>
          <w:rFonts w:ascii="Times New Roman" w:eastAsia="Times New Roman" w:hAnsi="Times New Roman"/>
          <w:b/>
          <w:noProof/>
        </w:rPr>
        <w:t>KARTONO DĖŽUTĖ</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D11660">
        <w:rPr>
          <w:rFonts w:ascii="Times New Roman" w:eastAsia="Times New Roman" w:hAnsi="Times New Roman"/>
          <w:b/>
          <w:noProof/>
        </w:rPr>
        <w:t>1.</w:t>
      </w:r>
      <w:r w:rsidRPr="00D11660">
        <w:rPr>
          <w:rFonts w:ascii="Times New Roman" w:eastAsia="Times New Roman" w:hAnsi="Times New Roman"/>
          <w:b/>
          <w:noProof/>
        </w:rPr>
        <w:tab/>
        <w:t>VAISTINIO PREPARATO PAVADINIMAS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rPr>
        <w:t>Etidylan 60 mg plėvele dengtos tabletės</w:t>
      </w:r>
    </w:p>
    <w:p w:rsidR="00D11660" w:rsidRPr="00D11660" w:rsidRDefault="00D11660" w:rsidP="00D11660">
      <w:pPr>
        <w:tabs>
          <w:tab w:val="left" w:pos="567"/>
        </w:tabs>
        <w:spacing w:after="0" w:line="240" w:lineRule="auto"/>
        <w:rPr>
          <w:rFonts w:ascii="Times New Roman" w:eastAsia="Times New Roman" w:hAnsi="Times New Roman"/>
          <w:noProof/>
        </w:rPr>
      </w:pPr>
      <w:r w:rsidRPr="005D230C">
        <w:rPr>
          <w:rFonts w:ascii="Times New Roman" w:eastAsia="Times New Roman" w:hAnsi="Times New Roman"/>
          <w:highlight w:val="lightGray"/>
        </w:rPr>
        <w:t>Etidylan 90 mg plėvele dengtos tabletės</w:t>
      </w:r>
    </w:p>
    <w:p w:rsidR="00D11660" w:rsidRPr="00D11660" w:rsidRDefault="00D11660" w:rsidP="00D11660">
      <w:pPr>
        <w:tabs>
          <w:tab w:val="left" w:pos="567"/>
        </w:tabs>
        <w:spacing w:after="0" w:line="240" w:lineRule="auto"/>
        <w:rPr>
          <w:rFonts w:ascii="Times New Roman" w:eastAsia="Times New Roman" w:hAnsi="Times New Roman"/>
          <w:noProof/>
        </w:rPr>
      </w:pPr>
      <w:r w:rsidRPr="005D230C">
        <w:rPr>
          <w:rFonts w:ascii="Times New Roman" w:eastAsia="Times New Roman" w:hAnsi="Times New Roman"/>
          <w:highlight w:val="lightGray"/>
        </w:rPr>
        <w:t>Etidylan 120 mg plėvele dengtos tabletės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t>Etoricoxibum</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rPr>
      </w:pPr>
      <w:r w:rsidRPr="00D11660">
        <w:rPr>
          <w:rFonts w:ascii="Times New Roman" w:eastAsia="Times New Roman" w:hAnsi="Times New Roman"/>
          <w:b/>
          <w:noProof/>
        </w:rPr>
        <w:t>2.</w:t>
      </w:r>
      <w:r w:rsidRPr="00D11660">
        <w:rPr>
          <w:rFonts w:ascii="Times New Roman" w:eastAsia="Times New Roman" w:hAnsi="Times New Roman"/>
          <w:b/>
          <w:noProof/>
        </w:rPr>
        <w:tab/>
        <w:t>VEIKLIOJI (-IOS) MEDŽIAGA (-OS) IR JOS (-Ų) KIEKIS (-IAI)</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rPr>
        <w:t>Kiekvienoje plėvele dengtoje tabletėje yra 60 mg etorikoksibo.</w:t>
      </w:r>
    </w:p>
    <w:p w:rsidR="00D11660" w:rsidRPr="005D230C" w:rsidRDefault="00D11660" w:rsidP="00D11660">
      <w:pPr>
        <w:tabs>
          <w:tab w:val="left" w:pos="567"/>
        </w:tabs>
        <w:spacing w:after="0" w:line="240" w:lineRule="auto"/>
        <w:rPr>
          <w:rFonts w:ascii="Times New Roman" w:eastAsia="Times New Roman" w:hAnsi="Times New Roman"/>
          <w:highlight w:val="lightGray"/>
        </w:rPr>
      </w:pPr>
      <w:r w:rsidRPr="005D230C">
        <w:rPr>
          <w:rFonts w:ascii="Times New Roman" w:eastAsia="Times New Roman" w:hAnsi="Times New Roman"/>
          <w:highlight w:val="lightGray"/>
        </w:rPr>
        <w:t>Kiekvienoje plėvele dengtoje tabletėje yra 90 mg etorikoksibo.</w:t>
      </w:r>
    </w:p>
    <w:p w:rsidR="00D11660" w:rsidRPr="005D230C" w:rsidRDefault="00D11660" w:rsidP="00D11660">
      <w:pPr>
        <w:tabs>
          <w:tab w:val="left" w:pos="567"/>
        </w:tabs>
        <w:spacing w:after="0" w:line="240" w:lineRule="auto"/>
        <w:rPr>
          <w:rFonts w:ascii="Times New Roman" w:eastAsia="Times New Roman" w:hAnsi="Times New Roman"/>
          <w:highlight w:val="lightGray"/>
        </w:rPr>
      </w:pPr>
      <w:r w:rsidRPr="005D230C">
        <w:rPr>
          <w:rFonts w:ascii="Times New Roman" w:eastAsia="Times New Roman" w:hAnsi="Times New Roman"/>
          <w:highlight w:val="lightGray"/>
        </w:rPr>
        <w:t>Kiekvienoje plėvele dengtoje tabletėje yra 120 mg etorikoksibo.</w:t>
      </w:r>
    </w:p>
    <w:p w:rsidR="00D11660" w:rsidRPr="005D230C" w:rsidRDefault="00D11660" w:rsidP="00D11660">
      <w:pPr>
        <w:tabs>
          <w:tab w:val="left" w:pos="567"/>
        </w:tabs>
        <w:spacing w:after="0" w:line="240" w:lineRule="auto"/>
        <w:rPr>
          <w:rFonts w:ascii="Times New Roman" w:eastAsia="Times New Roman" w:hAnsi="Times New Roman"/>
          <w:highlight w:val="lightGray"/>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5D230C"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highlight w:val="lightGray"/>
        </w:rPr>
      </w:pPr>
      <w:r w:rsidRPr="00D11660">
        <w:rPr>
          <w:rFonts w:ascii="Times New Roman" w:eastAsia="Times New Roman" w:hAnsi="Times New Roman"/>
          <w:b/>
          <w:noProof/>
        </w:rPr>
        <w:t>3.</w:t>
      </w:r>
      <w:r w:rsidRPr="00D11660">
        <w:rPr>
          <w:rFonts w:ascii="Times New Roman" w:eastAsia="Times New Roman" w:hAnsi="Times New Roman"/>
          <w:b/>
          <w:noProof/>
        </w:rPr>
        <w:tab/>
        <w:t>PAGALBINIŲ MEDŽIAGŲ SĄRAŠAS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D11660">
        <w:rPr>
          <w:rFonts w:ascii="Times New Roman" w:eastAsia="Times New Roman" w:hAnsi="Times New Roman"/>
          <w:b/>
          <w:noProof/>
        </w:rPr>
        <w:t>4.</w:t>
      </w:r>
      <w:r w:rsidRPr="00D11660">
        <w:rPr>
          <w:rFonts w:ascii="Times New Roman" w:eastAsia="Times New Roman" w:hAnsi="Times New Roman"/>
          <w:b/>
          <w:noProof/>
        </w:rPr>
        <w:tab/>
        <w:t>FARMACINĖ FORMA IR KIEKIS PAKUOTĖJE</w:t>
      </w:r>
    </w:p>
    <w:p w:rsidR="00D11660" w:rsidRPr="00D11660" w:rsidRDefault="00D11660" w:rsidP="00D11660">
      <w:pPr>
        <w:tabs>
          <w:tab w:val="left" w:pos="567"/>
          <w:tab w:val="left" w:pos="1296"/>
        </w:tabs>
        <w:spacing w:after="0" w:line="240" w:lineRule="auto"/>
        <w:rPr>
          <w:rFonts w:ascii="Times New Roman" w:eastAsia="Times New Roman" w:hAnsi="Times New Roman"/>
        </w:rPr>
      </w:pPr>
    </w:p>
    <w:p w:rsidR="00D11660" w:rsidRPr="00D11660" w:rsidRDefault="00D11660" w:rsidP="00D11660">
      <w:pPr>
        <w:tabs>
          <w:tab w:val="left" w:pos="567"/>
        </w:tabs>
        <w:autoSpaceDE w:val="0"/>
        <w:autoSpaceDN w:val="0"/>
        <w:adjustRightInd w:val="0"/>
        <w:spacing w:after="0" w:line="240" w:lineRule="auto"/>
        <w:rPr>
          <w:rFonts w:ascii="Times New Roman" w:eastAsia="Times New Roman" w:hAnsi="Times New Roman"/>
          <w:lang w:eastAsia="en-GB"/>
        </w:rPr>
      </w:pPr>
      <w:r w:rsidRPr="005D230C">
        <w:rPr>
          <w:rFonts w:ascii="Times New Roman" w:eastAsia="Times New Roman" w:hAnsi="Times New Roman"/>
          <w:highlight w:val="lightGray"/>
          <w:lang w:eastAsia="en-GB"/>
        </w:rPr>
        <w:t>Plėvele dengta tabletė</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2 plėvele dengtos tabletės</w:t>
      </w:r>
    </w:p>
    <w:p w:rsidR="00D11660" w:rsidRPr="005D230C" w:rsidRDefault="00D11660" w:rsidP="00D11660">
      <w:pPr>
        <w:tabs>
          <w:tab w:val="left" w:pos="567"/>
        </w:tabs>
        <w:spacing w:after="0" w:line="240" w:lineRule="auto"/>
        <w:rPr>
          <w:rFonts w:ascii="Times New Roman" w:eastAsia="Times New Roman" w:hAnsi="Times New Roman"/>
          <w:highlight w:val="lightGray"/>
        </w:rPr>
      </w:pPr>
      <w:r w:rsidRPr="005D230C">
        <w:rPr>
          <w:rFonts w:ascii="Times New Roman" w:eastAsia="Times New Roman" w:hAnsi="Times New Roman"/>
          <w:highlight w:val="lightGray"/>
        </w:rPr>
        <w:t>5 plėvele dengtos tabletės</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7</w:t>
      </w:r>
      <w:r w:rsidRPr="005D230C">
        <w:rPr>
          <w:rFonts w:ascii="Times New Roman" w:eastAsia="Times New Roman" w:hAnsi="Times New Roman"/>
          <w:highlight w:val="lightGray"/>
        </w:rPr>
        <w:t xml:space="preserve"> plėvele dengtos tabletės</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10</w:t>
      </w:r>
      <w:r w:rsidRPr="005D230C">
        <w:rPr>
          <w:rFonts w:ascii="Times New Roman" w:eastAsia="Times New Roman" w:hAnsi="Times New Roman"/>
          <w:highlight w:val="lightGray"/>
        </w:rPr>
        <w:t xml:space="preserve"> plėvele dengtų tablečių</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14</w:t>
      </w:r>
      <w:r w:rsidRPr="005D230C">
        <w:rPr>
          <w:rFonts w:ascii="Times New Roman" w:eastAsia="Times New Roman" w:hAnsi="Times New Roman"/>
          <w:highlight w:val="lightGray"/>
        </w:rPr>
        <w:t xml:space="preserve"> plėvele dengtų tablečių</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20</w:t>
      </w:r>
      <w:r w:rsidRPr="005D230C">
        <w:rPr>
          <w:rFonts w:ascii="Times New Roman" w:eastAsia="Times New Roman" w:hAnsi="Times New Roman"/>
          <w:highlight w:val="lightGray"/>
        </w:rPr>
        <w:t xml:space="preserve"> plėvele dengtų tablečių</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28</w:t>
      </w:r>
      <w:r w:rsidRPr="005D230C">
        <w:rPr>
          <w:rFonts w:ascii="Times New Roman" w:eastAsia="Times New Roman" w:hAnsi="Times New Roman"/>
          <w:highlight w:val="lightGray"/>
        </w:rPr>
        <w:t xml:space="preserve"> plėvele dengtos tabletės</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30</w:t>
      </w:r>
      <w:r w:rsidRPr="005D230C">
        <w:rPr>
          <w:rFonts w:ascii="Times New Roman" w:eastAsia="Times New Roman" w:hAnsi="Times New Roman"/>
          <w:highlight w:val="lightGray"/>
        </w:rPr>
        <w:t xml:space="preserve"> plėvele dengtų tablečių</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49</w:t>
      </w:r>
      <w:r w:rsidRPr="005D230C">
        <w:rPr>
          <w:rFonts w:ascii="Times New Roman" w:eastAsia="Times New Roman" w:hAnsi="Times New Roman"/>
          <w:highlight w:val="lightGray"/>
        </w:rPr>
        <w:t xml:space="preserve"> plėvele dengtos tabletės</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50</w:t>
      </w:r>
      <w:r w:rsidRPr="005D230C">
        <w:rPr>
          <w:rFonts w:ascii="Times New Roman" w:eastAsia="Times New Roman" w:hAnsi="Times New Roman"/>
          <w:highlight w:val="lightGray"/>
        </w:rPr>
        <w:t xml:space="preserve"> plėvele dengtų tablečių</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84</w:t>
      </w:r>
      <w:r w:rsidRPr="005D230C">
        <w:rPr>
          <w:rFonts w:ascii="Times New Roman" w:eastAsia="Times New Roman" w:hAnsi="Times New Roman"/>
          <w:highlight w:val="lightGray"/>
        </w:rPr>
        <w:t xml:space="preserve"> plėvele dengtos tabletės</w:t>
      </w:r>
    </w:p>
    <w:p w:rsidR="00D11660" w:rsidRPr="005D230C" w:rsidRDefault="00D11660" w:rsidP="00D11660">
      <w:pPr>
        <w:tabs>
          <w:tab w:val="left" w:pos="567"/>
        </w:tabs>
        <w:spacing w:after="0" w:line="240" w:lineRule="auto"/>
        <w:rPr>
          <w:rFonts w:ascii="Times New Roman" w:hAnsi="Times New Roman"/>
          <w:highlight w:val="lightGray"/>
        </w:rPr>
      </w:pPr>
      <w:r w:rsidRPr="005D230C">
        <w:rPr>
          <w:rFonts w:ascii="Times New Roman" w:hAnsi="Times New Roman"/>
          <w:highlight w:val="lightGray"/>
        </w:rPr>
        <w:t>100</w:t>
      </w:r>
      <w:r w:rsidRPr="005D230C">
        <w:rPr>
          <w:rFonts w:ascii="Times New Roman" w:eastAsia="Times New Roman" w:hAnsi="Times New Roman"/>
          <w:highlight w:val="lightGray"/>
        </w:rPr>
        <w:t xml:space="preserve"> plėvele dengtų tablečių</w:t>
      </w:r>
    </w:p>
    <w:p w:rsidR="00D11660" w:rsidRPr="005D230C" w:rsidRDefault="00D11660" w:rsidP="00D11660">
      <w:pPr>
        <w:tabs>
          <w:tab w:val="left" w:pos="567"/>
        </w:tabs>
        <w:spacing w:after="0" w:line="240" w:lineRule="auto"/>
        <w:rPr>
          <w:rFonts w:ascii="Times New Roman" w:eastAsia="Times New Roman" w:hAnsi="Times New Roman"/>
          <w:highlight w:val="lightGray"/>
        </w:rPr>
      </w:pPr>
      <w:r w:rsidRPr="005D230C">
        <w:rPr>
          <w:rFonts w:ascii="Times New Roman" w:hAnsi="Times New Roman"/>
          <w:highlight w:val="lightGray"/>
        </w:rPr>
        <w:t xml:space="preserve">98 (2 pakuotės po 49) </w:t>
      </w:r>
      <w:r w:rsidRPr="005D230C">
        <w:rPr>
          <w:rFonts w:ascii="Times New Roman" w:eastAsia="Times New Roman" w:hAnsi="Times New Roman"/>
          <w:highlight w:val="lightGray"/>
        </w:rPr>
        <w:t>plėvele dengtos tabletės</w:t>
      </w:r>
    </w:p>
    <w:p w:rsidR="00D11660" w:rsidRPr="005D230C" w:rsidRDefault="00D11660" w:rsidP="00D11660">
      <w:pPr>
        <w:tabs>
          <w:tab w:val="left" w:pos="567"/>
        </w:tabs>
        <w:spacing w:after="0" w:line="240" w:lineRule="auto"/>
        <w:rPr>
          <w:rFonts w:ascii="Times New Roman" w:eastAsia="Times New Roman" w:hAnsi="Times New Roman"/>
          <w:highlight w:val="lightGray"/>
        </w:rPr>
      </w:pPr>
    </w:p>
    <w:p w:rsidR="00D11660" w:rsidRPr="005D230C" w:rsidRDefault="00D11660" w:rsidP="00D11660">
      <w:pPr>
        <w:tabs>
          <w:tab w:val="left" w:pos="567"/>
        </w:tabs>
        <w:spacing w:after="0" w:line="240" w:lineRule="auto"/>
        <w:rPr>
          <w:rFonts w:ascii="Times New Roman" w:eastAsia="Times New Roman" w:hAnsi="Times New Roman"/>
          <w:highlight w:val="lightGray"/>
        </w:rPr>
      </w:pPr>
      <w:r w:rsidRPr="005D230C">
        <w:rPr>
          <w:rFonts w:ascii="Times New Roman" w:eastAsia="Times New Roman" w:hAnsi="Times New Roman"/>
          <w:highlight w:val="lightGray"/>
        </w:rPr>
        <w:t>5 x 1 plėvele dengtos tabletės</w:t>
      </w:r>
    </w:p>
    <w:p w:rsidR="00D11660" w:rsidRPr="005D230C" w:rsidRDefault="00D11660" w:rsidP="00D11660">
      <w:pPr>
        <w:tabs>
          <w:tab w:val="left" w:pos="567"/>
        </w:tabs>
        <w:spacing w:after="0" w:line="240" w:lineRule="auto"/>
        <w:rPr>
          <w:rFonts w:ascii="Times New Roman" w:eastAsia="Times New Roman" w:hAnsi="Times New Roman"/>
          <w:highlight w:val="lightGray"/>
        </w:rPr>
      </w:pPr>
      <w:r w:rsidRPr="005D230C">
        <w:rPr>
          <w:rFonts w:ascii="Times New Roman" w:eastAsia="Times New Roman" w:hAnsi="Times New Roman"/>
          <w:highlight w:val="lightGray"/>
        </w:rPr>
        <w:t>50 x 1 plėvele dengtų tablečių</w:t>
      </w:r>
    </w:p>
    <w:p w:rsidR="00D11660" w:rsidRPr="00D11660" w:rsidRDefault="00D11660" w:rsidP="00D11660">
      <w:pPr>
        <w:tabs>
          <w:tab w:val="left" w:pos="567"/>
        </w:tabs>
        <w:spacing w:after="0" w:line="240" w:lineRule="auto"/>
        <w:rPr>
          <w:rFonts w:ascii="Times New Roman" w:eastAsia="Times New Roman" w:hAnsi="Times New Roman"/>
        </w:rPr>
      </w:pPr>
      <w:r w:rsidRPr="005D230C">
        <w:rPr>
          <w:rFonts w:ascii="Times New Roman" w:eastAsia="Times New Roman" w:hAnsi="Times New Roman"/>
          <w:highlight w:val="lightGray"/>
        </w:rPr>
        <w:t>100 x 1 plėvele dengtų tablečių</w:t>
      </w:r>
    </w:p>
    <w:p w:rsidR="00D11660" w:rsidRPr="005D230C" w:rsidRDefault="00D11660" w:rsidP="00D11660">
      <w:pPr>
        <w:tabs>
          <w:tab w:val="left" w:pos="567"/>
        </w:tabs>
        <w:autoSpaceDE w:val="0"/>
        <w:autoSpaceDN w:val="0"/>
        <w:adjustRightInd w:val="0"/>
        <w:spacing w:after="0" w:line="240" w:lineRule="auto"/>
        <w:rPr>
          <w:rFonts w:ascii="Times New Roman" w:eastAsia="Times New Roman" w:hAnsi="Times New Roman"/>
          <w:highlight w:val="lightGray"/>
          <w:lang w:eastAsia="en-GB"/>
        </w:rPr>
      </w:pPr>
    </w:p>
    <w:p w:rsidR="00D11660" w:rsidRPr="00D11660" w:rsidRDefault="00D11660" w:rsidP="00D11660">
      <w:pPr>
        <w:keepNext/>
        <w:keepLines/>
        <w:tabs>
          <w:tab w:val="left" w:pos="567"/>
        </w:tabs>
        <w:spacing w:after="0" w:line="240" w:lineRule="auto"/>
        <w:rPr>
          <w:rFonts w:ascii="Times New Roman" w:eastAsia="Times New Roman" w:hAnsi="Times New Roman"/>
        </w:rPr>
      </w:pPr>
    </w:p>
    <w:p w:rsidR="00D11660" w:rsidRPr="005D230C" w:rsidRDefault="00D11660" w:rsidP="00D11660">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highlight w:val="lightGray"/>
        </w:rPr>
      </w:pPr>
      <w:r w:rsidRPr="00D11660">
        <w:rPr>
          <w:rFonts w:ascii="Times New Roman" w:eastAsia="Times New Roman" w:hAnsi="Times New Roman"/>
          <w:b/>
          <w:noProof/>
        </w:rPr>
        <w:t>5.</w:t>
      </w:r>
      <w:r w:rsidRPr="00D11660">
        <w:rPr>
          <w:rFonts w:ascii="Times New Roman" w:eastAsia="Times New Roman" w:hAnsi="Times New Roman"/>
          <w:b/>
          <w:noProof/>
        </w:rPr>
        <w:tab/>
        <w:t>VARTOJIMO METODAS IR BŪDAS (-AI)</w:t>
      </w:r>
    </w:p>
    <w:p w:rsidR="00D11660" w:rsidRPr="00D11660" w:rsidRDefault="00D11660" w:rsidP="00D11660">
      <w:pPr>
        <w:keepNext/>
        <w:keepLines/>
        <w:tabs>
          <w:tab w:val="left" w:pos="567"/>
        </w:tabs>
        <w:spacing w:after="0" w:line="240" w:lineRule="auto"/>
        <w:rPr>
          <w:rFonts w:ascii="Times New Roman" w:eastAsia="Times New Roman" w:hAnsi="Times New Roman"/>
          <w:i/>
          <w:noProof/>
        </w:rPr>
      </w:pPr>
    </w:p>
    <w:p w:rsidR="00D11660" w:rsidRPr="00D11660" w:rsidRDefault="00D11660" w:rsidP="00D11660">
      <w:pPr>
        <w:keepNext/>
        <w:keepLines/>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t>Vartoti per burną.</w:t>
      </w:r>
    </w:p>
    <w:p w:rsidR="00D11660" w:rsidRPr="00D11660" w:rsidRDefault="00D11660" w:rsidP="00D11660">
      <w:pPr>
        <w:keepNext/>
        <w:keepLines/>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t>Prieš vartojimą perskaitykite pakuotės lapelį.</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keepNext/>
        <w:keepLines/>
        <w:pBdr>
          <w:top w:val="single" w:sz="4" w:space="0" w:color="auto"/>
          <w:left w:val="single" w:sz="4" w:space="4" w:color="auto"/>
          <w:bottom w:val="single" w:sz="4" w:space="3"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D11660">
        <w:rPr>
          <w:rFonts w:ascii="Times New Roman" w:eastAsia="Times New Roman" w:hAnsi="Times New Roman"/>
          <w:b/>
          <w:noProof/>
        </w:rPr>
        <w:t>6.</w:t>
      </w:r>
      <w:r w:rsidRPr="00D11660">
        <w:rPr>
          <w:rFonts w:ascii="Times New Roman" w:eastAsia="Times New Roman" w:hAnsi="Times New Roman"/>
          <w:b/>
          <w:noProof/>
        </w:rPr>
        <w:tab/>
      </w:r>
      <w:r w:rsidRPr="00D11660">
        <w:rPr>
          <w:rFonts w:ascii="Times New Roman" w:eastAsia="Times New Roman" w:hAnsi="Times New Roman"/>
          <w:b/>
          <w:bCs/>
          <w:noProof/>
        </w:rPr>
        <w:t>SPECIALUS ĮSPĖJIMAS, KAD VAISTINĮ PREPARATĄ BŪTINA LAIKYTI VAIKAMS NEPASTEBIMOJE IR NEPASIEKIAMOJE VIETOJE</w:t>
      </w:r>
    </w:p>
    <w:p w:rsidR="00D11660" w:rsidRPr="00D11660" w:rsidRDefault="00D11660" w:rsidP="00D11660">
      <w:pPr>
        <w:keepNext/>
        <w:keepLines/>
        <w:tabs>
          <w:tab w:val="left" w:pos="567"/>
        </w:tabs>
        <w:spacing w:after="0" w:line="240" w:lineRule="auto"/>
        <w:rPr>
          <w:rFonts w:ascii="Times New Roman" w:eastAsia="Times New Roman" w:hAnsi="Times New Roman"/>
          <w:noProof/>
        </w:rPr>
      </w:pPr>
    </w:p>
    <w:p w:rsidR="00D11660" w:rsidRPr="00D11660" w:rsidRDefault="00D11660" w:rsidP="00D11660">
      <w:pPr>
        <w:keepNext/>
        <w:keepLines/>
        <w:tabs>
          <w:tab w:val="left" w:pos="567"/>
        </w:tabs>
        <w:spacing w:after="0" w:line="240" w:lineRule="auto"/>
        <w:jc w:val="both"/>
        <w:rPr>
          <w:rFonts w:ascii="Times New Roman" w:eastAsia="Times New Roman" w:hAnsi="Times New Roman"/>
          <w:iCs/>
          <w:noProof/>
          <w:lang w:eastAsia="lt-LT" w:bidi="bo-CN"/>
        </w:rPr>
      </w:pPr>
      <w:r w:rsidRPr="00D11660">
        <w:rPr>
          <w:rFonts w:ascii="Times New Roman" w:eastAsia="Times New Roman" w:hAnsi="Times New Roman"/>
          <w:iCs/>
          <w:noProof/>
          <w:lang w:eastAsia="lt-LT" w:bidi="bo-CN"/>
        </w:rPr>
        <w:t>Laikyti vaikams nepastebimoje ir nepasiekiamoje vietoje.</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5D230C"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highlight w:val="lightGray"/>
        </w:rPr>
      </w:pPr>
      <w:r w:rsidRPr="00D11660">
        <w:rPr>
          <w:rFonts w:ascii="Times New Roman" w:eastAsia="Times New Roman" w:hAnsi="Times New Roman"/>
          <w:b/>
          <w:noProof/>
        </w:rPr>
        <w:t>7.</w:t>
      </w:r>
      <w:r w:rsidRPr="00D11660">
        <w:rPr>
          <w:rFonts w:ascii="Times New Roman" w:eastAsia="Times New Roman" w:hAnsi="Times New Roman"/>
          <w:b/>
          <w:noProof/>
        </w:rPr>
        <w:tab/>
      </w:r>
      <w:r w:rsidRPr="00D11660">
        <w:rPr>
          <w:rFonts w:ascii="Times New Roman" w:eastAsia="Times New Roman" w:hAnsi="Times New Roman"/>
          <w:b/>
          <w:bCs/>
          <w:noProof/>
        </w:rPr>
        <w:t>KITAS (-I) SPECIALUS (-ŪS) ĮSPĖJIMAS (-AI) (JEI REIKIA)</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5D230C"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highlight w:val="lightGray"/>
        </w:rPr>
      </w:pPr>
      <w:r w:rsidRPr="00D11660">
        <w:rPr>
          <w:rFonts w:ascii="Times New Roman" w:eastAsia="Times New Roman" w:hAnsi="Times New Roman"/>
          <w:b/>
          <w:noProof/>
        </w:rPr>
        <w:t>8.</w:t>
      </w:r>
      <w:r w:rsidRPr="00D11660">
        <w:rPr>
          <w:rFonts w:ascii="Times New Roman" w:eastAsia="Times New Roman" w:hAnsi="Times New Roman"/>
          <w:b/>
          <w:noProof/>
        </w:rPr>
        <w:tab/>
      </w:r>
      <w:r w:rsidRPr="00D11660">
        <w:rPr>
          <w:rFonts w:ascii="Times New Roman" w:eastAsia="Times New Roman" w:hAnsi="Times New Roman"/>
          <w:b/>
          <w:bCs/>
          <w:noProof/>
        </w:rPr>
        <w:t>TINKAMUMO LAIKAS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573735" w:rsidP="00D11660">
      <w:pPr>
        <w:tabs>
          <w:tab w:val="left" w:pos="567"/>
        </w:tabs>
        <w:spacing w:after="0" w:line="240" w:lineRule="auto"/>
        <w:rPr>
          <w:rFonts w:ascii="Times New Roman" w:eastAsia="Times New Roman" w:hAnsi="Times New Roman"/>
          <w:noProof/>
        </w:rPr>
      </w:pPr>
      <w:r>
        <w:rPr>
          <w:rFonts w:ascii="Times New Roman" w:eastAsia="Times New Roman" w:hAnsi="Times New Roman"/>
          <w:noProof/>
        </w:rPr>
        <w:t>EXP:</w:t>
      </w:r>
      <w:r w:rsidR="00D11660" w:rsidRPr="00D11660">
        <w:rPr>
          <w:rFonts w:ascii="Times New Roman" w:eastAsia="Times New Roman" w:hAnsi="Times New Roman"/>
          <w:noProof/>
        </w:rPr>
        <w:t xml:space="preserve"> </w:t>
      </w:r>
      <w:r w:rsidR="00D11660" w:rsidRPr="00D11660">
        <w:rPr>
          <w:rFonts w:ascii="Times New Roman" w:eastAsia="Times New Roman" w:hAnsi="Times New Roman"/>
          <w:lang w:eastAsia="lt-LT"/>
        </w:rPr>
        <w:t>{mm/MMMM</w:t>
      </w:r>
      <w:r w:rsidR="00D11660" w:rsidRPr="00D11660" w:rsidDel="00B01CC1">
        <w:rPr>
          <w:rFonts w:ascii="Times New Roman" w:eastAsia="Times New Roman" w:hAnsi="Times New Roman"/>
          <w:lang w:eastAsia="lt-LT"/>
        </w:rPr>
        <w:t xml:space="preserve"> </w:t>
      </w:r>
      <w:r w:rsidR="00D11660" w:rsidRPr="00D11660">
        <w:rPr>
          <w:rFonts w:ascii="Times New Roman" w:eastAsia="Times New Roman" w:hAnsi="Times New Roman"/>
          <w:lang w:eastAsia="lt-LT"/>
        </w:rPr>
        <w:t>}</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D11660">
        <w:rPr>
          <w:rFonts w:ascii="Times New Roman" w:eastAsia="Times New Roman" w:hAnsi="Times New Roman"/>
          <w:b/>
          <w:noProof/>
        </w:rPr>
        <w:t>9.</w:t>
      </w:r>
      <w:r w:rsidRPr="00D11660">
        <w:rPr>
          <w:rFonts w:ascii="Times New Roman" w:eastAsia="Times New Roman" w:hAnsi="Times New Roman"/>
          <w:b/>
          <w:noProof/>
        </w:rPr>
        <w:tab/>
      </w:r>
      <w:r w:rsidRPr="00D11660">
        <w:rPr>
          <w:rFonts w:ascii="Times New Roman" w:eastAsia="Times New Roman" w:hAnsi="Times New Roman"/>
          <w:b/>
          <w:caps/>
          <w:noProof/>
        </w:rPr>
        <w:t>SPECIALIOS laikymo sąlygos</w:t>
      </w:r>
    </w:p>
    <w:p w:rsidR="00D11660" w:rsidRPr="00D11660" w:rsidRDefault="00D11660" w:rsidP="00D11660">
      <w:pPr>
        <w:tabs>
          <w:tab w:val="left" w:pos="567"/>
        </w:tabs>
        <w:spacing w:after="0" w:line="240" w:lineRule="auto"/>
        <w:rPr>
          <w:rFonts w:ascii="Times New Roman" w:eastAsia="Times New Roman" w:hAnsi="Times New Roman"/>
        </w:rPr>
      </w:pP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Laikyti gamintojo pakuotėje, kad vaistas būtų apsaugotas nuo drėgmės.</w:t>
      </w:r>
    </w:p>
    <w:p w:rsidR="00D11660" w:rsidRPr="00D11660" w:rsidRDefault="00D11660" w:rsidP="00D11660">
      <w:pPr>
        <w:tabs>
          <w:tab w:val="left" w:pos="567"/>
        </w:tabs>
        <w:spacing w:after="0" w:line="240" w:lineRule="auto"/>
        <w:ind w:left="567" w:hanging="567"/>
        <w:rPr>
          <w:rFonts w:ascii="Times New Roman" w:eastAsia="Times New Roman" w:hAnsi="Times New Roman"/>
          <w:noProof/>
        </w:rPr>
      </w:pPr>
    </w:p>
    <w:p w:rsidR="00D11660" w:rsidRPr="00D11660" w:rsidRDefault="00D11660" w:rsidP="00D11660">
      <w:pPr>
        <w:tabs>
          <w:tab w:val="left" w:pos="567"/>
        </w:tabs>
        <w:spacing w:after="0" w:line="240" w:lineRule="auto"/>
        <w:ind w:left="567" w:hanging="567"/>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rPr>
      </w:pPr>
      <w:r w:rsidRPr="00D11660">
        <w:rPr>
          <w:rFonts w:ascii="Times New Roman" w:eastAsia="Times New Roman" w:hAnsi="Times New Roman"/>
          <w:b/>
          <w:noProof/>
        </w:rPr>
        <w:t>10.</w:t>
      </w:r>
      <w:r w:rsidRPr="00D11660">
        <w:rPr>
          <w:rFonts w:ascii="Times New Roman" w:eastAsia="Times New Roman" w:hAnsi="Times New Roman"/>
          <w:b/>
          <w:noProof/>
        </w:rPr>
        <w:tab/>
      </w:r>
      <w:r w:rsidRPr="00D11660">
        <w:rPr>
          <w:rFonts w:ascii="Times New Roman" w:eastAsia="Times New Roman" w:hAnsi="Times New Roman"/>
          <w:b/>
          <w:caps/>
          <w:noProof/>
        </w:rPr>
        <w:t>specialios atsargumo priemonės</w:t>
      </w:r>
      <w:r w:rsidRPr="00D11660">
        <w:rPr>
          <w:rFonts w:ascii="Times New Roman" w:eastAsia="Times New Roman" w:hAnsi="Times New Roman"/>
          <w:b/>
          <w:bCs/>
          <w:noProof/>
        </w:rPr>
        <w:t xml:space="preserve"> DĖL NESUVARTOTO</w:t>
      </w:r>
      <w:r w:rsidRPr="00D11660">
        <w:rPr>
          <w:rFonts w:ascii="Times New Roman" w:eastAsia="Times New Roman" w:hAnsi="Times New Roman"/>
          <w:b/>
          <w:bCs/>
          <w:caps/>
          <w:noProof/>
        </w:rPr>
        <w:t xml:space="preserve"> VAISTINIO PREPARATO AR JO ATLIEKŲ TVARKYMO</w:t>
      </w:r>
      <w:r w:rsidRPr="00D11660">
        <w:rPr>
          <w:rFonts w:ascii="Times New Roman" w:eastAsia="Times New Roman" w:hAnsi="Times New Roman"/>
          <w:caps/>
          <w:noProof/>
        </w:rPr>
        <w:t xml:space="preserve"> </w:t>
      </w:r>
      <w:r w:rsidRPr="00D11660">
        <w:rPr>
          <w:rFonts w:ascii="Times New Roman" w:eastAsia="Times New Roman" w:hAnsi="Times New Roman"/>
          <w:b/>
          <w:caps/>
          <w:noProof/>
        </w:rPr>
        <w:t>(jei reikia)</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rPr>
      </w:pPr>
      <w:r w:rsidRPr="00D11660">
        <w:rPr>
          <w:rFonts w:ascii="Times New Roman" w:eastAsia="Times New Roman" w:hAnsi="Times New Roman"/>
          <w:b/>
          <w:noProof/>
        </w:rPr>
        <w:t>11.</w:t>
      </w:r>
      <w:r w:rsidRPr="00D11660">
        <w:rPr>
          <w:rFonts w:ascii="Times New Roman" w:eastAsia="Times New Roman" w:hAnsi="Times New Roman"/>
          <w:b/>
          <w:noProof/>
        </w:rPr>
        <w:tab/>
      </w:r>
      <w:r w:rsidRPr="00D11660">
        <w:rPr>
          <w:rFonts w:ascii="Times New Roman" w:eastAsia="Times New Roman" w:hAnsi="Times New Roman"/>
          <w:b/>
          <w:caps/>
          <w:noProof/>
        </w:rPr>
        <w:t>REGISTRUOTOJO pavadinimas ir adresas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G.L. Pharma GmbH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Schlossplatz 1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8502 Lannach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Austrija</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rPr>
      </w:pPr>
      <w:r w:rsidRPr="00D11660">
        <w:rPr>
          <w:rFonts w:ascii="Times New Roman" w:eastAsia="Times New Roman" w:hAnsi="Times New Roman"/>
          <w:b/>
          <w:noProof/>
        </w:rPr>
        <w:t>12.</w:t>
      </w:r>
      <w:r w:rsidRPr="00D11660">
        <w:rPr>
          <w:rFonts w:ascii="Times New Roman" w:eastAsia="Times New Roman" w:hAnsi="Times New Roman"/>
          <w:b/>
          <w:noProof/>
        </w:rPr>
        <w:tab/>
      </w:r>
      <w:r w:rsidRPr="00D11660">
        <w:rPr>
          <w:rFonts w:ascii="Times New Roman" w:eastAsia="Times New Roman" w:hAnsi="Times New Roman"/>
          <w:b/>
          <w:caps/>
          <w:noProof/>
        </w:rPr>
        <w:t>REGISTRACIJOS PAŽYMĖJIMO numeris (-IAI)</w:t>
      </w:r>
      <w:r w:rsidRPr="00D11660">
        <w:rPr>
          <w:rFonts w:ascii="Times New Roman" w:eastAsia="Times New Roman" w:hAnsi="Times New Roman"/>
          <w:b/>
          <w:noProof/>
        </w:rPr>
        <w:t xml:space="preserve"> </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4C2BF1" w:rsidRDefault="00D11660" w:rsidP="00D11660">
      <w:pPr>
        <w:spacing w:after="0" w:line="240" w:lineRule="auto"/>
        <w:jc w:val="both"/>
        <w:rPr>
          <w:rFonts w:ascii="Times New Roman" w:hAnsi="Times New Roman"/>
          <w:highlight w:val="lightGray"/>
          <w:lang w:val="de-AT"/>
        </w:rPr>
      </w:pPr>
      <w:r w:rsidRPr="004C2BF1">
        <w:rPr>
          <w:rFonts w:ascii="Times New Roman" w:hAnsi="Times New Roman"/>
          <w:highlight w:val="lightGray"/>
          <w:lang w:val="de-AT"/>
        </w:rPr>
        <w:t>Etidylan 60 mg</w:t>
      </w:r>
    </w:p>
    <w:p w:rsidR="00D11660" w:rsidRPr="004C2BF1" w:rsidRDefault="00D11660" w:rsidP="00D11660">
      <w:pPr>
        <w:spacing w:after="0" w:line="240" w:lineRule="auto"/>
        <w:jc w:val="both"/>
        <w:rPr>
          <w:rFonts w:ascii="Times New Roman" w:hAnsi="Times New Roman"/>
          <w:highlight w:val="lightGray"/>
          <w:lang w:val="de-AT"/>
        </w:rPr>
      </w:pPr>
      <w:r w:rsidRPr="00D11660">
        <w:rPr>
          <w:rFonts w:ascii="Times New Roman" w:hAnsi="Times New Roman"/>
          <w:lang w:val="de-AT"/>
        </w:rPr>
        <w:t xml:space="preserve">LT/1/18/4194/001 </w:t>
      </w:r>
      <w:r w:rsidRPr="004C2BF1">
        <w:rPr>
          <w:rFonts w:ascii="Times New Roman" w:hAnsi="Times New Roman"/>
          <w:highlight w:val="lightGray"/>
          <w:lang w:val="de-AT"/>
        </w:rPr>
        <w:t>– N2</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LT/1/18/4194/002 – N5</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LT/1/18/4194/003 – N7</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LT/1/18/4194/004 – N10</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LT/1/18/4194/005 – N14</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LT/1/18/4194/006 – N20</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LT/1/18/4194/007 – N28</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LT/1/18/4194/008 – N30</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LT/1/18/4194/009 – N49</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LT/1/18/4194/010 – N50</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LT/1/18/4194/011 – N84</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LT/1/18/4194/012 – N98 (2x49)</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LT/1/18/4194/013 – N100</w:t>
      </w:r>
    </w:p>
    <w:p w:rsidR="00D11660" w:rsidRPr="005D230C" w:rsidRDefault="00D11660" w:rsidP="00D11660">
      <w:pPr>
        <w:spacing w:after="0" w:line="240" w:lineRule="auto"/>
        <w:jc w:val="both"/>
        <w:rPr>
          <w:rFonts w:ascii="Times New Roman" w:hAnsi="Times New Roman"/>
          <w:highlight w:val="lightGray"/>
          <w:lang w:val="de-AT"/>
        </w:rPr>
      </w:pP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LT/1/18/4194/014 – N5x1</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LT/1/18/4194/015 – N50x1</w:t>
      </w: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hAnsi="Times New Roman"/>
          <w:highlight w:val="lightGray"/>
          <w:lang w:val="de-AT"/>
        </w:rPr>
        <w:t>LT/1/18/4194/016 – N100x1</w:t>
      </w:r>
    </w:p>
    <w:p w:rsidR="00D11660" w:rsidRPr="005D230C" w:rsidRDefault="00D11660" w:rsidP="00D11660">
      <w:pPr>
        <w:tabs>
          <w:tab w:val="left" w:pos="567"/>
        </w:tabs>
        <w:spacing w:after="0" w:line="240" w:lineRule="auto"/>
        <w:rPr>
          <w:rFonts w:ascii="Times New Roman" w:eastAsia="Times New Roman" w:hAnsi="Times New Roman"/>
          <w:noProof/>
          <w:highlight w:val="lightGray"/>
          <w:lang w:val="de-AT"/>
        </w:rPr>
      </w:pP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eastAsia="Times New Roman" w:hAnsi="Times New Roman"/>
          <w:highlight w:val="lightGray"/>
          <w:lang w:eastAsia="lt-LT"/>
        </w:rPr>
        <w:t>Etidylan 90 mg</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LT/1/18/4194/017 – N2</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LT/1/18/4194/018 – N5</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LT/1/18/4194/019 – N7</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LT/1/18/4194/020 – N10</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LT/1/18/4194/021 – N14</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LT/1/18/4194/022 – N20</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LT/1/18/4194/023 – N28</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LT/1/18/4194/024 – N30</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LT/1/18/4194/025 – N49</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LT/1/18/4194/026 – N50</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LT/1/18/4194/027 – N84</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LT/1/18/4194/028 – N98 (2x49)</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LT/1/18/4194/029 – N100</w:t>
      </w:r>
    </w:p>
    <w:p w:rsidR="00D11660" w:rsidRPr="005D230C" w:rsidRDefault="00D11660" w:rsidP="00D11660">
      <w:pPr>
        <w:spacing w:after="0" w:line="240" w:lineRule="auto"/>
        <w:jc w:val="both"/>
        <w:rPr>
          <w:rFonts w:ascii="Times New Roman" w:eastAsia="Times New Roman" w:hAnsi="Times New Roman"/>
          <w:highlight w:val="lightGray"/>
          <w:lang w:eastAsia="lt-LT"/>
        </w:rPr>
      </w:pP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LT/1/18/4194/030 – N5x1</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LT/1/18/4194/031 – N50x1</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LT/1/18/4194/032 – N100x1</w:t>
      </w:r>
    </w:p>
    <w:p w:rsidR="00D11660" w:rsidRPr="005D230C" w:rsidRDefault="00D11660" w:rsidP="00D11660">
      <w:pPr>
        <w:tabs>
          <w:tab w:val="left" w:pos="567"/>
        </w:tabs>
        <w:spacing w:after="0" w:line="240" w:lineRule="auto"/>
        <w:rPr>
          <w:rFonts w:ascii="Times New Roman" w:eastAsia="Times New Roman" w:hAnsi="Times New Roman"/>
          <w:noProof/>
          <w:highlight w:val="lightGray"/>
        </w:rPr>
      </w:pPr>
    </w:p>
    <w:p w:rsidR="00D11660" w:rsidRPr="005D230C" w:rsidRDefault="00D11660" w:rsidP="00D11660">
      <w:pPr>
        <w:spacing w:after="0" w:line="240" w:lineRule="auto"/>
        <w:jc w:val="both"/>
        <w:rPr>
          <w:rFonts w:ascii="Times New Roman" w:hAnsi="Times New Roman"/>
          <w:highlight w:val="lightGray"/>
          <w:lang w:val="de-AT"/>
        </w:rPr>
      </w:pPr>
      <w:r w:rsidRPr="005D230C">
        <w:rPr>
          <w:rFonts w:ascii="Times New Roman" w:eastAsia="Times New Roman" w:hAnsi="Times New Roman"/>
          <w:highlight w:val="lightGray"/>
          <w:lang w:eastAsia="lt-LT"/>
        </w:rPr>
        <w:t>Etidylan 120 mg</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LT/1/18/4194/033 – N2</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LT/1/18/4194/034 – N5</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LT/1/18/4194/035 – N7</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LT/1/18/4194/036 – N10</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LT/1/18/4194/037 – N14</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LT/1/18/4194/038 – N20</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LT/1/18/4194/039 – N28</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LT/1/18/4194/040 – N30</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LT/1/18/4194/041 – N49</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LT/1/18/4194/042 – N50</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LT/1/18/4194/043 – N84</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LT/1/18/4194/044 – N98 (2x49)</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LT/1/18/4194/045 – N100</w:t>
      </w:r>
    </w:p>
    <w:p w:rsidR="00D11660" w:rsidRPr="005D230C" w:rsidRDefault="00D11660" w:rsidP="00D11660">
      <w:pPr>
        <w:spacing w:after="0" w:line="240" w:lineRule="auto"/>
        <w:jc w:val="both"/>
        <w:rPr>
          <w:rFonts w:ascii="Times New Roman" w:eastAsia="Times New Roman" w:hAnsi="Times New Roman"/>
          <w:highlight w:val="lightGray"/>
          <w:lang w:eastAsia="lt-LT"/>
        </w:rPr>
      </w:pP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LT/1/18/4194/046 – N5x1</w:t>
      </w:r>
    </w:p>
    <w:p w:rsidR="00D11660" w:rsidRPr="005D230C" w:rsidRDefault="00D11660" w:rsidP="00D11660">
      <w:pPr>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LT/1/18/4194/047 – N50x1</w:t>
      </w:r>
    </w:p>
    <w:p w:rsidR="00D11660" w:rsidRPr="00D11660" w:rsidRDefault="00D11660" w:rsidP="00D11660">
      <w:pPr>
        <w:tabs>
          <w:tab w:val="left" w:pos="567"/>
        </w:tabs>
        <w:spacing w:after="0" w:line="240" w:lineRule="auto"/>
        <w:rPr>
          <w:rFonts w:ascii="Times New Roman" w:eastAsia="Times New Roman" w:hAnsi="Times New Roman"/>
          <w:noProof/>
        </w:rPr>
      </w:pPr>
      <w:r w:rsidRPr="005D230C">
        <w:rPr>
          <w:rFonts w:ascii="Times New Roman" w:eastAsia="Times New Roman" w:hAnsi="Times New Roman"/>
          <w:highlight w:val="lightGray"/>
          <w:lang w:eastAsia="lt-LT"/>
        </w:rPr>
        <w:t>LT/1/18/4194/048 – N100x1</w:t>
      </w:r>
    </w:p>
    <w:p w:rsidR="00D11660" w:rsidRPr="00D11660" w:rsidRDefault="00D11660" w:rsidP="00D11660">
      <w:pPr>
        <w:tabs>
          <w:tab w:val="left" w:pos="567"/>
        </w:tabs>
        <w:spacing w:after="0" w:line="240" w:lineRule="auto"/>
        <w:rPr>
          <w:rFonts w:ascii="Times New Roman" w:eastAsia="Times New Roman" w:hAnsi="Times New Roman"/>
          <w:noProof/>
          <w:lang w:val="de-AT"/>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rPr>
      </w:pPr>
      <w:r w:rsidRPr="00D11660">
        <w:rPr>
          <w:rFonts w:ascii="Times New Roman" w:eastAsia="Times New Roman" w:hAnsi="Times New Roman"/>
          <w:b/>
          <w:noProof/>
        </w:rPr>
        <w:t>13.</w:t>
      </w:r>
      <w:r w:rsidRPr="00D11660">
        <w:rPr>
          <w:rFonts w:ascii="Times New Roman" w:eastAsia="Times New Roman" w:hAnsi="Times New Roman"/>
          <w:b/>
          <w:noProof/>
        </w:rPr>
        <w:tab/>
        <w:t>SERIJOS NUMERIS</w:t>
      </w:r>
    </w:p>
    <w:p w:rsidR="00D11660" w:rsidRPr="00D11660" w:rsidRDefault="00D11660" w:rsidP="00D11660">
      <w:pPr>
        <w:keepNext/>
        <w:keepLines/>
        <w:tabs>
          <w:tab w:val="left" w:pos="567"/>
        </w:tabs>
        <w:spacing w:after="0" w:line="240" w:lineRule="auto"/>
        <w:rPr>
          <w:rFonts w:ascii="Times New Roman" w:eastAsia="Times New Roman" w:hAnsi="Times New Roman"/>
          <w:noProof/>
        </w:rPr>
      </w:pPr>
    </w:p>
    <w:p w:rsidR="00D11660" w:rsidRPr="00D11660" w:rsidRDefault="00573735" w:rsidP="00D11660">
      <w:pPr>
        <w:keepNext/>
        <w:keepLines/>
        <w:tabs>
          <w:tab w:val="left" w:pos="567"/>
        </w:tabs>
        <w:spacing w:after="0" w:line="240" w:lineRule="auto"/>
        <w:rPr>
          <w:rFonts w:ascii="Times New Roman" w:eastAsia="Times New Roman" w:hAnsi="Times New Roman"/>
          <w:noProof/>
        </w:rPr>
      </w:pPr>
      <w:r>
        <w:rPr>
          <w:rFonts w:ascii="Times New Roman" w:eastAsia="Times New Roman" w:hAnsi="Times New Roman"/>
          <w:noProof/>
        </w:rPr>
        <w:t>Lot:</w:t>
      </w:r>
      <w:r w:rsidRPr="00D11660">
        <w:rPr>
          <w:rFonts w:ascii="Times New Roman" w:eastAsia="Times New Roman" w:hAnsi="Times New Roman"/>
          <w:noProof/>
        </w:rPr>
        <w:t xml:space="preserve"> </w:t>
      </w:r>
      <w:r w:rsidR="00D11660" w:rsidRPr="00D11660">
        <w:rPr>
          <w:rFonts w:ascii="Times New Roman" w:eastAsia="Times New Roman" w:hAnsi="Times New Roman"/>
          <w:noProof/>
        </w:rPr>
        <w:t>{numeris}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rPr>
      </w:pPr>
      <w:r w:rsidRPr="00D11660">
        <w:rPr>
          <w:rFonts w:ascii="Times New Roman" w:eastAsia="Times New Roman" w:hAnsi="Times New Roman"/>
          <w:b/>
          <w:noProof/>
        </w:rPr>
        <w:t>14.</w:t>
      </w:r>
      <w:r w:rsidRPr="00D11660">
        <w:rPr>
          <w:rFonts w:ascii="Times New Roman" w:eastAsia="Times New Roman" w:hAnsi="Times New Roman"/>
          <w:b/>
          <w:noProof/>
        </w:rPr>
        <w:tab/>
      </w:r>
      <w:r w:rsidRPr="00D11660">
        <w:rPr>
          <w:rFonts w:ascii="Times New Roman" w:eastAsia="Times New Roman" w:hAnsi="Times New Roman"/>
          <w:b/>
          <w:caps/>
          <w:noProof/>
        </w:rPr>
        <w:t>PARDAVIMO (IŠDAVIMO) tvarka</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ind w:left="567" w:hanging="567"/>
        <w:rPr>
          <w:rFonts w:ascii="Times New Roman" w:eastAsia="Times New Roman" w:hAnsi="Times New Roman"/>
          <w:noProof/>
        </w:rPr>
      </w:pPr>
      <w:r w:rsidRPr="00D11660">
        <w:rPr>
          <w:rFonts w:ascii="Times New Roman" w:eastAsia="Times New Roman" w:hAnsi="Times New Roman"/>
          <w:noProof/>
        </w:rPr>
        <w:t>Receptinis vaistas.</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rPr>
      </w:pPr>
      <w:r w:rsidRPr="00D11660">
        <w:rPr>
          <w:rFonts w:ascii="Times New Roman" w:eastAsia="Times New Roman" w:hAnsi="Times New Roman"/>
          <w:b/>
          <w:noProof/>
        </w:rPr>
        <w:t>15.</w:t>
      </w:r>
      <w:r w:rsidRPr="00D11660">
        <w:rPr>
          <w:rFonts w:ascii="Times New Roman" w:eastAsia="Times New Roman" w:hAnsi="Times New Roman"/>
          <w:b/>
          <w:noProof/>
        </w:rPr>
        <w:tab/>
      </w:r>
      <w:r w:rsidRPr="00D11660">
        <w:rPr>
          <w:rFonts w:ascii="Times New Roman" w:eastAsia="Times New Roman" w:hAnsi="Times New Roman"/>
          <w:b/>
          <w:caps/>
          <w:noProof/>
        </w:rPr>
        <w:t>vartojimo instrukcijA</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rPr>
      </w:pPr>
      <w:r w:rsidRPr="00D11660">
        <w:rPr>
          <w:rFonts w:ascii="Times New Roman" w:eastAsia="Times New Roman" w:hAnsi="Times New Roman"/>
          <w:b/>
          <w:noProof/>
        </w:rPr>
        <w:t>16.</w:t>
      </w:r>
      <w:r w:rsidRPr="00D11660">
        <w:rPr>
          <w:rFonts w:ascii="Times New Roman" w:eastAsia="Times New Roman" w:hAnsi="Times New Roman"/>
          <w:b/>
          <w:noProof/>
        </w:rPr>
        <w:tab/>
        <w:t>INFORMACIJA BRAILIO RAŠTU</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iCs/>
        </w:rPr>
      </w:pPr>
      <w:r w:rsidRPr="00D11660">
        <w:rPr>
          <w:rFonts w:ascii="Times New Roman" w:eastAsia="Times New Roman" w:hAnsi="Times New Roman"/>
        </w:rPr>
        <w:t xml:space="preserve">Etidylan </w:t>
      </w:r>
      <w:r w:rsidRPr="00D11660">
        <w:rPr>
          <w:rFonts w:ascii="Times New Roman" w:eastAsia="Times New Roman" w:hAnsi="Times New Roman"/>
          <w:iCs/>
        </w:rPr>
        <w:t>60 mg</w:t>
      </w:r>
    </w:p>
    <w:p w:rsidR="00D11660" w:rsidRPr="005D230C" w:rsidRDefault="00D11660" w:rsidP="00D11660">
      <w:pPr>
        <w:tabs>
          <w:tab w:val="left" w:pos="567"/>
        </w:tabs>
        <w:spacing w:after="0" w:line="240" w:lineRule="auto"/>
        <w:rPr>
          <w:rFonts w:ascii="Times New Roman" w:eastAsia="Times New Roman" w:hAnsi="Times New Roman"/>
          <w:iCs/>
          <w:highlight w:val="lightGray"/>
        </w:rPr>
      </w:pPr>
      <w:r w:rsidRPr="005D230C">
        <w:rPr>
          <w:rFonts w:ascii="Times New Roman" w:eastAsia="Times New Roman" w:hAnsi="Times New Roman"/>
          <w:highlight w:val="lightGray"/>
        </w:rPr>
        <w:t xml:space="preserve">Etidylan </w:t>
      </w:r>
      <w:r w:rsidRPr="005D230C">
        <w:rPr>
          <w:rFonts w:ascii="Times New Roman" w:eastAsia="Times New Roman" w:hAnsi="Times New Roman"/>
          <w:iCs/>
          <w:highlight w:val="lightGray"/>
        </w:rPr>
        <w:t>90 mg</w:t>
      </w:r>
    </w:p>
    <w:p w:rsidR="00D11660" w:rsidRPr="00D11660" w:rsidRDefault="00D11660" w:rsidP="00D11660">
      <w:pPr>
        <w:tabs>
          <w:tab w:val="left" w:pos="567"/>
        </w:tabs>
        <w:spacing w:after="0" w:line="240" w:lineRule="auto"/>
        <w:rPr>
          <w:rFonts w:ascii="Times New Roman" w:eastAsia="Times New Roman" w:hAnsi="Times New Roman"/>
          <w:iCs/>
        </w:rPr>
      </w:pPr>
      <w:r w:rsidRPr="005D230C">
        <w:rPr>
          <w:rFonts w:ascii="Times New Roman" w:eastAsia="Times New Roman" w:hAnsi="Times New Roman"/>
          <w:highlight w:val="lightGray"/>
        </w:rPr>
        <w:t xml:space="preserve">Etidylan </w:t>
      </w:r>
      <w:r w:rsidRPr="005D230C">
        <w:rPr>
          <w:rFonts w:ascii="Times New Roman" w:eastAsia="Times New Roman" w:hAnsi="Times New Roman"/>
          <w:iCs/>
          <w:highlight w:val="lightGray"/>
        </w:rPr>
        <w:t>120 mg</w:t>
      </w:r>
    </w:p>
    <w:p w:rsidR="00D11660" w:rsidRPr="00D11660" w:rsidRDefault="00D11660" w:rsidP="00D11660">
      <w:pPr>
        <w:tabs>
          <w:tab w:val="left" w:pos="567"/>
        </w:tabs>
        <w:spacing w:after="0" w:line="240" w:lineRule="auto"/>
        <w:rPr>
          <w:rFonts w:ascii="Times New Roman" w:eastAsia="Times New Roman" w:hAnsi="Times New Roman"/>
          <w:iCs/>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keepNext/>
        <w:numPr>
          <w:ilvl w:val="0"/>
          <w:numId w:val="24"/>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i/>
          <w:lang w:eastAsia="lt-LT" w:bidi="lt-LT"/>
        </w:rPr>
      </w:pPr>
      <w:r w:rsidRPr="00D11660">
        <w:rPr>
          <w:rFonts w:ascii="Times New Roman" w:eastAsia="Times New Roman" w:hAnsi="Times New Roman"/>
          <w:b/>
          <w:lang w:eastAsia="lt-LT" w:bidi="lt-LT"/>
        </w:rPr>
        <w:t>UNIKALUS IDENTIFIKATORIUS – 2D BRŪKŠNINIS KODAS</w:t>
      </w:r>
    </w:p>
    <w:p w:rsidR="00D11660" w:rsidRPr="00D11660" w:rsidRDefault="00D11660" w:rsidP="00D11660">
      <w:pPr>
        <w:spacing w:after="0" w:line="240" w:lineRule="auto"/>
        <w:rPr>
          <w:rFonts w:ascii="Times New Roman" w:eastAsia="Times New Roman" w:hAnsi="Times New Roman"/>
          <w:lang w:eastAsia="lt-LT" w:bidi="lt-LT"/>
        </w:rPr>
      </w:pPr>
    </w:p>
    <w:p w:rsidR="00D11660" w:rsidRPr="00D11660" w:rsidRDefault="00D11660" w:rsidP="00D11660">
      <w:pPr>
        <w:tabs>
          <w:tab w:val="left" w:pos="567"/>
        </w:tabs>
        <w:spacing w:after="0" w:line="240" w:lineRule="auto"/>
        <w:rPr>
          <w:rFonts w:ascii="Times New Roman" w:eastAsia="Times New Roman" w:hAnsi="Times New Roman"/>
          <w:shd w:val="clear" w:color="auto" w:fill="CCCCCC"/>
          <w:lang w:eastAsia="lt-LT" w:bidi="lt-LT"/>
        </w:rPr>
      </w:pPr>
      <w:r w:rsidRPr="005D230C">
        <w:rPr>
          <w:rFonts w:ascii="Times New Roman" w:eastAsia="Times New Roman" w:hAnsi="Times New Roman"/>
          <w:highlight w:val="lightGray"/>
          <w:lang w:eastAsia="lt-LT" w:bidi="lt-LT"/>
        </w:rPr>
        <w:t>2D brūkšninis kodas su nurodytu unikaliu identifikatoriumi.</w:t>
      </w:r>
    </w:p>
    <w:p w:rsidR="00D11660" w:rsidRPr="00D11660" w:rsidRDefault="00D11660" w:rsidP="00D11660">
      <w:pPr>
        <w:tabs>
          <w:tab w:val="left" w:pos="567"/>
        </w:tabs>
        <w:spacing w:after="0" w:line="240" w:lineRule="auto"/>
        <w:rPr>
          <w:rFonts w:ascii="Times New Roman" w:eastAsia="Times New Roman" w:hAnsi="Times New Roman"/>
          <w:shd w:val="clear" w:color="auto" w:fill="CCCCCC"/>
          <w:lang w:eastAsia="lt-LT" w:bidi="lt-LT"/>
        </w:rPr>
      </w:pPr>
    </w:p>
    <w:p w:rsidR="00D11660" w:rsidRPr="00D11660" w:rsidRDefault="00D11660" w:rsidP="00D11660">
      <w:pPr>
        <w:spacing w:after="0" w:line="240" w:lineRule="auto"/>
        <w:rPr>
          <w:rFonts w:ascii="Times New Roman" w:eastAsia="Times New Roman" w:hAnsi="Times New Roman"/>
          <w:lang w:eastAsia="lt-LT" w:bidi="lt-LT"/>
        </w:rPr>
      </w:pPr>
    </w:p>
    <w:p w:rsidR="00D11660" w:rsidRPr="00D11660" w:rsidRDefault="00D11660" w:rsidP="00D11660">
      <w:pPr>
        <w:keepNext/>
        <w:numPr>
          <w:ilvl w:val="0"/>
          <w:numId w:val="24"/>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i/>
          <w:lang w:eastAsia="lt-LT" w:bidi="lt-LT"/>
        </w:rPr>
      </w:pPr>
      <w:r w:rsidRPr="00D11660">
        <w:rPr>
          <w:rFonts w:ascii="Times New Roman" w:eastAsia="Times New Roman" w:hAnsi="Times New Roman"/>
          <w:b/>
          <w:lang w:eastAsia="lt-LT" w:bidi="lt-LT"/>
        </w:rPr>
        <w:t>UNIKALUS IDENTIFIKATORIUS – ŽMONĖMS SUPRANTAMI DUOMENYS</w:t>
      </w:r>
    </w:p>
    <w:p w:rsidR="00D11660" w:rsidRPr="00D11660" w:rsidRDefault="00D11660" w:rsidP="00D11660">
      <w:pPr>
        <w:spacing w:after="0" w:line="240" w:lineRule="auto"/>
        <w:rPr>
          <w:rFonts w:ascii="Times New Roman" w:eastAsia="Times New Roman" w:hAnsi="Times New Roman"/>
          <w:lang w:eastAsia="lt-LT" w:bidi="lt-LT"/>
        </w:rPr>
      </w:pPr>
    </w:p>
    <w:p w:rsidR="00D11660" w:rsidRPr="00D11660" w:rsidRDefault="00D11660" w:rsidP="00D11660">
      <w:pPr>
        <w:tabs>
          <w:tab w:val="left" w:pos="567"/>
        </w:tabs>
        <w:spacing w:after="0" w:line="240" w:lineRule="auto"/>
        <w:rPr>
          <w:rFonts w:ascii="Times New Roman" w:eastAsia="Times New Roman" w:hAnsi="Times New Roman"/>
          <w:lang w:eastAsia="lt-LT" w:bidi="lt-LT"/>
        </w:rPr>
      </w:pPr>
      <w:r w:rsidRPr="00D11660">
        <w:rPr>
          <w:rFonts w:ascii="Times New Roman" w:eastAsia="Times New Roman" w:hAnsi="Times New Roman"/>
          <w:lang w:eastAsia="lt-LT" w:bidi="lt-LT"/>
        </w:rPr>
        <w:t xml:space="preserve">PC: </w:t>
      </w:r>
    </w:p>
    <w:p w:rsidR="00D11660" w:rsidRPr="00D11660" w:rsidRDefault="00D11660" w:rsidP="00D11660">
      <w:pPr>
        <w:tabs>
          <w:tab w:val="left" w:pos="567"/>
        </w:tabs>
        <w:spacing w:after="0" w:line="240" w:lineRule="auto"/>
        <w:rPr>
          <w:rFonts w:ascii="Times New Roman" w:eastAsia="Times New Roman" w:hAnsi="Times New Roman"/>
          <w:lang w:eastAsia="lt-LT" w:bidi="lt-LT"/>
        </w:rPr>
      </w:pPr>
      <w:r w:rsidRPr="00D11660">
        <w:rPr>
          <w:rFonts w:ascii="Times New Roman" w:eastAsia="Times New Roman" w:hAnsi="Times New Roman"/>
          <w:lang w:eastAsia="lt-LT" w:bidi="lt-LT"/>
        </w:rPr>
        <w:t xml:space="preserve">SN: </w:t>
      </w:r>
    </w:p>
    <w:p w:rsidR="00D11660" w:rsidRPr="00D11660" w:rsidRDefault="00D11660" w:rsidP="00D11660">
      <w:pPr>
        <w:tabs>
          <w:tab w:val="left" w:pos="567"/>
        </w:tabs>
        <w:spacing w:after="0" w:line="240" w:lineRule="auto"/>
        <w:rPr>
          <w:rFonts w:ascii="Times New Roman" w:eastAsia="Times New Roman" w:hAnsi="Times New Roman"/>
          <w:lang w:eastAsia="lt-LT" w:bidi="lt-LT"/>
        </w:rPr>
      </w:pPr>
      <w:r w:rsidRPr="005D230C">
        <w:rPr>
          <w:rFonts w:ascii="Times New Roman" w:eastAsia="Times New Roman" w:hAnsi="Times New Roman"/>
          <w:highlight w:val="lightGray"/>
          <w:lang w:eastAsia="lt-LT" w:bidi="lt-LT"/>
        </w:rPr>
        <w:t>NN:</w:t>
      </w:r>
      <w:r w:rsidRPr="00D11660">
        <w:rPr>
          <w:rFonts w:ascii="Times New Roman" w:eastAsia="Times New Roman" w:hAnsi="Times New Roman"/>
          <w:lang w:eastAsia="lt-LT" w:bidi="lt-LT"/>
        </w:rPr>
        <w:t xml:space="preserve"> </w:t>
      </w:r>
    </w:p>
    <w:p w:rsidR="00D11660" w:rsidRPr="00D11660" w:rsidRDefault="00D11660" w:rsidP="00D11660">
      <w:pPr>
        <w:tabs>
          <w:tab w:val="left" w:pos="567"/>
        </w:tabs>
        <w:spacing w:after="0" w:line="240" w:lineRule="auto"/>
        <w:rPr>
          <w:rFonts w:ascii="Times New Roman" w:hAnsi="Times New Roman"/>
          <w:vanish/>
        </w:rPr>
      </w:pP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shd w:val="clear" w:color="auto" w:fill="FFFFFF"/>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660" w:rsidRPr="005D230C" w:rsidTr="0000520C">
        <w:trPr>
          <w:trHeight w:val="785"/>
        </w:trPr>
        <w:tc>
          <w:tcPr>
            <w:tcW w:w="9287" w:type="dxa"/>
          </w:tcPr>
          <w:p w:rsidR="00D11660" w:rsidRPr="00D11660" w:rsidRDefault="00D11660" w:rsidP="00D11660">
            <w:pPr>
              <w:tabs>
                <w:tab w:val="left" w:pos="567"/>
              </w:tabs>
              <w:spacing w:after="0" w:line="240" w:lineRule="auto"/>
              <w:rPr>
                <w:rFonts w:ascii="Times New Roman" w:eastAsia="Times New Roman" w:hAnsi="Times New Roman"/>
                <w:b/>
                <w:noProof/>
              </w:rPr>
            </w:pPr>
            <w:r w:rsidRPr="00D11660">
              <w:rPr>
                <w:rFonts w:ascii="Times New Roman" w:eastAsia="Times New Roman" w:hAnsi="Times New Roman"/>
                <w:b/>
                <w:noProof/>
              </w:rPr>
              <w:t xml:space="preserve">MINIMALI </w:t>
            </w:r>
            <w:r w:rsidRPr="00D11660">
              <w:rPr>
                <w:rFonts w:ascii="Times New Roman" w:eastAsia="Times New Roman" w:hAnsi="Times New Roman"/>
                <w:b/>
                <w:caps/>
                <w:noProof/>
              </w:rPr>
              <w:t xml:space="preserve">informacija ant </w:t>
            </w:r>
            <w:r w:rsidRPr="00D11660">
              <w:rPr>
                <w:rFonts w:ascii="Times New Roman" w:eastAsia="Times New Roman" w:hAnsi="Times New Roman"/>
                <w:b/>
                <w:noProof/>
              </w:rPr>
              <w:t>LIZDINIŲ PLOKŠTELIŲ ARBA DVISLUOKSNIŲ JUOSTELIŲ</w:t>
            </w:r>
          </w:p>
          <w:p w:rsidR="00D11660" w:rsidRPr="00D11660" w:rsidRDefault="00D11660" w:rsidP="00D11660">
            <w:pPr>
              <w:tabs>
                <w:tab w:val="left" w:pos="567"/>
              </w:tabs>
              <w:spacing w:after="0" w:line="240" w:lineRule="auto"/>
              <w:rPr>
                <w:rFonts w:ascii="Times New Roman" w:eastAsia="Times New Roman" w:hAnsi="Times New Roman"/>
                <w:b/>
                <w:noProof/>
              </w:rPr>
            </w:pPr>
          </w:p>
          <w:p w:rsidR="00D11660" w:rsidRPr="00D11660" w:rsidRDefault="00D11660" w:rsidP="00D11660">
            <w:pPr>
              <w:tabs>
                <w:tab w:val="left" w:pos="567"/>
              </w:tabs>
              <w:spacing w:after="0" w:line="240" w:lineRule="auto"/>
              <w:rPr>
                <w:rFonts w:ascii="Times New Roman" w:eastAsia="Times New Roman" w:hAnsi="Times New Roman"/>
                <w:b/>
                <w:noProof/>
              </w:rPr>
            </w:pPr>
            <w:r w:rsidRPr="00D11660">
              <w:rPr>
                <w:rFonts w:ascii="Times New Roman" w:eastAsia="Times New Roman" w:hAnsi="Times New Roman"/>
                <w:b/>
                <w:noProof/>
              </w:rPr>
              <w:t>LIZDINĖ PLOKŠTELĖ</w:t>
            </w:r>
          </w:p>
        </w:tc>
      </w:tr>
    </w:tbl>
    <w:p w:rsidR="00D11660" w:rsidRPr="00D11660" w:rsidRDefault="00D11660" w:rsidP="00D11660">
      <w:pPr>
        <w:tabs>
          <w:tab w:val="left" w:pos="567"/>
        </w:tabs>
        <w:spacing w:after="0" w:line="240" w:lineRule="auto"/>
        <w:rPr>
          <w:rFonts w:ascii="Times New Roman" w:eastAsia="Times New Roman" w:hAnsi="Times New Roman"/>
          <w:b/>
          <w:noProof/>
        </w:rPr>
      </w:pPr>
    </w:p>
    <w:p w:rsidR="00D11660" w:rsidRPr="00D11660" w:rsidRDefault="00D11660" w:rsidP="00D11660">
      <w:pPr>
        <w:tabs>
          <w:tab w:val="left" w:pos="567"/>
        </w:tabs>
        <w:spacing w:after="0" w:line="240" w:lineRule="auto"/>
        <w:rPr>
          <w:rFonts w:ascii="Times New Roman" w:eastAsia="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660" w:rsidRPr="005D230C" w:rsidTr="0000520C">
        <w:tc>
          <w:tcPr>
            <w:tcW w:w="9287" w:type="dxa"/>
          </w:tcPr>
          <w:p w:rsidR="00D11660" w:rsidRPr="00D11660" w:rsidRDefault="00D11660" w:rsidP="00D11660">
            <w:pPr>
              <w:tabs>
                <w:tab w:val="left" w:pos="142"/>
                <w:tab w:val="left" w:pos="567"/>
              </w:tabs>
              <w:spacing w:after="0" w:line="240" w:lineRule="auto"/>
              <w:ind w:left="567" w:hanging="567"/>
              <w:rPr>
                <w:rFonts w:ascii="Times New Roman" w:eastAsia="Times New Roman" w:hAnsi="Times New Roman"/>
                <w:b/>
                <w:noProof/>
              </w:rPr>
            </w:pPr>
            <w:r w:rsidRPr="00D11660">
              <w:rPr>
                <w:rFonts w:ascii="Times New Roman" w:eastAsia="Times New Roman" w:hAnsi="Times New Roman"/>
                <w:b/>
                <w:noProof/>
              </w:rPr>
              <w:t>1.</w:t>
            </w:r>
            <w:r w:rsidRPr="00D11660">
              <w:rPr>
                <w:rFonts w:ascii="Times New Roman" w:eastAsia="Times New Roman" w:hAnsi="Times New Roman"/>
                <w:b/>
                <w:noProof/>
              </w:rPr>
              <w:tab/>
            </w:r>
            <w:r w:rsidRPr="00D11660">
              <w:rPr>
                <w:rFonts w:ascii="Times New Roman" w:eastAsia="Times New Roman" w:hAnsi="Times New Roman"/>
                <w:b/>
                <w:caps/>
                <w:noProof/>
              </w:rPr>
              <w:t>Vaistinio preparato pavadinimas</w:t>
            </w:r>
          </w:p>
        </w:tc>
      </w:tr>
    </w:tbl>
    <w:p w:rsidR="00D11660" w:rsidRPr="00D11660" w:rsidRDefault="00D11660" w:rsidP="00D11660">
      <w:pPr>
        <w:tabs>
          <w:tab w:val="left" w:pos="567"/>
        </w:tabs>
        <w:spacing w:after="0" w:line="240" w:lineRule="auto"/>
        <w:ind w:left="567" w:hanging="567"/>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rPr>
        <w:t>Etidylan 60 mg plėvele dengtos tabletės</w:t>
      </w:r>
    </w:p>
    <w:p w:rsidR="00D11660" w:rsidRPr="00D11660" w:rsidRDefault="00D11660" w:rsidP="00D11660">
      <w:pPr>
        <w:tabs>
          <w:tab w:val="left" w:pos="567"/>
        </w:tabs>
        <w:spacing w:after="0" w:line="240" w:lineRule="auto"/>
        <w:rPr>
          <w:rFonts w:ascii="Times New Roman" w:eastAsia="Times New Roman" w:hAnsi="Times New Roman"/>
          <w:noProof/>
        </w:rPr>
      </w:pPr>
      <w:r w:rsidRPr="005D230C">
        <w:rPr>
          <w:rFonts w:ascii="Times New Roman" w:eastAsia="Times New Roman" w:hAnsi="Times New Roman"/>
          <w:highlight w:val="lightGray"/>
        </w:rPr>
        <w:t>Etidylan 90 mg plėvele dengtos tabletės</w:t>
      </w:r>
    </w:p>
    <w:p w:rsidR="00D11660" w:rsidRPr="00D11660" w:rsidRDefault="00D11660" w:rsidP="00D11660">
      <w:pPr>
        <w:tabs>
          <w:tab w:val="left" w:pos="567"/>
        </w:tabs>
        <w:spacing w:after="0" w:line="240" w:lineRule="auto"/>
        <w:rPr>
          <w:rFonts w:ascii="Times New Roman" w:eastAsia="Times New Roman" w:hAnsi="Times New Roman"/>
          <w:noProof/>
        </w:rPr>
      </w:pPr>
      <w:r w:rsidRPr="005D230C">
        <w:rPr>
          <w:rFonts w:ascii="Times New Roman" w:eastAsia="Times New Roman" w:hAnsi="Times New Roman"/>
          <w:highlight w:val="lightGray"/>
        </w:rPr>
        <w:t>Etidylan 120 mg plėvele dengtos tabletės</w:t>
      </w:r>
      <w:r w:rsidRPr="00D11660" w:rsidDel="007E6BEC">
        <w:rPr>
          <w:rFonts w:ascii="Times New Roman" w:eastAsia="Times New Roman" w:hAnsi="Times New Roman"/>
          <w:noProof/>
        </w:rPr>
        <w:t xml:space="preserve"> </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t>Etoricoxibum</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tabs>
          <w:tab w:val="left" w:pos="567"/>
        </w:tabs>
        <w:spacing w:after="0" w:line="240" w:lineRule="auto"/>
        <w:rPr>
          <w:rFonts w:ascii="Times New Roman" w:eastAsia="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660" w:rsidRPr="005D230C" w:rsidTr="0000520C">
        <w:tc>
          <w:tcPr>
            <w:tcW w:w="9287" w:type="dxa"/>
          </w:tcPr>
          <w:p w:rsidR="00D11660" w:rsidRPr="00D11660" w:rsidRDefault="00D11660" w:rsidP="00D11660">
            <w:pPr>
              <w:tabs>
                <w:tab w:val="left" w:pos="142"/>
                <w:tab w:val="left" w:pos="567"/>
              </w:tabs>
              <w:spacing w:after="0" w:line="240" w:lineRule="auto"/>
              <w:ind w:left="567" w:hanging="567"/>
              <w:rPr>
                <w:rFonts w:ascii="Times New Roman" w:eastAsia="Times New Roman" w:hAnsi="Times New Roman"/>
                <w:b/>
                <w:noProof/>
              </w:rPr>
            </w:pPr>
            <w:r w:rsidRPr="00D11660">
              <w:rPr>
                <w:rFonts w:ascii="Times New Roman" w:eastAsia="Times New Roman" w:hAnsi="Times New Roman"/>
                <w:b/>
                <w:noProof/>
              </w:rPr>
              <w:t>2.</w:t>
            </w:r>
            <w:r w:rsidRPr="00D11660">
              <w:rPr>
                <w:rFonts w:ascii="Times New Roman" w:eastAsia="Times New Roman" w:hAnsi="Times New Roman"/>
                <w:b/>
                <w:noProof/>
              </w:rPr>
              <w:tab/>
            </w:r>
            <w:r w:rsidRPr="00D11660">
              <w:rPr>
                <w:rFonts w:ascii="Times New Roman" w:eastAsia="Times New Roman" w:hAnsi="Times New Roman"/>
                <w:b/>
                <w:caps/>
                <w:noProof/>
              </w:rPr>
              <w:t>REGISTRUOTOJO pavadinimas</w:t>
            </w:r>
          </w:p>
        </w:tc>
      </w:tr>
    </w:tbl>
    <w:p w:rsidR="00D11660" w:rsidRPr="00D11660" w:rsidRDefault="00D11660" w:rsidP="00D11660">
      <w:pPr>
        <w:tabs>
          <w:tab w:val="left" w:pos="567"/>
        </w:tabs>
        <w:spacing w:after="0" w:line="240" w:lineRule="auto"/>
        <w:rPr>
          <w:rFonts w:ascii="Times New Roman" w:eastAsia="Times New Roman" w:hAnsi="Times New Roman"/>
          <w:b/>
          <w:noProof/>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G.L. Pharma</w:t>
      </w:r>
    </w:p>
    <w:p w:rsidR="00D11660" w:rsidRPr="00D11660" w:rsidRDefault="00D11660" w:rsidP="00D11660">
      <w:pPr>
        <w:tabs>
          <w:tab w:val="left" w:pos="567"/>
        </w:tabs>
        <w:spacing w:after="0" w:line="240" w:lineRule="auto"/>
        <w:rPr>
          <w:rFonts w:ascii="Times New Roman" w:eastAsia="Times New Roman" w:hAnsi="Times New Roman"/>
          <w:b/>
          <w:noProof/>
        </w:rPr>
      </w:pPr>
    </w:p>
    <w:p w:rsidR="00D11660" w:rsidRPr="00D11660" w:rsidRDefault="00D11660" w:rsidP="00D11660">
      <w:pPr>
        <w:tabs>
          <w:tab w:val="left" w:pos="567"/>
        </w:tabs>
        <w:spacing w:after="0" w:line="240" w:lineRule="auto"/>
        <w:rPr>
          <w:rFonts w:ascii="Times New Roman" w:eastAsia="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660" w:rsidRPr="005D230C" w:rsidTr="0000520C">
        <w:tc>
          <w:tcPr>
            <w:tcW w:w="9287" w:type="dxa"/>
          </w:tcPr>
          <w:p w:rsidR="00D11660" w:rsidRPr="00D11660" w:rsidRDefault="00D11660" w:rsidP="00D11660">
            <w:pPr>
              <w:tabs>
                <w:tab w:val="left" w:pos="142"/>
                <w:tab w:val="left" w:pos="567"/>
              </w:tabs>
              <w:spacing w:after="0" w:line="240" w:lineRule="auto"/>
              <w:ind w:left="567" w:hanging="567"/>
              <w:rPr>
                <w:rFonts w:ascii="Times New Roman" w:eastAsia="Times New Roman" w:hAnsi="Times New Roman"/>
                <w:b/>
                <w:noProof/>
              </w:rPr>
            </w:pPr>
            <w:r w:rsidRPr="00D11660">
              <w:rPr>
                <w:rFonts w:ascii="Times New Roman" w:eastAsia="Times New Roman" w:hAnsi="Times New Roman"/>
                <w:b/>
                <w:noProof/>
              </w:rPr>
              <w:t>3.</w:t>
            </w:r>
            <w:r w:rsidRPr="00D11660">
              <w:rPr>
                <w:rFonts w:ascii="Times New Roman" w:eastAsia="Times New Roman" w:hAnsi="Times New Roman"/>
                <w:b/>
                <w:noProof/>
              </w:rPr>
              <w:tab/>
            </w:r>
            <w:r w:rsidRPr="00D11660">
              <w:rPr>
                <w:rFonts w:ascii="Times New Roman" w:eastAsia="Times New Roman" w:hAnsi="Times New Roman"/>
                <w:b/>
                <w:caps/>
                <w:noProof/>
              </w:rPr>
              <w:t>tinkamumo laikas</w:t>
            </w:r>
          </w:p>
        </w:tc>
      </w:tr>
    </w:tbl>
    <w:p w:rsidR="00D11660" w:rsidRPr="00D11660" w:rsidRDefault="00D11660" w:rsidP="00D11660">
      <w:pPr>
        <w:tabs>
          <w:tab w:val="left" w:pos="567"/>
        </w:tabs>
        <w:spacing w:after="0" w:line="240" w:lineRule="auto"/>
        <w:rPr>
          <w:rFonts w:ascii="Times New Roman" w:eastAsia="Times New Roman" w:hAnsi="Times New Roman"/>
          <w:b/>
          <w:noProof/>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t xml:space="preserve">EXP </w:t>
      </w:r>
      <w:r w:rsidRPr="00D11660">
        <w:rPr>
          <w:rFonts w:ascii="Times New Roman" w:eastAsia="Times New Roman" w:hAnsi="Times New Roman"/>
          <w:lang w:eastAsia="lt-LT"/>
        </w:rPr>
        <w:t>{mm/MMMM</w:t>
      </w:r>
      <w:r w:rsidRPr="00D11660" w:rsidDel="00687A62">
        <w:rPr>
          <w:rFonts w:ascii="Times New Roman" w:eastAsia="Times New Roman" w:hAnsi="Times New Roman"/>
          <w:lang w:eastAsia="lt-LT"/>
        </w:rPr>
        <w:t xml:space="preserve"> </w:t>
      </w:r>
      <w:r w:rsidRPr="00D11660">
        <w:rPr>
          <w:rFonts w:ascii="Times New Roman" w:eastAsia="Times New Roman" w:hAnsi="Times New Roman"/>
          <w:lang w:eastAsia="lt-LT"/>
        </w:rPr>
        <w:t>}</w:t>
      </w:r>
    </w:p>
    <w:p w:rsidR="00D11660" w:rsidRPr="00D11660" w:rsidRDefault="00D11660" w:rsidP="00D11660">
      <w:pPr>
        <w:tabs>
          <w:tab w:val="left" w:pos="567"/>
        </w:tabs>
        <w:spacing w:after="0" w:line="240" w:lineRule="auto"/>
        <w:rPr>
          <w:rFonts w:ascii="Times New Roman" w:eastAsia="Times New Roman" w:hAnsi="Times New Roman"/>
          <w:b/>
          <w:noProof/>
        </w:rPr>
      </w:pPr>
    </w:p>
    <w:p w:rsidR="00D11660" w:rsidRPr="00D11660" w:rsidRDefault="00D11660" w:rsidP="00D11660">
      <w:pPr>
        <w:tabs>
          <w:tab w:val="left" w:pos="567"/>
        </w:tabs>
        <w:spacing w:after="0" w:line="240" w:lineRule="auto"/>
        <w:rPr>
          <w:rFonts w:ascii="Times New Roman" w:eastAsia="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660" w:rsidRPr="005D230C" w:rsidTr="0000520C">
        <w:tc>
          <w:tcPr>
            <w:tcW w:w="9287" w:type="dxa"/>
          </w:tcPr>
          <w:p w:rsidR="00D11660" w:rsidRPr="00D11660" w:rsidRDefault="00D11660" w:rsidP="00D11660">
            <w:pPr>
              <w:tabs>
                <w:tab w:val="left" w:pos="142"/>
                <w:tab w:val="left" w:pos="567"/>
              </w:tabs>
              <w:spacing w:after="0" w:line="240" w:lineRule="auto"/>
              <w:ind w:left="567" w:hanging="567"/>
              <w:rPr>
                <w:rFonts w:ascii="Times New Roman" w:eastAsia="Times New Roman" w:hAnsi="Times New Roman"/>
                <w:b/>
                <w:noProof/>
              </w:rPr>
            </w:pPr>
            <w:r w:rsidRPr="00D11660">
              <w:rPr>
                <w:rFonts w:ascii="Times New Roman" w:eastAsia="Times New Roman" w:hAnsi="Times New Roman"/>
                <w:b/>
                <w:noProof/>
              </w:rPr>
              <w:t>4.</w:t>
            </w:r>
            <w:r w:rsidRPr="00D11660">
              <w:rPr>
                <w:rFonts w:ascii="Times New Roman" w:eastAsia="Times New Roman" w:hAnsi="Times New Roman"/>
                <w:b/>
                <w:noProof/>
              </w:rPr>
              <w:tab/>
            </w:r>
            <w:r w:rsidRPr="00D11660">
              <w:rPr>
                <w:rFonts w:ascii="Times New Roman" w:eastAsia="Times New Roman" w:hAnsi="Times New Roman"/>
                <w:b/>
                <w:caps/>
                <w:noProof/>
              </w:rPr>
              <w:t>serijos numeris</w:t>
            </w:r>
          </w:p>
        </w:tc>
      </w:tr>
    </w:tbl>
    <w:p w:rsidR="00D11660" w:rsidRPr="00D11660" w:rsidRDefault="00D11660" w:rsidP="00D11660">
      <w:pPr>
        <w:tabs>
          <w:tab w:val="left" w:pos="567"/>
        </w:tabs>
        <w:spacing w:after="0" w:line="240" w:lineRule="auto"/>
        <w:ind w:right="113"/>
        <w:rPr>
          <w:rFonts w:ascii="Times New Roman" w:eastAsia="Times New Roman" w:hAnsi="Times New Roman"/>
          <w:noProof/>
        </w:rPr>
      </w:pPr>
    </w:p>
    <w:p w:rsidR="00D11660" w:rsidRPr="00D11660" w:rsidRDefault="00D11660" w:rsidP="00D11660">
      <w:pPr>
        <w:tabs>
          <w:tab w:val="left" w:pos="567"/>
        </w:tabs>
        <w:spacing w:after="0" w:line="240" w:lineRule="auto"/>
        <w:ind w:right="113"/>
        <w:rPr>
          <w:rFonts w:ascii="Times New Roman" w:eastAsia="Times New Roman" w:hAnsi="Times New Roman"/>
          <w:noProof/>
        </w:rPr>
      </w:pPr>
      <w:r w:rsidRPr="00D11660">
        <w:rPr>
          <w:rFonts w:ascii="Times New Roman" w:eastAsia="Times New Roman" w:hAnsi="Times New Roman"/>
          <w:noProof/>
        </w:rPr>
        <w:t>Lot {numeris}</w:t>
      </w:r>
    </w:p>
    <w:p w:rsidR="00D11660" w:rsidRPr="00D11660" w:rsidRDefault="00D11660" w:rsidP="00D11660">
      <w:pPr>
        <w:tabs>
          <w:tab w:val="left" w:pos="567"/>
        </w:tabs>
        <w:spacing w:after="0" w:line="240" w:lineRule="auto"/>
        <w:ind w:right="113"/>
        <w:rPr>
          <w:rFonts w:ascii="Times New Roman" w:eastAsia="Times New Roman" w:hAnsi="Times New Roman"/>
          <w:noProof/>
        </w:rPr>
      </w:pPr>
    </w:p>
    <w:p w:rsidR="00D11660" w:rsidRPr="00D11660" w:rsidRDefault="00D11660" w:rsidP="00D11660">
      <w:pPr>
        <w:tabs>
          <w:tab w:val="left" w:pos="567"/>
        </w:tabs>
        <w:spacing w:after="0" w:line="240" w:lineRule="auto"/>
        <w:ind w:right="113"/>
        <w:rPr>
          <w:rFonts w:ascii="Times New Roman" w:eastAsia="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660" w:rsidRPr="005D230C" w:rsidTr="0000520C">
        <w:tc>
          <w:tcPr>
            <w:tcW w:w="9287" w:type="dxa"/>
          </w:tcPr>
          <w:p w:rsidR="00D11660" w:rsidRPr="00D11660" w:rsidRDefault="00D11660" w:rsidP="00D11660">
            <w:pPr>
              <w:tabs>
                <w:tab w:val="left" w:pos="142"/>
                <w:tab w:val="left" w:pos="567"/>
              </w:tabs>
              <w:spacing w:after="0" w:line="240" w:lineRule="auto"/>
              <w:ind w:left="567" w:hanging="567"/>
              <w:rPr>
                <w:rFonts w:ascii="Times New Roman" w:eastAsia="Times New Roman" w:hAnsi="Times New Roman"/>
                <w:b/>
                <w:noProof/>
              </w:rPr>
            </w:pPr>
            <w:r w:rsidRPr="00D11660">
              <w:rPr>
                <w:rFonts w:ascii="Times New Roman" w:eastAsia="Times New Roman" w:hAnsi="Times New Roman"/>
                <w:b/>
                <w:noProof/>
              </w:rPr>
              <w:t>5.</w:t>
            </w:r>
            <w:r w:rsidRPr="00D11660">
              <w:rPr>
                <w:rFonts w:ascii="Times New Roman" w:eastAsia="Times New Roman" w:hAnsi="Times New Roman"/>
                <w:b/>
                <w:noProof/>
              </w:rPr>
              <w:tab/>
              <w:t>KITA</w:t>
            </w:r>
          </w:p>
        </w:tc>
      </w:tr>
    </w:tbl>
    <w:p w:rsidR="00D11660" w:rsidRPr="00D11660" w:rsidRDefault="00D11660" w:rsidP="00D11660">
      <w:pPr>
        <w:tabs>
          <w:tab w:val="left" w:pos="567"/>
        </w:tabs>
        <w:spacing w:after="0" w:line="240" w:lineRule="auto"/>
        <w:ind w:right="113"/>
        <w:rPr>
          <w:rFonts w:ascii="Times New Roman" w:eastAsia="Times New Roman" w:hAnsi="Times New Roman"/>
          <w:noProof/>
        </w:rPr>
      </w:pPr>
    </w:p>
    <w:p w:rsidR="00D11660" w:rsidRPr="00D11660" w:rsidRDefault="00D11660" w:rsidP="00D11660">
      <w:pPr>
        <w:tabs>
          <w:tab w:val="left" w:pos="567"/>
        </w:tabs>
        <w:spacing w:after="0" w:line="240" w:lineRule="auto"/>
        <w:ind w:right="113"/>
        <w:rPr>
          <w:rFonts w:ascii="Times New Roman" w:eastAsia="Times New Roman" w:hAnsi="Times New Roman"/>
          <w:noProof/>
        </w:rPr>
      </w:pPr>
      <w:r w:rsidRPr="00D11660">
        <w:rPr>
          <w:rFonts w:ascii="Times New Roman" w:eastAsia="Times New Roman" w:hAnsi="Times New Roman"/>
          <w:noProof/>
        </w:rPr>
        <w:br w:type="page"/>
      </w: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p>
    <w:p w:rsidR="00D11660" w:rsidRPr="00D11660" w:rsidRDefault="00D11660" w:rsidP="00D11660">
      <w:pPr>
        <w:tabs>
          <w:tab w:val="left" w:pos="567"/>
        </w:tabs>
        <w:spacing w:after="0" w:line="240" w:lineRule="auto"/>
        <w:jc w:val="center"/>
        <w:outlineLvl w:val="0"/>
        <w:rPr>
          <w:rFonts w:ascii="Times New Roman" w:eastAsia="Times New Roman" w:hAnsi="Times New Roman"/>
          <w:b/>
          <w:noProof/>
          <w:kern w:val="28"/>
          <w:lang w:eastAsia="lt-LT"/>
        </w:rPr>
      </w:pPr>
      <w:r w:rsidRPr="00D11660">
        <w:rPr>
          <w:rFonts w:ascii="Times New Roman" w:eastAsia="Times New Roman" w:hAnsi="Times New Roman"/>
          <w:b/>
          <w:noProof/>
          <w:kern w:val="28"/>
          <w:lang w:eastAsia="lt-LT"/>
        </w:rPr>
        <w:t>B. PAKUOTĖS LAPELIS</w:t>
      </w:r>
    </w:p>
    <w:p w:rsidR="00D11660" w:rsidRPr="00D11660" w:rsidRDefault="00D11660" w:rsidP="00D11660">
      <w:pPr>
        <w:tabs>
          <w:tab w:val="left" w:pos="567"/>
        </w:tabs>
        <w:spacing w:after="0" w:line="240" w:lineRule="auto"/>
        <w:jc w:val="center"/>
        <w:rPr>
          <w:rFonts w:ascii="Times New Roman" w:eastAsia="Times New Roman" w:hAnsi="Times New Roman"/>
          <w:b/>
          <w:noProof/>
          <w:lang w:eastAsia="lt-LT"/>
        </w:rPr>
      </w:pPr>
      <w:r w:rsidRPr="00D11660">
        <w:rPr>
          <w:rFonts w:ascii="Times New Roman" w:eastAsia="Times New Roman" w:hAnsi="Times New Roman"/>
          <w:noProof/>
          <w:lang w:eastAsia="lt-LT"/>
        </w:rPr>
        <w:br w:type="page"/>
      </w:r>
      <w:r w:rsidRPr="00D11660">
        <w:rPr>
          <w:rFonts w:ascii="Times New Roman" w:eastAsia="Times New Roman" w:hAnsi="Times New Roman"/>
          <w:b/>
          <w:noProof/>
          <w:lang w:eastAsia="lt-LT"/>
        </w:rPr>
        <w:t>Pakuotės lapelis: informacija vartotojui</w:t>
      </w:r>
    </w:p>
    <w:p w:rsidR="00D11660" w:rsidRPr="00D11660" w:rsidRDefault="00D11660" w:rsidP="00D11660">
      <w:pPr>
        <w:tabs>
          <w:tab w:val="left" w:pos="567"/>
        </w:tabs>
        <w:spacing w:after="0" w:line="240" w:lineRule="auto"/>
        <w:jc w:val="center"/>
        <w:rPr>
          <w:rFonts w:ascii="Times New Roman" w:eastAsia="Times New Roman" w:hAnsi="Times New Roman"/>
          <w:b/>
          <w:noProof/>
          <w:lang w:eastAsia="lt-LT"/>
        </w:rPr>
      </w:pPr>
    </w:p>
    <w:p w:rsidR="00D11660" w:rsidRPr="005D230C" w:rsidRDefault="00D11660" w:rsidP="00D11660">
      <w:pPr>
        <w:tabs>
          <w:tab w:val="left" w:pos="567"/>
        </w:tabs>
        <w:spacing w:after="0" w:line="240" w:lineRule="auto"/>
        <w:jc w:val="center"/>
        <w:rPr>
          <w:rFonts w:ascii="Times New Roman" w:eastAsia="Times New Roman" w:hAnsi="Times New Roman"/>
          <w:b/>
          <w:noProof/>
          <w:shd w:val="clear" w:color="auto" w:fill="FFFFFF"/>
          <w:lang w:eastAsia="lt-LT"/>
        </w:rPr>
      </w:pPr>
      <w:r w:rsidRPr="005D230C">
        <w:rPr>
          <w:rFonts w:ascii="Times New Roman" w:eastAsia="Times New Roman" w:hAnsi="Times New Roman"/>
          <w:b/>
          <w:noProof/>
          <w:shd w:val="clear" w:color="auto" w:fill="FFFFFF"/>
          <w:lang w:eastAsia="lt-LT"/>
        </w:rPr>
        <w:t>Etidylan 60 mg plėvele dengtos tabletės</w:t>
      </w:r>
    </w:p>
    <w:p w:rsidR="00D11660" w:rsidRPr="005D230C" w:rsidRDefault="00D11660" w:rsidP="00D11660">
      <w:pPr>
        <w:tabs>
          <w:tab w:val="left" w:pos="567"/>
        </w:tabs>
        <w:spacing w:after="0" w:line="240" w:lineRule="auto"/>
        <w:jc w:val="center"/>
        <w:rPr>
          <w:rFonts w:ascii="Times New Roman" w:eastAsia="Times New Roman" w:hAnsi="Times New Roman"/>
          <w:b/>
          <w:noProof/>
          <w:highlight w:val="lightGray"/>
          <w:lang w:eastAsia="lt-LT"/>
        </w:rPr>
      </w:pPr>
      <w:r w:rsidRPr="005D230C">
        <w:rPr>
          <w:rFonts w:ascii="Times New Roman" w:eastAsia="Times New Roman" w:hAnsi="Times New Roman"/>
          <w:b/>
          <w:noProof/>
          <w:highlight w:val="lightGray"/>
          <w:shd w:val="clear" w:color="auto" w:fill="A6A6A6"/>
          <w:lang w:eastAsia="lt-LT"/>
        </w:rPr>
        <w:t>Etidylan 90 mg plėvele dengtos tabletės</w:t>
      </w:r>
    </w:p>
    <w:p w:rsidR="00D11660" w:rsidRPr="00D11660" w:rsidRDefault="00D11660" w:rsidP="00D11660">
      <w:pPr>
        <w:tabs>
          <w:tab w:val="left" w:pos="567"/>
        </w:tabs>
        <w:spacing w:after="0" w:line="240" w:lineRule="auto"/>
        <w:jc w:val="center"/>
        <w:rPr>
          <w:rFonts w:ascii="Times New Roman" w:eastAsia="Times New Roman" w:hAnsi="Times New Roman"/>
          <w:b/>
          <w:lang w:eastAsia="lt-LT"/>
        </w:rPr>
      </w:pPr>
      <w:r w:rsidRPr="005D230C">
        <w:rPr>
          <w:rFonts w:ascii="Times New Roman" w:eastAsia="Times New Roman" w:hAnsi="Times New Roman"/>
          <w:b/>
          <w:highlight w:val="lightGray"/>
          <w:shd w:val="clear" w:color="auto" w:fill="808080"/>
          <w:lang w:eastAsia="lt-LT"/>
        </w:rPr>
        <w:t>Etidylan 120 mg plėvele dengtos tabletės</w:t>
      </w:r>
    </w:p>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p>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Etorikoksibas</w:t>
      </w:r>
    </w:p>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Atidžiai perskaitykite visą šį lapelį, prieš pradėdami vartoti vaistą, nes jame pateikiama Jums svarbi informacija.</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w:t>
      </w:r>
      <w:r w:rsidRPr="00D11660">
        <w:rPr>
          <w:rFonts w:ascii="Times New Roman" w:eastAsia="Times New Roman" w:hAnsi="Times New Roman"/>
          <w:lang w:eastAsia="lt-LT"/>
        </w:rPr>
        <w:tab/>
        <w:t>Neišmeskite šio lapelio, nes vėl gali prireikti jį perskaityti.</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w:t>
      </w:r>
      <w:r w:rsidRPr="00D11660">
        <w:rPr>
          <w:rFonts w:ascii="Times New Roman" w:eastAsia="Times New Roman" w:hAnsi="Times New Roman"/>
          <w:lang w:eastAsia="lt-LT"/>
        </w:rPr>
        <w:tab/>
        <w:t>Jeigu kiltų daugiau klausimų, kreipkitės į gydytoją arba vaistininką.</w:t>
      </w:r>
    </w:p>
    <w:p w:rsidR="00D11660" w:rsidRPr="00D11660" w:rsidRDefault="00D11660" w:rsidP="00D11660">
      <w:pPr>
        <w:numPr>
          <w:ilvl w:val="0"/>
          <w:numId w:val="1"/>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rsidR="00D11660" w:rsidRPr="00D11660" w:rsidRDefault="00D11660" w:rsidP="00D11660">
      <w:pPr>
        <w:numPr>
          <w:ilvl w:val="0"/>
          <w:numId w:val="1"/>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Jeigu pasireiškė šalutinis poveikis (net jeigu jis šiame lapelyje nenurodytas), kreipkitės į gydytoją arba vaistininką. Žr. 4 skyrių.</w:t>
      </w:r>
    </w:p>
    <w:p w:rsidR="00D11660" w:rsidRPr="00D11660" w:rsidRDefault="00D11660" w:rsidP="00D11660">
      <w:pPr>
        <w:tabs>
          <w:tab w:val="left" w:pos="567"/>
        </w:tabs>
        <w:spacing w:after="0" w:line="240" w:lineRule="auto"/>
        <w:ind w:right="-2"/>
        <w:rPr>
          <w:rFonts w:ascii="Times New Roman" w:eastAsia="Times New Roman" w:hAnsi="Times New Roman"/>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b/>
          <w:lang w:eastAsia="lt-LT"/>
        </w:rPr>
        <w:t>Apie ką rašoma šiame lapelyje?</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1.</w:t>
      </w:r>
      <w:r w:rsidRPr="00D11660">
        <w:rPr>
          <w:rFonts w:ascii="Times New Roman" w:eastAsia="Times New Roman" w:hAnsi="Times New Roman"/>
          <w:lang w:eastAsia="lt-LT"/>
        </w:rPr>
        <w:tab/>
        <w:t>Kas yra Etidylan ir kam jis vartojamas</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2.</w:t>
      </w:r>
      <w:r w:rsidRPr="00D11660">
        <w:rPr>
          <w:rFonts w:ascii="Times New Roman" w:eastAsia="Times New Roman" w:hAnsi="Times New Roman"/>
          <w:lang w:eastAsia="lt-LT"/>
        </w:rPr>
        <w:tab/>
        <w:t>Kas žinotina prieš vartojant Etidylan</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3.</w:t>
      </w:r>
      <w:r w:rsidRPr="00D11660">
        <w:rPr>
          <w:rFonts w:ascii="Times New Roman" w:eastAsia="Times New Roman" w:hAnsi="Times New Roman"/>
          <w:lang w:eastAsia="lt-LT"/>
        </w:rPr>
        <w:tab/>
        <w:t>Kaip vartoti Etidylan</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4.</w:t>
      </w:r>
      <w:r w:rsidRPr="00D11660">
        <w:rPr>
          <w:rFonts w:ascii="Times New Roman" w:eastAsia="Times New Roman" w:hAnsi="Times New Roman"/>
          <w:lang w:eastAsia="lt-LT"/>
        </w:rPr>
        <w:tab/>
        <w:t>Galimas šalutinis poveikis</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5.</w:t>
      </w:r>
      <w:r w:rsidRPr="00D11660">
        <w:rPr>
          <w:rFonts w:ascii="Times New Roman" w:eastAsia="Times New Roman" w:hAnsi="Times New Roman"/>
          <w:lang w:eastAsia="lt-LT"/>
        </w:rPr>
        <w:tab/>
        <w:t xml:space="preserve">Kaip laikyti Etidylan </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6.</w:t>
      </w:r>
      <w:r w:rsidRPr="00D11660">
        <w:rPr>
          <w:rFonts w:ascii="Times New Roman" w:eastAsia="Times New Roman" w:hAnsi="Times New Roman"/>
          <w:lang w:eastAsia="lt-LT"/>
        </w:rPr>
        <w:tab/>
        <w:t>Pakuotės turinys ir kita informacija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1.</w:t>
      </w:r>
      <w:r w:rsidRPr="00D11660">
        <w:rPr>
          <w:rFonts w:ascii="Times New Roman" w:eastAsia="Times New Roman" w:hAnsi="Times New Roman"/>
          <w:b/>
          <w:lang w:eastAsia="lt-LT"/>
        </w:rPr>
        <w:tab/>
        <w:t>Kas yra Etidylan</w:t>
      </w:r>
      <w:r w:rsidRPr="00D11660">
        <w:rPr>
          <w:rFonts w:ascii="Times New Roman" w:eastAsia="Times New Roman" w:hAnsi="Times New Roman"/>
          <w:lang w:eastAsia="lt-LT"/>
        </w:rPr>
        <w:t xml:space="preserve"> </w:t>
      </w:r>
      <w:r w:rsidRPr="00D11660">
        <w:rPr>
          <w:rFonts w:ascii="Times New Roman" w:eastAsia="Times New Roman" w:hAnsi="Times New Roman"/>
          <w:b/>
          <w:lang w:eastAsia="lt-LT"/>
        </w:rPr>
        <w:t>ir kam jis vartojamas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Kas yra Etidylan?</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sudėtyje yra veikliosios medžiagos etorikoksibo. Etidylan yra vienas iš grupės vaistų, vadinamų selektyviais COX-2 inhibitoriais. Jie priklauso vaistų, vadinamų nesteroidiniais vaistais nuo uždegimo (NVNU), grupei.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Kam naudojamas Etidylan?</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padeda sumažinti sąnarių ir raumenų skausmą ir patinimą (uždegimą) osteoartritu, reumatoidiniu artritu, ankiloziniu spondilitu ir podagra sergantiems 16 metų bei vyresniems žmonėms.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taip pat vartojamas trumpalaikiam vidutinio stiprumo dantų skausmui po operacijos malšinti 16 metų bei vyresniems žmonėms.</w:t>
      </w: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p>
    <w:p w:rsidR="00D11660" w:rsidRPr="00D11660" w:rsidRDefault="00D11660" w:rsidP="00D11660">
      <w:pPr>
        <w:keepNext/>
        <w:keepLine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Kas yra osteoartritas?</w:t>
      </w:r>
    </w:p>
    <w:p w:rsidR="00D11660" w:rsidRPr="00D11660" w:rsidRDefault="00D11660" w:rsidP="00D11660">
      <w:pPr>
        <w:keepNext/>
        <w:keepLine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Osteoartritas yra sąnarių liga. Ji prasideda laipsniškai yrant kaulų galus dengiančiai kremzlei. Dėl to būna patinimas (uždegimas), skausmas, jautrumas, sąstingis ir fizinė negalia.</w:t>
      </w:r>
    </w:p>
    <w:p w:rsidR="00D11660" w:rsidRPr="00D11660" w:rsidRDefault="00D11660" w:rsidP="00D11660">
      <w:pPr>
        <w:keepNext/>
        <w:keepLines/>
        <w:spacing w:after="0" w:line="240" w:lineRule="auto"/>
        <w:rPr>
          <w:rFonts w:ascii="Times New Roman" w:eastAsia="Times New Roman" w:hAnsi="Times New Roman"/>
          <w:b/>
          <w:lang w:eastAsia="lt-LT"/>
        </w:rPr>
      </w:pPr>
    </w:p>
    <w:p w:rsidR="00D11660" w:rsidRPr="00D11660" w:rsidRDefault="00D11660" w:rsidP="00D11660">
      <w:pPr>
        <w:keepNext/>
        <w:keepLine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Kas yra reumatoidinis artritas?</w:t>
      </w:r>
    </w:p>
    <w:p w:rsidR="00D11660" w:rsidRPr="00D11660" w:rsidRDefault="00D11660" w:rsidP="00D11660">
      <w:pPr>
        <w:keepNext/>
        <w:keepLine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Reumatoidinis artritas yra ilgalaikė uždegiminė sąnarių liga. Ji sukelia sąnarių skausmą, sąstingį, patinimą, sumažina pažeistų sąnarių judesius. Be to, ji gali sukelti uždegimą ir kitose kūno vietose.</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b/>
          <w:lang w:eastAsia="lt-LT"/>
        </w:rPr>
        <w:t>Kas yra podagra?</w:t>
      </w: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Podagra yra liga, pasireiškianti staigiu pasikartojančiu labai skausmingu sąnarių uždegimu ir paraudimu. Ją sukelia sąnaryje susikaupę druskų kristalai.</w:t>
      </w:r>
    </w:p>
    <w:p w:rsidR="00D11660" w:rsidRPr="00D11660" w:rsidRDefault="00D11660" w:rsidP="00D11660">
      <w:pPr>
        <w:spacing w:line="240" w:lineRule="auto"/>
        <w:rPr>
          <w:rFonts w:ascii="Times New Roman" w:eastAsia="Times New Roman" w:hAnsi="Times New Roman"/>
          <w:lang w:eastAsia="lt-LT"/>
        </w:rPr>
      </w:pPr>
    </w:p>
    <w:p w:rsidR="00D11660" w:rsidRPr="00D11660" w:rsidRDefault="00D11660" w:rsidP="00D11660">
      <w:pPr>
        <w:keepNext/>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Kas yra ankilozinis spondilitas?</w:t>
      </w:r>
    </w:p>
    <w:p w:rsidR="00D11660" w:rsidRPr="00D11660" w:rsidRDefault="00D11660" w:rsidP="00D11660">
      <w:pPr>
        <w:keepNext/>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Ankilozinis spondilitas yra uždegiminė stuburo ir stambiųjų sąnarių liga.</w:t>
      </w:r>
    </w:p>
    <w:p w:rsidR="00D11660" w:rsidRPr="00D11660" w:rsidRDefault="00D11660" w:rsidP="00D11660">
      <w:pPr>
        <w:keepNext/>
        <w:keepLines/>
        <w:tabs>
          <w:tab w:val="left" w:pos="567"/>
        </w:tabs>
        <w:spacing w:line="240" w:lineRule="auto"/>
        <w:jc w:val="both"/>
        <w:rPr>
          <w:rFonts w:ascii="Times New Roman" w:eastAsia="Times New Roman" w:hAnsi="Times New Roman"/>
          <w:b/>
        </w:rPr>
      </w:pPr>
    </w:p>
    <w:p w:rsidR="00D11660" w:rsidRPr="00D11660" w:rsidRDefault="00D11660" w:rsidP="00D11660">
      <w:pPr>
        <w:keepNext/>
        <w:keepLines/>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b/>
        </w:rPr>
        <w:t>2.</w:t>
      </w:r>
      <w:r w:rsidRPr="00D11660">
        <w:rPr>
          <w:rFonts w:ascii="Times New Roman" w:eastAsia="Times New Roman" w:hAnsi="Times New Roman"/>
          <w:b/>
        </w:rPr>
        <w:tab/>
      </w:r>
      <w:r w:rsidRPr="00D11660">
        <w:rPr>
          <w:rFonts w:ascii="Times New Roman" w:eastAsia="Times New Roman" w:hAnsi="Times New Roman"/>
          <w:b/>
          <w:lang w:eastAsia="lt-LT"/>
        </w:rPr>
        <w:t>Kas žinotina prieš vartojant</w:t>
      </w:r>
      <w:r w:rsidRPr="00D11660">
        <w:rPr>
          <w:rFonts w:ascii="Times New Roman" w:eastAsia="Times New Roman" w:hAnsi="Times New Roman"/>
          <w:b/>
        </w:rPr>
        <w:t xml:space="preserve"> </w:t>
      </w:r>
      <w:r w:rsidRPr="00D11660">
        <w:rPr>
          <w:rFonts w:ascii="Times New Roman" w:eastAsia="Times New Roman" w:hAnsi="Times New Roman"/>
          <w:b/>
          <w:lang w:eastAsia="lt-LT"/>
        </w:rPr>
        <w:t>Etidylan</w:t>
      </w:r>
    </w:p>
    <w:p w:rsidR="00D11660" w:rsidRPr="00D11660" w:rsidRDefault="00D11660" w:rsidP="00D11660">
      <w:pPr>
        <w:keepNext/>
        <w:keepLines/>
        <w:tabs>
          <w:tab w:val="left" w:pos="567"/>
        </w:tabs>
        <w:spacing w:after="0" w:line="240" w:lineRule="auto"/>
        <w:jc w:val="both"/>
        <w:rPr>
          <w:rFonts w:ascii="Times New Roman" w:eastAsia="Times New Roman" w:hAnsi="Times New Roman"/>
          <w:lang w:eastAsia="lt-LT"/>
        </w:rPr>
      </w:pPr>
    </w:p>
    <w:p w:rsidR="00D11660" w:rsidRPr="00D11660" w:rsidRDefault="00D11660" w:rsidP="00D11660">
      <w:pPr>
        <w:keepNext/>
        <w:keepLines/>
        <w:spacing w:after="0" w:line="240" w:lineRule="auto"/>
        <w:rPr>
          <w:rFonts w:ascii="Times New Roman" w:eastAsia="Times New Roman" w:hAnsi="Times New Roman"/>
          <w:b/>
          <w:bCs/>
          <w:lang w:eastAsia="lt-LT"/>
        </w:rPr>
      </w:pPr>
      <w:r w:rsidRPr="00D11660">
        <w:rPr>
          <w:rFonts w:ascii="Times New Roman" w:eastAsia="Times New Roman" w:hAnsi="Times New Roman"/>
          <w:b/>
          <w:lang w:eastAsia="lt-LT"/>
        </w:rPr>
        <w:t>Etidylan</w:t>
      </w:r>
      <w:r w:rsidRPr="00D11660">
        <w:rPr>
          <w:rFonts w:ascii="Times New Roman" w:eastAsia="Times New Roman" w:hAnsi="Times New Roman"/>
          <w:lang w:eastAsia="lt-LT"/>
        </w:rPr>
        <w:t xml:space="preserve"> </w:t>
      </w:r>
      <w:r w:rsidRPr="00D11660">
        <w:rPr>
          <w:rFonts w:ascii="Times New Roman" w:eastAsia="Times New Roman" w:hAnsi="Times New Roman"/>
          <w:b/>
          <w:bCs/>
          <w:lang w:eastAsia="lt-LT"/>
        </w:rPr>
        <w:t>vartoti negalima, jeigu:</w:t>
      </w:r>
    </w:p>
    <w:p w:rsidR="00D11660" w:rsidRPr="00573735" w:rsidRDefault="00D11660" w:rsidP="00CF59A4">
      <w:pPr>
        <w:pStyle w:val="BT-EMEASMCA"/>
        <w:rPr>
          <w:sz w:val="22"/>
          <w:szCs w:val="22"/>
        </w:rPr>
      </w:pPr>
      <w:r w:rsidRPr="00573735">
        <w:rPr>
          <w:sz w:val="22"/>
          <w:szCs w:val="22"/>
        </w:rPr>
        <w:t>yra alergija (padidėjęs jautrumas) etorikoksibui arba bet kuriai pagalbinei šio vaisto medžiagai (jos išvardytos 6 skyriuje);</w:t>
      </w:r>
    </w:p>
    <w:p w:rsidR="00D11660" w:rsidRPr="00573735" w:rsidRDefault="00D11660" w:rsidP="00CF59A4">
      <w:pPr>
        <w:pStyle w:val="BT-EMEASMCA"/>
        <w:rPr>
          <w:sz w:val="22"/>
          <w:szCs w:val="22"/>
        </w:rPr>
      </w:pPr>
      <w:r w:rsidRPr="00573735">
        <w:rPr>
          <w:sz w:val="22"/>
          <w:szCs w:val="22"/>
        </w:rPr>
        <w:t xml:space="preserve">yra alergija NVNU, įskaitant aspiriną ir COX-2 inhibitorius (žr. 4 skyrių </w:t>
      </w:r>
      <w:r w:rsidR="00121FDD" w:rsidRPr="00121FDD">
        <w:rPr>
          <w:sz w:val="22"/>
          <w:szCs w:val="22"/>
          <w:lang w:eastAsia="lt-LT"/>
        </w:rPr>
        <w:t>,,</w:t>
      </w:r>
      <w:r w:rsidRPr="00573735">
        <w:rPr>
          <w:sz w:val="22"/>
          <w:szCs w:val="22"/>
        </w:rPr>
        <w:t>Galimas šalutinis poveikis");</w:t>
      </w:r>
    </w:p>
    <w:p w:rsidR="00D11660" w:rsidRPr="00573735" w:rsidRDefault="00D11660" w:rsidP="00CF59A4">
      <w:pPr>
        <w:pStyle w:val="BT-EMEASMCA"/>
        <w:rPr>
          <w:sz w:val="22"/>
          <w:szCs w:val="22"/>
        </w:rPr>
      </w:pPr>
      <w:r w:rsidRPr="00573735">
        <w:rPr>
          <w:sz w:val="22"/>
          <w:szCs w:val="22"/>
        </w:rPr>
        <w:t>šiuo metu sergate skrandžio opa ar kraujuoja iš skrandžio arba žarnų;</w:t>
      </w:r>
    </w:p>
    <w:p w:rsidR="00D11660" w:rsidRPr="00573735" w:rsidRDefault="00D11660" w:rsidP="00CF59A4">
      <w:pPr>
        <w:pStyle w:val="BT-EMEASMCA"/>
        <w:rPr>
          <w:sz w:val="22"/>
          <w:szCs w:val="22"/>
        </w:rPr>
      </w:pPr>
      <w:r w:rsidRPr="00573735">
        <w:rPr>
          <w:sz w:val="22"/>
          <w:szCs w:val="22"/>
        </w:rPr>
        <w:t>sergate sunkia kepenų liga;</w:t>
      </w:r>
    </w:p>
    <w:p w:rsidR="00D11660" w:rsidRPr="00573735" w:rsidRDefault="00D11660" w:rsidP="00CF59A4">
      <w:pPr>
        <w:pStyle w:val="BT-EMEASMCA"/>
        <w:rPr>
          <w:sz w:val="22"/>
          <w:szCs w:val="22"/>
        </w:rPr>
      </w:pPr>
      <w:r w:rsidRPr="00573735">
        <w:rPr>
          <w:sz w:val="22"/>
          <w:szCs w:val="22"/>
        </w:rPr>
        <w:t>sergate sunkia inkstų liga;</w:t>
      </w:r>
    </w:p>
    <w:p w:rsidR="00D11660" w:rsidRPr="00573735" w:rsidRDefault="00D11660" w:rsidP="00CF59A4">
      <w:pPr>
        <w:pStyle w:val="BT-EMEASMCA"/>
        <w:rPr>
          <w:sz w:val="22"/>
          <w:szCs w:val="22"/>
        </w:rPr>
      </w:pPr>
      <w:r w:rsidRPr="00573735">
        <w:rPr>
          <w:sz w:val="22"/>
          <w:szCs w:val="22"/>
        </w:rPr>
        <w:t xml:space="preserve">esate nėščia ar manote, kad galėjote pastoti, ar žindote kūdikį (žr. </w:t>
      </w:r>
      <w:r w:rsidR="00121FDD" w:rsidRPr="00121FDD">
        <w:rPr>
          <w:sz w:val="22"/>
          <w:szCs w:val="22"/>
          <w:lang w:eastAsia="lt-LT"/>
        </w:rPr>
        <w:t>,,</w:t>
      </w:r>
      <w:r w:rsidRPr="00573735">
        <w:rPr>
          <w:sz w:val="22"/>
          <w:szCs w:val="22"/>
        </w:rPr>
        <w:t>Nėštumas, žindymo laikotarpis ir vaisingumas");</w:t>
      </w:r>
    </w:p>
    <w:p w:rsidR="00D11660" w:rsidRPr="00573735" w:rsidRDefault="00D11660" w:rsidP="00CF59A4">
      <w:pPr>
        <w:pStyle w:val="BT-EMEASMCA"/>
        <w:rPr>
          <w:sz w:val="22"/>
          <w:szCs w:val="22"/>
        </w:rPr>
      </w:pPr>
      <w:r w:rsidRPr="00573735">
        <w:rPr>
          <w:sz w:val="22"/>
          <w:szCs w:val="22"/>
        </w:rPr>
        <w:t>Jums yra mažiau nei 16 metų;</w:t>
      </w:r>
    </w:p>
    <w:p w:rsidR="00D11660" w:rsidRPr="00573735" w:rsidRDefault="00D11660" w:rsidP="00CF59A4">
      <w:pPr>
        <w:pStyle w:val="BT-EMEASMCA"/>
        <w:rPr>
          <w:sz w:val="22"/>
          <w:szCs w:val="22"/>
        </w:rPr>
      </w:pPr>
      <w:r w:rsidRPr="00573735">
        <w:rPr>
          <w:sz w:val="22"/>
          <w:szCs w:val="22"/>
        </w:rPr>
        <w:t>sergate uždegimine žarnų liga, pavyzdžiui, Krono liga, opiniu kolitu arba kolitu;</w:t>
      </w:r>
    </w:p>
    <w:p w:rsidR="00D11660" w:rsidRPr="00573735" w:rsidRDefault="00D11660" w:rsidP="00CF59A4">
      <w:pPr>
        <w:pStyle w:val="BT-EMEASMCA"/>
        <w:rPr>
          <w:sz w:val="22"/>
          <w:szCs w:val="22"/>
        </w:rPr>
      </w:pPr>
      <w:r w:rsidRPr="00573735">
        <w:rPr>
          <w:sz w:val="22"/>
          <w:szCs w:val="22"/>
        </w:rPr>
        <w:t>Jums yra padidėjęs kraujospūdis, kuris nėra tinkamai gydomas (pasitikrinkite pas gydytoją ar slaugytoją ar Jūsų kraujospūdis tinkamai kontroliuojamas);</w:t>
      </w:r>
    </w:p>
    <w:p w:rsidR="00D11660" w:rsidRPr="00573735" w:rsidRDefault="00D11660" w:rsidP="00CF59A4">
      <w:pPr>
        <w:pStyle w:val="BT-EMEASMCA"/>
        <w:rPr>
          <w:sz w:val="22"/>
          <w:szCs w:val="22"/>
        </w:rPr>
      </w:pPr>
      <w:r w:rsidRPr="00573735">
        <w:rPr>
          <w:sz w:val="22"/>
          <w:szCs w:val="22"/>
        </w:rPr>
        <w:t>Jums nustatyta širdies liga, įskaitant širdies nepakankamumą (vidutinio ar sunkaus tipo), krūtinės angina (krūtinės skausmas);</w:t>
      </w:r>
    </w:p>
    <w:p w:rsidR="00D11660" w:rsidRPr="00573735" w:rsidRDefault="00D11660" w:rsidP="00CF59A4">
      <w:pPr>
        <w:pStyle w:val="BT-EMEASMCA"/>
        <w:rPr>
          <w:sz w:val="22"/>
          <w:szCs w:val="22"/>
        </w:rPr>
      </w:pPr>
      <w:r w:rsidRPr="00573735">
        <w:rPr>
          <w:sz w:val="22"/>
          <w:szCs w:val="22"/>
        </w:rPr>
        <w:t>persirgote miokardo infarktu, Jums atlikta šuntavimo operacija, sirgote periferinių arterijų liga (nepakankama kraujotaka kojose ar rankose dėl susiaurėjusio ar užsikimšusio arterijų spindžio);</w:t>
      </w:r>
    </w:p>
    <w:p w:rsidR="00D11660" w:rsidRPr="00573735" w:rsidRDefault="00D11660" w:rsidP="00CF59A4">
      <w:pPr>
        <w:pStyle w:val="BT-EMEASMCA"/>
        <w:rPr>
          <w:sz w:val="22"/>
          <w:szCs w:val="22"/>
        </w:rPr>
      </w:pPr>
      <w:r w:rsidRPr="00573735">
        <w:rPr>
          <w:sz w:val="22"/>
          <w:szCs w:val="22"/>
        </w:rPr>
        <w:t>persirgote bet kokios rūšies insultu (įskaitant praeinantį galvos smegenų išemijos priepuolį [PSIP]). Etorikoksibas gali Jums šiek tiek padidinti miokardo infarkto ir insulto pavojų, todėl</w:t>
      </w:r>
      <w:r w:rsidR="00121FDD">
        <w:rPr>
          <w:sz w:val="22"/>
          <w:szCs w:val="22"/>
        </w:rPr>
        <w:t>,</w:t>
      </w:r>
      <w:r w:rsidRPr="00573735">
        <w:rPr>
          <w:sz w:val="22"/>
          <w:szCs w:val="22"/>
        </w:rPr>
        <w:t xml:space="preserve"> jeigu sergate širdies ligomis ar buvo insultas, jo vartoti negalima.</w:t>
      </w:r>
    </w:p>
    <w:p w:rsidR="00D11660" w:rsidRPr="00D11660" w:rsidRDefault="00D11660" w:rsidP="00D11660">
      <w:pPr>
        <w:spacing w:after="0" w:line="240" w:lineRule="auto"/>
        <w:ind w:left="567" w:hanging="567"/>
        <w:rPr>
          <w:rFonts w:ascii="Times New Roman" w:eastAsia="Times New Roman" w:hAnsi="Times New Roman"/>
          <w:lang w:eastAsia="lt-LT"/>
        </w:rPr>
      </w:pPr>
    </w:p>
    <w:p w:rsidR="00D11660" w:rsidRPr="00D11660" w:rsidRDefault="00D11660" w:rsidP="00D11660">
      <w:pPr>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Jei manote, kad bent viena iš šių būklių Jums tinka, negerkite tablečių, nepasitarę su gydytoju.</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Įspėjimai ir atsargumo priemonės</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Pasitarkite su gydytoju arba vaistininku, prieš pradėdami vartoti Etidylan, jeigu:</w:t>
      </w:r>
    </w:p>
    <w:p w:rsidR="00D11660" w:rsidRPr="00573735" w:rsidRDefault="00D11660" w:rsidP="00CF59A4">
      <w:pPr>
        <w:pStyle w:val="BT-EMEASMCA"/>
        <w:rPr>
          <w:sz w:val="22"/>
          <w:szCs w:val="22"/>
        </w:rPr>
      </w:pPr>
      <w:r w:rsidRPr="00573735">
        <w:rPr>
          <w:sz w:val="22"/>
          <w:szCs w:val="22"/>
        </w:rPr>
        <w:t>Jums buvo kraujavimas iš skrandžio ar buvo skrandžio opų;</w:t>
      </w:r>
    </w:p>
    <w:p w:rsidR="00D11660" w:rsidRPr="00573735" w:rsidRDefault="00D11660" w:rsidP="00CF59A4">
      <w:pPr>
        <w:pStyle w:val="BT-EMEASMCA"/>
        <w:rPr>
          <w:sz w:val="22"/>
          <w:szCs w:val="22"/>
        </w:rPr>
      </w:pPr>
      <w:r w:rsidRPr="00573735">
        <w:rPr>
          <w:sz w:val="22"/>
          <w:szCs w:val="22"/>
        </w:rPr>
        <w:t>netekote daug skysčių, pvz., po užsitęsusio vėmimo ar viduriavimo;</w:t>
      </w:r>
    </w:p>
    <w:p w:rsidR="00D11660" w:rsidRPr="00573735" w:rsidRDefault="00D11660" w:rsidP="00CF59A4">
      <w:pPr>
        <w:pStyle w:val="BT-EMEASMCA"/>
        <w:rPr>
          <w:sz w:val="22"/>
          <w:szCs w:val="22"/>
        </w:rPr>
      </w:pPr>
      <w:r w:rsidRPr="00573735">
        <w:rPr>
          <w:sz w:val="22"/>
          <w:szCs w:val="22"/>
        </w:rPr>
        <w:t>Jums yra patinimų dėl skysčių susilaikymo;</w:t>
      </w:r>
    </w:p>
    <w:p w:rsidR="00D11660" w:rsidRPr="00573735" w:rsidRDefault="00D11660" w:rsidP="00CF59A4">
      <w:pPr>
        <w:pStyle w:val="BT-EMEASMCA"/>
        <w:rPr>
          <w:sz w:val="22"/>
          <w:szCs w:val="22"/>
        </w:rPr>
      </w:pPr>
      <w:r w:rsidRPr="00573735">
        <w:rPr>
          <w:sz w:val="22"/>
          <w:szCs w:val="22"/>
        </w:rPr>
        <w:t>sergate širdies nepakankamumu ar kokia kita širdies liga;</w:t>
      </w:r>
    </w:p>
    <w:p w:rsidR="00D11660" w:rsidRPr="00573735" w:rsidRDefault="00D11660" w:rsidP="00CF59A4">
      <w:pPr>
        <w:pStyle w:val="BT-EMEASMCA"/>
        <w:rPr>
          <w:sz w:val="22"/>
          <w:szCs w:val="22"/>
        </w:rPr>
      </w:pPr>
      <w:r w:rsidRPr="00573735">
        <w:rPr>
          <w:sz w:val="22"/>
          <w:szCs w:val="22"/>
        </w:rPr>
        <w:t>Jūsų kraujospūdis yra padidėjęs. Kai kuriems žmonėms Etidylan gali padidinti kraujospūdį, ypač vartojant dideles dozes, todėl gydytojas retkarčiais norės patikrinti Jūsų kraujospūdį;</w:t>
      </w:r>
    </w:p>
    <w:p w:rsidR="00D11660" w:rsidRPr="00573735" w:rsidRDefault="00D11660" w:rsidP="00CF59A4">
      <w:pPr>
        <w:pStyle w:val="BT-EMEASMCA"/>
        <w:rPr>
          <w:sz w:val="22"/>
          <w:szCs w:val="22"/>
        </w:rPr>
      </w:pPr>
      <w:r w:rsidRPr="00573735">
        <w:rPr>
          <w:sz w:val="22"/>
          <w:szCs w:val="22"/>
        </w:rPr>
        <w:t>sergate kokia nors kepenų ar inkstų liga;</w:t>
      </w:r>
    </w:p>
    <w:p w:rsidR="00D11660" w:rsidRPr="00573735" w:rsidRDefault="00D11660" w:rsidP="00CF59A4">
      <w:pPr>
        <w:pStyle w:val="BT-EMEASMCA"/>
        <w:rPr>
          <w:sz w:val="22"/>
          <w:szCs w:val="22"/>
        </w:rPr>
      </w:pPr>
      <w:r w:rsidRPr="00573735">
        <w:rPr>
          <w:sz w:val="22"/>
          <w:szCs w:val="22"/>
        </w:rPr>
        <w:t>Jūs gydėtės nuo infekcinės ligos. Etidylan gali užmaskuoti ar paslėpti karščiavimą, kuris yra infekcinės ligos požymis;</w:t>
      </w:r>
    </w:p>
    <w:p w:rsidR="00D11660" w:rsidRPr="00573735" w:rsidRDefault="00D11660" w:rsidP="00CF59A4">
      <w:pPr>
        <w:pStyle w:val="BT-EMEASMCA"/>
        <w:rPr>
          <w:sz w:val="22"/>
          <w:szCs w:val="22"/>
        </w:rPr>
      </w:pPr>
      <w:r w:rsidRPr="00573735">
        <w:rPr>
          <w:sz w:val="22"/>
          <w:szCs w:val="22"/>
        </w:rPr>
        <w:t>sergate cukriniu diabetu, Jums yra padidėjusi cholesterolio koncentracija kraujyje arba Jūs rūkote. Tai gali padidinti širdies ligų riziką;</w:t>
      </w:r>
    </w:p>
    <w:p w:rsidR="00D11660" w:rsidRPr="00573735" w:rsidRDefault="00D11660" w:rsidP="00CF59A4">
      <w:pPr>
        <w:pStyle w:val="BT-EMEASMCA"/>
        <w:rPr>
          <w:sz w:val="22"/>
          <w:szCs w:val="22"/>
        </w:rPr>
      </w:pPr>
      <w:r w:rsidRPr="00573735">
        <w:rPr>
          <w:sz w:val="22"/>
          <w:szCs w:val="22"/>
        </w:rPr>
        <w:t>ketinate pastoti;</w:t>
      </w:r>
    </w:p>
    <w:p w:rsidR="00D11660" w:rsidRPr="00573735" w:rsidRDefault="00D11660" w:rsidP="00CF59A4">
      <w:pPr>
        <w:pStyle w:val="BT-EMEASMCA"/>
        <w:rPr>
          <w:sz w:val="22"/>
          <w:szCs w:val="22"/>
        </w:rPr>
      </w:pPr>
      <w:r w:rsidRPr="00573735">
        <w:rPr>
          <w:sz w:val="22"/>
          <w:szCs w:val="22"/>
        </w:rPr>
        <w:t>esate vyresni nei 65 metų.</w:t>
      </w: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Jeigu nesate tikri, ar kuris iš išvardytų punktų tinka Jums, </w:t>
      </w:r>
      <w:r w:rsidRPr="00D11660">
        <w:rPr>
          <w:rFonts w:ascii="Times New Roman" w:eastAsia="Times New Roman" w:hAnsi="Times New Roman"/>
          <w:b/>
          <w:lang w:eastAsia="lt-LT"/>
        </w:rPr>
        <w:t>pasitarkite su gydytoju prieš pradėdami vartoti</w:t>
      </w:r>
      <w:r w:rsidRPr="00D11660">
        <w:rPr>
          <w:rFonts w:ascii="Times New Roman" w:eastAsia="Times New Roman" w:hAnsi="Times New Roman"/>
          <w:lang w:eastAsia="lt-LT"/>
        </w:rPr>
        <w:t xml:space="preserve"> </w:t>
      </w:r>
      <w:r w:rsidRPr="00D11660">
        <w:rPr>
          <w:rFonts w:ascii="Times New Roman" w:eastAsia="Times New Roman" w:hAnsi="Times New Roman"/>
          <w:b/>
          <w:lang w:eastAsia="lt-LT"/>
        </w:rPr>
        <w:t>Etidylan</w:t>
      </w:r>
      <w:r w:rsidRPr="00D11660">
        <w:rPr>
          <w:rFonts w:ascii="Times New Roman" w:eastAsia="Times New Roman" w:hAnsi="Times New Roman"/>
          <w:lang w:eastAsia="lt-LT"/>
        </w:rPr>
        <w:t>, kad įsitikintumėte, ar šis vaistas Jums tinkamas.</w:t>
      </w: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Etidylan vienodai gerai veiksmingas vyresniems ir jaunesniems suaugusiems pacientams. Jei esate vyresnis kaip 65 metų, gydytojas norės reguliariai tikrinti Jūsų sveikatą. Vyresniems kaip 65 metų pacientams dozės koreguoti nereikia.</w:t>
      </w:r>
    </w:p>
    <w:p w:rsidR="00D11660" w:rsidRPr="00D11660" w:rsidRDefault="00D11660" w:rsidP="00D11660">
      <w:pPr>
        <w:keepNext/>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Vaikams ir paaugliams</w:t>
      </w:r>
    </w:p>
    <w:p w:rsidR="00D11660" w:rsidRPr="00D11660" w:rsidRDefault="00D11660" w:rsidP="00D11660">
      <w:pPr>
        <w:keepNext/>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Šio vaisto neduokite jaunesniems kaip 16 metų vaikams ir paaugliams.</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keepNext/>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Kiti vaistai ir Etidylan</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Jeigu vartojate arba neseniai vartojote kitų vaistų arba dėl to nesate tikri, apie tai pasakykite gydytojui arba vaistininkui.</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Pradėjus vartoti Etidylan, gydytojas gali norėti tikrinti, ar tinkamai veikia Jūsų vartojami vaistai, ypač jeigu kartu vartojamas bet kuris iš toliau išvardytų vaistų:</w:t>
      </w:r>
    </w:p>
    <w:p w:rsidR="00D11660" w:rsidRPr="00573735" w:rsidRDefault="00D11660" w:rsidP="00CF59A4">
      <w:pPr>
        <w:pStyle w:val="BT-EMEASMCA"/>
        <w:rPr>
          <w:sz w:val="22"/>
          <w:szCs w:val="22"/>
        </w:rPr>
      </w:pPr>
      <w:r w:rsidRPr="00573735">
        <w:rPr>
          <w:sz w:val="22"/>
          <w:szCs w:val="22"/>
        </w:rPr>
        <w:t>kraują skystinantis vaistas (antikoaguliantas), pavyzdžiui, varfarinas;</w:t>
      </w:r>
    </w:p>
    <w:p w:rsidR="00D11660" w:rsidRPr="00573735" w:rsidRDefault="00D11660" w:rsidP="00CF59A4">
      <w:pPr>
        <w:pStyle w:val="BT-EMEASMCA"/>
        <w:rPr>
          <w:sz w:val="22"/>
          <w:szCs w:val="22"/>
        </w:rPr>
      </w:pPr>
      <w:r w:rsidRPr="00573735">
        <w:rPr>
          <w:sz w:val="22"/>
          <w:szCs w:val="22"/>
        </w:rPr>
        <w:t>rifampicinas (antibiotikas);</w:t>
      </w:r>
    </w:p>
    <w:p w:rsidR="00D11660" w:rsidRPr="00573735" w:rsidRDefault="00D11660" w:rsidP="00CF59A4">
      <w:pPr>
        <w:pStyle w:val="BT-EMEASMCA"/>
        <w:rPr>
          <w:sz w:val="22"/>
          <w:szCs w:val="22"/>
        </w:rPr>
      </w:pPr>
      <w:r w:rsidRPr="00573735">
        <w:rPr>
          <w:sz w:val="22"/>
          <w:szCs w:val="22"/>
        </w:rPr>
        <w:t>metotreksatas (vaistas imuninei sistemai slopinti ir dažnai vartojamas reumatoidiniam artritui gydyti);</w:t>
      </w:r>
    </w:p>
    <w:p w:rsidR="00D11660" w:rsidRPr="00573735" w:rsidRDefault="00D11660" w:rsidP="00CF59A4">
      <w:pPr>
        <w:pStyle w:val="BT-EMEASMCA"/>
        <w:rPr>
          <w:sz w:val="22"/>
          <w:szCs w:val="22"/>
        </w:rPr>
      </w:pPr>
      <w:r w:rsidRPr="00573735">
        <w:rPr>
          <w:sz w:val="22"/>
          <w:szCs w:val="22"/>
        </w:rPr>
        <w:t>ciklosporinas ar takrolimuzas (vaistai imuninei sistemai slopinti);</w:t>
      </w:r>
    </w:p>
    <w:p w:rsidR="00D11660" w:rsidRPr="00573735" w:rsidRDefault="00D11660" w:rsidP="00CF59A4">
      <w:pPr>
        <w:pStyle w:val="BT-EMEASMCA"/>
        <w:rPr>
          <w:sz w:val="22"/>
          <w:szCs w:val="22"/>
        </w:rPr>
      </w:pPr>
      <w:r w:rsidRPr="00573735">
        <w:rPr>
          <w:sz w:val="22"/>
          <w:szCs w:val="22"/>
        </w:rPr>
        <w:t>litis (vaistas kai kuriems depresijos variantams gydyti);</w:t>
      </w:r>
    </w:p>
    <w:p w:rsidR="00D11660" w:rsidRPr="00573735" w:rsidRDefault="00D11660" w:rsidP="00CF59A4">
      <w:pPr>
        <w:pStyle w:val="BT-EMEASMCA"/>
        <w:rPr>
          <w:sz w:val="22"/>
          <w:szCs w:val="22"/>
        </w:rPr>
      </w:pPr>
      <w:r w:rsidRPr="00573735">
        <w:rPr>
          <w:sz w:val="22"/>
          <w:szCs w:val="22"/>
        </w:rPr>
        <w:t>AKF inhibitoriais ir angiotenzino receptorių blokatoriais vadinami vaistai, kurie vartojami, kad padėtų kontroliuoti padidėjusį kraujospūdį ir širdies nepakankamumą, pavyzdžiui, enalaprilis ar ramiprilis bei losartanas ar valsartanas;</w:t>
      </w:r>
    </w:p>
    <w:p w:rsidR="00D11660" w:rsidRPr="00573735" w:rsidRDefault="00D11660" w:rsidP="00CF59A4">
      <w:pPr>
        <w:pStyle w:val="BT-EMEASMCA"/>
        <w:rPr>
          <w:sz w:val="22"/>
          <w:szCs w:val="22"/>
        </w:rPr>
      </w:pPr>
      <w:r w:rsidRPr="00573735">
        <w:rPr>
          <w:sz w:val="22"/>
          <w:szCs w:val="22"/>
        </w:rPr>
        <w:t>diuretikai (šlapimą varantys vaistai);</w:t>
      </w:r>
    </w:p>
    <w:p w:rsidR="00D11660" w:rsidRPr="00573735" w:rsidRDefault="00D11660" w:rsidP="00CF59A4">
      <w:pPr>
        <w:pStyle w:val="BT-EMEASMCA"/>
        <w:rPr>
          <w:sz w:val="22"/>
          <w:szCs w:val="22"/>
        </w:rPr>
      </w:pPr>
      <w:r w:rsidRPr="00573735">
        <w:rPr>
          <w:sz w:val="22"/>
          <w:szCs w:val="22"/>
        </w:rPr>
        <w:t>digoksinas (vaistas širdies nepakankamumui ir nereguliariam širdies ritmui gydyti);</w:t>
      </w:r>
    </w:p>
    <w:p w:rsidR="00D11660" w:rsidRPr="00573735" w:rsidRDefault="00D11660" w:rsidP="00CF59A4">
      <w:pPr>
        <w:pStyle w:val="BT-EMEASMCA"/>
        <w:rPr>
          <w:sz w:val="22"/>
          <w:szCs w:val="22"/>
        </w:rPr>
      </w:pPr>
      <w:r w:rsidRPr="00573735">
        <w:rPr>
          <w:sz w:val="22"/>
          <w:szCs w:val="22"/>
        </w:rPr>
        <w:t>minoksidilis (vaistas padidėjusiam kraujospūdžiui gydyti);</w:t>
      </w:r>
    </w:p>
    <w:p w:rsidR="00D11660" w:rsidRPr="00573735" w:rsidRDefault="00D11660" w:rsidP="00CF59A4">
      <w:pPr>
        <w:pStyle w:val="BT-EMEASMCA"/>
        <w:rPr>
          <w:sz w:val="22"/>
          <w:szCs w:val="22"/>
        </w:rPr>
      </w:pPr>
      <w:r w:rsidRPr="00573735">
        <w:rPr>
          <w:sz w:val="22"/>
          <w:szCs w:val="22"/>
        </w:rPr>
        <w:t>salbutamolio tabletės arba geriamasis tirpalas (vaistas astmai gydyti);</w:t>
      </w:r>
    </w:p>
    <w:p w:rsidR="00D11660" w:rsidRPr="00573735" w:rsidRDefault="00D11660" w:rsidP="00CF59A4">
      <w:pPr>
        <w:pStyle w:val="BT-EMEASMCA"/>
        <w:rPr>
          <w:sz w:val="22"/>
          <w:szCs w:val="22"/>
        </w:rPr>
      </w:pPr>
      <w:r w:rsidRPr="00573735">
        <w:rPr>
          <w:sz w:val="22"/>
          <w:szCs w:val="22"/>
        </w:rPr>
        <w:t>apsaugai nuo nėštumo skirtos tabletės (toks derinys gali didinti šalutinio poveikio pavojų);</w:t>
      </w:r>
    </w:p>
    <w:p w:rsidR="00D11660" w:rsidRPr="00573735" w:rsidRDefault="00D11660" w:rsidP="00CF59A4">
      <w:pPr>
        <w:pStyle w:val="BT-EMEASMCA"/>
        <w:rPr>
          <w:sz w:val="22"/>
          <w:szCs w:val="22"/>
        </w:rPr>
      </w:pPr>
      <w:r w:rsidRPr="00573735">
        <w:rPr>
          <w:sz w:val="22"/>
          <w:szCs w:val="22"/>
        </w:rPr>
        <w:t>pakaitinė hormonų terapija (toks derinys gali didinti šalutinio poveikio pavojų);</w:t>
      </w:r>
    </w:p>
    <w:p w:rsidR="00D11660" w:rsidRPr="00573735" w:rsidRDefault="00D11660" w:rsidP="00CF59A4">
      <w:pPr>
        <w:pStyle w:val="BT-EMEASMCA"/>
        <w:rPr>
          <w:sz w:val="22"/>
          <w:szCs w:val="22"/>
        </w:rPr>
      </w:pPr>
      <w:r w:rsidRPr="00573735">
        <w:rPr>
          <w:sz w:val="22"/>
          <w:szCs w:val="22"/>
        </w:rPr>
        <w:t>aspirinas, nes Etidylan vartojant kartu su acetilsalicilo rūgštimi, padidėja skrandžio opų rizika;</w:t>
      </w:r>
    </w:p>
    <w:p w:rsidR="00D11660" w:rsidRPr="00573735" w:rsidRDefault="00D11660" w:rsidP="00CF59A4">
      <w:pPr>
        <w:pStyle w:val="BT-EMEASMCA"/>
        <w:rPr>
          <w:sz w:val="22"/>
          <w:szCs w:val="22"/>
        </w:rPr>
      </w:pPr>
      <w:r w:rsidRPr="00573735">
        <w:rPr>
          <w:sz w:val="22"/>
          <w:szCs w:val="22"/>
        </w:rPr>
        <w:t>aspirinas miokardo infarkto ar insulto profilaktikai:</w:t>
      </w:r>
    </w:p>
    <w:p w:rsidR="00D11660" w:rsidRPr="00D11660" w:rsidRDefault="00D11660" w:rsidP="00D11660">
      <w:pPr>
        <w:numPr>
          <w:ilvl w:val="0"/>
          <w:numId w:val="26"/>
        </w:numPr>
        <w:spacing w:after="0" w:line="240" w:lineRule="auto"/>
        <w:rPr>
          <w:rFonts w:ascii="Times New Roman" w:hAnsi="Times New Roman"/>
          <w:lang w:eastAsia="lt-LT"/>
        </w:rPr>
      </w:pPr>
      <w:r w:rsidRPr="00D11660">
        <w:rPr>
          <w:rFonts w:ascii="Times New Roman" w:hAnsi="Times New Roman"/>
          <w:lang w:eastAsia="lt-LT"/>
        </w:rPr>
        <w:t xml:space="preserve">Etidylan galima vartoti kartu su </w:t>
      </w:r>
      <w:r w:rsidRPr="00D11660">
        <w:rPr>
          <w:rFonts w:ascii="Times New Roman" w:hAnsi="Times New Roman"/>
          <w:b/>
        </w:rPr>
        <w:t>mažomis</w:t>
      </w:r>
      <w:r w:rsidRPr="00D11660">
        <w:rPr>
          <w:rFonts w:ascii="Times New Roman" w:hAnsi="Times New Roman"/>
          <w:lang w:eastAsia="lt-LT"/>
        </w:rPr>
        <w:t xml:space="preserve"> aspirino dozėmis. Jeigu vartojate mažas aspirino dozes miokardo infarkto ar insulto profilaktikai, nepasitarę su gydytoju, jo vartojimo nenutraukite;</w:t>
      </w:r>
    </w:p>
    <w:p w:rsidR="00D11660" w:rsidRPr="003B372E" w:rsidRDefault="00D11660" w:rsidP="00CF59A4">
      <w:pPr>
        <w:pStyle w:val="BT-EMEASMCA"/>
        <w:rPr>
          <w:sz w:val="22"/>
          <w:szCs w:val="22"/>
        </w:rPr>
      </w:pPr>
      <w:r w:rsidRPr="003B372E">
        <w:rPr>
          <w:sz w:val="22"/>
          <w:szCs w:val="22"/>
        </w:rPr>
        <w:t>aspirinas ir kiti NVNU:</w:t>
      </w:r>
    </w:p>
    <w:p w:rsidR="00D11660" w:rsidRPr="00D11660" w:rsidRDefault="00D11660" w:rsidP="00D11660">
      <w:pPr>
        <w:numPr>
          <w:ilvl w:val="0"/>
          <w:numId w:val="26"/>
        </w:numPr>
        <w:spacing w:after="0" w:line="240" w:lineRule="auto"/>
        <w:rPr>
          <w:rFonts w:ascii="Times New Roman" w:hAnsi="Times New Roman"/>
          <w:lang w:eastAsia="lt-LT"/>
        </w:rPr>
      </w:pPr>
      <w:r w:rsidRPr="00D11660">
        <w:rPr>
          <w:rFonts w:ascii="Times New Roman" w:hAnsi="Times New Roman"/>
          <w:lang w:eastAsia="lt-LT"/>
        </w:rPr>
        <w:t xml:space="preserve">gydydamiesi Etidylan, nevartokite </w:t>
      </w:r>
      <w:r w:rsidRPr="00D11660">
        <w:rPr>
          <w:rFonts w:ascii="Times New Roman" w:hAnsi="Times New Roman"/>
          <w:b/>
        </w:rPr>
        <w:t>didelių</w:t>
      </w:r>
      <w:r w:rsidRPr="00D11660">
        <w:rPr>
          <w:rFonts w:ascii="Times New Roman" w:hAnsi="Times New Roman"/>
          <w:lang w:eastAsia="lt-LT"/>
        </w:rPr>
        <w:t xml:space="preserve"> aspirino dozių arba kitų vaistų nuo uždegimo.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b/>
          <w:lang w:eastAsia="lt-LT"/>
        </w:rPr>
      </w:pPr>
      <w:r w:rsidRPr="00D11660">
        <w:rPr>
          <w:rFonts w:ascii="Times New Roman" w:eastAsia="Times New Roman" w:hAnsi="Times New Roman"/>
          <w:b/>
          <w:lang w:eastAsia="lt-LT"/>
        </w:rPr>
        <w:t>Etidylan vartojimas su maistu ir gėrimais</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Etidylan poveikio pradžia gali būti greitesnė, jeigu vaisto išgeriama nevalgius.</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Nėštumas, žindymo laikotarpis ir vaisingumas</w:t>
      </w:r>
    </w:p>
    <w:p w:rsidR="00D11660" w:rsidRPr="00D11660" w:rsidRDefault="00D11660" w:rsidP="00D11660">
      <w:pPr>
        <w:tabs>
          <w:tab w:val="left" w:pos="567"/>
        </w:tabs>
        <w:spacing w:after="0" w:line="240" w:lineRule="auto"/>
        <w:rPr>
          <w:rFonts w:ascii="Times New Roman" w:eastAsia="Times New Roman" w:hAnsi="Times New Roman"/>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rPr>
        <w:t>Nėštumas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Nėštumo metu Etidylan tablečių vartoti negalima. Jeigu esate nėščia arba manote, kad galbūt esate nėščia, arba planuojate pastoti, šių tablečių nevartokite. Jeigu pastojote, tablečių vartojimą nutraukite ir pasitarkite su gydytoju. Jeigu abejojate arba Jums reikia daugiau informacijos, pasitarkite su gydytoju.</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Žindymas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Nežinoma, ar Etidylan išsiskiria į žindyvės pieną. Jeigu esate žindyvė arba planuojate žindyti, prieš pradedant vartoti Etidylan, pasitarkite su gydytoju. Jeigu vartojate Etidylan, žindyti negalima.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Vaisingumas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Planuojančiai pastoti moteriai Etidylan vartoti nerekomenduojama.</w:t>
      </w:r>
    </w:p>
    <w:p w:rsidR="00D11660" w:rsidRPr="00D11660" w:rsidRDefault="00D11660" w:rsidP="00D11660">
      <w:pPr>
        <w:keepNext/>
        <w:keepLines/>
        <w:tabs>
          <w:tab w:val="left" w:pos="567"/>
        </w:tabs>
        <w:spacing w:after="0" w:line="240" w:lineRule="auto"/>
        <w:rPr>
          <w:rFonts w:ascii="Times New Roman" w:eastAsia="Times New Roman" w:hAnsi="Times New Roman"/>
          <w:b/>
          <w:i/>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Vairavimas ir mechanizmų valdymas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Gauta pranešimų, kad Etidylan vartojimo metu kai kuriems pacientams pasireiškė svaigulys ir mieguistumas.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Nevairuokite, jeigu Jums svaigsta galva arba esate apsnūdęs.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Nedirbkite su bet kokiais įrankiais arba mechanizmais, jeigu Jums svaigsta galva arba esate apsnūdęs.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 w:val="left" w:pos="3969"/>
        </w:tabs>
        <w:spacing w:after="0" w:line="240" w:lineRule="auto"/>
        <w:rPr>
          <w:rFonts w:ascii="Times New Roman" w:eastAsia="Times New Roman" w:hAnsi="Times New Roman"/>
          <w:lang w:eastAsia="lt-LT"/>
        </w:rPr>
      </w:pPr>
      <w:r w:rsidRPr="00D11660">
        <w:rPr>
          <w:rFonts w:ascii="Times New Roman" w:eastAsia="Times New Roman" w:hAnsi="Times New Roman"/>
          <w:b/>
        </w:rPr>
        <w:t>3.</w:t>
      </w:r>
      <w:r w:rsidRPr="00D11660">
        <w:rPr>
          <w:rFonts w:ascii="Times New Roman" w:eastAsia="Times New Roman" w:hAnsi="Times New Roman"/>
          <w:b/>
        </w:rPr>
        <w:tab/>
        <w:t xml:space="preserve">Kaip vartoti Etidylan </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Visada vartokite šį vaistą tiksliai kaip nurodė gydytojas. Jeigu abejojate, kreipkitės į gydytoją arba vaistininką.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Nevartokite didesnės negu rekomenduojama dozės Jūsų ligai gydyti. Gydytojas retkarčiais norės aptarti Jūsų gydymą. Svarbu, kad vartotumėte mažiausią dozę, kuri kontroliuoja Jūsų skausmą. Negalima vartoti Etidylan ilgiau nei būtina, kadangi po užsitęsusio gydymo, ypač didelėmis dozėmis, gali padidėti širdies priepuolio ir insulto rizika.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AE6BE2"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Šis vaistas yra tiekiamas įvairaus stiprumo, todėl gydytojas, atsižvelgdamas į Jūsų ligą, išrašys Jums tinkamo stiprumo tablečių.</w:t>
      </w:r>
    </w:p>
    <w:p w:rsidR="00AE6BE2" w:rsidRDefault="00AE6BE2" w:rsidP="00D11660">
      <w:pPr>
        <w:tabs>
          <w:tab w:val="left" w:pos="567"/>
        </w:tabs>
        <w:spacing w:after="0" w:line="240" w:lineRule="auto"/>
        <w:rPr>
          <w:rFonts w:ascii="Times New Roman" w:eastAsia="Times New Roman" w:hAnsi="Times New Roman"/>
          <w:lang w:eastAsia="lt-LT"/>
        </w:rPr>
      </w:pPr>
    </w:p>
    <w:p w:rsidR="00D11660" w:rsidRPr="00D11660" w:rsidRDefault="00AE6BE2" w:rsidP="00D1166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Etidylan tinka vartoti ne visoms žemiau nurodytoms dozėms. Kitokiam dozavimui Jums išrašys vartoti kito vaisto, kurio sudėtyje yra etorikoksibo.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u w:val="single"/>
          <w:lang w:eastAsia="lt-LT"/>
        </w:rPr>
        <w:t>Rekomenduojama dozė yra</w:t>
      </w:r>
      <w:r w:rsidRPr="00D11660">
        <w:rPr>
          <w:rFonts w:ascii="Times New Roman" w:eastAsia="Times New Roman" w:hAnsi="Times New Roman"/>
          <w:lang w:eastAsia="lt-LT"/>
        </w:rPr>
        <w:t>:</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Osteoartritas</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Rekomenduojama dozė yra 30 mg vieną kartą per parą, jeigu reikia, ją galima padidinti iki didžiausios 60 mg dozės vieną kartą per parą.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Reumatoidinis artritas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Rekomenduojama dozė yra 60 mg vieną kartą per parą, jeigu reikia, ją galima padidinti iki didžiausios 90 mg dozės vieną kartą per parą.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Ankilozinis spondilitas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Rekomenduojama dozė yra 60 mg vieną kartą per parą, jeigu reikia, ją galima padidinti iki didžiausios 90 mg dozės vieną kartą per parą.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Ūminio skausmingumo būklės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Etorikoksibo turi būti vartojama tik ūminio skausmingumo laikotarpiu.</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rPr>
          <w:rFonts w:ascii="Times New Roman" w:eastAsia="Times New Roman" w:hAnsi="Times New Roman"/>
          <w:i/>
          <w:lang w:eastAsia="lt-LT"/>
        </w:rPr>
      </w:pPr>
      <w:r w:rsidRPr="00D11660">
        <w:rPr>
          <w:rFonts w:ascii="Times New Roman" w:eastAsia="Times New Roman" w:hAnsi="Times New Roman"/>
          <w:i/>
          <w:lang w:eastAsia="lt-LT"/>
        </w:rPr>
        <w:t>Podagra</w:t>
      </w:r>
    </w:p>
    <w:p w:rsidR="00D11660" w:rsidRPr="00D11660" w:rsidRDefault="00D11660" w:rsidP="00D11660">
      <w:pPr>
        <w:tabs>
          <w:tab w:val="left" w:pos="567"/>
        </w:tabs>
        <w:spacing w:after="0" w:line="240" w:lineRule="auto"/>
        <w:ind w:left="567"/>
        <w:rPr>
          <w:rFonts w:ascii="Times New Roman" w:eastAsia="Times New Roman" w:hAnsi="Times New Roman"/>
          <w:lang w:eastAsia="lt-LT"/>
        </w:rPr>
      </w:pPr>
      <w:r w:rsidRPr="00D11660">
        <w:rPr>
          <w:rFonts w:ascii="Times New Roman" w:eastAsia="Times New Roman" w:hAnsi="Times New Roman"/>
          <w:lang w:eastAsia="lt-LT"/>
        </w:rPr>
        <w:t>Rekomenduojama dozė yra 120 mg vieną kartą per parą tik ūminio skausmingumo laikotarpiu, neviršijant maksimalios 8 parų gydymo trukmės.</w:t>
      </w:r>
    </w:p>
    <w:p w:rsidR="00D11660" w:rsidRPr="00D11660" w:rsidRDefault="00D11660" w:rsidP="00D11660">
      <w:pPr>
        <w:tabs>
          <w:tab w:val="left" w:pos="567"/>
        </w:tabs>
        <w:spacing w:after="0" w:line="240" w:lineRule="auto"/>
        <w:ind w:left="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rPr>
          <w:rFonts w:ascii="Times New Roman" w:eastAsia="Times New Roman" w:hAnsi="Times New Roman"/>
          <w:i/>
          <w:lang w:eastAsia="lt-LT"/>
        </w:rPr>
      </w:pPr>
      <w:r w:rsidRPr="00D11660">
        <w:rPr>
          <w:rFonts w:ascii="Times New Roman" w:eastAsia="Times New Roman" w:hAnsi="Times New Roman"/>
          <w:i/>
          <w:lang w:eastAsia="lt-LT"/>
        </w:rPr>
        <w:t>Skausmas po dantų operacijos</w:t>
      </w:r>
    </w:p>
    <w:p w:rsidR="00D11660" w:rsidRPr="00D11660" w:rsidRDefault="00D11660" w:rsidP="00D11660">
      <w:pPr>
        <w:tabs>
          <w:tab w:val="left" w:pos="567"/>
        </w:tabs>
        <w:spacing w:after="0" w:line="240" w:lineRule="auto"/>
        <w:ind w:left="567"/>
        <w:rPr>
          <w:rFonts w:ascii="Times New Roman" w:eastAsia="Times New Roman" w:hAnsi="Times New Roman"/>
          <w:lang w:eastAsia="lt-LT"/>
        </w:rPr>
      </w:pPr>
      <w:r w:rsidRPr="00D11660">
        <w:rPr>
          <w:rFonts w:ascii="Times New Roman" w:eastAsia="Times New Roman" w:hAnsi="Times New Roman"/>
          <w:lang w:eastAsia="lt-LT"/>
        </w:rPr>
        <w:t>Rekomenduojama dozė yra 90 mg vieną kartą per parą, neviršijant maksimalios 3 parų gydymo trukmės.</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Žmonės, kuriems yra kepenų funkcijos sutrikimų</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Jeigu sergate lengva kepenų liga, turite vartoti ne daugiau kaip 60 mg per parą.</w:t>
      </w:r>
    </w:p>
    <w:p w:rsidR="00D11660" w:rsidRPr="00D11660" w:rsidRDefault="00D11660" w:rsidP="00D11660">
      <w:pPr>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lang w:eastAsia="lt-LT"/>
        </w:rPr>
        <w:t xml:space="preserve">Jeigu sergate </w:t>
      </w:r>
      <w:r w:rsidRPr="00D11660">
        <w:rPr>
          <w:rFonts w:ascii="Times New Roman" w:eastAsia="Times New Roman" w:hAnsi="Times New Roman"/>
          <w:b/>
          <w:lang w:eastAsia="lt-LT"/>
        </w:rPr>
        <w:t>vidutinio sunkumo</w:t>
      </w:r>
      <w:r w:rsidRPr="00D11660">
        <w:rPr>
          <w:rFonts w:ascii="Times New Roman" w:eastAsia="Times New Roman" w:hAnsi="Times New Roman"/>
          <w:lang w:eastAsia="lt-LT"/>
        </w:rPr>
        <w:t xml:space="preserve"> kepenų liga, turite vartoti ne daugiau kaip </w:t>
      </w:r>
      <w:r w:rsidRPr="00D11660">
        <w:rPr>
          <w:rFonts w:ascii="Times New Roman" w:eastAsia="Times New Roman" w:hAnsi="Times New Roman"/>
          <w:b/>
          <w:lang w:eastAsia="lt-LT"/>
        </w:rPr>
        <w:t>30 mg per parą.</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Vartojimas vaikams ir paaugliams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negalima vartoti vaikams ir jaunesniems nei 16 metų paaugliams.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Senyviems pacientams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Senyviems pacientams dozės koreguoti nereikia. Senyviems pacientams reikia laikytis atsargumo.</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Vartojimo metodas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skirtas vartoti per burną. Tabletes vartokite kartą per parą. Etidylan galima vartoti valgio metu arba nevalgius.</w:t>
      </w: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Ką daryti pavartojus per didelę Etidylan dozę?</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Niekada nevartokite daugiau tablečių negu rekomenduoja Jūsų gydytojas. Jeigu išgėrėte per daug Etidylan tablečių, turite nedelsiant kreiptis medicinos pagalbos.</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Pamiršus pavartoti Etidylan </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svarbu vartoti taip, kaip paskirta gydytojo. Jeigu praleidote dozę, tiesiog toliau vartokite vaistą pagal įprastą tvarką kitą dieną. Negalima vartoti dvigubos dozės norint kompensuoti praleistą tabletę.</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Jeigu kiltų daugiau klausimų dėl šio vaisto vartojimo, kreipkitės į gydytoją arba vaistininką.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caps/>
          <w:lang w:eastAsia="lt-LT"/>
        </w:rPr>
      </w:pPr>
      <w:r w:rsidRPr="00D11660">
        <w:rPr>
          <w:rFonts w:ascii="Times New Roman" w:eastAsia="Times New Roman" w:hAnsi="Times New Roman"/>
          <w:b/>
        </w:rPr>
        <w:t>4.</w:t>
      </w:r>
      <w:r w:rsidRPr="00D11660">
        <w:rPr>
          <w:rFonts w:ascii="Times New Roman" w:eastAsia="Times New Roman" w:hAnsi="Times New Roman"/>
          <w:b/>
        </w:rPr>
        <w:tab/>
        <w:t>Galimas šalutinis poveikis</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Šis vaistas, kaip ir visi kiti, gali sukelti šalutinį poveikį, nors jis pasireiškia ne visiems žmonėms.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b/>
          <w:lang w:eastAsia="lt-LT"/>
        </w:rPr>
        <w:t xml:space="preserve">Jeigu Jums pasireiškia bet kuris iš toliau išvardytų požymių, nutraukite Etidylan vartojimą ir nedelsiant kreipkitės į gydytoją </w:t>
      </w:r>
      <w:r w:rsidRPr="00D11660">
        <w:rPr>
          <w:rFonts w:ascii="Times New Roman" w:eastAsia="Times New Roman" w:hAnsi="Times New Roman"/>
          <w:lang w:eastAsia="lt-LT"/>
        </w:rPr>
        <w:t>(žr. 2 skyrių „Kas žinotina prieš vartojant Etidylan“)</w:t>
      </w:r>
      <w:r w:rsidRPr="00D11660">
        <w:rPr>
          <w:rFonts w:ascii="Times New Roman" w:eastAsia="Times New Roman" w:hAnsi="Times New Roman"/>
          <w:b/>
          <w:lang w:eastAsia="lt-LT"/>
        </w:rPr>
        <w:t>:</w:t>
      </w:r>
    </w:p>
    <w:p w:rsidR="00D11660" w:rsidRPr="00D11660" w:rsidRDefault="00D11660" w:rsidP="00D11660">
      <w:pPr>
        <w:numPr>
          <w:ilvl w:val="0"/>
          <w:numId w:val="19"/>
        </w:numPr>
        <w:tabs>
          <w:tab w:val="left" w:pos="567"/>
        </w:tabs>
        <w:spacing w:after="0" w:line="240" w:lineRule="auto"/>
        <w:ind w:hanging="1004"/>
        <w:jc w:val="both"/>
        <w:rPr>
          <w:rFonts w:ascii="Times New Roman" w:eastAsia="Times New Roman" w:hAnsi="Times New Roman"/>
          <w:lang w:eastAsia="lt-LT"/>
        </w:rPr>
      </w:pPr>
      <w:r w:rsidRPr="00D11660">
        <w:rPr>
          <w:rFonts w:ascii="Times New Roman" w:eastAsia="Times New Roman" w:hAnsi="Times New Roman"/>
          <w:lang w:eastAsia="lt-LT"/>
        </w:rPr>
        <w:t>pasireiškia arba pablogėja dusulys, krūtinės skausmas arba kulkšnių tinimas;</w:t>
      </w:r>
    </w:p>
    <w:p w:rsidR="00D11660" w:rsidRPr="00D11660" w:rsidRDefault="00D11660" w:rsidP="00D11660">
      <w:pPr>
        <w:numPr>
          <w:ilvl w:val="0"/>
          <w:numId w:val="19"/>
        </w:numPr>
        <w:tabs>
          <w:tab w:val="left" w:pos="567"/>
        </w:tabs>
        <w:spacing w:after="0" w:line="240" w:lineRule="auto"/>
        <w:ind w:hanging="1004"/>
        <w:jc w:val="both"/>
        <w:rPr>
          <w:rFonts w:ascii="Times New Roman" w:eastAsia="Times New Roman" w:hAnsi="Times New Roman"/>
          <w:lang w:eastAsia="lt-LT"/>
        </w:rPr>
      </w:pPr>
      <w:r w:rsidRPr="00D11660">
        <w:rPr>
          <w:rFonts w:ascii="Times New Roman" w:eastAsia="Times New Roman" w:hAnsi="Times New Roman"/>
          <w:lang w:eastAsia="lt-LT"/>
        </w:rPr>
        <w:t>pagelsta oda ir akys (gelta) – tai sutrikusios kepenų veiklos požymiai;</w:t>
      </w:r>
    </w:p>
    <w:p w:rsidR="00D11660" w:rsidRPr="00D11660" w:rsidRDefault="00D11660" w:rsidP="00D11660">
      <w:pPr>
        <w:numPr>
          <w:ilvl w:val="0"/>
          <w:numId w:val="19"/>
        </w:numPr>
        <w:tabs>
          <w:tab w:val="left" w:pos="567"/>
        </w:tabs>
        <w:spacing w:after="0" w:line="240" w:lineRule="auto"/>
        <w:ind w:hanging="1004"/>
        <w:jc w:val="both"/>
        <w:rPr>
          <w:rFonts w:ascii="Times New Roman" w:eastAsia="Times New Roman" w:hAnsi="Times New Roman"/>
          <w:lang w:eastAsia="lt-LT"/>
        </w:rPr>
      </w:pPr>
      <w:r w:rsidRPr="00D11660">
        <w:rPr>
          <w:rFonts w:ascii="Times New Roman" w:eastAsia="Times New Roman" w:hAnsi="Times New Roman"/>
          <w:lang w:eastAsia="lt-LT"/>
        </w:rPr>
        <w:t>pasireiškia stiprus arba nuolatinis skrandžio skausmas arba išmatos tampa juodos;</w:t>
      </w:r>
    </w:p>
    <w:p w:rsidR="00D11660" w:rsidRPr="00D11660" w:rsidRDefault="00D11660" w:rsidP="00D11660">
      <w:pPr>
        <w:numPr>
          <w:ilvl w:val="0"/>
          <w:numId w:val="19"/>
        </w:numPr>
        <w:tabs>
          <w:tab w:val="left" w:pos="567"/>
        </w:tabs>
        <w:spacing w:after="0" w:line="240" w:lineRule="auto"/>
        <w:ind w:left="567" w:hanging="566"/>
        <w:jc w:val="both"/>
        <w:rPr>
          <w:rFonts w:ascii="Times New Roman" w:eastAsia="Times New Roman" w:hAnsi="Times New Roman"/>
          <w:lang w:eastAsia="lt-LT"/>
        </w:rPr>
      </w:pPr>
      <w:r w:rsidRPr="00D11660">
        <w:rPr>
          <w:rFonts w:ascii="Times New Roman" w:eastAsia="Times New Roman" w:hAnsi="Times New Roman"/>
          <w:lang w:eastAsia="lt-LT"/>
        </w:rPr>
        <w:t>pasireiškia alerginė reakcija, kuri gali apimti tokius sutrikimus, kaip odos opos arba pūslės, arba veido, lūpų, liežuvio ar gerklų patinimas, dėl kurio gali pasunkėti kvėpavimas.</w:t>
      </w:r>
    </w:p>
    <w:p w:rsidR="00D11660" w:rsidRPr="00D11660" w:rsidRDefault="00D11660" w:rsidP="00D11660">
      <w:pPr>
        <w:tabs>
          <w:tab w:val="left" w:pos="567"/>
        </w:tabs>
        <w:spacing w:after="0" w:line="240" w:lineRule="auto"/>
        <w:ind w:hanging="1004"/>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Galimi šalutinio poveikio požymiai pagal dažnį klasifikuojami tokiu būdu:</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labai dažnas (</w:t>
      </w:r>
      <w:r w:rsidRPr="00D11660">
        <w:rPr>
          <w:rFonts w:ascii="Times New Roman" w:eastAsia="Times New Roman" w:hAnsi="Times New Roman"/>
          <w:lang w:eastAsia="lt-LT"/>
        </w:rPr>
        <w:t>gali pasireikšti daugiau kaip 1 iš 10 žmonių</w:t>
      </w:r>
      <w:r w:rsidRPr="00D11660">
        <w:rPr>
          <w:rFonts w:ascii="Times New Roman" w:eastAsia="Times New Roman" w:hAnsi="Times New Roman"/>
        </w:rPr>
        <w:t>);</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dažnas (</w:t>
      </w:r>
      <w:r w:rsidRPr="00D11660">
        <w:rPr>
          <w:rFonts w:ascii="Times New Roman" w:eastAsia="Times New Roman" w:hAnsi="Times New Roman"/>
          <w:lang w:eastAsia="lt-LT"/>
        </w:rPr>
        <w:t>gali pasireikšti mažiau kaip 1 iš 10 žmonių</w:t>
      </w:r>
      <w:r w:rsidRPr="00D11660">
        <w:rPr>
          <w:rFonts w:ascii="Times New Roman" w:eastAsia="Times New Roman" w:hAnsi="Times New Roman"/>
        </w:rPr>
        <w:t>);</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nedažnas (</w:t>
      </w:r>
      <w:r w:rsidRPr="00D11660">
        <w:rPr>
          <w:rFonts w:ascii="Times New Roman" w:eastAsia="Times New Roman" w:hAnsi="Times New Roman"/>
          <w:lang w:eastAsia="lt-LT"/>
        </w:rPr>
        <w:t>gali pasireikšti mažiau kaip 1 iš 100 žmonių</w:t>
      </w:r>
      <w:r w:rsidRPr="00D11660">
        <w:rPr>
          <w:rFonts w:ascii="Times New Roman" w:eastAsia="Times New Roman" w:hAnsi="Times New Roman"/>
        </w:rPr>
        <w:t>);</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retas (</w:t>
      </w:r>
      <w:r w:rsidRPr="00D11660">
        <w:rPr>
          <w:rFonts w:ascii="Times New Roman" w:eastAsia="Times New Roman" w:hAnsi="Times New Roman"/>
          <w:lang w:eastAsia="lt-LT"/>
        </w:rPr>
        <w:t>gali pasireikšti mažiau kaip 1 iš 1000 žmonių</w:t>
      </w:r>
      <w:r w:rsidRPr="00D11660">
        <w:rPr>
          <w:rFonts w:ascii="Times New Roman" w:eastAsia="Times New Roman" w:hAnsi="Times New Roman"/>
        </w:rPr>
        <w:t xml:space="preserve">); </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labai retas (gali pasireikšti mažiau kaip 1 iš 10000 žmonių).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Toliau pateikti nepageidaujamo </w:t>
      </w:r>
      <w:r w:rsidRPr="00D11660">
        <w:rPr>
          <w:rFonts w:ascii="Times New Roman" w:eastAsia="Times New Roman" w:hAnsi="Times New Roman"/>
        </w:rPr>
        <w:t xml:space="preserve">poveikio </w:t>
      </w:r>
      <w:r w:rsidRPr="00D11660">
        <w:rPr>
          <w:rFonts w:ascii="Times New Roman" w:eastAsia="Times New Roman" w:hAnsi="Times New Roman"/>
          <w:lang w:eastAsia="lt-LT"/>
        </w:rPr>
        <w:t>požymiai</w:t>
      </w:r>
      <w:r w:rsidR="00121FDD">
        <w:rPr>
          <w:rFonts w:ascii="Times New Roman" w:eastAsia="Times New Roman" w:hAnsi="Times New Roman"/>
          <w:lang w:eastAsia="lt-LT"/>
        </w:rPr>
        <w:t>,</w:t>
      </w:r>
      <w:r w:rsidRPr="00D11660">
        <w:rPr>
          <w:rFonts w:ascii="Times New Roman" w:eastAsia="Times New Roman" w:hAnsi="Times New Roman"/>
          <w:lang w:eastAsia="lt-LT"/>
        </w:rPr>
        <w:t xml:space="preserve"> pasireiškiantys gydant Etidylan:</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b/>
          <w:i/>
          <w:lang w:eastAsia="lt-LT"/>
        </w:rPr>
        <w:t>Labai dažnas</w:t>
      </w:r>
      <w:r w:rsidRPr="00D11660">
        <w:rPr>
          <w:rFonts w:ascii="Times New Roman" w:eastAsia="Times New Roman" w:hAnsi="Times New Roman"/>
          <w:i/>
          <w:lang w:eastAsia="lt-LT"/>
        </w:rPr>
        <w:t>:</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skrandžio srities skausmas.</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b/>
          <w:i/>
          <w:lang w:eastAsia="lt-LT"/>
        </w:rPr>
        <w:t>Dažnas</w:t>
      </w:r>
      <w:r w:rsidRPr="00D11660">
        <w:rPr>
          <w:rFonts w:ascii="Times New Roman" w:eastAsia="Times New Roman" w:hAnsi="Times New Roman"/>
          <w:i/>
          <w:lang w:eastAsia="lt-LT"/>
        </w:rPr>
        <w:t>:</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sausa įduba (uždegimas ir skausmas po danties ištraukimo);</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kojų ir (arba) pėdų patinimas dėl susilaikiusio skysčio (edema);</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svaigulys, galvos skausmas;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palpitacijos (greitas arba nereguliarus širdies plakimas), nereguliarus širdies ritmas (aritmija);</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padidėjęs kraujo spaudimas;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švokštimas arba dusulys (bronchų spazmas);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vidurių užkietėjimas, gausus dujų išėjimas, gastritas (skrandžio gleivinės uždegimas), rėmuo, viduriavimas, nevirškinimas (dispepsija) arba skrandžio diskomfortas, pykinimas, vėmimas, stemplės uždegimas, burnos opos;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kepenų veiklą rodančių kraujo tyrimų pokyčiai;</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kraujosruvos;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silpnumas ir nuovargis, į gripą panašus negalavimas.</w:t>
      </w:r>
    </w:p>
    <w:p w:rsidR="00D11660" w:rsidRPr="00D11660" w:rsidRDefault="00D11660" w:rsidP="00D11660">
      <w:pPr>
        <w:keepNext/>
        <w:keepLines/>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b/>
          <w:i/>
          <w:lang w:eastAsia="lt-LT"/>
        </w:rPr>
        <w:t>Nedažnas</w:t>
      </w:r>
      <w:r w:rsidRPr="00D11660">
        <w:rPr>
          <w:rFonts w:ascii="Times New Roman" w:eastAsia="Times New Roman" w:hAnsi="Times New Roman"/>
          <w:i/>
          <w:lang w:eastAsia="lt-LT"/>
        </w:rPr>
        <w:t>:</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gastroenteritas (virškinimo trakto gleivinės uždegimas, apimantis ir skrandį, ir plonąjį žarnyną (skrandžio gripas)), viršutinių kvėpavimo takų infekcija, šlapimo takų infekcija;</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laboratorinių tyrimų rodmenų pokyčiai (sumažėjęs raudonųjų kraujo kūnelių skaičius, sumažėjęs baltųjų kraujo kūnelių skaičius, sumažėjęs trombocitų skaičius);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padidėjęs jautrumas (alerginė reakcija, įskaitant dilgėlinę, kuri gali būti tiek sunki, kad ją reikėtų nedelsiant gydyti);</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apetito padidėjimas arba sumažėjimas, kūno svorio padidėjimas;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nerimas, depresija, sumažėjęs mąstymo aiškumas, nesančių dalykų matymas, jautimas arba girdėjimas (haliucinacijos);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skonio pokytis, negalėjimas užmigti, nutirpimas arba dilgsėjimas, mieguistumas;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neryškus matymas, akių sudirginimas ir paraudimas;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skambėjimas ausyse, svaigimas (</w:t>
      </w:r>
      <w:r w:rsidRPr="00D11660">
        <w:rPr>
          <w:rFonts w:ascii="Times New Roman" w:eastAsia="Times New Roman" w:hAnsi="Times New Roman"/>
          <w:i/>
          <w:lang w:eastAsia="lt-LT"/>
        </w:rPr>
        <w:t>vertigo</w:t>
      </w:r>
      <w:r w:rsidR="00FE50D3">
        <w:rPr>
          <w:rFonts w:ascii="Times New Roman" w:eastAsia="Times New Roman" w:hAnsi="Times New Roman"/>
          <w:i/>
          <w:lang w:eastAsia="lt-LT"/>
        </w:rPr>
        <w:t xml:space="preserve"> </w:t>
      </w:r>
      <w:r w:rsidRPr="00D11660">
        <w:rPr>
          <w:rFonts w:ascii="Times New Roman" w:eastAsia="Times New Roman" w:hAnsi="Times New Roman"/>
          <w:lang w:eastAsia="lt-LT"/>
        </w:rPr>
        <w:t>sukimosi jausmas ramybės būsenoje);</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nenormalus širdies ritmas (prieširdžių virpėjimas), dažnas širdies plakimas, širdies nepakankamumas, veržimo, spaudimo arba sunkumo jausmas krūtinėje (krūtinės angina), širdies priepuolis;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karščio pylimas, insultas, praeinantis smegenų išemijos priepuolis, labai padidėjęs kraujo spaudimas, kraujagyslių uždegimas;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kosulys, dusulys, kraujavimas iš nosies;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skrandžio arba žarnų pūtimas, tuštinimosi įpročių pokyčiai, burnos sausmė, skrandžio opa, skrandžio gleivinės uždegimas, kuris gali būti stiprus ir sukelti kraujavimą, dirgliosios žarnos sindromas, kasos uždegimas;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veido patinimas, odos išbėrimas arba niežėjimas, odos paraudimas;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raumenų mėšlungis arba spazmai, raumenų skausmas arba sustingimas;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kalio kiekio kraujyje padidėjimas, kraujo ir šlapimo tyrimų pokyčiai, susiję su inkstų veikla, sunkūs inkstų veiklos sutrikimai;</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krūtinės skausmas.</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b/>
          <w:i/>
          <w:lang w:eastAsia="lt-LT"/>
        </w:rPr>
        <w:t>Retas</w:t>
      </w:r>
      <w:r w:rsidRPr="00D11660">
        <w:rPr>
          <w:rFonts w:ascii="Times New Roman" w:eastAsia="Times New Roman" w:hAnsi="Times New Roman"/>
          <w:i/>
          <w:lang w:eastAsia="lt-LT"/>
        </w:rPr>
        <w:t>:</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angioneurozinė edema (alerginė reakcija, įskaitant veido, lūpų, liežuvio ir (arba) gerklės patinimą, dėl kurio gali pasunkėti kvėpavimas arba rijimas, kurie gali būti tiek sunkūs, kad gali prireikti skubios medicininės pagalbos), anafilaksinės arba anafilaktoidinės reakcijos, įskaitant šoką (sunki alerginė reakcija, dėl kurios gali prireikti skubios medicininės pagalbos);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sumišimas, neramumas;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kepenų funkcijos sutrikimai (hepatitas);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sumažėjęs natrio kiekis kraujyje;</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kepenų nepakankamumas, odos ir (arba) akių pageltimas (gelta);</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b/>
          <w:snapToGrid w:val="0"/>
        </w:rPr>
      </w:pPr>
      <w:r w:rsidRPr="00D11660">
        <w:rPr>
          <w:rFonts w:ascii="Times New Roman" w:eastAsia="Times New Roman" w:hAnsi="Times New Roman"/>
          <w:lang w:eastAsia="lt-LT"/>
        </w:rPr>
        <w:t>sunkios odos reakcijos.</w:t>
      </w:r>
    </w:p>
    <w:p w:rsidR="00D11660" w:rsidRPr="00D11660" w:rsidRDefault="00D11660" w:rsidP="00D11660">
      <w:pPr>
        <w:tabs>
          <w:tab w:val="left" w:pos="567"/>
        </w:tabs>
        <w:spacing w:after="0" w:line="240" w:lineRule="auto"/>
        <w:ind w:left="567"/>
        <w:rPr>
          <w:rFonts w:ascii="Times New Roman" w:eastAsia="Times New Roman" w:hAnsi="Times New Roman"/>
          <w:b/>
          <w:snapToGrid w:val="0"/>
        </w:rPr>
      </w:pPr>
    </w:p>
    <w:p w:rsidR="00D11660" w:rsidRPr="00D11660" w:rsidRDefault="00D11660" w:rsidP="00D11660">
      <w:pPr>
        <w:tabs>
          <w:tab w:val="left" w:pos="567"/>
        </w:tabs>
        <w:spacing w:after="0" w:line="240" w:lineRule="auto"/>
        <w:rPr>
          <w:rFonts w:ascii="Times New Roman" w:eastAsia="Times New Roman" w:hAnsi="Times New Roman"/>
          <w:b/>
          <w:snapToGrid w:val="0"/>
        </w:rPr>
      </w:pPr>
      <w:r w:rsidRPr="00D11660">
        <w:rPr>
          <w:rFonts w:ascii="Times New Roman" w:eastAsia="Times New Roman" w:hAnsi="Times New Roman"/>
          <w:b/>
          <w:snapToGrid w:val="0"/>
        </w:rPr>
        <w:t>Pranešimas apie šalutinį poveikį</w:t>
      </w:r>
    </w:p>
    <w:p w:rsidR="00D11660" w:rsidRPr="00D11660" w:rsidRDefault="00D11660" w:rsidP="00D11660">
      <w:pPr>
        <w:keepNext/>
        <w:keepLines/>
        <w:tabs>
          <w:tab w:val="left" w:pos="567"/>
        </w:tabs>
        <w:spacing w:after="0" w:line="240" w:lineRule="auto"/>
        <w:ind w:right="-449"/>
        <w:rPr>
          <w:rFonts w:ascii="Times New Roman" w:eastAsia="Times New Roman" w:hAnsi="Times New Roman"/>
        </w:rPr>
      </w:pPr>
      <w:r w:rsidRPr="00D11660">
        <w:rPr>
          <w:rFonts w:ascii="Times New Roman" w:eastAsia="Times New Roman" w:hAnsi="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CF59A4">
        <w:rPr>
          <w:rFonts w:ascii="Times New Roman" w:eastAsia="Times New Roman" w:hAnsi="Times New Roman"/>
        </w:rPr>
        <w:t>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w:t>
      </w:r>
      <w:r w:rsidRPr="00D11660">
        <w:rPr>
          <w:rFonts w:ascii="Times New Roman" w:eastAsia="Times New Roman" w:hAnsi="Times New Roman"/>
        </w:rPr>
        <w:t xml:space="preserve"> daugiau informacijos apie šio vaisto saugumą.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b/>
          <w:noProof/>
          <w:lang w:eastAsia="lt-LT"/>
        </w:rPr>
      </w:pPr>
      <w:r w:rsidRPr="00D11660">
        <w:rPr>
          <w:rFonts w:ascii="Times New Roman" w:eastAsia="Times New Roman" w:hAnsi="Times New Roman"/>
          <w:b/>
          <w:noProof/>
          <w:lang w:eastAsia="lt-LT"/>
        </w:rPr>
        <w:t>5.</w:t>
      </w:r>
      <w:r w:rsidRPr="00D11660">
        <w:rPr>
          <w:rFonts w:ascii="Times New Roman" w:eastAsia="Times New Roman" w:hAnsi="Times New Roman"/>
          <w:b/>
          <w:noProof/>
          <w:lang w:eastAsia="lt-LT"/>
        </w:rPr>
        <w:tab/>
        <w:t xml:space="preserve">Kaip laikyti Etidylan </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r w:rsidRPr="00D11660">
        <w:rPr>
          <w:rFonts w:ascii="Times New Roman" w:eastAsia="Times New Roman" w:hAnsi="Times New Roman"/>
          <w:noProof/>
          <w:lang w:eastAsia="lt-LT"/>
        </w:rPr>
        <w:t>Šį vaistą laikykite vaikams nepastebimoje ir nepasiekiamoje vietoje.</w:t>
      </w:r>
    </w:p>
    <w:p w:rsidR="00D11660" w:rsidRPr="00D11660" w:rsidRDefault="00D11660" w:rsidP="00D11660">
      <w:pPr>
        <w:tabs>
          <w:tab w:val="left" w:pos="567"/>
        </w:tabs>
        <w:spacing w:after="0" w:line="240" w:lineRule="auto"/>
        <w:rPr>
          <w:rFonts w:ascii="Times New Roman" w:eastAsia="Times New Roman" w:hAnsi="Times New Roman"/>
          <w:iCs/>
          <w:noProof/>
          <w:lang w:eastAsia="lt-LT"/>
        </w:rPr>
      </w:pPr>
    </w:p>
    <w:p w:rsidR="00D11660" w:rsidRPr="00D11660" w:rsidRDefault="00D11660" w:rsidP="00D11660">
      <w:pPr>
        <w:tabs>
          <w:tab w:val="left" w:pos="567"/>
        </w:tabs>
        <w:spacing w:after="0" w:line="240" w:lineRule="auto"/>
        <w:rPr>
          <w:rFonts w:ascii="Times New Roman" w:eastAsia="Times New Roman" w:hAnsi="Times New Roman"/>
          <w:iCs/>
          <w:noProof/>
          <w:lang w:eastAsia="lt-LT"/>
        </w:rPr>
      </w:pPr>
      <w:r w:rsidRPr="00D11660">
        <w:rPr>
          <w:rFonts w:ascii="Times New Roman" w:eastAsia="Times New Roman" w:hAnsi="Times New Roman"/>
          <w:iCs/>
          <w:noProof/>
          <w:lang w:eastAsia="lt-LT"/>
        </w:rPr>
        <w:t>Ant pakuotės po „EXP“ nurodytam tinkamumo laikui pasibaigus, šio vaisto vartoti negalima. Vaistas tinkamas vartoti iki paskutinės nurodyto mėnesio dienos.</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r w:rsidRPr="00D11660">
        <w:rPr>
          <w:rFonts w:ascii="Times New Roman" w:eastAsia="Times New Roman" w:hAnsi="Times New Roman"/>
          <w:snapToGrid w:val="0"/>
          <w:szCs w:val="20"/>
        </w:rPr>
        <w:t>Šio vaisto laikymui specialių temperatūros sąlygų nereikalaujama</w:t>
      </w:r>
      <w:r w:rsidRPr="00D11660">
        <w:rPr>
          <w:rFonts w:ascii="Times New Roman" w:eastAsia="Times New Roman" w:hAnsi="Times New Roman"/>
          <w:noProof/>
          <w:lang w:eastAsia="lt-LT"/>
        </w:rPr>
        <w:t>.</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Laikyti gamintojo pakuotėje, kad vaistas būtų apsaugotas nuo drėgmės.</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r w:rsidRPr="00D11660">
        <w:rPr>
          <w:rFonts w:ascii="Times New Roman" w:eastAsia="Times New Roman" w:hAnsi="Times New Roman"/>
          <w:noProof/>
          <w:lang w:eastAsia="lt-LT"/>
        </w:rPr>
        <w:t>Vaistų negalima išmesti į kanalizaciją arba su buitinėmis atliekomis. Kaip išmesti nereikalingus vaistus, klauskite vaistininko. Šios priemonės padės apsaugoti aplinką.</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caps/>
          <w:noProof/>
          <w:lang w:eastAsia="lt-LT"/>
        </w:rPr>
      </w:pPr>
      <w:r w:rsidRPr="00D11660">
        <w:rPr>
          <w:rFonts w:ascii="Times New Roman" w:eastAsia="Times New Roman" w:hAnsi="Times New Roman"/>
          <w:b/>
        </w:rPr>
        <w:t>6.</w:t>
      </w:r>
      <w:r w:rsidRPr="00D11660">
        <w:rPr>
          <w:rFonts w:ascii="Times New Roman" w:eastAsia="Times New Roman" w:hAnsi="Times New Roman"/>
          <w:b/>
        </w:rPr>
        <w:tab/>
      </w:r>
      <w:r w:rsidRPr="00D11660">
        <w:rPr>
          <w:rFonts w:ascii="Times New Roman" w:eastAsia="Times New Roman" w:hAnsi="Times New Roman"/>
          <w:b/>
          <w:noProof/>
          <w:lang w:eastAsia="lt-LT"/>
        </w:rPr>
        <w:t>Pakuotės turinys ir kita informacija</w:t>
      </w:r>
    </w:p>
    <w:p w:rsidR="00D11660" w:rsidRPr="00D11660" w:rsidRDefault="00D11660" w:rsidP="00D11660">
      <w:pPr>
        <w:keepNext/>
        <w:keepLines/>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Etidylan sudėtis</w:t>
      </w:r>
    </w:p>
    <w:p w:rsidR="00D11660" w:rsidRPr="00D11660" w:rsidRDefault="00D11660" w:rsidP="00D11660">
      <w:pPr>
        <w:tabs>
          <w:tab w:val="left" w:pos="567"/>
        </w:tabs>
        <w:spacing w:after="0" w:line="240" w:lineRule="auto"/>
        <w:jc w:val="both"/>
        <w:rPr>
          <w:rFonts w:ascii="Times New Roman" w:eastAsia="Times New Roman" w:hAnsi="Times New Roman"/>
          <w:i/>
          <w:u w:val="single"/>
          <w:lang w:eastAsia="lt-LT"/>
        </w:rPr>
      </w:pPr>
      <w:r w:rsidRPr="00D11660">
        <w:rPr>
          <w:rFonts w:ascii="Times New Roman" w:eastAsia="Times New Roman" w:hAnsi="Times New Roman"/>
          <w:i/>
          <w:u w:val="single"/>
          <w:lang w:eastAsia="lt-LT"/>
        </w:rPr>
        <w:t>Etidylan 60 mg plėvele dengtos tabletės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Veiklioji medžiaga yra etorikoksibas. Kiekvienoje plėvele dengtoje tabletėje yra 60 mg etorikoksibo.</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5D230C" w:rsidRDefault="00D11660" w:rsidP="00D11660">
      <w:pPr>
        <w:tabs>
          <w:tab w:val="left" w:pos="567"/>
        </w:tabs>
        <w:spacing w:after="0" w:line="240" w:lineRule="auto"/>
        <w:jc w:val="both"/>
        <w:rPr>
          <w:rFonts w:ascii="Times New Roman" w:eastAsia="Times New Roman" w:hAnsi="Times New Roman"/>
          <w:i/>
          <w:highlight w:val="lightGray"/>
          <w:u w:val="single"/>
          <w:lang w:eastAsia="lt-LT"/>
        </w:rPr>
      </w:pPr>
      <w:r w:rsidRPr="005D230C">
        <w:rPr>
          <w:rFonts w:ascii="Times New Roman" w:eastAsia="Times New Roman" w:hAnsi="Times New Roman"/>
          <w:i/>
          <w:highlight w:val="lightGray"/>
          <w:u w:val="single"/>
          <w:lang w:eastAsia="lt-LT"/>
        </w:rPr>
        <w:t>Etidylan 90 mg plėvele dengtos tabletės</w:t>
      </w:r>
    </w:p>
    <w:p w:rsidR="00D11660" w:rsidRPr="005D230C" w:rsidRDefault="00D11660" w:rsidP="00D11660">
      <w:pPr>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Veiklioji medžiaga yra etorikoksibas. Kiekvienoje plėvele dengtoje tabletėje yra 90 mg etorikoksibo.</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i/>
          <w:u w:val="single"/>
          <w:lang w:eastAsia="lt-LT"/>
        </w:rPr>
      </w:pPr>
      <w:r w:rsidRPr="005D230C">
        <w:rPr>
          <w:rFonts w:ascii="Times New Roman" w:eastAsia="Times New Roman" w:hAnsi="Times New Roman"/>
          <w:i/>
          <w:highlight w:val="lightGray"/>
          <w:u w:val="single"/>
          <w:lang w:eastAsia="lt-LT"/>
        </w:rPr>
        <w:t>Etidylan 120 mg plėvele dengtos tabletės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5D230C">
        <w:rPr>
          <w:rFonts w:ascii="Times New Roman" w:eastAsia="Times New Roman" w:hAnsi="Times New Roman"/>
          <w:highlight w:val="lightGray"/>
          <w:lang w:eastAsia="lt-LT"/>
        </w:rPr>
        <w:t>Veiklioji medžiaga yra etorikoksibas. Kiekvienoje plėvele dengtoje tabletėje yra 120 mg etorikoksibo.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Pagalbinės medžiagos: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Tablečių branduolys: mikrokristalinė celiuliozė (E460),  kalcio-vandenilio fosfatas, kroskarmeliozės natrio druska, magnio stearatas (E470b).</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Tablečių plėvelė:</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i/>
          <w:highlight w:val="lightGray"/>
          <w:u w:val="single"/>
          <w:lang w:eastAsia="lt-LT"/>
        </w:rPr>
        <w:t>60 mg, 120 mg tabletės</w:t>
      </w:r>
      <w:r w:rsidRPr="005D230C">
        <w:rPr>
          <w:rFonts w:ascii="Times New Roman" w:eastAsia="Times New Roman" w:hAnsi="Times New Roman"/>
          <w:i/>
          <w:highlight w:val="lightGray"/>
          <w:lang w:eastAsia="lt-LT"/>
        </w:rPr>
        <w:t xml:space="preserve">: </w:t>
      </w:r>
      <w:r w:rsidRPr="005D230C">
        <w:rPr>
          <w:rFonts w:ascii="Times New Roman" w:eastAsia="Times New Roman" w:hAnsi="Times New Roman"/>
          <w:highlight w:val="lightGray"/>
          <w:lang w:eastAsia="lt-LT"/>
        </w:rPr>
        <w:t xml:space="preserve">polivinilo alkoholis (E1203), titano dioksidas (E171), glicerolio monostearatas (E471), indigokarmino </w:t>
      </w:r>
      <w:r w:rsidRPr="005D230C">
        <w:rPr>
          <w:rFonts w:ascii="Times New Roman" w:hAnsi="Times New Roman"/>
          <w:highlight w:val="lightGray"/>
        </w:rPr>
        <w:t>aliuminio dažalas (E132), g</w:t>
      </w:r>
      <w:r w:rsidRPr="005D230C">
        <w:rPr>
          <w:rFonts w:ascii="Times New Roman" w:eastAsia="Times New Roman" w:hAnsi="Times New Roman"/>
          <w:highlight w:val="lightGray"/>
          <w:lang w:eastAsia="lt-LT"/>
        </w:rPr>
        <w:t>eltonasis geležies oksidas (E172), talkas (E553b), natrio laurilsulfatas.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5D230C">
        <w:rPr>
          <w:rFonts w:ascii="Times New Roman" w:eastAsia="Times New Roman" w:hAnsi="Times New Roman"/>
          <w:i/>
          <w:highlight w:val="lightGray"/>
          <w:u w:val="single"/>
          <w:lang w:eastAsia="lt-LT"/>
        </w:rPr>
        <w:t>90 mg tabletės</w:t>
      </w:r>
      <w:r w:rsidRPr="005D230C">
        <w:rPr>
          <w:rFonts w:ascii="Times New Roman" w:eastAsia="Times New Roman" w:hAnsi="Times New Roman"/>
          <w:highlight w:val="lightGray"/>
          <w:lang w:eastAsia="lt-LT"/>
        </w:rPr>
        <w:t>: polivinilo alkoholis (E1203), titano dioksidas (E171), glicerolio monostearatas (E471), talkas (E553b), natrio laurilsulfatas</w:t>
      </w:r>
      <w:r w:rsidRPr="00D11660">
        <w:rPr>
          <w:rFonts w:ascii="Times New Roman" w:eastAsia="Times New Roman" w:hAnsi="Times New Roman"/>
          <w:lang w:eastAsia="lt-LT"/>
        </w:rPr>
        <w:t>.</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numPr>
          <w:ilvl w:val="12"/>
          <w:numId w:val="0"/>
        </w:numPr>
        <w:tabs>
          <w:tab w:val="left" w:pos="567"/>
        </w:tabs>
        <w:spacing w:after="0" w:line="240" w:lineRule="auto"/>
        <w:ind w:right="-2"/>
        <w:rPr>
          <w:rFonts w:ascii="Times New Roman" w:eastAsia="Times New Roman" w:hAnsi="Times New Roman"/>
          <w:b/>
          <w:bCs/>
          <w:noProof/>
          <w:lang w:eastAsia="lt-LT"/>
        </w:rPr>
      </w:pPr>
      <w:r w:rsidRPr="00D11660">
        <w:rPr>
          <w:rFonts w:ascii="Times New Roman" w:eastAsia="Times New Roman" w:hAnsi="Times New Roman"/>
          <w:b/>
          <w:lang w:eastAsia="lt-LT"/>
        </w:rPr>
        <w:t>Etidylan išvaizda ir kiekis pakuotėje</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Etidylan tiekiamas 3 stiprumų tabletėmis.</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60 mg: tamsiai žalios, obuolio formos, abipus išgaubtos plėvele dengtos tabletės, kurių vienoje pusėje yra įspaudas „60“, kita pusė lygi, dydis 7,1 x 7,3 mm ±7,5</w:t>
      </w:r>
      <w:r w:rsidRPr="00090BDC">
        <w:rPr>
          <w:rFonts w:ascii="Times New Roman" w:eastAsia="Times New Roman" w:hAnsi="Times New Roman"/>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90 mg: baltos, obuolio formos, abipus išgaubtos plėvele dengtos tabletės, kurių vienoje pusėje yra įspaudas „90“, kita pusė lygi, dydis 8,1 x 8,3 mm ±7,5</w:t>
      </w:r>
      <w:r w:rsidRPr="00090BDC">
        <w:rPr>
          <w:rFonts w:ascii="Times New Roman" w:eastAsia="Times New Roman" w:hAnsi="Times New Roman"/>
          <w:highlight w:val="lightGray"/>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120 mg: blyškiai žalios, obuolio formos, abipus išgaubtos plėvele dengtos tabletės, kurių vienoje pusėje yra įspaudas „120“, kita pusė lygi, dydis 8,9 x 9,2  mm ±7,5</w:t>
      </w:r>
      <w:r w:rsidRPr="00090BDC">
        <w:rPr>
          <w:rFonts w:ascii="Times New Roman" w:eastAsia="Times New Roman" w:hAnsi="Times New Roman"/>
          <w:highlight w:val="lightGray"/>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OPA/Al/PVC-Al lizdinės plokštelės.</w:t>
      </w:r>
    </w:p>
    <w:p w:rsidR="00D11660" w:rsidRPr="005D230C" w:rsidRDefault="00D11660" w:rsidP="00D11660">
      <w:pPr>
        <w:tabs>
          <w:tab w:val="left" w:pos="567"/>
        </w:tabs>
        <w:spacing w:after="0" w:line="240" w:lineRule="auto"/>
        <w:rPr>
          <w:rFonts w:ascii="Times New Roman" w:eastAsia="Times New Roman" w:hAnsi="Times New Roman"/>
          <w:b/>
          <w:highlight w:val="lightGray"/>
        </w:rPr>
      </w:pP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Pakuotės dydžiai:</w:t>
      </w: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 xml:space="preserve">2, 5, </w:t>
      </w:r>
      <w:r w:rsidRPr="00D11660">
        <w:rPr>
          <w:rFonts w:ascii="Times New Roman" w:hAnsi="Times New Roman"/>
        </w:rPr>
        <w:t xml:space="preserve">7, 10, 14, 20, 28, 30, 49, 50, 84, 100 tablečių arba sudėtinė pakuotė, kurioje yra 98 (2 pakuotės po 49) </w:t>
      </w:r>
      <w:r w:rsidRPr="00D11660">
        <w:rPr>
          <w:rFonts w:ascii="Times New Roman" w:eastAsia="Times New Roman" w:hAnsi="Times New Roman"/>
        </w:rPr>
        <w:t>plėvele dengtos tabletės.</w:t>
      </w: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Dalomųjų lizdinių plokštelių pakuotėse yra po 5 x 1, 50 x 1 arba 100 x 1 tablečių.</w:t>
      </w:r>
    </w:p>
    <w:p w:rsidR="00D11660" w:rsidRPr="00D11660" w:rsidRDefault="00D11660" w:rsidP="00D11660">
      <w:pPr>
        <w:tabs>
          <w:tab w:val="left" w:pos="567"/>
          <w:tab w:val="left" w:pos="4995"/>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 w:val="left" w:pos="4995"/>
        </w:tabs>
        <w:spacing w:after="0" w:line="240" w:lineRule="auto"/>
        <w:rPr>
          <w:rFonts w:ascii="Times New Roman" w:eastAsia="Times New Roman" w:hAnsi="Times New Roman"/>
          <w:noProof/>
          <w:lang w:eastAsia="lt-LT"/>
        </w:rPr>
      </w:pPr>
      <w:r w:rsidRPr="00D11660">
        <w:rPr>
          <w:rFonts w:ascii="Times New Roman" w:eastAsia="Times New Roman" w:hAnsi="Times New Roman"/>
          <w:noProof/>
          <w:lang w:eastAsia="lt-LT"/>
        </w:rPr>
        <w:t>Gali būti tiekiamos ne visų dydžių pakuotės.</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noProof/>
          <w:lang w:eastAsia="lt-LT"/>
        </w:rPr>
      </w:pPr>
      <w:r w:rsidRPr="00D11660">
        <w:rPr>
          <w:rFonts w:ascii="Times New Roman" w:eastAsia="Times New Roman" w:hAnsi="Times New Roman"/>
          <w:b/>
          <w:noProof/>
          <w:lang w:eastAsia="lt-LT"/>
        </w:rPr>
        <w:t>Registruotojas ir gamintojas</w:t>
      </w:r>
    </w:p>
    <w:p w:rsidR="00D11660" w:rsidRPr="00D11660" w:rsidRDefault="00D11660" w:rsidP="00D11660">
      <w:pPr>
        <w:keepNext/>
        <w:keepLines/>
        <w:tabs>
          <w:tab w:val="left" w:pos="567"/>
        </w:tabs>
        <w:spacing w:after="0" w:line="240" w:lineRule="auto"/>
        <w:rPr>
          <w:rFonts w:ascii="Times New Roman" w:hAnsi="Times New Roman"/>
          <w:lang w:eastAsia="lt-LT"/>
        </w:rPr>
      </w:pPr>
    </w:p>
    <w:p w:rsidR="00D11660" w:rsidRPr="00D11660" w:rsidRDefault="00D11660" w:rsidP="00D11660">
      <w:pPr>
        <w:keepNext/>
        <w:keepLines/>
        <w:tabs>
          <w:tab w:val="left" w:pos="567"/>
        </w:tabs>
        <w:spacing w:after="0" w:line="240" w:lineRule="auto"/>
        <w:rPr>
          <w:rFonts w:ascii="Times New Roman" w:hAnsi="Times New Roman"/>
          <w:u w:val="single"/>
          <w:lang w:eastAsia="lt-LT"/>
        </w:rPr>
      </w:pPr>
      <w:r w:rsidRPr="00D11660">
        <w:rPr>
          <w:rFonts w:ascii="Times New Roman" w:hAnsi="Times New Roman"/>
          <w:u w:val="single"/>
          <w:lang w:eastAsia="lt-LT"/>
        </w:rPr>
        <w:t>Registruotojas</w:t>
      </w:r>
    </w:p>
    <w:p w:rsidR="00D11660" w:rsidRPr="00D11660" w:rsidRDefault="00D11660" w:rsidP="00D11660">
      <w:pPr>
        <w:spacing w:after="0" w:line="240" w:lineRule="auto"/>
        <w:rPr>
          <w:rFonts w:ascii="Times New Roman" w:eastAsia="Times New Roman" w:hAnsi="Times New Roman"/>
          <w:noProof/>
          <w:snapToGrid w:val="0"/>
          <w:u w:val="single"/>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G.L. Pharma GmbH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Schlossplatz 1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8502 Lannach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Austrija</w:t>
      </w:r>
    </w:p>
    <w:p w:rsidR="00D11660" w:rsidRPr="00D11660" w:rsidRDefault="00D11660" w:rsidP="00D11660">
      <w:pPr>
        <w:spacing w:after="0" w:line="240" w:lineRule="auto"/>
        <w:rPr>
          <w:rFonts w:ascii="Times New Roman" w:eastAsia="Times New Roman" w:hAnsi="Times New Roman"/>
          <w:noProof/>
          <w:snapToGrid w:val="0"/>
          <w:u w:val="single"/>
        </w:rPr>
      </w:pPr>
    </w:p>
    <w:p w:rsidR="00D11660" w:rsidRPr="00D11660" w:rsidRDefault="00D11660" w:rsidP="00D11660">
      <w:pPr>
        <w:spacing w:after="0" w:line="240" w:lineRule="auto"/>
        <w:rPr>
          <w:rFonts w:ascii="Times New Roman" w:eastAsia="Times New Roman" w:hAnsi="Times New Roman"/>
          <w:noProof/>
          <w:snapToGrid w:val="0"/>
          <w:u w:val="single"/>
        </w:rPr>
      </w:pPr>
      <w:r w:rsidRPr="00D11660">
        <w:rPr>
          <w:rFonts w:ascii="Times New Roman" w:eastAsia="Times New Roman" w:hAnsi="Times New Roman"/>
          <w:noProof/>
          <w:snapToGrid w:val="0"/>
          <w:u w:val="single"/>
        </w:rPr>
        <w:t>Gamintojas</w:t>
      </w: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noProof/>
          <w:snapToGrid w:val="0"/>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G.L. Pharma GmbH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Schlossplatz 1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8502 Lannach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Austrija</w:t>
      </w:r>
    </w:p>
    <w:p w:rsidR="00D11660" w:rsidRPr="00D11660" w:rsidRDefault="00D11660" w:rsidP="00D11660">
      <w:pPr>
        <w:tabs>
          <w:tab w:val="left" w:pos="567"/>
        </w:tabs>
        <w:spacing w:after="0" w:line="240" w:lineRule="auto"/>
        <w:rPr>
          <w:rFonts w:ascii="Times New Roman" w:eastAsia="Times New Roman" w:hAnsi="Times New Roman"/>
          <w:noProof/>
          <w:highlight w:val="yellow"/>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t>arba</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Rontis Hellas Medical and Pharmaceutical Products S.A.</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P.O. Box 3012 Larisa Industrial Area</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Larisa, 41004</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Graikija</w:t>
      </w: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noProof/>
          <w:snapToGrid w:val="0"/>
        </w:rPr>
      </w:pP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noProof/>
          <w:snapToGrid w:val="0"/>
        </w:rPr>
      </w:pPr>
      <w:r w:rsidRPr="00D11660">
        <w:rPr>
          <w:rFonts w:ascii="Times New Roman" w:eastAsia="Times New Roman" w:hAnsi="Times New Roman"/>
          <w:noProof/>
          <w:snapToGrid w:val="0"/>
        </w:rPr>
        <w:t>Jeigu apie šį vaistą norite sužinoti daugiau, kreipkitės į vietinį registruotojo atstovą.</w:t>
      </w:r>
    </w:p>
    <w:p w:rsidR="00D11660" w:rsidRPr="00D11660" w:rsidRDefault="00D11660" w:rsidP="00D11660">
      <w:pPr>
        <w:tabs>
          <w:tab w:val="left" w:pos="567"/>
        </w:tabs>
        <w:spacing w:after="0" w:line="240" w:lineRule="auto"/>
        <w:rPr>
          <w:rFonts w:ascii="Times New Roman" w:eastAsia="Times New Roman" w:hAnsi="Times New Roman"/>
          <w:noProof/>
          <w:snapToGrid w:val="0"/>
        </w:rPr>
      </w:pP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UAB „GL Pharma Vilnius“</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A.Jakšto g. 12</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LT-01105 Vilnius</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Tel. + 370 5 2610705</w:t>
      </w:r>
    </w:p>
    <w:p w:rsidR="00D11660" w:rsidRPr="00D11660" w:rsidRDefault="00D11660" w:rsidP="00D11660">
      <w:pPr>
        <w:tabs>
          <w:tab w:val="left" w:pos="567"/>
        </w:tabs>
        <w:spacing w:after="0" w:line="240" w:lineRule="auto"/>
        <w:jc w:val="both"/>
        <w:rPr>
          <w:rFonts w:ascii="Times New Roman" w:eastAsia="Times New Roman" w:hAnsi="Times New Roman"/>
          <w:noProof/>
          <w:lang w:eastAsia="lt-LT"/>
        </w:rPr>
      </w:pPr>
      <w:r w:rsidRPr="00D11660">
        <w:rPr>
          <w:rFonts w:ascii="Times New Roman" w:eastAsia="Times New Roman" w:hAnsi="Times New Roman"/>
          <w:noProof/>
        </w:rPr>
        <w:t>El. paštas: office@gl-pharma.lt</w:t>
      </w:r>
    </w:p>
    <w:p w:rsidR="00D11660" w:rsidRPr="00D11660" w:rsidRDefault="00D11660" w:rsidP="00D11660">
      <w:pPr>
        <w:tabs>
          <w:tab w:val="left" w:pos="567"/>
        </w:tabs>
        <w:spacing w:after="0" w:line="240" w:lineRule="auto"/>
        <w:jc w:val="both"/>
        <w:rPr>
          <w:rFonts w:ascii="Times New Roman" w:eastAsia="Times New Roman" w:hAnsi="Times New Roman"/>
          <w:b/>
          <w:noProof/>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noProof/>
          <w:lang w:eastAsia="lt-LT"/>
        </w:rPr>
      </w:pPr>
      <w:r w:rsidRPr="00D11660">
        <w:rPr>
          <w:rFonts w:ascii="Times New Roman" w:eastAsia="Times New Roman" w:hAnsi="Times New Roman"/>
          <w:b/>
          <w:noProof/>
          <w:lang w:eastAsia="lt-LT"/>
        </w:rPr>
        <w:t>Šis vaistas EEE valstybėse narėse registruotas tokiais pavadinimais</w:t>
      </w:r>
      <w:r w:rsidRPr="00D11660">
        <w:rPr>
          <w:rFonts w:ascii="Times New Roman" w:eastAsia="Times New Roman" w:hAnsi="Times New Roman"/>
          <w:noProof/>
          <w:lang w:eastAsia="lt-LT"/>
        </w:rPr>
        <w:t>:</w:t>
      </w:r>
    </w:p>
    <w:p w:rsidR="00D11660" w:rsidRPr="00D11660" w:rsidRDefault="00D11660" w:rsidP="00D11660">
      <w:pPr>
        <w:spacing w:after="0" w:line="240" w:lineRule="auto"/>
        <w:rPr>
          <w:rFonts w:ascii="Times New Roman" w:hAnsi="Times New Roman"/>
          <w:lang w:val="de-AT"/>
        </w:rPr>
      </w:pPr>
      <w:r w:rsidRPr="00D11660">
        <w:rPr>
          <w:rFonts w:ascii="Times New Roman" w:hAnsi="Times New Roman"/>
          <w:lang w:val="de-AT"/>
        </w:rPr>
        <w:t>Portugalija, Rumunija: Gerocoxan</w:t>
      </w:r>
    </w:p>
    <w:p w:rsidR="00D11660" w:rsidRPr="00D11660" w:rsidRDefault="00D11660" w:rsidP="00D11660">
      <w:pPr>
        <w:spacing w:after="0" w:line="240" w:lineRule="auto"/>
        <w:rPr>
          <w:rFonts w:ascii="Times New Roman" w:hAnsi="Times New Roman"/>
          <w:lang w:val="de-AT"/>
        </w:rPr>
      </w:pPr>
      <w:r w:rsidRPr="00D11660">
        <w:rPr>
          <w:rFonts w:ascii="Times New Roman" w:hAnsi="Times New Roman"/>
          <w:lang w:val="de-AT"/>
        </w:rPr>
        <w:t xml:space="preserve">Estija, Latvija, Lietuva: Etidylan </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snapToGrid w:val="0"/>
        </w:rPr>
      </w:pPr>
      <w:r w:rsidRPr="00D11660">
        <w:rPr>
          <w:rFonts w:ascii="Times New Roman" w:eastAsia="Times New Roman" w:hAnsi="Times New Roman"/>
          <w:b/>
          <w:noProof/>
          <w:lang w:eastAsia="lt-LT"/>
        </w:rPr>
        <w:t xml:space="preserve">Šis pakuotės lapelis paskutinį kartą peržiūrėtas </w:t>
      </w:r>
      <w:r w:rsidR="004C2BF1">
        <w:rPr>
          <w:rFonts w:ascii="Times New Roman" w:eastAsia="Times New Roman" w:hAnsi="Times New Roman"/>
          <w:b/>
          <w:noProof/>
          <w:lang w:eastAsia="lt-LT"/>
        </w:rPr>
        <w:t>2022-11-18.</w:t>
      </w:r>
      <w:bookmarkStart w:id="2" w:name="_GoBack"/>
      <w:bookmarkEnd w:id="2"/>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snapToGrid w:val="0"/>
        </w:rPr>
      </w:pP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snapToGrid w:val="0"/>
        </w:rPr>
      </w:pPr>
      <w:r w:rsidRPr="00D11660">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D11660">
        <w:rPr>
          <w:rFonts w:ascii="Times New Roman" w:eastAsia="Times New Roman" w:hAnsi="Times New Roman"/>
          <w:i/>
          <w:snapToGrid w:val="0"/>
        </w:rPr>
        <w:t xml:space="preserve"> </w:t>
      </w:r>
      <w:hyperlink r:id="rId11" w:history="1">
        <w:r w:rsidRPr="00D11660">
          <w:rPr>
            <w:rFonts w:ascii="Times New Roman" w:eastAsia="SimSun" w:hAnsi="Times New Roman"/>
            <w:snapToGrid w:val="0"/>
            <w:color w:val="0000FF"/>
            <w:u w:val="single"/>
          </w:rPr>
          <w:t>http://www.vvkt.lt/</w:t>
        </w:r>
      </w:hyperlink>
      <w:r w:rsidRPr="00D11660">
        <w:rPr>
          <w:rFonts w:ascii="Times New Roman" w:eastAsia="Times New Roman" w:hAnsi="Times New Roman"/>
          <w:snapToGrid w:val="0"/>
        </w:rPr>
        <w:t>.</w:t>
      </w:r>
    </w:p>
    <w:p w:rsidR="00D11660" w:rsidRPr="00D11660" w:rsidRDefault="00D11660" w:rsidP="00D11660">
      <w:pPr>
        <w:tabs>
          <w:tab w:val="left" w:pos="567"/>
        </w:tabs>
        <w:spacing w:after="0" w:line="240" w:lineRule="auto"/>
        <w:rPr>
          <w:rFonts w:ascii="Times New Roman" w:eastAsia="Times New Roman" w:hAnsi="Times New Roman"/>
        </w:rPr>
      </w:pPr>
    </w:p>
    <w:p w:rsidR="00D11660" w:rsidRPr="00D11660" w:rsidRDefault="00D11660" w:rsidP="00D11660">
      <w:pPr>
        <w:tabs>
          <w:tab w:val="left" w:pos="567"/>
        </w:tabs>
        <w:spacing w:after="0" w:line="240" w:lineRule="auto"/>
        <w:rPr>
          <w:rFonts w:ascii="Times New Roman" w:hAnsi="Times New Roman"/>
        </w:rPr>
      </w:pPr>
    </w:p>
    <w:p w:rsidR="00D11660" w:rsidRPr="00D11660" w:rsidRDefault="00D11660" w:rsidP="00D11660">
      <w:pPr>
        <w:spacing w:line="240" w:lineRule="auto"/>
        <w:rPr>
          <w:rFonts w:ascii="Times New Roman" w:hAnsi="Times New Roman"/>
        </w:rPr>
      </w:pPr>
    </w:p>
    <w:p w:rsidR="00447A78" w:rsidRDefault="00447A78"/>
    <w:sectPr w:rsidR="00447A78" w:rsidSect="0000520C">
      <w:footerReference w:type="even" r:id="rId12"/>
      <w:footerReference w:type="default" r:id="rId13"/>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56C" w:rsidRDefault="0060356C">
      <w:pPr>
        <w:spacing w:after="0" w:line="240" w:lineRule="auto"/>
      </w:pPr>
      <w:r>
        <w:separator/>
      </w:r>
    </w:p>
  </w:endnote>
  <w:endnote w:type="continuationSeparator" w:id="0">
    <w:p w:rsidR="0060356C" w:rsidRDefault="0060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56C" w:rsidRDefault="0060356C" w:rsidP="0000520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0356C" w:rsidRDefault="0060356C" w:rsidP="0000520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56C" w:rsidRPr="00133AF8" w:rsidRDefault="0060356C" w:rsidP="0000520C">
    <w:pPr>
      <w:pStyle w:val="Porat"/>
      <w:framePr w:wrap="around" w:vAnchor="text" w:hAnchor="margin" w:xAlign="right" w:y="1"/>
      <w:rPr>
        <w:rStyle w:val="Puslapionumeris"/>
        <w:sz w:val="20"/>
        <w:szCs w:val="20"/>
      </w:rPr>
    </w:pPr>
    <w:r w:rsidRPr="00133AF8">
      <w:rPr>
        <w:rStyle w:val="Puslapionumeris"/>
        <w:sz w:val="20"/>
        <w:szCs w:val="20"/>
      </w:rPr>
      <w:fldChar w:fldCharType="begin"/>
    </w:r>
    <w:r w:rsidRPr="00133AF8">
      <w:rPr>
        <w:rStyle w:val="Puslapionumeris"/>
        <w:sz w:val="20"/>
        <w:szCs w:val="20"/>
      </w:rPr>
      <w:instrText xml:space="preserve">PAGE  </w:instrText>
    </w:r>
    <w:r w:rsidRPr="00133AF8">
      <w:rPr>
        <w:rStyle w:val="Puslapionumeris"/>
        <w:sz w:val="20"/>
        <w:szCs w:val="20"/>
      </w:rPr>
      <w:fldChar w:fldCharType="separate"/>
    </w:r>
    <w:r w:rsidR="004C2BF1">
      <w:rPr>
        <w:rStyle w:val="Puslapionumeris"/>
        <w:noProof/>
        <w:sz w:val="20"/>
        <w:szCs w:val="20"/>
      </w:rPr>
      <w:t>38</w:t>
    </w:r>
    <w:r w:rsidRPr="00133AF8">
      <w:rPr>
        <w:rStyle w:val="Puslapionumeris"/>
        <w:sz w:val="20"/>
        <w:szCs w:val="20"/>
      </w:rPr>
      <w:fldChar w:fldCharType="end"/>
    </w:r>
  </w:p>
  <w:p w:rsidR="0060356C" w:rsidRDefault="0060356C" w:rsidP="0000520C">
    <w:pPr>
      <w:pStyle w:val="Porat"/>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56C" w:rsidRDefault="0060356C">
      <w:pPr>
        <w:spacing w:after="0" w:line="240" w:lineRule="auto"/>
      </w:pPr>
      <w:r>
        <w:separator/>
      </w:r>
    </w:p>
  </w:footnote>
  <w:footnote w:type="continuationSeparator" w:id="0">
    <w:p w:rsidR="0060356C" w:rsidRDefault="00603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7137D1"/>
    <w:multiLevelType w:val="hybridMultilevel"/>
    <w:tmpl w:val="1C36AA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66691F"/>
    <w:multiLevelType w:val="hybridMultilevel"/>
    <w:tmpl w:val="1528E1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7000C8"/>
    <w:multiLevelType w:val="hybridMultilevel"/>
    <w:tmpl w:val="4C4A295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222ED"/>
    <w:multiLevelType w:val="hybridMultilevel"/>
    <w:tmpl w:val="B64E6A0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E2393C"/>
    <w:multiLevelType w:val="hybridMultilevel"/>
    <w:tmpl w:val="026AD9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2E531E5"/>
    <w:multiLevelType w:val="hybridMultilevel"/>
    <w:tmpl w:val="CBAC01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276305"/>
    <w:multiLevelType w:val="hybridMultilevel"/>
    <w:tmpl w:val="25E04FEA"/>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1521D"/>
    <w:multiLevelType w:val="hybridMultilevel"/>
    <w:tmpl w:val="F064F33E"/>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8469D"/>
    <w:multiLevelType w:val="hybridMultilevel"/>
    <w:tmpl w:val="87E8546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6365448"/>
    <w:multiLevelType w:val="hybridMultilevel"/>
    <w:tmpl w:val="33C453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A547E2"/>
    <w:multiLevelType w:val="hybridMultilevel"/>
    <w:tmpl w:val="CE2855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6E124A7"/>
    <w:multiLevelType w:val="hybridMultilevel"/>
    <w:tmpl w:val="B61E26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7B13DFE"/>
    <w:multiLevelType w:val="hybridMultilevel"/>
    <w:tmpl w:val="0D1060D8"/>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CE4182"/>
    <w:multiLevelType w:val="hybridMultilevel"/>
    <w:tmpl w:val="4A90D76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26"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9" w15:restartNumberingAfterBreak="0">
    <w:nsid w:val="75657CFC"/>
    <w:multiLevelType w:val="hybridMultilevel"/>
    <w:tmpl w:val="2B94225C"/>
    <w:lvl w:ilvl="0" w:tplc="FFFFFFFF">
      <w:start w:val="1"/>
      <w:numFmt w:val="bullet"/>
      <w:lvlText w:val="-"/>
      <w:lvlJc w:val="left"/>
      <w:pPr>
        <w:tabs>
          <w:tab w:val="num" w:pos="357"/>
        </w:tabs>
        <w:ind w:left="357" w:hanging="35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3"/>
  </w:num>
  <w:num w:numId="3">
    <w:abstractNumId w:val="28"/>
  </w:num>
  <w:num w:numId="4">
    <w:abstractNumId w:val="21"/>
  </w:num>
  <w:num w:numId="5">
    <w:abstractNumId w:val="14"/>
  </w:num>
  <w:num w:numId="6">
    <w:abstractNumId w:val="19"/>
  </w:num>
  <w:num w:numId="7">
    <w:abstractNumId w:val="20"/>
  </w:num>
  <w:num w:numId="8">
    <w:abstractNumId w:val="4"/>
  </w:num>
  <w:num w:numId="9">
    <w:abstractNumId w:val="9"/>
  </w:num>
  <w:num w:numId="10">
    <w:abstractNumId w:val="1"/>
  </w:num>
  <w:num w:numId="11">
    <w:abstractNumId w:val="26"/>
  </w:num>
  <w:num w:numId="12">
    <w:abstractNumId w:val="6"/>
  </w:num>
  <w:num w:numId="13">
    <w:abstractNumId w:val="12"/>
  </w:num>
  <w:num w:numId="14">
    <w:abstractNumId w:val="5"/>
  </w:num>
  <w:num w:numId="15">
    <w:abstractNumId w:val="11"/>
  </w:num>
  <w:num w:numId="16">
    <w:abstractNumId w:val="29"/>
  </w:num>
  <w:num w:numId="17">
    <w:abstractNumId w:val="23"/>
  </w:num>
  <w:num w:numId="18">
    <w:abstractNumId w:val="10"/>
  </w:num>
  <w:num w:numId="19">
    <w:abstractNumId w:val="15"/>
  </w:num>
  <w:num w:numId="20">
    <w:abstractNumId w:val="18"/>
  </w:num>
  <w:num w:numId="21">
    <w:abstractNumId w:val="24"/>
  </w:num>
  <w:num w:numId="22">
    <w:abstractNumId w:val="22"/>
  </w:num>
  <w:num w:numId="23">
    <w:abstractNumId w:val="17"/>
  </w:num>
  <w:num w:numId="24">
    <w:abstractNumId w:val="3"/>
  </w:num>
  <w:num w:numId="25">
    <w:abstractNumId w:val="16"/>
  </w:num>
  <w:num w:numId="26">
    <w:abstractNumId w:val="8"/>
  </w:num>
  <w:num w:numId="27">
    <w:abstractNumId w:val="7"/>
  </w:num>
  <w:num w:numId="28">
    <w:abstractNumId w:val="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660"/>
    <w:rsid w:val="0000520C"/>
    <w:rsid w:val="00090BDC"/>
    <w:rsid w:val="001110E6"/>
    <w:rsid w:val="00121FDD"/>
    <w:rsid w:val="001C6BEC"/>
    <w:rsid w:val="00313855"/>
    <w:rsid w:val="003B372E"/>
    <w:rsid w:val="00447A78"/>
    <w:rsid w:val="004C2BF1"/>
    <w:rsid w:val="004F612A"/>
    <w:rsid w:val="00573735"/>
    <w:rsid w:val="005D230C"/>
    <w:rsid w:val="0060356C"/>
    <w:rsid w:val="0063085C"/>
    <w:rsid w:val="006C10A0"/>
    <w:rsid w:val="00756642"/>
    <w:rsid w:val="00834A23"/>
    <w:rsid w:val="00874F68"/>
    <w:rsid w:val="00A95C9D"/>
    <w:rsid w:val="00AD041E"/>
    <w:rsid w:val="00AE6BE2"/>
    <w:rsid w:val="00B4371C"/>
    <w:rsid w:val="00C97AAB"/>
    <w:rsid w:val="00CD7EF7"/>
    <w:rsid w:val="00CF59A4"/>
    <w:rsid w:val="00CF7AB5"/>
    <w:rsid w:val="00D11660"/>
    <w:rsid w:val="00FE50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CC82"/>
  <w15:chartTrackingRefBased/>
  <w15:docId w15:val="{B044C6D3-29B6-4E85-A483-91038152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D11660"/>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autoRedefine/>
    <w:uiPriority w:val="99"/>
    <w:qFormat/>
    <w:rsid w:val="00D11660"/>
    <w:pPr>
      <w:keepNext/>
      <w:tabs>
        <w:tab w:val="left" w:pos="567"/>
      </w:tabs>
      <w:spacing w:after="0" w:line="240" w:lineRule="auto"/>
      <w:ind w:left="540" w:hanging="540"/>
      <w:outlineLvl w:val="1"/>
    </w:pPr>
    <w:rPr>
      <w:rFonts w:ascii="Times New Roman" w:eastAsia="Times New Roman" w:hAnsi="Times New Roman"/>
      <w:b/>
      <w:iCs/>
      <w:szCs w:val="20"/>
      <w:lang w:eastAsia="lt-LT"/>
    </w:rPr>
  </w:style>
  <w:style w:type="paragraph" w:styleId="Antrat3">
    <w:name w:val="heading 3"/>
    <w:basedOn w:val="prastasis"/>
    <w:next w:val="prastasis"/>
    <w:link w:val="Antrat3Diagrama"/>
    <w:uiPriority w:val="99"/>
    <w:qFormat/>
    <w:rsid w:val="00D11660"/>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
    <w:qFormat/>
    <w:rsid w:val="00D11660"/>
    <w:pPr>
      <w:keepNext/>
      <w:spacing w:before="240" w:after="60" w:line="276" w:lineRule="auto"/>
      <w:outlineLvl w:val="3"/>
    </w:pPr>
    <w:rPr>
      <w:rFonts w:eastAsia="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11660"/>
    <w:rPr>
      <w:rFonts w:ascii="Arial" w:eastAsia="Times New Roman" w:hAnsi="Arial" w:cs="Arial"/>
      <w:b/>
      <w:bCs/>
      <w:kern w:val="32"/>
      <w:sz w:val="32"/>
      <w:szCs w:val="32"/>
      <w:lang w:val="lt-LT"/>
    </w:rPr>
  </w:style>
  <w:style w:type="character" w:customStyle="1" w:styleId="Antrat2Diagrama">
    <w:name w:val="Antraštė 2 Diagrama"/>
    <w:link w:val="Antrat2"/>
    <w:uiPriority w:val="99"/>
    <w:rsid w:val="00D11660"/>
    <w:rPr>
      <w:rFonts w:ascii="Times New Roman" w:eastAsia="Times New Roman" w:hAnsi="Times New Roman" w:cs="Times New Roman"/>
      <w:b/>
      <w:iCs/>
      <w:szCs w:val="20"/>
      <w:lang w:val="lt-LT" w:eastAsia="lt-LT"/>
    </w:rPr>
  </w:style>
  <w:style w:type="character" w:customStyle="1" w:styleId="Antrat3Diagrama">
    <w:name w:val="Antraštė 3 Diagrama"/>
    <w:link w:val="Antrat3"/>
    <w:uiPriority w:val="99"/>
    <w:rsid w:val="00D11660"/>
    <w:rPr>
      <w:rFonts w:ascii="Arial" w:eastAsia="Times New Roman" w:hAnsi="Arial" w:cs="Arial"/>
      <w:b/>
      <w:bCs/>
      <w:sz w:val="26"/>
      <w:szCs w:val="26"/>
      <w:lang w:val="lt-LT"/>
    </w:rPr>
  </w:style>
  <w:style w:type="character" w:customStyle="1" w:styleId="Antrat4Diagrama">
    <w:name w:val="Antraštė 4 Diagrama"/>
    <w:link w:val="Antrat4"/>
    <w:uiPriority w:val="9"/>
    <w:rsid w:val="00D11660"/>
    <w:rPr>
      <w:rFonts w:ascii="Calibri" w:eastAsia="Times New Roman" w:hAnsi="Calibri" w:cs="Times New Roman"/>
      <w:b/>
      <w:bCs/>
      <w:sz w:val="28"/>
      <w:szCs w:val="28"/>
      <w:lang w:val="lt-LT"/>
    </w:rPr>
  </w:style>
  <w:style w:type="numbering" w:customStyle="1" w:styleId="Sraonra1">
    <w:name w:val="Sąrašo nėra1"/>
    <w:next w:val="Sraonra"/>
    <w:uiPriority w:val="99"/>
    <w:semiHidden/>
    <w:unhideWhenUsed/>
    <w:rsid w:val="00D11660"/>
  </w:style>
  <w:style w:type="paragraph" w:styleId="Pagrindinistekstas">
    <w:name w:val="Body Text"/>
    <w:basedOn w:val="prastasis"/>
    <w:link w:val="PagrindinistekstasDiagrama"/>
    <w:uiPriority w:val="99"/>
    <w:rsid w:val="00D11660"/>
    <w:pPr>
      <w:spacing w:after="0" w:line="360" w:lineRule="auto"/>
      <w:jc w:val="both"/>
    </w:pPr>
    <w:rPr>
      <w:rFonts w:ascii="Times New Roman" w:eastAsia="Times New Roman" w:hAnsi="Times New Roman"/>
      <w:sz w:val="24"/>
      <w:szCs w:val="24"/>
    </w:rPr>
  </w:style>
  <w:style w:type="character" w:customStyle="1" w:styleId="PagrindinistekstasDiagrama">
    <w:name w:val="Pagrindinis tekstas Diagrama"/>
    <w:link w:val="Pagrindinistekstas"/>
    <w:uiPriority w:val="99"/>
    <w:rsid w:val="00D11660"/>
    <w:rPr>
      <w:rFonts w:ascii="Times New Roman" w:eastAsia="Times New Roman" w:hAnsi="Times New Roman" w:cs="Times New Roman"/>
      <w:sz w:val="24"/>
      <w:szCs w:val="24"/>
      <w:lang w:val="lt-LT"/>
    </w:rPr>
  </w:style>
  <w:style w:type="paragraph" w:styleId="Porat">
    <w:name w:val="footer"/>
    <w:basedOn w:val="prastasis"/>
    <w:link w:val="PoratDiagrama"/>
    <w:uiPriority w:val="99"/>
    <w:rsid w:val="00D11660"/>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uiPriority w:val="99"/>
    <w:rsid w:val="00D11660"/>
    <w:rPr>
      <w:lang w:val="lt-LT"/>
    </w:rPr>
  </w:style>
  <w:style w:type="character" w:customStyle="1" w:styleId="PoratDiagrama">
    <w:name w:val="Poraštė Diagrama"/>
    <w:link w:val="Porat"/>
    <w:uiPriority w:val="99"/>
    <w:rsid w:val="00D11660"/>
    <w:rPr>
      <w:rFonts w:ascii="Times New Roman" w:eastAsia="Times New Roman" w:hAnsi="Times New Roman" w:cs="Times New Roman"/>
      <w:sz w:val="24"/>
      <w:szCs w:val="24"/>
      <w:lang w:val="lt-LT"/>
    </w:rPr>
  </w:style>
  <w:style w:type="character" w:styleId="Puslapionumeris">
    <w:name w:val="page number"/>
    <w:basedOn w:val="Numatytasispastraiposriftas"/>
    <w:uiPriority w:val="99"/>
    <w:rsid w:val="00D11660"/>
  </w:style>
  <w:style w:type="character" w:styleId="Hipersaitas">
    <w:name w:val="Hyperlink"/>
    <w:rsid w:val="00D11660"/>
    <w:rPr>
      <w:color w:val="0000FF"/>
      <w:u w:val="single"/>
    </w:rPr>
  </w:style>
  <w:style w:type="paragraph" w:styleId="Antrats">
    <w:name w:val="header"/>
    <w:basedOn w:val="prastasis"/>
    <w:link w:val="AntratsDiagrama"/>
    <w:uiPriority w:val="99"/>
    <w:rsid w:val="00D11660"/>
    <w:pPr>
      <w:tabs>
        <w:tab w:val="center" w:pos="4819"/>
        <w:tab w:val="right" w:pos="9638"/>
      </w:tabs>
      <w:spacing w:after="0" w:line="240" w:lineRule="auto"/>
    </w:pPr>
    <w:rPr>
      <w:rFonts w:ascii="Times New Roman" w:eastAsia="Times New Roman" w:hAnsi="Times New Roman"/>
      <w:sz w:val="24"/>
      <w:szCs w:val="24"/>
    </w:rPr>
  </w:style>
  <w:style w:type="character" w:customStyle="1" w:styleId="HeaderChar">
    <w:name w:val="Header Char"/>
    <w:uiPriority w:val="99"/>
    <w:rsid w:val="00D11660"/>
    <w:rPr>
      <w:lang w:val="lt-LT"/>
    </w:rPr>
  </w:style>
  <w:style w:type="character" w:customStyle="1" w:styleId="AntratsDiagrama">
    <w:name w:val="Antraštės Diagrama"/>
    <w:link w:val="Antrats"/>
    <w:uiPriority w:val="99"/>
    <w:rsid w:val="00D11660"/>
    <w:rPr>
      <w:rFonts w:ascii="Times New Roman" w:eastAsia="Times New Roman" w:hAnsi="Times New Roman" w:cs="Times New Roman"/>
      <w:sz w:val="24"/>
      <w:szCs w:val="24"/>
      <w:lang w:val="lt-LT"/>
    </w:rPr>
  </w:style>
  <w:style w:type="paragraph" w:customStyle="1" w:styleId="EMEABodyText">
    <w:name w:val="EMEA Body Text"/>
    <w:basedOn w:val="prastasis"/>
    <w:link w:val="EMEABodyTextChar"/>
    <w:rsid w:val="00D11660"/>
    <w:pPr>
      <w:spacing w:after="0" w:line="240" w:lineRule="auto"/>
    </w:pPr>
    <w:rPr>
      <w:rFonts w:ascii="Times New Roman" w:eastAsia="Times New Roman" w:hAnsi="Times New Roman"/>
      <w:szCs w:val="20"/>
      <w:lang w:val="en-GB" w:eastAsia="lt-LT"/>
    </w:rPr>
  </w:style>
  <w:style w:type="character" w:customStyle="1" w:styleId="EMEABodyTextChar">
    <w:name w:val="EMEA Body Text Char"/>
    <w:link w:val="EMEABodyText"/>
    <w:rsid w:val="00D11660"/>
    <w:rPr>
      <w:rFonts w:ascii="Times New Roman" w:eastAsia="Times New Roman" w:hAnsi="Times New Roman" w:cs="Times New Roman"/>
      <w:szCs w:val="20"/>
      <w:lang w:val="en-GB" w:eastAsia="lt-LT"/>
    </w:rPr>
  </w:style>
  <w:style w:type="paragraph" w:customStyle="1" w:styleId="BTEMEASMCA">
    <w:name w:val="BT EMEA_SMCA"/>
    <w:basedOn w:val="prastasis"/>
    <w:link w:val="BTEMEASMCAChar"/>
    <w:autoRedefine/>
    <w:uiPriority w:val="99"/>
    <w:rsid w:val="00D11660"/>
    <w:pPr>
      <w:spacing w:after="0" w:line="240" w:lineRule="auto"/>
    </w:pPr>
    <w:rPr>
      <w:rFonts w:ascii="Times New Roman" w:eastAsia="Times New Roman" w:hAnsi="Times New Roman"/>
      <w:bCs/>
      <w:noProof/>
    </w:rPr>
  </w:style>
  <w:style w:type="character" w:customStyle="1" w:styleId="BTEMEASMCAChar">
    <w:name w:val="BT EMEA_SMCA Char"/>
    <w:link w:val="BTEMEASMCA"/>
    <w:uiPriority w:val="99"/>
    <w:rsid w:val="00D11660"/>
    <w:rPr>
      <w:rFonts w:ascii="Times New Roman" w:eastAsia="Times New Roman" w:hAnsi="Times New Roman" w:cs="Times New Roman"/>
      <w:bCs/>
      <w:noProof/>
      <w:lang w:val="lt-LT"/>
    </w:rPr>
  </w:style>
  <w:style w:type="paragraph" w:customStyle="1" w:styleId="BTbEMEASMCA">
    <w:name w:val="BT(b) EMEA_SMCA"/>
    <w:basedOn w:val="BTEMEASMCA"/>
    <w:autoRedefine/>
    <w:rsid w:val="00D11660"/>
    <w:pPr>
      <w:tabs>
        <w:tab w:val="left" w:pos="0"/>
        <w:tab w:val="left" w:pos="180"/>
        <w:tab w:val="num" w:pos="360"/>
        <w:tab w:val="left" w:pos="1260"/>
      </w:tabs>
    </w:pPr>
    <w:rPr>
      <w:b/>
      <w:bCs w:val="0"/>
    </w:rPr>
  </w:style>
  <w:style w:type="paragraph" w:styleId="Pavadinimas">
    <w:name w:val="Title"/>
    <w:next w:val="prastasis"/>
    <w:link w:val="PavadinimasDiagrama"/>
    <w:uiPriority w:val="99"/>
    <w:qFormat/>
    <w:rsid w:val="00D11660"/>
    <w:pPr>
      <w:spacing w:before="120" w:after="240" w:line="300" w:lineRule="auto"/>
      <w:ind w:left="1152" w:hanging="1152"/>
    </w:pPr>
    <w:rPr>
      <w:rFonts w:ascii="Arial" w:eastAsia="Times New Roman" w:hAnsi="Arial"/>
      <w:b/>
      <w:caps/>
      <w:kern w:val="28"/>
      <w:sz w:val="28"/>
      <w:lang w:val="en-US" w:eastAsia="en-US"/>
    </w:rPr>
  </w:style>
  <w:style w:type="character" w:customStyle="1" w:styleId="PavadinimasDiagrama">
    <w:name w:val="Pavadinimas Diagrama"/>
    <w:link w:val="Pavadinimas"/>
    <w:uiPriority w:val="99"/>
    <w:rsid w:val="00D11660"/>
    <w:rPr>
      <w:rFonts w:ascii="Arial" w:eastAsia="Times New Roman" w:hAnsi="Arial" w:cs="Times New Roman"/>
      <w:b/>
      <w:caps/>
      <w:kern w:val="28"/>
      <w:sz w:val="28"/>
      <w:szCs w:val="20"/>
    </w:rPr>
  </w:style>
  <w:style w:type="paragraph" w:customStyle="1" w:styleId="PI-1labEMEASMCA">
    <w:name w:val="PI-1_lab EMEA_SMCA"/>
    <w:basedOn w:val="prastasis"/>
    <w:link w:val="PI-1labEMEASMCAChar"/>
    <w:autoRedefine/>
    <w:rsid w:val="00D1166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rsid w:val="00D11660"/>
    <w:rPr>
      <w:rFonts w:ascii="Times New Roman" w:eastAsia="Times New Roman" w:hAnsi="Times New Roman" w:cs="Times New Roman"/>
      <w:b/>
      <w:noProof/>
      <w:lang w:val="lt-LT"/>
    </w:rPr>
  </w:style>
  <w:style w:type="paragraph" w:customStyle="1" w:styleId="TTEMEASMCA">
    <w:name w:val="TT EMEA_SMCA"/>
    <w:basedOn w:val="Antrat1"/>
    <w:link w:val="TTEMEASMCAChar"/>
    <w:autoRedefine/>
    <w:uiPriority w:val="99"/>
    <w:rsid w:val="00D11660"/>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D11660"/>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D11660"/>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D11660"/>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D11660"/>
    <w:rPr>
      <w:rFonts w:ascii="Tahoma" w:eastAsia="Times New Roman" w:hAnsi="Tahoma" w:cs="Tahoma"/>
      <w:sz w:val="16"/>
      <w:szCs w:val="16"/>
      <w:lang w:val="lt-LT"/>
    </w:rPr>
  </w:style>
  <w:style w:type="paragraph" w:customStyle="1" w:styleId="BTuEMEASMCA">
    <w:name w:val="BT(u) EMEA_SMCA"/>
    <w:basedOn w:val="BTEMEASMCA"/>
    <w:autoRedefine/>
    <w:uiPriority w:val="99"/>
    <w:rsid w:val="00D11660"/>
    <w:rPr>
      <w:bCs w:val="0"/>
      <w:u w:val="single"/>
    </w:rPr>
  </w:style>
  <w:style w:type="paragraph" w:customStyle="1" w:styleId="PI-2EMEASMCA">
    <w:name w:val="PI-2 EMEA_SMCA"/>
    <w:basedOn w:val="Antrat3"/>
    <w:autoRedefine/>
    <w:uiPriority w:val="99"/>
    <w:rsid w:val="00D11660"/>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PI-1EMEASMCA">
    <w:name w:val="PI-1 EMEA_SMCA"/>
    <w:basedOn w:val="Antrat2"/>
    <w:link w:val="PI-1EMEASMCAChar"/>
    <w:autoRedefine/>
    <w:uiPriority w:val="99"/>
    <w:rsid w:val="00D11660"/>
    <w:pPr>
      <w:ind w:left="567" w:hanging="567"/>
    </w:pPr>
    <w:rPr>
      <w:iCs w:val="0"/>
      <w:szCs w:val="22"/>
      <w:lang w:eastAsia="en-US"/>
    </w:rPr>
  </w:style>
  <w:style w:type="character" w:customStyle="1" w:styleId="PI-1EMEASMCAChar">
    <w:name w:val="PI-1 EMEA_SMCA Char"/>
    <w:link w:val="PI-1EMEASMCA"/>
    <w:uiPriority w:val="99"/>
    <w:rsid w:val="00D11660"/>
    <w:rPr>
      <w:rFonts w:ascii="Times New Roman" w:eastAsia="Times New Roman" w:hAnsi="Times New Roman" w:cs="Times New Roman"/>
      <w:b/>
      <w:lang w:val="lt-LT"/>
    </w:rPr>
  </w:style>
  <w:style w:type="character" w:styleId="Komentaronuoroda">
    <w:name w:val="annotation reference"/>
    <w:uiPriority w:val="99"/>
    <w:semiHidden/>
    <w:rsid w:val="00D11660"/>
    <w:rPr>
      <w:sz w:val="16"/>
      <w:szCs w:val="16"/>
    </w:rPr>
  </w:style>
  <w:style w:type="paragraph" w:styleId="Komentarotekstas">
    <w:name w:val="annotation text"/>
    <w:basedOn w:val="prastasis"/>
    <w:link w:val="KomentarotekstasDiagrama"/>
    <w:uiPriority w:val="99"/>
    <w:semiHidden/>
    <w:rsid w:val="00D11660"/>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semiHidden/>
    <w:rsid w:val="00D1166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D11660"/>
    <w:rPr>
      <w:b/>
      <w:bCs/>
    </w:rPr>
  </w:style>
  <w:style w:type="character" w:customStyle="1" w:styleId="KomentarotemaDiagrama">
    <w:name w:val="Komentaro tema Diagrama"/>
    <w:link w:val="Komentarotema"/>
    <w:uiPriority w:val="99"/>
    <w:semiHidden/>
    <w:rsid w:val="00D11660"/>
    <w:rPr>
      <w:rFonts w:ascii="Times New Roman" w:eastAsia="Times New Roman" w:hAnsi="Times New Roman" w:cs="Times New Roman"/>
      <w:b/>
      <w:bCs/>
      <w:sz w:val="20"/>
      <w:szCs w:val="20"/>
      <w:lang w:val="lt-LT"/>
    </w:rPr>
  </w:style>
  <w:style w:type="paragraph" w:customStyle="1" w:styleId="Default">
    <w:name w:val="Default"/>
    <w:rsid w:val="00D11660"/>
    <w:pPr>
      <w:autoSpaceDE w:val="0"/>
      <w:autoSpaceDN w:val="0"/>
      <w:adjustRightInd w:val="0"/>
    </w:pPr>
    <w:rPr>
      <w:rFonts w:ascii="Times New Roman" w:eastAsia="Times New Roman" w:hAnsi="Times New Roman"/>
      <w:color w:val="000000"/>
      <w:sz w:val="24"/>
      <w:szCs w:val="24"/>
    </w:rPr>
  </w:style>
  <w:style w:type="numbering" w:customStyle="1" w:styleId="NoList1">
    <w:name w:val="No List1"/>
    <w:next w:val="Sraonra"/>
    <w:uiPriority w:val="99"/>
    <w:semiHidden/>
    <w:unhideWhenUsed/>
    <w:rsid w:val="00D11660"/>
  </w:style>
  <w:style w:type="character" w:styleId="Puslapioinaosnuoroda">
    <w:name w:val="footnote reference"/>
    <w:uiPriority w:val="99"/>
    <w:rsid w:val="00D11660"/>
    <w:rPr>
      <w:rFonts w:cs="Times New Roman"/>
      <w:vertAlign w:val="superscript"/>
    </w:rPr>
  </w:style>
  <w:style w:type="paragraph" w:styleId="Puslapioinaostekstas">
    <w:name w:val="footnote text"/>
    <w:basedOn w:val="prastasis"/>
    <w:next w:val="prastasis"/>
    <w:link w:val="PuslapioinaostekstasDiagrama"/>
    <w:uiPriority w:val="99"/>
    <w:rsid w:val="00D11660"/>
    <w:pPr>
      <w:spacing w:after="0" w:line="240" w:lineRule="auto"/>
    </w:pPr>
    <w:rPr>
      <w:rFonts w:ascii="TimesLT" w:eastAsia="Times New Roman" w:hAnsi="TimesLT" w:cs="Arial Unicode MS"/>
      <w:sz w:val="20"/>
      <w:szCs w:val="20"/>
      <w:lang w:val="en-GB" w:eastAsia="lt-LT" w:bidi="bo-CN"/>
    </w:rPr>
  </w:style>
  <w:style w:type="character" w:customStyle="1" w:styleId="PuslapioinaostekstasDiagrama">
    <w:name w:val="Puslapio išnašos tekstas Diagrama"/>
    <w:link w:val="Puslapioinaostekstas"/>
    <w:uiPriority w:val="99"/>
    <w:rsid w:val="00D11660"/>
    <w:rPr>
      <w:rFonts w:ascii="TimesLT" w:eastAsia="Times New Roman" w:hAnsi="TimesLT" w:cs="Arial Unicode MS"/>
      <w:sz w:val="20"/>
      <w:szCs w:val="20"/>
      <w:lang w:val="en-GB" w:eastAsia="lt-LT" w:bidi="bo-CN"/>
    </w:rPr>
  </w:style>
  <w:style w:type="paragraph" w:customStyle="1" w:styleId="EnvelopeAddress1">
    <w:name w:val="Envelope Address1"/>
    <w:basedOn w:val="prastasis"/>
    <w:uiPriority w:val="99"/>
    <w:rsid w:val="00D11660"/>
    <w:pPr>
      <w:framePr w:w="7920" w:h="1980" w:hRule="exact" w:hSpace="180" w:wrap="auto" w:hAnchor="page" w:xAlign="center" w:yAlign="bottom"/>
      <w:spacing w:after="0" w:line="240" w:lineRule="auto"/>
      <w:ind w:left="2880"/>
    </w:pPr>
    <w:rPr>
      <w:rFonts w:ascii="TimesLT" w:eastAsia="Times New Roman" w:hAnsi="TimesLT"/>
      <w:sz w:val="24"/>
      <w:szCs w:val="20"/>
      <w:lang w:val="en-GB" w:eastAsia="lt-LT"/>
    </w:rPr>
  </w:style>
  <w:style w:type="paragraph" w:customStyle="1" w:styleId="EnvelopeReturn1">
    <w:name w:val="Envelope Return1"/>
    <w:basedOn w:val="prastasis"/>
    <w:uiPriority w:val="99"/>
    <w:rsid w:val="00D11660"/>
    <w:pPr>
      <w:spacing w:after="0" w:line="240" w:lineRule="auto"/>
    </w:pPr>
    <w:rPr>
      <w:rFonts w:ascii="TimesLT" w:eastAsia="Times New Roman" w:hAnsi="TimesLT"/>
      <w:sz w:val="24"/>
      <w:szCs w:val="20"/>
      <w:lang w:val="en-GB" w:eastAsia="lt-LT"/>
    </w:rPr>
  </w:style>
  <w:style w:type="paragraph" w:customStyle="1" w:styleId="EndnoteText1">
    <w:name w:val="Endnote Text1"/>
    <w:basedOn w:val="prastasis"/>
    <w:uiPriority w:val="99"/>
    <w:rsid w:val="00D11660"/>
    <w:pPr>
      <w:spacing w:after="0" w:line="240" w:lineRule="auto"/>
    </w:pPr>
    <w:rPr>
      <w:rFonts w:ascii="TimesLT" w:eastAsia="Times New Roman" w:hAnsi="TimesLT"/>
      <w:sz w:val="20"/>
      <w:szCs w:val="20"/>
      <w:lang w:val="en-US" w:eastAsia="lt-LT"/>
    </w:rPr>
  </w:style>
  <w:style w:type="paragraph" w:customStyle="1" w:styleId="EMEAHeading1NoIndent">
    <w:name w:val="EMEA Heading 1 No Indent"/>
    <w:basedOn w:val="prastasis"/>
    <w:next w:val="prastasis"/>
    <w:uiPriority w:val="99"/>
    <w:rsid w:val="00D11660"/>
    <w:pPr>
      <w:keepNext/>
      <w:keepLines/>
      <w:spacing w:after="0" w:line="240" w:lineRule="auto"/>
      <w:outlineLvl w:val="0"/>
    </w:pPr>
    <w:rPr>
      <w:rFonts w:ascii="Times New Roman" w:eastAsia="Times New Roman" w:hAnsi="Times New Roman"/>
      <w:b/>
      <w:caps/>
      <w:szCs w:val="20"/>
      <w:lang w:val="en-GB"/>
    </w:rPr>
  </w:style>
  <w:style w:type="paragraph" w:customStyle="1" w:styleId="EMEAHeading1">
    <w:name w:val="EMEA Heading 1"/>
    <w:basedOn w:val="prastasis"/>
    <w:next w:val="prastasis"/>
    <w:uiPriority w:val="99"/>
    <w:rsid w:val="00D11660"/>
    <w:pPr>
      <w:keepNext/>
      <w:keepLines/>
      <w:spacing w:after="0" w:line="240" w:lineRule="auto"/>
      <w:ind w:left="567" w:hanging="567"/>
      <w:outlineLvl w:val="0"/>
    </w:pPr>
    <w:rPr>
      <w:rFonts w:ascii="Times New Roman" w:eastAsia="Times New Roman" w:hAnsi="Times New Roman"/>
      <w:b/>
      <w:caps/>
      <w:szCs w:val="20"/>
      <w:lang w:val="en-GB"/>
    </w:rPr>
  </w:style>
  <w:style w:type="paragraph" w:customStyle="1" w:styleId="TitleA">
    <w:name w:val="Title A"/>
    <w:basedOn w:val="prastasis"/>
    <w:uiPriority w:val="99"/>
    <w:rsid w:val="00D11660"/>
    <w:pPr>
      <w:widowControl w:val="0"/>
      <w:spacing w:after="0" w:line="240" w:lineRule="auto"/>
      <w:jc w:val="center"/>
    </w:pPr>
    <w:rPr>
      <w:rFonts w:ascii="Times New Roman" w:eastAsia="Times New Roman" w:hAnsi="Times New Roman"/>
      <w:b/>
      <w:szCs w:val="20"/>
      <w:lang w:val="en-GB"/>
    </w:rPr>
  </w:style>
  <w:style w:type="character" w:styleId="Perirtashipersaitas">
    <w:name w:val="FollowedHyperlink"/>
    <w:uiPriority w:val="99"/>
    <w:rsid w:val="00D11660"/>
    <w:rPr>
      <w:rFonts w:cs="Times New Roman"/>
      <w:color w:val="606420"/>
      <w:u w:val="single"/>
    </w:rPr>
  </w:style>
  <w:style w:type="character" w:customStyle="1" w:styleId="CharChar10">
    <w:name w:val="Char Char10"/>
    <w:uiPriority w:val="99"/>
    <w:locked/>
    <w:rsid w:val="00D11660"/>
    <w:rPr>
      <w:i/>
      <w:sz w:val="22"/>
      <w:lang w:val="en-US" w:eastAsia="lt-LT"/>
    </w:rPr>
  </w:style>
  <w:style w:type="character" w:customStyle="1" w:styleId="CharChar9">
    <w:name w:val="Char Char9"/>
    <w:uiPriority w:val="99"/>
    <w:locked/>
    <w:rsid w:val="00D11660"/>
    <w:rPr>
      <w:i/>
      <w:sz w:val="22"/>
      <w:lang w:val="lt-LT" w:eastAsia="lt-LT"/>
    </w:rPr>
  </w:style>
  <w:style w:type="character" w:customStyle="1" w:styleId="CharChar8">
    <w:name w:val="Char Char8"/>
    <w:uiPriority w:val="99"/>
    <w:locked/>
    <w:rsid w:val="00D11660"/>
    <w:rPr>
      <w:b/>
      <w:sz w:val="22"/>
      <w:u w:val="single"/>
      <w:lang w:val="lt-LT" w:eastAsia="lt-LT"/>
    </w:rPr>
  </w:style>
  <w:style w:type="character" w:customStyle="1" w:styleId="CharChar7">
    <w:name w:val="Char Char7"/>
    <w:uiPriority w:val="99"/>
    <w:locked/>
    <w:rsid w:val="00D11660"/>
    <w:rPr>
      <w:rFonts w:ascii="TimesLT" w:hAnsi="TimesLT"/>
      <w:sz w:val="24"/>
      <w:lang w:val="en-GB" w:eastAsia="lt-LT"/>
    </w:rPr>
  </w:style>
  <w:style w:type="character" w:customStyle="1" w:styleId="CharChar6">
    <w:name w:val="Char Char6"/>
    <w:uiPriority w:val="99"/>
    <w:locked/>
    <w:rsid w:val="00D11660"/>
    <w:rPr>
      <w:rFonts w:ascii="TimesLT" w:hAnsi="TimesLT"/>
      <w:sz w:val="24"/>
      <w:lang w:val="en-GB" w:eastAsia="lt-LT"/>
    </w:rPr>
  </w:style>
  <w:style w:type="character" w:customStyle="1" w:styleId="CharChar5">
    <w:name w:val="Char Char5"/>
    <w:uiPriority w:val="99"/>
    <w:semiHidden/>
    <w:locked/>
    <w:rsid w:val="00D11660"/>
    <w:rPr>
      <w:rFonts w:ascii="TimesLT" w:hAnsi="TimesLT"/>
      <w:lang w:val="en-GB" w:eastAsia="lt-LT"/>
    </w:rPr>
  </w:style>
  <w:style w:type="paragraph" w:styleId="Dokumentoinaostekstas">
    <w:name w:val="endnote text"/>
    <w:basedOn w:val="prastasis"/>
    <w:link w:val="DokumentoinaostekstasDiagrama"/>
    <w:uiPriority w:val="99"/>
    <w:rsid w:val="00D11660"/>
    <w:pPr>
      <w:spacing w:after="0" w:line="240" w:lineRule="auto"/>
    </w:pPr>
    <w:rPr>
      <w:rFonts w:ascii="TimesLT" w:eastAsia="Times New Roman" w:hAnsi="TimesLT" w:cs="Arial Unicode MS"/>
      <w:sz w:val="20"/>
      <w:szCs w:val="20"/>
      <w:lang w:eastAsia="lt-LT" w:bidi="bo-CN"/>
    </w:rPr>
  </w:style>
  <w:style w:type="character" w:customStyle="1" w:styleId="DokumentoinaostekstasDiagrama">
    <w:name w:val="Dokumento išnašos tekstas Diagrama"/>
    <w:link w:val="Dokumentoinaostekstas"/>
    <w:uiPriority w:val="99"/>
    <w:rsid w:val="00D11660"/>
    <w:rPr>
      <w:rFonts w:ascii="TimesLT" w:eastAsia="Times New Roman" w:hAnsi="TimesLT" w:cs="Arial Unicode MS"/>
      <w:sz w:val="20"/>
      <w:szCs w:val="20"/>
      <w:lang w:val="lt-LT" w:eastAsia="lt-LT" w:bidi="bo-CN"/>
    </w:rPr>
  </w:style>
  <w:style w:type="character" w:customStyle="1" w:styleId="CharChar4">
    <w:name w:val="Char Char4"/>
    <w:uiPriority w:val="99"/>
    <w:locked/>
    <w:rsid w:val="00D11660"/>
    <w:rPr>
      <w:sz w:val="22"/>
      <w:lang w:val="en-US" w:eastAsia="lt-LT"/>
    </w:rPr>
  </w:style>
  <w:style w:type="character" w:customStyle="1" w:styleId="CharChar3">
    <w:name w:val="Char Char3"/>
    <w:uiPriority w:val="99"/>
    <w:semiHidden/>
    <w:locked/>
    <w:rsid w:val="00D11660"/>
    <w:rPr>
      <w:rFonts w:ascii="Tahoma" w:hAnsi="Tahoma"/>
      <w:sz w:val="16"/>
      <w:lang w:val="en-US" w:eastAsia="lt-LT"/>
    </w:rPr>
  </w:style>
  <w:style w:type="character" w:customStyle="1" w:styleId="CharChar2">
    <w:name w:val="Char Char2"/>
    <w:uiPriority w:val="99"/>
    <w:locked/>
    <w:rsid w:val="00D11660"/>
    <w:rPr>
      <w:b/>
      <w:kern w:val="28"/>
      <w:sz w:val="22"/>
      <w:lang w:val="lt-LT" w:eastAsia="lt-LT"/>
    </w:rPr>
  </w:style>
  <w:style w:type="character" w:customStyle="1" w:styleId="CharChar1">
    <w:name w:val="Char Char1"/>
    <w:uiPriority w:val="99"/>
    <w:semiHidden/>
    <w:locked/>
    <w:rsid w:val="00D11660"/>
    <w:rPr>
      <w:rFonts w:ascii="TimesLT" w:hAnsi="TimesLT"/>
      <w:lang w:val="en-US" w:eastAsia="lt-LT"/>
    </w:rPr>
  </w:style>
  <w:style w:type="character" w:customStyle="1" w:styleId="CharChar">
    <w:name w:val="Char Char"/>
    <w:uiPriority w:val="99"/>
    <w:semiHidden/>
    <w:locked/>
    <w:rsid w:val="00D11660"/>
    <w:rPr>
      <w:rFonts w:ascii="TimesLT" w:hAnsi="TimesLT"/>
      <w:b/>
      <w:lang w:val="en-US" w:eastAsia="lt-LT"/>
    </w:rPr>
  </w:style>
  <w:style w:type="character" w:customStyle="1" w:styleId="CharChar71">
    <w:name w:val="Char Char71"/>
    <w:uiPriority w:val="99"/>
    <w:rsid w:val="00D11660"/>
    <w:rPr>
      <w:rFonts w:ascii="TimesLT" w:hAnsi="TimesLT"/>
      <w:sz w:val="24"/>
      <w:lang w:val="en-GB" w:eastAsia="lt-LT"/>
    </w:rPr>
  </w:style>
  <w:style w:type="character" w:customStyle="1" w:styleId="CharChar61">
    <w:name w:val="Char Char61"/>
    <w:uiPriority w:val="99"/>
    <w:rsid w:val="00D11660"/>
    <w:rPr>
      <w:rFonts w:ascii="TimesLT" w:hAnsi="TimesLT"/>
      <w:sz w:val="24"/>
      <w:lang w:val="en-GB" w:eastAsia="lt-LT"/>
    </w:rPr>
  </w:style>
  <w:style w:type="table" w:styleId="Lentelstinklelis">
    <w:name w:val="Table Grid"/>
    <w:basedOn w:val="prastojilentel"/>
    <w:uiPriority w:val="59"/>
    <w:rsid w:val="00D11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11660"/>
    <w:rPr>
      <w:sz w:val="22"/>
      <w:szCs w:val="22"/>
      <w:lang w:eastAsia="en-US"/>
    </w:rPr>
  </w:style>
  <w:style w:type="paragraph" w:styleId="Sraopastraipa">
    <w:name w:val="List Paragraph"/>
    <w:basedOn w:val="prastasis"/>
    <w:uiPriority w:val="34"/>
    <w:qFormat/>
    <w:rsid w:val="00D11660"/>
    <w:pPr>
      <w:ind w:left="720"/>
      <w:contextualSpacing/>
    </w:pPr>
  </w:style>
  <w:style w:type="paragraph" w:customStyle="1" w:styleId="BT-EMEASMCA">
    <w:name w:val="BT- EMEA_SMCA"/>
    <w:basedOn w:val="prastasis"/>
    <w:rsid w:val="00D11660"/>
    <w:pPr>
      <w:numPr>
        <w:numId w:val="27"/>
      </w:numPr>
      <w:spacing w:after="0" w:line="240" w:lineRule="auto"/>
    </w:pPr>
    <w:rPr>
      <w:rFonts w:ascii="Times New Roman" w:hAnsi="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53349</Words>
  <Characters>30409</Characters>
  <Application>Microsoft Office Word</Application>
  <DocSecurity>0</DocSecurity>
  <Lines>253</Lines>
  <Paragraphs>167</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83591</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Birutė Valkauskaitė</cp:lastModifiedBy>
  <cp:revision>2</cp:revision>
  <dcterms:created xsi:type="dcterms:W3CDTF">2022-11-21T12:26:00Z</dcterms:created>
  <dcterms:modified xsi:type="dcterms:W3CDTF">2022-11-21T12:26:00Z</dcterms:modified>
</cp:coreProperties>
</file>