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C69" w:rsidRPr="006305C1" w:rsidRDefault="004A4C69" w:rsidP="004A4C69">
      <w:pPr>
        <w:spacing w:after="0" w:line="240" w:lineRule="auto"/>
        <w:jc w:val="center"/>
        <w:rPr>
          <w:rFonts w:ascii="Times New Roman" w:hAnsi="Times New Roman"/>
          <w:b/>
          <w:caps/>
          <w:lang w:val="lt-LT"/>
        </w:rPr>
      </w:pPr>
      <w:r w:rsidRPr="006305C1">
        <w:rPr>
          <w:rFonts w:ascii="Times New Roman" w:hAnsi="Times New Roman"/>
          <w:b/>
          <w:lang w:val="lt-LT"/>
        </w:rPr>
        <w:t>Pakuotės lapelis: informacija vartotojui</w:t>
      </w:r>
    </w:p>
    <w:p w:rsidR="004A4C69" w:rsidRPr="006305C1" w:rsidRDefault="004A4C69" w:rsidP="004A4C69">
      <w:pPr>
        <w:spacing w:after="0" w:line="240" w:lineRule="auto"/>
        <w:jc w:val="center"/>
        <w:rPr>
          <w:rFonts w:ascii="Times New Roman" w:hAnsi="Times New Roman"/>
          <w:lang w:val="lt-LT"/>
        </w:rPr>
      </w:pPr>
    </w:p>
    <w:p w:rsidR="004A4C69" w:rsidRPr="006305C1" w:rsidRDefault="004A4C69" w:rsidP="004A4C69">
      <w:pPr>
        <w:keepNext/>
        <w:spacing w:after="0" w:line="240" w:lineRule="auto"/>
        <w:jc w:val="center"/>
        <w:outlineLvl w:val="3"/>
        <w:rPr>
          <w:rFonts w:ascii="Times New Roman" w:hAnsi="Times New Roman"/>
          <w:b/>
          <w:lang w:val="lt-LT"/>
        </w:rPr>
      </w:pPr>
      <w:r w:rsidRPr="006305C1">
        <w:rPr>
          <w:rFonts w:ascii="Times New Roman" w:hAnsi="Times New Roman"/>
          <w:b/>
          <w:lang w:val="lt-LT"/>
        </w:rPr>
        <w:t>Midazolam Kalceks 1 mg/ml injekcinis ar infuzinis tirpalas</w:t>
      </w:r>
    </w:p>
    <w:p w:rsidR="004A4C69" w:rsidRPr="006305C1" w:rsidRDefault="004A4C69" w:rsidP="004A4C69">
      <w:pPr>
        <w:keepNext/>
        <w:spacing w:after="0" w:line="240" w:lineRule="auto"/>
        <w:jc w:val="center"/>
        <w:outlineLvl w:val="3"/>
        <w:rPr>
          <w:rFonts w:ascii="Times New Roman" w:hAnsi="Times New Roman"/>
          <w:b/>
          <w:lang w:val="lt-LT" w:eastAsia="lt-LT"/>
        </w:rPr>
      </w:pPr>
      <w:r w:rsidRPr="006305C1">
        <w:rPr>
          <w:rFonts w:ascii="Times New Roman" w:hAnsi="Times New Roman"/>
          <w:b/>
          <w:lang w:val="lt-LT"/>
        </w:rPr>
        <w:t>Midazolam Kalceks 5 mg/ml injekcinis ar infuzinis tirpalas</w:t>
      </w:r>
    </w:p>
    <w:p w:rsidR="004A4C69" w:rsidRPr="006305C1" w:rsidRDefault="004A4C69" w:rsidP="004A4C69">
      <w:pPr>
        <w:spacing w:after="0" w:line="240" w:lineRule="auto"/>
        <w:jc w:val="center"/>
        <w:rPr>
          <w:rFonts w:ascii="Times New Roman" w:hAnsi="Times New Roman"/>
          <w:lang w:val="lt-LT"/>
        </w:rPr>
      </w:pPr>
    </w:p>
    <w:p w:rsidR="004A4C69" w:rsidRPr="006305C1" w:rsidRDefault="004A4C69" w:rsidP="004A4C69">
      <w:pPr>
        <w:spacing w:after="0" w:line="240" w:lineRule="auto"/>
        <w:jc w:val="center"/>
        <w:rPr>
          <w:rFonts w:ascii="Times New Roman" w:hAnsi="Times New Roman"/>
          <w:lang w:val="lt-LT" w:eastAsia="lt-LT"/>
        </w:rPr>
      </w:pPr>
      <w:r w:rsidRPr="006305C1">
        <w:rPr>
          <w:rFonts w:ascii="Times New Roman" w:hAnsi="Times New Roman"/>
          <w:lang w:val="lt-LT"/>
        </w:rPr>
        <w:t>midazolamas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uppressAutoHyphens/>
        <w:spacing w:after="0" w:line="240" w:lineRule="auto"/>
        <w:ind w:left="142" w:hanging="142"/>
        <w:rPr>
          <w:rFonts w:ascii="Times New Roman" w:hAnsi="Times New Roman"/>
          <w:b/>
          <w:lang w:val="lt-LT" w:eastAsia="lt-LT"/>
        </w:rPr>
      </w:pPr>
      <w:r w:rsidRPr="006305C1">
        <w:rPr>
          <w:rFonts w:ascii="Times New Roman" w:hAnsi="Times New Roman"/>
          <w:b/>
          <w:lang w:val="lt-LT"/>
        </w:rPr>
        <w:t>Atidžiai perskaitykite visą šį lapelį, prieš pradėdami vartoti vaistą, nes jame pateikiama Jums svarbi informacija.</w:t>
      </w:r>
    </w:p>
    <w:p w:rsidR="004A4C69" w:rsidRPr="006305C1" w:rsidRDefault="004A4C69" w:rsidP="004A4C69">
      <w:pPr>
        <w:numPr>
          <w:ilvl w:val="0"/>
          <w:numId w:val="4"/>
        </w:numPr>
        <w:spacing w:after="0" w:line="240" w:lineRule="auto"/>
        <w:ind w:left="567" w:hanging="567"/>
        <w:rPr>
          <w:rFonts w:ascii="Times New Roman" w:hAnsi="Times New Roman"/>
          <w:lang w:val="lt-LT" w:eastAsia="lt-LT"/>
        </w:rPr>
      </w:pPr>
      <w:r w:rsidRPr="006305C1">
        <w:rPr>
          <w:rFonts w:ascii="Times New Roman" w:hAnsi="Times New Roman"/>
          <w:lang w:val="lt-LT"/>
        </w:rPr>
        <w:t>Neišmeskite šio lapelio, nes vėl gali prireikti jį perskaityti.</w:t>
      </w:r>
    </w:p>
    <w:p w:rsidR="004A4C69" w:rsidRPr="006305C1" w:rsidRDefault="004A4C69" w:rsidP="004A4C69">
      <w:pPr>
        <w:numPr>
          <w:ilvl w:val="0"/>
          <w:numId w:val="4"/>
        </w:numPr>
        <w:spacing w:after="0" w:line="240" w:lineRule="auto"/>
        <w:ind w:left="567" w:hanging="567"/>
        <w:rPr>
          <w:rFonts w:ascii="Times New Roman" w:hAnsi="Times New Roman"/>
          <w:lang w:val="lt-LT" w:eastAsia="lt-LT"/>
        </w:rPr>
      </w:pPr>
      <w:r w:rsidRPr="006305C1">
        <w:rPr>
          <w:rFonts w:ascii="Times New Roman" w:hAnsi="Times New Roman"/>
          <w:lang w:val="lt-LT"/>
        </w:rPr>
        <w:t>Jeigu kiltų daugiau klausimų, kreipkitės į gydytoją arba slaugytoją.</w:t>
      </w:r>
    </w:p>
    <w:p w:rsidR="004A4C69" w:rsidRPr="006305C1" w:rsidRDefault="004A4C69" w:rsidP="004A4C69">
      <w:pPr>
        <w:numPr>
          <w:ilvl w:val="0"/>
          <w:numId w:val="4"/>
        </w:numPr>
        <w:spacing w:after="0" w:line="240" w:lineRule="auto"/>
        <w:ind w:left="567" w:hanging="567"/>
        <w:rPr>
          <w:rFonts w:ascii="Times New Roman" w:hAnsi="Times New Roman"/>
          <w:lang w:val="lt-LT" w:eastAsia="lt-LT"/>
        </w:rPr>
      </w:pPr>
      <w:r w:rsidRPr="006305C1">
        <w:rPr>
          <w:rFonts w:ascii="Times New Roman" w:hAnsi="Times New Roman"/>
          <w:lang w:val="lt-LT"/>
        </w:rPr>
        <w:t>Jeigu pasireiškė šalutinis poveikis (net jeigu jis šiame lapelyje nenurodytas), kreipkitės į gydytoją arba slaugytoją. Žr. 4</w:t>
      </w:r>
      <w:r>
        <w:rPr>
          <w:rFonts w:ascii="Times New Roman" w:hAnsi="Times New Roman"/>
          <w:lang w:val="lt-LT"/>
        </w:rPr>
        <w:t> </w:t>
      </w:r>
      <w:r w:rsidRPr="006305C1">
        <w:rPr>
          <w:rFonts w:ascii="Times New Roman" w:hAnsi="Times New Roman"/>
          <w:lang w:val="lt-LT"/>
        </w:rPr>
        <w:t>skyrių.</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keepNext/>
        <w:keepLines/>
        <w:spacing w:after="0" w:line="240" w:lineRule="auto"/>
        <w:outlineLvl w:val="3"/>
        <w:rPr>
          <w:rFonts w:ascii="Times New Roman" w:hAnsi="Times New Roman"/>
          <w:b/>
          <w:lang w:val="lt-LT" w:eastAsia="lt-LT"/>
        </w:rPr>
      </w:pPr>
      <w:r w:rsidRPr="006305C1">
        <w:rPr>
          <w:rFonts w:ascii="Times New Roman" w:hAnsi="Times New Roman"/>
          <w:b/>
          <w:lang w:val="lt-LT"/>
        </w:rPr>
        <w:t>Apie ką rašoma šiame lapelyje?</w:t>
      </w:r>
    </w:p>
    <w:p w:rsidR="004A4C69" w:rsidRPr="006305C1" w:rsidRDefault="004A4C69" w:rsidP="004A4C69">
      <w:pPr>
        <w:spacing w:after="0" w:line="240" w:lineRule="auto"/>
        <w:ind w:left="567" w:hanging="567"/>
        <w:rPr>
          <w:rFonts w:ascii="Times New Roman" w:hAnsi="Times New Roman"/>
          <w:lang w:val="lt-LT" w:eastAsia="lt-LT"/>
        </w:rPr>
      </w:pPr>
      <w:r w:rsidRPr="006305C1">
        <w:rPr>
          <w:rFonts w:ascii="Times New Roman" w:hAnsi="Times New Roman"/>
          <w:lang w:val="lt-LT"/>
        </w:rPr>
        <w:t>1.</w:t>
      </w:r>
      <w:r w:rsidRPr="006305C1">
        <w:rPr>
          <w:rFonts w:ascii="Times New Roman" w:hAnsi="Times New Roman"/>
          <w:lang w:val="lt-LT"/>
        </w:rPr>
        <w:tab/>
        <w:t>Kas yra Midazolam Kalceks ir kam jis vartojamas</w:t>
      </w:r>
    </w:p>
    <w:p w:rsidR="004A4C69" w:rsidRPr="006305C1" w:rsidRDefault="004A4C69" w:rsidP="004A4C69">
      <w:pPr>
        <w:spacing w:after="0" w:line="240" w:lineRule="auto"/>
        <w:ind w:left="567" w:hanging="567"/>
        <w:rPr>
          <w:rFonts w:ascii="Times New Roman" w:hAnsi="Times New Roman"/>
          <w:lang w:val="lt-LT" w:eastAsia="lt-LT"/>
        </w:rPr>
      </w:pPr>
      <w:r w:rsidRPr="006305C1">
        <w:rPr>
          <w:rFonts w:ascii="Times New Roman" w:hAnsi="Times New Roman"/>
          <w:lang w:val="lt-LT"/>
        </w:rPr>
        <w:t>2.</w:t>
      </w:r>
      <w:r w:rsidRPr="006305C1">
        <w:rPr>
          <w:rFonts w:ascii="Times New Roman" w:hAnsi="Times New Roman"/>
          <w:lang w:val="lt-LT"/>
        </w:rPr>
        <w:tab/>
        <w:t>Kas žinotina prieš Jums leidžiant Midazolam Kalceks</w:t>
      </w:r>
    </w:p>
    <w:p w:rsidR="004A4C69" w:rsidRPr="006305C1" w:rsidRDefault="004A4C69" w:rsidP="004A4C69">
      <w:pPr>
        <w:spacing w:after="0" w:line="240" w:lineRule="auto"/>
        <w:ind w:left="567" w:hanging="567"/>
        <w:rPr>
          <w:rFonts w:ascii="Times New Roman" w:hAnsi="Times New Roman"/>
          <w:lang w:val="lt-LT" w:eastAsia="lt-LT"/>
        </w:rPr>
      </w:pPr>
      <w:r w:rsidRPr="006305C1">
        <w:rPr>
          <w:rFonts w:ascii="Times New Roman" w:hAnsi="Times New Roman"/>
          <w:lang w:val="lt-LT"/>
        </w:rPr>
        <w:t>3.</w:t>
      </w:r>
      <w:r w:rsidRPr="006305C1">
        <w:rPr>
          <w:rFonts w:ascii="Times New Roman" w:hAnsi="Times New Roman"/>
          <w:lang w:val="lt-LT"/>
        </w:rPr>
        <w:tab/>
        <w:t>Kaip leisti Midazolam Kalceks</w:t>
      </w:r>
    </w:p>
    <w:p w:rsidR="004A4C69" w:rsidRPr="006305C1" w:rsidRDefault="004A4C69" w:rsidP="004A4C69">
      <w:pPr>
        <w:spacing w:after="0" w:line="240" w:lineRule="auto"/>
        <w:ind w:left="567" w:hanging="567"/>
        <w:rPr>
          <w:rFonts w:ascii="Times New Roman" w:hAnsi="Times New Roman"/>
          <w:lang w:val="lt-LT" w:eastAsia="lt-LT"/>
        </w:rPr>
      </w:pPr>
      <w:r w:rsidRPr="006305C1">
        <w:rPr>
          <w:rFonts w:ascii="Times New Roman" w:hAnsi="Times New Roman"/>
          <w:lang w:val="lt-LT"/>
        </w:rPr>
        <w:t>4.</w:t>
      </w:r>
      <w:r w:rsidRPr="006305C1">
        <w:rPr>
          <w:rFonts w:ascii="Times New Roman" w:hAnsi="Times New Roman"/>
          <w:lang w:val="lt-LT"/>
        </w:rPr>
        <w:tab/>
        <w:t>Galimas šalutinis poveikis</w:t>
      </w:r>
    </w:p>
    <w:p w:rsidR="004A4C69" w:rsidRPr="006305C1" w:rsidRDefault="004A4C69" w:rsidP="004A4C69">
      <w:pPr>
        <w:spacing w:after="0" w:line="240" w:lineRule="auto"/>
        <w:ind w:left="567" w:hanging="567"/>
        <w:rPr>
          <w:rFonts w:ascii="Times New Roman" w:hAnsi="Times New Roman"/>
          <w:lang w:val="lt-LT" w:eastAsia="lt-LT"/>
        </w:rPr>
      </w:pPr>
      <w:r w:rsidRPr="006305C1">
        <w:rPr>
          <w:rFonts w:ascii="Times New Roman" w:hAnsi="Times New Roman"/>
          <w:lang w:val="lt-LT"/>
        </w:rPr>
        <w:t>5.</w:t>
      </w:r>
      <w:r w:rsidRPr="006305C1">
        <w:rPr>
          <w:rFonts w:ascii="Times New Roman" w:hAnsi="Times New Roman"/>
          <w:lang w:val="lt-LT"/>
        </w:rPr>
        <w:tab/>
        <w:t>Kaip laikyti Midazolam Kalceks</w:t>
      </w:r>
    </w:p>
    <w:p w:rsidR="004A4C69" w:rsidRPr="006305C1" w:rsidRDefault="004A4C69" w:rsidP="004A4C69">
      <w:pPr>
        <w:spacing w:after="0" w:line="240" w:lineRule="auto"/>
        <w:ind w:left="567" w:hanging="567"/>
        <w:rPr>
          <w:rFonts w:ascii="Times New Roman" w:hAnsi="Times New Roman"/>
          <w:lang w:val="lt-LT" w:eastAsia="lt-LT"/>
        </w:rPr>
      </w:pPr>
      <w:r w:rsidRPr="006305C1">
        <w:rPr>
          <w:rFonts w:ascii="Times New Roman" w:hAnsi="Times New Roman"/>
          <w:lang w:val="lt-LT"/>
        </w:rPr>
        <w:t>6.</w:t>
      </w:r>
      <w:r w:rsidRPr="006305C1">
        <w:rPr>
          <w:rFonts w:ascii="Times New Roman" w:hAnsi="Times New Roman"/>
          <w:lang w:val="lt-LT"/>
        </w:rPr>
        <w:tab/>
        <w:t>Pakuotės turinys ir kita informacija</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numPr>
          <w:ilvl w:val="12"/>
          <w:numId w:val="0"/>
        </w:numPr>
        <w:spacing w:after="0" w:line="240" w:lineRule="auto"/>
        <w:ind w:left="567" w:hanging="567"/>
        <w:outlineLvl w:val="0"/>
        <w:rPr>
          <w:rFonts w:ascii="Times New Roman" w:hAnsi="Times New Roman"/>
          <w:lang w:val="lt-LT" w:eastAsia="lt-LT"/>
        </w:rPr>
      </w:pPr>
      <w:r w:rsidRPr="006305C1">
        <w:rPr>
          <w:rFonts w:ascii="Times New Roman" w:hAnsi="Times New Roman"/>
          <w:b/>
          <w:lang w:val="lt-LT"/>
        </w:rPr>
        <w:t>1.</w:t>
      </w:r>
      <w:r w:rsidRPr="006305C1">
        <w:rPr>
          <w:rFonts w:ascii="Times New Roman" w:hAnsi="Times New Roman"/>
          <w:b/>
          <w:lang w:val="lt-LT"/>
        </w:rPr>
        <w:tab/>
        <w:t>Kas yra Midazolam Kalceks ir kam jis vartojamas</w:t>
      </w:r>
    </w:p>
    <w:p w:rsidR="004A4C69" w:rsidRPr="006305C1" w:rsidRDefault="004A4C69" w:rsidP="004A4C69">
      <w:pPr>
        <w:numPr>
          <w:ilvl w:val="12"/>
          <w:numId w:val="0"/>
        </w:numPr>
        <w:spacing w:after="0" w:line="240" w:lineRule="auto"/>
        <w:outlineLvl w:val="0"/>
        <w:rPr>
          <w:rFonts w:ascii="Times New Roman" w:hAnsi="Times New Roman"/>
          <w:lang w:val="lt-LT"/>
        </w:rPr>
      </w:pPr>
    </w:p>
    <w:p w:rsidR="004A4C69" w:rsidRPr="006305C1" w:rsidRDefault="004A4C69" w:rsidP="004A4C69">
      <w:pPr>
        <w:numPr>
          <w:ilvl w:val="12"/>
          <w:numId w:val="0"/>
        </w:numPr>
        <w:spacing w:after="0" w:line="240" w:lineRule="auto"/>
        <w:outlineLvl w:val="0"/>
        <w:rPr>
          <w:rFonts w:ascii="Times New Roman" w:hAnsi="Times New Roman"/>
          <w:lang w:val="lt-LT" w:eastAsia="lt-LT"/>
        </w:rPr>
      </w:pPr>
      <w:r w:rsidRPr="006305C1">
        <w:rPr>
          <w:rFonts w:ascii="Times New Roman" w:hAnsi="Times New Roman"/>
          <w:lang w:val="lt-LT"/>
        </w:rPr>
        <w:t>Midazolam</w:t>
      </w:r>
      <w:r>
        <w:rPr>
          <w:rFonts w:ascii="Times New Roman" w:hAnsi="Times New Roman"/>
          <w:lang w:val="lt-LT"/>
        </w:rPr>
        <w:t>as</w:t>
      </w:r>
      <w:r w:rsidRPr="006305C1">
        <w:rPr>
          <w:rFonts w:ascii="Times New Roman" w:hAnsi="Times New Roman"/>
          <w:lang w:val="lt-LT"/>
        </w:rPr>
        <w:t xml:space="preserve"> priklauso raminamųjų vaistų, vadinamų benzodiazepinais, grupei. Tai trumpo veikimo vaistas, vartojamas raminamajam poveikiui (ramybės, mieguistumo ar miego būsenai) sukelti, nerimui bei raumenų įtampai palengvinti. Šis vaistas vartojamas:</w:t>
      </w:r>
    </w:p>
    <w:p w:rsidR="004A4C69" w:rsidRPr="006305C1" w:rsidRDefault="004A4C69" w:rsidP="004A4C69">
      <w:pPr>
        <w:numPr>
          <w:ilvl w:val="0"/>
          <w:numId w:val="6"/>
        </w:numPr>
        <w:tabs>
          <w:tab w:val="clear" w:pos="570"/>
        </w:tabs>
        <w:spacing w:after="0" w:line="240" w:lineRule="auto"/>
        <w:rPr>
          <w:rFonts w:ascii="Times New Roman" w:hAnsi="Times New Roman"/>
          <w:lang w:val="lt-LT" w:eastAsia="lt-LT"/>
        </w:rPr>
      </w:pPr>
      <w:r w:rsidRPr="006305C1">
        <w:rPr>
          <w:rFonts w:ascii="Times New Roman" w:hAnsi="Times New Roman"/>
          <w:lang w:val="lt-LT"/>
        </w:rPr>
        <w:t>sukelti raminamajam poveikiui su sąmone (ramybės ar mieguistumo būsena) suaugusiesiems ir vaikams;</w:t>
      </w:r>
    </w:p>
    <w:p w:rsidR="004A4C69" w:rsidRPr="006305C1" w:rsidRDefault="004A4C69" w:rsidP="004A4C69">
      <w:pPr>
        <w:numPr>
          <w:ilvl w:val="0"/>
          <w:numId w:val="6"/>
        </w:numPr>
        <w:tabs>
          <w:tab w:val="clear" w:pos="570"/>
        </w:tabs>
        <w:spacing w:after="0" w:line="240" w:lineRule="auto"/>
        <w:rPr>
          <w:rFonts w:ascii="Times New Roman" w:hAnsi="Times New Roman"/>
          <w:lang w:val="lt-LT" w:eastAsia="lt-LT"/>
        </w:rPr>
      </w:pPr>
      <w:r w:rsidRPr="006305C1">
        <w:rPr>
          <w:rFonts w:ascii="Times New Roman" w:hAnsi="Times New Roman"/>
          <w:lang w:val="lt-LT"/>
        </w:rPr>
        <w:t>nuraminti, gydant intensyviosios terapijos skyriuje, suaugusiesiems ir vaikams;</w:t>
      </w:r>
    </w:p>
    <w:p w:rsidR="004A4C69" w:rsidRPr="006305C1" w:rsidRDefault="004A4C69" w:rsidP="004A4C69">
      <w:pPr>
        <w:numPr>
          <w:ilvl w:val="0"/>
          <w:numId w:val="6"/>
        </w:numPr>
        <w:tabs>
          <w:tab w:val="clear" w:pos="570"/>
        </w:tabs>
        <w:spacing w:after="0" w:line="240" w:lineRule="auto"/>
        <w:rPr>
          <w:rFonts w:ascii="Times New Roman" w:hAnsi="Times New Roman"/>
          <w:lang w:val="lt-LT" w:eastAsia="lt-LT"/>
        </w:rPr>
      </w:pPr>
      <w:r w:rsidRPr="006305C1">
        <w:rPr>
          <w:rFonts w:ascii="Times New Roman" w:hAnsi="Times New Roman"/>
          <w:lang w:val="lt-LT"/>
        </w:rPr>
        <w:t>anestezijai suaugusiesiems (parengtiniam gydymui (premedikacijai) prieš sukeliant nejautrą, nejautrai sukelti, kaip raminamasis vaistas kartu su kitais vaistais sukeliant nejautrą);</w:t>
      </w:r>
    </w:p>
    <w:p w:rsidR="004A4C69" w:rsidRPr="006305C1" w:rsidRDefault="004A4C69" w:rsidP="004A4C69">
      <w:pPr>
        <w:numPr>
          <w:ilvl w:val="0"/>
          <w:numId w:val="6"/>
        </w:numPr>
        <w:tabs>
          <w:tab w:val="clear" w:pos="570"/>
        </w:tabs>
        <w:spacing w:after="0" w:line="240" w:lineRule="auto"/>
        <w:rPr>
          <w:rFonts w:ascii="Times New Roman" w:hAnsi="Times New Roman"/>
          <w:lang w:val="lt-LT" w:eastAsia="lt-LT"/>
        </w:rPr>
      </w:pPr>
      <w:r w:rsidRPr="006305C1">
        <w:rPr>
          <w:rFonts w:ascii="Times New Roman" w:hAnsi="Times New Roman"/>
          <w:lang w:val="lt-LT"/>
        </w:rPr>
        <w:t xml:space="preserve">nuraminti vaikams prieš sukeliant nejautrą. </w:t>
      </w:r>
    </w:p>
    <w:p w:rsidR="004A4C69" w:rsidRPr="006305C1" w:rsidRDefault="004A4C69" w:rsidP="004A4C69">
      <w:pPr>
        <w:spacing w:after="0" w:line="240" w:lineRule="auto"/>
        <w:outlineLvl w:val="0"/>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keepNext/>
        <w:spacing w:after="0" w:line="240" w:lineRule="auto"/>
        <w:ind w:left="567" w:hanging="567"/>
        <w:outlineLvl w:val="1"/>
        <w:rPr>
          <w:rFonts w:ascii="Times New Roman" w:hAnsi="Times New Roman"/>
          <w:b/>
          <w:lang w:val="lt-LT" w:eastAsia="lt-LT"/>
        </w:rPr>
      </w:pPr>
      <w:bookmarkStart w:id="0" w:name="_Toc129243140"/>
      <w:bookmarkStart w:id="1" w:name="_Toc129243265"/>
      <w:r w:rsidRPr="006305C1">
        <w:rPr>
          <w:rFonts w:ascii="Times New Roman" w:hAnsi="Times New Roman"/>
          <w:b/>
          <w:lang w:val="lt-LT"/>
        </w:rPr>
        <w:t>2.</w:t>
      </w:r>
      <w:r w:rsidRPr="006305C1">
        <w:rPr>
          <w:rFonts w:ascii="Times New Roman" w:hAnsi="Times New Roman"/>
          <w:b/>
          <w:lang w:val="lt-LT"/>
        </w:rPr>
        <w:tab/>
        <w:t xml:space="preserve">Kas žinotina prieš leidžiant </w:t>
      </w:r>
      <w:bookmarkEnd w:id="0"/>
      <w:bookmarkEnd w:id="1"/>
      <w:r w:rsidRPr="006305C1">
        <w:rPr>
          <w:rFonts w:ascii="Times New Roman" w:hAnsi="Times New Roman"/>
          <w:b/>
          <w:lang w:val="lt-LT"/>
        </w:rPr>
        <w:t>Midazolam Kalceks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Midazolam Kalceks Jums leisti draudžiama:</w:t>
      </w:r>
    </w:p>
    <w:p w:rsidR="004A4C69" w:rsidRPr="006305C1" w:rsidRDefault="004A4C69" w:rsidP="004A4C69">
      <w:pPr>
        <w:numPr>
          <w:ilvl w:val="0"/>
          <w:numId w:val="5"/>
        </w:numPr>
        <w:spacing w:after="0" w:line="240" w:lineRule="auto"/>
        <w:ind w:left="567" w:hanging="567"/>
        <w:rPr>
          <w:rFonts w:ascii="Times New Roman" w:hAnsi="Times New Roman"/>
          <w:lang w:val="lt-LT" w:eastAsia="lt-LT"/>
        </w:rPr>
      </w:pPr>
      <w:r w:rsidRPr="006305C1">
        <w:rPr>
          <w:rFonts w:ascii="Times New Roman" w:hAnsi="Times New Roman"/>
          <w:lang w:val="lt-LT"/>
        </w:rPr>
        <w:t>jeigu yra alergija (padidėjęs jautrumas) midazolamui, kitiems benzodiazepinams arba bet kuriai pagalbinei šio vaisto medžiagai (jos išvardytos 6</w:t>
      </w:r>
      <w:r>
        <w:rPr>
          <w:rFonts w:ascii="Times New Roman" w:hAnsi="Times New Roman"/>
          <w:lang w:val="lt-LT"/>
        </w:rPr>
        <w:t> </w:t>
      </w:r>
      <w:r w:rsidRPr="006305C1">
        <w:rPr>
          <w:rFonts w:ascii="Times New Roman" w:hAnsi="Times New Roman"/>
          <w:lang w:val="lt-LT"/>
        </w:rPr>
        <w:t>skyriuje);</w:t>
      </w:r>
    </w:p>
    <w:p w:rsidR="004A4C69" w:rsidRPr="006305C1" w:rsidRDefault="004A4C69" w:rsidP="004A4C69">
      <w:pPr>
        <w:numPr>
          <w:ilvl w:val="0"/>
          <w:numId w:val="5"/>
        </w:numPr>
        <w:spacing w:after="0" w:line="240" w:lineRule="auto"/>
        <w:ind w:left="567" w:hanging="567"/>
        <w:rPr>
          <w:rFonts w:ascii="Times New Roman" w:hAnsi="Times New Roman"/>
          <w:lang w:val="lt-LT" w:eastAsia="lt-LT"/>
        </w:rPr>
      </w:pPr>
      <w:r w:rsidRPr="006305C1">
        <w:rPr>
          <w:rFonts w:ascii="Times New Roman" w:hAnsi="Times New Roman"/>
          <w:lang w:val="lt-LT"/>
        </w:rPr>
        <w:t>jeigu Jums reikia sukelti raminamajį poveikį su sąmone, o Jums sunkiai sutrikęs kvėpavimas.</w:t>
      </w:r>
    </w:p>
    <w:p w:rsidR="004A4C69" w:rsidRPr="006305C1" w:rsidRDefault="004A4C69" w:rsidP="004A4C69">
      <w:pPr>
        <w:spacing w:after="0" w:line="240" w:lineRule="auto"/>
        <w:rPr>
          <w:rFonts w:ascii="Times New Roman" w:hAnsi="Times New Roman"/>
          <w:b/>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Įspėjimai ir atsargumo priemonės: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Pasitarkite su gydytoju arba slaugytoja prieš Jums leidžiant Midazolam Kalceks, jeigu:</w:t>
      </w:r>
    </w:p>
    <w:p w:rsidR="004A4C69" w:rsidRPr="006305C1" w:rsidRDefault="004A4C69" w:rsidP="004A4C69">
      <w:pPr>
        <w:numPr>
          <w:ilvl w:val="0"/>
          <w:numId w:val="3"/>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esate vyresnis nei 60 metų;</w:t>
      </w:r>
    </w:p>
    <w:p w:rsidR="004A4C69" w:rsidRPr="006305C1" w:rsidRDefault="004A4C69" w:rsidP="004A4C69">
      <w:pPr>
        <w:numPr>
          <w:ilvl w:val="0"/>
          <w:numId w:val="3"/>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Jus kamuoja ilgai trunkanti liga (pvz., lėtinė kvėpavimo sistemos, inkstų, kepenų ar širdies liga) ar esate nusilpęs;</w:t>
      </w:r>
    </w:p>
    <w:p w:rsidR="004A4C69" w:rsidRPr="006305C1" w:rsidRDefault="004A4C69" w:rsidP="004A4C69">
      <w:pPr>
        <w:numPr>
          <w:ilvl w:val="0"/>
          <w:numId w:val="3"/>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sergate generalizuota miastenija (</w:t>
      </w:r>
      <w:r w:rsidRPr="006305C1">
        <w:rPr>
          <w:rFonts w:ascii="Times New Roman" w:hAnsi="Times New Roman"/>
          <w:i/>
          <w:lang w:val="lt-LT"/>
        </w:rPr>
        <w:t>myasthenia gravis</w:t>
      </w:r>
      <w:r w:rsidRPr="006305C1">
        <w:rPr>
          <w:rFonts w:ascii="Times New Roman" w:hAnsi="Times New Roman"/>
          <w:lang w:val="lt-LT"/>
        </w:rPr>
        <w:t>) (nervų ir raumenų liga, sukelianti raumenų silpnumą);</w:t>
      </w:r>
    </w:p>
    <w:p w:rsidR="004A4C69" w:rsidRPr="006305C1" w:rsidRDefault="004A4C69" w:rsidP="004A4C69">
      <w:pPr>
        <w:numPr>
          <w:ilvl w:val="0"/>
          <w:numId w:val="3"/>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piktnaudžiavote alkoholiu ar vaistais;</w:t>
      </w:r>
    </w:p>
    <w:p w:rsidR="004A4C69" w:rsidRPr="006305C1" w:rsidRDefault="004A4C69" w:rsidP="004A4C69">
      <w:pPr>
        <w:numPr>
          <w:ilvl w:val="0"/>
          <w:numId w:val="3"/>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vartojate bet kokių kitų vaistų, įskaitant tuos, kurių nepaskyrė gydytojas (žr. skyrių „</w:t>
      </w:r>
      <w:r w:rsidRPr="00C9343B">
        <w:rPr>
          <w:rFonts w:ascii="Times New Roman" w:hAnsi="Times New Roman"/>
          <w:lang w:val="lt-LT"/>
        </w:rPr>
        <w:t>Kiti vaistai ir Midazolam Kalceks</w:t>
      </w:r>
      <w:r w:rsidRPr="006305C1">
        <w:rPr>
          <w:rFonts w:ascii="Times New Roman" w:hAnsi="Times New Roman"/>
          <w:lang w:val="lt-LT"/>
        </w:rPr>
        <w:t>“);</w:t>
      </w:r>
    </w:p>
    <w:p w:rsidR="004A4C69" w:rsidRPr="006305C1" w:rsidRDefault="004A4C69" w:rsidP="004A4C69">
      <w:pPr>
        <w:pStyle w:val="Style10"/>
        <w:widowControl/>
        <w:numPr>
          <w:ilvl w:val="0"/>
          <w:numId w:val="9"/>
        </w:numPr>
        <w:ind w:left="567" w:hanging="567"/>
        <w:rPr>
          <w:rStyle w:val="FontStyle14"/>
          <w:sz w:val="22"/>
          <w:szCs w:val="22"/>
          <w:lang w:val="lt-LT"/>
        </w:rPr>
      </w:pPr>
      <w:r w:rsidRPr="006305C1">
        <w:rPr>
          <w:rFonts w:cs="Times New Roman"/>
          <w:sz w:val="22"/>
          <w:szCs w:val="22"/>
          <w:lang w:val="lt-LT"/>
        </w:rPr>
        <w:t>Jūsų kvėpavimas kartais sustoja, kai miegate;</w:t>
      </w:r>
    </w:p>
    <w:p w:rsidR="004A4C69" w:rsidRPr="006305C1" w:rsidRDefault="004A4C69" w:rsidP="004A4C69">
      <w:pPr>
        <w:numPr>
          <w:ilvl w:val="0"/>
          <w:numId w:val="3"/>
        </w:numPr>
        <w:tabs>
          <w:tab w:val="clear" w:pos="360"/>
        </w:tabs>
        <w:spacing w:after="0" w:line="240" w:lineRule="auto"/>
        <w:ind w:left="567" w:hanging="567"/>
        <w:rPr>
          <w:rFonts w:ascii="Times New Roman" w:hAnsi="Times New Roman"/>
          <w:lang w:val="lt-LT" w:eastAsia="lt-LT"/>
        </w:rPr>
      </w:pPr>
      <w:r w:rsidRPr="006305C1">
        <w:rPr>
          <w:rFonts w:ascii="Times New Roman" w:hAnsi="Times New Roman"/>
          <w:lang w:val="lt-LT"/>
        </w:rPr>
        <w:t>esate nėščia arba manote, kad galite būti nėščia.</w:t>
      </w:r>
    </w:p>
    <w:p w:rsidR="004A4C69" w:rsidRPr="006305C1" w:rsidRDefault="004A4C69" w:rsidP="004A4C69">
      <w:pPr>
        <w:spacing w:after="0" w:line="240" w:lineRule="auto"/>
        <w:ind w:left="567" w:hanging="567"/>
        <w:rPr>
          <w:rFonts w:ascii="Times New Roman" w:hAnsi="Times New Roman"/>
          <w:lang w:val="lt-LT"/>
        </w:rPr>
      </w:pPr>
    </w:p>
    <w:p w:rsidR="004A4C69" w:rsidRPr="006305C1" w:rsidRDefault="004A4C69" w:rsidP="004A4C69">
      <w:pPr>
        <w:autoSpaceDE w:val="0"/>
        <w:autoSpaceDN w:val="0"/>
        <w:adjustRightInd w:val="0"/>
        <w:spacing w:after="0" w:line="240" w:lineRule="auto"/>
        <w:rPr>
          <w:rFonts w:ascii="Times New Roman" w:hAnsi="Times New Roman"/>
          <w:lang w:val="lt-LT"/>
        </w:rPr>
      </w:pPr>
      <w:r w:rsidRPr="006305C1">
        <w:rPr>
          <w:rFonts w:ascii="Times New Roman" w:hAnsi="Times New Roman"/>
          <w:lang w:val="lt-LT"/>
        </w:rPr>
        <w:lastRenderedPageBreak/>
        <w:t>Midazolam Kalceks turi būti vartojamas tik tuomet, kai yra atitinkamo amžiaus ir dydžio reanimavimo priemonės. Midazolamo vartojimas gali slopinti miokardo susitraukimus ir sukelti apnėją (kvėpavimo sustojimus). Retais atvejais pasireiškė sunkių širdies ir kvėpavimo sistemos komplikacijų, įskaitant kvėpavimo slopinimą, apnėją, kvėpavimo ir (arba) širdies sustojimą. Norint išvengti tokių komplikacijų, vaistą reikia leisti lėtai, o paskirta dozė turi būti kuo mažesnė.</w:t>
      </w:r>
    </w:p>
    <w:p w:rsidR="004A4C69" w:rsidRPr="006305C1" w:rsidRDefault="004A4C69" w:rsidP="004A4C69">
      <w:pPr>
        <w:autoSpaceDE w:val="0"/>
        <w:autoSpaceDN w:val="0"/>
        <w:adjustRightInd w:val="0"/>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Ypatingo atsargumo reikia, kai </w:t>
      </w:r>
      <w:r>
        <w:rPr>
          <w:rFonts w:ascii="Times New Roman" w:hAnsi="Times New Roman"/>
          <w:lang w:val="lt-LT"/>
        </w:rPr>
        <w:t>m</w:t>
      </w:r>
      <w:r w:rsidRPr="006305C1">
        <w:rPr>
          <w:rFonts w:ascii="Times New Roman" w:hAnsi="Times New Roman"/>
          <w:lang w:val="lt-LT"/>
        </w:rPr>
        <w:t>idazolam</w:t>
      </w:r>
      <w:r>
        <w:rPr>
          <w:rFonts w:ascii="Times New Roman" w:hAnsi="Times New Roman"/>
          <w:lang w:val="lt-LT"/>
        </w:rPr>
        <w:t>as</w:t>
      </w:r>
      <w:r w:rsidRPr="006305C1">
        <w:rPr>
          <w:rFonts w:ascii="Times New Roman" w:hAnsi="Times New Roman"/>
          <w:lang w:val="lt-LT"/>
        </w:rPr>
        <w:t xml:space="preserve"> skiriamas kūdikiams ar vaikams. Pasakykite gydytojui, jei Jūsų vaikas serga širdies ir kraujagyslių sistemos liga ar turi kvėpavimo sutrikimų. Jūsų vaikas bus ypač atidžiai stebimas, o vaisto dozė bus specialiai parinkta.</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Intensyviosios terapijos skyriuje jaunesniems kaip 6 mėnesių pacientams dėl užsitęsusio raminamojo poveikio gali atsirasti kvėpavimo sutrikimų, todėl dozė bus didinama labai lėtai ir bus stebimas kvėpavimo ir deguonies lygis.</w:t>
      </w:r>
    </w:p>
    <w:p w:rsidR="004A4C69" w:rsidRPr="006305C1" w:rsidRDefault="004A4C69" w:rsidP="004A4C69">
      <w:pPr>
        <w:autoSpaceDE w:val="0"/>
        <w:autoSpaceDN w:val="0"/>
        <w:adjustRightInd w:val="0"/>
        <w:spacing w:after="0" w:line="240" w:lineRule="auto"/>
        <w:rPr>
          <w:rFonts w:ascii="Times New Roman" w:hAnsi="Times New Roman"/>
          <w:lang w:val="lt-LT"/>
        </w:rPr>
      </w:pPr>
    </w:p>
    <w:p w:rsidR="004A4C69" w:rsidRPr="006305C1" w:rsidRDefault="004A4C69" w:rsidP="004A4C69">
      <w:pPr>
        <w:autoSpaceDE w:val="0"/>
        <w:autoSpaceDN w:val="0"/>
        <w:adjustRightInd w:val="0"/>
        <w:spacing w:after="0" w:line="240" w:lineRule="auto"/>
        <w:rPr>
          <w:rFonts w:ascii="Times New Roman" w:hAnsi="Times New Roman"/>
          <w:lang w:val="lt-LT"/>
        </w:rPr>
      </w:pPr>
      <w:r w:rsidRPr="006305C1">
        <w:rPr>
          <w:rFonts w:ascii="Times New Roman" w:hAnsi="Times New Roman"/>
          <w:lang w:val="lt-LT"/>
        </w:rPr>
        <w:t>Kai midazolamo vartojama premedikacijai, bus stebima, kaip Jūsų organizmas reaguoja į vaistą ir bus nustatyta Jums tinkama dozė, nes pacientų jautrumas vaistui gali skirtis. Midazolamas nerekomenduojamas naujagimiams bei jaunesniems kaip 6</w:t>
      </w:r>
      <w:r>
        <w:rPr>
          <w:rFonts w:ascii="Times New Roman" w:hAnsi="Times New Roman"/>
          <w:lang w:val="lt-LT"/>
        </w:rPr>
        <w:t> </w:t>
      </w:r>
      <w:r w:rsidRPr="006305C1">
        <w:rPr>
          <w:rFonts w:ascii="Times New Roman" w:hAnsi="Times New Roman"/>
          <w:lang w:val="lt-LT"/>
        </w:rPr>
        <w:t>mėnesių vaikams.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Buvo pranešta apie midazolamo sukeltas paradoksines reakcijas ir anterogradinę amneziją (trumpalaikį naujų įvykių atminties netekimą) (žr. 4</w:t>
      </w:r>
      <w:r>
        <w:rPr>
          <w:rFonts w:ascii="Times New Roman" w:hAnsi="Times New Roman"/>
          <w:lang w:val="lt-LT"/>
        </w:rPr>
        <w:t> </w:t>
      </w:r>
      <w:r w:rsidRPr="006305C1">
        <w:rPr>
          <w:rFonts w:ascii="Times New Roman" w:hAnsi="Times New Roman"/>
          <w:lang w:val="lt-LT"/>
        </w:rPr>
        <w:t>skyrių).</w:t>
      </w:r>
    </w:p>
    <w:p w:rsidR="004A4C69" w:rsidRPr="006305C1" w:rsidRDefault="004A4C69" w:rsidP="004A4C69">
      <w:pPr>
        <w:autoSpaceDE w:val="0"/>
        <w:autoSpaceDN w:val="0"/>
        <w:adjustRightInd w:val="0"/>
        <w:spacing w:after="0" w:line="240" w:lineRule="auto"/>
        <w:rPr>
          <w:rFonts w:ascii="Times New Roman" w:hAnsi="Times New Roman"/>
          <w:lang w:val="lt-LT"/>
        </w:rPr>
      </w:pPr>
    </w:p>
    <w:p w:rsidR="004A4C69" w:rsidRPr="006305C1" w:rsidRDefault="004A4C69" w:rsidP="004A4C69">
      <w:pPr>
        <w:spacing w:after="0" w:line="240" w:lineRule="auto"/>
        <w:ind w:left="567" w:hanging="567"/>
        <w:outlineLvl w:val="0"/>
        <w:rPr>
          <w:rFonts w:ascii="Times New Roman" w:hAnsi="Times New Roman"/>
          <w:i/>
          <w:lang w:val="lt-LT" w:eastAsia="lt-LT"/>
        </w:rPr>
      </w:pPr>
      <w:r w:rsidRPr="006305C1">
        <w:rPr>
          <w:rFonts w:ascii="Times New Roman" w:hAnsi="Times New Roman"/>
          <w:i/>
          <w:lang w:val="lt-LT"/>
        </w:rPr>
        <w:t>Ilgalaikis gydymas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Jeigu esate ilgą laiką gydomas midazolamu, gali atsirasti tolerancija vaistui (midazolamas taps mažiau veiksmingas) arba galite tapti nuo jo priklausomas.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Po ilgai trukusio gydymo midazolamu (pvz., intensyviosios terapijos skyriuje) gali pasireikšti šie nutraukimo požymiai: galvos skausmas, viduriavimas, raumenų skausmas, nerimas, įtampa, nerimastingumas, sumišimas, irzlumas, miego sutrikimai, nuotaikų kaita, haliucinacijos ir traukuliai. </w:t>
      </w:r>
      <w:r w:rsidRPr="006305C1">
        <w:rPr>
          <w:rFonts w:ascii="Times New Roman" w:hAnsi="Times New Roman"/>
          <w:color w:val="000000"/>
          <w:lang w:val="lt-LT"/>
        </w:rPr>
        <w:t xml:space="preserve">Sunkiais atvejais gali pasireikšti depersonalizacija (asmenybės jausmo netekimas), galūnių nutirpimas ir dilgčiojimas, padidėjęs jautrumas šviesai, garsui ir fiziniam kontaktui. </w:t>
      </w:r>
      <w:r w:rsidRPr="006305C1">
        <w:rPr>
          <w:rFonts w:ascii="Times New Roman" w:hAnsi="Times New Roman"/>
          <w:lang w:val="lt-LT"/>
        </w:rPr>
        <w:t>Siekdamas išvengti tokių nepageidaujamų reakcijų, gydytojas vaisto dozę Jums mažins palaipsniui.</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Kiti vaistai ir Midazolam Kalceks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Jeigu vartojate ar neseniai vartojote kitų vaistų arba dėl to nesate tikri, apie tai pasakykite gydytojui ar slaugytojui. Tai labai svarbu, kadangi tuo pat metu vartojant kelis vaistus, jų veikimas gali sustiprėti arba susilpnėti.</w:t>
      </w:r>
    </w:p>
    <w:p w:rsidR="004A4C69" w:rsidRPr="006305C1" w:rsidRDefault="004A4C69" w:rsidP="004A4C69">
      <w:pPr>
        <w:spacing w:after="0" w:line="240" w:lineRule="auto"/>
        <w:ind w:left="567" w:hanging="567"/>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Ypač svarbu pasakyti gydytojui ar slaugytojui, jei vartojate bet kurių šių vaistų:</w:t>
      </w:r>
    </w:p>
    <w:p w:rsidR="004A4C69" w:rsidRPr="006305C1" w:rsidRDefault="004A4C69" w:rsidP="004A4C69">
      <w:pPr>
        <w:pStyle w:val="Sraopastraipa"/>
        <w:numPr>
          <w:ilvl w:val="0"/>
          <w:numId w:val="7"/>
        </w:numPr>
        <w:tabs>
          <w:tab w:val="clear" w:pos="570"/>
        </w:tabs>
        <w:spacing w:after="0" w:line="240" w:lineRule="auto"/>
        <w:rPr>
          <w:rFonts w:ascii="Times New Roman" w:hAnsi="Times New Roman"/>
          <w:lang w:val="lt-LT"/>
        </w:rPr>
      </w:pPr>
      <w:r w:rsidRPr="006305C1">
        <w:rPr>
          <w:rFonts w:ascii="Times New Roman" w:hAnsi="Times New Roman"/>
          <w:lang w:val="lt-LT"/>
        </w:rPr>
        <w:t>trankviliantų (padedančių mažinti nerimą arba miegoti);</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raminamųjų (kad jaustumėtės atsipalaidavę arba mieguisti);</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migdomųjų vaistų;</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antidepresantų (vaistų depresijai gydyti, pvz. nefazodono);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narkotinių analgetikų (labai stiprių skausmą malšinančių vaistų, pvz., fentanilio);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 xml:space="preserve">nejautrą sukeliančių vaistų (pvz. </w:t>
      </w:r>
      <w:r w:rsidRPr="006305C1">
        <w:rPr>
          <w:rFonts w:ascii="Times New Roman" w:hAnsi="Times New Roman"/>
          <w:lang w:val="lv-LV"/>
        </w:rPr>
        <w:t>p</w:t>
      </w:r>
      <w:r w:rsidRPr="006305C1">
        <w:rPr>
          <w:rFonts w:ascii="Times New Roman" w:hAnsi="Times New Roman"/>
          <w:lang w:val="lt-LT"/>
        </w:rPr>
        <w:t>ropofolio);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kai kurių antihistamininių vaistų (vaistų alergijai gydyti);</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vaistų grybelių sukeltoms infekcijoms gydyti (ketokonazolo, vorikonazolo, flukonazolo, itrakonazolo, pozakonazolo);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antibiotikų (eritromicino, klaritromicino, telitromicino, roksitromicino);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kraujospūdį reguliuojančių vaistų, kalcio kanalų blokatorių (diltiazemo, verapamilio);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vaistų nuo ŽIV (žmogaus imunodeficito viruso) (efavirenzo ar sakvinaviro, lopinaviro ir kitų proteazės inhibitorių);</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vaistų hepatito C viruso gydymui (simepreviro, bocepreviro ir telapreviro);</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vaistų epilepsijos gydymui (karbamazepino, fenitoino ar valpro rūgšties);</w:t>
      </w:r>
    </w:p>
    <w:p w:rsidR="004A4C69" w:rsidRPr="006305C1" w:rsidRDefault="004A4C69" w:rsidP="004A4C69">
      <w:pPr>
        <w:numPr>
          <w:ilvl w:val="0"/>
          <w:numId w:val="7"/>
        </w:numPr>
        <w:tabs>
          <w:tab w:val="clear" w:pos="570"/>
        </w:tabs>
        <w:spacing w:after="0" w:line="240" w:lineRule="auto"/>
        <w:rPr>
          <w:rFonts w:ascii="Times New Roman" w:hAnsi="Times New Roman"/>
          <w:lang w:val="lt-LT" w:eastAsia="lt-LT"/>
        </w:rPr>
      </w:pPr>
      <w:r w:rsidRPr="006305C1">
        <w:rPr>
          <w:rFonts w:ascii="Times New Roman" w:hAnsi="Times New Roman"/>
          <w:lang w:val="lt-LT"/>
        </w:rPr>
        <w:t>atorvastatino (vartojamo aukšto cholesterolio kiekio gydymui);</w:t>
      </w:r>
    </w:p>
    <w:p w:rsidR="004A4C69" w:rsidRPr="006305C1" w:rsidRDefault="004A4C69" w:rsidP="004A4C69">
      <w:pPr>
        <w:numPr>
          <w:ilvl w:val="0"/>
          <w:numId w:val="8"/>
        </w:numPr>
        <w:tabs>
          <w:tab w:val="clear" w:pos="570"/>
        </w:tabs>
        <w:spacing w:after="0" w:line="240" w:lineRule="auto"/>
        <w:rPr>
          <w:rFonts w:ascii="Times New Roman" w:hAnsi="Times New Roman"/>
          <w:lang w:val="lt-LT" w:eastAsia="lt-LT"/>
        </w:rPr>
      </w:pPr>
      <w:r w:rsidRPr="006305C1">
        <w:rPr>
          <w:rFonts w:ascii="Times New Roman" w:hAnsi="Times New Roman"/>
          <w:lang w:val="lt-LT"/>
        </w:rPr>
        <w:t>rifampicino (vartojamo mikobakterijų sukeltos infekcijos gydymui, pvz., tuberkuliozei);</w:t>
      </w:r>
    </w:p>
    <w:p w:rsidR="004A4C69" w:rsidRPr="006305C1" w:rsidRDefault="004A4C69" w:rsidP="004A4C69">
      <w:pPr>
        <w:numPr>
          <w:ilvl w:val="0"/>
          <w:numId w:val="8"/>
        </w:numPr>
        <w:tabs>
          <w:tab w:val="clear" w:pos="570"/>
        </w:tabs>
        <w:spacing w:after="0" w:line="240" w:lineRule="auto"/>
        <w:rPr>
          <w:rFonts w:ascii="Times New Roman" w:hAnsi="Times New Roman"/>
          <w:lang w:val="lt-LT" w:eastAsia="lt-LT"/>
        </w:rPr>
      </w:pPr>
      <w:r w:rsidRPr="006305C1">
        <w:rPr>
          <w:rFonts w:ascii="Times New Roman" w:hAnsi="Times New Roman"/>
          <w:lang w:val="lt-LT"/>
        </w:rPr>
        <w:t>tikagreloro (vartojamo širdies smūgiui išvengti);</w:t>
      </w:r>
    </w:p>
    <w:p w:rsidR="004A4C69" w:rsidRPr="006305C1" w:rsidRDefault="004A4C69" w:rsidP="004A4C69">
      <w:pPr>
        <w:numPr>
          <w:ilvl w:val="0"/>
          <w:numId w:val="8"/>
        </w:numPr>
        <w:tabs>
          <w:tab w:val="clear" w:pos="570"/>
        </w:tabs>
        <w:spacing w:after="0" w:line="240" w:lineRule="auto"/>
        <w:rPr>
          <w:rStyle w:val="tlid-translation"/>
          <w:rFonts w:ascii="Times New Roman" w:hAnsi="Times New Roman"/>
          <w:lang w:val="lt-LT" w:eastAsia="lt-LT"/>
        </w:rPr>
      </w:pPr>
      <w:r w:rsidRPr="006305C1">
        <w:rPr>
          <w:rStyle w:val="tlid-translation"/>
          <w:rFonts w:ascii="Times New Roman" w:hAnsi="Times New Roman"/>
          <w:lang w:val="lt-LT"/>
        </w:rPr>
        <w:t>aprepitanto, netupitanto, kasoprepitanto (vartojamo norint sustabdyti pykinimą);</w:t>
      </w:r>
    </w:p>
    <w:p w:rsidR="004A4C69" w:rsidRPr="006305C1" w:rsidRDefault="004A4C69" w:rsidP="004A4C69">
      <w:pPr>
        <w:numPr>
          <w:ilvl w:val="0"/>
          <w:numId w:val="8"/>
        </w:numPr>
        <w:tabs>
          <w:tab w:val="clear" w:pos="570"/>
        </w:tabs>
        <w:spacing w:after="0" w:line="240" w:lineRule="auto"/>
        <w:rPr>
          <w:rFonts w:ascii="Times New Roman" w:hAnsi="Times New Roman"/>
          <w:lang w:val="lt-LT" w:eastAsia="lt-LT"/>
        </w:rPr>
      </w:pPr>
      <w:r w:rsidRPr="006305C1">
        <w:rPr>
          <w:rStyle w:val="tlid-translation"/>
          <w:rFonts w:ascii="Times New Roman" w:hAnsi="Times New Roman"/>
          <w:lang w:val="lt-LT"/>
        </w:rPr>
        <w:t>kai kurių vaistų vėžio gydymui (pvz. imatinibo, lapatinibo, idelalisibo, vermurafenibo);</w:t>
      </w:r>
    </w:p>
    <w:p w:rsidR="004A4C69" w:rsidRPr="006305C1" w:rsidRDefault="004A4C69" w:rsidP="004A4C69">
      <w:pPr>
        <w:numPr>
          <w:ilvl w:val="0"/>
          <w:numId w:val="8"/>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everolimuzo, ciklosporino (vartojamo siekiant išvengti organų persodinimo atmetimo);</w:t>
      </w:r>
    </w:p>
    <w:p w:rsidR="004A4C69" w:rsidRPr="006305C1" w:rsidRDefault="004A4C69" w:rsidP="004A4C69">
      <w:pPr>
        <w:numPr>
          <w:ilvl w:val="0"/>
          <w:numId w:val="8"/>
        </w:numPr>
        <w:tabs>
          <w:tab w:val="clear" w:pos="570"/>
        </w:tabs>
        <w:spacing w:after="0" w:line="240" w:lineRule="auto"/>
        <w:rPr>
          <w:rFonts w:ascii="Times New Roman" w:hAnsi="Times New Roman"/>
          <w:lang w:val="lt-LT" w:eastAsia="lt-LT"/>
        </w:rPr>
      </w:pPr>
      <w:r w:rsidRPr="006305C1">
        <w:rPr>
          <w:rFonts w:ascii="Times New Roman" w:hAnsi="Times New Roman"/>
          <w:lang w:val="lt-LT" w:eastAsia="lt-LT"/>
        </w:rPr>
        <w:t>propiverino (vartojamo nuo šlapimo nelaikymo);</w:t>
      </w:r>
    </w:p>
    <w:p w:rsidR="004A4C69" w:rsidRPr="006305C1" w:rsidRDefault="004A4C69" w:rsidP="004A4C69">
      <w:pPr>
        <w:numPr>
          <w:ilvl w:val="0"/>
          <w:numId w:val="8"/>
        </w:numPr>
        <w:tabs>
          <w:tab w:val="clear" w:pos="570"/>
        </w:tabs>
        <w:spacing w:after="0" w:line="240" w:lineRule="auto"/>
        <w:rPr>
          <w:rFonts w:ascii="Times New Roman" w:hAnsi="Times New Roman"/>
          <w:lang w:val="lt-LT" w:eastAsia="lt-LT"/>
        </w:rPr>
      </w:pPr>
      <w:r w:rsidRPr="006305C1">
        <w:rPr>
          <w:rFonts w:ascii="Times New Roman" w:hAnsi="Times New Roman"/>
          <w:lang w:val="lt-LT"/>
        </w:rPr>
        <w:t>augalinių vaistų (pvz. jonažolės, ginkmedžio (</w:t>
      </w:r>
      <w:r w:rsidRPr="006305C1">
        <w:rPr>
          <w:rFonts w:ascii="Times New Roman" w:hAnsi="Times New Roman"/>
          <w:i/>
          <w:lang w:val="lt-LT"/>
        </w:rPr>
        <w:t>Ginkgo biloba)</w:t>
      </w:r>
      <w:r w:rsidRPr="006305C1">
        <w:rPr>
          <w:rFonts w:ascii="Times New Roman" w:hAnsi="Times New Roman"/>
          <w:lang w:val="lt-LT"/>
        </w:rPr>
        <w:t xml:space="preserve"> preparatų arba ženšenio).</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widowControl w:val="0"/>
        <w:spacing w:after="0" w:line="240" w:lineRule="auto"/>
        <w:rPr>
          <w:rFonts w:ascii="Times New Roman" w:hAnsi="Times New Roman"/>
          <w:lang w:val="lt-LT"/>
        </w:rPr>
      </w:pPr>
      <w:r w:rsidRPr="006305C1">
        <w:rPr>
          <w:rFonts w:ascii="Times New Roman" w:hAnsi="Times New Roman"/>
          <w:lang w:val="lt-LT"/>
        </w:rPr>
        <w:t>Kartu vartojant midazolamo ir opioidų (stiprių vaistų nuo skausmo, pakeičiamojo gydymo vaistų ir kai kurių vaistų nuo kosulio) padidėja mieguistumo, kvėpavimo sutrikimų (kvėpavimo slopinimo), komos rizika ir gali kilti pavojus gyvybei. Dėl to vartojimas kartu gali būti apsvarstytas tik tuo atveju, jei kitos gydymo galimybės yra neįmanomos.</w:t>
      </w:r>
    </w:p>
    <w:p w:rsidR="004A4C69" w:rsidRPr="006305C1" w:rsidRDefault="004A4C69" w:rsidP="004A4C69">
      <w:pPr>
        <w:widowControl w:val="0"/>
        <w:spacing w:after="0" w:line="240" w:lineRule="auto"/>
        <w:rPr>
          <w:rFonts w:ascii="Times New Roman" w:hAnsi="Times New Roman"/>
          <w:lang w:val="lt-LT"/>
        </w:rPr>
      </w:pPr>
      <w:r w:rsidRPr="006305C1">
        <w:rPr>
          <w:rFonts w:ascii="Times New Roman" w:hAnsi="Times New Roman"/>
          <w:lang w:val="lt-LT"/>
        </w:rPr>
        <w:t>Tačiau, jei gydytojas paskiria midazolamo ir opioidų vienu metu, gydytojas turi apriboti kartu vartojamą dozę ir gydymo trukmę.</w:t>
      </w:r>
    </w:p>
    <w:p w:rsidR="004A4C69" w:rsidRPr="006305C1" w:rsidRDefault="004A4C69" w:rsidP="004A4C69">
      <w:pPr>
        <w:widowControl w:val="0"/>
        <w:spacing w:after="0" w:line="240" w:lineRule="auto"/>
        <w:rPr>
          <w:rFonts w:ascii="Times New Roman" w:hAnsi="Times New Roman"/>
          <w:lang w:val="lt-LT"/>
        </w:rPr>
      </w:pPr>
      <w:r w:rsidRPr="006305C1">
        <w:rPr>
          <w:rFonts w:ascii="Times New Roman" w:hAnsi="Times New Roman"/>
          <w:lang w:val="lt-LT"/>
        </w:rPr>
        <w:t>Pasakykite gydytojui apie visus opioidinius vaistus, kuriuos vartojate, ir atidžiai laikykitės gydytojo rekomenduojamos dozės. Gali būti naudinga informuoti draugus ar gimines, kad jie žinotų apie aukščiau nurodytus požymius ir simptomus. Atsiradus tokiems simptomams, kreipkitės į gydytoją.</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Operacijos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Jei jums ketinama atlikti inhaliacinę anesteziją (nejautrą įkvepiamaisiais vaistais) operacijai arba dantų gydymui, svarbu pasakyti gydytojui ar dantų gydytojui, kad Jums buvo paskirta Midazolam Kalceks.</w:t>
      </w:r>
    </w:p>
    <w:p w:rsidR="004A4C69" w:rsidRPr="006305C1" w:rsidRDefault="004A4C69" w:rsidP="004A4C69">
      <w:pPr>
        <w:spacing w:after="0" w:line="240" w:lineRule="auto"/>
        <w:rPr>
          <w:rFonts w:ascii="Times New Roman" w:hAnsi="Times New Roman"/>
          <w:b/>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b/>
          <w:lang w:val="lt-LT"/>
        </w:rPr>
        <w:t>Midazolam Kalceks vartojimas su alkoholiu</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Alkoholis gali sustiprinti midazolamo sukeliamą raminamąjį poveikį, todėl vaisto vartojimo metu būtina vengti vartoti alkoholio.</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Nėštumas ir žindymo laikotarpis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Jeigu esate nėščia ar žindote krūtimi, manote, kad galbūt esate nėščia, arba planuojate pastoti, tai prieš leidžiant Jums šį vaistą, pasitarkite su gydytoju. Gydytojas nuspręs, ar šis vaistas Jums tinka ar ne.</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Pavartojus Midazolam Kalceks, 24 valandas kūdikio žindyti negalima, nes midazolamas gali patekti į Jūsų krūties pieną.</w:t>
      </w:r>
    </w:p>
    <w:p w:rsidR="004A4C69" w:rsidRPr="006305C1" w:rsidRDefault="004A4C69" w:rsidP="004A4C69">
      <w:pPr>
        <w:spacing w:after="0" w:line="240" w:lineRule="auto"/>
        <w:rPr>
          <w:rFonts w:ascii="Times New Roman" w:hAnsi="Times New Roman"/>
          <w:lang w:val="lt-LT" w:eastAsia="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Vairavimas ir mechanizmų valdymas</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noProof/>
          <w:lang w:val="lt-LT"/>
        </w:rPr>
        <w:t>Midazolamas gebėjimą vairuoti ir valdyti mechanizmus veikia stipriai.</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Šis vaistas gali sukelti mieguistumą, užmaršumą ir paveikti Jūsų koncentraciją bei koordinaciją. Tai gali paveikti Jūsų gebėjimą atlikti sudėtingas užduotis, pvz., vairuoti ar valdyti mechanizmus. Pavartoję midazolamo negalėsite vairuoti ar valdyti mechanizmų tol, kol visiškai išnyks vaisto poveikis. Gydytojas pasakys, kada vėl galėsite imtis šios veiklos. Po gydymo midazolamu, į namus Jus visada privalo palydėti atsakingas suaugęs žmogus.</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Jeigu nepakanka miego arba buvo vartotas alkoholis, padidėja sutrikusio budrumo tikimybė.</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b/>
          <w:lang w:val="lt-LT"/>
        </w:rPr>
        <w:t>Midazolam Kalceks sudėtyje yra natrio</w:t>
      </w:r>
    </w:p>
    <w:p w:rsidR="004A4C69" w:rsidRPr="006305C1" w:rsidRDefault="004A4C69" w:rsidP="004A4C69">
      <w:pPr>
        <w:pStyle w:val="Betarp"/>
        <w:rPr>
          <w:rFonts w:ascii="Times New Roman" w:hAnsi="Times New Roman"/>
          <w:lang w:val="lt-LT"/>
        </w:rPr>
      </w:pPr>
      <w:r w:rsidRPr="006305C1">
        <w:rPr>
          <w:rFonts w:ascii="Times New Roman" w:hAnsi="Times New Roman"/>
          <w:lang w:val="lt-LT"/>
        </w:rPr>
        <w:t xml:space="preserve">Midazolam Kalceks </w:t>
      </w:r>
      <w:r w:rsidRPr="006305C1">
        <w:rPr>
          <w:rFonts w:ascii="Times New Roman" w:hAnsi="Times New Roman"/>
          <w:b/>
          <w:i/>
          <w:lang w:val="lt-LT"/>
        </w:rPr>
        <w:t>1 mg/ml</w:t>
      </w:r>
    </w:p>
    <w:p w:rsidR="004A4C69" w:rsidRPr="006305C1" w:rsidRDefault="004A4C69" w:rsidP="004A4C69">
      <w:pPr>
        <w:pStyle w:val="Default"/>
        <w:rPr>
          <w:sz w:val="22"/>
          <w:szCs w:val="22"/>
          <w:lang w:val="lt-LT" w:eastAsia="lt-LT"/>
        </w:rPr>
      </w:pPr>
      <w:r w:rsidRPr="006305C1">
        <w:rPr>
          <w:sz w:val="22"/>
          <w:szCs w:val="22"/>
          <w:lang w:val="lt-LT" w:eastAsia="lt-LT"/>
        </w:rPr>
        <w:t>Šio vaisto paros dozėje (ne daugiau kaip 6,5 ml)</w:t>
      </w:r>
      <w:r w:rsidRPr="006305C1">
        <w:rPr>
          <w:sz w:val="22"/>
          <w:szCs w:val="22"/>
          <w:lang w:val="lt-LT"/>
        </w:rPr>
        <w:t xml:space="preserve"> yra mažiau kaip 1 mmol (23 mg) natrio, t. y. jis beveik neturi reikšmės.</w:t>
      </w:r>
      <w:r w:rsidRPr="006305C1">
        <w:rPr>
          <w:sz w:val="22"/>
          <w:szCs w:val="22"/>
          <w:lang w:val="lt-LT" w:eastAsia="lt-LT"/>
        </w:rPr>
        <w:t xml:space="preserve"> Jei vartojama paros dozė yra 6,6 ml ar daugiau (atitinka daugiau kaip 1 mmol natrio), reikia atsižvelgti į šią informaciją: kiekviename šio vaisto tirpalo ml yra 3,5 mg natrio (valgomosios druskos sudedamosios dalies). Tai atitinka 0,18 % didžiausios rekomenduojamos natrio paros normos suaugusiesiems.</w:t>
      </w:r>
    </w:p>
    <w:p w:rsidR="004A4C69" w:rsidRPr="009A08E1" w:rsidRDefault="004A4C69" w:rsidP="004A4C69">
      <w:pPr>
        <w:pStyle w:val="Betarp"/>
        <w:rPr>
          <w:rFonts w:ascii="Times New Roman" w:hAnsi="Times New Roman"/>
          <w:lang w:val="lt-LT"/>
        </w:rPr>
      </w:pPr>
    </w:p>
    <w:p w:rsidR="004A4C69" w:rsidRPr="006305C1" w:rsidRDefault="004A4C69" w:rsidP="004A4C69">
      <w:pPr>
        <w:pStyle w:val="Betarp"/>
        <w:rPr>
          <w:rFonts w:ascii="Times New Roman" w:hAnsi="Times New Roman"/>
          <w:b/>
          <w:i/>
          <w:lang w:val="lt-LT"/>
        </w:rPr>
      </w:pPr>
      <w:r w:rsidRPr="006305C1">
        <w:rPr>
          <w:rFonts w:ascii="Times New Roman" w:hAnsi="Times New Roman"/>
          <w:lang w:val="lt-LT"/>
        </w:rPr>
        <w:t xml:space="preserve">Midazolam Kalceks </w:t>
      </w:r>
      <w:r w:rsidRPr="006305C1">
        <w:rPr>
          <w:rFonts w:ascii="Times New Roman" w:hAnsi="Times New Roman"/>
          <w:b/>
          <w:i/>
          <w:lang w:val="lt-LT"/>
        </w:rPr>
        <w:t>5 mg/ml</w:t>
      </w:r>
    </w:p>
    <w:p w:rsidR="004A4C69" w:rsidRPr="006305C1" w:rsidRDefault="004A4C69" w:rsidP="004A4C69">
      <w:pPr>
        <w:pStyle w:val="Default"/>
        <w:rPr>
          <w:sz w:val="22"/>
          <w:szCs w:val="22"/>
          <w:lang w:val="lt-LT" w:eastAsia="lt-LT"/>
        </w:rPr>
      </w:pPr>
      <w:r w:rsidRPr="006305C1">
        <w:rPr>
          <w:sz w:val="22"/>
          <w:szCs w:val="22"/>
          <w:lang w:val="lt-LT" w:eastAsia="lt-LT"/>
        </w:rPr>
        <w:t>Šio vaisto paros dozėje (ne daugiau kaip 7,3 ml)</w:t>
      </w:r>
      <w:r w:rsidRPr="006305C1">
        <w:rPr>
          <w:sz w:val="22"/>
          <w:szCs w:val="22"/>
          <w:lang w:val="lt-LT"/>
        </w:rPr>
        <w:t xml:space="preserve"> yra mažiau kaip 1 mmol (23 mg) natrio, t. y. jis beveik neturi reikšmės.</w:t>
      </w:r>
      <w:r w:rsidRPr="006305C1">
        <w:rPr>
          <w:sz w:val="22"/>
          <w:szCs w:val="22"/>
          <w:lang w:val="lt-LT" w:eastAsia="lt-LT"/>
        </w:rPr>
        <w:t xml:space="preserve"> Jei vartojama paros dozė yra 7,4 ml ar daugiau (atitinka daugiau kaip 1 mmol natrio), reikia atsižvelgti į šią informaciją: kiekviename šio vaisto tirpalo ml yra 3,15 mg natrio (valgomosios druskos sudedamosios dalies). Tai atitinka 0,16 % didžiausios rekomenduojamos natrio paros normos suaugusiesiems.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keepNext/>
        <w:spacing w:after="0" w:line="240" w:lineRule="auto"/>
        <w:ind w:left="567" w:hanging="567"/>
        <w:outlineLvl w:val="1"/>
        <w:rPr>
          <w:rFonts w:ascii="Times New Roman" w:hAnsi="Times New Roman"/>
          <w:b/>
          <w:lang w:val="lt-LT"/>
        </w:rPr>
      </w:pPr>
      <w:bookmarkStart w:id="2" w:name="_Toc129243141"/>
      <w:bookmarkStart w:id="3" w:name="_Toc129243266"/>
      <w:r w:rsidRPr="006305C1">
        <w:rPr>
          <w:rFonts w:ascii="Times New Roman" w:hAnsi="Times New Roman"/>
          <w:b/>
          <w:lang w:val="lt-LT"/>
        </w:rPr>
        <w:t>3.</w:t>
      </w:r>
      <w:r w:rsidRPr="006305C1">
        <w:rPr>
          <w:rFonts w:ascii="Times New Roman" w:hAnsi="Times New Roman"/>
          <w:b/>
          <w:lang w:val="lt-LT"/>
        </w:rPr>
        <w:tab/>
        <w:t xml:space="preserve">Kaip leisti </w:t>
      </w:r>
      <w:bookmarkEnd w:id="2"/>
      <w:bookmarkEnd w:id="3"/>
      <w:r w:rsidRPr="006305C1">
        <w:rPr>
          <w:rFonts w:ascii="Times New Roman" w:hAnsi="Times New Roman"/>
          <w:b/>
          <w:lang w:val="lt-LT"/>
        </w:rPr>
        <w:t>Midazolam Kalceks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5B3181">
        <w:rPr>
          <w:rFonts w:ascii="Times New Roman" w:hAnsi="Times New Roman"/>
          <w:lang w:val="lt-LT"/>
        </w:rPr>
        <w:t>Šio vaisto</w:t>
      </w:r>
      <w:r w:rsidRPr="006305C1">
        <w:rPr>
          <w:rFonts w:ascii="Times New Roman" w:hAnsi="Times New Roman"/>
          <w:lang w:val="lt-LT"/>
        </w:rPr>
        <w:t xml:space="preserve"> paskirti gali tik patyręs gydytojas ir tik įstaigoje, kuri aprūpinta įranga, reikalinga kvėpavimo funkcijai ir širdies bei kraujagyslių veiklai stebėti ir palaikyti, arba asmenys, specialiai apmokyti atpažinti ir gydyti šalutinius poveikius.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ind w:left="567" w:hanging="567"/>
        <w:outlineLvl w:val="0"/>
        <w:rPr>
          <w:rFonts w:ascii="Times New Roman" w:hAnsi="Times New Roman"/>
          <w:u w:val="single"/>
          <w:lang w:val="lt-LT" w:eastAsia="lt-LT"/>
        </w:rPr>
      </w:pPr>
      <w:r w:rsidRPr="006305C1">
        <w:rPr>
          <w:rFonts w:ascii="Times New Roman" w:hAnsi="Times New Roman"/>
          <w:u w:val="single"/>
          <w:lang w:val="lt-LT"/>
        </w:rPr>
        <w:t>Dozavimas ir vartojimo būdas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Gydytojas parinks Jums tinkamą dozę. Dozės dydis priklausys nuo planuojamo gydymo bei reikiamo raminamojo poveikio. Dozės dydžiui įtakos taip pat turės Jūsų svoris, amžius, bendra sveikatos būklė, atsakas į vaistą ir kiti vaistai, kurių reikės vartoti tuo pačiu metu.</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Jeigu Jums skiriami stiprūs skausmą malšinantys vaistai, jų turėsite pavartoti pirmiau, o po to Jums suleis specialiai parinktą Midazolam Kalceks dozę.</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Šis vaistas gali būti leidžiamas į veną (injekcija į veną), sulašinamas į veną (infuzija į veną), leidžiamas į raumenis (injekcija į raumenis) arba suleidžiamas į tiesiąją žarną.</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Vaikai ir naujagimiai</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Naujagimiams ir jaunesniems kaip 6</w:t>
      </w:r>
      <w:r>
        <w:rPr>
          <w:rFonts w:ascii="Times New Roman" w:hAnsi="Times New Roman"/>
          <w:lang w:val="lt-LT"/>
        </w:rPr>
        <w:t> </w:t>
      </w:r>
      <w:r w:rsidRPr="006305C1">
        <w:rPr>
          <w:rFonts w:ascii="Times New Roman" w:hAnsi="Times New Roman"/>
          <w:lang w:val="lt-LT"/>
        </w:rPr>
        <w:t xml:space="preserve">mėnesių kūdikiams </w:t>
      </w:r>
      <w:r>
        <w:rPr>
          <w:rFonts w:ascii="Times New Roman" w:hAnsi="Times New Roman"/>
          <w:lang w:val="lt-LT"/>
        </w:rPr>
        <w:t>m</w:t>
      </w:r>
      <w:r w:rsidRPr="006305C1">
        <w:rPr>
          <w:rFonts w:ascii="Times New Roman" w:hAnsi="Times New Roman"/>
          <w:lang w:val="lt-LT"/>
        </w:rPr>
        <w:t>idazolam</w:t>
      </w:r>
      <w:r>
        <w:rPr>
          <w:rFonts w:ascii="Times New Roman" w:hAnsi="Times New Roman"/>
          <w:lang w:val="lt-LT"/>
        </w:rPr>
        <w:t>as</w:t>
      </w:r>
      <w:r w:rsidRPr="006305C1">
        <w:rPr>
          <w:rFonts w:ascii="Times New Roman" w:hAnsi="Times New Roman"/>
          <w:lang w:val="lt-LT"/>
        </w:rPr>
        <w:t xml:space="preserve"> rekomenduojamas vartoti raminimui tik intensyvios terapijos skyriuje. Dozė bus suleista į veną palaipsniui.</w:t>
      </w:r>
    </w:p>
    <w:p w:rsidR="004A4C69"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12</w:t>
      </w:r>
      <w:r>
        <w:rPr>
          <w:rFonts w:ascii="Times New Roman" w:hAnsi="Times New Roman"/>
          <w:lang w:val="lt-LT"/>
        </w:rPr>
        <w:t> </w:t>
      </w:r>
      <w:r w:rsidRPr="006305C1">
        <w:rPr>
          <w:rFonts w:ascii="Times New Roman" w:hAnsi="Times New Roman"/>
          <w:lang w:val="lt-LT"/>
        </w:rPr>
        <w:t xml:space="preserve">metų ir jaunesniems vaikams </w:t>
      </w:r>
      <w:r>
        <w:rPr>
          <w:rFonts w:ascii="Times New Roman" w:hAnsi="Times New Roman"/>
          <w:lang w:val="lt-LT"/>
        </w:rPr>
        <w:t>m</w:t>
      </w:r>
      <w:r w:rsidRPr="006305C1">
        <w:rPr>
          <w:rFonts w:ascii="Times New Roman" w:hAnsi="Times New Roman"/>
          <w:lang w:val="lt-LT"/>
        </w:rPr>
        <w:t>idazolam</w:t>
      </w:r>
      <w:r>
        <w:rPr>
          <w:rFonts w:ascii="Times New Roman" w:hAnsi="Times New Roman"/>
          <w:lang w:val="lt-LT"/>
        </w:rPr>
        <w:t>o</w:t>
      </w:r>
      <w:r w:rsidRPr="006305C1">
        <w:rPr>
          <w:rFonts w:ascii="Times New Roman" w:hAnsi="Times New Roman"/>
          <w:lang w:val="lt-LT"/>
        </w:rPr>
        <w:t xml:space="preserve"> paprastai leidžiamas į veną. Kai</w:t>
      </w:r>
      <w:r>
        <w:rPr>
          <w:rFonts w:ascii="Times New Roman" w:hAnsi="Times New Roman"/>
          <w:lang w:val="lt-LT"/>
        </w:rPr>
        <w:t xml:space="preserve"> šis vaistas</w:t>
      </w:r>
      <w:r w:rsidRPr="006305C1">
        <w:rPr>
          <w:rFonts w:ascii="Times New Roman" w:hAnsi="Times New Roman"/>
          <w:lang w:val="lt-LT"/>
        </w:rPr>
        <w:t xml:space="preserve"> skiriamas premedikacijai (atsipalaidavimui, ramybei ir mieguistumui prieš anesteziją sukelti), vaistą galima suleisti į tiesiąją žarną.</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Ką daryti</w:t>
      </w:r>
      <w:r w:rsidRPr="006305C1">
        <w:rPr>
          <w:rFonts w:ascii="Times New Roman" w:hAnsi="Times New Roman"/>
          <w:lang w:val="lt-LT"/>
        </w:rPr>
        <w:t xml:space="preserve"> </w:t>
      </w:r>
      <w:r w:rsidRPr="006305C1">
        <w:rPr>
          <w:rFonts w:ascii="Times New Roman" w:hAnsi="Times New Roman"/>
          <w:b/>
          <w:lang w:val="lt-LT"/>
        </w:rPr>
        <w:t>suleidus per didelę Midazolam Kalceks dozę</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Vaisto Jums suleis gydytojas arba slaugytojas.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Jeigu Jums per klaidą suleido per daug midazolamo, gali pasireikšti mieguistumas, ataksija (valingos raumenų veiklos kordinacijos sutrikimas), dizartrija (kalbos sutrikimas) ir nistagmas (nevalingi akių judesiai), išnykti refleksai, atsirasti apnėja (sustoti kvėpavimas), hipotenzija (sumažėti kraujospūdis), pasireikšti širdies ir kraujagyslių sistemos slopinimas, ištikti koma. Perdozavimo atveju gali prireikti stebėti Jūsų gyvybines funkcijas, taikyti simptominį gydymą sutrikusių širdies ir kvėpavimo funkcijų atstatymui, gali būti skiriamas benzodiazepinų antagonistas.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Nustojus vartoti Midazolam Kalceks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Staiga nutraukus gydymą gali pasireikšti nutraukimo simptomai, tokie kaip galvos skausmas, raumenų skausmas, nerimas, įtampa, neramumas, sumišimas, nuotaikos svyravimai, haliucinacijos ir traukuliai (konvulsijos), </w:t>
      </w:r>
      <w:r w:rsidRPr="006305C1">
        <w:rPr>
          <w:rFonts w:ascii="Times New Roman" w:hAnsi="Times New Roman"/>
          <w:color w:val="000000"/>
          <w:lang w:val="lt-LT"/>
        </w:rPr>
        <w:t>atoveiksmio nemiga</w:t>
      </w:r>
      <w:r w:rsidRPr="006305C1">
        <w:rPr>
          <w:rFonts w:ascii="Times New Roman" w:hAnsi="Times New Roman"/>
          <w:lang w:val="lt-LT"/>
        </w:rPr>
        <w:t>, dirglumas. Kadangi nutraukimo simptomų atsiradimo rizika yra didesnė, jei gydymas nutraukiamas staiga, gydymo nutraukimo metu dozę reikia mažinti palaipsniui.</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ind w:left="567" w:hanging="567"/>
        <w:outlineLvl w:val="0"/>
        <w:rPr>
          <w:rFonts w:ascii="Times New Roman" w:hAnsi="Times New Roman"/>
          <w:lang w:val="lt-LT" w:eastAsia="lt-LT"/>
        </w:rPr>
      </w:pPr>
      <w:r w:rsidRPr="006305C1">
        <w:rPr>
          <w:rFonts w:ascii="Times New Roman" w:hAnsi="Times New Roman"/>
          <w:lang w:val="lt-LT"/>
        </w:rPr>
        <w:t>Jeigu kiltų daugiau klausimų dėl šio vaisto vartojimo, kreipkitės į gydytoją, vaistininką ar slaugytoją.</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keepNext/>
        <w:spacing w:after="0" w:line="240" w:lineRule="auto"/>
        <w:ind w:left="567" w:hanging="567"/>
        <w:outlineLvl w:val="1"/>
        <w:rPr>
          <w:rFonts w:ascii="Times New Roman" w:hAnsi="Times New Roman"/>
          <w:b/>
          <w:lang w:val="lt-LT"/>
        </w:rPr>
      </w:pPr>
      <w:bookmarkStart w:id="4" w:name="_Toc129243142"/>
      <w:bookmarkStart w:id="5" w:name="_Toc129243267"/>
      <w:r w:rsidRPr="006305C1">
        <w:rPr>
          <w:rFonts w:ascii="Times New Roman" w:hAnsi="Times New Roman"/>
          <w:b/>
          <w:lang w:val="lt-LT"/>
        </w:rPr>
        <w:t>4.</w:t>
      </w:r>
      <w:r w:rsidRPr="006305C1">
        <w:rPr>
          <w:rFonts w:ascii="Times New Roman" w:hAnsi="Times New Roman"/>
          <w:b/>
          <w:lang w:val="lt-LT"/>
        </w:rPr>
        <w:tab/>
        <w:t>Galimas šalutinis poveikis</w:t>
      </w:r>
      <w:bookmarkEnd w:id="4"/>
      <w:bookmarkEnd w:id="5"/>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Šis vaistas, kaip ir visi kiti, gali sukelti šalutinį poveikį, nors jis pasireiškia ne visiems žmonėms. </w:t>
      </w:r>
    </w:p>
    <w:p w:rsidR="004A4C69" w:rsidRPr="006305C1" w:rsidRDefault="004A4C69" w:rsidP="004A4C69">
      <w:pPr>
        <w:spacing w:after="0" w:line="240" w:lineRule="auto"/>
        <w:rPr>
          <w:rFonts w:ascii="Times New Roman" w:hAnsi="Times New Roman"/>
          <w:b/>
          <w:lang w:val="lt-LT"/>
        </w:rPr>
      </w:pPr>
    </w:p>
    <w:p w:rsidR="004A4C69" w:rsidRPr="006305C1" w:rsidRDefault="004A4C69" w:rsidP="004A4C69">
      <w:pPr>
        <w:spacing w:after="0" w:line="240" w:lineRule="auto"/>
        <w:rPr>
          <w:rFonts w:ascii="Times New Roman" w:hAnsi="Times New Roman"/>
          <w:lang w:val="lt-LT" w:eastAsia="lt-LT"/>
        </w:rPr>
      </w:pPr>
      <w:r>
        <w:rPr>
          <w:rFonts w:ascii="Times New Roman" w:hAnsi="Times New Roman"/>
          <w:b/>
          <w:lang w:val="lt-LT"/>
        </w:rPr>
        <w:t>N</w:t>
      </w:r>
      <w:r w:rsidRPr="006305C1">
        <w:rPr>
          <w:rFonts w:ascii="Times New Roman" w:hAnsi="Times New Roman"/>
          <w:b/>
          <w:lang w:val="lt-LT"/>
        </w:rPr>
        <w:t>edelsdami kreipkitės į gydytoją,</w:t>
      </w:r>
      <w:r w:rsidRPr="006305C1">
        <w:rPr>
          <w:rFonts w:ascii="Times New Roman" w:hAnsi="Times New Roman"/>
          <w:lang w:val="lt-LT"/>
        </w:rPr>
        <w:t xml:space="preserve"> jeigu pastebite bet kurį iš toliau nurodytų šalutinio poveikio reiškinių.</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Jie gali būti pavojingi gyvybei ir Jums gali prireikti skubios medicinos pagalbos.</w:t>
      </w:r>
    </w:p>
    <w:p w:rsidR="004A4C69" w:rsidRPr="006305C1" w:rsidRDefault="004A4C69" w:rsidP="004A4C69">
      <w:pPr>
        <w:numPr>
          <w:ilvl w:val="0"/>
          <w:numId w:val="2"/>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Anafilaksinis šokas (gyvybei pavojinga alerginė reakcija). Jo požymiai - staigus išbėrimas, niežėjimas arba dilgėlinė, veido, lūpų, liežuvio ar kitų kūno vietų tinimas. Taip pat gali pasireikšti dusulys, švokštimas ar pasunkėjęs kvėpavimas</w:t>
      </w:r>
      <w:r w:rsidRPr="00C15AA4">
        <w:rPr>
          <w:lang w:val="lt-LT"/>
        </w:rPr>
        <w:t xml:space="preserve"> </w:t>
      </w:r>
      <w:r w:rsidRPr="00DC6FD7">
        <w:rPr>
          <w:rFonts w:ascii="Times New Roman" w:hAnsi="Times New Roman"/>
          <w:lang w:val="lt-LT"/>
        </w:rPr>
        <w:t>arba gali išbalti oda, susilpnėti ir paspartėti pulsas ar galite pajusti, kad tuoj apalpsite. Be to, galite jausti skausmą krūtinės srityje, kuris gali rodyti sunkią alerginę reakciją, vadinamą Kunio (Kounis) sindromu</w:t>
      </w:r>
      <w:r w:rsidRPr="006305C1">
        <w:rPr>
          <w:rFonts w:ascii="Times New Roman" w:hAnsi="Times New Roman"/>
          <w:lang w:val="lt-LT"/>
        </w:rPr>
        <w:t>.</w:t>
      </w:r>
    </w:p>
    <w:p w:rsidR="004A4C69" w:rsidRPr="006305C1" w:rsidRDefault="004A4C69" w:rsidP="004A4C69">
      <w:pPr>
        <w:numPr>
          <w:ilvl w:val="0"/>
          <w:numId w:val="2"/>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Širdies priepuolis (širdies sustojimas). Jo požymis gali būti krūtinės skausmas, galintis išplisti į kaklą ir pečius bei žemyn kaire ranka.</w:t>
      </w:r>
    </w:p>
    <w:p w:rsidR="004A4C69" w:rsidRPr="006305C1" w:rsidRDefault="004A4C69" w:rsidP="004A4C69">
      <w:pPr>
        <w:numPr>
          <w:ilvl w:val="0"/>
          <w:numId w:val="2"/>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Kvėpavimo sutrikimai ar komplikacijos, kartais sukeliantys kvėpavimo sustojimą.</w:t>
      </w:r>
    </w:p>
    <w:p w:rsidR="004A4C69" w:rsidRPr="006305C1" w:rsidRDefault="004A4C69" w:rsidP="004A4C69">
      <w:pPr>
        <w:numPr>
          <w:ilvl w:val="0"/>
          <w:numId w:val="2"/>
        </w:numPr>
        <w:tabs>
          <w:tab w:val="clear" w:pos="357"/>
        </w:tabs>
        <w:spacing w:after="0" w:line="240" w:lineRule="auto"/>
        <w:ind w:left="567" w:hanging="567"/>
        <w:rPr>
          <w:rFonts w:ascii="Times New Roman" w:hAnsi="Times New Roman"/>
          <w:lang w:val="lt-LT" w:eastAsia="lt-LT"/>
        </w:rPr>
      </w:pPr>
      <w:r w:rsidRPr="006305C1">
        <w:rPr>
          <w:rFonts w:ascii="Times New Roman" w:hAnsi="Times New Roman"/>
          <w:lang w:val="lt-LT"/>
        </w:rPr>
        <w:t>Užspringimas ir staigus kvėpavimo takų susitraukimas (laringospazmas).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Gyvybei pavojingas šalutinis poveikis labiau tikėtinas vyresniems nei 60 metų pacientams ir žmonėms, kurie jau serga kvėpavimo ar širdies ligomis, ypač jeigu vaistas suleidžiamas labai greitai ar didele doze.</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Kitas galimas šalutinis poveikis</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Gauta pranešimų apie šiuos šalutinio poveikio reiškinius, kurių dažnis nežinomas, nes negali būti apskaičiuotas pagal turimus duomenis.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i/>
          <w:lang w:val="lt-LT"/>
        </w:rPr>
        <w:t>Imuninės sistemos sutrikimai:</w:t>
      </w:r>
      <w:r w:rsidRPr="006305C1">
        <w:rPr>
          <w:rFonts w:ascii="Times New Roman" w:hAnsi="Times New Roman"/>
          <w:lang w:val="lt-LT"/>
        </w:rPr>
        <w:t xml:space="preserve"> bendros alerginės reakcijos (odos reakcijos, širdies ir kraujagyslių sistemos reakcijos, švokštimas).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i/>
          <w:lang w:val="lt-LT"/>
        </w:rPr>
        <w:t>Psichikos sutrikimai:</w:t>
      </w:r>
      <w:r w:rsidRPr="006305C1">
        <w:rPr>
          <w:rFonts w:ascii="Times New Roman" w:hAnsi="Times New Roman"/>
          <w:lang w:val="lt-LT"/>
        </w:rPr>
        <w:t xml:space="preserve"> sumišimas, sutrikusi orientacija, emocijų ir nuotaikos sutrikimai, lytinio potraukio pokyčiai.</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Gauta pranešimų apie paradoksines reakcijas, tokias kaip neramumas, sujaudinimas, irzlumas, nervingumas, raumenų traukuliai bei drebėjimas, priešiškumas, kliedesiai, pyktis, įniršis, agresyvumas, nerimas, košmarai, nenormalūs sapnai, haliucinacijos, psichozės, netinkamas elgesys ir kitas šalutinis poveikis elgsenai, staigus susijaudinimas ir smurto protrūkis.</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Tai dažniausiai pastebima, jei vaisto suleidžiama per greitai arba didelėmis dozėmis. Šių simptomų pasireiškimo rizika vaikams ir senyviems pacientams yra didesnė.</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keepNext/>
        <w:numPr>
          <w:ilvl w:val="12"/>
          <w:numId w:val="0"/>
        </w:numPr>
        <w:spacing w:after="0" w:line="240" w:lineRule="auto"/>
        <w:outlineLvl w:val="0"/>
        <w:rPr>
          <w:rFonts w:ascii="Times New Roman" w:hAnsi="Times New Roman"/>
          <w:color w:val="000000"/>
          <w:lang w:val="lt-LT" w:eastAsia="lt-LT"/>
        </w:rPr>
      </w:pPr>
      <w:r w:rsidRPr="006305C1">
        <w:rPr>
          <w:rFonts w:ascii="Times New Roman" w:hAnsi="Times New Roman"/>
          <w:i/>
          <w:color w:val="000000"/>
          <w:lang w:val="lt-LT"/>
        </w:rPr>
        <w:t xml:space="preserve">Priklausomybė: </w:t>
      </w:r>
      <w:r w:rsidRPr="006305C1">
        <w:rPr>
          <w:rFonts w:ascii="Times New Roman" w:hAnsi="Times New Roman"/>
          <w:color w:val="000000"/>
          <w:lang w:val="lt-LT"/>
        </w:rPr>
        <w:t>midazolamas, net ir vartojamas terapinėmis dozėmis, gali sukelti fizinę priklausomybę. Nutraukimo simptomų, įskaitant traukulius, kurie gali atsirasti ilgai vartojant midazolamo, galima būtų išvengti palaipsniui mažinant dozę (žr. 2</w:t>
      </w:r>
      <w:r>
        <w:rPr>
          <w:rFonts w:ascii="Times New Roman" w:hAnsi="Times New Roman"/>
          <w:color w:val="000000"/>
          <w:lang w:val="lt-LT"/>
        </w:rPr>
        <w:t> </w:t>
      </w:r>
      <w:r w:rsidRPr="006305C1">
        <w:rPr>
          <w:rFonts w:ascii="Times New Roman" w:hAnsi="Times New Roman"/>
          <w:color w:val="000000"/>
          <w:lang w:val="lt-LT"/>
        </w:rPr>
        <w:t>skyrių).</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i/>
          <w:lang w:val="lt-LT"/>
        </w:rPr>
        <w:t xml:space="preserve">Nervų sistemos sutrikimai: </w:t>
      </w:r>
      <w:r w:rsidRPr="006305C1">
        <w:rPr>
          <w:rFonts w:ascii="Times New Roman" w:hAnsi="Times New Roman"/>
          <w:lang w:val="lt-LT"/>
        </w:rPr>
        <w:t>mieguistumas ir užsitęsęs raminamasis poveikis, sumažėjęs budrumas, mieguistumas, galvos skausmas, svaigulys, judesių koordinacijos sutrikimai. Pranešta apie laikiną atminties praradimą. Jo trukmė priklauso nuo dozės ir gali pasireikšti ir po gydymo. Atskirais atvejais atminties praradimas gali būti užsitęsęs. Neišnešiotiems kūdikiams ir naujagimiams buvo pranešta apie traukulius.</w:t>
      </w:r>
      <w:r w:rsidRPr="006305C1">
        <w:rPr>
          <w:rFonts w:ascii="Times New Roman" w:hAnsi="Times New Roman"/>
          <w:lang w:val="lt-LT"/>
        </w:rPr>
        <w:br/>
      </w: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i/>
          <w:lang w:val="lt-LT"/>
        </w:rPr>
        <w:t xml:space="preserve">Širdies sutrikimai: </w:t>
      </w:r>
      <w:r w:rsidRPr="006305C1">
        <w:rPr>
          <w:rFonts w:ascii="Times New Roman" w:hAnsi="Times New Roman"/>
          <w:lang w:val="lt-LT"/>
        </w:rPr>
        <w:t>gali pasireikšti sunkios nepageidaujamos reakcijos, tokios kaip sumažėjęs kraujospūdis, retas širdies ritmas, kraujagyslių išsiplėtimas (pvz., veido ir kaklo paraudimas, apalpimas ir galvos skausmas).</w:t>
      </w:r>
      <w:r w:rsidRPr="006305C1">
        <w:rPr>
          <w:rFonts w:ascii="Times New Roman" w:hAnsi="Times New Roman"/>
          <w:lang w:val="lt-LT"/>
        </w:rPr>
        <w:br/>
      </w:r>
    </w:p>
    <w:p w:rsidR="004A4C69" w:rsidRPr="006305C1" w:rsidRDefault="004A4C69" w:rsidP="004A4C69">
      <w:pPr>
        <w:keepNext/>
        <w:spacing w:line="240" w:lineRule="auto"/>
        <w:rPr>
          <w:rFonts w:ascii="Times New Roman" w:hAnsi="Times New Roman"/>
          <w:lang w:val="lt-LT" w:eastAsia="lt-LT"/>
        </w:rPr>
      </w:pPr>
      <w:r w:rsidRPr="006305C1">
        <w:rPr>
          <w:rFonts w:ascii="Times New Roman" w:hAnsi="Times New Roman"/>
          <w:i/>
          <w:lang w:val="lt-LT"/>
        </w:rPr>
        <w:t xml:space="preserve">Virškinimo sistemos sutrikimai: </w:t>
      </w:r>
      <w:r w:rsidRPr="006305C1">
        <w:rPr>
          <w:rFonts w:ascii="Times New Roman" w:hAnsi="Times New Roman"/>
          <w:lang w:val="lt-LT"/>
        </w:rPr>
        <w:t>pykinimas, vėmimas, vidurių užkietėjimas, burnos džiūvimas.</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i/>
          <w:lang w:val="lt-LT"/>
        </w:rPr>
        <w:t xml:space="preserve">Odos sutrikimai: </w:t>
      </w:r>
      <w:r w:rsidRPr="006305C1">
        <w:rPr>
          <w:rFonts w:ascii="Times New Roman" w:hAnsi="Times New Roman"/>
          <w:lang w:val="lt-LT"/>
        </w:rPr>
        <w:t>odos išbėrimas, alerginė reakcija, niežulys.</w:t>
      </w:r>
    </w:p>
    <w:p w:rsidR="004A4C69" w:rsidRPr="006305C1" w:rsidRDefault="004A4C69" w:rsidP="004A4C69">
      <w:pPr>
        <w:spacing w:after="0" w:line="240" w:lineRule="auto"/>
        <w:rPr>
          <w:rFonts w:ascii="Times New Roman" w:hAnsi="Times New Roman"/>
          <w:i/>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i/>
          <w:lang w:val="lt-LT"/>
        </w:rPr>
        <w:t xml:space="preserve">Bendrieji sutrikimai ir vartojimo vietos pažeidimai: </w:t>
      </w:r>
      <w:r w:rsidRPr="006305C1">
        <w:rPr>
          <w:rFonts w:ascii="Times New Roman" w:hAnsi="Times New Roman"/>
          <w:lang w:val="lt-LT"/>
        </w:rPr>
        <w:t>nuovargis, paraudimas, odos patinimas, kraujo krešuliai ir skausmas injekcijos vietoje (eritema, tromboflebitas ir trombozė).</w:t>
      </w:r>
      <w:r w:rsidRPr="006305C1">
        <w:rPr>
          <w:rFonts w:ascii="Times New Roman" w:hAnsi="Times New Roman"/>
          <w:lang w:val="lt-LT"/>
        </w:rPr>
        <w:br/>
        <w:t>Pacientams, vartojantiems benzodiazepinų, yra didesnė rizika nukristi ir sulaužyti kaulus, ypač senyvo amžiaus žmonėms vartojantiems kitų raminamųjų (įskaitant alkoholinius gėrimus).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Cs/>
          <w:color w:val="000000"/>
          <w:lang w:val="lt-LT" w:eastAsia="lt-LT"/>
        </w:rPr>
      </w:pPr>
      <w:r w:rsidRPr="006305C1">
        <w:rPr>
          <w:rFonts w:ascii="Times New Roman" w:hAnsi="Times New Roman"/>
          <w:bCs/>
          <w:color w:val="000000"/>
          <w:lang w:val="lt-LT" w:eastAsia="lt-LT"/>
        </w:rPr>
        <w:t>Pacientams, kuriems yra sunki inkstų liga, yra didesnė nepageidaujamo poveikio tikimybė.</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Pranešimas apie šalutinį poveikį</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305C1">
          <w:rPr>
            <w:rFonts w:ascii="Times New Roman" w:hAnsi="Times New Roman"/>
            <w:lang w:val="lt-LT"/>
          </w:rPr>
          <w:t>https://vapris.vvkt.lt/vvkt-web/public/nrv</w:t>
        </w:r>
      </w:hyperlink>
      <w:r w:rsidRPr="006305C1">
        <w:rPr>
          <w:rFonts w:ascii="Times New Roman" w:hAnsi="Times New Roman"/>
          <w:lang w:val="lt-LT"/>
        </w:rPr>
        <w:t xml:space="preserve"> arba užpildant Paciento pranešimo apie įtariamą nepageidaujamą reakciją (ĮNR) formą, kuri skelbiama </w:t>
      </w:r>
      <w:hyperlink r:id="rId6" w:history="1">
        <w:r w:rsidRPr="006305C1">
          <w:rPr>
            <w:rFonts w:ascii="Times New Roman" w:hAnsi="Times New Roman"/>
            <w:lang w:val="lt-LT"/>
          </w:rPr>
          <w:t>https://www.vvkt.lt/index.php?4004286486</w:t>
        </w:r>
      </w:hyperlink>
      <w:r w:rsidRPr="006305C1">
        <w:rPr>
          <w:rFonts w:ascii="Times New Roman" w:hAnsi="Times New Roman"/>
          <w:lang w:val="lt-LT"/>
        </w:rPr>
        <w:t xml:space="preserve">, ir atsiunčiant elektroniniu paštu (adresu </w:t>
      </w:r>
      <w:hyperlink r:id="rId7" w:history="1">
        <w:r w:rsidRPr="006305C1">
          <w:rPr>
            <w:rFonts w:ascii="Times New Roman" w:hAnsi="Times New Roman"/>
            <w:lang w:val="lt-LT"/>
          </w:rPr>
          <w:t>NepageidaujamaR@vvkt.lt</w:t>
        </w:r>
      </w:hyperlink>
      <w:r w:rsidRPr="006305C1">
        <w:rPr>
          <w:rFonts w:ascii="Times New Roman" w:hAnsi="Times New Roman"/>
          <w:lang w:val="lt-LT"/>
        </w:rPr>
        <w:t>) arba nemokamu telefonu 8 800 73 568. Pranešdami apie šalutinį poveikį galite mums padėti gauti daugiau informacijos apie šio vaisto saugumą.</w:t>
      </w:r>
      <w:r w:rsidRPr="009A08E1">
        <w:rPr>
          <w:rFonts w:ascii="Times New Roman" w:hAnsi="Times New Roman"/>
          <w:lang w:val="lt-LT"/>
        </w:rPr>
        <w:t xml:space="preserve"> </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keepNext/>
        <w:spacing w:after="0" w:line="240" w:lineRule="auto"/>
        <w:ind w:left="567" w:hanging="567"/>
        <w:outlineLvl w:val="1"/>
        <w:rPr>
          <w:rFonts w:ascii="Times New Roman" w:hAnsi="Times New Roman"/>
          <w:b/>
          <w:lang w:val="lt-LT"/>
        </w:rPr>
      </w:pPr>
      <w:bookmarkStart w:id="6" w:name="_Toc129243143"/>
      <w:bookmarkStart w:id="7" w:name="_Toc129243268"/>
      <w:r w:rsidRPr="006305C1">
        <w:rPr>
          <w:rFonts w:ascii="Times New Roman" w:hAnsi="Times New Roman"/>
          <w:b/>
          <w:lang w:val="lt-LT"/>
        </w:rPr>
        <w:t>5.</w:t>
      </w:r>
      <w:r w:rsidRPr="006305C1">
        <w:rPr>
          <w:rFonts w:ascii="Times New Roman" w:hAnsi="Times New Roman"/>
          <w:b/>
          <w:lang w:val="lt-LT"/>
        </w:rPr>
        <w:tab/>
        <w:t>Kaip laikyti Midazolam Kalceks</w:t>
      </w:r>
      <w:bookmarkEnd w:id="6"/>
      <w:bookmarkEnd w:id="7"/>
    </w:p>
    <w:p w:rsidR="004A4C69" w:rsidRPr="006305C1" w:rsidRDefault="004A4C69" w:rsidP="004A4C69">
      <w:pPr>
        <w:keepNext/>
        <w:spacing w:after="0" w:line="240" w:lineRule="auto"/>
        <w:outlineLvl w:val="1"/>
        <w:rPr>
          <w:rFonts w:ascii="Times New Roman" w:hAnsi="Times New Roman"/>
          <w:b/>
          <w:lang w:val="lt-LT"/>
        </w:rPr>
      </w:pP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Šio vaisto laikymui specialių temperatūros sąlygų nereikalaujama.</w:t>
      </w: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color w:val="000000"/>
          <w:lang w:val="lt-LT"/>
        </w:rPr>
        <w:t>Ampules laikyti išorinėje dėžutėje, kad vaistas būtų apsaugotas nuo šviesos.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Šį vaistą laikykite vaikams nepastebimoje ir nepasiekiamoje vietoje.</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Po ampulės atidarymo vaistą reikia vartoti nedelsiant.</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lang w:val="lt-LT"/>
        </w:rPr>
        <w:t>Praskiesto tirpalo, laikomo 25 </w:t>
      </w:r>
      <w:r w:rsidRPr="006305C1">
        <w:rPr>
          <w:rFonts w:ascii="Times New Roman" w:hAnsi="Times New Roman"/>
          <w:lang w:val="lt-LT"/>
        </w:rPr>
        <w:sym w:font="Symbol" w:char="F0B0"/>
      </w:r>
      <w:r w:rsidRPr="006305C1">
        <w:rPr>
          <w:rFonts w:ascii="Times New Roman" w:hAnsi="Times New Roman"/>
          <w:lang w:val="lt-LT"/>
        </w:rPr>
        <w:t>C temperatūroje, fizinis ir cheminis stabilumas nekinta 24 valandas, o laikomo 2 </w:t>
      </w:r>
      <w:r w:rsidRPr="006305C1">
        <w:rPr>
          <w:rFonts w:ascii="Times New Roman" w:hAnsi="Times New Roman"/>
          <w:lang w:val="lt-LT"/>
        </w:rPr>
        <w:sym w:font="Symbol" w:char="F0B0"/>
      </w:r>
      <w:r w:rsidRPr="006305C1">
        <w:rPr>
          <w:rFonts w:ascii="Times New Roman" w:hAnsi="Times New Roman"/>
          <w:lang w:val="lt-LT"/>
        </w:rPr>
        <w:t>C</w:t>
      </w:r>
      <w:r>
        <w:rPr>
          <w:rFonts w:ascii="Times New Roman" w:hAnsi="Times New Roman"/>
          <w:lang w:val="lt-LT"/>
        </w:rPr>
        <w:t> </w:t>
      </w:r>
      <w:r>
        <w:rPr>
          <w:rFonts w:ascii="Times New Roman" w:hAnsi="Times New Roman"/>
          <w:lang w:val="lt-LT"/>
        </w:rPr>
        <w:noBreakHyphen/>
        <w:t> </w:t>
      </w:r>
      <w:r w:rsidRPr="006305C1">
        <w:rPr>
          <w:rFonts w:ascii="Times New Roman" w:hAnsi="Times New Roman"/>
          <w:lang w:val="lt-LT"/>
        </w:rPr>
        <w:t>8 </w:t>
      </w:r>
      <w:r w:rsidRPr="006305C1">
        <w:rPr>
          <w:rFonts w:ascii="Times New Roman" w:hAnsi="Times New Roman"/>
          <w:lang w:val="lt-LT"/>
        </w:rPr>
        <w:sym w:font="Symbol" w:char="F0B0"/>
      </w:r>
      <w:r w:rsidRPr="006305C1">
        <w:rPr>
          <w:rFonts w:ascii="Times New Roman" w:hAnsi="Times New Roman"/>
          <w:lang w:val="lt-LT"/>
        </w:rPr>
        <w:t>C temperatūroje – 3 dienas, naudojant 0,9 % natrio chlorido, 5 % ir 10 % gliukozės, Ringerio ir Hartmano tirpalus.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Mikrobiologiniu požiūriu, praskiestas tirpalas turi būti suvartotas nedelsiant. Jeigu tirpalas nesuvartojamas iš karto, už jo saugojimo laiką ir sąlygas prieš jį suvartojant yra atsakingas vartotojas, bet paprastai turi būti laikomas ne ilgiau kaip 24</w:t>
      </w:r>
      <w:r>
        <w:rPr>
          <w:rFonts w:ascii="Times New Roman" w:hAnsi="Times New Roman"/>
          <w:lang w:val="lt-LT"/>
        </w:rPr>
        <w:t> </w:t>
      </w:r>
      <w:r w:rsidRPr="006305C1">
        <w:rPr>
          <w:rFonts w:ascii="Times New Roman" w:hAnsi="Times New Roman"/>
          <w:lang w:val="lt-LT"/>
        </w:rPr>
        <w:t>valandas 2 </w:t>
      </w:r>
      <w:r w:rsidRPr="006305C1">
        <w:rPr>
          <w:rFonts w:ascii="Times New Roman" w:hAnsi="Times New Roman"/>
          <w:lang w:val="lt-LT"/>
        </w:rPr>
        <w:sym w:font="Symbol" w:char="F0B0"/>
      </w:r>
      <w:r w:rsidRPr="006305C1">
        <w:rPr>
          <w:rFonts w:ascii="Times New Roman" w:hAnsi="Times New Roman"/>
          <w:lang w:val="lt-LT"/>
        </w:rPr>
        <w:t>C</w:t>
      </w:r>
      <w:r>
        <w:rPr>
          <w:rFonts w:ascii="Times New Roman" w:hAnsi="Times New Roman"/>
          <w:lang w:val="lt-LT"/>
        </w:rPr>
        <w:t> </w:t>
      </w:r>
      <w:r>
        <w:rPr>
          <w:rFonts w:ascii="Times New Roman" w:hAnsi="Times New Roman"/>
          <w:lang w:val="lt-LT"/>
        </w:rPr>
        <w:noBreakHyphen/>
        <w:t> </w:t>
      </w:r>
      <w:r w:rsidRPr="006305C1">
        <w:rPr>
          <w:rFonts w:ascii="Times New Roman" w:hAnsi="Times New Roman"/>
          <w:lang w:val="lt-LT"/>
        </w:rPr>
        <w:t>8 </w:t>
      </w:r>
      <w:r w:rsidRPr="006305C1">
        <w:rPr>
          <w:rFonts w:ascii="Times New Roman" w:hAnsi="Times New Roman"/>
          <w:lang w:val="lt-LT"/>
        </w:rPr>
        <w:sym w:font="Symbol" w:char="F0B0"/>
      </w:r>
      <w:r w:rsidRPr="006305C1">
        <w:rPr>
          <w:rFonts w:ascii="Times New Roman" w:hAnsi="Times New Roman"/>
          <w:lang w:val="lt-LT"/>
        </w:rPr>
        <w:t>C temperatūroje, nebent vaistas buvo praskiestas kontroliuojamomis ir įteisintomis aseptikos sąlygomis.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Ant ampulės etiketės ir dėžutės po „EXP“ nurodytam tinkamumo laikui pasibaigus, šio vaisto vartoti negalima. Vaistas tinkamas vartoti iki paskutinės nurodyto mėnesio dienos.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Vaistų negalima išmesti į kanalizaciją arba su buitinėmis atliekomis. Kaip išmesti nereikalingus vaistus, klauskite vaistininko. Šios priemonės padės apsaugoti aplinką.</w:t>
      </w:r>
    </w:p>
    <w:p w:rsidR="004A4C69" w:rsidRPr="006305C1" w:rsidRDefault="004A4C69" w:rsidP="004A4C69">
      <w:pPr>
        <w:numPr>
          <w:ilvl w:val="12"/>
          <w:numId w:val="0"/>
        </w:numPr>
        <w:spacing w:after="0" w:line="240" w:lineRule="auto"/>
        <w:outlineLvl w:val="0"/>
        <w:rPr>
          <w:rFonts w:ascii="Times New Roman" w:hAnsi="Times New Roman"/>
          <w:b/>
          <w:lang w:val="lt-LT"/>
        </w:rPr>
      </w:pPr>
    </w:p>
    <w:p w:rsidR="004A4C69" w:rsidRPr="006305C1" w:rsidRDefault="004A4C69" w:rsidP="004A4C69">
      <w:pPr>
        <w:numPr>
          <w:ilvl w:val="12"/>
          <w:numId w:val="0"/>
        </w:numPr>
        <w:spacing w:after="0" w:line="240" w:lineRule="auto"/>
        <w:outlineLvl w:val="0"/>
        <w:rPr>
          <w:rFonts w:ascii="Times New Roman" w:hAnsi="Times New Roman"/>
          <w:b/>
          <w:lang w:val="lt-LT"/>
        </w:rPr>
      </w:pPr>
    </w:p>
    <w:p w:rsidR="004A4C69" w:rsidRPr="006305C1" w:rsidRDefault="004A4C69" w:rsidP="004A4C69">
      <w:pPr>
        <w:numPr>
          <w:ilvl w:val="12"/>
          <w:numId w:val="0"/>
        </w:numPr>
        <w:spacing w:after="0" w:line="240" w:lineRule="auto"/>
        <w:ind w:left="567" w:hanging="567"/>
        <w:outlineLvl w:val="0"/>
        <w:rPr>
          <w:rFonts w:ascii="Times New Roman" w:hAnsi="Times New Roman"/>
          <w:b/>
          <w:lang w:val="lt-LT" w:eastAsia="lt-LT"/>
        </w:rPr>
      </w:pPr>
      <w:r w:rsidRPr="006305C1">
        <w:rPr>
          <w:rFonts w:ascii="Times New Roman" w:hAnsi="Times New Roman"/>
          <w:b/>
          <w:lang w:val="lt-LT"/>
        </w:rPr>
        <w:t>6.</w:t>
      </w:r>
      <w:r w:rsidRPr="006305C1">
        <w:rPr>
          <w:rFonts w:ascii="Times New Roman" w:hAnsi="Times New Roman"/>
          <w:lang w:val="lt-LT"/>
        </w:rPr>
        <w:tab/>
      </w:r>
      <w:r w:rsidRPr="006305C1">
        <w:rPr>
          <w:rFonts w:ascii="Times New Roman" w:hAnsi="Times New Roman"/>
          <w:b/>
          <w:lang w:val="lt-LT"/>
        </w:rPr>
        <w:t>Pakuotės turinys ir kita informacija</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Midazolam Kalceks sudėtis</w:t>
      </w:r>
    </w:p>
    <w:p w:rsidR="004A4C69" w:rsidRPr="006305C1" w:rsidRDefault="004A4C69" w:rsidP="004A4C69">
      <w:pPr>
        <w:numPr>
          <w:ilvl w:val="0"/>
          <w:numId w:val="1"/>
        </w:numPr>
        <w:tabs>
          <w:tab w:val="clear" w:pos="1650"/>
        </w:tabs>
        <w:spacing w:after="0" w:line="240" w:lineRule="auto"/>
        <w:ind w:left="567" w:hanging="567"/>
        <w:rPr>
          <w:rFonts w:ascii="Times New Roman" w:hAnsi="Times New Roman"/>
          <w:lang w:val="lt-LT" w:eastAsia="lt-LT"/>
        </w:rPr>
      </w:pPr>
      <w:r w:rsidRPr="006305C1">
        <w:rPr>
          <w:rFonts w:ascii="Times New Roman" w:hAnsi="Times New Roman"/>
          <w:lang w:val="lt-LT"/>
        </w:rPr>
        <w:t>Veiklioji medžiaga yra midazolamas.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1 mg/ml</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1 ml tirpalo yra 1 mg midazolamo.</w:t>
      </w:r>
    </w:p>
    <w:p w:rsidR="004A4C69" w:rsidRPr="006305C1" w:rsidRDefault="004A4C69" w:rsidP="004A4C69">
      <w:pPr>
        <w:spacing w:after="0" w:line="240" w:lineRule="auto"/>
        <w:contextualSpacing/>
        <w:rPr>
          <w:rFonts w:ascii="Times New Roman" w:hAnsi="Times New Roman"/>
          <w:lang w:val="lt-LT"/>
        </w:rPr>
      </w:pPr>
      <w:r w:rsidRPr="006305C1">
        <w:rPr>
          <w:rFonts w:ascii="Times New Roman" w:hAnsi="Times New Roman"/>
          <w:lang w:val="lt-LT"/>
        </w:rPr>
        <w:t>Vienoje ampulėje, kurioje yra 5 ml tirpalo, yra 5 mg midazolamo.</w:t>
      </w:r>
    </w:p>
    <w:p w:rsidR="004A4C69" w:rsidRPr="006305C1" w:rsidRDefault="004A4C69" w:rsidP="004A4C69">
      <w:pPr>
        <w:spacing w:after="0" w:line="240" w:lineRule="auto"/>
        <w:ind w:left="567"/>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Midazolam Kalceks </w:t>
      </w:r>
      <w:r w:rsidRPr="006305C1">
        <w:rPr>
          <w:rFonts w:ascii="Times New Roman" w:hAnsi="Times New Roman"/>
          <w:b/>
          <w:i/>
          <w:lang w:val="lt-LT"/>
        </w:rPr>
        <w:t>5 mg/ml</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1 ml tirpalo yra 5 mg midazolamo.</w:t>
      </w:r>
    </w:p>
    <w:p w:rsidR="004A4C69" w:rsidRPr="006305C1" w:rsidRDefault="004A4C69" w:rsidP="004A4C69">
      <w:pPr>
        <w:spacing w:after="0" w:line="240" w:lineRule="auto"/>
        <w:contextualSpacing/>
        <w:rPr>
          <w:rFonts w:ascii="Times New Roman" w:hAnsi="Times New Roman"/>
          <w:lang w:val="lt-LT"/>
        </w:rPr>
      </w:pPr>
      <w:r w:rsidRPr="006305C1">
        <w:rPr>
          <w:rFonts w:ascii="Times New Roman" w:hAnsi="Times New Roman"/>
          <w:lang w:val="lt-LT"/>
        </w:rPr>
        <w:t>Vienoje ampulėje, kurioje yra 1 ml tirpalo, yra 5 mg midazolamo.</w:t>
      </w:r>
    </w:p>
    <w:p w:rsidR="004A4C69" w:rsidRPr="006305C1" w:rsidRDefault="004A4C69" w:rsidP="004A4C69">
      <w:pPr>
        <w:spacing w:after="0" w:line="240" w:lineRule="auto"/>
        <w:contextualSpacing/>
        <w:rPr>
          <w:rFonts w:ascii="Times New Roman" w:hAnsi="Times New Roman"/>
          <w:lang w:val="lt-LT"/>
        </w:rPr>
      </w:pPr>
      <w:r w:rsidRPr="006305C1">
        <w:rPr>
          <w:rFonts w:ascii="Times New Roman" w:hAnsi="Times New Roman"/>
          <w:lang w:val="lt-LT"/>
        </w:rPr>
        <w:t>Vienoje ampulėje, kurioje yra 3 ml tirpalo, yra 15 mg midazolamo.</w:t>
      </w:r>
    </w:p>
    <w:p w:rsidR="004A4C69" w:rsidRPr="006305C1" w:rsidRDefault="004A4C69" w:rsidP="004A4C69">
      <w:pPr>
        <w:spacing w:after="0" w:line="240" w:lineRule="auto"/>
        <w:contextualSpacing/>
        <w:rPr>
          <w:rFonts w:ascii="Times New Roman" w:hAnsi="Times New Roman"/>
          <w:lang w:val="lt-LT"/>
        </w:rPr>
      </w:pPr>
      <w:r w:rsidRPr="006305C1">
        <w:rPr>
          <w:rFonts w:ascii="Times New Roman" w:hAnsi="Times New Roman"/>
          <w:lang w:val="lt-LT"/>
        </w:rPr>
        <w:t>Vienoje ampulėje, kurioje yra 10 ml tirpalo, yra 50 mg midazolamo.</w:t>
      </w:r>
    </w:p>
    <w:p w:rsidR="004A4C69" w:rsidRPr="006305C1" w:rsidRDefault="004A4C69" w:rsidP="004A4C69">
      <w:pPr>
        <w:spacing w:after="0" w:line="240" w:lineRule="auto"/>
        <w:ind w:firstLine="567"/>
        <w:contextualSpacing/>
        <w:rPr>
          <w:rFonts w:ascii="Times New Roman" w:hAnsi="Times New Roman"/>
          <w:lang w:val="lt-LT"/>
        </w:rPr>
      </w:pPr>
    </w:p>
    <w:p w:rsidR="004A4C69" w:rsidRPr="006305C1" w:rsidRDefault="004A4C69" w:rsidP="004A4C69">
      <w:pPr>
        <w:autoSpaceDE w:val="0"/>
        <w:autoSpaceDN w:val="0"/>
        <w:adjustRightInd w:val="0"/>
        <w:spacing w:after="0" w:line="240" w:lineRule="auto"/>
        <w:rPr>
          <w:rFonts w:ascii="Times New Roman" w:hAnsi="Times New Roman"/>
          <w:lang w:val="lt-LT"/>
        </w:rPr>
      </w:pPr>
      <w:r w:rsidRPr="006305C1">
        <w:rPr>
          <w:rFonts w:ascii="Times New Roman" w:hAnsi="Times New Roman"/>
          <w:color w:val="000000"/>
          <w:lang w:val="lt-LT"/>
        </w:rPr>
        <w:t>-</w:t>
      </w:r>
      <w:r w:rsidRPr="006305C1">
        <w:rPr>
          <w:rFonts w:ascii="Times New Roman" w:hAnsi="Times New Roman"/>
          <w:color w:val="000000"/>
          <w:lang w:val="lt-LT"/>
        </w:rPr>
        <w:tab/>
        <w:t>Pagalbinės medžiagos yra koncentruota vandenilio chlorido rūgštis, natrio chloridas, natrio hidroksidas (pH koreguoti), injekcinis vanduo.</w:t>
      </w:r>
    </w:p>
    <w:p w:rsidR="004A4C69" w:rsidRPr="006305C1" w:rsidRDefault="004A4C69" w:rsidP="004A4C69">
      <w:pPr>
        <w:spacing w:after="0" w:line="240" w:lineRule="auto"/>
        <w:ind w:left="567" w:hanging="567"/>
        <w:rPr>
          <w:rFonts w:ascii="Times New Roman" w:hAnsi="Times New Roman"/>
          <w:lang w:val="lt-LT"/>
        </w:rPr>
      </w:pPr>
    </w:p>
    <w:p w:rsidR="004A4C69" w:rsidRPr="006305C1" w:rsidRDefault="004A4C69" w:rsidP="004A4C69">
      <w:pPr>
        <w:spacing w:after="0" w:line="240" w:lineRule="auto"/>
        <w:rPr>
          <w:rFonts w:ascii="Times New Roman" w:hAnsi="Times New Roman"/>
          <w:b/>
          <w:lang w:val="lt-LT" w:eastAsia="lt-LT"/>
        </w:rPr>
      </w:pPr>
      <w:r w:rsidRPr="006305C1">
        <w:rPr>
          <w:rFonts w:ascii="Times New Roman" w:hAnsi="Times New Roman"/>
          <w:b/>
          <w:lang w:val="lt-LT"/>
        </w:rPr>
        <w:t>Midazolam Kalceks išvaizda ir kiekis pakuotėje</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color w:val="000000"/>
          <w:lang w:val="lt-LT"/>
        </w:rPr>
        <w:t xml:space="preserve">Skaidrus bespalvis injekcinis ar infuzinis tirpalas </w:t>
      </w:r>
      <w:r w:rsidRPr="006305C1">
        <w:rPr>
          <w:rFonts w:ascii="Times New Roman" w:hAnsi="Times New Roman"/>
          <w:lang w:val="lt-LT"/>
        </w:rPr>
        <w:t>1 ml, 3 ml arba 10 ml (5 mg/ml) ir 5 ml (1 mg/ml) I tipo bespalvio stiklo ampulėse su laužimo tašku.</w:t>
      </w:r>
    </w:p>
    <w:p w:rsidR="004A4C69"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Pakuotės dydis: 5 arba 10</w:t>
      </w:r>
      <w:r>
        <w:rPr>
          <w:rFonts w:ascii="Times New Roman" w:hAnsi="Times New Roman"/>
          <w:lang w:val="lt-LT"/>
        </w:rPr>
        <w:t> </w:t>
      </w:r>
      <w:r w:rsidRPr="006305C1">
        <w:rPr>
          <w:rFonts w:ascii="Times New Roman" w:hAnsi="Times New Roman"/>
          <w:lang w:val="lt-LT"/>
        </w:rPr>
        <w:t>ampulių.</w:t>
      </w:r>
    </w:p>
    <w:p w:rsidR="004A4C69"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Gali būti tiekiamos ne visų dydžių pakuotės.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b/>
          <w:lang w:val="lt-LT"/>
        </w:rPr>
        <w:t>Registruotojas ir gamintojas</w:t>
      </w:r>
    </w:p>
    <w:p w:rsidR="004A4C69" w:rsidRPr="006305C1" w:rsidRDefault="004A4C69" w:rsidP="004A4C69">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AS KALCEKS</w:t>
      </w:r>
    </w:p>
    <w:p w:rsidR="004A4C69" w:rsidRPr="006305C1" w:rsidRDefault="004A4C69" w:rsidP="004A4C69">
      <w:pPr>
        <w:autoSpaceDE w:val="0"/>
        <w:autoSpaceDN w:val="0"/>
        <w:adjustRightInd w:val="0"/>
        <w:spacing w:after="0" w:line="240" w:lineRule="auto"/>
        <w:rPr>
          <w:rFonts w:ascii="Times New Roman" w:hAnsi="Times New Roman"/>
          <w:color w:val="000000"/>
          <w:lang w:val="lt-LT" w:eastAsia="lt-LT"/>
        </w:rPr>
      </w:pPr>
      <w:r w:rsidRPr="006305C1">
        <w:rPr>
          <w:rFonts w:ascii="Times New Roman" w:hAnsi="Times New Roman"/>
          <w:color w:val="000000"/>
          <w:lang w:val="lt-LT"/>
        </w:rPr>
        <w:t>Krustpils iela 71E, Rīga, LV</w:t>
      </w:r>
      <w:r w:rsidRPr="006305C1">
        <w:rPr>
          <w:rFonts w:ascii="Times New Roman" w:hAnsi="Times New Roman"/>
          <w:color w:val="000000"/>
          <w:lang w:val="lt-LT"/>
        </w:rPr>
        <w:noBreakHyphen/>
        <w:t>1057, Latvija</w:t>
      </w:r>
    </w:p>
    <w:p w:rsidR="004A4C69" w:rsidRPr="006305C1" w:rsidRDefault="004A4C69" w:rsidP="004A4C69">
      <w:pPr>
        <w:spacing w:after="0" w:line="240" w:lineRule="auto"/>
        <w:rPr>
          <w:rFonts w:ascii="Times New Roman" w:hAnsi="Times New Roman"/>
          <w:lang w:val="lt-LT"/>
        </w:rPr>
      </w:pPr>
      <w:r w:rsidRPr="006305C1">
        <w:rPr>
          <w:rFonts w:ascii="Times New Roman" w:hAnsi="Times New Roman"/>
          <w:lang w:val="lt-LT"/>
        </w:rPr>
        <w:t>Tel.: +371 67083320</w:t>
      </w:r>
    </w:p>
    <w:p w:rsidR="004A4C69" w:rsidRPr="00C15AA4" w:rsidRDefault="004A4C69" w:rsidP="004A4C69">
      <w:pPr>
        <w:spacing w:after="0" w:line="240" w:lineRule="auto"/>
        <w:rPr>
          <w:rFonts w:ascii="Times New Roman" w:hAnsi="Times New Roman"/>
          <w:lang w:val="lt-LT"/>
        </w:rPr>
      </w:pPr>
      <w:r w:rsidRPr="006305C1">
        <w:rPr>
          <w:rFonts w:ascii="Times New Roman" w:hAnsi="Times New Roman"/>
          <w:lang w:val="lt-LT"/>
        </w:rPr>
        <w:t xml:space="preserve">El. paštas: </w:t>
      </w:r>
      <w:hyperlink r:id="rId8" w:history="1">
        <w:r w:rsidRPr="009A08E1">
          <w:rPr>
            <w:rStyle w:val="Hipersaitas"/>
            <w:rFonts w:ascii="Times New Roman" w:hAnsi="Times New Roman"/>
            <w:lang w:val="lt-LT"/>
          </w:rPr>
          <w:t>kalceks@kalceks.lv</w:t>
        </w:r>
      </w:hyperlink>
    </w:p>
    <w:p w:rsidR="004A4C69" w:rsidRPr="006305C1" w:rsidRDefault="004A4C69" w:rsidP="004A4C69">
      <w:pPr>
        <w:numPr>
          <w:ilvl w:val="12"/>
          <w:numId w:val="0"/>
        </w:numPr>
        <w:spacing w:after="0" w:line="240" w:lineRule="auto"/>
        <w:contextualSpacing/>
        <w:rPr>
          <w:rFonts w:ascii="Times New Roman" w:hAnsi="Times New Roman"/>
          <w:lang w:val="lt-LT"/>
        </w:rPr>
      </w:pPr>
    </w:p>
    <w:p w:rsidR="004A4C69" w:rsidRPr="006305C1" w:rsidRDefault="004A4C69" w:rsidP="004A4C69">
      <w:pPr>
        <w:numPr>
          <w:ilvl w:val="12"/>
          <w:numId w:val="0"/>
        </w:numPr>
        <w:spacing w:after="0" w:line="240" w:lineRule="auto"/>
        <w:rPr>
          <w:rFonts w:ascii="Times New Roman" w:hAnsi="Times New Roman"/>
          <w:lang w:val="lt-LT" w:eastAsia="lt-LT"/>
        </w:rPr>
      </w:pPr>
      <w:r w:rsidRPr="006305C1">
        <w:rPr>
          <w:rFonts w:ascii="Times New Roman" w:hAnsi="Times New Roman"/>
          <w:lang w:val="lt-LT"/>
        </w:rPr>
        <w:t>Jeigu apie šį vaistą norite sužinoti daugiau, kreipkitės į vietinį registruotojo atstovą.</w:t>
      </w:r>
    </w:p>
    <w:p w:rsidR="004A4C69" w:rsidRPr="006305C1" w:rsidRDefault="004A4C69" w:rsidP="004A4C69">
      <w:pPr>
        <w:spacing w:after="0" w:line="240" w:lineRule="auto"/>
        <w:rPr>
          <w:rFonts w:ascii="Times New Roman" w:hAnsi="Times New Roman"/>
          <w:lang w:val="lt-LT"/>
        </w:rPr>
      </w:pPr>
    </w:p>
    <w:p w:rsidR="004A4C69" w:rsidRPr="00EE69E4" w:rsidRDefault="004A4C69" w:rsidP="004A4C69">
      <w:pPr>
        <w:autoSpaceDE w:val="0"/>
        <w:autoSpaceDN w:val="0"/>
        <w:adjustRightInd w:val="0"/>
        <w:spacing w:after="0" w:line="240" w:lineRule="auto"/>
        <w:rPr>
          <w:rFonts w:ascii="Times New Roman" w:hAnsi="Times New Roman"/>
          <w:color w:val="000000"/>
        </w:rPr>
      </w:pPr>
      <w:r w:rsidRPr="00EE69E4">
        <w:rPr>
          <w:rFonts w:ascii="Times New Roman" w:hAnsi="Times New Roman"/>
          <w:color w:val="000000"/>
        </w:rPr>
        <w:t xml:space="preserve">”Grindeks Kalceks Lietuva” UAB </w:t>
      </w:r>
    </w:p>
    <w:p w:rsidR="004A4C69" w:rsidRPr="00EE69E4" w:rsidRDefault="004A4C69" w:rsidP="004A4C69">
      <w:pPr>
        <w:autoSpaceDE w:val="0"/>
        <w:autoSpaceDN w:val="0"/>
        <w:adjustRightInd w:val="0"/>
        <w:spacing w:after="0" w:line="240" w:lineRule="auto"/>
        <w:rPr>
          <w:rFonts w:ascii="Times New Roman" w:hAnsi="Times New Roman"/>
          <w:color w:val="000000"/>
        </w:rPr>
      </w:pPr>
      <w:r w:rsidRPr="00EE69E4">
        <w:rPr>
          <w:rFonts w:ascii="Times New Roman" w:hAnsi="Times New Roman"/>
          <w:color w:val="000000"/>
        </w:rPr>
        <w:t xml:space="preserve">Kalvarijų g. 300 </w:t>
      </w:r>
    </w:p>
    <w:p w:rsidR="004A4C69" w:rsidRPr="00EE69E4" w:rsidRDefault="004A4C69" w:rsidP="004A4C69">
      <w:pPr>
        <w:autoSpaceDE w:val="0"/>
        <w:autoSpaceDN w:val="0"/>
        <w:adjustRightInd w:val="0"/>
        <w:spacing w:after="0" w:line="240" w:lineRule="auto"/>
        <w:rPr>
          <w:rFonts w:ascii="Times New Roman" w:hAnsi="Times New Roman"/>
          <w:color w:val="000000"/>
        </w:rPr>
      </w:pPr>
      <w:r w:rsidRPr="00EE69E4">
        <w:rPr>
          <w:rFonts w:ascii="Times New Roman" w:hAnsi="Times New Roman"/>
          <w:color w:val="000000"/>
        </w:rPr>
        <w:t xml:space="preserve">LT-08318 Vilnius </w:t>
      </w:r>
    </w:p>
    <w:p w:rsidR="004A4C69" w:rsidRPr="00EE69E4" w:rsidRDefault="004A4C69" w:rsidP="004A4C69">
      <w:pPr>
        <w:numPr>
          <w:ilvl w:val="12"/>
          <w:numId w:val="0"/>
        </w:numPr>
        <w:tabs>
          <w:tab w:val="left" w:pos="567"/>
        </w:tabs>
        <w:spacing w:after="0" w:line="240" w:lineRule="auto"/>
        <w:ind w:right="-2"/>
        <w:contextualSpacing/>
        <w:rPr>
          <w:rFonts w:ascii="Times New Roman" w:hAnsi="Times New Roman"/>
          <w:color w:val="000000"/>
        </w:rPr>
      </w:pPr>
      <w:r w:rsidRPr="00EE69E4">
        <w:rPr>
          <w:rFonts w:ascii="Times New Roman" w:hAnsi="Times New Roman"/>
          <w:color w:val="000000"/>
        </w:rPr>
        <w:t>Tel.+370 5 210 14 01</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b/>
          <w:lang w:val="lt-LT"/>
        </w:rPr>
        <w:t xml:space="preserve">Šis pakuotės lapelis paskutinį kartą peržiūrėtas </w:t>
      </w:r>
      <w:r>
        <w:rPr>
          <w:rFonts w:ascii="Times New Roman" w:hAnsi="Times New Roman"/>
          <w:b/>
          <w:lang w:val="lt-LT"/>
        </w:rPr>
        <w:t>2024-10-01.</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 xml:space="preserve">Išsami informacija apie šį vaistą pateikiama Valstybinės vaistų kontrolės tarnybos prie Lietuvos Respublikos sveikatos apsaugos ministerijos interneto svetainėje </w:t>
      </w:r>
      <w:hyperlink r:id="rId9" w:history="1">
        <w:r w:rsidRPr="006305C1">
          <w:rPr>
            <w:rFonts w:ascii="Times New Roman" w:hAnsi="Times New Roman"/>
            <w:color w:val="0000FF"/>
            <w:u w:val="single"/>
            <w:lang w:val="lt-LT"/>
          </w:rPr>
          <w:t>http://www.vvkt.lt/</w:t>
        </w:r>
      </w:hyperlink>
      <w:r w:rsidRPr="006305C1">
        <w:rPr>
          <w:rFonts w:ascii="Times New Roman" w:hAnsi="Times New Roman"/>
          <w:color w:val="0000FF"/>
          <w:u w:val="single"/>
          <w:lang w:val="lt-LT"/>
        </w:rPr>
        <w:t>.</w:t>
      </w:r>
    </w:p>
    <w:p w:rsidR="004A4C69" w:rsidRPr="006305C1" w:rsidRDefault="004A4C69" w:rsidP="004A4C69">
      <w:pPr>
        <w:pBdr>
          <w:bottom w:val="single" w:sz="6" w:space="1" w:color="auto"/>
        </w:pBdr>
        <w:spacing w:after="0" w:line="240" w:lineRule="auto"/>
        <w:rPr>
          <w:rFonts w:ascii="Times New Roman" w:hAnsi="Times New Roman"/>
          <w:b/>
          <w:lang w:val="lt-LT"/>
        </w:rPr>
      </w:pPr>
    </w:p>
    <w:p w:rsidR="004A4C69" w:rsidRPr="006305C1" w:rsidRDefault="004A4C69" w:rsidP="004A4C69">
      <w:pPr>
        <w:spacing w:after="0" w:line="240" w:lineRule="auto"/>
        <w:rPr>
          <w:rFonts w:ascii="Times New Roman" w:hAnsi="Times New Roman"/>
          <w:b/>
          <w:caps/>
          <w:lang w:val="lt-LT"/>
        </w:rPr>
      </w:pPr>
    </w:p>
    <w:p w:rsidR="004A4C69" w:rsidRPr="006305C1" w:rsidRDefault="004A4C69" w:rsidP="004A4C69">
      <w:pPr>
        <w:spacing w:after="0" w:line="240" w:lineRule="auto"/>
        <w:rPr>
          <w:rFonts w:ascii="Times New Roman" w:hAnsi="Times New Roman"/>
          <w:b/>
          <w:bCs/>
          <w:lang w:val="lt-LT" w:eastAsia="lt-LT"/>
        </w:rPr>
      </w:pPr>
      <w:r w:rsidRPr="006305C1">
        <w:rPr>
          <w:rFonts w:ascii="Times New Roman" w:hAnsi="Times New Roman"/>
          <w:b/>
          <w:bCs/>
          <w:lang w:val="lt-LT"/>
        </w:rPr>
        <w:t>Toliau pateikta informacija skirta tik sveikatos priežiūros specialistams.</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color w:val="000000"/>
          <w:u w:val="single"/>
          <w:lang w:val="lt-LT" w:eastAsia="lt-LT"/>
        </w:rPr>
      </w:pPr>
      <w:r w:rsidRPr="006305C1">
        <w:rPr>
          <w:rFonts w:ascii="Times New Roman" w:hAnsi="Times New Roman"/>
          <w:color w:val="000000"/>
          <w:u w:val="single"/>
          <w:lang w:val="lt-LT"/>
        </w:rPr>
        <w:t>Vartojimo instrukcija</w:t>
      </w: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yra suderinamas su šiais infuziniais tirpalais:</w:t>
      </w:r>
    </w:p>
    <w:p w:rsidR="004A4C69" w:rsidRPr="006305C1" w:rsidRDefault="004A4C69" w:rsidP="004A4C69">
      <w:pPr>
        <w:pStyle w:val="Sraopastraipa"/>
        <w:numPr>
          <w:ilvl w:val="0"/>
          <w:numId w:val="11"/>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0,9 % natrio chlorido tirpalu,</w:t>
      </w:r>
    </w:p>
    <w:p w:rsidR="004A4C69" w:rsidRPr="006305C1" w:rsidRDefault="004A4C69" w:rsidP="004A4C69">
      <w:pPr>
        <w:pStyle w:val="Sraopastraipa"/>
        <w:numPr>
          <w:ilvl w:val="0"/>
          <w:numId w:val="11"/>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5 % gliukozės tirpalu,</w:t>
      </w:r>
    </w:p>
    <w:p w:rsidR="004A4C69" w:rsidRPr="006305C1" w:rsidRDefault="004A4C69" w:rsidP="004A4C69">
      <w:pPr>
        <w:pStyle w:val="Sraopastraipa"/>
        <w:numPr>
          <w:ilvl w:val="0"/>
          <w:numId w:val="11"/>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10 % gliukozės tirpalu,</w:t>
      </w:r>
    </w:p>
    <w:p w:rsidR="004A4C69" w:rsidRPr="006305C1" w:rsidRDefault="004A4C69" w:rsidP="004A4C69">
      <w:pPr>
        <w:pStyle w:val="Sraopastraipa"/>
        <w:numPr>
          <w:ilvl w:val="0"/>
          <w:numId w:val="11"/>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Ringerio tirpalu,</w:t>
      </w:r>
    </w:p>
    <w:p w:rsidR="004A4C69" w:rsidRPr="006305C1" w:rsidRDefault="004A4C69" w:rsidP="004A4C69">
      <w:pPr>
        <w:pStyle w:val="Sraopastraipa"/>
        <w:numPr>
          <w:ilvl w:val="0"/>
          <w:numId w:val="11"/>
        </w:numPr>
        <w:spacing w:after="0" w:line="240" w:lineRule="auto"/>
        <w:ind w:left="567" w:hanging="567"/>
        <w:rPr>
          <w:rFonts w:ascii="Times New Roman" w:hAnsi="Times New Roman"/>
          <w:color w:val="000000"/>
          <w:lang w:val="lt-LT"/>
        </w:rPr>
      </w:pPr>
      <w:r w:rsidRPr="006305C1">
        <w:rPr>
          <w:rFonts w:ascii="Times New Roman" w:hAnsi="Times New Roman"/>
          <w:color w:val="000000"/>
          <w:lang w:val="lt-LT"/>
        </w:rPr>
        <w:t>Hartmano tirpalu.</w:t>
      </w:r>
    </w:p>
    <w:p w:rsidR="004A4C69" w:rsidRPr="006305C1" w:rsidRDefault="004A4C69" w:rsidP="004A4C69">
      <w:pPr>
        <w:spacing w:after="0" w:line="240" w:lineRule="auto"/>
        <w:rPr>
          <w:rFonts w:ascii="Times New Roman" w:hAnsi="Times New Roman"/>
          <w:color w:val="000000"/>
          <w:lang w:val="lt-LT"/>
        </w:rPr>
      </w:pP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Intraveninei infuzijai Midazolam Kalceks ampulių turinys gali būti praskiedžiamas vienu iš aukščiau minėtų tirpalų tokiu santykiu: 15 mg midazolamo praskiedžiama 100</w:t>
      </w:r>
      <w:r>
        <w:rPr>
          <w:rFonts w:ascii="Times New Roman" w:hAnsi="Times New Roman"/>
          <w:lang w:val="lt-LT"/>
        </w:rPr>
        <w:t> </w:t>
      </w:r>
      <w:r>
        <w:rPr>
          <w:rFonts w:ascii="Times New Roman" w:hAnsi="Times New Roman"/>
          <w:lang w:val="lt-LT"/>
        </w:rPr>
        <w:noBreakHyphen/>
        <w:t> </w:t>
      </w:r>
      <w:r w:rsidRPr="006305C1">
        <w:rPr>
          <w:rFonts w:ascii="Times New Roman" w:hAnsi="Times New Roman"/>
          <w:lang w:val="lt-LT"/>
        </w:rPr>
        <w:t>1</w:t>
      </w:r>
      <w:r>
        <w:rPr>
          <w:rFonts w:ascii="Times New Roman" w:hAnsi="Times New Roman"/>
          <w:lang w:val="lt-LT"/>
        </w:rPr>
        <w:t> </w:t>
      </w:r>
      <w:r w:rsidRPr="006305C1">
        <w:rPr>
          <w:rFonts w:ascii="Times New Roman" w:hAnsi="Times New Roman"/>
          <w:lang w:val="lt-LT"/>
        </w:rPr>
        <w:t>000 ml infuzinio tirpalo.</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injekcinio ar infuzinio tirpalo negalima skiesti 6 % Macrodex gliukozės tirpalu.</w:t>
      </w: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color w:val="000000"/>
          <w:lang w:val="lt-LT"/>
        </w:rPr>
        <w:t>Midazolam Kalceks injekcinio ar infuzinio tirpalo negalima maišyti su šarminės reakcijos injekciniais tirpalais. Vandenilio karbonato tirpaluose susidaro midazolamo nuosėdos.</w:t>
      </w:r>
    </w:p>
    <w:p w:rsidR="004A4C69" w:rsidRPr="006305C1" w:rsidRDefault="004A4C69" w:rsidP="004A4C69">
      <w:pPr>
        <w:spacing w:after="0" w:line="240" w:lineRule="auto"/>
        <w:rPr>
          <w:rFonts w:ascii="Times New Roman" w:hAnsi="Times New Roman"/>
          <w:lang w:val="lt-LT" w:eastAsia="lt-LT"/>
        </w:rPr>
      </w:pPr>
      <w:r w:rsidRPr="006305C1">
        <w:rPr>
          <w:rFonts w:ascii="Times New Roman" w:hAnsi="Times New Roman"/>
          <w:lang w:val="lt-LT"/>
        </w:rPr>
        <w:t>Siekiant išvengti galimo nesuderinamumo, Midazolam Kalceks injekcinio ar infuzinio tirpalo negalima maišyti su kitais tirpalais, išskyrus paminėtus anksčiau.</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rPr>
          <w:rFonts w:ascii="Times New Roman" w:hAnsi="Times New Roman"/>
          <w:color w:val="000000"/>
          <w:lang w:val="lt-LT" w:eastAsia="lt-LT"/>
        </w:rPr>
      </w:pPr>
      <w:r w:rsidRPr="006305C1">
        <w:rPr>
          <w:rFonts w:ascii="Times New Roman" w:hAnsi="Times New Roman"/>
          <w:lang w:val="lt-LT"/>
        </w:rPr>
        <w:t>Midazolam Kalceks injekcinis ar infuzinis tirpalas skirtas tik vienkartiniam vartojimui.</w:t>
      </w:r>
    </w:p>
    <w:p w:rsidR="004A4C69" w:rsidRPr="006305C1" w:rsidRDefault="004A4C69" w:rsidP="004A4C69">
      <w:pPr>
        <w:spacing w:after="0" w:line="240" w:lineRule="auto"/>
        <w:outlineLvl w:val="0"/>
        <w:rPr>
          <w:rFonts w:ascii="Times New Roman" w:hAnsi="Times New Roman"/>
          <w:b/>
          <w:color w:val="000000"/>
          <w:lang w:val="lt-LT" w:eastAsia="lt-LT"/>
        </w:rPr>
      </w:pPr>
      <w:r w:rsidRPr="006305C1">
        <w:rPr>
          <w:rFonts w:ascii="Times New Roman" w:hAnsi="Times New Roman"/>
          <w:lang w:val="lt-LT"/>
        </w:rPr>
        <w:t>Prieš vartojimą tirpalą reikia apžiūrėti. Galima vartoti tik skaidrų, be matomų dalelių tirpalą.</w:t>
      </w:r>
    </w:p>
    <w:p w:rsidR="004A4C69" w:rsidRPr="006305C1" w:rsidRDefault="004A4C69" w:rsidP="004A4C69">
      <w:pPr>
        <w:spacing w:after="0" w:line="240" w:lineRule="auto"/>
        <w:rPr>
          <w:rFonts w:ascii="Times New Roman" w:hAnsi="Times New Roman"/>
          <w:lang w:val="lt-LT"/>
        </w:rPr>
      </w:pPr>
    </w:p>
    <w:p w:rsidR="004A4C69" w:rsidRPr="006305C1" w:rsidRDefault="004A4C69" w:rsidP="004A4C69">
      <w:pPr>
        <w:spacing w:after="0" w:line="240" w:lineRule="auto"/>
        <w:ind w:left="142" w:hanging="142"/>
        <w:rPr>
          <w:rFonts w:ascii="Times New Roman" w:hAnsi="Times New Roman"/>
          <w:lang w:val="lt-LT"/>
        </w:rPr>
      </w:pPr>
      <w:r w:rsidRPr="006305C1">
        <w:rPr>
          <w:rFonts w:ascii="Times New Roman" w:hAnsi="Times New Roman"/>
          <w:lang w:val="lt-LT"/>
        </w:rPr>
        <w:t>Ampulės atidarymo instrukcija:</w:t>
      </w:r>
    </w:p>
    <w:p w:rsidR="004A4C69" w:rsidRPr="006305C1" w:rsidRDefault="004A4C69" w:rsidP="004A4C69">
      <w:pPr>
        <w:pStyle w:val="Sraopastraipa"/>
        <w:numPr>
          <w:ilvl w:val="0"/>
          <w:numId w:val="10"/>
        </w:numPr>
        <w:spacing w:after="0" w:line="240" w:lineRule="auto"/>
        <w:ind w:left="284" w:hanging="284"/>
        <w:rPr>
          <w:rFonts w:ascii="Times New Roman" w:hAnsi="Times New Roman"/>
          <w:lang w:val="lt-LT" w:eastAsia="lt-LT"/>
        </w:rPr>
      </w:pPr>
      <w:r w:rsidRPr="006305C1">
        <w:rPr>
          <w:rFonts w:ascii="Times New Roman" w:hAnsi="Times New Roman"/>
          <w:lang w:val="lt-LT"/>
        </w:rPr>
        <w:t>Pasukite ampulę su spalvotu tašku į save. Jei ampulės viršuje yra kokio nors tirpalo, švelniai palieskite pirštu, kad visas tirpalas nutekėtų į apatinę ampulės dalį.</w:t>
      </w:r>
    </w:p>
    <w:p w:rsidR="004A4C69" w:rsidRPr="006305C1" w:rsidRDefault="004A4C69" w:rsidP="004A4C69">
      <w:pPr>
        <w:pStyle w:val="Sraopastraipa"/>
        <w:numPr>
          <w:ilvl w:val="0"/>
          <w:numId w:val="10"/>
        </w:numPr>
        <w:spacing w:after="0" w:line="240" w:lineRule="auto"/>
        <w:ind w:left="284" w:hanging="284"/>
        <w:rPr>
          <w:rFonts w:ascii="Times New Roman" w:hAnsi="Times New Roman"/>
          <w:lang w:val="lt-LT" w:eastAsia="lt-LT"/>
        </w:rPr>
      </w:pPr>
      <w:r w:rsidRPr="006305C1">
        <w:rPr>
          <w:rFonts w:ascii="Times New Roman" w:hAnsi="Times New Roman"/>
          <w:lang w:val="lt-LT"/>
        </w:rPr>
        <w:t>Atidarykite abiem rankomis; laikydami apatinę ampulės dalį viena ranka, kita ranka nulaužkite viršutinę ampulės dalį į kitą pusę nuo spalvoto taško (žr. toliau pateiktus paveikslėlius).</w:t>
      </w:r>
    </w:p>
    <w:p w:rsidR="004A4C69" w:rsidRPr="006305C1" w:rsidRDefault="004A4C69" w:rsidP="004A4C69">
      <w:pPr>
        <w:spacing w:line="240" w:lineRule="auto"/>
        <w:rPr>
          <w:rFonts w:ascii="Times New Roman" w:hAnsi="Times New Roman"/>
          <w:lang w:val="lt-LT"/>
        </w:rPr>
      </w:pPr>
    </w:p>
    <w:p w:rsidR="004A4C69" w:rsidRPr="006305C1" w:rsidRDefault="004A4C69" w:rsidP="004A4C69">
      <w:pPr>
        <w:spacing w:line="240" w:lineRule="auto"/>
        <w:rPr>
          <w:rFonts w:ascii="Times New Roman" w:hAnsi="Times New Roman"/>
          <w:lang w:val="lt-LT"/>
        </w:rPr>
      </w:pPr>
      <w:r w:rsidRPr="006305C1">
        <w:rPr>
          <w:rFonts w:ascii="Times New Roman" w:hAnsi="Times New Roman"/>
          <w:noProof/>
          <w:lang w:val="lt-LT" w:eastAsia="lt-LT"/>
        </w:rPr>
        <w:drawing>
          <wp:inline distT="0" distB="0" distL="0" distR="0" wp14:anchorId="18F7A052" wp14:editId="6ECE20DC">
            <wp:extent cx="2695575" cy="19335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5575" cy="1933575"/>
                    </a:xfrm>
                    <a:prstGeom prst="rect">
                      <a:avLst/>
                    </a:prstGeom>
                    <a:noFill/>
                    <a:ln>
                      <a:noFill/>
                    </a:ln>
                  </pic:spPr>
                </pic:pic>
              </a:graphicData>
            </a:graphic>
          </wp:inline>
        </w:drawing>
      </w:r>
    </w:p>
    <w:p w:rsidR="004A4C69" w:rsidRPr="006305C1" w:rsidRDefault="004A4C69" w:rsidP="004A4C69">
      <w:pPr>
        <w:spacing w:line="240" w:lineRule="auto"/>
        <w:rPr>
          <w:rFonts w:ascii="Times New Roman" w:hAnsi="Times New Roman"/>
          <w:lang w:val="lt-LT"/>
        </w:rPr>
      </w:pPr>
    </w:p>
    <w:p w:rsidR="00BA6577" w:rsidRDefault="00BA6577">
      <w:bookmarkStart w:id="8" w:name="_GoBack"/>
      <w:bookmarkEnd w:id="8"/>
    </w:p>
    <w:sectPr w:rsidR="00BA6577">
      <w:headerReference w:type="default" r:id="rId11"/>
      <w:footerReference w:type="even" r:id="rId12"/>
      <w:footerReference w:type="default" r:id="rId13"/>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Minion">
    <w:altName w:val="Cambria Math"/>
    <w:charset w:val="00"/>
    <w:family w:val="roman"/>
    <w:pitch w:val="variable"/>
    <w:sig w:usb0="00000001" w:usb1="5000E07B"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0CB" w:rsidRDefault="004A4C6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A50CB" w:rsidRDefault="004A4C6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0CB" w:rsidRDefault="004A4C6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A50CB" w:rsidRDefault="004A4C69">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50CB" w:rsidRDefault="004A4C6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2A31"/>
    <w:multiLevelType w:val="hybridMultilevel"/>
    <w:tmpl w:val="87B83A20"/>
    <w:lvl w:ilvl="0" w:tplc="032ADAD4">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F72485D"/>
    <w:multiLevelType w:val="hybridMultilevel"/>
    <w:tmpl w:val="A120CD40"/>
    <w:lvl w:ilvl="0" w:tplc="6A14EF3A">
      <w:start w:val="7"/>
      <w:numFmt w:val="bullet"/>
      <w:lvlText w:val="-"/>
      <w:lvlJc w:val="left"/>
      <w:pPr>
        <w:tabs>
          <w:tab w:val="num" w:pos="570"/>
        </w:tabs>
        <w:ind w:left="570" w:hanging="570"/>
      </w:pPr>
      <w:rPr>
        <w:rFonts w:ascii="Times New Roman" w:eastAsia="Times New Roman" w:hAnsi="Times New Roman" w:cs="Times New Roman"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Courier New"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0553EAB"/>
    <w:multiLevelType w:val="hybridMultilevel"/>
    <w:tmpl w:val="CBA88762"/>
    <w:lvl w:ilvl="0" w:tplc="6A14EF3A">
      <w:start w:val="7"/>
      <w:numFmt w:val="bullet"/>
      <w:lvlText w:val="-"/>
      <w:lvlJc w:val="left"/>
      <w:pPr>
        <w:tabs>
          <w:tab w:val="num" w:pos="570"/>
        </w:tabs>
        <w:ind w:left="570" w:hanging="570"/>
      </w:pPr>
      <w:rPr>
        <w:rFonts w:ascii="Times New Roman" w:eastAsia="Times New Roman" w:hAnsi="Times New Roman" w:cs="Times New Roman"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Courier New"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11B7C25"/>
    <w:multiLevelType w:val="hybridMultilevel"/>
    <w:tmpl w:val="C9FC5292"/>
    <w:lvl w:ilvl="0" w:tplc="032ADAD4">
      <w:start w:val="6"/>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747B5C"/>
    <w:multiLevelType w:val="hybridMultilevel"/>
    <w:tmpl w:val="9208EA9C"/>
    <w:lvl w:ilvl="0" w:tplc="C70A5364">
      <w:numFmt w:val="bullet"/>
      <w:lvlText w:val="-"/>
      <w:lvlJc w:val="left"/>
      <w:pPr>
        <w:ind w:left="360" w:hanging="360"/>
      </w:pPr>
      <w:rPr>
        <w:rFonts w:ascii="Times New Roman" w:eastAsia="Times New Roman" w:hAnsi="Times New Roman" w:cs="Times New Roman"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5" w15:restartNumberingAfterBreak="0">
    <w:nsid w:val="29F15035"/>
    <w:multiLevelType w:val="hybridMultilevel"/>
    <w:tmpl w:val="F7C04B16"/>
    <w:lvl w:ilvl="0" w:tplc="032ADAD4">
      <w:start w:val="6"/>
      <w:numFmt w:val="bullet"/>
      <w:lvlText w:val="-"/>
      <w:lvlJc w:val="left"/>
      <w:pPr>
        <w:tabs>
          <w:tab w:val="num" w:pos="1650"/>
        </w:tabs>
        <w:ind w:left="1650" w:hanging="570"/>
      </w:pPr>
      <w:rPr>
        <w:rFonts w:ascii="Times New Roman" w:eastAsia="Times New Roman" w:hAnsi="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2C282567"/>
    <w:multiLevelType w:val="hybridMultilevel"/>
    <w:tmpl w:val="167E394E"/>
    <w:lvl w:ilvl="0" w:tplc="032ADAD4">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BE92988"/>
    <w:multiLevelType w:val="hybridMultilevel"/>
    <w:tmpl w:val="A1D0338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16C1DC8"/>
    <w:multiLevelType w:val="hybridMultilevel"/>
    <w:tmpl w:val="75D85A0E"/>
    <w:lvl w:ilvl="0" w:tplc="032ADAD4">
      <w:start w:val="6"/>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46DA6281"/>
    <w:multiLevelType w:val="hybridMultilevel"/>
    <w:tmpl w:val="8828E07A"/>
    <w:lvl w:ilvl="0" w:tplc="F97A80D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EF55AB"/>
    <w:multiLevelType w:val="hybridMultilevel"/>
    <w:tmpl w:val="9B0A742C"/>
    <w:lvl w:ilvl="0" w:tplc="6A14EF3A">
      <w:start w:val="7"/>
      <w:numFmt w:val="bullet"/>
      <w:lvlText w:val="-"/>
      <w:lvlJc w:val="left"/>
      <w:pPr>
        <w:tabs>
          <w:tab w:val="num" w:pos="570"/>
        </w:tabs>
        <w:ind w:left="570" w:hanging="570"/>
      </w:pPr>
      <w:rPr>
        <w:rFonts w:ascii="Times New Roman" w:eastAsia="Times New Roman" w:hAnsi="Times New Roman" w:cs="Times New Roman"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Courier New"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Courier New" w:hint="default"/>
      </w:rPr>
    </w:lvl>
    <w:lvl w:ilvl="8" w:tplc="04270005">
      <w:start w:val="1"/>
      <w:numFmt w:val="bullet"/>
      <w:lvlText w:val=""/>
      <w:lvlJc w:val="left"/>
      <w:pPr>
        <w:tabs>
          <w:tab w:val="num" w:pos="6120"/>
        </w:tabs>
        <w:ind w:left="6120" w:hanging="360"/>
      </w:pPr>
      <w:rPr>
        <w:rFonts w:ascii="Wingdings" w:hAnsi="Wingdings" w:hint="default"/>
      </w:rPr>
    </w:lvl>
  </w:abstractNum>
  <w:num w:numId="1">
    <w:abstractNumId w:val="5"/>
  </w:num>
  <w:num w:numId="2">
    <w:abstractNumId w:val="9"/>
  </w:num>
  <w:num w:numId="3">
    <w:abstractNumId w:val="3"/>
  </w:num>
  <w:num w:numId="4">
    <w:abstractNumId w:val="0"/>
  </w:num>
  <w:num w:numId="5">
    <w:abstractNumId w:val="6"/>
  </w:num>
  <w:num w:numId="6">
    <w:abstractNumId w:val="1"/>
  </w:num>
  <w:num w:numId="7">
    <w:abstractNumId w:val="10"/>
  </w:num>
  <w:num w:numId="8">
    <w:abstractNumId w:val="2"/>
  </w:num>
  <w:num w:numId="9">
    <w:abstractNumId w:val="4"/>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C69"/>
    <w:rsid w:val="00072F85"/>
    <w:rsid w:val="000A5E72"/>
    <w:rsid w:val="000A7B60"/>
    <w:rsid w:val="00181364"/>
    <w:rsid w:val="002945D9"/>
    <w:rsid w:val="00305C48"/>
    <w:rsid w:val="003362C6"/>
    <w:rsid w:val="00497D4D"/>
    <w:rsid w:val="004A4C69"/>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E3F5C9-A00D-4EEC-830D-AACCC046A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4C69"/>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4A4C69"/>
    <w:pPr>
      <w:spacing w:after="0" w:line="240" w:lineRule="auto"/>
    </w:pPr>
    <w:rPr>
      <w:rFonts w:ascii="Minion" w:eastAsia="Calibri" w:hAnsi="Minion" w:cs="Times New Roman"/>
      <w:lang w:val="en-US"/>
    </w:rPr>
  </w:style>
  <w:style w:type="paragraph" w:styleId="Sraopastraipa">
    <w:name w:val="List Paragraph"/>
    <w:basedOn w:val="prastasis"/>
    <w:uiPriority w:val="1"/>
    <w:qFormat/>
    <w:rsid w:val="004A4C69"/>
    <w:pPr>
      <w:ind w:left="720"/>
      <w:contextualSpacing/>
    </w:pPr>
    <w:rPr>
      <w:rFonts w:ascii="Minion" w:hAnsi="Minion"/>
    </w:rPr>
  </w:style>
  <w:style w:type="paragraph" w:styleId="Porat">
    <w:name w:val="footer"/>
    <w:basedOn w:val="prastasis"/>
    <w:link w:val="PoratDiagrama"/>
    <w:rsid w:val="004A4C69"/>
    <w:pPr>
      <w:tabs>
        <w:tab w:val="center" w:pos="4153"/>
        <w:tab w:val="right" w:pos="8306"/>
      </w:tabs>
      <w:spacing w:after="0" w:line="240" w:lineRule="auto"/>
    </w:pPr>
    <w:rPr>
      <w:rFonts w:ascii="Times New Roman" w:hAnsi="Times New Roman"/>
      <w:sz w:val="20"/>
      <w:szCs w:val="20"/>
      <w:lang w:val="lt-LT" w:eastAsia="lt-LT"/>
    </w:rPr>
  </w:style>
  <w:style w:type="character" w:customStyle="1" w:styleId="PoratDiagrama">
    <w:name w:val="Poraštė Diagrama"/>
    <w:basedOn w:val="Numatytasispastraiposriftas"/>
    <w:link w:val="Porat"/>
    <w:rsid w:val="004A4C69"/>
    <w:rPr>
      <w:rFonts w:ascii="Times New Roman" w:eastAsia="Calibri" w:hAnsi="Times New Roman" w:cs="Times New Roman"/>
      <w:sz w:val="20"/>
      <w:szCs w:val="20"/>
      <w:lang w:eastAsia="lt-LT"/>
    </w:rPr>
  </w:style>
  <w:style w:type="character" w:styleId="Puslapionumeris">
    <w:name w:val="page number"/>
    <w:rsid w:val="004A4C69"/>
    <w:rPr>
      <w:rFonts w:cs="Times New Roman"/>
    </w:rPr>
  </w:style>
  <w:style w:type="character" w:styleId="Hipersaitas">
    <w:name w:val="Hyperlink"/>
    <w:rsid w:val="004A4C69"/>
    <w:rPr>
      <w:rFonts w:cs="Times New Roman"/>
      <w:color w:val="0000FF"/>
      <w:u w:val="single"/>
    </w:rPr>
  </w:style>
  <w:style w:type="paragraph" w:styleId="Antrats">
    <w:name w:val="header"/>
    <w:basedOn w:val="prastasis"/>
    <w:link w:val="AntratsDiagrama"/>
    <w:rsid w:val="004A4C69"/>
    <w:pPr>
      <w:tabs>
        <w:tab w:val="center" w:pos="4153"/>
        <w:tab w:val="right" w:pos="8306"/>
      </w:tabs>
      <w:spacing w:after="0" w:line="240" w:lineRule="auto"/>
    </w:pPr>
    <w:rPr>
      <w:rFonts w:ascii="Times New Roman" w:hAnsi="Times New Roman"/>
      <w:sz w:val="20"/>
      <w:szCs w:val="20"/>
      <w:lang w:val="lt-LT" w:eastAsia="lt-LT"/>
    </w:rPr>
  </w:style>
  <w:style w:type="character" w:customStyle="1" w:styleId="AntratsDiagrama">
    <w:name w:val="Antraštės Diagrama"/>
    <w:basedOn w:val="Numatytasispastraiposriftas"/>
    <w:link w:val="Antrats"/>
    <w:rsid w:val="004A4C69"/>
    <w:rPr>
      <w:rFonts w:ascii="Times New Roman" w:eastAsia="Calibri" w:hAnsi="Times New Roman" w:cs="Times New Roman"/>
      <w:sz w:val="20"/>
      <w:szCs w:val="20"/>
      <w:lang w:eastAsia="lt-LT"/>
    </w:rPr>
  </w:style>
  <w:style w:type="paragraph" w:customStyle="1" w:styleId="Default">
    <w:name w:val="Default"/>
    <w:rsid w:val="004A4C69"/>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customStyle="1" w:styleId="FontStyle14">
    <w:name w:val="Font Style14"/>
    <w:uiPriority w:val="99"/>
    <w:rsid w:val="004A4C69"/>
    <w:rPr>
      <w:rFonts w:ascii="Times New Roman" w:hAnsi="Times New Roman" w:cs="Times New Roman"/>
      <w:color w:val="000000"/>
      <w:sz w:val="20"/>
      <w:szCs w:val="20"/>
    </w:rPr>
  </w:style>
  <w:style w:type="character" w:customStyle="1" w:styleId="tlid-translation">
    <w:name w:val="tlid-translation"/>
    <w:basedOn w:val="Numatytasispastraiposriftas"/>
    <w:rsid w:val="004A4C69"/>
  </w:style>
  <w:style w:type="paragraph" w:customStyle="1" w:styleId="Style10">
    <w:name w:val="Style10"/>
    <w:basedOn w:val="prastasis"/>
    <w:uiPriority w:val="99"/>
    <w:rsid w:val="004A4C69"/>
    <w:pPr>
      <w:widowControl w:val="0"/>
      <w:autoSpaceDE w:val="0"/>
      <w:autoSpaceDN w:val="0"/>
      <w:adjustRightInd w:val="0"/>
      <w:spacing w:after="0" w:line="240" w:lineRule="auto"/>
    </w:pPr>
    <w:rPr>
      <w:rFonts w:ascii="Times New Roman" w:eastAsia="Times New Roman" w:hAnsi="Times New Roman" w:cs="Arial"/>
      <w:sz w:val="20"/>
      <w:szCs w:val="20"/>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lceks@kalceks.lv"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header" Target="header1.xml"/><Relationship Id="rId5" Type="http://schemas.openxmlformats.org/officeDocument/2006/relationships/hyperlink" Target="https://vapris.vvkt.lt/vvkt-web/public/nrv" TargetMode="Externa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13467</Words>
  <Characters>7677</Characters>
  <Application>Microsoft Office Word</Application>
  <DocSecurity>0</DocSecurity>
  <Lines>63</Lines>
  <Paragraphs>42</Paragraphs>
  <ScaleCrop>false</ScaleCrop>
  <HeadingPairs>
    <vt:vector size="4" baseType="variant">
      <vt:variant>
        <vt:lpstr>Pavadinimas</vt:lpstr>
      </vt:variant>
      <vt:variant>
        <vt:i4>1</vt:i4>
      </vt:variant>
      <vt:variant>
        <vt:lpstr>Antraštės</vt:lpstr>
      </vt:variant>
      <vt:variant>
        <vt:i4>17</vt:i4>
      </vt:variant>
    </vt:vector>
  </HeadingPairs>
  <TitlesOfParts>
    <vt:vector size="18" baseType="lpstr">
      <vt:lpstr/>
      <vt:lpstr>1.	Kas yra Midazolam Kalceks ir kam jis vartojamas</vt:lpstr>
      <vt:lpstr/>
      <vt:lpstr>Midazolamas priklauso raminamųjų vaistų, vadinamų benzodiazepinais, grupei. Tai </vt:lpstr>
      <vt:lpstr/>
      <vt:lpstr>    2.	Kas žinotina prieš leidžiant Midazolam Kalceks</vt:lpstr>
      <vt:lpstr>Ilgalaikis gydymas</vt:lpstr>
      <vt:lpstr>    3.	Kaip leisti Midazolam Kalceks</vt:lpstr>
      <vt:lpstr>Dozavimas ir vartojimo būdas</vt:lpstr>
      <vt:lpstr>Jeigu kiltų daugiau klausimų dėl šio vaisto vartojimo, kreipkitės į gydytoją, va</vt:lpstr>
      <vt:lpstr>    4.	Galimas šalutinis poveikis</vt:lpstr>
      <vt:lpstr>Priklausomybė: midazolamas, net ir vartojamas terapinėmis dozėmis, gali sukelti </vt:lpstr>
      <vt:lpstr>    5.	Kaip laikyti Midazolam Kalceks</vt:lpstr>
      <vt:lpstr>    </vt:lpstr>
      <vt:lpstr/>
      <vt:lpstr/>
      <vt:lpstr>6.	Pakuotės turinys ir kita informacija</vt:lpstr>
      <vt:lpstr>Prieš vartojimą tirpalą reikia apžiūrėti. Galima vartoti tik skaidrų, be matomų </vt:lpstr>
    </vt:vector>
  </TitlesOfParts>
  <Company/>
  <LinksUpToDate>false</LinksUpToDate>
  <CharactersWithSpaces>21102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2024-09-30T07:47:00Z</dcterms:created>
  <dcterms:modified xsi:type="dcterms:W3CDTF">2024-09-30T07:48:00Z</dcterms:modified>
</cp:coreProperties>
</file>