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7B9" w:rsidRPr="005F37B9" w:rsidRDefault="005F37B9" w:rsidP="005F37B9">
      <w:pPr>
        <w:spacing w:after="0" w:line="240" w:lineRule="auto"/>
        <w:contextualSpacing/>
        <w:outlineLvl w:val="0"/>
        <w:rPr>
          <w:rFonts w:ascii="Times New Roman" w:hAnsi="Times New Roman"/>
          <w:b/>
          <w:lang w:val="lt-LT"/>
        </w:rPr>
      </w:pPr>
      <w:bookmarkStart w:id="0" w:name="_GoBack"/>
      <w:bookmarkEnd w:id="0"/>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tabs>
          <w:tab w:val="left" w:pos="-1440"/>
          <w:tab w:val="left" w:pos="-720"/>
        </w:tabs>
        <w:spacing w:after="0" w:line="240" w:lineRule="auto"/>
        <w:contextualSpacing/>
        <w:rPr>
          <w:rFonts w:ascii="Times New Roman" w:hAnsi="Times New Roman"/>
          <w:b/>
          <w:lang w:val="lt-LT"/>
        </w:rPr>
      </w:pPr>
    </w:p>
    <w:p w:rsidR="005F37B9" w:rsidRPr="005F37B9" w:rsidRDefault="005F37B9" w:rsidP="005F37B9">
      <w:pPr>
        <w:pStyle w:val="Antrat2"/>
        <w:spacing w:before="0" w:after="0" w:line="240" w:lineRule="auto"/>
        <w:contextualSpacing/>
        <w:jc w:val="center"/>
        <w:rPr>
          <w:rFonts w:ascii="Times New Roman" w:hAnsi="Times New Roman"/>
          <w:i w:val="0"/>
          <w:sz w:val="22"/>
          <w:szCs w:val="22"/>
          <w:lang w:val="lt-LT"/>
        </w:rPr>
      </w:pPr>
    </w:p>
    <w:p w:rsidR="005F37B9" w:rsidRPr="005F37B9" w:rsidRDefault="005F37B9" w:rsidP="005F37B9">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t>I PRIEDAS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tabs>
          <w:tab w:val="left" w:pos="-1440"/>
          <w:tab w:val="left" w:pos="-720"/>
        </w:tabs>
        <w:spacing w:after="0" w:line="240" w:lineRule="auto"/>
        <w:contextualSpacing/>
        <w:jc w:val="center"/>
        <w:rPr>
          <w:rFonts w:ascii="Times New Roman" w:hAnsi="Times New Roman"/>
          <w:b/>
          <w:lang w:val="lt-LT"/>
        </w:rPr>
      </w:pPr>
      <w:r w:rsidRPr="005F37B9">
        <w:rPr>
          <w:rFonts w:ascii="Times New Roman" w:hAnsi="Times New Roman"/>
          <w:b/>
          <w:lang w:val="lt-LT"/>
        </w:rPr>
        <w:t>PREPARATO CHARAKTERISTIKŲ SANTRAUKA</w:t>
      </w:r>
    </w:p>
    <w:p w:rsidR="00E443DC" w:rsidRPr="005F37B9" w:rsidRDefault="005F37B9" w:rsidP="00E443DC">
      <w:pPr>
        <w:pStyle w:val="Antrat3"/>
        <w:spacing w:before="0" w:after="0" w:line="240" w:lineRule="auto"/>
        <w:contextualSpacing/>
        <w:rPr>
          <w:rFonts w:ascii="Times New Roman" w:hAnsi="Times New Roman"/>
          <w:sz w:val="22"/>
          <w:szCs w:val="22"/>
          <w:lang w:val="lt-LT"/>
        </w:rPr>
      </w:pPr>
      <w:r w:rsidRPr="005F37B9">
        <w:rPr>
          <w:rFonts w:ascii="Times New Roman" w:hAnsi="Times New Roman"/>
          <w:lang w:val="lt-LT" w:eastAsia="zh-CN"/>
        </w:rPr>
        <w:br w:type="page"/>
      </w:r>
      <w:r w:rsidR="00E443DC" w:rsidRPr="005F37B9">
        <w:rPr>
          <w:rFonts w:ascii="Times New Roman" w:hAnsi="Times New Roman"/>
          <w:sz w:val="22"/>
          <w:szCs w:val="22"/>
          <w:lang w:val="lt-LT"/>
        </w:rPr>
        <w:lastRenderedPageBreak/>
        <w:t>1.</w:t>
      </w:r>
      <w:r w:rsidR="00E443DC" w:rsidRPr="005F37B9">
        <w:rPr>
          <w:rFonts w:ascii="Times New Roman" w:hAnsi="Times New Roman"/>
          <w:sz w:val="22"/>
          <w:szCs w:val="22"/>
          <w:lang w:val="lt-LT"/>
        </w:rPr>
        <w:tab/>
        <w:t>VAISTINIO PREPARATO PAVADINIMAS</w:t>
      </w:r>
    </w:p>
    <w:p w:rsidR="00E443DC" w:rsidRPr="005F37B9" w:rsidRDefault="00E443DC" w:rsidP="00E443DC">
      <w:pPr>
        <w:spacing w:after="0" w:line="240" w:lineRule="auto"/>
        <w:contextualSpacing/>
        <w:rPr>
          <w:rFonts w:ascii="Times New Roman" w:hAnsi="Times New Roman"/>
          <w:lang w:val="lt-LT"/>
        </w:rPr>
      </w:pPr>
    </w:p>
    <w:p w:rsidR="005F37B9" w:rsidRPr="005F37B9" w:rsidRDefault="005F37B9" w:rsidP="00E443DC">
      <w:pPr>
        <w:tabs>
          <w:tab w:val="left" w:pos="-1440"/>
          <w:tab w:val="left" w:pos="-720"/>
        </w:tabs>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mg/80 mg </w:t>
      </w:r>
      <w:r w:rsidRPr="005F37B9">
        <w:rPr>
          <w:rFonts w:ascii="Times New Roman" w:hAnsi="Times New Roman"/>
          <w:lang w:val="lt-LT"/>
        </w:rPr>
        <w:t>plėvele dengtos tabletės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mg/160 mg </w:t>
      </w:r>
      <w:r w:rsidRPr="005F37B9">
        <w:rPr>
          <w:rFonts w:ascii="Times New Roman" w:hAnsi="Times New Roman"/>
          <w:lang w:val="lt-LT"/>
        </w:rPr>
        <w:t>plėvele dengtos tabletės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10 mg/160 mg </w:t>
      </w:r>
      <w:r w:rsidRPr="005F37B9">
        <w:rPr>
          <w:rFonts w:ascii="Times New Roman" w:hAnsi="Times New Roman"/>
          <w:lang w:val="lt-LT"/>
        </w:rPr>
        <w:t>plėvele dengtos tabletės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2.</w:t>
      </w:r>
      <w:r w:rsidRPr="005F37B9">
        <w:rPr>
          <w:rFonts w:ascii="Times New Roman" w:hAnsi="Times New Roman"/>
          <w:sz w:val="22"/>
          <w:szCs w:val="22"/>
          <w:lang w:val="lt-LT"/>
        </w:rPr>
        <w:tab/>
        <w:t>KOKYBINĖ IR KIEKYBINĖ SUDĖTIS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tabs>
          <w:tab w:val="left" w:pos="3969"/>
        </w:tabs>
        <w:spacing w:after="0" w:line="240" w:lineRule="auto"/>
        <w:ind w:left="3888" w:hanging="3888"/>
        <w:contextualSpacing/>
        <w:rPr>
          <w:rFonts w:ascii="Times New Roman" w:hAnsi="Times New Roman"/>
          <w:lang w:val="lt-LT"/>
        </w:rPr>
      </w:pPr>
      <w:r w:rsidRPr="005F37B9">
        <w:rPr>
          <w:rFonts w:ascii="Times New Roman" w:hAnsi="Times New Roman"/>
          <w:noProof/>
          <w:lang w:val="lt-LT"/>
        </w:rPr>
        <w:t>Sartesta 5 mg/80 mg:</w:t>
      </w:r>
      <w:r w:rsidRPr="005F37B9">
        <w:rPr>
          <w:rFonts w:ascii="Times New Roman" w:hAnsi="Times New Roman"/>
          <w:noProof/>
          <w:lang w:val="lt-LT"/>
        </w:rPr>
        <w:tab/>
      </w:r>
      <w:r w:rsidRPr="005F37B9">
        <w:rPr>
          <w:rFonts w:ascii="Times New Roman" w:hAnsi="Times New Roman"/>
          <w:lang w:val="lt-LT"/>
        </w:rPr>
        <w:t>Kiekvienoje plėvele dengtoje tabletėje yra 5 mg amlodipino (amlodipino maleato pavidalu) ir 80 mg valsartano.</w:t>
      </w:r>
    </w:p>
    <w:p w:rsidR="005F37B9" w:rsidRPr="005F37B9" w:rsidRDefault="005F37B9" w:rsidP="005F37B9">
      <w:pPr>
        <w:spacing w:after="0" w:line="240" w:lineRule="auto"/>
        <w:ind w:left="3888" w:hanging="3888"/>
        <w:contextualSpacing/>
        <w:rPr>
          <w:rFonts w:ascii="Times New Roman" w:hAnsi="Times New Roman"/>
          <w:lang w:val="lt-LT"/>
        </w:rPr>
      </w:pPr>
      <w:r w:rsidRPr="005F37B9">
        <w:rPr>
          <w:rFonts w:ascii="Times New Roman" w:hAnsi="Times New Roman"/>
          <w:noProof/>
          <w:lang w:val="lt-LT"/>
        </w:rPr>
        <w:t>Sartesta 5 mg/160 mg:</w:t>
      </w:r>
      <w:r w:rsidRPr="005F37B9">
        <w:rPr>
          <w:rFonts w:ascii="Times New Roman" w:hAnsi="Times New Roman"/>
          <w:noProof/>
          <w:lang w:val="lt-LT"/>
        </w:rPr>
        <w:tab/>
      </w:r>
      <w:r w:rsidRPr="005F37B9">
        <w:rPr>
          <w:rFonts w:ascii="Times New Roman" w:hAnsi="Times New Roman"/>
          <w:lang w:val="lt-LT"/>
        </w:rPr>
        <w:t>Kiekvienoje plėvele dengtoje tabletėje yra 5 mg amlodipino (amlodipino maleato pavidalu) ir 160 mg valsartano.</w:t>
      </w:r>
    </w:p>
    <w:p w:rsidR="005F37B9" w:rsidRPr="005F37B9" w:rsidRDefault="005F37B9" w:rsidP="005F37B9">
      <w:pPr>
        <w:spacing w:after="0" w:line="240" w:lineRule="auto"/>
        <w:ind w:left="3885" w:hanging="3885"/>
        <w:contextualSpacing/>
        <w:rPr>
          <w:rFonts w:ascii="Times New Roman" w:hAnsi="Times New Roman"/>
          <w:lang w:val="lt-LT"/>
        </w:rPr>
      </w:pPr>
      <w:r w:rsidRPr="005F37B9">
        <w:rPr>
          <w:rFonts w:ascii="Times New Roman" w:hAnsi="Times New Roman"/>
          <w:noProof/>
          <w:lang w:val="lt-LT"/>
        </w:rPr>
        <w:t>Sartesta 10 mg/160 mg:</w:t>
      </w:r>
      <w:r w:rsidRPr="005F37B9">
        <w:rPr>
          <w:rFonts w:ascii="Times New Roman" w:hAnsi="Times New Roman"/>
          <w:noProof/>
          <w:lang w:val="lt-LT"/>
        </w:rPr>
        <w:tab/>
      </w:r>
      <w:r w:rsidRPr="005F37B9">
        <w:rPr>
          <w:rFonts w:ascii="Times New Roman" w:hAnsi="Times New Roman"/>
          <w:lang w:val="lt-LT"/>
        </w:rPr>
        <w:t>Kiekvienoje plėvele dengtoje tabletėje yra 10 mg amlodipino (amlodipino maleato pavidalu) ir 160 mg valsartano.</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Visos pagalbinės medžiagos išvardytos 6.1 skyriuje.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3.</w:t>
      </w:r>
      <w:r w:rsidRPr="005F37B9">
        <w:rPr>
          <w:rFonts w:ascii="Times New Roman" w:hAnsi="Times New Roman"/>
          <w:sz w:val="22"/>
          <w:szCs w:val="22"/>
          <w:lang w:val="lt-LT"/>
        </w:rPr>
        <w:tab/>
        <w:t>FARMACINĖ FORMA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Plėvele dengta tabletė</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Sartesta 5 mg/80 mg: apvali, abipus išgaubta, tamsiai geltona plėvele dengta tabletė, kurios skersmuo yra 8 mm.</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Sartesta 5 mg/160 mg: ovali, abipus išgaubta, tamsiai geltona plėvele dengta tabletė, kurios vienoje pusėje įspausta „5“, matmenys 14 mm x 8 mm.</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Sartesta 10 mg/160 mg: ovali, abipus išgaubta, šviesiai geltona plėvele dengta tabletė, kurios vienoje pusėje įspausta „10“, matmenys 14 mm x 8 mm.</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4.</w:t>
      </w:r>
      <w:r w:rsidRPr="005F37B9">
        <w:rPr>
          <w:rFonts w:ascii="Times New Roman" w:hAnsi="Times New Roman"/>
          <w:sz w:val="22"/>
          <w:szCs w:val="22"/>
          <w:lang w:val="lt-LT"/>
        </w:rPr>
        <w:tab/>
        <w:t>KLINIKINĖ INFORMACIJA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4.1</w:t>
      </w:r>
      <w:r w:rsidRPr="005F37B9">
        <w:rPr>
          <w:rFonts w:ascii="Times New Roman" w:hAnsi="Times New Roman"/>
          <w:sz w:val="22"/>
          <w:szCs w:val="22"/>
          <w:lang w:val="lt-LT"/>
        </w:rPr>
        <w:tab/>
        <w:t>Terapinės indikacijos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Pirminės arterinės hipertenzijos gydymas.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skirtas suaugusiesiems, kurių kraujospūdžio kontrolei nepakanka gydymo vien tik amlodipinu arba valsartanu.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4.2</w:t>
      </w:r>
      <w:r w:rsidRPr="005F37B9">
        <w:rPr>
          <w:rFonts w:ascii="Times New Roman" w:hAnsi="Times New Roman"/>
          <w:sz w:val="22"/>
          <w:szCs w:val="22"/>
          <w:lang w:val="lt-LT"/>
        </w:rPr>
        <w:tab/>
        <w:t>Dozavimas ir vartojimo metodas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noProof/>
          <w:u w:val="single"/>
          <w:lang w:val="lt-LT"/>
        </w:rPr>
        <w:t>Dozavimas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Rekomenduojama </w:t>
      </w:r>
      <w:r w:rsidRPr="005F37B9">
        <w:rPr>
          <w:rFonts w:ascii="Times New Roman" w:hAnsi="Times New Roman"/>
          <w:noProof/>
          <w:lang w:val="lt-LT"/>
        </w:rPr>
        <w:t xml:space="preserve">Sartesta </w:t>
      </w:r>
      <w:r w:rsidRPr="005F37B9">
        <w:rPr>
          <w:rFonts w:ascii="Times New Roman" w:hAnsi="Times New Roman"/>
          <w:lang w:val="lt-LT"/>
        </w:rPr>
        <w:t>dozė yra viena tabletė per parą.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5 mg/80 mg galima skirti pacientams, kurių kraujospūdžio kontrolei nepakanka gydymo vien tik 5 mg amlodipino arba 80 mg valsartano.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5 mg/160 mg galima skirti pacientams, kurių kraujospūdžio kontrolei nepakanka gydymo vien tik 5 mg amlodipino arba 160 mg valsartano.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lastRenderedPageBreak/>
        <w:t xml:space="preserve">Sartesta </w:t>
      </w:r>
      <w:r w:rsidRPr="005F37B9">
        <w:rPr>
          <w:rFonts w:ascii="Times New Roman" w:hAnsi="Times New Roman"/>
          <w:lang w:val="lt-LT"/>
        </w:rPr>
        <w:t xml:space="preserve">10 mg/160 mg galima skirti pacientams, kurių kraujospūdžio kontrolei nepakanka gydymo vien tik 10 mg amlodipino arba 160 mg valsartano, arba gydymo </w:t>
      </w:r>
      <w:r w:rsidRPr="005F37B9">
        <w:rPr>
          <w:rFonts w:ascii="Times New Roman" w:hAnsi="Times New Roman"/>
          <w:noProof/>
          <w:lang w:val="lt-LT"/>
        </w:rPr>
        <w:t xml:space="preserve">Sartesta </w:t>
      </w:r>
      <w:r w:rsidRPr="005F37B9">
        <w:rPr>
          <w:rFonts w:ascii="Times New Roman" w:hAnsi="Times New Roman"/>
          <w:lang w:val="lt-LT"/>
        </w:rPr>
        <w:t>5 mg/160 mg.</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Rekomenduojama laipsniškai didinti kiekvieno komponento (t.y. amlodipino ir valsartano) dozę, prieš pradedant gydyti fiksuotų dozių vaistinių preparatų deriniu. Jei klinikinė situacija leidžia, galima gydymą vienu vaistiniu preparatu iš karto keisti gydymu fiksuotų dozių vaistinių preparatų deriniu.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Dėl patogumo, valsartaną ir amlodipiną atskiromis tabletėmis ar kapsulėmis vartoję pacientai, gali pradėti vartoti </w:t>
      </w:r>
      <w:r w:rsidRPr="005F37B9">
        <w:rPr>
          <w:rFonts w:ascii="Times New Roman" w:hAnsi="Times New Roman"/>
          <w:noProof/>
          <w:lang w:val="lt-LT"/>
        </w:rPr>
        <w:t>Sartesta</w:t>
      </w:r>
      <w:r w:rsidRPr="005F37B9">
        <w:rPr>
          <w:rFonts w:ascii="Times New Roman" w:hAnsi="Times New Roman"/>
          <w:lang w:val="lt-LT"/>
        </w:rPr>
        <w:t>, kurio sudėtyje yra tos pačios šių veikliųjų medžiagų dozės.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iCs/>
          <w:color w:val="000000"/>
          <w:lang w:val="lt-LT"/>
        </w:rPr>
        <w:t>Pacientams, kurių inkstų funkcija sutrikusi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Nėra klinikinių duomenų apie pacientus, kuriems yra sunkus inkstų funkcijos sutrikimas.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Pacientams, kuriems yra lengvas  ar vidutinio sunkumo inkstų funkcijos sutrikimas, dozės koreguoti nereikia. Kai yra vidutinio sunkumo inkstų funkcijos sutrikimas, rekomenduojama sekti kalio ir kreatinino kiekį.</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iCs/>
          <w:color w:val="000000"/>
          <w:lang w:val="lt-LT"/>
        </w:rPr>
        <w:t>Pacientams, kurių kepenų funkcija sutrikusi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negalima vartoti pacientams, kuriems yra sunkus kepenų funkcijos sutrikimas (žr. 4.3 skyrių).</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Pacientams, kuriems yra kepenų funkcijos sutrikimas ar tulžies takų obstrukcija, </w:t>
      </w:r>
      <w:r w:rsidRPr="005F37B9">
        <w:rPr>
          <w:rFonts w:ascii="Times New Roman" w:hAnsi="Times New Roman"/>
          <w:noProof/>
          <w:lang w:val="lt-LT"/>
        </w:rPr>
        <w:t xml:space="preserve">Sartesta </w:t>
      </w:r>
      <w:r w:rsidRPr="005F37B9">
        <w:rPr>
          <w:rFonts w:ascii="Times New Roman" w:hAnsi="Times New Roman"/>
          <w:lang w:val="lt-LT"/>
        </w:rPr>
        <w:t xml:space="preserve">skirti atsargiai (žr. 4.4 skyrių). Pacientams, kuriems yra su cholestaze nesusijęs lengvas arba vidutinio sunkumo kepenų funkcijos sutrikimas, didžiausia rekomenduojama valsartano paros dozė yra 80 mg. Amlodipino dozavimo rekomendacijos pacientams, kuriems yra lengvas ar vidutinio sunkumo kepenų sutrikimas, nebuvo nustatytos. Hipertenzija sergantiems pacientams, kuriems yra kepenų funkcijos sutrikimas, pereinant prie tinkamo gydymo amlodipinu ar </w:t>
      </w:r>
      <w:r w:rsidRPr="005F37B9">
        <w:rPr>
          <w:rFonts w:ascii="Times New Roman" w:hAnsi="Times New Roman"/>
          <w:noProof/>
          <w:lang w:val="lt-LT"/>
        </w:rPr>
        <w:t xml:space="preserve">Sartesta </w:t>
      </w:r>
      <w:r w:rsidRPr="005F37B9">
        <w:rPr>
          <w:rFonts w:ascii="Times New Roman" w:hAnsi="Times New Roman"/>
          <w:lang w:val="lt-LT"/>
        </w:rPr>
        <w:t>(žr. 4.1 skyrių), atitinkamai reikia skirti mažiausią esančią monoterapinę amlodipino ar amlodipino komponento derinyje dozę.</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Senyviems pacientams (</w:t>
      </w:r>
      <w:r w:rsidRPr="005F37B9">
        <w:rPr>
          <w:rFonts w:ascii="Times New Roman" w:hAnsi="Times New Roman"/>
          <w:i/>
          <w:iCs/>
          <w:color w:val="000000"/>
          <w:lang w:val="lt-LT"/>
        </w:rPr>
        <w:t>&gt; 65 metų</w:t>
      </w:r>
      <w:r w:rsidRPr="005F37B9">
        <w:rPr>
          <w:rFonts w:ascii="Times New Roman" w:hAnsi="Times New Roman"/>
          <w:i/>
          <w:lang w:val="lt-LT"/>
        </w:rPr>
        <w:t>)</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Senyviems pacientams dozę didinti atsargiai. Hipertenzija sergantiems senyviems pacientams pereinant prie tinkamo gydymo amlodipinu ar </w:t>
      </w:r>
      <w:r w:rsidRPr="005F37B9">
        <w:rPr>
          <w:rFonts w:ascii="Times New Roman" w:hAnsi="Times New Roman"/>
          <w:noProof/>
          <w:lang w:val="lt-LT"/>
        </w:rPr>
        <w:t xml:space="preserve">Sartesta </w:t>
      </w:r>
      <w:r w:rsidRPr="005F37B9">
        <w:rPr>
          <w:rFonts w:ascii="Times New Roman" w:hAnsi="Times New Roman"/>
          <w:lang w:val="lt-LT"/>
        </w:rPr>
        <w:t>(žr. 4.1 skyrių), reikia atitinkamai skirti mažiausią esančią monoterapinę amlodipino ar amlodipino komponento derinyje dozę.</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Vaikų populiacija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Sartesta saugumas ir veiksmingumas vaikams iki 18 metų dar neištirti.</w:t>
      </w:r>
      <w:r w:rsidRPr="005F37B9">
        <w:rPr>
          <w:rFonts w:ascii="Times New Roman" w:hAnsi="Times New Roman"/>
          <w:lang w:val="lt-LT"/>
        </w:rPr>
        <w:t xml:space="preserve"> Duomenų nėra.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Vartojimo metodas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Vartoti per burną.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Rekomenduojama </w:t>
      </w:r>
      <w:r w:rsidRPr="005F37B9">
        <w:rPr>
          <w:rFonts w:ascii="Times New Roman" w:hAnsi="Times New Roman"/>
          <w:noProof/>
          <w:lang w:val="lt-LT"/>
        </w:rPr>
        <w:t xml:space="preserve">Sartesta </w:t>
      </w:r>
      <w:r w:rsidRPr="005F37B9">
        <w:rPr>
          <w:rFonts w:ascii="Times New Roman" w:hAnsi="Times New Roman"/>
          <w:lang w:val="lt-LT"/>
        </w:rPr>
        <w:t>užgerti vandeniu.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galima vartoti valgio metu ar nevalgius.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4.3</w:t>
      </w:r>
      <w:r w:rsidRPr="005F37B9">
        <w:rPr>
          <w:rFonts w:ascii="Times New Roman" w:hAnsi="Times New Roman"/>
          <w:sz w:val="22"/>
          <w:szCs w:val="22"/>
          <w:lang w:val="lt-LT"/>
        </w:rPr>
        <w:tab/>
        <w:t>Kontraindikacijos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Padidėjęs jautrumas veikliosioms medžiagoms, dihidropiridino dariniams arba bet kuriai 6.1 skyriuje nurodytai pagalbinei medžiagai.</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Sunkus kepenų funkcijos sutrikimas, bilijinė kepenų cirozė ar chlolestazė.</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lastRenderedPageBreak/>
        <w:t>Pacientams, kurie serga cukriniu diabetu arba kurių inkstų funkcija sutrikusi (GFG &lt; 60 ml/min./1,73 m</w:t>
      </w:r>
      <w:r w:rsidRPr="005F37B9">
        <w:rPr>
          <w:rFonts w:ascii="Times New Roman" w:hAnsi="Times New Roman"/>
          <w:vertAlign w:val="superscript"/>
          <w:lang w:val="lt-LT"/>
        </w:rPr>
        <w:t>2</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negalima vartoti kartu su preparatais, kurių sudėtyje yra aliskireno (žr. 4.5 ir 5.1 skyrius).</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Antrasis ir trečiasis nėštumo trimestrai (žr. 4.4 ir 4.6 skyrius).</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Sunki hipotenzija.</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Šokas (įskaitant kardiogeninį šoką).</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Kairiojo širdies skilvelio išvarymo trakto obstrukcija (pvz., hipertrofinė obstrukcinė kardiomiopatija ar didelio laipsnio aortos vožtuvo stenozė).</w:t>
      </w:r>
    </w:p>
    <w:p w:rsidR="005F37B9" w:rsidRPr="005F37B9" w:rsidRDefault="005F37B9" w:rsidP="005F37B9">
      <w:pPr>
        <w:numPr>
          <w:ilvl w:val="0"/>
          <w:numId w:val="6"/>
        </w:numPr>
        <w:spacing w:after="0" w:line="240" w:lineRule="auto"/>
        <w:ind w:left="567" w:hanging="567"/>
        <w:contextualSpacing/>
        <w:rPr>
          <w:rFonts w:ascii="Times New Roman" w:hAnsi="Times New Roman"/>
          <w:lang w:val="lt-LT"/>
        </w:rPr>
      </w:pPr>
      <w:r w:rsidRPr="005F37B9">
        <w:rPr>
          <w:rFonts w:ascii="Times New Roman" w:hAnsi="Times New Roman"/>
          <w:lang w:val="lt-LT"/>
        </w:rPr>
        <w:t>Širdies nepakankamumas po ūminio miokardo infarkto, esant nestabiliai hemodinamikai.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4.4</w:t>
      </w:r>
      <w:r w:rsidRPr="005F37B9">
        <w:rPr>
          <w:rFonts w:ascii="Times New Roman" w:hAnsi="Times New Roman"/>
          <w:sz w:val="22"/>
          <w:szCs w:val="22"/>
          <w:lang w:val="lt-LT"/>
        </w:rPr>
        <w:tab/>
        <w:t>Specialūs įspėjimai ir atsargumo priemonės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Amlodipino saugumas ir veiksmingumas hipertenzinės krizės atveju nebuvo nustatytas.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Nėštumas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Nėščių moterų pradėti gydyti angiotenzino II receptorių blokatoriumi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Natrio ir (arba) skysčių trūkumas organizme</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Placebu kontroliuojamų tyrimų metu 0,4 % nekomplikuota hipertenzija sirgusių pacientų, gydytų </w:t>
      </w:r>
      <w:r w:rsidRPr="005F37B9">
        <w:rPr>
          <w:rFonts w:ascii="Times New Roman" w:hAnsi="Times New Roman"/>
          <w:noProof/>
          <w:lang w:val="lt-LT"/>
        </w:rPr>
        <w:t>amlodipino ir valsartano deriniu</w:t>
      </w:r>
      <w:r w:rsidRPr="005F37B9">
        <w:rPr>
          <w:rFonts w:ascii="Times New Roman" w:hAnsi="Times New Roman"/>
          <w:lang w:val="lt-LT"/>
        </w:rPr>
        <w:t xml:space="preserve">, pasireiškė ryški hipotenzija. Pacientams, kurių renino ir angiotenzino sistema yra aktyvuota (pvz., pacientams, kuriems yra natrio ir (arba) skysčių trūkumas dėl didelių diuretikų dozių vartojimo), ir, kurie vartoja angiotenzino receptorių blokatorius, gali pasireikšti simptominė hipotenzija. Prieš pradedant gydyti </w:t>
      </w:r>
      <w:r w:rsidRPr="005F37B9">
        <w:rPr>
          <w:rFonts w:ascii="Times New Roman" w:hAnsi="Times New Roman"/>
          <w:noProof/>
          <w:lang w:val="lt-LT"/>
        </w:rPr>
        <w:t xml:space="preserve">Sartesta, </w:t>
      </w:r>
      <w:r w:rsidRPr="005F37B9">
        <w:rPr>
          <w:rFonts w:ascii="Times New Roman" w:hAnsi="Times New Roman"/>
          <w:lang w:val="lt-LT"/>
        </w:rPr>
        <w:t>rekomenduojama koreguoti šią būklę arba atidžiai stebėti pacientą.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Jei gydymo </w:t>
      </w:r>
      <w:r w:rsidRPr="005F37B9">
        <w:rPr>
          <w:rFonts w:ascii="Times New Roman" w:hAnsi="Times New Roman"/>
          <w:noProof/>
          <w:lang w:val="lt-LT"/>
        </w:rPr>
        <w:t xml:space="preserve">Sartesta </w:t>
      </w:r>
      <w:r w:rsidRPr="005F37B9">
        <w:rPr>
          <w:rFonts w:ascii="Times New Roman" w:hAnsi="Times New Roman"/>
          <w:lang w:val="lt-LT"/>
        </w:rPr>
        <w:t>metu pasireiškia hipotenzija, pacientą reikia paguldyti aukštielninką ir, jei reikia, paskirti fiziologinio tirpalo infuziją į veną. Kai kraujospūdis stabilizuojasi, gydymą galima tęsti.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Hiperkalemija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Kalio papildų, kalį tausojančių diuretikų, druskų pakaitalų, kuriuose yra kalio, bei kitokių kalio kiekį organizme didinančių vaistinių preparatų (pvz., heparino) kartu vartoti reikia atsargiai, dažnai matuoti kalio koncentraciją kraujyje.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Inkstų arterijų stenozė</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reikia atsargiai skirti hipertenzijai gydyti pacientams, kuriems yra vieno ar abiejų inkstų arterijų stenozė arba vienintelio funkcionuojančio inksto arterijų stenozė, kadangi šiems pacientams gali padidėti karbamido ir kreatinino koncentracijos kraujo serume.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Inkstų persodinimas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Šiuo metu saugaus amlodipino ir valsartano derinio</w:t>
      </w:r>
      <w:r w:rsidRPr="005F37B9">
        <w:rPr>
          <w:rFonts w:ascii="Times New Roman" w:hAnsi="Times New Roman"/>
          <w:noProof/>
          <w:lang w:val="lt-LT"/>
        </w:rPr>
        <w:t xml:space="preserve"> </w:t>
      </w:r>
      <w:r w:rsidRPr="005F37B9">
        <w:rPr>
          <w:rFonts w:ascii="Times New Roman" w:hAnsi="Times New Roman"/>
          <w:lang w:val="lt-LT"/>
        </w:rPr>
        <w:t>vartojimo pacientams, kuriems neseniai persodintas inkstas, patirties nėra.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Kepenų funkcijos sutrikimas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lastRenderedPageBreak/>
        <w:t xml:space="preserve">Valsartanas daugiausiai šalinamas nepakitęs su tulžimi. Pacientų, kurių kepenų funkcija yra sutrikusi, organizme amlodipino pusinės eliminacijos periodas yra ilgesnis, o AUC rodmenys didesni. Dozavimo rekomendacijos tokiems pacientams nebuvo nustatytos. Pacientams, kuriems yra lengvas ar vidutinio sunkumo kepenų sutrikimas ar tulžies latakų obstrukcija, </w:t>
      </w:r>
      <w:r w:rsidRPr="005F37B9">
        <w:rPr>
          <w:rFonts w:ascii="Times New Roman" w:hAnsi="Times New Roman"/>
          <w:noProof/>
          <w:lang w:val="lt-LT"/>
        </w:rPr>
        <w:t xml:space="preserve">Sartesta </w:t>
      </w:r>
      <w:r w:rsidRPr="005F37B9">
        <w:rPr>
          <w:rFonts w:ascii="Times New Roman" w:hAnsi="Times New Roman"/>
          <w:lang w:val="lt-LT"/>
        </w:rPr>
        <w:t>skirti ypač atsargiai.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Asmenims, kuriems yra su cholestaze nesusijęs lengvas arba vidutinio sunkumo kepenų funkcijos sutrikimas, didesnės negu 80 mg valsartano paros dozės vartoti negalima.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Inkstų funkcijos sutrikimas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Kai yra lengvas arba vidutinio sunkumo inkstų funkcijos sutrikimas (GFR &gt; 30 ml/min./1,73 m</w:t>
      </w:r>
      <w:r w:rsidRPr="005F37B9">
        <w:rPr>
          <w:rFonts w:ascii="Times New Roman" w:hAnsi="Times New Roman"/>
          <w:vertAlign w:val="superscript"/>
          <w:lang w:val="lt-LT"/>
        </w:rPr>
        <w:t>2</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dozės koreguoti nereikia. Kai yra vidutinio sunkumo inkstų funkcijos sutrikimas, rekomenduojama sekti kalio ir kreatinino kiekį.</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Pirminis hiperaldosteronizmas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Pacientų, kuriems yra pirminis hiperaldosteronizmas, angiotenzino II antagonistu valsartanu gydyti negalima, kadangi jų renino ir angiotenzino sistemą įtakoja pirminė liga.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Angioneurozinė edema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Valsartanu gydomiems pacientams pastebėta angioneurozinės edemos, įskaitant gerklų ir balso klosčių patinimo, dėl kurio pasireiškia kvėpavimo takų obstrukcija, ir (arba) veido, lūpų, ryklės ir (arba) liežuvio patinimo pasireiškimo atvejų. Kai kuriems iš šių pacientų jau anksčiau buvo pasireiškusi angioneurozinė edema vartojant kitų vaistinių preparatų, įskaitant AKF inhibitorius. Jei pasireiškia angioneurozinė edema, </w:t>
      </w:r>
      <w:r w:rsidRPr="005F37B9">
        <w:rPr>
          <w:rFonts w:ascii="Times New Roman" w:hAnsi="Times New Roman"/>
          <w:noProof/>
          <w:lang w:val="lt-LT"/>
        </w:rPr>
        <w:t xml:space="preserve">Sartesta </w:t>
      </w:r>
      <w:r w:rsidRPr="005F37B9">
        <w:rPr>
          <w:rFonts w:ascii="Times New Roman" w:hAnsi="Times New Roman"/>
          <w:lang w:val="lt-LT"/>
        </w:rPr>
        <w:t>vartojimą reikia nedelsiant nutraukti ir šio vaistinio preparato pacientams daugiau neskirti.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Širdies nepakankamumas ir (arba) miokardo infarktą patyrę pacientai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Renino, angiotenzino ir aldosterono sistemos slopinimas jautriems asmenims gali pasunkinti inkstų funkcijos pakitimus. Sunkiu širdies nepakankamumu sergančių pacientų, kurių inkstų funkcija gali priklausyti nuo renino, angiotenzino ir aldosterono sistemos aktyvumo, gydymas AKF inhibitoriais buvo susijęs su oligurija ir (arba) progresuojančia azotemija, retais atvejais su ūminiu inkstų nepakankamumu ir (arba) mirtimi. Panašų poveikį sukelia ir valsartanas. Tiriant pacientų, kuriems yra širdies nepakankamumas ar kurie patyrė miokardo infarktą, būklę visada reikia įvertinti inkstų funkciją.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Ilgalaikio placebu kontroliuojamo amlodipino tyrimo (PRAISE-2) metu, III ir IV stadijos pagal NYHA (angl. </w:t>
      </w:r>
      <w:r w:rsidRPr="005F37B9">
        <w:rPr>
          <w:rFonts w:ascii="Times New Roman" w:hAnsi="Times New Roman"/>
          <w:i/>
          <w:lang w:val="lt-LT"/>
        </w:rPr>
        <w:t>New York Heart Association Classification</w:t>
      </w:r>
      <w:r w:rsidRPr="005F37B9">
        <w:rPr>
          <w:rFonts w:ascii="Times New Roman" w:hAnsi="Times New Roman"/>
          <w:lang w:val="lt-LT"/>
        </w:rPr>
        <w:t>) ne išemijos sukeltu širdies nepakankamumu sirgusiems pacientams amlodipinas didino plaučių edemos atvejų dažnį, bet pasunkėjusio širdies nepakankamumo atvejų dažnio, lyginant su placebo grupe, reikšmingai nedidino.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Kalcio kanalų blokatorius, įskaitant amlodipiną, reikia atsargiai vartoti pacientams, kuriems yra stazinis širdies nepakankamumas, nes jie gali ateityje didinti kardiovaskulinių reiškinių riziką ir mirtingumą.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Aortos ar mitralinio vožtuvo stenozė</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Jeigu yra mitralinė stenozė ar reikšminga aortos stenozė, kuri nėra didelio laipsnio, </w:t>
      </w:r>
      <w:r w:rsidRPr="005F37B9">
        <w:rPr>
          <w:rFonts w:ascii="Times New Roman" w:hAnsi="Times New Roman"/>
          <w:noProof/>
          <w:lang w:val="lt-LT"/>
        </w:rPr>
        <w:t>Sartesta</w:t>
      </w:r>
      <w:r w:rsidRPr="005F37B9">
        <w:rPr>
          <w:rFonts w:ascii="Times New Roman" w:hAnsi="Times New Roman"/>
          <w:lang w:val="lt-LT"/>
        </w:rPr>
        <w:t>, kaip ir kitais kraujagysles plečiančiais vaistiniais preparatais, reikia gydyti atsargiai.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Dvigubas renino, angiotenzino ir aldosterono sistemos (RAAS) nuslopinimas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Turima įrodymų, kad kartu vartojant AKF inhibitorius, AIIRB ar aliskireną padidėja hipotenzijos, hiperkalemijos ir inkstų funkcijos susilpnėjimo (įskaitant ūminį inkstų </w:t>
      </w:r>
      <w:r w:rsidRPr="005F37B9">
        <w:rPr>
          <w:rFonts w:ascii="Times New Roman" w:hAnsi="Times New Roman"/>
          <w:lang w:val="lt-LT"/>
        </w:rPr>
        <w:lastRenderedPageBreak/>
        <w:t>nepakankamumą) rizika. Todėl nerekomenduojama dvigubai nuslopinti RAAS, vartojant AKF inhibitorių, AIIRB ar aliskireno derinį (žr. 4.5 ir 5.1 skyrius).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Vis dėlto, jei dvigubas nuslopinimas laikomas absoliučiai būtinu, šis gydymas turi būti atliekamas tik prižiūrint specialistams ir dažnai bei atidžiai tiriant inkstų funkciją, elektrolitų koncentraciją bei kraujospūdį. Pacientams, sergantiems diabetine nefropatija, negalima kartu vartoti AKF inhibitorių ir AIIRB.</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Sartesta buvo tirtas tik hipertenzija sergančių pacientų populiacijoje.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4.5</w:t>
      </w:r>
      <w:r w:rsidRPr="005F37B9">
        <w:rPr>
          <w:rFonts w:ascii="Times New Roman" w:hAnsi="Times New Roman"/>
          <w:sz w:val="22"/>
          <w:szCs w:val="22"/>
          <w:lang w:val="lt-LT"/>
        </w:rPr>
        <w:tab/>
        <w:t>Sąveika su kitais vaistiniais preparatais ir kitokia sąveika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Deriniui būdinga sąveika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Amlodipino ir valsartano derinio</w:t>
      </w:r>
      <w:r w:rsidRPr="005F37B9">
        <w:rPr>
          <w:rFonts w:ascii="Times New Roman" w:hAnsi="Times New Roman"/>
          <w:noProof/>
          <w:lang w:val="lt-LT"/>
        </w:rPr>
        <w:t xml:space="preserve"> </w:t>
      </w:r>
      <w:r w:rsidRPr="005F37B9">
        <w:rPr>
          <w:rFonts w:ascii="Times New Roman" w:hAnsi="Times New Roman"/>
          <w:lang w:val="lt-LT"/>
        </w:rPr>
        <w:t>ir kitų vaistinių preparatų sąveikos tyrimų  neatlikta.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Atkreipti dėmesį į šiuos derinius</w:t>
      </w: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Kiti antihipertenziniai vaistiniai preparatai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Dažniausiai vartojami anthipertenziniai vaistiniai preparatai (pvz., alfa adrenoblokatoriai, diuretikai) ir kiti vaistiniai preparatai, galintys sukelti nepageidaujamą hipotenzinį poveikį (pvz., tricikliai antidepresantai, alfa adrenoblokatoriai gerybinei prostatos hiperplazijai gydyti) gali stiprinti antihipertenzinį derinio poveikį.</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Su amlodipinu susijusi sąveika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Nerekomenduojama vartoti kartu su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Greipfrutais ar greipfrutų sultimis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Amlodipino nerekomenduojama skirti kartu su greipfrutais ar greipfrutų sultimis, kadangi kai kuriems pacientams gali padidėti biologinis vaistinio preparato prieinamumas ir dėl to pasireikšti stipresnis kraujospūdį mažinantis poveikis.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Atsargiai vartoti kartu su</w:t>
      </w: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CYP3A4 inhibitoriais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Klinikinė tokių farmakokinetikos pokyčių reikšmė gali būti didesnė senyviems pacientams, todėl gali prireikti stebėti paciento klinikinę būklę ir keisti dozę.</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CYP3A4 induktoriais (priešepilepsiniai preparatai [pvz., karbamazepinas, fenobarbitalis, fenitoinas, fosfenitoinas, primidonas], rifampicinas, jonažolės preparatai)</w:t>
      </w:r>
    </w:p>
    <w:p w:rsidR="005F37B9" w:rsidRPr="005F37B9" w:rsidRDefault="000420CD" w:rsidP="005F37B9">
      <w:pPr>
        <w:spacing w:after="0" w:line="240" w:lineRule="auto"/>
        <w:contextualSpacing/>
        <w:rPr>
          <w:rFonts w:ascii="Times New Roman" w:hAnsi="Times New Roman"/>
          <w:lang w:val="lt-LT"/>
        </w:rPr>
      </w:pPr>
      <w:r w:rsidRPr="000420CD">
        <w:rPr>
          <w:rFonts w:ascii="Times New Roman" w:hAnsi="Times New Roman"/>
          <w:lang w:val="lt-LT"/>
        </w:rPr>
        <w:t>K</w:t>
      </w:r>
      <w:r>
        <w:rPr>
          <w:rFonts w:ascii="Times New Roman" w:hAnsi="Times New Roman"/>
          <w:lang w:val="lt-LT"/>
        </w:rPr>
        <w:t>a</w:t>
      </w:r>
      <w:r w:rsidRPr="000420CD">
        <w:rPr>
          <w:rFonts w:ascii="Times New Roman" w:hAnsi="Times New Roman"/>
          <w:lang w:val="lt-LT"/>
        </w:rPr>
        <w:t xml:space="preserve">rtu pavartojus žinomų CYP3A4 induktorių, amlodipino koncentracija plazmoje gali </w:t>
      </w:r>
      <w:r w:rsidR="00D15BF8">
        <w:rPr>
          <w:rFonts w:ascii="Times New Roman" w:hAnsi="Times New Roman"/>
          <w:lang w:val="lt-LT"/>
        </w:rPr>
        <w:t>kisti</w:t>
      </w:r>
      <w:r w:rsidRPr="000420CD">
        <w:rPr>
          <w:rFonts w:ascii="Times New Roman" w:hAnsi="Times New Roman"/>
          <w:lang w:val="lt-LT"/>
        </w:rPr>
        <w:t xml:space="preserve">. Todėl kartu vartojant vaistinių preparatų, ypač stiprių CYP3A4 induktorių (pvz., rifampicino, </w:t>
      </w:r>
      <w:r w:rsidR="00D15BF8">
        <w:rPr>
          <w:rFonts w:ascii="Times New Roman" w:hAnsi="Times New Roman"/>
          <w:lang w:val="lt-LT"/>
        </w:rPr>
        <w:t>jonažolės [</w:t>
      </w:r>
      <w:r w:rsidRPr="00095704">
        <w:rPr>
          <w:rFonts w:ascii="Times New Roman" w:hAnsi="Times New Roman"/>
          <w:i/>
          <w:lang w:val="lt-LT"/>
        </w:rPr>
        <w:t>Hypericum perforatum</w:t>
      </w:r>
      <w:r w:rsidR="00D15BF8">
        <w:rPr>
          <w:rFonts w:ascii="Times New Roman" w:hAnsi="Times New Roman"/>
          <w:lang w:val="lt-LT"/>
        </w:rPr>
        <w:t>]</w:t>
      </w:r>
      <w:r w:rsidRPr="000420CD">
        <w:rPr>
          <w:rFonts w:ascii="Times New Roman" w:hAnsi="Times New Roman"/>
          <w:lang w:val="lt-LT"/>
        </w:rPr>
        <w:t>), ar po jų pavartojimo, reikia stebėti kraujospūdį ir apsvarstyti dozės koregavimą.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Simvastatinu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Kartotines 10 mg amlodipino dozes vartojant kartu su 80 mg simvastatino, pastarojo ekspozicija padidėjo 77 %, lyginant su šiuo rodikliu vartojant vien simvastatino. Amlodipino vartojantiems pacientams rekomenduojama vartoti ne didesnę kaip 20 mg simvastatino dozę per parą.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Dantrolenu (infuzija)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Tyrimų su gyvūnais duomenimis, pavartojus verapamilio ir dantroleno į veną, pasireiškė su hiperkalemija susijęs mirtinas skilvelių virpėjimas ir ūminis kardiovaskulinis </w:t>
      </w:r>
      <w:r w:rsidRPr="005F37B9">
        <w:rPr>
          <w:rFonts w:ascii="Times New Roman" w:hAnsi="Times New Roman"/>
          <w:lang w:val="lt-LT"/>
        </w:rPr>
        <w:lastRenderedPageBreak/>
        <w:t>kolapsas . Dėl hiperkalemijos rizikos rekomenduojama vengti kartu vartoti kalcio kanalų blokatorių (pvz., amlodipino) pacientams, kuriems yra piktybinės hipertermijos rizika, ir piktybinei hipertermijai gydyti.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Atkreipti dėmesį į šiuos derinius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Kiti preparatai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Klinikinių sąveikos tyrimų duomenimis, amlodipinas neveikė atorvastatino, digoksino, varfarino ar ciklosporino farmakokinetikos.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Su valsartanu susijusi sąveika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Nerekomenduojama vartoti kartu su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Ličiu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Skiriant litį kartu su angiotenziną konvertuojančių fermentų inhibitoriais arba angiotenzino II receptorių antagonistais, įskaitant valsartaną, stebėtas laikinas ličio koncentracijos kraujo serume ir toksiškumo padidėjimas.Todėl jų vartojant kartu, rekomenduojama atidžiai stebėti ličio koncentraciją kraujo serume. Jeigu su </w:t>
      </w:r>
      <w:r w:rsidRPr="005F37B9">
        <w:rPr>
          <w:rFonts w:ascii="Times New Roman" w:hAnsi="Times New Roman"/>
          <w:noProof/>
          <w:lang w:val="lt-LT"/>
        </w:rPr>
        <w:t xml:space="preserve">Sartesta </w:t>
      </w:r>
      <w:r w:rsidRPr="005F37B9">
        <w:rPr>
          <w:rFonts w:ascii="Times New Roman" w:hAnsi="Times New Roman"/>
          <w:lang w:val="lt-LT"/>
        </w:rPr>
        <w:t>taip pat yra vartojama diuretikų, toksinio ličio poveikio rizika gali dar labiau padidėti.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Kalį tausojančiais diuretikais, kalio papildais, druskų pakaitalais, kuriuose yra kalio, bei kitokiais kalio kiekį organizme didinančiais vaistiniais preparatais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Jeigu kartu su valsartanu reikia skirti kalio koncentraciją veikiantį vaistinį preparatą, rekomenduojama stebėti kalio koncentraciją kraujo plazmoje.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Atsargiai vartoti kartu su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Nesteroidiniais vaistinisi preparatais nuo uždegimo (NVNU), pvz., selektyviais COX-2 inhibitoriais, acetilsalicilo rūgštimi (&gt; 3 g per parą) bei neselektyviais NVNU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Angiotenzino II antagonistų vartojant kartu su NVNU, gali mažėti antihipertenzinis poveikis. Be to, kartu vartojant angiotenzino II antagonistų ir NVNU, gali padidėti inkstų funkcijos blogėjimo ir kalio koncentracijos kraujo serume padidėjimo rizika. Todėl gydymo pradžioje rekomenduojama stebėti inkstų funkciją, pacientas turi vartoti pakankamai skysčių.</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Absorbcijos pernašos baltymų inhibitoriais (rifampicinu, ciklosporinu) ir eliminacijos pernašos baltymų inhibitoriais (ritonaviru)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In vitro</w:t>
      </w:r>
      <w:r w:rsidRPr="005F37B9">
        <w:rPr>
          <w:rFonts w:ascii="Times New Roman" w:hAnsi="Times New Roman"/>
          <w:lang w:val="lt-LT"/>
        </w:rPr>
        <w:t xml:space="preserve"> atlikto tyrimo su žmogaus kepenų audiniais rezultatai rodo, kad valsartanas yra absorbcijos pernašos baltymo kepenyse OATP1B1 ir eliminacijos pernašos baltymo kepenyse MRP2 substratas.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Kartu skiriant absorbcijos pernašos baltymų inhibitorių (rifampicino, ciklosporino) arba eliminacijos pernašos baltymų inhibitorių (ritonaviro), gali padidėti sisteminė valsartano ekspozicija.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Dvigubas RAAS nuslopinimas vartojant AIIRB, AKF inhibitorių arba aliskireno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Klinikinių tyrimų duomenys parodė, kad, palyginti su vieno RAAS veikiančio preparato vartojimu, dvigubas renino, angiotenzino ir aldosterono sistemos (RAAS) slopinimas, kai vartojamas AKF inhibitorių, AIIRB ar aliskireno derinys, siejamas su dažniau pasitaikančiais nepageidaujamais reiškiniais, tokiais kaip hipotenzija, hiperkalemija ir inkstų funkcijos susilpnėjimas (įskaitant ūminį inkstų nepakankamumą) (žr. 4.3, 4.4 ir 5.1 skyrius).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lastRenderedPageBreak/>
        <w:t>Kiti preparatai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Nenustatyta kliniškai reikšmingos sąveikos tarp vieno valsartano ir šių prepartų: cimetidino, varfarino, furozemido, digoksino, atenololio, indometacino, hidrochlorotiazido, amlodipino, glibenklamido.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4.6</w:t>
      </w:r>
      <w:r w:rsidRPr="005F37B9">
        <w:rPr>
          <w:rFonts w:ascii="Times New Roman" w:hAnsi="Times New Roman"/>
          <w:sz w:val="22"/>
          <w:szCs w:val="22"/>
          <w:lang w:val="lt-LT"/>
        </w:rPr>
        <w:tab/>
        <w:t>Vaisingumas, nėštumo ir žindymo laikotarpis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Nėštumas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Amlodipinas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Amlodipino vartojimo moterų nėštumo metu saugumas nebuvo nustatytas. Su gyvūnais atlikti tyrimai parodė toksinį poveikį reprodukcijai vartojant dideles vaistinio preparato dozes (žr. 5.3 skyrių). Nėštumo metu rekomenduojama skirti tik tada, kai nėra kito saugesnio gydymo arba kai pati liga kelia didesnę riziką motinai ir vaisiui.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lang w:val="lt-LT"/>
        </w:rPr>
      </w:pPr>
      <w:r w:rsidRPr="005F37B9">
        <w:rPr>
          <w:rFonts w:ascii="Times New Roman" w:hAnsi="Times New Roman"/>
          <w:lang w:val="lt-LT"/>
        </w:rPr>
        <w:t>Pirmuoju nėštumo trimestru angiotenzino II receptorių blokatorių (AIIRB) vartoti nerekomenduojama (žr. 4.4 skyrių). Antruoju ir trečiuoju nėštumo trimestrais AIIRB vartoti draudžiama (žr. 4.3 ir 4.4 skyrius).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(AIIRB) rizikos, panaši rizika gali būti ir šių vaistinių preparatų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Jeigu moteris antruoju arba trečiuoju nėštumo trimestru vartojo AIIRB, reikia ultragarsu sekti jos vaisiaus inkstų funkciją ir kaukolę.</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Reikia atidžiai sekti, ar naujagimiams, kurių motinos nėštumo metu vartojo AIIRB, nepasireiškia hipotenzija (žr. 4.3 ir 4.4 skyrius).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Žindymas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Nėra informacijos apie amlodipino ir valsartano derinio</w:t>
      </w:r>
      <w:r w:rsidRPr="005F37B9">
        <w:rPr>
          <w:rFonts w:ascii="Times New Roman" w:hAnsi="Times New Roman"/>
          <w:noProof/>
          <w:lang w:val="lt-LT"/>
        </w:rPr>
        <w:t xml:space="preserve"> </w:t>
      </w:r>
      <w:r w:rsidRPr="005F37B9">
        <w:rPr>
          <w:rFonts w:ascii="Times New Roman" w:hAnsi="Times New Roman"/>
          <w:lang w:val="lt-LT"/>
        </w:rPr>
        <w:t xml:space="preserve">vartojimą žindymo metu, todėl </w:t>
      </w:r>
      <w:r w:rsidRPr="005F37B9">
        <w:rPr>
          <w:rFonts w:ascii="Times New Roman" w:hAnsi="Times New Roman"/>
          <w:noProof/>
          <w:lang w:val="lt-LT"/>
        </w:rPr>
        <w:t xml:space="preserve">Sartesta </w:t>
      </w:r>
      <w:r w:rsidRPr="005F37B9">
        <w:rPr>
          <w:rFonts w:ascii="Times New Roman" w:hAnsi="Times New Roman"/>
          <w:lang w:val="lt-LT"/>
        </w:rPr>
        <w:t>yra nerekomenduojamas, ir alternatyvus gydymas vaistiniu preparatu, geriau ištirtu dėl saugumo žindymo metu yra tinkamesnis, ypač žindant naujagimius bei prieš laiką gimusius kūdikius.</w:t>
      </w:r>
    </w:p>
    <w:p w:rsidR="000420CD" w:rsidRDefault="000420CD" w:rsidP="005F37B9">
      <w:pPr>
        <w:spacing w:after="0" w:line="240" w:lineRule="auto"/>
        <w:contextualSpacing/>
        <w:rPr>
          <w:rFonts w:ascii="Times New Roman" w:hAnsi="Times New Roman"/>
          <w:lang w:val="lt-LT"/>
        </w:rPr>
      </w:pPr>
    </w:p>
    <w:p w:rsidR="005F37B9" w:rsidRDefault="000420CD" w:rsidP="005F37B9">
      <w:pPr>
        <w:spacing w:after="0" w:line="240" w:lineRule="auto"/>
        <w:contextualSpacing/>
        <w:rPr>
          <w:rFonts w:ascii="Times New Roman" w:hAnsi="Times New Roman"/>
          <w:lang w:val="lt-LT"/>
        </w:rPr>
      </w:pPr>
      <w:r w:rsidRPr="000420CD">
        <w:rPr>
          <w:rFonts w:ascii="Times New Roman" w:hAnsi="Times New Roman"/>
          <w:lang w:val="lt-LT"/>
        </w:rPr>
        <w:t xml:space="preserve">Amlodipinas išskiriamas į motinos pieną. Kūdikio gaunamos dozės santykis su motinos pavartota doze yra nustatytas </w:t>
      </w:r>
      <w:r w:rsidR="00894E28">
        <w:rPr>
          <w:rFonts w:ascii="Times New Roman" w:hAnsi="Times New Roman"/>
          <w:lang w:val="lt-LT"/>
        </w:rPr>
        <w:t xml:space="preserve">remiantis </w:t>
      </w:r>
      <w:r w:rsidRPr="000420CD">
        <w:rPr>
          <w:rFonts w:ascii="Times New Roman" w:hAnsi="Times New Roman"/>
          <w:lang w:val="lt-LT"/>
        </w:rPr>
        <w:t>tarpkvartilin</w:t>
      </w:r>
      <w:r w:rsidR="00894E28">
        <w:rPr>
          <w:rFonts w:ascii="Times New Roman" w:hAnsi="Times New Roman"/>
          <w:lang w:val="lt-LT"/>
        </w:rPr>
        <w:t>iu</w:t>
      </w:r>
      <w:r w:rsidR="00D15BF8">
        <w:rPr>
          <w:rFonts w:ascii="Times New Roman" w:hAnsi="Times New Roman"/>
          <w:lang w:val="lt-LT"/>
        </w:rPr>
        <w:t xml:space="preserve"> nuotoli</w:t>
      </w:r>
      <w:r w:rsidR="00894E28">
        <w:rPr>
          <w:rFonts w:ascii="Times New Roman" w:hAnsi="Times New Roman"/>
          <w:lang w:val="lt-LT"/>
        </w:rPr>
        <w:t>u, ir</w:t>
      </w:r>
      <w:r w:rsidR="00D15BF8">
        <w:rPr>
          <w:rFonts w:ascii="Times New Roman" w:hAnsi="Times New Roman"/>
          <w:lang w:val="lt-LT"/>
        </w:rPr>
        <w:t xml:space="preserve"> yra 3</w:t>
      </w:r>
      <w:r w:rsidR="00894E28">
        <w:rPr>
          <w:rFonts w:ascii="Times New Roman" w:hAnsi="Times New Roman"/>
          <w:lang w:val="lt-LT"/>
        </w:rPr>
        <w:noBreakHyphen/>
      </w:r>
      <w:r w:rsidR="00D15BF8">
        <w:rPr>
          <w:rFonts w:ascii="Times New Roman" w:hAnsi="Times New Roman"/>
          <w:lang w:val="lt-LT"/>
        </w:rPr>
        <w:t>7</w:t>
      </w:r>
      <w:r w:rsidR="00894E28">
        <w:rPr>
          <w:rFonts w:ascii="Times New Roman" w:hAnsi="Times New Roman"/>
          <w:lang w:val="lt-LT"/>
        </w:rPr>
        <w:t> </w:t>
      </w:r>
      <w:r w:rsidR="00D15BF8">
        <w:rPr>
          <w:rFonts w:ascii="Times New Roman" w:hAnsi="Times New Roman"/>
          <w:lang w:val="lt-LT"/>
        </w:rPr>
        <w:t>%, didžiaus</w:t>
      </w:r>
      <w:r w:rsidRPr="000420CD">
        <w:rPr>
          <w:rFonts w:ascii="Times New Roman" w:hAnsi="Times New Roman"/>
          <w:lang w:val="lt-LT"/>
        </w:rPr>
        <w:t xml:space="preserve">ias </w:t>
      </w:r>
      <w:r w:rsidR="00894E28">
        <w:rPr>
          <w:rFonts w:ascii="Times New Roman" w:hAnsi="Times New Roman"/>
          <w:lang w:val="lt-LT"/>
        </w:rPr>
        <w:t>–</w:t>
      </w:r>
      <w:r w:rsidRPr="000420CD">
        <w:rPr>
          <w:rFonts w:ascii="Times New Roman" w:hAnsi="Times New Roman"/>
          <w:lang w:val="lt-LT"/>
        </w:rPr>
        <w:t xml:space="preserve"> 15</w:t>
      </w:r>
      <w:r w:rsidR="00894E28">
        <w:rPr>
          <w:rFonts w:ascii="Times New Roman" w:hAnsi="Times New Roman"/>
          <w:lang w:val="lt-LT"/>
        </w:rPr>
        <w:t> </w:t>
      </w:r>
      <w:r w:rsidRPr="000420CD">
        <w:rPr>
          <w:rFonts w:ascii="Times New Roman" w:hAnsi="Times New Roman"/>
          <w:lang w:val="lt-LT"/>
        </w:rPr>
        <w:t>%. Amlodipino poveikis kūdikiams nežinomas.</w:t>
      </w:r>
    </w:p>
    <w:p w:rsidR="000420CD" w:rsidRPr="005F37B9" w:rsidRDefault="000420CD"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Vaisingumas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lastRenderedPageBreak/>
        <w:t xml:space="preserve">Klinikinių </w:t>
      </w:r>
      <w:r w:rsidRPr="005F37B9">
        <w:rPr>
          <w:rFonts w:ascii="Times New Roman" w:hAnsi="Times New Roman"/>
          <w:noProof/>
          <w:lang w:val="lt-LT"/>
        </w:rPr>
        <w:t xml:space="preserve">amlodipino ir valsartano derinio </w:t>
      </w:r>
      <w:r w:rsidRPr="005F37B9">
        <w:rPr>
          <w:rFonts w:ascii="Times New Roman" w:hAnsi="Times New Roman"/>
          <w:lang w:val="lt-LT"/>
        </w:rPr>
        <w:t>poveikio vaisingumui tyrimų neatlikta.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Girdoma ne didesnė kaip 200 mg/kg kūno svorio valsartano paros dozė nepageidaujamo poveikio žiurkių patinų ir patelių reprodukcinei veiklai nesukėlė. Tokia dozė yra 6 kartus didesnė už didžiausią rekomenduojamą dozę žmogui, perskaičiuojant mg/m</w:t>
      </w:r>
      <w:r w:rsidRPr="005F37B9">
        <w:rPr>
          <w:rFonts w:ascii="Times New Roman" w:hAnsi="Times New Roman"/>
          <w:vertAlign w:val="superscript"/>
          <w:lang w:val="lt-LT"/>
        </w:rPr>
        <w:t>2</w:t>
      </w:r>
      <w:r w:rsidRPr="005F37B9">
        <w:rPr>
          <w:rFonts w:ascii="Times New Roman" w:hAnsi="Times New Roman"/>
          <w:lang w:val="lt-LT"/>
        </w:rPr>
        <w:t xml:space="preserve"> paviršiaus ploto (skaičiuojant laikyta, kad geriamoji paros dozė yra 320 mg, o pacientas sveria 60 kg).</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Amlodipinas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Buvo pranešta apie kai kurių kalcio kanalų blokatoriais gydomų vyrų spermatozoidų galvutės pokyčius. Nepakanka klinikinių duomenų, kad būtų galima nustatyti amlodipino įtaką vaisingumui.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Vieno tyrimo su žiurkėmis metu nustatytas nepageidaujamas poveikis patinų vaisingumui (žr. 5.3 skyrių).</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4.7</w:t>
      </w:r>
      <w:r w:rsidRPr="005F37B9">
        <w:rPr>
          <w:rFonts w:ascii="Times New Roman" w:hAnsi="Times New Roman"/>
          <w:sz w:val="22"/>
          <w:szCs w:val="22"/>
          <w:lang w:val="lt-LT"/>
        </w:rPr>
        <w:tab/>
        <w:t>Poveikis gebėjimui vairuoti ir valdyti mechanizmus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vartojantiems pacientams vairuojant ir valdant mechanizmus negalima pamiršti, kad kartais gali pasireikšti svaigulys ar  nuovargis.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Amlodipinas gebėjimą vairuoti ir valdyti mechanizmus veikia silpnai arba vidutiniškai. Jeigu amlodipiną vartojančiam pacientui pasireiškia svaigulys, galvos skausmas, nuovargis ar pykinimas, gali sutrikti gebėjimas reaguoti.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r w:rsidRPr="005F37B9">
        <w:rPr>
          <w:rFonts w:ascii="Times New Roman" w:hAnsi="Times New Roman"/>
          <w:b/>
          <w:lang w:val="lt-LT"/>
        </w:rPr>
        <w:t>4.8</w:t>
      </w:r>
      <w:r w:rsidRPr="005F37B9">
        <w:rPr>
          <w:rFonts w:ascii="Times New Roman" w:hAnsi="Times New Roman"/>
          <w:b/>
          <w:lang w:val="lt-LT"/>
        </w:rPr>
        <w:tab/>
        <w:t>Nepageidaujamas poveikis</w:t>
      </w:r>
    </w:p>
    <w:p w:rsidR="005F37B9" w:rsidRPr="005F37B9" w:rsidRDefault="005F37B9" w:rsidP="005F37B9">
      <w:pPr>
        <w:spacing w:after="0" w:line="240" w:lineRule="auto"/>
        <w:contextualSpacing/>
        <w:rPr>
          <w:rFonts w:ascii="Times New Roman" w:hAnsi="Times New Roman"/>
          <w:u w:val="single"/>
          <w:lang w:val="lt-LT"/>
        </w:rPr>
      </w:pPr>
    </w:p>
    <w:p w:rsidR="005F37B9" w:rsidRPr="005F37B9" w:rsidRDefault="005F37B9" w:rsidP="005F37B9">
      <w:pPr>
        <w:spacing w:after="0" w:line="240" w:lineRule="auto"/>
        <w:contextualSpacing/>
        <w:rPr>
          <w:rFonts w:ascii="Times New Roman" w:hAnsi="Times New Roman"/>
          <w:iCs/>
          <w:u w:val="single"/>
          <w:lang w:val="lt-LT" w:eastAsia="lt-LT"/>
        </w:rPr>
      </w:pPr>
      <w:r w:rsidRPr="005F37B9">
        <w:rPr>
          <w:rFonts w:ascii="Times New Roman" w:hAnsi="Times New Roman"/>
          <w:iCs/>
          <w:u w:val="single"/>
          <w:lang w:val="lt-LT" w:eastAsia="lt-LT"/>
        </w:rPr>
        <w:t>Saugumo duomenų santrauka</w:t>
      </w:r>
    </w:p>
    <w:p w:rsidR="005F37B9" w:rsidRPr="005F37B9" w:rsidRDefault="005F37B9" w:rsidP="005F37B9">
      <w:pPr>
        <w:autoSpaceDE w:val="0"/>
        <w:autoSpaceDN w:val="0"/>
        <w:adjustRightInd w:val="0"/>
        <w:spacing w:after="0" w:line="240" w:lineRule="auto"/>
        <w:contextualSpacing/>
        <w:rPr>
          <w:rFonts w:ascii="Times New Roman" w:hAnsi="Times New Roman"/>
          <w:noProof/>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noProof/>
          <w:lang w:val="lt-LT"/>
        </w:rPr>
        <w:t xml:space="preserve">Amlodipino ir valsartano derinio </w:t>
      </w:r>
      <w:r w:rsidRPr="005F37B9">
        <w:rPr>
          <w:rFonts w:ascii="Times New Roman" w:hAnsi="Times New Roman"/>
          <w:lang w:val="lt-LT"/>
        </w:rPr>
        <w:t>saugumas buvo tiriamas penkių kontroliuojamų klinikinių tyrimų metu, kuriuose dalyvavo 5175 pacientai, 2613 iš jų vartojo valsartano ir amlodipino derinį. Neigiamos reakcijos, kurios pasireiškė dažniausiai, buvo svarbios ar sunkios: nosiaryklės uždegimas, gripas, padidėjęs jautrumas, galvos skausmas, apalpimas, ortostatinė hipotenzija, edema, minkštoji edema (paspaudus išlieka įdubimas - duobutė), veido edema, periferinė edema, nuovargis, veido ir kaklo paraudimas, astenija ir karščio pylimas.</w:t>
      </w:r>
    </w:p>
    <w:p w:rsidR="005F37B9" w:rsidRPr="005F37B9" w:rsidRDefault="005F37B9" w:rsidP="005F37B9">
      <w:pPr>
        <w:spacing w:after="0" w:line="240" w:lineRule="auto"/>
        <w:contextualSpacing/>
        <w:rPr>
          <w:rFonts w:ascii="Times New Roman" w:hAnsi="Times New Roman"/>
          <w:iCs/>
          <w:lang w:val="lt-LT" w:eastAsia="lt-LT"/>
        </w:rPr>
      </w:pPr>
    </w:p>
    <w:p w:rsidR="005F37B9" w:rsidRPr="005F37B9" w:rsidRDefault="005F37B9" w:rsidP="005F37B9">
      <w:pPr>
        <w:spacing w:after="0" w:line="240" w:lineRule="auto"/>
        <w:contextualSpacing/>
        <w:rPr>
          <w:rFonts w:ascii="Times New Roman" w:hAnsi="Times New Roman"/>
          <w:iCs/>
          <w:u w:val="single"/>
          <w:lang w:val="lt-LT" w:eastAsia="lt-LT"/>
        </w:rPr>
      </w:pPr>
      <w:r w:rsidRPr="005F37B9">
        <w:rPr>
          <w:rFonts w:ascii="Times New Roman" w:hAnsi="Times New Roman"/>
          <w:iCs/>
          <w:u w:val="single"/>
          <w:lang w:val="lt-LT" w:eastAsia="lt-LT"/>
        </w:rPr>
        <w:t>Nepageidaujamų reakcijų santrauka lentelėje</w:t>
      </w:r>
    </w:p>
    <w:p w:rsidR="005F37B9" w:rsidRPr="005F37B9" w:rsidRDefault="005F37B9" w:rsidP="005F37B9">
      <w:pPr>
        <w:autoSpaceDE w:val="0"/>
        <w:spacing w:after="0" w:line="240" w:lineRule="auto"/>
        <w:contextualSpacing/>
        <w:rPr>
          <w:rFonts w:ascii="Times New Roman" w:hAnsi="Times New Roman"/>
          <w:lang w:val="lt-LT"/>
        </w:rPr>
      </w:pPr>
    </w:p>
    <w:p w:rsidR="005F37B9" w:rsidRPr="005F37B9" w:rsidRDefault="005F37B9" w:rsidP="005F37B9">
      <w:pPr>
        <w:autoSpaceDE w:val="0"/>
        <w:spacing w:after="0" w:line="240" w:lineRule="auto"/>
        <w:contextualSpacing/>
        <w:rPr>
          <w:rFonts w:ascii="Times New Roman" w:hAnsi="Times New Roman"/>
          <w:lang w:val="lt-LT"/>
        </w:rPr>
      </w:pPr>
      <w:r w:rsidRPr="005F37B9">
        <w:rPr>
          <w:rFonts w:ascii="Times New Roman" w:hAnsi="Times New Roman"/>
          <w:lang w:val="lt-LT"/>
        </w:rPr>
        <w:t>Nepageidaujamo poveikio dažnis apibūdinamas taip: labai dažnas (≥ 1/10), dažnas (nuo ≥ 1/100 iki &lt; 1/10), nedažnas (nuo ≥ 1/1000 iki &lt; 1/100), retas (nuo ≥ 1/10 000 iki &lt; 1/1000), labai retas (&lt; 1/10 000) ir nežinomas (negali būti apskaičiuotas pagal turimus duomenis).</w:t>
      </w:r>
    </w:p>
    <w:p w:rsidR="005F37B9" w:rsidRPr="005F37B9" w:rsidRDefault="005F37B9" w:rsidP="005F37B9">
      <w:pPr>
        <w:autoSpaceDE w:val="0"/>
        <w:spacing w:after="0" w:line="240" w:lineRule="auto"/>
        <w:contextualSpacing/>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347"/>
        <w:gridCol w:w="1620"/>
        <w:gridCol w:w="1618"/>
        <w:gridCol w:w="1673"/>
      </w:tblGrid>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jc w:val="center"/>
              <w:rPr>
                <w:rFonts w:ascii="Times New Roman" w:hAnsi="Times New Roman"/>
                <w:b/>
                <w:lang w:val="lt-LT"/>
              </w:rPr>
            </w:pPr>
            <w:r w:rsidRPr="005F37B9">
              <w:rPr>
                <w:rFonts w:ascii="Times New Roman" w:hAnsi="Times New Roman"/>
                <w:b/>
                <w:lang w:val="lt-LT"/>
              </w:rPr>
              <w:t>MedDRA organų sistemų klasė</w:t>
            </w:r>
          </w:p>
        </w:tc>
        <w:tc>
          <w:tcPr>
            <w:tcW w:w="2400" w:type="dxa"/>
            <w:vMerge w:val="restart"/>
            <w:shd w:val="clear" w:color="auto" w:fill="auto"/>
          </w:tcPr>
          <w:p w:rsidR="005F37B9" w:rsidRPr="005F37B9" w:rsidRDefault="005F37B9" w:rsidP="005F37B9">
            <w:pPr>
              <w:autoSpaceDE w:val="0"/>
              <w:autoSpaceDN w:val="0"/>
              <w:adjustRightInd w:val="0"/>
              <w:spacing w:after="0" w:line="240" w:lineRule="auto"/>
              <w:contextualSpacing/>
              <w:jc w:val="center"/>
              <w:rPr>
                <w:rFonts w:ascii="Times New Roman" w:hAnsi="Times New Roman"/>
                <w:b/>
                <w:lang w:val="lt-LT"/>
              </w:rPr>
            </w:pPr>
            <w:r w:rsidRPr="005F37B9">
              <w:rPr>
                <w:rFonts w:ascii="Times New Roman" w:hAnsi="Times New Roman"/>
                <w:b/>
                <w:lang w:val="lt-LT"/>
              </w:rPr>
              <w:t>Nepageidaujamos reakcijos</w:t>
            </w:r>
          </w:p>
        </w:tc>
        <w:tc>
          <w:tcPr>
            <w:tcW w:w="5036" w:type="dxa"/>
            <w:gridSpan w:val="3"/>
            <w:shd w:val="clear" w:color="auto" w:fill="auto"/>
          </w:tcPr>
          <w:p w:rsidR="005F37B9" w:rsidRPr="005F37B9" w:rsidRDefault="005F37B9" w:rsidP="005F37B9">
            <w:pPr>
              <w:autoSpaceDE w:val="0"/>
              <w:autoSpaceDN w:val="0"/>
              <w:adjustRightInd w:val="0"/>
              <w:spacing w:after="0" w:line="240" w:lineRule="auto"/>
              <w:contextualSpacing/>
              <w:jc w:val="center"/>
              <w:rPr>
                <w:rFonts w:ascii="Times New Roman" w:hAnsi="Times New Roman"/>
                <w:b/>
                <w:lang w:val="lt-LT"/>
              </w:rPr>
            </w:pPr>
            <w:r w:rsidRPr="005F37B9">
              <w:rPr>
                <w:rFonts w:ascii="Times New Roman" w:hAnsi="Times New Roman"/>
                <w:b/>
                <w:lang w:val="lt-LT"/>
              </w:rPr>
              <w:t>Dažnis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jc w:val="center"/>
              <w:rPr>
                <w:rFonts w:ascii="Times New Roman" w:hAnsi="Times New Roman"/>
                <w:b/>
                <w:lang w:val="lt-LT"/>
              </w:rPr>
            </w:pPr>
          </w:p>
        </w:tc>
        <w:tc>
          <w:tcPr>
            <w:tcW w:w="2400" w:type="dxa"/>
            <w:vMerge/>
            <w:shd w:val="clear" w:color="auto" w:fill="auto"/>
          </w:tcPr>
          <w:p w:rsidR="005F37B9" w:rsidRPr="005F37B9" w:rsidRDefault="005F37B9" w:rsidP="005F37B9">
            <w:pPr>
              <w:spacing w:after="0" w:line="240" w:lineRule="auto"/>
              <w:contextualSpacing/>
              <w:jc w:val="center"/>
              <w:rPr>
                <w:rFonts w:ascii="Times New Roman" w:hAnsi="Times New Roman"/>
                <w:b/>
                <w:lang w:val="lt-LT"/>
              </w:rPr>
            </w:pPr>
          </w:p>
        </w:tc>
        <w:tc>
          <w:tcPr>
            <w:tcW w:w="1683" w:type="dxa"/>
            <w:shd w:val="clear" w:color="auto" w:fill="auto"/>
          </w:tcPr>
          <w:p w:rsidR="005F37B9" w:rsidRPr="005F37B9" w:rsidRDefault="005F37B9" w:rsidP="005F37B9">
            <w:pPr>
              <w:spacing w:after="0" w:line="240" w:lineRule="auto"/>
              <w:contextualSpacing/>
              <w:jc w:val="center"/>
              <w:rPr>
                <w:rFonts w:ascii="Times New Roman" w:hAnsi="Times New Roman"/>
                <w:b/>
                <w:lang w:val="lt-LT"/>
              </w:rPr>
            </w:pPr>
            <w:r w:rsidRPr="005F37B9">
              <w:rPr>
                <w:rFonts w:ascii="Times New Roman" w:hAnsi="Times New Roman"/>
                <w:b/>
                <w:noProof/>
                <w:lang w:val="lt-LT"/>
              </w:rPr>
              <w:t>Sartesta</w:t>
            </w:r>
          </w:p>
        </w:tc>
        <w:tc>
          <w:tcPr>
            <w:tcW w:w="1642" w:type="dxa"/>
            <w:shd w:val="clear" w:color="auto" w:fill="auto"/>
          </w:tcPr>
          <w:p w:rsidR="005F37B9" w:rsidRPr="005F37B9" w:rsidRDefault="005F37B9" w:rsidP="005F37B9">
            <w:pPr>
              <w:spacing w:after="0" w:line="240" w:lineRule="auto"/>
              <w:contextualSpacing/>
              <w:jc w:val="center"/>
              <w:rPr>
                <w:rFonts w:ascii="Times New Roman" w:hAnsi="Times New Roman"/>
                <w:b/>
                <w:lang w:val="lt-LT"/>
              </w:rPr>
            </w:pPr>
            <w:r w:rsidRPr="005F37B9">
              <w:rPr>
                <w:rFonts w:ascii="Times New Roman" w:hAnsi="Times New Roman"/>
                <w:b/>
                <w:lang w:val="lt-LT"/>
              </w:rPr>
              <w:t>Amlodipinas</w:t>
            </w:r>
          </w:p>
        </w:tc>
        <w:tc>
          <w:tcPr>
            <w:tcW w:w="1711" w:type="dxa"/>
            <w:shd w:val="clear" w:color="auto" w:fill="auto"/>
          </w:tcPr>
          <w:p w:rsidR="005F37B9" w:rsidRPr="005F37B9" w:rsidRDefault="005F37B9" w:rsidP="005F37B9">
            <w:pPr>
              <w:autoSpaceDE w:val="0"/>
              <w:autoSpaceDN w:val="0"/>
              <w:adjustRightInd w:val="0"/>
              <w:spacing w:after="0" w:line="240" w:lineRule="auto"/>
              <w:contextualSpacing/>
              <w:jc w:val="center"/>
              <w:rPr>
                <w:rFonts w:ascii="Times New Roman" w:hAnsi="Times New Roman"/>
                <w:b/>
                <w:lang w:val="lt-LT"/>
              </w:rPr>
            </w:pPr>
            <w:r w:rsidRPr="005F37B9">
              <w:rPr>
                <w:rFonts w:ascii="Times New Roman" w:hAnsi="Times New Roman"/>
                <w:b/>
                <w:lang w:val="lt-LT"/>
              </w:rPr>
              <w:t>Valsartanas</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Infekcijos ir infestacijos</w:t>
            </w:r>
          </w:p>
        </w:tc>
        <w:tc>
          <w:tcPr>
            <w:tcW w:w="2400"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Nazofaringitas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Gripas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Kraujo ir limfinės sistemos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Sumažėjusi hemoglobino </w:t>
            </w:r>
            <w:r w:rsidRPr="005F37B9">
              <w:rPr>
                <w:rFonts w:ascii="Times New Roman" w:hAnsi="Times New Roman"/>
                <w:lang w:val="lt-LT"/>
              </w:rPr>
              <w:lastRenderedPageBreak/>
              <w:t>koncentracija ir hematokritas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lastRenderedPageBreak/>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Leukopenija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Neutropenija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Trombocitopenija, kartais pasireiškianti purpura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Imuninės sistemos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Padidėjęs jautrumas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Metabolizmo ir mitybos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Anoreksija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Hiperkalcemija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Hiperglikemija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Hiperlipidemija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Hiperurikemija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Hipokalemija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Hiponatremija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Psichikos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Depresija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Nerimas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Nemiga ar miego sutrikimai</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Svyruojanti nuotaika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Sumišimas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Nervų sistemos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Sutrikusi koordinacija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Svaigulys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 kūno padėtimi ar fiziniu krūviu susijęs svaigulys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Sutrikęs skonio pojūtis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Ekstrapiramidinės sistemos sutrikimo sindromas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Galvos 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Padidėjęs raumenų tonusas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Parestezija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Periferinė neuropatija, neuropatija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Somnolencija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Sinkopė</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Tremoras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Hipestezija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Akių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Regėjimo sutrikimai</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Regėjimo susilpnėjimas </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Ausų ir labirintų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Spengimas ausyse</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Galvos svaigimas  (</w:t>
            </w:r>
            <w:r w:rsidRPr="005F37B9">
              <w:rPr>
                <w:rFonts w:ascii="Times New Roman" w:hAnsi="Times New Roman"/>
                <w:i/>
                <w:lang w:val="lt-LT"/>
              </w:rPr>
              <w:t>vertigo</w:t>
            </w:r>
            <w:r w:rsidRPr="005F37B9">
              <w:rPr>
                <w:rFonts w:ascii="Times New Roman" w:hAnsi="Times New Roman"/>
                <w:lang w:val="lt-LT"/>
              </w:rPr>
              <w:t>)</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r>
      <w:tr w:rsidR="005F37B9" w:rsidRPr="005F37B9" w:rsidTr="000420CD">
        <w:tc>
          <w:tcPr>
            <w:tcW w:w="1850" w:type="dxa"/>
            <w:vMerge w:val="restart"/>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Širdies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Palpitacijos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Sinkopė</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Tachikardija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Širdies aritmijos (įskaitant bradikardiją, skilvelinę tachikardiją ir prieširdžių virpėjimą)</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Miokardo infarktas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lastRenderedPageBreak/>
              <w:t>Kraujagyslių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Veido ir kaklo paraudimas </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Hipotenzija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Ortostatinė hipotenzija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Vaskulitas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Kvėpavimo sistemos, krūtinės ląstos ir tarpuplaučio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Kosulys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Nedažnas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Dusulys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Ryklės ir gerklų 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Rinitas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Virškinimo trakto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Nemalonus pojūtis pilve, viršutinės pilvo dalies 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Nedažnas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Pakitusi žarnyno motorika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Vidurių užkietėjimas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Viduriavimas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Burnos sausmė</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Dispepsija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Gastritas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Dantenų hiperplazija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Pykinimas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Pankreatitas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Vėmimas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Kepenų, tulžies pūslės ir latakų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Pakitę kepenų funkcijos tyrimų rodikliai, įskaitant padidėjusią bilirubino koncentraciją kraujyje</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Hepatitas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Intrahepatinė cholestazė, gelta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val="restart"/>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Odos ir poodinio audinio sutrikimai</w:t>
            </w: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Alopecija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Angioneurozinė edema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Buliozinis (pūslinis) dermatitas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Eritema (raudonė)</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Daugiaformė raudonė (</w:t>
            </w:r>
            <w:r w:rsidRPr="005F37B9">
              <w:rPr>
                <w:rFonts w:ascii="Times New Roman" w:hAnsi="Times New Roman"/>
                <w:i/>
                <w:lang w:val="lt-LT"/>
              </w:rPr>
              <w:t>erythema multiforme</w:t>
            </w:r>
            <w:r w:rsidRPr="005F37B9">
              <w:rPr>
                <w:rFonts w:ascii="Times New Roman" w:hAnsi="Times New Roman"/>
                <w:lang w:val="lt-LT"/>
              </w:rPr>
              <w:t>)</w:t>
            </w:r>
            <w:r w:rsidRPr="005F37B9">
              <w:rPr>
                <w:rFonts w:ascii="Times New Roman" w:hAnsi="Times New Roman"/>
                <w:i/>
                <w:lang w:val="lt-LT"/>
              </w:rPr>
              <w:t xml:space="preserve"> </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Egzantema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Sustiprėjęs prakaitavimas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Padidėjusio jautrumo šviesai reakcija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Niežėjimas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Purpura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Bėrimas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Pakitusi odos spalva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Dilgėlinė ir kitos bėrimo formos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Eksfoliacinis dermatitas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Stivenso-Džonsono (</w:t>
            </w:r>
            <w:r w:rsidRPr="005F37B9">
              <w:rPr>
                <w:rFonts w:ascii="Times New Roman" w:hAnsi="Times New Roman"/>
                <w:i/>
                <w:lang w:val="lt-LT"/>
              </w:rPr>
              <w:t>Stevens-Johnson</w:t>
            </w:r>
            <w:r w:rsidRPr="005F37B9">
              <w:rPr>
                <w:rFonts w:ascii="Times New Roman" w:hAnsi="Times New Roman"/>
                <w:lang w:val="lt-LT"/>
              </w:rPr>
              <w:t>) sindromas</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Kvinkės (</w:t>
            </w:r>
            <w:r w:rsidRPr="005F37B9">
              <w:rPr>
                <w:rFonts w:ascii="Times New Roman" w:hAnsi="Times New Roman"/>
                <w:i/>
                <w:lang w:val="lt-LT"/>
              </w:rPr>
              <w:t>Quincke</w:t>
            </w:r>
            <w:r w:rsidRPr="005F37B9">
              <w:rPr>
                <w:rFonts w:ascii="Times New Roman" w:hAnsi="Times New Roman"/>
                <w:lang w:val="lt-LT"/>
              </w:rPr>
              <w:t>)</w:t>
            </w:r>
            <w:r w:rsidRPr="005F37B9">
              <w:rPr>
                <w:rFonts w:ascii="Times New Roman" w:hAnsi="Times New Roman"/>
                <w:i/>
                <w:lang w:val="lt-LT"/>
              </w:rPr>
              <w:t xml:space="preserve"> </w:t>
            </w:r>
            <w:r w:rsidRPr="005F37B9">
              <w:rPr>
                <w:rFonts w:ascii="Times New Roman" w:hAnsi="Times New Roman"/>
                <w:lang w:val="lt-LT"/>
              </w:rPr>
              <w:t>edema</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Labai retas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0420CD" w:rsidRPr="005F37B9" w:rsidTr="000420CD">
        <w:tc>
          <w:tcPr>
            <w:tcW w:w="1850" w:type="dxa"/>
            <w:vMerge/>
            <w:shd w:val="clear" w:color="auto" w:fill="auto"/>
          </w:tcPr>
          <w:p w:rsidR="000420CD" w:rsidRPr="005F37B9" w:rsidRDefault="000420CD" w:rsidP="005F37B9">
            <w:pPr>
              <w:spacing w:after="0" w:line="240" w:lineRule="auto"/>
              <w:contextualSpacing/>
              <w:rPr>
                <w:rFonts w:ascii="Times New Roman" w:hAnsi="Times New Roman"/>
                <w:lang w:val="lt-LT"/>
              </w:rPr>
            </w:pPr>
          </w:p>
        </w:tc>
        <w:tc>
          <w:tcPr>
            <w:tcW w:w="2400" w:type="dxa"/>
            <w:shd w:val="clear" w:color="auto" w:fill="auto"/>
          </w:tcPr>
          <w:p w:rsidR="000420CD" w:rsidRPr="005F37B9" w:rsidRDefault="000420CD" w:rsidP="005F37B9">
            <w:pPr>
              <w:autoSpaceDE w:val="0"/>
              <w:autoSpaceDN w:val="0"/>
              <w:adjustRightInd w:val="0"/>
              <w:spacing w:after="0" w:line="240" w:lineRule="auto"/>
              <w:contextualSpacing/>
              <w:rPr>
                <w:rFonts w:ascii="Times New Roman" w:hAnsi="Times New Roman"/>
                <w:lang w:val="lt-LT"/>
              </w:rPr>
            </w:pPr>
            <w:r w:rsidRPr="000420CD">
              <w:rPr>
                <w:rFonts w:ascii="Times New Roman" w:hAnsi="Times New Roman"/>
                <w:lang w:val="lt-LT"/>
              </w:rPr>
              <w:t>Toksinė epidermio nekrolizė</w:t>
            </w:r>
          </w:p>
        </w:tc>
        <w:tc>
          <w:tcPr>
            <w:tcW w:w="1683" w:type="dxa"/>
            <w:shd w:val="clear" w:color="auto" w:fill="auto"/>
          </w:tcPr>
          <w:p w:rsidR="000420CD" w:rsidRPr="005F37B9" w:rsidRDefault="000420CD" w:rsidP="005F37B9">
            <w:pPr>
              <w:spacing w:after="0" w:line="240" w:lineRule="auto"/>
              <w:contextualSpacing/>
              <w:rPr>
                <w:rFonts w:ascii="Times New Roman" w:hAnsi="Times New Roman"/>
                <w:lang w:val="lt-LT"/>
              </w:rPr>
            </w:pPr>
            <w:r>
              <w:rPr>
                <w:rFonts w:ascii="Times New Roman" w:hAnsi="Times New Roman"/>
                <w:lang w:val="lt-LT"/>
              </w:rPr>
              <w:t>--</w:t>
            </w:r>
          </w:p>
        </w:tc>
        <w:tc>
          <w:tcPr>
            <w:tcW w:w="1642" w:type="dxa"/>
            <w:shd w:val="clear" w:color="auto" w:fill="auto"/>
          </w:tcPr>
          <w:p w:rsidR="000420CD" w:rsidRPr="005F37B9" w:rsidRDefault="000420CD" w:rsidP="005F37B9">
            <w:pPr>
              <w:spacing w:after="0" w:line="240" w:lineRule="auto"/>
              <w:contextualSpacing/>
              <w:rPr>
                <w:rFonts w:ascii="Times New Roman" w:hAnsi="Times New Roman"/>
                <w:lang w:val="lt-LT"/>
              </w:rPr>
            </w:pPr>
            <w:r>
              <w:rPr>
                <w:rFonts w:ascii="Times New Roman" w:hAnsi="Times New Roman"/>
                <w:lang w:val="lt-LT"/>
              </w:rPr>
              <w:t>Nežinomas</w:t>
            </w:r>
          </w:p>
        </w:tc>
        <w:tc>
          <w:tcPr>
            <w:tcW w:w="1711" w:type="dxa"/>
            <w:shd w:val="clear" w:color="auto" w:fill="auto"/>
          </w:tcPr>
          <w:p w:rsidR="000420CD" w:rsidRPr="005F37B9" w:rsidRDefault="000420CD" w:rsidP="005F37B9">
            <w:pPr>
              <w:spacing w:after="0" w:line="240" w:lineRule="auto"/>
              <w:contextualSpacing/>
              <w:rPr>
                <w:rFonts w:ascii="Times New Roman" w:hAnsi="Times New Roman"/>
                <w:lang w:val="lt-LT"/>
              </w:rPr>
            </w:pPr>
            <w:r>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Skeleto, raumenų ir jungiamojo audinio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Artralgija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Nugaros 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Sąnarių patinimas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Raumenų spazmai</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Raumenų skausmai</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Kulkšnių patinimas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Sunkumo pojūtis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Inkstų ir šlapimo takų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Padidėjusi kreatinino koncentracija kraujyje</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Sutrikęs šlapinimasis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Nikturija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Polakiurija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Poliurija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Inkstų nepakankamumas ir inkstų funkcijos sutrikimas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Lytinės sistemos ir krūties sutrikimai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Impotencija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Erekcijos disfunkcija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Retas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Ginekomastija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Bendrieji sutrikimai ir vartojimo vietos pažeidimai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Astenija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Diskomfortas, bendras negalavimas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Nuovargis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Nedažnas </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Veido edema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Veido ir kaklo paraudimas, karščio pylimas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 kardialinės kilmės krūtinės ląstos 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Edema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Periferinė edema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Skausmas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Minkštoji edema</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Dažnas</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val="restart"/>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Tyrimai</w:t>
            </w: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Padidėjusi kalio koncentracija kraujyje</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Padidėjęs kūno svoris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Dažnis nežinomas</w:t>
            </w:r>
          </w:p>
        </w:tc>
      </w:tr>
      <w:tr w:rsidR="005F37B9" w:rsidRPr="005F37B9" w:rsidTr="000420CD">
        <w:tc>
          <w:tcPr>
            <w:tcW w:w="1850" w:type="dxa"/>
            <w:vMerge/>
            <w:shd w:val="clear" w:color="auto" w:fill="auto"/>
          </w:tcPr>
          <w:p w:rsidR="005F37B9" w:rsidRPr="005F37B9" w:rsidRDefault="005F37B9" w:rsidP="005F37B9">
            <w:pPr>
              <w:spacing w:after="0" w:line="240" w:lineRule="auto"/>
              <w:contextualSpacing/>
              <w:rPr>
                <w:rFonts w:ascii="Times New Roman" w:hAnsi="Times New Roman"/>
                <w:lang w:val="lt-LT"/>
              </w:rPr>
            </w:pPr>
          </w:p>
        </w:tc>
        <w:tc>
          <w:tcPr>
            <w:tcW w:w="2400"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Sumažėjęs kūno svoris</w:t>
            </w:r>
          </w:p>
        </w:tc>
        <w:tc>
          <w:tcPr>
            <w:tcW w:w="1683"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c>
          <w:tcPr>
            <w:tcW w:w="1642"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Nedažnas</w:t>
            </w:r>
          </w:p>
        </w:tc>
        <w:tc>
          <w:tcPr>
            <w:tcW w:w="1711" w:type="dxa"/>
            <w:shd w:val="clear" w:color="auto" w:fill="auto"/>
          </w:tcPr>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w:t>
            </w:r>
          </w:p>
        </w:tc>
      </w:tr>
    </w:tbl>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r w:rsidRPr="005F37B9">
        <w:rPr>
          <w:rFonts w:ascii="Times New Roman" w:hAnsi="Times New Roman"/>
          <w:lang w:val="lt-LT"/>
        </w:rPr>
        <w:t>* Dažniausiai susijęs su cholestaze.</w:t>
      </w: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jc w:val="both"/>
        <w:rPr>
          <w:rFonts w:ascii="Times New Roman" w:hAnsi="Times New Roman"/>
          <w:u w:val="single"/>
          <w:lang w:val="lt-LT"/>
        </w:rPr>
      </w:pPr>
      <w:r w:rsidRPr="005F37B9">
        <w:rPr>
          <w:rFonts w:ascii="Times New Roman" w:hAnsi="Times New Roman"/>
          <w:u w:val="single"/>
          <w:lang w:val="lt-LT"/>
        </w:rPr>
        <w:t>Papildoma informacija apie derinį</w:t>
      </w: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Periferinės edemos, žinomo amlodipino nepageidaujamo poveikio, dažnis paprastai buvo mažesnis stebimų pacientų, gydomų amlodipino ir valsartano deriniu, tarpe negu pacientų, gydomų tik amlodipinu. Dvigubai aklų, kontroliuojamų klinikinių tyrimų metu periferinės edemos pasireiškimo dažnis, priklausomai nuo dozės, buvo sekantis:</w:t>
      </w: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1134"/>
        <w:gridCol w:w="1134"/>
        <w:gridCol w:w="1134"/>
        <w:gridCol w:w="1276"/>
        <w:gridCol w:w="1099"/>
      </w:tblGrid>
      <w:tr w:rsidR="005F37B9" w:rsidRPr="005F37B9" w:rsidTr="00AE748A">
        <w:tc>
          <w:tcPr>
            <w:tcW w:w="4077" w:type="dxa"/>
            <w:gridSpan w:val="2"/>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lastRenderedPageBreak/>
              <w:t>Pacientai, kuriems pasireiškė periferinė edema (%)</w:t>
            </w:r>
          </w:p>
        </w:tc>
        <w:tc>
          <w:tcPr>
            <w:tcW w:w="5777" w:type="dxa"/>
            <w:gridSpan w:val="5"/>
            <w:shd w:val="clear" w:color="auto" w:fill="auto"/>
          </w:tcPr>
          <w:p w:rsidR="005F37B9" w:rsidRPr="005F37B9" w:rsidRDefault="005F37B9" w:rsidP="005F37B9">
            <w:pPr>
              <w:autoSpaceDE w:val="0"/>
              <w:autoSpaceDN w:val="0"/>
              <w:adjustRightInd w:val="0"/>
              <w:spacing w:after="0" w:line="240" w:lineRule="auto"/>
              <w:contextualSpacing/>
              <w:jc w:val="center"/>
              <w:rPr>
                <w:rFonts w:ascii="Times New Roman" w:hAnsi="Times New Roman"/>
                <w:b/>
                <w:lang w:val="lt-LT"/>
              </w:rPr>
            </w:pPr>
            <w:r w:rsidRPr="005F37B9">
              <w:rPr>
                <w:rFonts w:ascii="Times New Roman" w:hAnsi="Times New Roman"/>
                <w:b/>
                <w:lang w:val="lt-LT"/>
              </w:rPr>
              <w:t>Valsartanas (mg)</w:t>
            </w:r>
          </w:p>
        </w:tc>
      </w:tr>
      <w:tr w:rsidR="005F37B9" w:rsidRPr="005F37B9" w:rsidTr="00AE748A">
        <w:tc>
          <w:tcPr>
            <w:tcW w:w="4077" w:type="dxa"/>
            <w:gridSpan w:val="2"/>
            <w:vMerge/>
            <w:shd w:val="clear" w:color="auto" w:fill="auto"/>
          </w:tcPr>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0 </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40</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80</w:t>
            </w:r>
          </w:p>
        </w:tc>
        <w:tc>
          <w:tcPr>
            <w:tcW w:w="1276"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160</w:t>
            </w:r>
          </w:p>
        </w:tc>
        <w:tc>
          <w:tcPr>
            <w:tcW w:w="1099"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320</w:t>
            </w:r>
          </w:p>
        </w:tc>
      </w:tr>
      <w:tr w:rsidR="005F37B9" w:rsidRPr="005F37B9" w:rsidTr="00AE748A">
        <w:tc>
          <w:tcPr>
            <w:tcW w:w="2660" w:type="dxa"/>
            <w:vMerge w:val="restart"/>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b/>
                <w:lang w:val="lt-LT"/>
              </w:rPr>
            </w:pPr>
            <w:r w:rsidRPr="005F37B9">
              <w:rPr>
                <w:rFonts w:ascii="Times New Roman" w:hAnsi="Times New Roman"/>
                <w:b/>
                <w:lang w:val="lt-LT"/>
              </w:rPr>
              <w:t>Amlodipinas (mg)</w:t>
            </w:r>
          </w:p>
        </w:tc>
        <w:tc>
          <w:tcPr>
            <w:tcW w:w="1417"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0 </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3,0</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5,5</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2,4</w:t>
            </w:r>
          </w:p>
        </w:tc>
        <w:tc>
          <w:tcPr>
            <w:tcW w:w="1276"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1,6</w:t>
            </w:r>
          </w:p>
        </w:tc>
        <w:tc>
          <w:tcPr>
            <w:tcW w:w="1099"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0,9</w:t>
            </w:r>
          </w:p>
        </w:tc>
      </w:tr>
      <w:tr w:rsidR="005F37B9" w:rsidRPr="005F37B9" w:rsidTr="00AE748A">
        <w:tc>
          <w:tcPr>
            <w:tcW w:w="2660" w:type="dxa"/>
            <w:vMerge/>
            <w:shd w:val="clear" w:color="auto" w:fill="auto"/>
          </w:tcPr>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tc>
        <w:tc>
          <w:tcPr>
            <w:tcW w:w="1417"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2,5 </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8,0</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2,3</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5,4</w:t>
            </w:r>
          </w:p>
        </w:tc>
        <w:tc>
          <w:tcPr>
            <w:tcW w:w="1276"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2,4</w:t>
            </w:r>
          </w:p>
        </w:tc>
        <w:tc>
          <w:tcPr>
            <w:tcW w:w="1099"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3,9</w:t>
            </w:r>
          </w:p>
        </w:tc>
      </w:tr>
      <w:tr w:rsidR="005F37B9" w:rsidRPr="005F37B9" w:rsidTr="00AE748A">
        <w:tc>
          <w:tcPr>
            <w:tcW w:w="2660" w:type="dxa"/>
            <w:vMerge/>
            <w:shd w:val="clear" w:color="auto" w:fill="auto"/>
          </w:tcPr>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tc>
        <w:tc>
          <w:tcPr>
            <w:tcW w:w="1417"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5 </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3,1</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4,8</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2,3</w:t>
            </w:r>
          </w:p>
        </w:tc>
        <w:tc>
          <w:tcPr>
            <w:tcW w:w="1276"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2,1</w:t>
            </w:r>
          </w:p>
        </w:tc>
        <w:tc>
          <w:tcPr>
            <w:tcW w:w="1099"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2,4</w:t>
            </w:r>
          </w:p>
        </w:tc>
      </w:tr>
      <w:tr w:rsidR="005F37B9" w:rsidRPr="005F37B9" w:rsidTr="00AE748A">
        <w:tc>
          <w:tcPr>
            <w:tcW w:w="2660" w:type="dxa"/>
            <w:vMerge/>
            <w:shd w:val="clear" w:color="auto" w:fill="auto"/>
          </w:tcPr>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tc>
        <w:tc>
          <w:tcPr>
            <w:tcW w:w="1417"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10 </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10,3</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NA</w:t>
            </w:r>
          </w:p>
        </w:tc>
        <w:tc>
          <w:tcPr>
            <w:tcW w:w="1134"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NA</w:t>
            </w:r>
          </w:p>
        </w:tc>
        <w:tc>
          <w:tcPr>
            <w:tcW w:w="1276"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9,0</w:t>
            </w:r>
          </w:p>
        </w:tc>
        <w:tc>
          <w:tcPr>
            <w:tcW w:w="1099"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9,5</w:t>
            </w:r>
          </w:p>
        </w:tc>
      </w:tr>
    </w:tbl>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r w:rsidRPr="005F37B9">
        <w:rPr>
          <w:rFonts w:ascii="Times New Roman" w:hAnsi="Times New Roman"/>
          <w:lang w:val="lt-LT"/>
        </w:rPr>
        <w:t>Pagrindinis periferinės edemos pasireiškimo dažnis buvo 5,1 %, panašiai vienodas visoms dozėms, gydant amlodipino ir valsartano deriniu.</w:t>
      </w: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jc w:val="both"/>
        <w:rPr>
          <w:rFonts w:ascii="Times New Roman" w:hAnsi="Times New Roman"/>
          <w:u w:val="single"/>
          <w:lang w:val="lt-LT"/>
        </w:rPr>
      </w:pPr>
      <w:r w:rsidRPr="005F37B9">
        <w:rPr>
          <w:rFonts w:ascii="Times New Roman" w:hAnsi="Times New Roman"/>
          <w:u w:val="single"/>
          <w:lang w:val="lt-LT"/>
        </w:rPr>
        <w:t>Papildoma informacija apie atskirus derinio komponentus</w:t>
      </w:r>
    </w:p>
    <w:p w:rsidR="005F37B9" w:rsidRPr="005F37B9" w:rsidRDefault="005F37B9" w:rsidP="005F37B9">
      <w:pPr>
        <w:autoSpaceDE w:val="0"/>
        <w:autoSpaceDN w:val="0"/>
        <w:adjustRightInd w:val="0"/>
        <w:spacing w:after="0" w:line="240" w:lineRule="auto"/>
        <w:contextualSpacing/>
        <w:jc w:val="both"/>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xml:space="preserve">Nepageidaujamos reakcijos, anksčiau pasireiškusios vartojant atskirus derinio komponentus (amlodipiną ar valsartaną), gali pasireikšti kaip nepageidaujamos reakcijos ir vartojant </w:t>
      </w:r>
      <w:r w:rsidRPr="005F37B9">
        <w:rPr>
          <w:rFonts w:ascii="Times New Roman" w:hAnsi="Times New Roman"/>
          <w:noProof/>
          <w:lang w:val="lt-LT"/>
        </w:rPr>
        <w:t>Sartesta</w:t>
      </w:r>
      <w:r w:rsidRPr="005F37B9">
        <w:rPr>
          <w:rFonts w:ascii="Times New Roman" w:hAnsi="Times New Roman"/>
          <w:lang w:val="lt-LT"/>
        </w:rPr>
        <w:t>, net tuomet, kai jų nebuvo stebėta klinikinių tyrimų metu arba vaistiniam preparatui patekus į rinką.</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b/>
          <w:lang w:val="lt-LT"/>
        </w:rPr>
      </w:pPr>
      <w:r w:rsidRPr="005F37B9">
        <w:rPr>
          <w:rFonts w:ascii="Times New Roman" w:hAnsi="Times New Roman"/>
          <w:b/>
          <w:lang w:val="lt-LT"/>
        </w:rPr>
        <w:t>Amlodipinas</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tbl>
      <w:tblPr>
        <w:tblW w:w="0" w:type="auto"/>
        <w:tblLook w:val="04A0" w:firstRow="1" w:lastRow="0" w:firstColumn="1" w:lastColumn="0" w:noHBand="0" w:noVBand="1"/>
      </w:tblPr>
      <w:tblGrid>
        <w:gridCol w:w="1840"/>
        <w:gridCol w:w="7230"/>
      </w:tblGrid>
      <w:tr w:rsidR="005F37B9" w:rsidRPr="005F37B9" w:rsidTr="00AE748A">
        <w:tc>
          <w:tcPr>
            <w:tcW w:w="195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i/>
                <w:lang w:val="lt-LT"/>
              </w:rPr>
            </w:pPr>
            <w:r w:rsidRPr="005F37B9">
              <w:rPr>
                <w:rFonts w:ascii="Times New Roman" w:hAnsi="Times New Roman"/>
                <w:i/>
                <w:lang w:val="lt-LT"/>
              </w:rPr>
              <w:t>Dažni</w:t>
            </w:r>
          </w:p>
        </w:tc>
        <w:tc>
          <w:tcPr>
            <w:tcW w:w="7903"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Somnolencija, svaigulys, palpitacijos, pilvo skausmas, pykinimas, kulkšnių patinimas.</w:t>
            </w:r>
          </w:p>
        </w:tc>
      </w:tr>
      <w:tr w:rsidR="005F37B9" w:rsidRPr="005F37B9" w:rsidTr="00AE748A">
        <w:tc>
          <w:tcPr>
            <w:tcW w:w="195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i/>
                <w:lang w:val="lt-LT"/>
              </w:rPr>
            </w:pPr>
            <w:r w:rsidRPr="005F37B9">
              <w:rPr>
                <w:rFonts w:ascii="Times New Roman" w:hAnsi="Times New Roman"/>
                <w:i/>
                <w:lang w:val="lt-LT"/>
              </w:rPr>
              <w:t>Nedažni</w:t>
            </w:r>
          </w:p>
        </w:tc>
        <w:tc>
          <w:tcPr>
            <w:tcW w:w="7903"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Nemiga, nuotaikos pokyčiai (įskaitant nerimą), depresija, drebulys, skonio pojūčio pokytis, apalpimas, hipestezija, regėjimo sutrikimas (įskaitant dvejinimąsi akyse), spengimas ausyse, hipotenzija, dusulys, rinitas, vėmimas, dispepsija, alopecija, raudonė, odos spalvos pokytis, prakaitavimo sustiprėjimas, niežėjimas, egzantema, mialgija, raumenų mėšlungis, skausmas, šlapinimosi sutrikimas, šlapinimosi padažnėjimas, impotencija, ginekomastija, krūtinės skausmas, negalavimas, kūno masės padidėjimas, kūno masės sumažėjimas.</w:t>
            </w:r>
          </w:p>
        </w:tc>
      </w:tr>
      <w:tr w:rsidR="005F37B9" w:rsidRPr="005F37B9" w:rsidTr="00AE748A">
        <w:tc>
          <w:tcPr>
            <w:tcW w:w="195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i/>
                <w:lang w:val="lt-LT"/>
              </w:rPr>
            </w:pPr>
            <w:r w:rsidRPr="005F37B9">
              <w:rPr>
                <w:rFonts w:ascii="Times New Roman" w:hAnsi="Times New Roman"/>
                <w:i/>
                <w:lang w:val="lt-LT"/>
              </w:rPr>
              <w:t>Reti</w:t>
            </w:r>
          </w:p>
        </w:tc>
        <w:tc>
          <w:tcPr>
            <w:tcW w:w="7903"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Konfūzija.</w:t>
            </w:r>
          </w:p>
        </w:tc>
      </w:tr>
      <w:tr w:rsidR="005F37B9" w:rsidRPr="005F37B9" w:rsidTr="00AE748A">
        <w:tc>
          <w:tcPr>
            <w:tcW w:w="195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i/>
                <w:lang w:val="lt-LT"/>
              </w:rPr>
            </w:pPr>
            <w:r w:rsidRPr="005F37B9">
              <w:rPr>
                <w:rFonts w:ascii="Times New Roman" w:hAnsi="Times New Roman"/>
                <w:i/>
                <w:lang w:val="lt-LT"/>
              </w:rPr>
              <w:t>Labai reti</w:t>
            </w:r>
          </w:p>
        </w:tc>
        <w:tc>
          <w:tcPr>
            <w:tcW w:w="7903"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Leukopenija, trombocitopenija, alerginės reakcijos, hiperglikemija, hipertonija, periferinė neuropatija, miokardo infarktas, aritmija (įskaitant bradikardiją, skilvelinę tachikardiją ir prieširdžių virpėjimą), vaskulitas, pankreatitas, gastritas, dantenų hiperplazija, hepatitas, gelta, kepenų fermentų suaktyvėjimas*, angioneurozinė edema, daugiaformė raudonė (</w:t>
            </w:r>
            <w:r w:rsidRPr="005F37B9">
              <w:rPr>
                <w:rFonts w:ascii="Times New Roman" w:hAnsi="Times New Roman"/>
                <w:i/>
                <w:lang w:val="lt-LT"/>
              </w:rPr>
              <w:t>erythema multiforme</w:t>
            </w:r>
            <w:r w:rsidRPr="005F37B9">
              <w:rPr>
                <w:rFonts w:ascii="Times New Roman" w:hAnsi="Times New Roman"/>
                <w:lang w:val="lt-LT"/>
              </w:rPr>
              <w:t>), dilgėlinė, eksfoliacinis dermatitas, Stivenso-Džonsono (</w:t>
            </w:r>
            <w:r w:rsidRPr="005F37B9">
              <w:rPr>
                <w:rFonts w:ascii="Times New Roman" w:hAnsi="Times New Roman"/>
                <w:i/>
                <w:lang w:val="lt-LT"/>
              </w:rPr>
              <w:t>Stevens-Johnson</w:t>
            </w:r>
            <w:r w:rsidRPr="005F37B9">
              <w:rPr>
                <w:rFonts w:ascii="Times New Roman" w:hAnsi="Times New Roman"/>
                <w:lang w:val="lt-LT"/>
              </w:rPr>
              <w:t>) sindromas, Kvinkės (</w:t>
            </w:r>
            <w:r w:rsidRPr="005F37B9">
              <w:rPr>
                <w:rFonts w:ascii="Times New Roman" w:hAnsi="Times New Roman"/>
                <w:i/>
                <w:lang w:val="lt-LT"/>
              </w:rPr>
              <w:t>Quincke</w:t>
            </w:r>
            <w:r w:rsidRPr="005F37B9">
              <w:rPr>
                <w:rFonts w:ascii="Times New Roman" w:hAnsi="Times New Roman"/>
                <w:lang w:val="lt-LT"/>
              </w:rPr>
              <w:t>) edema, padidėjęs jautrumas šviesai.</w:t>
            </w:r>
          </w:p>
        </w:tc>
      </w:tr>
    </w:tbl>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 Dažniausiai susijęs su cholestaze.</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Pavieniais atvejais buvo pranešta apie ekstrapiramidinį sindromą.</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b/>
          <w:lang w:val="lt-LT"/>
        </w:rPr>
      </w:pPr>
      <w:r w:rsidRPr="005F37B9">
        <w:rPr>
          <w:rFonts w:ascii="Times New Roman" w:hAnsi="Times New Roman"/>
          <w:b/>
          <w:lang w:val="lt-LT"/>
        </w:rPr>
        <w:t>Valsartanas</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tbl>
      <w:tblPr>
        <w:tblW w:w="0" w:type="auto"/>
        <w:tblLook w:val="04A0" w:firstRow="1" w:lastRow="0" w:firstColumn="1" w:lastColumn="0" w:noHBand="0" w:noVBand="1"/>
      </w:tblPr>
      <w:tblGrid>
        <w:gridCol w:w="1860"/>
        <w:gridCol w:w="7210"/>
      </w:tblGrid>
      <w:tr w:rsidR="005F37B9" w:rsidRPr="005F37B9" w:rsidTr="00AE748A">
        <w:tc>
          <w:tcPr>
            <w:tcW w:w="1951"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i/>
                <w:lang w:val="lt-LT"/>
              </w:rPr>
            </w:pPr>
            <w:r w:rsidRPr="005F37B9">
              <w:rPr>
                <w:rFonts w:ascii="Times New Roman" w:hAnsi="Times New Roman"/>
                <w:i/>
                <w:lang w:val="lt-LT"/>
              </w:rPr>
              <w:t>Dažnis nežinomas</w:t>
            </w:r>
          </w:p>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tc>
        <w:tc>
          <w:tcPr>
            <w:tcW w:w="7903" w:type="dxa"/>
            <w:shd w:val="clear" w:color="auto" w:fill="auto"/>
          </w:tcPr>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r w:rsidRPr="005F37B9">
              <w:rPr>
                <w:rFonts w:ascii="Times New Roman" w:hAnsi="Times New Roman"/>
                <w:lang w:val="lt-LT"/>
              </w:rPr>
              <w:t>Sumažėjusi hemoglobino koncentracija, sumažėjęs hematokritas, neutropenija, trombocitopenija, padidėjusi kalio koncentracija kraujo serume, padidėjusi kepenų funkcijos rodiklių koncentracija (įskaitant padidėjusį bilirubino kiekį kraujo serume), inkstų nepakankamumas ir inkstų funkcijos sutrikimas, padidėjusi kreatinino koncentracija kraujo serume, angioneurozinė edema, raumenų skausmas, vaskulitas, padidėjusio jautrumo reakcijos, įskaitant seruminę ligą.</w:t>
            </w:r>
          </w:p>
        </w:tc>
      </w:tr>
    </w:tbl>
    <w:p w:rsidR="005F37B9" w:rsidRPr="005F37B9" w:rsidRDefault="005F37B9" w:rsidP="005F37B9">
      <w:pPr>
        <w:autoSpaceDE w:val="0"/>
        <w:autoSpaceDN w:val="0"/>
        <w:adjustRightInd w:val="0"/>
        <w:spacing w:after="0" w:line="240" w:lineRule="auto"/>
        <w:contextualSpacing/>
        <w:rPr>
          <w:rFonts w:ascii="Times New Roman" w:hAnsi="Times New Roman"/>
          <w:lang w:val="lt-LT"/>
        </w:rPr>
      </w:pPr>
    </w:p>
    <w:p w:rsidR="005F37B9" w:rsidRPr="005F37B9" w:rsidRDefault="005F37B9" w:rsidP="005F37B9">
      <w:pPr>
        <w:autoSpaceDE w:val="0"/>
        <w:autoSpaceDN w:val="0"/>
        <w:adjustRightInd w:val="0"/>
        <w:spacing w:after="0" w:line="240" w:lineRule="auto"/>
        <w:contextualSpacing/>
        <w:rPr>
          <w:rFonts w:ascii="Times New Roman" w:hAnsi="Times New Roman"/>
          <w:u w:val="single"/>
          <w:lang w:val="lt-LT"/>
        </w:rPr>
      </w:pPr>
      <w:r w:rsidRPr="005F37B9">
        <w:rPr>
          <w:rFonts w:ascii="Times New Roman" w:hAnsi="Times New Roman"/>
          <w:noProof/>
          <w:u w:val="single"/>
          <w:lang w:val="lt-LT"/>
        </w:rPr>
        <w:t>Pranešimas apie įtariamas nepageidaujamas reakcijas</w:t>
      </w:r>
    </w:p>
    <w:p w:rsidR="005F37B9" w:rsidRPr="005F37B9" w:rsidRDefault="005F37B9" w:rsidP="005F37B9">
      <w:pPr>
        <w:autoSpaceDE w:val="0"/>
        <w:autoSpaceDN w:val="0"/>
        <w:adjustRightInd w:val="0"/>
        <w:spacing w:after="0" w:line="240" w:lineRule="auto"/>
        <w:contextualSpacing/>
        <w:rPr>
          <w:rFonts w:ascii="Times New Roman" w:hAnsi="Times New Roman"/>
          <w:noProof/>
          <w:lang w:val="lt-LT"/>
        </w:rPr>
      </w:pPr>
      <w:r w:rsidRPr="005F37B9">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5F37B9">
        <w:rPr>
          <w:rFonts w:ascii="Times New Roman" w:hAnsi="Times New Roman"/>
          <w:lang w:val="lt-LT"/>
        </w:rPr>
        <w:t xml:space="preserve"> </w:t>
      </w:r>
      <w:r w:rsidRPr="005F37B9">
        <w:rPr>
          <w:rFonts w:ascii="Times New Roman" w:hAnsi="Times New Roman"/>
          <w:noProof/>
          <w:lang w:val="lt-LT"/>
        </w:rPr>
        <w:t xml:space="preserve">Sveikatos priežiūros specialistai turi pranešti apie bet kokias įtariamas </w:t>
      </w:r>
      <w:r w:rsidRPr="005F37B9">
        <w:rPr>
          <w:rFonts w:ascii="Times New Roman" w:hAnsi="Times New Roman"/>
          <w:noProof/>
          <w:lang w:val="lt-LT"/>
        </w:rPr>
        <w:lastRenderedPageBreak/>
        <w:t>nepageidaujamas reakcijas, užpildę interneto svetainėje http://</w:t>
      </w:r>
      <w:hyperlink r:id="rId7" w:history="1">
        <w:r w:rsidRPr="005F37B9">
          <w:rPr>
            <w:rStyle w:val="Hipersaitas"/>
            <w:rFonts w:ascii="Times New Roman" w:eastAsia="SimSun" w:hAnsi="Times New Roman"/>
            <w:noProof/>
            <w:lang w:val="lt-LT"/>
          </w:rPr>
          <w:t>www.vvkt.lt</w:t>
        </w:r>
      </w:hyperlink>
      <w:r w:rsidRPr="005F37B9">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F37B9">
          <w:rPr>
            <w:rStyle w:val="Hipersaitas"/>
            <w:rFonts w:ascii="Times New Roman" w:eastAsia="SimSun" w:hAnsi="Times New Roman"/>
            <w:noProof/>
            <w:lang w:val="lt-LT"/>
          </w:rPr>
          <w:t>NepageidaujamaR@vvkt.lt</w:t>
        </w:r>
      </w:hyperlink>
      <w:r w:rsidRPr="005F37B9">
        <w:rPr>
          <w:rFonts w:ascii="Times New Roman" w:hAnsi="Times New Roman"/>
          <w:noProof/>
          <w:lang w:val="lt-LT"/>
        </w:rPr>
        <w:t xml:space="preserve">), per interneto svetainę (adresu </w:t>
      </w:r>
      <w:hyperlink r:id="rId9" w:history="1">
        <w:r w:rsidRPr="005F37B9">
          <w:rPr>
            <w:rStyle w:val="Hipersaitas"/>
            <w:rFonts w:ascii="Times New Roman" w:hAnsi="Times New Roman"/>
            <w:noProof/>
            <w:lang w:val="lt-LT"/>
          </w:rPr>
          <w:t>http://www.vvkt.lt</w:t>
        </w:r>
      </w:hyperlink>
      <w:r w:rsidRPr="005F37B9">
        <w:rPr>
          <w:rFonts w:ascii="Times New Roman" w:hAnsi="Times New Roman"/>
          <w:noProof/>
          <w:lang w:val="lt-LT"/>
        </w:rPr>
        <w:t xml:space="preserve">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4.9</w:t>
      </w:r>
      <w:r w:rsidRPr="005F37B9">
        <w:rPr>
          <w:rFonts w:ascii="Times New Roman" w:hAnsi="Times New Roman"/>
          <w:sz w:val="22"/>
          <w:szCs w:val="22"/>
          <w:lang w:val="lt-LT"/>
        </w:rPr>
        <w:tab/>
        <w:t>Perdozavimas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Simptomai</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Amlodipino ir valsartano derinio </w:t>
      </w:r>
      <w:r w:rsidRPr="005F37B9">
        <w:rPr>
          <w:rFonts w:ascii="Times New Roman" w:hAnsi="Times New Roman"/>
          <w:lang w:val="lt-LT"/>
        </w:rPr>
        <w:t>perdozavimo atvejų nebuvo. Svarbiausi valsartano perdozavimo simptomai gali būti ryški hipotenzija ir svaigulys. Perdozavus amlodipino gali labai išsiplėsti periferinės kraujagyslės ir pasireikšti refleksinė tachikardija. Registruota ryškios ir potencialiai ilgalaikės sisteminės hipotenzijos, galinčios sąlygoti šoką ar mirtį, atvejų.</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Gydymas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Jei vaistinio preparato išgerta neseniai, spręsti dėl vėmimo sukėlimo ar skrandžio plovimo. Tyrimai su sveikais savanoriais parodė, kad iškart ar praėjus ne daugiau kaip dviem valandoms po amlodipino pavartojimo išgerta aktyvintoji anglis reikšmingai sumažina vaistinio preparato absorbcijos greitį. Jei dėl </w:t>
      </w:r>
      <w:r w:rsidRPr="005F37B9">
        <w:rPr>
          <w:rFonts w:ascii="Times New Roman" w:hAnsi="Times New Roman"/>
          <w:noProof/>
          <w:lang w:val="lt-LT"/>
        </w:rPr>
        <w:t xml:space="preserve">Sartesta </w:t>
      </w:r>
      <w:r w:rsidRPr="005F37B9">
        <w:rPr>
          <w:rFonts w:ascii="Times New Roman" w:hAnsi="Times New Roman"/>
          <w:lang w:val="lt-LT"/>
        </w:rPr>
        <w:t>perdozavimo pasireiškė klinikai reikšminga hipotenzija,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preparatai, jei jiems vartoti nėra kontraindikacijų.</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Poveikiui, atsiradusiam dėl kalcio kanalų blokados, šalinti gali būti naudinga į veną švirkšti kalcio gliukonato.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Nei valsartanas, nei amlodipinas neturėtų būti pašalinami hemodializės metu.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5.</w:t>
      </w:r>
      <w:r w:rsidRPr="005F37B9">
        <w:rPr>
          <w:rFonts w:ascii="Times New Roman" w:hAnsi="Times New Roman"/>
          <w:sz w:val="22"/>
          <w:szCs w:val="22"/>
          <w:lang w:val="lt-LT"/>
        </w:rPr>
        <w:tab/>
        <w:t>FARMAKOLOGINĖS SAVYBĖS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5.1</w:t>
      </w:r>
      <w:r w:rsidRPr="005F37B9">
        <w:rPr>
          <w:rFonts w:ascii="Times New Roman" w:hAnsi="Times New Roman"/>
          <w:bCs w:val="0"/>
          <w:sz w:val="22"/>
          <w:szCs w:val="22"/>
          <w:lang w:val="lt-LT"/>
        </w:rPr>
        <w:t xml:space="preserve"> </w:t>
      </w:r>
      <w:r w:rsidRPr="005F37B9">
        <w:rPr>
          <w:rFonts w:ascii="Times New Roman" w:hAnsi="Times New Roman"/>
          <w:sz w:val="22"/>
          <w:szCs w:val="22"/>
          <w:lang w:val="lt-LT"/>
        </w:rPr>
        <w:tab/>
        <w:t>Farmakodinaminės savybės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Farmakoterapinė grupė – </w:t>
      </w:r>
      <w:r w:rsidRPr="005F37B9">
        <w:rPr>
          <w:rFonts w:ascii="Times New Roman" w:hAnsi="Times New Roman"/>
          <w:lang w:val="lt-LT"/>
        </w:rPr>
        <w:t>vaistiniai preparatai, veikiantys renino ir angiotenzino sistemą; angiotenzino II antagonistai, deriniai; angiotenzino II antagonistai ir kalcio kanalų blokatoriai</w:t>
      </w:r>
      <w:r w:rsidRPr="005F37B9">
        <w:rPr>
          <w:rFonts w:ascii="Times New Roman" w:hAnsi="Times New Roman"/>
          <w:noProof/>
          <w:lang w:val="lt-LT"/>
        </w:rPr>
        <w:t xml:space="preserve">, ATC kodas – </w:t>
      </w:r>
      <w:r w:rsidRPr="005F37B9">
        <w:rPr>
          <w:rFonts w:ascii="Times New Roman" w:hAnsi="Times New Roman"/>
          <w:lang w:val="lt-LT"/>
        </w:rPr>
        <w:t>C09DB01.</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sudėtyje yra du antihipertenziniai junginiai, kurių veikimo mechanizmai papildo vienas kitą mažinant kraujo spaudimą pirmine hipertenzija sergantiems pacientams: amlodipinas priklauso kalcio kanalų blokatorių klasei, o valsartanas - angiotenzino II antagonistų klasei. Kartu vartojant šias medžiagas, jų antihipertenzinis poveikis sumuojasi, todėl kraujospūdis mažėja labiau, nei vartojant vieną kurį nors iš šių komponentų atskirai.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Amlodipinas ir 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Amlodipino ir valsartano derinio terapinės dozės sukelia nuo dozės priklausomą, vienas kitą papildantį antihiperenzinį poveikį. Vienkartinės derinio dozės sukeltas antihipertenzinis poveikis išliko 24 valandas.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Placebu kontroliuojami klinikiniai tyrimai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Dviejų placebu kontroliuojamų klinikinių tyrimų metu amplodipino ir valsartano derinio</w:t>
      </w:r>
      <w:r w:rsidRPr="005F37B9">
        <w:rPr>
          <w:rFonts w:ascii="Times New Roman" w:hAnsi="Times New Roman"/>
          <w:noProof/>
          <w:lang w:val="lt-LT"/>
        </w:rPr>
        <w:t xml:space="preserve"> </w:t>
      </w:r>
      <w:r w:rsidRPr="005F37B9">
        <w:rPr>
          <w:rFonts w:ascii="Times New Roman" w:hAnsi="Times New Roman"/>
          <w:lang w:val="lt-LT"/>
        </w:rPr>
        <w:t>vieną kartą per parą vartojo daugiau kaip 1400 hipertenzija sergančių pacientų. Tyrimuose dalyvavo suaugę pacientai, kurie sirgo lengva  ar vidutinio sunkumo nekomplikuota pirmine hipertenzija (vidutinis diastolinis kraujospūdis sėdint ≥ 95 ir &lt; 110 mmHg). Tyrimuose nedalyvavo pacientai, kuriems buvo didelė kardiovaskulinė rizika – širdies nepakankamumas, I tipo cukrinis diabetas ar blogai kontroliuojamas II tipo cukrinis diabetas, per paskutinius metus buvęs miokardo infarktas ar insultas.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Veikliuoju preparatu kontroliuojami klinikiniai tyrimai, įtraukiant pacientus, kuriems monoterapija buvo neveiksminga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Daugiacentrinis, randomizuotas, dvigubai aklas, veikliuoju preparatu kontroliuojamas, paralelinių grupių tyrimas parodė, kad pacientų populiacijoje, kuriems anksčiau pakankamo poveikio nesukėlė gydymas 160 mg valsartano, kraujospūdis normalizavosi (tyrimo pabaigoje diastolinis kraujospūdis sėdint &lt; 90 mmHg) 75 % pacientų, vartojusių 10 mg amlodipino ir 160 mg valsartano, bei 62 % pacientų, vartojusių 5 mg amlodipino ir 160 mg valsartano, lyginant su 53 % pacientų, kurie ir toliau vartojo 160 mg valsartano. Papildomai paskyrus 10 mg ir 5 mg amlodipino, sistolinis/diastolinis kraujospūdis papildomai sumažėjo atitinkamai 6,0/4,8 mmHg ir 3,9/2,9 mmHg, lyginant su pacientais, kurie ir toliau vartojo tik 160 mg valsartano.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Daugiacentrinis, randomizuotas, dvigubai aklas, veikliuoju preparatu kontroliuojamas, paralelinių grupių tyrimas parodė, kad pacientų populiacijoje, kuriems anksčiau pakankamo poveikio nesukėlė gydymas 10 mg amlodipino, kraujospūdis normalizavosi (tyrimo pabaigoje diastolinis kraujospūdis sėdint &lt; 90 mmHg) 78 % pacientų, vartojusių 10 mg amlodipino ir 160 mg valsartano, lyginant su 67 % pacientų, kurie ir toliau vartojo 10 mg amlodipino. Papildomai paskyrus 160 mg valsartano, sistolinis/diastolinis kraujospūdis papildomai sumažėjo 2,9/2,1 mmHg, lyginant su pacientais, kurie ir toliau vartojo tik 10 mg amlodipino.</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Amplodipino ir valsartano derinys </w:t>
      </w:r>
      <w:r w:rsidRPr="005F37B9">
        <w:rPr>
          <w:rFonts w:ascii="Times New Roman" w:hAnsi="Times New Roman"/>
          <w:lang w:val="lt-LT"/>
        </w:rPr>
        <w:t>taip pat buvo tiriamas veikliuoju preparatu kontroliuojamame tyrime, kuriame dalyvavo 130 hipertenzija sirgusių pacientų, kurių vidutinis diastolinis kraujospūdis sėdint buvo ≥ 110 mmHg ir &lt; 120 mmHg. Šiame tyrime (pradinis kraujospūdis buvo 171/113 mmHg) derinio</w:t>
      </w:r>
      <w:r w:rsidRPr="005F37B9">
        <w:rPr>
          <w:rFonts w:ascii="Times New Roman" w:hAnsi="Times New Roman"/>
          <w:noProof/>
          <w:lang w:val="lt-LT"/>
        </w:rPr>
        <w:t xml:space="preserve"> </w:t>
      </w:r>
      <w:r w:rsidRPr="005F37B9">
        <w:rPr>
          <w:rFonts w:ascii="Times New Roman" w:hAnsi="Times New Roman"/>
          <w:lang w:val="lt-LT"/>
        </w:rPr>
        <w:t>5 mg/160 mg dozė, kuri buvo laipsniškai didinta iki 10 mg/160 mg dozės, kraujospūdį sėdint sumažino 36/29 mmHg, lyginant su 32/28 mmHg sumažėjimu, kurį sukėlė lizinoprilio/hidrochlorotiazido 10 mg/12,5 mg dozė, kuri buvo laipsniškai didinta iki 20 mg/12,5 mg.</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Dviejų ilgalaikių stebėjimo tyrimų metu </w:t>
      </w:r>
      <w:r w:rsidRPr="005F37B9">
        <w:rPr>
          <w:rFonts w:ascii="Times New Roman" w:hAnsi="Times New Roman"/>
          <w:noProof/>
          <w:lang w:val="lt-LT"/>
        </w:rPr>
        <w:t xml:space="preserve">amplodipino ir valsartano derinio </w:t>
      </w:r>
      <w:r w:rsidRPr="005F37B9">
        <w:rPr>
          <w:rFonts w:ascii="Times New Roman" w:hAnsi="Times New Roman"/>
          <w:lang w:val="lt-LT"/>
        </w:rPr>
        <w:t xml:space="preserve">sukeliamas poveikis išliko nepakitęs daugiau kaip metus. Staigus </w:t>
      </w:r>
      <w:r w:rsidRPr="005F37B9">
        <w:rPr>
          <w:rFonts w:ascii="Times New Roman" w:hAnsi="Times New Roman"/>
          <w:noProof/>
          <w:lang w:val="lt-LT"/>
        </w:rPr>
        <w:t xml:space="preserve">derinio </w:t>
      </w:r>
      <w:r w:rsidRPr="005F37B9">
        <w:rPr>
          <w:rFonts w:ascii="Times New Roman" w:hAnsi="Times New Roman"/>
          <w:lang w:val="lt-LT"/>
        </w:rPr>
        <w:t>vartojimo nutraukimas nesukėlė greito kraujospūdžio didėjimo.</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Amžius, lytis, rasė ar kūno masės indeksas (≥ 30 kg/m</w:t>
      </w:r>
      <w:r w:rsidRPr="005F37B9">
        <w:rPr>
          <w:rFonts w:ascii="Times New Roman" w:hAnsi="Times New Roman"/>
          <w:vertAlign w:val="superscript"/>
          <w:lang w:val="lt-LT"/>
        </w:rPr>
        <w:t>2</w:t>
      </w:r>
      <w:r w:rsidRPr="005F37B9">
        <w:rPr>
          <w:rFonts w:ascii="Times New Roman" w:hAnsi="Times New Roman"/>
          <w:lang w:val="lt-LT"/>
        </w:rPr>
        <w:t>, &lt; 30 kg/m</w:t>
      </w:r>
      <w:r w:rsidRPr="005F37B9">
        <w:rPr>
          <w:rFonts w:ascii="Times New Roman" w:hAnsi="Times New Roman"/>
          <w:vertAlign w:val="superscript"/>
          <w:lang w:val="lt-LT"/>
        </w:rPr>
        <w:t>2</w:t>
      </w:r>
      <w:r w:rsidRPr="005F37B9">
        <w:rPr>
          <w:rFonts w:ascii="Times New Roman" w:hAnsi="Times New Roman"/>
          <w:lang w:val="lt-LT"/>
        </w:rPr>
        <w:t xml:space="preserve">) </w:t>
      </w:r>
      <w:r w:rsidRPr="005F37B9">
        <w:rPr>
          <w:rFonts w:ascii="Times New Roman" w:hAnsi="Times New Roman"/>
          <w:noProof/>
          <w:lang w:val="lt-LT"/>
        </w:rPr>
        <w:t xml:space="preserve">amplodipino ir valsartano derinio </w:t>
      </w:r>
      <w:r w:rsidRPr="005F37B9">
        <w:rPr>
          <w:rFonts w:ascii="Times New Roman" w:hAnsi="Times New Roman"/>
          <w:lang w:val="lt-LT"/>
        </w:rPr>
        <w:t>poveikio neįtakoja.</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 xml:space="preserve">Amplodipino ir valsartano derinys </w:t>
      </w:r>
      <w:r w:rsidRPr="005F37B9">
        <w:rPr>
          <w:rFonts w:ascii="Times New Roman" w:hAnsi="Times New Roman"/>
          <w:lang w:val="lt-LT"/>
        </w:rPr>
        <w:t>buvo tirtas tik hipertenzija sergančių pacientų populiacijoje. Valsartano tyrime dalyvavo miokardo infarktą patyrę pacientai ir sergantieji širdies nepakankamumu. Amlodipino tyrime dalyvavo sergantieji stabilia krūtinės angina, vazospazmine krūtinės angina ir angiografijos metu patvirtint koronarinių arterijų liga.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Amlodipinas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lastRenderedPageBreak/>
        <w:t xml:space="preserve">Sartesta </w:t>
      </w:r>
      <w:r w:rsidRPr="005F37B9">
        <w:rPr>
          <w:rFonts w:ascii="Times New Roman" w:hAnsi="Times New Roman"/>
          <w:lang w:val="lt-LT"/>
        </w:rPr>
        <w:t>komponentas – amlodipinas - slopina kalcio jonų patekimą per membraną į širdies raumens bei kraujagyslių lygiųjų raumenų ląsteles. Antihipertenzinis poveikis pasireiškia dėl to, kad vaistinis preparatas tiesiogiai atpalaiduoja lygiuosius kraujagyslių raumenis, todėl sumažėja periferinių kraujagyslių pasipriešinimas ir kraujospūdis. Eksperimentų duomenys rodo, kad amlodipinas jungiasi ir prie dihidropiridinų, ir prie ne dihidropiridinų jungimosi vietų. Širdies raumens ir kraujagyslių lygiųjų raumenų ląstelių susitraukimas priklauso nuo ekstraceliulinio kalcio jonų srautų į šias ląsteles per specifinius jonų kanalus.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Hipertenzija sergantiems ligoniams terapinės amlodipino dozės plečia kraujagysles, todėl mažėja kraujospūdis tiek gulint, tiek stovint. Nuolat vartojant vaistinio preparato, šis kraujospūdžio sumažėjimas reikšmingai nedidina širdies susitraukimų dažnio ar katecholaminų koncentracijos kraujo plazmoje.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Koncentracija kraujo plazmoje koreliuoja su sukeliamu poveikiu ir jauniems, ir senyviems pacientams.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Hipertenzija sergantiems pacientams, kurių inkstų funkcija normali, terapinės amlodipino dozės mažino inkstų kraujagyslių pasipriešinimą ir didino glomerulų filtracijos greitį bei efektyvų pro inkstus pratekančios plazmos tūrį, bet neįtakojo filtracijos frakcijos ar proteinurijos.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Kaip ir vartojant kitų kalcio kanalų blokatorių, hemodinaminių širdies funkcijos tyrimų ramybės būklėje ar krūvio metu (arba einant) duomenys parodė, kad pacientams, kurių kairiojo skilvelio funkcija yra normali, amlodipinas nedaug didino širdies indeksą, reikšmingai neveikdamas dP/dt ar kairiojo skilvelio galutinio diastolinio slėgio ar tūrio. Hemodinaminių tyrimų metu terapinės amlodipino dozės nesukėlė neigiamo inotropinio poveikio sveikiems gyvūnams ar žmonėms, net tada, kai žmonėms jo buvo skiriama kartu su beta adrenoblokatoriais.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Amlodipinas neveikia sinoatrialinio mazgo funkcijos ar atrioventrikulinio laidumo sveikiems gyvūnams ar žmonėms. Klinikinių tyrimų metu, kai amlodipiną kartu su beta adrenoblokatoriais vartojo hipertenzija ar krūtinės angina sergantys pacientai, nepageidaujamo poveikio elektrokardiografiniams rodikliams nebuvo registruota.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lang w:val="lt-LT"/>
        </w:rPr>
      </w:pPr>
      <w:r w:rsidRPr="005F37B9">
        <w:rPr>
          <w:rFonts w:ascii="Times New Roman" w:hAnsi="Times New Roman"/>
          <w:i/>
          <w:lang w:val="lt-LT"/>
        </w:rPr>
        <w:t>Vartojimas hipertenzija sergantiems pacientams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Buvo atliktas randomizuotas, dvigubai aklas sergamumo ir mirtingumo tyrimas, pavadintas antihipertenzinio ir lipidų kiekį mažinančio gydymo klinikiniu tyrimu siekiant apsaugoti nuo miokardo infarkto pasireiškimo (angl. </w:t>
      </w:r>
      <w:r w:rsidRPr="005F37B9">
        <w:rPr>
          <w:rFonts w:ascii="Times New Roman" w:hAnsi="Times New Roman"/>
          <w:i/>
          <w:lang w:val="lt-LT"/>
        </w:rPr>
        <w:t>Antihypertensive and Lipid-Lowering treatment to prevent Heart Attack Trial</w:t>
      </w:r>
      <w:r w:rsidRPr="005F37B9">
        <w:rPr>
          <w:rFonts w:ascii="Times New Roman" w:hAnsi="Times New Roman"/>
          <w:lang w:val="lt-LT"/>
        </w:rPr>
        <w:t xml:space="preserve"> – ALLHAT); šio tyrimo metu buvo lyginamas naujesnių vaistinių preparatų amlodipino 2,5</w:t>
      </w:r>
      <w:r w:rsidRPr="005F37B9">
        <w:rPr>
          <w:rFonts w:ascii="Times New Roman" w:hAnsi="Times New Roman"/>
          <w:lang w:val="lt-LT"/>
        </w:rPr>
        <w:noBreakHyphen/>
        <w:t>10 mg per parą (kalcio kanalų blokatoriaus) arba lizinoprilio 10</w:t>
      </w:r>
      <w:r w:rsidRPr="005F37B9">
        <w:rPr>
          <w:rFonts w:ascii="Times New Roman" w:hAnsi="Times New Roman"/>
          <w:lang w:val="lt-LT"/>
        </w:rPr>
        <w:noBreakHyphen/>
        <w:t>40 mg per parą (AKF inhibitoriaus) poveikis, jų skiriant kaip pirmojo pasirinkimo vaistinių preparatų, su tiazidinių diuretikų grupės preparato chlortalidono 12,5</w:t>
      </w:r>
      <w:r w:rsidRPr="005F37B9">
        <w:rPr>
          <w:rFonts w:ascii="Times New Roman" w:hAnsi="Times New Roman"/>
          <w:lang w:val="lt-LT"/>
        </w:rPr>
        <w:noBreakHyphen/>
        <w:t>25 mg per parą poveikiu nesunkia ar vidutinio sunkumo hipertenzija sergantiems pacientams.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Į tyrimą atsitiktiniu būdu buvo įtraukti iš viso 33357 hipertenzija sergantys pacientai, kurie buvo 55 metų amžiaus ar vyresni; pacientai buvo stebimi vidutiniškai 4,9 metų. Pacientams buvo nustatytas mažiausiai vienas papildomas koronarinės širdies ligos rizikos veiksnys, įskaitant šiuos: anksčiau pasireiškęs miokardo infarktas ar insultas (prieš &gt; 6 mėnesius iki įtraukimo į tyrimą) arba patvirtinta kitokia aterosklerozinė širdies ir kraujagyslių liga (iš viso nustatyta 51,5 % pacientų), 2-ojo tipo cukrinis diabetas (36,1 %), didelio tankio lipoproteinų cholesterolio koncentracija &lt; 35 mg/dl arba </w:t>
      </w:r>
      <w:r w:rsidRPr="005F37B9">
        <w:rPr>
          <w:rFonts w:ascii="Times New Roman" w:hAnsi="Times New Roman"/>
          <w:lang w:val="lt-LT"/>
        </w:rPr>
        <w:lastRenderedPageBreak/>
        <w:t>&lt; 0,906 mmol/l (11,6 %), atlikus elektrokardiografiją ar echokardiografiją nustatyta kairiojo skilvelio hipertrofija (20,9 %), esamas rūkymas (21,9 %).</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Pagrindinė tyrimo vertinamoji baigtis buvo sudėtinis mirtį lėmusios koronarinės širdies ligos ir mirties nesukėlusio miokardo infarkto pasireiškimo rodiklis. Reikšmingų pagrindinės vertinamosios baigties skirtumų amlodipino arba chlortalidono vartojusių pacientų grupėse nenustatyta: rizikos santykis (RS) 0,98; 95 % PI (0,90</w:t>
      </w:r>
      <w:r w:rsidRPr="005F37B9">
        <w:rPr>
          <w:rFonts w:ascii="Times New Roman" w:hAnsi="Times New Roman"/>
          <w:lang w:val="lt-LT"/>
        </w:rPr>
        <w:noBreakHyphen/>
        <w:t>1,07); p = 0,65. Apskaičiavus antrines vertinamąsias baigtis, širdies nepakankamumo pasireiškimo dažnis (sudėtinio širdies ir kraujagyslių vertinamosios baigties rodiklio dalis) buvo reikšmingai didesnis amlodipino vartojusių pacientų grupėje, lyginant su chlortalidono vartojusiųjų grupe (atitinkamai 10,2 % ir 7,7 %; RS 1,38; 95 % PI [1,25</w:t>
      </w:r>
      <w:r w:rsidRPr="005F37B9">
        <w:rPr>
          <w:rFonts w:ascii="Times New Roman" w:hAnsi="Times New Roman"/>
          <w:lang w:val="lt-LT"/>
        </w:rPr>
        <w:noBreakHyphen/>
        <w:t>1,52]; p &lt; 0,001). Tačiau reikšmingų skirtumų vertinant mirtingumo dėl bet kokios priežasties rodiklius amlodipino arba chlortalidono vartojusių pacientų grupėse nenustatyta: RS 0,96; 95 % PI [0,89</w:t>
      </w:r>
      <w:r w:rsidRPr="005F37B9">
        <w:rPr>
          <w:rFonts w:ascii="Times New Roman" w:hAnsi="Times New Roman"/>
          <w:lang w:val="lt-LT"/>
        </w:rPr>
        <w:noBreakHyphen/>
        <w:t>1,02]; p = 0,20.</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Valsartanas yra veiklus išgertas. Jis stipriai ir specifiškai blokuoja angiotenzinui II jautrius receptorius.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Preparatas selektyviai veikia AT</w:t>
      </w:r>
      <w:r w:rsidRPr="005F37B9">
        <w:rPr>
          <w:rFonts w:ascii="Times New Roman" w:hAnsi="Times New Roman"/>
          <w:vertAlign w:val="subscript"/>
          <w:lang w:val="lt-LT"/>
        </w:rPr>
        <w:t>1</w:t>
      </w:r>
      <w:r w:rsidRPr="005F37B9">
        <w:rPr>
          <w:rFonts w:ascii="Times New Roman" w:hAnsi="Times New Roman"/>
          <w:lang w:val="lt-LT"/>
        </w:rPr>
        <w:t xml:space="preserve"> receptorius, nuo kurių priklauso angiotenzino II sukeliamas poveikis. Valsartanu užblokavus AT</w:t>
      </w:r>
      <w:r w:rsidRPr="005F37B9">
        <w:rPr>
          <w:rFonts w:ascii="Times New Roman" w:hAnsi="Times New Roman"/>
          <w:vertAlign w:val="subscript"/>
          <w:lang w:val="lt-LT"/>
        </w:rPr>
        <w:t>1</w:t>
      </w:r>
      <w:r w:rsidRPr="005F37B9">
        <w:rPr>
          <w:rFonts w:ascii="Times New Roman" w:hAnsi="Times New Roman"/>
          <w:lang w:val="lt-LT"/>
        </w:rPr>
        <w:t xml:space="preserve"> receptorius, kraujo plazmoje gali padaugėti angiotenzino II, kuris gali stimuliuoti neužblokuotus AT</w:t>
      </w:r>
      <w:r w:rsidRPr="005F37B9">
        <w:rPr>
          <w:rFonts w:ascii="Times New Roman" w:hAnsi="Times New Roman"/>
          <w:vertAlign w:val="subscript"/>
          <w:lang w:val="lt-LT"/>
        </w:rPr>
        <w:t>2</w:t>
      </w:r>
      <w:r w:rsidRPr="005F37B9">
        <w:rPr>
          <w:rFonts w:ascii="Times New Roman" w:hAnsi="Times New Roman"/>
          <w:lang w:val="lt-LT"/>
        </w:rPr>
        <w:t xml:space="preserve"> receptorius. Juos stimuliuojant, sukeliamas priešingas poveikis nei pasireiškiantis, stimuliuojant AT</w:t>
      </w:r>
      <w:r w:rsidRPr="005F37B9">
        <w:rPr>
          <w:rFonts w:ascii="Times New Roman" w:hAnsi="Times New Roman"/>
          <w:vertAlign w:val="subscript"/>
          <w:lang w:val="lt-LT"/>
        </w:rPr>
        <w:t>1</w:t>
      </w:r>
      <w:r w:rsidRPr="005F37B9">
        <w:rPr>
          <w:rFonts w:ascii="Times New Roman" w:hAnsi="Times New Roman"/>
          <w:lang w:val="lt-LT"/>
        </w:rPr>
        <w:t xml:space="preserve"> receptorius. Valsartanas AT</w:t>
      </w:r>
      <w:r w:rsidRPr="005F37B9">
        <w:rPr>
          <w:rFonts w:ascii="Times New Roman" w:hAnsi="Times New Roman"/>
          <w:vertAlign w:val="subscript"/>
          <w:lang w:val="lt-LT"/>
        </w:rPr>
        <w:t>1</w:t>
      </w:r>
      <w:r w:rsidRPr="005F37B9">
        <w:rPr>
          <w:rFonts w:ascii="Times New Roman" w:hAnsi="Times New Roman"/>
          <w:lang w:val="lt-LT"/>
        </w:rPr>
        <w:t xml:space="preserve"> receptorių kaip dalinis agonistas neveikia, AT</w:t>
      </w:r>
      <w:r w:rsidRPr="005F37B9">
        <w:rPr>
          <w:rFonts w:ascii="Times New Roman" w:hAnsi="Times New Roman"/>
          <w:vertAlign w:val="subscript"/>
          <w:lang w:val="lt-LT"/>
        </w:rPr>
        <w:t>1</w:t>
      </w:r>
      <w:r w:rsidRPr="005F37B9">
        <w:rPr>
          <w:rFonts w:ascii="Times New Roman" w:hAnsi="Times New Roman"/>
          <w:lang w:val="lt-LT"/>
        </w:rPr>
        <w:t xml:space="preserve"> receptoriams jo afinitetas yra daug (maždaug 20000 kartų) didesnis negu AT</w:t>
      </w:r>
      <w:r w:rsidRPr="005F37B9">
        <w:rPr>
          <w:rFonts w:ascii="Times New Roman" w:hAnsi="Times New Roman"/>
          <w:vertAlign w:val="subscript"/>
          <w:lang w:val="lt-LT"/>
        </w:rPr>
        <w:t>2</w:t>
      </w:r>
      <w:r w:rsidRPr="005F37B9">
        <w:rPr>
          <w:rFonts w:ascii="Times New Roman" w:hAnsi="Times New Roman"/>
          <w:lang w:val="lt-LT"/>
        </w:rPr>
        <w:t xml:space="preserve"> receptoriams.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AKF, dar vadinamo kinaze II, kuris angiotenziną I verčia angiotenzinu II bei ardo bradikininą, valsartanas neslopina. Kadangi angiotenzino II antagonistai neveikia AKF ir neaktyvuoja bradikinino ar substancijos P, jie neturėtų sukelti kosulio. Klinikinių tyrimų metu valsartano poveikis buvo lyginamas su AKF inhibitorių sukeliamu poveikiu. Gauti rezultatai rodo, kad valsartano vartojantiems pacientams sausas kosulys pasireiškia daug rečiau (p &lt; 0,05), negu gydomiems AKF inhibitoriais (atitinkamai 2,6 % ir 7,9 %). Klinikinių tyrimų metu iš valsartano vartojusių ligonių, kuriems anksčiau AKF inhibitoriai buvo sukėlę sausą kosulį, kosulys prasidėjo 19,5 % vartojusių valsartaną ir 19 % vartojusių tiazidinių diuretikų, lyginant su 68,5 % vartojusių AKF inhibitorių (p &lt; 0,05). Valsartanas prie kitiems hormonams jautrių receptorių arba jonų srovės kanalų, darančių svarbią įtaką širdies ir kraujagyslių funkcijos reguliavimui, nesijungia ir jų neblokuoja.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Hipertenzija sergantiems ligoniams valsartanas mažina kraujospūdį, tačiau pulso dažniui įtakos nedaro.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Daugumai pacientų išgėrus vienkartinę dozę, antihipertenzinis poveikis pasireiškia per 2 valandas, labiausiai kraujospūdis mažėja per 4</w:t>
      </w:r>
      <w:r w:rsidRPr="005F37B9">
        <w:rPr>
          <w:rFonts w:ascii="Times New Roman" w:hAnsi="Times New Roman"/>
          <w:lang w:val="lt-LT"/>
        </w:rPr>
        <w:noBreakHyphen/>
        <w:t>6 valandas. Antihipertenzinis poveikis trunka 24 valandas nuo išgėrimo. Vartojant kartotines bet kokio dydžio rekomenduojamas dozes, kraujospūdis labiausiai sumažėja paprastai per 2</w:t>
      </w:r>
      <w:r w:rsidRPr="005F37B9">
        <w:rPr>
          <w:rFonts w:ascii="Times New Roman" w:hAnsi="Times New Roman"/>
          <w:lang w:val="lt-LT"/>
        </w:rPr>
        <w:noBreakHyphen/>
        <w:t>4 savaites, toks poveikis išlieka ilgalaikio gydymo metu. Valsartano vartojimą nutraukus staiga, staigaus kraujospūdžio padidėjimo ar kitokių nepageidaujamų reiškinių neatsiranda.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Kiti preparatai: dvigubas renino, angiotenzino ir aldosterono sistemos (RAAS) nuslopinimas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Dviem dideliais atsitiktinės atrankos, kontroliuojamais tyrimais (ONTARGET (angl. </w:t>
      </w:r>
      <w:r w:rsidRPr="005F37B9">
        <w:rPr>
          <w:rFonts w:ascii="Times New Roman" w:hAnsi="Times New Roman"/>
          <w:i/>
          <w:lang w:val="lt-LT"/>
        </w:rPr>
        <w:t xml:space="preserve">„Ongoing Telmisartan Alone and in combination with Ramipril Global Endpoint </w:t>
      </w:r>
      <w:r w:rsidRPr="005F37B9">
        <w:rPr>
          <w:rFonts w:ascii="Times New Roman" w:hAnsi="Times New Roman"/>
          <w:i/>
          <w:lang w:val="lt-LT"/>
        </w:rPr>
        <w:lastRenderedPageBreak/>
        <w:t>Trial“</w:t>
      </w:r>
      <w:r w:rsidRPr="005F37B9">
        <w:rPr>
          <w:rFonts w:ascii="Times New Roman" w:hAnsi="Times New Roman"/>
          <w:lang w:val="lt-LT"/>
        </w:rPr>
        <w:t xml:space="preserve">) ir VA NEPHRON-D (angl. </w:t>
      </w:r>
      <w:r w:rsidRPr="005F37B9">
        <w:rPr>
          <w:rFonts w:ascii="Times New Roman" w:hAnsi="Times New Roman"/>
          <w:i/>
          <w:lang w:val="lt-LT"/>
        </w:rPr>
        <w:t>„The Veterans Affairs Nephropathy in Diabetes“</w:t>
      </w:r>
      <w:r w:rsidRPr="005F37B9">
        <w:rPr>
          <w:rFonts w:ascii="Times New Roman" w:hAnsi="Times New Roman"/>
          <w:lang w:val="lt-LT"/>
        </w:rPr>
        <w:t>)) buvo ištirtas AKF inhibitoriaus ir AIIRB derinio vartojimas.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AIIRB.</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Todėl pacientams, sergantiems diabetine nefropatija, negalima kartu vartoti AKF inhibitorių ir AIIRB (žr. 4.4 skyrių).</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ALTITUDE (angl. </w:t>
      </w:r>
      <w:r w:rsidRPr="005F37B9">
        <w:rPr>
          <w:rFonts w:ascii="Times New Roman" w:hAnsi="Times New Roman"/>
          <w:i/>
          <w:lang w:val="lt-LT"/>
        </w:rPr>
        <w:t>„Aliskiren Trial in Type 2 Diabetes Using Cardiovascular and Renal Disease Endpoints“</w:t>
      </w:r>
      <w:r w:rsidRPr="005F37B9">
        <w:rPr>
          <w:rFonts w:ascii="Times New Roman" w:hAnsi="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AIIRB.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5.2</w:t>
      </w:r>
      <w:r w:rsidRPr="005F37B9">
        <w:rPr>
          <w:rFonts w:ascii="Times New Roman" w:hAnsi="Times New Roman"/>
          <w:sz w:val="22"/>
          <w:szCs w:val="22"/>
          <w:lang w:val="lt-LT"/>
        </w:rPr>
        <w:tab/>
        <w:t>Farmakokinetinės savybės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Tiesinis pobūdis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Amlodipino ir valsartano farmakokinetika yra linijinė.</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Cs w:val="0"/>
          <w:sz w:val="22"/>
          <w:szCs w:val="22"/>
          <w:lang w:val="lt-LT" w:eastAsia="en-US"/>
        </w:rPr>
      </w:pPr>
      <w:r w:rsidRPr="005F37B9">
        <w:rPr>
          <w:rFonts w:ascii="Times New Roman" w:hAnsi="Times New Roman"/>
          <w:bCs w:val="0"/>
          <w:sz w:val="22"/>
          <w:szCs w:val="22"/>
          <w:lang w:val="lt-LT" w:eastAsia="en-US"/>
        </w:rPr>
        <w:t>Amlodipinas ir valsartanas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Išgėrus amlodipino ir valsartano derinio, didžiausia valsartano ir amlodipino koncentacija kraujo plazmoje pasiekiama per, atitinkamai, 3 valandas ir 6</w:t>
      </w:r>
      <w:r w:rsidRPr="005F37B9">
        <w:rPr>
          <w:rFonts w:ascii="Times New Roman" w:hAnsi="Times New Roman"/>
          <w:b w:val="0"/>
          <w:bCs w:val="0"/>
          <w:sz w:val="22"/>
          <w:szCs w:val="22"/>
          <w:lang w:val="lt-LT" w:eastAsia="en-US"/>
        </w:rPr>
        <w:noBreakHyphen/>
        <w:t>8 valandas. Amlodipino ir valsartano derinio absorbcijos greitis ir dydis yra toks pats, kaip ir vartojant valsartaną ir amlodipiną atskiromis tabletėmis.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Cs w:val="0"/>
          <w:sz w:val="22"/>
          <w:szCs w:val="22"/>
          <w:lang w:val="lt-LT" w:eastAsia="en-US"/>
        </w:rPr>
      </w:pPr>
      <w:r w:rsidRPr="005F37B9">
        <w:rPr>
          <w:rFonts w:ascii="Times New Roman" w:hAnsi="Times New Roman"/>
          <w:bCs w:val="0"/>
          <w:sz w:val="22"/>
          <w:szCs w:val="22"/>
          <w:lang w:val="lt-LT" w:eastAsia="en-US"/>
        </w:rPr>
        <w:t>Amlodipinas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Absorbcija</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Išgėrus terapinę vieno amlodipino dozę, didžiausia amlodipino koncentracija kraujo plazmoje pasiekiama per 6</w:t>
      </w:r>
      <w:r w:rsidRPr="005F37B9">
        <w:rPr>
          <w:rFonts w:ascii="Times New Roman" w:hAnsi="Times New Roman"/>
          <w:b w:val="0"/>
          <w:bCs w:val="0"/>
          <w:sz w:val="22"/>
          <w:szCs w:val="22"/>
          <w:lang w:val="lt-LT" w:eastAsia="en-US"/>
        </w:rPr>
        <w:noBreakHyphen/>
        <w:t>12 valandas. Absoliutus biologinis prieinamumas yra tarp 64 % ir 80 %. Amlodipino biologinio prieinamumo maistas neveikia.</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Pasiskirstymas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 xml:space="preserve">Pasiskirstymo tūris yra maždaug 21 l/kg. </w:t>
      </w:r>
      <w:r w:rsidRPr="005F37B9">
        <w:rPr>
          <w:rFonts w:ascii="Times New Roman" w:hAnsi="Times New Roman"/>
          <w:b w:val="0"/>
          <w:bCs w:val="0"/>
          <w:i/>
          <w:sz w:val="22"/>
          <w:szCs w:val="22"/>
          <w:lang w:val="lt-LT" w:eastAsia="en-US"/>
        </w:rPr>
        <w:t>In vitro</w:t>
      </w:r>
      <w:r w:rsidRPr="005F37B9">
        <w:rPr>
          <w:rFonts w:ascii="Times New Roman" w:hAnsi="Times New Roman"/>
          <w:b w:val="0"/>
          <w:bCs w:val="0"/>
          <w:sz w:val="22"/>
          <w:szCs w:val="22"/>
          <w:lang w:val="lt-LT" w:eastAsia="en-US"/>
        </w:rPr>
        <w:t xml:space="preserve"> amlodipino tyrimų metu nustatyta, kad maždaug 97,5 % kraujotakoje esančio vaistinio preparato yra susijungę su kraujo plazmos baltymais.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Biotransformacija</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Didelė amlodipino dozės dalis (maždaug 90 %) metabolizuojama kepenyse ir tampa neaktyviais metabolitais.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Eliminacija</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lastRenderedPageBreak/>
        <w:t>Amlodipino eliminacija iš kraujo plazmos yra dvifazė, galutinis pusinės eliminacijos laikas yra maždaug 30</w:t>
      </w:r>
      <w:r w:rsidRPr="005F37B9">
        <w:rPr>
          <w:rFonts w:ascii="Times New Roman" w:hAnsi="Times New Roman"/>
          <w:b w:val="0"/>
          <w:bCs w:val="0"/>
          <w:sz w:val="22"/>
          <w:szCs w:val="22"/>
          <w:lang w:val="lt-LT" w:eastAsia="en-US"/>
        </w:rPr>
        <w:noBreakHyphen/>
        <w:t>50 valandų. Nuolat vartojant vaistinį preparatą, pusiausvyrinė koncentracija kraujo plazmoje pasiekiama per 7</w:t>
      </w:r>
      <w:r w:rsidRPr="005F37B9">
        <w:rPr>
          <w:rFonts w:ascii="Times New Roman" w:hAnsi="Times New Roman"/>
          <w:b w:val="0"/>
          <w:bCs w:val="0"/>
          <w:sz w:val="22"/>
          <w:szCs w:val="22"/>
          <w:lang w:val="lt-LT" w:eastAsia="en-US"/>
        </w:rPr>
        <w:noBreakHyphen/>
        <w:t>8 dienas. Dešimt procentų nepakitusio amlodipino ir 60 % amlodipino metabolitų išsiskiria su šlapimu.</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Cs w:val="0"/>
          <w:sz w:val="22"/>
          <w:szCs w:val="22"/>
          <w:lang w:val="lt-LT" w:eastAsia="en-US"/>
        </w:rPr>
      </w:pPr>
      <w:r w:rsidRPr="005F37B9">
        <w:rPr>
          <w:rFonts w:ascii="Times New Roman" w:hAnsi="Times New Roman"/>
          <w:bCs w:val="0"/>
          <w:sz w:val="22"/>
          <w:szCs w:val="22"/>
          <w:lang w:val="lt-LT" w:eastAsia="en-US"/>
        </w:rPr>
        <w:t>Valsartanas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Absorbcija</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Išgėrus vieno valsartano dozę, didžiausia valsartano koncentracija kraujo plazmoje pasiekiama per 2</w:t>
      </w:r>
      <w:r w:rsidRPr="005F37B9">
        <w:rPr>
          <w:rFonts w:ascii="Times New Roman" w:hAnsi="Times New Roman"/>
          <w:b w:val="0"/>
          <w:bCs w:val="0"/>
          <w:sz w:val="22"/>
          <w:szCs w:val="22"/>
          <w:lang w:val="lt-LT" w:eastAsia="en-US"/>
        </w:rPr>
        <w:noBreakHyphen/>
        <w:t>4 valandas. Vidutinis absoliutus biologinis valsartano prieinamumas yra 23 %. Maistas mažina valsartano ekspoziciją (apskaičiuotą pagal AUC) maždaug 40 %, o didžiausią koncentraciją kraujo plazmoje (C</w:t>
      </w:r>
      <w:r w:rsidRPr="005F37B9">
        <w:rPr>
          <w:rFonts w:ascii="Times New Roman" w:hAnsi="Times New Roman"/>
          <w:b w:val="0"/>
          <w:bCs w:val="0"/>
          <w:sz w:val="22"/>
          <w:szCs w:val="22"/>
          <w:vertAlign w:val="subscript"/>
          <w:lang w:val="lt-LT" w:eastAsia="en-US"/>
        </w:rPr>
        <w:t>max</w:t>
      </w:r>
      <w:r w:rsidRPr="005F37B9">
        <w:rPr>
          <w:rFonts w:ascii="Times New Roman" w:hAnsi="Times New Roman"/>
          <w:b w:val="0"/>
          <w:bCs w:val="0"/>
          <w:sz w:val="22"/>
          <w:szCs w:val="22"/>
          <w:lang w:val="lt-LT" w:eastAsia="en-US"/>
        </w:rPr>
        <w:t>) - maždaug 50 %, nors praėjus maždaug 8 valandoms nuo vaistinio preparato išgėrimo, valsartano koncentracija kraujo plazmoje būna panaši valgiusių ir nevalgiusių tiriamųjų grupėse. Nors AUC sumažėja, bet terapinis vaistinio preparato poveikis klinikai reikšmingai nemažėja, todėl valsartaną galima vartoti valgio metu ir tarp valgių.</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Pasiskirstymas</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Sušvirkštus į veną, valsartano pasiskirstymo tūris tuo metu, kai koncentracija pusiausvyrinė, yra maždaug 17 l, tai rodo, kad tik nedidelis kiekis valsartano pasiskirsto audiniuose.</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Didelė dalis valsartano jungiasi su kraujo serumo baltymais (94</w:t>
      </w:r>
      <w:r w:rsidRPr="005F37B9">
        <w:rPr>
          <w:rFonts w:ascii="Times New Roman" w:hAnsi="Times New Roman"/>
          <w:b w:val="0"/>
          <w:bCs w:val="0"/>
          <w:sz w:val="22"/>
          <w:szCs w:val="22"/>
          <w:lang w:val="lt-LT" w:eastAsia="en-US"/>
        </w:rPr>
        <w:noBreakHyphen/>
        <w:t>97 %), daugiausiai su serumo albuminais.</w:t>
      </w:r>
    </w:p>
    <w:p w:rsidR="005F37B9" w:rsidRPr="005F37B9" w:rsidRDefault="005F37B9" w:rsidP="005F37B9">
      <w:pPr>
        <w:pStyle w:val="Antrat4"/>
        <w:keepNext w:val="0"/>
        <w:spacing w:line="240" w:lineRule="auto"/>
        <w:contextualSpacing/>
        <w:rPr>
          <w:rFonts w:ascii="Times New Roman" w:hAnsi="Times New Roman"/>
          <w:b w:val="0"/>
          <w:bCs w:val="0"/>
          <w:sz w:val="22"/>
          <w:szCs w:val="22"/>
          <w:lang w:val="lt-LT" w:eastAsia="en-US"/>
        </w:rPr>
      </w:pPr>
    </w:p>
    <w:p w:rsidR="005F37B9" w:rsidRPr="005F37B9" w:rsidRDefault="005F37B9" w:rsidP="005F37B9">
      <w:pPr>
        <w:pStyle w:val="Antrat4"/>
        <w:keepNext w:val="0"/>
        <w:spacing w:line="240" w:lineRule="auto"/>
        <w:contextualSpacing/>
        <w:rPr>
          <w:rFonts w:ascii="Times New Roman" w:hAnsi="Times New Roman"/>
          <w:b w:val="0"/>
          <w:bCs w:val="0"/>
          <w:sz w:val="22"/>
          <w:szCs w:val="22"/>
          <w:u w:val="single"/>
          <w:lang w:val="lt-LT" w:eastAsia="en-US"/>
        </w:rPr>
      </w:pPr>
      <w:r w:rsidRPr="005F37B9">
        <w:rPr>
          <w:rFonts w:ascii="Times New Roman" w:hAnsi="Times New Roman"/>
          <w:b w:val="0"/>
          <w:bCs w:val="0"/>
          <w:sz w:val="22"/>
          <w:szCs w:val="22"/>
          <w:u w:val="single"/>
          <w:lang w:val="lt-LT" w:eastAsia="en-US"/>
        </w:rPr>
        <w:t>Biotransformacija</w:t>
      </w:r>
    </w:p>
    <w:p w:rsidR="005F37B9" w:rsidRPr="005F37B9" w:rsidRDefault="005F37B9" w:rsidP="005F37B9">
      <w:pPr>
        <w:pStyle w:val="Antrat4"/>
        <w:keepNext w:val="0"/>
        <w:spacing w:line="240" w:lineRule="auto"/>
        <w:contextualSpacing/>
        <w:jc w:val="left"/>
        <w:rPr>
          <w:rFonts w:ascii="Times New Roman" w:hAnsi="Times New Roman"/>
          <w:b w:val="0"/>
          <w:bCs w:val="0"/>
          <w:sz w:val="22"/>
          <w:szCs w:val="22"/>
          <w:lang w:val="lt-LT" w:eastAsia="en-US"/>
        </w:rPr>
      </w:pPr>
      <w:r w:rsidRPr="005F37B9">
        <w:rPr>
          <w:rFonts w:ascii="Times New Roman" w:hAnsi="Times New Roman"/>
          <w:b w:val="0"/>
          <w:bCs w:val="0"/>
          <w:sz w:val="22"/>
          <w:szCs w:val="22"/>
          <w:lang w:val="lt-LT" w:eastAsia="en-US"/>
        </w:rPr>
        <w:t>Valsartano transformuojama nedaug, kadangi tik apie 20 % dozės nustatoma metabolitų pavidalu. Hidroksi- metabolitų kraujo plazmoje būna mažai (mažiau negu 10 % valsartano AUC). Farmakologinio poveikio šis metabolitas nesukelia.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Eliminacija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Valsartano kinetika yra daugiaeksponentė (t</w:t>
      </w:r>
      <w:r w:rsidRPr="005F37B9">
        <w:rPr>
          <w:rFonts w:ascii="Times New Roman" w:hAnsi="Times New Roman"/>
          <w:vertAlign w:val="subscript"/>
          <w:lang w:val="lt-LT"/>
        </w:rPr>
        <w:t>½α</w:t>
      </w:r>
      <w:r w:rsidRPr="005F37B9">
        <w:rPr>
          <w:rFonts w:ascii="Times New Roman" w:hAnsi="Times New Roman"/>
          <w:lang w:val="lt-LT"/>
        </w:rPr>
        <w:t xml:space="preserve"> fazės metu pusinės eliminacijos periodas yra &lt; 1 val., t</w:t>
      </w:r>
      <w:r w:rsidRPr="005F37B9">
        <w:rPr>
          <w:rFonts w:ascii="Times New Roman" w:hAnsi="Times New Roman"/>
          <w:vertAlign w:val="subscript"/>
          <w:lang w:val="lt-LT"/>
        </w:rPr>
        <w:t>½β</w:t>
      </w:r>
      <w:r w:rsidRPr="005F37B9">
        <w:rPr>
          <w:rFonts w:ascii="Times New Roman" w:hAnsi="Times New Roman"/>
          <w:lang w:val="lt-LT"/>
        </w:rPr>
        <w:t xml:space="preserve"> fazės metu - maždaug 9 val.). Didžioji dalis valsartano išsiskiria su išmatomis (maždaug 83 % dozės) ir šlapimu (maždaug 13 % dozės), daugiausiai nepakitusio preparato pavidalu. Po injekcijos į veną, valsartano plazmos klirensas yra apie 2 l/val., o inkstų klirensas – 0,62 l/val. (apie 30 % bendrojo klirenso). Valsartano pusinės eliminacijos periodas yra 6 valandos.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color w:val="000000"/>
          <w:u w:val="single"/>
          <w:lang w:val="lt-LT"/>
        </w:rPr>
      </w:pPr>
      <w:r w:rsidRPr="005F37B9">
        <w:rPr>
          <w:rFonts w:ascii="Times New Roman" w:hAnsi="Times New Roman"/>
          <w:color w:val="000000"/>
          <w:u w:val="single"/>
          <w:lang w:val="lt-LT"/>
        </w:rPr>
        <w:t>Ypatingos populiacijos</w:t>
      </w:r>
    </w:p>
    <w:p w:rsidR="005F37B9" w:rsidRPr="005F37B9" w:rsidRDefault="005F37B9" w:rsidP="005F37B9">
      <w:pPr>
        <w:spacing w:after="0" w:line="240" w:lineRule="auto"/>
        <w:contextualSpacing/>
        <w:outlineLvl w:val="0"/>
        <w:rPr>
          <w:rFonts w:ascii="Times New Roman" w:hAnsi="Times New Roman"/>
          <w:color w:val="000000"/>
          <w:u w:val="single"/>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Vaikų populiacija (jaunesni nei 18 metų)</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Duomenų apie farmakokinetiką vaikų populiacijoje nėra.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u w:val="single"/>
          <w:lang w:val="lt-LT"/>
        </w:rPr>
        <w:t>Senyvi pacientai (65 metų ir vyresni)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Laikas, per kurį pasiekiama didžiausia vaistinio preparato koncentracija kraujo  plazmoje, yra panašus ir jaunų, ir senyvų pacientų populiacijose. Senyvų pacientų amlodipino klirensas mažėja, todėl didėja plotas po kreive (AUC) ir pusinės eliminacijos periodas. Vidutinė sisteminė valsartano AUC senyvų žmonių organizme yra 70 % didesnė, lyginant su jaunais, todėl reikia atsargiai didinti dozę.</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iCs/>
          <w:color w:val="000000"/>
          <w:u w:val="single"/>
          <w:lang w:val="lt-LT"/>
        </w:rPr>
        <w:t>Sutrikusi inkstų funkcija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Inkstų pažeidimas reikšmingai neįtakoja amlodipino farmakokinetikos. Kaip ir manyta, koreliacijos tarp inkstų funkcijos ir valsartano sisteminės ekspozicijos nenustatyta, kadangi šio junginio inkstų klirensas sudaro tik 30 % bendrojo plazmos klirenso.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u w:val="single"/>
          <w:lang w:val="lt-LT"/>
        </w:rPr>
      </w:pPr>
      <w:r w:rsidRPr="005F37B9">
        <w:rPr>
          <w:rFonts w:ascii="Times New Roman" w:hAnsi="Times New Roman"/>
          <w:i/>
          <w:iCs/>
          <w:color w:val="000000"/>
          <w:u w:val="single"/>
          <w:lang w:val="lt-LT"/>
        </w:rPr>
        <w:t>Sutrikusi kepenų funkcija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Klinikinių tyrimų duomenys apie amlodipino vartojimą pacientams, kuriems yra kepenų funkcijos sutrikimas, yra labai riboti. Pacientų, kuriems yra kepenų funkcijos sutrikimas, amlodipino klirensas mažėja, todėl AUC didėja maždaug 40</w:t>
      </w:r>
      <w:r w:rsidRPr="005F37B9">
        <w:rPr>
          <w:rFonts w:ascii="Times New Roman" w:hAnsi="Times New Roman"/>
          <w:lang w:val="lt-LT"/>
        </w:rPr>
        <w:noBreakHyphen/>
        <w:t>60 %. Vidutiniškai pacientų, sergančių lengva  ar vidutinio sunkumo kepenų liga, valsartano ekspozicija (nustatoma pagal AUC) yra dvigubai didesnė nei sveikų savanorių (suderinus pagal amžių, lytį ir kūno masę). Kepenų liga sergantiems pacientams vaistinio preparato skirti atsargiai (žr. 4.2 skyrių).</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5.3</w:t>
      </w:r>
      <w:r w:rsidRPr="005F37B9">
        <w:rPr>
          <w:rFonts w:ascii="Times New Roman" w:hAnsi="Times New Roman"/>
          <w:sz w:val="22"/>
          <w:szCs w:val="22"/>
          <w:lang w:val="lt-LT"/>
        </w:rPr>
        <w:tab/>
        <w:t>Ikiklinikinių saugumo tyrimų duomenys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Amlodipinas/Valsartanas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Klinikai gali turėti reikšmės toliau išvardytos nepageidaujamos reakcijos, nepasireiškusios klinikinių tyrimų metu:</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Žiurkių patinams buvo stebėti histopatologiniai skrandžio liaukų uždegimo požymiai, kai ekspozicija jų organizme buvo maždaug 1,9 karto (valsartano) ir 2,6 karto (amlodipino) didesnė už tą, kuri susidaro pavartojus klinikines 160 mg valsartano ir 10 mg amlodipino dozes. Ekspozicijai didėjant, ir patelėms, ir patinams stebėtas opų ir erozijų atsiradimas. Panašūs pokyčiai stebėti grupėje, kuriai skirtas tik valsartanas (ekspozicija 8,5</w:t>
      </w:r>
      <w:r w:rsidRPr="005F37B9">
        <w:rPr>
          <w:rFonts w:ascii="Times New Roman" w:hAnsi="Times New Roman"/>
          <w:lang w:val="lt-LT"/>
        </w:rPr>
        <w:noBreakHyphen/>
        <w:t>11,0 kartų didesnė už tą, kuri susidaro pavartojus klinikinę 160 mg valsartano dozę).</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Inkstų kanalėlių bazofilijos ar hialinizacijos, išsiplėtimo ir pažeidimų, taip pat intersticinio audinio limfocitinio uždegimo ar arteriolių hipertrofijos atvejų dažnis ir sunkumas didėjo, kai ekspozicija buvo 8</w:t>
      </w:r>
      <w:r w:rsidRPr="005F37B9">
        <w:rPr>
          <w:rFonts w:ascii="Times New Roman" w:hAnsi="Times New Roman"/>
          <w:lang w:val="lt-LT"/>
        </w:rPr>
        <w:noBreakHyphen/>
        <w:t>13 kartų (valsartano) ir 7</w:t>
      </w:r>
      <w:r w:rsidRPr="005F37B9">
        <w:rPr>
          <w:rFonts w:ascii="Times New Roman" w:hAnsi="Times New Roman"/>
          <w:lang w:val="lt-LT"/>
        </w:rPr>
        <w:noBreakHyphen/>
        <w:t>8 kartus (amlodipino) didesnė už tą, kuri susidaro pavartojus klinikines 160 mg valsartano ir 10 mg amlodipino dozes. Panašūs pokyčiai stebėti grupėje, kuriai skirtas tik valsartanas (ekspozicija 8,5</w:t>
      </w:r>
      <w:r w:rsidRPr="005F37B9">
        <w:rPr>
          <w:rFonts w:ascii="Times New Roman" w:hAnsi="Times New Roman"/>
          <w:lang w:val="lt-LT"/>
        </w:rPr>
        <w:noBreakHyphen/>
        <w:t>11,0 kartų didesnė už tą, kuri susidaro pavartojus klinikinę 160 mg valsartano dozę).</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Žiurkių embriono ir vaisiaus vystymosi tyrimo metu nustatyta, kad išsiplėtusių šlapimtakių, blogai išsivysčiusių krūtinkaulių ir nesukaulėjusių priešakinių letenų pirštikaulių dažnis didėjo, kai ekspozicija buvo maždaug 12 kartų (valsartano) ir 10 kartų (amlodipino) didesnė už tą, kuri susidaro pavartojus klinikines 160 mg valsartano ir 10 mg amlodipino dozes. Išsiplėtę šlapimtakiai stebėti grupėje, kuriai skirtas tik valsartanas (ekspozicija buvo 12 kartų didesnė už tą, kuri susidaro pavartojus klinikinę 160 mg valsartano dozę). Šio tyrimo metu stebėti toksiniai reiškiniai motinai buvo nesunkūs (vidutinio sunkumo kūno masės sumažėjimas). Jokio pastebimo poveikio vystymuisi nebuvo registruota, kai ekspozicija buvo 3 kartus (valsartano) ir 4 kartus (amlodipino) didesnė už klinikinę ekspoziciją (nustatomą pagal AUC).</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Nenustatyta šių junginių mutageninio, klastogeninio ar karcinogenininio poveikio.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Amlodipinas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Toksinis poveikis reprodukcijai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Poveikis vaisingumui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Žiurkėms duodant (patinams 64 paras ir patelėms 14 parų prieš susiporavimą) iki 10 mg/kg/per parą amlodipino dozes (tokia dozė yra 8 kartus didesnė* už didžiausią </w:t>
      </w:r>
      <w:r w:rsidRPr="005F37B9">
        <w:rPr>
          <w:rFonts w:ascii="Times New Roman" w:hAnsi="Times New Roman"/>
          <w:lang w:val="lt-LT"/>
        </w:rPr>
        <w:lastRenderedPageBreak/>
        <w:t>rekomenduojamą dozę žmogui, apskaičiavus mg/m</w:t>
      </w:r>
      <w:r w:rsidRPr="005F37B9">
        <w:rPr>
          <w:rFonts w:ascii="Times New Roman" w:hAnsi="Times New Roman"/>
          <w:vertAlign w:val="superscript"/>
          <w:lang w:val="lt-LT"/>
        </w:rPr>
        <w:t>2</w:t>
      </w:r>
      <w:r w:rsidRPr="005F37B9">
        <w:rPr>
          <w:rFonts w:ascii="Times New Roman" w:hAnsi="Times New Roman"/>
          <w:lang w:val="lt-LT"/>
        </w:rPr>
        <w:t xml:space="preserve">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kraujo plazmoje ir nustatytas mažesnis spermos tankis ir subrendusių spermatozoidų bei </w:t>
      </w:r>
      <w:r w:rsidRPr="005F37B9">
        <w:rPr>
          <w:rFonts w:ascii="Times New Roman" w:hAnsi="Times New Roman"/>
          <w:i/>
          <w:lang w:val="lt-LT"/>
        </w:rPr>
        <w:t>Sertoli</w:t>
      </w:r>
      <w:r w:rsidRPr="005F37B9">
        <w:rPr>
          <w:rFonts w:ascii="Times New Roman" w:hAnsi="Times New Roman"/>
          <w:lang w:val="lt-LT"/>
        </w:rPr>
        <w:t xml:space="preserve"> ląstelių kiekis.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Kancerogeninis ir mutageninis poveikis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5F37B9">
        <w:rPr>
          <w:rFonts w:ascii="Times New Roman" w:hAnsi="Times New Roman"/>
          <w:vertAlign w:val="superscript"/>
          <w:lang w:val="lt-LT"/>
        </w:rPr>
        <w:t>2</w:t>
      </w:r>
      <w:r w:rsidRPr="005F37B9">
        <w:rPr>
          <w:rFonts w:ascii="Times New Roman" w:hAnsi="Times New Roman"/>
          <w:lang w:val="lt-LT"/>
        </w:rPr>
        <w:t xml:space="preserve"> kūno paviršiaus) buvo artima didžiausiai toleruojamai dozei pelėms, bet ne žiurkėms.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Mutageninio poveikio tyrimai su vaistiniu preparatu susijusio poveikio nei genų nei chromosomų lygmenyje neparodė.</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Apskaičiuota pacientui, kurio kūno masė yra 50 kg.</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Valsartanas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Įprastų farmakologinio saugumo, kartotinių dozių toksiškumo, genotoksiškumo, galimo kancegoriškumo ir toksinio poveikio reprodukcijai ir vystymuisi ikiklinikinių tyrimų duomenys specifinio pavojaus žmogui nerodo.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5F37B9">
        <w:rPr>
          <w:rFonts w:ascii="Times New Roman" w:hAnsi="Times New Roman"/>
          <w:vertAlign w:val="superscript"/>
          <w:lang w:val="lt-LT"/>
        </w:rPr>
        <w:t>2</w:t>
      </w:r>
      <w:r w:rsidRPr="005F37B9">
        <w:rPr>
          <w:rFonts w:ascii="Times New Roman" w:hAnsi="Times New Roman"/>
          <w:lang w:val="lt-LT"/>
        </w:rPr>
        <w:t xml:space="preserve"> matavimu (skaičiuojant 60 kg svorio pacientei, gautųsi 320 mg paros dozė).</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Ikiklinikinių saugumo tyrimų metu žiurkėms, kurioms buvo skirta didelė (200</w:t>
      </w:r>
      <w:r w:rsidRPr="005F37B9">
        <w:rPr>
          <w:rFonts w:ascii="Times New Roman" w:hAnsi="Times New Roman"/>
          <w:lang w:val="lt-LT"/>
        </w:rPr>
        <w:noBreakHyphen/>
        <w:t>600 mg/kg kūno svorio) valsartano dozė, sumažėjo eritrocitų parametrai (eritrocitų ir hemoglobino kiekis, hematokrito rodmenys), pakito inkstų hemodinamika (šiek tiek padidėjo šlapalo kiekis kraujyje, patinams atsirado inkstų kanalėlių hiperplazija ir bazofilija). Šios dozės žiurkėms (200 mg/kg kūno svorio ir 600 mg/kg kūno svorio per parą) yra maždaug 6 ir 18 kartų didesnės už rekomenduojamą dozę žmogui, perskaičiuojant mg/m</w:t>
      </w:r>
      <w:r w:rsidRPr="005F37B9">
        <w:rPr>
          <w:rFonts w:ascii="Times New Roman" w:hAnsi="Times New Roman"/>
          <w:vertAlign w:val="superscript"/>
          <w:lang w:val="lt-LT"/>
        </w:rPr>
        <w:t>2</w:t>
      </w:r>
      <w:r w:rsidRPr="005F37B9">
        <w:rPr>
          <w:rFonts w:ascii="Times New Roman" w:hAnsi="Times New Roman"/>
          <w:lang w:val="lt-LT"/>
        </w:rPr>
        <w:t xml:space="preserve"> paviršiaus ploto (skaičiuojant 60 kg svorio pacientei, gautųsi 320 mg paros dozė).</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Mažosioms beždžionėms (marmozetėms) panašios dozės sukėlė panašų, tačiau stipresnį, poveikį, ypač inkstams (pasireiškė nefropatija, padidėjęs šlapalo ir kreatinino kiekis kraujyje), negu žiurkėms.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6.</w:t>
      </w:r>
      <w:r w:rsidRPr="005F37B9">
        <w:rPr>
          <w:rFonts w:ascii="Times New Roman" w:hAnsi="Times New Roman"/>
          <w:sz w:val="22"/>
          <w:szCs w:val="22"/>
          <w:lang w:val="lt-LT"/>
        </w:rPr>
        <w:tab/>
        <w:t>FARMACINĖ INFORMACIJA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lastRenderedPageBreak/>
        <w:t>6.1</w:t>
      </w:r>
      <w:r w:rsidRPr="005F37B9">
        <w:rPr>
          <w:rFonts w:ascii="Times New Roman" w:hAnsi="Times New Roman"/>
          <w:sz w:val="22"/>
          <w:szCs w:val="22"/>
          <w:lang w:val="lt-LT"/>
        </w:rPr>
        <w:tab/>
        <w:t>Pagalbinių medžiagų sąrašas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Tabletės branduolys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Mikrokristalinė celiuliozė</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Krospovidonas 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Koloidinis bevandenis silicio dioksidas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Magnio stearatas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Tabletės plėvelė</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Hipromeliozė</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Titano dioksidas (E171)</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Geltonasis geležies oksidas (E172)</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Raudonasis geležies oksidas (E172)</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Makrogolis 8000</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6.2</w:t>
      </w:r>
      <w:r w:rsidRPr="005F37B9">
        <w:rPr>
          <w:rFonts w:ascii="Times New Roman" w:hAnsi="Times New Roman"/>
          <w:sz w:val="22"/>
          <w:szCs w:val="22"/>
          <w:lang w:val="lt-LT"/>
        </w:rPr>
        <w:tab/>
        <w:t>Nesuderinamumas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Duomenys nebūtini.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6.3</w:t>
      </w:r>
      <w:r w:rsidRPr="005F37B9">
        <w:rPr>
          <w:rFonts w:ascii="Times New Roman" w:hAnsi="Times New Roman"/>
          <w:sz w:val="22"/>
          <w:szCs w:val="22"/>
          <w:lang w:val="lt-LT"/>
        </w:rPr>
        <w:tab/>
        <w:t>Tinkamumo laikas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21 </w:t>
      </w:r>
      <w:r w:rsidRPr="005F37B9">
        <w:rPr>
          <w:rFonts w:ascii="Times New Roman" w:hAnsi="Times New Roman"/>
          <w:noProof/>
          <w:lang w:val="lt-LT"/>
        </w:rPr>
        <w:t>mėnuo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6.4</w:t>
      </w:r>
      <w:r w:rsidRPr="005F37B9">
        <w:rPr>
          <w:rFonts w:ascii="Times New Roman" w:hAnsi="Times New Roman"/>
          <w:sz w:val="22"/>
          <w:szCs w:val="22"/>
          <w:lang w:val="lt-LT"/>
        </w:rPr>
        <w:tab/>
        <w:t>Specialios laikymo sąlygos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color w:val="0D0D0D"/>
          <w:lang w:val="lt-LT"/>
        </w:rPr>
      </w:pPr>
      <w:r w:rsidRPr="005F37B9">
        <w:rPr>
          <w:rFonts w:ascii="Times New Roman" w:hAnsi="Times New Roman"/>
          <w:noProof/>
          <w:color w:val="0D0D0D"/>
          <w:lang w:val="lt-LT"/>
        </w:rPr>
        <w:t>Laikyti ne aukštesnėje kaip 25 °C temperatūroje.</w:t>
      </w:r>
    </w:p>
    <w:p w:rsidR="005F37B9" w:rsidRPr="005F37B9" w:rsidRDefault="005F37B9" w:rsidP="005F37B9">
      <w:pPr>
        <w:spacing w:after="0" w:line="240" w:lineRule="auto"/>
        <w:contextualSpacing/>
        <w:rPr>
          <w:rFonts w:ascii="Times New Roman" w:hAnsi="Times New Roman"/>
          <w:color w:val="0D0D0D"/>
          <w:lang w:val="lt-LT"/>
        </w:rPr>
      </w:pPr>
      <w:r w:rsidRPr="005F37B9">
        <w:rPr>
          <w:rFonts w:ascii="Times New Roman" w:hAnsi="Times New Roman"/>
          <w:noProof/>
          <w:color w:val="0D0D0D"/>
          <w:lang w:val="lt-LT"/>
        </w:rPr>
        <w:t>Laikyti gamintojo pakuotėje, kad vaistinis preparatas būtų apsaugotas nuo drėgmės.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6.5</w:t>
      </w:r>
      <w:r w:rsidRPr="005F37B9">
        <w:rPr>
          <w:rFonts w:ascii="Times New Roman" w:hAnsi="Times New Roman"/>
          <w:sz w:val="22"/>
          <w:szCs w:val="22"/>
          <w:lang w:val="lt-LT"/>
        </w:rPr>
        <w:tab/>
        <w:t>Talpyklės pobūdis ir jos turinys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Aliuminio/PVC/PCTFE </w:t>
      </w:r>
      <w:r w:rsidRPr="005F37B9">
        <w:rPr>
          <w:rFonts w:ascii="Times New Roman" w:hAnsi="Times New Roman"/>
          <w:lang w:val="lt-LT"/>
        </w:rPr>
        <w:t>lizdinės plokštelės.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Kartono dėžutėje</w:t>
      </w:r>
      <w:r w:rsidRPr="005F37B9">
        <w:rPr>
          <w:rFonts w:ascii="Times New Roman" w:hAnsi="Times New Roman"/>
          <w:noProof/>
          <w:lang w:val="lt-LT"/>
        </w:rPr>
        <w:t xml:space="preserve"> yra 1, 7, 14, 28, 30, 56, 90 ar 98 </w:t>
      </w:r>
      <w:r w:rsidRPr="005F37B9">
        <w:rPr>
          <w:rFonts w:ascii="Times New Roman" w:hAnsi="Times New Roman"/>
          <w:lang w:val="lt-LT"/>
        </w:rPr>
        <w:t>plėvele dengtos tabletės.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Gali būti tiekiamos ne visų dydžių pakuotės.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bookmarkStart w:id="1" w:name="OLE_LINK1"/>
      <w:r w:rsidRPr="005F37B9">
        <w:rPr>
          <w:rFonts w:ascii="Times New Roman" w:hAnsi="Times New Roman"/>
          <w:sz w:val="22"/>
          <w:szCs w:val="22"/>
          <w:lang w:val="lt-LT"/>
        </w:rPr>
        <w:t>6.6</w:t>
      </w:r>
      <w:r w:rsidRPr="005F37B9">
        <w:rPr>
          <w:rFonts w:ascii="Times New Roman" w:hAnsi="Times New Roman"/>
          <w:sz w:val="22"/>
          <w:szCs w:val="22"/>
          <w:lang w:val="lt-LT"/>
        </w:rPr>
        <w:tab/>
        <w:t>Specialūs reikalavimai atliekoms tvarkyti</w:t>
      </w:r>
    </w:p>
    <w:bookmarkEnd w:id="1"/>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Nesuvartotą vaistinį preparatą ar atliekas reikia tvarkyti laikantis vietinių reikalavimų.</w:t>
      </w:r>
      <w:r w:rsidRPr="005F37B9">
        <w:rPr>
          <w:rFonts w:ascii="Times New Roman" w:hAnsi="Times New Roman"/>
          <w:lang w:val="lt-LT"/>
        </w:rPr>
        <w:t xml:space="preserve">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7.</w:t>
      </w:r>
      <w:r w:rsidRPr="005F37B9">
        <w:rPr>
          <w:rFonts w:ascii="Times New Roman" w:hAnsi="Times New Roman"/>
          <w:sz w:val="22"/>
          <w:szCs w:val="22"/>
          <w:lang w:val="lt-LT"/>
        </w:rPr>
        <w:tab/>
        <w:t>REGISTRUOTOJAS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Medana Pharma SA</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10, Wł. Łokietka Str.</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98-200 Sieradz</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noProof/>
          <w:sz w:val="22"/>
          <w:szCs w:val="22"/>
          <w:lang w:val="lt-LT"/>
        </w:rPr>
        <w:sectPr w:rsidR="005F37B9" w:rsidRPr="005F37B9" w:rsidSect="00AE748A">
          <w:footerReference w:type="default" r:id="rId10"/>
          <w:pgSz w:w="11906" w:h="16838"/>
          <w:pgMar w:top="1134" w:right="1418" w:bottom="1134" w:left="1418" w:header="567" w:footer="567" w:gutter="0"/>
          <w:cols w:space="1296"/>
          <w:docGrid w:linePitch="360"/>
        </w:sectPr>
      </w:pPr>
      <w:r w:rsidRPr="005F37B9">
        <w:rPr>
          <w:rFonts w:ascii="Times New Roman" w:hAnsi="Times New Roman"/>
          <w:sz w:val="22"/>
          <w:szCs w:val="22"/>
          <w:lang w:val="lt-LT"/>
        </w:rPr>
        <w:t>8.</w:t>
      </w:r>
      <w:r w:rsidRPr="005F37B9">
        <w:rPr>
          <w:rFonts w:ascii="Times New Roman" w:hAnsi="Times New Roman"/>
          <w:sz w:val="22"/>
          <w:szCs w:val="22"/>
          <w:lang w:val="lt-LT"/>
        </w:rPr>
        <w:tab/>
        <w:t xml:space="preserve">REGISTRACIJOS </w:t>
      </w:r>
      <w:r w:rsidRPr="005F37B9">
        <w:rPr>
          <w:rFonts w:ascii="Times New Roman" w:hAnsi="Times New Roman"/>
          <w:noProof/>
          <w:sz w:val="22"/>
          <w:szCs w:val="22"/>
          <w:lang w:val="lt-LT"/>
        </w:rPr>
        <w:t>PAŽYMĖJIMO</w:t>
      </w:r>
      <w:r w:rsidRPr="005F37B9">
        <w:rPr>
          <w:rFonts w:ascii="Times New Roman" w:hAnsi="Times New Roman"/>
          <w:sz w:val="22"/>
          <w:szCs w:val="22"/>
          <w:lang w:val="lt-LT"/>
        </w:rPr>
        <w:t xml:space="preserve"> NUMERIS (-IAI) </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sectPr w:rsidR="005F37B9" w:rsidRPr="005F37B9" w:rsidSect="00AE748A">
          <w:type w:val="continuous"/>
          <w:pgSz w:w="11906" w:h="16838"/>
          <w:pgMar w:top="1134" w:right="1418" w:bottom="1134" w:left="1418" w:header="567" w:footer="567" w:gutter="0"/>
          <w:cols w:space="1296"/>
          <w:docGrid w:linePitch="360"/>
        </w:sect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mg/80 mg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N1 - LT/1/17/4139/001</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N7 - LT/1/17/4139/002</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lastRenderedPageBreak/>
        <w:t>N14 - LT/1/17/4139/003</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N28 - LT/1/17/4139/004</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N30 - LT/1/17/4139/005</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N56 - LT/1/17/4139/006</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N90 - LT/1/17/4139/007</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bCs/>
          <w:lang w:val="lt-LT"/>
        </w:rPr>
      </w:pPr>
      <w:r w:rsidRPr="005F37B9">
        <w:rPr>
          <w:rFonts w:ascii="Times New Roman" w:hAnsi="Times New Roman"/>
          <w:lang w:val="lt-LT"/>
        </w:rPr>
        <w:t>N98 - LT/1/17/4139/008</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mg/160 mg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N1 - LT/1/17/4139/009</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N7 - LT/1/17/4139/010</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N14 - LT/1/17/4139/011</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N28 - LT/1/17/4139/012</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N30 - LT/1/17/4139/013</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N56 - LT/1/17/4139/014</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N90 - LT/1/17/4139/015</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bCs/>
          <w:lang w:val="lt-LT"/>
        </w:rPr>
      </w:pPr>
      <w:r w:rsidRPr="005F37B9">
        <w:rPr>
          <w:rFonts w:ascii="Times New Roman" w:hAnsi="Times New Roman"/>
          <w:lang w:val="lt-LT"/>
        </w:rPr>
        <w:t>N98 - LT/1/17/4139/016</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10 mg/160 mg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N1 - LT/1/17/4139/017</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N7 - LT/1/17/4139/018</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N14 - LT/1/17/4139/019</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N28 - LT/1/17/4139/020</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N30 - LT/1/17/4139/021</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N56 - LT/1/17/4139/022</w:t>
      </w:r>
      <w:r w:rsidRPr="005F37B9">
        <w:rPr>
          <w:rFonts w:ascii="Times New Roman" w:hAnsi="Times New Roman"/>
          <w:bCs/>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N90 - LT/1/17/4139/023</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bCs/>
          <w:lang w:val="lt-LT"/>
        </w:rPr>
      </w:pPr>
      <w:r w:rsidRPr="005F37B9">
        <w:rPr>
          <w:rFonts w:ascii="Times New Roman" w:hAnsi="Times New Roman"/>
          <w:lang w:val="lt-LT"/>
        </w:rPr>
        <w:t>N98 - LT/1/17/4139/024</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lang w:val="lt-LT"/>
        </w:rPr>
        <w:sectPr w:rsidR="005F37B9" w:rsidRPr="005F37B9" w:rsidSect="00AE748A">
          <w:type w:val="continuous"/>
          <w:pgSz w:w="11906" w:h="16838"/>
          <w:pgMar w:top="1134" w:right="1418" w:bottom="1134" w:left="1418" w:header="567" w:footer="567" w:gutter="0"/>
          <w:cols w:num="3" w:space="285"/>
          <w:docGrid w:linePitch="360"/>
        </w:sect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9.</w:t>
      </w:r>
      <w:r w:rsidRPr="005F37B9">
        <w:rPr>
          <w:rFonts w:ascii="Times New Roman" w:hAnsi="Times New Roman"/>
          <w:sz w:val="22"/>
          <w:szCs w:val="22"/>
          <w:lang w:val="lt-LT"/>
        </w:rPr>
        <w:tab/>
        <w:t>REGISTRAVIMO / PERREGISTRAVIMO DATA</w:t>
      </w:r>
    </w:p>
    <w:p w:rsidR="005F37B9" w:rsidRPr="005F37B9" w:rsidRDefault="005F37B9" w:rsidP="005F37B9">
      <w:pPr>
        <w:spacing w:after="0" w:line="240" w:lineRule="auto"/>
        <w:contextualSpacing/>
        <w:rPr>
          <w:rFonts w:ascii="Times New Roman" w:hAnsi="Times New Roman"/>
          <w:lang w:val="lt-LT"/>
        </w:rPr>
      </w:pPr>
    </w:p>
    <w:p w:rsidR="00E443DC" w:rsidRPr="00E443DC" w:rsidRDefault="00E443DC" w:rsidP="00E443DC">
      <w:pPr>
        <w:spacing w:after="0" w:line="240" w:lineRule="auto"/>
        <w:contextualSpacing/>
        <w:rPr>
          <w:rFonts w:ascii="Times New Roman" w:hAnsi="Times New Roman"/>
          <w:noProof/>
          <w:lang w:val="lt-LT"/>
        </w:rPr>
      </w:pPr>
      <w:r w:rsidRPr="00E443DC">
        <w:rPr>
          <w:rFonts w:ascii="Times New Roman" w:hAnsi="Times New Roman"/>
          <w:noProof/>
          <w:lang w:val="lt-LT"/>
        </w:rPr>
        <w:t>Registravimo data 2017 m. rugsėjo 28 d.</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10.</w:t>
      </w:r>
      <w:r w:rsidRPr="005F37B9">
        <w:rPr>
          <w:rFonts w:ascii="Times New Roman" w:hAnsi="Times New Roman"/>
          <w:sz w:val="22"/>
          <w:szCs w:val="22"/>
          <w:lang w:val="lt-LT"/>
        </w:rPr>
        <w:tab/>
        <w:t>TEKSTO PERŽIŪROS DATA</w:t>
      </w:r>
    </w:p>
    <w:p w:rsidR="005F37B9" w:rsidRPr="005F37B9" w:rsidRDefault="005F37B9" w:rsidP="005F37B9">
      <w:pPr>
        <w:spacing w:after="0" w:line="240" w:lineRule="auto"/>
        <w:contextualSpacing/>
        <w:rPr>
          <w:rFonts w:ascii="Times New Roman" w:hAnsi="Times New Roman"/>
          <w:lang w:val="lt-LT"/>
        </w:rPr>
      </w:pPr>
    </w:p>
    <w:p w:rsidR="000F7A17" w:rsidRPr="000F7A17" w:rsidRDefault="000F7A17" w:rsidP="000F7A17">
      <w:pPr>
        <w:spacing w:after="0" w:line="240" w:lineRule="auto"/>
        <w:contextualSpacing/>
        <w:rPr>
          <w:rFonts w:ascii="Times New Roman" w:eastAsia="Times New Roman" w:hAnsi="Times New Roman"/>
          <w:noProof/>
          <w:snapToGrid w:val="0"/>
          <w:lang w:val="lt-LT"/>
        </w:rPr>
      </w:pPr>
      <w:r w:rsidRPr="000F7A17">
        <w:rPr>
          <w:rFonts w:ascii="Times New Roman" w:eastAsia="Times New Roman" w:hAnsi="Times New Roman"/>
          <w:noProof/>
          <w:snapToGrid w:val="0"/>
          <w:lang w:val="lt-LT"/>
        </w:rPr>
        <w:t>2018 m. birželio mėn. 27 d.</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Paprastasistekstas"/>
        <w:tabs>
          <w:tab w:val="left" w:pos="5954"/>
          <w:tab w:val="left" w:pos="6237"/>
          <w:tab w:val="left" w:pos="6663"/>
          <w:tab w:val="left" w:pos="6946"/>
        </w:tabs>
        <w:contextualSpacing/>
        <w:rPr>
          <w:rFonts w:ascii="Times New Roman" w:hAnsi="Times New Roman"/>
          <w:sz w:val="22"/>
          <w:szCs w:val="22"/>
          <w:lang w:val="lt-LT"/>
        </w:rPr>
      </w:pPr>
      <w:r w:rsidRPr="005F37B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F37B9">
        <w:rPr>
          <w:rFonts w:ascii="Times New Roman" w:hAnsi="Times New Roman"/>
          <w:i/>
          <w:noProof/>
          <w:sz w:val="22"/>
          <w:szCs w:val="22"/>
          <w:lang w:val="lt-LT"/>
        </w:rPr>
        <w:t xml:space="preserve"> </w:t>
      </w:r>
      <w:hyperlink r:id="rId11" w:history="1">
        <w:r w:rsidRPr="005F37B9">
          <w:rPr>
            <w:rStyle w:val="Hipersaitas"/>
            <w:rFonts w:ascii="Times New Roman" w:hAnsi="Times New Roman"/>
            <w:noProof/>
            <w:sz w:val="22"/>
            <w:szCs w:val="22"/>
            <w:lang w:val="lt-LT"/>
          </w:rPr>
          <w:t>http://www.</w:t>
        </w:r>
        <w:r w:rsidRPr="005F37B9">
          <w:rPr>
            <w:rStyle w:val="Hipersaitas"/>
            <w:rFonts w:ascii="Times New Roman" w:hAnsi="Times New Roman"/>
            <w:sz w:val="22"/>
            <w:szCs w:val="22"/>
            <w:lang w:val="lt-LT"/>
          </w:rPr>
          <w:t>vvkt.lt</w:t>
        </w:r>
      </w:hyperlink>
    </w:p>
    <w:p w:rsidR="005F37B9" w:rsidRPr="005F37B9" w:rsidRDefault="005F37B9" w:rsidP="005F37B9">
      <w:pPr>
        <w:pStyle w:val="Paprastasistekstas"/>
        <w:tabs>
          <w:tab w:val="left" w:pos="4962"/>
        </w:tabs>
        <w:contextualSpacing/>
        <w:rPr>
          <w:rFonts w:ascii="Times New Roman" w:hAnsi="Times New Roman"/>
          <w:color w:val="000000"/>
          <w:sz w:val="22"/>
          <w:szCs w:val="22"/>
          <w:lang w:val="lt-LT"/>
        </w:rPr>
      </w:pPr>
      <w:r w:rsidRPr="005F37B9">
        <w:rPr>
          <w:rFonts w:ascii="Times New Roman" w:hAnsi="Times New Roman"/>
          <w:sz w:val="22"/>
          <w:szCs w:val="22"/>
          <w:lang w:val="lt-LT"/>
        </w:rPr>
        <w:br w:type="page"/>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p>
    <w:p w:rsidR="005F37B9" w:rsidRPr="005F37B9" w:rsidRDefault="005F37B9" w:rsidP="005F37B9">
      <w:pPr>
        <w:spacing w:after="0" w:line="240" w:lineRule="auto"/>
        <w:contextualSpacing/>
        <w:jc w:val="center"/>
        <w:rPr>
          <w:rFonts w:ascii="Times New Roman" w:hAnsi="Times New Roman"/>
          <w:b/>
          <w:lang w:val="lt-LT"/>
        </w:rPr>
      </w:pPr>
      <w:r w:rsidRPr="005F37B9">
        <w:rPr>
          <w:rFonts w:ascii="Times New Roman" w:hAnsi="Times New Roman"/>
          <w:b/>
          <w:lang w:val="lt-LT"/>
        </w:rPr>
        <w:t>II PRIEDAS</w:t>
      </w:r>
    </w:p>
    <w:p w:rsidR="005F37B9" w:rsidRPr="005F37B9" w:rsidRDefault="005F37B9" w:rsidP="005F37B9">
      <w:pPr>
        <w:spacing w:after="0" w:line="240" w:lineRule="auto"/>
        <w:ind w:left="1701" w:right="1416" w:hanging="567"/>
        <w:contextualSpacing/>
        <w:rPr>
          <w:rFonts w:ascii="Times New Roman" w:hAnsi="Times New Roman"/>
          <w:lang w:val="lt-LT"/>
        </w:rPr>
      </w:pPr>
    </w:p>
    <w:p w:rsidR="005F37B9" w:rsidRPr="005F37B9" w:rsidRDefault="005F37B9" w:rsidP="005F37B9">
      <w:pPr>
        <w:spacing w:after="0" w:line="240" w:lineRule="auto"/>
        <w:contextualSpacing/>
        <w:jc w:val="center"/>
        <w:rPr>
          <w:rFonts w:ascii="Times New Roman" w:hAnsi="Times New Roman"/>
          <w:i/>
          <w:lang w:val="lt-LT"/>
        </w:rPr>
      </w:pPr>
      <w:r w:rsidRPr="005F37B9">
        <w:rPr>
          <w:rFonts w:ascii="Times New Roman" w:hAnsi="Times New Roman"/>
          <w:b/>
          <w:lang w:val="lt-LT"/>
        </w:rPr>
        <w:t>REGISTRACIJOS SĄLYGOS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tabs>
          <w:tab w:val="left" w:pos="1701"/>
        </w:tabs>
        <w:spacing w:after="0" w:line="240" w:lineRule="auto"/>
        <w:ind w:left="1701" w:right="567" w:hanging="567"/>
        <w:contextualSpacing/>
        <w:rPr>
          <w:rFonts w:ascii="Times New Roman" w:hAnsi="Times New Roman"/>
          <w:b/>
          <w:noProof/>
          <w:lang w:val="lt-LT"/>
        </w:rPr>
      </w:pPr>
      <w:r w:rsidRPr="005F37B9">
        <w:rPr>
          <w:rFonts w:ascii="Times New Roman" w:hAnsi="Times New Roman"/>
          <w:b/>
          <w:noProof/>
          <w:lang w:val="lt-LT"/>
        </w:rPr>
        <w:t>A.</w:t>
      </w:r>
      <w:r w:rsidRPr="005F37B9">
        <w:rPr>
          <w:rFonts w:ascii="Times New Roman" w:hAnsi="Times New Roman"/>
          <w:b/>
          <w:noProof/>
          <w:lang w:val="lt-LT"/>
        </w:rPr>
        <w:tab/>
        <w:t>GAMINTOJAS (-AI), ATSAKINGAS (-I) UŽ SERIJŲ IŠLEIDIMĄ</w:t>
      </w:r>
    </w:p>
    <w:p w:rsidR="005F37B9" w:rsidRPr="005F37B9" w:rsidRDefault="005F37B9" w:rsidP="005F37B9">
      <w:pPr>
        <w:tabs>
          <w:tab w:val="left" w:pos="1701"/>
        </w:tabs>
        <w:spacing w:after="0" w:line="240" w:lineRule="auto"/>
        <w:ind w:left="567" w:right="567" w:hanging="567"/>
        <w:contextualSpacing/>
        <w:rPr>
          <w:rFonts w:ascii="Times New Roman" w:hAnsi="Times New Roman"/>
          <w:noProof/>
          <w:lang w:val="lt-LT"/>
        </w:rPr>
      </w:pPr>
    </w:p>
    <w:p w:rsidR="005F37B9" w:rsidRPr="005F37B9" w:rsidRDefault="005F37B9" w:rsidP="005F37B9">
      <w:pPr>
        <w:tabs>
          <w:tab w:val="left" w:pos="1701"/>
        </w:tabs>
        <w:spacing w:after="0" w:line="240" w:lineRule="auto"/>
        <w:ind w:left="1701" w:right="567" w:hanging="567"/>
        <w:contextualSpacing/>
        <w:rPr>
          <w:rFonts w:ascii="Times New Roman" w:hAnsi="Times New Roman"/>
          <w:b/>
          <w:lang w:val="lt-LT"/>
        </w:rPr>
      </w:pPr>
      <w:r w:rsidRPr="005F37B9">
        <w:rPr>
          <w:rFonts w:ascii="Times New Roman" w:hAnsi="Times New Roman"/>
          <w:b/>
          <w:lang w:val="lt-LT"/>
        </w:rPr>
        <w:t>B.</w:t>
      </w:r>
      <w:r w:rsidRPr="005F37B9">
        <w:rPr>
          <w:rFonts w:ascii="Times New Roman" w:hAnsi="Times New Roman"/>
          <w:b/>
          <w:lang w:val="lt-LT"/>
        </w:rPr>
        <w:tab/>
        <w:t>TIEKIMO IR VARTOJIMO SĄLYGOS AR APRIBOJIMAI</w:t>
      </w:r>
    </w:p>
    <w:p w:rsidR="005F37B9" w:rsidRPr="005F37B9" w:rsidRDefault="005F37B9" w:rsidP="005F37B9">
      <w:pPr>
        <w:spacing w:after="0" w:line="240" w:lineRule="auto"/>
        <w:ind w:left="567" w:hanging="567"/>
        <w:contextualSpacing/>
        <w:rPr>
          <w:rFonts w:ascii="Times New Roman" w:hAnsi="Times New Roman"/>
          <w:b/>
          <w:lang w:val="lt-LT"/>
        </w:rPr>
      </w:pPr>
      <w:r w:rsidRPr="005F37B9">
        <w:rPr>
          <w:rFonts w:ascii="Times New Roman" w:hAnsi="Times New Roman"/>
          <w:lang w:val="lt-LT"/>
        </w:rPr>
        <w:br w:type="page"/>
      </w:r>
      <w:r w:rsidRPr="005F37B9">
        <w:rPr>
          <w:rFonts w:ascii="Times New Roman" w:hAnsi="Times New Roman"/>
          <w:b/>
          <w:lang w:val="lt-LT"/>
        </w:rPr>
        <w:lastRenderedPageBreak/>
        <w:t>A.</w:t>
      </w:r>
      <w:r w:rsidRPr="005F37B9">
        <w:rPr>
          <w:rFonts w:ascii="Times New Roman" w:hAnsi="Times New Roman"/>
          <w:b/>
          <w:lang w:val="lt-LT"/>
        </w:rPr>
        <w:tab/>
        <w:t>GAMINTOJAS (-AI), ATSAKINGAS (-I) UŽ SERIJŲ IŠLEIDIMĄ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jc w:val="both"/>
        <w:rPr>
          <w:rFonts w:ascii="Times New Roman" w:hAnsi="Times New Roman"/>
          <w:lang w:val="lt-LT"/>
        </w:rPr>
      </w:pPr>
      <w:r w:rsidRPr="005F37B9">
        <w:rPr>
          <w:rFonts w:ascii="Times New Roman" w:hAnsi="Times New Roman"/>
          <w:noProof/>
          <w:u w:val="single"/>
          <w:lang w:val="lt-LT"/>
        </w:rPr>
        <w:t>Gamintojo (-ų), atsakingo (-ų) už serijų išleidimą, pavadinimas (-ai) ir adresas (-ai)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Pharmaceutical Works POLPHARMA S.A.</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19 Pelplińska Street</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83-200 Starogard Gdański</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ind w:left="567" w:hanging="567"/>
        <w:contextualSpacing/>
        <w:rPr>
          <w:rFonts w:ascii="Times New Roman" w:hAnsi="Times New Roman"/>
          <w:lang w:val="lt-LT"/>
        </w:rPr>
      </w:pPr>
      <w:r w:rsidRPr="005F37B9">
        <w:rPr>
          <w:rFonts w:ascii="Times New Roman" w:hAnsi="Times New Roman"/>
          <w:b/>
          <w:noProof/>
          <w:lang w:val="lt-LT"/>
        </w:rPr>
        <w:t>B.</w:t>
      </w:r>
      <w:r w:rsidRPr="005F37B9">
        <w:rPr>
          <w:rFonts w:ascii="Times New Roman" w:hAnsi="Times New Roman"/>
          <w:b/>
          <w:lang w:val="lt-LT"/>
        </w:rPr>
        <w:tab/>
      </w:r>
      <w:r w:rsidRPr="005F37B9">
        <w:rPr>
          <w:rFonts w:ascii="Times New Roman" w:hAnsi="Times New Roman"/>
          <w:b/>
          <w:noProof/>
          <w:lang w:val="lt-LT"/>
        </w:rPr>
        <w:t>TIEKIMO IR VARTOJIMO SĄLYGOS AR APRIBOJIMAI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Receptinis vaistinis preparatas.</w:t>
      </w:r>
    </w:p>
    <w:p w:rsidR="005F37B9" w:rsidRPr="005F37B9" w:rsidRDefault="005F37B9" w:rsidP="005F37B9">
      <w:pPr>
        <w:pStyle w:val="Paprastasistekstas"/>
        <w:tabs>
          <w:tab w:val="left" w:pos="4962"/>
        </w:tabs>
        <w:contextualSpacing/>
        <w:rPr>
          <w:rFonts w:ascii="Times New Roman" w:hAnsi="Times New Roman"/>
          <w:sz w:val="22"/>
          <w:szCs w:val="22"/>
          <w:lang w:val="lt-LT"/>
        </w:rPr>
      </w:pPr>
      <w:r w:rsidRPr="005F37B9">
        <w:rPr>
          <w:rFonts w:ascii="Times New Roman" w:hAnsi="Times New Roman"/>
          <w:b/>
          <w:noProof/>
          <w:sz w:val="22"/>
          <w:szCs w:val="22"/>
          <w:lang w:val="lt-LT"/>
        </w:rPr>
        <w:br w:type="page"/>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spacing w:after="0" w:line="240" w:lineRule="auto"/>
        <w:contextualSpacing/>
        <w:outlineLvl w:val="0"/>
        <w:rPr>
          <w:rFonts w:ascii="Times New Roman" w:hAnsi="Times New Roman"/>
          <w:b/>
          <w:lang w:val="lt-LT"/>
        </w:rPr>
      </w:pPr>
    </w:p>
    <w:p w:rsidR="005F37B9" w:rsidRPr="005F37B9" w:rsidRDefault="005F37B9" w:rsidP="005F37B9">
      <w:pPr>
        <w:pStyle w:val="Antrat2"/>
        <w:spacing w:before="0" w:after="0" w:line="240" w:lineRule="auto"/>
        <w:contextualSpacing/>
        <w:jc w:val="center"/>
        <w:rPr>
          <w:rFonts w:ascii="Times New Roman" w:hAnsi="Times New Roman"/>
          <w:i w:val="0"/>
          <w:sz w:val="22"/>
          <w:szCs w:val="22"/>
          <w:lang w:val="lt-LT"/>
        </w:rPr>
      </w:pPr>
    </w:p>
    <w:p w:rsidR="005F37B9" w:rsidRPr="005F37B9" w:rsidRDefault="005F37B9" w:rsidP="005F37B9">
      <w:pPr>
        <w:spacing w:after="0" w:line="240" w:lineRule="auto"/>
        <w:rPr>
          <w:rFonts w:ascii="Times New Roman" w:hAnsi="Times New Roman"/>
          <w:lang w:val="lt-LT" w:eastAsia="x-none"/>
        </w:rPr>
      </w:pPr>
    </w:p>
    <w:p w:rsidR="005F37B9" w:rsidRPr="005F37B9" w:rsidRDefault="005F37B9" w:rsidP="005F37B9">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t>III PRIEDAS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t>ŽENKLINIMAS IR PAKUOTĖS LAPELIS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br w:type="page"/>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t>A. ŽENKLINIMAS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br w:type="page"/>
      </w: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b/>
          <w:lang w:val="lt-LT"/>
        </w:rPr>
      </w:pPr>
      <w:r w:rsidRPr="005F37B9">
        <w:rPr>
          <w:rFonts w:ascii="Times New Roman" w:hAnsi="Times New Roman"/>
          <w:b/>
          <w:noProof/>
          <w:lang w:val="lt-LT"/>
        </w:rPr>
        <w:lastRenderedPageBreak/>
        <w:t>INFORMACIJA ANT IŠORINĖS PAKUOTĖS</w:t>
      </w: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b/>
          <w:lang w:val="lt-LT"/>
        </w:rPr>
      </w:pPr>
      <w:r w:rsidRPr="005F37B9">
        <w:rPr>
          <w:rFonts w:ascii="Times New Roman" w:hAnsi="Times New Roman"/>
          <w:b/>
          <w:noProof/>
          <w:lang w:val="lt-LT"/>
        </w:rPr>
        <w:t>KARTONO DĖŽUTĖ</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1.</w:t>
      </w:r>
      <w:r w:rsidRPr="005F37B9">
        <w:rPr>
          <w:rFonts w:ascii="Times New Roman" w:hAnsi="Times New Roman"/>
          <w:b/>
          <w:lang w:val="lt-LT"/>
        </w:rPr>
        <w:tab/>
      </w:r>
      <w:r w:rsidRPr="005F37B9">
        <w:rPr>
          <w:rFonts w:ascii="Times New Roman" w:hAnsi="Times New Roman"/>
          <w:b/>
          <w:caps/>
          <w:noProof/>
          <w:lang w:val="lt-LT"/>
        </w:rPr>
        <w:t>VAISTINIO</w:t>
      </w:r>
      <w:r w:rsidRPr="005F37B9">
        <w:rPr>
          <w:rFonts w:ascii="Times New Roman" w:hAnsi="Times New Roman"/>
          <w:b/>
          <w:noProof/>
          <w:lang w:val="lt-LT"/>
        </w:rPr>
        <w:t xml:space="preserve"> PREPARATO PAVADINIMAS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mg/80 mg </w:t>
      </w:r>
      <w:r w:rsidRPr="005F37B9">
        <w:rPr>
          <w:rFonts w:ascii="Times New Roman" w:hAnsi="Times New Roman"/>
          <w:lang w:val="lt-LT"/>
        </w:rPr>
        <w:t>plėvele dengtos tabletės</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Sartesta 5 mg/160 mg plėvele dengtos tabletės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highlight w:val="lightGray"/>
          <w:lang w:val="lt-LT"/>
        </w:rPr>
        <w:t>Sartesta 10 mg/160 mg plėv</w:t>
      </w:r>
      <w:r w:rsidR="000F7A17" w:rsidRPr="005F37B9">
        <w:rPr>
          <w:rFonts w:ascii="Times New Roman" w:hAnsi="Times New Roman"/>
          <w:highlight w:val="lightGray"/>
          <w:lang w:val="lt-LT"/>
        </w:rPr>
        <w:t>e</w:t>
      </w:r>
      <w:r w:rsidRPr="005F37B9">
        <w:rPr>
          <w:rFonts w:ascii="Times New Roman" w:hAnsi="Times New Roman"/>
          <w:highlight w:val="lightGray"/>
          <w:lang w:val="lt-LT"/>
        </w:rPr>
        <w:t>le dengtos tabletės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Amlodipinum / Valsartanum</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b/>
          <w:lang w:val="lt-LT"/>
        </w:rPr>
      </w:pPr>
      <w:r w:rsidRPr="005F37B9">
        <w:rPr>
          <w:rFonts w:ascii="Times New Roman" w:hAnsi="Times New Roman"/>
          <w:b/>
          <w:lang w:val="lt-LT"/>
        </w:rPr>
        <w:t>2.</w:t>
      </w:r>
      <w:r w:rsidRPr="005F37B9">
        <w:rPr>
          <w:rFonts w:ascii="Times New Roman" w:hAnsi="Times New Roman"/>
          <w:b/>
          <w:lang w:val="lt-LT"/>
        </w:rPr>
        <w:tab/>
      </w:r>
      <w:r w:rsidRPr="005F37B9">
        <w:rPr>
          <w:rFonts w:ascii="Times New Roman" w:hAnsi="Times New Roman"/>
          <w:b/>
          <w:noProof/>
          <w:lang w:val="lt-LT"/>
        </w:rPr>
        <w:t>VEIKLIOJI (-IOS) MEDŽIAGA (-OS) IR JOS (-Ų) KIEKIS (-IAI)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Kiekvienoje plėvele dengtoje tabletėje yra 5 mg amlodipino (amlodipino maleato pavidalu) ir 80 mg valsartano.</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Kiekvienoje plėvele dengtoje tabletėje yra 5 mg amlodipino (amlodipino maleato pavidalu) ir 160 mg valsartano.</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highlight w:val="lightGray"/>
          <w:lang w:val="lt-LT"/>
        </w:rPr>
        <w:t>Kiekvienoje plėvele dengtoje tabletėje yra 10 mg amlodipino (amlodipino maleato pavidalu) ir 160 mg valsartano.</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3.</w:t>
      </w:r>
      <w:r w:rsidRPr="005F37B9">
        <w:rPr>
          <w:rFonts w:ascii="Times New Roman" w:hAnsi="Times New Roman"/>
          <w:b/>
          <w:lang w:val="lt-LT"/>
        </w:rPr>
        <w:tab/>
      </w:r>
      <w:r w:rsidRPr="005F37B9">
        <w:rPr>
          <w:rFonts w:ascii="Times New Roman" w:hAnsi="Times New Roman"/>
          <w:b/>
          <w:noProof/>
          <w:lang w:val="lt-LT"/>
        </w:rPr>
        <w:t>PAGALBINIŲ MEDŽIAGŲ SĄRAŠAS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4.</w:t>
      </w:r>
      <w:r w:rsidRPr="005F37B9">
        <w:rPr>
          <w:rFonts w:ascii="Times New Roman" w:hAnsi="Times New Roman"/>
          <w:b/>
          <w:lang w:val="lt-LT"/>
        </w:rPr>
        <w:tab/>
      </w:r>
      <w:r w:rsidRPr="005F37B9">
        <w:rPr>
          <w:rFonts w:ascii="Times New Roman" w:hAnsi="Times New Roman"/>
          <w:b/>
          <w:noProof/>
          <w:lang w:val="lt-LT"/>
        </w:rPr>
        <w:t>FARMACINĖ FORMA IR KIEKIS PAKUOTĖJE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plėvėle dengtos tabletės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1 plėvele dengta tabletė</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7 plėvele dengtos tabletės</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14 plėvele dengtų tablečių</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28 plėvele dengtos tabletės</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30 plėvele dengtų tablečių</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56 plėvele dengtos tabletės</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90 plėvele dengtų tablečių</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98 plėvele dengtos tabletės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5.</w:t>
      </w:r>
      <w:r w:rsidRPr="005F37B9">
        <w:rPr>
          <w:rFonts w:ascii="Times New Roman" w:hAnsi="Times New Roman"/>
          <w:b/>
          <w:lang w:val="lt-LT"/>
        </w:rPr>
        <w:tab/>
      </w:r>
      <w:r w:rsidRPr="005F37B9">
        <w:rPr>
          <w:rFonts w:ascii="Times New Roman" w:hAnsi="Times New Roman"/>
          <w:b/>
          <w:noProof/>
          <w:lang w:val="lt-LT"/>
        </w:rPr>
        <w:t>VARTOJIMO METODAS IR BŪDAS (-AI)</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Vartoti per burną.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Prieš vartojimą perskaitykite pakuotės lapelį.</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6.</w:t>
      </w:r>
      <w:r w:rsidRPr="005F37B9">
        <w:rPr>
          <w:rFonts w:ascii="Times New Roman" w:hAnsi="Times New Roman"/>
          <w:b/>
          <w:lang w:val="lt-LT"/>
        </w:rPr>
        <w:tab/>
      </w:r>
      <w:r w:rsidRPr="005F37B9">
        <w:rPr>
          <w:rFonts w:ascii="Times New Roman" w:hAnsi="Times New Roman"/>
          <w:b/>
          <w:noProof/>
          <w:lang w:val="lt-LT"/>
        </w:rPr>
        <w:t>SPECIALUS ĮSPĖJIMAS, KAD VAISTINĮ PREPARATĄ BŪTINA LAIKYTI VAIKAMS NEPASTEBIMOJE IR  NEPASIEKIAMOJE VIETOJE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lastRenderedPageBreak/>
        <w:t>Laikyti vaikams nepastebimoje ir nepasiekiamoje vietoje.</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7.</w:t>
      </w:r>
      <w:r w:rsidRPr="005F37B9">
        <w:rPr>
          <w:rFonts w:ascii="Times New Roman" w:hAnsi="Times New Roman"/>
          <w:b/>
          <w:lang w:val="lt-LT"/>
        </w:rPr>
        <w:tab/>
      </w:r>
      <w:r w:rsidRPr="005F37B9">
        <w:rPr>
          <w:rFonts w:ascii="Times New Roman" w:hAnsi="Times New Roman"/>
          <w:b/>
          <w:noProof/>
          <w:lang w:val="lt-LT"/>
        </w:rPr>
        <w:t>KITAS (-I) SPECIALUS (-ŪS) ĮSPĖJIMAS (-AI) (JEI REIKIA)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8.</w:t>
      </w:r>
      <w:r w:rsidRPr="005F37B9">
        <w:rPr>
          <w:rFonts w:ascii="Times New Roman" w:hAnsi="Times New Roman"/>
          <w:b/>
          <w:lang w:val="lt-LT"/>
        </w:rPr>
        <w:tab/>
      </w:r>
      <w:r w:rsidRPr="005F37B9">
        <w:rPr>
          <w:rFonts w:ascii="Times New Roman" w:hAnsi="Times New Roman"/>
          <w:b/>
          <w:noProof/>
          <w:lang w:val="lt-LT"/>
        </w:rPr>
        <w:t>TINKAMUMO LAIKAS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0F7A17" w:rsidP="005F37B9">
      <w:pPr>
        <w:spacing w:after="0" w:line="240" w:lineRule="auto"/>
        <w:contextualSpacing/>
        <w:rPr>
          <w:rFonts w:ascii="Times New Roman" w:hAnsi="Times New Roman"/>
          <w:lang w:val="lt-LT"/>
        </w:rPr>
      </w:pPr>
      <w:r w:rsidRPr="000F7A17">
        <w:rPr>
          <w:rFonts w:ascii="Times New Roman" w:hAnsi="Times New Roman"/>
          <w:lang w:val="lt-LT"/>
        </w:rPr>
        <w:t xml:space="preserve">EXP: </w:t>
      </w:r>
      <w:r w:rsidR="005F37B9" w:rsidRPr="005F37B9">
        <w:rPr>
          <w:rFonts w:ascii="Times New Roman" w:hAnsi="Times New Roman"/>
          <w:lang w:val="lt-LT"/>
        </w:rPr>
        <w:t>{mm/MMMM}</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hAnsi="Times New Roman"/>
          <w:lang w:val="lt-LT"/>
        </w:rPr>
      </w:pPr>
      <w:r w:rsidRPr="005F37B9">
        <w:rPr>
          <w:rFonts w:ascii="Times New Roman" w:hAnsi="Times New Roman"/>
          <w:b/>
          <w:lang w:val="lt-LT"/>
        </w:rPr>
        <w:t>9.</w:t>
      </w:r>
      <w:r w:rsidRPr="005F37B9">
        <w:rPr>
          <w:rFonts w:ascii="Times New Roman" w:hAnsi="Times New Roman"/>
          <w:b/>
          <w:lang w:val="lt-LT"/>
        </w:rPr>
        <w:tab/>
      </w:r>
      <w:r w:rsidRPr="005F37B9">
        <w:rPr>
          <w:rFonts w:ascii="Times New Roman" w:hAnsi="Times New Roman"/>
          <w:b/>
          <w:noProof/>
          <w:lang w:val="lt-LT"/>
        </w:rPr>
        <w:t>SPECIALIOS LAIKYMO SĄLYGOS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Laikyti ne aukštesnėje kaip 25 °C temperatūroje.</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Laikyti gamintojo pakuotėje, kad vaistas būtų apsaugotas nuo drėgmės.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10.</w:t>
      </w:r>
      <w:r w:rsidRPr="005F37B9">
        <w:rPr>
          <w:rFonts w:ascii="Times New Roman" w:hAnsi="Times New Roman"/>
          <w:b/>
          <w:lang w:val="lt-LT"/>
        </w:rPr>
        <w:tab/>
      </w:r>
      <w:r w:rsidRPr="005F37B9">
        <w:rPr>
          <w:rFonts w:ascii="Times New Roman" w:hAnsi="Times New Roman"/>
          <w:b/>
          <w:noProof/>
          <w:lang w:val="lt-LT"/>
        </w:rPr>
        <w:t>SPECIALIOS ATSARGUMO PRIEMONĖS DĖL NESUVARTOTO VAISTINIO PREPARATO AR JO ATLIEKŲ TVARKYMO (JEI REIKIA)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11.</w:t>
      </w:r>
      <w:r w:rsidRPr="005F37B9">
        <w:rPr>
          <w:rFonts w:ascii="Times New Roman" w:hAnsi="Times New Roman"/>
          <w:b/>
          <w:lang w:val="lt-LT"/>
        </w:rPr>
        <w:tab/>
      </w:r>
      <w:r w:rsidRPr="005F37B9">
        <w:rPr>
          <w:rFonts w:ascii="Times New Roman" w:hAnsi="Times New Roman"/>
          <w:b/>
          <w:caps/>
          <w:noProof/>
          <w:lang w:val="lt-LT"/>
        </w:rPr>
        <w:t xml:space="preserve"> REGISTRUOTOJO PAVADINIMAS IR ADRESAS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Medana Pharma SA</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10, Wł. Łokietka Str.</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98-200 Sieradz</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lang w:val="lt-LT"/>
        </w:rPr>
      </w:pPr>
      <w:r w:rsidRPr="005F37B9">
        <w:rPr>
          <w:rFonts w:ascii="Times New Roman" w:hAnsi="Times New Roman"/>
          <w:b/>
          <w:lang w:val="lt-LT"/>
        </w:rPr>
        <w:t>12.</w:t>
      </w:r>
      <w:r w:rsidRPr="005F37B9">
        <w:rPr>
          <w:rFonts w:ascii="Times New Roman" w:hAnsi="Times New Roman"/>
          <w:b/>
          <w:lang w:val="lt-LT"/>
        </w:rPr>
        <w:tab/>
      </w:r>
      <w:r w:rsidRPr="005F37B9">
        <w:rPr>
          <w:rFonts w:ascii="Times New Roman" w:hAnsi="Times New Roman"/>
          <w:b/>
          <w:noProof/>
          <w:lang w:val="lt-LT"/>
        </w:rPr>
        <w:t>REGISTRACIJOS PAŽYMĖJIMO NUMERIS (-IAI)</w:t>
      </w:r>
      <w:r w:rsidRPr="005F37B9">
        <w:rPr>
          <w:rFonts w:ascii="Times New Roman" w:hAnsi="Times New Roman"/>
          <w:b/>
          <w:lang w:val="lt-LT"/>
        </w:rPr>
        <w:t xml:space="preserve">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0F7A17">
        <w:rPr>
          <w:rFonts w:ascii="Times New Roman" w:hAnsi="Times New Roman"/>
          <w:noProof/>
          <w:highlight w:val="lightGray"/>
          <w:lang w:val="lt-LT"/>
        </w:rPr>
        <w:t>Sartesta 5 mg/80 mg</w:t>
      </w:r>
      <w:r w:rsidRPr="005F37B9">
        <w:rPr>
          <w:rFonts w:ascii="Times New Roman" w:hAnsi="Times New Roman"/>
          <w:noProof/>
          <w:lang w:val="lt-LT"/>
        </w:rPr>
        <w:t xml:space="preserve"> </w:t>
      </w:r>
    </w:p>
    <w:p w:rsidR="005F37B9" w:rsidRPr="005F37B9" w:rsidRDefault="005F37B9" w:rsidP="005F37B9">
      <w:pPr>
        <w:spacing w:after="0" w:line="240" w:lineRule="auto"/>
        <w:rPr>
          <w:rFonts w:ascii="Times New Roman" w:hAnsi="Times New Roman"/>
          <w:bCs/>
          <w:lang w:val="lt-LT"/>
        </w:rPr>
      </w:pPr>
      <w:r w:rsidRPr="005F37B9">
        <w:rPr>
          <w:rFonts w:ascii="Times New Roman" w:hAnsi="Times New Roman"/>
          <w:lang w:val="lt-LT"/>
        </w:rPr>
        <w:t>N1 - LT/1/17/4139/001</w:t>
      </w:r>
      <w:r w:rsidRPr="005F37B9">
        <w:rPr>
          <w:rFonts w:ascii="Times New Roman" w:hAnsi="Times New Roman"/>
          <w:bCs/>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N7 - LT/1/17/4139/002</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N14 - LT/1/17/4139/003</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N28 - LT/1/17/4139/004</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N30 - LT/1/17/4139/005</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N56 - LT/1/17/4139/006</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N90 - LT/1/17/4139/007</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contextualSpacing/>
        <w:rPr>
          <w:rFonts w:ascii="Times New Roman" w:hAnsi="Times New Roman"/>
          <w:bCs/>
          <w:highlight w:val="lightGray"/>
          <w:lang w:val="lt-LT"/>
        </w:rPr>
      </w:pPr>
      <w:r w:rsidRPr="000F7A17">
        <w:rPr>
          <w:rFonts w:ascii="Times New Roman" w:hAnsi="Times New Roman"/>
          <w:highlight w:val="lightGray"/>
          <w:lang w:val="lt-LT"/>
        </w:rPr>
        <w:t>N98 - LT/1/17/4139/008</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contextualSpacing/>
        <w:rPr>
          <w:rFonts w:ascii="Times New Roman" w:hAnsi="Times New Roman"/>
          <w:noProof/>
          <w:highlight w:val="lightGray"/>
          <w:lang w:val="lt-LT"/>
        </w:rPr>
      </w:pPr>
    </w:p>
    <w:p w:rsidR="005F37B9" w:rsidRPr="000F7A17" w:rsidRDefault="005F37B9" w:rsidP="005F37B9">
      <w:pPr>
        <w:spacing w:after="0" w:line="240" w:lineRule="auto"/>
        <w:contextualSpacing/>
        <w:rPr>
          <w:rFonts w:ascii="Times New Roman" w:hAnsi="Times New Roman"/>
          <w:noProof/>
          <w:highlight w:val="lightGray"/>
          <w:lang w:val="lt-LT"/>
        </w:rPr>
      </w:pPr>
      <w:r w:rsidRPr="000F7A17">
        <w:rPr>
          <w:rFonts w:ascii="Times New Roman" w:hAnsi="Times New Roman"/>
          <w:noProof/>
          <w:highlight w:val="lightGray"/>
          <w:lang w:val="lt-LT"/>
        </w:rPr>
        <w:t xml:space="preserve">Sartesta 5 mg/160 mg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N1 - LT/1/17/4139/009</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N7 - LT/1/17/4139/010</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N14 - LT/1/17/4139/011</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N28 - LT/1/17/4139/012</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N30 - LT/1/17/4139/013</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N56 - LT/1/17/4139/014</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N90 - LT/1/17/4139/015</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contextualSpacing/>
        <w:rPr>
          <w:rFonts w:ascii="Times New Roman" w:hAnsi="Times New Roman"/>
          <w:bCs/>
          <w:highlight w:val="lightGray"/>
          <w:lang w:val="lt-LT"/>
        </w:rPr>
      </w:pPr>
      <w:r w:rsidRPr="000F7A17">
        <w:rPr>
          <w:rFonts w:ascii="Times New Roman" w:hAnsi="Times New Roman"/>
          <w:highlight w:val="lightGray"/>
          <w:lang w:val="lt-LT"/>
        </w:rPr>
        <w:t>N98 - LT/1/17/4139/016</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contextualSpacing/>
        <w:rPr>
          <w:rFonts w:ascii="Times New Roman" w:hAnsi="Times New Roman"/>
          <w:noProof/>
          <w:highlight w:val="lightGray"/>
          <w:lang w:val="lt-LT"/>
        </w:rPr>
      </w:pPr>
    </w:p>
    <w:p w:rsidR="005F37B9" w:rsidRPr="000F7A17" w:rsidRDefault="005F37B9" w:rsidP="005F37B9">
      <w:pPr>
        <w:spacing w:after="0" w:line="240" w:lineRule="auto"/>
        <w:contextualSpacing/>
        <w:rPr>
          <w:rFonts w:ascii="Times New Roman" w:hAnsi="Times New Roman"/>
          <w:noProof/>
          <w:highlight w:val="lightGray"/>
          <w:lang w:val="lt-LT"/>
        </w:rPr>
      </w:pPr>
      <w:r w:rsidRPr="000F7A17">
        <w:rPr>
          <w:rFonts w:ascii="Times New Roman" w:hAnsi="Times New Roman"/>
          <w:noProof/>
          <w:highlight w:val="lightGray"/>
          <w:lang w:val="lt-LT"/>
        </w:rPr>
        <w:t xml:space="preserve">Sartesta 10 mg/160 mg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lastRenderedPageBreak/>
        <w:t>N1 - LT/1/17/4139/017</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N7 - LT/1/17/4139/018</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N14 - LT/1/17/4139/019</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N28 - LT/1/17/4139/020</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N30 - LT/1/17/4139/021</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N56 - LT/1/17/4139/022</w:t>
      </w:r>
      <w:r w:rsidRPr="000F7A17">
        <w:rPr>
          <w:rFonts w:ascii="Times New Roman" w:hAnsi="Times New Roman"/>
          <w:bCs/>
          <w:highlight w:val="lightGray"/>
          <w:lang w:val="lt-LT"/>
        </w:rPr>
        <w:t xml:space="preserve"> </w:t>
      </w:r>
    </w:p>
    <w:p w:rsidR="005F37B9" w:rsidRPr="000F7A17" w:rsidRDefault="005F37B9" w:rsidP="005F37B9">
      <w:pPr>
        <w:spacing w:after="0" w:line="240" w:lineRule="auto"/>
        <w:rPr>
          <w:rFonts w:ascii="Times New Roman" w:hAnsi="Times New Roman"/>
          <w:bCs/>
          <w:highlight w:val="lightGray"/>
          <w:lang w:val="lt-LT"/>
        </w:rPr>
      </w:pPr>
      <w:r w:rsidRPr="000F7A17">
        <w:rPr>
          <w:rFonts w:ascii="Times New Roman" w:hAnsi="Times New Roman"/>
          <w:highlight w:val="lightGray"/>
          <w:lang w:val="lt-LT"/>
        </w:rPr>
        <w:t>N90 - LT/1/17/4139/023</w:t>
      </w:r>
      <w:r w:rsidRPr="000F7A17">
        <w:rPr>
          <w:rFonts w:ascii="Times New Roman" w:hAnsi="Times New Roman"/>
          <w:bCs/>
          <w:highlight w:val="lightGray"/>
          <w:lang w:val="lt-LT"/>
        </w:rPr>
        <w:t xml:space="preserve"> </w:t>
      </w:r>
    </w:p>
    <w:p w:rsidR="005F37B9" w:rsidRPr="005F37B9" w:rsidRDefault="005F37B9" w:rsidP="005F37B9">
      <w:pPr>
        <w:spacing w:after="0" w:line="240" w:lineRule="auto"/>
        <w:contextualSpacing/>
        <w:rPr>
          <w:rFonts w:ascii="Times New Roman" w:hAnsi="Times New Roman"/>
          <w:bCs/>
          <w:lang w:val="lt-LT"/>
        </w:rPr>
      </w:pPr>
      <w:r w:rsidRPr="000F7A17">
        <w:rPr>
          <w:rFonts w:ascii="Times New Roman" w:hAnsi="Times New Roman"/>
          <w:highlight w:val="lightGray"/>
          <w:lang w:val="lt-LT"/>
        </w:rPr>
        <w:t>N98 - LT/1/17/4139/024</w:t>
      </w:r>
      <w:r w:rsidRPr="005F37B9">
        <w:rPr>
          <w:rFonts w:ascii="Times New Roman" w:hAnsi="Times New Roman"/>
          <w:bCs/>
          <w:lang w:val="lt-LT"/>
        </w:rPr>
        <w:t xml:space="preserve">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lang w:val="lt-LT"/>
        </w:rPr>
      </w:pPr>
      <w:r w:rsidRPr="005F37B9">
        <w:rPr>
          <w:rFonts w:ascii="Times New Roman" w:hAnsi="Times New Roman"/>
          <w:b/>
          <w:lang w:val="lt-LT"/>
        </w:rPr>
        <w:t>13.</w:t>
      </w:r>
      <w:r w:rsidRPr="005F37B9">
        <w:rPr>
          <w:rFonts w:ascii="Times New Roman" w:hAnsi="Times New Roman"/>
          <w:b/>
          <w:lang w:val="lt-LT"/>
        </w:rPr>
        <w:tab/>
      </w:r>
      <w:r w:rsidRPr="005F37B9">
        <w:rPr>
          <w:rFonts w:ascii="Times New Roman" w:hAnsi="Times New Roman"/>
          <w:b/>
          <w:noProof/>
          <w:lang w:val="lt-LT"/>
        </w:rPr>
        <w:t xml:space="preserve">SERIJOS NUMERIS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0F7A17" w:rsidP="005F37B9">
      <w:pPr>
        <w:spacing w:after="0" w:line="240" w:lineRule="auto"/>
        <w:contextualSpacing/>
        <w:rPr>
          <w:rFonts w:ascii="Times New Roman" w:hAnsi="Times New Roman"/>
          <w:lang w:val="lt-LT"/>
        </w:rPr>
      </w:pPr>
      <w:r w:rsidRPr="000F7A17">
        <w:rPr>
          <w:rFonts w:ascii="Times New Roman" w:hAnsi="Times New Roman"/>
          <w:lang w:val="lt-LT"/>
        </w:rPr>
        <w:t>Lot:</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lang w:val="lt-LT"/>
        </w:rPr>
      </w:pPr>
      <w:r w:rsidRPr="005F37B9">
        <w:rPr>
          <w:rFonts w:ascii="Times New Roman" w:hAnsi="Times New Roman"/>
          <w:b/>
          <w:lang w:val="lt-LT"/>
        </w:rPr>
        <w:t>14.</w:t>
      </w:r>
      <w:r w:rsidRPr="005F37B9">
        <w:rPr>
          <w:rFonts w:ascii="Times New Roman" w:hAnsi="Times New Roman"/>
          <w:b/>
          <w:lang w:val="lt-LT"/>
        </w:rPr>
        <w:tab/>
      </w:r>
      <w:r w:rsidRPr="005F37B9">
        <w:rPr>
          <w:rFonts w:ascii="Times New Roman" w:hAnsi="Times New Roman"/>
          <w:b/>
          <w:noProof/>
          <w:lang w:val="lt-LT"/>
        </w:rPr>
        <w:t>PARDAVIMO (IŠDAVIMO) TVARKA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Receptinis vaistas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2" w:color="auto"/>
          <w:left w:val="single" w:sz="4" w:space="4" w:color="auto"/>
          <w:bottom w:val="single" w:sz="4" w:space="1" w:color="auto"/>
          <w:right w:val="single" w:sz="4" w:space="4" w:color="auto"/>
        </w:pBdr>
        <w:spacing w:after="0" w:line="240" w:lineRule="auto"/>
        <w:contextualSpacing/>
        <w:outlineLvl w:val="0"/>
        <w:rPr>
          <w:rFonts w:ascii="Times New Roman" w:hAnsi="Times New Roman"/>
          <w:lang w:val="lt-LT"/>
        </w:rPr>
      </w:pPr>
      <w:r w:rsidRPr="005F37B9">
        <w:rPr>
          <w:rFonts w:ascii="Times New Roman" w:hAnsi="Times New Roman"/>
          <w:b/>
          <w:lang w:val="lt-LT"/>
        </w:rPr>
        <w:t>15.</w:t>
      </w:r>
      <w:r w:rsidRPr="005F37B9">
        <w:rPr>
          <w:rFonts w:ascii="Times New Roman" w:hAnsi="Times New Roman"/>
          <w:b/>
          <w:lang w:val="lt-LT"/>
        </w:rPr>
        <w:tab/>
      </w:r>
      <w:r w:rsidRPr="005F37B9">
        <w:rPr>
          <w:rFonts w:ascii="Times New Roman" w:hAnsi="Times New Roman"/>
          <w:b/>
          <w:noProof/>
          <w:lang w:val="lt-LT"/>
        </w:rPr>
        <w:t>VARTOJIMO INSTRUKCIJA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0" w:color="auto"/>
          <w:right w:val="single" w:sz="4" w:space="4" w:color="auto"/>
        </w:pBdr>
        <w:spacing w:after="0" w:line="240" w:lineRule="auto"/>
        <w:contextualSpacing/>
        <w:rPr>
          <w:rFonts w:ascii="Times New Roman" w:hAnsi="Times New Roman"/>
          <w:lang w:val="lt-LT"/>
        </w:rPr>
      </w:pPr>
      <w:r w:rsidRPr="005F37B9">
        <w:rPr>
          <w:rFonts w:ascii="Times New Roman" w:hAnsi="Times New Roman"/>
          <w:b/>
          <w:lang w:val="lt-LT"/>
        </w:rPr>
        <w:t>16.</w:t>
      </w:r>
      <w:r w:rsidRPr="005F37B9">
        <w:rPr>
          <w:rFonts w:ascii="Times New Roman" w:hAnsi="Times New Roman"/>
          <w:b/>
          <w:lang w:val="lt-LT"/>
        </w:rPr>
        <w:tab/>
      </w:r>
      <w:r w:rsidRPr="005F37B9">
        <w:rPr>
          <w:rFonts w:ascii="Times New Roman" w:hAnsi="Times New Roman"/>
          <w:b/>
          <w:noProof/>
          <w:lang w:val="lt-LT"/>
        </w:rPr>
        <w:t>INFORMACIJA BRAILIO RAŠTU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 xml:space="preserve">Sartesta 5 mg/80 mg </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 xml:space="preserve">Sartesta 5 mg/160 mg </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highlight w:val="lightGray"/>
          <w:lang w:val="lt-LT"/>
        </w:rPr>
        <w:t xml:space="preserve">Sartesta 10 mg/160 mg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shd w:val="clear" w:color="auto" w:fill="CCCCCC"/>
          <w:lang w:val="lt-LT"/>
        </w:rPr>
      </w:pPr>
    </w:p>
    <w:p w:rsidR="005F37B9" w:rsidRPr="005F37B9" w:rsidRDefault="005F37B9" w:rsidP="005F37B9">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F37B9">
        <w:rPr>
          <w:rFonts w:ascii="Times New Roman" w:hAnsi="Times New Roman"/>
          <w:b/>
          <w:noProof/>
          <w:lang w:val="lt-LT"/>
        </w:rPr>
        <w:t>17.</w:t>
      </w:r>
      <w:r w:rsidRPr="005F37B9">
        <w:rPr>
          <w:rFonts w:ascii="Times New Roman" w:hAnsi="Times New Roman"/>
          <w:b/>
          <w:noProof/>
          <w:lang w:val="lt-LT"/>
        </w:rPr>
        <w:tab/>
        <w:t>UNIKALUS IDENTIFIKATORIUS – 2D BRŪKŠNINIS KODAS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shd w:val="clear" w:color="auto" w:fill="CCCCCC"/>
          <w:lang w:val="lt-LT"/>
        </w:rPr>
      </w:pPr>
      <w:r w:rsidRPr="005F37B9">
        <w:rPr>
          <w:rFonts w:ascii="Times New Roman" w:hAnsi="Times New Roman"/>
          <w:highlight w:val="lightGray"/>
          <w:lang w:val="lt-LT"/>
        </w:rPr>
        <w:t>2D brūkšninis kodas su nurodytu unikaliu identifikatoriumi.</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lang w:val="lt-LT"/>
        </w:rPr>
      </w:pPr>
      <w:r w:rsidRPr="005F37B9">
        <w:rPr>
          <w:rFonts w:ascii="Times New Roman" w:hAnsi="Times New Roman"/>
          <w:b/>
          <w:noProof/>
          <w:lang w:val="lt-LT"/>
        </w:rPr>
        <w:t>18.</w:t>
      </w:r>
      <w:r w:rsidRPr="005F37B9">
        <w:rPr>
          <w:rFonts w:ascii="Times New Roman" w:hAnsi="Times New Roman"/>
          <w:b/>
          <w:noProof/>
          <w:lang w:val="lt-LT"/>
        </w:rPr>
        <w:tab/>
        <w:t>UNIKALUS IDENTIFIKATORIUS – ŽMONĖMS SUPRANTAMI DUOMENYS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PC: {numeris}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SN: {numeris}</w:t>
      </w:r>
    </w:p>
    <w:p w:rsidR="005F37B9" w:rsidRPr="005F37B9" w:rsidRDefault="005F37B9" w:rsidP="005F37B9">
      <w:pPr>
        <w:spacing w:after="0" w:line="240" w:lineRule="auto"/>
        <w:contextualSpacing/>
        <w:rPr>
          <w:rFonts w:ascii="Times New Roman" w:hAnsi="Times New Roman"/>
          <w:noProof/>
          <w:vanish/>
          <w:lang w:val="lt-LT"/>
        </w:rPr>
      </w:pPr>
      <w:r w:rsidRPr="005F37B9">
        <w:rPr>
          <w:rFonts w:ascii="Times New Roman" w:hAnsi="Times New Roman"/>
          <w:highlight w:val="lightGray"/>
          <w:lang w:val="lt-LT"/>
        </w:rPr>
        <w:t>NN: {numeris}</w:t>
      </w:r>
    </w:p>
    <w:p w:rsidR="005F37B9" w:rsidRPr="005F37B9" w:rsidRDefault="005F37B9" w:rsidP="005F37B9">
      <w:pPr>
        <w:spacing w:after="0" w:line="240" w:lineRule="auto"/>
        <w:contextualSpacing/>
        <w:rPr>
          <w:rFonts w:ascii="Times New Roman" w:hAnsi="Times New Roman"/>
          <w:noProof/>
          <w:vanish/>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br w:type="page"/>
      </w:r>
    </w:p>
    <w:p w:rsidR="005F37B9" w:rsidRPr="005F37B9" w:rsidRDefault="005F37B9" w:rsidP="005F37B9">
      <w:pPr>
        <w:pBdr>
          <w:top w:val="single" w:sz="4" w:space="1" w:color="auto"/>
          <w:left w:val="single" w:sz="4" w:space="4" w:color="auto"/>
          <w:bottom w:val="single" w:sz="4" w:space="1" w:color="auto"/>
          <w:right w:val="single" w:sz="4" w:space="4" w:color="auto"/>
        </w:pBdr>
        <w:tabs>
          <w:tab w:val="left" w:pos="0"/>
        </w:tabs>
        <w:spacing w:after="0" w:line="240" w:lineRule="auto"/>
        <w:contextualSpacing/>
        <w:rPr>
          <w:rFonts w:ascii="Times New Roman" w:hAnsi="Times New Roman"/>
          <w:b/>
          <w:noProof/>
          <w:lang w:val="lt-LT"/>
        </w:rPr>
      </w:pPr>
      <w:r w:rsidRPr="005F37B9">
        <w:rPr>
          <w:rFonts w:ascii="Times New Roman" w:hAnsi="Times New Roman"/>
          <w:b/>
          <w:noProof/>
          <w:lang w:val="lt-LT"/>
        </w:rPr>
        <w:lastRenderedPageBreak/>
        <w:t>MINIMALI INFORMACIJA ANT LIZDINIŲ PLOKŠTELIŲ ARBA DVISLUOKSNIŲ JUOSTELIŲ</w:t>
      </w: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noProof/>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b/>
          <w:lang w:val="lt-LT"/>
        </w:rPr>
      </w:pPr>
      <w:r w:rsidRPr="005F37B9">
        <w:rPr>
          <w:rFonts w:ascii="Times New Roman" w:hAnsi="Times New Roman"/>
          <w:b/>
          <w:noProof/>
          <w:lang w:val="lt-LT"/>
        </w:rPr>
        <w:t>LIZDINĖ PLOKŠTELĖ</w:t>
      </w:r>
      <w:r w:rsidRPr="005F37B9">
        <w:rPr>
          <w:rFonts w:ascii="Times New Roman" w:hAnsi="Times New Roman"/>
          <w:b/>
          <w:lang w:val="lt-LT"/>
        </w:rPr>
        <w:t xml:space="preserve"> </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1.</w:t>
      </w:r>
      <w:r w:rsidRPr="005F37B9">
        <w:rPr>
          <w:rFonts w:ascii="Times New Roman" w:hAnsi="Times New Roman"/>
          <w:b/>
          <w:lang w:val="lt-LT"/>
        </w:rPr>
        <w:tab/>
      </w:r>
      <w:r w:rsidRPr="005F37B9">
        <w:rPr>
          <w:rFonts w:ascii="Times New Roman" w:hAnsi="Times New Roman"/>
          <w:b/>
          <w:caps/>
          <w:noProof/>
          <w:lang w:val="lt-LT"/>
        </w:rPr>
        <w:t>VAISTINIO</w:t>
      </w:r>
      <w:r w:rsidRPr="005F37B9">
        <w:rPr>
          <w:rFonts w:ascii="Times New Roman" w:hAnsi="Times New Roman"/>
          <w:b/>
          <w:noProof/>
          <w:lang w:val="lt-LT"/>
        </w:rPr>
        <w:t xml:space="preserve"> PREPARATO PAVADINIMAS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Sartesta 5 mg/80 mg plėvele dengtos tabletės</w:t>
      </w:r>
    </w:p>
    <w:p w:rsidR="005F37B9" w:rsidRPr="005F37B9" w:rsidRDefault="005F37B9" w:rsidP="005F37B9">
      <w:pPr>
        <w:spacing w:after="0" w:line="240" w:lineRule="auto"/>
        <w:contextualSpacing/>
        <w:rPr>
          <w:rFonts w:ascii="Times New Roman" w:hAnsi="Times New Roman"/>
          <w:highlight w:val="lightGray"/>
          <w:lang w:val="lt-LT"/>
        </w:rPr>
      </w:pPr>
      <w:r w:rsidRPr="005F37B9">
        <w:rPr>
          <w:rFonts w:ascii="Times New Roman" w:hAnsi="Times New Roman"/>
          <w:highlight w:val="lightGray"/>
          <w:lang w:val="lt-LT"/>
        </w:rPr>
        <w:t>Sartesta 5 mg/160 mg plėvele dengtos tabletės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highlight w:val="lightGray"/>
          <w:lang w:val="lt-LT"/>
        </w:rPr>
        <w:t>Sartesta 10 mg/160 mg plėv</w:t>
      </w:r>
      <w:r w:rsidR="000F7A17" w:rsidRPr="005F37B9">
        <w:rPr>
          <w:rFonts w:ascii="Times New Roman" w:hAnsi="Times New Roman"/>
          <w:highlight w:val="lightGray"/>
          <w:lang w:val="lt-LT"/>
        </w:rPr>
        <w:t>e</w:t>
      </w:r>
      <w:r w:rsidRPr="005F37B9">
        <w:rPr>
          <w:rFonts w:ascii="Times New Roman" w:hAnsi="Times New Roman"/>
          <w:highlight w:val="lightGray"/>
          <w:lang w:val="lt-LT"/>
        </w:rPr>
        <w:t>le dengtos tabletės</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noProof/>
          <w:lang w:val="lt-LT"/>
        </w:rPr>
        <w:t>Amlodipinum / Valsartanum</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2.</w:t>
      </w:r>
      <w:r w:rsidRPr="005F37B9">
        <w:rPr>
          <w:rFonts w:ascii="Times New Roman" w:hAnsi="Times New Roman"/>
          <w:b/>
          <w:lang w:val="lt-LT"/>
        </w:rPr>
        <w:tab/>
      </w:r>
      <w:r w:rsidRPr="005F37B9">
        <w:rPr>
          <w:rFonts w:ascii="Times New Roman" w:hAnsi="Times New Roman"/>
          <w:b/>
          <w:caps/>
          <w:noProof/>
          <w:lang w:val="lt-LT"/>
        </w:rPr>
        <w:t>REGISTRUOTOJO pavadinimas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Medana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2"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3.</w:t>
      </w:r>
      <w:r w:rsidRPr="005F37B9">
        <w:rPr>
          <w:rFonts w:ascii="Times New Roman" w:hAnsi="Times New Roman"/>
          <w:b/>
          <w:lang w:val="lt-LT"/>
        </w:rPr>
        <w:tab/>
      </w:r>
      <w:r w:rsidRPr="005F37B9">
        <w:rPr>
          <w:rFonts w:ascii="Times New Roman" w:hAnsi="Times New Roman"/>
          <w:b/>
          <w:noProof/>
          <w:lang w:val="lt-LT"/>
        </w:rPr>
        <w:t>TINKAMUMO LAIKAS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Style w:val="BTEMEASMCA"/>
      </w:pPr>
      <w:r w:rsidRPr="005F37B9">
        <w:t xml:space="preserve">EXP </w:t>
      </w:r>
      <w:r w:rsidRPr="005F37B9">
        <w:rPr>
          <w:snapToGrid w:val="0"/>
        </w:rPr>
        <w:t>{mm/MMMM}</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4.</w:t>
      </w:r>
      <w:r w:rsidRPr="005F37B9">
        <w:rPr>
          <w:rFonts w:ascii="Times New Roman" w:hAnsi="Times New Roman"/>
          <w:b/>
          <w:lang w:val="lt-LT"/>
        </w:rPr>
        <w:tab/>
      </w:r>
      <w:r w:rsidRPr="005F37B9">
        <w:rPr>
          <w:rFonts w:ascii="Times New Roman" w:hAnsi="Times New Roman"/>
          <w:b/>
          <w:noProof/>
          <w:lang w:val="lt-LT"/>
        </w:rPr>
        <w:t>SERIJOS NUMERIS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b/>
          <w:lang w:val="lt-LT"/>
        </w:rPr>
      </w:pPr>
      <w:r w:rsidRPr="005F37B9">
        <w:rPr>
          <w:rFonts w:ascii="Times New Roman" w:hAnsi="Times New Roman"/>
          <w:lang w:val="lt-LT"/>
        </w:rPr>
        <w:t>Lot</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lang w:val="lt-LT"/>
        </w:rPr>
      </w:pPr>
      <w:r w:rsidRPr="005F37B9">
        <w:rPr>
          <w:rFonts w:ascii="Times New Roman" w:hAnsi="Times New Roman"/>
          <w:b/>
          <w:lang w:val="lt-LT"/>
        </w:rPr>
        <w:t>5.</w:t>
      </w:r>
      <w:r w:rsidRPr="005F37B9">
        <w:rPr>
          <w:rFonts w:ascii="Times New Roman" w:hAnsi="Times New Roman"/>
          <w:b/>
          <w:lang w:val="lt-LT"/>
        </w:rPr>
        <w:tab/>
      </w:r>
      <w:r w:rsidRPr="005F37B9">
        <w:rPr>
          <w:rFonts w:ascii="Times New Roman" w:hAnsi="Times New Roman"/>
          <w:b/>
          <w:noProof/>
          <w:lang w:val="lt-LT"/>
        </w:rPr>
        <w:t>KITA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r w:rsidRPr="005F37B9">
        <w:rPr>
          <w:rFonts w:ascii="Times New Roman" w:hAnsi="Times New Roman"/>
          <w:lang w:val="lt-LT"/>
        </w:rPr>
        <w:br w:type="page"/>
      </w: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outlineLvl w:val="0"/>
        <w:rPr>
          <w:rFonts w:ascii="Times New Roman" w:hAnsi="Times New Roman"/>
          <w:lang w:val="lt-LT"/>
        </w:rPr>
      </w:pPr>
    </w:p>
    <w:p w:rsidR="005F37B9" w:rsidRPr="005F37B9" w:rsidRDefault="005F37B9" w:rsidP="005F37B9">
      <w:pPr>
        <w:spacing w:after="0" w:line="240" w:lineRule="auto"/>
        <w:contextualSpacing/>
        <w:jc w:val="center"/>
        <w:outlineLvl w:val="0"/>
        <w:rPr>
          <w:rFonts w:ascii="Times New Roman" w:hAnsi="Times New Roman"/>
          <w:b/>
          <w:lang w:val="lt-LT"/>
        </w:rPr>
      </w:pPr>
      <w:r w:rsidRPr="005F37B9">
        <w:rPr>
          <w:rFonts w:ascii="Times New Roman" w:hAnsi="Times New Roman"/>
          <w:b/>
          <w:lang w:val="lt-LT"/>
        </w:rPr>
        <w:t>B. PAKUOTĖS LAPELIS</w:t>
      </w:r>
    </w:p>
    <w:p w:rsidR="005F37B9" w:rsidRPr="005F37B9" w:rsidRDefault="005F37B9" w:rsidP="005F37B9">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br w:type="page"/>
      </w:r>
      <w:r w:rsidRPr="005F37B9">
        <w:rPr>
          <w:rFonts w:ascii="Times New Roman" w:hAnsi="Times New Roman"/>
          <w:i w:val="0"/>
          <w:sz w:val="22"/>
          <w:szCs w:val="22"/>
          <w:lang w:val="lt-LT"/>
        </w:rPr>
        <w:lastRenderedPageBreak/>
        <w:t>Pakuotės lapelis:</w:t>
      </w:r>
      <w:r w:rsidRPr="005F37B9">
        <w:rPr>
          <w:rFonts w:ascii="Times New Roman" w:hAnsi="Times New Roman"/>
          <w:bCs w:val="0"/>
          <w:i w:val="0"/>
          <w:iCs w:val="0"/>
          <w:sz w:val="22"/>
          <w:szCs w:val="22"/>
          <w:lang w:val="lt-LT"/>
        </w:rPr>
        <w:t xml:space="preserve"> </w:t>
      </w:r>
      <w:r w:rsidRPr="005F37B9">
        <w:rPr>
          <w:rFonts w:ascii="Times New Roman" w:hAnsi="Times New Roman"/>
          <w:i w:val="0"/>
          <w:sz w:val="22"/>
          <w:szCs w:val="22"/>
          <w:lang w:val="lt-LT"/>
        </w:rPr>
        <w:t>informacija pacientui</w:t>
      </w:r>
    </w:p>
    <w:p w:rsidR="005F37B9" w:rsidRPr="005F37B9" w:rsidRDefault="005F37B9" w:rsidP="005F37B9">
      <w:pPr>
        <w:numPr>
          <w:ilvl w:val="12"/>
          <w:numId w:val="0"/>
        </w:numPr>
        <w:shd w:val="clear" w:color="auto" w:fill="FFFFFF"/>
        <w:spacing w:after="0" w:line="240" w:lineRule="auto"/>
        <w:contextualSpacing/>
        <w:jc w:val="center"/>
        <w:rPr>
          <w:rFonts w:ascii="Times New Roman" w:hAnsi="Times New Roman"/>
          <w:lang w:val="lt-LT"/>
        </w:rPr>
      </w:pPr>
    </w:p>
    <w:p w:rsidR="005F37B9" w:rsidRPr="005F37B9" w:rsidRDefault="005F37B9" w:rsidP="005F37B9">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5 mg/80 mg plėvele dengtos tabletės</w:t>
      </w:r>
    </w:p>
    <w:p w:rsidR="005F37B9" w:rsidRPr="005F37B9" w:rsidRDefault="005F37B9" w:rsidP="005F37B9">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5 mg/160 mg plėvele dengtos tabletės</w:t>
      </w:r>
    </w:p>
    <w:p w:rsidR="005F37B9" w:rsidRPr="005F37B9" w:rsidRDefault="005F37B9" w:rsidP="005F37B9">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10 mg/160 mg plėv</w:t>
      </w:r>
      <w:r w:rsidR="009303B7" w:rsidRPr="005F37B9">
        <w:rPr>
          <w:rFonts w:ascii="Times New Roman" w:hAnsi="Times New Roman"/>
          <w:b/>
          <w:noProof/>
          <w:lang w:val="lt-LT"/>
        </w:rPr>
        <w:t>e</w:t>
      </w:r>
      <w:r w:rsidRPr="005F37B9">
        <w:rPr>
          <w:rFonts w:ascii="Times New Roman" w:hAnsi="Times New Roman"/>
          <w:b/>
          <w:noProof/>
          <w:lang w:val="lt-LT"/>
        </w:rPr>
        <w:t>le dengtos tabletės</w:t>
      </w:r>
    </w:p>
    <w:p w:rsidR="005F37B9" w:rsidRPr="005F37B9" w:rsidRDefault="005F37B9" w:rsidP="005F37B9">
      <w:pPr>
        <w:spacing w:after="0" w:line="240" w:lineRule="auto"/>
        <w:contextualSpacing/>
        <w:jc w:val="center"/>
        <w:rPr>
          <w:rFonts w:ascii="Times New Roman" w:hAnsi="Times New Roman"/>
          <w:lang w:val="lt-LT"/>
        </w:rPr>
      </w:pPr>
      <w:r w:rsidRPr="005F37B9">
        <w:rPr>
          <w:rFonts w:ascii="Times New Roman" w:hAnsi="Times New Roman"/>
          <w:noProof/>
          <w:lang w:val="lt-LT"/>
        </w:rPr>
        <w:t>Amlodipinas / Valsartanas</w:t>
      </w:r>
    </w:p>
    <w:p w:rsidR="005F37B9" w:rsidRPr="005F37B9" w:rsidRDefault="005F37B9" w:rsidP="005F37B9">
      <w:pPr>
        <w:suppressAutoHyphens/>
        <w:spacing w:after="0" w:line="240" w:lineRule="auto"/>
        <w:ind w:left="142" w:hanging="142"/>
        <w:contextualSpacing/>
        <w:rPr>
          <w:rFonts w:ascii="Times New Roman" w:hAnsi="Times New Roman"/>
          <w:noProof/>
          <w:lang w:val="lt-LT"/>
        </w:rPr>
      </w:pPr>
    </w:p>
    <w:p w:rsidR="005F37B9" w:rsidRPr="005F37B9" w:rsidRDefault="005F37B9" w:rsidP="005F37B9">
      <w:pPr>
        <w:suppressAutoHyphens/>
        <w:spacing w:after="0" w:line="240" w:lineRule="auto"/>
        <w:contextualSpacing/>
        <w:rPr>
          <w:rFonts w:ascii="Times New Roman" w:hAnsi="Times New Roman"/>
          <w:lang w:val="lt-LT"/>
        </w:rPr>
      </w:pPr>
      <w:r w:rsidRPr="005F37B9">
        <w:rPr>
          <w:rFonts w:ascii="Times New Roman" w:hAnsi="Times New Roman"/>
          <w:b/>
          <w:noProof/>
          <w:lang w:val="lt-LT"/>
        </w:rPr>
        <w:t>Atidžiai perskaitykite visą šį lapelį, prieš pradėdami vartoti vaistą, nes jame pateikiama Jums svarbi informacija.</w:t>
      </w:r>
    </w:p>
    <w:p w:rsidR="005F37B9" w:rsidRPr="005F37B9" w:rsidRDefault="005F37B9" w:rsidP="005F37B9">
      <w:pPr>
        <w:numPr>
          <w:ilvl w:val="0"/>
          <w:numId w:val="3"/>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Neišmeskite šio lapelio, nes vėl gali prireikti jį perskaityti.</w:t>
      </w:r>
      <w:r w:rsidRPr="005F37B9">
        <w:rPr>
          <w:rFonts w:ascii="Times New Roman" w:hAnsi="Times New Roman"/>
          <w:lang w:val="lt-LT"/>
        </w:rPr>
        <w:t xml:space="preserve"> </w:t>
      </w:r>
    </w:p>
    <w:p w:rsidR="005F37B9" w:rsidRPr="005F37B9" w:rsidRDefault="005F37B9" w:rsidP="005F37B9">
      <w:pPr>
        <w:numPr>
          <w:ilvl w:val="0"/>
          <w:numId w:val="3"/>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Jeigu kiltų daugiau klausimų, kreipkitės į gydytoją arba vaistininką.</w:t>
      </w:r>
    </w:p>
    <w:p w:rsidR="005F37B9" w:rsidRPr="005F37B9" w:rsidRDefault="005F37B9" w:rsidP="005F37B9">
      <w:pPr>
        <w:spacing w:after="0" w:line="240" w:lineRule="auto"/>
        <w:ind w:left="567" w:right="-2" w:hanging="567"/>
        <w:contextualSpacing/>
        <w:rPr>
          <w:rFonts w:ascii="Times New Roman" w:hAnsi="Times New Roman"/>
          <w:lang w:val="lt-LT"/>
        </w:rPr>
      </w:pPr>
      <w:r w:rsidRPr="005F37B9">
        <w:rPr>
          <w:rFonts w:ascii="Times New Roman" w:hAnsi="Times New Roman"/>
          <w:lang w:val="lt-LT"/>
        </w:rPr>
        <w:t>-</w:t>
      </w:r>
      <w:r w:rsidRPr="005F37B9">
        <w:rPr>
          <w:rFonts w:ascii="Times New Roman" w:hAnsi="Times New Roman"/>
          <w:lang w:val="lt-LT"/>
        </w:rPr>
        <w:tab/>
      </w:r>
      <w:r w:rsidRPr="005F37B9">
        <w:rPr>
          <w:rFonts w:ascii="Times New Roman" w:hAnsi="Times New Roman"/>
          <w:noProof/>
          <w:lang w:val="lt-LT"/>
        </w:rPr>
        <w:t>Šis vaistas skirtas tik Jums, todėl kitiems žmonėms jo duoti negalima.</w:t>
      </w:r>
      <w:r w:rsidRPr="005F37B9">
        <w:rPr>
          <w:rFonts w:ascii="Times New Roman" w:hAnsi="Times New Roman"/>
          <w:lang w:val="lt-LT"/>
        </w:rPr>
        <w:t xml:space="preserve"> </w:t>
      </w:r>
      <w:r w:rsidRPr="005F37B9">
        <w:rPr>
          <w:rFonts w:ascii="Times New Roman" w:hAnsi="Times New Roman"/>
          <w:noProof/>
          <w:lang w:val="lt-LT"/>
        </w:rPr>
        <w:t>Vaistas gali jiems pakenkti (net tiems, kurių ligos požymiai yra tokie patys kaip Jūsų).</w:t>
      </w:r>
    </w:p>
    <w:p w:rsidR="005F37B9" w:rsidRPr="005F37B9" w:rsidRDefault="005F37B9" w:rsidP="005F37B9">
      <w:pPr>
        <w:numPr>
          <w:ilvl w:val="0"/>
          <w:numId w:val="3"/>
        </w:numPr>
        <w:tabs>
          <w:tab w:val="left" w:pos="567"/>
        </w:tabs>
        <w:spacing w:after="0" w:line="240" w:lineRule="auto"/>
        <w:ind w:left="567" w:hanging="567"/>
        <w:contextualSpacing/>
        <w:rPr>
          <w:rFonts w:ascii="Times New Roman" w:hAnsi="Times New Roman"/>
          <w:lang w:val="lt-LT"/>
        </w:rPr>
      </w:pPr>
      <w:r w:rsidRPr="005F37B9">
        <w:rPr>
          <w:rFonts w:ascii="Times New Roman" w:hAnsi="Times New Roman"/>
          <w:noProof/>
          <w:lang w:val="lt-LT"/>
        </w:rPr>
        <w:t>Jeigu pasireiškė šalutinis poveikis (net jeigu jis šiame lapelyje nenurodytas), kreipkitės į gydytoją arba vaistininką. Žr. 4 skyrių.</w:t>
      </w:r>
    </w:p>
    <w:p w:rsidR="005F37B9" w:rsidRPr="005F37B9" w:rsidRDefault="005F37B9" w:rsidP="005F37B9">
      <w:p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Apie ką rašoma šiame lapelyje?</w:t>
      </w:r>
    </w:p>
    <w:p w:rsidR="005F37B9" w:rsidRPr="005F37B9" w:rsidRDefault="005F37B9" w:rsidP="005F37B9">
      <w:pPr>
        <w:numPr>
          <w:ilvl w:val="12"/>
          <w:numId w:val="0"/>
        </w:numPr>
        <w:spacing w:after="0" w:line="240" w:lineRule="auto"/>
        <w:ind w:left="284" w:right="-2"/>
        <w:contextualSpacing/>
        <w:rPr>
          <w:rFonts w:ascii="Times New Roman" w:hAnsi="Times New Roman"/>
          <w:lang w:val="lt-LT"/>
        </w:rPr>
      </w:pP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1.</w:t>
      </w:r>
      <w:r w:rsidRPr="005F37B9">
        <w:rPr>
          <w:rFonts w:ascii="Times New Roman" w:hAnsi="Times New Roman"/>
          <w:lang w:val="lt-LT"/>
        </w:rPr>
        <w:tab/>
        <w:t xml:space="preserve">Kas yra </w:t>
      </w:r>
      <w:r w:rsidRPr="005F37B9">
        <w:rPr>
          <w:rFonts w:ascii="Times New Roman" w:hAnsi="Times New Roman"/>
          <w:noProof/>
          <w:lang w:val="lt-LT"/>
        </w:rPr>
        <w:t xml:space="preserve">Sartesta </w:t>
      </w:r>
      <w:r w:rsidRPr="005F37B9">
        <w:rPr>
          <w:rFonts w:ascii="Times New Roman" w:hAnsi="Times New Roman"/>
          <w:lang w:val="lt-LT"/>
        </w:rPr>
        <w:t xml:space="preserve">ir kam jis vartojamas </w:t>
      </w: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2.</w:t>
      </w:r>
      <w:r w:rsidRPr="005F37B9">
        <w:rPr>
          <w:rFonts w:ascii="Times New Roman" w:hAnsi="Times New Roman"/>
          <w:lang w:val="lt-LT"/>
        </w:rPr>
        <w:tab/>
      </w:r>
      <w:r w:rsidRPr="005F37B9">
        <w:rPr>
          <w:rFonts w:ascii="Times New Roman" w:hAnsi="Times New Roman"/>
          <w:noProof/>
          <w:lang w:val="lt-LT"/>
        </w:rPr>
        <w:t>Kas žinotina prieš vartojant Sartesta</w:t>
      </w: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3.</w:t>
      </w:r>
      <w:r w:rsidRPr="005F37B9">
        <w:rPr>
          <w:rFonts w:ascii="Times New Roman" w:hAnsi="Times New Roman"/>
          <w:lang w:val="lt-LT"/>
        </w:rPr>
        <w:tab/>
      </w:r>
      <w:r w:rsidRPr="005F37B9">
        <w:rPr>
          <w:rFonts w:ascii="Times New Roman" w:hAnsi="Times New Roman"/>
          <w:noProof/>
          <w:lang w:val="lt-LT"/>
        </w:rPr>
        <w:t>Kaip vartoti Sartesta</w:t>
      </w: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4.</w:t>
      </w:r>
      <w:r w:rsidRPr="005F37B9">
        <w:rPr>
          <w:rFonts w:ascii="Times New Roman" w:hAnsi="Times New Roman"/>
          <w:lang w:val="lt-LT"/>
        </w:rPr>
        <w:tab/>
        <w:t xml:space="preserve">Galimas šalutinis poveikis </w:t>
      </w: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5.</w:t>
      </w:r>
      <w:r w:rsidRPr="005F37B9">
        <w:rPr>
          <w:rFonts w:ascii="Times New Roman" w:hAnsi="Times New Roman"/>
          <w:lang w:val="lt-LT"/>
        </w:rPr>
        <w:tab/>
        <w:t xml:space="preserve">Kaip laikyti </w:t>
      </w:r>
      <w:r w:rsidRPr="005F37B9">
        <w:rPr>
          <w:rFonts w:ascii="Times New Roman" w:hAnsi="Times New Roman"/>
          <w:noProof/>
          <w:lang w:val="lt-LT"/>
        </w:rPr>
        <w:t>Sartesta</w:t>
      </w:r>
    </w:p>
    <w:p w:rsidR="005F37B9" w:rsidRPr="005F37B9" w:rsidRDefault="005F37B9" w:rsidP="005F37B9">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6.</w:t>
      </w:r>
      <w:r w:rsidRPr="005F37B9">
        <w:rPr>
          <w:rFonts w:ascii="Times New Roman" w:hAnsi="Times New Roman"/>
          <w:lang w:val="lt-LT"/>
        </w:rPr>
        <w:tab/>
      </w:r>
      <w:r w:rsidRPr="005F37B9">
        <w:rPr>
          <w:rFonts w:ascii="Times New Roman" w:hAnsi="Times New Roman"/>
          <w:noProof/>
          <w:lang w:val="lt-LT"/>
        </w:rPr>
        <w:t>Pakuotės turinys ir kita informacija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1.</w:t>
      </w:r>
      <w:r w:rsidRPr="005F37B9">
        <w:rPr>
          <w:rFonts w:ascii="Times New Roman" w:hAnsi="Times New Roman"/>
          <w:sz w:val="22"/>
          <w:szCs w:val="22"/>
          <w:lang w:val="lt-LT"/>
        </w:rPr>
        <w:tab/>
        <w:t>Kas yra Sartesta ir kam jis vartojamas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tabletėse yra dvi medžiagos: amlodipinas ir valsartanas. Abi šios medžiagos padeda mažinti kraujospūdį.</w:t>
      </w:r>
    </w:p>
    <w:p w:rsidR="005F37B9" w:rsidRPr="005F37B9" w:rsidRDefault="005F37B9" w:rsidP="005F37B9">
      <w:pPr>
        <w:numPr>
          <w:ilvl w:val="0"/>
          <w:numId w:val="7"/>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Amlodipinas priklauso vaistų grupei, kuri vadinama „kalcio kanalų blokatoriais“. Amlodipinas neleidžia kalciui patekti į kraujagyslės sienelę, todėl kraujagyslės nesusitraukia.</w:t>
      </w:r>
    </w:p>
    <w:p w:rsidR="005F37B9" w:rsidRPr="005F37B9" w:rsidRDefault="005F37B9" w:rsidP="005F37B9">
      <w:pPr>
        <w:numPr>
          <w:ilvl w:val="0"/>
          <w:numId w:val="7"/>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Valsartanas priklauso vaistų grupei, kuri vadinama „angiotenzino-II receptorių blokatoriais“.</w:t>
      </w:r>
    </w:p>
    <w:p w:rsidR="005F37B9" w:rsidRPr="005F37B9" w:rsidRDefault="005F37B9" w:rsidP="005F37B9">
      <w:pPr>
        <w:numPr>
          <w:ilvl w:val="12"/>
          <w:numId w:val="0"/>
        </w:numPr>
        <w:spacing w:after="0" w:line="240" w:lineRule="auto"/>
        <w:ind w:left="567" w:right="-2"/>
        <w:contextualSpacing/>
        <w:rPr>
          <w:rFonts w:ascii="Times New Roman" w:hAnsi="Times New Roman"/>
          <w:lang w:val="lt-LT"/>
        </w:rPr>
      </w:pPr>
      <w:r w:rsidRPr="005F37B9">
        <w:rPr>
          <w:rFonts w:ascii="Times New Roman" w:hAnsi="Times New Roman"/>
          <w:lang w:val="lt-LT"/>
        </w:rPr>
        <w:t>Angiotenzinas II yra gaminamas organizme, jis skatina kraujagyslių susitraukimą, o tai didina kraujospūdį. Valsartanas veikia mažindamas angiotenzino II poveikį.</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Tai reiškia, kad abi šios medžiagos padeda išvengti kraujagyslių susitraukimo. Joms veikiant, kraujagyslės atsipalaiduoja ir kraujospūdis sumažėja.</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skiriamas aukštam kraujospūdžiui gydyti tiems suaugusiesiems, kuriems kraujospūdžio pakankamai nemažino vien tik amlodipinas ar valsartanas.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2.</w:t>
      </w:r>
      <w:r w:rsidRPr="005F37B9">
        <w:rPr>
          <w:rFonts w:ascii="Times New Roman" w:hAnsi="Times New Roman"/>
          <w:sz w:val="22"/>
          <w:szCs w:val="22"/>
          <w:lang w:val="lt-LT"/>
        </w:rPr>
        <w:tab/>
        <w:t>Kas žinotina prieš vartojant Sartesta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vartoti negalima:</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yra alergija amlodipinui ar bet kuriam kitam kalcio kanalų blokatoriui. Alergija gali pasireikšti niežuliu, odos paraudimu ar apsunkintu kvėpavimu.</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jeigu yra alergija valsartanui arba bet kuriai pagalbinei šio vaisto medžiagai (jos išvardytos 6 skyriuje). Jeigu manote, kad galite būti alergiškas, pasitarkite su gydytoju, prieš pradėdami vartoti </w:t>
      </w:r>
      <w:r w:rsidRPr="005F37B9">
        <w:rPr>
          <w:rFonts w:ascii="Times New Roman" w:hAnsi="Times New Roman"/>
          <w:noProof/>
          <w:lang w:val="lt-LT"/>
        </w:rPr>
        <w:t>Sartesta</w:t>
      </w:r>
      <w:r w:rsidRPr="005F37B9">
        <w:rPr>
          <w:rFonts w:ascii="Times New Roman" w:hAnsi="Times New Roman"/>
          <w:lang w:val="lt-LT"/>
        </w:rPr>
        <w:t>.</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lastRenderedPageBreak/>
        <w:t>jeigu yra sunkus kepenų funkcijos sutrikimas ar tulžies sutrikimas, tokios kaip tulžinė kepenų cirozė ar cholestazė.</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 esate daugiau nei 3 mėnesius nėščia. (Taip pat yra geriau vengti </w:t>
      </w:r>
      <w:r w:rsidRPr="005F37B9">
        <w:rPr>
          <w:rFonts w:ascii="Times New Roman" w:hAnsi="Times New Roman"/>
          <w:noProof/>
          <w:lang w:val="lt-LT"/>
        </w:rPr>
        <w:t xml:space="preserve">Sartesta </w:t>
      </w:r>
      <w:r w:rsidRPr="005F37B9">
        <w:rPr>
          <w:rFonts w:ascii="Times New Roman" w:hAnsi="Times New Roman"/>
          <w:lang w:val="lt-LT"/>
        </w:rPr>
        <w:t>vartoti ankstyvojo nėštumo metu (žr. skyrių „Nėštumas“)).</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labai sumažėjęs kraujospūdis (yra hipotenzija).</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susiaurėjęs aortos vožtuvas (yra aortos vožtuvo stenozė) arba pasireiškia kardiogeninis šokas (būklė, kai širdis negali aprūpinti organizmo reikiamu kraujo kiekiu).</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pasireiškia širdies nepakankamumas po širdies priepuolio.</w:t>
      </w:r>
    </w:p>
    <w:p w:rsidR="005F37B9" w:rsidRPr="005F37B9" w:rsidRDefault="005F37B9" w:rsidP="005F37B9">
      <w:pPr>
        <w:numPr>
          <w:ilvl w:val="0"/>
          <w:numId w:val="8"/>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Jūs sergate cukriniu diabetu arba Jūsų inkstų funkcija  sutrikusi ir Jums skirtas kraujospūdį mažinantis vaistas, kurio sudėtyje yra aliskireno.</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Jeigu kuris nors punktas tinka Jums, nepradėkite vartoti </w:t>
      </w:r>
      <w:r w:rsidRPr="005F37B9">
        <w:rPr>
          <w:rFonts w:ascii="Times New Roman" w:hAnsi="Times New Roman"/>
          <w:b/>
          <w:noProof/>
          <w:lang w:val="lt-LT"/>
        </w:rPr>
        <w:t xml:space="preserve">Sartesta </w:t>
      </w:r>
      <w:r w:rsidRPr="005F37B9">
        <w:rPr>
          <w:rFonts w:ascii="Times New Roman" w:hAnsi="Times New Roman"/>
          <w:b/>
          <w:lang w:val="lt-LT"/>
        </w:rPr>
        <w:t>ir pasakykite gydytojui.</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 xml:space="preserve">Įspėjimai ir atsargumo priemonės </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Pasitarkite su gydytoju, prieš pradėdami vartoti Sartesta</w:t>
      </w:r>
      <w:r w:rsidRPr="005F37B9">
        <w:rPr>
          <w:rFonts w:ascii="Times New Roman" w:hAnsi="Times New Roman"/>
          <w:lang w:val="lt-LT"/>
        </w:rPr>
        <w:t>:</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bloga (vemiate ar viduriuojate).</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yra kepenų ar inkstų sutrikimų.</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yra persodintas inkstas ar Jums buvo nustatytos susiaurėjusios inkstų arterijos.</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yra pirminis hiperaldosteronizmas – būklė, veikianti inkstų liaukas.</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sergate širdies nepakankamumu arba Jus buvo ištikęs širdies priepuolis. Atidžiai laikykitės gydytojo nurodymų dėl pradinės dozės vartojimo. Gydytojas taip pat gali ištirti Jūsų inkstų funkciją .</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gydytojas sakė, kad Jūsų širdies vožtuvai yra susiaurėję (yra „aortos ar mitralinė stenozė“) arba, kad širdies raumens storis yra nenormaliai padidėjęs (yra „obstrukcinė hipertrofinė kardiomiopatija“).</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jeigu Jums vartojant kitų vaistų (įskaitant angiotenziną konvertuojančio fermento inhibitorių) pasireiškė patinimas, ypatingai veido ir gerklės. Jeigu Jums atsirastų šių simptomų, nutraukite </w:t>
      </w:r>
      <w:r w:rsidRPr="005F37B9">
        <w:rPr>
          <w:rFonts w:ascii="Times New Roman" w:hAnsi="Times New Roman"/>
          <w:noProof/>
          <w:lang w:val="lt-LT"/>
        </w:rPr>
        <w:t xml:space="preserve">Sartesta </w:t>
      </w:r>
      <w:r w:rsidRPr="005F37B9">
        <w:rPr>
          <w:rFonts w:ascii="Times New Roman" w:hAnsi="Times New Roman"/>
          <w:lang w:val="lt-LT"/>
        </w:rPr>
        <w:t xml:space="preserve">vartojimą ir nedelsdami kreipkitės į gydytoją. Niekada daugiau nevartokite </w:t>
      </w:r>
      <w:r w:rsidRPr="005F37B9">
        <w:rPr>
          <w:rFonts w:ascii="Times New Roman" w:hAnsi="Times New Roman"/>
          <w:noProof/>
          <w:lang w:val="lt-LT"/>
        </w:rPr>
        <w:t>Sartesta</w:t>
      </w:r>
      <w:r w:rsidRPr="005F37B9">
        <w:rPr>
          <w:rFonts w:ascii="Times New Roman" w:hAnsi="Times New Roman"/>
          <w:lang w:val="lt-LT"/>
        </w:rPr>
        <w:t>.</w:t>
      </w:r>
    </w:p>
    <w:p w:rsidR="005F37B9" w:rsidRPr="005F37B9" w:rsidRDefault="005F37B9" w:rsidP="005F37B9">
      <w:pPr>
        <w:numPr>
          <w:ilvl w:val="0"/>
          <w:numId w:val="9"/>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kurį nors iš šių vaistų padidėjusiam kraujospūdžiui gydyti:</w:t>
      </w:r>
    </w:p>
    <w:p w:rsidR="005F37B9" w:rsidRPr="005F37B9" w:rsidRDefault="005F37B9" w:rsidP="005F37B9">
      <w:pPr>
        <w:numPr>
          <w:ilvl w:val="1"/>
          <w:numId w:val="13"/>
        </w:numPr>
        <w:spacing w:after="0" w:line="240" w:lineRule="auto"/>
        <w:ind w:left="1276" w:right="-2" w:hanging="425"/>
        <w:contextualSpacing/>
        <w:rPr>
          <w:rFonts w:ascii="Times New Roman" w:hAnsi="Times New Roman"/>
          <w:lang w:val="lt-LT"/>
        </w:rPr>
      </w:pPr>
      <w:r w:rsidRPr="005F37B9">
        <w:rPr>
          <w:rFonts w:ascii="Times New Roman" w:hAnsi="Times New Roman"/>
          <w:lang w:val="lt-LT"/>
        </w:rPr>
        <w:t>AKF inhibitorių (pavyzdžiui enalaprilį, lizinoprilį, ramiprilį), ypač jei turite su cukriniu diabetu susijusių inkstų sutrikimų;</w:t>
      </w:r>
    </w:p>
    <w:p w:rsidR="005F37B9" w:rsidRPr="005F37B9" w:rsidRDefault="005F37B9" w:rsidP="005F37B9">
      <w:pPr>
        <w:numPr>
          <w:ilvl w:val="1"/>
          <w:numId w:val="13"/>
        </w:numPr>
        <w:spacing w:after="0" w:line="240" w:lineRule="auto"/>
        <w:ind w:left="1276" w:right="-2" w:hanging="425"/>
        <w:contextualSpacing/>
        <w:rPr>
          <w:rFonts w:ascii="Times New Roman" w:hAnsi="Times New Roman"/>
          <w:lang w:val="lt-LT"/>
        </w:rPr>
      </w:pPr>
      <w:r w:rsidRPr="005F37B9">
        <w:rPr>
          <w:rFonts w:ascii="Times New Roman" w:hAnsi="Times New Roman"/>
          <w:lang w:val="lt-LT"/>
        </w:rPr>
        <w:t>aliskireną.</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Jūsų gydytojas gali reguliariai ištirti Jūsų inkstų funkciją, kraujospūdį ir elektrolitų (pvz., kalio) kiekį kraujyje.</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Taip pat žiūrėkite informaciją, pateiktą poskyryje „</w:t>
      </w:r>
      <w:r w:rsidRPr="005F37B9">
        <w:rPr>
          <w:rFonts w:ascii="Times New Roman" w:hAnsi="Times New Roman"/>
          <w:noProof/>
          <w:lang w:val="lt-LT"/>
        </w:rPr>
        <w:t xml:space="preserve">Sartesta </w:t>
      </w:r>
      <w:r w:rsidRPr="005F37B9">
        <w:rPr>
          <w:rFonts w:ascii="Times New Roman" w:hAnsi="Times New Roman"/>
          <w:lang w:val="lt-LT"/>
        </w:rPr>
        <w:t>vartoti negalima“.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Jeigu kuris nors punktas tinka Jums, pasakykite gydytojui, prieš pradėdami vartoti </w:t>
      </w:r>
      <w:r w:rsidRPr="005F37B9">
        <w:rPr>
          <w:rFonts w:ascii="Times New Roman" w:hAnsi="Times New Roman"/>
          <w:b/>
          <w:noProof/>
          <w:lang w:val="lt-LT"/>
        </w:rPr>
        <w:t>Sartesta</w:t>
      </w:r>
      <w:r w:rsidRPr="005F37B9">
        <w:rPr>
          <w:rFonts w:ascii="Times New Roman" w:hAnsi="Times New Roman"/>
          <w:b/>
          <w:lang w:val="lt-LT"/>
        </w:rPr>
        <w:t>.</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Vaikams ir paaugliams</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Sartesta vartoti vaikams ir paaugliams (jaunesniems kaip 18 metų amžiaus) nerekomenduojama.</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lastRenderedPageBreak/>
        <w:t>Kiti vaistai ir Sartesta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Jeigu vartojate ar neseniai vartojote kitų vaistų arba dėl to nesate tikri, apie tai pasakykite gydytojui arba vaistininkui.</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Jūsų gydytojui gali tekti pakeisti Jūsų dozę ir (arba) imtis kitokių atsargumo priemonių. Kai kuriais atvejais gali tekti nutraukti vieno iš vaistų vartojimą. Tai ypač svarbu vartojant žemiau išvardytus vaistus:</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AKF inhibitorių arba aliskireną (taip pat žiūrėkite informaciją, pateiktą pokyriuose „</w:t>
      </w:r>
      <w:r w:rsidRPr="005F37B9">
        <w:rPr>
          <w:rFonts w:ascii="Times New Roman" w:hAnsi="Times New Roman"/>
          <w:noProof/>
          <w:lang w:val="lt-LT"/>
        </w:rPr>
        <w:t xml:space="preserve">Sartesta </w:t>
      </w:r>
      <w:r w:rsidRPr="005F37B9">
        <w:rPr>
          <w:rFonts w:ascii="Times New Roman" w:hAnsi="Times New Roman"/>
          <w:lang w:val="lt-LT"/>
        </w:rPr>
        <w:t>vartoti negalima“ ir „Įspėjimai ir atsargumo priemonės“);</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diuretikų (vaistų, kurie didina išskiriamo šlapimo kiekį);</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ličio (vaisto kai kuriems depresijos tipams gydyti);</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kalį tausojančių diuretikų, kalio papildų arba druskų pakaitalų, kuriuose yra kalio ar kitų vaistų, kurie gali didinti kalio kiekį organizme;</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tam tikrų nuskausminamųjų, tokių kaip nesteroidiniai vaistai nuo uždegimo (NVNU) ar selektyvūs ciklooksigenzės-2 inhibitorisi (COX-2 inhibitoriai). Gydytojas gali patikrinti inkstų funkciją;</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priešepilepsinių vaistų (pvz., karbamazepino, fenobarbitalio, fenitoino, fosfenitoino, primidono);</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jonažolės preparatų;</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nitroglicerino ar kitų nitratų, arba kitų, „vazodiliatatoriais“ vadinamų vaistų;</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vaistų, vartojamų ŽIV/AIDS gydyti (pvz., ritonaviro, indinaviro, nelfinaviro);</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vaistų, vartojamų grybelinių infekcijų gydymui (pvz., ketokonazolo, itrakonazolo);</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vaistų, vartojamų bakterijų sukeltoms infekcijoms gydyti (pvz., rifampicino, eritromicino, klaritromicino, telitromicino);</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verapamilio, diltiazemo (vartojamų širdies ligoms gydyti);</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simvastatino (padidėjusiam cholesterolio kiekiui mažinti vartojamo vaisto);</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dantroleno (į veną vartojamo vaisto, kai yra sunkių organizmo temperatūros reguliavimo sutrikimų);</w:t>
      </w:r>
    </w:p>
    <w:p w:rsidR="005F37B9" w:rsidRPr="005F37B9" w:rsidRDefault="005F37B9" w:rsidP="005F37B9">
      <w:pPr>
        <w:numPr>
          <w:ilvl w:val="0"/>
          <w:numId w:val="10"/>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apsaugoti nuo transplantato atmetimo reakcijų vartojamų vaistų (ciklosporino).</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vartojimas su maistu ir gėrimais</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 xml:space="preserve">vartojantiems asmenims negalima valgyti greipfrutų ar gerti greipfrutų sulčių, kadangi greipfrutai ar greipfrutų sultys gali didinti veikliosios medžiagos amlodipino kiekį kraujyje ir dėl to gali neprognozuojamai sustiprėti kraujospūdį mažinantis </w:t>
      </w:r>
      <w:r w:rsidRPr="005F37B9">
        <w:rPr>
          <w:rFonts w:ascii="Times New Roman" w:hAnsi="Times New Roman"/>
          <w:noProof/>
          <w:lang w:val="lt-LT"/>
        </w:rPr>
        <w:t xml:space="preserve">Sartesta </w:t>
      </w:r>
      <w:r w:rsidRPr="005F37B9">
        <w:rPr>
          <w:rFonts w:ascii="Times New Roman" w:hAnsi="Times New Roman"/>
          <w:lang w:val="lt-LT"/>
        </w:rPr>
        <w:t>poveikis.</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Nėštumas ir žindymo laikotarpis</w:t>
      </w:r>
    </w:p>
    <w:p w:rsidR="005F37B9" w:rsidRPr="005F37B9" w:rsidRDefault="005F37B9" w:rsidP="005F37B9">
      <w:pPr>
        <w:numPr>
          <w:ilvl w:val="12"/>
          <w:numId w:val="0"/>
        </w:numPr>
        <w:spacing w:after="0" w:line="240" w:lineRule="auto"/>
        <w:contextualSpacing/>
        <w:rPr>
          <w:rFonts w:ascii="Times New Roman" w:hAnsi="Times New Roman"/>
          <w:noProof/>
          <w:lang w:val="lt-LT"/>
        </w:rPr>
      </w:pPr>
      <w:r w:rsidRPr="005F37B9">
        <w:rPr>
          <w:rFonts w:ascii="Times New Roman" w:hAnsi="Times New Roman"/>
          <w:noProof/>
          <w:lang w:val="lt-LT"/>
        </w:rPr>
        <w:t>Jeigu esate nėščia, žindote kūdikį, manote, kad galbūt esate nėščia, arba planuojate pastoti, tai prieš vartodama šį vaistą, pasitarkite su gydytoju arba vaistininku.</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 </w:t>
      </w:r>
    </w:p>
    <w:p w:rsidR="005F37B9" w:rsidRPr="005F37B9" w:rsidRDefault="005F37B9" w:rsidP="005F37B9">
      <w:pPr>
        <w:numPr>
          <w:ilvl w:val="12"/>
          <w:numId w:val="0"/>
        </w:numPr>
        <w:spacing w:after="0" w:line="240" w:lineRule="auto"/>
        <w:contextualSpacing/>
        <w:rPr>
          <w:rFonts w:ascii="Times New Roman" w:hAnsi="Times New Roman"/>
          <w:u w:val="single"/>
          <w:lang w:val="lt-LT"/>
        </w:rPr>
      </w:pPr>
      <w:r w:rsidRPr="005F37B9">
        <w:rPr>
          <w:rFonts w:ascii="Times New Roman" w:hAnsi="Times New Roman"/>
          <w:u w:val="single"/>
          <w:lang w:val="lt-LT"/>
        </w:rPr>
        <w:t>Nėštumas</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Jeigu manote, kad galite būti pastojusi (</w:t>
      </w:r>
      <w:r w:rsidRPr="005F37B9">
        <w:rPr>
          <w:rFonts w:ascii="Times New Roman" w:hAnsi="Times New Roman"/>
          <w:u w:val="single"/>
          <w:lang w:val="lt-LT"/>
        </w:rPr>
        <w:t>ar galite pastoti</w:t>
      </w:r>
      <w:r w:rsidRPr="005F37B9">
        <w:rPr>
          <w:rFonts w:ascii="Times New Roman" w:hAnsi="Times New Roman"/>
          <w:lang w:val="lt-LT"/>
        </w:rPr>
        <w:t xml:space="preserve">), pasakykite gydytojui. Jūsų gydytojas lieps Jums nebevartoti vaisto prieš planuojant pastojimą arba iš karto sužinojus apie nėštumą, ir paskirs kitą vaistą vietoje </w:t>
      </w:r>
      <w:r w:rsidRPr="005F37B9">
        <w:rPr>
          <w:rFonts w:ascii="Times New Roman" w:hAnsi="Times New Roman"/>
          <w:noProof/>
          <w:lang w:val="lt-LT"/>
        </w:rPr>
        <w:t>Sartesta</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yra nerekomenduojamas ankstyvojo nėštumo laikotarpiu (pirmuosius 3 mėnesius) ir negali būti vartojamas, jei esate daugiau kaip 3 mėnesius nėščia, nes tuomet jis gali labai pakenkti Jūsų kūdikiui.</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u w:val="single"/>
          <w:lang w:val="lt-LT"/>
        </w:rPr>
      </w:pPr>
      <w:r w:rsidRPr="005F37B9">
        <w:rPr>
          <w:rFonts w:ascii="Times New Roman" w:hAnsi="Times New Roman"/>
          <w:u w:val="single"/>
          <w:lang w:val="lt-LT"/>
        </w:rPr>
        <w:t>Žindymas</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lastRenderedPageBreak/>
        <w:t xml:space="preserve">Pasakykite savo gydytojui, jei maitinate krūtimi </w:t>
      </w:r>
      <w:r w:rsidRPr="005F37B9">
        <w:rPr>
          <w:rFonts w:ascii="Times New Roman" w:hAnsi="Times New Roman"/>
          <w:u w:val="single"/>
          <w:lang w:val="lt-LT"/>
        </w:rPr>
        <w:t>ar ruošiatės pradėti tai daryti</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nerekomenduojamas krūtimi maitinančioms motinoms. Jeigu norite maitinti krūtimi, gydytojas gali paskirti kitą vaistą, ypač jei naujagimis gimė prieš laiką.</w:t>
      </w:r>
    </w:p>
    <w:p w:rsidR="005F37B9" w:rsidRDefault="00CD584B" w:rsidP="005F37B9">
      <w:pPr>
        <w:numPr>
          <w:ilvl w:val="12"/>
          <w:numId w:val="0"/>
        </w:numPr>
        <w:spacing w:after="0" w:line="240" w:lineRule="auto"/>
        <w:contextualSpacing/>
        <w:rPr>
          <w:rFonts w:ascii="Times New Roman" w:hAnsi="Times New Roman"/>
          <w:lang w:val="lt-LT"/>
        </w:rPr>
      </w:pPr>
      <w:r w:rsidRPr="00CD584B">
        <w:rPr>
          <w:rFonts w:ascii="Times New Roman" w:hAnsi="Times New Roman"/>
          <w:lang w:val="lt-LT"/>
        </w:rPr>
        <w:t>Nustatyta, kad nedidelis kiekis amlodipino patenka i motinos pieną.</w:t>
      </w:r>
    </w:p>
    <w:p w:rsidR="00CD584B" w:rsidRPr="005F37B9" w:rsidRDefault="00CD584B"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Vairavimas ir mechanizmų valdymas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Šis vaistas gali sukelti svaigulį. Tai gali trukdyti sukaupti dėmesį. Todėl, kol nežinote, kaip šis vaistas veikia Jus, nevairuokite, nevaldykite mechanizmų ir nesiimkite kitokio dėmesio sukaupimo reikalaujančio darbo.</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3.</w:t>
      </w:r>
      <w:r w:rsidRPr="005F37B9">
        <w:rPr>
          <w:rFonts w:ascii="Times New Roman" w:hAnsi="Times New Roman"/>
          <w:sz w:val="22"/>
          <w:szCs w:val="22"/>
          <w:lang w:val="lt-LT"/>
        </w:rPr>
        <w:tab/>
        <w:t>Kaip vartoti Sartesta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noProof/>
          <w:lang w:val="lt-LT"/>
        </w:rPr>
        <w:t>Visada vartokite šį vaistą tiksliai kaip nurodė gydytojas.</w:t>
      </w:r>
      <w:r w:rsidRPr="005F37B9">
        <w:rPr>
          <w:rFonts w:ascii="Times New Roman" w:hAnsi="Times New Roman"/>
          <w:lang w:val="lt-LT"/>
        </w:rPr>
        <w:t xml:space="preserve"> </w:t>
      </w:r>
      <w:r w:rsidRPr="005F37B9">
        <w:rPr>
          <w:rFonts w:ascii="Times New Roman" w:hAnsi="Times New Roman"/>
          <w:noProof/>
          <w:lang w:val="lt-LT"/>
        </w:rPr>
        <w:t>Jeigu abejojate, kreipkitės į gydytoją.</w:t>
      </w:r>
      <w:r w:rsidRPr="005F37B9">
        <w:rPr>
          <w:rFonts w:ascii="Times New Roman" w:hAnsi="Times New Roman"/>
          <w:lang w:val="lt-LT"/>
        </w:rPr>
        <w:t xml:space="preserve"> Tai</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padės pasiekti geriausių gydymo rezultatų ir sumažinti šalutinio poveikio riziką.</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Įprastinė </w:t>
      </w:r>
      <w:r w:rsidRPr="005F37B9">
        <w:rPr>
          <w:rFonts w:ascii="Times New Roman" w:hAnsi="Times New Roman"/>
          <w:noProof/>
          <w:lang w:val="lt-LT"/>
        </w:rPr>
        <w:t xml:space="preserve">Sartesta </w:t>
      </w:r>
      <w:r w:rsidRPr="005F37B9">
        <w:rPr>
          <w:rFonts w:ascii="Times New Roman" w:hAnsi="Times New Roman"/>
          <w:lang w:val="lt-LT"/>
        </w:rPr>
        <w:t>dozė yra viena tabletė per parą. Jūsų gydytojas nuspręs, ar Jums reikia vartoti vieną Sartesta 5 mg/80 mg tabletę, vieną Sartesta 5 mg/160 mg tabletę ar vieną Sartesta 10 mg/160 mg tabletę per parą.</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Tinkamiausia vaistą vartoti kiekvieną dieną tuo pačiu metu.</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Tabletes nurykite, užgerdami stikline vandens.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 xml:space="preserve">galima gerti valgio metu arba nevalgius. Nevartokite </w:t>
      </w:r>
      <w:r w:rsidRPr="005F37B9">
        <w:rPr>
          <w:rFonts w:ascii="Times New Roman" w:hAnsi="Times New Roman"/>
          <w:noProof/>
          <w:lang w:val="lt-LT"/>
        </w:rPr>
        <w:t xml:space="preserve">Sartesta </w:t>
      </w:r>
      <w:r w:rsidRPr="005F37B9">
        <w:rPr>
          <w:rFonts w:ascii="Times New Roman" w:hAnsi="Times New Roman"/>
          <w:lang w:val="lt-LT"/>
        </w:rPr>
        <w:t>su greipfrutais ar greipfrutų sultimis.</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Atsižvelgdamas į gydymo sukeliamą poveikį, gydytojas gali siūlyti padidinti ar sumažinti dozę.</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Paskirtos dozės viršyti negalima.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b/>
          <w:lang w:val="lt-LT"/>
        </w:rPr>
      </w:pPr>
      <w:r w:rsidRPr="005F37B9">
        <w:rPr>
          <w:rFonts w:ascii="Times New Roman" w:hAnsi="Times New Roman"/>
          <w:b/>
          <w:noProof/>
          <w:lang w:val="lt-LT"/>
        </w:rPr>
        <w:t xml:space="preserve">Sartesta </w:t>
      </w:r>
      <w:r w:rsidRPr="005F37B9">
        <w:rPr>
          <w:rFonts w:ascii="Times New Roman" w:hAnsi="Times New Roman"/>
          <w:b/>
          <w:lang w:val="lt-LT"/>
        </w:rPr>
        <w:t>ir senyvi pacientai (&gt; 65 metų)</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Didinant dozę, Jūsų gydytojas turi laikytis atsargumo priemonių.</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Jei kiltų daugiau klausimų dėl šio vaisto vartojimo, kreipkitės į gydytoją arba vaistininką.</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Vartojimas vaikams ir paaugliams</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Šio vaisto vartoti vaikams ir paaugliams nerekomenduojama.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Ką daryti pavartojus per didelę Sartesta dozę?</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Jeigu išgėrėte per daug </w:t>
      </w:r>
      <w:r w:rsidRPr="005F37B9">
        <w:rPr>
          <w:rFonts w:ascii="Times New Roman" w:hAnsi="Times New Roman"/>
          <w:noProof/>
          <w:lang w:val="lt-LT"/>
        </w:rPr>
        <w:t xml:space="preserve">Sartesta </w:t>
      </w:r>
      <w:r w:rsidRPr="005F37B9">
        <w:rPr>
          <w:rFonts w:ascii="Times New Roman" w:hAnsi="Times New Roman"/>
          <w:lang w:val="lt-LT"/>
        </w:rPr>
        <w:t>tablečių arba jei Jūsų tablečių išgėrė kas nors kitas, nedelsdami kreipkitės į gydytoją.</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Pamiršus pavartoti Sartesta</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Jeigu pamiršote išgerti šio vaisto, išgerkite jį iškart prisiminę. Kitą dozę vartokite įprastu laiku. Tačiau, jei jau beveik atėjo laikas kitai dozei, praleiskite pamirštąją. Negalima vartoti dvigubos dozės norint kompensuoti praleistą tabletę.</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Nustojus vartoti Sartesta</w:t>
      </w:r>
    </w:p>
    <w:p w:rsidR="005F37B9" w:rsidRPr="005F37B9" w:rsidRDefault="005F37B9" w:rsidP="005F37B9">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Jeigu nutrauksite </w:t>
      </w:r>
      <w:r w:rsidRPr="005F37B9">
        <w:rPr>
          <w:rFonts w:ascii="Times New Roman" w:hAnsi="Times New Roman"/>
          <w:noProof/>
          <w:lang w:val="lt-LT"/>
        </w:rPr>
        <w:t xml:space="preserve">Sartesta </w:t>
      </w:r>
      <w:r w:rsidRPr="005F37B9">
        <w:rPr>
          <w:rFonts w:ascii="Times New Roman" w:hAnsi="Times New Roman"/>
          <w:lang w:val="lt-LT"/>
        </w:rPr>
        <w:t>vartojimą, Jūsų liga gali pasunkėti. Nenutraukite vaisto vartojimo, kol to padaryti nenurodys gydytojas.</w:t>
      </w:r>
    </w:p>
    <w:p w:rsidR="005F37B9" w:rsidRPr="005F37B9" w:rsidRDefault="005F37B9" w:rsidP="005F37B9">
      <w:pPr>
        <w:numPr>
          <w:ilvl w:val="12"/>
          <w:numId w:val="0"/>
        </w:numPr>
        <w:spacing w:after="0" w:line="240" w:lineRule="auto"/>
        <w:contextualSpacing/>
        <w:rPr>
          <w:rFonts w:ascii="Times New Roman" w:hAnsi="Times New Roman"/>
          <w:noProof/>
          <w:lang w:val="lt-LT"/>
        </w:rPr>
      </w:pPr>
    </w:p>
    <w:p w:rsidR="005F37B9" w:rsidRPr="005F37B9" w:rsidRDefault="005F37B9" w:rsidP="005F37B9">
      <w:pPr>
        <w:numPr>
          <w:ilvl w:val="12"/>
          <w:numId w:val="0"/>
        </w:numPr>
        <w:spacing w:after="0" w:line="240" w:lineRule="auto"/>
        <w:contextualSpacing/>
        <w:rPr>
          <w:rFonts w:ascii="Times New Roman" w:hAnsi="Times New Roman"/>
          <w:noProof/>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lastRenderedPageBreak/>
        <w:t>4.</w:t>
      </w:r>
      <w:r w:rsidRPr="005F37B9">
        <w:rPr>
          <w:rFonts w:ascii="Times New Roman" w:hAnsi="Times New Roman"/>
          <w:sz w:val="22"/>
          <w:szCs w:val="22"/>
          <w:lang w:val="lt-LT"/>
        </w:rPr>
        <w:tab/>
        <w:t>Galimas šalutinis poveikis</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numPr>
          <w:ilvl w:val="12"/>
          <w:numId w:val="0"/>
        </w:numPr>
        <w:spacing w:after="0" w:line="240" w:lineRule="auto"/>
        <w:ind w:right="-29"/>
        <w:contextualSpacing/>
        <w:rPr>
          <w:rFonts w:ascii="Times New Roman" w:hAnsi="Times New Roman"/>
          <w:lang w:val="lt-LT"/>
        </w:rPr>
      </w:pPr>
      <w:r w:rsidRPr="005F37B9">
        <w:rPr>
          <w:rFonts w:ascii="Times New Roman" w:hAnsi="Times New Roman"/>
          <w:noProof/>
          <w:lang w:val="lt-LT"/>
        </w:rPr>
        <w:t>Šis vaistas, kaip ir visi kiti, gali sukelti šalutinį poveikį, nors jis pasireiškia ne visiems žmonėms.</w:t>
      </w:r>
    </w:p>
    <w:p w:rsidR="005F37B9" w:rsidRPr="005F37B9" w:rsidRDefault="005F37B9" w:rsidP="005F37B9">
      <w:pPr>
        <w:numPr>
          <w:ilvl w:val="12"/>
          <w:numId w:val="0"/>
        </w:numPr>
        <w:spacing w:after="0" w:line="240" w:lineRule="auto"/>
        <w:ind w:right="-29"/>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Kai kurie šalutiniai reiškiniai gali būti sunkūs ir jiems pasireiškus gali reikėti medicininės pagalbos: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Nedideliam skaičiui pacientų pasireiškė šie sunkūs šalutiniai reiškiniai (</w:t>
      </w:r>
      <w:r w:rsidRPr="005F37B9">
        <w:rPr>
          <w:rFonts w:ascii="Times New Roman" w:hAnsi="Times New Roman"/>
          <w:i/>
          <w:lang w:val="lt-LT"/>
        </w:rPr>
        <w:t>gali pasireikšti mažiau nei 1 iš 1 000 žmonių</w:t>
      </w:r>
      <w:r w:rsidRPr="005F37B9">
        <w:rPr>
          <w:rFonts w:ascii="Times New Roman" w:hAnsi="Times New Roman"/>
          <w:lang w:val="lt-LT"/>
        </w:rPr>
        <w:t>).</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Jeigu kuris nors iš jų pasireikš, nedelsdami kreipkitės į gydytoją: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Alerginės reakcijos, pasireiškiančios bėrimu, niežuliu, veido, lūpų ar liežuvio tinimu, apsunkintu kvėpavimu, mažu kraujospūdžiu (silpnumo, apsvaigimo pojūtis).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Kiti galimi Sartesta šalutiniai reiškiniai:</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Dažni (gali pasireikšti mažiau nei 1 iš 10 žmonių)</w:t>
      </w:r>
      <w:r w:rsidRPr="005F37B9">
        <w:rPr>
          <w:rFonts w:ascii="Times New Roman" w:hAnsi="Times New Roman"/>
          <w:lang w:val="lt-LT"/>
        </w:rPr>
        <w:t>: gripo simptomai (gripas); užgulusi nosis, gerklės skausmas ir diskomfortas ryjant; galvos skausmas; rankų, plaštakų, kojų, čiurnų ar pėdų tinimas; nuovargis; astenija (bendras silpnumas); raudonis ir šilumos pojūtis veide ir (ar) kakle.</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Nedažni (gali pasireikšti mažiau nei 1 iš 100 žmonių)</w:t>
      </w:r>
      <w:r w:rsidRPr="005F37B9">
        <w:rPr>
          <w:rFonts w:ascii="Times New Roman" w:hAnsi="Times New Roman"/>
          <w:lang w:val="lt-LT"/>
        </w:rPr>
        <w:t>: svaigulys; pykinimas ir pilvo skausmas; burnos sausmė; mieguistumas, rankų ar pėdų dilgčiojimas ar sustingimas, galvos svaigimas (</w:t>
      </w:r>
      <w:r w:rsidRPr="005F37B9">
        <w:rPr>
          <w:rFonts w:ascii="Times New Roman" w:hAnsi="Times New Roman"/>
          <w:i/>
          <w:lang w:val="lt-LT"/>
        </w:rPr>
        <w:t>vertigo</w:t>
      </w:r>
      <w:r w:rsidRPr="005F37B9">
        <w:rPr>
          <w:rFonts w:ascii="Times New Roman" w:hAnsi="Times New Roman"/>
          <w:lang w:val="lt-LT"/>
        </w:rPr>
        <w:t>); dažnas širdies plakimas, taip pat ir permušimai; svaigulys stojantis; kosulys; viduriavimas; vidurių užkietėjimas; odos bėrimas, odos paraudimas; sąnarių tinimas, nugaros skausmas; sąnarių skausmas.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Reti (gali pasireikšti mažiau nei 1 iš 1000 žmonių)</w:t>
      </w:r>
      <w:r w:rsidRPr="005F37B9">
        <w:rPr>
          <w:rFonts w:ascii="Times New Roman" w:hAnsi="Times New Roman"/>
          <w:lang w:val="lt-LT"/>
        </w:rPr>
        <w:t>: nerimas; spengimas ausyse; alpulys; gausesnis šlapinimasis nei paprastai ar dažnesnis noras šlapintis nei paprastai; nesugebėjimas sukelti ar palaikyti erekciją; sunkumo pojūtis; žemas kraujospūdis, pasireiškiantis tokiais simptomais kaip svaigulys ar galvos svaigimas; per gausus prakaitavimas; viso kūno odos bėrimas; niežulys; raumenų spazmai.</w:t>
      </w: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Jei kuris iš šių reiškinių vargina, kreipkitės į gydytoją.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Šalutiniai reiškiniai, kurie pasireiškė vartojant vien tik amlodipiną ar valsartaną, ir kurie arba nebuvo stebėti vartojant Sartesta, arba kurių pasireiškė dažniau nei vartojant Sartesta: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Amlodipinas</w:t>
      </w: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lang w:val="lt-LT"/>
        </w:rPr>
        <w:t>Nedelsdami kreipkitės į gydytoją, jeigu pavartojus šio vaisto, pasireiškia kuris nors toliau išvardytas labai retas, bet sunkus šalutinis poveikis: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staiga atsiradęs švokštimas, krūtinės skausmas, dusulys ar kvėpavimo pasunkėjimas;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akių vokų, veido ar lūpų patinimas;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liežuvio ir gerklės patinimas, dėl kurio gali labai pasunkėti kvėpavimas;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sunkios odos reakcijos, įskaitant intensyvų odos bėrimą, dilgėlinę, viso kūno odos paraudimą, sunkų niežėjimą, odos pūslėtumą, lupimąsi ir patinimą, gleivinių uždegimą (Stivenso-Džonsono (</w:t>
      </w:r>
      <w:r w:rsidRPr="005F37B9">
        <w:rPr>
          <w:rFonts w:ascii="Times New Roman" w:hAnsi="Times New Roman"/>
          <w:i/>
          <w:lang w:val="lt-LT"/>
        </w:rPr>
        <w:t>Stevens-Johnson</w:t>
      </w:r>
      <w:r w:rsidRPr="005F37B9">
        <w:rPr>
          <w:rFonts w:ascii="Times New Roman" w:hAnsi="Times New Roman"/>
          <w:lang w:val="lt-LT"/>
        </w:rPr>
        <w:t>) sindromas</w:t>
      </w:r>
      <w:r w:rsidR="00D15BF8">
        <w:rPr>
          <w:rFonts w:ascii="Times New Roman" w:hAnsi="Times New Roman"/>
          <w:lang w:val="lt-LT"/>
        </w:rPr>
        <w:t>,</w:t>
      </w:r>
      <w:r w:rsidR="00D15BF8" w:rsidRPr="00D15BF8">
        <w:rPr>
          <w:rFonts w:ascii="Times New Roman" w:hAnsi="Times New Roman"/>
          <w:lang w:val="lt-LT"/>
        </w:rPr>
        <w:t xml:space="preserve"> </w:t>
      </w:r>
      <w:r w:rsidR="00D15BF8">
        <w:rPr>
          <w:rFonts w:ascii="Times New Roman" w:hAnsi="Times New Roman"/>
          <w:lang w:val="lt-LT"/>
        </w:rPr>
        <w:t>toksinė epidermio nekrolizė</w:t>
      </w:r>
      <w:r w:rsidRPr="005F37B9">
        <w:rPr>
          <w:rFonts w:ascii="Times New Roman" w:hAnsi="Times New Roman"/>
          <w:lang w:val="lt-LT"/>
        </w:rPr>
        <w:t>), arba kitos alerginės reakcijos;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širdies priepuolis, nenormalus širdies plakimas;</w:t>
      </w:r>
    </w:p>
    <w:p w:rsidR="005F37B9" w:rsidRPr="005F37B9" w:rsidRDefault="005F37B9" w:rsidP="005F37B9">
      <w:pPr>
        <w:numPr>
          <w:ilvl w:val="0"/>
          <w:numId w:val="11"/>
        </w:numPr>
        <w:spacing w:after="0" w:line="240" w:lineRule="auto"/>
        <w:ind w:left="567" w:hanging="567"/>
        <w:contextualSpacing/>
        <w:rPr>
          <w:rFonts w:ascii="Times New Roman" w:hAnsi="Times New Roman"/>
          <w:lang w:val="lt-LT"/>
        </w:rPr>
      </w:pPr>
      <w:r w:rsidRPr="005F37B9">
        <w:rPr>
          <w:rFonts w:ascii="Times New Roman" w:hAnsi="Times New Roman"/>
          <w:lang w:val="lt-LT"/>
        </w:rPr>
        <w:t>kasos uždegimas, dėl kurio gali pasireikšti sunkus pilvo ir nugaros skausmas, susijęs su labai bloga savijauta.</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lastRenderedPageBreak/>
        <w:t>Buvo pranešta apie toliau išvardytą šalutinį poveikį. Jeigu kuris nors iš išvardytų sutrikimų sukelia Jums problemų arba jeigu jis trunka ilgiau kaip vieną savaitę, turite kreiptis į gydytoją.</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Dažni (gali pasireikšti mažiau nei 1 iš 10 žmonių)</w:t>
      </w:r>
      <w:r w:rsidRPr="005F37B9">
        <w:rPr>
          <w:rFonts w:ascii="Times New Roman" w:hAnsi="Times New Roman"/>
          <w:lang w:val="lt-LT"/>
        </w:rPr>
        <w:t>: svaigulys, mieguistumas; palpitacijos (dažno stipraus širdies plakimo jutimas); veido ir kaklo paraudimas, kulkšnių patinimas (edema); pilvo skausmas, pykinimas.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Nedažni (gali pasireikšti mažiau nei 1 iš 100 žmonių)</w:t>
      </w:r>
      <w:r w:rsidRPr="005F37B9">
        <w:rPr>
          <w:rFonts w:ascii="Times New Roman" w:hAnsi="Times New Roman"/>
          <w:lang w:val="lt-LT"/>
        </w:rPr>
        <w:t>: nuotaikų kaita, nerimas, depresija, nemiga, drebulys, nenormalus skonio pojūtis, apalpimas, skausmo jutimo išnykimas; regėjimo sutrikimai, regėjimo pablogėjimas, skambėjimas ausyse; mažas kraujospūdis; čiaudulys / sloga dėl nosies gleivinės uždegimo (rinitas); nevirškinimas,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Reti (gali pasireikšti mažiau nei 1 iš 1 000 žmonių)</w:t>
      </w:r>
      <w:r w:rsidRPr="005F37B9">
        <w:rPr>
          <w:rFonts w:ascii="Times New Roman" w:hAnsi="Times New Roman"/>
          <w:lang w:val="lt-LT"/>
        </w:rPr>
        <w:t>: minčių susipainiojimas.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Labai reti (gali pasireikšti mažiau nei 1 iš 10 000 žmonių)</w:t>
      </w:r>
      <w:r w:rsidRPr="005F37B9">
        <w:rPr>
          <w:rFonts w:ascii="Times New Roman" w:hAnsi="Times New Roman"/>
          <w:lang w:val="lt-LT"/>
        </w:rPr>
        <w:t>: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bėrimu, padidėjęs jautrumas šviesai; sutrikimas, pasireiškiantis rigidiškumu, drebuliu ir (arba) judėjimo sutrikimų deriniu.</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u w:val="single"/>
          <w:lang w:val="lt-LT"/>
        </w:rPr>
      </w:pPr>
      <w:r w:rsidRPr="005F37B9">
        <w:rPr>
          <w:rFonts w:ascii="Times New Roman" w:hAnsi="Times New Roman"/>
          <w:u w:val="single"/>
          <w:lang w:val="lt-LT"/>
        </w:rPr>
        <w:t>Valsartanas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i/>
          <w:lang w:val="lt-LT"/>
        </w:rPr>
        <w:t>Dažnis nežinomas (negali būti įvertintas pagal turimus duomenis)</w:t>
      </w:r>
      <w:r w:rsidRPr="005F37B9">
        <w:rPr>
          <w:rFonts w:ascii="Times New Roman" w:hAnsi="Times New Roman"/>
          <w:lang w:val="lt-LT"/>
        </w:rPr>
        <w:t>: sumažėjęs raudonųjų kraujo ląstelių kiekis, karščiavimas, infekcijos sukeltas gerklės skausmas ar burnos gleivinės žaizdos; savaiminis kraujavimas ar kraujosruvų (mėlynių) susidarymas; padidėjęs kalio kiekis kraujyje; sutrikę kepenų veiklos rodiklių tyrimų rezultatai; sutrikusi inkstų veikla ir labai stipriai sutrikusi inkstų veikla; patinimas, daugiausia veido ir gerklės; raumenų skausmas; bėrimas, rausvai violetinės ar raudonos odos dėmės; karščiavimas; niežulys; alerginės reakcijos; pūslėta oda (pūslinio dermatito požymis).</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Jei pasireiškė kuri nors iš šių reakcijų, nedelsdami kreipkitės į gydytoją.</w:t>
      </w:r>
    </w:p>
    <w:p w:rsidR="005F37B9" w:rsidRPr="005F37B9" w:rsidRDefault="005F37B9" w:rsidP="005F37B9">
      <w:pPr>
        <w:spacing w:after="0" w:line="240" w:lineRule="auto"/>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b/>
          <w:lang w:val="lt-LT"/>
        </w:rPr>
      </w:pPr>
      <w:r w:rsidRPr="005F37B9">
        <w:rPr>
          <w:rFonts w:ascii="Times New Roman" w:hAnsi="Times New Roman"/>
          <w:b/>
          <w:noProof/>
          <w:lang w:val="lt-LT"/>
        </w:rPr>
        <w:t>Pranešimas apie šalutinį poveikį</w:t>
      </w:r>
    </w:p>
    <w:p w:rsidR="005F37B9" w:rsidRPr="005F37B9" w:rsidRDefault="005F37B9" w:rsidP="005F37B9">
      <w:pPr>
        <w:spacing w:after="0" w:line="240" w:lineRule="auto"/>
        <w:ind w:right="-449"/>
        <w:contextualSpacing/>
        <w:rPr>
          <w:rFonts w:ascii="Times New Roman" w:hAnsi="Times New Roman"/>
          <w:noProof/>
          <w:lang w:val="lt-LT"/>
        </w:rPr>
      </w:pPr>
      <w:r w:rsidRPr="005F37B9">
        <w:rPr>
          <w:rFonts w:ascii="Times New Roman" w:hAnsi="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F37B9">
        <w:rPr>
          <w:rFonts w:ascii="Times New Roman" w:hAnsi="Times New Roman"/>
          <w:lang w:val="lt-LT" w:eastAsia="zh-CN"/>
        </w:rPr>
        <w:t>elefonu 8 800 73568</w:t>
      </w:r>
      <w:r w:rsidRPr="005F37B9">
        <w:rPr>
          <w:rFonts w:ascii="Times New Roman" w:hAnsi="Times New Roman"/>
          <w:lang w:val="lt-LT"/>
        </w:rPr>
        <w:t xml:space="preserve"> arba užpildyti interneto svetainėje </w:t>
      </w:r>
      <w:hyperlink r:id="rId12" w:history="1">
        <w:r w:rsidRPr="005F37B9">
          <w:rPr>
            <w:rStyle w:val="Hipersaitas"/>
            <w:rFonts w:ascii="Times New Roman" w:eastAsia="SimSun" w:hAnsi="Times New Roman"/>
            <w:lang w:val="lt-LT"/>
          </w:rPr>
          <w:t>www.vvkt.lt</w:t>
        </w:r>
      </w:hyperlink>
      <w:r w:rsidRPr="005F37B9">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5F37B9">
        <w:rPr>
          <w:rFonts w:ascii="Times New Roman" w:hAnsi="Times New Roman"/>
          <w:lang w:val="lt-LT" w:eastAsia="zh-CN"/>
        </w:rPr>
        <w:t xml:space="preserve">nemokamu </w:t>
      </w:r>
      <w:r w:rsidRPr="005F37B9">
        <w:rPr>
          <w:rFonts w:ascii="Times New Roman" w:hAnsi="Times New Roman"/>
          <w:lang w:val="lt-LT"/>
        </w:rPr>
        <w:t>fakso numeriu 8 800 20131</w:t>
      </w:r>
      <w:r w:rsidRPr="005F37B9">
        <w:rPr>
          <w:rFonts w:ascii="Times New Roman" w:hAnsi="Times New Roman"/>
          <w:lang w:val="lt-LT" w:eastAsia="zh-CN"/>
        </w:rPr>
        <w:t xml:space="preserve">, </w:t>
      </w:r>
      <w:r w:rsidRPr="005F37B9">
        <w:rPr>
          <w:rFonts w:ascii="Times New Roman" w:hAnsi="Times New Roman"/>
          <w:lang w:val="lt-LT"/>
        </w:rPr>
        <w:t xml:space="preserve">el. paštu </w:t>
      </w:r>
      <w:hyperlink r:id="rId13" w:history="1">
        <w:r w:rsidRPr="005F37B9">
          <w:rPr>
            <w:rStyle w:val="Hipersaitas"/>
            <w:rFonts w:ascii="Times New Roman" w:eastAsia="SimSun" w:hAnsi="Times New Roman"/>
            <w:lang w:val="lt-LT"/>
          </w:rPr>
          <w:t>NepageidaujamaR@vvkt.lt</w:t>
        </w:r>
      </w:hyperlink>
      <w:r w:rsidRPr="005F37B9">
        <w:rPr>
          <w:rFonts w:ascii="Times New Roman" w:hAnsi="Times New Roman"/>
          <w:lang w:val="lt-LT"/>
        </w:rPr>
        <w:t xml:space="preserve">, taip pat per Valstybinės vaistų kontrolės tarnybos prie Lietuvos Respublikos sveikatos apsaugos ministerijos interneto svetainę (adresu </w:t>
      </w:r>
      <w:hyperlink r:id="rId14" w:history="1">
        <w:r w:rsidRPr="005F37B9">
          <w:rPr>
            <w:rStyle w:val="Hipersaitas"/>
            <w:rFonts w:ascii="Times New Roman" w:eastAsia="SimSun" w:hAnsi="Times New Roman"/>
            <w:lang w:val="lt-LT"/>
          </w:rPr>
          <w:t>http://www.vvkt.lt</w:t>
        </w:r>
      </w:hyperlink>
      <w:r w:rsidRPr="005F37B9">
        <w:rPr>
          <w:rFonts w:ascii="Times New Roman" w:hAnsi="Times New Roman"/>
          <w:lang w:val="lt-LT"/>
        </w:rPr>
        <w:t>). Pranešdami apie šalutinį poveikį galite mums padėti gauti daugiau informacijos apie šio vaisto saugumą.</w:t>
      </w:r>
    </w:p>
    <w:p w:rsidR="005F37B9" w:rsidRPr="005F37B9" w:rsidRDefault="005F37B9" w:rsidP="005F37B9">
      <w:pPr>
        <w:spacing w:after="0" w:line="240" w:lineRule="auto"/>
        <w:ind w:right="-449"/>
        <w:contextualSpacing/>
        <w:rPr>
          <w:rFonts w:ascii="Times New Roman" w:hAnsi="Times New Roman"/>
          <w:noProof/>
          <w:lang w:val="lt-LT"/>
        </w:rPr>
      </w:pPr>
    </w:p>
    <w:p w:rsidR="005F37B9" w:rsidRPr="005F37B9" w:rsidRDefault="005F37B9" w:rsidP="005F37B9">
      <w:pPr>
        <w:spacing w:after="0" w:line="240" w:lineRule="auto"/>
        <w:ind w:right="-449"/>
        <w:contextualSpacing/>
        <w:rPr>
          <w:rFonts w:ascii="Times New Roman" w:hAnsi="Times New Roman"/>
          <w:noProof/>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5.</w:t>
      </w:r>
      <w:r w:rsidRPr="005F37B9">
        <w:rPr>
          <w:rFonts w:ascii="Times New Roman" w:hAnsi="Times New Roman"/>
          <w:sz w:val="22"/>
          <w:szCs w:val="22"/>
          <w:lang w:val="lt-LT"/>
        </w:rPr>
        <w:tab/>
        <w:t>Kaip laikyti Sartesta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lastRenderedPageBreak/>
        <w:t>Laikyti ne aukštesnėje kaip 25 °C temperatūroje.</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Laikyti gamintojo pakuotėje, kad vaistas būtų apsaugotas nuo drėgmės.</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Šį vaistą laikykite vaikams nepastebimoje ir nepasiekiamoje vietoje.</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Ant dėžutės ir lizdinės </w:t>
      </w:r>
      <w:r w:rsidRPr="005F37B9">
        <w:rPr>
          <w:rFonts w:ascii="Times New Roman" w:hAnsi="Times New Roman"/>
          <w:lang w:val="lt-LT"/>
        </w:rPr>
        <w:t xml:space="preserve">plokštelės </w:t>
      </w:r>
      <w:r w:rsidR="009303B7" w:rsidRPr="009303B7">
        <w:rPr>
          <w:rFonts w:ascii="Times New Roman" w:hAnsi="Times New Roman"/>
          <w:lang w:val="lt-LT"/>
        </w:rPr>
        <w:t xml:space="preserve">po „EXP” </w:t>
      </w:r>
      <w:r w:rsidRPr="005F37B9">
        <w:rPr>
          <w:rFonts w:ascii="Times New Roman" w:hAnsi="Times New Roman"/>
          <w:lang w:val="lt-LT"/>
        </w:rPr>
        <w:t>nurodytam</w:t>
      </w:r>
      <w:r w:rsidRPr="005F37B9">
        <w:rPr>
          <w:rFonts w:ascii="Times New Roman" w:hAnsi="Times New Roman"/>
          <w:noProof/>
          <w:lang w:val="lt-LT"/>
        </w:rPr>
        <w:t xml:space="preserve"> tinkamumo laikui pasibaigus, šio vaisto vartoti negalima.</w:t>
      </w:r>
      <w:r w:rsidRPr="005F37B9">
        <w:rPr>
          <w:rFonts w:ascii="Times New Roman" w:hAnsi="Times New Roman"/>
          <w:lang w:val="lt-LT"/>
        </w:rPr>
        <w:t xml:space="preserve"> </w:t>
      </w:r>
      <w:r w:rsidRPr="005F37B9">
        <w:rPr>
          <w:rFonts w:ascii="Times New Roman" w:hAnsi="Times New Roman"/>
          <w:noProof/>
          <w:lang w:val="lt-LT"/>
        </w:rPr>
        <w:t>Vaistas tinkamas vartoti iki paskutinės nurodyto mėnesio dienos.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i/>
          <w:lang w:val="lt-LT"/>
        </w:rPr>
      </w:pPr>
      <w:r w:rsidRPr="005F37B9">
        <w:rPr>
          <w:rFonts w:ascii="Times New Roman" w:hAnsi="Times New Roman"/>
          <w:noProof/>
          <w:lang w:val="lt-LT"/>
        </w:rPr>
        <w:t>Vaistų negalima išmesti į kanalizaciją arba su buitinėmis atliekomis.</w:t>
      </w:r>
      <w:r w:rsidRPr="005F37B9">
        <w:rPr>
          <w:rFonts w:ascii="Times New Roman" w:hAnsi="Times New Roman"/>
          <w:lang w:val="lt-LT"/>
        </w:rPr>
        <w:t xml:space="preserve"> </w:t>
      </w:r>
      <w:r w:rsidRPr="005F37B9">
        <w:rPr>
          <w:rFonts w:ascii="Times New Roman" w:hAnsi="Times New Roman"/>
          <w:noProof/>
          <w:lang w:val="lt-LT"/>
        </w:rPr>
        <w:t>Kaip išmesti nereikalingus vaistus, klauskite vaistininko.</w:t>
      </w:r>
      <w:r w:rsidRPr="005F37B9">
        <w:rPr>
          <w:rFonts w:ascii="Times New Roman" w:hAnsi="Times New Roman"/>
          <w:lang w:val="lt-LT"/>
        </w:rPr>
        <w:t xml:space="preserve"> </w:t>
      </w:r>
      <w:r w:rsidRPr="005F37B9">
        <w:rPr>
          <w:rFonts w:ascii="Times New Roman" w:hAnsi="Times New Roman"/>
          <w:noProof/>
          <w:lang w:val="lt-LT"/>
        </w:rPr>
        <w:t>Šios priemonės padės apsaugoti aplinką.</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6.</w:t>
      </w:r>
      <w:r w:rsidRPr="005F37B9">
        <w:rPr>
          <w:rFonts w:ascii="Times New Roman" w:hAnsi="Times New Roman"/>
          <w:b w:val="0"/>
          <w:sz w:val="22"/>
          <w:szCs w:val="22"/>
          <w:lang w:val="lt-LT"/>
        </w:rPr>
        <w:tab/>
      </w:r>
      <w:r w:rsidRPr="005F37B9">
        <w:rPr>
          <w:rFonts w:ascii="Times New Roman" w:hAnsi="Times New Roman"/>
          <w:sz w:val="22"/>
          <w:szCs w:val="22"/>
          <w:lang w:val="lt-LT"/>
        </w:rPr>
        <w:t>Pakuotės turinys ir kita informacija</w:t>
      </w:r>
    </w:p>
    <w:p w:rsidR="005F37B9" w:rsidRPr="005F37B9" w:rsidRDefault="005F37B9" w:rsidP="005F37B9">
      <w:pPr>
        <w:numPr>
          <w:ilvl w:val="12"/>
          <w:numId w:val="0"/>
        </w:numPr>
        <w:spacing w:after="0" w:line="240" w:lineRule="auto"/>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 xml:space="preserve">Sartesta sudėtis </w:t>
      </w:r>
    </w:p>
    <w:p w:rsidR="005F37B9" w:rsidRPr="005F37B9" w:rsidRDefault="005F37B9" w:rsidP="005F37B9">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Veikliosios medžiagos yra amlodipinas ir valsartanas.</w:t>
      </w:r>
    </w:p>
    <w:p w:rsidR="005F37B9" w:rsidRPr="005F37B9" w:rsidRDefault="005F37B9" w:rsidP="005F37B9">
      <w:pPr>
        <w:spacing w:after="0" w:line="240" w:lineRule="auto"/>
        <w:ind w:left="567" w:right="-2"/>
        <w:contextualSpacing/>
        <w:rPr>
          <w:rFonts w:ascii="Times New Roman" w:hAnsi="Times New Roman"/>
          <w:lang w:val="lt-LT"/>
        </w:rPr>
      </w:pPr>
      <w:r w:rsidRPr="005F37B9">
        <w:rPr>
          <w:rFonts w:ascii="Times New Roman" w:hAnsi="Times New Roman"/>
          <w:lang w:val="lt-LT"/>
        </w:rPr>
        <w:t>Sartesta 5 mg/80 mg yra 5 mg amlodipino (amlodipino maleato pavidalu) ir 80 mg valsartano.</w:t>
      </w:r>
    </w:p>
    <w:p w:rsidR="005F37B9" w:rsidRPr="005F37B9" w:rsidRDefault="005F37B9" w:rsidP="005F37B9">
      <w:pPr>
        <w:spacing w:after="0" w:line="240" w:lineRule="auto"/>
        <w:ind w:left="567" w:right="-2"/>
        <w:contextualSpacing/>
        <w:rPr>
          <w:rFonts w:ascii="Times New Roman" w:hAnsi="Times New Roman"/>
          <w:lang w:val="lt-LT"/>
        </w:rPr>
      </w:pPr>
      <w:r w:rsidRPr="005F37B9">
        <w:rPr>
          <w:rFonts w:ascii="Times New Roman" w:hAnsi="Times New Roman"/>
          <w:lang w:val="lt-LT"/>
        </w:rPr>
        <w:t>Sartesta 5 mg/160 mg yra 5 mg amlodipino (amlodipino maleato pavidalu) ir 160 mg valsartano.</w:t>
      </w:r>
    </w:p>
    <w:p w:rsidR="005F37B9" w:rsidRPr="005F37B9" w:rsidRDefault="005F37B9" w:rsidP="005F37B9">
      <w:pPr>
        <w:spacing w:after="0" w:line="240" w:lineRule="auto"/>
        <w:ind w:left="567" w:right="-2"/>
        <w:contextualSpacing/>
        <w:rPr>
          <w:rFonts w:ascii="Times New Roman" w:hAnsi="Times New Roman"/>
          <w:lang w:val="lt-LT"/>
        </w:rPr>
      </w:pPr>
      <w:r w:rsidRPr="005F37B9">
        <w:rPr>
          <w:rFonts w:ascii="Times New Roman" w:hAnsi="Times New Roman"/>
          <w:lang w:val="lt-LT"/>
        </w:rPr>
        <w:t>Sartesta 10 mg/160 mg yra 10 mg amlodipino (amlodipino maleato pavidalu) ir 160 mg valsartano.</w:t>
      </w:r>
    </w:p>
    <w:p w:rsidR="005F37B9" w:rsidRPr="005F37B9" w:rsidRDefault="005F37B9" w:rsidP="005F37B9">
      <w:pPr>
        <w:numPr>
          <w:ilvl w:val="0"/>
          <w:numId w:val="5"/>
        </w:numPr>
        <w:spacing w:after="0" w:line="240" w:lineRule="auto"/>
        <w:ind w:left="567" w:right="-2" w:hanging="567"/>
        <w:contextualSpacing/>
        <w:rPr>
          <w:rFonts w:ascii="Times New Roman" w:hAnsi="Times New Roman"/>
          <w:noProof/>
          <w:lang w:val="lt-LT"/>
        </w:rPr>
      </w:pPr>
      <w:r w:rsidRPr="005F37B9">
        <w:rPr>
          <w:rFonts w:ascii="Times New Roman" w:hAnsi="Times New Roman"/>
          <w:noProof/>
          <w:lang w:val="lt-LT"/>
        </w:rPr>
        <w:t>Pagalbinės medžiagos yra:</w:t>
      </w:r>
    </w:p>
    <w:p w:rsidR="005F37B9" w:rsidRPr="005F37B9" w:rsidRDefault="005F37B9" w:rsidP="005F37B9">
      <w:pPr>
        <w:spacing w:after="0" w:line="240" w:lineRule="auto"/>
        <w:ind w:left="567" w:right="-2"/>
        <w:contextualSpacing/>
        <w:rPr>
          <w:rFonts w:ascii="Times New Roman" w:hAnsi="Times New Roman"/>
          <w:noProof/>
          <w:lang w:val="lt-LT"/>
        </w:rPr>
      </w:pPr>
      <w:r w:rsidRPr="005F37B9">
        <w:rPr>
          <w:rFonts w:ascii="Times New Roman" w:hAnsi="Times New Roman"/>
          <w:noProof/>
          <w:lang w:val="lt-LT"/>
        </w:rPr>
        <w:t>branduolyje: mikrokristalinė celiuliozė, krospovidonas A, koloidinis bevandenis silicio dioksidas, magnio stearatas;</w:t>
      </w:r>
    </w:p>
    <w:p w:rsidR="005F37B9" w:rsidRPr="005F37B9" w:rsidRDefault="005F37B9" w:rsidP="005F37B9">
      <w:pPr>
        <w:spacing w:after="0" w:line="240" w:lineRule="auto"/>
        <w:ind w:left="567" w:right="-2"/>
        <w:contextualSpacing/>
        <w:rPr>
          <w:rFonts w:ascii="Times New Roman" w:hAnsi="Times New Roman"/>
          <w:noProof/>
          <w:lang w:val="lt-LT"/>
        </w:rPr>
      </w:pPr>
      <w:r w:rsidRPr="005F37B9">
        <w:rPr>
          <w:rFonts w:ascii="Times New Roman" w:hAnsi="Times New Roman"/>
          <w:noProof/>
          <w:lang w:val="lt-LT"/>
        </w:rPr>
        <w:t>plėvelėje: hipromeliozė, titano dioksidas (E171), geltonasis geležies oksidas (E172), raudonasis geležies oksidas (E172), makrogolis 8000.</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išvaizda ir kiekis pakuotėje</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5 mg/80 mg yra apvali, abipus išgaubta, tamsiai geltona plėvele dengta tabletė, kurios skersmuo yra 8 mm.</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5 mg/160 mg yra ovali, abipus išgaubta, tamsiai geltona plėvele dengta tabletė, kurios vienoje pusėje įspausta „5“, matmenys 14 mm x 8 mm.</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10 mg/160 mg yra ovali, abipus išgaubta, šviesiai geltona plėvele dengta tabletė, kurios vienoje pusėje įspausta „10“, matmenys 14 mm x 8 mm.</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Aliuminio/PVC/PCTFE lizdinės plokštelės.</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Kartono dėžutėje yra 1, 7, 14, 28, 30, 56, 90 ar 98 plėvele dengtos tabletės.</w:t>
      </w: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Gali būti tiekiamos ne visų dydžių pakuotės.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Registruotojas ir gamintojas</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spacing w:after="0" w:line="240" w:lineRule="auto"/>
        <w:contextualSpacing/>
        <w:rPr>
          <w:rFonts w:ascii="Times New Roman" w:hAnsi="Times New Roman"/>
          <w:i/>
          <w:noProof/>
          <w:lang w:val="lt-LT"/>
        </w:rPr>
      </w:pPr>
      <w:r w:rsidRPr="005F37B9">
        <w:rPr>
          <w:rFonts w:ascii="Times New Roman" w:hAnsi="Times New Roman"/>
          <w:i/>
          <w:noProof/>
          <w:lang w:val="lt-LT"/>
        </w:rPr>
        <w:t>Registruotojas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Medana Pharma SA</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10, Wł. Łokietka Str.</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98-200 Sieradz</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i/>
          <w:noProof/>
          <w:lang w:val="lt-LT"/>
        </w:rPr>
      </w:pPr>
      <w:r w:rsidRPr="005F37B9">
        <w:rPr>
          <w:rFonts w:ascii="Times New Roman" w:hAnsi="Times New Roman"/>
          <w:i/>
          <w:noProof/>
          <w:lang w:val="lt-LT"/>
        </w:rPr>
        <w:t>Gamintojas</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Pharmaceutical Works POLPHARMA SA</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19 Pelplińska Str.</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lastRenderedPageBreak/>
        <w:t>83-200 Starogard Gdański</w:t>
      </w:r>
    </w:p>
    <w:p w:rsidR="005F37B9" w:rsidRPr="005F37B9" w:rsidRDefault="005F37B9" w:rsidP="005F37B9">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Jeigu apie šį vaistą norite sužinoti daugiau, kreipkitės į vietinį registruotojo atstovą.</w:t>
      </w:r>
    </w:p>
    <w:p w:rsidR="005F37B9" w:rsidRPr="005F37B9" w:rsidRDefault="005F37B9" w:rsidP="005F37B9">
      <w:pPr>
        <w:spacing w:after="0" w:line="240" w:lineRule="auto"/>
        <w:contextualSpacing/>
        <w:rPr>
          <w:rFonts w:ascii="Times New Roman" w:hAnsi="Times New Roman"/>
          <w:noProof/>
          <w:lang w:val="lt-LT"/>
        </w:rPr>
      </w:pP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POLPHARMA S.A. atstovybė </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E. Ožeškienės g. 18A</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LT-44254 Kaunas</w:t>
      </w:r>
    </w:p>
    <w:p w:rsidR="005F37B9" w:rsidRPr="005F37B9" w:rsidRDefault="005F37B9" w:rsidP="005F37B9">
      <w:pPr>
        <w:spacing w:after="0" w:line="240" w:lineRule="auto"/>
        <w:contextualSpacing/>
        <w:rPr>
          <w:rFonts w:ascii="Times New Roman" w:hAnsi="Times New Roman"/>
          <w:lang w:val="lt-LT"/>
        </w:rPr>
      </w:pPr>
      <w:r w:rsidRPr="005F37B9">
        <w:rPr>
          <w:rFonts w:ascii="Times New Roman" w:hAnsi="Times New Roman"/>
          <w:lang w:val="lt-LT"/>
        </w:rPr>
        <w:t xml:space="preserve">Tel. +370 37 325131 </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b/>
          <w:lang w:val="lt-LT"/>
        </w:rPr>
        <w:t>Šis vaistas EEE valstybėse narėse registruotas tokiais pavadinimais</w:t>
      </w:r>
      <w:r w:rsidRPr="005F37B9">
        <w:rPr>
          <w:rFonts w:ascii="Times New Roman" w:hAnsi="Times New Roman"/>
          <w:lang w:val="lt-LT"/>
        </w:rPr>
        <w:t>:</w:t>
      </w:r>
    </w:p>
    <w:p w:rsidR="005F37B9" w:rsidRPr="005F37B9" w:rsidRDefault="005F37B9" w:rsidP="005F37B9">
      <w:pPr>
        <w:spacing w:after="0" w:line="240" w:lineRule="auto"/>
        <w:ind w:left="567" w:hanging="567"/>
        <w:contextualSpacing/>
        <w:rPr>
          <w:rFonts w:ascii="Times New Roman" w:hAnsi="Times New Roman"/>
          <w:noProof/>
          <w:lang w:val="lt-LT"/>
        </w:rPr>
      </w:pPr>
      <w:r w:rsidRPr="005F37B9">
        <w:rPr>
          <w:rFonts w:ascii="Times New Roman" w:hAnsi="Times New Roman"/>
          <w:noProof/>
          <w:lang w:val="lt-LT"/>
        </w:rPr>
        <w:t>Lietuva, Latvija, Bulgarija, Lenkija – Sartesta</w:t>
      </w:r>
    </w:p>
    <w:p w:rsidR="005F37B9" w:rsidRPr="005F37B9" w:rsidRDefault="005F37B9" w:rsidP="005F37B9">
      <w:pPr>
        <w:spacing w:after="0" w:line="240" w:lineRule="auto"/>
        <w:ind w:left="567" w:hanging="567"/>
        <w:contextualSpacing/>
        <w:rPr>
          <w:rFonts w:ascii="Times New Roman" w:hAnsi="Times New Roman"/>
          <w:lang w:val="lt-LT"/>
        </w:rPr>
      </w:pPr>
    </w:p>
    <w:p w:rsidR="005F37B9" w:rsidRPr="005F37B9" w:rsidRDefault="005F37B9" w:rsidP="005F37B9">
      <w:pPr>
        <w:spacing w:after="0" w:line="240" w:lineRule="auto"/>
        <w:ind w:left="567" w:hanging="567"/>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Šis pakuotės lapelis paskutinį kartą peržiūrėtas </w:t>
      </w:r>
      <w:r w:rsidR="000F7A17" w:rsidRPr="000F7A17">
        <w:rPr>
          <w:rFonts w:ascii="Times New Roman" w:hAnsi="Times New Roman"/>
          <w:b/>
          <w:lang w:val="lt-LT"/>
        </w:rPr>
        <w:t>2018-06-27.</w:t>
      </w: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p>
    <w:p w:rsidR="005F37B9" w:rsidRPr="005F37B9" w:rsidRDefault="005F37B9" w:rsidP="005F37B9">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Išsami informacija apie šį vaistą pateikiama Valstybinės vaistų kontrolės tarnybos prie Lietuvos Respublikos sveikatos apsaugos ministerijos tinklalapyje</w:t>
      </w:r>
      <w:r w:rsidRPr="005F37B9">
        <w:rPr>
          <w:rFonts w:ascii="Times New Roman" w:hAnsi="Times New Roman"/>
          <w:i/>
          <w:lang w:val="lt-LT"/>
        </w:rPr>
        <w:t xml:space="preserve"> </w:t>
      </w:r>
      <w:hyperlink r:id="rId15" w:history="1">
        <w:r w:rsidRPr="005F37B9">
          <w:rPr>
            <w:rStyle w:val="Hipersaitas"/>
            <w:rFonts w:ascii="Times New Roman" w:eastAsia="SimSun" w:hAnsi="Times New Roman"/>
            <w:lang w:val="lt-LT"/>
          </w:rPr>
          <w:t>http://www.vvkt.lt/</w:t>
        </w:r>
      </w:hyperlink>
      <w:r w:rsidRPr="005F37B9">
        <w:rPr>
          <w:rFonts w:ascii="Times New Roman" w:hAnsi="Times New Roman"/>
          <w:lang w:val="lt-LT"/>
        </w:rPr>
        <w:t>.</w:t>
      </w:r>
    </w:p>
    <w:p w:rsidR="00AE748A" w:rsidRPr="005F37B9" w:rsidRDefault="00AE748A" w:rsidP="005F37B9">
      <w:pPr>
        <w:spacing w:after="0" w:line="240" w:lineRule="auto"/>
        <w:rPr>
          <w:rFonts w:ascii="Times New Roman" w:hAnsi="Times New Roman"/>
          <w:lang w:val="lt-LT"/>
        </w:rPr>
      </w:pPr>
    </w:p>
    <w:sectPr w:rsidR="00AE748A" w:rsidRPr="005F37B9" w:rsidSect="00AE748A">
      <w:type w:val="continuous"/>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059" w:rsidRDefault="00594059">
      <w:pPr>
        <w:spacing w:after="0" w:line="240" w:lineRule="auto"/>
      </w:pPr>
      <w:r>
        <w:separator/>
      </w:r>
    </w:p>
  </w:endnote>
  <w:endnote w:type="continuationSeparator" w:id="0">
    <w:p w:rsidR="00594059" w:rsidRDefault="0059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8A" w:rsidRDefault="00AE748A">
    <w:pPr>
      <w:pStyle w:val="Porat"/>
      <w:jc w:val="center"/>
    </w:pPr>
    <w:r>
      <w:fldChar w:fldCharType="begin"/>
    </w:r>
    <w:r>
      <w:instrText>PAGE   \* MERGEFORMAT</w:instrText>
    </w:r>
    <w:r>
      <w:fldChar w:fldCharType="separate"/>
    </w:r>
    <w:r w:rsidR="00B70515" w:rsidRPr="00B70515">
      <w:rPr>
        <w:noProof/>
        <w:lang w:val="lt-LT"/>
      </w:rPr>
      <w:t>21</w:t>
    </w:r>
    <w:r>
      <w:fldChar w:fldCharType="end"/>
    </w:r>
  </w:p>
  <w:p w:rsidR="00AE748A" w:rsidRDefault="00AE748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059" w:rsidRDefault="00594059">
      <w:pPr>
        <w:spacing w:after="0" w:line="240" w:lineRule="auto"/>
      </w:pPr>
      <w:r>
        <w:separator/>
      </w:r>
    </w:p>
  </w:footnote>
  <w:footnote w:type="continuationSeparator" w:id="0">
    <w:p w:rsidR="00594059" w:rsidRDefault="00594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C07CE"/>
    <w:multiLevelType w:val="hybridMultilevel"/>
    <w:tmpl w:val="2E1C2EC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3261C5"/>
    <w:multiLevelType w:val="hybridMultilevel"/>
    <w:tmpl w:val="10B66C9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6338A8"/>
    <w:multiLevelType w:val="hybridMultilevel"/>
    <w:tmpl w:val="871A98F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AF3717"/>
    <w:multiLevelType w:val="hybridMultilevel"/>
    <w:tmpl w:val="626E6DA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14B4A"/>
    <w:multiLevelType w:val="hybridMultilevel"/>
    <w:tmpl w:val="396A095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F205A0"/>
    <w:multiLevelType w:val="hybridMultilevel"/>
    <w:tmpl w:val="D9644CAC"/>
    <w:lvl w:ilvl="0" w:tplc="4A341CFE">
      <w:start w:val="1"/>
      <w:numFmt w:val="bullet"/>
      <w:lvlText w:val="-"/>
      <w:lvlJc w:val="left"/>
      <w:pPr>
        <w:ind w:left="720" w:hanging="360"/>
      </w:pPr>
      <w:rPr>
        <w:rFonts w:ascii="Tahoma" w:hAnsi="Tahoma"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147B8"/>
    <w:multiLevelType w:val="hybridMultilevel"/>
    <w:tmpl w:val="6958CCA0"/>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5613A3"/>
    <w:multiLevelType w:val="hybridMultilevel"/>
    <w:tmpl w:val="0E3434D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6"/>
  </w:num>
  <w:num w:numId="8">
    <w:abstractNumId w:val="10"/>
  </w:num>
  <w:num w:numId="9">
    <w:abstractNumId w:val="9"/>
  </w:num>
  <w:num w:numId="10">
    <w:abstractNumId w:val="5"/>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B9"/>
    <w:rsid w:val="000420CD"/>
    <w:rsid w:val="00080210"/>
    <w:rsid w:val="00095704"/>
    <w:rsid w:val="000F7A17"/>
    <w:rsid w:val="001F0472"/>
    <w:rsid w:val="00347F97"/>
    <w:rsid w:val="003C3BE3"/>
    <w:rsid w:val="00594059"/>
    <w:rsid w:val="005F37B9"/>
    <w:rsid w:val="00710D32"/>
    <w:rsid w:val="00742C78"/>
    <w:rsid w:val="00894E28"/>
    <w:rsid w:val="009303B7"/>
    <w:rsid w:val="00A46189"/>
    <w:rsid w:val="00AE748A"/>
    <w:rsid w:val="00B70515"/>
    <w:rsid w:val="00CD584B"/>
    <w:rsid w:val="00D13F83"/>
    <w:rsid w:val="00D15BF8"/>
    <w:rsid w:val="00D628FB"/>
    <w:rsid w:val="00D7680E"/>
    <w:rsid w:val="00E443DC"/>
    <w:rsid w:val="00F155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1B487-2B4B-4EDD-A4E4-B550159C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5F37B9"/>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F37B9"/>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F37B9"/>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5F37B9"/>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5F37B9"/>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F37B9"/>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F37B9"/>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F37B9"/>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F37B9"/>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F37B9"/>
    <w:rPr>
      <w:rFonts w:ascii="Times New Roman" w:eastAsia="SimSun" w:hAnsi="Times New Roman"/>
      <w:b/>
      <w:caps/>
      <w:sz w:val="26"/>
      <w:lang w:val="en-US" w:eastAsia="en-US"/>
    </w:rPr>
  </w:style>
  <w:style w:type="character" w:customStyle="1" w:styleId="Antrat2Diagrama">
    <w:name w:val="Antraštė 2 Diagrama"/>
    <w:link w:val="Antrat2"/>
    <w:uiPriority w:val="99"/>
    <w:rsid w:val="005F37B9"/>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5F37B9"/>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5F37B9"/>
    <w:rPr>
      <w:rFonts w:eastAsia="Times New Roman"/>
      <w:b/>
      <w:bCs/>
      <w:snapToGrid w:val="0"/>
      <w:sz w:val="28"/>
      <w:szCs w:val="28"/>
      <w:lang w:val="en-GB" w:eastAsia="x-none"/>
    </w:rPr>
  </w:style>
  <w:style w:type="character" w:customStyle="1" w:styleId="Antrat5Diagrama">
    <w:name w:val="Antraštė 5 Diagrama"/>
    <w:link w:val="Antrat5"/>
    <w:uiPriority w:val="99"/>
    <w:rsid w:val="005F37B9"/>
    <w:rPr>
      <w:rFonts w:ascii="Times New Roman" w:eastAsia="SimSun" w:hAnsi="Times New Roman"/>
      <w:noProof/>
      <w:sz w:val="22"/>
      <w:lang w:val="en-GB" w:eastAsia="en-US"/>
    </w:rPr>
  </w:style>
  <w:style w:type="character" w:customStyle="1" w:styleId="Antrat6Diagrama">
    <w:name w:val="Antraštė 6 Diagrama"/>
    <w:link w:val="Antrat6"/>
    <w:uiPriority w:val="99"/>
    <w:rsid w:val="005F37B9"/>
    <w:rPr>
      <w:rFonts w:ascii="Times New Roman" w:eastAsia="SimSun" w:hAnsi="Times New Roman"/>
      <w:i/>
      <w:sz w:val="22"/>
      <w:lang w:val="en-GB" w:eastAsia="en-US"/>
    </w:rPr>
  </w:style>
  <w:style w:type="character" w:customStyle="1" w:styleId="Antrat7Diagrama">
    <w:name w:val="Antraštė 7 Diagrama"/>
    <w:link w:val="Antrat7"/>
    <w:uiPriority w:val="99"/>
    <w:rsid w:val="005F37B9"/>
    <w:rPr>
      <w:rFonts w:ascii="Times New Roman" w:eastAsia="SimSun" w:hAnsi="Times New Roman"/>
      <w:i/>
      <w:sz w:val="22"/>
      <w:lang w:val="en-GB" w:eastAsia="en-US"/>
    </w:rPr>
  </w:style>
  <w:style w:type="character" w:customStyle="1" w:styleId="Antrat8Diagrama">
    <w:name w:val="Antraštė 8 Diagrama"/>
    <w:link w:val="Antrat8"/>
    <w:uiPriority w:val="99"/>
    <w:rsid w:val="005F37B9"/>
    <w:rPr>
      <w:rFonts w:ascii="Times New Roman" w:eastAsia="SimSun" w:hAnsi="Times New Roman"/>
      <w:b/>
      <w:i/>
      <w:sz w:val="22"/>
      <w:lang w:val="en-GB" w:eastAsia="en-US"/>
    </w:rPr>
  </w:style>
  <w:style w:type="character" w:customStyle="1" w:styleId="Antrat9Diagrama">
    <w:name w:val="Antraštė 9 Diagrama"/>
    <w:link w:val="Antrat9"/>
    <w:uiPriority w:val="99"/>
    <w:rsid w:val="005F37B9"/>
    <w:rPr>
      <w:rFonts w:ascii="Times New Roman" w:eastAsia="SimSun" w:hAnsi="Times New Roman"/>
      <w:b/>
      <w:i/>
      <w:sz w:val="22"/>
      <w:lang w:val="en-GB" w:eastAsia="en-US"/>
    </w:rPr>
  </w:style>
  <w:style w:type="paragraph" w:styleId="Porat">
    <w:name w:val="footer"/>
    <w:basedOn w:val="prastasis"/>
    <w:link w:val="PoratDiagrama"/>
    <w:uiPriority w:val="99"/>
    <w:rsid w:val="005F37B9"/>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5F37B9"/>
    <w:rPr>
      <w:rFonts w:ascii="Times New Roman" w:eastAsia="Times New Roman" w:hAnsi="Times New Roman"/>
      <w:snapToGrid w:val="0"/>
      <w:sz w:val="22"/>
      <w:lang w:val="en-GB" w:eastAsia="x-none"/>
    </w:rPr>
  </w:style>
  <w:style w:type="character" w:customStyle="1" w:styleId="HeaderChar">
    <w:name w:val="Header Char"/>
    <w:rsid w:val="005F37B9"/>
    <w:rPr>
      <w:snapToGrid w:val="0"/>
      <w:sz w:val="22"/>
      <w:lang w:val="en-GB" w:eastAsia="en-US"/>
    </w:rPr>
  </w:style>
  <w:style w:type="character" w:styleId="Puslapionumeris">
    <w:name w:val="page number"/>
    <w:uiPriority w:val="99"/>
    <w:rsid w:val="005F37B9"/>
    <w:rPr>
      <w:rFonts w:cs="Times New Roman"/>
    </w:rPr>
  </w:style>
  <w:style w:type="character" w:styleId="Hipersaitas">
    <w:name w:val="Hyperlink"/>
    <w:uiPriority w:val="99"/>
    <w:rsid w:val="005F37B9"/>
    <w:rPr>
      <w:color w:val="0000FF"/>
      <w:u w:val="single"/>
    </w:rPr>
  </w:style>
  <w:style w:type="paragraph" w:customStyle="1" w:styleId="BodytextAgency">
    <w:name w:val="Body text (Agency)"/>
    <w:basedOn w:val="prastasis"/>
    <w:link w:val="BodytextAgencyChar"/>
    <w:uiPriority w:val="99"/>
    <w:rsid w:val="005F37B9"/>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F37B9"/>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5F37B9"/>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F37B9"/>
    <w:rPr>
      <w:rFonts w:ascii="Courier New" w:hAnsi="Courier New"/>
      <w:color w:val="00FF00"/>
      <w:sz w:val="40"/>
    </w:rPr>
  </w:style>
  <w:style w:type="character" w:customStyle="1" w:styleId="tw4winTerm">
    <w:name w:val="tw4winTerm"/>
    <w:uiPriority w:val="99"/>
    <w:rsid w:val="005F37B9"/>
    <w:rPr>
      <w:color w:val="0000FF"/>
    </w:rPr>
  </w:style>
  <w:style w:type="character" w:customStyle="1" w:styleId="tw4winPopup">
    <w:name w:val="tw4winPopup"/>
    <w:uiPriority w:val="99"/>
    <w:rsid w:val="005F37B9"/>
    <w:rPr>
      <w:rFonts w:ascii="Courier New" w:hAnsi="Courier New"/>
      <w:noProof/>
      <w:color w:val="008000"/>
    </w:rPr>
  </w:style>
  <w:style w:type="character" w:customStyle="1" w:styleId="tw4winJump">
    <w:name w:val="tw4winJump"/>
    <w:uiPriority w:val="99"/>
    <w:rsid w:val="005F37B9"/>
    <w:rPr>
      <w:rFonts w:ascii="Courier New" w:hAnsi="Courier New"/>
      <w:noProof/>
      <w:color w:val="008080"/>
    </w:rPr>
  </w:style>
  <w:style w:type="character" w:customStyle="1" w:styleId="tw4winExternal">
    <w:name w:val="tw4winExternal"/>
    <w:uiPriority w:val="99"/>
    <w:rsid w:val="005F37B9"/>
    <w:rPr>
      <w:rFonts w:ascii="Courier New" w:hAnsi="Courier New"/>
      <w:noProof/>
      <w:color w:val="808080"/>
    </w:rPr>
  </w:style>
  <w:style w:type="character" w:customStyle="1" w:styleId="tw4winInternal">
    <w:name w:val="tw4winInternal"/>
    <w:uiPriority w:val="99"/>
    <w:rsid w:val="005F37B9"/>
    <w:rPr>
      <w:rFonts w:ascii="Courier New" w:hAnsi="Courier New"/>
      <w:noProof/>
      <w:color w:val="FF0000"/>
    </w:rPr>
  </w:style>
  <w:style w:type="character" w:customStyle="1" w:styleId="DONOTTRANSLATE">
    <w:name w:val="DO_NOT_TRANSLATE"/>
    <w:uiPriority w:val="99"/>
    <w:rsid w:val="005F37B9"/>
    <w:rPr>
      <w:rFonts w:ascii="Courier New" w:hAnsi="Courier New"/>
      <w:noProof/>
      <w:color w:val="800000"/>
    </w:rPr>
  </w:style>
  <w:style w:type="paragraph" w:styleId="Debesliotekstas">
    <w:name w:val="Balloon Text"/>
    <w:basedOn w:val="prastasis"/>
    <w:link w:val="DebesliotekstasDiagrama"/>
    <w:uiPriority w:val="99"/>
    <w:rsid w:val="005F37B9"/>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5F37B9"/>
    <w:rPr>
      <w:rFonts w:ascii="Tahoma" w:eastAsia="Times New Roman" w:hAnsi="Tahoma"/>
      <w:snapToGrid w:val="0"/>
      <w:sz w:val="16"/>
      <w:szCs w:val="16"/>
      <w:lang w:val="en-GB" w:eastAsia="x-none"/>
    </w:rPr>
  </w:style>
  <w:style w:type="character" w:styleId="Komentaronuoroda">
    <w:name w:val="annotation reference"/>
    <w:uiPriority w:val="99"/>
    <w:rsid w:val="005F37B9"/>
    <w:rPr>
      <w:sz w:val="16"/>
      <w:szCs w:val="16"/>
    </w:rPr>
  </w:style>
  <w:style w:type="paragraph" w:styleId="Komentarotekstas">
    <w:name w:val="annotation text"/>
    <w:basedOn w:val="prastasis"/>
    <w:link w:val="KomentarotekstasDiagrama"/>
    <w:uiPriority w:val="99"/>
    <w:rsid w:val="005F37B9"/>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5F37B9"/>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5F37B9"/>
    <w:rPr>
      <w:b/>
      <w:bCs/>
    </w:rPr>
  </w:style>
  <w:style w:type="character" w:customStyle="1" w:styleId="KomentarotemaDiagrama">
    <w:name w:val="Komentaro tema Diagrama"/>
    <w:link w:val="Komentarotema"/>
    <w:uiPriority w:val="99"/>
    <w:rsid w:val="005F37B9"/>
    <w:rPr>
      <w:rFonts w:ascii="Times New Roman" w:eastAsia="Times New Roman" w:hAnsi="Times New Roman"/>
      <w:b/>
      <w:bCs/>
      <w:snapToGrid w:val="0"/>
      <w:lang w:val="en-GB" w:eastAsia="en-US"/>
    </w:rPr>
  </w:style>
  <w:style w:type="paragraph" w:styleId="Pataisymai">
    <w:name w:val="Revision"/>
    <w:hidden/>
    <w:uiPriority w:val="99"/>
    <w:semiHidden/>
    <w:rsid w:val="005F37B9"/>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F37B9"/>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F37B9"/>
    <w:rPr>
      <w:rFonts w:ascii="Courier New" w:hAnsi="Courier New"/>
      <w:vanish/>
      <w:color w:val="800080"/>
      <w:sz w:val="24"/>
      <w:vertAlign w:val="subscript"/>
    </w:rPr>
  </w:style>
  <w:style w:type="paragraph" w:styleId="Antrats">
    <w:name w:val="header"/>
    <w:basedOn w:val="prastasis"/>
    <w:link w:val="AntratsDiagrama"/>
    <w:uiPriority w:val="99"/>
    <w:rsid w:val="005F37B9"/>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5F37B9"/>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5F37B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5F37B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5F37B9"/>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5F37B9"/>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F37B9"/>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5F37B9"/>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F37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5F37B9"/>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5F37B9"/>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5F37B9"/>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F37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5F37B9"/>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5F37B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F37B9"/>
    <w:pPr>
      <w:tabs>
        <w:tab w:val="clear" w:pos="720"/>
        <w:tab w:val="num" w:pos="360"/>
      </w:tabs>
      <w:ind w:left="709" w:hanging="425"/>
    </w:pPr>
    <w:rPr>
      <w:sz w:val="22"/>
    </w:rPr>
  </w:style>
  <w:style w:type="paragraph" w:customStyle="1" w:styleId="AHeader3">
    <w:name w:val="AHeader 3"/>
    <w:basedOn w:val="AHeader2"/>
    <w:uiPriority w:val="99"/>
    <w:rsid w:val="005F37B9"/>
    <w:pPr>
      <w:ind w:left="1276" w:hanging="567"/>
    </w:pPr>
  </w:style>
  <w:style w:type="paragraph" w:customStyle="1" w:styleId="AHeader2abc">
    <w:name w:val="AHeader 2 abc"/>
    <w:basedOn w:val="AHeader3"/>
    <w:uiPriority w:val="99"/>
    <w:rsid w:val="005F37B9"/>
    <w:pPr>
      <w:jc w:val="both"/>
    </w:pPr>
    <w:rPr>
      <w:b w:val="0"/>
      <w:bCs w:val="0"/>
    </w:rPr>
  </w:style>
  <w:style w:type="paragraph" w:customStyle="1" w:styleId="AHeader3abc">
    <w:name w:val="AHeader 3 abc"/>
    <w:basedOn w:val="AHeader2abc"/>
    <w:uiPriority w:val="99"/>
    <w:rsid w:val="005F37B9"/>
    <w:pPr>
      <w:ind w:left="1701" w:hanging="425"/>
    </w:pPr>
  </w:style>
  <w:style w:type="paragraph" w:styleId="Pagrindiniotekstotrauka3">
    <w:name w:val="Body Text Indent 3"/>
    <w:basedOn w:val="prastasis"/>
    <w:link w:val="Pagrindiniotekstotrauka3Diagrama"/>
    <w:uiPriority w:val="99"/>
    <w:rsid w:val="005F37B9"/>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5F37B9"/>
    <w:rPr>
      <w:rFonts w:ascii="Times New Roman" w:eastAsia="SimSun" w:hAnsi="Times New Roman"/>
      <w:sz w:val="22"/>
      <w:szCs w:val="21"/>
      <w:lang w:val="en-GB" w:eastAsia="en-US"/>
    </w:rPr>
  </w:style>
  <w:style w:type="character" w:styleId="Perirtashipersaitas">
    <w:name w:val="FollowedHyperlink"/>
    <w:uiPriority w:val="99"/>
    <w:rsid w:val="005F37B9"/>
    <w:rPr>
      <w:rFonts w:cs="Times New Roman"/>
      <w:color w:val="800080"/>
      <w:u w:val="single"/>
    </w:rPr>
  </w:style>
  <w:style w:type="character" w:styleId="Grietas">
    <w:name w:val="Strong"/>
    <w:uiPriority w:val="99"/>
    <w:qFormat/>
    <w:rsid w:val="005F37B9"/>
    <w:rPr>
      <w:rFonts w:cs="Times New Roman"/>
      <w:b/>
      <w:bCs/>
    </w:rPr>
  </w:style>
  <w:style w:type="character" w:customStyle="1" w:styleId="BodytextAgencyChar">
    <w:name w:val="Body text (Agency) Char"/>
    <w:link w:val="BodytextAgency"/>
    <w:uiPriority w:val="99"/>
    <w:locked/>
    <w:rsid w:val="005F37B9"/>
    <w:rPr>
      <w:rFonts w:ascii="Verdana" w:eastAsia="Times New Roman" w:hAnsi="Verdana"/>
      <w:snapToGrid w:val="0"/>
      <w:sz w:val="18"/>
      <w:lang w:val="en-GB" w:eastAsia="x-none"/>
    </w:rPr>
  </w:style>
  <w:style w:type="table" w:customStyle="1" w:styleId="TablegridAgencyblack">
    <w:name w:val="Table grid (Agency) black"/>
    <w:uiPriority w:val="99"/>
    <w:semiHidden/>
    <w:rsid w:val="005F37B9"/>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F37B9"/>
    <w:pPr>
      <w:keepNext/>
    </w:pPr>
    <w:rPr>
      <w:rFonts w:eastAsia="SimSun" w:cs="Verdana"/>
      <w:b/>
      <w:snapToGrid/>
      <w:szCs w:val="18"/>
      <w:lang w:eastAsia="en-GB"/>
    </w:rPr>
  </w:style>
  <w:style w:type="character" w:customStyle="1" w:styleId="NormalAgencyChar">
    <w:name w:val="Normal (Agency) Char"/>
    <w:link w:val="NormalAgency"/>
    <w:uiPriority w:val="99"/>
    <w:locked/>
    <w:rsid w:val="005F37B9"/>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5F37B9"/>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F37B9"/>
    <w:rPr>
      <w:rFonts w:ascii="Courier New" w:eastAsia="SimSun" w:hAnsi="Courier New"/>
      <w:lang w:val="en-US" w:eastAsia="en-US"/>
    </w:rPr>
  </w:style>
  <w:style w:type="paragraph" w:customStyle="1" w:styleId="Default">
    <w:name w:val="Default"/>
    <w:rsid w:val="005F37B9"/>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F37B9"/>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5F37B9"/>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5F37B9"/>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5F37B9"/>
    <w:rPr>
      <w:rFonts w:ascii="Times New Roman" w:eastAsia="SimSun" w:hAnsi="Times New Roman"/>
      <w:sz w:val="22"/>
      <w:lang w:val="en-GB" w:eastAsia="en-US"/>
    </w:rPr>
  </w:style>
  <w:style w:type="paragraph" w:customStyle="1" w:styleId="BTEMEASMCA">
    <w:name w:val="BT EMEA_SMCA"/>
    <w:basedOn w:val="prastasis"/>
    <w:link w:val="BTEMEASMCAChar"/>
    <w:autoRedefine/>
    <w:rsid w:val="005F37B9"/>
    <w:pPr>
      <w:widowControl w:val="0"/>
      <w:spacing w:after="0" w:line="240" w:lineRule="auto"/>
    </w:pPr>
    <w:rPr>
      <w:rFonts w:ascii="Times New Roman" w:eastAsia="SimSun" w:hAnsi="Times New Roman"/>
      <w:noProof/>
      <w:lang w:val="lt-LT" w:eastAsia="x-none"/>
    </w:rPr>
  </w:style>
  <w:style w:type="character" w:customStyle="1" w:styleId="BTEMEASMCAChar">
    <w:name w:val="BT EMEA_SMCA Char"/>
    <w:link w:val="BTEMEASMCA"/>
    <w:locked/>
    <w:rsid w:val="005F37B9"/>
    <w:rPr>
      <w:rFonts w:ascii="Times New Roman" w:eastAsia="SimSun" w:hAnsi="Times New Roman"/>
      <w:noProof/>
      <w:sz w:val="22"/>
      <w:szCs w:val="22"/>
      <w:lang w:val="lt-LT" w:eastAsia="x-none"/>
    </w:rPr>
  </w:style>
  <w:style w:type="character" w:customStyle="1" w:styleId="CharChar12">
    <w:name w:val="Char Char12"/>
    <w:locked/>
    <w:rsid w:val="005F37B9"/>
    <w:rPr>
      <w:snapToGrid w:val="0"/>
      <w:lang w:val="en-GB" w:eastAsia="en-US" w:bidi="ar-SA"/>
    </w:rPr>
  </w:style>
  <w:style w:type="table" w:styleId="Lentelstinklelis">
    <w:name w:val="Table Grid"/>
    <w:basedOn w:val="prastojilentel"/>
    <w:uiPriority w:val="59"/>
    <w:rsid w:val="005F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5F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50167</Words>
  <Characters>28596</Characters>
  <Application>Microsoft Office Word</Application>
  <DocSecurity>4</DocSecurity>
  <Lines>238</Lines>
  <Paragraphs>157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78606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2</cp:revision>
  <dcterms:created xsi:type="dcterms:W3CDTF">2018-08-21T13:08:00Z</dcterms:created>
  <dcterms:modified xsi:type="dcterms:W3CDTF">2018-08-21T13:08:00Z</dcterms:modified>
</cp:coreProperties>
</file>