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A3C6A" w14:textId="77777777" w:rsidR="00A129D5" w:rsidRPr="003E78EA" w:rsidRDefault="00A129D5">
      <w:pPr>
        <w:pStyle w:val="Pagrindinistekstas"/>
        <w:rPr>
          <w:lang w:val="lt-LT"/>
        </w:rPr>
      </w:pPr>
    </w:p>
    <w:p w14:paraId="4CDCB082" w14:textId="77777777" w:rsidR="00A129D5" w:rsidRPr="003E78EA" w:rsidRDefault="00A129D5">
      <w:pPr>
        <w:pStyle w:val="Pagrindinistekstas"/>
        <w:rPr>
          <w:lang w:val="lt-LT"/>
        </w:rPr>
      </w:pPr>
    </w:p>
    <w:p w14:paraId="496C4AC3" w14:textId="77777777" w:rsidR="00A129D5" w:rsidRPr="003E78EA" w:rsidRDefault="00A129D5">
      <w:pPr>
        <w:pStyle w:val="Pagrindinistekstas"/>
        <w:rPr>
          <w:lang w:val="lt-LT"/>
        </w:rPr>
      </w:pPr>
    </w:p>
    <w:p w14:paraId="5A7CE504" w14:textId="77777777" w:rsidR="00A129D5" w:rsidRPr="003E78EA" w:rsidRDefault="00A129D5">
      <w:pPr>
        <w:pStyle w:val="Pagrindinistekstas"/>
        <w:rPr>
          <w:lang w:val="lt-LT"/>
        </w:rPr>
      </w:pPr>
    </w:p>
    <w:p w14:paraId="046AC3EA" w14:textId="77777777" w:rsidR="00A129D5" w:rsidRPr="003E78EA" w:rsidRDefault="00A129D5">
      <w:pPr>
        <w:pStyle w:val="Pagrindinistekstas"/>
        <w:rPr>
          <w:lang w:val="lt-LT"/>
        </w:rPr>
      </w:pPr>
    </w:p>
    <w:p w14:paraId="0EEAAC59" w14:textId="77777777" w:rsidR="00A129D5" w:rsidRPr="003E78EA" w:rsidRDefault="00A129D5">
      <w:pPr>
        <w:pStyle w:val="Pagrindinistekstas"/>
        <w:rPr>
          <w:lang w:val="lt-LT"/>
        </w:rPr>
      </w:pPr>
    </w:p>
    <w:p w14:paraId="5BE2789E" w14:textId="77777777" w:rsidR="00A129D5" w:rsidRPr="003E78EA" w:rsidRDefault="00A129D5">
      <w:pPr>
        <w:pStyle w:val="Pagrindinistekstas"/>
        <w:rPr>
          <w:lang w:val="lt-LT"/>
        </w:rPr>
      </w:pPr>
    </w:p>
    <w:p w14:paraId="1A3A3EA3" w14:textId="77777777" w:rsidR="00A129D5" w:rsidRPr="003E78EA" w:rsidRDefault="00A129D5">
      <w:pPr>
        <w:pStyle w:val="Pagrindinistekstas"/>
        <w:rPr>
          <w:lang w:val="lt-LT"/>
        </w:rPr>
      </w:pPr>
    </w:p>
    <w:p w14:paraId="4781A2A5" w14:textId="77777777" w:rsidR="00A129D5" w:rsidRPr="003E78EA" w:rsidRDefault="00A129D5">
      <w:pPr>
        <w:pStyle w:val="Pagrindinistekstas"/>
        <w:rPr>
          <w:lang w:val="lt-LT"/>
        </w:rPr>
      </w:pPr>
    </w:p>
    <w:p w14:paraId="53496CF5" w14:textId="77777777" w:rsidR="00A129D5" w:rsidRPr="003E78EA" w:rsidRDefault="00A129D5">
      <w:pPr>
        <w:pStyle w:val="Pagrindinistekstas"/>
        <w:rPr>
          <w:lang w:val="lt-LT"/>
        </w:rPr>
      </w:pPr>
    </w:p>
    <w:p w14:paraId="42E5C4C0" w14:textId="77777777" w:rsidR="00A129D5" w:rsidRPr="003E78EA" w:rsidRDefault="00A129D5">
      <w:pPr>
        <w:pStyle w:val="Pagrindinistekstas"/>
        <w:rPr>
          <w:lang w:val="lt-LT"/>
        </w:rPr>
      </w:pPr>
    </w:p>
    <w:p w14:paraId="03B9DA1D" w14:textId="77777777" w:rsidR="00A129D5" w:rsidRPr="003E78EA" w:rsidRDefault="00A129D5">
      <w:pPr>
        <w:pStyle w:val="Pagrindinistekstas"/>
        <w:rPr>
          <w:lang w:val="lt-LT"/>
        </w:rPr>
      </w:pPr>
    </w:p>
    <w:p w14:paraId="0BF12E48" w14:textId="77777777" w:rsidR="00A129D5" w:rsidRPr="003E78EA" w:rsidRDefault="00A129D5">
      <w:pPr>
        <w:pStyle w:val="Pagrindinistekstas"/>
        <w:rPr>
          <w:lang w:val="lt-LT"/>
        </w:rPr>
      </w:pPr>
    </w:p>
    <w:p w14:paraId="3E8925EC" w14:textId="77777777" w:rsidR="00A129D5" w:rsidRPr="003E78EA" w:rsidRDefault="00A129D5">
      <w:pPr>
        <w:pStyle w:val="Pagrindinistekstas"/>
        <w:rPr>
          <w:lang w:val="lt-LT"/>
        </w:rPr>
      </w:pPr>
    </w:p>
    <w:p w14:paraId="2E809731" w14:textId="77777777" w:rsidR="00A129D5" w:rsidRPr="003E78EA" w:rsidRDefault="00A129D5">
      <w:pPr>
        <w:pStyle w:val="Pagrindinistekstas"/>
        <w:rPr>
          <w:lang w:val="lt-LT"/>
        </w:rPr>
      </w:pPr>
    </w:p>
    <w:p w14:paraId="1634FF15" w14:textId="77777777" w:rsidR="00A129D5" w:rsidRPr="003E78EA" w:rsidRDefault="00A129D5">
      <w:pPr>
        <w:pStyle w:val="Pagrindinistekstas"/>
        <w:rPr>
          <w:lang w:val="lt-LT"/>
        </w:rPr>
      </w:pPr>
    </w:p>
    <w:p w14:paraId="0A2A78A9" w14:textId="77777777" w:rsidR="00A129D5" w:rsidRPr="003E78EA" w:rsidRDefault="00A129D5">
      <w:pPr>
        <w:pStyle w:val="Pagrindinistekstas"/>
        <w:rPr>
          <w:lang w:val="lt-LT"/>
        </w:rPr>
      </w:pPr>
    </w:p>
    <w:p w14:paraId="1A63AF6F" w14:textId="77777777" w:rsidR="00A129D5" w:rsidRPr="003E78EA" w:rsidRDefault="00A129D5">
      <w:pPr>
        <w:pStyle w:val="Pagrindinistekstas"/>
        <w:rPr>
          <w:lang w:val="lt-LT"/>
        </w:rPr>
      </w:pPr>
    </w:p>
    <w:p w14:paraId="7D4DE619" w14:textId="77777777" w:rsidR="00A129D5" w:rsidRPr="003E78EA" w:rsidRDefault="00A129D5">
      <w:pPr>
        <w:pStyle w:val="Pagrindinistekstas"/>
        <w:rPr>
          <w:lang w:val="lt-LT"/>
        </w:rPr>
      </w:pPr>
    </w:p>
    <w:p w14:paraId="308156CD" w14:textId="77777777" w:rsidR="00A129D5" w:rsidRPr="003E78EA" w:rsidRDefault="00A129D5">
      <w:pPr>
        <w:pStyle w:val="Pagrindinistekstas"/>
        <w:rPr>
          <w:lang w:val="lt-LT"/>
        </w:rPr>
      </w:pPr>
    </w:p>
    <w:p w14:paraId="6CEBCAEA" w14:textId="77777777" w:rsidR="00A129D5" w:rsidRPr="003E78EA" w:rsidRDefault="00A129D5">
      <w:pPr>
        <w:pStyle w:val="Pagrindinistekstas"/>
        <w:rPr>
          <w:lang w:val="lt-LT"/>
        </w:rPr>
      </w:pPr>
    </w:p>
    <w:p w14:paraId="2CD4680C" w14:textId="77777777" w:rsidR="00A129D5" w:rsidRPr="003E78EA" w:rsidRDefault="00A129D5">
      <w:pPr>
        <w:pStyle w:val="Pagrindinistekstas"/>
        <w:rPr>
          <w:lang w:val="lt-LT"/>
        </w:rPr>
      </w:pPr>
    </w:p>
    <w:p w14:paraId="6BA863B5" w14:textId="77777777" w:rsidR="00A129D5" w:rsidRPr="003E78EA" w:rsidRDefault="00A129D5">
      <w:pPr>
        <w:pStyle w:val="Pagrindinistekstas"/>
        <w:rPr>
          <w:lang w:val="lt-LT"/>
        </w:rPr>
      </w:pPr>
    </w:p>
    <w:p w14:paraId="1EF9D160" w14:textId="77777777" w:rsidR="00A129D5" w:rsidRPr="003E78EA" w:rsidRDefault="00C6346A">
      <w:pPr>
        <w:pStyle w:val="Antrat1"/>
        <w:spacing w:before="91"/>
        <w:ind w:left="2216" w:right="2379"/>
        <w:jc w:val="center"/>
        <w:rPr>
          <w:lang w:val="lt-LT"/>
        </w:rPr>
      </w:pPr>
      <w:r w:rsidRPr="003E78EA">
        <w:rPr>
          <w:lang w:val="lt-LT"/>
        </w:rPr>
        <w:t>I PRIEDAS</w:t>
      </w:r>
    </w:p>
    <w:p w14:paraId="70E21DF3" w14:textId="77777777" w:rsidR="00A129D5" w:rsidRPr="003E78EA" w:rsidRDefault="00A129D5">
      <w:pPr>
        <w:pStyle w:val="Pagrindinistekstas"/>
        <w:spacing w:before="1"/>
        <w:rPr>
          <w:b/>
          <w:lang w:val="lt-LT"/>
        </w:rPr>
      </w:pPr>
    </w:p>
    <w:p w14:paraId="2DA3D775" w14:textId="77777777" w:rsidR="00A129D5" w:rsidRPr="003E78EA" w:rsidRDefault="00C6346A">
      <w:pPr>
        <w:ind w:left="2217" w:right="2379"/>
        <w:jc w:val="center"/>
        <w:rPr>
          <w:b/>
          <w:lang w:val="lt-LT"/>
        </w:rPr>
      </w:pPr>
      <w:bookmarkStart w:id="0" w:name="PREPARATO_CHARAKTERISTIKŲ_SANTRAUKA"/>
      <w:bookmarkEnd w:id="0"/>
      <w:r w:rsidRPr="003E78EA">
        <w:rPr>
          <w:b/>
          <w:lang w:val="lt-LT"/>
        </w:rPr>
        <w:t>PREPARATO CHARAKTERISTIKŲ SANTRAUKA</w:t>
      </w:r>
    </w:p>
    <w:p w14:paraId="018D77CD" w14:textId="77777777" w:rsidR="00A129D5" w:rsidRPr="003E78EA" w:rsidRDefault="00A129D5">
      <w:pPr>
        <w:jc w:val="center"/>
        <w:rPr>
          <w:lang w:val="lt-LT"/>
        </w:rPr>
        <w:sectPr w:rsidR="00A129D5" w:rsidRPr="003E78EA" w:rsidSect="00B910A3">
          <w:headerReference w:type="default" r:id="rId11"/>
          <w:footerReference w:type="default" r:id="rId12"/>
          <w:type w:val="continuous"/>
          <w:pgSz w:w="11910" w:h="16840"/>
          <w:pgMar w:top="1580" w:right="1020" w:bottom="980" w:left="1180" w:header="720" w:footer="786" w:gutter="0"/>
          <w:pgNumType w:start="1"/>
          <w:cols w:space="720"/>
        </w:sectPr>
      </w:pPr>
    </w:p>
    <w:p w14:paraId="63564AD0" w14:textId="77777777" w:rsidR="00710393" w:rsidRPr="003E78EA" w:rsidRDefault="00710393" w:rsidP="00710393">
      <w:pPr>
        <w:rPr>
          <w:lang w:val="lt-LT"/>
        </w:rPr>
      </w:pPr>
      <w:r w:rsidRPr="003E78EA">
        <w:rPr>
          <w:b/>
          <w:lang w:val="lt-LT"/>
        </w:rPr>
        <w:lastRenderedPageBreak/>
        <w:t>1</w:t>
      </w:r>
      <w:r w:rsidRPr="003E78EA">
        <w:rPr>
          <w:lang w:val="lt-LT"/>
        </w:rPr>
        <w:t>.</w:t>
      </w:r>
      <w:r w:rsidRPr="003E78EA">
        <w:rPr>
          <w:lang w:val="lt-LT"/>
        </w:rPr>
        <w:tab/>
      </w:r>
      <w:r w:rsidRPr="003E78EA">
        <w:rPr>
          <w:b/>
          <w:lang w:val="lt-LT"/>
        </w:rPr>
        <w:t>VAISTINIO PREPARATO PAVADINIMAS</w:t>
      </w:r>
    </w:p>
    <w:p w14:paraId="0081065A" w14:textId="77777777" w:rsidR="00710393" w:rsidRPr="003E78EA" w:rsidRDefault="00710393" w:rsidP="00710393">
      <w:pPr>
        <w:rPr>
          <w:lang w:val="lt-LT"/>
        </w:rPr>
      </w:pPr>
    </w:p>
    <w:p w14:paraId="70DD56AD" w14:textId="62D19B18" w:rsidR="00710393" w:rsidRPr="003E78EA" w:rsidRDefault="00710393" w:rsidP="00710393">
      <w:pPr>
        <w:adjustRightInd w:val="0"/>
        <w:spacing w:before="17"/>
        <w:rPr>
          <w:color w:val="000000"/>
          <w:lang w:val="lt-LT"/>
        </w:rPr>
      </w:pPr>
      <w:r w:rsidRPr="003E78EA">
        <w:rPr>
          <w:color w:val="000000"/>
          <w:lang w:val="lt-LT"/>
        </w:rPr>
        <w:t>Allopurinol Accord 100</w:t>
      </w:r>
      <w:r w:rsidR="00A71E0C" w:rsidRPr="003E78EA">
        <w:rPr>
          <w:color w:val="000000"/>
          <w:lang w:val="lt-LT"/>
        </w:rPr>
        <w:t> </w:t>
      </w:r>
      <w:r w:rsidRPr="003E78EA">
        <w:rPr>
          <w:color w:val="000000"/>
          <w:lang w:val="lt-LT"/>
        </w:rPr>
        <w:t>mg tabletės</w:t>
      </w:r>
    </w:p>
    <w:p w14:paraId="76531C96" w14:textId="1E37CDD9" w:rsidR="00710393" w:rsidRPr="003E78EA" w:rsidRDefault="00710393" w:rsidP="00710393">
      <w:pPr>
        <w:adjustRightInd w:val="0"/>
        <w:spacing w:before="17"/>
        <w:rPr>
          <w:color w:val="000000"/>
          <w:lang w:val="lt-LT"/>
        </w:rPr>
      </w:pPr>
      <w:r w:rsidRPr="003E78EA">
        <w:rPr>
          <w:color w:val="000000"/>
          <w:lang w:val="lt-LT"/>
        </w:rPr>
        <w:t>Allopurinol Accord 300</w:t>
      </w:r>
      <w:r w:rsidR="00A71E0C" w:rsidRPr="003E78EA">
        <w:rPr>
          <w:color w:val="000000"/>
          <w:lang w:val="lt-LT"/>
        </w:rPr>
        <w:t> </w:t>
      </w:r>
      <w:r w:rsidRPr="003E78EA">
        <w:rPr>
          <w:color w:val="000000"/>
          <w:lang w:val="lt-LT"/>
        </w:rPr>
        <w:t>mg tabletės</w:t>
      </w:r>
    </w:p>
    <w:p w14:paraId="6D7CA7E4" w14:textId="77777777" w:rsidR="00710393" w:rsidRPr="003E78EA" w:rsidRDefault="00710393" w:rsidP="00710393">
      <w:pPr>
        <w:rPr>
          <w:lang w:val="lt-LT"/>
        </w:rPr>
      </w:pPr>
    </w:p>
    <w:p w14:paraId="6241CA57" w14:textId="77777777" w:rsidR="00710393" w:rsidRPr="003E78EA" w:rsidRDefault="00710393" w:rsidP="00710393">
      <w:pPr>
        <w:rPr>
          <w:lang w:val="lt-LT"/>
        </w:rPr>
      </w:pPr>
    </w:p>
    <w:p w14:paraId="10FC56D5" w14:textId="77777777" w:rsidR="00710393" w:rsidRPr="003E78EA" w:rsidRDefault="00710393" w:rsidP="00710393">
      <w:pPr>
        <w:rPr>
          <w:lang w:val="lt-LT"/>
        </w:rPr>
      </w:pPr>
      <w:r w:rsidRPr="003E78EA">
        <w:rPr>
          <w:b/>
          <w:lang w:val="lt-LT"/>
        </w:rPr>
        <w:t>2.</w:t>
      </w:r>
      <w:r w:rsidRPr="003E78EA">
        <w:rPr>
          <w:b/>
          <w:lang w:val="lt-LT"/>
        </w:rPr>
        <w:tab/>
        <w:t>KOKYBINĖ IR KIEKYBINĖ SUDĖTIS</w:t>
      </w:r>
    </w:p>
    <w:p w14:paraId="3B9BDA15" w14:textId="77777777" w:rsidR="00710393" w:rsidRPr="003E78EA" w:rsidRDefault="00710393" w:rsidP="00710393">
      <w:pPr>
        <w:rPr>
          <w:lang w:val="lt-LT"/>
        </w:rPr>
      </w:pPr>
    </w:p>
    <w:p w14:paraId="650A3403" w14:textId="5DE0C769" w:rsidR="00710393" w:rsidRPr="003E78EA" w:rsidRDefault="00710393" w:rsidP="00710393">
      <w:pPr>
        <w:adjustRightInd w:val="0"/>
        <w:spacing w:before="17"/>
        <w:rPr>
          <w:color w:val="000000"/>
          <w:lang w:val="lt-LT"/>
        </w:rPr>
      </w:pPr>
      <w:r w:rsidRPr="003E78EA">
        <w:rPr>
          <w:color w:val="000000"/>
          <w:lang w:val="lt-LT"/>
        </w:rPr>
        <w:t>Kiekvienoje tabletėje yra 100</w:t>
      </w:r>
      <w:r w:rsidR="00A71E0C" w:rsidRPr="003E78EA">
        <w:rPr>
          <w:color w:val="000000"/>
          <w:lang w:val="lt-LT"/>
        </w:rPr>
        <w:t> </w:t>
      </w:r>
      <w:r w:rsidRPr="003E78EA">
        <w:rPr>
          <w:color w:val="000000"/>
          <w:lang w:val="lt-LT"/>
        </w:rPr>
        <w:t xml:space="preserve">mg alopurinolio. </w:t>
      </w:r>
    </w:p>
    <w:p w14:paraId="537A55DE" w14:textId="134EEF39" w:rsidR="00710393" w:rsidRPr="003E78EA" w:rsidRDefault="00710393" w:rsidP="00710393">
      <w:pPr>
        <w:adjustRightInd w:val="0"/>
        <w:spacing w:before="17"/>
        <w:rPr>
          <w:color w:val="000000"/>
          <w:lang w:val="lt-LT"/>
        </w:rPr>
      </w:pPr>
      <w:r w:rsidRPr="003E78EA">
        <w:rPr>
          <w:color w:val="000000"/>
          <w:lang w:val="lt-LT"/>
        </w:rPr>
        <w:t>Kiekvienoje tabletėje yra 300</w:t>
      </w:r>
      <w:r w:rsidR="00A71E0C" w:rsidRPr="003E78EA">
        <w:rPr>
          <w:color w:val="000000"/>
          <w:lang w:val="lt-LT"/>
        </w:rPr>
        <w:t> </w:t>
      </w:r>
      <w:r w:rsidRPr="003E78EA">
        <w:rPr>
          <w:color w:val="000000"/>
          <w:lang w:val="lt-LT"/>
        </w:rPr>
        <w:t xml:space="preserve">mg alopurinolio. </w:t>
      </w:r>
    </w:p>
    <w:p w14:paraId="173D0C61" w14:textId="77777777" w:rsidR="00710393" w:rsidRPr="000A5826" w:rsidRDefault="00710393" w:rsidP="00710393">
      <w:pPr>
        <w:pStyle w:val="Default"/>
        <w:rPr>
          <w:sz w:val="22"/>
          <w:szCs w:val="22"/>
        </w:rPr>
      </w:pPr>
    </w:p>
    <w:p w14:paraId="1C1099D7" w14:textId="563C1CA5" w:rsidR="00710393" w:rsidRPr="000A5826" w:rsidRDefault="00710393" w:rsidP="00710393">
      <w:pPr>
        <w:pStyle w:val="Default"/>
        <w:rPr>
          <w:sz w:val="22"/>
          <w:szCs w:val="22"/>
        </w:rPr>
      </w:pPr>
      <w:r w:rsidRPr="003E78EA">
        <w:rPr>
          <w:sz w:val="22"/>
          <w:szCs w:val="22"/>
          <w:u w:val="single"/>
        </w:rPr>
        <w:t>Pagalbinės medžiagos, kurių poveikis žinomas</w:t>
      </w:r>
    </w:p>
    <w:p w14:paraId="43EA9436" w14:textId="08D4070D" w:rsidR="00710393" w:rsidRPr="000A5826" w:rsidRDefault="00710393" w:rsidP="00710393">
      <w:pPr>
        <w:pStyle w:val="Default"/>
        <w:rPr>
          <w:sz w:val="23"/>
          <w:szCs w:val="23"/>
        </w:rPr>
      </w:pPr>
      <w:r w:rsidRPr="000A5826">
        <w:rPr>
          <w:sz w:val="22"/>
          <w:szCs w:val="22"/>
        </w:rPr>
        <w:t>Kiekvienoje 100</w:t>
      </w:r>
      <w:r w:rsidR="00A71E0C" w:rsidRPr="000A5826">
        <w:rPr>
          <w:sz w:val="22"/>
          <w:szCs w:val="22"/>
        </w:rPr>
        <w:t> </w:t>
      </w:r>
      <w:r w:rsidRPr="000A5826">
        <w:rPr>
          <w:sz w:val="22"/>
          <w:szCs w:val="22"/>
        </w:rPr>
        <w:t>mg tabletėje yra 33</w:t>
      </w:r>
      <w:r w:rsidR="00A71E0C" w:rsidRPr="000A5826">
        <w:rPr>
          <w:sz w:val="22"/>
          <w:szCs w:val="22"/>
        </w:rPr>
        <w:t> </w:t>
      </w:r>
      <w:r w:rsidRPr="000A5826">
        <w:rPr>
          <w:sz w:val="22"/>
          <w:szCs w:val="22"/>
        </w:rPr>
        <w:t xml:space="preserve">mg laktozės (monohidrato pavidalu). </w:t>
      </w:r>
    </w:p>
    <w:p w14:paraId="1944C3EC" w14:textId="4DC8F686" w:rsidR="00710393" w:rsidRPr="000A5826" w:rsidRDefault="00710393" w:rsidP="00710393">
      <w:pPr>
        <w:pStyle w:val="EMEAEnBodyText"/>
        <w:autoSpaceDE w:val="0"/>
        <w:autoSpaceDN w:val="0"/>
        <w:adjustRightInd w:val="0"/>
        <w:spacing w:before="0" w:after="0"/>
        <w:jc w:val="left"/>
        <w:rPr>
          <w:szCs w:val="22"/>
        </w:rPr>
      </w:pPr>
      <w:r w:rsidRPr="000A5826">
        <w:t>Kiekvienoje 300</w:t>
      </w:r>
      <w:r w:rsidR="00A71E0C" w:rsidRPr="000A5826">
        <w:t> </w:t>
      </w:r>
      <w:r w:rsidRPr="000A5826">
        <w:t>mg tabletėje yra 99</w:t>
      </w:r>
      <w:r w:rsidR="00A71E0C" w:rsidRPr="000A5826">
        <w:t> </w:t>
      </w:r>
      <w:r w:rsidRPr="000A5826">
        <w:t>mg laktozės (monohidrato pavidalu).</w:t>
      </w:r>
    </w:p>
    <w:p w14:paraId="7E1CE236" w14:textId="77777777" w:rsidR="00710393" w:rsidRPr="003E78EA" w:rsidRDefault="00710393" w:rsidP="00710393">
      <w:pPr>
        <w:adjustRightInd w:val="0"/>
        <w:spacing w:before="17"/>
        <w:rPr>
          <w:lang w:val="lt-LT"/>
        </w:rPr>
      </w:pPr>
    </w:p>
    <w:p w14:paraId="351F3BA3" w14:textId="77777777" w:rsidR="00710393" w:rsidRPr="003E78EA" w:rsidRDefault="00710393" w:rsidP="00710393">
      <w:pPr>
        <w:rPr>
          <w:lang w:val="lt-LT"/>
        </w:rPr>
      </w:pPr>
      <w:r w:rsidRPr="003E78EA">
        <w:rPr>
          <w:lang w:val="lt-LT"/>
        </w:rPr>
        <w:t>Visos pagalbinės medžiagos išvardytos 6.1 skyriuje.</w:t>
      </w:r>
    </w:p>
    <w:p w14:paraId="0A3FA62C" w14:textId="77777777" w:rsidR="00710393" w:rsidRPr="003E78EA" w:rsidRDefault="00710393" w:rsidP="00710393">
      <w:pPr>
        <w:rPr>
          <w:lang w:val="lt-LT"/>
        </w:rPr>
      </w:pPr>
    </w:p>
    <w:p w14:paraId="46D6A42D" w14:textId="77777777" w:rsidR="00710393" w:rsidRPr="003E78EA" w:rsidRDefault="00710393" w:rsidP="00710393">
      <w:pPr>
        <w:rPr>
          <w:lang w:val="lt-LT"/>
        </w:rPr>
      </w:pPr>
    </w:p>
    <w:p w14:paraId="3365230C" w14:textId="77777777" w:rsidR="00710393" w:rsidRPr="003E78EA" w:rsidRDefault="00710393" w:rsidP="00710393">
      <w:pPr>
        <w:ind w:left="567" w:hanging="567"/>
        <w:rPr>
          <w:b/>
          <w:caps/>
          <w:lang w:val="lt-LT"/>
        </w:rPr>
      </w:pPr>
      <w:r w:rsidRPr="003E78EA">
        <w:rPr>
          <w:b/>
          <w:lang w:val="lt-LT"/>
        </w:rPr>
        <w:t>3.</w:t>
      </w:r>
      <w:r w:rsidRPr="003E78EA">
        <w:rPr>
          <w:b/>
          <w:lang w:val="lt-LT"/>
        </w:rPr>
        <w:tab/>
        <w:t xml:space="preserve">FARMACINĖ </w:t>
      </w:r>
      <w:r w:rsidRPr="003E78EA">
        <w:rPr>
          <w:b/>
          <w:caps/>
          <w:lang w:val="lt-LT"/>
        </w:rPr>
        <w:t>forma</w:t>
      </w:r>
    </w:p>
    <w:p w14:paraId="49FE4EE3" w14:textId="77777777" w:rsidR="00710393" w:rsidRPr="003E78EA" w:rsidRDefault="00710393" w:rsidP="00710393">
      <w:pPr>
        <w:rPr>
          <w:lang w:val="lt-LT"/>
        </w:rPr>
      </w:pPr>
    </w:p>
    <w:p w14:paraId="3C2537E7" w14:textId="77777777" w:rsidR="00710393" w:rsidRPr="003E78EA" w:rsidRDefault="00710393" w:rsidP="00710393">
      <w:pPr>
        <w:rPr>
          <w:lang w:val="lt-LT"/>
        </w:rPr>
      </w:pPr>
      <w:r w:rsidRPr="003E78EA">
        <w:rPr>
          <w:lang w:val="lt-LT"/>
        </w:rPr>
        <w:t>Tabletė.</w:t>
      </w:r>
    </w:p>
    <w:p w14:paraId="7ADE5FCC" w14:textId="77777777" w:rsidR="00710393" w:rsidRPr="003E78EA" w:rsidRDefault="00710393" w:rsidP="00710393">
      <w:pPr>
        <w:rPr>
          <w:b/>
          <w:color w:val="000000"/>
          <w:u w:val="single"/>
          <w:lang w:val="lt-LT"/>
        </w:rPr>
      </w:pPr>
    </w:p>
    <w:p w14:paraId="400E0EDE" w14:textId="002AA8FD" w:rsidR="00710393" w:rsidRPr="003E78EA" w:rsidRDefault="00710393" w:rsidP="00710393">
      <w:pPr>
        <w:rPr>
          <w:color w:val="000000"/>
          <w:lang w:val="lt-LT"/>
        </w:rPr>
      </w:pPr>
      <w:r w:rsidRPr="003E78EA">
        <w:rPr>
          <w:b/>
          <w:color w:val="000000"/>
          <w:u w:val="single"/>
          <w:lang w:val="lt-LT"/>
        </w:rPr>
        <w:t>100</w:t>
      </w:r>
      <w:r w:rsidR="00A71E0C" w:rsidRPr="003E78EA">
        <w:rPr>
          <w:b/>
          <w:color w:val="000000"/>
          <w:u w:val="single"/>
          <w:lang w:val="lt-LT"/>
        </w:rPr>
        <w:t> </w:t>
      </w:r>
      <w:r w:rsidRPr="003E78EA">
        <w:rPr>
          <w:b/>
          <w:color w:val="000000"/>
          <w:u w:val="single"/>
          <w:lang w:val="lt-LT"/>
        </w:rPr>
        <w:t>mg tabletė</w:t>
      </w:r>
      <w:r w:rsidRPr="003E78EA">
        <w:rPr>
          <w:color w:val="000000"/>
          <w:lang w:val="lt-LT"/>
        </w:rPr>
        <w:t xml:space="preserve"> </w:t>
      </w:r>
      <w:r w:rsidR="00935A65" w:rsidRPr="003E78EA">
        <w:rPr>
          <w:color w:val="000000"/>
          <w:lang w:val="lt-LT"/>
        </w:rPr>
        <w:t>yra b</w:t>
      </w:r>
      <w:r w:rsidRPr="003E78EA">
        <w:rPr>
          <w:color w:val="000000"/>
          <w:lang w:val="lt-LT"/>
        </w:rPr>
        <w:t xml:space="preserve">alta arba </w:t>
      </w:r>
      <w:r w:rsidR="00443FCE" w:rsidRPr="003E78EA">
        <w:rPr>
          <w:color w:val="000000"/>
          <w:lang w:val="lt-LT"/>
        </w:rPr>
        <w:t>beveik balta</w:t>
      </w:r>
      <w:r w:rsidRPr="003E78EA">
        <w:rPr>
          <w:color w:val="000000"/>
          <w:lang w:val="lt-LT"/>
        </w:rPr>
        <w:t>, apvali, abipus išgaubta, nedengta maždaug 8</w:t>
      </w:r>
      <w:r w:rsidR="00A71E0C" w:rsidRPr="003E78EA">
        <w:rPr>
          <w:color w:val="000000"/>
          <w:lang w:val="lt-LT"/>
        </w:rPr>
        <w:t> </w:t>
      </w:r>
      <w:r w:rsidRPr="003E78EA">
        <w:rPr>
          <w:color w:val="000000"/>
          <w:lang w:val="lt-LT"/>
        </w:rPr>
        <w:t xml:space="preserve">mm skersmens tabletė, kurios vienoje pusėje yra </w:t>
      </w:r>
      <w:r w:rsidR="00935A65" w:rsidRPr="003E78EA">
        <w:rPr>
          <w:color w:val="000000"/>
          <w:lang w:val="lt-LT"/>
        </w:rPr>
        <w:t xml:space="preserve">įspausta </w:t>
      </w:r>
      <w:r w:rsidRPr="003E78EA">
        <w:rPr>
          <w:color w:val="000000"/>
          <w:lang w:val="lt-LT"/>
        </w:rPr>
        <w:t xml:space="preserve">„AW“, o kita pusė lygi. </w:t>
      </w:r>
    </w:p>
    <w:p w14:paraId="765D3AEE" w14:textId="77777777" w:rsidR="00710393" w:rsidRPr="003E78EA" w:rsidRDefault="00710393" w:rsidP="00710393">
      <w:pPr>
        <w:rPr>
          <w:color w:val="000000"/>
          <w:lang w:val="lt-LT"/>
        </w:rPr>
      </w:pPr>
    </w:p>
    <w:p w14:paraId="71AAA5F5" w14:textId="7A68DB53" w:rsidR="00710393" w:rsidRPr="003E78EA" w:rsidRDefault="00710393" w:rsidP="00710393">
      <w:pPr>
        <w:rPr>
          <w:color w:val="000000"/>
          <w:lang w:val="lt-LT"/>
        </w:rPr>
      </w:pPr>
      <w:r w:rsidRPr="003E78EA">
        <w:rPr>
          <w:b/>
          <w:color w:val="000000"/>
          <w:u w:val="single"/>
          <w:lang w:val="lt-LT"/>
        </w:rPr>
        <w:t>300</w:t>
      </w:r>
      <w:r w:rsidR="00A71E0C" w:rsidRPr="003E78EA">
        <w:rPr>
          <w:b/>
          <w:color w:val="000000"/>
          <w:u w:val="single"/>
          <w:lang w:val="lt-LT"/>
        </w:rPr>
        <w:t> </w:t>
      </w:r>
      <w:r w:rsidRPr="003E78EA">
        <w:rPr>
          <w:b/>
          <w:color w:val="000000"/>
          <w:u w:val="single"/>
          <w:lang w:val="lt-LT"/>
        </w:rPr>
        <w:t>mg tabletė</w:t>
      </w:r>
      <w:r w:rsidRPr="003E78EA">
        <w:rPr>
          <w:color w:val="000000"/>
          <w:lang w:val="lt-LT"/>
        </w:rPr>
        <w:t xml:space="preserve"> </w:t>
      </w:r>
      <w:r w:rsidR="00935A65" w:rsidRPr="003E78EA">
        <w:rPr>
          <w:color w:val="000000"/>
          <w:lang w:val="lt-LT"/>
        </w:rPr>
        <w:t>yra b</w:t>
      </w:r>
      <w:r w:rsidRPr="003E78EA">
        <w:rPr>
          <w:color w:val="000000"/>
          <w:lang w:val="lt-LT"/>
        </w:rPr>
        <w:t xml:space="preserve">alta arba </w:t>
      </w:r>
      <w:r w:rsidR="00443FCE" w:rsidRPr="003E78EA">
        <w:rPr>
          <w:color w:val="000000"/>
          <w:lang w:val="lt-LT"/>
        </w:rPr>
        <w:t>beveik balta</w:t>
      </w:r>
      <w:r w:rsidRPr="003E78EA">
        <w:rPr>
          <w:color w:val="000000"/>
          <w:lang w:val="lt-LT"/>
        </w:rPr>
        <w:t>, apvali, abipus išgaubta, nedengta maždaug 11,2</w:t>
      </w:r>
      <w:r w:rsidR="00A71E0C" w:rsidRPr="003E78EA">
        <w:rPr>
          <w:color w:val="000000"/>
          <w:lang w:val="lt-LT"/>
        </w:rPr>
        <w:t> </w:t>
      </w:r>
      <w:r w:rsidRPr="003E78EA">
        <w:rPr>
          <w:color w:val="000000"/>
          <w:lang w:val="lt-LT"/>
        </w:rPr>
        <w:t xml:space="preserve">mm skersmens tabletė </w:t>
      </w:r>
      <w:r w:rsidR="00A71E0C" w:rsidRPr="003E78EA">
        <w:rPr>
          <w:color w:val="000000"/>
          <w:lang w:val="lt-LT"/>
        </w:rPr>
        <w:t xml:space="preserve">nuožulniu </w:t>
      </w:r>
      <w:r w:rsidRPr="003E78EA">
        <w:rPr>
          <w:color w:val="000000"/>
          <w:lang w:val="lt-LT"/>
        </w:rPr>
        <w:t xml:space="preserve">kraštu, kurios vienoje pusėje yra </w:t>
      </w:r>
      <w:r w:rsidR="00935A65" w:rsidRPr="003E78EA">
        <w:rPr>
          <w:color w:val="000000"/>
          <w:lang w:val="lt-LT"/>
        </w:rPr>
        <w:t xml:space="preserve">įspausta </w:t>
      </w:r>
      <w:r w:rsidRPr="003E78EA">
        <w:rPr>
          <w:color w:val="000000"/>
          <w:lang w:val="lt-LT"/>
        </w:rPr>
        <w:t>„AX“, o kita pusė lygi.</w:t>
      </w:r>
    </w:p>
    <w:p w14:paraId="3AAD9E9E" w14:textId="77777777" w:rsidR="00710393" w:rsidRPr="003E78EA" w:rsidRDefault="00710393" w:rsidP="00710393">
      <w:pPr>
        <w:rPr>
          <w:b/>
          <w:color w:val="000000"/>
          <w:u w:val="single"/>
          <w:lang w:val="lt-LT"/>
        </w:rPr>
      </w:pPr>
    </w:p>
    <w:p w14:paraId="31AADB8E" w14:textId="77777777" w:rsidR="00710393" w:rsidRPr="003E78EA" w:rsidRDefault="00710393" w:rsidP="00710393">
      <w:pPr>
        <w:rPr>
          <w:b/>
          <w:color w:val="000000"/>
          <w:u w:val="single"/>
          <w:lang w:val="lt-LT"/>
        </w:rPr>
      </w:pPr>
    </w:p>
    <w:p w14:paraId="02B5AD5B" w14:textId="77777777" w:rsidR="00710393" w:rsidRPr="003E78EA" w:rsidRDefault="00710393" w:rsidP="00710393">
      <w:pPr>
        <w:ind w:left="567" w:hanging="567"/>
        <w:rPr>
          <w:caps/>
          <w:lang w:val="lt-LT"/>
        </w:rPr>
      </w:pPr>
      <w:r w:rsidRPr="003E78EA">
        <w:rPr>
          <w:b/>
          <w:caps/>
          <w:lang w:val="lt-LT"/>
        </w:rPr>
        <w:t>4.</w:t>
      </w:r>
      <w:r w:rsidRPr="003E78EA">
        <w:rPr>
          <w:b/>
          <w:caps/>
          <w:lang w:val="lt-LT"/>
        </w:rPr>
        <w:tab/>
        <w:t>Klinikinė informacija</w:t>
      </w:r>
    </w:p>
    <w:p w14:paraId="0EC83C93" w14:textId="77777777" w:rsidR="00710393" w:rsidRPr="003E78EA" w:rsidRDefault="00710393" w:rsidP="00710393">
      <w:pPr>
        <w:rPr>
          <w:lang w:val="lt-LT"/>
        </w:rPr>
      </w:pPr>
    </w:p>
    <w:p w14:paraId="32C895F1" w14:textId="77777777" w:rsidR="00710393" w:rsidRPr="003E78EA" w:rsidRDefault="00710393" w:rsidP="00710393">
      <w:pPr>
        <w:ind w:left="567" w:hanging="567"/>
        <w:rPr>
          <w:lang w:val="lt-LT"/>
        </w:rPr>
      </w:pPr>
      <w:r w:rsidRPr="003E78EA">
        <w:rPr>
          <w:b/>
          <w:lang w:val="lt-LT"/>
        </w:rPr>
        <w:t>4.1 Terapinės indikacijos</w:t>
      </w:r>
    </w:p>
    <w:p w14:paraId="542D146B" w14:textId="77777777" w:rsidR="00710393" w:rsidRPr="003E78EA" w:rsidRDefault="00710393" w:rsidP="00710393">
      <w:pPr>
        <w:rPr>
          <w:lang w:val="lt-LT"/>
        </w:rPr>
      </w:pPr>
    </w:p>
    <w:p w14:paraId="60752CDA" w14:textId="4261D995" w:rsidR="00710393" w:rsidRPr="003E78EA" w:rsidRDefault="00710393" w:rsidP="00710393">
      <w:pPr>
        <w:rPr>
          <w:lang w:val="lt-LT"/>
        </w:rPr>
      </w:pPr>
      <w:r w:rsidRPr="003E78EA">
        <w:rPr>
          <w:lang w:val="lt-LT"/>
        </w:rPr>
        <w:t xml:space="preserve">Allopurinol Accord skirtas </w:t>
      </w:r>
      <w:r w:rsidR="00053953" w:rsidRPr="003E78EA">
        <w:rPr>
          <w:lang w:val="lt-LT"/>
        </w:rPr>
        <w:t>uratų</w:t>
      </w:r>
      <w:r w:rsidRPr="003E78EA">
        <w:rPr>
          <w:lang w:val="lt-LT"/>
        </w:rPr>
        <w:t xml:space="preserve"> ar šlapimo rūgšties susidarymui mažinti tokiomis sąlygomis, kai jau </w:t>
      </w:r>
      <w:r w:rsidR="004E69A9" w:rsidRPr="003E78EA">
        <w:rPr>
          <w:lang w:val="lt-LT"/>
        </w:rPr>
        <w:t xml:space="preserve">organizme yra </w:t>
      </w:r>
      <w:r w:rsidR="00053953" w:rsidRPr="003E78EA">
        <w:rPr>
          <w:lang w:val="lt-LT"/>
        </w:rPr>
        <w:t>uratų</w:t>
      </w:r>
      <w:r w:rsidRPr="003E78EA">
        <w:rPr>
          <w:lang w:val="lt-LT"/>
        </w:rPr>
        <w:t xml:space="preserve"> ar šlapimo rūgšties</w:t>
      </w:r>
      <w:r w:rsidR="004E69A9" w:rsidRPr="003E78EA">
        <w:rPr>
          <w:lang w:val="lt-LT"/>
        </w:rPr>
        <w:t xml:space="preserve"> nuosėdų</w:t>
      </w:r>
      <w:r w:rsidRPr="003E78EA">
        <w:rPr>
          <w:lang w:val="lt-LT"/>
        </w:rPr>
        <w:t xml:space="preserve"> (pvz., podagrinis artritas, odos podagriniai mazgeliai, inkstų akmenligė) arba prognozuojama klinikinė rizika (pvz., piktybinių navikų</w:t>
      </w:r>
      <w:r w:rsidR="004E69A9" w:rsidRPr="003E78EA">
        <w:rPr>
          <w:lang w:val="lt-LT"/>
        </w:rPr>
        <w:t xml:space="preserve"> gydymas</w:t>
      </w:r>
      <w:r w:rsidRPr="003E78EA">
        <w:rPr>
          <w:lang w:val="lt-LT"/>
        </w:rPr>
        <w:t>, galin</w:t>
      </w:r>
      <w:r w:rsidR="004E69A9" w:rsidRPr="003E78EA">
        <w:rPr>
          <w:lang w:val="lt-LT"/>
        </w:rPr>
        <w:t>tis</w:t>
      </w:r>
      <w:r w:rsidRPr="003E78EA">
        <w:rPr>
          <w:lang w:val="lt-LT"/>
        </w:rPr>
        <w:t xml:space="preserve"> sukelti ūminę šlapimo rūgšties nefropatiją).</w:t>
      </w:r>
    </w:p>
    <w:p w14:paraId="0A469B30" w14:textId="77777777" w:rsidR="00710393" w:rsidRPr="003E78EA" w:rsidRDefault="00710393" w:rsidP="00710393">
      <w:pPr>
        <w:rPr>
          <w:lang w:val="lt-LT"/>
        </w:rPr>
      </w:pPr>
    </w:p>
    <w:p w14:paraId="51BC3ACE" w14:textId="3EE50D75" w:rsidR="00710393" w:rsidRPr="003E78EA" w:rsidRDefault="00710393" w:rsidP="00710393">
      <w:pPr>
        <w:rPr>
          <w:lang w:val="lt-LT"/>
        </w:rPr>
      </w:pPr>
      <w:r w:rsidRPr="003E78EA">
        <w:rPr>
          <w:lang w:val="lt-LT"/>
        </w:rPr>
        <w:t xml:space="preserve">Pagrindinės klinikinės sąlygos, kai gali susidaryti </w:t>
      </w:r>
      <w:r w:rsidR="00053953" w:rsidRPr="003E78EA">
        <w:rPr>
          <w:lang w:val="lt-LT"/>
        </w:rPr>
        <w:t>uratų</w:t>
      </w:r>
      <w:r w:rsidRPr="003E78EA">
        <w:rPr>
          <w:lang w:val="lt-LT"/>
        </w:rPr>
        <w:t xml:space="preserve"> ar šlapimo rūgšties, yra:</w:t>
      </w:r>
    </w:p>
    <w:p w14:paraId="3D28DDC8" w14:textId="77777777" w:rsidR="00710393" w:rsidRPr="003E78EA" w:rsidRDefault="00710393" w:rsidP="00710393">
      <w:pPr>
        <w:widowControl/>
        <w:numPr>
          <w:ilvl w:val="0"/>
          <w:numId w:val="15"/>
        </w:numPr>
        <w:tabs>
          <w:tab w:val="left" w:pos="567"/>
        </w:tabs>
        <w:autoSpaceDE/>
        <w:autoSpaceDN/>
        <w:ind w:hanging="720"/>
        <w:rPr>
          <w:lang w:val="lt-LT"/>
        </w:rPr>
      </w:pPr>
      <w:r w:rsidRPr="003E78EA">
        <w:rPr>
          <w:lang w:val="lt-LT"/>
        </w:rPr>
        <w:t>Idiopatinė podagra;</w:t>
      </w:r>
    </w:p>
    <w:p w14:paraId="63D11F8A" w14:textId="744223A8" w:rsidR="00710393" w:rsidRPr="003E78EA" w:rsidRDefault="00710393" w:rsidP="00710393">
      <w:pPr>
        <w:widowControl/>
        <w:numPr>
          <w:ilvl w:val="0"/>
          <w:numId w:val="15"/>
        </w:numPr>
        <w:tabs>
          <w:tab w:val="left" w:pos="567"/>
        </w:tabs>
        <w:autoSpaceDE/>
        <w:autoSpaceDN/>
        <w:ind w:hanging="720"/>
        <w:rPr>
          <w:lang w:val="lt-LT"/>
        </w:rPr>
      </w:pPr>
      <w:r w:rsidRPr="003E78EA">
        <w:rPr>
          <w:lang w:val="lt-LT"/>
        </w:rPr>
        <w:t xml:space="preserve">Šlapimo rūgšties </w:t>
      </w:r>
      <w:r w:rsidR="00724183" w:rsidRPr="003E78EA">
        <w:rPr>
          <w:lang w:val="lt-LT"/>
        </w:rPr>
        <w:t>litiaz</w:t>
      </w:r>
      <w:r w:rsidR="00724183" w:rsidRPr="000A5826">
        <w:rPr>
          <w:lang w:val="lt-LT"/>
        </w:rPr>
        <w:t>ė</w:t>
      </w:r>
      <w:r w:rsidRPr="003E78EA">
        <w:rPr>
          <w:lang w:val="lt-LT"/>
        </w:rPr>
        <w:t>;</w:t>
      </w:r>
    </w:p>
    <w:p w14:paraId="68B3E1D3" w14:textId="77777777" w:rsidR="00710393" w:rsidRPr="003E78EA" w:rsidRDefault="00710393" w:rsidP="00710393">
      <w:pPr>
        <w:widowControl/>
        <w:numPr>
          <w:ilvl w:val="0"/>
          <w:numId w:val="15"/>
        </w:numPr>
        <w:tabs>
          <w:tab w:val="left" w:pos="567"/>
        </w:tabs>
        <w:autoSpaceDE/>
        <w:autoSpaceDN/>
        <w:ind w:hanging="720"/>
        <w:rPr>
          <w:lang w:val="lt-LT"/>
        </w:rPr>
      </w:pPr>
      <w:r w:rsidRPr="003E78EA">
        <w:rPr>
          <w:lang w:val="lt-LT"/>
        </w:rPr>
        <w:t>Ūminė šlapimo rūgšties nefropatija;</w:t>
      </w:r>
    </w:p>
    <w:p w14:paraId="57EB3CAF" w14:textId="285EE24A" w:rsidR="00710393" w:rsidRPr="003E78EA" w:rsidRDefault="00710393" w:rsidP="00710393">
      <w:pPr>
        <w:widowControl/>
        <w:numPr>
          <w:ilvl w:val="0"/>
          <w:numId w:val="15"/>
        </w:numPr>
        <w:tabs>
          <w:tab w:val="left" w:pos="567"/>
        </w:tabs>
        <w:autoSpaceDE/>
        <w:autoSpaceDN/>
        <w:ind w:left="567" w:hanging="567"/>
        <w:rPr>
          <w:lang w:val="lt-LT"/>
        </w:rPr>
      </w:pPr>
      <w:r w:rsidRPr="003E78EA">
        <w:rPr>
          <w:lang w:val="lt-LT"/>
        </w:rPr>
        <w:t xml:space="preserve">Neoplastinė liga ir mieloproliferacinė liga, kurioms būdinga didelė ląstelių kaita, kurios metu aukštas </w:t>
      </w:r>
      <w:r w:rsidR="00053953" w:rsidRPr="003E78EA">
        <w:rPr>
          <w:lang w:val="lt-LT"/>
        </w:rPr>
        <w:t>uratų</w:t>
      </w:r>
      <w:r w:rsidRPr="003E78EA">
        <w:rPr>
          <w:lang w:val="lt-LT"/>
        </w:rPr>
        <w:t xml:space="preserve"> kiekis atsiranda spontaniškai arba po citotoksinio gydymo;</w:t>
      </w:r>
    </w:p>
    <w:p w14:paraId="7683E807" w14:textId="5B1BE6E8" w:rsidR="00710393" w:rsidRPr="003E78EA" w:rsidRDefault="00710393" w:rsidP="00710393">
      <w:pPr>
        <w:widowControl/>
        <w:numPr>
          <w:ilvl w:val="0"/>
          <w:numId w:val="15"/>
        </w:numPr>
        <w:tabs>
          <w:tab w:val="left" w:pos="567"/>
        </w:tabs>
        <w:autoSpaceDE/>
        <w:autoSpaceDN/>
        <w:ind w:hanging="720"/>
        <w:rPr>
          <w:lang w:val="lt-LT"/>
        </w:rPr>
      </w:pPr>
      <w:r w:rsidRPr="003E78EA">
        <w:rPr>
          <w:lang w:val="lt-LT"/>
        </w:rPr>
        <w:t xml:space="preserve">Tam tikri fermentų sutrikimai, dėl kurių susidaro pernelyg didelis </w:t>
      </w:r>
      <w:r w:rsidR="00053953" w:rsidRPr="003E78EA">
        <w:rPr>
          <w:lang w:val="lt-LT"/>
        </w:rPr>
        <w:t>uratų</w:t>
      </w:r>
      <w:r w:rsidRPr="003E78EA">
        <w:rPr>
          <w:lang w:val="lt-LT"/>
        </w:rPr>
        <w:t xml:space="preserve"> kiekis, pavyzdžiui:</w:t>
      </w:r>
    </w:p>
    <w:p w14:paraId="3D69484F" w14:textId="77777777" w:rsidR="00710393" w:rsidRPr="003E78EA" w:rsidRDefault="00710393" w:rsidP="00710393">
      <w:pPr>
        <w:ind w:left="720"/>
        <w:rPr>
          <w:lang w:val="lt-LT"/>
        </w:rPr>
      </w:pPr>
    </w:p>
    <w:p w14:paraId="0B07CA9B" w14:textId="4850D564" w:rsidR="00710393" w:rsidRPr="003E78EA" w:rsidRDefault="00710393" w:rsidP="00710393">
      <w:pPr>
        <w:widowControl/>
        <w:numPr>
          <w:ilvl w:val="0"/>
          <w:numId w:val="16"/>
        </w:numPr>
        <w:tabs>
          <w:tab w:val="left" w:pos="851"/>
        </w:tabs>
        <w:autoSpaceDE/>
        <w:autoSpaceDN/>
        <w:ind w:hanging="153"/>
        <w:rPr>
          <w:lang w:val="lt-LT"/>
        </w:rPr>
      </w:pPr>
      <w:r w:rsidRPr="003E78EA">
        <w:rPr>
          <w:lang w:val="lt-LT"/>
        </w:rPr>
        <w:t>Hipoksantin-guanino fosforiboziltransferazė</w:t>
      </w:r>
      <w:r w:rsidR="00053953" w:rsidRPr="003E78EA">
        <w:rPr>
          <w:lang w:val="lt-LT"/>
        </w:rPr>
        <w:t>s</w:t>
      </w:r>
      <w:r w:rsidRPr="003E78EA">
        <w:rPr>
          <w:lang w:val="lt-LT"/>
        </w:rPr>
        <w:t>, įskaitant Lešo-</w:t>
      </w:r>
      <w:r w:rsidR="009630C6" w:rsidRPr="003E78EA">
        <w:rPr>
          <w:lang w:val="lt-LT"/>
        </w:rPr>
        <w:t>Nyhano (</w:t>
      </w:r>
      <w:r w:rsidR="009630C6" w:rsidRPr="003E78EA">
        <w:rPr>
          <w:i/>
          <w:lang w:val="lt-LT"/>
        </w:rPr>
        <w:t>Les</w:t>
      </w:r>
      <w:r w:rsidR="001948DA" w:rsidRPr="003E78EA">
        <w:rPr>
          <w:i/>
          <w:lang w:val="lt-LT"/>
        </w:rPr>
        <w:t>c</w:t>
      </w:r>
      <w:r w:rsidR="009630C6" w:rsidRPr="003E78EA">
        <w:rPr>
          <w:i/>
          <w:lang w:val="lt-LT"/>
        </w:rPr>
        <w:t>h-Nyhan</w:t>
      </w:r>
      <w:r w:rsidR="009630C6" w:rsidRPr="003E78EA">
        <w:rPr>
          <w:lang w:val="lt-LT"/>
        </w:rPr>
        <w:t>)</w:t>
      </w:r>
      <w:r w:rsidRPr="003E78EA">
        <w:rPr>
          <w:lang w:val="lt-LT"/>
        </w:rPr>
        <w:t xml:space="preserve"> sindromą;</w:t>
      </w:r>
    </w:p>
    <w:p w14:paraId="44F44FDC" w14:textId="6017384A" w:rsidR="00710393" w:rsidRPr="003E78EA" w:rsidRDefault="00710393" w:rsidP="00710393">
      <w:pPr>
        <w:widowControl/>
        <w:numPr>
          <w:ilvl w:val="0"/>
          <w:numId w:val="16"/>
        </w:numPr>
        <w:tabs>
          <w:tab w:val="left" w:pos="851"/>
        </w:tabs>
        <w:autoSpaceDE/>
        <w:autoSpaceDN/>
        <w:ind w:hanging="153"/>
        <w:rPr>
          <w:lang w:val="lt-LT"/>
        </w:rPr>
      </w:pPr>
      <w:r w:rsidRPr="003E78EA">
        <w:rPr>
          <w:lang w:val="lt-LT"/>
        </w:rPr>
        <w:t>Gliukozė</w:t>
      </w:r>
      <w:r w:rsidR="00053953" w:rsidRPr="003E78EA">
        <w:rPr>
          <w:lang w:val="lt-LT"/>
        </w:rPr>
        <w:t>s</w:t>
      </w:r>
      <w:r w:rsidRPr="003E78EA">
        <w:rPr>
          <w:lang w:val="lt-LT"/>
        </w:rPr>
        <w:t>-6-fosfatazė</w:t>
      </w:r>
      <w:r w:rsidR="00053953" w:rsidRPr="003E78EA">
        <w:rPr>
          <w:lang w:val="lt-LT"/>
        </w:rPr>
        <w:t>s</w:t>
      </w:r>
      <w:r w:rsidRPr="003E78EA">
        <w:rPr>
          <w:lang w:val="lt-LT"/>
        </w:rPr>
        <w:t xml:space="preserve">, įskaitant glikogeno </w:t>
      </w:r>
      <w:r w:rsidR="00053953" w:rsidRPr="003E78EA">
        <w:rPr>
          <w:lang w:val="lt-LT"/>
        </w:rPr>
        <w:t xml:space="preserve">kaupimo </w:t>
      </w:r>
      <w:r w:rsidRPr="003E78EA">
        <w:rPr>
          <w:lang w:val="lt-LT"/>
        </w:rPr>
        <w:t>ligą;</w:t>
      </w:r>
    </w:p>
    <w:p w14:paraId="6BA8838F" w14:textId="75D75C5A" w:rsidR="00710393" w:rsidRPr="003E78EA" w:rsidRDefault="00710393" w:rsidP="00710393">
      <w:pPr>
        <w:widowControl/>
        <w:numPr>
          <w:ilvl w:val="0"/>
          <w:numId w:val="16"/>
        </w:numPr>
        <w:tabs>
          <w:tab w:val="left" w:pos="851"/>
        </w:tabs>
        <w:autoSpaceDE/>
        <w:autoSpaceDN/>
        <w:ind w:hanging="153"/>
        <w:rPr>
          <w:lang w:val="lt-LT"/>
        </w:rPr>
      </w:pPr>
      <w:r w:rsidRPr="003E78EA">
        <w:rPr>
          <w:lang w:val="lt-LT"/>
        </w:rPr>
        <w:t>Fosforibo</w:t>
      </w:r>
      <w:r w:rsidR="00053953" w:rsidRPr="003E78EA">
        <w:rPr>
          <w:lang w:val="lt-LT"/>
        </w:rPr>
        <w:t>z</w:t>
      </w:r>
      <w:r w:rsidRPr="003E78EA">
        <w:rPr>
          <w:lang w:val="lt-LT"/>
        </w:rPr>
        <w:t>ilpirofosfato sinte</w:t>
      </w:r>
      <w:r w:rsidR="00053953" w:rsidRPr="003E78EA">
        <w:rPr>
          <w:lang w:val="lt-LT"/>
        </w:rPr>
        <w:t>ta</w:t>
      </w:r>
      <w:r w:rsidRPr="003E78EA">
        <w:rPr>
          <w:lang w:val="lt-LT"/>
        </w:rPr>
        <w:t>zė</w:t>
      </w:r>
      <w:r w:rsidR="00053953" w:rsidRPr="003E78EA">
        <w:rPr>
          <w:lang w:val="lt-LT"/>
        </w:rPr>
        <w:t>s</w:t>
      </w:r>
      <w:r w:rsidRPr="003E78EA">
        <w:rPr>
          <w:lang w:val="lt-LT"/>
        </w:rPr>
        <w:t>;</w:t>
      </w:r>
    </w:p>
    <w:p w14:paraId="3ACC0095" w14:textId="61FED0FE" w:rsidR="00710393" w:rsidRPr="003E78EA" w:rsidRDefault="00710393" w:rsidP="00710393">
      <w:pPr>
        <w:widowControl/>
        <w:numPr>
          <w:ilvl w:val="0"/>
          <w:numId w:val="16"/>
        </w:numPr>
        <w:tabs>
          <w:tab w:val="left" w:pos="851"/>
        </w:tabs>
        <w:autoSpaceDE/>
        <w:autoSpaceDN/>
        <w:ind w:hanging="153"/>
        <w:rPr>
          <w:lang w:val="lt-LT"/>
        </w:rPr>
      </w:pPr>
      <w:r w:rsidRPr="003E78EA">
        <w:rPr>
          <w:lang w:val="lt-LT"/>
        </w:rPr>
        <w:t>Fosforibo</w:t>
      </w:r>
      <w:r w:rsidR="00053953" w:rsidRPr="003E78EA">
        <w:rPr>
          <w:lang w:val="lt-LT"/>
        </w:rPr>
        <w:t>z</w:t>
      </w:r>
      <w:r w:rsidRPr="003E78EA">
        <w:rPr>
          <w:lang w:val="lt-LT"/>
        </w:rPr>
        <w:t>ilpirofosfato amidotransferazė</w:t>
      </w:r>
      <w:r w:rsidR="00053953" w:rsidRPr="003E78EA">
        <w:rPr>
          <w:lang w:val="lt-LT"/>
        </w:rPr>
        <w:t>s</w:t>
      </w:r>
      <w:r w:rsidRPr="003E78EA">
        <w:rPr>
          <w:lang w:val="lt-LT"/>
        </w:rPr>
        <w:t>;</w:t>
      </w:r>
    </w:p>
    <w:p w14:paraId="3F3F22E1" w14:textId="77777777" w:rsidR="00710393" w:rsidRPr="003E78EA" w:rsidRDefault="00710393" w:rsidP="00710393">
      <w:pPr>
        <w:widowControl/>
        <w:numPr>
          <w:ilvl w:val="0"/>
          <w:numId w:val="16"/>
        </w:numPr>
        <w:tabs>
          <w:tab w:val="left" w:pos="851"/>
        </w:tabs>
        <w:autoSpaceDE/>
        <w:autoSpaceDN/>
        <w:ind w:hanging="153"/>
        <w:rPr>
          <w:lang w:val="lt-LT"/>
        </w:rPr>
      </w:pPr>
      <w:r w:rsidRPr="003E78EA">
        <w:rPr>
          <w:lang w:val="lt-LT"/>
        </w:rPr>
        <w:t>Adenino fosforiboziltransferazė</w:t>
      </w:r>
      <w:r w:rsidR="00053953" w:rsidRPr="003E78EA">
        <w:rPr>
          <w:lang w:val="lt-LT"/>
        </w:rPr>
        <w:t>s</w:t>
      </w:r>
      <w:r w:rsidRPr="003E78EA">
        <w:rPr>
          <w:lang w:val="lt-LT"/>
        </w:rPr>
        <w:t>;</w:t>
      </w:r>
    </w:p>
    <w:p w14:paraId="7429E7E7" w14:textId="77777777" w:rsidR="00710393" w:rsidRPr="003E78EA" w:rsidRDefault="00710393" w:rsidP="00710393">
      <w:pPr>
        <w:rPr>
          <w:lang w:val="lt-LT"/>
        </w:rPr>
      </w:pPr>
    </w:p>
    <w:p w14:paraId="06B284C7" w14:textId="77777777" w:rsidR="00710393" w:rsidRPr="003E78EA" w:rsidRDefault="00710393" w:rsidP="00710393">
      <w:pPr>
        <w:rPr>
          <w:lang w:val="lt-LT"/>
        </w:rPr>
      </w:pPr>
      <w:r w:rsidRPr="003E78EA">
        <w:rPr>
          <w:lang w:val="lt-LT"/>
        </w:rPr>
        <w:t>Allopurinol Accord skirtas gydyti 2, 8-dihidroksiadenino (2, 8-DHA) inkstų akmenis, atsirandančius dėl nepakankamo adenino fosforiboziltranferazės aktyvumo.</w:t>
      </w:r>
    </w:p>
    <w:p w14:paraId="099C8383" w14:textId="77777777" w:rsidR="00710393" w:rsidRPr="003E78EA" w:rsidRDefault="00710393" w:rsidP="00710393">
      <w:pPr>
        <w:rPr>
          <w:lang w:val="lt-LT"/>
        </w:rPr>
      </w:pPr>
    </w:p>
    <w:p w14:paraId="546DFB6D" w14:textId="50C74456" w:rsidR="00710393" w:rsidRPr="003E78EA" w:rsidRDefault="00710393" w:rsidP="00710393">
      <w:pPr>
        <w:rPr>
          <w:lang w:val="lt-LT"/>
        </w:rPr>
      </w:pPr>
      <w:r w:rsidRPr="003E78EA">
        <w:rPr>
          <w:lang w:val="lt-LT"/>
        </w:rPr>
        <w:lastRenderedPageBreak/>
        <w:t>Allopurinol Accord skirtas atsinaujinantiems mišr</w:t>
      </w:r>
      <w:r w:rsidR="001224FE" w:rsidRPr="003E78EA">
        <w:rPr>
          <w:lang w:val="lt-LT"/>
        </w:rPr>
        <w:t>iems</w:t>
      </w:r>
      <w:r w:rsidRPr="003E78EA">
        <w:rPr>
          <w:lang w:val="lt-LT"/>
        </w:rPr>
        <w:t xml:space="preserve"> kalcio oksalato inkstų akmenims gydyti esant hiperurikozurijai, kai neveikia skysčių palaikymo, dietos ir panašios priemonės.</w:t>
      </w:r>
    </w:p>
    <w:p w14:paraId="1A535F57" w14:textId="77777777" w:rsidR="00710393" w:rsidRPr="003E78EA" w:rsidRDefault="00710393" w:rsidP="00710393">
      <w:pPr>
        <w:rPr>
          <w:lang w:val="lt-LT"/>
        </w:rPr>
      </w:pPr>
    </w:p>
    <w:p w14:paraId="0B7D3ED0" w14:textId="77777777" w:rsidR="00710393" w:rsidRPr="003E78EA" w:rsidRDefault="00710393" w:rsidP="00710393">
      <w:pPr>
        <w:adjustRightInd w:val="0"/>
        <w:rPr>
          <w:i/>
          <w:lang w:val="lt-LT"/>
        </w:rPr>
      </w:pPr>
      <w:r w:rsidRPr="003E78EA">
        <w:rPr>
          <w:i/>
          <w:lang w:val="lt-LT"/>
        </w:rPr>
        <w:t xml:space="preserve">Vaikams ir paaugliams </w:t>
      </w:r>
    </w:p>
    <w:p w14:paraId="5EDF597F" w14:textId="77777777" w:rsidR="00710393" w:rsidRPr="003E78EA" w:rsidRDefault="00710393" w:rsidP="00710393">
      <w:pPr>
        <w:adjustRightInd w:val="0"/>
        <w:rPr>
          <w:lang w:val="lt-LT"/>
        </w:rPr>
      </w:pPr>
      <w:r w:rsidRPr="003E78EA">
        <w:rPr>
          <w:lang w:val="lt-LT"/>
        </w:rPr>
        <w:t>• Skirtingos kilmės antrinė hiperurikemija</w:t>
      </w:r>
      <w:r w:rsidR="001224FE" w:rsidRPr="003E78EA">
        <w:rPr>
          <w:lang w:val="lt-LT"/>
        </w:rPr>
        <w:t>.</w:t>
      </w:r>
      <w:r w:rsidRPr="003E78EA">
        <w:rPr>
          <w:lang w:val="lt-LT"/>
        </w:rPr>
        <w:t xml:space="preserve"> </w:t>
      </w:r>
    </w:p>
    <w:p w14:paraId="39795639" w14:textId="77777777" w:rsidR="00710393" w:rsidRPr="003E78EA" w:rsidRDefault="00710393" w:rsidP="00710393">
      <w:pPr>
        <w:adjustRightInd w:val="0"/>
        <w:rPr>
          <w:lang w:val="lt-LT"/>
        </w:rPr>
      </w:pPr>
      <w:r w:rsidRPr="003E78EA">
        <w:rPr>
          <w:lang w:val="lt-LT"/>
        </w:rPr>
        <w:t>• Šlapimo rūgšties nefropatija gydant leukemiją</w:t>
      </w:r>
      <w:r w:rsidR="001224FE" w:rsidRPr="003E78EA">
        <w:rPr>
          <w:lang w:val="lt-LT"/>
        </w:rPr>
        <w:t>.</w:t>
      </w:r>
      <w:r w:rsidRPr="003E78EA">
        <w:rPr>
          <w:lang w:val="lt-LT"/>
        </w:rPr>
        <w:t xml:space="preserve"> </w:t>
      </w:r>
    </w:p>
    <w:p w14:paraId="7ACFC591" w14:textId="39CBB5E5" w:rsidR="00710393" w:rsidRPr="003E78EA" w:rsidRDefault="00710393" w:rsidP="00710393">
      <w:pPr>
        <w:rPr>
          <w:lang w:val="lt-LT"/>
        </w:rPr>
      </w:pPr>
      <w:r w:rsidRPr="003E78EA">
        <w:rPr>
          <w:lang w:val="lt-LT"/>
        </w:rPr>
        <w:t xml:space="preserve">• Paveldimas fermentų nepakankamumas, </w:t>
      </w:r>
      <w:r w:rsidR="004B3309" w:rsidRPr="003E78EA">
        <w:rPr>
          <w:lang w:val="lt-LT"/>
        </w:rPr>
        <w:t>Lešo-Nyhano (</w:t>
      </w:r>
      <w:r w:rsidR="004B3309" w:rsidRPr="003E78EA">
        <w:rPr>
          <w:i/>
          <w:lang w:val="lt-LT"/>
        </w:rPr>
        <w:t>Lesch-Nyhan</w:t>
      </w:r>
      <w:r w:rsidR="004B3309" w:rsidRPr="003E78EA">
        <w:rPr>
          <w:lang w:val="lt-LT"/>
        </w:rPr>
        <w:t>)</w:t>
      </w:r>
      <w:r w:rsidR="004B3309" w:rsidRPr="003E78EA">
        <w:rPr>
          <w:i/>
          <w:lang w:val="lt-LT"/>
        </w:rPr>
        <w:t xml:space="preserve"> </w:t>
      </w:r>
      <w:r w:rsidRPr="003E78EA">
        <w:rPr>
          <w:lang w:val="lt-LT"/>
        </w:rPr>
        <w:t>sindromas (dalinis arba</w:t>
      </w:r>
      <w:r w:rsidRPr="003E78EA">
        <w:rPr>
          <w:sz w:val="23"/>
          <w:lang w:val="lt-LT"/>
        </w:rPr>
        <w:t xml:space="preserve"> </w:t>
      </w:r>
      <w:r w:rsidRPr="003E78EA">
        <w:rPr>
          <w:lang w:val="lt-LT"/>
        </w:rPr>
        <w:t>visiškas hipoksantin-guanino fosforiboziltransferazės trūkumas) ir adenino fosoforiboziltransferazės trūkumas.</w:t>
      </w:r>
    </w:p>
    <w:p w14:paraId="0FDB4331" w14:textId="77777777" w:rsidR="00710393" w:rsidRPr="003E78EA" w:rsidRDefault="00710393" w:rsidP="00710393">
      <w:pPr>
        <w:rPr>
          <w:lang w:val="lt-LT"/>
        </w:rPr>
      </w:pPr>
    </w:p>
    <w:p w14:paraId="69AD577C" w14:textId="77777777" w:rsidR="00710393" w:rsidRPr="003E78EA" w:rsidRDefault="00710393" w:rsidP="00710393">
      <w:pPr>
        <w:ind w:left="567" w:hanging="567"/>
        <w:rPr>
          <w:b/>
          <w:lang w:val="lt-LT"/>
        </w:rPr>
      </w:pPr>
      <w:r w:rsidRPr="003E78EA">
        <w:rPr>
          <w:b/>
          <w:lang w:val="lt-LT"/>
        </w:rPr>
        <w:t>4.2</w:t>
      </w:r>
      <w:r w:rsidRPr="003E78EA">
        <w:rPr>
          <w:b/>
          <w:lang w:val="lt-LT"/>
        </w:rPr>
        <w:tab/>
        <w:t>Dozavimas ir vartojimo metodas</w:t>
      </w:r>
    </w:p>
    <w:p w14:paraId="3A022217" w14:textId="77777777" w:rsidR="00710393" w:rsidRPr="003E78EA" w:rsidRDefault="00710393" w:rsidP="00710393">
      <w:pPr>
        <w:ind w:left="567" w:hanging="567"/>
        <w:rPr>
          <w:lang w:val="lt-LT"/>
        </w:rPr>
      </w:pPr>
    </w:p>
    <w:p w14:paraId="7EE2915C" w14:textId="77777777" w:rsidR="00710393" w:rsidRPr="003E78EA" w:rsidRDefault="00710393" w:rsidP="00710393">
      <w:pPr>
        <w:rPr>
          <w:u w:val="single"/>
          <w:lang w:val="lt-LT"/>
        </w:rPr>
      </w:pPr>
      <w:r w:rsidRPr="003E78EA">
        <w:rPr>
          <w:u w:val="single"/>
          <w:lang w:val="lt-LT"/>
        </w:rPr>
        <w:t>Dozavimas</w:t>
      </w:r>
    </w:p>
    <w:p w14:paraId="54EF81CA" w14:textId="77777777" w:rsidR="00710393" w:rsidRPr="003E78EA" w:rsidRDefault="00710393" w:rsidP="00710393">
      <w:pPr>
        <w:rPr>
          <w:u w:val="single"/>
          <w:lang w:val="lt-LT"/>
        </w:rPr>
      </w:pPr>
    </w:p>
    <w:p w14:paraId="0352F688" w14:textId="175CD154" w:rsidR="00710393" w:rsidRPr="003E78EA" w:rsidRDefault="00710393" w:rsidP="00710393">
      <w:pPr>
        <w:rPr>
          <w:i/>
          <w:lang w:val="lt-LT"/>
        </w:rPr>
      </w:pPr>
      <w:r w:rsidRPr="003E78EA">
        <w:rPr>
          <w:i/>
          <w:lang w:val="lt-LT"/>
        </w:rPr>
        <w:t>Suaugusie</w:t>
      </w:r>
      <w:r w:rsidR="001948DA" w:rsidRPr="003E78EA">
        <w:rPr>
          <w:i/>
          <w:lang w:val="lt-LT"/>
        </w:rPr>
        <w:t>siems</w:t>
      </w:r>
    </w:p>
    <w:p w14:paraId="20C87236" w14:textId="77777777" w:rsidR="00710393" w:rsidRPr="003E78EA" w:rsidRDefault="00710393" w:rsidP="00710393">
      <w:pPr>
        <w:rPr>
          <w:i/>
          <w:lang w:val="lt-LT"/>
        </w:rPr>
      </w:pPr>
    </w:p>
    <w:p w14:paraId="44D23AF1" w14:textId="1732CC63" w:rsidR="00710393" w:rsidRPr="003E78EA" w:rsidRDefault="00710393" w:rsidP="00710393">
      <w:pPr>
        <w:adjustRightInd w:val="0"/>
        <w:rPr>
          <w:lang w:val="lt-LT"/>
        </w:rPr>
      </w:pPr>
      <w:r w:rsidRPr="003E78EA">
        <w:rPr>
          <w:lang w:val="lt-LT"/>
        </w:rPr>
        <w:t xml:space="preserve">Allopurinol Accord turėtų būti pradėtas vartoti mažomis dozėmis, pvz., </w:t>
      </w:r>
      <w:r w:rsidR="000A5826" w:rsidRPr="003E78EA">
        <w:rPr>
          <w:lang w:val="lt-LT"/>
        </w:rPr>
        <w:t>100</w:t>
      </w:r>
      <w:r w:rsidR="000A5826" w:rsidRPr="000A5826">
        <w:rPr>
          <w:lang w:val="lt-LT"/>
        </w:rPr>
        <w:t> </w:t>
      </w:r>
      <w:r w:rsidRPr="003E78EA">
        <w:rPr>
          <w:lang w:val="lt-LT"/>
        </w:rPr>
        <w:t xml:space="preserve">mg per parą, kad sumažėtų nepageidaujamų reakcijų rizika, ir padidintas tik tuo atveju, jei </w:t>
      </w:r>
      <w:r w:rsidR="00053953" w:rsidRPr="003E78EA">
        <w:rPr>
          <w:lang w:val="lt-LT"/>
        </w:rPr>
        <w:t>uratų</w:t>
      </w:r>
      <w:r w:rsidRPr="003E78EA">
        <w:rPr>
          <w:lang w:val="lt-LT"/>
        </w:rPr>
        <w:t xml:space="preserve"> serumo reakcija yra nepatenkinama. Būtina elgtis ypač atsargiai, jeigu inkstų funkcija yra prasta (žr. 4.2 skyri</w:t>
      </w:r>
      <w:r w:rsidR="001224FE" w:rsidRPr="003E78EA">
        <w:rPr>
          <w:lang w:val="lt-LT"/>
        </w:rPr>
        <w:t>aus poskyrį</w:t>
      </w:r>
      <w:r w:rsidR="001D1B2A">
        <w:rPr>
          <w:lang w:val="lt-LT"/>
        </w:rPr>
        <w:t xml:space="preserve"> </w:t>
      </w:r>
      <w:r w:rsidR="001D1B2A" w:rsidRPr="003E78EA">
        <w:rPr>
          <w:i/>
          <w:lang w:val="lt-LT"/>
        </w:rPr>
        <w:t>„</w:t>
      </w:r>
      <w:r w:rsidR="00A1046F" w:rsidRPr="003E78EA">
        <w:rPr>
          <w:i/>
          <w:lang w:val="lt-LT"/>
        </w:rPr>
        <w:t>Pacientams, kurių inkstų funkcija sutrikusi</w:t>
      </w:r>
      <w:r w:rsidR="001D1B2A" w:rsidRPr="00560A49">
        <w:rPr>
          <w:i/>
          <w:lang w:val="lt-LT"/>
        </w:rPr>
        <w:t>“</w:t>
      </w:r>
      <w:r w:rsidRPr="000A5826">
        <w:rPr>
          <w:lang w:val="lt-LT"/>
        </w:rPr>
        <w:t>).</w:t>
      </w:r>
      <w:r w:rsidRPr="003E78EA">
        <w:rPr>
          <w:lang w:val="lt-LT"/>
        </w:rPr>
        <w:t xml:space="preserve"> Siūlomi šie dozavimo grafikai:</w:t>
      </w:r>
    </w:p>
    <w:p w14:paraId="502BF84E" w14:textId="77777777" w:rsidR="00710393" w:rsidRPr="003E78EA" w:rsidRDefault="00710393" w:rsidP="00710393">
      <w:pPr>
        <w:rPr>
          <w:u w:val="single"/>
          <w:lang w:val="lt-LT"/>
        </w:rPr>
      </w:pPr>
    </w:p>
    <w:p w14:paraId="41E1B07D" w14:textId="12D7A66B" w:rsidR="00710393" w:rsidRPr="003E78EA" w:rsidRDefault="00710393" w:rsidP="00710393">
      <w:pPr>
        <w:adjustRightInd w:val="0"/>
        <w:rPr>
          <w:lang w:val="lt-LT"/>
        </w:rPr>
      </w:pPr>
      <w:r w:rsidRPr="003E78EA">
        <w:rPr>
          <w:lang w:val="lt-LT"/>
        </w:rPr>
        <w:t>100–200</w:t>
      </w:r>
      <w:r w:rsidR="000A5826" w:rsidRPr="000A5826">
        <w:rPr>
          <w:lang w:val="lt-LT"/>
        </w:rPr>
        <w:t> </w:t>
      </w:r>
      <w:r w:rsidRPr="003E78EA">
        <w:rPr>
          <w:lang w:val="lt-LT"/>
        </w:rPr>
        <w:t>mg per parą esant lengvai būklei;</w:t>
      </w:r>
    </w:p>
    <w:p w14:paraId="0A3C7152" w14:textId="7618100A" w:rsidR="00710393" w:rsidRPr="003E78EA" w:rsidRDefault="00710393" w:rsidP="00710393">
      <w:pPr>
        <w:adjustRightInd w:val="0"/>
        <w:rPr>
          <w:lang w:val="lt-LT"/>
        </w:rPr>
      </w:pPr>
      <w:r w:rsidRPr="003E78EA">
        <w:rPr>
          <w:lang w:val="lt-LT"/>
        </w:rPr>
        <w:t>300–600</w:t>
      </w:r>
      <w:r w:rsidR="000A5826" w:rsidRPr="000A5826">
        <w:rPr>
          <w:lang w:val="lt-LT"/>
        </w:rPr>
        <w:t> </w:t>
      </w:r>
      <w:r w:rsidRPr="003E78EA">
        <w:rPr>
          <w:lang w:val="lt-LT"/>
        </w:rPr>
        <w:t>mg per parą esant vidutiniškai sunkiai būklei;</w:t>
      </w:r>
    </w:p>
    <w:p w14:paraId="4BD41C52" w14:textId="142C402E" w:rsidR="00710393" w:rsidRPr="003E78EA" w:rsidRDefault="00710393" w:rsidP="00710393">
      <w:pPr>
        <w:rPr>
          <w:lang w:val="lt-LT"/>
        </w:rPr>
      </w:pPr>
      <w:r w:rsidRPr="003E78EA">
        <w:rPr>
          <w:lang w:val="lt-LT"/>
        </w:rPr>
        <w:t>700–900</w:t>
      </w:r>
      <w:r w:rsidR="000A5826" w:rsidRPr="000A5826">
        <w:rPr>
          <w:lang w:val="lt-LT"/>
        </w:rPr>
        <w:t> </w:t>
      </w:r>
      <w:r w:rsidRPr="003E78EA">
        <w:rPr>
          <w:lang w:val="lt-LT"/>
        </w:rPr>
        <w:t>mg per parą esant sunkiai būklei.</w:t>
      </w:r>
    </w:p>
    <w:p w14:paraId="234F6536" w14:textId="77777777" w:rsidR="00710393" w:rsidRPr="003E78EA" w:rsidRDefault="00710393" w:rsidP="00710393">
      <w:pPr>
        <w:rPr>
          <w:lang w:val="lt-LT"/>
        </w:rPr>
      </w:pPr>
    </w:p>
    <w:p w14:paraId="37EA7FEA" w14:textId="5A0B542F" w:rsidR="00710393" w:rsidRPr="003E78EA" w:rsidRDefault="00710393" w:rsidP="00710393">
      <w:pPr>
        <w:rPr>
          <w:lang w:val="lt-LT"/>
        </w:rPr>
      </w:pPr>
      <w:r w:rsidRPr="003E78EA">
        <w:rPr>
          <w:lang w:val="lt-LT"/>
        </w:rPr>
        <w:t>Dozės, didesnės nei 300</w:t>
      </w:r>
      <w:r w:rsidR="000A5826" w:rsidRPr="000A5826">
        <w:rPr>
          <w:lang w:val="lt-LT"/>
        </w:rPr>
        <w:t> </w:t>
      </w:r>
      <w:r w:rsidRPr="003E78EA">
        <w:rPr>
          <w:lang w:val="lt-LT"/>
        </w:rPr>
        <w:t>mg, turi būti skiriamos dalimis neviršijant 300</w:t>
      </w:r>
      <w:r w:rsidR="000A5826" w:rsidRPr="000A5826">
        <w:rPr>
          <w:lang w:val="lt-LT"/>
        </w:rPr>
        <w:t> </w:t>
      </w:r>
      <w:r w:rsidRPr="003E78EA">
        <w:rPr>
          <w:lang w:val="lt-LT"/>
        </w:rPr>
        <w:t>mg, taip siekiant sumažinti nepageidaujamą poveikį virškinimo traktui. Jei būtina dozuoti mg/kg kūno svorio, reikia vartoti 2–</w:t>
      </w:r>
      <w:r w:rsidR="000A5826" w:rsidRPr="003E78EA">
        <w:rPr>
          <w:lang w:val="lt-LT"/>
        </w:rPr>
        <w:t>10</w:t>
      </w:r>
      <w:r w:rsidR="000A5826" w:rsidRPr="000A5826">
        <w:rPr>
          <w:lang w:val="lt-LT"/>
        </w:rPr>
        <w:t> </w:t>
      </w:r>
      <w:r w:rsidRPr="003E78EA">
        <w:rPr>
          <w:lang w:val="lt-LT"/>
        </w:rPr>
        <w:t>mg/kg kūno svorio per parą.</w:t>
      </w:r>
    </w:p>
    <w:p w14:paraId="3A3A0FCC" w14:textId="77777777" w:rsidR="00710393" w:rsidRPr="003E78EA" w:rsidRDefault="00710393" w:rsidP="00710393">
      <w:pPr>
        <w:rPr>
          <w:u w:val="single"/>
          <w:lang w:val="lt-LT"/>
        </w:rPr>
      </w:pPr>
    </w:p>
    <w:p w14:paraId="607CCC24" w14:textId="77777777" w:rsidR="00710393" w:rsidRPr="003E78EA" w:rsidRDefault="00710393" w:rsidP="00710393">
      <w:pPr>
        <w:rPr>
          <w:lang w:val="lt-LT"/>
        </w:rPr>
      </w:pPr>
      <w:r w:rsidRPr="003E78EA">
        <w:rPr>
          <w:i/>
          <w:lang w:val="lt-LT"/>
        </w:rPr>
        <w:t>Patarimai, kaip stebėti</w:t>
      </w:r>
    </w:p>
    <w:p w14:paraId="2EB06269" w14:textId="77777777" w:rsidR="00710393" w:rsidRPr="003E78EA" w:rsidRDefault="00710393" w:rsidP="00710393">
      <w:pPr>
        <w:rPr>
          <w:lang w:val="lt-LT"/>
        </w:rPr>
      </w:pPr>
    </w:p>
    <w:p w14:paraId="3FBC2E1C" w14:textId="30DA251B" w:rsidR="00710393" w:rsidRPr="003E78EA" w:rsidRDefault="00710393" w:rsidP="00710393">
      <w:pPr>
        <w:rPr>
          <w:lang w:val="lt-LT"/>
        </w:rPr>
      </w:pPr>
      <w:r w:rsidRPr="003E78EA">
        <w:rPr>
          <w:lang w:val="lt-LT"/>
        </w:rPr>
        <w:t xml:space="preserve">Dozę reikia koreguoti stebint </w:t>
      </w:r>
      <w:r w:rsidR="00053953" w:rsidRPr="003E78EA">
        <w:rPr>
          <w:lang w:val="lt-LT"/>
        </w:rPr>
        <w:t>uratų</w:t>
      </w:r>
      <w:r w:rsidRPr="003E78EA">
        <w:rPr>
          <w:lang w:val="lt-LT"/>
        </w:rPr>
        <w:t xml:space="preserve"> serumo koncentraciją ir </w:t>
      </w:r>
      <w:r w:rsidR="00053953" w:rsidRPr="003E78EA">
        <w:rPr>
          <w:lang w:val="lt-LT"/>
        </w:rPr>
        <w:t>uratų</w:t>
      </w:r>
      <w:r w:rsidRPr="003E78EA">
        <w:rPr>
          <w:lang w:val="lt-LT"/>
        </w:rPr>
        <w:t xml:space="preserve"> / šlapimo rūgšties kiekį atitinkamais intervalais.</w:t>
      </w:r>
    </w:p>
    <w:p w14:paraId="3141CB74" w14:textId="77777777" w:rsidR="00710393" w:rsidRPr="003E78EA" w:rsidRDefault="00710393" w:rsidP="00710393">
      <w:pPr>
        <w:rPr>
          <w:u w:val="single"/>
          <w:lang w:val="lt-LT"/>
        </w:rPr>
      </w:pPr>
    </w:p>
    <w:p w14:paraId="4426EE77" w14:textId="77777777" w:rsidR="00710393" w:rsidRPr="003E78EA" w:rsidRDefault="00710393" w:rsidP="00710393">
      <w:pPr>
        <w:rPr>
          <w:lang w:val="lt-LT"/>
        </w:rPr>
      </w:pPr>
    </w:p>
    <w:p w14:paraId="24973674" w14:textId="77777777" w:rsidR="00710393" w:rsidRPr="003E78EA" w:rsidRDefault="00710393" w:rsidP="00710393">
      <w:pPr>
        <w:rPr>
          <w:lang w:val="lt-LT"/>
        </w:rPr>
      </w:pPr>
      <w:r w:rsidRPr="003E78EA">
        <w:rPr>
          <w:lang w:val="lt-LT"/>
        </w:rPr>
        <w:t>Specialios gyventojų grupės</w:t>
      </w:r>
    </w:p>
    <w:p w14:paraId="5810D735" w14:textId="77777777" w:rsidR="00710393" w:rsidRPr="003E78EA" w:rsidRDefault="00710393" w:rsidP="00710393">
      <w:pPr>
        <w:rPr>
          <w:lang w:val="lt-LT"/>
        </w:rPr>
      </w:pPr>
    </w:p>
    <w:p w14:paraId="191CE8A5" w14:textId="21F55187" w:rsidR="00710393" w:rsidRPr="003E78EA" w:rsidRDefault="001948DA" w:rsidP="00710393">
      <w:pPr>
        <w:rPr>
          <w:i/>
          <w:lang w:val="lt-LT"/>
        </w:rPr>
      </w:pPr>
      <w:r w:rsidRPr="003E78EA">
        <w:rPr>
          <w:i/>
          <w:lang w:val="lt-LT"/>
        </w:rPr>
        <w:t>Senyviems pacientams</w:t>
      </w:r>
    </w:p>
    <w:p w14:paraId="0515B3FF" w14:textId="77777777" w:rsidR="00710393" w:rsidRPr="003E78EA" w:rsidRDefault="00710393" w:rsidP="00710393">
      <w:pPr>
        <w:rPr>
          <w:lang w:val="lt-LT"/>
        </w:rPr>
      </w:pPr>
    </w:p>
    <w:p w14:paraId="2CA6FE00" w14:textId="10B7B944" w:rsidR="00710393" w:rsidRPr="003E78EA" w:rsidRDefault="00710393" w:rsidP="00710393">
      <w:pPr>
        <w:rPr>
          <w:lang w:val="lt-LT"/>
        </w:rPr>
      </w:pPr>
      <w:r w:rsidRPr="003E78EA">
        <w:rPr>
          <w:lang w:val="lt-LT"/>
        </w:rPr>
        <w:t xml:space="preserve">Jei nenurodyta konkreti informacija, reikia naudoti mažiausią dozę, kuri pakankamai mažintų </w:t>
      </w:r>
      <w:r w:rsidR="00053953" w:rsidRPr="003E78EA">
        <w:rPr>
          <w:lang w:val="lt-LT"/>
        </w:rPr>
        <w:t>uratų</w:t>
      </w:r>
      <w:r w:rsidR="0036592C" w:rsidRPr="003E78EA">
        <w:rPr>
          <w:lang w:val="lt-LT"/>
        </w:rPr>
        <w:t xml:space="preserve"> kiekį</w:t>
      </w:r>
      <w:r w:rsidRPr="003E78EA">
        <w:rPr>
          <w:lang w:val="lt-LT"/>
        </w:rPr>
        <w:t>. Ypating</w:t>
      </w:r>
      <w:r w:rsidR="001224FE" w:rsidRPr="003E78EA">
        <w:rPr>
          <w:lang w:val="lt-LT"/>
        </w:rPr>
        <w:t>ą</w:t>
      </w:r>
      <w:r w:rsidRPr="003E78EA">
        <w:rPr>
          <w:lang w:val="lt-LT"/>
        </w:rPr>
        <w:t xml:space="preserve"> dėmes</w:t>
      </w:r>
      <w:r w:rsidR="001224FE" w:rsidRPr="003E78EA">
        <w:rPr>
          <w:lang w:val="lt-LT"/>
        </w:rPr>
        <w:t>į</w:t>
      </w:r>
      <w:r w:rsidRPr="003E78EA">
        <w:rPr>
          <w:lang w:val="lt-LT"/>
        </w:rPr>
        <w:t xml:space="preserve"> </w:t>
      </w:r>
      <w:r w:rsidR="001224FE" w:rsidRPr="003E78EA">
        <w:rPr>
          <w:lang w:val="lt-LT"/>
        </w:rPr>
        <w:t xml:space="preserve">reikia </w:t>
      </w:r>
      <w:r w:rsidRPr="003E78EA">
        <w:rPr>
          <w:lang w:val="lt-LT"/>
        </w:rPr>
        <w:t>skir</w:t>
      </w:r>
      <w:r w:rsidR="001224FE" w:rsidRPr="003E78EA">
        <w:rPr>
          <w:lang w:val="lt-LT"/>
        </w:rPr>
        <w:t>ti</w:t>
      </w:r>
      <w:r w:rsidRPr="003E78EA">
        <w:rPr>
          <w:lang w:val="lt-LT"/>
        </w:rPr>
        <w:t xml:space="preserve"> 4.2 skyriaus </w:t>
      </w:r>
      <w:r w:rsidR="001224FE" w:rsidRPr="003E78EA">
        <w:rPr>
          <w:lang w:val="lt-LT"/>
        </w:rPr>
        <w:t xml:space="preserve">poskyryje </w:t>
      </w:r>
      <w:r w:rsidR="000A5826" w:rsidRPr="003E78EA">
        <w:rPr>
          <w:i/>
          <w:lang w:val="lt-LT"/>
        </w:rPr>
        <w:t>„</w:t>
      </w:r>
      <w:r w:rsidR="00A1046F" w:rsidRPr="003E78EA">
        <w:rPr>
          <w:i/>
          <w:lang w:val="lt-LT"/>
        </w:rPr>
        <w:t>Pacientams, kurių inkstų funkcija sutrikusi</w:t>
      </w:r>
      <w:r w:rsidR="000A5826">
        <w:rPr>
          <w:i/>
          <w:lang w:val="lt-LT"/>
        </w:rPr>
        <w:t xml:space="preserve">“ </w:t>
      </w:r>
      <w:r w:rsidRPr="003E78EA">
        <w:rPr>
          <w:lang w:val="lt-LT"/>
        </w:rPr>
        <w:t>ir 4.4 skyri</w:t>
      </w:r>
      <w:r w:rsidR="001224FE" w:rsidRPr="003E78EA">
        <w:rPr>
          <w:lang w:val="lt-LT"/>
        </w:rPr>
        <w:t>uje nurodytiems</w:t>
      </w:r>
      <w:r w:rsidRPr="003E78EA">
        <w:rPr>
          <w:lang w:val="lt-LT"/>
        </w:rPr>
        <w:t xml:space="preserve"> patarimams</w:t>
      </w:r>
      <w:r w:rsidR="00A1046F" w:rsidRPr="003E78EA">
        <w:rPr>
          <w:lang w:val="lt-LT"/>
        </w:rPr>
        <w:t xml:space="preserve"> (žr. 4.2 ir 4.4 </w:t>
      </w:r>
      <w:r w:rsidR="00A1046F" w:rsidRPr="000A5826">
        <w:rPr>
          <w:lang w:val="lt-LT"/>
        </w:rPr>
        <w:t>skyrius)</w:t>
      </w:r>
      <w:r w:rsidRPr="003E78EA">
        <w:rPr>
          <w:lang w:val="lt-LT"/>
        </w:rPr>
        <w:t>.</w:t>
      </w:r>
    </w:p>
    <w:p w14:paraId="1D6B20F7" w14:textId="77777777" w:rsidR="00710393" w:rsidRPr="003E78EA" w:rsidRDefault="00710393" w:rsidP="00710393">
      <w:pPr>
        <w:rPr>
          <w:lang w:val="lt-LT"/>
        </w:rPr>
      </w:pPr>
    </w:p>
    <w:p w14:paraId="31DC6AD7" w14:textId="3D34D009" w:rsidR="00710393" w:rsidRPr="003E78EA" w:rsidRDefault="0036592C" w:rsidP="00710393">
      <w:pPr>
        <w:rPr>
          <w:i/>
          <w:lang w:val="lt-LT"/>
        </w:rPr>
      </w:pPr>
      <w:r w:rsidRPr="003E78EA">
        <w:rPr>
          <w:i/>
          <w:lang w:val="lt-LT"/>
        </w:rPr>
        <w:t>Pacientams, kurių i</w:t>
      </w:r>
      <w:r w:rsidR="00710393" w:rsidRPr="003E78EA">
        <w:rPr>
          <w:i/>
          <w:lang w:val="lt-LT"/>
        </w:rPr>
        <w:t>nkstų funkcij</w:t>
      </w:r>
      <w:r w:rsidRPr="003E78EA">
        <w:rPr>
          <w:i/>
          <w:lang w:val="lt-LT"/>
        </w:rPr>
        <w:t>a</w:t>
      </w:r>
      <w:r w:rsidR="00710393" w:rsidRPr="003E78EA">
        <w:rPr>
          <w:i/>
          <w:lang w:val="lt-LT"/>
        </w:rPr>
        <w:t xml:space="preserve"> sutrik</w:t>
      </w:r>
      <w:r w:rsidRPr="003E78EA">
        <w:rPr>
          <w:i/>
          <w:lang w:val="lt-LT"/>
        </w:rPr>
        <w:t>us</w:t>
      </w:r>
      <w:r w:rsidR="00710393" w:rsidRPr="003E78EA">
        <w:rPr>
          <w:i/>
          <w:lang w:val="lt-LT"/>
        </w:rPr>
        <w:t>i</w:t>
      </w:r>
    </w:p>
    <w:p w14:paraId="6FFB7C0A" w14:textId="77777777" w:rsidR="00710393" w:rsidRPr="003E78EA" w:rsidRDefault="00710393" w:rsidP="00710393">
      <w:pPr>
        <w:rPr>
          <w:u w:val="single"/>
          <w:lang w:val="lt-LT"/>
        </w:rPr>
      </w:pPr>
    </w:p>
    <w:p w14:paraId="1DD285D8" w14:textId="2E1DCD13" w:rsidR="00710393" w:rsidRPr="003E78EA" w:rsidRDefault="00710393" w:rsidP="00710393">
      <w:pPr>
        <w:rPr>
          <w:lang w:val="lt-LT"/>
        </w:rPr>
      </w:pPr>
      <w:r w:rsidRPr="003E78EA">
        <w:rPr>
          <w:lang w:val="lt-LT"/>
        </w:rPr>
        <w:t xml:space="preserve">Kadangi alopurinolis ir jo metabolitai išskiriami </w:t>
      </w:r>
      <w:r w:rsidR="0036592C" w:rsidRPr="003E78EA">
        <w:rPr>
          <w:lang w:val="lt-LT"/>
        </w:rPr>
        <w:t xml:space="preserve">per </w:t>
      </w:r>
      <w:r w:rsidRPr="003E78EA">
        <w:rPr>
          <w:lang w:val="lt-LT"/>
        </w:rPr>
        <w:t>inkst</w:t>
      </w:r>
      <w:r w:rsidR="0036592C" w:rsidRPr="003E78EA">
        <w:rPr>
          <w:lang w:val="lt-LT"/>
        </w:rPr>
        <w:t>us</w:t>
      </w:r>
      <w:r w:rsidRPr="003E78EA">
        <w:rPr>
          <w:lang w:val="lt-LT"/>
        </w:rPr>
        <w:t xml:space="preserve">, sutrikusi inkstų funkcija gali sukelti alopurinolio ir (arba) jo metabolitų sulaikymą, lemiantį pailgėjusį pusinį eliminacijos laiką </w:t>
      </w:r>
      <w:r w:rsidR="0036592C" w:rsidRPr="003E78EA">
        <w:rPr>
          <w:lang w:val="lt-LT"/>
        </w:rPr>
        <w:t xml:space="preserve">kraujo </w:t>
      </w:r>
      <w:r w:rsidRPr="003E78EA">
        <w:rPr>
          <w:lang w:val="lt-LT"/>
        </w:rPr>
        <w:t>plazmoje. Suaugusieji šį grafiką gali panaudoti kaip rekomendaciją:</w:t>
      </w:r>
    </w:p>
    <w:tbl>
      <w:tblPr>
        <w:tblW w:w="0" w:type="auto"/>
        <w:tblLook w:val="04A0" w:firstRow="1" w:lastRow="0" w:firstColumn="1" w:lastColumn="0" w:noHBand="0" w:noVBand="1"/>
      </w:tblPr>
      <w:tblGrid>
        <w:gridCol w:w="5087"/>
        <w:gridCol w:w="3984"/>
      </w:tblGrid>
      <w:tr w:rsidR="00710393" w:rsidRPr="000A5826" w14:paraId="18588074" w14:textId="77777777" w:rsidTr="00381032">
        <w:tc>
          <w:tcPr>
            <w:tcW w:w="5211" w:type="dxa"/>
            <w:shd w:val="clear" w:color="auto" w:fill="auto"/>
          </w:tcPr>
          <w:p w14:paraId="30656CD6" w14:textId="734B16EE" w:rsidR="00710393" w:rsidRPr="003E78EA" w:rsidRDefault="00710393" w:rsidP="00381032">
            <w:pPr>
              <w:rPr>
                <w:u w:val="single"/>
                <w:lang w:val="lt-LT"/>
              </w:rPr>
            </w:pPr>
            <w:r w:rsidRPr="003E78EA">
              <w:rPr>
                <w:u w:val="single"/>
                <w:lang w:val="lt-LT"/>
              </w:rPr>
              <w:t>Kreatinino klirensas (normalioji vertė 60–120</w:t>
            </w:r>
            <w:r w:rsidR="000A5826">
              <w:rPr>
                <w:u w:val="single"/>
                <w:lang w:val="lt-LT"/>
              </w:rPr>
              <w:t> </w:t>
            </w:r>
            <w:r w:rsidRPr="003E78EA">
              <w:rPr>
                <w:u w:val="single"/>
                <w:lang w:val="lt-LT"/>
              </w:rPr>
              <w:t>ml/min.)</w:t>
            </w:r>
          </w:p>
        </w:tc>
        <w:tc>
          <w:tcPr>
            <w:tcW w:w="4076" w:type="dxa"/>
            <w:shd w:val="clear" w:color="auto" w:fill="auto"/>
          </w:tcPr>
          <w:p w14:paraId="3E0D1E84" w14:textId="77777777" w:rsidR="00710393" w:rsidRPr="003E78EA" w:rsidRDefault="00710393" w:rsidP="00381032">
            <w:pPr>
              <w:rPr>
                <w:u w:val="single"/>
                <w:lang w:val="lt-LT"/>
              </w:rPr>
            </w:pPr>
            <w:r w:rsidRPr="003E78EA">
              <w:rPr>
                <w:u w:val="single"/>
                <w:lang w:val="lt-LT"/>
              </w:rPr>
              <w:t>Dozavimas sumažėjus inkstų funkcijai</w:t>
            </w:r>
          </w:p>
        </w:tc>
      </w:tr>
      <w:tr w:rsidR="00710393" w:rsidRPr="000A5826" w14:paraId="2718C6B2" w14:textId="77777777" w:rsidTr="00381032">
        <w:tc>
          <w:tcPr>
            <w:tcW w:w="5211" w:type="dxa"/>
            <w:shd w:val="clear" w:color="auto" w:fill="auto"/>
          </w:tcPr>
          <w:p w14:paraId="16449518" w14:textId="22BB8F44" w:rsidR="00710393" w:rsidRPr="003E78EA" w:rsidRDefault="00710393" w:rsidP="00381032">
            <w:pPr>
              <w:rPr>
                <w:lang w:val="lt-LT"/>
              </w:rPr>
            </w:pPr>
            <w:r w:rsidRPr="003E78EA">
              <w:rPr>
                <w:lang w:val="lt-LT"/>
              </w:rPr>
              <w:t>&gt;20</w:t>
            </w:r>
            <w:r w:rsidR="000A5826">
              <w:rPr>
                <w:lang w:val="lt-LT"/>
              </w:rPr>
              <w:t> </w:t>
            </w:r>
            <w:r w:rsidRPr="003E78EA">
              <w:rPr>
                <w:lang w:val="lt-LT"/>
              </w:rPr>
              <w:t>ml/min</w:t>
            </w:r>
          </w:p>
        </w:tc>
        <w:tc>
          <w:tcPr>
            <w:tcW w:w="4076" w:type="dxa"/>
            <w:shd w:val="clear" w:color="auto" w:fill="auto"/>
          </w:tcPr>
          <w:p w14:paraId="601880F9" w14:textId="77777777" w:rsidR="00710393" w:rsidRPr="003E78EA" w:rsidRDefault="00710393" w:rsidP="00381032">
            <w:pPr>
              <w:rPr>
                <w:lang w:val="lt-LT"/>
              </w:rPr>
            </w:pPr>
            <w:r w:rsidRPr="003E78EA">
              <w:rPr>
                <w:lang w:val="lt-LT"/>
              </w:rPr>
              <w:t>normali dozė</w:t>
            </w:r>
          </w:p>
        </w:tc>
      </w:tr>
      <w:tr w:rsidR="00710393" w:rsidRPr="000A5826" w14:paraId="2D52ABEF" w14:textId="77777777" w:rsidTr="00381032">
        <w:tc>
          <w:tcPr>
            <w:tcW w:w="5211" w:type="dxa"/>
            <w:shd w:val="clear" w:color="auto" w:fill="auto"/>
          </w:tcPr>
          <w:p w14:paraId="7C8B6643" w14:textId="1073DF46" w:rsidR="00710393" w:rsidRPr="003E78EA" w:rsidRDefault="00710393" w:rsidP="00381032">
            <w:pPr>
              <w:rPr>
                <w:lang w:val="lt-LT"/>
              </w:rPr>
            </w:pPr>
            <w:r w:rsidRPr="003E78EA">
              <w:rPr>
                <w:lang w:val="lt-LT"/>
              </w:rPr>
              <w:t>10–20</w:t>
            </w:r>
            <w:r w:rsidR="000A5826">
              <w:rPr>
                <w:lang w:val="lt-LT"/>
              </w:rPr>
              <w:t> </w:t>
            </w:r>
            <w:r w:rsidRPr="003E78EA">
              <w:rPr>
                <w:lang w:val="lt-LT"/>
              </w:rPr>
              <w:t>ml/min</w:t>
            </w:r>
          </w:p>
        </w:tc>
        <w:tc>
          <w:tcPr>
            <w:tcW w:w="4076" w:type="dxa"/>
            <w:shd w:val="clear" w:color="auto" w:fill="auto"/>
          </w:tcPr>
          <w:p w14:paraId="0ADF231C" w14:textId="4849436A" w:rsidR="00710393" w:rsidRPr="003E78EA" w:rsidRDefault="00710393" w:rsidP="00381032">
            <w:pPr>
              <w:rPr>
                <w:lang w:val="lt-LT"/>
              </w:rPr>
            </w:pPr>
            <w:r w:rsidRPr="003E78EA">
              <w:rPr>
                <w:lang w:val="lt-LT"/>
              </w:rPr>
              <w:t>100–200</w:t>
            </w:r>
            <w:r w:rsidR="000A5826">
              <w:rPr>
                <w:lang w:val="lt-LT"/>
              </w:rPr>
              <w:t> </w:t>
            </w:r>
            <w:r w:rsidRPr="003E78EA">
              <w:rPr>
                <w:lang w:val="lt-LT"/>
              </w:rPr>
              <w:t>mg per parą</w:t>
            </w:r>
          </w:p>
        </w:tc>
      </w:tr>
      <w:tr w:rsidR="00710393" w:rsidRPr="000A5826" w14:paraId="48CDE435" w14:textId="77777777" w:rsidTr="00381032">
        <w:trPr>
          <w:trHeight w:val="234"/>
        </w:trPr>
        <w:tc>
          <w:tcPr>
            <w:tcW w:w="5211" w:type="dxa"/>
            <w:shd w:val="clear" w:color="auto" w:fill="auto"/>
          </w:tcPr>
          <w:p w14:paraId="579AC398" w14:textId="3DAC222F" w:rsidR="00710393" w:rsidRPr="003E78EA" w:rsidRDefault="00710393" w:rsidP="00381032">
            <w:pPr>
              <w:rPr>
                <w:lang w:val="lt-LT"/>
              </w:rPr>
            </w:pPr>
            <w:r w:rsidRPr="003E78EA">
              <w:rPr>
                <w:lang w:val="lt-LT"/>
              </w:rPr>
              <w:t>&lt;10</w:t>
            </w:r>
            <w:r w:rsidR="000A5826">
              <w:rPr>
                <w:lang w:val="lt-LT"/>
              </w:rPr>
              <w:t> </w:t>
            </w:r>
            <w:r w:rsidRPr="003E78EA">
              <w:rPr>
                <w:lang w:val="lt-LT"/>
              </w:rPr>
              <w:t>ml/min</w:t>
            </w:r>
          </w:p>
        </w:tc>
        <w:tc>
          <w:tcPr>
            <w:tcW w:w="4076" w:type="dxa"/>
            <w:shd w:val="clear" w:color="auto" w:fill="auto"/>
          </w:tcPr>
          <w:p w14:paraId="674E7AE7" w14:textId="0FA83567" w:rsidR="00710393" w:rsidRPr="003E78EA" w:rsidRDefault="00710393" w:rsidP="00381032">
            <w:pPr>
              <w:rPr>
                <w:lang w:val="lt-LT"/>
              </w:rPr>
            </w:pPr>
            <w:r w:rsidRPr="003E78EA">
              <w:rPr>
                <w:lang w:val="lt-LT"/>
              </w:rPr>
              <w:t>100</w:t>
            </w:r>
            <w:r w:rsidR="000A5826">
              <w:rPr>
                <w:lang w:val="lt-LT"/>
              </w:rPr>
              <w:t> </w:t>
            </w:r>
            <w:r w:rsidRPr="003E78EA">
              <w:rPr>
                <w:lang w:val="lt-LT"/>
              </w:rPr>
              <w:t>mg per parą arba ilgesni intervalai tarp dozių</w:t>
            </w:r>
          </w:p>
        </w:tc>
      </w:tr>
    </w:tbl>
    <w:p w14:paraId="1DB89B80" w14:textId="77777777" w:rsidR="00710393" w:rsidRPr="003E78EA" w:rsidRDefault="00710393" w:rsidP="00710393">
      <w:pPr>
        <w:rPr>
          <w:lang w:val="lt-LT"/>
        </w:rPr>
      </w:pPr>
    </w:p>
    <w:p w14:paraId="4E323399" w14:textId="25082C7D" w:rsidR="00710393" w:rsidRPr="003E78EA" w:rsidRDefault="00710393" w:rsidP="00710393">
      <w:pPr>
        <w:rPr>
          <w:lang w:val="lt-LT"/>
        </w:rPr>
      </w:pPr>
      <w:r w:rsidRPr="003E78EA">
        <w:rPr>
          <w:lang w:val="lt-LT"/>
        </w:rPr>
        <w:t xml:space="preserve">Jei yra prieinama įranga stebėti oksipurinolio koncentraciją </w:t>
      </w:r>
      <w:r w:rsidR="0036592C" w:rsidRPr="003E78EA">
        <w:rPr>
          <w:lang w:val="lt-LT"/>
        </w:rPr>
        <w:t xml:space="preserve">kraujo </w:t>
      </w:r>
      <w:r w:rsidRPr="003E78EA">
        <w:rPr>
          <w:lang w:val="lt-LT"/>
        </w:rPr>
        <w:t>plazmoje, dozę reikia koreguoti, kad plazmos oksipurinolio koncentracija būtų mažesnė nei 100</w:t>
      </w:r>
      <w:r w:rsidR="000A5826">
        <w:rPr>
          <w:lang w:val="lt-LT"/>
        </w:rPr>
        <w:t> </w:t>
      </w:r>
      <w:r w:rsidRPr="003E78EA">
        <w:rPr>
          <w:lang w:val="lt-LT"/>
        </w:rPr>
        <w:t>μmol/l (15,2</w:t>
      </w:r>
      <w:r w:rsidR="000A5826">
        <w:rPr>
          <w:lang w:val="lt-LT"/>
        </w:rPr>
        <w:t> </w:t>
      </w:r>
      <w:r w:rsidRPr="003E78EA">
        <w:rPr>
          <w:lang w:val="lt-LT"/>
        </w:rPr>
        <w:t>mg/l).</w:t>
      </w:r>
    </w:p>
    <w:p w14:paraId="76F253F6" w14:textId="77777777" w:rsidR="00710393" w:rsidRPr="003E78EA" w:rsidRDefault="00710393" w:rsidP="00710393">
      <w:pPr>
        <w:rPr>
          <w:lang w:val="lt-LT"/>
        </w:rPr>
      </w:pPr>
    </w:p>
    <w:p w14:paraId="498C0D56" w14:textId="459F7C6B" w:rsidR="00710393" w:rsidRPr="003E78EA" w:rsidRDefault="00710393" w:rsidP="00710393">
      <w:pPr>
        <w:rPr>
          <w:lang w:val="lt-LT"/>
        </w:rPr>
      </w:pPr>
      <w:r w:rsidRPr="003E78EA">
        <w:rPr>
          <w:lang w:val="lt-LT"/>
        </w:rPr>
        <w:lastRenderedPageBreak/>
        <w:t xml:space="preserve">Alopurinolis ir jo metabolitai pašalinami inkstų dializės metu. Jei dializė reikalinga du ar tris kartus per savaitę, reikia apsvarstyti alternatyvų dozavimo tvarkaraštį, kurio metu nedelsiant po kiekvienos dializės </w:t>
      </w:r>
      <w:r w:rsidR="0036592C" w:rsidRPr="003E78EA">
        <w:rPr>
          <w:lang w:val="lt-LT"/>
        </w:rPr>
        <w:t xml:space="preserve">būtų </w:t>
      </w:r>
      <w:r w:rsidRPr="003E78EA">
        <w:rPr>
          <w:lang w:val="lt-LT"/>
        </w:rPr>
        <w:t>suvartojama 300–400</w:t>
      </w:r>
      <w:r w:rsidR="000A5826">
        <w:rPr>
          <w:lang w:val="lt-LT"/>
        </w:rPr>
        <w:t> </w:t>
      </w:r>
      <w:r w:rsidRPr="003E78EA">
        <w:rPr>
          <w:lang w:val="lt-LT"/>
        </w:rPr>
        <w:t>mg alopurinolio ir nevartojama kitu laiku.</w:t>
      </w:r>
    </w:p>
    <w:p w14:paraId="1CE87795" w14:textId="77777777" w:rsidR="00710393" w:rsidRPr="003E78EA" w:rsidRDefault="00710393" w:rsidP="00710393">
      <w:pPr>
        <w:rPr>
          <w:lang w:val="lt-LT"/>
        </w:rPr>
      </w:pPr>
    </w:p>
    <w:p w14:paraId="1D4052B7" w14:textId="74F660B9" w:rsidR="00710393" w:rsidRPr="003E78EA" w:rsidRDefault="005D272D" w:rsidP="00710393">
      <w:pPr>
        <w:rPr>
          <w:i/>
          <w:lang w:val="lt-LT"/>
        </w:rPr>
      </w:pPr>
      <w:r w:rsidRPr="003E78EA">
        <w:rPr>
          <w:i/>
          <w:lang w:val="lt-LT"/>
        </w:rPr>
        <w:t>Pacientams, kurių k</w:t>
      </w:r>
      <w:r w:rsidR="00710393" w:rsidRPr="003E78EA">
        <w:rPr>
          <w:i/>
          <w:lang w:val="lt-LT"/>
        </w:rPr>
        <w:t>epenų funkcij</w:t>
      </w:r>
      <w:r w:rsidRPr="003E78EA">
        <w:rPr>
          <w:i/>
          <w:lang w:val="lt-LT"/>
        </w:rPr>
        <w:t>a</w:t>
      </w:r>
      <w:r w:rsidR="00710393" w:rsidRPr="003E78EA">
        <w:rPr>
          <w:i/>
          <w:lang w:val="lt-LT"/>
        </w:rPr>
        <w:t xml:space="preserve"> sutrik</w:t>
      </w:r>
      <w:r w:rsidRPr="003E78EA">
        <w:rPr>
          <w:i/>
          <w:lang w:val="lt-LT"/>
        </w:rPr>
        <w:t>us</w:t>
      </w:r>
      <w:r w:rsidR="00710393" w:rsidRPr="003E78EA">
        <w:rPr>
          <w:i/>
          <w:lang w:val="lt-LT"/>
        </w:rPr>
        <w:t>i</w:t>
      </w:r>
    </w:p>
    <w:p w14:paraId="47B20A2D" w14:textId="77777777" w:rsidR="00710393" w:rsidRPr="003E78EA" w:rsidRDefault="00710393" w:rsidP="00710393">
      <w:pPr>
        <w:rPr>
          <w:lang w:val="lt-LT"/>
        </w:rPr>
      </w:pPr>
    </w:p>
    <w:p w14:paraId="143D3612" w14:textId="77777777" w:rsidR="00710393" w:rsidRPr="003E78EA" w:rsidRDefault="00710393" w:rsidP="00710393">
      <w:pPr>
        <w:rPr>
          <w:lang w:val="lt-LT"/>
        </w:rPr>
      </w:pPr>
      <w:r w:rsidRPr="003E78EA">
        <w:rPr>
          <w:lang w:val="lt-LT"/>
        </w:rPr>
        <w:t>Pacientams, kurių kepenų funkcija sutrikusi, turi būti skiriamos mažesnės dozės. Ankstyvojo gydymo etapų metu rekomenduojami periodiniai kepenų funkcijos tyrimai.</w:t>
      </w:r>
    </w:p>
    <w:p w14:paraId="0B4FFC3A" w14:textId="77777777" w:rsidR="00710393" w:rsidRPr="003E78EA" w:rsidRDefault="00710393" w:rsidP="00710393">
      <w:pPr>
        <w:rPr>
          <w:lang w:val="lt-LT"/>
        </w:rPr>
      </w:pPr>
    </w:p>
    <w:p w14:paraId="168BEC94" w14:textId="5DC08D8D" w:rsidR="00710393" w:rsidRPr="003E78EA" w:rsidRDefault="00710393" w:rsidP="00710393">
      <w:pPr>
        <w:rPr>
          <w:i/>
          <w:lang w:val="lt-LT"/>
        </w:rPr>
      </w:pPr>
      <w:r w:rsidRPr="003E78EA">
        <w:rPr>
          <w:i/>
          <w:lang w:val="lt-LT"/>
        </w:rPr>
        <w:t xml:space="preserve">Didelės </w:t>
      </w:r>
      <w:r w:rsidR="00053953" w:rsidRPr="003E78EA">
        <w:rPr>
          <w:i/>
          <w:lang w:val="lt-LT"/>
        </w:rPr>
        <w:t>uratų</w:t>
      </w:r>
      <w:r w:rsidRPr="003E78EA">
        <w:rPr>
          <w:i/>
          <w:lang w:val="lt-LT"/>
        </w:rPr>
        <w:t xml:space="preserve"> kaitos gydymas, pvz., neoplazija, Lešo-</w:t>
      </w:r>
      <w:r w:rsidR="000820B4" w:rsidRPr="003E78EA">
        <w:rPr>
          <w:i/>
          <w:lang w:val="lt-LT"/>
        </w:rPr>
        <w:t>Nyhano (Lesch-Nyhan)</w:t>
      </w:r>
      <w:r w:rsidRPr="003E78EA">
        <w:rPr>
          <w:i/>
          <w:lang w:val="lt-LT"/>
        </w:rPr>
        <w:t xml:space="preserve"> sindromas</w:t>
      </w:r>
    </w:p>
    <w:p w14:paraId="10FFA364" w14:textId="77777777" w:rsidR="00710393" w:rsidRPr="003E78EA" w:rsidRDefault="00710393" w:rsidP="00710393">
      <w:pPr>
        <w:rPr>
          <w:lang w:val="lt-LT"/>
        </w:rPr>
      </w:pPr>
    </w:p>
    <w:p w14:paraId="3A2BDA97" w14:textId="77777777" w:rsidR="00710393" w:rsidRPr="003E78EA" w:rsidRDefault="00710393" w:rsidP="00710393">
      <w:pPr>
        <w:rPr>
          <w:lang w:val="lt-LT"/>
        </w:rPr>
      </w:pPr>
      <w:r w:rsidRPr="003E78EA">
        <w:rPr>
          <w:lang w:val="lt-LT"/>
        </w:rPr>
        <w:t>Alopurinolio dozės turi palaikyti mažiausią rekomenduojamo dozavimo tvarkaraščio kiekį.</w:t>
      </w:r>
    </w:p>
    <w:p w14:paraId="3F6DB397" w14:textId="77777777" w:rsidR="00710393" w:rsidRPr="003E78EA" w:rsidRDefault="00710393" w:rsidP="00710393">
      <w:pPr>
        <w:rPr>
          <w:lang w:val="lt-LT"/>
        </w:rPr>
      </w:pPr>
    </w:p>
    <w:p w14:paraId="6E8F6E6F" w14:textId="4060C35E" w:rsidR="00710393" w:rsidRPr="003E78EA" w:rsidRDefault="00710393" w:rsidP="00710393">
      <w:pPr>
        <w:rPr>
          <w:lang w:val="lt-LT"/>
        </w:rPr>
      </w:pPr>
      <w:r w:rsidRPr="003E78EA">
        <w:rPr>
          <w:lang w:val="lt-LT"/>
        </w:rPr>
        <w:t xml:space="preserve">Jei </w:t>
      </w:r>
      <w:r w:rsidR="00053953" w:rsidRPr="003E78EA">
        <w:rPr>
          <w:lang w:val="lt-LT"/>
        </w:rPr>
        <w:t>uratų</w:t>
      </w:r>
      <w:r w:rsidRPr="003E78EA">
        <w:rPr>
          <w:lang w:val="lt-LT"/>
        </w:rPr>
        <w:t xml:space="preserve"> nefropatija ar kita patologija pakenkė inkstų funkcijai, turėtų būti laikomasi rekomendacijų, pateiktų 4.2 skyr</w:t>
      </w:r>
      <w:r w:rsidR="00751447" w:rsidRPr="003E78EA">
        <w:rPr>
          <w:lang w:val="lt-LT"/>
        </w:rPr>
        <w:t>iaus poskyryje</w:t>
      </w:r>
      <w:r w:rsidR="00A1046F" w:rsidRPr="003E78EA">
        <w:rPr>
          <w:lang w:val="lt-LT"/>
        </w:rPr>
        <w:t xml:space="preserve"> </w:t>
      </w:r>
      <w:r w:rsidR="000A5826" w:rsidRPr="003E78EA">
        <w:rPr>
          <w:i/>
          <w:lang w:val="lt-LT"/>
        </w:rPr>
        <w:t>„</w:t>
      </w:r>
      <w:r w:rsidR="00A1046F" w:rsidRPr="003E78EA">
        <w:rPr>
          <w:i/>
          <w:lang w:val="lt-LT"/>
        </w:rPr>
        <w:t xml:space="preserve">Pacientams, kurių inkstų </w:t>
      </w:r>
      <w:r w:rsidR="00A1046F" w:rsidRPr="000A5826">
        <w:rPr>
          <w:i/>
          <w:lang w:val="lt-LT"/>
        </w:rPr>
        <w:t>fu</w:t>
      </w:r>
      <w:r w:rsidR="00B80D14">
        <w:rPr>
          <w:i/>
          <w:lang w:val="lt-LT"/>
        </w:rPr>
        <w:t>n</w:t>
      </w:r>
      <w:r w:rsidR="00A1046F" w:rsidRPr="000A5826">
        <w:rPr>
          <w:i/>
          <w:lang w:val="lt-LT"/>
        </w:rPr>
        <w:t>kcija</w:t>
      </w:r>
      <w:r w:rsidR="00A1046F" w:rsidRPr="003E78EA">
        <w:rPr>
          <w:i/>
          <w:lang w:val="lt-LT"/>
        </w:rPr>
        <w:t xml:space="preserve"> sutrikusi</w:t>
      </w:r>
      <w:r w:rsidR="000A5826">
        <w:rPr>
          <w:i/>
          <w:lang w:val="lt-LT"/>
        </w:rPr>
        <w:t>“</w:t>
      </w:r>
      <w:r w:rsidRPr="000A5826">
        <w:rPr>
          <w:lang w:val="lt-LT"/>
        </w:rPr>
        <w:t>.</w:t>
      </w:r>
    </w:p>
    <w:p w14:paraId="0F8C9C93" w14:textId="77777777" w:rsidR="00710393" w:rsidRPr="003E78EA" w:rsidRDefault="00710393" w:rsidP="00710393">
      <w:pPr>
        <w:rPr>
          <w:lang w:val="lt-LT"/>
        </w:rPr>
      </w:pPr>
    </w:p>
    <w:p w14:paraId="205F7DCF" w14:textId="77777777" w:rsidR="00710393" w:rsidRPr="003E78EA" w:rsidRDefault="00710393" w:rsidP="00710393">
      <w:pPr>
        <w:rPr>
          <w:lang w:val="lt-LT"/>
        </w:rPr>
      </w:pPr>
      <w:r w:rsidRPr="003E78EA">
        <w:rPr>
          <w:lang w:val="lt-LT"/>
        </w:rPr>
        <w:t>Šie žingsniai gali sumažinti ksantino ir (arba) oksipurinolio susidarymo riziką, kuri apsunkina klinikinę situaciją. Taip pat žr. 4.5 ir 4.8 skyrius.</w:t>
      </w:r>
    </w:p>
    <w:p w14:paraId="0A6A2FD7" w14:textId="77777777" w:rsidR="00710393" w:rsidRPr="003E78EA" w:rsidRDefault="00710393" w:rsidP="00710393">
      <w:pPr>
        <w:rPr>
          <w:lang w:val="lt-LT"/>
        </w:rPr>
      </w:pPr>
    </w:p>
    <w:p w14:paraId="26BA0314" w14:textId="77777777" w:rsidR="00710393" w:rsidRPr="003E78EA" w:rsidRDefault="00710393" w:rsidP="00710393">
      <w:pPr>
        <w:rPr>
          <w:lang w:val="lt-LT"/>
        </w:rPr>
      </w:pPr>
    </w:p>
    <w:p w14:paraId="4914E40A" w14:textId="77777777" w:rsidR="00710393" w:rsidRPr="003E78EA" w:rsidRDefault="00710393" w:rsidP="00710393">
      <w:pPr>
        <w:rPr>
          <w:i/>
          <w:lang w:val="lt-LT"/>
        </w:rPr>
      </w:pPr>
      <w:r w:rsidRPr="003E78EA">
        <w:rPr>
          <w:i/>
          <w:lang w:val="lt-LT"/>
        </w:rPr>
        <w:t>Vaikų populiacija</w:t>
      </w:r>
    </w:p>
    <w:p w14:paraId="417D424D" w14:textId="77777777" w:rsidR="00710393" w:rsidRPr="003E78EA" w:rsidRDefault="00710393" w:rsidP="00710393">
      <w:pPr>
        <w:rPr>
          <w:u w:val="single"/>
          <w:lang w:val="lt-LT"/>
        </w:rPr>
      </w:pPr>
    </w:p>
    <w:p w14:paraId="7D6568AC" w14:textId="6C266C6D" w:rsidR="00710393" w:rsidRPr="003E78EA" w:rsidRDefault="00710393" w:rsidP="00710393">
      <w:pPr>
        <w:rPr>
          <w:lang w:val="lt-LT"/>
        </w:rPr>
      </w:pPr>
      <w:r w:rsidRPr="003E78EA">
        <w:rPr>
          <w:lang w:val="lt-LT"/>
        </w:rPr>
        <w:t>Vaikams ir paaugliams iki 15 metų: nuo 10 iki 20</w:t>
      </w:r>
      <w:r w:rsidR="000A5826">
        <w:rPr>
          <w:lang w:val="lt-LT"/>
        </w:rPr>
        <w:t> </w:t>
      </w:r>
      <w:r w:rsidRPr="003E78EA">
        <w:rPr>
          <w:lang w:val="lt-LT"/>
        </w:rPr>
        <w:t>mg vienam kilogramui kūno svorio per dieną, daugiausiai 400</w:t>
      </w:r>
      <w:r w:rsidR="000A5826">
        <w:rPr>
          <w:lang w:val="lt-LT"/>
        </w:rPr>
        <w:t> </w:t>
      </w:r>
      <w:r w:rsidRPr="003E78EA">
        <w:rPr>
          <w:lang w:val="lt-LT"/>
        </w:rPr>
        <w:t>mg per parą, padalijus į tris dozes. Retai paskiriamas vaikams, išskyrus esant kai kurioms piktybinėms būklėms (ypač leukemijai) ir tam tikriems fermentų sutrikimams, pavyzdžiui, Lešo-</w:t>
      </w:r>
      <w:r w:rsidR="00575661" w:rsidRPr="003E78EA">
        <w:rPr>
          <w:lang w:val="lt-LT"/>
        </w:rPr>
        <w:t>Nyhano (</w:t>
      </w:r>
      <w:r w:rsidR="00575661" w:rsidRPr="003E78EA">
        <w:rPr>
          <w:i/>
          <w:lang w:val="lt-LT"/>
        </w:rPr>
        <w:t>Lesch-Nyhan</w:t>
      </w:r>
      <w:r w:rsidR="00575661" w:rsidRPr="003E78EA">
        <w:rPr>
          <w:lang w:val="lt-LT"/>
        </w:rPr>
        <w:t>)</w:t>
      </w:r>
      <w:r w:rsidR="00575661" w:rsidRPr="003E78EA">
        <w:rPr>
          <w:i/>
          <w:lang w:val="lt-LT"/>
        </w:rPr>
        <w:t xml:space="preserve"> </w:t>
      </w:r>
      <w:r w:rsidRPr="003E78EA">
        <w:rPr>
          <w:lang w:val="lt-LT"/>
        </w:rPr>
        <w:t>sindromui.</w:t>
      </w:r>
    </w:p>
    <w:p w14:paraId="366D937C" w14:textId="77777777" w:rsidR="00710393" w:rsidRPr="003E78EA" w:rsidRDefault="00710393" w:rsidP="00710393">
      <w:pPr>
        <w:rPr>
          <w:lang w:val="lt-LT"/>
        </w:rPr>
      </w:pPr>
    </w:p>
    <w:p w14:paraId="24BFBF69" w14:textId="77777777" w:rsidR="00710393" w:rsidRPr="003E78EA" w:rsidRDefault="00710393" w:rsidP="00710393">
      <w:pPr>
        <w:rPr>
          <w:u w:val="single"/>
          <w:lang w:val="lt-LT"/>
        </w:rPr>
      </w:pPr>
      <w:r w:rsidRPr="003E78EA">
        <w:rPr>
          <w:u w:val="single"/>
          <w:lang w:val="lt-LT"/>
        </w:rPr>
        <w:t xml:space="preserve">Vartojimo metodas </w:t>
      </w:r>
    </w:p>
    <w:p w14:paraId="6B1EDDEF" w14:textId="77777777" w:rsidR="00710393" w:rsidRPr="003E78EA" w:rsidRDefault="00710393" w:rsidP="00710393">
      <w:pPr>
        <w:rPr>
          <w:lang w:val="lt-LT"/>
        </w:rPr>
      </w:pPr>
    </w:p>
    <w:p w14:paraId="1A34FBE8" w14:textId="77777777" w:rsidR="00710393" w:rsidRPr="003E78EA" w:rsidRDefault="00710393" w:rsidP="00710393">
      <w:pPr>
        <w:rPr>
          <w:sz w:val="24"/>
          <w:lang w:val="lt-LT"/>
        </w:rPr>
      </w:pPr>
      <w:r w:rsidRPr="003E78EA">
        <w:rPr>
          <w:color w:val="0D0D0D"/>
          <w:lang w:val="lt-LT"/>
        </w:rPr>
        <w:t xml:space="preserve">Allopurinol Accord skirtas vartoti per burną. </w:t>
      </w:r>
    </w:p>
    <w:p w14:paraId="7DB0C446" w14:textId="77777777" w:rsidR="00710393" w:rsidRPr="003E78EA" w:rsidRDefault="00710393" w:rsidP="00710393">
      <w:pPr>
        <w:rPr>
          <w:color w:val="0D0D0D"/>
          <w:lang w:val="lt-LT"/>
        </w:rPr>
      </w:pPr>
      <w:r w:rsidRPr="003E78EA">
        <w:rPr>
          <w:color w:val="0D0D0D"/>
          <w:lang w:val="lt-LT"/>
        </w:rPr>
        <w:t>Tabletes rekomenduojama vartoti per burną po valgio, kad padidėtų skrandžio ir žarnyno toleravimas</w:t>
      </w:r>
    </w:p>
    <w:p w14:paraId="0166BF33" w14:textId="3E14C64F" w:rsidR="00710393" w:rsidRPr="003E78EA" w:rsidRDefault="00710393" w:rsidP="00710393">
      <w:pPr>
        <w:rPr>
          <w:lang w:val="lt-LT"/>
        </w:rPr>
      </w:pPr>
      <w:r w:rsidRPr="003E78EA">
        <w:rPr>
          <w:lang w:val="lt-LT"/>
        </w:rPr>
        <w:t>Jei paros dozė viršija 300</w:t>
      </w:r>
      <w:r w:rsidR="000A5826">
        <w:rPr>
          <w:lang w:val="lt-LT"/>
        </w:rPr>
        <w:t> </w:t>
      </w:r>
      <w:r w:rsidRPr="003E78EA">
        <w:rPr>
          <w:lang w:val="lt-LT"/>
        </w:rPr>
        <w:t>mg, gali būti tikslinga paskirstyti dozę (žr. dozavimą).</w:t>
      </w:r>
    </w:p>
    <w:p w14:paraId="5DC1AE1D" w14:textId="77777777" w:rsidR="00710393" w:rsidRPr="003E78EA" w:rsidRDefault="00710393" w:rsidP="00710393">
      <w:pPr>
        <w:rPr>
          <w:b/>
          <w:lang w:val="lt-LT"/>
        </w:rPr>
      </w:pPr>
    </w:p>
    <w:p w14:paraId="6A417D47" w14:textId="77777777" w:rsidR="00710393" w:rsidRPr="003E78EA" w:rsidRDefault="00710393" w:rsidP="00710393">
      <w:pPr>
        <w:ind w:left="567" w:hanging="567"/>
        <w:rPr>
          <w:lang w:val="lt-LT"/>
        </w:rPr>
      </w:pPr>
      <w:r w:rsidRPr="003E78EA">
        <w:rPr>
          <w:b/>
          <w:lang w:val="lt-LT"/>
        </w:rPr>
        <w:t>4.3</w:t>
      </w:r>
      <w:r w:rsidRPr="003E78EA">
        <w:rPr>
          <w:b/>
          <w:lang w:val="lt-LT"/>
        </w:rPr>
        <w:tab/>
        <w:t>Kontraindikacijos</w:t>
      </w:r>
    </w:p>
    <w:p w14:paraId="6D7003ED" w14:textId="77777777" w:rsidR="00710393" w:rsidRPr="003E78EA" w:rsidRDefault="00710393" w:rsidP="00710393">
      <w:pPr>
        <w:rPr>
          <w:lang w:val="lt-LT"/>
        </w:rPr>
      </w:pPr>
    </w:p>
    <w:p w14:paraId="7D5393F4" w14:textId="030E18B6" w:rsidR="00710393" w:rsidRPr="003E78EA" w:rsidRDefault="00710393" w:rsidP="00710393">
      <w:pPr>
        <w:rPr>
          <w:lang w:val="lt-LT"/>
        </w:rPr>
      </w:pPr>
      <w:r w:rsidRPr="003E78EA">
        <w:rPr>
          <w:lang w:val="lt-LT"/>
        </w:rPr>
        <w:t xml:space="preserve">Padidėjęs jautrumas veikliajai arba bet kuriai 6.1 skyriuje nurodytai pagalbinei medžiagai </w:t>
      </w:r>
    </w:p>
    <w:p w14:paraId="0A5FF766" w14:textId="77777777" w:rsidR="00710393" w:rsidRPr="003E78EA" w:rsidRDefault="00710393" w:rsidP="00710393">
      <w:pPr>
        <w:ind w:left="567" w:hanging="567"/>
        <w:rPr>
          <w:b/>
          <w:lang w:val="lt-LT"/>
        </w:rPr>
      </w:pPr>
    </w:p>
    <w:p w14:paraId="1EA2ABFE" w14:textId="77777777" w:rsidR="00710393" w:rsidRPr="003E78EA" w:rsidRDefault="00710393" w:rsidP="00710393">
      <w:pPr>
        <w:ind w:left="567" w:hanging="567"/>
        <w:rPr>
          <w:b/>
          <w:lang w:val="lt-LT"/>
        </w:rPr>
      </w:pPr>
      <w:r w:rsidRPr="003E78EA">
        <w:rPr>
          <w:b/>
          <w:lang w:val="lt-LT"/>
        </w:rPr>
        <w:t>4.4</w:t>
      </w:r>
      <w:r w:rsidRPr="003E78EA">
        <w:rPr>
          <w:b/>
          <w:lang w:val="lt-LT"/>
        </w:rPr>
        <w:tab/>
        <w:t>Specialūs įspėjimai ir atsargumo priemonės</w:t>
      </w:r>
    </w:p>
    <w:p w14:paraId="61AD01FE" w14:textId="77777777" w:rsidR="00710393" w:rsidRPr="003E78EA" w:rsidRDefault="00710393" w:rsidP="00710393">
      <w:pPr>
        <w:ind w:left="567" w:hanging="567"/>
        <w:rPr>
          <w:lang w:val="lt-LT"/>
        </w:rPr>
      </w:pPr>
    </w:p>
    <w:p w14:paraId="45325B7E" w14:textId="77777777" w:rsidR="00710393" w:rsidRPr="003E78EA" w:rsidRDefault="00710393" w:rsidP="00710393">
      <w:pPr>
        <w:tabs>
          <w:tab w:val="left" w:pos="0"/>
        </w:tabs>
        <w:rPr>
          <w:i/>
          <w:lang w:val="lt-LT"/>
        </w:rPr>
      </w:pPr>
      <w:r w:rsidRPr="003E78EA">
        <w:rPr>
          <w:i/>
          <w:lang w:val="lt-LT"/>
        </w:rPr>
        <w:t>Padidėjusio jautrumo sindromas, Stivenso-Džonsono</w:t>
      </w:r>
      <w:r w:rsidR="003D3005" w:rsidRPr="003E78EA">
        <w:rPr>
          <w:i/>
          <w:lang w:val="lt-LT"/>
        </w:rPr>
        <w:t xml:space="preserve"> (Stevens-Johnson)</w:t>
      </w:r>
      <w:r w:rsidRPr="003E78EA">
        <w:rPr>
          <w:i/>
          <w:lang w:val="lt-LT"/>
        </w:rPr>
        <w:t xml:space="preserve"> sindromas (SJS) ir toksinė epidermio nekrolizė (TEN):</w:t>
      </w:r>
    </w:p>
    <w:p w14:paraId="37ECD208" w14:textId="77777777" w:rsidR="00710393" w:rsidRPr="003E78EA" w:rsidRDefault="00710393" w:rsidP="00710393">
      <w:pPr>
        <w:tabs>
          <w:tab w:val="left" w:pos="0"/>
        </w:tabs>
        <w:rPr>
          <w:i/>
          <w:lang w:val="lt-LT"/>
        </w:rPr>
      </w:pPr>
    </w:p>
    <w:p w14:paraId="13424DE8" w14:textId="6A16188E" w:rsidR="00710393" w:rsidRPr="003E78EA" w:rsidRDefault="00710393" w:rsidP="00710393">
      <w:pPr>
        <w:tabs>
          <w:tab w:val="left" w:pos="0"/>
        </w:tabs>
        <w:rPr>
          <w:lang w:val="lt-LT"/>
        </w:rPr>
      </w:pPr>
      <w:r w:rsidRPr="003E78EA">
        <w:rPr>
          <w:lang w:val="lt-LT"/>
        </w:rPr>
        <w:t xml:space="preserve">Padidėjusio jautrumo reakcijos į alopurinolį gali pasireikšti įvairiais būdais, įskaitant makulopapulinę </w:t>
      </w:r>
      <w:r w:rsidRPr="000A5826">
        <w:rPr>
          <w:lang w:val="lt-LT"/>
        </w:rPr>
        <w:t>e</w:t>
      </w:r>
      <w:r w:rsidR="00B80D14">
        <w:rPr>
          <w:lang w:val="lt-LT"/>
        </w:rPr>
        <w:t>gz</w:t>
      </w:r>
      <w:r w:rsidRPr="000A5826">
        <w:rPr>
          <w:lang w:val="lt-LT"/>
        </w:rPr>
        <w:t>antemą</w:t>
      </w:r>
      <w:r w:rsidRPr="003E78EA">
        <w:rPr>
          <w:lang w:val="lt-LT"/>
        </w:rPr>
        <w:t>, padidėjusio jautrumo sindromą (taip pat žinomą kaip DRESS) ir Stivenso-Džonsono</w:t>
      </w:r>
      <w:r w:rsidR="00415447" w:rsidRPr="003E78EA">
        <w:rPr>
          <w:lang w:val="lt-LT"/>
        </w:rPr>
        <w:t xml:space="preserve"> (</w:t>
      </w:r>
      <w:r w:rsidR="00415447" w:rsidRPr="003E78EA">
        <w:rPr>
          <w:i/>
          <w:lang w:val="lt-LT"/>
        </w:rPr>
        <w:t>Stevens-Johnson</w:t>
      </w:r>
      <w:r w:rsidR="00415447" w:rsidRPr="003E78EA">
        <w:rPr>
          <w:lang w:val="lt-LT"/>
        </w:rPr>
        <w:t>)</w:t>
      </w:r>
      <w:r w:rsidRPr="003E78EA">
        <w:rPr>
          <w:lang w:val="lt-LT"/>
        </w:rPr>
        <w:t xml:space="preserve"> sindromą (SJS) / toksinę epidermio nekrolizę (TEN). Šios reakcijos yra klinikinės diagnozės, o jų klinikiniai duomenys išlieka pagrindu priimant sprendimus. Jei tokios reakcijos pasireiškia bet kuriuo gydymo metu, </w:t>
      </w:r>
      <w:r w:rsidR="00415447" w:rsidRPr="003E78EA">
        <w:rPr>
          <w:lang w:val="lt-LT"/>
        </w:rPr>
        <w:t>a</w:t>
      </w:r>
      <w:r w:rsidRPr="003E78EA">
        <w:rPr>
          <w:lang w:val="lt-LT"/>
        </w:rPr>
        <w:t xml:space="preserve">lopurinolio vartojimas turi būti nedelsiant nutrauktas. Pacientams, sergantiems padidėjusio jautrumo sindromu ir SJS / TEN, neturėtų būti paskirtas pakartotinas vartojimas. Kortikosteroidai gali būti naudingi norint įveikti padidėjusio jautrumo odos reakcijas. (Žr. skyrių 4.8 </w:t>
      </w:r>
      <w:r w:rsidRPr="003E78EA">
        <w:rPr>
          <w:i/>
          <w:lang w:val="lt-LT"/>
        </w:rPr>
        <w:t>Nepageidaujamos poveikis – imuninės sistemos sutrikimai bei odos ir poodinio audinio sutrikimai).</w:t>
      </w:r>
    </w:p>
    <w:p w14:paraId="71B37E51" w14:textId="77777777" w:rsidR="00710393" w:rsidRPr="003E78EA" w:rsidRDefault="00710393" w:rsidP="00710393">
      <w:pPr>
        <w:tabs>
          <w:tab w:val="left" w:pos="0"/>
        </w:tabs>
        <w:rPr>
          <w:lang w:val="lt-LT"/>
        </w:rPr>
      </w:pPr>
    </w:p>
    <w:p w14:paraId="0E01DCBE" w14:textId="77777777" w:rsidR="00710393" w:rsidRPr="003E78EA" w:rsidRDefault="00710393" w:rsidP="00710393">
      <w:pPr>
        <w:tabs>
          <w:tab w:val="left" w:pos="0"/>
        </w:tabs>
        <w:rPr>
          <w:i/>
          <w:lang w:val="lt-LT"/>
        </w:rPr>
      </w:pPr>
      <w:r w:rsidRPr="003E78EA">
        <w:rPr>
          <w:i/>
          <w:lang w:val="lt-LT"/>
        </w:rPr>
        <w:t>HLA-B*5801 alelis:</w:t>
      </w:r>
    </w:p>
    <w:p w14:paraId="787E2D7A" w14:textId="77777777" w:rsidR="00710393" w:rsidRPr="003E78EA" w:rsidRDefault="00710393" w:rsidP="00710393">
      <w:pPr>
        <w:tabs>
          <w:tab w:val="left" w:pos="0"/>
        </w:tabs>
        <w:rPr>
          <w:i/>
          <w:lang w:val="lt-LT"/>
        </w:rPr>
      </w:pPr>
    </w:p>
    <w:p w14:paraId="1BA393F7" w14:textId="69A70D32" w:rsidR="00710393" w:rsidRPr="003E78EA" w:rsidRDefault="00710393" w:rsidP="00710393">
      <w:pPr>
        <w:tabs>
          <w:tab w:val="left" w:pos="0"/>
        </w:tabs>
        <w:rPr>
          <w:lang w:val="lt-LT"/>
        </w:rPr>
      </w:pPr>
      <w:r w:rsidRPr="003E78EA">
        <w:rPr>
          <w:lang w:val="lt-LT"/>
        </w:rPr>
        <w:t>Nustatyta, kad HLA-B*5801 alelis yra susijęs su padidėjusio jautrumo sindromo ir SJS / TEN išsivystymu, kurį lemia alopurinolis. HLA-B*5801 alelio dažnis labai skiriasi tarp etninių grupių: iki 20</w:t>
      </w:r>
      <w:r w:rsidR="00AB3630">
        <w:rPr>
          <w:lang w:val="lt-LT"/>
        </w:rPr>
        <w:t> </w:t>
      </w:r>
      <w:r w:rsidRPr="003E78EA">
        <w:rPr>
          <w:lang w:val="lt-LT"/>
        </w:rPr>
        <w:t>% Han kinų populiacijoje, 8–15</w:t>
      </w:r>
      <w:r w:rsidR="00AB3630">
        <w:rPr>
          <w:lang w:val="lt-LT"/>
        </w:rPr>
        <w:t> </w:t>
      </w:r>
      <w:r w:rsidRPr="003E78EA">
        <w:rPr>
          <w:lang w:val="lt-LT"/>
        </w:rPr>
        <w:t>% tarp Tailando gyventojų, apie 12</w:t>
      </w:r>
      <w:r w:rsidR="00AB3630">
        <w:rPr>
          <w:lang w:val="lt-LT"/>
        </w:rPr>
        <w:t> </w:t>
      </w:r>
      <w:r w:rsidRPr="003E78EA">
        <w:rPr>
          <w:lang w:val="lt-LT"/>
        </w:rPr>
        <w:t>% korėjiečių ir 1–2</w:t>
      </w:r>
      <w:r w:rsidR="00AB3630">
        <w:rPr>
          <w:lang w:val="lt-LT"/>
        </w:rPr>
        <w:t> </w:t>
      </w:r>
      <w:r w:rsidRPr="003E78EA">
        <w:rPr>
          <w:lang w:val="lt-LT"/>
        </w:rPr>
        <w:t xml:space="preserve">% tarp </w:t>
      </w:r>
      <w:r w:rsidRPr="003E78EA">
        <w:rPr>
          <w:lang w:val="lt-LT"/>
        </w:rPr>
        <w:lastRenderedPageBreak/>
        <w:t xml:space="preserve">japonų ir europiečių kilmės individų. Reikėtų apsvarstyti HLA-B*5801 alelio tyrimą pacientų pogrupiuose, kuriuose žinoma, kad šio alelio paplitimas yra didelis, prieš pradedant gydymą alopurinoliu. Lėtinė inkstų liga gali turėti papildomos rizikos šiems pacientams. Tuo atveju, jei HLA-B*5801 genotipų nustatymas nėra taikomas Han Kinijos, Tailando ar Korėjos kilmės pacientams, prieš pradedant gydymą turėtų būti kruopščiai įvertinta nauda, kuri turėtų būti didesnė negu galimas pavojus. Genotipų nustatymas nebuvo įsigalėjęs kitose pacientų populiacijose. Jei žinoma, kad pacientas yra HLA-B*5801 nešiotojas (ypač jei kilęs iš Han Kinijos, Tailando ar Korėjos), alopurinolis neturėtų būti pradėtas vartoti, nebent nėra kitų pagrįstų gydymo galimybių ir tikėtina nauda yra didesnė negu galimas pavojus. Būtinas papildomas budrumas dėl padidėjusio jautrumo sindromo ar SJS / TEN požymių ir pacientas turėtų būti informuotas apie būtinybę nedelsiant nutraukti gydymą pirmą kartą pasireiškus simptomams. </w:t>
      </w:r>
    </w:p>
    <w:p w14:paraId="6D701AE8" w14:textId="77777777" w:rsidR="00710393" w:rsidRPr="003E78EA" w:rsidRDefault="00710393" w:rsidP="00710393">
      <w:pPr>
        <w:tabs>
          <w:tab w:val="left" w:pos="0"/>
        </w:tabs>
        <w:rPr>
          <w:lang w:val="lt-LT"/>
        </w:rPr>
      </w:pPr>
    </w:p>
    <w:p w14:paraId="00C52E9F" w14:textId="77777777" w:rsidR="00710393" w:rsidRPr="003E78EA" w:rsidRDefault="00710393" w:rsidP="00710393">
      <w:pPr>
        <w:tabs>
          <w:tab w:val="left" w:pos="0"/>
        </w:tabs>
        <w:rPr>
          <w:lang w:val="lt-LT"/>
        </w:rPr>
      </w:pPr>
      <w:r w:rsidRPr="003E78EA">
        <w:rPr>
          <w:lang w:val="lt-LT"/>
        </w:rPr>
        <w:t>SJS / TEN gali vis tiek pasireikšti pacientams, kuriems nenustatytas HLA-B*5801 alelis, nepaisant jų etninės kilmės.</w:t>
      </w:r>
    </w:p>
    <w:p w14:paraId="279A3273" w14:textId="77777777" w:rsidR="00710393" w:rsidRPr="003E78EA" w:rsidRDefault="00710393" w:rsidP="00710393">
      <w:pPr>
        <w:tabs>
          <w:tab w:val="left" w:pos="0"/>
        </w:tabs>
        <w:rPr>
          <w:lang w:val="lt-LT"/>
        </w:rPr>
      </w:pPr>
    </w:p>
    <w:p w14:paraId="618E3174" w14:textId="48B23738" w:rsidR="00710393" w:rsidRPr="003E78EA" w:rsidRDefault="00710393" w:rsidP="00710393">
      <w:pPr>
        <w:tabs>
          <w:tab w:val="left" w:pos="0"/>
        </w:tabs>
        <w:rPr>
          <w:i/>
          <w:lang w:val="lt-LT"/>
        </w:rPr>
      </w:pPr>
      <w:r w:rsidRPr="003E78EA">
        <w:rPr>
          <w:i/>
          <w:lang w:val="lt-LT"/>
        </w:rPr>
        <w:t>Inkstų ar kepenų funkcijos sutrikimas</w:t>
      </w:r>
    </w:p>
    <w:p w14:paraId="270C2604" w14:textId="77777777" w:rsidR="00710393" w:rsidRPr="003E78EA" w:rsidRDefault="00710393" w:rsidP="00710393">
      <w:pPr>
        <w:tabs>
          <w:tab w:val="left" w:pos="0"/>
        </w:tabs>
        <w:rPr>
          <w:i/>
          <w:lang w:val="lt-LT"/>
        </w:rPr>
      </w:pPr>
    </w:p>
    <w:p w14:paraId="181B34C8" w14:textId="77777777" w:rsidR="00710393" w:rsidRPr="003E78EA" w:rsidRDefault="00710393" w:rsidP="00710393">
      <w:pPr>
        <w:tabs>
          <w:tab w:val="left" w:pos="0"/>
        </w:tabs>
        <w:rPr>
          <w:lang w:val="lt-LT"/>
        </w:rPr>
      </w:pPr>
      <w:r w:rsidRPr="003E78EA">
        <w:rPr>
          <w:lang w:val="lt-LT"/>
        </w:rPr>
        <w:t>Pacientams, kurių kepenų ar inkstų funkcija sutrikusi, turi būti skiriamos mažesnės dozės. Pacientams, gydomiems nuo hipertenzijos ar širdies nepakankamumo, pvz., diuretikais ar AKF inhibitoriais, gali kartu šiek tiek sutrikti inkstų funkcija ir šioje pacientų grupėje alopurinolis turi būti vartojamas atsargiai.</w:t>
      </w:r>
    </w:p>
    <w:p w14:paraId="66C4A183" w14:textId="77777777" w:rsidR="00710393" w:rsidRPr="003E78EA" w:rsidRDefault="00710393" w:rsidP="00710393">
      <w:pPr>
        <w:tabs>
          <w:tab w:val="left" w:pos="0"/>
        </w:tabs>
        <w:rPr>
          <w:lang w:val="lt-LT"/>
        </w:rPr>
      </w:pPr>
    </w:p>
    <w:p w14:paraId="20751C06" w14:textId="1A3C7AE3" w:rsidR="00710393" w:rsidRPr="003E78EA" w:rsidRDefault="00710393" w:rsidP="00710393">
      <w:pPr>
        <w:tabs>
          <w:tab w:val="left" w:pos="0"/>
        </w:tabs>
        <w:rPr>
          <w:lang w:val="lt-LT"/>
        </w:rPr>
      </w:pPr>
      <w:r w:rsidRPr="003E78EA">
        <w:rPr>
          <w:lang w:val="lt-LT"/>
        </w:rPr>
        <w:t xml:space="preserve">Patartina koreguoti esamą hiperurikemiją ir (arba) hiperurikozuriją su Allopurinol Accord prieš pradedant citotoksinį gydymą. Svarbu užtikrinti tinkamą hidrataciją, siekiant išlaikyti optimalią diurezę ir bandant šarminti šlapimą, kad padidėtų </w:t>
      </w:r>
      <w:r w:rsidR="00053953" w:rsidRPr="003E78EA">
        <w:rPr>
          <w:lang w:val="lt-LT"/>
        </w:rPr>
        <w:t>uratų</w:t>
      </w:r>
      <w:r w:rsidRPr="003E78EA">
        <w:rPr>
          <w:lang w:val="lt-LT"/>
        </w:rPr>
        <w:t xml:space="preserve"> / šlapimo rūgšties tirpumas.</w:t>
      </w:r>
    </w:p>
    <w:p w14:paraId="47C0C834" w14:textId="77777777" w:rsidR="00710393" w:rsidRPr="003E78EA" w:rsidRDefault="00710393" w:rsidP="00710393">
      <w:pPr>
        <w:tabs>
          <w:tab w:val="left" w:pos="0"/>
        </w:tabs>
        <w:rPr>
          <w:lang w:val="lt-LT"/>
        </w:rPr>
      </w:pPr>
    </w:p>
    <w:p w14:paraId="49CD4B4E" w14:textId="77777777" w:rsidR="00710393" w:rsidRPr="003E78EA" w:rsidRDefault="00710393" w:rsidP="00710393">
      <w:pPr>
        <w:tabs>
          <w:tab w:val="left" w:pos="0"/>
        </w:tabs>
        <w:rPr>
          <w:lang w:val="lt-LT"/>
        </w:rPr>
      </w:pPr>
      <w:r w:rsidRPr="003E78EA">
        <w:rPr>
          <w:lang w:val="lt-LT"/>
        </w:rPr>
        <w:t>Lėtinis inkstų nepakankamumas ir kartu vartojamas diuretikas, ypač tiazidai, buvo susieti su padidėjusia alopurinolio keliamų SJS / TEN rizika ir kitomis sunkiomis padidėjusio jautrumo reakcijomis.</w:t>
      </w:r>
    </w:p>
    <w:p w14:paraId="63CED610" w14:textId="77777777" w:rsidR="00AB3630" w:rsidRDefault="00AB3630" w:rsidP="00710393">
      <w:pPr>
        <w:tabs>
          <w:tab w:val="left" w:pos="0"/>
        </w:tabs>
        <w:rPr>
          <w:i/>
          <w:lang w:val="lt-LT"/>
        </w:rPr>
      </w:pPr>
    </w:p>
    <w:p w14:paraId="10F6FEC7" w14:textId="77FD3A14" w:rsidR="00710393" w:rsidRPr="003E78EA" w:rsidRDefault="00710393" w:rsidP="00710393">
      <w:pPr>
        <w:tabs>
          <w:tab w:val="left" w:pos="0"/>
        </w:tabs>
        <w:rPr>
          <w:i/>
          <w:lang w:val="lt-LT"/>
        </w:rPr>
      </w:pPr>
      <w:r w:rsidRPr="003E78EA">
        <w:rPr>
          <w:i/>
          <w:lang w:val="lt-LT"/>
        </w:rPr>
        <w:t>Asimptominė hiperurikemija</w:t>
      </w:r>
    </w:p>
    <w:p w14:paraId="6E98DF66" w14:textId="77777777" w:rsidR="00710393" w:rsidRPr="003E78EA" w:rsidRDefault="00710393" w:rsidP="00710393">
      <w:pPr>
        <w:tabs>
          <w:tab w:val="left" w:pos="0"/>
        </w:tabs>
        <w:rPr>
          <w:i/>
          <w:lang w:val="lt-LT"/>
        </w:rPr>
      </w:pPr>
    </w:p>
    <w:p w14:paraId="79BF345A" w14:textId="77777777" w:rsidR="00710393" w:rsidRPr="003E78EA" w:rsidRDefault="00710393" w:rsidP="00710393">
      <w:pPr>
        <w:tabs>
          <w:tab w:val="left" w:pos="0"/>
        </w:tabs>
        <w:rPr>
          <w:lang w:val="lt-LT"/>
        </w:rPr>
      </w:pPr>
      <w:r w:rsidRPr="003E78EA">
        <w:rPr>
          <w:lang w:val="lt-LT"/>
        </w:rPr>
        <w:t>Pati asimptominė hiperurikemija paprastai nėra laikoma indikacija vartoti alopurinolį. Skysčių ir mitybos pakeitimai, paremti pagrindine priežastimi, gali pakoreguoti būklę.</w:t>
      </w:r>
    </w:p>
    <w:p w14:paraId="37485AE7" w14:textId="77777777" w:rsidR="00710393" w:rsidRPr="003E78EA" w:rsidRDefault="00710393" w:rsidP="00710393">
      <w:pPr>
        <w:tabs>
          <w:tab w:val="left" w:pos="0"/>
        </w:tabs>
        <w:rPr>
          <w:lang w:val="lt-LT"/>
        </w:rPr>
      </w:pPr>
    </w:p>
    <w:p w14:paraId="6DD433A5" w14:textId="48AA1032" w:rsidR="00710393" w:rsidRPr="003E78EA" w:rsidRDefault="00710393" w:rsidP="00710393">
      <w:pPr>
        <w:tabs>
          <w:tab w:val="left" w:pos="0"/>
        </w:tabs>
        <w:rPr>
          <w:i/>
          <w:lang w:val="lt-LT"/>
        </w:rPr>
      </w:pPr>
      <w:r w:rsidRPr="003E78EA">
        <w:rPr>
          <w:i/>
          <w:lang w:val="lt-LT"/>
        </w:rPr>
        <w:t>Ūmūs podagros priepuoliai</w:t>
      </w:r>
    </w:p>
    <w:p w14:paraId="00CE3815" w14:textId="77777777" w:rsidR="00710393" w:rsidRPr="003E78EA" w:rsidRDefault="00710393" w:rsidP="00710393">
      <w:pPr>
        <w:tabs>
          <w:tab w:val="left" w:pos="0"/>
        </w:tabs>
        <w:rPr>
          <w:i/>
          <w:lang w:val="lt-LT"/>
        </w:rPr>
      </w:pPr>
    </w:p>
    <w:p w14:paraId="024A29EA" w14:textId="77777777" w:rsidR="00710393" w:rsidRPr="003E78EA" w:rsidRDefault="00710393" w:rsidP="00710393">
      <w:pPr>
        <w:tabs>
          <w:tab w:val="left" w:pos="0"/>
        </w:tabs>
        <w:rPr>
          <w:lang w:val="lt-LT"/>
        </w:rPr>
      </w:pPr>
      <w:r w:rsidRPr="003E78EA">
        <w:rPr>
          <w:lang w:val="lt-LT"/>
        </w:rPr>
        <w:t xml:space="preserve">Gydymas alopurinoliu turėtų būti pradėtas tik visiškai nuslūgus ūmiam podagros priepuoliui, nes priešingu atveju gali įvykti papildomų priepuolių. </w:t>
      </w:r>
    </w:p>
    <w:p w14:paraId="7236B6E5" w14:textId="77777777" w:rsidR="00710393" w:rsidRPr="003E78EA" w:rsidRDefault="00710393" w:rsidP="00710393">
      <w:pPr>
        <w:tabs>
          <w:tab w:val="left" w:pos="0"/>
        </w:tabs>
        <w:rPr>
          <w:lang w:val="lt-LT"/>
        </w:rPr>
      </w:pPr>
    </w:p>
    <w:p w14:paraId="38136012" w14:textId="6825D7EB" w:rsidR="00710393" w:rsidRPr="003E78EA" w:rsidRDefault="00710393" w:rsidP="00710393">
      <w:pPr>
        <w:tabs>
          <w:tab w:val="left" w:pos="0"/>
        </w:tabs>
        <w:rPr>
          <w:lang w:val="lt-LT"/>
        </w:rPr>
      </w:pPr>
      <w:r w:rsidRPr="003E78EA">
        <w:rPr>
          <w:lang w:val="lt-LT"/>
        </w:rPr>
        <w:t>Ankstyvosiose gydymo alopurinoliu stadijose</w:t>
      </w:r>
      <w:r w:rsidR="00F05024">
        <w:rPr>
          <w:lang w:val="lt-LT"/>
        </w:rPr>
        <w:t xml:space="preserve">, kaip ir </w:t>
      </w:r>
      <w:r w:rsidR="00F05024" w:rsidRPr="00F05024">
        <w:rPr>
          <w:lang w:val="lt-LT"/>
        </w:rPr>
        <w:t xml:space="preserve">gydant urikozuriniais </w:t>
      </w:r>
      <w:r w:rsidR="00F05024">
        <w:rPr>
          <w:lang w:val="lt-LT"/>
        </w:rPr>
        <w:t xml:space="preserve">vaistiniais </w:t>
      </w:r>
      <w:r w:rsidR="00F05024" w:rsidRPr="00F05024">
        <w:rPr>
          <w:lang w:val="lt-LT"/>
        </w:rPr>
        <w:t>preparatais</w:t>
      </w:r>
      <w:r w:rsidR="00F05024">
        <w:rPr>
          <w:lang w:val="lt-LT"/>
        </w:rPr>
        <w:t>,</w:t>
      </w:r>
      <w:r w:rsidRPr="003E78EA">
        <w:rPr>
          <w:lang w:val="lt-LT"/>
        </w:rPr>
        <w:t xml:space="preserve"> gali pasireikšti ūmus podagrinio artrito priepuolis. Todėl patartina gydyti ne trumpiau kaip vieną mėnesį skiriant tinkamą vaist</w:t>
      </w:r>
      <w:r w:rsidR="00415447" w:rsidRPr="003E78EA">
        <w:rPr>
          <w:lang w:val="lt-LT"/>
        </w:rPr>
        <w:t>in</w:t>
      </w:r>
      <w:r w:rsidR="00415447" w:rsidRPr="000A5826">
        <w:rPr>
          <w:lang w:val="lt-LT"/>
        </w:rPr>
        <w:t>į</w:t>
      </w:r>
      <w:r w:rsidR="00415447" w:rsidRPr="003E78EA">
        <w:rPr>
          <w:lang w:val="lt-LT"/>
        </w:rPr>
        <w:t xml:space="preserve"> preparatą</w:t>
      </w:r>
      <w:r w:rsidRPr="003E78EA">
        <w:rPr>
          <w:lang w:val="lt-LT"/>
        </w:rPr>
        <w:t xml:space="preserve"> nuo uždegimo arba kolchiciną. Išsamios informacijos apie tinkamą dozavimą ir atsargumo priemones bei įspėjimus reikia ieškoti literatūroje.</w:t>
      </w:r>
    </w:p>
    <w:p w14:paraId="5A595AD8" w14:textId="77777777" w:rsidR="00710393" w:rsidRPr="003E78EA" w:rsidRDefault="00710393" w:rsidP="00710393">
      <w:pPr>
        <w:tabs>
          <w:tab w:val="left" w:pos="0"/>
        </w:tabs>
        <w:rPr>
          <w:lang w:val="lt-LT"/>
        </w:rPr>
      </w:pPr>
    </w:p>
    <w:p w14:paraId="30FEF52C" w14:textId="4ED6B6EA" w:rsidR="00710393" w:rsidRPr="003E78EA" w:rsidRDefault="00710393" w:rsidP="00710393">
      <w:pPr>
        <w:tabs>
          <w:tab w:val="left" w:pos="0"/>
        </w:tabs>
        <w:rPr>
          <w:lang w:val="lt-LT"/>
        </w:rPr>
      </w:pPr>
      <w:r w:rsidRPr="003E78EA">
        <w:rPr>
          <w:lang w:val="lt-LT"/>
        </w:rPr>
        <w:t xml:space="preserve">Jei pacientams, gydomiems alopurinoliu, pasireiškia ūminiai priepuoliai, gydymas turėtų būti tęsiamas tuo pačiu dozavimu, o ūmus priepuolis gydomas </w:t>
      </w:r>
      <w:r w:rsidR="00F05024" w:rsidRPr="003E78EA">
        <w:rPr>
          <w:lang w:val="lt-LT"/>
        </w:rPr>
        <w:t>tinkam</w:t>
      </w:r>
      <w:r w:rsidR="00F05024">
        <w:rPr>
          <w:lang w:val="lt-LT"/>
        </w:rPr>
        <w:t xml:space="preserve">u </w:t>
      </w:r>
      <w:r w:rsidRPr="003E78EA">
        <w:rPr>
          <w:lang w:val="lt-LT"/>
        </w:rPr>
        <w:t>vaistini</w:t>
      </w:r>
      <w:r w:rsidR="00F05024">
        <w:rPr>
          <w:lang w:val="lt-LT"/>
        </w:rPr>
        <w:t>u</w:t>
      </w:r>
      <w:r w:rsidRPr="003E78EA">
        <w:rPr>
          <w:lang w:val="lt-LT"/>
        </w:rPr>
        <w:t xml:space="preserve"> </w:t>
      </w:r>
      <w:r w:rsidR="00F05024" w:rsidRPr="003E78EA">
        <w:rPr>
          <w:lang w:val="lt-LT"/>
        </w:rPr>
        <w:t>preparat</w:t>
      </w:r>
      <w:r w:rsidR="00F05024">
        <w:rPr>
          <w:lang w:val="lt-LT"/>
        </w:rPr>
        <w:t>u</w:t>
      </w:r>
      <w:r w:rsidRPr="003E78EA">
        <w:rPr>
          <w:lang w:val="lt-LT"/>
        </w:rPr>
        <w:t xml:space="preserve"> nuo uždegimo.</w:t>
      </w:r>
    </w:p>
    <w:p w14:paraId="4010779E" w14:textId="77777777" w:rsidR="00710393" w:rsidRPr="003E78EA" w:rsidRDefault="00710393" w:rsidP="00710393">
      <w:pPr>
        <w:ind w:left="567" w:hanging="567"/>
        <w:rPr>
          <w:lang w:val="lt-LT"/>
        </w:rPr>
      </w:pPr>
    </w:p>
    <w:p w14:paraId="52C9D20C" w14:textId="3F3C1C9D" w:rsidR="00710393" w:rsidRPr="003E78EA" w:rsidRDefault="00710393" w:rsidP="00710393">
      <w:pPr>
        <w:tabs>
          <w:tab w:val="left" w:pos="0"/>
        </w:tabs>
        <w:rPr>
          <w:i/>
          <w:lang w:val="lt-LT"/>
        </w:rPr>
      </w:pPr>
      <w:r w:rsidRPr="003E78EA">
        <w:rPr>
          <w:i/>
          <w:lang w:val="lt-LT"/>
        </w:rPr>
        <w:t>Ksantino susidarymas</w:t>
      </w:r>
    </w:p>
    <w:p w14:paraId="238BF48C" w14:textId="77777777" w:rsidR="00710393" w:rsidRPr="003E78EA" w:rsidRDefault="00710393" w:rsidP="00710393">
      <w:pPr>
        <w:tabs>
          <w:tab w:val="left" w:pos="0"/>
        </w:tabs>
        <w:rPr>
          <w:i/>
          <w:lang w:val="lt-LT"/>
        </w:rPr>
      </w:pPr>
    </w:p>
    <w:p w14:paraId="4B315EB3" w14:textId="312C05FA" w:rsidR="00710393" w:rsidRPr="003E78EA" w:rsidRDefault="00710393" w:rsidP="00710393">
      <w:pPr>
        <w:tabs>
          <w:tab w:val="left" w:pos="0"/>
        </w:tabs>
        <w:rPr>
          <w:lang w:val="lt-LT"/>
        </w:rPr>
      </w:pPr>
      <w:r w:rsidRPr="003E78EA">
        <w:rPr>
          <w:lang w:val="lt-LT"/>
        </w:rPr>
        <w:t>Tais atvejais, kai labai padidėja šlapimo susidarymo greitis (pvz., piktybinė liga ir jos gydymas, Lešo-</w:t>
      </w:r>
      <w:r w:rsidR="00415447" w:rsidRPr="003E78EA">
        <w:rPr>
          <w:lang w:val="lt-LT"/>
        </w:rPr>
        <w:t xml:space="preserve"> Nyhano (</w:t>
      </w:r>
      <w:r w:rsidR="00415447" w:rsidRPr="003E78EA">
        <w:rPr>
          <w:i/>
          <w:lang w:val="lt-LT"/>
        </w:rPr>
        <w:t>Lesch-Nyhan</w:t>
      </w:r>
      <w:r w:rsidR="00415447" w:rsidRPr="003E78EA">
        <w:rPr>
          <w:lang w:val="lt-LT"/>
        </w:rPr>
        <w:t>)</w:t>
      </w:r>
      <w:r w:rsidRPr="003E78EA">
        <w:rPr>
          <w:lang w:val="lt-LT"/>
        </w:rPr>
        <w:t xml:space="preserve"> sindromas), gryna ksantino koncentracija šlapime retais atvejais gali pakilti tiek, kad jo gali atsirasti šlapimo takuose. Šią riziką galima sumažinti tinkamai hidratuojant, kad būtų pasiektas optimalus šlapimo praskiedimas.</w:t>
      </w:r>
    </w:p>
    <w:p w14:paraId="400AC993" w14:textId="77777777" w:rsidR="00710393" w:rsidRPr="003E78EA" w:rsidRDefault="00710393" w:rsidP="00710393">
      <w:pPr>
        <w:tabs>
          <w:tab w:val="left" w:pos="0"/>
        </w:tabs>
        <w:rPr>
          <w:lang w:val="lt-LT"/>
        </w:rPr>
      </w:pPr>
    </w:p>
    <w:p w14:paraId="78E3F05B" w14:textId="002293B2" w:rsidR="00710393" w:rsidRPr="003E78EA" w:rsidRDefault="00710393" w:rsidP="003E78EA">
      <w:pPr>
        <w:keepNext/>
        <w:tabs>
          <w:tab w:val="left" w:pos="0"/>
        </w:tabs>
        <w:rPr>
          <w:i/>
          <w:lang w:val="lt-LT"/>
        </w:rPr>
      </w:pPr>
      <w:r w:rsidRPr="003E78EA">
        <w:rPr>
          <w:i/>
          <w:lang w:val="lt-LT"/>
        </w:rPr>
        <w:lastRenderedPageBreak/>
        <w:t>Šlapimo rūgšties inkstų akmenų įtaka</w:t>
      </w:r>
    </w:p>
    <w:p w14:paraId="5B88B8BC" w14:textId="77777777" w:rsidR="00710393" w:rsidRPr="003E78EA" w:rsidRDefault="00710393" w:rsidP="003E78EA">
      <w:pPr>
        <w:keepNext/>
        <w:tabs>
          <w:tab w:val="left" w:pos="0"/>
        </w:tabs>
        <w:rPr>
          <w:i/>
          <w:lang w:val="lt-LT"/>
        </w:rPr>
      </w:pPr>
    </w:p>
    <w:p w14:paraId="2723F0DF" w14:textId="77777777" w:rsidR="00710393" w:rsidRPr="003E78EA" w:rsidRDefault="00710393" w:rsidP="003E78EA">
      <w:pPr>
        <w:keepNext/>
        <w:tabs>
          <w:tab w:val="left" w:pos="0"/>
        </w:tabs>
        <w:rPr>
          <w:lang w:val="lt-LT"/>
        </w:rPr>
      </w:pPr>
      <w:r w:rsidRPr="003E78EA">
        <w:rPr>
          <w:lang w:val="lt-LT"/>
        </w:rPr>
        <w:t>Tinkamas gydymas alopurinoliu lems didelių šlapimo rūgšties inkstų dubens akmenų suskaidymą, su maža tikimybe paveikti šlapimtakį.</w:t>
      </w:r>
    </w:p>
    <w:p w14:paraId="28DC560F" w14:textId="77777777" w:rsidR="00710393" w:rsidRPr="003E78EA" w:rsidRDefault="00710393" w:rsidP="00710393">
      <w:pPr>
        <w:tabs>
          <w:tab w:val="left" w:pos="0"/>
        </w:tabs>
        <w:rPr>
          <w:lang w:val="lt-LT"/>
        </w:rPr>
      </w:pPr>
    </w:p>
    <w:p w14:paraId="27DE3606" w14:textId="4988D347" w:rsidR="00710393" w:rsidRPr="003E78EA" w:rsidRDefault="00710393" w:rsidP="00710393">
      <w:pPr>
        <w:tabs>
          <w:tab w:val="left" w:pos="0"/>
        </w:tabs>
        <w:rPr>
          <w:i/>
          <w:lang w:val="lt-LT"/>
        </w:rPr>
      </w:pPr>
      <w:r w:rsidRPr="003E78EA">
        <w:rPr>
          <w:i/>
          <w:lang w:val="lt-LT"/>
        </w:rPr>
        <w:t>Skydliaukės sutrikimai</w:t>
      </w:r>
    </w:p>
    <w:p w14:paraId="12CB3CFA" w14:textId="77777777" w:rsidR="00710393" w:rsidRPr="003E78EA" w:rsidRDefault="00710393" w:rsidP="00710393">
      <w:pPr>
        <w:tabs>
          <w:tab w:val="left" w:pos="0"/>
        </w:tabs>
        <w:rPr>
          <w:i/>
          <w:lang w:val="lt-LT"/>
        </w:rPr>
      </w:pPr>
    </w:p>
    <w:p w14:paraId="19EF1086" w14:textId="1DA98CD1" w:rsidR="00710393" w:rsidRPr="003E78EA" w:rsidRDefault="00710393" w:rsidP="00710393">
      <w:pPr>
        <w:tabs>
          <w:tab w:val="left" w:pos="0"/>
        </w:tabs>
        <w:rPr>
          <w:lang w:val="lt-LT"/>
        </w:rPr>
      </w:pPr>
      <w:r w:rsidRPr="003E78EA">
        <w:rPr>
          <w:lang w:val="lt-LT"/>
        </w:rPr>
        <w:t>Ilgalaikio atviro tęstinio tyrimo metu pacientams, ilgą laiką gydomiems alopurinoliu (5,8</w:t>
      </w:r>
      <w:r w:rsidR="00AB3630">
        <w:rPr>
          <w:lang w:val="lt-LT"/>
        </w:rPr>
        <w:t> </w:t>
      </w:r>
      <w:r w:rsidRPr="003E78EA">
        <w:rPr>
          <w:lang w:val="lt-LT"/>
        </w:rPr>
        <w:t>%), pastebėta padidėjusi TSH norma (&gt;5,5</w:t>
      </w:r>
      <w:r w:rsidR="00AB3630">
        <w:rPr>
          <w:lang w:val="lt-LT"/>
        </w:rPr>
        <w:t> </w:t>
      </w:r>
      <w:r w:rsidRPr="003E78EA">
        <w:rPr>
          <w:lang w:val="lt-LT"/>
        </w:rPr>
        <w:t>μTV/ml). Būtinas didesnis atsargumas, kai Allopurinol Accord skiriamas pacientams, turintiems skydliaukės funkcijos sutrikimą.</w:t>
      </w:r>
    </w:p>
    <w:p w14:paraId="0359A605" w14:textId="77777777" w:rsidR="00710393" w:rsidRDefault="00710393" w:rsidP="00710393">
      <w:pPr>
        <w:tabs>
          <w:tab w:val="left" w:pos="0"/>
        </w:tabs>
        <w:rPr>
          <w:lang w:val="lt-LT"/>
        </w:rPr>
      </w:pPr>
    </w:p>
    <w:p w14:paraId="12D7722D" w14:textId="7ACCE928" w:rsidR="009128A0" w:rsidRPr="00AE6E76" w:rsidRDefault="00FE257F" w:rsidP="00710393">
      <w:pPr>
        <w:tabs>
          <w:tab w:val="left" w:pos="0"/>
        </w:tabs>
        <w:rPr>
          <w:lang w:val="lt-LT"/>
        </w:rPr>
      </w:pPr>
      <w:r w:rsidRPr="00AE6E76">
        <w:rPr>
          <w:lang w:val="lt-LT"/>
        </w:rPr>
        <w:t>Reikia vengti vartoti alopurinol</w:t>
      </w:r>
      <w:r w:rsidR="008D31F6" w:rsidRPr="00AE6E76">
        <w:rPr>
          <w:lang w:val="lt-LT"/>
        </w:rPr>
        <w:t>io</w:t>
      </w:r>
      <w:r w:rsidRPr="00AE6E76">
        <w:rPr>
          <w:lang w:val="lt-LT"/>
        </w:rPr>
        <w:t xml:space="preserve"> kartu su 6-merkaptopurinu arba azatioprinu, nes buvo gauta pranešimų apie mirtinus atvejus (žr. 4.5 skyrių).</w:t>
      </w:r>
    </w:p>
    <w:p w14:paraId="2F52A7F3" w14:textId="77777777" w:rsidR="00FE257F" w:rsidRPr="003E78EA" w:rsidRDefault="00FE257F" w:rsidP="00710393">
      <w:pPr>
        <w:tabs>
          <w:tab w:val="left" w:pos="0"/>
        </w:tabs>
        <w:rPr>
          <w:lang w:val="lt-LT"/>
        </w:rPr>
      </w:pPr>
    </w:p>
    <w:p w14:paraId="10EA69E5" w14:textId="4324E1AA" w:rsidR="00710393" w:rsidRPr="003E78EA" w:rsidRDefault="00710393" w:rsidP="00710393">
      <w:pPr>
        <w:tabs>
          <w:tab w:val="left" w:pos="0"/>
        </w:tabs>
        <w:rPr>
          <w:i/>
          <w:lang w:val="lt-LT"/>
        </w:rPr>
      </w:pPr>
      <w:r w:rsidRPr="003E78EA">
        <w:rPr>
          <w:i/>
          <w:lang w:val="lt-LT"/>
        </w:rPr>
        <w:t>Laktozė</w:t>
      </w:r>
    </w:p>
    <w:p w14:paraId="0BED429F" w14:textId="77777777" w:rsidR="00710393" w:rsidRPr="003E78EA" w:rsidRDefault="00710393" w:rsidP="00710393">
      <w:pPr>
        <w:tabs>
          <w:tab w:val="left" w:pos="0"/>
        </w:tabs>
        <w:rPr>
          <w:lang w:val="lt-LT"/>
        </w:rPr>
      </w:pPr>
    </w:p>
    <w:p w14:paraId="28218BBB" w14:textId="7800BFEF" w:rsidR="00710393" w:rsidRPr="003E78EA" w:rsidRDefault="00710393" w:rsidP="00710393">
      <w:pPr>
        <w:tabs>
          <w:tab w:val="left" w:pos="0"/>
        </w:tabs>
        <w:rPr>
          <w:lang w:val="lt-LT"/>
        </w:rPr>
      </w:pPr>
      <w:r w:rsidRPr="003E78EA">
        <w:rPr>
          <w:lang w:val="lt-LT"/>
        </w:rPr>
        <w:t xml:space="preserve">Šio vaistinio preparato negalima vartoti pacientams, </w:t>
      </w:r>
      <w:r w:rsidR="00381032" w:rsidRPr="003E78EA">
        <w:rPr>
          <w:lang w:val="lt-LT"/>
        </w:rPr>
        <w:t>kuriems nustatytas retas paveldimas sutrikimas – galaktozės netoleravimas, visiškas laktazės stygius arba gliukozės ir galaktozės malabsorbcija</w:t>
      </w:r>
      <w:r w:rsidRPr="003E78EA">
        <w:rPr>
          <w:lang w:val="lt-LT"/>
        </w:rPr>
        <w:t>.</w:t>
      </w:r>
    </w:p>
    <w:p w14:paraId="29FA40BA" w14:textId="77777777" w:rsidR="00710393" w:rsidRPr="003E78EA" w:rsidRDefault="00710393" w:rsidP="00710393">
      <w:pPr>
        <w:tabs>
          <w:tab w:val="left" w:pos="0"/>
        </w:tabs>
        <w:rPr>
          <w:lang w:val="lt-LT"/>
        </w:rPr>
      </w:pPr>
    </w:p>
    <w:p w14:paraId="0091F777" w14:textId="77777777" w:rsidR="00710393" w:rsidRPr="003E78EA" w:rsidRDefault="00710393" w:rsidP="00710393">
      <w:pPr>
        <w:ind w:left="567" w:hanging="567"/>
        <w:rPr>
          <w:lang w:val="lt-LT"/>
        </w:rPr>
      </w:pPr>
      <w:r w:rsidRPr="003E78EA">
        <w:rPr>
          <w:b/>
          <w:lang w:val="lt-LT"/>
        </w:rPr>
        <w:t>4.5</w:t>
      </w:r>
      <w:r w:rsidRPr="003E78EA">
        <w:rPr>
          <w:b/>
          <w:lang w:val="lt-LT"/>
        </w:rPr>
        <w:tab/>
        <w:t>Sąveika su kitais vaistiniais preparatais ir kitokia sąveika</w:t>
      </w:r>
    </w:p>
    <w:p w14:paraId="7ACF462D" w14:textId="77777777" w:rsidR="00710393" w:rsidRPr="003E78EA" w:rsidRDefault="00710393" w:rsidP="00710393">
      <w:pPr>
        <w:rPr>
          <w:lang w:val="lt-LT"/>
        </w:rPr>
      </w:pPr>
    </w:p>
    <w:p w14:paraId="7CC42428" w14:textId="0C8BE753" w:rsidR="00710393" w:rsidRPr="003E78EA" w:rsidRDefault="00710393" w:rsidP="00710393">
      <w:pPr>
        <w:rPr>
          <w:i/>
          <w:lang w:val="lt-LT"/>
        </w:rPr>
      </w:pPr>
      <w:r w:rsidRPr="003E78EA">
        <w:rPr>
          <w:i/>
          <w:lang w:val="lt-LT"/>
        </w:rPr>
        <w:t>6-merkaptopurinas ir azatioprinas</w:t>
      </w:r>
    </w:p>
    <w:p w14:paraId="0BAC08FF" w14:textId="77777777" w:rsidR="00710393" w:rsidRPr="003E78EA" w:rsidRDefault="00710393" w:rsidP="00710393">
      <w:pPr>
        <w:rPr>
          <w:i/>
          <w:lang w:val="lt-LT"/>
        </w:rPr>
      </w:pPr>
    </w:p>
    <w:p w14:paraId="73075A0D" w14:textId="4DF5C63F" w:rsidR="00E03789" w:rsidRPr="00AE6E76" w:rsidRDefault="00710393" w:rsidP="00710393">
      <w:pPr>
        <w:rPr>
          <w:lang w:val="lt-LT"/>
        </w:rPr>
      </w:pPr>
      <w:r w:rsidRPr="003E78EA">
        <w:rPr>
          <w:lang w:val="lt-LT"/>
        </w:rPr>
        <w:t>Azatioprinas metabolizuojamas į 6-merkaptopuriną, kurį inaktyvuoja ksantino oksidazės poveikis. Kai 6-merkaptopurinas arba azatioprinas skiriamas kartu su alopurinoliu,</w:t>
      </w:r>
      <w:r w:rsidR="007E6BF7">
        <w:rPr>
          <w:lang w:val="lt-LT"/>
        </w:rPr>
        <w:t xml:space="preserve"> ksan</w:t>
      </w:r>
      <w:r w:rsidR="00100CCB">
        <w:rPr>
          <w:lang w:val="lt-LT"/>
        </w:rPr>
        <w:t>tino oksidazės inhibitoriumi,</w:t>
      </w:r>
      <w:r w:rsidRPr="003E78EA">
        <w:rPr>
          <w:lang w:val="lt-LT"/>
        </w:rPr>
        <w:t xml:space="preserve"> turėtų būti skiriamas tik ketvirtadalis įprastos 6-merkaptopurino arba azatioprino dozės, nes ksantino oksidazės slopinimas pailgins jų veiklumą.</w:t>
      </w:r>
      <w:r w:rsidR="007951A9">
        <w:rPr>
          <w:lang w:val="lt-LT"/>
        </w:rPr>
        <w:t xml:space="preserve"> </w:t>
      </w:r>
      <w:r w:rsidR="007951A9" w:rsidRPr="00AE6E76">
        <w:rPr>
          <w:lang w:val="lt-LT"/>
        </w:rPr>
        <w:t xml:space="preserve">Kai šie vaistiniai preparatai vartojami kartu su alopurinoliu, 6-merkaptopurino arba azatioprino koncentracija kraujo serume gali pasiekti </w:t>
      </w:r>
      <w:r w:rsidR="003770F7" w:rsidRPr="00AE6E76">
        <w:rPr>
          <w:lang w:val="lt-LT"/>
        </w:rPr>
        <w:t>toksinį</w:t>
      </w:r>
      <w:r w:rsidR="007951A9" w:rsidRPr="00AE6E76">
        <w:rPr>
          <w:lang w:val="lt-LT"/>
        </w:rPr>
        <w:t xml:space="preserve"> lygį ir sukelti gyvybei pavojingą pancitopeniją ir mielosupresiją. Todėl reikia vengti vartoti alopurinol</w:t>
      </w:r>
      <w:r w:rsidR="006C0B15" w:rsidRPr="00AE6E76">
        <w:rPr>
          <w:lang w:val="lt-LT"/>
        </w:rPr>
        <w:t>io</w:t>
      </w:r>
      <w:r w:rsidR="007951A9" w:rsidRPr="00AE6E76">
        <w:rPr>
          <w:lang w:val="lt-LT"/>
        </w:rPr>
        <w:t xml:space="preserve"> kartu su 6-merkaptopurinu arba azatioprinu. Jei nustatoma, kad kliniškai būtina vartoti kartu su 6-merkaptopurinu arba azatioprinu, dozę reikia sumažinti iki ketvirtadalio (25 %) įprastinės 6-merkaptopurino arba azatioprino dozės ir dažnai stebėti hematologinę būklę (žr. 4.4 skyrių). </w:t>
      </w:r>
    </w:p>
    <w:p w14:paraId="28ED22C6" w14:textId="77777777" w:rsidR="00E03789" w:rsidRPr="00AE6E76" w:rsidRDefault="00E03789" w:rsidP="00710393">
      <w:pPr>
        <w:rPr>
          <w:lang w:val="lt-LT"/>
        </w:rPr>
      </w:pPr>
    </w:p>
    <w:p w14:paraId="61E1D8DB" w14:textId="73D7C194" w:rsidR="00710393" w:rsidRPr="003E78EA" w:rsidRDefault="007951A9" w:rsidP="00710393">
      <w:pPr>
        <w:rPr>
          <w:lang w:val="lt-LT"/>
        </w:rPr>
      </w:pPr>
      <w:r w:rsidRPr="00AE6E76">
        <w:rPr>
          <w:lang w:val="lt-LT"/>
        </w:rPr>
        <w:t xml:space="preserve">Pacientus reikia įspėti, kad jie praneštų apie bet kokius kaulų čiulpų slopinimo požymius ar simptomus (nepaaiškinamos </w:t>
      </w:r>
      <w:r w:rsidR="00A75EAA" w:rsidRPr="00AE6E76">
        <w:rPr>
          <w:lang w:val="lt-LT"/>
        </w:rPr>
        <w:t>hematomos [</w:t>
      </w:r>
      <w:r w:rsidRPr="00AE6E76">
        <w:rPr>
          <w:lang w:val="lt-LT"/>
        </w:rPr>
        <w:t>mėlynės</w:t>
      </w:r>
      <w:r w:rsidR="00A75EAA" w:rsidRPr="00AE6E76">
        <w:rPr>
          <w:lang w:val="lt-LT"/>
        </w:rPr>
        <w:t>]</w:t>
      </w:r>
      <w:r w:rsidRPr="00AE6E76">
        <w:rPr>
          <w:lang w:val="lt-LT"/>
        </w:rPr>
        <w:t xml:space="preserve"> arba kraujavimas, gerklės</w:t>
      </w:r>
      <w:r w:rsidR="004F7739" w:rsidRPr="00AE6E76">
        <w:rPr>
          <w:lang w:val="lt-LT"/>
        </w:rPr>
        <w:t xml:space="preserve"> (ryklės)</w:t>
      </w:r>
      <w:r w:rsidRPr="00AE6E76">
        <w:rPr>
          <w:lang w:val="lt-LT"/>
        </w:rPr>
        <w:t xml:space="preserve"> skausmas, karščiavimas).</w:t>
      </w:r>
    </w:p>
    <w:p w14:paraId="30492892" w14:textId="77777777" w:rsidR="00710393" w:rsidRPr="003E78EA" w:rsidRDefault="00710393" w:rsidP="00710393">
      <w:pPr>
        <w:rPr>
          <w:lang w:val="lt-LT"/>
        </w:rPr>
      </w:pPr>
    </w:p>
    <w:p w14:paraId="01A628CF" w14:textId="6E3613DF" w:rsidR="00710393" w:rsidRPr="003E78EA" w:rsidRDefault="00710393" w:rsidP="00710393">
      <w:pPr>
        <w:rPr>
          <w:i/>
          <w:lang w:val="lt-LT"/>
        </w:rPr>
      </w:pPr>
      <w:r w:rsidRPr="003E78EA">
        <w:rPr>
          <w:i/>
          <w:lang w:val="lt-LT"/>
        </w:rPr>
        <w:t>Vidarabinas (Adenino Arabinosidas</w:t>
      </w:r>
      <w:r w:rsidRPr="000A5826">
        <w:rPr>
          <w:i/>
          <w:lang w:val="lt-LT"/>
        </w:rPr>
        <w:t>)</w:t>
      </w:r>
    </w:p>
    <w:p w14:paraId="5E78306A" w14:textId="77777777" w:rsidR="00710393" w:rsidRPr="003E78EA" w:rsidRDefault="00710393" w:rsidP="00710393">
      <w:pPr>
        <w:rPr>
          <w:i/>
          <w:lang w:val="lt-LT"/>
        </w:rPr>
      </w:pPr>
    </w:p>
    <w:p w14:paraId="43E63A96" w14:textId="117E2DC6" w:rsidR="00710393" w:rsidRPr="003E78EA" w:rsidRDefault="00710393" w:rsidP="00710393">
      <w:pPr>
        <w:rPr>
          <w:lang w:val="lt-LT"/>
        </w:rPr>
      </w:pPr>
      <w:r w:rsidRPr="003E78EA">
        <w:rPr>
          <w:lang w:val="lt-LT"/>
        </w:rPr>
        <w:t xml:space="preserve">Įrodyta, kad vidarabino pusinis eliminacijos laikas </w:t>
      </w:r>
      <w:r w:rsidR="00DA6BAB" w:rsidRPr="003E78EA">
        <w:rPr>
          <w:lang w:val="lt-LT"/>
        </w:rPr>
        <w:t xml:space="preserve">kraujo </w:t>
      </w:r>
      <w:r w:rsidRPr="003E78EA">
        <w:rPr>
          <w:lang w:val="lt-LT"/>
        </w:rPr>
        <w:t>plazmoje padidėja esant alopurinoli</w:t>
      </w:r>
      <w:r w:rsidR="00DA6BAB" w:rsidRPr="003E78EA">
        <w:rPr>
          <w:lang w:val="lt-LT"/>
        </w:rPr>
        <w:t>ui</w:t>
      </w:r>
      <w:r w:rsidRPr="003E78EA">
        <w:rPr>
          <w:lang w:val="lt-LT"/>
        </w:rPr>
        <w:t>. Kai abu šie vaistiniai preparatai vartojami kartu, reikalingas papildomas budrumas, kad būtų pastebėtas padidėjęs toksinis poveikis.</w:t>
      </w:r>
    </w:p>
    <w:p w14:paraId="726256E5" w14:textId="77777777" w:rsidR="00710393" w:rsidRPr="003E78EA" w:rsidRDefault="00710393" w:rsidP="00710393">
      <w:pPr>
        <w:rPr>
          <w:lang w:val="lt-LT"/>
        </w:rPr>
      </w:pPr>
    </w:p>
    <w:p w14:paraId="41AC7731" w14:textId="1E33FCB7" w:rsidR="00710393" w:rsidRPr="003E78EA" w:rsidRDefault="00710393" w:rsidP="00710393">
      <w:pPr>
        <w:rPr>
          <w:i/>
          <w:lang w:val="lt-LT"/>
        </w:rPr>
      </w:pPr>
      <w:r w:rsidRPr="003E78EA">
        <w:rPr>
          <w:i/>
          <w:lang w:val="lt-LT"/>
        </w:rPr>
        <w:t xml:space="preserve">Salicilatai ir </w:t>
      </w:r>
      <w:r w:rsidR="00F05024">
        <w:rPr>
          <w:i/>
          <w:lang w:val="lt-LT"/>
        </w:rPr>
        <w:t>urikozuriniai</w:t>
      </w:r>
      <w:r w:rsidRPr="003E78EA">
        <w:rPr>
          <w:i/>
          <w:lang w:val="lt-LT"/>
        </w:rPr>
        <w:t xml:space="preserve"> vaistiniai preparatai</w:t>
      </w:r>
    </w:p>
    <w:p w14:paraId="10657124" w14:textId="77777777" w:rsidR="00710393" w:rsidRPr="003E78EA" w:rsidRDefault="00710393" w:rsidP="00710393">
      <w:pPr>
        <w:rPr>
          <w:i/>
          <w:lang w:val="lt-LT"/>
        </w:rPr>
      </w:pPr>
    </w:p>
    <w:p w14:paraId="1EB2197E" w14:textId="77777777" w:rsidR="00710393" w:rsidRPr="003E78EA" w:rsidRDefault="00710393" w:rsidP="00710393">
      <w:pPr>
        <w:rPr>
          <w:lang w:val="lt-LT"/>
        </w:rPr>
      </w:pPr>
      <w:r w:rsidRPr="003E78EA">
        <w:rPr>
          <w:lang w:val="lt-LT"/>
        </w:rPr>
        <w:t>Oksipurinolis, būdamas pats terapiškai aktyvus alopurinolio metabolitas, yra panašiu būdu inkstų išsiskiriamas į šlapimą. Todėl šlapimą skatinantys vaistiniai preparatai, pvz., probenecidas arba didelės salicilato dozės, gali paspartinti oksipurinolio išsiskyrimą. Tai gali sumažinti terapinį alopurinolio aktyvumą, tačiau kiekvienu atveju reikia įvertinti efektą.</w:t>
      </w:r>
    </w:p>
    <w:p w14:paraId="3188BF15" w14:textId="77777777" w:rsidR="00710393" w:rsidRPr="003E78EA" w:rsidRDefault="00710393" w:rsidP="00710393">
      <w:pPr>
        <w:rPr>
          <w:lang w:val="lt-LT"/>
        </w:rPr>
      </w:pPr>
    </w:p>
    <w:p w14:paraId="661746F8" w14:textId="7D72DAA1" w:rsidR="00710393" w:rsidRPr="003E78EA" w:rsidRDefault="00710393" w:rsidP="00710393">
      <w:pPr>
        <w:rPr>
          <w:i/>
          <w:lang w:val="lt-LT"/>
        </w:rPr>
      </w:pPr>
      <w:r w:rsidRPr="003E78EA">
        <w:rPr>
          <w:i/>
          <w:lang w:val="lt-LT"/>
        </w:rPr>
        <w:t>Chlorpropamidas</w:t>
      </w:r>
    </w:p>
    <w:p w14:paraId="260A76BB" w14:textId="77777777" w:rsidR="00710393" w:rsidRPr="003E78EA" w:rsidRDefault="00710393" w:rsidP="00710393">
      <w:pPr>
        <w:rPr>
          <w:i/>
          <w:lang w:val="lt-LT"/>
        </w:rPr>
      </w:pPr>
    </w:p>
    <w:p w14:paraId="7A79A737" w14:textId="77777777" w:rsidR="00710393" w:rsidRPr="003E78EA" w:rsidRDefault="00710393" w:rsidP="00710393">
      <w:pPr>
        <w:rPr>
          <w:lang w:val="lt-LT"/>
        </w:rPr>
      </w:pPr>
      <w:r w:rsidRPr="003E78EA">
        <w:rPr>
          <w:lang w:val="lt-LT"/>
        </w:rPr>
        <w:t>Jei alopurinolis skiriamas kartu su chlorpropamidu, kai inkstų funkcija yra prasta, gali padidėti pailginto hipoglikemijos aktyvumo rizika, nes alopurinolis ir chlorpropamidas gali konkuruoti dėl išsiskyrimo inkstų kanalėliuose.</w:t>
      </w:r>
    </w:p>
    <w:p w14:paraId="2810ED88" w14:textId="77777777" w:rsidR="00710393" w:rsidRPr="003E78EA" w:rsidRDefault="00710393" w:rsidP="00710393">
      <w:pPr>
        <w:rPr>
          <w:lang w:val="lt-LT"/>
        </w:rPr>
      </w:pPr>
    </w:p>
    <w:p w14:paraId="2C753A52" w14:textId="3A3A3AF0" w:rsidR="00710393" w:rsidRPr="003E78EA" w:rsidRDefault="00710393" w:rsidP="00710393">
      <w:pPr>
        <w:rPr>
          <w:i/>
          <w:lang w:val="lt-LT"/>
        </w:rPr>
      </w:pPr>
      <w:r w:rsidRPr="003E78EA">
        <w:rPr>
          <w:i/>
          <w:lang w:val="lt-LT"/>
        </w:rPr>
        <w:t>Kumarino antikoaguliantai</w:t>
      </w:r>
    </w:p>
    <w:p w14:paraId="284B334F" w14:textId="77777777" w:rsidR="00710393" w:rsidRPr="003E78EA" w:rsidRDefault="00710393" w:rsidP="00710393">
      <w:pPr>
        <w:rPr>
          <w:i/>
          <w:lang w:val="lt-LT"/>
        </w:rPr>
      </w:pPr>
    </w:p>
    <w:p w14:paraId="67FC172B" w14:textId="77777777" w:rsidR="00710393" w:rsidRPr="003E78EA" w:rsidRDefault="00710393" w:rsidP="00710393">
      <w:pPr>
        <w:rPr>
          <w:lang w:val="lt-LT"/>
        </w:rPr>
      </w:pPr>
      <w:r w:rsidRPr="003E78EA">
        <w:rPr>
          <w:lang w:val="lt-LT"/>
        </w:rPr>
        <w:lastRenderedPageBreak/>
        <w:t>Pranešama dėl retų atvejų apie padidėjusį varfarino ir kitų kumarino antikoaguliantų poveikį vartojant su alopurinoliu, todėl visi pacientai, vartojantys antikoaguliantus, privalo būti atidžiai stebimi.</w:t>
      </w:r>
    </w:p>
    <w:p w14:paraId="4D11B2AC" w14:textId="77777777" w:rsidR="00710393" w:rsidRPr="003E78EA" w:rsidRDefault="00710393" w:rsidP="00710393">
      <w:pPr>
        <w:rPr>
          <w:lang w:val="lt-LT"/>
        </w:rPr>
      </w:pPr>
    </w:p>
    <w:p w14:paraId="3B005976" w14:textId="66F3EB1E" w:rsidR="00710393" w:rsidRPr="003E78EA" w:rsidRDefault="00710393" w:rsidP="00710393">
      <w:pPr>
        <w:rPr>
          <w:i/>
          <w:lang w:val="lt-LT"/>
        </w:rPr>
      </w:pPr>
      <w:r w:rsidRPr="003E78EA">
        <w:rPr>
          <w:i/>
          <w:lang w:val="lt-LT"/>
        </w:rPr>
        <w:t>Fenitoinas</w:t>
      </w:r>
    </w:p>
    <w:p w14:paraId="1774C9B4" w14:textId="77777777" w:rsidR="00710393" w:rsidRPr="003E78EA" w:rsidRDefault="00710393" w:rsidP="00710393">
      <w:pPr>
        <w:rPr>
          <w:i/>
          <w:lang w:val="lt-LT"/>
        </w:rPr>
      </w:pPr>
    </w:p>
    <w:p w14:paraId="766ABCF4" w14:textId="77777777" w:rsidR="00710393" w:rsidRPr="003E78EA" w:rsidRDefault="00710393" w:rsidP="00710393">
      <w:pPr>
        <w:rPr>
          <w:lang w:val="lt-LT"/>
        </w:rPr>
      </w:pPr>
      <w:r w:rsidRPr="003E78EA">
        <w:rPr>
          <w:lang w:val="lt-LT"/>
        </w:rPr>
        <w:t>Alopurinolis gali slopinti fenitoino oksidaciją kepenyse, tačiau klinikinė reikšmė nebuvo įrodyta.</w:t>
      </w:r>
    </w:p>
    <w:p w14:paraId="77DFD02D" w14:textId="77777777" w:rsidR="00710393" w:rsidRPr="003E78EA" w:rsidRDefault="00710393" w:rsidP="00710393">
      <w:pPr>
        <w:rPr>
          <w:lang w:val="lt-LT"/>
        </w:rPr>
      </w:pPr>
    </w:p>
    <w:p w14:paraId="60425225" w14:textId="368FC740" w:rsidR="00710393" w:rsidRPr="003E78EA" w:rsidRDefault="00710393" w:rsidP="00710393">
      <w:pPr>
        <w:rPr>
          <w:i/>
          <w:lang w:val="lt-LT"/>
        </w:rPr>
      </w:pPr>
      <w:r w:rsidRPr="003E78EA">
        <w:rPr>
          <w:i/>
          <w:lang w:val="lt-LT"/>
        </w:rPr>
        <w:t>Teofilinas</w:t>
      </w:r>
    </w:p>
    <w:p w14:paraId="6B5642C2" w14:textId="77777777" w:rsidR="00710393" w:rsidRPr="003E78EA" w:rsidRDefault="00710393" w:rsidP="00710393">
      <w:pPr>
        <w:rPr>
          <w:i/>
          <w:lang w:val="lt-LT"/>
        </w:rPr>
      </w:pPr>
    </w:p>
    <w:p w14:paraId="674C0D34" w14:textId="77777777" w:rsidR="00710393" w:rsidRPr="003E78EA" w:rsidRDefault="00710393" w:rsidP="00710393">
      <w:pPr>
        <w:rPr>
          <w:lang w:val="lt-LT"/>
        </w:rPr>
      </w:pPr>
      <w:r w:rsidRPr="003E78EA">
        <w:rPr>
          <w:lang w:val="lt-LT"/>
        </w:rPr>
        <w:t>Pranešama apie teofilino metabolizmo slopinimą. Sąveikos mechanizmą galima paaiškinti ksantino oksidaze, kuri yra susijusi su teofilino biotransformacija žmoguje. Pacientams, kuriems pradedama arba didinama alopurinolio terapija, reikia stebėti teofilino kiekį.</w:t>
      </w:r>
    </w:p>
    <w:p w14:paraId="6BA36020" w14:textId="77777777" w:rsidR="00710393" w:rsidRPr="003E78EA" w:rsidRDefault="00710393" w:rsidP="00710393">
      <w:pPr>
        <w:rPr>
          <w:lang w:val="lt-LT"/>
        </w:rPr>
      </w:pPr>
    </w:p>
    <w:p w14:paraId="75AB9C77" w14:textId="44DBA490" w:rsidR="00710393" w:rsidRPr="003E78EA" w:rsidRDefault="00710393" w:rsidP="00710393">
      <w:pPr>
        <w:rPr>
          <w:i/>
          <w:lang w:val="lt-LT"/>
        </w:rPr>
      </w:pPr>
      <w:r w:rsidRPr="003E78EA">
        <w:rPr>
          <w:i/>
          <w:lang w:val="lt-LT"/>
        </w:rPr>
        <w:t>Ampicilinas / amoksicilinas</w:t>
      </w:r>
    </w:p>
    <w:p w14:paraId="539E7059" w14:textId="77777777" w:rsidR="00710393" w:rsidRPr="003E78EA" w:rsidRDefault="00710393" w:rsidP="00710393">
      <w:pPr>
        <w:rPr>
          <w:i/>
          <w:lang w:val="lt-LT"/>
        </w:rPr>
      </w:pPr>
    </w:p>
    <w:p w14:paraId="0048EE90" w14:textId="77777777" w:rsidR="00710393" w:rsidRPr="003E78EA" w:rsidRDefault="00710393" w:rsidP="00710393">
      <w:pPr>
        <w:rPr>
          <w:lang w:val="lt-LT"/>
        </w:rPr>
      </w:pPr>
      <w:r w:rsidRPr="003E78EA">
        <w:rPr>
          <w:lang w:val="lt-LT"/>
        </w:rPr>
        <w:t>Pastebėta, kad vartojant ampiciliną arba amoksiciliną kartu su alopurinoliu, padidėja odos išbėrimo dažnis, palyginti su pacientais, kurie nevartoja abiejų vaistinių preparatų. Pranešto sąryšio priežastis nėra nustatyta. Tačiau pacientams, gydomiems alopurinoliu, rekomenduojama naudoti ampicilino arba amoksicilino alternatyvą.</w:t>
      </w:r>
    </w:p>
    <w:p w14:paraId="08F4B0D4" w14:textId="77777777" w:rsidR="00710393" w:rsidRPr="003E78EA" w:rsidRDefault="00710393" w:rsidP="00710393">
      <w:pPr>
        <w:rPr>
          <w:lang w:val="lt-LT"/>
        </w:rPr>
      </w:pPr>
    </w:p>
    <w:p w14:paraId="2E30766E" w14:textId="3944F8A3" w:rsidR="00710393" w:rsidRPr="003E78EA" w:rsidRDefault="00710393" w:rsidP="00710393">
      <w:pPr>
        <w:rPr>
          <w:i/>
          <w:lang w:val="lt-LT"/>
        </w:rPr>
      </w:pPr>
      <w:r w:rsidRPr="003E78EA">
        <w:rPr>
          <w:i/>
          <w:lang w:val="lt-LT"/>
        </w:rPr>
        <w:t>Citostatikai</w:t>
      </w:r>
    </w:p>
    <w:p w14:paraId="143C31C5" w14:textId="77777777" w:rsidR="00710393" w:rsidRPr="003E78EA" w:rsidRDefault="00710393" w:rsidP="00710393">
      <w:pPr>
        <w:rPr>
          <w:i/>
          <w:lang w:val="lt-LT"/>
        </w:rPr>
      </w:pPr>
    </w:p>
    <w:p w14:paraId="644E18A9" w14:textId="4B72AA75" w:rsidR="00710393" w:rsidRPr="003E78EA" w:rsidRDefault="00710393" w:rsidP="00710393">
      <w:pPr>
        <w:rPr>
          <w:lang w:val="lt-LT"/>
        </w:rPr>
      </w:pPr>
      <w:r w:rsidRPr="003E78EA">
        <w:rPr>
          <w:lang w:val="lt-LT"/>
        </w:rPr>
        <w:t>Skiriant alopurinolį ir citoto</w:t>
      </w:r>
      <w:r w:rsidR="005E387F">
        <w:rPr>
          <w:lang w:val="lt-LT"/>
        </w:rPr>
        <w:t>statikus</w:t>
      </w:r>
      <w:r w:rsidRPr="003E78EA">
        <w:rPr>
          <w:lang w:val="lt-LT"/>
        </w:rPr>
        <w:t xml:space="preserve"> (pvz., ciklofosfamidą, doksorubiciną, bleomiciną, prokarbaziną, alkilhalogenidus), kraujo diskrazijos atsiranda dažniau nei tada, kai šios veikliosios medžiagos skiriamos atskirai. Todėl reikia reguliariai atlikti kraujo tyrimus.</w:t>
      </w:r>
    </w:p>
    <w:p w14:paraId="2314F588" w14:textId="77777777" w:rsidR="00710393" w:rsidRPr="003E78EA" w:rsidRDefault="00710393" w:rsidP="00710393">
      <w:pPr>
        <w:rPr>
          <w:lang w:val="lt-LT"/>
        </w:rPr>
      </w:pPr>
    </w:p>
    <w:p w14:paraId="761C3460" w14:textId="26035444" w:rsidR="00710393" w:rsidRPr="003E78EA" w:rsidRDefault="00710393" w:rsidP="00710393">
      <w:pPr>
        <w:rPr>
          <w:i/>
          <w:lang w:val="lt-LT"/>
        </w:rPr>
      </w:pPr>
      <w:r w:rsidRPr="003E78EA">
        <w:rPr>
          <w:i/>
          <w:lang w:val="lt-LT"/>
        </w:rPr>
        <w:t>Ciklosporinas</w:t>
      </w:r>
    </w:p>
    <w:p w14:paraId="33123C24" w14:textId="77777777" w:rsidR="00710393" w:rsidRPr="003E78EA" w:rsidRDefault="00710393" w:rsidP="00710393">
      <w:pPr>
        <w:rPr>
          <w:i/>
          <w:lang w:val="lt-LT"/>
        </w:rPr>
      </w:pPr>
    </w:p>
    <w:p w14:paraId="5D99EEE4" w14:textId="77777777" w:rsidR="00710393" w:rsidRPr="003E78EA" w:rsidRDefault="00710393" w:rsidP="00710393">
      <w:pPr>
        <w:rPr>
          <w:lang w:val="lt-LT"/>
        </w:rPr>
      </w:pPr>
      <w:r w:rsidRPr="003E78EA">
        <w:rPr>
          <w:lang w:val="lt-LT"/>
        </w:rPr>
        <w:t xml:space="preserve">Ataskaitos rodo, kad vartojant kartu su alopurinoliu, ciklosporino koncentracija </w:t>
      </w:r>
      <w:r w:rsidR="00DA6BAB" w:rsidRPr="003E78EA">
        <w:rPr>
          <w:lang w:val="lt-LT"/>
        </w:rPr>
        <w:t xml:space="preserve">kraujo </w:t>
      </w:r>
      <w:r w:rsidRPr="003E78EA">
        <w:rPr>
          <w:lang w:val="lt-LT"/>
        </w:rPr>
        <w:t>plazmoje gali padidėti. Jei vaistiniai preparatai skiriami kartu, būtina apsvarstyti padidėjusį ciklosporino toksiškumą.</w:t>
      </w:r>
    </w:p>
    <w:p w14:paraId="756E9B68" w14:textId="77777777" w:rsidR="00710393" w:rsidRPr="003E78EA" w:rsidRDefault="00710393" w:rsidP="00710393">
      <w:pPr>
        <w:rPr>
          <w:lang w:val="lt-LT"/>
        </w:rPr>
      </w:pPr>
    </w:p>
    <w:p w14:paraId="2F4CEB47" w14:textId="68C48061" w:rsidR="00710393" w:rsidRPr="003E78EA" w:rsidRDefault="00710393" w:rsidP="00710393">
      <w:pPr>
        <w:rPr>
          <w:i/>
          <w:lang w:val="lt-LT"/>
        </w:rPr>
      </w:pPr>
      <w:r w:rsidRPr="003E78EA">
        <w:rPr>
          <w:i/>
          <w:lang w:val="lt-LT"/>
        </w:rPr>
        <w:t>Didanozinas</w:t>
      </w:r>
    </w:p>
    <w:p w14:paraId="34EADE6E" w14:textId="77777777" w:rsidR="00710393" w:rsidRPr="003E78EA" w:rsidRDefault="00710393" w:rsidP="00710393">
      <w:pPr>
        <w:rPr>
          <w:i/>
          <w:lang w:val="lt-LT"/>
        </w:rPr>
      </w:pPr>
    </w:p>
    <w:p w14:paraId="3164016C" w14:textId="557DF49C" w:rsidR="00710393" w:rsidRPr="003E78EA" w:rsidRDefault="00710393" w:rsidP="00710393">
      <w:pPr>
        <w:rPr>
          <w:lang w:val="lt-LT"/>
        </w:rPr>
      </w:pPr>
      <w:r w:rsidRPr="003E78EA">
        <w:rPr>
          <w:lang w:val="lt-LT"/>
        </w:rPr>
        <w:t xml:space="preserve">Sveikų savanorių ir ŽIV sergančių pacientų, vartojančių didanoziną, didanozino Cmax ir AUC reikšmės </w:t>
      </w:r>
      <w:r w:rsidR="00721B6F" w:rsidRPr="003E78EA">
        <w:rPr>
          <w:lang w:val="lt-LT"/>
        </w:rPr>
        <w:t xml:space="preserve">kraujo </w:t>
      </w:r>
      <w:r w:rsidRPr="003E78EA">
        <w:rPr>
          <w:lang w:val="lt-LT"/>
        </w:rPr>
        <w:t>plazmoje padidėjo maždaug dvigubai vartojant kartu su alopurinoliu (300</w:t>
      </w:r>
      <w:r w:rsidR="00AB3630">
        <w:rPr>
          <w:lang w:val="lt-LT"/>
        </w:rPr>
        <w:t> </w:t>
      </w:r>
      <w:r w:rsidRPr="003E78EA">
        <w:rPr>
          <w:lang w:val="lt-LT"/>
        </w:rPr>
        <w:t>mg per parą), nepažeidžiant galutinio pusinės eliminacijos laiko. Todėl vartojant kartu su alopurinoliu gali tekti sumažinti didanozino dozę.</w:t>
      </w:r>
    </w:p>
    <w:p w14:paraId="64974F71" w14:textId="77777777" w:rsidR="00710393" w:rsidRPr="003E78EA" w:rsidRDefault="00710393" w:rsidP="00710393">
      <w:pPr>
        <w:rPr>
          <w:lang w:val="lt-LT"/>
        </w:rPr>
      </w:pPr>
    </w:p>
    <w:p w14:paraId="1BCF9FA2" w14:textId="77777777" w:rsidR="00710393" w:rsidRPr="003E78EA" w:rsidRDefault="00710393" w:rsidP="00710393">
      <w:pPr>
        <w:rPr>
          <w:i/>
          <w:lang w:val="lt-LT"/>
        </w:rPr>
      </w:pPr>
      <w:r w:rsidRPr="003E78EA">
        <w:rPr>
          <w:i/>
          <w:lang w:val="lt-LT"/>
        </w:rPr>
        <w:t>Diuretikai:</w:t>
      </w:r>
    </w:p>
    <w:p w14:paraId="072BCDD1" w14:textId="77777777" w:rsidR="00710393" w:rsidRPr="003E78EA" w:rsidRDefault="00710393" w:rsidP="00710393">
      <w:pPr>
        <w:rPr>
          <w:i/>
          <w:lang w:val="lt-LT"/>
        </w:rPr>
      </w:pPr>
    </w:p>
    <w:p w14:paraId="368374BD" w14:textId="0BD0D22D" w:rsidR="00710393" w:rsidRPr="003E78EA" w:rsidRDefault="00710393" w:rsidP="00710393">
      <w:pPr>
        <w:rPr>
          <w:lang w:val="lt-LT"/>
        </w:rPr>
      </w:pPr>
      <w:r w:rsidRPr="003E78EA">
        <w:rPr>
          <w:lang w:val="lt-LT"/>
        </w:rPr>
        <w:t xml:space="preserve">Pranešama apie alopurinolio ir furozemido sąveiką, dėl kurios padidėjo </w:t>
      </w:r>
      <w:r w:rsidR="00053953" w:rsidRPr="003E78EA">
        <w:rPr>
          <w:lang w:val="lt-LT"/>
        </w:rPr>
        <w:t>uratų</w:t>
      </w:r>
      <w:r w:rsidRPr="003E78EA">
        <w:rPr>
          <w:lang w:val="lt-LT"/>
        </w:rPr>
        <w:t xml:space="preserve"> kiekis ir oksipurinolio koncentracija </w:t>
      </w:r>
      <w:r w:rsidR="00721B6F" w:rsidRPr="003E78EA">
        <w:rPr>
          <w:lang w:val="lt-LT"/>
        </w:rPr>
        <w:t xml:space="preserve">kraujo </w:t>
      </w:r>
      <w:r w:rsidRPr="003E78EA">
        <w:rPr>
          <w:lang w:val="lt-LT"/>
        </w:rPr>
        <w:t>plazmoje.</w:t>
      </w:r>
    </w:p>
    <w:p w14:paraId="6C2237C5" w14:textId="77777777" w:rsidR="00710393" w:rsidRPr="003E78EA" w:rsidRDefault="00710393" w:rsidP="00710393">
      <w:pPr>
        <w:rPr>
          <w:lang w:val="lt-LT"/>
        </w:rPr>
      </w:pPr>
    </w:p>
    <w:p w14:paraId="77C27AD9" w14:textId="77777777" w:rsidR="00710393" w:rsidRPr="003E78EA" w:rsidRDefault="00710393" w:rsidP="00710393">
      <w:pPr>
        <w:rPr>
          <w:lang w:val="lt-LT"/>
        </w:rPr>
      </w:pPr>
      <w:r w:rsidRPr="003E78EA">
        <w:rPr>
          <w:lang w:val="lt-LT"/>
        </w:rPr>
        <w:t>Pranešama apie padidėjusio jautrumo riziką, kai alopurinolis vartojamas kartu su diuretikais, būtent tiazidais, ypač esant inkstų funkcijos sutrikimui.</w:t>
      </w:r>
    </w:p>
    <w:p w14:paraId="7AEFC174" w14:textId="77777777" w:rsidR="00710393" w:rsidRPr="003E78EA" w:rsidRDefault="00710393" w:rsidP="00710393">
      <w:pPr>
        <w:rPr>
          <w:lang w:val="lt-LT"/>
        </w:rPr>
      </w:pPr>
    </w:p>
    <w:p w14:paraId="5ADD6B43" w14:textId="5C1DE9AC" w:rsidR="00710393" w:rsidRPr="003E78EA" w:rsidRDefault="00710393" w:rsidP="00710393">
      <w:pPr>
        <w:rPr>
          <w:i/>
          <w:lang w:val="lt-LT"/>
        </w:rPr>
      </w:pPr>
      <w:r w:rsidRPr="003E78EA">
        <w:rPr>
          <w:i/>
          <w:lang w:val="lt-LT"/>
        </w:rPr>
        <w:t>Angiotenziną konvertuojančio fermento (AKF) inhibitoriai</w:t>
      </w:r>
    </w:p>
    <w:p w14:paraId="7B68C75F" w14:textId="77777777" w:rsidR="00710393" w:rsidRPr="003E78EA" w:rsidRDefault="00710393" w:rsidP="00710393">
      <w:pPr>
        <w:rPr>
          <w:i/>
          <w:lang w:val="lt-LT"/>
        </w:rPr>
      </w:pPr>
    </w:p>
    <w:p w14:paraId="7DB58623" w14:textId="77777777" w:rsidR="00710393" w:rsidRPr="003E78EA" w:rsidRDefault="00710393" w:rsidP="00710393">
      <w:pPr>
        <w:rPr>
          <w:lang w:val="lt-LT"/>
        </w:rPr>
      </w:pPr>
      <w:r w:rsidRPr="003E78EA">
        <w:rPr>
          <w:lang w:val="lt-LT"/>
        </w:rPr>
        <w:t>Pranešama apie padidėjusio jautrumo riziką, kai alopurinolis vartojamas kartu su AKF inhibitoriais, ypač esant inkstų funkcijos sutrikimui.</w:t>
      </w:r>
    </w:p>
    <w:p w14:paraId="37E7EC05" w14:textId="77777777" w:rsidR="00710393" w:rsidRPr="003E78EA" w:rsidRDefault="00710393" w:rsidP="00710393">
      <w:pPr>
        <w:rPr>
          <w:lang w:val="lt-LT"/>
        </w:rPr>
      </w:pPr>
    </w:p>
    <w:p w14:paraId="575646AB" w14:textId="77777777" w:rsidR="00710393" w:rsidRPr="003E78EA" w:rsidRDefault="00710393" w:rsidP="00710393">
      <w:pPr>
        <w:rPr>
          <w:i/>
          <w:lang w:val="lt-LT"/>
        </w:rPr>
      </w:pPr>
      <w:r w:rsidRPr="003E78EA">
        <w:rPr>
          <w:i/>
          <w:lang w:val="lt-LT"/>
        </w:rPr>
        <w:t>Aliuminio hidroksidas</w:t>
      </w:r>
    </w:p>
    <w:p w14:paraId="23E1F992" w14:textId="029A65FF" w:rsidR="00710393" w:rsidRPr="003E78EA" w:rsidRDefault="00710393" w:rsidP="00710393">
      <w:pPr>
        <w:rPr>
          <w:lang w:val="lt-LT"/>
        </w:rPr>
      </w:pPr>
      <w:r w:rsidRPr="003E78EA">
        <w:rPr>
          <w:lang w:val="lt-LT"/>
        </w:rPr>
        <w:t>Jei kartu vartojamas aliuminio hidroksidas, alopurinolis gali turėti silpninantį poveikį. Tarp abiejų vaistinių preparatų vartojimo turėtų būti bent 3 valandų intervalas</w:t>
      </w:r>
      <w:r w:rsidR="00AB3630">
        <w:rPr>
          <w:lang w:val="lt-LT"/>
        </w:rPr>
        <w:t>.</w:t>
      </w:r>
    </w:p>
    <w:p w14:paraId="2F301BA6" w14:textId="77777777" w:rsidR="00710393" w:rsidRPr="003E78EA" w:rsidRDefault="00710393" w:rsidP="00710393">
      <w:pPr>
        <w:rPr>
          <w:lang w:val="lt-LT"/>
        </w:rPr>
      </w:pPr>
    </w:p>
    <w:p w14:paraId="63A17F54" w14:textId="77777777" w:rsidR="00710393" w:rsidRPr="003E78EA" w:rsidRDefault="00710393" w:rsidP="00710393">
      <w:pPr>
        <w:ind w:left="567" w:hanging="567"/>
        <w:rPr>
          <w:lang w:val="lt-LT"/>
        </w:rPr>
      </w:pPr>
      <w:r w:rsidRPr="003E78EA">
        <w:rPr>
          <w:b/>
          <w:lang w:val="lt-LT"/>
        </w:rPr>
        <w:t>4.6</w:t>
      </w:r>
      <w:r w:rsidRPr="003E78EA">
        <w:rPr>
          <w:b/>
          <w:lang w:val="lt-LT"/>
        </w:rPr>
        <w:tab/>
        <w:t>Vaisingumas, nėštumo ir žindymo laikotarpis</w:t>
      </w:r>
    </w:p>
    <w:p w14:paraId="459E930E" w14:textId="77777777" w:rsidR="00710393" w:rsidRPr="003E78EA" w:rsidRDefault="00710393" w:rsidP="00710393">
      <w:pPr>
        <w:rPr>
          <w:u w:val="single"/>
          <w:lang w:val="lt-LT"/>
        </w:rPr>
      </w:pPr>
    </w:p>
    <w:p w14:paraId="6F7C5C3F" w14:textId="77777777" w:rsidR="00710393" w:rsidRPr="003E78EA" w:rsidRDefault="00710393" w:rsidP="00710393">
      <w:pPr>
        <w:rPr>
          <w:lang w:val="lt-LT"/>
        </w:rPr>
      </w:pPr>
      <w:r w:rsidRPr="003E78EA">
        <w:rPr>
          <w:u w:val="single"/>
          <w:lang w:val="lt-LT"/>
        </w:rPr>
        <w:lastRenderedPageBreak/>
        <w:t xml:space="preserve">Nėštumas </w:t>
      </w:r>
    </w:p>
    <w:p w14:paraId="10EBC6C3" w14:textId="77777777" w:rsidR="00710393" w:rsidRPr="003E78EA" w:rsidRDefault="00710393" w:rsidP="00710393">
      <w:pPr>
        <w:rPr>
          <w:u w:val="single"/>
          <w:lang w:val="lt-LT"/>
        </w:rPr>
      </w:pPr>
    </w:p>
    <w:p w14:paraId="4034F3A4" w14:textId="5ABABB54" w:rsidR="00710393" w:rsidRPr="003E78EA" w:rsidRDefault="005E387F" w:rsidP="00710393">
      <w:pPr>
        <w:rPr>
          <w:lang w:val="lt-LT"/>
        </w:rPr>
      </w:pPr>
      <w:r w:rsidRPr="005E387F">
        <w:rPr>
          <w:lang w:val="lt-LT"/>
        </w:rPr>
        <w:t>Nėra pakankamai</w:t>
      </w:r>
      <w:r w:rsidR="00710393" w:rsidRPr="003E78EA">
        <w:rPr>
          <w:lang w:val="lt-LT"/>
        </w:rPr>
        <w:t xml:space="preserve"> duomenų apie alopurinolio saugumą nėštumo metu</w:t>
      </w:r>
      <w:r w:rsidRPr="005E387F">
        <w:rPr>
          <w:lang w:val="lt-LT"/>
        </w:rPr>
        <w:t xml:space="preserve">, nors jis plačiai vartojamas jau daugelį metų be akivaizdžių </w:t>
      </w:r>
      <w:r>
        <w:rPr>
          <w:lang w:val="lt-LT"/>
        </w:rPr>
        <w:t>neigiamų</w:t>
      </w:r>
      <w:r w:rsidRPr="005E387F">
        <w:rPr>
          <w:lang w:val="lt-LT"/>
        </w:rPr>
        <w:t xml:space="preserve"> pasekmių</w:t>
      </w:r>
      <w:r w:rsidR="00710393" w:rsidRPr="003E78EA">
        <w:rPr>
          <w:lang w:val="lt-LT"/>
        </w:rPr>
        <w:t xml:space="preserve">. Su gyvūnais atlikti toksiškumo reprodukcijai tyrimai parodė </w:t>
      </w:r>
      <w:r w:rsidR="00367ACB" w:rsidRPr="005E387F">
        <w:rPr>
          <w:lang w:val="lt-LT"/>
        </w:rPr>
        <w:t>teratogeninį poveikį</w:t>
      </w:r>
      <w:r w:rsidR="00367ACB" w:rsidRPr="003E78EA">
        <w:rPr>
          <w:lang w:val="lt-LT"/>
        </w:rPr>
        <w:t xml:space="preserve"> </w:t>
      </w:r>
      <w:r w:rsidR="00367ACB">
        <w:rPr>
          <w:lang w:val="lt-LT"/>
        </w:rPr>
        <w:t>(nustatyta viename tyrime)</w:t>
      </w:r>
      <w:r w:rsidR="00710393" w:rsidRPr="003E78EA">
        <w:rPr>
          <w:lang w:val="lt-LT"/>
        </w:rPr>
        <w:t xml:space="preserve"> (žr. 5.3 skyrių).</w:t>
      </w:r>
    </w:p>
    <w:p w14:paraId="4A73BB63" w14:textId="77777777" w:rsidR="00710393" w:rsidRPr="003E78EA" w:rsidRDefault="00710393" w:rsidP="00710393">
      <w:pPr>
        <w:rPr>
          <w:lang w:val="lt-LT"/>
        </w:rPr>
      </w:pPr>
    </w:p>
    <w:p w14:paraId="54E89284" w14:textId="48B17156" w:rsidR="00710393" w:rsidRPr="003E78EA" w:rsidRDefault="00367ACB" w:rsidP="00710393">
      <w:pPr>
        <w:rPr>
          <w:lang w:val="lt-LT"/>
        </w:rPr>
      </w:pPr>
      <w:r>
        <w:rPr>
          <w:lang w:val="lt-LT"/>
        </w:rPr>
        <w:t>N</w:t>
      </w:r>
      <w:r w:rsidR="00710393" w:rsidRPr="003E78EA">
        <w:rPr>
          <w:lang w:val="lt-LT"/>
        </w:rPr>
        <w:t xml:space="preserve">ėštumo metu </w:t>
      </w:r>
      <w:r>
        <w:rPr>
          <w:lang w:val="lt-LT"/>
        </w:rPr>
        <w:t>galima vartoti</w:t>
      </w:r>
      <w:r w:rsidR="00710393" w:rsidRPr="003E78EA">
        <w:rPr>
          <w:lang w:val="lt-LT"/>
        </w:rPr>
        <w:t xml:space="preserve"> tik tada, kai nėra saugesnės alternatyvos ir kai pati liga kelia riziką motinai ar negimusiam vaikui.</w:t>
      </w:r>
    </w:p>
    <w:p w14:paraId="7949ABB7" w14:textId="77777777" w:rsidR="00710393" w:rsidRPr="003E78EA" w:rsidRDefault="00710393" w:rsidP="00710393">
      <w:pPr>
        <w:rPr>
          <w:u w:val="single"/>
          <w:lang w:val="lt-LT"/>
        </w:rPr>
      </w:pPr>
    </w:p>
    <w:p w14:paraId="1A4D7C8D" w14:textId="77777777" w:rsidR="00710393" w:rsidRPr="003E78EA" w:rsidRDefault="00710393" w:rsidP="00560A49">
      <w:pPr>
        <w:keepNext/>
        <w:rPr>
          <w:u w:val="single"/>
          <w:lang w:val="lt-LT"/>
        </w:rPr>
      </w:pPr>
      <w:r w:rsidRPr="003E78EA">
        <w:rPr>
          <w:u w:val="single"/>
          <w:lang w:val="lt-LT"/>
        </w:rPr>
        <w:t>Žindymas</w:t>
      </w:r>
    </w:p>
    <w:p w14:paraId="29AFE472" w14:textId="77777777" w:rsidR="00710393" w:rsidRPr="003E78EA" w:rsidRDefault="00710393" w:rsidP="00560A49">
      <w:pPr>
        <w:keepNext/>
        <w:rPr>
          <w:u w:val="single"/>
          <w:lang w:val="lt-LT"/>
        </w:rPr>
      </w:pPr>
    </w:p>
    <w:p w14:paraId="5BDBBE3B" w14:textId="2E907703" w:rsidR="00710393" w:rsidRPr="00560A49" w:rsidRDefault="00710393" w:rsidP="00560A49">
      <w:pPr>
        <w:keepNext/>
        <w:rPr>
          <w:lang w:val="lt-LT"/>
        </w:rPr>
      </w:pPr>
      <w:r w:rsidRPr="00560A49">
        <w:rPr>
          <w:lang w:val="lt-LT"/>
        </w:rPr>
        <w:t xml:space="preserve">Alopurinolis ir jo metabolitas oksipurinolis išsiskiria į motinos pieną. </w:t>
      </w:r>
      <w:r w:rsidR="00367ACB" w:rsidRPr="00367ACB">
        <w:rPr>
          <w:lang w:val="lt-LT"/>
        </w:rPr>
        <w:t>Moters, vartojusios 300</w:t>
      </w:r>
      <w:r w:rsidR="00367ACB">
        <w:rPr>
          <w:lang w:val="lt-LT"/>
        </w:rPr>
        <w:t> </w:t>
      </w:r>
      <w:r w:rsidR="00367ACB" w:rsidRPr="00367ACB">
        <w:rPr>
          <w:lang w:val="lt-LT"/>
        </w:rPr>
        <w:t>mg alopurinolio per parą, piene nustatyta 1,4</w:t>
      </w:r>
      <w:r w:rsidR="00367ACB">
        <w:rPr>
          <w:lang w:val="lt-LT"/>
        </w:rPr>
        <w:t> </w:t>
      </w:r>
      <w:r w:rsidR="00367ACB" w:rsidRPr="00367ACB">
        <w:rPr>
          <w:lang w:val="lt-LT"/>
        </w:rPr>
        <w:t>mg/l alopurinolio ir 53,7</w:t>
      </w:r>
      <w:r w:rsidR="00367ACB">
        <w:rPr>
          <w:lang w:val="lt-LT"/>
        </w:rPr>
        <w:t> </w:t>
      </w:r>
      <w:r w:rsidR="00367ACB" w:rsidRPr="00367ACB">
        <w:rPr>
          <w:lang w:val="lt-LT"/>
        </w:rPr>
        <w:t>mg/l oksipurinolio koncentracija. Tačiau duomenų apie alopurinolio ar jo metabolitų poveikį žindomam kūdikiui nėra.</w:t>
      </w:r>
      <w:r w:rsidR="00367ACB">
        <w:rPr>
          <w:lang w:val="lt-LT"/>
        </w:rPr>
        <w:t xml:space="preserve"> </w:t>
      </w:r>
      <w:r w:rsidRPr="00560A49">
        <w:rPr>
          <w:lang w:val="lt-LT"/>
        </w:rPr>
        <w:t>Alopurinolis žindymo laikotarpiu nerekomenduojamas.</w:t>
      </w:r>
    </w:p>
    <w:p w14:paraId="773284A1" w14:textId="77777777" w:rsidR="00710393" w:rsidRDefault="00710393" w:rsidP="00710393">
      <w:pPr>
        <w:rPr>
          <w:u w:val="single"/>
          <w:lang w:val="lt-LT"/>
        </w:rPr>
      </w:pPr>
    </w:p>
    <w:p w14:paraId="68170CD2" w14:textId="77777777" w:rsidR="00367ACB" w:rsidRDefault="00367ACB" w:rsidP="00710393">
      <w:pPr>
        <w:rPr>
          <w:u w:val="single"/>
          <w:lang w:val="lt-LT"/>
        </w:rPr>
      </w:pPr>
      <w:r>
        <w:rPr>
          <w:u w:val="single"/>
          <w:lang w:val="lt-LT"/>
        </w:rPr>
        <w:t>Vaisingumas</w:t>
      </w:r>
    </w:p>
    <w:p w14:paraId="5753C9B3" w14:textId="77777777" w:rsidR="00367ACB" w:rsidRPr="00367ACB" w:rsidRDefault="00367ACB" w:rsidP="00710393">
      <w:pPr>
        <w:rPr>
          <w:lang w:val="lt-LT"/>
        </w:rPr>
      </w:pPr>
      <w:r w:rsidRPr="00367ACB">
        <w:rPr>
          <w:lang w:val="lt-LT"/>
        </w:rPr>
        <w:t>Klinikinių duomenų apie alopurinolio poveikį vaisingumui nepakanka.</w:t>
      </w:r>
    </w:p>
    <w:p w14:paraId="181DCEF4" w14:textId="77777777" w:rsidR="00710393" w:rsidRPr="003E78EA" w:rsidRDefault="00710393" w:rsidP="00710393">
      <w:pPr>
        <w:rPr>
          <w:u w:val="single"/>
          <w:lang w:val="lt-LT"/>
        </w:rPr>
      </w:pPr>
    </w:p>
    <w:p w14:paraId="4A99213C" w14:textId="77777777" w:rsidR="00710393" w:rsidRPr="003E78EA" w:rsidRDefault="00710393" w:rsidP="00710393">
      <w:pPr>
        <w:ind w:left="567" w:hanging="567"/>
        <w:rPr>
          <w:lang w:val="lt-LT"/>
        </w:rPr>
      </w:pPr>
      <w:r w:rsidRPr="003E78EA">
        <w:rPr>
          <w:b/>
          <w:lang w:val="lt-LT"/>
        </w:rPr>
        <w:t>4.7</w:t>
      </w:r>
      <w:r w:rsidRPr="003E78EA">
        <w:rPr>
          <w:b/>
          <w:lang w:val="lt-LT"/>
        </w:rPr>
        <w:tab/>
        <w:t>Poveikis gebėjimui vairuoti ir valdyti mechanizmus</w:t>
      </w:r>
    </w:p>
    <w:p w14:paraId="6F9CD648" w14:textId="77777777" w:rsidR="00710393" w:rsidRPr="003E78EA" w:rsidRDefault="00710393" w:rsidP="00710393">
      <w:pPr>
        <w:rPr>
          <w:lang w:val="lt-LT"/>
        </w:rPr>
      </w:pPr>
    </w:p>
    <w:p w14:paraId="6ED5800A" w14:textId="77777777" w:rsidR="00710393" w:rsidRPr="003E78EA" w:rsidRDefault="00710393" w:rsidP="00710393">
      <w:pPr>
        <w:rPr>
          <w:lang w:val="lt-LT"/>
        </w:rPr>
      </w:pPr>
      <w:r w:rsidRPr="003E78EA">
        <w:rPr>
          <w:lang w:val="lt-LT"/>
        </w:rPr>
        <w:t>Kadangi alopurinolis vartojantiems pacientams pasireiškė nepageidaujamomis reakcijomis, pvz., mieguistumu, galvos svaigimu</w:t>
      </w:r>
      <w:r w:rsidR="00E858C0" w:rsidRPr="003E78EA">
        <w:rPr>
          <w:lang w:val="lt-LT"/>
        </w:rPr>
        <w:t xml:space="preserve"> (</w:t>
      </w:r>
      <w:r w:rsidR="00E858C0" w:rsidRPr="003E78EA">
        <w:rPr>
          <w:i/>
          <w:lang w:val="lt-LT"/>
        </w:rPr>
        <w:t>vertigo</w:t>
      </w:r>
      <w:r w:rsidR="00E858C0" w:rsidRPr="003E78EA">
        <w:rPr>
          <w:lang w:val="lt-LT"/>
        </w:rPr>
        <w:t>)</w:t>
      </w:r>
      <w:r w:rsidRPr="003E78EA">
        <w:rPr>
          <w:lang w:val="lt-LT"/>
        </w:rPr>
        <w:t xml:space="preserve"> ir ataksija, prieš vairuodami, naudodami įrenginius ar dalyvaudami pavojingoje veikloje pacientai turi būti atsargūs, kol jie pagrįstai įsitikins, kad alopurinolis neturi nepageidaujamo poveikio.</w:t>
      </w:r>
    </w:p>
    <w:p w14:paraId="0F9DF174" w14:textId="77777777" w:rsidR="00710393" w:rsidRPr="003E78EA" w:rsidRDefault="00710393" w:rsidP="00710393">
      <w:pPr>
        <w:rPr>
          <w:lang w:val="lt-LT"/>
        </w:rPr>
      </w:pPr>
    </w:p>
    <w:p w14:paraId="39449F52" w14:textId="77777777" w:rsidR="00710393" w:rsidRPr="003E78EA" w:rsidRDefault="00710393" w:rsidP="00710393">
      <w:pPr>
        <w:widowControl/>
        <w:numPr>
          <w:ilvl w:val="1"/>
          <w:numId w:val="13"/>
        </w:numPr>
        <w:autoSpaceDE/>
        <w:autoSpaceDN/>
        <w:rPr>
          <w:b/>
          <w:lang w:val="lt-LT"/>
        </w:rPr>
      </w:pPr>
      <w:r w:rsidRPr="003E78EA">
        <w:rPr>
          <w:b/>
          <w:lang w:val="lt-LT"/>
        </w:rPr>
        <w:t>Nepageidaujamas poveikis</w:t>
      </w:r>
    </w:p>
    <w:p w14:paraId="18A0DEC3" w14:textId="77777777" w:rsidR="00710393" w:rsidRPr="003E78EA" w:rsidRDefault="00710393" w:rsidP="00710393">
      <w:pPr>
        <w:rPr>
          <w:lang w:val="lt-LT"/>
        </w:rPr>
      </w:pPr>
    </w:p>
    <w:p w14:paraId="6E8EADBD" w14:textId="77777777" w:rsidR="00710393" w:rsidRPr="003E78EA" w:rsidRDefault="00710393" w:rsidP="00710393">
      <w:pPr>
        <w:rPr>
          <w:lang w:val="lt-LT"/>
        </w:rPr>
      </w:pPr>
      <w:r w:rsidRPr="003E78EA">
        <w:rPr>
          <w:lang w:val="lt-LT"/>
        </w:rPr>
        <w:t>Šiam vaistiniam preparatui nėra modernios klinikinės dokumentacijos, kuri galėtų būti naudojama kaip pagalbinė medžiaga nepageidaujamų reiškinių dažniui nustatyti. Nepageidaujamas poveikis gali skirtis priklausomai nuo dozės ir nuo vartojimo kartu su kitais vaistiniais preparatais.</w:t>
      </w:r>
    </w:p>
    <w:p w14:paraId="72AC0FC3" w14:textId="77777777" w:rsidR="00710393" w:rsidRPr="003E78EA" w:rsidRDefault="00710393" w:rsidP="00710393">
      <w:pPr>
        <w:rPr>
          <w:lang w:val="lt-LT"/>
        </w:rPr>
      </w:pPr>
    </w:p>
    <w:p w14:paraId="4DE59F74" w14:textId="77777777" w:rsidR="00710393" w:rsidRPr="003E78EA" w:rsidRDefault="00710393" w:rsidP="00710393">
      <w:pPr>
        <w:rPr>
          <w:lang w:val="lt-LT"/>
        </w:rPr>
      </w:pPr>
      <w:r w:rsidRPr="003E78EA">
        <w:rPr>
          <w:lang w:val="lt-LT"/>
        </w:rPr>
        <w:t>Žemiau pateiktoms nepageidaujamoms reakcijoms priskirtos dažnių kategorijos yra vertinimai: daugumai reakcijų nėra tinkamų duomenų apskaičiuoti dažnį. Nepageidaujamos reakcijos, nustatytos po vaisto pateikimo į rinką, buvo laikomos retomis arba labai retomis. Dažnį klasifikuoti buvo panaudotas šis apibūdinimas:</w:t>
      </w:r>
    </w:p>
    <w:p w14:paraId="7D230977" w14:textId="77777777" w:rsidR="00710393" w:rsidRPr="003E78EA" w:rsidRDefault="00710393" w:rsidP="00710393">
      <w:pPr>
        <w:rPr>
          <w:lang w:val="lt-LT"/>
        </w:rPr>
      </w:pPr>
    </w:p>
    <w:p w14:paraId="442F22C0" w14:textId="77777777" w:rsidR="00710393" w:rsidRPr="003E78EA" w:rsidRDefault="00710393" w:rsidP="00710393">
      <w:pPr>
        <w:rPr>
          <w:lang w:val="lt-LT"/>
        </w:rPr>
      </w:pPr>
      <w:r w:rsidRPr="003E78EA">
        <w:rPr>
          <w:lang w:val="lt-LT"/>
        </w:rPr>
        <w:t>Labai dažnas (≥1/10)</w:t>
      </w:r>
    </w:p>
    <w:p w14:paraId="5F54F7CA" w14:textId="77777777" w:rsidR="00710393" w:rsidRPr="003E78EA" w:rsidRDefault="00710393" w:rsidP="00710393">
      <w:pPr>
        <w:rPr>
          <w:lang w:val="lt-LT"/>
        </w:rPr>
      </w:pPr>
      <w:r w:rsidRPr="003E78EA">
        <w:rPr>
          <w:lang w:val="lt-LT"/>
        </w:rPr>
        <w:t>Dažnas (nuo ≥1/100 iki &lt;1/10)</w:t>
      </w:r>
    </w:p>
    <w:p w14:paraId="59B2EAA1" w14:textId="77777777" w:rsidR="00710393" w:rsidRPr="003E78EA" w:rsidRDefault="00710393" w:rsidP="00710393">
      <w:pPr>
        <w:rPr>
          <w:lang w:val="lt-LT"/>
        </w:rPr>
      </w:pPr>
      <w:r w:rsidRPr="003E78EA">
        <w:rPr>
          <w:lang w:val="lt-LT"/>
        </w:rPr>
        <w:t>Nedažnas (nuo ≥1/1 000 iki &lt;1/100)</w:t>
      </w:r>
    </w:p>
    <w:p w14:paraId="3FE0120F" w14:textId="77777777" w:rsidR="00710393" w:rsidRPr="003E78EA" w:rsidRDefault="00710393" w:rsidP="00710393">
      <w:pPr>
        <w:rPr>
          <w:lang w:val="lt-LT"/>
        </w:rPr>
      </w:pPr>
      <w:r w:rsidRPr="003E78EA">
        <w:rPr>
          <w:lang w:val="lt-LT"/>
        </w:rPr>
        <w:t>Retas (nuo ≥1/10 000 iki &lt;1/1 000)</w:t>
      </w:r>
    </w:p>
    <w:p w14:paraId="12218EB0" w14:textId="77777777" w:rsidR="00710393" w:rsidRPr="003E78EA" w:rsidRDefault="00710393" w:rsidP="00710393">
      <w:pPr>
        <w:rPr>
          <w:lang w:val="lt-LT"/>
        </w:rPr>
      </w:pPr>
      <w:r w:rsidRPr="003E78EA">
        <w:rPr>
          <w:lang w:val="lt-LT"/>
        </w:rPr>
        <w:t>Labai retas (&lt;1/10 000)</w:t>
      </w:r>
    </w:p>
    <w:p w14:paraId="446DCA11" w14:textId="77777777" w:rsidR="00710393" w:rsidRDefault="00367ACB" w:rsidP="00710393">
      <w:pPr>
        <w:rPr>
          <w:lang w:val="lt-LT"/>
        </w:rPr>
      </w:pPr>
      <w:r>
        <w:rPr>
          <w:lang w:val="lt-LT"/>
        </w:rPr>
        <w:t>N</w:t>
      </w:r>
      <w:r w:rsidRPr="00367ACB">
        <w:rPr>
          <w:lang w:val="lt-LT"/>
        </w:rPr>
        <w:t>ežinomas (negali būti apskaičiuotas pagal turimus duomenis).</w:t>
      </w:r>
    </w:p>
    <w:p w14:paraId="2C6BA31F" w14:textId="77777777" w:rsidR="00710393" w:rsidRPr="003E78EA" w:rsidRDefault="00710393" w:rsidP="00710393">
      <w:pPr>
        <w:rPr>
          <w:lang w:val="lt-LT"/>
        </w:rPr>
      </w:pPr>
    </w:p>
    <w:p w14:paraId="385DA40B" w14:textId="77777777" w:rsidR="00710393" w:rsidRPr="003E78EA" w:rsidRDefault="00710393" w:rsidP="00710393">
      <w:pPr>
        <w:rPr>
          <w:lang w:val="lt-LT"/>
        </w:rPr>
      </w:pPr>
      <w:r w:rsidRPr="003E78EA">
        <w:rPr>
          <w:lang w:val="lt-LT"/>
        </w:rPr>
        <w:t>Nepageidaujamos reakcijos, susijusios su alopurinoliu, yra dažnos, nedažnos, retos tarp visų gydytų gyventojų populiacijos ir dažniausiai nežymios. Dažnumas / paplitimas yra didesnis esant inkstų ir (arba) kepenų sutrikimų.</w:t>
      </w:r>
    </w:p>
    <w:p w14:paraId="7B6B1448" w14:textId="77777777" w:rsidR="00710393" w:rsidRPr="003E78EA" w:rsidRDefault="00710393" w:rsidP="00710393">
      <w:pPr>
        <w:rPr>
          <w:lang w:val="lt-LT"/>
        </w:rPr>
      </w:pPr>
    </w:p>
    <w:p w14:paraId="42EDD98C" w14:textId="77777777" w:rsidR="00367ACB" w:rsidRPr="00367ACB" w:rsidRDefault="00367ACB" w:rsidP="00367ACB">
      <w:pPr>
        <w:tabs>
          <w:tab w:val="left" w:pos="567"/>
        </w:tabs>
        <w:spacing w:line="260" w:lineRule="exact"/>
        <w:rPr>
          <w:b/>
          <w:bCs/>
          <w:u w:val="single"/>
          <w:lang w:val="lt-LT"/>
        </w:rPr>
      </w:pPr>
      <w:r w:rsidRPr="00367ACB">
        <w:rPr>
          <w:b/>
          <w:bCs/>
          <w:lang w:val="lt-LT"/>
        </w:rPr>
        <w:t xml:space="preserve">1 lentelė. </w:t>
      </w:r>
      <w:r w:rsidRPr="00367ACB">
        <w:rPr>
          <w:b/>
          <w:bCs/>
          <w:iCs/>
          <w:u w:val="single"/>
          <w:lang w:val="lt-LT" w:eastAsia="lt-LT"/>
        </w:rPr>
        <w:t>Nepageidaujamų reakcijų santrauka lentelėje</w:t>
      </w:r>
    </w:p>
    <w:p w14:paraId="39BFB4DD" w14:textId="77777777" w:rsidR="00367ACB" w:rsidRPr="003E78EA" w:rsidRDefault="00367ACB" w:rsidP="00710393">
      <w:pPr>
        <w:rPr>
          <w:lang w:val="lt-LT"/>
        </w:rPr>
      </w:pPr>
    </w:p>
    <w:tbl>
      <w:tblPr>
        <w:tblW w:w="910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3383"/>
        <w:gridCol w:w="1892"/>
        <w:gridCol w:w="3827"/>
      </w:tblGrid>
      <w:tr w:rsidR="00710393" w:rsidRPr="000A5826" w14:paraId="153FA6A0" w14:textId="77777777" w:rsidTr="00381032">
        <w:trPr>
          <w:trHeight w:val="280"/>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55F609A3" w14:textId="77777777" w:rsidR="00710393" w:rsidRPr="003E78EA" w:rsidRDefault="00710393" w:rsidP="00381032">
            <w:pPr>
              <w:spacing w:line="195" w:lineRule="atLeast"/>
              <w:rPr>
                <w:b/>
                <w:color w:val="000000"/>
                <w:lang w:val="lt-LT"/>
              </w:rPr>
            </w:pPr>
            <w:r w:rsidRPr="003E78EA">
              <w:rPr>
                <w:b/>
                <w:color w:val="000000"/>
                <w:lang w:val="lt-LT"/>
              </w:rPr>
              <w:t>Organų sistemų klasės</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5ADC993D" w14:textId="77777777" w:rsidR="00710393" w:rsidRPr="003E78EA" w:rsidRDefault="00710393" w:rsidP="00381032">
            <w:pPr>
              <w:spacing w:line="195" w:lineRule="atLeast"/>
              <w:rPr>
                <w:b/>
                <w:color w:val="000000"/>
                <w:lang w:val="lt-LT"/>
              </w:rPr>
            </w:pPr>
            <w:r w:rsidRPr="003E78EA">
              <w:rPr>
                <w:b/>
                <w:color w:val="000000"/>
                <w:lang w:val="lt-LT"/>
              </w:rPr>
              <w:t>Dažnis</w:t>
            </w:r>
          </w:p>
        </w:tc>
        <w:tc>
          <w:tcPr>
            <w:tcW w:w="2102" w:type="pct"/>
            <w:tcBorders>
              <w:top w:val="outset" w:sz="6" w:space="0" w:color="auto"/>
              <w:left w:val="outset" w:sz="6" w:space="0" w:color="auto"/>
              <w:right w:val="outset" w:sz="6" w:space="0" w:color="auto"/>
            </w:tcBorders>
            <w:shd w:val="clear" w:color="auto" w:fill="FFFFFF"/>
            <w:hideMark/>
          </w:tcPr>
          <w:p w14:paraId="5BEFAFFF" w14:textId="77777777" w:rsidR="00710393" w:rsidRPr="003E78EA" w:rsidRDefault="00710393" w:rsidP="00381032">
            <w:pPr>
              <w:spacing w:line="195" w:lineRule="atLeast"/>
              <w:rPr>
                <w:b/>
                <w:color w:val="000000"/>
                <w:lang w:val="lt-LT"/>
              </w:rPr>
            </w:pPr>
            <w:r w:rsidRPr="003E78EA">
              <w:rPr>
                <w:b/>
                <w:color w:val="000000"/>
                <w:lang w:val="lt-LT"/>
              </w:rPr>
              <w:t>Nepageidaujamos reakcijos</w:t>
            </w:r>
          </w:p>
        </w:tc>
      </w:tr>
      <w:tr w:rsidR="00710393" w:rsidRPr="000A5826" w14:paraId="46B230F2" w14:textId="77777777" w:rsidTr="00381032">
        <w:trPr>
          <w:trHeight w:val="301"/>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45E80B8F" w14:textId="77777777" w:rsidR="00710393" w:rsidRPr="003E78EA" w:rsidRDefault="00710393" w:rsidP="00381032">
            <w:pPr>
              <w:spacing w:line="195" w:lineRule="atLeast"/>
              <w:rPr>
                <w:color w:val="000000"/>
                <w:lang w:val="lt-LT"/>
              </w:rPr>
            </w:pPr>
            <w:r w:rsidRPr="003E78EA">
              <w:rPr>
                <w:color w:val="000000"/>
                <w:lang w:val="lt-LT"/>
              </w:rPr>
              <w:t>Infekcijos ir infestacijos</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72105911"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835E57F" w14:textId="78479A6F" w:rsidR="00710393" w:rsidRPr="003E78EA" w:rsidRDefault="00710393" w:rsidP="00381032">
            <w:pPr>
              <w:spacing w:line="195" w:lineRule="atLeast"/>
              <w:rPr>
                <w:color w:val="000000"/>
                <w:lang w:val="lt-LT"/>
              </w:rPr>
            </w:pPr>
            <w:r w:rsidRPr="003E78EA">
              <w:rPr>
                <w:color w:val="000000"/>
                <w:lang w:val="lt-LT"/>
              </w:rPr>
              <w:t>Votis</w:t>
            </w:r>
          </w:p>
        </w:tc>
      </w:tr>
      <w:tr w:rsidR="00710393" w:rsidRPr="000A5826" w14:paraId="2835369A" w14:textId="77777777" w:rsidTr="00381032">
        <w:trPr>
          <w:trHeight w:val="301"/>
        </w:trPr>
        <w:tc>
          <w:tcPr>
            <w:tcW w:w="1858" w:type="pct"/>
            <w:vMerge w:val="restart"/>
            <w:tcBorders>
              <w:top w:val="outset" w:sz="6" w:space="0" w:color="auto"/>
              <w:left w:val="outset" w:sz="6" w:space="0" w:color="auto"/>
              <w:right w:val="outset" w:sz="6" w:space="0" w:color="auto"/>
            </w:tcBorders>
            <w:shd w:val="clear" w:color="auto" w:fill="FFFFFF"/>
          </w:tcPr>
          <w:p w14:paraId="3D0C9ED6" w14:textId="77777777" w:rsidR="00710393" w:rsidRPr="003E78EA" w:rsidRDefault="00710393" w:rsidP="00381032">
            <w:pPr>
              <w:spacing w:line="195" w:lineRule="atLeast"/>
              <w:rPr>
                <w:color w:val="000000"/>
                <w:lang w:val="lt-LT"/>
              </w:rPr>
            </w:pPr>
            <w:r w:rsidRPr="003E78EA">
              <w:rPr>
                <w:color w:val="000000"/>
                <w:lang w:val="lt-LT"/>
              </w:rPr>
              <w:t>Kraujo ir limfinės sistemos sutrikimai</w:t>
            </w:r>
          </w:p>
        </w:tc>
        <w:tc>
          <w:tcPr>
            <w:tcW w:w="1039" w:type="pct"/>
            <w:vMerge w:val="restart"/>
            <w:tcBorders>
              <w:top w:val="outset" w:sz="6" w:space="0" w:color="auto"/>
              <w:left w:val="outset" w:sz="6" w:space="0" w:color="auto"/>
              <w:right w:val="outset" w:sz="6" w:space="0" w:color="auto"/>
            </w:tcBorders>
            <w:shd w:val="clear" w:color="auto" w:fill="FFFFFF"/>
          </w:tcPr>
          <w:p w14:paraId="2836594D"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480CA57B" w14:textId="77777777" w:rsidR="00710393" w:rsidRPr="003E78EA" w:rsidRDefault="00710393" w:rsidP="00381032">
            <w:pPr>
              <w:spacing w:line="195" w:lineRule="atLeast"/>
              <w:rPr>
                <w:color w:val="000000"/>
                <w:lang w:val="lt-LT"/>
              </w:rPr>
            </w:pPr>
            <w:r w:rsidRPr="003E78EA">
              <w:rPr>
                <w:color w:val="000000"/>
                <w:lang w:val="lt-LT"/>
              </w:rPr>
              <w:t>Agranulocitozė</w:t>
            </w:r>
            <w:r w:rsidRPr="003E78EA">
              <w:rPr>
                <w:color w:val="000000"/>
                <w:vertAlign w:val="superscript"/>
                <w:lang w:val="lt-LT"/>
              </w:rPr>
              <w:t>1</w:t>
            </w:r>
          </w:p>
        </w:tc>
      </w:tr>
      <w:tr w:rsidR="00710393" w:rsidRPr="000A5826" w14:paraId="5F2C5FC7" w14:textId="77777777" w:rsidTr="00381032">
        <w:trPr>
          <w:trHeight w:val="301"/>
        </w:trPr>
        <w:tc>
          <w:tcPr>
            <w:tcW w:w="1858" w:type="pct"/>
            <w:vMerge/>
            <w:tcBorders>
              <w:left w:val="outset" w:sz="6" w:space="0" w:color="auto"/>
              <w:right w:val="outset" w:sz="6" w:space="0" w:color="auto"/>
            </w:tcBorders>
            <w:shd w:val="clear" w:color="auto" w:fill="FFFFFF"/>
          </w:tcPr>
          <w:p w14:paraId="1C7C8066" w14:textId="77777777" w:rsidR="00710393" w:rsidRPr="003E78EA"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6F568359"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64F9D34F" w14:textId="77777777" w:rsidR="00710393" w:rsidRPr="003E78EA" w:rsidRDefault="00710393" w:rsidP="00381032">
            <w:pPr>
              <w:spacing w:line="195" w:lineRule="atLeast"/>
              <w:rPr>
                <w:color w:val="000000"/>
                <w:lang w:val="lt-LT"/>
              </w:rPr>
            </w:pPr>
            <w:r w:rsidRPr="003E78EA">
              <w:rPr>
                <w:lang w:val="lt-LT"/>
              </w:rPr>
              <w:t>Granulocitozė</w:t>
            </w:r>
          </w:p>
        </w:tc>
      </w:tr>
      <w:tr w:rsidR="00710393" w:rsidRPr="000A5826" w14:paraId="2A1CD6F4" w14:textId="77777777" w:rsidTr="00381032">
        <w:trPr>
          <w:trHeight w:val="301"/>
        </w:trPr>
        <w:tc>
          <w:tcPr>
            <w:tcW w:w="1858" w:type="pct"/>
            <w:vMerge/>
            <w:tcBorders>
              <w:left w:val="outset" w:sz="6" w:space="0" w:color="auto"/>
              <w:right w:val="outset" w:sz="6" w:space="0" w:color="auto"/>
            </w:tcBorders>
            <w:shd w:val="clear" w:color="auto" w:fill="FFFFFF"/>
          </w:tcPr>
          <w:p w14:paraId="44634C94" w14:textId="77777777" w:rsidR="00710393" w:rsidRPr="003E78EA"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307DAA33"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5FF73799" w14:textId="77777777" w:rsidR="00710393" w:rsidRPr="003E78EA" w:rsidRDefault="00710393" w:rsidP="00381032">
            <w:pPr>
              <w:spacing w:line="195" w:lineRule="atLeast"/>
              <w:rPr>
                <w:color w:val="000000"/>
                <w:lang w:val="lt-LT"/>
              </w:rPr>
            </w:pPr>
            <w:r w:rsidRPr="003E78EA">
              <w:rPr>
                <w:color w:val="000000"/>
                <w:lang w:val="lt-LT"/>
              </w:rPr>
              <w:t>Aplastinė anemija</w:t>
            </w:r>
            <w:r w:rsidRPr="003E78EA">
              <w:rPr>
                <w:color w:val="000000"/>
                <w:vertAlign w:val="superscript"/>
                <w:lang w:val="lt-LT"/>
              </w:rPr>
              <w:t>1</w:t>
            </w:r>
          </w:p>
        </w:tc>
      </w:tr>
      <w:tr w:rsidR="00710393" w:rsidRPr="000A5826" w14:paraId="4FAEFFF9" w14:textId="77777777" w:rsidTr="00381032">
        <w:trPr>
          <w:trHeight w:val="301"/>
        </w:trPr>
        <w:tc>
          <w:tcPr>
            <w:tcW w:w="1858" w:type="pct"/>
            <w:vMerge/>
            <w:tcBorders>
              <w:left w:val="outset" w:sz="6" w:space="0" w:color="auto"/>
              <w:right w:val="outset" w:sz="6" w:space="0" w:color="auto"/>
            </w:tcBorders>
            <w:shd w:val="clear" w:color="auto" w:fill="FFFFFF"/>
          </w:tcPr>
          <w:p w14:paraId="2F6F1779" w14:textId="77777777" w:rsidR="00710393" w:rsidRPr="003E78EA"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53E445B6"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7533F44" w14:textId="77777777" w:rsidR="00710393" w:rsidRPr="003E78EA" w:rsidRDefault="00710393" w:rsidP="00381032">
            <w:pPr>
              <w:spacing w:line="195" w:lineRule="atLeast"/>
              <w:rPr>
                <w:color w:val="000000"/>
                <w:lang w:val="lt-LT"/>
              </w:rPr>
            </w:pPr>
            <w:r w:rsidRPr="003E78EA">
              <w:rPr>
                <w:color w:val="000000"/>
                <w:lang w:val="lt-LT"/>
              </w:rPr>
              <w:t>Trombocitopenija</w:t>
            </w:r>
            <w:r w:rsidRPr="003E78EA">
              <w:rPr>
                <w:color w:val="000000"/>
                <w:vertAlign w:val="superscript"/>
                <w:lang w:val="lt-LT"/>
              </w:rPr>
              <w:t>1</w:t>
            </w:r>
          </w:p>
        </w:tc>
      </w:tr>
      <w:tr w:rsidR="00710393" w:rsidRPr="000A5826" w14:paraId="70726F3A" w14:textId="77777777" w:rsidTr="00381032">
        <w:trPr>
          <w:trHeight w:val="301"/>
        </w:trPr>
        <w:tc>
          <w:tcPr>
            <w:tcW w:w="1858" w:type="pct"/>
            <w:vMerge/>
            <w:tcBorders>
              <w:left w:val="outset" w:sz="6" w:space="0" w:color="auto"/>
              <w:right w:val="outset" w:sz="6" w:space="0" w:color="auto"/>
            </w:tcBorders>
            <w:shd w:val="clear" w:color="auto" w:fill="FFFFFF"/>
          </w:tcPr>
          <w:p w14:paraId="079EDF6F" w14:textId="77777777" w:rsidR="00710393" w:rsidRPr="003E78EA"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74EE4EFB"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558F315" w14:textId="77777777" w:rsidR="00710393" w:rsidRPr="003E78EA" w:rsidRDefault="00710393" w:rsidP="00381032">
            <w:pPr>
              <w:spacing w:line="195" w:lineRule="atLeast"/>
              <w:rPr>
                <w:color w:val="000000"/>
                <w:lang w:val="lt-LT"/>
              </w:rPr>
            </w:pPr>
            <w:r w:rsidRPr="003E78EA">
              <w:rPr>
                <w:lang w:val="lt-LT"/>
              </w:rPr>
              <w:t>Leukopenija</w:t>
            </w:r>
          </w:p>
        </w:tc>
      </w:tr>
      <w:tr w:rsidR="00710393" w:rsidRPr="000A5826" w14:paraId="3A59615D" w14:textId="77777777" w:rsidTr="00381032">
        <w:trPr>
          <w:trHeight w:val="301"/>
        </w:trPr>
        <w:tc>
          <w:tcPr>
            <w:tcW w:w="1858" w:type="pct"/>
            <w:vMerge/>
            <w:tcBorders>
              <w:left w:val="outset" w:sz="6" w:space="0" w:color="auto"/>
              <w:right w:val="outset" w:sz="6" w:space="0" w:color="auto"/>
            </w:tcBorders>
            <w:shd w:val="clear" w:color="auto" w:fill="FFFFFF"/>
          </w:tcPr>
          <w:p w14:paraId="7121F4FC" w14:textId="77777777" w:rsidR="00710393" w:rsidRPr="003E78EA"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3EC05D8F"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4D21415" w14:textId="77777777" w:rsidR="00710393" w:rsidRPr="003E78EA" w:rsidRDefault="00710393" w:rsidP="00381032">
            <w:pPr>
              <w:spacing w:line="195" w:lineRule="atLeast"/>
              <w:rPr>
                <w:color w:val="000000"/>
                <w:lang w:val="lt-LT"/>
              </w:rPr>
            </w:pPr>
            <w:r w:rsidRPr="003E78EA">
              <w:rPr>
                <w:lang w:val="lt-LT"/>
              </w:rPr>
              <w:t>Leukocitozė</w:t>
            </w:r>
          </w:p>
        </w:tc>
      </w:tr>
      <w:tr w:rsidR="00710393" w:rsidRPr="000A5826" w14:paraId="73A1F84C" w14:textId="77777777" w:rsidTr="00381032">
        <w:trPr>
          <w:trHeight w:val="301"/>
        </w:trPr>
        <w:tc>
          <w:tcPr>
            <w:tcW w:w="1858" w:type="pct"/>
            <w:vMerge/>
            <w:tcBorders>
              <w:left w:val="outset" w:sz="6" w:space="0" w:color="auto"/>
              <w:right w:val="outset" w:sz="6" w:space="0" w:color="auto"/>
            </w:tcBorders>
            <w:shd w:val="clear" w:color="auto" w:fill="FFFFFF"/>
          </w:tcPr>
          <w:p w14:paraId="11F910D1" w14:textId="77777777" w:rsidR="00710393" w:rsidRPr="003E78EA"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1B06E836"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30721A0" w14:textId="77777777" w:rsidR="00710393" w:rsidRPr="003E78EA" w:rsidRDefault="00710393" w:rsidP="00381032">
            <w:pPr>
              <w:spacing w:line="195" w:lineRule="atLeast"/>
              <w:rPr>
                <w:color w:val="000000"/>
                <w:lang w:val="lt-LT"/>
              </w:rPr>
            </w:pPr>
            <w:r w:rsidRPr="003E78EA">
              <w:rPr>
                <w:lang w:val="lt-LT"/>
              </w:rPr>
              <w:t>Eozinofilija</w:t>
            </w:r>
          </w:p>
        </w:tc>
      </w:tr>
      <w:tr w:rsidR="00710393" w:rsidRPr="000A5826" w14:paraId="6B03601C" w14:textId="77777777" w:rsidTr="00381032">
        <w:trPr>
          <w:trHeight w:val="301"/>
        </w:trPr>
        <w:tc>
          <w:tcPr>
            <w:tcW w:w="1858" w:type="pct"/>
            <w:vMerge/>
            <w:tcBorders>
              <w:left w:val="outset" w:sz="6" w:space="0" w:color="auto"/>
              <w:bottom w:val="outset" w:sz="6" w:space="0" w:color="auto"/>
              <w:right w:val="outset" w:sz="6" w:space="0" w:color="auto"/>
            </w:tcBorders>
            <w:shd w:val="clear" w:color="auto" w:fill="FFFFFF"/>
          </w:tcPr>
          <w:p w14:paraId="27BF8182" w14:textId="77777777" w:rsidR="00710393" w:rsidRPr="003E78EA" w:rsidRDefault="00710393" w:rsidP="00381032">
            <w:pPr>
              <w:spacing w:line="195" w:lineRule="atLeast"/>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78D8227A"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16AFA2C0" w14:textId="77777777" w:rsidR="00710393" w:rsidRPr="003E78EA" w:rsidRDefault="00710393" w:rsidP="00381032">
            <w:pPr>
              <w:spacing w:line="195" w:lineRule="atLeast"/>
              <w:rPr>
                <w:color w:val="000000"/>
                <w:lang w:val="lt-LT"/>
              </w:rPr>
            </w:pPr>
            <w:r w:rsidRPr="003E78EA">
              <w:rPr>
                <w:lang w:val="lt-LT"/>
              </w:rPr>
              <w:t>Grynoji raudonųjų ląstelių aplazija</w:t>
            </w:r>
          </w:p>
        </w:tc>
      </w:tr>
      <w:tr w:rsidR="00710393" w:rsidRPr="000A5826" w14:paraId="1967FE2C" w14:textId="77777777" w:rsidTr="00381032">
        <w:trPr>
          <w:trHeight w:val="264"/>
        </w:trPr>
        <w:tc>
          <w:tcPr>
            <w:tcW w:w="1858" w:type="pct"/>
            <w:vMerge w:val="restart"/>
            <w:tcBorders>
              <w:top w:val="outset" w:sz="6" w:space="0" w:color="auto"/>
              <w:left w:val="outset" w:sz="6" w:space="0" w:color="auto"/>
              <w:right w:val="outset" w:sz="6" w:space="0" w:color="auto"/>
            </w:tcBorders>
            <w:shd w:val="clear" w:color="auto" w:fill="FFFFFF"/>
            <w:hideMark/>
          </w:tcPr>
          <w:p w14:paraId="7B8B137F" w14:textId="77777777" w:rsidR="00710393" w:rsidRPr="003E78EA" w:rsidRDefault="00710393" w:rsidP="00381032">
            <w:pPr>
              <w:spacing w:line="195" w:lineRule="atLeast"/>
              <w:rPr>
                <w:color w:val="000000"/>
                <w:lang w:val="lt-LT"/>
              </w:rPr>
            </w:pPr>
            <w:r w:rsidRPr="003E78EA">
              <w:rPr>
                <w:color w:val="000000"/>
                <w:lang w:val="lt-LT"/>
              </w:rPr>
              <w:t>Imuninės sistemos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2177DCC2" w14:textId="77777777" w:rsidR="00710393" w:rsidRPr="003E78EA" w:rsidRDefault="00710393" w:rsidP="00381032">
            <w:pPr>
              <w:spacing w:line="195" w:lineRule="atLeast"/>
              <w:rPr>
                <w:color w:val="000000"/>
                <w:lang w:val="lt-LT"/>
              </w:rPr>
            </w:pPr>
            <w:r w:rsidRPr="003E78EA">
              <w:rPr>
                <w:color w:val="000000"/>
                <w:lang w:val="lt-LT"/>
              </w:rPr>
              <w:t>Nedažnas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E5CCE6E" w14:textId="77777777" w:rsidR="00710393" w:rsidRPr="003E78EA" w:rsidRDefault="00710393" w:rsidP="00381032">
            <w:pPr>
              <w:spacing w:line="195" w:lineRule="atLeast"/>
              <w:rPr>
                <w:color w:val="000000"/>
                <w:lang w:val="lt-LT"/>
              </w:rPr>
            </w:pPr>
            <w:r w:rsidRPr="003E78EA">
              <w:rPr>
                <w:color w:val="000000"/>
                <w:lang w:val="lt-LT"/>
              </w:rPr>
              <w:t>Padidėjęs jautrumas</w:t>
            </w:r>
            <w:r w:rsidRPr="003E78EA">
              <w:rPr>
                <w:color w:val="000000"/>
                <w:vertAlign w:val="superscript"/>
                <w:lang w:val="lt-LT"/>
              </w:rPr>
              <w:t>2</w:t>
            </w:r>
          </w:p>
        </w:tc>
      </w:tr>
      <w:tr w:rsidR="00710393" w:rsidRPr="000A5826" w14:paraId="1B7F3458" w14:textId="77777777" w:rsidTr="00381032">
        <w:trPr>
          <w:trHeight w:val="212"/>
        </w:trPr>
        <w:tc>
          <w:tcPr>
            <w:tcW w:w="1858" w:type="pct"/>
            <w:vMerge/>
            <w:tcBorders>
              <w:left w:val="outset" w:sz="6" w:space="0" w:color="auto"/>
              <w:right w:val="outset" w:sz="6" w:space="0" w:color="auto"/>
            </w:tcBorders>
            <w:shd w:val="clear" w:color="auto" w:fill="FFFFFF"/>
            <w:vAlign w:val="center"/>
            <w:hideMark/>
          </w:tcPr>
          <w:p w14:paraId="458E97E7" w14:textId="77777777" w:rsidR="00710393" w:rsidRPr="003E78EA" w:rsidRDefault="00710393" w:rsidP="00381032">
            <w:pPr>
              <w:rPr>
                <w:color w:val="000000"/>
                <w:lang w:val="lt-LT"/>
              </w:rPr>
            </w:pPr>
          </w:p>
        </w:tc>
        <w:tc>
          <w:tcPr>
            <w:tcW w:w="1039" w:type="pct"/>
            <w:vMerge w:val="restart"/>
            <w:tcBorders>
              <w:top w:val="outset" w:sz="6" w:space="0" w:color="auto"/>
              <w:left w:val="outset" w:sz="6" w:space="0" w:color="auto"/>
              <w:right w:val="outset" w:sz="6" w:space="0" w:color="auto"/>
            </w:tcBorders>
            <w:shd w:val="clear" w:color="auto" w:fill="FFFFFF"/>
            <w:hideMark/>
          </w:tcPr>
          <w:p w14:paraId="0A66626C"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14DA731F" w14:textId="77777777" w:rsidR="00710393" w:rsidRPr="003E78EA" w:rsidRDefault="00710393" w:rsidP="00381032">
            <w:pPr>
              <w:spacing w:line="195" w:lineRule="atLeast"/>
              <w:rPr>
                <w:color w:val="000000"/>
                <w:lang w:val="lt-LT"/>
              </w:rPr>
            </w:pPr>
            <w:r w:rsidRPr="003E78EA">
              <w:rPr>
                <w:color w:val="000000"/>
                <w:lang w:val="lt-LT"/>
              </w:rPr>
              <w:t>Angioimunoblastinė T-ląstelių limfoma</w:t>
            </w:r>
            <w:r w:rsidRPr="003E78EA">
              <w:rPr>
                <w:color w:val="000000"/>
                <w:vertAlign w:val="superscript"/>
                <w:lang w:val="lt-LT"/>
              </w:rPr>
              <w:t>3</w:t>
            </w:r>
          </w:p>
        </w:tc>
      </w:tr>
      <w:tr w:rsidR="00710393" w:rsidRPr="000A5826" w14:paraId="65C99D78" w14:textId="77777777" w:rsidTr="00381032">
        <w:trPr>
          <w:trHeight w:val="212"/>
        </w:trPr>
        <w:tc>
          <w:tcPr>
            <w:tcW w:w="1858" w:type="pct"/>
            <w:vMerge/>
            <w:tcBorders>
              <w:left w:val="outset" w:sz="6" w:space="0" w:color="auto"/>
              <w:bottom w:val="outset" w:sz="6" w:space="0" w:color="auto"/>
              <w:right w:val="outset" w:sz="6" w:space="0" w:color="auto"/>
            </w:tcBorders>
            <w:shd w:val="clear" w:color="auto" w:fill="FFFFFF"/>
            <w:vAlign w:val="center"/>
          </w:tcPr>
          <w:p w14:paraId="7A07E3C4"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1BB9C134"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4035AA0D" w14:textId="77777777" w:rsidR="00710393" w:rsidRPr="003E78EA" w:rsidRDefault="00710393" w:rsidP="00381032">
            <w:pPr>
              <w:spacing w:line="195" w:lineRule="atLeast"/>
              <w:rPr>
                <w:color w:val="000000"/>
                <w:lang w:val="lt-LT"/>
              </w:rPr>
            </w:pPr>
            <w:r w:rsidRPr="003E78EA">
              <w:rPr>
                <w:color w:val="000000"/>
                <w:lang w:val="lt-LT"/>
              </w:rPr>
              <w:t>Anafilaksinė reakcija</w:t>
            </w:r>
          </w:p>
        </w:tc>
      </w:tr>
      <w:tr w:rsidR="00710393" w:rsidRPr="000A5826" w14:paraId="134523B2" w14:textId="77777777" w:rsidTr="00381032">
        <w:trPr>
          <w:trHeight w:val="290"/>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02AB0241" w14:textId="77777777" w:rsidR="00710393" w:rsidRPr="003E78EA" w:rsidRDefault="00710393" w:rsidP="00381032">
            <w:pPr>
              <w:spacing w:line="195" w:lineRule="atLeast"/>
              <w:rPr>
                <w:color w:val="000000"/>
                <w:lang w:val="lt-LT"/>
              </w:rPr>
            </w:pPr>
            <w:r w:rsidRPr="003E78EA">
              <w:rPr>
                <w:color w:val="000000"/>
                <w:lang w:val="lt-LT"/>
              </w:rPr>
              <w:t>Metabolizmo ir mitybos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75821C2D"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1B7FDCC5" w14:textId="77777777" w:rsidR="00710393" w:rsidRPr="003E78EA" w:rsidRDefault="00710393" w:rsidP="00381032">
            <w:pPr>
              <w:spacing w:line="195" w:lineRule="atLeast"/>
              <w:rPr>
                <w:color w:val="000000"/>
                <w:lang w:val="lt-LT"/>
              </w:rPr>
            </w:pPr>
            <w:r w:rsidRPr="003E78EA">
              <w:rPr>
                <w:color w:val="000000"/>
                <w:lang w:val="lt-LT"/>
              </w:rPr>
              <w:t>Cukrinis diabetas</w:t>
            </w:r>
          </w:p>
        </w:tc>
      </w:tr>
      <w:tr w:rsidR="00710393" w:rsidRPr="000A5826" w14:paraId="653FD509" w14:textId="77777777" w:rsidTr="00381032">
        <w:trPr>
          <w:trHeight w:val="290"/>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772AFF"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1CB94F7B"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C2AE92B" w14:textId="77777777" w:rsidR="00710393" w:rsidRPr="003E78EA" w:rsidRDefault="00710393" w:rsidP="00381032">
            <w:pPr>
              <w:spacing w:line="195" w:lineRule="atLeast"/>
              <w:rPr>
                <w:color w:val="000000"/>
                <w:lang w:val="lt-LT"/>
              </w:rPr>
            </w:pPr>
            <w:r w:rsidRPr="003E78EA">
              <w:rPr>
                <w:color w:val="000000"/>
                <w:lang w:val="lt-LT"/>
              </w:rPr>
              <w:t>Hiperlipidemija</w:t>
            </w:r>
          </w:p>
        </w:tc>
      </w:tr>
      <w:tr w:rsidR="00710393" w:rsidRPr="000A5826" w14:paraId="63132FFB" w14:textId="77777777" w:rsidTr="00381032">
        <w:trPr>
          <w:trHeight w:val="290"/>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5CDC9FDF" w14:textId="77777777" w:rsidR="00710393" w:rsidRPr="003E78EA" w:rsidRDefault="00710393" w:rsidP="00381032">
            <w:pPr>
              <w:spacing w:line="195" w:lineRule="atLeast"/>
              <w:rPr>
                <w:color w:val="000000"/>
                <w:lang w:val="lt-LT"/>
              </w:rPr>
            </w:pPr>
            <w:r w:rsidRPr="003E78EA">
              <w:rPr>
                <w:color w:val="000000"/>
                <w:lang w:val="lt-LT"/>
              </w:rPr>
              <w:t>Psichikos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16EE138B"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467073B1" w14:textId="77777777" w:rsidR="00710393" w:rsidRPr="003E78EA" w:rsidRDefault="00710393" w:rsidP="00381032">
            <w:pPr>
              <w:spacing w:line="195" w:lineRule="atLeast"/>
              <w:rPr>
                <w:color w:val="000000"/>
                <w:lang w:val="lt-LT"/>
              </w:rPr>
            </w:pPr>
            <w:r w:rsidRPr="003E78EA">
              <w:rPr>
                <w:color w:val="000000"/>
                <w:lang w:val="lt-LT"/>
              </w:rPr>
              <w:t>Depresija</w:t>
            </w:r>
          </w:p>
        </w:tc>
      </w:tr>
      <w:tr w:rsidR="00710393" w:rsidRPr="000A5826" w14:paraId="1C5CE481" w14:textId="77777777" w:rsidTr="006C14E4">
        <w:trPr>
          <w:trHeight w:val="301"/>
        </w:trPr>
        <w:tc>
          <w:tcPr>
            <w:tcW w:w="1858" w:type="pct"/>
            <w:vMerge w:val="restart"/>
            <w:tcBorders>
              <w:top w:val="outset" w:sz="6" w:space="0" w:color="auto"/>
              <w:left w:val="outset" w:sz="6" w:space="0" w:color="auto"/>
              <w:right w:val="outset" w:sz="6" w:space="0" w:color="auto"/>
            </w:tcBorders>
            <w:shd w:val="clear" w:color="auto" w:fill="FFFFFF"/>
            <w:hideMark/>
          </w:tcPr>
          <w:p w14:paraId="7224927D" w14:textId="77777777" w:rsidR="00710393" w:rsidRPr="003E78EA" w:rsidRDefault="00710393" w:rsidP="00381032">
            <w:pPr>
              <w:spacing w:line="195" w:lineRule="atLeast"/>
              <w:rPr>
                <w:color w:val="000000"/>
                <w:lang w:val="lt-LT"/>
              </w:rPr>
            </w:pPr>
            <w:r w:rsidRPr="003E78EA">
              <w:rPr>
                <w:color w:val="000000"/>
                <w:lang w:val="lt-LT"/>
              </w:rPr>
              <w:t>Nervų sistemos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0014AB3E"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3FA174E" w14:textId="77777777" w:rsidR="00710393" w:rsidRPr="003E78EA" w:rsidRDefault="00710393" w:rsidP="00381032">
            <w:pPr>
              <w:spacing w:line="195" w:lineRule="atLeast"/>
              <w:rPr>
                <w:color w:val="000000"/>
                <w:lang w:val="lt-LT"/>
              </w:rPr>
            </w:pPr>
            <w:r w:rsidRPr="003E78EA">
              <w:rPr>
                <w:color w:val="000000"/>
                <w:lang w:val="lt-LT"/>
              </w:rPr>
              <w:t>Koma</w:t>
            </w:r>
          </w:p>
        </w:tc>
      </w:tr>
      <w:tr w:rsidR="00710393" w:rsidRPr="000A5826" w14:paraId="3919F605"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32B6EFD2"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2F1B25A7"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F8053C1" w14:textId="6DFC9A5F" w:rsidR="00710393" w:rsidRPr="003E78EA" w:rsidRDefault="00710393" w:rsidP="00381032">
            <w:pPr>
              <w:spacing w:line="195" w:lineRule="atLeast"/>
              <w:rPr>
                <w:color w:val="000000"/>
                <w:lang w:val="lt-LT"/>
              </w:rPr>
            </w:pPr>
            <w:r w:rsidRPr="003E78EA">
              <w:rPr>
                <w:color w:val="000000"/>
                <w:lang w:val="lt-LT"/>
              </w:rPr>
              <w:t>Paralyžius</w:t>
            </w:r>
          </w:p>
        </w:tc>
      </w:tr>
      <w:tr w:rsidR="00710393" w:rsidRPr="000A5826" w14:paraId="475AB9A0"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33FFEEAA"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7C73C938"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0FB64E8" w14:textId="77777777" w:rsidR="00710393" w:rsidRPr="003E78EA" w:rsidRDefault="00710393" w:rsidP="00381032">
            <w:pPr>
              <w:spacing w:line="195" w:lineRule="atLeast"/>
              <w:rPr>
                <w:color w:val="000000"/>
                <w:lang w:val="lt-LT"/>
              </w:rPr>
            </w:pPr>
            <w:r w:rsidRPr="003E78EA">
              <w:rPr>
                <w:color w:val="000000"/>
                <w:lang w:val="lt-LT"/>
              </w:rPr>
              <w:t>Ataksija</w:t>
            </w:r>
          </w:p>
        </w:tc>
      </w:tr>
      <w:tr w:rsidR="00710393" w:rsidRPr="000A5826" w14:paraId="16B96822"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7E900271"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75BAB41D"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169CC189" w14:textId="77777777" w:rsidR="00710393" w:rsidRPr="003E78EA" w:rsidRDefault="00710393" w:rsidP="00381032">
            <w:pPr>
              <w:spacing w:line="195" w:lineRule="atLeast"/>
              <w:rPr>
                <w:color w:val="000000"/>
                <w:lang w:val="lt-LT"/>
              </w:rPr>
            </w:pPr>
            <w:r w:rsidRPr="003E78EA">
              <w:rPr>
                <w:color w:val="000000"/>
                <w:lang w:val="lt-LT"/>
              </w:rPr>
              <w:t>Periferinė neuropatija</w:t>
            </w:r>
          </w:p>
        </w:tc>
      </w:tr>
      <w:tr w:rsidR="00710393" w:rsidRPr="000A5826" w14:paraId="4CB90D5C"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61DC9F24"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67D20A28"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FDC97D0" w14:textId="77777777" w:rsidR="00710393" w:rsidRPr="003E78EA" w:rsidRDefault="00710393" w:rsidP="00381032">
            <w:pPr>
              <w:spacing w:line="195" w:lineRule="atLeast"/>
              <w:rPr>
                <w:color w:val="000000"/>
                <w:lang w:val="lt-LT"/>
              </w:rPr>
            </w:pPr>
            <w:r w:rsidRPr="003E78EA">
              <w:rPr>
                <w:color w:val="000000"/>
                <w:lang w:val="lt-LT"/>
              </w:rPr>
              <w:t>Parestezija</w:t>
            </w:r>
          </w:p>
        </w:tc>
      </w:tr>
      <w:tr w:rsidR="00710393" w:rsidRPr="000A5826" w14:paraId="1A37C935"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72425391"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758CD703"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7217950" w14:textId="77777777" w:rsidR="00710393" w:rsidRPr="003E78EA" w:rsidRDefault="00710393" w:rsidP="00381032">
            <w:pPr>
              <w:spacing w:line="195" w:lineRule="atLeast"/>
              <w:rPr>
                <w:color w:val="000000"/>
                <w:lang w:val="lt-LT"/>
              </w:rPr>
            </w:pPr>
            <w:r w:rsidRPr="003E78EA">
              <w:rPr>
                <w:color w:val="000000"/>
                <w:lang w:val="lt-LT"/>
              </w:rPr>
              <w:t>Mieguistumas</w:t>
            </w:r>
          </w:p>
        </w:tc>
      </w:tr>
      <w:tr w:rsidR="00710393" w:rsidRPr="000A5826" w14:paraId="24AD6E01"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692EB33E"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3F9F4C2E"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5D3A67D0" w14:textId="77777777" w:rsidR="00710393" w:rsidRPr="003E78EA" w:rsidRDefault="00710393" w:rsidP="00381032">
            <w:pPr>
              <w:spacing w:line="195" w:lineRule="atLeast"/>
              <w:rPr>
                <w:color w:val="000000"/>
                <w:lang w:val="lt-LT"/>
              </w:rPr>
            </w:pPr>
            <w:r w:rsidRPr="003E78EA">
              <w:rPr>
                <w:color w:val="000000"/>
                <w:lang w:val="lt-LT"/>
              </w:rPr>
              <w:t>Galvos skausmas</w:t>
            </w:r>
          </w:p>
        </w:tc>
      </w:tr>
      <w:tr w:rsidR="00710393" w:rsidRPr="000A5826" w14:paraId="6E6B97FA" w14:textId="77777777" w:rsidTr="006C14E4">
        <w:trPr>
          <w:trHeight w:val="301"/>
        </w:trPr>
        <w:tc>
          <w:tcPr>
            <w:tcW w:w="1858" w:type="pct"/>
            <w:vMerge/>
            <w:tcBorders>
              <w:left w:val="outset" w:sz="6" w:space="0" w:color="auto"/>
              <w:right w:val="outset" w:sz="6" w:space="0" w:color="auto"/>
            </w:tcBorders>
            <w:shd w:val="clear" w:color="auto" w:fill="FFFFFF"/>
            <w:vAlign w:val="center"/>
            <w:hideMark/>
          </w:tcPr>
          <w:p w14:paraId="2C61F53B"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45099C3E"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1CBBDF20" w14:textId="77777777" w:rsidR="00710393" w:rsidRPr="003E78EA" w:rsidRDefault="00710393" w:rsidP="00381032">
            <w:pPr>
              <w:spacing w:line="195" w:lineRule="atLeast"/>
              <w:rPr>
                <w:color w:val="000000"/>
                <w:lang w:val="lt-LT"/>
              </w:rPr>
            </w:pPr>
            <w:r w:rsidRPr="003E78EA">
              <w:rPr>
                <w:color w:val="000000"/>
                <w:lang w:val="lt-LT"/>
              </w:rPr>
              <w:t>Disgeuzija</w:t>
            </w:r>
          </w:p>
        </w:tc>
      </w:tr>
      <w:tr w:rsidR="00027D66" w:rsidRPr="000A5826" w14:paraId="53F89A25" w14:textId="77777777" w:rsidTr="00F569BB">
        <w:trPr>
          <w:trHeight w:val="301"/>
        </w:trPr>
        <w:tc>
          <w:tcPr>
            <w:tcW w:w="1858" w:type="pct"/>
            <w:vMerge/>
            <w:tcBorders>
              <w:left w:val="outset" w:sz="6" w:space="0" w:color="auto"/>
              <w:bottom w:val="outset" w:sz="6" w:space="0" w:color="auto"/>
              <w:right w:val="outset" w:sz="6" w:space="0" w:color="auto"/>
            </w:tcBorders>
            <w:shd w:val="clear" w:color="auto" w:fill="FFFFFF"/>
            <w:vAlign w:val="center"/>
          </w:tcPr>
          <w:p w14:paraId="6745F741" w14:textId="77777777" w:rsidR="00027D66" w:rsidRPr="003E78EA" w:rsidRDefault="00027D66" w:rsidP="00381032">
            <w:pPr>
              <w:rPr>
                <w:color w:val="000000"/>
                <w:lang w:val="lt-LT"/>
              </w:rPr>
            </w:pPr>
          </w:p>
        </w:tc>
        <w:tc>
          <w:tcPr>
            <w:tcW w:w="1039" w:type="pct"/>
            <w:tcBorders>
              <w:left w:val="outset" w:sz="6" w:space="0" w:color="auto"/>
              <w:bottom w:val="outset" w:sz="6" w:space="0" w:color="auto"/>
              <w:right w:val="outset" w:sz="6" w:space="0" w:color="auto"/>
            </w:tcBorders>
            <w:shd w:val="clear" w:color="auto" w:fill="FFFFFF"/>
          </w:tcPr>
          <w:p w14:paraId="022B5A8C" w14:textId="5A55D8B1" w:rsidR="00027D66" w:rsidRPr="003E78EA" w:rsidRDefault="00367ACB" w:rsidP="00381032">
            <w:pPr>
              <w:spacing w:line="195" w:lineRule="atLeast"/>
              <w:rPr>
                <w:color w:val="000000"/>
                <w:lang w:val="lt-LT"/>
              </w:rPr>
            </w:pPr>
            <w:r>
              <w:rPr>
                <w:color w:val="000000"/>
                <w:lang w:val="lt-LT"/>
              </w:rPr>
              <w:t>N</w:t>
            </w:r>
            <w:r w:rsidR="00027D66">
              <w:rPr>
                <w:color w:val="000000"/>
                <w:lang w:val="lt-LT"/>
              </w:rPr>
              <w:t>ežinomas</w:t>
            </w: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543D6FD8" w14:textId="6563F853" w:rsidR="00027D66" w:rsidRPr="003E78EA" w:rsidRDefault="00027D66" w:rsidP="00381032">
            <w:pPr>
              <w:spacing w:line="195" w:lineRule="atLeast"/>
              <w:rPr>
                <w:color w:val="000000"/>
                <w:lang w:val="lt-LT"/>
              </w:rPr>
            </w:pPr>
            <w:r w:rsidRPr="00027D66">
              <w:rPr>
                <w:color w:val="000000"/>
                <w:lang w:val="lt-LT"/>
              </w:rPr>
              <w:t>Aseptinis meningitas</w:t>
            </w:r>
          </w:p>
        </w:tc>
      </w:tr>
      <w:tr w:rsidR="00710393" w:rsidRPr="000A5826" w14:paraId="33B47774" w14:textId="77777777" w:rsidTr="00381032">
        <w:trPr>
          <w:trHeight w:val="291"/>
        </w:trPr>
        <w:tc>
          <w:tcPr>
            <w:tcW w:w="1858" w:type="pct"/>
            <w:vMerge w:val="restart"/>
            <w:tcBorders>
              <w:top w:val="outset" w:sz="6" w:space="0" w:color="auto"/>
              <w:left w:val="outset" w:sz="6" w:space="0" w:color="auto"/>
              <w:right w:val="outset" w:sz="6" w:space="0" w:color="auto"/>
            </w:tcBorders>
            <w:shd w:val="clear" w:color="auto" w:fill="FFFFFF"/>
            <w:hideMark/>
          </w:tcPr>
          <w:p w14:paraId="30B24B5B" w14:textId="77777777" w:rsidR="00710393" w:rsidRPr="003E78EA" w:rsidRDefault="00710393" w:rsidP="00381032">
            <w:pPr>
              <w:spacing w:line="195" w:lineRule="atLeast"/>
              <w:rPr>
                <w:color w:val="000000"/>
                <w:lang w:val="lt-LT"/>
              </w:rPr>
            </w:pPr>
            <w:r w:rsidRPr="003E78EA">
              <w:rPr>
                <w:color w:val="000000"/>
                <w:lang w:val="lt-LT"/>
              </w:rPr>
              <w:t>Akių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4301AD83"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26A510F" w14:textId="77777777" w:rsidR="00710393" w:rsidRPr="003E78EA" w:rsidRDefault="00710393" w:rsidP="00381032">
            <w:pPr>
              <w:adjustRightInd w:val="0"/>
              <w:rPr>
                <w:color w:val="000000"/>
                <w:lang w:val="lt-LT"/>
              </w:rPr>
            </w:pPr>
            <w:r w:rsidRPr="003E78EA">
              <w:rPr>
                <w:color w:val="000000"/>
                <w:lang w:val="lt-LT"/>
              </w:rPr>
              <w:t>Katarakta</w:t>
            </w:r>
          </w:p>
        </w:tc>
      </w:tr>
      <w:tr w:rsidR="00710393" w:rsidRPr="000A5826" w14:paraId="3697240D" w14:textId="77777777" w:rsidTr="00381032">
        <w:trPr>
          <w:trHeight w:val="211"/>
        </w:trPr>
        <w:tc>
          <w:tcPr>
            <w:tcW w:w="1858" w:type="pct"/>
            <w:vMerge/>
            <w:tcBorders>
              <w:left w:val="outset" w:sz="6" w:space="0" w:color="auto"/>
              <w:right w:val="outset" w:sz="6" w:space="0" w:color="auto"/>
            </w:tcBorders>
            <w:shd w:val="clear" w:color="auto" w:fill="FFFFFF"/>
          </w:tcPr>
          <w:p w14:paraId="2D57702A" w14:textId="77777777" w:rsidR="00710393" w:rsidRPr="003E78EA"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0E76B8A1"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7B95A2E5" w14:textId="77777777" w:rsidR="00710393" w:rsidRPr="003E78EA" w:rsidRDefault="00710393" w:rsidP="00381032">
            <w:pPr>
              <w:adjustRightInd w:val="0"/>
              <w:rPr>
                <w:color w:val="000000"/>
                <w:lang w:val="lt-LT"/>
              </w:rPr>
            </w:pPr>
            <w:r w:rsidRPr="003E78EA">
              <w:rPr>
                <w:color w:val="000000"/>
                <w:lang w:val="lt-LT"/>
              </w:rPr>
              <w:t>Regėjimo sutrikimas</w:t>
            </w:r>
          </w:p>
        </w:tc>
      </w:tr>
      <w:tr w:rsidR="00710393" w:rsidRPr="000A5826" w14:paraId="150E3D46" w14:textId="77777777" w:rsidTr="00381032">
        <w:trPr>
          <w:trHeight w:val="300"/>
        </w:trPr>
        <w:tc>
          <w:tcPr>
            <w:tcW w:w="1858" w:type="pct"/>
            <w:vMerge/>
            <w:tcBorders>
              <w:left w:val="outset" w:sz="6" w:space="0" w:color="auto"/>
              <w:bottom w:val="outset" w:sz="6" w:space="0" w:color="auto"/>
              <w:right w:val="outset" w:sz="6" w:space="0" w:color="auto"/>
            </w:tcBorders>
            <w:shd w:val="clear" w:color="auto" w:fill="FFFFFF"/>
          </w:tcPr>
          <w:p w14:paraId="5F4EE01C" w14:textId="77777777" w:rsidR="00710393" w:rsidRPr="003E78EA" w:rsidRDefault="00710393" w:rsidP="00381032">
            <w:pPr>
              <w:spacing w:line="195" w:lineRule="atLeast"/>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6FF886C2"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2C56B298" w14:textId="77777777" w:rsidR="00710393" w:rsidRPr="003E78EA" w:rsidRDefault="00710393" w:rsidP="00381032">
            <w:pPr>
              <w:adjustRightInd w:val="0"/>
              <w:rPr>
                <w:color w:val="000000"/>
                <w:lang w:val="lt-LT"/>
              </w:rPr>
            </w:pPr>
            <w:r w:rsidRPr="003E78EA">
              <w:rPr>
                <w:color w:val="000000"/>
                <w:lang w:val="lt-LT"/>
              </w:rPr>
              <w:t>Makulopatija</w:t>
            </w:r>
          </w:p>
        </w:tc>
      </w:tr>
      <w:tr w:rsidR="00710393" w:rsidRPr="000A5826" w14:paraId="1EF7D30D" w14:textId="77777777" w:rsidTr="00381032">
        <w:trPr>
          <w:trHeight w:val="290"/>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5E5167EA" w14:textId="77777777" w:rsidR="00710393" w:rsidRPr="003E78EA" w:rsidRDefault="00710393" w:rsidP="00381032">
            <w:pPr>
              <w:spacing w:line="195" w:lineRule="atLeast"/>
              <w:rPr>
                <w:color w:val="000000"/>
                <w:lang w:val="lt-LT"/>
              </w:rPr>
            </w:pPr>
            <w:r w:rsidRPr="003E78EA">
              <w:rPr>
                <w:color w:val="000000"/>
                <w:lang w:val="lt-LT"/>
              </w:rPr>
              <w:t>Ausų ir labirinto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740C72C4"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1C9BC596" w14:textId="0EBB1DA2" w:rsidR="00710393" w:rsidRPr="003E78EA" w:rsidRDefault="00721B6F" w:rsidP="00721B6F">
            <w:pPr>
              <w:spacing w:line="195" w:lineRule="atLeast"/>
              <w:rPr>
                <w:color w:val="000000"/>
                <w:lang w:val="lt-LT"/>
              </w:rPr>
            </w:pPr>
            <w:r w:rsidRPr="003E78EA">
              <w:rPr>
                <w:color w:val="000000"/>
                <w:lang w:val="lt-LT"/>
              </w:rPr>
              <w:t>Galvos svaigimas (</w:t>
            </w:r>
            <w:r w:rsidRPr="003E78EA">
              <w:rPr>
                <w:i/>
                <w:color w:val="000000"/>
                <w:lang w:val="lt-LT"/>
              </w:rPr>
              <w:t>vertigo</w:t>
            </w:r>
            <w:r w:rsidRPr="003E78EA">
              <w:rPr>
                <w:color w:val="000000"/>
                <w:lang w:val="lt-LT"/>
              </w:rPr>
              <w:t>)</w:t>
            </w:r>
            <w:r w:rsidRPr="003E78EA">
              <w:rPr>
                <w:i/>
                <w:color w:val="000000"/>
                <w:lang w:val="lt-LT"/>
              </w:rPr>
              <w:t xml:space="preserve"> </w:t>
            </w:r>
          </w:p>
        </w:tc>
      </w:tr>
      <w:tr w:rsidR="00710393" w:rsidRPr="000A5826" w14:paraId="21CE760F" w14:textId="77777777" w:rsidTr="00381032">
        <w:trPr>
          <w:trHeight w:val="258"/>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24685F1C" w14:textId="77777777" w:rsidR="00710393" w:rsidRPr="003E78EA" w:rsidRDefault="00710393" w:rsidP="00381032">
            <w:pPr>
              <w:spacing w:line="195" w:lineRule="atLeast"/>
              <w:rPr>
                <w:color w:val="000000"/>
                <w:lang w:val="lt-LT"/>
              </w:rPr>
            </w:pPr>
            <w:r w:rsidRPr="003E78EA">
              <w:rPr>
                <w:color w:val="000000"/>
                <w:lang w:val="lt-LT"/>
              </w:rPr>
              <w:t>Širdies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5315704A"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881ACC8" w14:textId="77777777" w:rsidR="00710393" w:rsidRPr="003E78EA" w:rsidRDefault="00710393" w:rsidP="00381032">
            <w:pPr>
              <w:spacing w:line="195" w:lineRule="atLeast"/>
              <w:rPr>
                <w:color w:val="000000"/>
                <w:lang w:val="lt-LT"/>
              </w:rPr>
            </w:pPr>
            <w:r w:rsidRPr="003E78EA">
              <w:rPr>
                <w:color w:val="000000"/>
                <w:lang w:val="lt-LT"/>
              </w:rPr>
              <w:t>Krūtinės angina </w:t>
            </w:r>
          </w:p>
        </w:tc>
      </w:tr>
      <w:tr w:rsidR="00710393" w:rsidRPr="000A5826" w14:paraId="61C0006A" w14:textId="77777777" w:rsidTr="00381032">
        <w:trPr>
          <w:trHeight w:val="258"/>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93EB9A"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hideMark/>
          </w:tcPr>
          <w:p w14:paraId="2DC237BB"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EE0D109" w14:textId="77777777" w:rsidR="00710393" w:rsidRPr="003E78EA" w:rsidRDefault="00710393" w:rsidP="00381032">
            <w:pPr>
              <w:spacing w:line="195" w:lineRule="atLeast"/>
              <w:rPr>
                <w:color w:val="000000"/>
                <w:lang w:val="lt-LT"/>
              </w:rPr>
            </w:pPr>
            <w:r w:rsidRPr="003E78EA">
              <w:rPr>
                <w:color w:val="000000"/>
                <w:lang w:val="lt-LT"/>
              </w:rPr>
              <w:t>Bradikardija</w:t>
            </w:r>
          </w:p>
        </w:tc>
      </w:tr>
      <w:tr w:rsidR="00710393" w:rsidRPr="000A5826" w14:paraId="78D5EC78" w14:textId="77777777" w:rsidTr="00381032">
        <w:trPr>
          <w:trHeight w:val="290"/>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1DDCBA8D" w14:textId="77777777" w:rsidR="00710393" w:rsidRPr="003E78EA" w:rsidRDefault="00710393" w:rsidP="00381032">
            <w:pPr>
              <w:spacing w:line="195" w:lineRule="atLeast"/>
              <w:rPr>
                <w:color w:val="000000"/>
                <w:lang w:val="lt-LT"/>
              </w:rPr>
            </w:pPr>
            <w:r w:rsidRPr="003E78EA">
              <w:rPr>
                <w:color w:val="000000"/>
                <w:lang w:val="lt-LT"/>
              </w:rPr>
              <w:t>Kraujagyslių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37ED771C"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2BFF3661" w14:textId="77777777" w:rsidR="00710393" w:rsidRPr="003E78EA" w:rsidRDefault="00710393" w:rsidP="00381032">
            <w:pPr>
              <w:spacing w:line="195" w:lineRule="atLeast"/>
              <w:rPr>
                <w:color w:val="000000"/>
                <w:lang w:val="lt-LT"/>
              </w:rPr>
            </w:pPr>
            <w:r w:rsidRPr="003E78EA">
              <w:rPr>
                <w:color w:val="000000"/>
                <w:lang w:val="lt-LT"/>
              </w:rPr>
              <w:t>Hipertenzija</w:t>
            </w:r>
          </w:p>
        </w:tc>
      </w:tr>
      <w:tr w:rsidR="00710393" w:rsidRPr="000A5826" w14:paraId="3D794B98" w14:textId="77777777" w:rsidTr="00381032">
        <w:trPr>
          <w:trHeight w:val="301"/>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1DDB181" w14:textId="77777777" w:rsidR="00710393" w:rsidRPr="003E78EA" w:rsidRDefault="00710393" w:rsidP="00381032">
            <w:pPr>
              <w:spacing w:line="195" w:lineRule="atLeast"/>
              <w:rPr>
                <w:color w:val="000000"/>
                <w:lang w:val="lt-LT"/>
              </w:rPr>
            </w:pPr>
            <w:r w:rsidRPr="003E78EA">
              <w:rPr>
                <w:color w:val="000000"/>
                <w:lang w:val="lt-LT"/>
              </w:rPr>
              <w:t>Virškinimo trakto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70EF69B8" w14:textId="77777777" w:rsidR="00710393" w:rsidRPr="003E78EA" w:rsidRDefault="00710393" w:rsidP="00381032">
            <w:pPr>
              <w:spacing w:line="195" w:lineRule="atLeast"/>
              <w:rPr>
                <w:color w:val="000000"/>
                <w:lang w:val="lt-LT"/>
              </w:rPr>
            </w:pPr>
            <w:r w:rsidRPr="003E78EA">
              <w:rPr>
                <w:color w:val="000000"/>
                <w:lang w:val="lt-LT"/>
              </w:rPr>
              <w:t>Nedažnas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2BB7991A" w14:textId="77777777" w:rsidR="00710393" w:rsidRPr="003E78EA" w:rsidRDefault="00710393" w:rsidP="00381032">
            <w:pPr>
              <w:spacing w:line="195" w:lineRule="atLeast"/>
              <w:rPr>
                <w:color w:val="000000"/>
                <w:lang w:val="lt-LT"/>
              </w:rPr>
            </w:pPr>
            <w:r w:rsidRPr="003E78EA">
              <w:rPr>
                <w:color w:val="000000"/>
                <w:lang w:val="lt-LT"/>
              </w:rPr>
              <w:t>Vėmimas</w:t>
            </w:r>
            <w:r w:rsidRPr="003E78EA">
              <w:rPr>
                <w:color w:val="000000"/>
                <w:vertAlign w:val="superscript"/>
                <w:lang w:val="lt-LT"/>
              </w:rPr>
              <w:t>4</w:t>
            </w:r>
          </w:p>
        </w:tc>
      </w:tr>
      <w:tr w:rsidR="00710393" w:rsidRPr="000A5826" w14:paraId="260CC65D"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55D531"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hideMark/>
          </w:tcPr>
          <w:p w14:paraId="04E0A3E1"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8FB9195" w14:textId="3B6C91B7" w:rsidR="00710393" w:rsidRPr="003E78EA" w:rsidRDefault="00710393" w:rsidP="00381032">
            <w:pPr>
              <w:spacing w:line="195" w:lineRule="atLeast"/>
              <w:rPr>
                <w:color w:val="000000"/>
                <w:lang w:val="lt-LT"/>
              </w:rPr>
            </w:pPr>
            <w:r w:rsidRPr="003E78EA">
              <w:rPr>
                <w:color w:val="000000"/>
                <w:lang w:val="lt-LT"/>
              </w:rPr>
              <w:t>Pykinimas</w:t>
            </w:r>
            <w:r w:rsidRPr="003E78EA">
              <w:rPr>
                <w:color w:val="000000"/>
                <w:vertAlign w:val="superscript"/>
                <w:lang w:val="lt-LT"/>
              </w:rPr>
              <w:t>4</w:t>
            </w:r>
          </w:p>
        </w:tc>
      </w:tr>
      <w:tr w:rsidR="00710393" w:rsidRPr="000A5826" w14:paraId="592580C4"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tcPr>
          <w:p w14:paraId="5322B154"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74F9D1A8"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2EED1AAF" w14:textId="77777777" w:rsidR="00710393" w:rsidRPr="003E78EA" w:rsidRDefault="00710393" w:rsidP="00381032">
            <w:pPr>
              <w:spacing w:line="195" w:lineRule="atLeast"/>
              <w:rPr>
                <w:color w:val="000000"/>
                <w:lang w:val="lt-LT"/>
              </w:rPr>
            </w:pPr>
            <w:r w:rsidRPr="003E78EA">
              <w:rPr>
                <w:color w:val="000000"/>
                <w:lang w:val="lt-LT"/>
              </w:rPr>
              <w:t>Viduriavimas</w:t>
            </w:r>
          </w:p>
        </w:tc>
      </w:tr>
      <w:tr w:rsidR="00710393" w:rsidRPr="000A5826" w14:paraId="37EFB783"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C9CD34" w14:textId="77777777" w:rsidR="00710393" w:rsidRPr="003E78EA" w:rsidRDefault="00710393" w:rsidP="00381032">
            <w:pPr>
              <w:rPr>
                <w:color w:val="000000"/>
                <w:lang w:val="lt-LT"/>
              </w:rPr>
            </w:pPr>
          </w:p>
        </w:tc>
        <w:tc>
          <w:tcPr>
            <w:tcW w:w="1039" w:type="pct"/>
            <w:vMerge w:val="restart"/>
            <w:tcBorders>
              <w:top w:val="outset" w:sz="6" w:space="0" w:color="auto"/>
              <w:left w:val="outset" w:sz="6" w:space="0" w:color="auto"/>
              <w:right w:val="outset" w:sz="6" w:space="0" w:color="auto"/>
            </w:tcBorders>
            <w:shd w:val="clear" w:color="auto" w:fill="FFFFFF"/>
            <w:hideMark/>
          </w:tcPr>
          <w:p w14:paraId="6ED1E9E0" w14:textId="77777777" w:rsidR="00710393" w:rsidRPr="003E78EA" w:rsidRDefault="00710393" w:rsidP="00381032">
            <w:pPr>
              <w:spacing w:line="195" w:lineRule="atLeast"/>
              <w:rPr>
                <w:color w:val="000000"/>
                <w:lang w:val="lt-LT"/>
              </w:rPr>
            </w:pPr>
            <w:r w:rsidRPr="003E78EA">
              <w:rPr>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6063A1A" w14:textId="77777777" w:rsidR="00710393" w:rsidRPr="003E78EA" w:rsidRDefault="00710393" w:rsidP="00381032">
            <w:pPr>
              <w:spacing w:line="195" w:lineRule="atLeast"/>
              <w:rPr>
                <w:color w:val="000000"/>
                <w:lang w:val="lt-LT"/>
              </w:rPr>
            </w:pPr>
            <w:r w:rsidRPr="003E78EA">
              <w:rPr>
                <w:color w:val="000000"/>
                <w:lang w:val="lt-LT"/>
              </w:rPr>
              <w:t>Hematemezė</w:t>
            </w:r>
          </w:p>
        </w:tc>
      </w:tr>
      <w:tr w:rsidR="00710393" w:rsidRPr="000A5826" w14:paraId="05D13A5E"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5FDBAF"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327B79CE"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45FC9447" w14:textId="77777777" w:rsidR="00710393" w:rsidRPr="003E78EA" w:rsidRDefault="00710393" w:rsidP="00381032">
            <w:pPr>
              <w:spacing w:line="195" w:lineRule="atLeast"/>
              <w:rPr>
                <w:color w:val="000000"/>
                <w:lang w:val="lt-LT"/>
              </w:rPr>
            </w:pPr>
            <w:r w:rsidRPr="003E78EA">
              <w:rPr>
                <w:color w:val="000000"/>
                <w:lang w:val="lt-LT"/>
              </w:rPr>
              <w:t>Steatorėja</w:t>
            </w:r>
          </w:p>
        </w:tc>
      </w:tr>
      <w:tr w:rsidR="00710393" w:rsidRPr="000A5826" w14:paraId="43E1772A"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B8E211"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3DC58FAD"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5F25B018" w14:textId="77777777" w:rsidR="00710393" w:rsidRPr="003E78EA" w:rsidRDefault="00710393" w:rsidP="00381032">
            <w:pPr>
              <w:spacing w:line="195" w:lineRule="atLeast"/>
              <w:rPr>
                <w:color w:val="000000"/>
                <w:lang w:val="lt-LT"/>
              </w:rPr>
            </w:pPr>
            <w:r w:rsidRPr="003E78EA">
              <w:rPr>
                <w:color w:val="000000"/>
                <w:lang w:val="lt-LT"/>
              </w:rPr>
              <w:t>Stomatitas</w:t>
            </w:r>
          </w:p>
        </w:tc>
      </w:tr>
      <w:tr w:rsidR="00710393" w:rsidRPr="000A5826" w14:paraId="5A24A8EB" w14:textId="77777777" w:rsidTr="00381032">
        <w:trPr>
          <w:trHeight w:val="301"/>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A5560F"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50E34215"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396B0828" w14:textId="77777777" w:rsidR="00710393" w:rsidRPr="003E78EA" w:rsidRDefault="00710393" w:rsidP="00381032">
            <w:pPr>
              <w:spacing w:line="195" w:lineRule="atLeast"/>
              <w:rPr>
                <w:color w:val="000000"/>
                <w:lang w:val="lt-LT"/>
              </w:rPr>
            </w:pPr>
            <w:r w:rsidRPr="003E78EA">
              <w:rPr>
                <w:color w:val="000000"/>
                <w:lang w:val="lt-LT"/>
              </w:rPr>
              <w:t>Vidurių veiklos pokyčiai</w:t>
            </w:r>
          </w:p>
        </w:tc>
      </w:tr>
      <w:tr w:rsidR="00710393" w:rsidRPr="00AE6E76" w14:paraId="0A7442C4" w14:textId="77777777" w:rsidTr="00381032">
        <w:trPr>
          <w:trHeight w:val="230"/>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4B7116AA" w14:textId="77777777" w:rsidR="00710393" w:rsidRPr="003E78EA" w:rsidRDefault="00710393" w:rsidP="00381032">
            <w:pPr>
              <w:spacing w:line="195" w:lineRule="atLeast"/>
              <w:rPr>
                <w:color w:val="000000"/>
                <w:lang w:val="lt-LT"/>
              </w:rPr>
            </w:pPr>
            <w:r w:rsidRPr="003E78EA">
              <w:rPr>
                <w:color w:val="000000"/>
                <w:lang w:val="lt-LT"/>
              </w:rPr>
              <w:t>Kepenų, tulžies pūslės ir latakų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4C7F42B0" w14:textId="77777777" w:rsidR="00710393" w:rsidRPr="003E78EA" w:rsidRDefault="00710393" w:rsidP="00381032">
            <w:pPr>
              <w:spacing w:line="195" w:lineRule="atLeast"/>
              <w:rPr>
                <w:color w:val="000000"/>
                <w:lang w:val="lt-LT"/>
              </w:rPr>
            </w:pPr>
            <w:r w:rsidRPr="003E78EA">
              <w:rPr>
                <w:color w:val="000000"/>
                <w:lang w:val="lt-LT"/>
              </w:rPr>
              <w:t>Nedažnas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492E25FD" w14:textId="77777777" w:rsidR="00710393" w:rsidRPr="003E78EA" w:rsidRDefault="00710393" w:rsidP="00381032">
            <w:pPr>
              <w:spacing w:line="195" w:lineRule="atLeast"/>
              <w:rPr>
                <w:color w:val="000000"/>
                <w:lang w:val="lt-LT"/>
              </w:rPr>
            </w:pPr>
            <w:r w:rsidRPr="003E78EA">
              <w:rPr>
                <w:color w:val="000000"/>
                <w:lang w:val="lt-LT"/>
              </w:rPr>
              <w:t>Normos neatitinkantys kepenų funkcijos tyrimų rezultatai</w:t>
            </w:r>
            <w:r w:rsidRPr="003E78EA">
              <w:rPr>
                <w:color w:val="000000"/>
                <w:vertAlign w:val="superscript"/>
                <w:lang w:val="lt-LT"/>
              </w:rPr>
              <w:t>5</w:t>
            </w:r>
          </w:p>
        </w:tc>
      </w:tr>
      <w:tr w:rsidR="00710393" w:rsidRPr="00AE6E76" w14:paraId="5EE38A21" w14:textId="77777777" w:rsidTr="00381032">
        <w:trPr>
          <w:trHeight w:val="320"/>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32033D" w14:textId="77777777" w:rsidR="00710393" w:rsidRPr="003E78EA" w:rsidRDefault="00710393" w:rsidP="00381032">
            <w:pPr>
              <w:rPr>
                <w:color w:val="000000"/>
                <w:lang w:val="lt-LT"/>
              </w:rPr>
            </w:pP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7EB3112D" w14:textId="77777777" w:rsidR="00710393" w:rsidRPr="003E78EA" w:rsidRDefault="00710393" w:rsidP="00381032">
            <w:pPr>
              <w:spacing w:line="195" w:lineRule="atLeast"/>
              <w:rPr>
                <w:color w:val="000000"/>
                <w:lang w:val="lt-LT"/>
              </w:rPr>
            </w:pPr>
            <w:r w:rsidRPr="003E78EA">
              <w:rPr>
                <w:color w:val="000000"/>
                <w:lang w:val="lt-LT"/>
              </w:rPr>
              <w:t>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36A6D945" w14:textId="77777777" w:rsidR="00710393" w:rsidRPr="003E78EA" w:rsidRDefault="00710393" w:rsidP="00381032">
            <w:pPr>
              <w:spacing w:line="195" w:lineRule="atLeast"/>
              <w:rPr>
                <w:color w:val="000000"/>
                <w:lang w:val="lt-LT"/>
              </w:rPr>
            </w:pPr>
            <w:r w:rsidRPr="003E78EA">
              <w:rPr>
                <w:color w:val="000000"/>
                <w:lang w:val="lt-LT"/>
              </w:rPr>
              <w:t>Hepatitas (įskaitant kepenų nekrozę ir</w:t>
            </w:r>
          </w:p>
          <w:p w14:paraId="39E9F187" w14:textId="77777777" w:rsidR="00710393" w:rsidRPr="003E78EA" w:rsidRDefault="00710393" w:rsidP="00381032">
            <w:pPr>
              <w:spacing w:line="195" w:lineRule="atLeast"/>
              <w:rPr>
                <w:color w:val="000000"/>
                <w:lang w:val="lt-LT"/>
              </w:rPr>
            </w:pPr>
            <w:r w:rsidRPr="003E78EA">
              <w:rPr>
                <w:color w:val="000000"/>
                <w:lang w:val="lt-LT"/>
              </w:rPr>
              <w:t>granulomatinį hepatitą)</w:t>
            </w:r>
            <w:r w:rsidRPr="003E78EA">
              <w:rPr>
                <w:color w:val="000000"/>
                <w:vertAlign w:val="superscript"/>
                <w:lang w:val="lt-LT"/>
              </w:rPr>
              <w:t>5</w:t>
            </w:r>
          </w:p>
        </w:tc>
      </w:tr>
      <w:tr w:rsidR="0027612D" w:rsidRPr="000A5826" w14:paraId="5662B63C" w14:textId="77777777" w:rsidTr="00395059">
        <w:trPr>
          <w:trHeight w:val="301"/>
        </w:trPr>
        <w:tc>
          <w:tcPr>
            <w:tcW w:w="1858" w:type="pct"/>
            <w:vMerge w:val="restart"/>
            <w:tcBorders>
              <w:top w:val="outset" w:sz="6" w:space="0" w:color="auto"/>
              <w:left w:val="outset" w:sz="6" w:space="0" w:color="auto"/>
              <w:right w:val="outset" w:sz="6" w:space="0" w:color="auto"/>
            </w:tcBorders>
            <w:shd w:val="clear" w:color="auto" w:fill="FFFFFF"/>
            <w:hideMark/>
          </w:tcPr>
          <w:p w14:paraId="5A36F5C5" w14:textId="77777777" w:rsidR="0027612D" w:rsidRPr="003E78EA" w:rsidRDefault="0027612D" w:rsidP="00381032">
            <w:pPr>
              <w:spacing w:line="195" w:lineRule="atLeast"/>
              <w:rPr>
                <w:color w:val="000000"/>
                <w:lang w:val="lt-LT"/>
              </w:rPr>
            </w:pPr>
            <w:r w:rsidRPr="003E78EA">
              <w:rPr>
                <w:color w:val="000000"/>
                <w:lang w:val="lt-LT"/>
              </w:rPr>
              <w:t>Odos ir poodinio audinio sutrikimai</w:t>
            </w: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097F61FC" w14:textId="77777777" w:rsidR="0027612D" w:rsidRPr="003E78EA" w:rsidRDefault="0027612D" w:rsidP="00381032">
            <w:pPr>
              <w:spacing w:line="195" w:lineRule="atLeast"/>
              <w:rPr>
                <w:color w:val="000000"/>
                <w:lang w:val="lt-LT"/>
              </w:rPr>
            </w:pPr>
            <w:r w:rsidRPr="003E78EA">
              <w:rPr>
                <w:color w:val="000000"/>
                <w:lang w:val="lt-LT"/>
              </w:rPr>
              <w:t>Dažnas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6DEA4BC" w14:textId="4F1EE65B" w:rsidR="0027612D" w:rsidRPr="003E78EA" w:rsidRDefault="0027612D" w:rsidP="00381032">
            <w:pPr>
              <w:spacing w:line="195" w:lineRule="atLeast"/>
              <w:rPr>
                <w:color w:val="000000"/>
                <w:lang w:val="lt-LT"/>
              </w:rPr>
            </w:pPr>
            <w:r w:rsidRPr="003E78EA">
              <w:rPr>
                <w:color w:val="000000"/>
                <w:lang w:val="lt-LT"/>
              </w:rPr>
              <w:t>Išbėrimas</w:t>
            </w:r>
          </w:p>
        </w:tc>
      </w:tr>
      <w:tr w:rsidR="0027612D" w:rsidRPr="00AE6E76" w14:paraId="2CEC560D" w14:textId="77777777" w:rsidTr="00395059">
        <w:trPr>
          <w:trHeight w:val="301"/>
        </w:trPr>
        <w:tc>
          <w:tcPr>
            <w:tcW w:w="1858" w:type="pct"/>
            <w:vMerge/>
            <w:tcBorders>
              <w:left w:val="outset" w:sz="6" w:space="0" w:color="auto"/>
              <w:right w:val="outset" w:sz="6" w:space="0" w:color="auto"/>
            </w:tcBorders>
            <w:shd w:val="clear" w:color="auto" w:fill="FFFFFF"/>
            <w:vAlign w:val="center"/>
            <w:hideMark/>
          </w:tcPr>
          <w:p w14:paraId="23F5F20B" w14:textId="77777777" w:rsidR="0027612D" w:rsidRPr="003E78EA" w:rsidRDefault="0027612D" w:rsidP="00381032">
            <w:pPr>
              <w:rPr>
                <w:color w:val="000000"/>
                <w:lang w:val="lt-LT"/>
              </w:rPr>
            </w:pPr>
          </w:p>
        </w:tc>
        <w:tc>
          <w:tcPr>
            <w:tcW w:w="1039" w:type="pct"/>
            <w:tcBorders>
              <w:top w:val="outset" w:sz="6" w:space="0" w:color="auto"/>
              <w:left w:val="outset" w:sz="6" w:space="0" w:color="auto"/>
              <w:bottom w:val="outset" w:sz="6" w:space="0" w:color="auto"/>
              <w:right w:val="outset" w:sz="6" w:space="0" w:color="auto"/>
            </w:tcBorders>
            <w:shd w:val="clear" w:color="auto" w:fill="FFFFFF"/>
            <w:hideMark/>
          </w:tcPr>
          <w:p w14:paraId="2D534619" w14:textId="77777777" w:rsidR="0027612D" w:rsidRPr="003E78EA" w:rsidRDefault="0027612D" w:rsidP="00381032">
            <w:pPr>
              <w:spacing w:line="195" w:lineRule="atLeast"/>
              <w:rPr>
                <w:color w:val="000000"/>
                <w:lang w:val="lt-LT"/>
              </w:rPr>
            </w:pPr>
            <w:r w:rsidRPr="003E78EA">
              <w:rPr>
                <w:color w:val="000000"/>
                <w:lang w:val="lt-LT"/>
              </w:rPr>
              <w:t>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6EB4E61A" w14:textId="6F7818D5" w:rsidR="0027612D" w:rsidRPr="003E78EA" w:rsidRDefault="0027612D" w:rsidP="00381032">
            <w:pPr>
              <w:spacing w:line="195" w:lineRule="atLeast"/>
              <w:rPr>
                <w:color w:val="000000"/>
                <w:lang w:val="lt-LT"/>
              </w:rPr>
            </w:pPr>
            <w:r w:rsidRPr="003E78EA">
              <w:rPr>
                <w:color w:val="000000"/>
                <w:lang w:val="lt-LT"/>
              </w:rPr>
              <w:t>Stivenso-Džonsono (</w:t>
            </w:r>
            <w:r w:rsidRPr="003E78EA">
              <w:rPr>
                <w:i/>
                <w:color w:val="000000"/>
                <w:lang w:val="lt-LT"/>
              </w:rPr>
              <w:t>Stevens-Johnson</w:t>
            </w:r>
            <w:r w:rsidRPr="003E78EA">
              <w:rPr>
                <w:color w:val="000000"/>
                <w:lang w:val="lt-LT"/>
              </w:rPr>
              <w:t xml:space="preserve">) </w:t>
            </w:r>
            <w:r w:rsidRPr="003E78EA">
              <w:rPr>
                <w:color w:val="000000"/>
                <w:lang w:val="lt-LT"/>
              </w:rPr>
              <w:lastRenderedPageBreak/>
              <w:t>sindromas / toksinė</w:t>
            </w:r>
            <w:r w:rsidRPr="003E78EA">
              <w:rPr>
                <w:lang w:val="lt-LT"/>
              </w:rPr>
              <w:t xml:space="preserve"> </w:t>
            </w:r>
            <w:r w:rsidRPr="003E78EA">
              <w:rPr>
                <w:color w:val="000000"/>
                <w:lang w:val="lt-LT"/>
              </w:rPr>
              <w:t>epidermio nekrolizė</w:t>
            </w:r>
            <w:r w:rsidRPr="003E78EA">
              <w:rPr>
                <w:color w:val="000000"/>
                <w:vertAlign w:val="superscript"/>
                <w:lang w:val="lt-LT"/>
              </w:rPr>
              <w:t>6</w:t>
            </w:r>
          </w:p>
        </w:tc>
      </w:tr>
      <w:tr w:rsidR="0027612D" w:rsidRPr="000A5826" w14:paraId="0D7A4B77" w14:textId="77777777" w:rsidTr="00395059">
        <w:trPr>
          <w:trHeight w:val="301"/>
        </w:trPr>
        <w:tc>
          <w:tcPr>
            <w:tcW w:w="1858" w:type="pct"/>
            <w:vMerge/>
            <w:tcBorders>
              <w:left w:val="outset" w:sz="6" w:space="0" w:color="auto"/>
              <w:right w:val="outset" w:sz="6" w:space="0" w:color="auto"/>
            </w:tcBorders>
            <w:shd w:val="clear" w:color="auto" w:fill="FFFFFF"/>
            <w:vAlign w:val="center"/>
            <w:hideMark/>
          </w:tcPr>
          <w:p w14:paraId="01AE0C10" w14:textId="77777777" w:rsidR="0027612D" w:rsidRPr="003E78EA" w:rsidRDefault="0027612D" w:rsidP="00381032">
            <w:pPr>
              <w:rPr>
                <w:color w:val="000000"/>
                <w:lang w:val="lt-LT"/>
              </w:rPr>
            </w:pPr>
          </w:p>
        </w:tc>
        <w:tc>
          <w:tcPr>
            <w:tcW w:w="1039" w:type="pct"/>
            <w:vMerge w:val="restart"/>
            <w:tcBorders>
              <w:top w:val="outset" w:sz="6" w:space="0" w:color="auto"/>
              <w:left w:val="outset" w:sz="6" w:space="0" w:color="auto"/>
              <w:right w:val="outset" w:sz="6" w:space="0" w:color="auto"/>
            </w:tcBorders>
            <w:shd w:val="clear" w:color="auto" w:fill="FFFFFF"/>
            <w:hideMark/>
          </w:tcPr>
          <w:p w14:paraId="0D118567" w14:textId="77777777" w:rsidR="0027612D" w:rsidRPr="003E78EA" w:rsidRDefault="0027612D"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4376DC0" w14:textId="6D5D932B" w:rsidR="0027612D" w:rsidRPr="003E78EA" w:rsidRDefault="0027612D" w:rsidP="00381032">
            <w:pPr>
              <w:spacing w:line="195" w:lineRule="atLeast"/>
              <w:rPr>
                <w:color w:val="000000"/>
                <w:lang w:val="lt-LT"/>
              </w:rPr>
            </w:pPr>
            <w:r w:rsidRPr="003E78EA">
              <w:rPr>
                <w:color w:val="000000"/>
                <w:lang w:val="lt-LT"/>
              </w:rPr>
              <w:t>Angioedema</w:t>
            </w:r>
            <w:r w:rsidRPr="003E78EA">
              <w:rPr>
                <w:color w:val="000000"/>
                <w:vertAlign w:val="superscript"/>
                <w:lang w:val="lt-LT"/>
              </w:rPr>
              <w:t>7</w:t>
            </w:r>
          </w:p>
        </w:tc>
      </w:tr>
      <w:tr w:rsidR="0027612D" w:rsidRPr="000A5826" w14:paraId="0BD0DB2C" w14:textId="77777777" w:rsidTr="00395059">
        <w:trPr>
          <w:trHeight w:val="301"/>
        </w:trPr>
        <w:tc>
          <w:tcPr>
            <w:tcW w:w="1858" w:type="pct"/>
            <w:vMerge/>
            <w:tcBorders>
              <w:left w:val="outset" w:sz="6" w:space="0" w:color="auto"/>
              <w:right w:val="outset" w:sz="6" w:space="0" w:color="auto"/>
            </w:tcBorders>
            <w:shd w:val="clear" w:color="auto" w:fill="FFFFFF"/>
            <w:vAlign w:val="center"/>
            <w:hideMark/>
          </w:tcPr>
          <w:p w14:paraId="27ADCE01" w14:textId="77777777" w:rsidR="0027612D" w:rsidRPr="003E78EA" w:rsidRDefault="0027612D" w:rsidP="00381032">
            <w:pPr>
              <w:rPr>
                <w:color w:val="000000"/>
                <w:lang w:val="lt-LT"/>
              </w:rPr>
            </w:pPr>
          </w:p>
        </w:tc>
        <w:tc>
          <w:tcPr>
            <w:tcW w:w="1039" w:type="pct"/>
            <w:vMerge/>
            <w:tcBorders>
              <w:left w:val="outset" w:sz="6" w:space="0" w:color="auto"/>
              <w:right w:val="outset" w:sz="6" w:space="0" w:color="auto"/>
            </w:tcBorders>
            <w:shd w:val="clear" w:color="auto" w:fill="FFFFFF"/>
          </w:tcPr>
          <w:p w14:paraId="51C4B190" w14:textId="77777777" w:rsidR="0027612D" w:rsidRPr="003E78EA" w:rsidRDefault="0027612D"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01DCB9CF" w14:textId="39E3D920" w:rsidR="0027612D" w:rsidRPr="003E78EA" w:rsidRDefault="0027612D" w:rsidP="00381032">
            <w:pPr>
              <w:spacing w:line="195" w:lineRule="atLeast"/>
              <w:rPr>
                <w:color w:val="000000"/>
                <w:lang w:val="lt-LT"/>
              </w:rPr>
            </w:pPr>
            <w:r w:rsidRPr="003E78EA">
              <w:rPr>
                <w:u w:val="single"/>
                <w:lang w:val="lt-LT"/>
              </w:rPr>
              <w:t>Vaistinio preparato sukeltas išbėrimas</w:t>
            </w:r>
          </w:p>
        </w:tc>
      </w:tr>
      <w:tr w:rsidR="0027612D" w:rsidRPr="000A5826" w14:paraId="651E430A" w14:textId="77777777" w:rsidTr="00395059">
        <w:trPr>
          <w:trHeight w:val="301"/>
        </w:trPr>
        <w:tc>
          <w:tcPr>
            <w:tcW w:w="1858" w:type="pct"/>
            <w:vMerge/>
            <w:tcBorders>
              <w:left w:val="outset" w:sz="6" w:space="0" w:color="auto"/>
              <w:right w:val="outset" w:sz="6" w:space="0" w:color="auto"/>
            </w:tcBorders>
            <w:shd w:val="clear" w:color="auto" w:fill="FFFFFF"/>
            <w:vAlign w:val="center"/>
            <w:hideMark/>
          </w:tcPr>
          <w:p w14:paraId="6674D777" w14:textId="77777777" w:rsidR="0027612D" w:rsidRPr="003E78EA" w:rsidRDefault="0027612D" w:rsidP="00381032">
            <w:pPr>
              <w:rPr>
                <w:color w:val="000000"/>
                <w:lang w:val="lt-LT"/>
              </w:rPr>
            </w:pPr>
          </w:p>
        </w:tc>
        <w:tc>
          <w:tcPr>
            <w:tcW w:w="1039" w:type="pct"/>
            <w:vMerge/>
            <w:tcBorders>
              <w:left w:val="outset" w:sz="6" w:space="0" w:color="auto"/>
              <w:right w:val="outset" w:sz="6" w:space="0" w:color="auto"/>
            </w:tcBorders>
            <w:shd w:val="clear" w:color="auto" w:fill="FFFFFF"/>
          </w:tcPr>
          <w:p w14:paraId="2B7ACEB5" w14:textId="77777777" w:rsidR="0027612D" w:rsidRPr="003E78EA" w:rsidRDefault="0027612D"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2158C22F" w14:textId="750D67E1" w:rsidR="0027612D" w:rsidRPr="003E78EA" w:rsidRDefault="0027612D" w:rsidP="00381032">
            <w:pPr>
              <w:spacing w:line="195" w:lineRule="atLeast"/>
              <w:rPr>
                <w:color w:val="000000"/>
                <w:lang w:val="lt-LT"/>
              </w:rPr>
            </w:pPr>
            <w:r w:rsidRPr="003E78EA">
              <w:rPr>
                <w:color w:val="000000"/>
                <w:lang w:val="lt-LT"/>
              </w:rPr>
              <w:t>Plikimas</w:t>
            </w:r>
          </w:p>
        </w:tc>
      </w:tr>
      <w:tr w:rsidR="0027612D" w:rsidRPr="000A5826" w14:paraId="06D6FC79" w14:textId="77777777" w:rsidTr="00395059">
        <w:trPr>
          <w:trHeight w:val="301"/>
        </w:trPr>
        <w:tc>
          <w:tcPr>
            <w:tcW w:w="1858" w:type="pct"/>
            <w:vMerge/>
            <w:tcBorders>
              <w:left w:val="outset" w:sz="6" w:space="0" w:color="auto"/>
              <w:right w:val="outset" w:sz="6" w:space="0" w:color="auto"/>
            </w:tcBorders>
            <w:shd w:val="clear" w:color="auto" w:fill="FFFFFF"/>
            <w:vAlign w:val="center"/>
            <w:hideMark/>
          </w:tcPr>
          <w:p w14:paraId="54FEB8CA" w14:textId="77777777" w:rsidR="0027612D" w:rsidRPr="003E78EA" w:rsidRDefault="0027612D"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4B03F546" w14:textId="77777777" w:rsidR="0027612D" w:rsidRPr="003E78EA" w:rsidRDefault="0027612D"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1E55ABD" w14:textId="1E5718FA" w:rsidR="0027612D" w:rsidRPr="003E78EA" w:rsidRDefault="0027612D" w:rsidP="00381032">
            <w:pPr>
              <w:spacing w:line="195" w:lineRule="atLeast"/>
              <w:rPr>
                <w:color w:val="000000"/>
                <w:lang w:val="lt-LT"/>
              </w:rPr>
            </w:pPr>
            <w:r w:rsidRPr="003E78EA">
              <w:rPr>
                <w:color w:val="000000"/>
                <w:lang w:val="lt-LT"/>
              </w:rPr>
              <w:t>Plaukų spalvos pakitimai</w:t>
            </w:r>
          </w:p>
        </w:tc>
      </w:tr>
      <w:tr w:rsidR="0027612D" w:rsidRPr="00AE6E76" w14:paraId="16CD8A55" w14:textId="77777777" w:rsidTr="00395059">
        <w:trPr>
          <w:trHeight w:val="301"/>
        </w:trPr>
        <w:tc>
          <w:tcPr>
            <w:tcW w:w="1858" w:type="pct"/>
            <w:vMerge/>
            <w:tcBorders>
              <w:left w:val="outset" w:sz="6" w:space="0" w:color="auto"/>
              <w:bottom w:val="outset" w:sz="6" w:space="0" w:color="auto"/>
              <w:right w:val="outset" w:sz="6" w:space="0" w:color="auto"/>
            </w:tcBorders>
            <w:shd w:val="clear" w:color="auto" w:fill="FFFFFF"/>
            <w:vAlign w:val="center"/>
          </w:tcPr>
          <w:p w14:paraId="5D25E7CD" w14:textId="77777777" w:rsidR="0027612D" w:rsidRPr="003E78EA" w:rsidRDefault="0027612D" w:rsidP="00381032">
            <w:pPr>
              <w:rPr>
                <w:color w:val="000000"/>
                <w:lang w:val="lt-LT"/>
              </w:rPr>
            </w:pPr>
          </w:p>
        </w:tc>
        <w:tc>
          <w:tcPr>
            <w:tcW w:w="1039" w:type="pct"/>
            <w:tcBorders>
              <w:left w:val="outset" w:sz="6" w:space="0" w:color="auto"/>
              <w:bottom w:val="outset" w:sz="6" w:space="0" w:color="auto"/>
              <w:right w:val="outset" w:sz="6" w:space="0" w:color="auto"/>
            </w:tcBorders>
            <w:shd w:val="clear" w:color="auto" w:fill="FFFFFF"/>
          </w:tcPr>
          <w:p w14:paraId="123A9EA9" w14:textId="60972FB9" w:rsidR="0027612D" w:rsidRPr="003E78EA" w:rsidRDefault="008E5D8D" w:rsidP="00381032">
            <w:pPr>
              <w:spacing w:line="195" w:lineRule="atLeast"/>
              <w:rPr>
                <w:color w:val="000000"/>
                <w:lang w:val="lt-LT"/>
              </w:rPr>
            </w:pPr>
            <w:r>
              <w:rPr>
                <w:color w:val="000000"/>
                <w:lang w:val="lt-LT"/>
              </w:rPr>
              <w:t>Dažnis nežinomas</w:t>
            </w: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6DE5752F" w14:textId="68C338A6" w:rsidR="0027612D" w:rsidRPr="003E78EA" w:rsidRDefault="008E5D8D" w:rsidP="00381032">
            <w:pPr>
              <w:spacing w:line="195" w:lineRule="atLeast"/>
              <w:rPr>
                <w:color w:val="000000"/>
                <w:lang w:val="lt-LT"/>
              </w:rPr>
            </w:pPr>
            <w:r>
              <w:rPr>
                <w:color w:val="000000"/>
                <w:lang w:val="lt-LT"/>
              </w:rPr>
              <w:t>Lichenoidinė reakcija į vaist</w:t>
            </w:r>
            <w:r w:rsidR="004400EF">
              <w:rPr>
                <w:color w:val="000000"/>
                <w:lang w:val="lt-LT"/>
              </w:rPr>
              <w:t>inį preparatą</w:t>
            </w:r>
          </w:p>
        </w:tc>
      </w:tr>
      <w:tr w:rsidR="00710393" w:rsidRPr="000A5826" w14:paraId="17E25481" w14:textId="77777777" w:rsidTr="00381032">
        <w:trPr>
          <w:trHeight w:val="301"/>
        </w:trPr>
        <w:tc>
          <w:tcPr>
            <w:tcW w:w="1858" w:type="pct"/>
            <w:tcBorders>
              <w:top w:val="outset" w:sz="6" w:space="0" w:color="auto"/>
              <w:left w:val="outset" w:sz="6" w:space="0" w:color="auto"/>
              <w:bottom w:val="outset" w:sz="6" w:space="0" w:color="auto"/>
              <w:right w:val="outset" w:sz="6" w:space="0" w:color="auto"/>
            </w:tcBorders>
            <w:shd w:val="clear" w:color="auto" w:fill="FFFFFF"/>
            <w:vAlign w:val="center"/>
          </w:tcPr>
          <w:p w14:paraId="00A07285" w14:textId="77777777" w:rsidR="00710393" w:rsidRPr="003E78EA" w:rsidRDefault="00710393" w:rsidP="00381032">
            <w:pPr>
              <w:rPr>
                <w:color w:val="000000"/>
                <w:lang w:val="lt-LT"/>
              </w:rPr>
            </w:pPr>
            <w:r w:rsidRPr="003E78EA">
              <w:rPr>
                <w:lang w:val="lt-LT"/>
              </w:rPr>
              <w:t>Skeleto, raumenų ir jungiamojo audinio sutrikimai</w:t>
            </w:r>
          </w:p>
        </w:tc>
        <w:tc>
          <w:tcPr>
            <w:tcW w:w="1039" w:type="pct"/>
            <w:tcBorders>
              <w:left w:val="outset" w:sz="6" w:space="0" w:color="auto"/>
              <w:bottom w:val="outset" w:sz="6" w:space="0" w:color="auto"/>
              <w:right w:val="outset" w:sz="6" w:space="0" w:color="auto"/>
            </w:tcBorders>
            <w:shd w:val="clear" w:color="auto" w:fill="FFFFFF"/>
          </w:tcPr>
          <w:p w14:paraId="26561383"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4F374F19" w14:textId="77777777" w:rsidR="00710393" w:rsidRPr="003E78EA" w:rsidRDefault="00710393" w:rsidP="00381032">
            <w:pPr>
              <w:spacing w:line="195" w:lineRule="atLeast"/>
              <w:rPr>
                <w:color w:val="000000"/>
                <w:lang w:val="lt-LT"/>
              </w:rPr>
            </w:pPr>
            <w:r w:rsidRPr="003E78EA">
              <w:rPr>
                <w:lang w:val="lt-LT"/>
              </w:rPr>
              <w:t>Raumenų skausmas</w:t>
            </w:r>
          </w:p>
        </w:tc>
      </w:tr>
      <w:tr w:rsidR="00710393" w:rsidRPr="000A5826" w14:paraId="756A6A04" w14:textId="77777777" w:rsidTr="00381032">
        <w:trPr>
          <w:trHeight w:val="270"/>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0D08F8F" w14:textId="77777777" w:rsidR="00710393" w:rsidRPr="003E78EA" w:rsidRDefault="00710393" w:rsidP="00381032">
            <w:pPr>
              <w:spacing w:line="195" w:lineRule="atLeast"/>
              <w:rPr>
                <w:color w:val="000000"/>
                <w:lang w:val="lt-LT"/>
              </w:rPr>
            </w:pPr>
            <w:r w:rsidRPr="003E78EA">
              <w:rPr>
                <w:color w:val="000000"/>
                <w:lang w:val="lt-LT"/>
              </w:rPr>
              <w:t>Inkstų ir šlapimo takų sutrikimai</w:t>
            </w:r>
          </w:p>
        </w:tc>
        <w:tc>
          <w:tcPr>
            <w:tcW w:w="1039" w:type="pct"/>
            <w:tcBorders>
              <w:top w:val="outset" w:sz="6" w:space="0" w:color="auto"/>
              <w:left w:val="outset" w:sz="6" w:space="0" w:color="auto"/>
              <w:bottom w:val="single" w:sz="4" w:space="0" w:color="auto"/>
              <w:right w:val="outset" w:sz="6" w:space="0" w:color="auto"/>
            </w:tcBorders>
            <w:shd w:val="clear" w:color="auto" w:fill="FFFFFF"/>
            <w:hideMark/>
          </w:tcPr>
          <w:p w14:paraId="3C2051B8" w14:textId="77777777" w:rsidR="00710393" w:rsidRPr="003E78EA" w:rsidRDefault="00710393" w:rsidP="00381032">
            <w:pPr>
              <w:spacing w:line="195" w:lineRule="atLeast"/>
              <w:rPr>
                <w:color w:val="000000"/>
                <w:lang w:val="lt-LT"/>
              </w:rPr>
            </w:pPr>
            <w:r w:rsidRPr="003E78EA">
              <w:rPr>
                <w:color w:val="000000"/>
                <w:lang w:val="lt-LT"/>
              </w:rPr>
              <w:t>Retas</w:t>
            </w:r>
          </w:p>
        </w:tc>
        <w:tc>
          <w:tcPr>
            <w:tcW w:w="2102" w:type="pct"/>
            <w:tcBorders>
              <w:top w:val="outset" w:sz="6" w:space="0" w:color="auto"/>
              <w:left w:val="outset" w:sz="6" w:space="0" w:color="auto"/>
              <w:bottom w:val="single" w:sz="4" w:space="0" w:color="auto"/>
              <w:right w:val="outset" w:sz="6" w:space="0" w:color="auto"/>
            </w:tcBorders>
            <w:shd w:val="clear" w:color="auto" w:fill="FFFFFF"/>
            <w:hideMark/>
          </w:tcPr>
          <w:p w14:paraId="3EEBC17B" w14:textId="0E65FA93" w:rsidR="00710393" w:rsidRPr="003E78EA" w:rsidRDefault="00710393" w:rsidP="00381032">
            <w:pPr>
              <w:spacing w:line="195" w:lineRule="atLeast"/>
              <w:rPr>
                <w:color w:val="000000"/>
                <w:lang w:val="lt-LT"/>
              </w:rPr>
            </w:pPr>
            <w:r w:rsidRPr="003E78EA">
              <w:rPr>
                <w:color w:val="000000"/>
                <w:lang w:val="lt-LT"/>
              </w:rPr>
              <w:t>Urolitiazė</w:t>
            </w:r>
          </w:p>
        </w:tc>
      </w:tr>
      <w:tr w:rsidR="00710393" w:rsidRPr="000A5826" w14:paraId="39096905" w14:textId="77777777" w:rsidTr="00381032">
        <w:trPr>
          <w:trHeight w:val="255"/>
        </w:trPr>
        <w:tc>
          <w:tcPr>
            <w:tcW w:w="1858" w:type="pct"/>
            <w:vMerge/>
            <w:tcBorders>
              <w:top w:val="outset" w:sz="6" w:space="0" w:color="auto"/>
              <w:left w:val="outset" w:sz="6" w:space="0" w:color="auto"/>
              <w:bottom w:val="outset" w:sz="6" w:space="0" w:color="auto"/>
              <w:right w:val="outset" w:sz="6" w:space="0" w:color="auto"/>
            </w:tcBorders>
            <w:shd w:val="clear" w:color="auto" w:fill="FFFFFF"/>
          </w:tcPr>
          <w:p w14:paraId="0E720F98" w14:textId="77777777" w:rsidR="00710393" w:rsidRPr="003E78EA" w:rsidRDefault="00710393" w:rsidP="00381032">
            <w:pPr>
              <w:spacing w:line="195" w:lineRule="atLeast"/>
              <w:rPr>
                <w:color w:val="000000"/>
                <w:lang w:val="lt-LT"/>
              </w:rPr>
            </w:pPr>
          </w:p>
        </w:tc>
        <w:tc>
          <w:tcPr>
            <w:tcW w:w="1039" w:type="pct"/>
            <w:vMerge w:val="restart"/>
            <w:tcBorders>
              <w:top w:val="single" w:sz="4" w:space="0" w:color="auto"/>
              <w:left w:val="outset" w:sz="6" w:space="0" w:color="auto"/>
              <w:right w:val="outset" w:sz="6" w:space="0" w:color="auto"/>
            </w:tcBorders>
            <w:shd w:val="clear" w:color="auto" w:fill="FFFFFF"/>
          </w:tcPr>
          <w:p w14:paraId="48CD02AD"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single" w:sz="4" w:space="0" w:color="auto"/>
              <w:left w:val="outset" w:sz="6" w:space="0" w:color="auto"/>
              <w:bottom w:val="outset" w:sz="6" w:space="0" w:color="auto"/>
              <w:right w:val="outset" w:sz="6" w:space="0" w:color="auto"/>
            </w:tcBorders>
            <w:shd w:val="clear" w:color="auto" w:fill="FFFFFF"/>
          </w:tcPr>
          <w:p w14:paraId="7BEC731F" w14:textId="77777777" w:rsidR="00710393" w:rsidRPr="003E78EA" w:rsidRDefault="00710393" w:rsidP="00381032">
            <w:pPr>
              <w:spacing w:line="195" w:lineRule="atLeast"/>
              <w:rPr>
                <w:color w:val="000000"/>
                <w:lang w:val="lt-LT"/>
              </w:rPr>
            </w:pPr>
            <w:r w:rsidRPr="003E78EA">
              <w:rPr>
                <w:color w:val="000000"/>
                <w:lang w:val="lt-LT"/>
              </w:rPr>
              <w:t>Hematurija</w:t>
            </w:r>
          </w:p>
        </w:tc>
      </w:tr>
      <w:tr w:rsidR="00710393" w:rsidRPr="000A5826" w14:paraId="406F5A15" w14:textId="77777777" w:rsidTr="00381032">
        <w:trPr>
          <w:trHeight w:val="344"/>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0EA8ED"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02736A36"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20BE527D" w14:textId="794AA560" w:rsidR="00710393" w:rsidRPr="003E78EA" w:rsidRDefault="00710393" w:rsidP="00381032">
            <w:pPr>
              <w:spacing w:line="195" w:lineRule="atLeast"/>
              <w:rPr>
                <w:color w:val="000000"/>
                <w:lang w:val="lt-LT"/>
              </w:rPr>
            </w:pPr>
            <w:r w:rsidRPr="003E78EA">
              <w:rPr>
                <w:color w:val="000000"/>
                <w:lang w:val="lt-LT"/>
              </w:rPr>
              <w:t>Azotemija</w:t>
            </w:r>
          </w:p>
        </w:tc>
      </w:tr>
      <w:tr w:rsidR="00710393" w:rsidRPr="000A5826" w14:paraId="3DBDF3BD" w14:textId="77777777" w:rsidTr="00381032">
        <w:trPr>
          <w:trHeight w:val="226"/>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0ADFABDA" w14:textId="77777777" w:rsidR="00710393" w:rsidRPr="003E78EA" w:rsidRDefault="00710393" w:rsidP="00381032">
            <w:pPr>
              <w:spacing w:line="195" w:lineRule="atLeast"/>
              <w:rPr>
                <w:color w:val="000000"/>
                <w:lang w:val="lt-LT"/>
              </w:rPr>
            </w:pPr>
            <w:r w:rsidRPr="003E78EA">
              <w:rPr>
                <w:color w:val="000000"/>
                <w:lang w:val="lt-LT"/>
              </w:rPr>
              <w:t>Lytinės sistemos ir krūties sutrikimai</w:t>
            </w:r>
          </w:p>
        </w:tc>
        <w:tc>
          <w:tcPr>
            <w:tcW w:w="1039" w:type="pct"/>
            <w:vMerge w:val="restart"/>
            <w:tcBorders>
              <w:top w:val="outset" w:sz="6" w:space="0" w:color="auto"/>
              <w:left w:val="outset" w:sz="6" w:space="0" w:color="auto"/>
              <w:right w:val="outset" w:sz="6" w:space="0" w:color="auto"/>
            </w:tcBorders>
            <w:shd w:val="clear" w:color="auto" w:fill="FFFFFF"/>
            <w:hideMark/>
          </w:tcPr>
          <w:p w14:paraId="41D083F7" w14:textId="77777777" w:rsidR="00710393" w:rsidRPr="003E78EA" w:rsidRDefault="00710393" w:rsidP="00381032">
            <w:pPr>
              <w:spacing w:line="195" w:lineRule="atLeast"/>
              <w:rPr>
                <w:b/>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763764A" w14:textId="77777777" w:rsidR="00710393" w:rsidRPr="003E78EA" w:rsidRDefault="00710393" w:rsidP="00381032">
            <w:pPr>
              <w:spacing w:line="195" w:lineRule="atLeast"/>
              <w:rPr>
                <w:color w:val="000000"/>
                <w:lang w:val="lt-LT"/>
              </w:rPr>
            </w:pPr>
            <w:r w:rsidRPr="003E78EA">
              <w:rPr>
                <w:color w:val="000000"/>
                <w:lang w:val="lt-LT"/>
              </w:rPr>
              <w:t>Vyrų nevaisingumas</w:t>
            </w:r>
          </w:p>
        </w:tc>
      </w:tr>
      <w:tr w:rsidR="00710393" w:rsidRPr="000A5826" w14:paraId="3FC26B38" w14:textId="77777777" w:rsidTr="00381032">
        <w:trPr>
          <w:trHeight w:val="175"/>
        </w:trPr>
        <w:tc>
          <w:tcPr>
            <w:tcW w:w="1858" w:type="pct"/>
            <w:vMerge/>
            <w:tcBorders>
              <w:top w:val="outset" w:sz="6" w:space="0" w:color="auto"/>
              <w:left w:val="outset" w:sz="6" w:space="0" w:color="auto"/>
              <w:bottom w:val="outset" w:sz="6" w:space="0" w:color="auto"/>
              <w:right w:val="outset" w:sz="6" w:space="0" w:color="auto"/>
            </w:tcBorders>
            <w:shd w:val="clear" w:color="auto" w:fill="FFFFFF"/>
          </w:tcPr>
          <w:p w14:paraId="3B3C6111" w14:textId="77777777" w:rsidR="00710393" w:rsidRPr="003E78EA" w:rsidRDefault="00710393" w:rsidP="00381032">
            <w:pPr>
              <w:spacing w:line="195" w:lineRule="atLeast"/>
              <w:rPr>
                <w:color w:val="000000"/>
                <w:lang w:val="lt-LT"/>
              </w:rPr>
            </w:pPr>
          </w:p>
        </w:tc>
        <w:tc>
          <w:tcPr>
            <w:tcW w:w="1039" w:type="pct"/>
            <w:vMerge/>
            <w:tcBorders>
              <w:left w:val="outset" w:sz="6" w:space="0" w:color="auto"/>
              <w:right w:val="outset" w:sz="6" w:space="0" w:color="auto"/>
            </w:tcBorders>
            <w:shd w:val="clear" w:color="auto" w:fill="FFFFFF"/>
          </w:tcPr>
          <w:p w14:paraId="1664A6FD"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2E66FB46" w14:textId="77777777" w:rsidR="00710393" w:rsidRPr="003E78EA" w:rsidRDefault="00710393" w:rsidP="00381032">
            <w:pPr>
              <w:spacing w:line="195" w:lineRule="atLeast"/>
              <w:rPr>
                <w:color w:val="000000"/>
                <w:lang w:val="lt-LT"/>
              </w:rPr>
            </w:pPr>
            <w:r w:rsidRPr="003E78EA">
              <w:rPr>
                <w:color w:val="000000"/>
                <w:lang w:val="lt-LT"/>
              </w:rPr>
              <w:t>Erekcijos sutrikimas</w:t>
            </w:r>
          </w:p>
        </w:tc>
      </w:tr>
      <w:tr w:rsidR="00710393" w:rsidRPr="000A5826" w14:paraId="7C79FBD2" w14:textId="77777777" w:rsidTr="00381032">
        <w:trPr>
          <w:trHeight w:val="312"/>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98256D"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hideMark/>
          </w:tcPr>
          <w:p w14:paraId="07E09786"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4E21A9C0" w14:textId="3FB75B1F" w:rsidR="00710393" w:rsidRPr="003E78EA" w:rsidRDefault="00710393" w:rsidP="00381032">
            <w:pPr>
              <w:spacing w:line="195" w:lineRule="atLeast"/>
              <w:rPr>
                <w:color w:val="000000"/>
                <w:lang w:val="lt-LT"/>
              </w:rPr>
            </w:pPr>
            <w:r w:rsidRPr="003E78EA">
              <w:rPr>
                <w:color w:val="000000"/>
                <w:lang w:val="lt-LT"/>
              </w:rPr>
              <w:t>Ginekomastija</w:t>
            </w:r>
          </w:p>
        </w:tc>
      </w:tr>
      <w:tr w:rsidR="00710393" w:rsidRPr="000A5826" w14:paraId="44F1AA90" w14:textId="77777777" w:rsidTr="00381032">
        <w:trPr>
          <w:trHeight w:val="290"/>
        </w:trPr>
        <w:tc>
          <w:tcPr>
            <w:tcW w:w="1858"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EBE95A8" w14:textId="77777777" w:rsidR="00710393" w:rsidRPr="003E78EA" w:rsidRDefault="00710393" w:rsidP="00381032">
            <w:pPr>
              <w:spacing w:line="195" w:lineRule="atLeast"/>
              <w:rPr>
                <w:color w:val="000000"/>
                <w:lang w:val="lt-LT"/>
              </w:rPr>
            </w:pPr>
            <w:r w:rsidRPr="003E78EA">
              <w:rPr>
                <w:color w:val="000000"/>
                <w:lang w:val="lt-LT"/>
              </w:rPr>
              <w:t>Bendrieji sutrikimai ir vartojimo vietos pažeidimai</w:t>
            </w:r>
          </w:p>
        </w:tc>
        <w:tc>
          <w:tcPr>
            <w:tcW w:w="1039" w:type="pct"/>
            <w:vMerge w:val="restart"/>
            <w:tcBorders>
              <w:top w:val="outset" w:sz="6" w:space="0" w:color="auto"/>
              <w:left w:val="outset" w:sz="6" w:space="0" w:color="auto"/>
              <w:right w:val="outset" w:sz="6" w:space="0" w:color="auto"/>
            </w:tcBorders>
            <w:shd w:val="clear" w:color="auto" w:fill="FFFFFF"/>
            <w:hideMark/>
          </w:tcPr>
          <w:p w14:paraId="20803D4D" w14:textId="77777777" w:rsidR="00710393" w:rsidRPr="003E78EA" w:rsidRDefault="00710393" w:rsidP="00381032">
            <w:pPr>
              <w:spacing w:line="195" w:lineRule="atLeast"/>
              <w:rPr>
                <w:color w:val="000000"/>
                <w:lang w:val="lt-LT"/>
              </w:rPr>
            </w:pPr>
            <w:r w:rsidRPr="003E78EA">
              <w:rPr>
                <w:color w:val="000000"/>
                <w:lang w:val="lt-LT"/>
              </w:rPr>
              <w:t>Labai retas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72BC82C5" w14:textId="77777777" w:rsidR="00710393" w:rsidRPr="003E78EA" w:rsidRDefault="00710393" w:rsidP="00381032">
            <w:pPr>
              <w:spacing w:line="195" w:lineRule="atLeast"/>
              <w:rPr>
                <w:color w:val="000000"/>
                <w:lang w:val="lt-LT"/>
              </w:rPr>
            </w:pPr>
            <w:r w:rsidRPr="003E78EA">
              <w:rPr>
                <w:color w:val="000000"/>
                <w:lang w:val="lt-LT"/>
              </w:rPr>
              <w:t>Edema</w:t>
            </w:r>
          </w:p>
        </w:tc>
      </w:tr>
      <w:tr w:rsidR="00710393" w:rsidRPr="000A5826" w14:paraId="2D2C0C2E" w14:textId="77777777" w:rsidTr="00381032">
        <w:trPr>
          <w:trHeight w:val="333"/>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293ED7"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775C807D"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32BA3911" w14:textId="77777777" w:rsidR="00710393" w:rsidRPr="003E78EA" w:rsidRDefault="00710393" w:rsidP="00381032">
            <w:pPr>
              <w:spacing w:line="195" w:lineRule="atLeast"/>
              <w:rPr>
                <w:color w:val="000000"/>
                <w:lang w:val="lt-LT"/>
              </w:rPr>
            </w:pPr>
            <w:r w:rsidRPr="003E78EA">
              <w:rPr>
                <w:color w:val="000000"/>
                <w:lang w:val="lt-LT"/>
              </w:rPr>
              <w:t>Sunkumas</w:t>
            </w:r>
          </w:p>
        </w:tc>
      </w:tr>
      <w:tr w:rsidR="00710393" w:rsidRPr="000A5826" w14:paraId="624E65E7" w14:textId="77777777" w:rsidTr="00381032">
        <w:trPr>
          <w:trHeight w:val="344"/>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DC13BC" w14:textId="77777777" w:rsidR="00710393" w:rsidRPr="003E78EA" w:rsidRDefault="00710393" w:rsidP="00381032">
            <w:pPr>
              <w:rPr>
                <w:color w:val="000000"/>
                <w:lang w:val="lt-LT"/>
              </w:rPr>
            </w:pPr>
          </w:p>
        </w:tc>
        <w:tc>
          <w:tcPr>
            <w:tcW w:w="1039" w:type="pct"/>
            <w:vMerge/>
            <w:tcBorders>
              <w:left w:val="outset" w:sz="6" w:space="0" w:color="auto"/>
              <w:right w:val="outset" w:sz="6" w:space="0" w:color="auto"/>
            </w:tcBorders>
            <w:shd w:val="clear" w:color="auto" w:fill="FFFFFF"/>
          </w:tcPr>
          <w:p w14:paraId="4EEDD0AA"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146ADA89" w14:textId="77777777" w:rsidR="00710393" w:rsidRPr="003E78EA" w:rsidRDefault="00710393" w:rsidP="00381032">
            <w:pPr>
              <w:spacing w:line="195" w:lineRule="atLeast"/>
              <w:rPr>
                <w:color w:val="000000"/>
                <w:lang w:val="lt-LT"/>
              </w:rPr>
            </w:pPr>
            <w:r w:rsidRPr="003E78EA">
              <w:rPr>
                <w:color w:val="000000"/>
                <w:lang w:val="lt-LT"/>
              </w:rPr>
              <w:t>Astenija</w:t>
            </w:r>
          </w:p>
        </w:tc>
      </w:tr>
      <w:tr w:rsidR="00710393" w:rsidRPr="000A5826" w14:paraId="162045EB" w14:textId="77777777" w:rsidTr="00381032">
        <w:trPr>
          <w:trHeight w:val="333"/>
        </w:trPr>
        <w:tc>
          <w:tcPr>
            <w:tcW w:w="1858"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A8283B" w14:textId="77777777" w:rsidR="00710393" w:rsidRPr="003E78EA" w:rsidRDefault="00710393" w:rsidP="00381032">
            <w:pPr>
              <w:rPr>
                <w:color w:val="000000"/>
                <w:lang w:val="lt-LT"/>
              </w:rPr>
            </w:pPr>
          </w:p>
        </w:tc>
        <w:tc>
          <w:tcPr>
            <w:tcW w:w="1039" w:type="pct"/>
            <w:vMerge/>
            <w:tcBorders>
              <w:left w:val="outset" w:sz="6" w:space="0" w:color="auto"/>
              <w:bottom w:val="outset" w:sz="6" w:space="0" w:color="auto"/>
              <w:right w:val="outset" w:sz="6" w:space="0" w:color="auto"/>
            </w:tcBorders>
            <w:shd w:val="clear" w:color="auto" w:fill="FFFFFF"/>
          </w:tcPr>
          <w:p w14:paraId="721C4D0D" w14:textId="77777777" w:rsidR="00710393" w:rsidRPr="003E78EA" w:rsidRDefault="00710393" w:rsidP="00381032">
            <w:pPr>
              <w:spacing w:line="195" w:lineRule="atLeast"/>
              <w:rPr>
                <w:color w:val="000000"/>
                <w:lang w:val="lt-LT"/>
              </w:rPr>
            </w:pPr>
          </w:p>
        </w:tc>
        <w:tc>
          <w:tcPr>
            <w:tcW w:w="2102" w:type="pct"/>
            <w:tcBorders>
              <w:top w:val="outset" w:sz="6" w:space="0" w:color="auto"/>
              <w:left w:val="outset" w:sz="6" w:space="0" w:color="auto"/>
              <w:bottom w:val="outset" w:sz="6" w:space="0" w:color="auto"/>
              <w:right w:val="outset" w:sz="6" w:space="0" w:color="auto"/>
            </w:tcBorders>
            <w:shd w:val="clear" w:color="auto" w:fill="FFFFFF"/>
          </w:tcPr>
          <w:p w14:paraId="42C4E209" w14:textId="77777777" w:rsidR="00710393" w:rsidRPr="003E78EA" w:rsidRDefault="00710393" w:rsidP="00381032">
            <w:pPr>
              <w:spacing w:line="195" w:lineRule="atLeast"/>
              <w:rPr>
                <w:color w:val="000000"/>
                <w:lang w:val="lt-LT"/>
              </w:rPr>
            </w:pPr>
            <w:r w:rsidRPr="003E78EA">
              <w:rPr>
                <w:color w:val="000000"/>
                <w:lang w:val="lt-LT"/>
              </w:rPr>
              <w:t>Pireksija</w:t>
            </w:r>
            <w:r w:rsidRPr="003E78EA">
              <w:rPr>
                <w:color w:val="000000"/>
                <w:vertAlign w:val="superscript"/>
                <w:lang w:val="lt-LT"/>
              </w:rPr>
              <w:t>8</w:t>
            </w:r>
          </w:p>
        </w:tc>
      </w:tr>
      <w:tr w:rsidR="00710393" w:rsidRPr="00AE6E76" w14:paraId="04EBA302" w14:textId="77777777" w:rsidTr="00381032">
        <w:trPr>
          <w:trHeight w:val="290"/>
        </w:trPr>
        <w:tc>
          <w:tcPr>
            <w:tcW w:w="1858" w:type="pct"/>
            <w:tcBorders>
              <w:top w:val="outset" w:sz="6" w:space="0" w:color="auto"/>
              <w:left w:val="outset" w:sz="6" w:space="0" w:color="auto"/>
              <w:bottom w:val="outset" w:sz="6" w:space="0" w:color="auto"/>
              <w:right w:val="outset" w:sz="6" w:space="0" w:color="auto"/>
            </w:tcBorders>
            <w:shd w:val="clear" w:color="auto" w:fill="FFFFFF"/>
            <w:hideMark/>
          </w:tcPr>
          <w:p w14:paraId="6F270942" w14:textId="47AF610B" w:rsidR="00710393" w:rsidRPr="003E78EA" w:rsidRDefault="00367ACB" w:rsidP="00381032">
            <w:pPr>
              <w:spacing w:line="195" w:lineRule="atLeast"/>
              <w:rPr>
                <w:color w:val="000000"/>
                <w:lang w:val="lt-LT"/>
              </w:rPr>
            </w:pPr>
            <w:r>
              <w:rPr>
                <w:color w:val="000000"/>
                <w:lang w:val="lt-LT"/>
              </w:rPr>
              <w:t>Tyrimai</w:t>
            </w:r>
          </w:p>
        </w:tc>
        <w:tc>
          <w:tcPr>
            <w:tcW w:w="1039" w:type="pct"/>
            <w:tcBorders>
              <w:top w:val="outset" w:sz="6" w:space="0" w:color="auto"/>
              <w:left w:val="outset" w:sz="6" w:space="0" w:color="auto"/>
              <w:right w:val="outset" w:sz="6" w:space="0" w:color="auto"/>
            </w:tcBorders>
            <w:shd w:val="clear" w:color="auto" w:fill="FFFFFF"/>
            <w:hideMark/>
          </w:tcPr>
          <w:p w14:paraId="479B0E5B" w14:textId="77777777" w:rsidR="00710393" w:rsidRPr="003E78EA" w:rsidRDefault="00710393" w:rsidP="00381032">
            <w:pPr>
              <w:spacing w:line="195" w:lineRule="atLeast"/>
              <w:rPr>
                <w:color w:val="000000"/>
                <w:lang w:val="lt-LT"/>
              </w:rPr>
            </w:pPr>
            <w:r w:rsidRPr="003E78EA">
              <w:rPr>
                <w:color w:val="000000"/>
                <w:lang w:val="lt-LT"/>
              </w:rPr>
              <w:t>Dažnas</w:t>
            </w:r>
          </w:p>
        </w:tc>
        <w:tc>
          <w:tcPr>
            <w:tcW w:w="2102" w:type="pct"/>
            <w:tcBorders>
              <w:top w:val="outset" w:sz="6" w:space="0" w:color="auto"/>
              <w:left w:val="outset" w:sz="6" w:space="0" w:color="auto"/>
              <w:bottom w:val="outset" w:sz="6" w:space="0" w:color="auto"/>
              <w:right w:val="outset" w:sz="6" w:space="0" w:color="auto"/>
            </w:tcBorders>
            <w:shd w:val="clear" w:color="auto" w:fill="FFFFFF"/>
            <w:hideMark/>
          </w:tcPr>
          <w:p w14:paraId="228289C2" w14:textId="2E2AAD8D" w:rsidR="00710393" w:rsidRPr="003E78EA" w:rsidRDefault="00367ACB" w:rsidP="00381032">
            <w:pPr>
              <w:spacing w:line="195" w:lineRule="atLeast"/>
              <w:rPr>
                <w:color w:val="000000"/>
                <w:lang w:val="lt-LT"/>
              </w:rPr>
            </w:pPr>
            <w:r w:rsidRPr="00367ACB">
              <w:rPr>
                <w:color w:val="000000"/>
                <w:lang w:val="lt-LT"/>
              </w:rPr>
              <w:t xml:space="preserve">Skydliaukę stimuliuojančio hormono </w:t>
            </w:r>
            <w:r>
              <w:rPr>
                <w:color w:val="000000"/>
                <w:lang w:val="lt-LT"/>
              </w:rPr>
              <w:t xml:space="preserve">koncentracijos </w:t>
            </w:r>
            <w:r w:rsidRPr="00367ACB">
              <w:rPr>
                <w:color w:val="000000"/>
                <w:lang w:val="lt-LT"/>
              </w:rPr>
              <w:t>padidėjimas kraujyje</w:t>
            </w:r>
            <w:r w:rsidRPr="001B6DD1">
              <w:rPr>
                <w:color w:val="000000"/>
                <w:vertAlign w:val="superscript"/>
                <w:lang w:val="lt-LT"/>
              </w:rPr>
              <w:t>9</w:t>
            </w:r>
          </w:p>
        </w:tc>
      </w:tr>
    </w:tbl>
    <w:p w14:paraId="5ED93ACC" w14:textId="77777777" w:rsidR="00710393" w:rsidRPr="003E78EA" w:rsidRDefault="00710393" w:rsidP="00710393">
      <w:pPr>
        <w:shd w:val="clear" w:color="auto" w:fill="FFFFFF"/>
        <w:spacing w:line="195" w:lineRule="atLeast"/>
        <w:ind w:left="284" w:hanging="284"/>
        <w:rPr>
          <w:color w:val="000000"/>
          <w:lang w:val="lt-LT"/>
        </w:rPr>
      </w:pPr>
      <w:r w:rsidRPr="003E78EA">
        <w:rPr>
          <w:color w:val="000000"/>
          <w:lang w:val="lt-LT"/>
        </w:rPr>
        <w:t>1.  Gauti labai reti pranešimai apie trombocitopeniją, agranulocitozę ir aplastinę anemiją, ypač tarp pacientų, kurių inkstų ir (arba) kepenų funkcija sutrikusi, todėl šioje pacientų grupėje reikia ypatingos priežiūros.</w:t>
      </w:r>
    </w:p>
    <w:p w14:paraId="4EB1915B" w14:textId="77777777" w:rsidR="00710393" w:rsidRPr="003E78EA" w:rsidRDefault="00710393" w:rsidP="00710393">
      <w:pPr>
        <w:shd w:val="clear" w:color="auto" w:fill="FFFFFF"/>
        <w:spacing w:line="195" w:lineRule="atLeast"/>
        <w:ind w:left="284" w:hanging="284"/>
        <w:rPr>
          <w:color w:val="000000"/>
          <w:lang w:val="lt-LT"/>
        </w:rPr>
      </w:pPr>
    </w:p>
    <w:p w14:paraId="0D222375" w14:textId="782F88DA" w:rsidR="00710393" w:rsidRPr="003E78EA" w:rsidRDefault="00710393" w:rsidP="00710393">
      <w:pPr>
        <w:shd w:val="clear" w:color="auto" w:fill="FFFFFF"/>
        <w:spacing w:line="195" w:lineRule="atLeast"/>
        <w:ind w:left="284" w:hanging="284"/>
        <w:rPr>
          <w:color w:val="000000"/>
          <w:lang w:val="lt-LT"/>
        </w:rPr>
      </w:pPr>
      <w:r w:rsidRPr="003E78EA">
        <w:rPr>
          <w:color w:val="000000"/>
          <w:lang w:val="lt-LT"/>
        </w:rPr>
        <w:t>2.  Uždelstas daugybinius organus paveikiantis padidėjusio jautrumo sutrikimas (žinomas kaip padidėjusio jautrumo sindromas arba DRESS), pasireiškiantis įvairiais deriniais su karščiavimu, bėrimu, vaskulitu, limfadenopatija, pseudolimfoma, artralgija, leukopenija, eozinofilija hepatosplenomegalija, normos neatitinkančiais kepenų funkcijos tyrimų rezultatais ir tulžies latakų nykimo sindromu (vidinių tulžies latakų irimu ir nykimu). Gali būti paveikti ir kiti organai (pvz., kepenys, plaučiai, inkstai, kasa, miokardas ir gaubtinė žarna). Jei tokios reakcijos pasireiškia, tai gali įvykti bet kuriuo gydymo metu ir alopurinolio vartojimą būtina nutraukti nedelsiant ir visam laikui. Pacientams, sergantiems padidėjusio jautrumo sindromu ir SJS / TEN, neturėtų būti paskirtas pakartotinas vartojimas. Kortikosteroidai gali būti naudingi norint įveikti padidėjusio jautrumo odos reakcijas. Paprastai generalizuotos padidėjusio jautrumo reakcijos pasireiškė pacientams, turintiems inkstų</w:t>
      </w:r>
      <w:r w:rsidR="00B86AD0" w:rsidRPr="003E78EA">
        <w:rPr>
          <w:color w:val="000000"/>
          <w:lang w:val="lt-LT"/>
        </w:rPr>
        <w:t xml:space="preserve"> funkcijos</w:t>
      </w:r>
      <w:r w:rsidRPr="003E78EA">
        <w:rPr>
          <w:color w:val="000000"/>
          <w:lang w:val="lt-LT"/>
        </w:rPr>
        <w:t xml:space="preserve"> ir (arba) kepenų </w:t>
      </w:r>
      <w:r w:rsidR="00B86AD0" w:rsidRPr="003E78EA">
        <w:rPr>
          <w:color w:val="000000"/>
          <w:lang w:val="lt-LT"/>
        </w:rPr>
        <w:t xml:space="preserve">funkcijos </w:t>
      </w:r>
      <w:r w:rsidRPr="003E78EA">
        <w:rPr>
          <w:color w:val="000000"/>
          <w:lang w:val="lt-LT"/>
        </w:rPr>
        <w:t>sutrikimą, ypač kai baigtis buvo mirtina.</w:t>
      </w:r>
    </w:p>
    <w:p w14:paraId="71B6F959" w14:textId="77777777" w:rsidR="00710393" w:rsidRPr="003E78EA" w:rsidRDefault="00710393" w:rsidP="00710393">
      <w:pPr>
        <w:shd w:val="clear" w:color="auto" w:fill="FFFFFF"/>
        <w:spacing w:line="195" w:lineRule="atLeast"/>
        <w:ind w:left="284" w:hanging="284"/>
        <w:rPr>
          <w:color w:val="000000"/>
          <w:lang w:val="lt-LT"/>
        </w:rPr>
      </w:pPr>
    </w:p>
    <w:p w14:paraId="1388ADDE" w14:textId="77777777" w:rsidR="00710393" w:rsidRPr="003E78EA" w:rsidRDefault="00710393" w:rsidP="00710393">
      <w:pPr>
        <w:shd w:val="clear" w:color="auto" w:fill="FFFFFF"/>
        <w:spacing w:line="195" w:lineRule="atLeast"/>
        <w:ind w:left="284" w:hanging="284"/>
        <w:rPr>
          <w:color w:val="000000"/>
          <w:lang w:val="lt-LT"/>
        </w:rPr>
      </w:pPr>
      <w:r w:rsidRPr="003E78EA">
        <w:rPr>
          <w:color w:val="000000"/>
          <w:lang w:val="lt-LT"/>
        </w:rPr>
        <w:t>3.  Angioimunoblastinė T-ląstelių limfoma apibūdinama labai retai, atlikus generalizuotos limfadenopatijos biopsiją. Paaiškėjo, kad ši būklė grįžtama nutraukus alopurinolio vartojimą.</w:t>
      </w:r>
    </w:p>
    <w:p w14:paraId="7D82CBBA" w14:textId="77777777" w:rsidR="00710393" w:rsidRPr="003E78EA" w:rsidRDefault="00710393" w:rsidP="00710393">
      <w:pPr>
        <w:shd w:val="clear" w:color="auto" w:fill="FFFFFF"/>
        <w:spacing w:line="195" w:lineRule="atLeast"/>
        <w:ind w:left="284" w:hanging="284"/>
        <w:rPr>
          <w:color w:val="000000"/>
          <w:lang w:val="lt-LT"/>
        </w:rPr>
      </w:pPr>
    </w:p>
    <w:p w14:paraId="1DCE939C" w14:textId="77777777" w:rsidR="00710393" w:rsidRPr="003E78EA" w:rsidRDefault="00710393" w:rsidP="00710393">
      <w:pPr>
        <w:shd w:val="clear" w:color="auto" w:fill="FFFFFF"/>
        <w:spacing w:line="195" w:lineRule="atLeast"/>
        <w:ind w:left="284" w:hanging="284"/>
        <w:rPr>
          <w:color w:val="000000"/>
          <w:lang w:val="lt-LT"/>
        </w:rPr>
      </w:pPr>
      <w:r w:rsidRPr="003E78EA">
        <w:rPr>
          <w:color w:val="000000"/>
          <w:lang w:val="lt-LT"/>
        </w:rPr>
        <w:t>4.  Ankstyvųjų klinikinių tyrimų metu buvo pranešta apie pykinimą ir vėmimą. Papildomi pranešimai rodo, kad ši reakcija nėra rimta problema ir jos galima išvengti vartojant alopurinolį po valgio.</w:t>
      </w:r>
    </w:p>
    <w:p w14:paraId="19019706" w14:textId="77777777" w:rsidR="00710393" w:rsidRPr="003E78EA" w:rsidRDefault="00710393" w:rsidP="00710393">
      <w:pPr>
        <w:shd w:val="clear" w:color="auto" w:fill="FFFFFF"/>
        <w:spacing w:line="195" w:lineRule="atLeast"/>
        <w:ind w:left="284" w:hanging="284"/>
        <w:rPr>
          <w:color w:val="000000"/>
          <w:lang w:val="lt-LT"/>
        </w:rPr>
      </w:pPr>
    </w:p>
    <w:p w14:paraId="6D0B825D" w14:textId="77777777" w:rsidR="00710393" w:rsidRPr="003E78EA" w:rsidRDefault="00710393" w:rsidP="00710393">
      <w:pPr>
        <w:shd w:val="clear" w:color="auto" w:fill="FFFFFF"/>
        <w:spacing w:line="195" w:lineRule="atLeast"/>
        <w:ind w:left="284" w:hanging="284"/>
        <w:rPr>
          <w:color w:val="000000"/>
          <w:lang w:val="lt-LT"/>
        </w:rPr>
      </w:pPr>
      <w:r w:rsidRPr="003E78EA">
        <w:rPr>
          <w:color w:val="000000"/>
          <w:lang w:val="lt-LT"/>
        </w:rPr>
        <w:t>5.  Pranešta apie kepenų funkcijos sutrikimą be aiškių padidėjusio jautrumo požymių.</w:t>
      </w:r>
    </w:p>
    <w:p w14:paraId="6D952B09" w14:textId="77777777" w:rsidR="00710393" w:rsidRPr="003E78EA" w:rsidRDefault="00710393" w:rsidP="00710393">
      <w:pPr>
        <w:shd w:val="clear" w:color="auto" w:fill="FFFFFF"/>
        <w:spacing w:line="195" w:lineRule="atLeast"/>
        <w:ind w:left="284" w:hanging="284"/>
        <w:rPr>
          <w:color w:val="000000"/>
          <w:lang w:val="lt-LT"/>
        </w:rPr>
      </w:pPr>
    </w:p>
    <w:p w14:paraId="0EA0DEDA" w14:textId="77777777" w:rsidR="00710393" w:rsidRPr="003E78EA" w:rsidRDefault="00710393" w:rsidP="00710393">
      <w:pPr>
        <w:shd w:val="clear" w:color="auto" w:fill="FFFFFF"/>
        <w:spacing w:line="195" w:lineRule="atLeast"/>
        <w:ind w:left="284" w:hanging="284"/>
        <w:rPr>
          <w:color w:val="000000"/>
          <w:lang w:val="lt-LT"/>
        </w:rPr>
      </w:pPr>
      <w:r w:rsidRPr="003E78EA">
        <w:rPr>
          <w:color w:val="000000"/>
          <w:lang w:val="lt-LT"/>
        </w:rPr>
        <w:t>6.  Odos reakcijos yra dažniausios ir jos gali pasireikšti bet kuriuo gydymo metu. Jos gali pasireikšti kaip niežulys, makulopapulinis išbėrimas, kartais žvynelinis, kartais purpurinis ir retai kaip eksfoliacinis išbėrimas, pvz., Stivenso-Džonsono</w:t>
      </w:r>
      <w:r w:rsidR="00B86AD0" w:rsidRPr="003E78EA">
        <w:rPr>
          <w:color w:val="000000"/>
          <w:lang w:val="lt-LT"/>
        </w:rPr>
        <w:t xml:space="preserve"> (</w:t>
      </w:r>
      <w:r w:rsidR="00B86AD0" w:rsidRPr="003E78EA">
        <w:rPr>
          <w:i/>
          <w:color w:val="000000"/>
          <w:lang w:val="lt-LT"/>
        </w:rPr>
        <w:t>Stevens-Johnson</w:t>
      </w:r>
      <w:r w:rsidR="00B86AD0" w:rsidRPr="003E78EA">
        <w:rPr>
          <w:color w:val="000000"/>
          <w:lang w:val="lt-LT"/>
        </w:rPr>
        <w:t>)</w:t>
      </w:r>
      <w:r w:rsidRPr="003E78EA">
        <w:rPr>
          <w:color w:val="000000"/>
          <w:lang w:val="lt-LT"/>
        </w:rPr>
        <w:t xml:space="preserve"> sindromas ir toksinė epidermio nekrolizė (SJS / TEN). Būtina NEDELSIANT nutraukti alopurinolio vartojimą pasireiškus tokioms </w:t>
      </w:r>
      <w:r w:rsidRPr="003E78EA">
        <w:rPr>
          <w:color w:val="000000"/>
          <w:lang w:val="lt-LT"/>
        </w:rPr>
        <w:lastRenderedPageBreak/>
        <w:t>reakcijoms. Didžiausia SJS ir TEN ar kitų sunkių padidėjusio jautrumo reakcijų rizika pasireiškia per pirmąsias gydymo savaites. Geriausi tokių reakcijų gydymo rezultatai yra ankstyvas diagnozavimas ir bet kokio įtartino vaist</w:t>
      </w:r>
      <w:r w:rsidR="00B86AD0" w:rsidRPr="003E78EA">
        <w:rPr>
          <w:color w:val="000000"/>
          <w:lang w:val="lt-LT"/>
        </w:rPr>
        <w:t>ini</w:t>
      </w:r>
      <w:r w:rsidRPr="003E78EA">
        <w:rPr>
          <w:color w:val="000000"/>
          <w:lang w:val="lt-LT"/>
        </w:rPr>
        <w:t>o</w:t>
      </w:r>
      <w:r w:rsidR="00B86AD0" w:rsidRPr="003E78EA">
        <w:rPr>
          <w:color w:val="000000"/>
          <w:lang w:val="lt-LT"/>
        </w:rPr>
        <w:t xml:space="preserve"> preparato</w:t>
      </w:r>
      <w:r w:rsidRPr="003E78EA">
        <w:rPr>
          <w:color w:val="000000"/>
          <w:lang w:val="lt-LT"/>
        </w:rPr>
        <w:t xml:space="preserve"> staigus nutraukimas. Jei pageidaujama, atsigavus po lengvų reakcijų, alopurinolis gali būti pakartotinai skiriamas mažomis dozėmis (pvz., 50 mg per parą), palaipsniui dozes didinant. Nustatyta, kad HLA-B*5801 alelis yra susijęs su padidėjusio jautrumo sindromo ir SJS / TEN išsivystymu, kurį lemia alopurinolis.</w:t>
      </w:r>
      <w:r w:rsidRPr="003E78EA">
        <w:rPr>
          <w:lang w:val="lt-LT"/>
        </w:rPr>
        <w:t xml:space="preserve"> </w:t>
      </w:r>
      <w:r w:rsidRPr="003E78EA">
        <w:rPr>
          <w:color w:val="000000"/>
          <w:lang w:val="lt-LT"/>
        </w:rPr>
        <w:t xml:space="preserve">Nenustatyta genotipavimo, kaip tikrinimo priemonės, leidžiančios priimti sprendimus dėl gydymo alopurinoliu, naudojimo. Jei išbėrimas kartojasi, alopurinolio vartojimas turi būti nutrauktas visam laikui, nes gali pasireikšti sunkesnės padidėjusio jautrumo reakcijos (žr. 4.8 skyrių </w:t>
      </w:r>
      <w:r w:rsidRPr="003E78EA">
        <w:rPr>
          <w:i/>
          <w:color w:val="000000"/>
          <w:lang w:val="lt-LT"/>
        </w:rPr>
        <w:t>Imuninės sistemos sutrikimai</w:t>
      </w:r>
      <w:r w:rsidRPr="003E78EA">
        <w:rPr>
          <w:color w:val="000000"/>
          <w:lang w:val="lt-LT"/>
        </w:rPr>
        <w:t>). Jei SJS / TEN ar kitos sunkios padidėjusio jautrumo reakcijos negali būti pašalintos, alopurinolis neturėtų būti pakartotinai skiriamas dėl galimos sunkios ar net mirtinos reakcijos. Klinikinė SJS / TEN ar kitų sunkių padidėjusio jautrumo reakcijų diagnozė išlieka sprendimų priėmimo pagrindas.</w:t>
      </w:r>
    </w:p>
    <w:p w14:paraId="4C91F7EF" w14:textId="77777777" w:rsidR="00710393" w:rsidRPr="003E78EA" w:rsidRDefault="00710393" w:rsidP="00710393">
      <w:pPr>
        <w:shd w:val="clear" w:color="auto" w:fill="FFFFFF"/>
        <w:spacing w:line="195" w:lineRule="atLeast"/>
        <w:ind w:left="284" w:hanging="284"/>
        <w:rPr>
          <w:color w:val="000000"/>
          <w:lang w:val="lt-LT"/>
        </w:rPr>
      </w:pPr>
    </w:p>
    <w:p w14:paraId="16E16225" w14:textId="77777777" w:rsidR="00710393" w:rsidRPr="003E78EA" w:rsidRDefault="00710393" w:rsidP="00710393">
      <w:pPr>
        <w:shd w:val="clear" w:color="auto" w:fill="FFFFFF"/>
        <w:spacing w:line="195" w:lineRule="atLeast"/>
        <w:ind w:left="284" w:hanging="284"/>
        <w:rPr>
          <w:color w:val="000000"/>
          <w:lang w:val="lt-LT"/>
        </w:rPr>
      </w:pPr>
      <w:r w:rsidRPr="003E78EA">
        <w:rPr>
          <w:color w:val="000000"/>
          <w:lang w:val="lt-LT"/>
        </w:rPr>
        <w:t>7.  Pranešta, kad angioedema pasireiškia generalizuotos alopurinolio padidėjusio jautrumo reakcijos požymiais ir simptomais ir be jų.</w:t>
      </w:r>
    </w:p>
    <w:p w14:paraId="5F7EE282" w14:textId="77777777" w:rsidR="00710393" w:rsidRPr="003E78EA" w:rsidRDefault="00710393" w:rsidP="00710393">
      <w:pPr>
        <w:shd w:val="clear" w:color="auto" w:fill="FFFFFF"/>
        <w:spacing w:line="195" w:lineRule="atLeast"/>
        <w:ind w:left="284" w:hanging="284"/>
        <w:rPr>
          <w:color w:val="000000"/>
          <w:lang w:val="lt-LT"/>
        </w:rPr>
      </w:pPr>
    </w:p>
    <w:p w14:paraId="21C4707E" w14:textId="77777777" w:rsidR="00710393" w:rsidRPr="003E78EA" w:rsidRDefault="00710393" w:rsidP="00710393">
      <w:pPr>
        <w:shd w:val="clear" w:color="auto" w:fill="FFFFFF"/>
        <w:spacing w:line="195" w:lineRule="atLeast"/>
        <w:ind w:left="284" w:hanging="284"/>
        <w:rPr>
          <w:color w:val="000000"/>
          <w:lang w:val="lt-LT"/>
        </w:rPr>
      </w:pPr>
      <w:r w:rsidRPr="003E78EA">
        <w:rPr>
          <w:color w:val="000000"/>
          <w:lang w:val="lt-LT"/>
        </w:rPr>
        <w:t xml:space="preserve">8.  Pranešta, kad karščiavimas pasireiškia generalizuotos alopurinolio padidėjusio jautrumo reakcijos požymiais ir simptomais ir be jų (žr. 4.8 skyrių </w:t>
      </w:r>
      <w:r w:rsidRPr="003E78EA">
        <w:rPr>
          <w:i/>
          <w:color w:val="000000"/>
          <w:lang w:val="lt-LT"/>
        </w:rPr>
        <w:t>Imuninės sistemos sutrikimai</w:t>
      </w:r>
      <w:r w:rsidRPr="003E78EA">
        <w:rPr>
          <w:color w:val="000000"/>
          <w:lang w:val="lt-LT"/>
        </w:rPr>
        <w:t>).</w:t>
      </w:r>
    </w:p>
    <w:p w14:paraId="081C4E65" w14:textId="77777777" w:rsidR="00710393" w:rsidRPr="003E78EA" w:rsidRDefault="00710393" w:rsidP="00710393">
      <w:pPr>
        <w:shd w:val="clear" w:color="auto" w:fill="FFFFFF"/>
        <w:spacing w:line="195" w:lineRule="atLeast"/>
        <w:ind w:left="284" w:hanging="284"/>
        <w:rPr>
          <w:color w:val="000000"/>
          <w:lang w:val="lt-LT"/>
        </w:rPr>
      </w:pPr>
    </w:p>
    <w:p w14:paraId="40F82A25" w14:textId="77777777" w:rsidR="00710393" w:rsidRPr="003E78EA" w:rsidRDefault="00710393" w:rsidP="00710393">
      <w:pPr>
        <w:shd w:val="clear" w:color="auto" w:fill="FFFFFF"/>
        <w:spacing w:line="195" w:lineRule="atLeast"/>
        <w:ind w:left="284" w:hanging="284"/>
        <w:rPr>
          <w:color w:val="000000"/>
          <w:lang w:val="lt-LT"/>
        </w:rPr>
      </w:pPr>
      <w:r w:rsidRPr="003E78EA">
        <w:rPr>
          <w:color w:val="000000"/>
          <w:lang w:val="lt-LT"/>
        </w:rPr>
        <w:t>9. Atitinkamuose tyrimuose nustačius padidėjusią skydliaukę stimuliuojančio hormono (TSH) koncentraciją, nenustatytas joks poveikis laisvam T4 kiekiui arba nustatytas TSH kiekis, rodantis subklinikinę hipotireozę.</w:t>
      </w:r>
    </w:p>
    <w:p w14:paraId="0B75A2CA" w14:textId="77777777" w:rsidR="00710393" w:rsidRPr="003E78EA" w:rsidRDefault="00710393" w:rsidP="00710393">
      <w:pPr>
        <w:adjustRightInd w:val="0"/>
        <w:rPr>
          <w:u w:val="single"/>
          <w:lang w:val="lt-LT"/>
        </w:rPr>
      </w:pPr>
    </w:p>
    <w:p w14:paraId="3AF2CE97" w14:textId="77777777" w:rsidR="006E3FD0" w:rsidRPr="003E78EA" w:rsidRDefault="006E3FD0" w:rsidP="006E3FD0">
      <w:pPr>
        <w:keepNext/>
        <w:keepLines/>
        <w:tabs>
          <w:tab w:val="left" w:pos="567"/>
        </w:tabs>
        <w:adjustRightInd w:val="0"/>
        <w:jc w:val="both"/>
        <w:rPr>
          <w:u w:val="single"/>
          <w:lang w:val="lt-LT"/>
        </w:rPr>
      </w:pPr>
      <w:r w:rsidRPr="003E78EA">
        <w:rPr>
          <w:u w:val="single"/>
          <w:lang w:val="lt-LT"/>
        </w:rPr>
        <w:t>Pranešimas apie įtariamas nepageidaujamas reakcijas</w:t>
      </w:r>
    </w:p>
    <w:p w14:paraId="06E608C9" w14:textId="37C5CE4B" w:rsidR="00945321" w:rsidRPr="00945321" w:rsidRDefault="006E3FD0" w:rsidP="00945321">
      <w:pPr>
        <w:keepNext/>
        <w:keepLines/>
        <w:tabs>
          <w:tab w:val="left" w:pos="567"/>
        </w:tabs>
        <w:adjustRightInd w:val="0"/>
        <w:rPr>
          <w:lang w:val="lt-LT"/>
        </w:rPr>
      </w:pPr>
      <w:r w:rsidRPr="003E78EA">
        <w:rPr>
          <w:lang w:val="lt-LT"/>
        </w:rPr>
        <w:t xml:space="preserve">Svarbu pranešti apie įtariamas nepageidaujamas reakcijas, pastebėtas po vaistinio preparato registracijos, nes tai leidžia nuolat stebėti vaistinio preparato naudos ir rizikos santykį. </w:t>
      </w:r>
      <w:r w:rsidR="00945321" w:rsidRPr="00945321">
        <w:rPr>
          <w:lang w:val="lt-LT"/>
        </w:rPr>
        <w:t xml:space="preserve">Sveikatos priežiūros ar farmacijos specialistai turi pranešti apie bet kokias įtariamas nepageidaujamas reakcijas, </w:t>
      </w:r>
      <w:r w:rsidR="00C85179" w:rsidRPr="00C85179">
        <w:rPr>
          <w:lang w:val="lt-LT"/>
        </w:rPr>
        <w:t xml:space="preserve">užpildę ir pateikę pranešimo formą Valstybinės vaistų kontrolės tarnybos prie Lietuvos Respublikos sveikatos apsaugos ministerijos tinklalapyje </w:t>
      </w:r>
      <w:r w:rsidR="00C85179" w:rsidRPr="00C85179">
        <w:rPr>
          <w:u w:val="single"/>
          <w:lang w:val="lt-LT"/>
        </w:rPr>
        <w:t>https://vvkt.lrv.lt/lt/</w:t>
      </w:r>
      <w:r w:rsidR="00C85179" w:rsidRPr="00C85179">
        <w:rPr>
          <w:lang w:val="lt-LT"/>
        </w:rPr>
        <w:t xml:space="preserve"> nurodytais būdais.</w:t>
      </w:r>
    </w:p>
    <w:p w14:paraId="749EF3D6" w14:textId="77777777" w:rsidR="00710393" w:rsidRPr="003E78EA" w:rsidRDefault="00710393" w:rsidP="00945321">
      <w:pPr>
        <w:keepNext/>
        <w:keepLines/>
        <w:tabs>
          <w:tab w:val="left" w:pos="567"/>
        </w:tabs>
        <w:adjustRightInd w:val="0"/>
        <w:rPr>
          <w:lang w:val="lt-LT"/>
        </w:rPr>
      </w:pPr>
    </w:p>
    <w:p w14:paraId="63190459" w14:textId="77777777" w:rsidR="00710393" w:rsidRPr="003E78EA" w:rsidRDefault="00710393" w:rsidP="00710393">
      <w:pPr>
        <w:rPr>
          <w:lang w:val="lt-LT"/>
        </w:rPr>
      </w:pPr>
      <w:r w:rsidRPr="003E78EA">
        <w:rPr>
          <w:b/>
          <w:lang w:val="lt-LT"/>
        </w:rPr>
        <w:t>4.9</w:t>
      </w:r>
      <w:r w:rsidRPr="003E78EA">
        <w:rPr>
          <w:b/>
          <w:lang w:val="lt-LT"/>
        </w:rPr>
        <w:tab/>
        <w:t>Perdozavimas</w:t>
      </w:r>
    </w:p>
    <w:p w14:paraId="51C8B4E1" w14:textId="77777777" w:rsidR="00710393" w:rsidRPr="003E78EA" w:rsidRDefault="00710393" w:rsidP="00710393">
      <w:pPr>
        <w:rPr>
          <w:lang w:val="lt-LT"/>
        </w:rPr>
      </w:pPr>
    </w:p>
    <w:p w14:paraId="1BD000D2" w14:textId="52A2162B" w:rsidR="00710393" w:rsidRPr="003E78EA" w:rsidRDefault="00710393" w:rsidP="00710393">
      <w:pPr>
        <w:rPr>
          <w:i/>
          <w:lang w:val="lt-LT"/>
        </w:rPr>
      </w:pPr>
      <w:r w:rsidRPr="003E78EA">
        <w:rPr>
          <w:i/>
          <w:lang w:val="lt-LT"/>
        </w:rPr>
        <w:t>Simptomai ir požymiai</w:t>
      </w:r>
    </w:p>
    <w:p w14:paraId="15BC2D0B" w14:textId="77777777" w:rsidR="00710393" w:rsidRPr="003E78EA" w:rsidRDefault="00710393" w:rsidP="00710393">
      <w:pPr>
        <w:rPr>
          <w:u w:val="single"/>
          <w:lang w:val="lt-LT"/>
        </w:rPr>
      </w:pPr>
    </w:p>
    <w:p w14:paraId="6F18ADAD" w14:textId="5198E418" w:rsidR="00710393" w:rsidRPr="003E78EA" w:rsidRDefault="00710393" w:rsidP="00710393">
      <w:pPr>
        <w:rPr>
          <w:lang w:val="lt-LT"/>
        </w:rPr>
      </w:pPr>
      <w:r w:rsidRPr="003E78EA">
        <w:rPr>
          <w:lang w:val="lt-LT"/>
        </w:rPr>
        <w:t>Pranešta, kad suvartojus iki 22,5</w:t>
      </w:r>
      <w:r w:rsidR="00AB3630">
        <w:rPr>
          <w:lang w:val="lt-LT"/>
        </w:rPr>
        <w:t> </w:t>
      </w:r>
      <w:r w:rsidRPr="003E78EA">
        <w:rPr>
          <w:lang w:val="lt-LT"/>
        </w:rPr>
        <w:t>g alopurinolio nepageidaujamų reakcijų nepasireiškė. Pacientui, suvartojusiam 20</w:t>
      </w:r>
      <w:r w:rsidR="00AB3630">
        <w:rPr>
          <w:lang w:val="lt-LT"/>
        </w:rPr>
        <w:t> </w:t>
      </w:r>
      <w:r w:rsidRPr="003E78EA">
        <w:rPr>
          <w:lang w:val="lt-LT"/>
        </w:rPr>
        <w:t>g alopurinolio, pasireiškė tokie simptomai ir požymiai kaip pykinimas, vėmimas, viduriavimas ir</w:t>
      </w:r>
      <w:r w:rsidR="00B86AD0" w:rsidRPr="003E78EA">
        <w:rPr>
          <w:lang w:val="lt-LT"/>
        </w:rPr>
        <w:t xml:space="preserve"> svaigulys</w:t>
      </w:r>
      <w:r w:rsidRPr="003E78EA">
        <w:rPr>
          <w:lang w:val="lt-LT"/>
        </w:rPr>
        <w:t>. Gydymas</w:t>
      </w:r>
      <w:r w:rsidR="00B86AD0" w:rsidRPr="003E78EA">
        <w:rPr>
          <w:lang w:val="lt-LT"/>
        </w:rPr>
        <w:t>:</w:t>
      </w:r>
      <w:r w:rsidRPr="003E78EA">
        <w:rPr>
          <w:lang w:val="lt-LT"/>
        </w:rPr>
        <w:t xml:space="preserve"> bendrosios </w:t>
      </w:r>
      <w:r w:rsidR="00010445" w:rsidRPr="000A5826">
        <w:rPr>
          <w:lang w:val="lt-LT"/>
        </w:rPr>
        <w:t>palaikomosios</w:t>
      </w:r>
      <w:r w:rsidR="00010445" w:rsidRPr="003E78EA">
        <w:rPr>
          <w:lang w:val="lt-LT"/>
        </w:rPr>
        <w:t xml:space="preserve"> </w:t>
      </w:r>
      <w:r w:rsidRPr="003E78EA">
        <w:rPr>
          <w:lang w:val="lt-LT"/>
        </w:rPr>
        <w:t>pagalbos priemon</w:t>
      </w:r>
      <w:r w:rsidR="00B86AD0" w:rsidRPr="003E78EA">
        <w:rPr>
          <w:lang w:val="lt-LT"/>
        </w:rPr>
        <w:t>ės</w:t>
      </w:r>
      <w:r w:rsidRPr="003E78EA">
        <w:rPr>
          <w:lang w:val="lt-LT"/>
        </w:rPr>
        <w:t>.</w:t>
      </w:r>
    </w:p>
    <w:p w14:paraId="20CBA5E8" w14:textId="77777777" w:rsidR="00710393" w:rsidRPr="003E78EA" w:rsidRDefault="00710393" w:rsidP="00710393">
      <w:pPr>
        <w:rPr>
          <w:lang w:val="lt-LT"/>
        </w:rPr>
      </w:pPr>
    </w:p>
    <w:p w14:paraId="3FA88A07" w14:textId="71734F9F" w:rsidR="00710393" w:rsidRPr="003E78EA" w:rsidRDefault="00710393" w:rsidP="00710393">
      <w:pPr>
        <w:rPr>
          <w:i/>
          <w:lang w:val="lt-LT"/>
        </w:rPr>
      </w:pPr>
      <w:r w:rsidRPr="003E78EA">
        <w:rPr>
          <w:i/>
          <w:lang w:val="lt-LT"/>
        </w:rPr>
        <w:t>Valdymas</w:t>
      </w:r>
    </w:p>
    <w:p w14:paraId="3FC3F2BA" w14:textId="77777777" w:rsidR="00710393" w:rsidRPr="003E78EA" w:rsidRDefault="00710393" w:rsidP="00710393">
      <w:pPr>
        <w:rPr>
          <w:u w:val="single"/>
          <w:lang w:val="lt-LT"/>
        </w:rPr>
      </w:pPr>
    </w:p>
    <w:p w14:paraId="5B43AEA6" w14:textId="77777777" w:rsidR="00710393" w:rsidRPr="003E78EA" w:rsidRDefault="00710393" w:rsidP="00710393">
      <w:pPr>
        <w:rPr>
          <w:lang w:val="lt-LT"/>
        </w:rPr>
      </w:pPr>
      <w:r w:rsidRPr="003E78EA">
        <w:rPr>
          <w:lang w:val="lt-LT"/>
        </w:rPr>
        <w:t>Didelė alopurinolio absorbcija gali labai slopinti ksantino oksidazės aktyvumą, kas neturėtų sukelti nepageidaujamo poveikio, nebent tai paveiktų kartu vartojamus vaist</w:t>
      </w:r>
      <w:r w:rsidR="001A10CB" w:rsidRPr="003E78EA">
        <w:rPr>
          <w:lang w:val="lt-LT"/>
        </w:rPr>
        <w:t>ini</w:t>
      </w:r>
      <w:r w:rsidRPr="003E78EA">
        <w:rPr>
          <w:lang w:val="lt-LT"/>
        </w:rPr>
        <w:t>us</w:t>
      </w:r>
      <w:r w:rsidR="001A10CB" w:rsidRPr="003E78EA">
        <w:rPr>
          <w:lang w:val="lt-LT"/>
        </w:rPr>
        <w:t xml:space="preserve"> preparatus</w:t>
      </w:r>
      <w:r w:rsidRPr="003E78EA">
        <w:rPr>
          <w:lang w:val="lt-LT"/>
        </w:rPr>
        <w:t>, ypač 6-merkaptopuriną ir (arba) azatiopriną. Tinkamas hidratavimas, siekiant išlaikyti optimalią diurezę, palengvina alopurinolio ir jo metabolitų išsiskyrimą. Jei laikoma būtina, galima naudoti hemodializę.</w:t>
      </w:r>
    </w:p>
    <w:p w14:paraId="4E8FF16B" w14:textId="77777777" w:rsidR="00710393" w:rsidRPr="003E78EA" w:rsidRDefault="00710393" w:rsidP="00710393">
      <w:pPr>
        <w:rPr>
          <w:i/>
          <w:lang w:val="lt-LT"/>
        </w:rPr>
      </w:pPr>
    </w:p>
    <w:p w14:paraId="032D6AEB" w14:textId="77777777" w:rsidR="00710393" w:rsidRPr="003E78EA" w:rsidRDefault="00710393" w:rsidP="00710393">
      <w:pPr>
        <w:rPr>
          <w:lang w:val="lt-LT"/>
        </w:rPr>
      </w:pPr>
    </w:p>
    <w:p w14:paraId="006B7312" w14:textId="77777777" w:rsidR="00710393" w:rsidRPr="003E78EA" w:rsidRDefault="00710393" w:rsidP="00710393">
      <w:pPr>
        <w:ind w:left="567" w:hanging="567"/>
        <w:rPr>
          <w:lang w:val="lt-LT"/>
        </w:rPr>
      </w:pPr>
      <w:r w:rsidRPr="003E78EA">
        <w:rPr>
          <w:b/>
          <w:lang w:val="lt-LT"/>
        </w:rPr>
        <w:t>5.</w:t>
      </w:r>
      <w:r w:rsidRPr="003E78EA">
        <w:rPr>
          <w:b/>
          <w:lang w:val="lt-LT"/>
        </w:rPr>
        <w:tab/>
        <w:t>FARMAKOLOGINĖS SAVYBĖS</w:t>
      </w:r>
    </w:p>
    <w:p w14:paraId="352A27C6" w14:textId="77777777" w:rsidR="00710393" w:rsidRPr="003E78EA" w:rsidRDefault="00710393" w:rsidP="00710393">
      <w:pPr>
        <w:rPr>
          <w:b/>
          <w:lang w:val="lt-LT"/>
        </w:rPr>
      </w:pPr>
    </w:p>
    <w:p w14:paraId="2D44A42D" w14:textId="77777777" w:rsidR="00710393" w:rsidRPr="003E78EA" w:rsidRDefault="00710393" w:rsidP="00710393">
      <w:pPr>
        <w:ind w:left="567" w:hanging="567"/>
        <w:rPr>
          <w:lang w:val="lt-LT"/>
        </w:rPr>
      </w:pPr>
      <w:r w:rsidRPr="003E78EA">
        <w:rPr>
          <w:b/>
          <w:lang w:val="lt-LT"/>
        </w:rPr>
        <w:t>5.1</w:t>
      </w:r>
      <w:r w:rsidRPr="003E78EA">
        <w:rPr>
          <w:b/>
          <w:lang w:val="lt-LT"/>
        </w:rPr>
        <w:tab/>
        <w:t>Farmakodinaminės savybės</w:t>
      </w:r>
    </w:p>
    <w:p w14:paraId="3D5B2375" w14:textId="77777777" w:rsidR="00710393" w:rsidRPr="003E78EA" w:rsidRDefault="00710393" w:rsidP="00710393">
      <w:pPr>
        <w:rPr>
          <w:lang w:val="lt-LT"/>
        </w:rPr>
      </w:pPr>
    </w:p>
    <w:p w14:paraId="6C6C1E2C" w14:textId="79C0E256" w:rsidR="00710393" w:rsidRPr="003E78EA" w:rsidRDefault="00710393" w:rsidP="00710393">
      <w:pPr>
        <w:rPr>
          <w:lang w:val="lt-LT"/>
        </w:rPr>
      </w:pPr>
      <w:r w:rsidRPr="003E78EA">
        <w:rPr>
          <w:lang w:val="lt-LT"/>
        </w:rPr>
        <w:t xml:space="preserve">Farmakoterapinė grupė: </w:t>
      </w:r>
      <w:r w:rsidR="001A10CB" w:rsidRPr="003E78EA">
        <w:rPr>
          <w:lang w:val="lt-LT"/>
        </w:rPr>
        <w:t>Vaistiniai p</w:t>
      </w:r>
      <w:r w:rsidRPr="003E78EA">
        <w:rPr>
          <w:lang w:val="lt-LT"/>
        </w:rPr>
        <w:t xml:space="preserve">reparatai nuo podagros; </w:t>
      </w:r>
      <w:r w:rsidR="001A10CB" w:rsidRPr="003E78EA">
        <w:rPr>
          <w:lang w:val="lt-LT"/>
        </w:rPr>
        <w:t>Vaistiniai p</w:t>
      </w:r>
      <w:r w:rsidRPr="003E78EA">
        <w:rPr>
          <w:lang w:val="lt-LT"/>
        </w:rPr>
        <w:t>reparatai, slopinantys šlapimo rūgšties gamybą</w:t>
      </w:r>
    </w:p>
    <w:p w14:paraId="0ACE7E44" w14:textId="77777777" w:rsidR="00710393" w:rsidRPr="003E78EA" w:rsidRDefault="00710393" w:rsidP="00710393">
      <w:pPr>
        <w:rPr>
          <w:lang w:val="lt-LT"/>
        </w:rPr>
      </w:pPr>
    </w:p>
    <w:p w14:paraId="2ECEA8FB" w14:textId="77777777" w:rsidR="00710393" w:rsidRPr="003E78EA" w:rsidRDefault="00710393" w:rsidP="00710393">
      <w:pPr>
        <w:rPr>
          <w:lang w:val="lt-LT"/>
        </w:rPr>
      </w:pPr>
      <w:r w:rsidRPr="003E78EA">
        <w:rPr>
          <w:lang w:val="lt-LT"/>
        </w:rPr>
        <w:t>ATC kodas: M04AA01</w:t>
      </w:r>
    </w:p>
    <w:p w14:paraId="49357A74" w14:textId="77777777" w:rsidR="00710393" w:rsidRPr="003E78EA" w:rsidRDefault="00710393" w:rsidP="00710393">
      <w:pPr>
        <w:adjustRightInd w:val="0"/>
        <w:jc w:val="both"/>
        <w:rPr>
          <w:u w:val="single"/>
          <w:lang w:val="lt-LT"/>
        </w:rPr>
      </w:pPr>
    </w:p>
    <w:p w14:paraId="23A782BE" w14:textId="77777777" w:rsidR="00710393" w:rsidRPr="003E78EA" w:rsidRDefault="00710393" w:rsidP="00710393">
      <w:pPr>
        <w:adjustRightInd w:val="0"/>
        <w:jc w:val="both"/>
        <w:rPr>
          <w:u w:val="single"/>
          <w:lang w:val="lt-LT"/>
        </w:rPr>
      </w:pPr>
      <w:r w:rsidRPr="003E78EA">
        <w:rPr>
          <w:u w:val="single"/>
          <w:lang w:val="lt-LT"/>
        </w:rPr>
        <w:t>Veikimo mechanizmas</w:t>
      </w:r>
    </w:p>
    <w:p w14:paraId="6C4F7B40" w14:textId="77777777" w:rsidR="00710393" w:rsidRPr="003E78EA" w:rsidRDefault="00710393" w:rsidP="00710393">
      <w:pPr>
        <w:adjustRightInd w:val="0"/>
        <w:rPr>
          <w:u w:val="single"/>
          <w:lang w:val="lt-LT"/>
        </w:rPr>
      </w:pPr>
    </w:p>
    <w:p w14:paraId="40384A59" w14:textId="77777777" w:rsidR="00710393" w:rsidRPr="003E78EA" w:rsidRDefault="00710393" w:rsidP="00710393">
      <w:pPr>
        <w:adjustRightInd w:val="0"/>
        <w:rPr>
          <w:lang w:val="lt-LT"/>
        </w:rPr>
      </w:pPr>
      <w:r w:rsidRPr="003E78EA">
        <w:rPr>
          <w:lang w:val="lt-LT"/>
        </w:rPr>
        <w:t xml:space="preserve">Alopurinolis yra ksantino oksidazės inhibitorius. Alopurinolis ir jo pagrindinis metabolitas oksipurinolis mažina šlapimo rūgšties koncentraciją </w:t>
      </w:r>
      <w:r w:rsidR="00B76390" w:rsidRPr="003E78EA">
        <w:rPr>
          <w:lang w:val="lt-LT"/>
        </w:rPr>
        <w:t xml:space="preserve">kraujo </w:t>
      </w:r>
      <w:r w:rsidRPr="003E78EA">
        <w:rPr>
          <w:lang w:val="lt-LT"/>
        </w:rPr>
        <w:t>plazmoje ir šlapime, slopindami ksantino oksidazę, fermentą, skatinantį hipoksantino oksidaciją į ksantiną, o ksantino – į šlapimo rūgštį.</w:t>
      </w:r>
    </w:p>
    <w:p w14:paraId="4A891B2A" w14:textId="77777777" w:rsidR="00710393" w:rsidRPr="003E78EA" w:rsidRDefault="00710393" w:rsidP="00710393">
      <w:pPr>
        <w:adjustRightInd w:val="0"/>
        <w:jc w:val="both"/>
        <w:rPr>
          <w:u w:val="single"/>
          <w:lang w:val="lt-LT"/>
        </w:rPr>
      </w:pPr>
    </w:p>
    <w:p w14:paraId="08E3E424" w14:textId="77777777" w:rsidR="00710393" w:rsidRPr="003E78EA" w:rsidRDefault="00710393" w:rsidP="00710393">
      <w:pPr>
        <w:adjustRightInd w:val="0"/>
        <w:jc w:val="both"/>
        <w:rPr>
          <w:u w:val="single"/>
          <w:lang w:val="lt-LT"/>
        </w:rPr>
      </w:pPr>
      <w:r w:rsidRPr="003E78EA">
        <w:rPr>
          <w:u w:val="single"/>
          <w:lang w:val="lt-LT"/>
        </w:rPr>
        <w:t>Farmakodinaminis poveikis</w:t>
      </w:r>
    </w:p>
    <w:p w14:paraId="29B3F04D" w14:textId="77777777" w:rsidR="00710393" w:rsidRPr="003E78EA" w:rsidRDefault="00710393" w:rsidP="00710393">
      <w:pPr>
        <w:adjustRightInd w:val="0"/>
        <w:jc w:val="both"/>
        <w:rPr>
          <w:u w:val="single"/>
          <w:lang w:val="lt-LT"/>
        </w:rPr>
      </w:pPr>
    </w:p>
    <w:p w14:paraId="77168ECA" w14:textId="3650C9CC" w:rsidR="00710393" w:rsidRPr="003E78EA" w:rsidRDefault="00710393" w:rsidP="00710393">
      <w:pPr>
        <w:adjustRightInd w:val="0"/>
        <w:rPr>
          <w:color w:val="000000"/>
          <w:lang w:val="lt-LT"/>
        </w:rPr>
      </w:pPr>
      <w:r w:rsidRPr="003E78EA">
        <w:rPr>
          <w:lang w:val="lt-LT"/>
        </w:rPr>
        <w:t xml:space="preserve">Kai kurių, bet ne visų hiperurikemija sergančių pacientų organizme ne tik slopinamas purinų katabolizmas, bet ir silpninama de novo purinų biosintezė vykstant atgaliniam hipoksantinguanino fosforiboziltransferazės slopinimui. Kiti alopurinolio metabolitai yra alopurinol-ribozidas ir </w:t>
      </w:r>
      <w:r w:rsidR="00367ACB">
        <w:rPr>
          <w:lang w:val="lt-LT"/>
        </w:rPr>
        <w:t>o</w:t>
      </w:r>
      <w:r w:rsidRPr="003E78EA">
        <w:rPr>
          <w:lang w:val="lt-LT"/>
        </w:rPr>
        <w:t>ksipurinol-7-ribozidas</w:t>
      </w:r>
      <w:r w:rsidRPr="003E78EA">
        <w:rPr>
          <w:color w:val="000000"/>
          <w:lang w:val="lt-LT"/>
        </w:rPr>
        <w:t>.</w:t>
      </w:r>
    </w:p>
    <w:p w14:paraId="3770CCE6" w14:textId="77777777" w:rsidR="00710393" w:rsidRPr="003E78EA" w:rsidRDefault="00710393" w:rsidP="00710393">
      <w:pPr>
        <w:rPr>
          <w:lang w:val="lt-LT"/>
        </w:rPr>
      </w:pPr>
    </w:p>
    <w:p w14:paraId="7D717495" w14:textId="77777777" w:rsidR="00710393" w:rsidRPr="003E78EA" w:rsidRDefault="00710393" w:rsidP="00710393">
      <w:pPr>
        <w:ind w:left="567" w:hanging="567"/>
        <w:rPr>
          <w:b/>
          <w:lang w:val="lt-LT"/>
        </w:rPr>
      </w:pPr>
      <w:r w:rsidRPr="003E78EA">
        <w:rPr>
          <w:b/>
          <w:lang w:val="lt-LT"/>
        </w:rPr>
        <w:t>5.2</w:t>
      </w:r>
      <w:r w:rsidRPr="003E78EA">
        <w:rPr>
          <w:b/>
          <w:lang w:val="lt-LT"/>
        </w:rPr>
        <w:tab/>
        <w:t>Farmakokinetinės savybės</w:t>
      </w:r>
    </w:p>
    <w:p w14:paraId="049280F4" w14:textId="77777777" w:rsidR="00710393" w:rsidRPr="003E78EA" w:rsidRDefault="00710393" w:rsidP="00710393">
      <w:pPr>
        <w:ind w:left="567" w:hanging="567"/>
        <w:rPr>
          <w:lang w:val="lt-LT"/>
        </w:rPr>
      </w:pPr>
    </w:p>
    <w:p w14:paraId="0369B7D5" w14:textId="77777777" w:rsidR="00710393" w:rsidRPr="003E78EA" w:rsidRDefault="00710393" w:rsidP="00710393">
      <w:pPr>
        <w:numPr>
          <w:ilvl w:val="12"/>
          <w:numId w:val="0"/>
        </w:numPr>
        <w:ind w:right="-2"/>
        <w:rPr>
          <w:u w:val="single"/>
          <w:lang w:val="lt-LT"/>
        </w:rPr>
      </w:pPr>
      <w:r w:rsidRPr="003E78EA">
        <w:rPr>
          <w:u w:val="single"/>
          <w:lang w:val="lt-LT"/>
        </w:rPr>
        <w:t>Absorbcija</w:t>
      </w:r>
    </w:p>
    <w:p w14:paraId="09BE19C9" w14:textId="77777777" w:rsidR="00710393" w:rsidRPr="003E78EA" w:rsidRDefault="00710393" w:rsidP="00710393">
      <w:pPr>
        <w:numPr>
          <w:ilvl w:val="12"/>
          <w:numId w:val="0"/>
        </w:numPr>
        <w:ind w:right="-2"/>
        <w:rPr>
          <w:u w:val="single"/>
          <w:lang w:val="lt-LT"/>
        </w:rPr>
      </w:pPr>
    </w:p>
    <w:p w14:paraId="5CEFD85C" w14:textId="545A6D33" w:rsidR="00710393" w:rsidRPr="003E78EA" w:rsidRDefault="00710393" w:rsidP="00710393">
      <w:pPr>
        <w:numPr>
          <w:ilvl w:val="12"/>
          <w:numId w:val="0"/>
        </w:numPr>
        <w:ind w:right="-2"/>
        <w:rPr>
          <w:lang w:val="lt-LT"/>
        </w:rPr>
      </w:pPr>
      <w:r w:rsidRPr="003E78EA">
        <w:rPr>
          <w:lang w:val="lt-LT"/>
        </w:rPr>
        <w:t>Alopurinolis yra aktyvus vartojant per burną ir sparčiai absorbuojamas iš viršutinės virškinimo trakto dalies. Tyrimų rezultatai parodė, kad alopurinolio lieka plazmoje 30–60</w:t>
      </w:r>
      <w:r w:rsidR="00502A9E">
        <w:rPr>
          <w:lang w:val="lt-LT"/>
        </w:rPr>
        <w:t> </w:t>
      </w:r>
      <w:r w:rsidRPr="003E78EA">
        <w:rPr>
          <w:lang w:val="lt-LT"/>
        </w:rPr>
        <w:t>minučių po dozavimo. Biologinio prieinamumo įvertinimai svyruoja nuo 67</w:t>
      </w:r>
      <w:r w:rsidR="00502A9E">
        <w:rPr>
          <w:lang w:val="lt-LT"/>
        </w:rPr>
        <w:t> </w:t>
      </w:r>
      <w:r w:rsidRPr="003E78EA">
        <w:rPr>
          <w:lang w:val="lt-LT"/>
        </w:rPr>
        <w:t>% iki 90</w:t>
      </w:r>
      <w:r w:rsidR="00502A9E">
        <w:rPr>
          <w:lang w:val="lt-LT"/>
        </w:rPr>
        <w:t> </w:t>
      </w:r>
      <w:r w:rsidRPr="003E78EA">
        <w:rPr>
          <w:lang w:val="lt-LT"/>
        </w:rPr>
        <w:t xml:space="preserve">%. Didžiausia alopurinolio koncentracija </w:t>
      </w:r>
      <w:r w:rsidR="00B76390" w:rsidRPr="003E78EA">
        <w:rPr>
          <w:lang w:val="lt-LT"/>
        </w:rPr>
        <w:t xml:space="preserve">kraujo </w:t>
      </w:r>
      <w:r w:rsidRPr="003E78EA">
        <w:rPr>
          <w:lang w:val="lt-LT"/>
        </w:rPr>
        <w:t>plazmoje paprastai būna maždaug 1,5</w:t>
      </w:r>
      <w:r w:rsidR="00502A9E">
        <w:rPr>
          <w:lang w:val="lt-LT"/>
        </w:rPr>
        <w:t> </w:t>
      </w:r>
      <w:r w:rsidRPr="003E78EA">
        <w:rPr>
          <w:lang w:val="lt-LT"/>
        </w:rPr>
        <w:t>valandos po alopurinolio suvartojimo per burną, tačiau sparčiai mažėja ir po 6</w:t>
      </w:r>
      <w:r w:rsidR="00502A9E">
        <w:rPr>
          <w:lang w:val="lt-LT"/>
        </w:rPr>
        <w:t> </w:t>
      </w:r>
      <w:r w:rsidRPr="003E78EA">
        <w:rPr>
          <w:lang w:val="lt-LT"/>
        </w:rPr>
        <w:t xml:space="preserve">valandų lieka vos pastebima. Didžiausia oksipurinolio koncentracija </w:t>
      </w:r>
      <w:r w:rsidR="00B76390" w:rsidRPr="003E78EA">
        <w:rPr>
          <w:lang w:val="lt-LT"/>
        </w:rPr>
        <w:t xml:space="preserve">kraujo </w:t>
      </w:r>
      <w:r w:rsidRPr="003E78EA">
        <w:rPr>
          <w:lang w:val="lt-LT"/>
        </w:rPr>
        <w:t xml:space="preserve">plazmoje paprastai būna </w:t>
      </w:r>
      <w:r w:rsidR="00367ACB">
        <w:rPr>
          <w:lang w:val="lt-LT"/>
        </w:rPr>
        <w:t>praėjus</w:t>
      </w:r>
      <w:r w:rsidR="00367ACB" w:rsidRPr="003E78EA">
        <w:rPr>
          <w:lang w:val="lt-LT"/>
        </w:rPr>
        <w:t xml:space="preserve"> </w:t>
      </w:r>
      <w:r w:rsidRPr="003E78EA">
        <w:rPr>
          <w:lang w:val="lt-LT"/>
        </w:rPr>
        <w:t>3–</w:t>
      </w:r>
      <w:r w:rsidR="00502A9E" w:rsidRPr="003E78EA">
        <w:rPr>
          <w:lang w:val="lt-LT"/>
        </w:rPr>
        <w:t>5</w:t>
      </w:r>
      <w:r w:rsidR="00502A9E">
        <w:rPr>
          <w:lang w:val="lt-LT"/>
        </w:rPr>
        <w:t> </w:t>
      </w:r>
      <w:r w:rsidRPr="003E78EA">
        <w:rPr>
          <w:lang w:val="lt-LT"/>
        </w:rPr>
        <w:t>valand</w:t>
      </w:r>
      <w:r w:rsidR="00367ACB">
        <w:rPr>
          <w:lang w:val="lt-LT"/>
        </w:rPr>
        <w:t>om</w:t>
      </w:r>
      <w:r w:rsidRPr="003E78EA">
        <w:rPr>
          <w:lang w:val="lt-LT"/>
        </w:rPr>
        <w:t>s po alopurinolio suvartojimo per burną ir eliminacijos periodas daug ilgesnis.</w:t>
      </w:r>
    </w:p>
    <w:p w14:paraId="784C1EEE" w14:textId="77777777" w:rsidR="00710393" w:rsidRPr="003E78EA" w:rsidRDefault="00710393" w:rsidP="00710393">
      <w:pPr>
        <w:numPr>
          <w:ilvl w:val="12"/>
          <w:numId w:val="0"/>
        </w:numPr>
        <w:ind w:right="-2"/>
        <w:rPr>
          <w:u w:val="single"/>
          <w:lang w:val="lt-LT"/>
        </w:rPr>
      </w:pPr>
    </w:p>
    <w:p w14:paraId="1B4B84AD" w14:textId="77777777" w:rsidR="00710393" w:rsidRPr="003E78EA" w:rsidRDefault="00710393" w:rsidP="00710393">
      <w:pPr>
        <w:numPr>
          <w:ilvl w:val="12"/>
          <w:numId w:val="0"/>
        </w:numPr>
        <w:ind w:right="-2"/>
        <w:rPr>
          <w:u w:val="single"/>
          <w:lang w:val="lt-LT"/>
        </w:rPr>
      </w:pPr>
      <w:r w:rsidRPr="003E78EA">
        <w:rPr>
          <w:u w:val="single"/>
          <w:lang w:val="lt-LT"/>
        </w:rPr>
        <w:t>Pasiskirstymas</w:t>
      </w:r>
    </w:p>
    <w:p w14:paraId="3B2DB033" w14:textId="77777777" w:rsidR="00710393" w:rsidRPr="003E78EA" w:rsidRDefault="00710393" w:rsidP="00710393">
      <w:pPr>
        <w:numPr>
          <w:ilvl w:val="12"/>
          <w:numId w:val="0"/>
        </w:numPr>
        <w:ind w:right="-2"/>
        <w:rPr>
          <w:u w:val="single"/>
          <w:lang w:val="lt-LT"/>
        </w:rPr>
      </w:pPr>
    </w:p>
    <w:p w14:paraId="62CD55B7" w14:textId="77777777" w:rsidR="00710393" w:rsidRPr="003E78EA" w:rsidRDefault="00710393" w:rsidP="00710393">
      <w:pPr>
        <w:numPr>
          <w:ilvl w:val="12"/>
          <w:numId w:val="0"/>
        </w:numPr>
        <w:ind w:right="-2"/>
        <w:rPr>
          <w:lang w:val="lt-LT"/>
        </w:rPr>
      </w:pPr>
      <w:r w:rsidRPr="003E78EA">
        <w:rPr>
          <w:lang w:val="lt-LT"/>
        </w:rPr>
        <w:t>Alopurinolis menkai jungiasi su plazmos baltymais, todėl nemanoma, kad jungimosi su plazmos baltymais pokyčiai reikšmingai keistų klirensą. Tikrasis alopurinolio pasiskirstymo tūris yra apytiksliai 1,6 l/kg, tai rodo palyginti ekstensyvų sugėrimą audiniuose. Alopurinolio koncentracija žmogaus organizmo audiniuose nenustatyta, tačiau tikėtina, kad didžiausios alopurinolio ir oksipurinolio koncentracijos bus kepenyse ir žarnų gleivinėje, kur ksantino oksidazės aktyvumas didelis.</w:t>
      </w:r>
    </w:p>
    <w:p w14:paraId="7A5E285E" w14:textId="77777777" w:rsidR="00710393" w:rsidRPr="003E78EA" w:rsidRDefault="00710393" w:rsidP="00710393">
      <w:pPr>
        <w:numPr>
          <w:ilvl w:val="12"/>
          <w:numId w:val="0"/>
        </w:numPr>
        <w:ind w:right="-2"/>
        <w:rPr>
          <w:u w:val="single"/>
          <w:lang w:val="lt-LT"/>
        </w:rPr>
      </w:pPr>
    </w:p>
    <w:p w14:paraId="093F84A7" w14:textId="77777777" w:rsidR="00710393" w:rsidRPr="003E78EA" w:rsidRDefault="00710393" w:rsidP="00710393">
      <w:pPr>
        <w:numPr>
          <w:ilvl w:val="12"/>
          <w:numId w:val="0"/>
        </w:numPr>
        <w:ind w:right="-2"/>
        <w:rPr>
          <w:u w:val="single"/>
          <w:lang w:val="lt-LT"/>
        </w:rPr>
      </w:pPr>
      <w:r w:rsidRPr="003E78EA">
        <w:rPr>
          <w:u w:val="single"/>
          <w:lang w:val="lt-LT"/>
        </w:rPr>
        <w:t>Biotransformacija</w:t>
      </w:r>
    </w:p>
    <w:p w14:paraId="64D0C0B9" w14:textId="77777777" w:rsidR="00710393" w:rsidRPr="003E78EA" w:rsidRDefault="00710393" w:rsidP="00710393">
      <w:pPr>
        <w:numPr>
          <w:ilvl w:val="12"/>
          <w:numId w:val="0"/>
        </w:numPr>
        <w:ind w:right="-2"/>
        <w:rPr>
          <w:u w:val="single"/>
          <w:lang w:val="lt-LT"/>
        </w:rPr>
      </w:pPr>
    </w:p>
    <w:p w14:paraId="377E730B" w14:textId="77777777" w:rsidR="00710393" w:rsidRPr="003E78EA" w:rsidRDefault="00710393" w:rsidP="00710393">
      <w:pPr>
        <w:numPr>
          <w:ilvl w:val="12"/>
          <w:numId w:val="0"/>
        </w:numPr>
        <w:ind w:right="-2"/>
        <w:rPr>
          <w:lang w:val="lt-LT"/>
        </w:rPr>
      </w:pPr>
      <w:r w:rsidRPr="003E78EA">
        <w:rPr>
          <w:lang w:val="lt-LT"/>
        </w:rPr>
        <w:t>Pagrindinis alopurinolio metabolitas yra oksipurinolis. Kiti alopurinolio metabolitai yra alopurinol-ribozidas ir oksipurinol-7-ribozidas.</w:t>
      </w:r>
    </w:p>
    <w:p w14:paraId="09102DD0" w14:textId="77777777" w:rsidR="00710393" w:rsidRPr="003E78EA" w:rsidRDefault="00710393" w:rsidP="00710393">
      <w:pPr>
        <w:numPr>
          <w:ilvl w:val="12"/>
          <w:numId w:val="0"/>
        </w:numPr>
        <w:ind w:right="-2"/>
        <w:rPr>
          <w:lang w:val="lt-LT"/>
        </w:rPr>
      </w:pPr>
    </w:p>
    <w:p w14:paraId="4CBA3C9C" w14:textId="77777777" w:rsidR="00710393" w:rsidRPr="003E78EA" w:rsidRDefault="00710393" w:rsidP="00710393">
      <w:pPr>
        <w:numPr>
          <w:ilvl w:val="12"/>
          <w:numId w:val="0"/>
        </w:numPr>
        <w:ind w:right="-2"/>
        <w:rPr>
          <w:u w:val="single"/>
          <w:lang w:val="lt-LT"/>
        </w:rPr>
      </w:pPr>
      <w:r w:rsidRPr="003E78EA">
        <w:rPr>
          <w:u w:val="single"/>
          <w:lang w:val="lt-LT"/>
        </w:rPr>
        <w:t>Eliminacija</w:t>
      </w:r>
    </w:p>
    <w:p w14:paraId="1FB4016B" w14:textId="77777777" w:rsidR="00710393" w:rsidRPr="003E78EA" w:rsidRDefault="00710393" w:rsidP="00710393">
      <w:pPr>
        <w:numPr>
          <w:ilvl w:val="12"/>
          <w:numId w:val="0"/>
        </w:numPr>
        <w:ind w:right="-2"/>
        <w:rPr>
          <w:u w:val="single"/>
          <w:lang w:val="lt-LT"/>
        </w:rPr>
      </w:pPr>
    </w:p>
    <w:p w14:paraId="57A72A0E" w14:textId="08B9C31B" w:rsidR="00710393" w:rsidRPr="003E78EA" w:rsidRDefault="00710393" w:rsidP="00710393">
      <w:pPr>
        <w:numPr>
          <w:ilvl w:val="12"/>
          <w:numId w:val="0"/>
        </w:numPr>
        <w:ind w:right="-2"/>
        <w:rPr>
          <w:lang w:val="lt-LT"/>
        </w:rPr>
      </w:pPr>
      <w:r w:rsidRPr="003E78EA">
        <w:rPr>
          <w:lang w:val="lt-LT"/>
        </w:rPr>
        <w:t>Apytiksliai 20</w:t>
      </w:r>
      <w:r w:rsidR="00502A9E">
        <w:rPr>
          <w:lang w:val="lt-LT"/>
        </w:rPr>
        <w:t> </w:t>
      </w:r>
      <w:r w:rsidRPr="003E78EA">
        <w:rPr>
          <w:lang w:val="lt-LT"/>
        </w:rPr>
        <w:t>% suvartoto alopurinolio išsiskiria su išmatomis. Alopurinolis eliminuojamas į oksipurinolį daugiausiai metabolinės konversijos būdu, kurią atlieka ksantino oksidazė ir aldehidų oksidazė, išskiriant mažiau kaip 10</w:t>
      </w:r>
      <w:r w:rsidR="00502A9E">
        <w:rPr>
          <w:lang w:val="lt-LT"/>
        </w:rPr>
        <w:t> </w:t>
      </w:r>
      <w:r w:rsidRPr="003E78EA">
        <w:rPr>
          <w:lang w:val="lt-LT"/>
        </w:rPr>
        <w:t xml:space="preserve">% nepakitusios veikliosios medžiagos su šlapimu. Alopurinolio pusinės eliminacijos periodas </w:t>
      </w:r>
      <w:r w:rsidR="00B76390" w:rsidRPr="003E78EA">
        <w:rPr>
          <w:lang w:val="lt-LT"/>
        </w:rPr>
        <w:t xml:space="preserve">kraujo </w:t>
      </w:r>
      <w:r w:rsidRPr="003E78EA">
        <w:rPr>
          <w:lang w:val="lt-LT"/>
        </w:rPr>
        <w:t>plazmoje yra apie 0,5–1,5</w:t>
      </w:r>
      <w:r w:rsidR="00502A9E">
        <w:rPr>
          <w:lang w:val="lt-LT"/>
        </w:rPr>
        <w:t> </w:t>
      </w:r>
      <w:r w:rsidRPr="003E78EA">
        <w:rPr>
          <w:lang w:val="lt-LT"/>
        </w:rPr>
        <w:t xml:space="preserve">valandos. </w:t>
      </w:r>
    </w:p>
    <w:p w14:paraId="4305402A" w14:textId="77777777" w:rsidR="00710393" w:rsidRPr="003E78EA" w:rsidRDefault="00710393" w:rsidP="00710393">
      <w:pPr>
        <w:numPr>
          <w:ilvl w:val="12"/>
          <w:numId w:val="0"/>
        </w:numPr>
        <w:ind w:right="-2"/>
        <w:rPr>
          <w:lang w:val="lt-LT"/>
        </w:rPr>
      </w:pPr>
    </w:p>
    <w:p w14:paraId="3B7B665F" w14:textId="6AC21512" w:rsidR="00710393" w:rsidRPr="003E78EA" w:rsidRDefault="00710393" w:rsidP="00710393">
      <w:pPr>
        <w:numPr>
          <w:ilvl w:val="12"/>
          <w:numId w:val="0"/>
        </w:numPr>
        <w:ind w:right="-2"/>
        <w:rPr>
          <w:lang w:val="lt-LT"/>
        </w:rPr>
      </w:pPr>
      <w:r w:rsidRPr="003E78EA">
        <w:rPr>
          <w:lang w:val="lt-LT"/>
        </w:rPr>
        <w:t xml:space="preserve">Oksipurinolis yra silpnesnis ksantino oksidazės inhibitorius nei alopurinolis, tačiau oksipurinolio pusinės eliminacijos periodas </w:t>
      </w:r>
      <w:r w:rsidR="00B76390" w:rsidRPr="003E78EA">
        <w:rPr>
          <w:lang w:val="lt-LT"/>
        </w:rPr>
        <w:t xml:space="preserve">kraujo </w:t>
      </w:r>
      <w:r w:rsidRPr="003E78EA">
        <w:rPr>
          <w:lang w:val="lt-LT"/>
        </w:rPr>
        <w:t>plazmoje yra daug ilgesnis. Žmogaus organizme jis siekia nuo 13 iki 30</w:t>
      </w:r>
      <w:r w:rsidR="00502A9E">
        <w:rPr>
          <w:lang w:val="lt-LT"/>
        </w:rPr>
        <w:t> </w:t>
      </w:r>
      <w:r w:rsidRPr="003E78EA">
        <w:rPr>
          <w:lang w:val="lt-LT"/>
        </w:rPr>
        <w:t>valandų. Todėl vartojant vieną alopurinolio paros dozę veiksmingas ksantino oksidazės slopinimas išlaikomas 24</w:t>
      </w:r>
      <w:r w:rsidR="00502A9E">
        <w:rPr>
          <w:lang w:val="lt-LT"/>
        </w:rPr>
        <w:t> </w:t>
      </w:r>
      <w:r w:rsidRPr="003E78EA">
        <w:rPr>
          <w:lang w:val="lt-LT"/>
        </w:rPr>
        <w:t xml:space="preserve">valandų laikotarpį. Pacientų, kurių inkstų funkcija normali, organizme oksipurinolis laipsniškai kaupsis, kol bus pasiekta pusiausvyrinė oksipurinolio koncentracija </w:t>
      </w:r>
      <w:r w:rsidR="00B76390" w:rsidRPr="003E78EA">
        <w:rPr>
          <w:lang w:val="lt-LT"/>
        </w:rPr>
        <w:t xml:space="preserve">kraujo </w:t>
      </w:r>
      <w:r w:rsidRPr="003E78EA">
        <w:rPr>
          <w:lang w:val="lt-LT"/>
        </w:rPr>
        <w:t>plazmoje. Tokių pacientų organizme, vartojant 300</w:t>
      </w:r>
      <w:r w:rsidR="00502A9E">
        <w:rPr>
          <w:lang w:val="lt-LT"/>
        </w:rPr>
        <w:t> </w:t>
      </w:r>
      <w:r w:rsidRPr="003E78EA">
        <w:rPr>
          <w:lang w:val="lt-LT"/>
        </w:rPr>
        <w:t xml:space="preserve">mg alopurinolio per parą, oksipurinolio koncentracija </w:t>
      </w:r>
      <w:r w:rsidR="00B76390" w:rsidRPr="003E78EA">
        <w:rPr>
          <w:lang w:val="lt-LT"/>
        </w:rPr>
        <w:t xml:space="preserve">kraujo </w:t>
      </w:r>
      <w:r w:rsidRPr="003E78EA">
        <w:rPr>
          <w:lang w:val="lt-LT"/>
        </w:rPr>
        <w:t>plazmoje paprastai siekia 5–10</w:t>
      </w:r>
      <w:r w:rsidR="00502A9E">
        <w:rPr>
          <w:lang w:val="lt-LT"/>
        </w:rPr>
        <w:t> </w:t>
      </w:r>
      <w:r w:rsidRPr="003E78EA">
        <w:rPr>
          <w:lang w:val="lt-LT"/>
        </w:rPr>
        <w:t>mg/l.</w:t>
      </w:r>
    </w:p>
    <w:p w14:paraId="08131F8F" w14:textId="77777777" w:rsidR="00710393" w:rsidRPr="003E78EA" w:rsidRDefault="00710393" w:rsidP="00710393">
      <w:pPr>
        <w:numPr>
          <w:ilvl w:val="12"/>
          <w:numId w:val="0"/>
        </w:numPr>
        <w:ind w:right="-2"/>
        <w:rPr>
          <w:lang w:val="lt-LT"/>
        </w:rPr>
      </w:pPr>
    </w:p>
    <w:p w14:paraId="60AE6AA4" w14:textId="77777777" w:rsidR="00710393" w:rsidRPr="003E78EA" w:rsidRDefault="00710393" w:rsidP="00710393">
      <w:pPr>
        <w:numPr>
          <w:ilvl w:val="12"/>
          <w:numId w:val="0"/>
        </w:numPr>
        <w:ind w:right="-2"/>
        <w:rPr>
          <w:lang w:val="lt-LT"/>
        </w:rPr>
      </w:pPr>
      <w:r w:rsidRPr="003E78EA">
        <w:rPr>
          <w:lang w:val="lt-LT"/>
        </w:rPr>
        <w:t>Oksipurinolis šalinamas nepakitęs su šlapimu, tačiau jo pusinės eliminacijos periodas yra ilgas, nes jis reabsorbuojamas kanalėliuose. Nustatyta, kad pusinės eliminacijos periodas svyruoja nuo 13,6 iki 29 valandų. Didelį šių verčių skirtumą gali lemti tyrimo modelio ir (arba) kreatinino klirenso pacientų organizme skirtumai.</w:t>
      </w:r>
    </w:p>
    <w:p w14:paraId="1E3E108A" w14:textId="77777777" w:rsidR="00710393" w:rsidRPr="003E78EA" w:rsidRDefault="00710393" w:rsidP="00710393">
      <w:pPr>
        <w:rPr>
          <w:b/>
          <w:lang w:val="lt-LT"/>
        </w:rPr>
      </w:pPr>
    </w:p>
    <w:p w14:paraId="4E0D3461" w14:textId="77777777" w:rsidR="00710393" w:rsidRPr="003E78EA" w:rsidRDefault="00710393" w:rsidP="00710393">
      <w:pPr>
        <w:numPr>
          <w:ilvl w:val="12"/>
          <w:numId w:val="0"/>
        </w:numPr>
        <w:ind w:right="-2"/>
        <w:rPr>
          <w:u w:val="single"/>
          <w:lang w:val="lt-LT"/>
        </w:rPr>
      </w:pPr>
      <w:r w:rsidRPr="003E78EA">
        <w:rPr>
          <w:u w:val="single"/>
          <w:lang w:val="lt-LT"/>
        </w:rPr>
        <w:t>Farmakokinetika pacientų su sutrikusia inkstų funkcija organizme</w:t>
      </w:r>
    </w:p>
    <w:p w14:paraId="6B9F5A8E" w14:textId="77777777" w:rsidR="00710393" w:rsidRPr="003E78EA" w:rsidRDefault="00710393" w:rsidP="00710393">
      <w:pPr>
        <w:rPr>
          <w:b/>
          <w:lang w:val="lt-LT"/>
        </w:rPr>
      </w:pPr>
    </w:p>
    <w:p w14:paraId="5B61FA50" w14:textId="32F276C1" w:rsidR="00710393" w:rsidRPr="003E78EA" w:rsidRDefault="00710393" w:rsidP="00710393">
      <w:pPr>
        <w:rPr>
          <w:lang w:val="lt-LT"/>
        </w:rPr>
      </w:pPr>
      <w:r w:rsidRPr="003E78EA">
        <w:rPr>
          <w:lang w:val="lt-LT"/>
        </w:rPr>
        <w:t xml:space="preserve">Pacientų, kurių inkstų funkcija silpna, organizme alopurinolio ir oksipurinolio klirensas yra gerokai sumažėjęs, todėl gydant ilgą laiką </w:t>
      </w:r>
      <w:r w:rsidR="00B76390" w:rsidRPr="003E78EA">
        <w:rPr>
          <w:lang w:val="lt-LT"/>
        </w:rPr>
        <w:t xml:space="preserve">kraujo </w:t>
      </w:r>
      <w:r w:rsidRPr="003E78EA">
        <w:rPr>
          <w:lang w:val="lt-LT"/>
        </w:rPr>
        <w:t>plazmoje susidaro didesnės šių medžiagų koncentracijos. Po ilgalaikio gydymo vartojant 300</w:t>
      </w:r>
      <w:r w:rsidR="00502A9E">
        <w:rPr>
          <w:lang w:val="lt-LT"/>
        </w:rPr>
        <w:t> </w:t>
      </w:r>
      <w:r w:rsidRPr="003E78EA">
        <w:rPr>
          <w:lang w:val="lt-LT"/>
        </w:rPr>
        <w:t>mg alopurinolio per parą pacientams, kurių inkstų klirensas buvo nuo 10 iki 20</w:t>
      </w:r>
      <w:r w:rsidR="00502A9E">
        <w:rPr>
          <w:lang w:val="lt-LT"/>
        </w:rPr>
        <w:t> </w:t>
      </w:r>
      <w:r w:rsidRPr="003E78EA">
        <w:rPr>
          <w:lang w:val="lt-LT"/>
        </w:rPr>
        <w:t>ml/min., nustatyta apytiksliai 30</w:t>
      </w:r>
      <w:r w:rsidR="00502A9E">
        <w:rPr>
          <w:lang w:val="lt-LT"/>
        </w:rPr>
        <w:t> </w:t>
      </w:r>
      <w:r w:rsidRPr="003E78EA">
        <w:rPr>
          <w:lang w:val="lt-LT"/>
        </w:rPr>
        <w:t xml:space="preserve">mg/l oksipurinolio koncentracija </w:t>
      </w:r>
      <w:r w:rsidR="00B76390" w:rsidRPr="003E78EA">
        <w:rPr>
          <w:lang w:val="lt-LT"/>
        </w:rPr>
        <w:t xml:space="preserve">kraujo </w:t>
      </w:r>
      <w:r w:rsidRPr="003E78EA">
        <w:rPr>
          <w:lang w:val="lt-LT"/>
        </w:rPr>
        <w:t>plazmoje. Tai apytiksliai atitinka koncentraciją, kuri būtų pasiekta skiriant 600</w:t>
      </w:r>
      <w:r w:rsidR="00502A9E">
        <w:rPr>
          <w:lang w:val="lt-LT"/>
        </w:rPr>
        <w:t> </w:t>
      </w:r>
      <w:r w:rsidRPr="003E78EA">
        <w:rPr>
          <w:lang w:val="lt-LT"/>
        </w:rPr>
        <w:t>mg per parą dozę pacientams, kurių inkstų funkcija normali. Todėl pacientams, kurių inkstų funkcija sutrikusi, būtina mažinti alopurinolio dozę.</w:t>
      </w:r>
    </w:p>
    <w:p w14:paraId="58CCAB4C" w14:textId="77777777" w:rsidR="00710393" w:rsidRPr="003E78EA" w:rsidRDefault="00710393" w:rsidP="00710393">
      <w:pPr>
        <w:rPr>
          <w:lang w:val="lt-LT"/>
        </w:rPr>
      </w:pPr>
    </w:p>
    <w:p w14:paraId="3ED47374" w14:textId="77777777" w:rsidR="00710393" w:rsidRPr="003E78EA" w:rsidRDefault="00710393" w:rsidP="00710393">
      <w:pPr>
        <w:numPr>
          <w:ilvl w:val="12"/>
          <w:numId w:val="0"/>
        </w:numPr>
        <w:ind w:right="-2"/>
        <w:rPr>
          <w:u w:val="single"/>
          <w:lang w:val="lt-LT"/>
        </w:rPr>
      </w:pPr>
      <w:r w:rsidRPr="003E78EA">
        <w:rPr>
          <w:u w:val="single"/>
          <w:lang w:val="lt-LT"/>
        </w:rPr>
        <w:t>Farmakokinetika senyvų pacientų organizme</w:t>
      </w:r>
    </w:p>
    <w:p w14:paraId="775DF1BE" w14:textId="77777777" w:rsidR="00710393" w:rsidRPr="003E78EA" w:rsidRDefault="00710393" w:rsidP="00710393">
      <w:pPr>
        <w:rPr>
          <w:b/>
          <w:lang w:val="lt-LT"/>
        </w:rPr>
      </w:pPr>
    </w:p>
    <w:p w14:paraId="6A100699" w14:textId="77777777" w:rsidR="00710393" w:rsidRPr="003E78EA" w:rsidRDefault="00710393" w:rsidP="00710393">
      <w:pPr>
        <w:rPr>
          <w:i/>
          <w:lang w:val="lt-LT"/>
        </w:rPr>
      </w:pPr>
      <w:r w:rsidRPr="003E78EA">
        <w:rPr>
          <w:lang w:val="lt-LT"/>
        </w:rPr>
        <w:t xml:space="preserve">Alopurinolio kinetikos neturėtų pakeisti kiti veiksniai nei inkstų funkcijos susilpnėjimas (žr. 5.2 skyrių </w:t>
      </w:r>
      <w:r w:rsidRPr="003E78EA">
        <w:rPr>
          <w:i/>
          <w:lang w:val="lt-LT"/>
        </w:rPr>
        <w:t>Farmakokinetika pacientų su sutrikusia inkstų funkcija organizme</w:t>
      </w:r>
      <w:r w:rsidRPr="003E78EA">
        <w:rPr>
          <w:lang w:val="lt-LT"/>
        </w:rPr>
        <w:t>).</w:t>
      </w:r>
    </w:p>
    <w:p w14:paraId="03DA1019" w14:textId="77777777" w:rsidR="00710393" w:rsidRPr="003E78EA" w:rsidRDefault="00710393" w:rsidP="00710393">
      <w:pPr>
        <w:rPr>
          <w:b/>
          <w:lang w:val="lt-LT"/>
        </w:rPr>
      </w:pPr>
    </w:p>
    <w:p w14:paraId="5FA853DD" w14:textId="77777777" w:rsidR="00710393" w:rsidRPr="003E78EA" w:rsidRDefault="00710393" w:rsidP="00710393">
      <w:pPr>
        <w:ind w:left="567" w:hanging="567"/>
        <w:rPr>
          <w:b/>
          <w:lang w:val="lt-LT"/>
        </w:rPr>
      </w:pPr>
      <w:r w:rsidRPr="003E78EA">
        <w:rPr>
          <w:b/>
          <w:lang w:val="lt-LT"/>
        </w:rPr>
        <w:t>5.3</w:t>
      </w:r>
      <w:r w:rsidRPr="003E78EA">
        <w:rPr>
          <w:b/>
          <w:lang w:val="lt-LT"/>
        </w:rPr>
        <w:tab/>
        <w:t>Ikiklinikinių saugumo tyrimų duomenys</w:t>
      </w:r>
    </w:p>
    <w:p w14:paraId="57A63BBF" w14:textId="77777777" w:rsidR="00710393" w:rsidRPr="003E78EA" w:rsidRDefault="00710393" w:rsidP="00710393">
      <w:pPr>
        <w:ind w:left="567" w:hanging="567"/>
        <w:rPr>
          <w:lang w:val="lt-LT"/>
        </w:rPr>
      </w:pPr>
    </w:p>
    <w:p w14:paraId="67FC84AE" w14:textId="1AC29BB6" w:rsidR="00710393" w:rsidRDefault="00710393" w:rsidP="003E78EA">
      <w:pPr>
        <w:pStyle w:val="prastasiniatinklio"/>
        <w:shd w:val="clear" w:color="auto" w:fill="FFFFFF"/>
        <w:spacing w:before="0" w:beforeAutospacing="0" w:after="0" w:afterAutospacing="0"/>
        <w:rPr>
          <w:i/>
          <w:color w:val="000000"/>
          <w:sz w:val="22"/>
          <w:szCs w:val="22"/>
        </w:rPr>
      </w:pPr>
      <w:r w:rsidRPr="000A5826">
        <w:rPr>
          <w:i/>
          <w:color w:val="000000"/>
          <w:sz w:val="22"/>
          <w:szCs w:val="22"/>
        </w:rPr>
        <w:t>Mutageniškumas</w:t>
      </w:r>
    </w:p>
    <w:p w14:paraId="5D7AF6C7" w14:textId="77777777" w:rsidR="00502A9E" w:rsidRPr="000A5826" w:rsidRDefault="00502A9E" w:rsidP="003E78EA">
      <w:pPr>
        <w:pStyle w:val="prastasiniatinklio"/>
        <w:shd w:val="clear" w:color="auto" w:fill="FFFFFF"/>
        <w:spacing w:before="0" w:beforeAutospacing="0" w:after="0" w:afterAutospacing="0"/>
        <w:rPr>
          <w:i/>
          <w:color w:val="000000"/>
          <w:sz w:val="22"/>
          <w:szCs w:val="22"/>
        </w:rPr>
      </w:pPr>
    </w:p>
    <w:p w14:paraId="515A1BE4" w14:textId="13629911" w:rsidR="00710393" w:rsidRPr="000A5826" w:rsidRDefault="00710393" w:rsidP="003E78EA">
      <w:pPr>
        <w:pStyle w:val="prastasiniatinklio"/>
        <w:shd w:val="clear" w:color="auto" w:fill="FFFFFF"/>
        <w:spacing w:before="0" w:beforeAutospacing="0" w:after="0" w:afterAutospacing="0"/>
        <w:rPr>
          <w:color w:val="000000"/>
          <w:sz w:val="22"/>
          <w:szCs w:val="22"/>
        </w:rPr>
      </w:pPr>
      <w:r w:rsidRPr="000A5826">
        <w:rPr>
          <w:color w:val="000000"/>
          <w:sz w:val="22"/>
          <w:szCs w:val="22"/>
        </w:rPr>
        <w:t xml:space="preserve">Citogenetiniai tyrimai rodo, kad alopurinolis nesukelia chromosomų aberacijų žmogaus kraujo ląstelėse </w:t>
      </w:r>
      <w:r w:rsidRPr="000A5826">
        <w:rPr>
          <w:i/>
          <w:color w:val="000000"/>
          <w:sz w:val="22"/>
          <w:szCs w:val="22"/>
        </w:rPr>
        <w:t>in vitro</w:t>
      </w:r>
      <w:r w:rsidRPr="000A5826">
        <w:rPr>
          <w:color w:val="000000"/>
          <w:sz w:val="22"/>
          <w:szCs w:val="22"/>
        </w:rPr>
        <w:t>, kai koncentracija siekia iki 100</w:t>
      </w:r>
      <w:r w:rsidR="00502A9E">
        <w:rPr>
          <w:color w:val="000000"/>
          <w:sz w:val="22"/>
          <w:szCs w:val="22"/>
        </w:rPr>
        <w:t> </w:t>
      </w:r>
      <w:r w:rsidRPr="000A5826">
        <w:rPr>
          <w:color w:val="000000"/>
          <w:sz w:val="22"/>
          <w:szCs w:val="22"/>
        </w:rPr>
        <w:t xml:space="preserve">μg/ml, ir </w:t>
      </w:r>
      <w:r w:rsidRPr="000A5826">
        <w:rPr>
          <w:i/>
          <w:color w:val="000000"/>
          <w:sz w:val="22"/>
          <w:szCs w:val="22"/>
        </w:rPr>
        <w:t>in vivo,</w:t>
      </w:r>
      <w:r w:rsidRPr="000A5826">
        <w:rPr>
          <w:color w:val="000000"/>
          <w:sz w:val="22"/>
          <w:szCs w:val="22"/>
        </w:rPr>
        <w:t xml:space="preserve"> kai dozė siekia iki 600</w:t>
      </w:r>
      <w:r w:rsidR="00502A9E">
        <w:rPr>
          <w:color w:val="000000"/>
          <w:sz w:val="22"/>
          <w:szCs w:val="22"/>
        </w:rPr>
        <w:t> </w:t>
      </w:r>
      <w:r w:rsidRPr="000A5826">
        <w:rPr>
          <w:color w:val="000000"/>
          <w:sz w:val="22"/>
          <w:szCs w:val="22"/>
        </w:rPr>
        <w:t>mg per parą vidutiniškai 40</w:t>
      </w:r>
      <w:r w:rsidR="00502A9E">
        <w:rPr>
          <w:color w:val="000000"/>
          <w:sz w:val="22"/>
          <w:szCs w:val="22"/>
        </w:rPr>
        <w:t> </w:t>
      </w:r>
      <w:r w:rsidRPr="000A5826">
        <w:rPr>
          <w:color w:val="000000"/>
          <w:sz w:val="22"/>
          <w:szCs w:val="22"/>
        </w:rPr>
        <w:t>mėnesių.</w:t>
      </w:r>
    </w:p>
    <w:p w14:paraId="08ECCD60" w14:textId="77777777" w:rsidR="00502A9E" w:rsidRDefault="00502A9E" w:rsidP="00502A9E">
      <w:pPr>
        <w:pStyle w:val="prastasiniatinklio"/>
        <w:shd w:val="clear" w:color="auto" w:fill="FFFFFF"/>
        <w:spacing w:before="0" w:beforeAutospacing="0" w:after="0" w:afterAutospacing="0"/>
        <w:rPr>
          <w:color w:val="000000"/>
          <w:sz w:val="22"/>
          <w:szCs w:val="22"/>
        </w:rPr>
      </w:pPr>
    </w:p>
    <w:p w14:paraId="7F8FA3A7" w14:textId="77777777" w:rsidR="00710393" w:rsidRPr="000A5826" w:rsidRDefault="00710393" w:rsidP="003E78EA">
      <w:pPr>
        <w:pStyle w:val="prastasiniatinklio"/>
        <w:shd w:val="clear" w:color="auto" w:fill="FFFFFF"/>
        <w:spacing w:before="0" w:beforeAutospacing="0" w:after="0" w:afterAutospacing="0"/>
        <w:rPr>
          <w:color w:val="000000"/>
          <w:sz w:val="22"/>
          <w:szCs w:val="22"/>
        </w:rPr>
      </w:pPr>
      <w:r w:rsidRPr="000A5826">
        <w:rPr>
          <w:color w:val="000000"/>
          <w:sz w:val="22"/>
          <w:szCs w:val="22"/>
        </w:rPr>
        <w:t xml:space="preserve">Alopurinolis nesukuria nitrozo junginių </w:t>
      </w:r>
      <w:r w:rsidRPr="000A5826">
        <w:rPr>
          <w:i/>
          <w:color w:val="000000"/>
          <w:sz w:val="22"/>
          <w:szCs w:val="22"/>
        </w:rPr>
        <w:t>in vitro</w:t>
      </w:r>
      <w:r w:rsidRPr="000A5826">
        <w:rPr>
          <w:color w:val="000000"/>
          <w:sz w:val="22"/>
          <w:szCs w:val="22"/>
        </w:rPr>
        <w:t xml:space="preserve"> ir nepaveikia limfocitų transformacijos </w:t>
      </w:r>
      <w:r w:rsidRPr="000A5826">
        <w:rPr>
          <w:i/>
          <w:color w:val="000000"/>
          <w:sz w:val="22"/>
          <w:szCs w:val="22"/>
        </w:rPr>
        <w:t>in vitro</w:t>
      </w:r>
      <w:r w:rsidRPr="000A5826">
        <w:rPr>
          <w:color w:val="000000"/>
          <w:sz w:val="22"/>
          <w:szCs w:val="22"/>
        </w:rPr>
        <w:t>.</w:t>
      </w:r>
    </w:p>
    <w:p w14:paraId="44863E52" w14:textId="77777777" w:rsidR="00502A9E" w:rsidRDefault="00502A9E" w:rsidP="00502A9E">
      <w:pPr>
        <w:pStyle w:val="prastasiniatinklio"/>
        <w:shd w:val="clear" w:color="auto" w:fill="FFFFFF"/>
        <w:spacing w:before="0" w:beforeAutospacing="0" w:after="0" w:afterAutospacing="0"/>
        <w:rPr>
          <w:color w:val="000000"/>
          <w:sz w:val="22"/>
          <w:szCs w:val="22"/>
        </w:rPr>
      </w:pPr>
    </w:p>
    <w:p w14:paraId="6D11A4FB" w14:textId="77777777" w:rsidR="00710393" w:rsidRDefault="00710393" w:rsidP="003E78EA">
      <w:pPr>
        <w:pStyle w:val="prastasiniatinklio"/>
        <w:shd w:val="clear" w:color="auto" w:fill="FFFFFF"/>
        <w:spacing w:before="0" w:beforeAutospacing="0" w:after="0" w:afterAutospacing="0"/>
        <w:rPr>
          <w:color w:val="000000"/>
          <w:sz w:val="22"/>
          <w:szCs w:val="22"/>
        </w:rPr>
      </w:pPr>
      <w:r w:rsidRPr="000A5826">
        <w:rPr>
          <w:color w:val="000000"/>
          <w:sz w:val="22"/>
          <w:szCs w:val="22"/>
        </w:rPr>
        <w:t>Biocheminių ir kitų citologinių tyrimų duomenys užtikrintai rodo, kad alopurinolis neturi jokio žalingo poveikio DNR bet kuriame ląstelių ciklo etape ir nėra mutageninis.</w:t>
      </w:r>
    </w:p>
    <w:p w14:paraId="58F31F2D" w14:textId="77777777" w:rsidR="00502A9E" w:rsidRPr="000A5826" w:rsidRDefault="00502A9E" w:rsidP="003E78EA">
      <w:pPr>
        <w:pStyle w:val="prastasiniatinklio"/>
        <w:shd w:val="clear" w:color="auto" w:fill="FFFFFF"/>
        <w:spacing w:before="0" w:beforeAutospacing="0" w:after="0" w:afterAutospacing="0"/>
        <w:rPr>
          <w:color w:val="000000"/>
          <w:sz w:val="22"/>
          <w:szCs w:val="22"/>
        </w:rPr>
      </w:pPr>
    </w:p>
    <w:p w14:paraId="01FFF411" w14:textId="4896CA50" w:rsidR="00710393" w:rsidRPr="000A5826" w:rsidRDefault="00710393" w:rsidP="003E78EA">
      <w:pPr>
        <w:pStyle w:val="prastasiniatinklio"/>
        <w:shd w:val="clear" w:color="auto" w:fill="FFFFFF"/>
        <w:spacing w:before="0" w:beforeAutospacing="0" w:after="0" w:afterAutospacing="0"/>
        <w:rPr>
          <w:i/>
          <w:color w:val="000000"/>
          <w:sz w:val="22"/>
          <w:szCs w:val="22"/>
        </w:rPr>
      </w:pPr>
      <w:r w:rsidRPr="000A5826">
        <w:rPr>
          <w:i/>
          <w:color w:val="000000"/>
          <w:sz w:val="22"/>
          <w:szCs w:val="22"/>
        </w:rPr>
        <w:t>Kancerogeniškumas</w:t>
      </w:r>
    </w:p>
    <w:p w14:paraId="5342E72C" w14:textId="77777777" w:rsidR="00502A9E" w:rsidRDefault="00502A9E" w:rsidP="00502A9E">
      <w:pPr>
        <w:pStyle w:val="prastasiniatinklio"/>
        <w:shd w:val="clear" w:color="auto" w:fill="FFFFFF"/>
        <w:spacing w:before="0" w:beforeAutospacing="0" w:after="0" w:afterAutospacing="0"/>
        <w:rPr>
          <w:color w:val="000000"/>
          <w:sz w:val="22"/>
          <w:szCs w:val="22"/>
        </w:rPr>
      </w:pPr>
    </w:p>
    <w:p w14:paraId="48AB6943" w14:textId="5BDC2E2F" w:rsidR="00710393" w:rsidRDefault="00710393" w:rsidP="003E78EA">
      <w:pPr>
        <w:pStyle w:val="prastasiniatinklio"/>
        <w:shd w:val="clear" w:color="auto" w:fill="FFFFFF"/>
        <w:spacing w:before="0" w:beforeAutospacing="0" w:after="0" w:afterAutospacing="0"/>
        <w:rPr>
          <w:color w:val="000000"/>
          <w:sz w:val="22"/>
          <w:szCs w:val="22"/>
        </w:rPr>
      </w:pPr>
      <w:r w:rsidRPr="000A5826">
        <w:rPr>
          <w:color w:val="000000"/>
          <w:sz w:val="22"/>
          <w:szCs w:val="22"/>
        </w:rPr>
        <w:t>Alopurinoliu 2</w:t>
      </w:r>
      <w:r w:rsidR="00502A9E">
        <w:rPr>
          <w:color w:val="000000"/>
          <w:sz w:val="22"/>
          <w:szCs w:val="22"/>
        </w:rPr>
        <w:t> </w:t>
      </w:r>
      <w:r w:rsidRPr="000A5826">
        <w:rPr>
          <w:color w:val="000000"/>
          <w:sz w:val="22"/>
          <w:szCs w:val="22"/>
        </w:rPr>
        <w:t>metus gydytų pelių ir žiurkių organizmuose kancerogeniškumo požymių nenustatyta.</w:t>
      </w:r>
    </w:p>
    <w:p w14:paraId="72F21DDB" w14:textId="77777777" w:rsidR="00502A9E" w:rsidRPr="000A5826" w:rsidRDefault="00502A9E" w:rsidP="003E78EA">
      <w:pPr>
        <w:pStyle w:val="prastasiniatinklio"/>
        <w:shd w:val="clear" w:color="auto" w:fill="FFFFFF"/>
        <w:spacing w:before="0" w:beforeAutospacing="0" w:after="0" w:afterAutospacing="0"/>
        <w:rPr>
          <w:color w:val="000000"/>
          <w:sz w:val="22"/>
          <w:szCs w:val="22"/>
        </w:rPr>
      </w:pPr>
    </w:p>
    <w:p w14:paraId="73F34BD6" w14:textId="77777777" w:rsidR="00710393" w:rsidRDefault="00367ACB" w:rsidP="003E78EA">
      <w:pPr>
        <w:pStyle w:val="prastasiniatinklio"/>
        <w:shd w:val="clear" w:color="auto" w:fill="FFFFFF"/>
        <w:spacing w:before="0" w:beforeAutospacing="0" w:after="0" w:afterAutospacing="0"/>
        <w:rPr>
          <w:i/>
          <w:color w:val="000000"/>
          <w:sz w:val="22"/>
          <w:szCs w:val="22"/>
        </w:rPr>
      </w:pPr>
      <w:r>
        <w:rPr>
          <w:i/>
          <w:color w:val="000000"/>
          <w:sz w:val="22"/>
          <w:szCs w:val="22"/>
        </w:rPr>
        <w:t>Teratogeniškumas</w:t>
      </w:r>
    </w:p>
    <w:p w14:paraId="69E0E1F6" w14:textId="77777777" w:rsidR="00502A9E" w:rsidRPr="000A5826" w:rsidRDefault="00502A9E" w:rsidP="003E78EA">
      <w:pPr>
        <w:pStyle w:val="prastasiniatinklio"/>
        <w:shd w:val="clear" w:color="auto" w:fill="FFFFFF"/>
        <w:spacing w:before="0" w:beforeAutospacing="0" w:after="0" w:afterAutospacing="0"/>
        <w:rPr>
          <w:i/>
          <w:color w:val="000000"/>
          <w:sz w:val="22"/>
          <w:szCs w:val="22"/>
        </w:rPr>
      </w:pPr>
    </w:p>
    <w:p w14:paraId="73499133" w14:textId="75FBF0B7" w:rsidR="00710393" w:rsidRPr="000A5826" w:rsidRDefault="00710393" w:rsidP="003E78EA">
      <w:pPr>
        <w:pStyle w:val="prastasiniatinklio"/>
        <w:shd w:val="clear" w:color="auto" w:fill="FFFFFF"/>
        <w:spacing w:before="0" w:beforeAutospacing="0" w:after="0" w:afterAutospacing="0"/>
        <w:rPr>
          <w:color w:val="000000"/>
          <w:sz w:val="22"/>
          <w:szCs w:val="22"/>
        </w:rPr>
      </w:pPr>
      <w:r w:rsidRPr="000A5826">
        <w:rPr>
          <w:color w:val="000000"/>
          <w:sz w:val="22"/>
          <w:szCs w:val="22"/>
        </w:rPr>
        <w:t>Vieno tyrimo su pelėmis metu 10 arba 13 vaikingumo dieną į pilvaplėvę suleidus 50 arba 100</w:t>
      </w:r>
      <w:r w:rsidR="00502A9E">
        <w:rPr>
          <w:color w:val="000000"/>
          <w:sz w:val="22"/>
          <w:szCs w:val="22"/>
        </w:rPr>
        <w:t> </w:t>
      </w:r>
      <w:r w:rsidRPr="000A5826">
        <w:rPr>
          <w:color w:val="000000"/>
          <w:sz w:val="22"/>
          <w:szCs w:val="22"/>
        </w:rPr>
        <w:t>mg/kg dozes, nustatyta vaisiaus apsigimimų, tačiau atliekant panašų tyrimą su žiurkėmis ir 12 vaikingumo dieną suleidus 120</w:t>
      </w:r>
      <w:r w:rsidR="00502A9E">
        <w:rPr>
          <w:color w:val="000000"/>
          <w:sz w:val="22"/>
          <w:szCs w:val="22"/>
        </w:rPr>
        <w:t> </w:t>
      </w:r>
      <w:r w:rsidRPr="000A5826">
        <w:rPr>
          <w:color w:val="000000"/>
          <w:sz w:val="22"/>
          <w:szCs w:val="22"/>
        </w:rPr>
        <w:t>mg/kg dozę apsigimimų nenustatyta. Atliekant išsamius 8–16 vaikingumo dienomis per burną duodamų didelių alopurinolio dozių tyrimą su pelėmis, duodant iki 100</w:t>
      </w:r>
      <w:r w:rsidR="00502A9E">
        <w:rPr>
          <w:color w:val="000000"/>
          <w:sz w:val="22"/>
          <w:szCs w:val="22"/>
        </w:rPr>
        <w:t> </w:t>
      </w:r>
      <w:r w:rsidRPr="000A5826">
        <w:rPr>
          <w:color w:val="000000"/>
          <w:sz w:val="22"/>
          <w:szCs w:val="22"/>
        </w:rPr>
        <w:t>mg/kg per parą, žiurkėmis, duodant iki 200</w:t>
      </w:r>
      <w:r w:rsidR="00502A9E">
        <w:rPr>
          <w:color w:val="000000"/>
          <w:sz w:val="22"/>
          <w:szCs w:val="22"/>
        </w:rPr>
        <w:t> </w:t>
      </w:r>
      <w:r w:rsidRPr="000A5826">
        <w:rPr>
          <w:color w:val="000000"/>
          <w:sz w:val="22"/>
          <w:szCs w:val="22"/>
        </w:rPr>
        <w:t>mg/kg per parą, ir triušiais, duodant iki 150</w:t>
      </w:r>
      <w:r w:rsidR="00502A9E">
        <w:rPr>
          <w:color w:val="000000"/>
          <w:sz w:val="22"/>
          <w:szCs w:val="22"/>
        </w:rPr>
        <w:t> </w:t>
      </w:r>
      <w:r w:rsidRPr="000A5826">
        <w:rPr>
          <w:color w:val="000000"/>
          <w:sz w:val="22"/>
          <w:szCs w:val="22"/>
        </w:rPr>
        <w:t>mg/kg per parą, teratogeninio poveikio nenustatyta.</w:t>
      </w:r>
    </w:p>
    <w:p w14:paraId="685454E0" w14:textId="77777777" w:rsidR="00502A9E" w:rsidRDefault="00502A9E" w:rsidP="003E78EA">
      <w:pPr>
        <w:pStyle w:val="prastasiniatinklio"/>
        <w:shd w:val="clear" w:color="auto" w:fill="FFFFFF"/>
        <w:spacing w:before="0" w:beforeAutospacing="0" w:after="0" w:afterAutospacing="0"/>
        <w:rPr>
          <w:color w:val="000000"/>
          <w:sz w:val="22"/>
          <w:szCs w:val="22"/>
        </w:rPr>
      </w:pPr>
    </w:p>
    <w:p w14:paraId="0648FF41" w14:textId="77777777" w:rsidR="00710393" w:rsidRPr="000A5826" w:rsidRDefault="00710393" w:rsidP="003E78EA">
      <w:pPr>
        <w:pStyle w:val="prastasiniatinklio"/>
        <w:shd w:val="clear" w:color="auto" w:fill="FFFFFF"/>
        <w:spacing w:before="0" w:beforeAutospacing="0" w:after="0" w:afterAutospacing="0"/>
        <w:rPr>
          <w:color w:val="000000"/>
          <w:sz w:val="22"/>
          <w:szCs w:val="22"/>
        </w:rPr>
      </w:pPr>
      <w:r w:rsidRPr="000A5826">
        <w:rPr>
          <w:color w:val="000000"/>
          <w:sz w:val="22"/>
          <w:szCs w:val="22"/>
        </w:rPr>
        <w:t xml:space="preserve">Siekiant nustatyti embriono toksiškumą </w:t>
      </w:r>
      <w:r w:rsidRPr="000A5826">
        <w:rPr>
          <w:i/>
          <w:color w:val="000000"/>
          <w:sz w:val="22"/>
          <w:szCs w:val="22"/>
        </w:rPr>
        <w:t>in vitro</w:t>
      </w:r>
      <w:r w:rsidRPr="000A5826">
        <w:rPr>
          <w:color w:val="000000"/>
          <w:sz w:val="22"/>
          <w:szCs w:val="22"/>
        </w:rPr>
        <w:t xml:space="preserve"> tyrime buvo naudojamos auginamos pelių embriono seilių liaukos ir nustatyta, kad alopurinolis neturėtų sukelti embriono toksiškumo, taip pat nesukeldamas toksinio poveikio motinai.</w:t>
      </w:r>
    </w:p>
    <w:p w14:paraId="397506FA" w14:textId="77777777" w:rsidR="00710393" w:rsidRPr="003E78EA" w:rsidRDefault="00710393" w:rsidP="00502A9E">
      <w:pPr>
        <w:rPr>
          <w:b/>
          <w:lang w:val="lt-LT"/>
        </w:rPr>
      </w:pPr>
    </w:p>
    <w:p w14:paraId="59997EA8" w14:textId="77777777" w:rsidR="00710393" w:rsidRPr="003E78EA" w:rsidRDefault="00710393" w:rsidP="00502A9E">
      <w:pPr>
        <w:rPr>
          <w:b/>
          <w:lang w:val="lt-LT"/>
        </w:rPr>
      </w:pPr>
    </w:p>
    <w:p w14:paraId="709CEB10" w14:textId="77777777" w:rsidR="00710393" w:rsidRPr="003E78EA" w:rsidRDefault="00710393" w:rsidP="00710393">
      <w:pPr>
        <w:ind w:left="567" w:hanging="567"/>
        <w:rPr>
          <w:b/>
          <w:lang w:val="lt-LT"/>
        </w:rPr>
      </w:pPr>
      <w:r w:rsidRPr="003E78EA">
        <w:rPr>
          <w:b/>
          <w:lang w:val="lt-LT"/>
        </w:rPr>
        <w:t>6.</w:t>
      </w:r>
      <w:r w:rsidRPr="003E78EA">
        <w:rPr>
          <w:b/>
          <w:lang w:val="lt-LT"/>
        </w:rPr>
        <w:tab/>
        <w:t>FARMACINĖ INFORMACIJA</w:t>
      </w:r>
    </w:p>
    <w:p w14:paraId="4EF2C491" w14:textId="77777777" w:rsidR="00710393" w:rsidRPr="003E78EA" w:rsidRDefault="00710393" w:rsidP="00710393">
      <w:pPr>
        <w:rPr>
          <w:b/>
          <w:lang w:val="lt-LT"/>
        </w:rPr>
      </w:pPr>
    </w:p>
    <w:p w14:paraId="526BBCFA" w14:textId="77777777" w:rsidR="00710393" w:rsidRPr="003E78EA" w:rsidRDefault="00710393" w:rsidP="00710393">
      <w:pPr>
        <w:ind w:left="567" w:hanging="567"/>
        <w:rPr>
          <w:b/>
          <w:lang w:val="lt-LT"/>
        </w:rPr>
      </w:pPr>
      <w:r w:rsidRPr="003E78EA">
        <w:rPr>
          <w:b/>
          <w:lang w:val="lt-LT"/>
        </w:rPr>
        <w:t>6.1</w:t>
      </w:r>
      <w:r w:rsidRPr="003E78EA">
        <w:rPr>
          <w:b/>
          <w:lang w:val="lt-LT"/>
        </w:rPr>
        <w:tab/>
        <w:t>Pagalbinių medžiagų sąrašas</w:t>
      </w:r>
    </w:p>
    <w:p w14:paraId="0A3D958B" w14:textId="77777777" w:rsidR="00710393" w:rsidRPr="003E78EA" w:rsidRDefault="00710393" w:rsidP="00710393">
      <w:pPr>
        <w:rPr>
          <w:lang w:val="lt-LT"/>
        </w:rPr>
      </w:pPr>
    </w:p>
    <w:p w14:paraId="779EBD59" w14:textId="64973AFB" w:rsidR="00710393" w:rsidRPr="003E78EA" w:rsidRDefault="00710393" w:rsidP="00710393">
      <w:pPr>
        <w:rPr>
          <w:lang w:val="lt-LT"/>
        </w:rPr>
      </w:pPr>
      <w:r w:rsidRPr="003E78EA">
        <w:rPr>
          <w:lang w:val="lt-LT"/>
        </w:rPr>
        <w:t>Laktozė monohidratas</w:t>
      </w:r>
    </w:p>
    <w:p w14:paraId="1FD306F4" w14:textId="18BE9E88" w:rsidR="00710393" w:rsidRPr="003E78EA" w:rsidRDefault="00381032" w:rsidP="00710393">
      <w:pPr>
        <w:rPr>
          <w:lang w:val="lt-LT"/>
        </w:rPr>
      </w:pPr>
      <w:r w:rsidRPr="003E78EA">
        <w:rPr>
          <w:lang w:val="lt-LT"/>
        </w:rPr>
        <w:t>K</w:t>
      </w:r>
      <w:r w:rsidR="00710393" w:rsidRPr="003E78EA">
        <w:rPr>
          <w:lang w:val="lt-LT"/>
        </w:rPr>
        <w:t>rospovidonas</w:t>
      </w:r>
      <w:r w:rsidRPr="003E78EA">
        <w:rPr>
          <w:lang w:val="lt-LT"/>
        </w:rPr>
        <w:t xml:space="preserve"> B</w:t>
      </w:r>
    </w:p>
    <w:p w14:paraId="7DBE8FC9" w14:textId="77777777" w:rsidR="00710393" w:rsidRPr="003E78EA" w:rsidRDefault="00710393" w:rsidP="00710393">
      <w:pPr>
        <w:adjustRightInd w:val="0"/>
        <w:spacing w:before="17"/>
        <w:rPr>
          <w:color w:val="000000"/>
          <w:lang w:val="lt-LT"/>
        </w:rPr>
      </w:pPr>
      <w:r w:rsidRPr="003E78EA">
        <w:rPr>
          <w:color w:val="000000"/>
          <w:lang w:val="lt-LT"/>
        </w:rPr>
        <w:t xml:space="preserve">Kukurūzų krakmolas </w:t>
      </w:r>
    </w:p>
    <w:p w14:paraId="129F075C" w14:textId="77777777" w:rsidR="00710393" w:rsidRPr="003E78EA" w:rsidRDefault="00710393" w:rsidP="00710393">
      <w:pPr>
        <w:rPr>
          <w:lang w:val="lt-LT"/>
        </w:rPr>
      </w:pPr>
      <w:r w:rsidRPr="003E78EA">
        <w:rPr>
          <w:lang w:val="lt-LT"/>
        </w:rPr>
        <w:t>Povidonas K 30</w:t>
      </w:r>
    </w:p>
    <w:p w14:paraId="79EA1947" w14:textId="77777777" w:rsidR="00710393" w:rsidRPr="003E78EA" w:rsidRDefault="00710393" w:rsidP="00710393">
      <w:pPr>
        <w:adjustRightInd w:val="0"/>
        <w:spacing w:before="17"/>
        <w:rPr>
          <w:color w:val="000000"/>
          <w:lang w:val="lt-LT"/>
        </w:rPr>
      </w:pPr>
      <w:r w:rsidRPr="003E78EA">
        <w:rPr>
          <w:color w:val="000000"/>
          <w:lang w:val="lt-LT"/>
        </w:rPr>
        <w:t xml:space="preserve">Magnio stearatas </w:t>
      </w:r>
    </w:p>
    <w:p w14:paraId="24D8B63A" w14:textId="77777777" w:rsidR="00710393" w:rsidRPr="003E78EA" w:rsidRDefault="00710393" w:rsidP="00710393">
      <w:pPr>
        <w:ind w:left="567" w:hanging="567"/>
        <w:rPr>
          <w:b/>
          <w:lang w:val="lt-LT"/>
        </w:rPr>
      </w:pPr>
    </w:p>
    <w:p w14:paraId="28D3853F" w14:textId="77777777" w:rsidR="00710393" w:rsidRPr="003E78EA" w:rsidRDefault="00710393" w:rsidP="00710393">
      <w:pPr>
        <w:ind w:left="567" w:hanging="567"/>
        <w:rPr>
          <w:lang w:val="lt-LT"/>
        </w:rPr>
      </w:pPr>
      <w:r w:rsidRPr="003E78EA">
        <w:rPr>
          <w:b/>
          <w:lang w:val="lt-LT"/>
        </w:rPr>
        <w:lastRenderedPageBreak/>
        <w:t>6.2</w:t>
      </w:r>
      <w:r w:rsidRPr="003E78EA">
        <w:rPr>
          <w:b/>
          <w:lang w:val="lt-LT"/>
        </w:rPr>
        <w:tab/>
        <w:t>Nesuderinamumas</w:t>
      </w:r>
    </w:p>
    <w:p w14:paraId="55AB81E0" w14:textId="77777777" w:rsidR="00710393" w:rsidRPr="003E78EA" w:rsidRDefault="00710393" w:rsidP="00710393">
      <w:pPr>
        <w:rPr>
          <w:lang w:val="lt-LT"/>
        </w:rPr>
      </w:pPr>
    </w:p>
    <w:p w14:paraId="2FA24CDC" w14:textId="63D477BC" w:rsidR="00710393" w:rsidRPr="003E78EA" w:rsidRDefault="00381032" w:rsidP="00710393">
      <w:pPr>
        <w:rPr>
          <w:lang w:val="lt-LT"/>
        </w:rPr>
      </w:pPr>
      <w:r w:rsidRPr="000A5826">
        <w:rPr>
          <w:lang w:val="lt-LT"/>
        </w:rPr>
        <w:t>Duomenys nebūtini</w:t>
      </w:r>
      <w:r w:rsidR="00710393" w:rsidRPr="003E78EA">
        <w:rPr>
          <w:lang w:val="lt-LT"/>
        </w:rPr>
        <w:t>.</w:t>
      </w:r>
    </w:p>
    <w:p w14:paraId="006B6FA3" w14:textId="77777777" w:rsidR="00710393" w:rsidRPr="003E78EA" w:rsidRDefault="00710393" w:rsidP="00710393">
      <w:pPr>
        <w:rPr>
          <w:lang w:val="lt-LT"/>
        </w:rPr>
      </w:pPr>
    </w:p>
    <w:p w14:paraId="34A68048" w14:textId="77777777" w:rsidR="00710393" w:rsidRPr="003E78EA" w:rsidRDefault="00710393" w:rsidP="00710393">
      <w:pPr>
        <w:ind w:left="567" w:hanging="567"/>
        <w:rPr>
          <w:lang w:val="lt-LT"/>
        </w:rPr>
      </w:pPr>
      <w:r w:rsidRPr="003E78EA">
        <w:rPr>
          <w:b/>
          <w:lang w:val="lt-LT"/>
        </w:rPr>
        <w:t>6.3</w:t>
      </w:r>
      <w:r w:rsidRPr="003E78EA">
        <w:rPr>
          <w:b/>
          <w:lang w:val="lt-LT"/>
        </w:rPr>
        <w:tab/>
        <w:t>Tinkamumo laikas</w:t>
      </w:r>
    </w:p>
    <w:p w14:paraId="7294093F" w14:textId="77777777" w:rsidR="00710393" w:rsidRPr="003E78EA" w:rsidRDefault="00710393" w:rsidP="00710393">
      <w:pPr>
        <w:rPr>
          <w:lang w:val="lt-LT"/>
        </w:rPr>
      </w:pPr>
    </w:p>
    <w:p w14:paraId="343398FB" w14:textId="77777777" w:rsidR="00710393" w:rsidRPr="003E78EA" w:rsidRDefault="00710393" w:rsidP="00710393">
      <w:pPr>
        <w:rPr>
          <w:lang w:val="lt-LT"/>
        </w:rPr>
      </w:pPr>
      <w:r w:rsidRPr="003E78EA">
        <w:rPr>
          <w:lang w:val="lt-LT"/>
        </w:rPr>
        <w:t>3 metai</w:t>
      </w:r>
    </w:p>
    <w:p w14:paraId="3A80A462" w14:textId="77777777" w:rsidR="00710393" w:rsidRPr="003E78EA" w:rsidRDefault="00710393" w:rsidP="00710393">
      <w:pPr>
        <w:rPr>
          <w:b/>
          <w:lang w:val="lt-LT"/>
        </w:rPr>
      </w:pPr>
    </w:p>
    <w:p w14:paraId="742F1D37" w14:textId="77777777" w:rsidR="00710393" w:rsidRPr="003E78EA" w:rsidRDefault="00710393" w:rsidP="00710393">
      <w:pPr>
        <w:ind w:left="567" w:hanging="567"/>
        <w:rPr>
          <w:b/>
          <w:lang w:val="lt-LT"/>
        </w:rPr>
      </w:pPr>
      <w:r w:rsidRPr="003E78EA">
        <w:rPr>
          <w:b/>
          <w:lang w:val="lt-LT"/>
        </w:rPr>
        <w:t>6.4</w:t>
      </w:r>
      <w:r w:rsidRPr="003E78EA">
        <w:rPr>
          <w:b/>
          <w:lang w:val="lt-LT"/>
        </w:rPr>
        <w:tab/>
        <w:t>Specialios laikymo sąlygos</w:t>
      </w:r>
    </w:p>
    <w:p w14:paraId="4E80AA1C" w14:textId="77777777" w:rsidR="00710393" w:rsidRPr="003E78EA" w:rsidRDefault="00710393" w:rsidP="00710393">
      <w:pPr>
        <w:rPr>
          <w:i/>
          <w:lang w:val="lt-LT"/>
        </w:rPr>
      </w:pPr>
    </w:p>
    <w:p w14:paraId="390ADA00" w14:textId="77777777" w:rsidR="00710393" w:rsidRPr="003E78EA" w:rsidRDefault="00710393" w:rsidP="00710393">
      <w:pPr>
        <w:adjustRightInd w:val="0"/>
        <w:spacing w:before="17"/>
        <w:rPr>
          <w:lang w:val="lt-LT"/>
        </w:rPr>
      </w:pPr>
      <w:r w:rsidRPr="003E78EA">
        <w:rPr>
          <w:lang w:val="lt-LT"/>
        </w:rPr>
        <w:t>Laikyti žemesnėje kaip 30 °C temperatūroje.</w:t>
      </w:r>
    </w:p>
    <w:p w14:paraId="705A0611" w14:textId="77777777" w:rsidR="00710393" w:rsidRPr="003E78EA" w:rsidRDefault="00710393" w:rsidP="00710393">
      <w:pPr>
        <w:rPr>
          <w:lang w:val="lt-LT"/>
        </w:rPr>
      </w:pPr>
    </w:p>
    <w:p w14:paraId="48A7B2BC" w14:textId="77777777" w:rsidR="00710393" w:rsidRPr="003E78EA" w:rsidRDefault="00710393" w:rsidP="00710393">
      <w:pPr>
        <w:widowControl/>
        <w:numPr>
          <w:ilvl w:val="1"/>
          <w:numId w:val="14"/>
        </w:numPr>
        <w:autoSpaceDE/>
        <w:autoSpaceDN/>
        <w:rPr>
          <w:b/>
          <w:lang w:val="lt-LT"/>
        </w:rPr>
      </w:pPr>
      <w:r w:rsidRPr="003E78EA">
        <w:rPr>
          <w:b/>
          <w:lang w:val="lt-LT"/>
        </w:rPr>
        <w:t>Talpyklės pobūdis ir jos turinys</w:t>
      </w:r>
    </w:p>
    <w:p w14:paraId="6480BA2D" w14:textId="77777777" w:rsidR="00710393" w:rsidRPr="003E78EA" w:rsidRDefault="00710393" w:rsidP="00710393">
      <w:pPr>
        <w:rPr>
          <w:lang w:val="lt-LT"/>
        </w:rPr>
      </w:pPr>
    </w:p>
    <w:p w14:paraId="39732F0F" w14:textId="051A39B6" w:rsidR="00710393" w:rsidRPr="003E78EA" w:rsidRDefault="00443FCE" w:rsidP="00710393">
      <w:pPr>
        <w:adjustRightInd w:val="0"/>
        <w:spacing w:before="17"/>
        <w:rPr>
          <w:color w:val="000000"/>
          <w:lang w:val="lt-LT"/>
        </w:rPr>
      </w:pPr>
      <w:r w:rsidRPr="003E78EA">
        <w:rPr>
          <w:color w:val="000000"/>
          <w:lang w:val="lt-LT"/>
        </w:rPr>
        <w:t>PVC/Al l</w:t>
      </w:r>
      <w:r w:rsidR="00710393" w:rsidRPr="003E78EA">
        <w:rPr>
          <w:color w:val="000000"/>
          <w:lang w:val="lt-LT"/>
        </w:rPr>
        <w:t>izdinėje plokštelėje yra 25, 28, 30, 50, 60, 90 arba 100 tablečių.</w:t>
      </w:r>
    </w:p>
    <w:p w14:paraId="12E11CB5" w14:textId="77777777" w:rsidR="00710393" w:rsidRPr="003E78EA" w:rsidRDefault="00710393" w:rsidP="00710393">
      <w:pPr>
        <w:rPr>
          <w:lang w:val="lt-LT"/>
        </w:rPr>
      </w:pPr>
    </w:p>
    <w:p w14:paraId="6116FF74" w14:textId="77777777" w:rsidR="00710393" w:rsidRPr="003E78EA" w:rsidRDefault="00710393" w:rsidP="00710393">
      <w:pPr>
        <w:rPr>
          <w:lang w:val="lt-LT"/>
        </w:rPr>
      </w:pPr>
      <w:r w:rsidRPr="003E78EA">
        <w:rPr>
          <w:lang w:val="lt-LT"/>
        </w:rPr>
        <w:t>Gali būti tiekiamos ne visų dydžių pakuotės.</w:t>
      </w:r>
    </w:p>
    <w:p w14:paraId="4A52EBB8" w14:textId="77777777" w:rsidR="00710393" w:rsidRPr="003E78EA" w:rsidRDefault="00710393" w:rsidP="00710393">
      <w:pPr>
        <w:rPr>
          <w:lang w:val="lt-LT"/>
        </w:rPr>
      </w:pPr>
    </w:p>
    <w:p w14:paraId="6A29BEDE" w14:textId="77777777" w:rsidR="00710393" w:rsidRPr="003E78EA" w:rsidRDefault="00710393" w:rsidP="00710393">
      <w:pPr>
        <w:ind w:left="567" w:hanging="567"/>
        <w:outlineLvl w:val="0"/>
        <w:rPr>
          <w:lang w:val="lt-LT"/>
        </w:rPr>
      </w:pPr>
      <w:r w:rsidRPr="003E78EA">
        <w:rPr>
          <w:b/>
          <w:lang w:val="lt-LT"/>
        </w:rPr>
        <w:t>6.6</w:t>
      </w:r>
      <w:r w:rsidRPr="003E78EA">
        <w:rPr>
          <w:b/>
          <w:lang w:val="lt-LT"/>
        </w:rPr>
        <w:tab/>
        <w:t>Specialūs reikalavimai atliekoms tvarkyti</w:t>
      </w:r>
    </w:p>
    <w:p w14:paraId="5E8C405C" w14:textId="77777777" w:rsidR="00710393" w:rsidRPr="003E78EA" w:rsidRDefault="00710393" w:rsidP="00710393">
      <w:pPr>
        <w:rPr>
          <w:lang w:val="lt-LT"/>
        </w:rPr>
      </w:pPr>
    </w:p>
    <w:p w14:paraId="458DF0F9" w14:textId="77777777" w:rsidR="00710393" w:rsidRPr="003E78EA" w:rsidRDefault="00710393" w:rsidP="00710393">
      <w:pPr>
        <w:rPr>
          <w:color w:val="000000"/>
          <w:lang w:val="lt-LT"/>
        </w:rPr>
      </w:pPr>
      <w:r w:rsidRPr="003E78EA">
        <w:rPr>
          <w:color w:val="000000"/>
          <w:lang w:val="lt-LT"/>
        </w:rPr>
        <w:t>Specialių reikalavimų nėra.</w:t>
      </w:r>
    </w:p>
    <w:p w14:paraId="71625B58" w14:textId="77777777" w:rsidR="00710393" w:rsidRPr="003E78EA" w:rsidRDefault="00710393" w:rsidP="00710393">
      <w:pPr>
        <w:rPr>
          <w:color w:val="000000"/>
          <w:lang w:val="lt-LT"/>
        </w:rPr>
      </w:pPr>
    </w:p>
    <w:p w14:paraId="65572578" w14:textId="77777777" w:rsidR="00710393" w:rsidRPr="003E78EA" w:rsidRDefault="00710393" w:rsidP="00710393">
      <w:pPr>
        <w:rPr>
          <w:lang w:val="lt-LT"/>
        </w:rPr>
      </w:pPr>
      <w:r w:rsidRPr="003E78EA">
        <w:rPr>
          <w:lang w:val="lt-LT"/>
        </w:rPr>
        <w:t>Nesuvartotą vaistinį preparatą ar atliekas reikia tvarkyti laikantis vietinių reikalavimų.</w:t>
      </w:r>
    </w:p>
    <w:p w14:paraId="5B455903" w14:textId="77777777" w:rsidR="00710393" w:rsidRPr="003E78EA" w:rsidRDefault="00710393" w:rsidP="00710393">
      <w:pPr>
        <w:rPr>
          <w:lang w:val="lt-LT"/>
        </w:rPr>
      </w:pPr>
    </w:p>
    <w:p w14:paraId="0E74C1ED" w14:textId="77777777" w:rsidR="00710393" w:rsidRPr="003E78EA" w:rsidRDefault="00710393" w:rsidP="00710393">
      <w:pPr>
        <w:rPr>
          <w:lang w:val="lt-LT"/>
        </w:rPr>
      </w:pPr>
    </w:p>
    <w:p w14:paraId="304061E9" w14:textId="77777777" w:rsidR="00710393" w:rsidRPr="003E78EA" w:rsidRDefault="00710393" w:rsidP="00710393">
      <w:pPr>
        <w:ind w:left="567" w:hanging="567"/>
        <w:rPr>
          <w:lang w:val="lt-LT"/>
        </w:rPr>
      </w:pPr>
      <w:r w:rsidRPr="003E78EA">
        <w:rPr>
          <w:b/>
          <w:lang w:val="lt-LT"/>
        </w:rPr>
        <w:t>7.</w:t>
      </w:r>
      <w:r w:rsidRPr="003E78EA">
        <w:rPr>
          <w:b/>
          <w:lang w:val="lt-LT"/>
        </w:rPr>
        <w:tab/>
        <w:t>REGISTRUOTOJAS</w:t>
      </w:r>
    </w:p>
    <w:p w14:paraId="30F9060E" w14:textId="77777777" w:rsidR="00710393" w:rsidRPr="003E78EA" w:rsidRDefault="00710393" w:rsidP="00710393">
      <w:pPr>
        <w:rPr>
          <w:lang w:val="lt-LT"/>
        </w:rPr>
      </w:pPr>
    </w:p>
    <w:p w14:paraId="6DBA7E90" w14:textId="77777777" w:rsidR="00710393" w:rsidRPr="003E78EA" w:rsidRDefault="00710393" w:rsidP="00710393">
      <w:pPr>
        <w:rPr>
          <w:lang w:val="lt-LT"/>
        </w:rPr>
      </w:pPr>
      <w:r w:rsidRPr="003E78EA">
        <w:rPr>
          <w:lang w:val="lt-LT"/>
        </w:rPr>
        <w:t>Accord Healthcare B.V.</w:t>
      </w:r>
    </w:p>
    <w:p w14:paraId="26963F65" w14:textId="77777777" w:rsidR="00710393" w:rsidRPr="003E78EA" w:rsidRDefault="00710393" w:rsidP="00710393">
      <w:pPr>
        <w:rPr>
          <w:lang w:val="lt-LT"/>
        </w:rPr>
      </w:pPr>
      <w:r w:rsidRPr="003E78EA">
        <w:rPr>
          <w:lang w:val="lt-LT"/>
        </w:rPr>
        <w:t>Winthontlaan 200</w:t>
      </w:r>
    </w:p>
    <w:p w14:paraId="6D0ABA83" w14:textId="77777777" w:rsidR="00710393" w:rsidRPr="003E78EA" w:rsidRDefault="00710393" w:rsidP="00710393">
      <w:pPr>
        <w:rPr>
          <w:lang w:val="lt-LT"/>
        </w:rPr>
      </w:pPr>
      <w:r w:rsidRPr="003E78EA">
        <w:rPr>
          <w:lang w:val="lt-LT"/>
        </w:rPr>
        <w:t>3526 KV Utrecht</w:t>
      </w:r>
    </w:p>
    <w:p w14:paraId="4FA235F7" w14:textId="77777777" w:rsidR="00710393" w:rsidRPr="003E78EA" w:rsidRDefault="00710393" w:rsidP="00710393">
      <w:pPr>
        <w:rPr>
          <w:lang w:val="lt-LT"/>
        </w:rPr>
      </w:pPr>
      <w:r w:rsidRPr="003E78EA">
        <w:rPr>
          <w:lang w:val="lt-LT"/>
        </w:rPr>
        <w:t>Nyderlandai</w:t>
      </w:r>
    </w:p>
    <w:p w14:paraId="1CFD20AC" w14:textId="77777777" w:rsidR="00710393" w:rsidRPr="003E78EA" w:rsidRDefault="00710393" w:rsidP="00710393">
      <w:pPr>
        <w:rPr>
          <w:lang w:val="lt-LT"/>
        </w:rPr>
      </w:pPr>
    </w:p>
    <w:p w14:paraId="35DB1517" w14:textId="77777777" w:rsidR="00710393" w:rsidRPr="003E78EA" w:rsidRDefault="00710393" w:rsidP="00710393">
      <w:pPr>
        <w:rPr>
          <w:lang w:val="lt-LT"/>
        </w:rPr>
      </w:pPr>
    </w:p>
    <w:p w14:paraId="30C4EC72" w14:textId="77777777" w:rsidR="00710393" w:rsidRPr="003E78EA" w:rsidRDefault="00710393" w:rsidP="00710393">
      <w:pPr>
        <w:rPr>
          <w:b/>
          <w:lang w:val="lt-LT"/>
        </w:rPr>
      </w:pPr>
      <w:r w:rsidRPr="003E78EA">
        <w:rPr>
          <w:b/>
          <w:lang w:val="lt-LT"/>
        </w:rPr>
        <w:t>8.</w:t>
      </w:r>
      <w:r w:rsidRPr="003E78EA">
        <w:rPr>
          <w:b/>
          <w:lang w:val="lt-LT"/>
        </w:rPr>
        <w:tab/>
        <w:t xml:space="preserve">REGISTRACIJOS PAŽYMĖJIMO NUMERIS (-IAI) </w:t>
      </w:r>
    </w:p>
    <w:p w14:paraId="0DAFAA22" w14:textId="77777777" w:rsidR="00710393" w:rsidRPr="003E78EA" w:rsidRDefault="00710393" w:rsidP="00710393">
      <w:pPr>
        <w:rPr>
          <w:i/>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26BA2" w:rsidRPr="00AE6E76" w14:paraId="21C634CA" w14:textId="77777777" w:rsidTr="00826BA2">
        <w:tc>
          <w:tcPr>
            <w:tcW w:w="4530" w:type="dxa"/>
          </w:tcPr>
          <w:p w14:paraId="08D95520" w14:textId="14A36400" w:rsidR="00537F47" w:rsidRPr="00F569BB" w:rsidRDefault="00537F47" w:rsidP="00826BA2">
            <w:pPr>
              <w:rPr>
                <w:u w:val="single"/>
                <w:lang w:val="lt-LT"/>
              </w:rPr>
            </w:pPr>
            <w:r w:rsidRPr="00F569BB">
              <w:rPr>
                <w:u w:val="single"/>
                <w:lang w:val="lt-LT"/>
              </w:rPr>
              <w:t>100 mg</w:t>
            </w:r>
          </w:p>
          <w:p w14:paraId="460D4B4F" w14:textId="77777777" w:rsidR="00826BA2" w:rsidRPr="00556F71" w:rsidRDefault="00826BA2" w:rsidP="00826BA2">
            <w:pPr>
              <w:rPr>
                <w:bCs/>
                <w:lang w:val="lt-LT"/>
              </w:rPr>
            </w:pPr>
            <w:r>
              <w:rPr>
                <w:lang w:val="lt-LT"/>
              </w:rPr>
              <w:t>LT/1/19/4393/001</w:t>
            </w:r>
            <w:r w:rsidRPr="003C1C77">
              <w:rPr>
                <w:bCs/>
                <w:lang w:val="lt-LT"/>
              </w:rPr>
              <w:t xml:space="preserve"> – N</w:t>
            </w:r>
            <w:r>
              <w:rPr>
                <w:bCs/>
                <w:lang w:val="lt-LT"/>
              </w:rPr>
              <w:t>25</w:t>
            </w:r>
          </w:p>
          <w:p w14:paraId="070EF28A" w14:textId="77777777" w:rsidR="00826BA2" w:rsidRPr="00556F71" w:rsidRDefault="00826BA2" w:rsidP="00826BA2">
            <w:pPr>
              <w:rPr>
                <w:bCs/>
                <w:lang w:val="lt-LT"/>
              </w:rPr>
            </w:pPr>
            <w:r>
              <w:rPr>
                <w:lang w:val="lt-LT"/>
              </w:rPr>
              <w:t>LT/1/19/4393/002</w:t>
            </w:r>
            <w:r w:rsidRPr="003C1C77">
              <w:rPr>
                <w:bCs/>
                <w:lang w:val="lt-LT"/>
              </w:rPr>
              <w:t xml:space="preserve"> – N</w:t>
            </w:r>
            <w:r>
              <w:rPr>
                <w:bCs/>
                <w:lang w:val="lt-LT"/>
              </w:rPr>
              <w:t>28</w:t>
            </w:r>
          </w:p>
          <w:p w14:paraId="637B4DA1" w14:textId="77777777" w:rsidR="00826BA2" w:rsidRPr="00556F71" w:rsidRDefault="00826BA2" w:rsidP="00826BA2">
            <w:pPr>
              <w:rPr>
                <w:bCs/>
                <w:lang w:val="lt-LT"/>
              </w:rPr>
            </w:pPr>
            <w:r>
              <w:rPr>
                <w:lang w:val="lt-LT"/>
              </w:rPr>
              <w:t>LT/1/19/4393/003</w:t>
            </w:r>
            <w:r w:rsidRPr="003C1C77">
              <w:rPr>
                <w:bCs/>
                <w:lang w:val="lt-LT"/>
              </w:rPr>
              <w:t xml:space="preserve"> – N</w:t>
            </w:r>
            <w:r>
              <w:rPr>
                <w:bCs/>
                <w:lang w:val="lt-LT"/>
              </w:rPr>
              <w:t>30</w:t>
            </w:r>
          </w:p>
          <w:p w14:paraId="0C5E0DDB" w14:textId="77777777" w:rsidR="00826BA2" w:rsidRPr="00556F71" w:rsidRDefault="00826BA2" w:rsidP="00826BA2">
            <w:pPr>
              <w:rPr>
                <w:bCs/>
                <w:lang w:val="lt-LT"/>
              </w:rPr>
            </w:pPr>
            <w:r>
              <w:rPr>
                <w:lang w:val="lt-LT"/>
              </w:rPr>
              <w:t>LT/1/19/4393/004</w:t>
            </w:r>
            <w:r w:rsidRPr="003C1C77">
              <w:rPr>
                <w:bCs/>
                <w:lang w:val="lt-LT"/>
              </w:rPr>
              <w:t xml:space="preserve"> – N</w:t>
            </w:r>
            <w:r>
              <w:rPr>
                <w:bCs/>
                <w:lang w:val="lt-LT"/>
              </w:rPr>
              <w:t>50</w:t>
            </w:r>
          </w:p>
          <w:p w14:paraId="0F464169" w14:textId="77777777" w:rsidR="00826BA2" w:rsidRPr="00556F71" w:rsidRDefault="00826BA2" w:rsidP="00826BA2">
            <w:pPr>
              <w:rPr>
                <w:bCs/>
                <w:lang w:val="lt-LT"/>
              </w:rPr>
            </w:pPr>
            <w:r>
              <w:rPr>
                <w:lang w:val="lt-LT"/>
              </w:rPr>
              <w:t>LT/1/19/4393/005</w:t>
            </w:r>
            <w:r w:rsidRPr="003C1C77">
              <w:rPr>
                <w:bCs/>
                <w:lang w:val="lt-LT"/>
              </w:rPr>
              <w:t xml:space="preserve"> – N</w:t>
            </w:r>
            <w:r>
              <w:rPr>
                <w:bCs/>
                <w:lang w:val="lt-LT"/>
              </w:rPr>
              <w:t>60</w:t>
            </w:r>
          </w:p>
          <w:p w14:paraId="15480B20" w14:textId="77777777" w:rsidR="00826BA2" w:rsidRPr="00556F71" w:rsidRDefault="00826BA2" w:rsidP="00826BA2">
            <w:pPr>
              <w:rPr>
                <w:bCs/>
                <w:lang w:val="lt-LT"/>
              </w:rPr>
            </w:pPr>
            <w:r>
              <w:rPr>
                <w:lang w:val="lt-LT"/>
              </w:rPr>
              <w:t>LT/1/19/4393/006</w:t>
            </w:r>
            <w:r w:rsidRPr="003C1C77">
              <w:rPr>
                <w:bCs/>
                <w:lang w:val="lt-LT"/>
              </w:rPr>
              <w:t xml:space="preserve"> – N</w:t>
            </w:r>
            <w:r>
              <w:rPr>
                <w:bCs/>
                <w:lang w:val="lt-LT"/>
              </w:rPr>
              <w:t>90</w:t>
            </w:r>
          </w:p>
          <w:p w14:paraId="3581F7E1" w14:textId="07DF8406" w:rsidR="00826BA2" w:rsidRDefault="00826BA2" w:rsidP="00826BA2">
            <w:pPr>
              <w:rPr>
                <w:lang w:val="lt-LT"/>
              </w:rPr>
            </w:pPr>
            <w:r>
              <w:rPr>
                <w:lang w:val="lt-LT"/>
              </w:rPr>
              <w:t>LT/1/19/4393/007</w:t>
            </w:r>
            <w:r w:rsidRPr="003C1C77">
              <w:rPr>
                <w:bCs/>
                <w:lang w:val="lt-LT"/>
              </w:rPr>
              <w:t xml:space="preserve"> – N</w:t>
            </w:r>
            <w:r>
              <w:rPr>
                <w:bCs/>
                <w:lang w:val="lt-LT"/>
              </w:rPr>
              <w:t>100</w:t>
            </w:r>
          </w:p>
        </w:tc>
        <w:tc>
          <w:tcPr>
            <w:tcW w:w="4531" w:type="dxa"/>
          </w:tcPr>
          <w:p w14:paraId="5B401064" w14:textId="43C1B59A" w:rsidR="00537F47" w:rsidRPr="00F569BB" w:rsidRDefault="00537F47" w:rsidP="00826BA2">
            <w:pPr>
              <w:rPr>
                <w:u w:val="single"/>
                <w:lang w:val="lt-LT"/>
              </w:rPr>
            </w:pPr>
            <w:r w:rsidRPr="00F569BB">
              <w:rPr>
                <w:u w:val="single"/>
                <w:lang w:val="lt-LT"/>
              </w:rPr>
              <w:t>300 mg</w:t>
            </w:r>
          </w:p>
          <w:p w14:paraId="4BE3DE82" w14:textId="23886EA7" w:rsidR="00826BA2" w:rsidRPr="00556F71" w:rsidRDefault="00826BA2" w:rsidP="00826BA2">
            <w:pPr>
              <w:rPr>
                <w:bCs/>
                <w:lang w:val="lt-LT"/>
              </w:rPr>
            </w:pPr>
            <w:r>
              <w:rPr>
                <w:lang w:val="lt-LT"/>
              </w:rPr>
              <w:t>LT/1/19/4394/001</w:t>
            </w:r>
            <w:r w:rsidRPr="003C1C77">
              <w:rPr>
                <w:bCs/>
                <w:lang w:val="lt-LT"/>
              </w:rPr>
              <w:t xml:space="preserve"> – N</w:t>
            </w:r>
            <w:r>
              <w:rPr>
                <w:bCs/>
                <w:lang w:val="lt-LT"/>
              </w:rPr>
              <w:t>25</w:t>
            </w:r>
          </w:p>
          <w:p w14:paraId="7FDBF2BF" w14:textId="45692E13" w:rsidR="00826BA2" w:rsidRPr="00556F71" w:rsidRDefault="00826BA2" w:rsidP="00826BA2">
            <w:pPr>
              <w:rPr>
                <w:bCs/>
                <w:lang w:val="lt-LT"/>
              </w:rPr>
            </w:pPr>
            <w:r>
              <w:rPr>
                <w:lang w:val="lt-LT"/>
              </w:rPr>
              <w:t>LT/1/19/4394/002</w:t>
            </w:r>
            <w:r w:rsidRPr="003C1C77">
              <w:rPr>
                <w:bCs/>
                <w:lang w:val="lt-LT"/>
              </w:rPr>
              <w:t xml:space="preserve"> – N</w:t>
            </w:r>
            <w:r>
              <w:rPr>
                <w:bCs/>
                <w:lang w:val="lt-LT"/>
              </w:rPr>
              <w:t>28</w:t>
            </w:r>
          </w:p>
          <w:p w14:paraId="33FC7B34" w14:textId="3E04C4FD" w:rsidR="00826BA2" w:rsidRPr="00556F71" w:rsidRDefault="00826BA2" w:rsidP="00826BA2">
            <w:pPr>
              <w:rPr>
                <w:bCs/>
                <w:lang w:val="lt-LT"/>
              </w:rPr>
            </w:pPr>
            <w:r>
              <w:rPr>
                <w:lang w:val="lt-LT"/>
              </w:rPr>
              <w:t>LT/1/19/4394/003</w:t>
            </w:r>
            <w:r w:rsidRPr="003C1C77">
              <w:rPr>
                <w:bCs/>
                <w:lang w:val="lt-LT"/>
              </w:rPr>
              <w:t xml:space="preserve"> – N</w:t>
            </w:r>
            <w:r>
              <w:rPr>
                <w:bCs/>
                <w:lang w:val="lt-LT"/>
              </w:rPr>
              <w:t>30</w:t>
            </w:r>
          </w:p>
          <w:p w14:paraId="780F506E" w14:textId="75B3ECCD" w:rsidR="00826BA2" w:rsidRPr="00556F71" w:rsidRDefault="00826BA2" w:rsidP="00826BA2">
            <w:pPr>
              <w:rPr>
                <w:bCs/>
                <w:lang w:val="lt-LT"/>
              </w:rPr>
            </w:pPr>
            <w:r>
              <w:rPr>
                <w:lang w:val="lt-LT"/>
              </w:rPr>
              <w:t>LT/1/19/4394/004</w:t>
            </w:r>
            <w:r w:rsidRPr="003C1C77">
              <w:rPr>
                <w:bCs/>
                <w:lang w:val="lt-LT"/>
              </w:rPr>
              <w:t xml:space="preserve"> – N</w:t>
            </w:r>
            <w:r>
              <w:rPr>
                <w:bCs/>
                <w:lang w:val="lt-LT"/>
              </w:rPr>
              <w:t>50</w:t>
            </w:r>
          </w:p>
          <w:p w14:paraId="7E8D844B" w14:textId="4A49290F" w:rsidR="00826BA2" w:rsidRPr="00556F71" w:rsidRDefault="00826BA2" w:rsidP="00826BA2">
            <w:pPr>
              <w:rPr>
                <w:bCs/>
                <w:lang w:val="lt-LT"/>
              </w:rPr>
            </w:pPr>
            <w:r>
              <w:rPr>
                <w:lang w:val="lt-LT"/>
              </w:rPr>
              <w:t>LT/1/19/4394/005</w:t>
            </w:r>
            <w:r w:rsidRPr="003C1C77">
              <w:rPr>
                <w:bCs/>
                <w:lang w:val="lt-LT"/>
              </w:rPr>
              <w:t xml:space="preserve"> – N</w:t>
            </w:r>
            <w:r>
              <w:rPr>
                <w:bCs/>
                <w:lang w:val="lt-LT"/>
              </w:rPr>
              <w:t>60</w:t>
            </w:r>
          </w:p>
          <w:p w14:paraId="161926A9" w14:textId="1E1C6ABC" w:rsidR="00826BA2" w:rsidRPr="00556F71" w:rsidRDefault="00826BA2" w:rsidP="00826BA2">
            <w:pPr>
              <w:rPr>
                <w:bCs/>
                <w:lang w:val="lt-LT"/>
              </w:rPr>
            </w:pPr>
            <w:r>
              <w:rPr>
                <w:lang w:val="lt-LT"/>
              </w:rPr>
              <w:t>LT/1/19/4394/006</w:t>
            </w:r>
            <w:r w:rsidRPr="003C1C77">
              <w:rPr>
                <w:bCs/>
                <w:lang w:val="lt-LT"/>
              </w:rPr>
              <w:t xml:space="preserve"> – N</w:t>
            </w:r>
            <w:r>
              <w:rPr>
                <w:bCs/>
                <w:lang w:val="lt-LT"/>
              </w:rPr>
              <w:t>90</w:t>
            </w:r>
          </w:p>
          <w:p w14:paraId="560F3DE4" w14:textId="4007AB15" w:rsidR="00826BA2" w:rsidRDefault="00826BA2" w:rsidP="00826BA2">
            <w:pPr>
              <w:rPr>
                <w:lang w:val="lt-LT"/>
              </w:rPr>
            </w:pPr>
            <w:r>
              <w:rPr>
                <w:lang w:val="lt-LT"/>
              </w:rPr>
              <w:t>LT/1/19/4394/007</w:t>
            </w:r>
            <w:r w:rsidRPr="003C1C77">
              <w:rPr>
                <w:bCs/>
                <w:lang w:val="lt-LT"/>
              </w:rPr>
              <w:t xml:space="preserve"> – N</w:t>
            </w:r>
            <w:r>
              <w:rPr>
                <w:bCs/>
                <w:lang w:val="lt-LT"/>
              </w:rPr>
              <w:t>100</w:t>
            </w:r>
          </w:p>
        </w:tc>
      </w:tr>
    </w:tbl>
    <w:p w14:paraId="3D37CB4F" w14:textId="77777777" w:rsidR="000540B2" w:rsidRPr="003E78EA" w:rsidRDefault="000540B2" w:rsidP="000540B2">
      <w:pPr>
        <w:rPr>
          <w:lang w:val="lt-LT"/>
        </w:rPr>
      </w:pPr>
    </w:p>
    <w:p w14:paraId="5A8FCB8C" w14:textId="77777777" w:rsidR="00710393" w:rsidRPr="003E78EA" w:rsidRDefault="00710393" w:rsidP="00710393">
      <w:pPr>
        <w:rPr>
          <w:lang w:val="lt-LT"/>
        </w:rPr>
      </w:pPr>
    </w:p>
    <w:p w14:paraId="5980A8D4" w14:textId="77777777" w:rsidR="00710393" w:rsidRPr="003E78EA" w:rsidRDefault="00710393" w:rsidP="00710393">
      <w:pPr>
        <w:ind w:left="567" w:hanging="567"/>
        <w:rPr>
          <w:lang w:val="lt-LT"/>
        </w:rPr>
      </w:pPr>
      <w:r w:rsidRPr="003E78EA">
        <w:rPr>
          <w:b/>
          <w:lang w:val="lt-LT"/>
        </w:rPr>
        <w:t>9.</w:t>
      </w:r>
      <w:r w:rsidRPr="003E78EA">
        <w:rPr>
          <w:b/>
          <w:lang w:val="lt-LT"/>
        </w:rPr>
        <w:tab/>
        <w:t>REGISTRAVIMO / PERREGISTRAVIMO DATA</w:t>
      </w:r>
    </w:p>
    <w:p w14:paraId="37D9A73B" w14:textId="77777777" w:rsidR="00710393" w:rsidRPr="003E78EA" w:rsidRDefault="00710393" w:rsidP="00710393">
      <w:pPr>
        <w:rPr>
          <w:i/>
          <w:lang w:val="lt-LT"/>
        </w:rPr>
      </w:pPr>
    </w:p>
    <w:p w14:paraId="33F15096" w14:textId="007C5E6D" w:rsidR="00710393" w:rsidRPr="003E78EA" w:rsidRDefault="00381032" w:rsidP="00381032">
      <w:pPr>
        <w:rPr>
          <w:lang w:val="lt-LT"/>
        </w:rPr>
      </w:pPr>
      <w:r w:rsidRPr="000A5826">
        <w:rPr>
          <w:lang w:val="lt-LT"/>
        </w:rPr>
        <w:t>Registravimo data</w:t>
      </w:r>
      <w:r w:rsidR="00826BA2">
        <w:rPr>
          <w:lang w:val="lt-LT"/>
        </w:rPr>
        <w:t xml:space="preserve"> 2019 m. gegužės 27 d.</w:t>
      </w:r>
    </w:p>
    <w:p w14:paraId="4BAD4F47" w14:textId="044A9D28" w:rsidR="00710393" w:rsidRPr="00AE6E76" w:rsidRDefault="009369E9" w:rsidP="00710393">
      <w:pPr>
        <w:rPr>
          <w:szCs w:val="24"/>
          <w:lang w:val="pt-PT"/>
        </w:rPr>
      </w:pPr>
      <w:r w:rsidRPr="00AE6E76">
        <w:rPr>
          <w:lang w:val="pt-PT"/>
        </w:rPr>
        <w:t xml:space="preserve">Paskutinio </w:t>
      </w:r>
      <w:r w:rsidRPr="00AE6E76">
        <w:rPr>
          <w:szCs w:val="24"/>
          <w:lang w:val="pt-PT"/>
        </w:rPr>
        <w:t xml:space="preserve">perregistravimo data </w:t>
      </w:r>
      <w:r w:rsidR="00F569BB" w:rsidRPr="00AE6E76">
        <w:rPr>
          <w:szCs w:val="24"/>
          <w:lang w:val="pt-PT"/>
        </w:rPr>
        <w:t>2023 m. spalio 13 d.</w:t>
      </w:r>
    </w:p>
    <w:p w14:paraId="2CB364F2" w14:textId="77777777" w:rsidR="009369E9" w:rsidRPr="003E78EA" w:rsidRDefault="009369E9" w:rsidP="00710393">
      <w:pPr>
        <w:rPr>
          <w:lang w:val="lt-LT"/>
        </w:rPr>
      </w:pPr>
    </w:p>
    <w:p w14:paraId="52C726E4" w14:textId="77777777" w:rsidR="00710393" w:rsidRPr="003E78EA" w:rsidRDefault="00710393" w:rsidP="00710393">
      <w:pPr>
        <w:rPr>
          <w:lang w:val="lt-LT"/>
        </w:rPr>
      </w:pPr>
    </w:p>
    <w:p w14:paraId="3D2BD956" w14:textId="77777777" w:rsidR="00710393" w:rsidRPr="003E78EA" w:rsidRDefault="00710393" w:rsidP="00710393">
      <w:pPr>
        <w:ind w:left="567" w:hanging="567"/>
        <w:rPr>
          <w:b/>
          <w:lang w:val="lt-LT"/>
        </w:rPr>
      </w:pPr>
      <w:r w:rsidRPr="003E78EA">
        <w:rPr>
          <w:b/>
          <w:lang w:val="lt-LT"/>
        </w:rPr>
        <w:t>10.</w:t>
      </w:r>
      <w:r w:rsidRPr="003E78EA">
        <w:rPr>
          <w:b/>
          <w:lang w:val="lt-LT"/>
        </w:rPr>
        <w:tab/>
        <w:t>TEKSTO PERŽIŪROS DATA</w:t>
      </w:r>
    </w:p>
    <w:p w14:paraId="43873BF1" w14:textId="116B46B4" w:rsidR="00826BA2" w:rsidRDefault="00826BA2" w:rsidP="00710393">
      <w:pPr>
        <w:rPr>
          <w:lang w:val="lt-LT"/>
        </w:rPr>
      </w:pPr>
    </w:p>
    <w:p w14:paraId="5B842D13" w14:textId="20CAC41F" w:rsidR="00F569BB" w:rsidRDefault="00A50633" w:rsidP="00710393">
      <w:pPr>
        <w:rPr>
          <w:lang w:val="lt-LT"/>
        </w:rPr>
      </w:pPr>
      <w:r>
        <w:rPr>
          <w:lang w:val="lt-LT"/>
        </w:rPr>
        <w:t>202</w:t>
      </w:r>
      <w:r w:rsidR="002368BD">
        <w:rPr>
          <w:lang w:val="lt-LT"/>
        </w:rPr>
        <w:t>5 m. vasario 4 d.</w:t>
      </w:r>
    </w:p>
    <w:p w14:paraId="6D478972" w14:textId="77777777" w:rsidR="004B4268" w:rsidRDefault="004B4268" w:rsidP="00381032">
      <w:pPr>
        <w:widowControl/>
        <w:tabs>
          <w:tab w:val="left" w:pos="5954"/>
          <w:tab w:val="left" w:pos="6237"/>
          <w:tab w:val="left" w:pos="6663"/>
          <w:tab w:val="left" w:pos="6946"/>
        </w:tabs>
        <w:autoSpaceDE/>
        <w:autoSpaceDN/>
        <w:rPr>
          <w:rFonts w:eastAsia="SimSun"/>
          <w:lang w:val="lt-LT"/>
        </w:rPr>
      </w:pPr>
    </w:p>
    <w:p w14:paraId="1116D2FD" w14:textId="1DD2A2EB" w:rsidR="00381032" w:rsidRPr="000A5826" w:rsidRDefault="00381032" w:rsidP="00381032">
      <w:pPr>
        <w:widowControl/>
        <w:tabs>
          <w:tab w:val="left" w:pos="5954"/>
          <w:tab w:val="left" w:pos="6237"/>
          <w:tab w:val="left" w:pos="6663"/>
          <w:tab w:val="left" w:pos="6946"/>
        </w:tabs>
        <w:autoSpaceDE/>
        <w:autoSpaceDN/>
        <w:rPr>
          <w:rFonts w:eastAsia="SimSun"/>
          <w:lang w:val="lt-LT"/>
        </w:rPr>
      </w:pPr>
      <w:r w:rsidRPr="000A5826">
        <w:rPr>
          <w:rFonts w:eastAsia="SimSun"/>
          <w:lang w:val="lt-LT"/>
        </w:rPr>
        <w:t>Išsami informacija apie šį vaistinį preparatą pateikiama Valstybinės vaistų kontrolės tarnybos prie Lietuvos Respublikos sveikatos apsaugos ministerijos tinklalapyje</w:t>
      </w:r>
      <w:r w:rsidRPr="000A5826">
        <w:rPr>
          <w:rFonts w:eastAsia="SimSun"/>
          <w:i/>
          <w:lang w:val="lt-LT"/>
        </w:rPr>
        <w:t xml:space="preserve"> </w:t>
      </w:r>
      <w:r w:rsidR="00022D25" w:rsidRPr="00022D25">
        <w:rPr>
          <w:u w:val="single"/>
          <w:lang w:val="lt-LT"/>
        </w:rPr>
        <w:t>https://vvkt.lrv.lt/lt/.</w:t>
      </w:r>
    </w:p>
    <w:p w14:paraId="746AD3FC" w14:textId="77777777" w:rsidR="00A129D5" w:rsidRPr="003E78EA" w:rsidRDefault="00A129D5">
      <w:pPr>
        <w:pStyle w:val="Pagrindinistekstas"/>
        <w:rPr>
          <w:lang w:val="lt-LT"/>
        </w:rPr>
      </w:pPr>
    </w:p>
    <w:p w14:paraId="415358B1" w14:textId="77777777" w:rsidR="00A129D5" w:rsidRPr="003E78EA" w:rsidRDefault="00A129D5">
      <w:pPr>
        <w:pStyle w:val="Pagrindinistekstas"/>
        <w:rPr>
          <w:lang w:val="lt-LT"/>
        </w:rPr>
      </w:pPr>
    </w:p>
    <w:p w14:paraId="357E58BD" w14:textId="77777777" w:rsidR="00A129D5" w:rsidRPr="003E78EA" w:rsidRDefault="00A129D5">
      <w:pPr>
        <w:pStyle w:val="Pagrindinistekstas"/>
        <w:rPr>
          <w:lang w:val="lt-LT"/>
        </w:rPr>
      </w:pPr>
    </w:p>
    <w:p w14:paraId="4B1F2DB7"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0629A445"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068F95EE"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4D777B0A"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7BB81595"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6020E4FF"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68FDEBD1"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704CA151"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46D58BF3"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0966B5EF"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445E3E55"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6E8A18AB"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42E15780"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p>
    <w:p w14:paraId="59E69B3F"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7EDEA03E"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3DB65AFE"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17CD8E7A"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43DFADBF"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7719408A"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1ECDEB44" w14:textId="77777777" w:rsidR="00381032" w:rsidRPr="000A5826" w:rsidRDefault="00381032" w:rsidP="006E3FD0">
      <w:pPr>
        <w:widowControl/>
        <w:tabs>
          <w:tab w:val="left" w:pos="567"/>
        </w:tabs>
        <w:autoSpaceDE/>
        <w:autoSpaceDN/>
        <w:spacing w:line="260" w:lineRule="exact"/>
        <w:jc w:val="center"/>
        <w:rPr>
          <w:b/>
          <w:snapToGrid w:val="0"/>
          <w:szCs w:val="20"/>
          <w:lang w:val="lt-LT"/>
        </w:rPr>
      </w:pPr>
    </w:p>
    <w:p w14:paraId="5CC7505D" w14:textId="77777777" w:rsidR="006E3FD0" w:rsidRPr="000A5826" w:rsidRDefault="006E3FD0" w:rsidP="006E3FD0">
      <w:pPr>
        <w:widowControl/>
        <w:tabs>
          <w:tab w:val="left" w:pos="567"/>
        </w:tabs>
        <w:autoSpaceDE/>
        <w:autoSpaceDN/>
        <w:spacing w:line="260" w:lineRule="exact"/>
        <w:jc w:val="center"/>
        <w:rPr>
          <w:b/>
          <w:snapToGrid w:val="0"/>
          <w:szCs w:val="20"/>
          <w:lang w:val="lt-LT"/>
        </w:rPr>
      </w:pPr>
      <w:r w:rsidRPr="000A5826">
        <w:rPr>
          <w:b/>
          <w:snapToGrid w:val="0"/>
          <w:szCs w:val="20"/>
          <w:lang w:val="lt-LT"/>
        </w:rPr>
        <w:t>II PRIEDAS</w:t>
      </w:r>
    </w:p>
    <w:p w14:paraId="6562F69F" w14:textId="77777777" w:rsidR="006E3FD0" w:rsidRPr="000A5826" w:rsidRDefault="006E3FD0" w:rsidP="006E3FD0">
      <w:pPr>
        <w:widowControl/>
        <w:tabs>
          <w:tab w:val="left" w:pos="567"/>
        </w:tabs>
        <w:autoSpaceDE/>
        <w:autoSpaceDN/>
        <w:spacing w:line="260" w:lineRule="exact"/>
        <w:ind w:left="1701" w:right="1416" w:hanging="567"/>
        <w:rPr>
          <w:snapToGrid w:val="0"/>
          <w:szCs w:val="20"/>
          <w:lang w:val="lt-LT"/>
        </w:rPr>
      </w:pPr>
    </w:p>
    <w:p w14:paraId="209C0EC0" w14:textId="77777777" w:rsidR="006E3FD0" w:rsidRPr="000A5826" w:rsidRDefault="006E3FD0" w:rsidP="006E3FD0">
      <w:pPr>
        <w:widowControl/>
        <w:tabs>
          <w:tab w:val="left" w:pos="567"/>
        </w:tabs>
        <w:autoSpaceDE/>
        <w:autoSpaceDN/>
        <w:spacing w:line="260" w:lineRule="exact"/>
        <w:jc w:val="center"/>
        <w:rPr>
          <w:i/>
          <w:snapToGrid w:val="0"/>
          <w:szCs w:val="20"/>
          <w:lang w:val="lt-LT"/>
        </w:rPr>
      </w:pPr>
      <w:r w:rsidRPr="000A5826">
        <w:rPr>
          <w:b/>
          <w:snapToGrid w:val="0"/>
          <w:szCs w:val="20"/>
          <w:lang w:val="lt-LT"/>
        </w:rPr>
        <w:t>REGISTRACIJOS SĄLYGOS</w:t>
      </w:r>
    </w:p>
    <w:p w14:paraId="1DEE9F30" w14:textId="77777777" w:rsidR="006E3FD0" w:rsidRPr="000A5826" w:rsidRDefault="006E3FD0" w:rsidP="006E3FD0">
      <w:pPr>
        <w:widowControl/>
        <w:tabs>
          <w:tab w:val="left" w:pos="567"/>
        </w:tabs>
        <w:autoSpaceDE/>
        <w:autoSpaceDN/>
        <w:spacing w:line="260" w:lineRule="exact"/>
        <w:rPr>
          <w:snapToGrid w:val="0"/>
          <w:szCs w:val="20"/>
          <w:lang w:val="lt-LT"/>
        </w:rPr>
      </w:pPr>
    </w:p>
    <w:p w14:paraId="665DBA32" w14:textId="77777777" w:rsidR="006E3FD0" w:rsidRPr="000A5826" w:rsidRDefault="006E3FD0" w:rsidP="006E3FD0">
      <w:pPr>
        <w:widowControl/>
        <w:tabs>
          <w:tab w:val="left" w:pos="1701"/>
        </w:tabs>
        <w:autoSpaceDE/>
        <w:autoSpaceDN/>
        <w:spacing w:line="260" w:lineRule="exact"/>
        <w:ind w:left="1701" w:right="567" w:hanging="567"/>
        <w:rPr>
          <w:b/>
          <w:snapToGrid w:val="0"/>
          <w:szCs w:val="24"/>
          <w:lang w:val="lt-LT"/>
        </w:rPr>
      </w:pPr>
      <w:r w:rsidRPr="000A5826">
        <w:rPr>
          <w:b/>
          <w:snapToGrid w:val="0"/>
          <w:szCs w:val="24"/>
          <w:lang w:val="lt-LT"/>
        </w:rPr>
        <w:t>A.</w:t>
      </w:r>
      <w:r w:rsidRPr="000A5826">
        <w:rPr>
          <w:b/>
          <w:snapToGrid w:val="0"/>
          <w:szCs w:val="24"/>
          <w:lang w:val="lt-LT"/>
        </w:rPr>
        <w:tab/>
        <w:t>GAMINTOJAS (-AI), ATSAKINGAS (-I) UŽ SERIJŲ IŠLEIDIMĄ</w:t>
      </w:r>
    </w:p>
    <w:p w14:paraId="34BCEE20" w14:textId="77777777" w:rsidR="006E3FD0" w:rsidRPr="000A5826" w:rsidRDefault="006E3FD0" w:rsidP="006E3FD0">
      <w:pPr>
        <w:widowControl/>
        <w:tabs>
          <w:tab w:val="left" w:pos="1701"/>
        </w:tabs>
        <w:autoSpaceDE/>
        <w:autoSpaceDN/>
        <w:spacing w:line="260" w:lineRule="exact"/>
        <w:ind w:left="567" w:right="567" w:hanging="567"/>
        <w:rPr>
          <w:snapToGrid w:val="0"/>
          <w:szCs w:val="24"/>
          <w:lang w:val="lt-LT"/>
        </w:rPr>
      </w:pPr>
    </w:p>
    <w:p w14:paraId="4F0812EC" w14:textId="77777777" w:rsidR="006E3FD0" w:rsidRPr="000A5826" w:rsidRDefault="006E3FD0" w:rsidP="006E3FD0">
      <w:pPr>
        <w:widowControl/>
        <w:tabs>
          <w:tab w:val="left" w:pos="1701"/>
        </w:tabs>
        <w:autoSpaceDE/>
        <w:autoSpaceDN/>
        <w:spacing w:line="260" w:lineRule="exact"/>
        <w:ind w:left="1701" w:right="567" w:hanging="567"/>
        <w:rPr>
          <w:b/>
          <w:snapToGrid w:val="0"/>
          <w:szCs w:val="20"/>
          <w:lang w:val="lt-LT"/>
        </w:rPr>
      </w:pPr>
      <w:r w:rsidRPr="000A5826">
        <w:rPr>
          <w:b/>
          <w:snapToGrid w:val="0"/>
          <w:szCs w:val="20"/>
          <w:lang w:val="lt-LT"/>
        </w:rPr>
        <w:t>B.</w:t>
      </w:r>
      <w:r w:rsidRPr="000A5826">
        <w:rPr>
          <w:b/>
          <w:snapToGrid w:val="0"/>
          <w:szCs w:val="20"/>
          <w:lang w:val="lt-LT"/>
        </w:rPr>
        <w:tab/>
        <w:t>TIEKIMO IR VARTOJIMO SĄLYGOS AR APRIBOJIMAI</w:t>
      </w:r>
    </w:p>
    <w:p w14:paraId="03CAC4A6" w14:textId="77777777" w:rsidR="006E3FD0" w:rsidRPr="000A5826" w:rsidRDefault="006E3FD0" w:rsidP="006E3FD0">
      <w:pPr>
        <w:widowControl/>
        <w:tabs>
          <w:tab w:val="left" w:pos="1701"/>
        </w:tabs>
        <w:autoSpaceDE/>
        <w:autoSpaceDN/>
        <w:spacing w:line="260" w:lineRule="exact"/>
        <w:ind w:left="567" w:right="567" w:hanging="567"/>
        <w:rPr>
          <w:snapToGrid w:val="0"/>
          <w:szCs w:val="20"/>
          <w:lang w:val="lt-LT"/>
        </w:rPr>
      </w:pPr>
    </w:p>
    <w:p w14:paraId="14E6D0C6" w14:textId="77777777" w:rsidR="006E3FD0" w:rsidRPr="000A5826" w:rsidRDefault="006E3FD0" w:rsidP="006E3FD0">
      <w:pPr>
        <w:widowControl/>
        <w:tabs>
          <w:tab w:val="left" w:pos="567"/>
        </w:tabs>
        <w:autoSpaceDE/>
        <w:autoSpaceDN/>
        <w:spacing w:line="260" w:lineRule="exact"/>
        <w:ind w:left="567" w:hanging="567"/>
        <w:rPr>
          <w:snapToGrid w:val="0"/>
          <w:szCs w:val="20"/>
          <w:lang w:val="lt-LT"/>
        </w:rPr>
      </w:pPr>
    </w:p>
    <w:p w14:paraId="75E405CE" w14:textId="77777777" w:rsidR="006E3FD0" w:rsidRPr="000A5826" w:rsidRDefault="006E3FD0" w:rsidP="006E3FD0">
      <w:pPr>
        <w:widowControl/>
        <w:tabs>
          <w:tab w:val="left" w:pos="567"/>
        </w:tabs>
        <w:autoSpaceDE/>
        <w:autoSpaceDN/>
        <w:spacing w:line="260" w:lineRule="exact"/>
        <w:ind w:right="-1"/>
        <w:rPr>
          <w:snapToGrid w:val="0"/>
          <w:szCs w:val="20"/>
          <w:lang w:val="lt-LT"/>
        </w:rPr>
      </w:pPr>
    </w:p>
    <w:p w14:paraId="47BFB3C9" w14:textId="77777777" w:rsidR="006E3FD0" w:rsidRPr="000A5826" w:rsidRDefault="006E3FD0" w:rsidP="006E3FD0">
      <w:pPr>
        <w:widowControl/>
        <w:tabs>
          <w:tab w:val="left" w:pos="567"/>
        </w:tabs>
        <w:autoSpaceDE/>
        <w:autoSpaceDN/>
        <w:spacing w:line="260" w:lineRule="exact"/>
        <w:ind w:left="567" w:hanging="567"/>
        <w:rPr>
          <w:b/>
          <w:snapToGrid w:val="0"/>
          <w:szCs w:val="24"/>
          <w:lang w:val="lt-LT"/>
        </w:rPr>
      </w:pPr>
      <w:r w:rsidRPr="000A5826">
        <w:rPr>
          <w:snapToGrid w:val="0"/>
          <w:szCs w:val="20"/>
          <w:lang w:val="lt-LT"/>
        </w:rPr>
        <w:br w:type="page"/>
      </w:r>
      <w:r w:rsidRPr="000A5826">
        <w:rPr>
          <w:b/>
          <w:snapToGrid w:val="0"/>
          <w:szCs w:val="20"/>
          <w:lang w:val="lt-LT"/>
        </w:rPr>
        <w:lastRenderedPageBreak/>
        <w:t>A.</w:t>
      </w:r>
      <w:r w:rsidRPr="000A5826">
        <w:rPr>
          <w:b/>
          <w:snapToGrid w:val="0"/>
          <w:szCs w:val="24"/>
          <w:lang w:val="lt-LT"/>
        </w:rPr>
        <w:tab/>
      </w:r>
      <w:r w:rsidRPr="000A5826">
        <w:rPr>
          <w:b/>
          <w:snapToGrid w:val="0"/>
          <w:szCs w:val="20"/>
          <w:lang w:val="lt-LT"/>
        </w:rPr>
        <w:t>GAMINTOJAS (-AI), ATSAKINGAS (-I) UŽ SERIJŲ IŠLEIDIMĄ</w:t>
      </w:r>
    </w:p>
    <w:p w14:paraId="2060FAEA" w14:textId="77777777" w:rsidR="006E3FD0" w:rsidRPr="000A5826" w:rsidRDefault="006E3FD0" w:rsidP="006E3FD0">
      <w:pPr>
        <w:widowControl/>
        <w:tabs>
          <w:tab w:val="left" w:pos="567"/>
        </w:tabs>
        <w:autoSpaceDE/>
        <w:autoSpaceDN/>
        <w:spacing w:line="260" w:lineRule="exact"/>
        <w:rPr>
          <w:snapToGrid w:val="0"/>
          <w:szCs w:val="24"/>
          <w:lang w:val="lt-LT"/>
        </w:rPr>
      </w:pPr>
    </w:p>
    <w:p w14:paraId="4386B521" w14:textId="77777777" w:rsidR="006E3FD0" w:rsidRPr="000A5826" w:rsidRDefault="006E3FD0" w:rsidP="006E3FD0">
      <w:pPr>
        <w:widowControl/>
        <w:tabs>
          <w:tab w:val="left" w:pos="567"/>
        </w:tabs>
        <w:autoSpaceDE/>
        <w:autoSpaceDN/>
        <w:jc w:val="both"/>
        <w:rPr>
          <w:snapToGrid w:val="0"/>
          <w:szCs w:val="24"/>
          <w:lang w:val="lt-LT"/>
        </w:rPr>
      </w:pPr>
      <w:r w:rsidRPr="000A5826">
        <w:rPr>
          <w:snapToGrid w:val="0"/>
          <w:szCs w:val="24"/>
          <w:u w:val="single"/>
          <w:lang w:val="lt-LT"/>
        </w:rPr>
        <w:t>Gamintojo (-ų), atsakingo (-ų) už serijų išleidimą, pavadinimas (-ai) ir adresas (-ai)</w:t>
      </w:r>
    </w:p>
    <w:p w14:paraId="362F2BB9" w14:textId="52594FDA" w:rsidR="00381032" w:rsidRPr="003E78EA" w:rsidRDefault="00381032" w:rsidP="006E3FD0">
      <w:pPr>
        <w:numPr>
          <w:ilvl w:val="12"/>
          <w:numId w:val="0"/>
        </w:numPr>
        <w:ind w:right="-2"/>
        <w:rPr>
          <w:lang w:val="lt-LT"/>
        </w:rPr>
      </w:pPr>
    </w:p>
    <w:p w14:paraId="4AAD1DAA" w14:textId="77777777" w:rsidR="006E3FD0" w:rsidRPr="003E78EA" w:rsidRDefault="006E3FD0" w:rsidP="006E3FD0">
      <w:pPr>
        <w:numPr>
          <w:ilvl w:val="12"/>
          <w:numId w:val="0"/>
        </w:numPr>
        <w:ind w:right="-2"/>
        <w:rPr>
          <w:lang w:val="lt-LT"/>
        </w:rPr>
      </w:pPr>
      <w:r w:rsidRPr="003E78EA">
        <w:rPr>
          <w:lang w:val="lt-LT"/>
        </w:rPr>
        <w:t>LABORATORI FUNDACIÓ DAU</w:t>
      </w:r>
    </w:p>
    <w:p w14:paraId="6E57EB35" w14:textId="4D6D21D4" w:rsidR="006E3FD0" w:rsidRPr="003E78EA" w:rsidRDefault="006E3FD0" w:rsidP="006E3FD0">
      <w:pPr>
        <w:numPr>
          <w:ilvl w:val="12"/>
          <w:numId w:val="0"/>
        </w:numPr>
        <w:ind w:right="-2"/>
        <w:rPr>
          <w:lang w:val="lt-LT"/>
        </w:rPr>
      </w:pPr>
      <w:r w:rsidRPr="003E78EA">
        <w:rPr>
          <w:lang w:val="lt-LT"/>
        </w:rPr>
        <w:t>C/ C, 12-14 Pol. Ind. Zona Franca</w:t>
      </w:r>
    </w:p>
    <w:p w14:paraId="3DE73209" w14:textId="77777777" w:rsidR="00381032" w:rsidRPr="003E78EA" w:rsidRDefault="006E3FD0" w:rsidP="006E3FD0">
      <w:pPr>
        <w:numPr>
          <w:ilvl w:val="12"/>
          <w:numId w:val="0"/>
        </w:numPr>
        <w:ind w:right="-2"/>
        <w:rPr>
          <w:lang w:val="lt-LT"/>
        </w:rPr>
      </w:pPr>
      <w:r w:rsidRPr="003E78EA">
        <w:rPr>
          <w:lang w:val="lt-LT"/>
        </w:rPr>
        <w:t>Barcelona, 08040</w:t>
      </w:r>
    </w:p>
    <w:p w14:paraId="69775EC1" w14:textId="6EB7A12C" w:rsidR="006E3FD0" w:rsidRPr="003E78EA" w:rsidRDefault="006E3FD0" w:rsidP="006E3FD0">
      <w:pPr>
        <w:numPr>
          <w:ilvl w:val="12"/>
          <w:numId w:val="0"/>
        </w:numPr>
        <w:ind w:right="-2"/>
        <w:rPr>
          <w:lang w:val="lt-LT"/>
        </w:rPr>
      </w:pPr>
      <w:r w:rsidRPr="003E78EA">
        <w:rPr>
          <w:lang w:val="lt-LT"/>
        </w:rPr>
        <w:t>Ispanija</w:t>
      </w:r>
    </w:p>
    <w:p w14:paraId="237B0A00" w14:textId="77777777" w:rsidR="006E3FD0" w:rsidRPr="003E78EA" w:rsidRDefault="006E3FD0" w:rsidP="006E3FD0">
      <w:pPr>
        <w:numPr>
          <w:ilvl w:val="12"/>
          <w:numId w:val="0"/>
        </w:numPr>
        <w:ind w:right="-2"/>
        <w:rPr>
          <w:lang w:val="lt-LT"/>
        </w:rPr>
      </w:pPr>
    </w:p>
    <w:p w14:paraId="470F77F1" w14:textId="77777777" w:rsidR="00381032" w:rsidRPr="003E78EA" w:rsidRDefault="00381032" w:rsidP="006E3FD0">
      <w:pPr>
        <w:numPr>
          <w:ilvl w:val="12"/>
          <w:numId w:val="0"/>
        </w:numPr>
        <w:ind w:right="-2"/>
        <w:rPr>
          <w:lang w:val="lt-LT"/>
        </w:rPr>
      </w:pPr>
      <w:r w:rsidRPr="003E78EA">
        <w:rPr>
          <w:lang w:val="lt-LT"/>
        </w:rPr>
        <w:t>arba</w:t>
      </w:r>
    </w:p>
    <w:p w14:paraId="37794340" w14:textId="77777777" w:rsidR="00381032" w:rsidRPr="003E78EA" w:rsidRDefault="00381032" w:rsidP="006E3FD0">
      <w:pPr>
        <w:numPr>
          <w:ilvl w:val="12"/>
          <w:numId w:val="0"/>
        </w:numPr>
        <w:ind w:right="-2"/>
        <w:rPr>
          <w:lang w:val="lt-LT"/>
        </w:rPr>
      </w:pPr>
    </w:p>
    <w:p w14:paraId="4215BAE7" w14:textId="77777777" w:rsidR="006E3FD0" w:rsidRPr="003E78EA" w:rsidRDefault="006E3FD0" w:rsidP="006E3FD0">
      <w:pPr>
        <w:numPr>
          <w:ilvl w:val="12"/>
          <w:numId w:val="0"/>
        </w:numPr>
        <w:ind w:right="-2"/>
        <w:rPr>
          <w:lang w:val="lt-LT"/>
        </w:rPr>
      </w:pPr>
      <w:r w:rsidRPr="003E78EA">
        <w:rPr>
          <w:lang w:val="lt-LT"/>
        </w:rPr>
        <w:t>Accord Healthcare Polska Sp. z o.o.</w:t>
      </w:r>
    </w:p>
    <w:p w14:paraId="56B002CA" w14:textId="15347D26" w:rsidR="00381032" w:rsidRPr="003E78EA" w:rsidRDefault="006E3FD0" w:rsidP="006E3FD0">
      <w:pPr>
        <w:numPr>
          <w:ilvl w:val="12"/>
          <w:numId w:val="0"/>
        </w:numPr>
        <w:ind w:right="-2"/>
        <w:rPr>
          <w:lang w:val="lt-LT"/>
        </w:rPr>
      </w:pPr>
      <w:r w:rsidRPr="003E78EA">
        <w:rPr>
          <w:lang w:val="lt-LT"/>
        </w:rPr>
        <w:t>ul. Lutomierska 50</w:t>
      </w:r>
    </w:p>
    <w:p w14:paraId="5F69F85C" w14:textId="554EF14F" w:rsidR="00381032" w:rsidRPr="003E78EA" w:rsidRDefault="006E3FD0" w:rsidP="006E3FD0">
      <w:pPr>
        <w:numPr>
          <w:ilvl w:val="12"/>
          <w:numId w:val="0"/>
        </w:numPr>
        <w:ind w:right="-2"/>
        <w:rPr>
          <w:lang w:val="lt-LT"/>
        </w:rPr>
      </w:pPr>
      <w:r w:rsidRPr="003E78EA">
        <w:rPr>
          <w:lang w:val="lt-LT"/>
        </w:rPr>
        <w:t>Pabianice</w:t>
      </w:r>
      <w:r w:rsidR="00381032" w:rsidRPr="003E78EA">
        <w:rPr>
          <w:lang w:val="lt-LT"/>
        </w:rPr>
        <w:t xml:space="preserve"> </w:t>
      </w:r>
      <w:r w:rsidRPr="003E78EA">
        <w:rPr>
          <w:lang w:val="lt-LT"/>
        </w:rPr>
        <w:t>95-200</w:t>
      </w:r>
    </w:p>
    <w:p w14:paraId="7F69D987" w14:textId="77777777" w:rsidR="006E3FD0" w:rsidRPr="003E78EA" w:rsidRDefault="006E3FD0" w:rsidP="006E3FD0">
      <w:pPr>
        <w:numPr>
          <w:ilvl w:val="12"/>
          <w:numId w:val="0"/>
        </w:numPr>
        <w:ind w:right="-2"/>
        <w:rPr>
          <w:lang w:val="lt-LT"/>
        </w:rPr>
      </w:pPr>
      <w:r w:rsidRPr="003E78EA">
        <w:rPr>
          <w:lang w:val="lt-LT"/>
        </w:rPr>
        <w:t>Lenkija</w:t>
      </w:r>
    </w:p>
    <w:p w14:paraId="1ACB16C4" w14:textId="77777777" w:rsidR="006E3FD0" w:rsidRDefault="006E3FD0" w:rsidP="006E3FD0">
      <w:pPr>
        <w:widowControl/>
        <w:tabs>
          <w:tab w:val="left" w:pos="567"/>
        </w:tabs>
        <w:autoSpaceDE/>
        <w:autoSpaceDN/>
        <w:spacing w:line="260" w:lineRule="exact"/>
        <w:rPr>
          <w:snapToGrid w:val="0"/>
          <w:szCs w:val="24"/>
          <w:lang w:val="lt-LT"/>
        </w:rPr>
      </w:pPr>
    </w:p>
    <w:p w14:paraId="36D302A3" w14:textId="462B4980" w:rsidR="003546C8" w:rsidRDefault="003546C8" w:rsidP="006E3FD0">
      <w:pPr>
        <w:widowControl/>
        <w:tabs>
          <w:tab w:val="left" w:pos="567"/>
        </w:tabs>
        <w:autoSpaceDE/>
        <w:autoSpaceDN/>
        <w:spacing w:line="260" w:lineRule="exact"/>
        <w:rPr>
          <w:snapToGrid w:val="0"/>
          <w:szCs w:val="24"/>
          <w:lang w:val="lt-LT"/>
        </w:rPr>
      </w:pPr>
      <w:r>
        <w:rPr>
          <w:snapToGrid w:val="0"/>
          <w:szCs w:val="24"/>
          <w:lang w:val="lt-LT"/>
        </w:rPr>
        <w:t>arba</w:t>
      </w:r>
    </w:p>
    <w:p w14:paraId="677506B2" w14:textId="77777777" w:rsidR="003546C8" w:rsidRDefault="003546C8" w:rsidP="006E3FD0">
      <w:pPr>
        <w:widowControl/>
        <w:tabs>
          <w:tab w:val="left" w:pos="567"/>
        </w:tabs>
        <w:autoSpaceDE/>
        <w:autoSpaceDN/>
        <w:spacing w:line="260" w:lineRule="exact"/>
        <w:rPr>
          <w:snapToGrid w:val="0"/>
          <w:szCs w:val="24"/>
          <w:lang w:val="lt-LT"/>
        </w:rPr>
      </w:pPr>
    </w:p>
    <w:p w14:paraId="3E538368" w14:textId="77777777" w:rsidR="00E7075E" w:rsidRDefault="00E7075E" w:rsidP="00E7075E">
      <w:pPr>
        <w:numPr>
          <w:ilvl w:val="12"/>
          <w:numId w:val="0"/>
        </w:numPr>
        <w:tabs>
          <w:tab w:val="left" w:pos="708"/>
        </w:tabs>
        <w:ind w:right="-2"/>
      </w:pPr>
      <w:bookmarkStart w:id="1" w:name="_Hlk164766200"/>
      <w:r w:rsidRPr="003C53A7">
        <w:t>Accord Healthcare Single Member S.A.</w:t>
      </w:r>
    </w:p>
    <w:p w14:paraId="24E4F517" w14:textId="77777777" w:rsidR="00E7075E" w:rsidRDefault="00E7075E" w:rsidP="00E7075E">
      <w:pPr>
        <w:numPr>
          <w:ilvl w:val="12"/>
          <w:numId w:val="0"/>
        </w:numPr>
        <w:tabs>
          <w:tab w:val="left" w:pos="708"/>
        </w:tabs>
        <w:ind w:right="-2"/>
      </w:pPr>
      <w:r w:rsidRPr="003C53A7">
        <w:t xml:space="preserve">64th Km National Road Athens, Lamia, </w:t>
      </w:r>
      <w:bookmarkEnd w:id="1"/>
    </w:p>
    <w:p w14:paraId="3E111811" w14:textId="7C4E7EDD" w:rsidR="003546C8" w:rsidRDefault="003546C8" w:rsidP="003546C8">
      <w:pPr>
        <w:widowControl/>
        <w:tabs>
          <w:tab w:val="left" w:pos="567"/>
        </w:tabs>
        <w:autoSpaceDE/>
        <w:autoSpaceDN/>
        <w:spacing w:line="260" w:lineRule="exact"/>
        <w:rPr>
          <w:snapToGrid w:val="0"/>
          <w:szCs w:val="24"/>
          <w:lang w:val="lt-LT"/>
        </w:rPr>
      </w:pPr>
      <w:r w:rsidRPr="003546C8">
        <w:rPr>
          <w:snapToGrid w:val="0"/>
          <w:szCs w:val="24"/>
          <w:lang w:val="lt-LT"/>
        </w:rPr>
        <w:t>32009, Gr</w:t>
      </w:r>
      <w:r>
        <w:rPr>
          <w:snapToGrid w:val="0"/>
          <w:szCs w:val="24"/>
          <w:lang w:val="lt-LT"/>
        </w:rPr>
        <w:t>aikija</w:t>
      </w:r>
    </w:p>
    <w:p w14:paraId="511AE7AD" w14:textId="77777777" w:rsidR="003546C8" w:rsidRPr="000A5826" w:rsidRDefault="003546C8" w:rsidP="003546C8">
      <w:pPr>
        <w:widowControl/>
        <w:tabs>
          <w:tab w:val="left" w:pos="567"/>
        </w:tabs>
        <w:autoSpaceDE/>
        <w:autoSpaceDN/>
        <w:spacing w:line="260" w:lineRule="exact"/>
        <w:rPr>
          <w:snapToGrid w:val="0"/>
          <w:szCs w:val="24"/>
          <w:lang w:val="lt-LT"/>
        </w:rPr>
      </w:pPr>
    </w:p>
    <w:p w14:paraId="7C352774" w14:textId="77777777" w:rsidR="006E3FD0" w:rsidRPr="000A5826" w:rsidRDefault="006E3FD0" w:rsidP="003E78EA">
      <w:pPr>
        <w:widowControl/>
        <w:tabs>
          <w:tab w:val="left" w:pos="567"/>
        </w:tabs>
        <w:autoSpaceDE/>
        <w:autoSpaceDN/>
        <w:rPr>
          <w:snapToGrid w:val="0"/>
          <w:szCs w:val="24"/>
          <w:lang w:val="lt-LT"/>
        </w:rPr>
      </w:pPr>
      <w:r w:rsidRPr="000A5826">
        <w:rPr>
          <w:snapToGrid w:val="0"/>
          <w:szCs w:val="24"/>
          <w:lang w:val="lt-LT"/>
        </w:rPr>
        <w:t>Su pakuote pateikiamame lapelyje nurodomas gamintojo, atsakingo už konkrečios serijos išleidimą, pavadinimas ir adresas.</w:t>
      </w:r>
    </w:p>
    <w:p w14:paraId="1E378D92" w14:textId="77777777" w:rsidR="006E3FD0" w:rsidRPr="000A5826" w:rsidRDefault="006E3FD0" w:rsidP="006E3FD0">
      <w:pPr>
        <w:widowControl/>
        <w:tabs>
          <w:tab w:val="left" w:pos="567"/>
        </w:tabs>
        <w:autoSpaceDE/>
        <w:autoSpaceDN/>
        <w:spacing w:line="260" w:lineRule="exact"/>
        <w:rPr>
          <w:snapToGrid w:val="0"/>
          <w:szCs w:val="24"/>
          <w:lang w:val="lt-LT"/>
        </w:rPr>
      </w:pPr>
    </w:p>
    <w:p w14:paraId="543EDA67" w14:textId="77777777" w:rsidR="006E3FD0" w:rsidRPr="000A5826" w:rsidRDefault="006E3FD0" w:rsidP="006E3FD0">
      <w:pPr>
        <w:widowControl/>
        <w:tabs>
          <w:tab w:val="left" w:pos="567"/>
        </w:tabs>
        <w:autoSpaceDE/>
        <w:autoSpaceDN/>
        <w:spacing w:line="260" w:lineRule="exact"/>
        <w:rPr>
          <w:snapToGrid w:val="0"/>
          <w:szCs w:val="24"/>
          <w:lang w:val="lt-LT"/>
        </w:rPr>
      </w:pPr>
    </w:p>
    <w:p w14:paraId="0A4D7C62" w14:textId="77777777" w:rsidR="006E3FD0" w:rsidRPr="000A5826" w:rsidRDefault="006E3FD0" w:rsidP="006E3FD0">
      <w:pPr>
        <w:widowControl/>
        <w:tabs>
          <w:tab w:val="left" w:pos="567"/>
        </w:tabs>
        <w:autoSpaceDE/>
        <w:autoSpaceDN/>
        <w:ind w:left="567" w:hanging="567"/>
        <w:rPr>
          <w:snapToGrid w:val="0"/>
          <w:szCs w:val="24"/>
          <w:lang w:val="lt-LT"/>
        </w:rPr>
      </w:pPr>
      <w:r w:rsidRPr="000A5826">
        <w:rPr>
          <w:b/>
          <w:snapToGrid w:val="0"/>
          <w:szCs w:val="24"/>
          <w:lang w:val="lt-LT"/>
        </w:rPr>
        <w:t>B.</w:t>
      </w:r>
      <w:r w:rsidRPr="000A5826">
        <w:rPr>
          <w:b/>
          <w:snapToGrid w:val="0"/>
          <w:szCs w:val="24"/>
          <w:lang w:val="lt-LT"/>
        </w:rPr>
        <w:tab/>
        <w:t>TIEKIMO IR VARTOJIMO SĄLYGOS AR APRIBOJIMAI</w:t>
      </w:r>
    </w:p>
    <w:p w14:paraId="59A982B5" w14:textId="77777777" w:rsidR="006E3FD0" w:rsidRPr="000A5826" w:rsidRDefault="006E3FD0" w:rsidP="006E3FD0">
      <w:pPr>
        <w:widowControl/>
        <w:tabs>
          <w:tab w:val="left" w:pos="567"/>
        </w:tabs>
        <w:autoSpaceDE/>
        <w:autoSpaceDN/>
        <w:spacing w:line="260" w:lineRule="exact"/>
        <w:rPr>
          <w:snapToGrid w:val="0"/>
          <w:szCs w:val="24"/>
          <w:lang w:val="lt-LT"/>
        </w:rPr>
      </w:pPr>
    </w:p>
    <w:p w14:paraId="5708420E" w14:textId="77777777" w:rsidR="006E3FD0" w:rsidRPr="000A5826" w:rsidRDefault="006E3FD0" w:rsidP="006E3FD0">
      <w:pPr>
        <w:widowControl/>
        <w:tabs>
          <w:tab w:val="left" w:pos="567"/>
        </w:tabs>
        <w:autoSpaceDE/>
        <w:autoSpaceDN/>
        <w:spacing w:line="260" w:lineRule="exact"/>
        <w:rPr>
          <w:snapToGrid w:val="0"/>
          <w:szCs w:val="24"/>
          <w:lang w:val="lt-LT"/>
        </w:rPr>
      </w:pPr>
      <w:r w:rsidRPr="000A5826">
        <w:rPr>
          <w:snapToGrid w:val="0"/>
          <w:szCs w:val="20"/>
          <w:lang w:val="lt-LT"/>
        </w:rPr>
        <w:t>Receptinis vaistinis preparatas.</w:t>
      </w:r>
    </w:p>
    <w:p w14:paraId="72DAE6EE" w14:textId="77777777" w:rsidR="006E3FD0" w:rsidRPr="003E78EA" w:rsidRDefault="006E3FD0" w:rsidP="006E3FD0">
      <w:pPr>
        <w:pStyle w:val="Pagrindinistekstas"/>
        <w:rPr>
          <w:lang w:val="lt-LT"/>
        </w:rPr>
      </w:pPr>
    </w:p>
    <w:p w14:paraId="52DA1C1D" w14:textId="77777777" w:rsidR="006E3FD0" w:rsidRPr="003E78EA" w:rsidRDefault="006E3FD0" w:rsidP="006E3FD0">
      <w:pPr>
        <w:pStyle w:val="Pagrindinistekstas"/>
        <w:rPr>
          <w:lang w:val="lt-LT"/>
        </w:rPr>
      </w:pPr>
    </w:p>
    <w:p w14:paraId="7910B3BF" w14:textId="77777777" w:rsidR="00381032" w:rsidRPr="003E78EA" w:rsidRDefault="00381032">
      <w:pPr>
        <w:pStyle w:val="Pagrindinistekstas"/>
        <w:rPr>
          <w:lang w:val="lt-LT"/>
        </w:rPr>
      </w:pPr>
      <w:r w:rsidRPr="003E78EA">
        <w:rPr>
          <w:lang w:val="lt-LT"/>
        </w:rPr>
        <w:br w:type="page"/>
      </w:r>
    </w:p>
    <w:p w14:paraId="10CC9D73" w14:textId="77777777" w:rsidR="00381032" w:rsidRPr="000A5826" w:rsidRDefault="00381032" w:rsidP="00381032">
      <w:pPr>
        <w:widowControl/>
        <w:tabs>
          <w:tab w:val="left" w:pos="567"/>
        </w:tabs>
        <w:autoSpaceDE/>
        <w:autoSpaceDN/>
        <w:spacing w:line="260" w:lineRule="exact"/>
        <w:rPr>
          <w:snapToGrid w:val="0"/>
          <w:szCs w:val="20"/>
          <w:lang w:val="lt-LT"/>
        </w:rPr>
      </w:pPr>
    </w:p>
    <w:p w14:paraId="14C11062" w14:textId="77777777" w:rsidR="00381032" w:rsidRPr="000A5826" w:rsidRDefault="00381032" w:rsidP="00381032">
      <w:pPr>
        <w:widowControl/>
        <w:tabs>
          <w:tab w:val="left" w:pos="567"/>
        </w:tabs>
        <w:autoSpaceDE/>
        <w:autoSpaceDN/>
        <w:spacing w:line="260" w:lineRule="exact"/>
        <w:rPr>
          <w:snapToGrid w:val="0"/>
          <w:szCs w:val="20"/>
          <w:lang w:val="lt-LT"/>
        </w:rPr>
      </w:pPr>
    </w:p>
    <w:p w14:paraId="4D9E3DA4" w14:textId="77777777" w:rsidR="00381032" w:rsidRPr="000A5826" w:rsidRDefault="00381032" w:rsidP="00381032">
      <w:pPr>
        <w:widowControl/>
        <w:tabs>
          <w:tab w:val="left" w:pos="567"/>
        </w:tabs>
        <w:autoSpaceDE/>
        <w:autoSpaceDN/>
        <w:spacing w:line="260" w:lineRule="exact"/>
        <w:rPr>
          <w:snapToGrid w:val="0"/>
          <w:szCs w:val="20"/>
          <w:lang w:val="lt-LT"/>
        </w:rPr>
      </w:pPr>
    </w:p>
    <w:p w14:paraId="4AAFA5B4" w14:textId="77777777" w:rsidR="00381032" w:rsidRPr="000A5826" w:rsidRDefault="00381032" w:rsidP="00381032">
      <w:pPr>
        <w:widowControl/>
        <w:tabs>
          <w:tab w:val="left" w:pos="567"/>
        </w:tabs>
        <w:autoSpaceDE/>
        <w:autoSpaceDN/>
        <w:spacing w:line="260" w:lineRule="exact"/>
        <w:rPr>
          <w:snapToGrid w:val="0"/>
          <w:szCs w:val="20"/>
          <w:lang w:val="lt-LT"/>
        </w:rPr>
      </w:pPr>
    </w:p>
    <w:p w14:paraId="4F74BE29" w14:textId="77777777" w:rsidR="00381032" w:rsidRPr="000A5826" w:rsidRDefault="00381032" w:rsidP="00381032">
      <w:pPr>
        <w:widowControl/>
        <w:tabs>
          <w:tab w:val="left" w:pos="567"/>
        </w:tabs>
        <w:autoSpaceDE/>
        <w:autoSpaceDN/>
        <w:spacing w:line="260" w:lineRule="exact"/>
        <w:rPr>
          <w:snapToGrid w:val="0"/>
          <w:szCs w:val="20"/>
          <w:lang w:val="lt-LT"/>
        </w:rPr>
      </w:pPr>
    </w:p>
    <w:p w14:paraId="4CB00795" w14:textId="77777777" w:rsidR="00381032" w:rsidRPr="000A5826" w:rsidRDefault="00381032" w:rsidP="00381032">
      <w:pPr>
        <w:widowControl/>
        <w:tabs>
          <w:tab w:val="left" w:pos="567"/>
        </w:tabs>
        <w:autoSpaceDE/>
        <w:autoSpaceDN/>
        <w:spacing w:line="260" w:lineRule="exact"/>
        <w:rPr>
          <w:snapToGrid w:val="0"/>
          <w:szCs w:val="20"/>
          <w:lang w:val="lt-LT"/>
        </w:rPr>
      </w:pPr>
    </w:p>
    <w:p w14:paraId="181FAD0F" w14:textId="77777777" w:rsidR="00381032" w:rsidRPr="000A5826" w:rsidRDefault="00381032" w:rsidP="00381032">
      <w:pPr>
        <w:widowControl/>
        <w:tabs>
          <w:tab w:val="left" w:pos="567"/>
        </w:tabs>
        <w:autoSpaceDE/>
        <w:autoSpaceDN/>
        <w:spacing w:line="260" w:lineRule="exact"/>
        <w:rPr>
          <w:snapToGrid w:val="0"/>
          <w:szCs w:val="20"/>
          <w:lang w:val="lt-LT"/>
        </w:rPr>
      </w:pPr>
    </w:p>
    <w:p w14:paraId="123EC855" w14:textId="77777777" w:rsidR="00381032" w:rsidRPr="000A5826" w:rsidRDefault="00381032" w:rsidP="00381032">
      <w:pPr>
        <w:widowControl/>
        <w:tabs>
          <w:tab w:val="left" w:pos="567"/>
        </w:tabs>
        <w:autoSpaceDE/>
        <w:autoSpaceDN/>
        <w:spacing w:line="260" w:lineRule="exact"/>
        <w:rPr>
          <w:snapToGrid w:val="0"/>
          <w:szCs w:val="20"/>
          <w:lang w:val="lt-LT"/>
        </w:rPr>
      </w:pPr>
    </w:p>
    <w:p w14:paraId="0D981AFB" w14:textId="77777777" w:rsidR="00381032" w:rsidRPr="000A5826" w:rsidRDefault="00381032" w:rsidP="00381032">
      <w:pPr>
        <w:widowControl/>
        <w:tabs>
          <w:tab w:val="left" w:pos="567"/>
        </w:tabs>
        <w:autoSpaceDE/>
        <w:autoSpaceDN/>
        <w:spacing w:line="260" w:lineRule="exact"/>
        <w:rPr>
          <w:snapToGrid w:val="0"/>
          <w:szCs w:val="20"/>
          <w:lang w:val="lt-LT"/>
        </w:rPr>
      </w:pPr>
    </w:p>
    <w:p w14:paraId="1F4FC835" w14:textId="77777777" w:rsidR="00381032" w:rsidRPr="000A5826" w:rsidRDefault="00381032" w:rsidP="00381032">
      <w:pPr>
        <w:widowControl/>
        <w:tabs>
          <w:tab w:val="left" w:pos="567"/>
        </w:tabs>
        <w:autoSpaceDE/>
        <w:autoSpaceDN/>
        <w:spacing w:line="260" w:lineRule="exact"/>
        <w:rPr>
          <w:snapToGrid w:val="0"/>
          <w:szCs w:val="20"/>
          <w:lang w:val="lt-LT"/>
        </w:rPr>
      </w:pPr>
    </w:p>
    <w:p w14:paraId="52C0557F" w14:textId="77777777" w:rsidR="00381032" w:rsidRPr="000A5826" w:rsidRDefault="00381032" w:rsidP="00381032">
      <w:pPr>
        <w:widowControl/>
        <w:tabs>
          <w:tab w:val="left" w:pos="567"/>
        </w:tabs>
        <w:autoSpaceDE/>
        <w:autoSpaceDN/>
        <w:spacing w:line="260" w:lineRule="exact"/>
        <w:rPr>
          <w:snapToGrid w:val="0"/>
          <w:szCs w:val="20"/>
          <w:lang w:val="lt-LT"/>
        </w:rPr>
      </w:pPr>
    </w:p>
    <w:p w14:paraId="379CC47A" w14:textId="77777777" w:rsidR="00381032" w:rsidRPr="000A5826" w:rsidRDefault="00381032" w:rsidP="00381032">
      <w:pPr>
        <w:widowControl/>
        <w:tabs>
          <w:tab w:val="left" w:pos="567"/>
        </w:tabs>
        <w:autoSpaceDE/>
        <w:autoSpaceDN/>
        <w:spacing w:line="260" w:lineRule="exact"/>
        <w:rPr>
          <w:snapToGrid w:val="0"/>
          <w:szCs w:val="20"/>
          <w:lang w:val="lt-LT"/>
        </w:rPr>
      </w:pPr>
    </w:p>
    <w:p w14:paraId="142A3FE9" w14:textId="77777777" w:rsidR="00381032" w:rsidRPr="000A5826" w:rsidRDefault="00381032" w:rsidP="00381032">
      <w:pPr>
        <w:widowControl/>
        <w:tabs>
          <w:tab w:val="left" w:pos="567"/>
        </w:tabs>
        <w:autoSpaceDE/>
        <w:autoSpaceDN/>
        <w:spacing w:line="260" w:lineRule="exact"/>
        <w:rPr>
          <w:snapToGrid w:val="0"/>
          <w:szCs w:val="20"/>
          <w:lang w:val="lt-LT"/>
        </w:rPr>
      </w:pPr>
    </w:p>
    <w:p w14:paraId="33E27AFA" w14:textId="77777777" w:rsidR="00381032" w:rsidRPr="000A5826" w:rsidRDefault="00381032" w:rsidP="00381032">
      <w:pPr>
        <w:widowControl/>
        <w:tabs>
          <w:tab w:val="left" w:pos="567"/>
        </w:tabs>
        <w:autoSpaceDE/>
        <w:autoSpaceDN/>
        <w:spacing w:line="260" w:lineRule="exact"/>
        <w:rPr>
          <w:snapToGrid w:val="0"/>
          <w:szCs w:val="20"/>
          <w:lang w:val="lt-LT"/>
        </w:rPr>
      </w:pPr>
    </w:p>
    <w:p w14:paraId="12949E8B" w14:textId="77777777" w:rsidR="00381032" w:rsidRPr="000A5826" w:rsidRDefault="00381032" w:rsidP="00381032">
      <w:pPr>
        <w:widowControl/>
        <w:tabs>
          <w:tab w:val="left" w:pos="567"/>
        </w:tabs>
        <w:autoSpaceDE/>
        <w:autoSpaceDN/>
        <w:spacing w:line="260" w:lineRule="exact"/>
        <w:rPr>
          <w:snapToGrid w:val="0"/>
          <w:szCs w:val="20"/>
          <w:lang w:val="lt-LT"/>
        </w:rPr>
      </w:pPr>
    </w:p>
    <w:p w14:paraId="6A92E62D" w14:textId="77777777" w:rsidR="00381032" w:rsidRPr="000A5826" w:rsidRDefault="00381032" w:rsidP="00381032">
      <w:pPr>
        <w:widowControl/>
        <w:tabs>
          <w:tab w:val="left" w:pos="567"/>
        </w:tabs>
        <w:autoSpaceDE/>
        <w:autoSpaceDN/>
        <w:spacing w:line="260" w:lineRule="exact"/>
        <w:rPr>
          <w:snapToGrid w:val="0"/>
          <w:szCs w:val="20"/>
          <w:lang w:val="lt-LT"/>
        </w:rPr>
      </w:pPr>
    </w:p>
    <w:p w14:paraId="20954895"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1A0E35C0"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2E30D461"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2250479C"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7CD7F240"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03758581"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4E8F49E7" w14:textId="77777777" w:rsidR="00381032" w:rsidRPr="000A5826" w:rsidRDefault="00381032" w:rsidP="00381032">
      <w:pPr>
        <w:widowControl/>
        <w:tabs>
          <w:tab w:val="left" w:pos="567"/>
        </w:tabs>
        <w:autoSpaceDE/>
        <w:autoSpaceDN/>
        <w:spacing w:line="260" w:lineRule="exact"/>
        <w:outlineLvl w:val="0"/>
        <w:rPr>
          <w:snapToGrid w:val="0"/>
          <w:szCs w:val="20"/>
          <w:lang w:val="lt-LT"/>
        </w:rPr>
      </w:pPr>
    </w:p>
    <w:p w14:paraId="6A130AEB" w14:textId="77777777" w:rsidR="00381032" w:rsidRPr="000A5826" w:rsidRDefault="00381032" w:rsidP="00381032">
      <w:pPr>
        <w:keepNext/>
        <w:widowControl/>
        <w:tabs>
          <w:tab w:val="left" w:pos="567"/>
        </w:tabs>
        <w:autoSpaceDE/>
        <w:autoSpaceDN/>
        <w:jc w:val="center"/>
        <w:outlineLvl w:val="1"/>
        <w:rPr>
          <w:b/>
          <w:snapToGrid w:val="0"/>
          <w:szCs w:val="24"/>
          <w:lang w:val="lt-LT" w:eastAsia="x-none"/>
        </w:rPr>
      </w:pPr>
      <w:r w:rsidRPr="000A5826">
        <w:rPr>
          <w:b/>
          <w:bCs/>
          <w:iCs/>
          <w:snapToGrid w:val="0"/>
          <w:szCs w:val="28"/>
          <w:lang w:val="lt-LT" w:eastAsia="x-none"/>
        </w:rPr>
        <w:t>III PRIEDAS</w:t>
      </w:r>
    </w:p>
    <w:p w14:paraId="7796B7B4" w14:textId="77777777" w:rsidR="00381032" w:rsidRPr="000A5826" w:rsidRDefault="00381032" w:rsidP="00381032">
      <w:pPr>
        <w:widowControl/>
        <w:tabs>
          <w:tab w:val="left" w:pos="567"/>
        </w:tabs>
        <w:autoSpaceDE/>
        <w:autoSpaceDN/>
        <w:spacing w:line="260" w:lineRule="exact"/>
        <w:rPr>
          <w:snapToGrid w:val="0"/>
          <w:szCs w:val="24"/>
          <w:lang w:val="lt-LT"/>
        </w:rPr>
      </w:pPr>
    </w:p>
    <w:p w14:paraId="6C126887" w14:textId="77777777" w:rsidR="00381032" w:rsidRPr="000A5826" w:rsidRDefault="00381032" w:rsidP="00381032">
      <w:pPr>
        <w:keepNext/>
        <w:widowControl/>
        <w:tabs>
          <w:tab w:val="left" w:pos="567"/>
        </w:tabs>
        <w:autoSpaceDE/>
        <w:autoSpaceDN/>
        <w:jc w:val="center"/>
        <w:outlineLvl w:val="1"/>
        <w:rPr>
          <w:b/>
          <w:snapToGrid w:val="0"/>
          <w:szCs w:val="24"/>
          <w:lang w:val="lt-LT" w:eastAsia="x-none"/>
        </w:rPr>
      </w:pPr>
      <w:r w:rsidRPr="000A5826">
        <w:rPr>
          <w:b/>
          <w:bCs/>
          <w:iCs/>
          <w:snapToGrid w:val="0"/>
          <w:szCs w:val="28"/>
          <w:lang w:val="lt-LT" w:eastAsia="x-none"/>
        </w:rPr>
        <w:t>ŽENKLINIMAS IR PAKUOTĖS LAPELIS</w:t>
      </w:r>
    </w:p>
    <w:p w14:paraId="1940F1DD" w14:textId="77777777" w:rsidR="00381032" w:rsidRPr="000A5826" w:rsidRDefault="00381032" w:rsidP="00381032">
      <w:pPr>
        <w:widowControl/>
        <w:tabs>
          <w:tab w:val="left" w:pos="567"/>
        </w:tabs>
        <w:autoSpaceDE/>
        <w:autoSpaceDN/>
        <w:spacing w:line="260" w:lineRule="exact"/>
        <w:rPr>
          <w:snapToGrid w:val="0"/>
          <w:szCs w:val="24"/>
          <w:lang w:val="lt-LT"/>
        </w:rPr>
      </w:pPr>
      <w:r w:rsidRPr="000A5826">
        <w:rPr>
          <w:snapToGrid w:val="0"/>
          <w:szCs w:val="24"/>
          <w:lang w:val="lt-LT"/>
        </w:rPr>
        <w:br w:type="page"/>
      </w:r>
    </w:p>
    <w:p w14:paraId="6B8B77A2" w14:textId="77777777" w:rsidR="00A129D5" w:rsidRPr="003E78EA" w:rsidRDefault="00A129D5">
      <w:pPr>
        <w:pStyle w:val="Pagrindinistekstas"/>
        <w:rPr>
          <w:lang w:val="lt-LT"/>
        </w:rPr>
      </w:pPr>
    </w:p>
    <w:p w14:paraId="60798593" w14:textId="77777777" w:rsidR="00A129D5" w:rsidRPr="003E78EA" w:rsidRDefault="00A129D5">
      <w:pPr>
        <w:pStyle w:val="Pagrindinistekstas"/>
        <w:rPr>
          <w:lang w:val="lt-LT"/>
        </w:rPr>
      </w:pPr>
    </w:p>
    <w:p w14:paraId="31063ED5" w14:textId="77777777" w:rsidR="00A129D5" w:rsidRPr="003E78EA" w:rsidRDefault="00A129D5">
      <w:pPr>
        <w:pStyle w:val="Pagrindinistekstas"/>
        <w:rPr>
          <w:lang w:val="lt-LT"/>
        </w:rPr>
      </w:pPr>
    </w:p>
    <w:p w14:paraId="57A53078" w14:textId="77777777" w:rsidR="00A129D5" w:rsidRPr="003E78EA" w:rsidRDefault="00A129D5">
      <w:pPr>
        <w:pStyle w:val="Pagrindinistekstas"/>
        <w:rPr>
          <w:lang w:val="lt-LT"/>
        </w:rPr>
      </w:pPr>
    </w:p>
    <w:p w14:paraId="7741432F" w14:textId="77777777" w:rsidR="00A129D5" w:rsidRPr="003E78EA" w:rsidRDefault="00A129D5">
      <w:pPr>
        <w:pStyle w:val="Pagrindinistekstas"/>
        <w:rPr>
          <w:b/>
          <w:lang w:val="lt-LT"/>
        </w:rPr>
      </w:pPr>
    </w:p>
    <w:p w14:paraId="1DBB48E1" w14:textId="77777777" w:rsidR="00A129D5" w:rsidRPr="003E78EA" w:rsidRDefault="00A129D5">
      <w:pPr>
        <w:pStyle w:val="Pagrindinistekstas"/>
        <w:rPr>
          <w:b/>
          <w:lang w:val="lt-LT"/>
        </w:rPr>
      </w:pPr>
    </w:p>
    <w:p w14:paraId="34E79B4F" w14:textId="77777777" w:rsidR="00A129D5" w:rsidRPr="003E78EA" w:rsidRDefault="00A129D5">
      <w:pPr>
        <w:pStyle w:val="Pagrindinistekstas"/>
        <w:rPr>
          <w:b/>
          <w:lang w:val="lt-LT"/>
        </w:rPr>
      </w:pPr>
    </w:p>
    <w:p w14:paraId="343DE8B0" w14:textId="77777777" w:rsidR="00A129D5" w:rsidRPr="003E78EA" w:rsidRDefault="00A129D5">
      <w:pPr>
        <w:pStyle w:val="Pagrindinistekstas"/>
        <w:rPr>
          <w:b/>
          <w:lang w:val="lt-LT"/>
        </w:rPr>
      </w:pPr>
    </w:p>
    <w:p w14:paraId="46146A40" w14:textId="77777777" w:rsidR="00A129D5" w:rsidRPr="003E78EA" w:rsidRDefault="00A129D5">
      <w:pPr>
        <w:pStyle w:val="Pagrindinistekstas"/>
        <w:rPr>
          <w:b/>
          <w:lang w:val="lt-LT"/>
        </w:rPr>
      </w:pPr>
    </w:p>
    <w:p w14:paraId="183CE993" w14:textId="77777777" w:rsidR="00A129D5" w:rsidRPr="003E78EA" w:rsidRDefault="00A129D5">
      <w:pPr>
        <w:pStyle w:val="Pagrindinistekstas"/>
        <w:rPr>
          <w:b/>
          <w:lang w:val="lt-LT"/>
        </w:rPr>
      </w:pPr>
    </w:p>
    <w:p w14:paraId="73D97B73" w14:textId="77777777" w:rsidR="00A129D5" w:rsidRPr="003E78EA" w:rsidRDefault="00A129D5">
      <w:pPr>
        <w:pStyle w:val="Pagrindinistekstas"/>
        <w:rPr>
          <w:b/>
          <w:lang w:val="lt-LT"/>
        </w:rPr>
      </w:pPr>
    </w:p>
    <w:p w14:paraId="7961DCD1" w14:textId="77777777" w:rsidR="00A129D5" w:rsidRPr="003E78EA" w:rsidRDefault="00A129D5">
      <w:pPr>
        <w:pStyle w:val="Pagrindinistekstas"/>
        <w:rPr>
          <w:b/>
          <w:lang w:val="lt-LT"/>
        </w:rPr>
      </w:pPr>
    </w:p>
    <w:p w14:paraId="3A612973" w14:textId="77777777" w:rsidR="00A129D5" w:rsidRPr="003E78EA" w:rsidRDefault="00A129D5">
      <w:pPr>
        <w:pStyle w:val="Pagrindinistekstas"/>
        <w:rPr>
          <w:b/>
          <w:lang w:val="lt-LT"/>
        </w:rPr>
      </w:pPr>
    </w:p>
    <w:p w14:paraId="3C7FED6E" w14:textId="77777777" w:rsidR="00A129D5" w:rsidRPr="003E78EA" w:rsidRDefault="00A129D5">
      <w:pPr>
        <w:pStyle w:val="Pagrindinistekstas"/>
        <w:rPr>
          <w:b/>
          <w:lang w:val="lt-LT"/>
        </w:rPr>
      </w:pPr>
    </w:p>
    <w:p w14:paraId="12C467D6" w14:textId="77777777" w:rsidR="00A129D5" w:rsidRPr="003E78EA" w:rsidRDefault="00A129D5">
      <w:pPr>
        <w:pStyle w:val="Pagrindinistekstas"/>
        <w:rPr>
          <w:b/>
          <w:lang w:val="lt-LT"/>
        </w:rPr>
      </w:pPr>
    </w:p>
    <w:p w14:paraId="13D02C2D" w14:textId="77777777" w:rsidR="00A129D5" w:rsidRPr="003E78EA" w:rsidRDefault="00A129D5">
      <w:pPr>
        <w:pStyle w:val="Pagrindinistekstas"/>
        <w:rPr>
          <w:b/>
          <w:lang w:val="lt-LT"/>
        </w:rPr>
      </w:pPr>
    </w:p>
    <w:p w14:paraId="343B6D00" w14:textId="77777777" w:rsidR="00A129D5" w:rsidRPr="003E78EA" w:rsidRDefault="00A129D5">
      <w:pPr>
        <w:pStyle w:val="Pagrindinistekstas"/>
        <w:rPr>
          <w:b/>
          <w:lang w:val="lt-LT"/>
        </w:rPr>
      </w:pPr>
    </w:p>
    <w:p w14:paraId="66D16ABF" w14:textId="77777777" w:rsidR="00A129D5" w:rsidRPr="003E78EA" w:rsidRDefault="00A129D5">
      <w:pPr>
        <w:pStyle w:val="Pagrindinistekstas"/>
        <w:rPr>
          <w:b/>
          <w:lang w:val="lt-LT"/>
        </w:rPr>
      </w:pPr>
    </w:p>
    <w:p w14:paraId="0AF901C0" w14:textId="77777777" w:rsidR="00A129D5" w:rsidRPr="003E78EA" w:rsidRDefault="00A129D5">
      <w:pPr>
        <w:pStyle w:val="Pagrindinistekstas"/>
        <w:rPr>
          <w:b/>
          <w:lang w:val="lt-LT"/>
        </w:rPr>
      </w:pPr>
    </w:p>
    <w:p w14:paraId="0DC4C67F" w14:textId="77777777" w:rsidR="00A129D5" w:rsidRPr="003E78EA" w:rsidRDefault="00A129D5">
      <w:pPr>
        <w:pStyle w:val="Pagrindinistekstas"/>
        <w:rPr>
          <w:b/>
          <w:lang w:val="lt-LT"/>
        </w:rPr>
      </w:pPr>
    </w:p>
    <w:p w14:paraId="50FF9BE6" w14:textId="77777777" w:rsidR="00A129D5" w:rsidRPr="003E78EA" w:rsidRDefault="00A129D5">
      <w:pPr>
        <w:pStyle w:val="Pagrindinistekstas"/>
        <w:spacing w:before="5"/>
        <w:rPr>
          <w:b/>
          <w:lang w:val="lt-LT"/>
        </w:rPr>
      </w:pPr>
    </w:p>
    <w:p w14:paraId="790CB55F" w14:textId="77777777" w:rsidR="00381032" w:rsidRPr="003E78EA" w:rsidRDefault="00381032">
      <w:pPr>
        <w:pStyle w:val="Pagrindinistekstas"/>
        <w:spacing w:before="5"/>
        <w:rPr>
          <w:b/>
          <w:lang w:val="lt-LT"/>
        </w:rPr>
      </w:pPr>
    </w:p>
    <w:p w14:paraId="7796F026" w14:textId="77777777" w:rsidR="00381032" w:rsidRPr="003E78EA" w:rsidRDefault="00381032">
      <w:pPr>
        <w:pStyle w:val="Pagrindinistekstas"/>
        <w:spacing w:before="5"/>
        <w:rPr>
          <w:b/>
          <w:lang w:val="lt-LT"/>
        </w:rPr>
      </w:pPr>
    </w:p>
    <w:p w14:paraId="7487DEB5" w14:textId="77777777" w:rsidR="00A129D5" w:rsidRPr="003E78EA" w:rsidRDefault="00C6346A">
      <w:pPr>
        <w:pStyle w:val="Sraopastraipa"/>
        <w:numPr>
          <w:ilvl w:val="1"/>
          <w:numId w:val="6"/>
        </w:numPr>
        <w:tabs>
          <w:tab w:val="left" w:pos="4112"/>
        </w:tabs>
        <w:spacing w:before="91"/>
        <w:ind w:hanging="268"/>
        <w:jc w:val="left"/>
        <w:rPr>
          <w:b/>
          <w:lang w:val="lt-LT"/>
        </w:rPr>
      </w:pPr>
      <w:bookmarkStart w:id="2" w:name="A._ŽENKLINIMAS"/>
      <w:bookmarkEnd w:id="2"/>
      <w:r w:rsidRPr="003E78EA">
        <w:rPr>
          <w:b/>
          <w:lang w:val="lt-LT"/>
        </w:rPr>
        <w:t>ŽENKLINIMAS</w:t>
      </w:r>
    </w:p>
    <w:p w14:paraId="5BC72733" w14:textId="77777777" w:rsidR="00381032" w:rsidRPr="003E78EA" w:rsidRDefault="00381032" w:rsidP="00710393">
      <w:pPr>
        <w:rPr>
          <w:lang w:val="lt-LT"/>
        </w:rPr>
      </w:pPr>
      <w:r w:rsidRPr="003E78EA">
        <w:rPr>
          <w:lang w:val="lt-LT"/>
        </w:rPr>
        <w:br w:type="page"/>
      </w:r>
    </w:p>
    <w:p w14:paraId="0B101851" w14:textId="77777777" w:rsidR="00710393" w:rsidRPr="003E78EA" w:rsidRDefault="00710393" w:rsidP="00710393">
      <w:pPr>
        <w:pBdr>
          <w:top w:val="single" w:sz="4" w:space="1" w:color="auto"/>
          <w:left w:val="single" w:sz="4" w:space="4" w:color="auto"/>
          <w:bottom w:val="single" w:sz="4" w:space="1" w:color="auto"/>
          <w:right w:val="single" w:sz="4" w:space="4" w:color="auto"/>
        </w:pBdr>
        <w:rPr>
          <w:b/>
          <w:lang w:val="lt-LT"/>
        </w:rPr>
      </w:pPr>
      <w:r w:rsidRPr="003E78EA">
        <w:rPr>
          <w:b/>
          <w:lang w:val="lt-LT"/>
        </w:rPr>
        <w:lastRenderedPageBreak/>
        <w:t>INFORMACIJA ANT IŠORINĖS PAKUOTĖS</w:t>
      </w:r>
    </w:p>
    <w:p w14:paraId="03818218"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rPr>
          <w:lang w:val="lt-LT"/>
        </w:rPr>
      </w:pPr>
    </w:p>
    <w:p w14:paraId="1A687BB5" w14:textId="49F2AAAE" w:rsidR="00710393" w:rsidRPr="003E78EA" w:rsidRDefault="00710393" w:rsidP="00710393">
      <w:pPr>
        <w:pBdr>
          <w:top w:val="single" w:sz="4" w:space="1" w:color="auto"/>
          <w:left w:val="single" w:sz="4" w:space="4" w:color="auto"/>
          <w:bottom w:val="single" w:sz="4" w:space="1" w:color="auto"/>
          <w:right w:val="single" w:sz="4" w:space="4" w:color="auto"/>
        </w:pBdr>
        <w:rPr>
          <w:b/>
          <w:lang w:val="lt-LT"/>
        </w:rPr>
      </w:pPr>
      <w:r w:rsidRPr="003E78EA">
        <w:rPr>
          <w:b/>
          <w:lang w:val="lt-LT"/>
        </w:rPr>
        <w:t>IŠORINĖ KARTONO DĖŽUTĖ</w:t>
      </w:r>
      <w:r w:rsidRPr="003E78EA">
        <w:rPr>
          <w:lang w:val="lt-LT"/>
        </w:rPr>
        <w:t xml:space="preserve"> </w:t>
      </w:r>
      <w:r w:rsidR="00443FCE" w:rsidRPr="003E78EA">
        <w:rPr>
          <w:b/>
          <w:lang w:val="lt-LT"/>
        </w:rPr>
        <w:t>PVC/Al</w:t>
      </w:r>
      <w:r w:rsidR="00443FCE" w:rsidRPr="003E78EA">
        <w:rPr>
          <w:lang w:val="lt-LT"/>
        </w:rPr>
        <w:t xml:space="preserve"> </w:t>
      </w:r>
      <w:r w:rsidRPr="003E78EA">
        <w:rPr>
          <w:b/>
          <w:lang w:val="lt-LT"/>
        </w:rPr>
        <w:t>LIZDINĖ</w:t>
      </w:r>
      <w:r w:rsidR="00381032" w:rsidRPr="003E78EA">
        <w:rPr>
          <w:b/>
          <w:lang w:val="lt-LT"/>
        </w:rPr>
        <w:t>MS</w:t>
      </w:r>
      <w:r w:rsidRPr="003E78EA">
        <w:rPr>
          <w:b/>
          <w:lang w:val="lt-LT"/>
        </w:rPr>
        <w:t xml:space="preserve"> PLOKŠTELĖ</w:t>
      </w:r>
      <w:r w:rsidR="00381032" w:rsidRPr="003E78EA">
        <w:rPr>
          <w:b/>
          <w:lang w:val="lt-LT"/>
        </w:rPr>
        <w:t>MS</w:t>
      </w:r>
    </w:p>
    <w:p w14:paraId="07C4EB71" w14:textId="77777777" w:rsidR="00710393" w:rsidRPr="003E78EA" w:rsidRDefault="00710393" w:rsidP="00710393">
      <w:pPr>
        <w:rPr>
          <w:lang w:val="lt-LT"/>
        </w:rPr>
      </w:pPr>
    </w:p>
    <w:p w14:paraId="28890E31" w14:textId="77777777" w:rsidR="00710393" w:rsidRPr="003E78EA" w:rsidRDefault="00710393" w:rsidP="00710393">
      <w:pPr>
        <w:rPr>
          <w:lang w:val="lt-LT"/>
        </w:rPr>
      </w:pPr>
    </w:p>
    <w:p w14:paraId="2CF233DC"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lang w:val="lt-LT"/>
        </w:rPr>
      </w:pPr>
      <w:r w:rsidRPr="003E78EA">
        <w:rPr>
          <w:b/>
          <w:lang w:val="lt-LT"/>
        </w:rPr>
        <w:t>1.</w:t>
      </w:r>
      <w:r w:rsidRPr="003E78EA">
        <w:rPr>
          <w:b/>
          <w:lang w:val="lt-LT"/>
        </w:rPr>
        <w:tab/>
        <w:t>VAISTINIO PREPARATO PAVADINIMAS</w:t>
      </w:r>
    </w:p>
    <w:p w14:paraId="62BC5264" w14:textId="77777777" w:rsidR="00710393" w:rsidRPr="003E78EA" w:rsidRDefault="00710393" w:rsidP="00710393">
      <w:pPr>
        <w:rPr>
          <w:lang w:val="lt-LT"/>
        </w:rPr>
      </w:pPr>
    </w:p>
    <w:p w14:paraId="6DB1AD80" w14:textId="7D8AA023" w:rsidR="00710393" w:rsidRPr="003E78EA" w:rsidRDefault="00710393" w:rsidP="00710393">
      <w:pPr>
        <w:adjustRightInd w:val="0"/>
        <w:spacing w:before="17"/>
        <w:rPr>
          <w:color w:val="000000"/>
          <w:lang w:val="lt-LT"/>
        </w:rPr>
      </w:pPr>
      <w:r w:rsidRPr="003E78EA">
        <w:rPr>
          <w:color w:val="000000"/>
          <w:lang w:val="lt-LT"/>
        </w:rPr>
        <w:t>Allopurinol Accord 100</w:t>
      </w:r>
      <w:r w:rsidR="00381032" w:rsidRPr="003E78EA">
        <w:rPr>
          <w:color w:val="000000"/>
          <w:lang w:val="lt-LT"/>
        </w:rPr>
        <w:t> </w:t>
      </w:r>
      <w:r w:rsidRPr="003E78EA">
        <w:rPr>
          <w:color w:val="000000"/>
          <w:lang w:val="lt-LT"/>
        </w:rPr>
        <w:t>mg tabletės</w:t>
      </w:r>
    </w:p>
    <w:p w14:paraId="545A0C46" w14:textId="4A2E5121" w:rsidR="00710393" w:rsidRPr="003E78EA" w:rsidRDefault="00710393" w:rsidP="00710393">
      <w:pPr>
        <w:adjustRightInd w:val="0"/>
        <w:spacing w:before="17"/>
        <w:rPr>
          <w:color w:val="000000"/>
          <w:lang w:val="lt-LT"/>
        </w:rPr>
      </w:pPr>
      <w:r w:rsidRPr="003E78EA">
        <w:rPr>
          <w:color w:val="000000"/>
          <w:highlight w:val="lightGray"/>
          <w:lang w:val="lt-LT"/>
        </w:rPr>
        <w:t>Allopurinol Accord 300</w:t>
      </w:r>
      <w:r w:rsidR="00381032" w:rsidRPr="003E78EA">
        <w:rPr>
          <w:color w:val="000000"/>
          <w:highlight w:val="lightGray"/>
          <w:lang w:val="lt-LT"/>
        </w:rPr>
        <w:t> </w:t>
      </w:r>
      <w:r w:rsidRPr="003E78EA">
        <w:rPr>
          <w:color w:val="000000"/>
          <w:highlight w:val="lightGray"/>
          <w:lang w:val="lt-LT"/>
        </w:rPr>
        <w:t>mg tabletės</w:t>
      </w:r>
    </w:p>
    <w:p w14:paraId="1D95AE2D" w14:textId="77777777" w:rsidR="00710393" w:rsidRPr="003E78EA" w:rsidRDefault="00710393" w:rsidP="00710393">
      <w:pPr>
        <w:rPr>
          <w:lang w:val="lt-LT"/>
        </w:rPr>
      </w:pPr>
    </w:p>
    <w:p w14:paraId="1247B889" w14:textId="77777777" w:rsidR="002F36D2" w:rsidRPr="003E78EA" w:rsidRDefault="002F36D2" w:rsidP="002F36D2">
      <w:pPr>
        <w:tabs>
          <w:tab w:val="left" w:pos="720"/>
        </w:tabs>
        <w:rPr>
          <w:lang w:val="lt-LT"/>
        </w:rPr>
      </w:pPr>
      <w:r w:rsidRPr="003E78EA">
        <w:rPr>
          <w:lang w:val="lt-LT"/>
        </w:rPr>
        <w:t>allopurinolum</w:t>
      </w:r>
    </w:p>
    <w:p w14:paraId="7BC15628" w14:textId="77777777" w:rsidR="00710393" w:rsidRPr="003E78EA" w:rsidRDefault="00710393" w:rsidP="00710393">
      <w:pPr>
        <w:rPr>
          <w:lang w:val="lt-LT"/>
        </w:rPr>
      </w:pPr>
    </w:p>
    <w:p w14:paraId="431337F0" w14:textId="77777777" w:rsidR="00710393" w:rsidRPr="003E78EA" w:rsidRDefault="00710393" w:rsidP="00710393">
      <w:pPr>
        <w:rPr>
          <w:lang w:val="lt-LT"/>
        </w:rPr>
      </w:pPr>
    </w:p>
    <w:p w14:paraId="5355D252"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b/>
          <w:lang w:val="lt-LT"/>
        </w:rPr>
      </w:pPr>
      <w:r w:rsidRPr="003E78EA">
        <w:rPr>
          <w:b/>
          <w:lang w:val="lt-LT"/>
        </w:rPr>
        <w:t>2.</w:t>
      </w:r>
      <w:r w:rsidRPr="003E78EA">
        <w:rPr>
          <w:b/>
          <w:lang w:val="lt-LT"/>
        </w:rPr>
        <w:tab/>
        <w:t>VEIKLIOJI (-IOS) MEDŽIAGA (-OS) IR JOS (-Ų) KIEKIS (-IAI)</w:t>
      </w:r>
    </w:p>
    <w:p w14:paraId="1E726F5B" w14:textId="77777777" w:rsidR="00710393" w:rsidRPr="003E78EA" w:rsidRDefault="00710393" w:rsidP="00710393">
      <w:pPr>
        <w:rPr>
          <w:lang w:val="lt-LT"/>
        </w:rPr>
      </w:pPr>
    </w:p>
    <w:p w14:paraId="2726A830" w14:textId="6DEB46E9" w:rsidR="00710393" w:rsidRPr="003E78EA" w:rsidRDefault="00710393" w:rsidP="00710393">
      <w:pPr>
        <w:rPr>
          <w:lang w:val="lt-LT"/>
        </w:rPr>
      </w:pPr>
      <w:r w:rsidRPr="003E78EA">
        <w:rPr>
          <w:color w:val="000000"/>
          <w:lang w:val="lt-LT"/>
        </w:rPr>
        <w:t>Kiekvienoje tabletėje yra 100</w:t>
      </w:r>
      <w:r w:rsidR="00381032" w:rsidRPr="003E78EA">
        <w:rPr>
          <w:color w:val="000000"/>
          <w:lang w:val="lt-LT"/>
        </w:rPr>
        <w:t> </w:t>
      </w:r>
      <w:r w:rsidRPr="003E78EA">
        <w:rPr>
          <w:color w:val="000000"/>
          <w:lang w:val="lt-LT"/>
        </w:rPr>
        <w:t>mg alopurinolio</w:t>
      </w:r>
      <w:r w:rsidRPr="003E78EA">
        <w:rPr>
          <w:lang w:val="lt-LT"/>
        </w:rPr>
        <w:t>.</w:t>
      </w:r>
    </w:p>
    <w:p w14:paraId="110F00C6" w14:textId="760C565F" w:rsidR="00710393" w:rsidRPr="003E78EA" w:rsidRDefault="00710393" w:rsidP="00710393">
      <w:pPr>
        <w:rPr>
          <w:lang w:val="lt-LT"/>
        </w:rPr>
      </w:pPr>
      <w:r w:rsidRPr="003E78EA">
        <w:rPr>
          <w:highlight w:val="lightGray"/>
          <w:lang w:val="lt-LT"/>
        </w:rPr>
        <w:t>Kiekvienoje tabletėje yra 300</w:t>
      </w:r>
      <w:r w:rsidR="00381032" w:rsidRPr="003E78EA">
        <w:rPr>
          <w:highlight w:val="lightGray"/>
          <w:lang w:val="lt-LT"/>
        </w:rPr>
        <w:t> </w:t>
      </w:r>
      <w:r w:rsidRPr="003E78EA">
        <w:rPr>
          <w:highlight w:val="lightGray"/>
          <w:lang w:val="lt-LT"/>
        </w:rPr>
        <w:t>mg alopurinolio.</w:t>
      </w:r>
    </w:p>
    <w:p w14:paraId="3AEEEFA0" w14:textId="77777777" w:rsidR="00710393" w:rsidRPr="003E78EA" w:rsidRDefault="00710393" w:rsidP="00710393">
      <w:pPr>
        <w:rPr>
          <w:lang w:val="lt-LT"/>
        </w:rPr>
      </w:pPr>
    </w:p>
    <w:p w14:paraId="7B6BB1E6" w14:textId="77777777" w:rsidR="00710393" w:rsidRPr="003E78EA" w:rsidRDefault="00710393" w:rsidP="00710393">
      <w:pPr>
        <w:rPr>
          <w:lang w:val="lt-LT"/>
        </w:rPr>
      </w:pPr>
    </w:p>
    <w:p w14:paraId="6D94D085"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E78EA">
        <w:rPr>
          <w:b/>
          <w:lang w:val="lt-LT"/>
        </w:rPr>
        <w:t>3.</w:t>
      </w:r>
      <w:r w:rsidRPr="003E78EA">
        <w:rPr>
          <w:b/>
          <w:lang w:val="lt-LT"/>
        </w:rPr>
        <w:tab/>
        <w:t>PAGALBINIŲ MEDŽIAGŲ SĄRAŠAS</w:t>
      </w:r>
    </w:p>
    <w:p w14:paraId="011063D9" w14:textId="77777777" w:rsidR="00710393" w:rsidRPr="003E78EA" w:rsidRDefault="00710393" w:rsidP="00710393">
      <w:pPr>
        <w:rPr>
          <w:lang w:val="lt-LT"/>
        </w:rPr>
      </w:pPr>
    </w:p>
    <w:p w14:paraId="6CD3341A" w14:textId="77777777" w:rsidR="00710393" w:rsidRPr="003E78EA" w:rsidRDefault="00710393" w:rsidP="00710393">
      <w:pPr>
        <w:rPr>
          <w:lang w:val="lt-LT"/>
        </w:rPr>
      </w:pPr>
      <w:r w:rsidRPr="003E78EA">
        <w:rPr>
          <w:lang w:val="lt-LT"/>
        </w:rPr>
        <w:t>Sudėtyje taip pat yra laktozės.</w:t>
      </w:r>
    </w:p>
    <w:p w14:paraId="7D82B318" w14:textId="77777777" w:rsidR="00710393" w:rsidRPr="003E78EA" w:rsidRDefault="00710393" w:rsidP="00710393">
      <w:pPr>
        <w:rPr>
          <w:lang w:val="lt-LT"/>
        </w:rPr>
      </w:pPr>
    </w:p>
    <w:p w14:paraId="1A1D8972" w14:textId="77777777" w:rsidR="00710393" w:rsidRPr="003E78EA" w:rsidRDefault="00710393" w:rsidP="00710393">
      <w:pPr>
        <w:rPr>
          <w:lang w:val="lt-LT"/>
        </w:rPr>
      </w:pPr>
    </w:p>
    <w:p w14:paraId="7A2E9947"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lang w:val="lt-LT"/>
        </w:rPr>
      </w:pPr>
      <w:r w:rsidRPr="003E78EA">
        <w:rPr>
          <w:b/>
          <w:lang w:val="lt-LT"/>
        </w:rPr>
        <w:t>4.</w:t>
      </w:r>
      <w:r w:rsidRPr="003E78EA">
        <w:rPr>
          <w:b/>
          <w:lang w:val="lt-LT"/>
        </w:rPr>
        <w:tab/>
        <w:t>FARMACINĖ FORMA IR KIEKIS PAKUOTĖJE</w:t>
      </w:r>
    </w:p>
    <w:p w14:paraId="68BB21D7" w14:textId="77777777" w:rsidR="00710393" w:rsidRPr="003E78EA" w:rsidRDefault="00710393" w:rsidP="00710393">
      <w:pPr>
        <w:rPr>
          <w:lang w:val="lt-LT"/>
        </w:rPr>
      </w:pPr>
    </w:p>
    <w:p w14:paraId="6E0E286B" w14:textId="77777777" w:rsidR="00710393" w:rsidRPr="003E78EA" w:rsidRDefault="00710393" w:rsidP="00710393">
      <w:pPr>
        <w:rPr>
          <w:lang w:val="lt-LT"/>
        </w:rPr>
      </w:pPr>
      <w:r w:rsidRPr="003E78EA">
        <w:rPr>
          <w:lang w:val="lt-LT"/>
        </w:rPr>
        <w:t>Tabletė</w:t>
      </w:r>
    </w:p>
    <w:p w14:paraId="30317F9E" w14:textId="77777777" w:rsidR="00710393" w:rsidRPr="003E78EA" w:rsidRDefault="00710393" w:rsidP="00710393">
      <w:pPr>
        <w:rPr>
          <w:lang w:val="lt-LT"/>
        </w:rPr>
      </w:pPr>
    </w:p>
    <w:p w14:paraId="75F995DB" w14:textId="77777777" w:rsidR="00710393" w:rsidRPr="003E78EA" w:rsidRDefault="00710393" w:rsidP="00710393">
      <w:pPr>
        <w:rPr>
          <w:highlight w:val="lightGray"/>
          <w:lang w:val="lt-LT"/>
        </w:rPr>
      </w:pPr>
      <w:r w:rsidRPr="003E78EA">
        <w:rPr>
          <w:highlight w:val="lightGray"/>
          <w:lang w:val="lt-LT"/>
        </w:rPr>
        <w:t>25 tabletės</w:t>
      </w:r>
    </w:p>
    <w:p w14:paraId="02F6DB03" w14:textId="77777777" w:rsidR="00710393" w:rsidRPr="003E78EA" w:rsidRDefault="00710393" w:rsidP="00710393">
      <w:pPr>
        <w:rPr>
          <w:lang w:val="lt-LT"/>
        </w:rPr>
      </w:pPr>
      <w:r w:rsidRPr="003E78EA">
        <w:rPr>
          <w:lang w:val="lt-LT"/>
        </w:rPr>
        <w:t>28 tabletės</w:t>
      </w:r>
    </w:p>
    <w:p w14:paraId="533CBDA8" w14:textId="77777777" w:rsidR="00710393" w:rsidRPr="003E78EA" w:rsidRDefault="00710393" w:rsidP="00710393">
      <w:pPr>
        <w:rPr>
          <w:highlight w:val="lightGray"/>
          <w:lang w:val="lt-LT"/>
        </w:rPr>
      </w:pPr>
      <w:r w:rsidRPr="003E78EA">
        <w:rPr>
          <w:highlight w:val="lightGray"/>
          <w:lang w:val="lt-LT"/>
        </w:rPr>
        <w:t>30 tablečių</w:t>
      </w:r>
    </w:p>
    <w:p w14:paraId="5C44BF62" w14:textId="77777777" w:rsidR="00710393" w:rsidRPr="003E78EA" w:rsidRDefault="00710393" w:rsidP="00710393">
      <w:pPr>
        <w:rPr>
          <w:highlight w:val="lightGray"/>
          <w:lang w:val="lt-LT"/>
        </w:rPr>
      </w:pPr>
      <w:r w:rsidRPr="003E78EA">
        <w:rPr>
          <w:highlight w:val="lightGray"/>
          <w:lang w:val="lt-LT"/>
        </w:rPr>
        <w:t>50 tablečių</w:t>
      </w:r>
    </w:p>
    <w:p w14:paraId="546EEBEA" w14:textId="77777777" w:rsidR="00710393" w:rsidRPr="003E78EA" w:rsidRDefault="00710393" w:rsidP="00710393">
      <w:pPr>
        <w:rPr>
          <w:highlight w:val="lightGray"/>
          <w:lang w:val="lt-LT"/>
        </w:rPr>
      </w:pPr>
      <w:r w:rsidRPr="003E78EA">
        <w:rPr>
          <w:highlight w:val="lightGray"/>
          <w:lang w:val="lt-LT"/>
        </w:rPr>
        <w:t>60 tablečių</w:t>
      </w:r>
    </w:p>
    <w:p w14:paraId="3E5D5DA1" w14:textId="77777777" w:rsidR="00710393" w:rsidRPr="003E78EA" w:rsidRDefault="00710393" w:rsidP="00710393">
      <w:pPr>
        <w:rPr>
          <w:highlight w:val="lightGray"/>
          <w:lang w:val="lt-LT"/>
        </w:rPr>
      </w:pPr>
      <w:r w:rsidRPr="003E78EA">
        <w:rPr>
          <w:highlight w:val="lightGray"/>
          <w:lang w:val="lt-LT"/>
        </w:rPr>
        <w:t>90 tablečių</w:t>
      </w:r>
    </w:p>
    <w:p w14:paraId="1EDDB95D" w14:textId="77777777" w:rsidR="00710393" w:rsidRPr="003E78EA" w:rsidRDefault="00710393" w:rsidP="00710393">
      <w:pPr>
        <w:rPr>
          <w:highlight w:val="lightGray"/>
          <w:lang w:val="lt-LT"/>
        </w:rPr>
      </w:pPr>
      <w:r w:rsidRPr="003E78EA">
        <w:rPr>
          <w:highlight w:val="lightGray"/>
          <w:lang w:val="lt-LT"/>
        </w:rPr>
        <w:t>100 tablečių</w:t>
      </w:r>
    </w:p>
    <w:p w14:paraId="3B1CF063" w14:textId="77777777" w:rsidR="00710393" w:rsidRPr="003E78EA" w:rsidRDefault="00710393" w:rsidP="00710393">
      <w:pPr>
        <w:rPr>
          <w:lang w:val="lt-LT"/>
        </w:rPr>
      </w:pPr>
    </w:p>
    <w:p w14:paraId="603EEA5E" w14:textId="77777777" w:rsidR="00710393" w:rsidRPr="003E78EA" w:rsidRDefault="00710393" w:rsidP="00710393">
      <w:pPr>
        <w:rPr>
          <w:lang w:val="lt-LT"/>
        </w:rPr>
      </w:pPr>
    </w:p>
    <w:p w14:paraId="68B20145"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E78EA">
        <w:rPr>
          <w:b/>
          <w:lang w:val="lt-LT"/>
        </w:rPr>
        <w:t>5.</w:t>
      </w:r>
      <w:r w:rsidRPr="003E78EA">
        <w:rPr>
          <w:b/>
          <w:lang w:val="lt-LT"/>
        </w:rPr>
        <w:tab/>
        <w:t>VARTOJIMO METODAS IR BŪDAS (-AI)</w:t>
      </w:r>
    </w:p>
    <w:p w14:paraId="0FE7AE34" w14:textId="77777777" w:rsidR="00710393" w:rsidRPr="003E78EA" w:rsidRDefault="00710393" w:rsidP="00710393">
      <w:pPr>
        <w:rPr>
          <w:i/>
          <w:lang w:val="lt-LT"/>
        </w:rPr>
      </w:pPr>
    </w:p>
    <w:p w14:paraId="4612B737" w14:textId="77777777" w:rsidR="00710393" w:rsidRPr="003E78EA" w:rsidRDefault="00710393" w:rsidP="00710393">
      <w:pPr>
        <w:rPr>
          <w:lang w:val="lt-LT"/>
        </w:rPr>
      </w:pPr>
      <w:r w:rsidRPr="003E78EA">
        <w:rPr>
          <w:lang w:val="lt-LT"/>
        </w:rPr>
        <w:t>Vartoti per burną.</w:t>
      </w:r>
    </w:p>
    <w:p w14:paraId="570B86E8" w14:textId="77777777" w:rsidR="00710393" w:rsidRPr="003E78EA" w:rsidRDefault="00710393" w:rsidP="00710393">
      <w:pPr>
        <w:rPr>
          <w:lang w:val="lt-LT"/>
        </w:rPr>
      </w:pPr>
      <w:r w:rsidRPr="003E78EA">
        <w:rPr>
          <w:lang w:val="lt-LT"/>
        </w:rPr>
        <w:t>Prieš vartojimą perskaitykite pakuotės lapelį.</w:t>
      </w:r>
    </w:p>
    <w:p w14:paraId="70434885" w14:textId="77777777" w:rsidR="00710393" w:rsidRPr="003E78EA" w:rsidRDefault="00710393" w:rsidP="00710393">
      <w:pPr>
        <w:rPr>
          <w:lang w:val="lt-LT"/>
        </w:rPr>
      </w:pPr>
    </w:p>
    <w:p w14:paraId="60421924" w14:textId="77777777" w:rsidR="00710393" w:rsidRPr="003E78EA" w:rsidRDefault="00710393" w:rsidP="00710393">
      <w:pPr>
        <w:rPr>
          <w:lang w:val="lt-LT"/>
        </w:rPr>
      </w:pPr>
    </w:p>
    <w:p w14:paraId="62CB599C"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lang w:val="lt-LT"/>
        </w:rPr>
      </w:pPr>
      <w:r w:rsidRPr="003E78EA">
        <w:rPr>
          <w:b/>
          <w:lang w:val="lt-LT"/>
        </w:rPr>
        <w:t>6.</w:t>
      </w:r>
      <w:r w:rsidRPr="003E78EA">
        <w:rPr>
          <w:b/>
          <w:lang w:val="lt-LT"/>
        </w:rPr>
        <w:tab/>
        <w:t>SPECIALUS ĮSPĖJIMAS, KAD VAISTINĮ PREPARATĄ BŪTINA LAIKYTI VAIKAMS NEPASIEKIAMOJE IR NEPASTEBIMOJE VIETOJE</w:t>
      </w:r>
    </w:p>
    <w:p w14:paraId="2E39A637" w14:textId="77777777" w:rsidR="00710393" w:rsidRPr="003E78EA" w:rsidRDefault="00710393" w:rsidP="00710393">
      <w:pPr>
        <w:rPr>
          <w:lang w:val="lt-LT"/>
        </w:rPr>
      </w:pPr>
    </w:p>
    <w:p w14:paraId="74AA5F13" w14:textId="77777777" w:rsidR="00710393" w:rsidRPr="003E78EA" w:rsidRDefault="00710393" w:rsidP="00710393">
      <w:pPr>
        <w:outlineLvl w:val="0"/>
        <w:rPr>
          <w:lang w:val="lt-LT"/>
        </w:rPr>
      </w:pPr>
      <w:r w:rsidRPr="003E78EA">
        <w:rPr>
          <w:lang w:val="lt-LT"/>
        </w:rPr>
        <w:t>Laikyti vaikams nepastebimoje ir nepasiekiamoje vietoje.</w:t>
      </w:r>
    </w:p>
    <w:p w14:paraId="584F1674" w14:textId="77777777" w:rsidR="00710393" w:rsidRPr="003E78EA" w:rsidRDefault="00710393" w:rsidP="00710393">
      <w:pPr>
        <w:rPr>
          <w:lang w:val="lt-LT"/>
        </w:rPr>
      </w:pPr>
    </w:p>
    <w:p w14:paraId="6D1D35EE" w14:textId="77777777" w:rsidR="00710393" w:rsidRPr="003E78EA" w:rsidRDefault="00710393" w:rsidP="00710393">
      <w:pPr>
        <w:rPr>
          <w:lang w:val="lt-LT"/>
        </w:rPr>
      </w:pPr>
    </w:p>
    <w:p w14:paraId="14AAEAD8"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E78EA">
        <w:rPr>
          <w:b/>
          <w:lang w:val="lt-LT"/>
        </w:rPr>
        <w:t>7.</w:t>
      </w:r>
      <w:r w:rsidRPr="003E78EA">
        <w:rPr>
          <w:b/>
          <w:lang w:val="lt-LT"/>
        </w:rPr>
        <w:tab/>
        <w:t>KITAS (-I) SPECIALUS (-ŪS) ĮSPĖJIMAS (-AI) (JEI REIKIA)</w:t>
      </w:r>
    </w:p>
    <w:p w14:paraId="7C000BD9" w14:textId="77777777" w:rsidR="00710393" w:rsidRPr="003E78EA" w:rsidRDefault="00710393" w:rsidP="00710393">
      <w:pPr>
        <w:rPr>
          <w:lang w:val="lt-LT"/>
        </w:rPr>
      </w:pPr>
    </w:p>
    <w:p w14:paraId="567733D7" w14:textId="77777777" w:rsidR="00710393" w:rsidRPr="003E78EA" w:rsidRDefault="00710393" w:rsidP="00710393">
      <w:pPr>
        <w:rPr>
          <w:lang w:val="lt-LT"/>
        </w:rPr>
      </w:pPr>
    </w:p>
    <w:p w14:paraId="360C992C"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E78EA">
        <w:rPr>
          <w:b/>
          <w:lang w:val="lt-LT"/>
        </w:rPr>
        <w:t>8.</w:t>
      </w:r>
      <w:r w:rsidRPr="003E78EA">
        <w:rPr>
          <w:b/>
          <w:lang w:val="lt-LT"/>
        </w:rPr>
        <w:tab/>
        <w:t>TINKAMUMO LAIKAS</w:t>
      </w:r>
    </w:p>
    <w:p w14:paraId="1C5CED33" w14:textId="77777777" w:rsidR="00710393" w:rsidRPr="003E78EA" w:rsidRDefault="00710393" w:rsidP="00710393">
      <w:pPr>
        <w:rPr>
          <w:lang w:val="lt-LT"/>
        </w:rPr>
      </w:pPr>
    </w:p>
    <w:p w14:paraId="34048A8E" w14:textId="77777777" w:rsidR="00710393" w:rsidRPr="003E78EA" w:rsidRDefault="006E3FD0" w:rsidP="00710393">
      <w:pPr>
        <w:rPr>
          <w:lang w:val="lt-LT"/>
        </w:rPr>
      </w:pPr>
      <w:r w:rsidRPr="003E78EA">
        <w:rPr>
          <w:lang w:val="lt-LT"/>
        </w:rPr>
        <w:t>EXP</w:t>
      </w:r>
      <w:r w:rsidR="00502A9E">
        <w:rPr>
          <w:lang w:val="lt-LT"/>
        </w:rPr>
        <w:t xml:space="preserve"> {mm/MMMM}</w:t>
      </w:r>
    </w:p>
    <w:p w14:paraId="2D4438F0" w14:textId="77777777" w:rsidR="006E3FD0" w:rsidRPr="003E78EA" w:rsidRDefault="006E3FD0" w:rsidP="00710393">
      <w:pPr>
        <w:rPr>
          <w:lang w:val="lt-LT"/>
        </w:rPr>
      </w:pPr>
    </w:p>
    <w:p w14:paraId="2D491060" w14:textId="77777777" w:rsidR="00710393" w:rsidRPr="003E78EA" w:rsidRDefault="00710393" w:rsidP="00710393">
      <w:pPr>
        <w:rPr>
          <w:lang w:val="lt-LT"/>
        </w:rPr>
      </w:pPr>
    </w:p>
    <w:p w14:paraId="67060DC3"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lang w:val="lt-LT"/>
        </w:rPr>
      </w:pPr>
      <w:r w:rsidRPr="003E78EA">
        <w:rPr>
          <w:b/>
          <w:lang w:val="lt-LT"/>
        </w:rPr>
        <w:t>9.</w:t>
      </w:r>
      <w:r w:rsidRPr="003E78EA">
        <w:rPr>
          <w:b/>
          <w:lang w:val="lt-LT"/>
        </w:rPr>
        <w:tab/>
        <w:t>SPECIALIOS LAIKYMO SĄLYGOS</w:t>
      </w:r>
    </w:p>
    <w:p w14:paraId="6E4AD857" w14:textId="77777777" w:rsidR="00710393" w:rsidRPr="003E78EA" w:rsidRDefault="00710393" w:rsidP="00710393">
      <w:pPr>
        <w:rPr>
          <w:lang w:val="lt-LT"/>
        </w:rPr>
      </w:pPr>
    </w:p>
    <w:p w14:paraId="485A6E07" w14:textId="479DA3A7" w:rsidR="00710393" w:rsidRPr="003E78EA" w:rsidRDefault="00710393" w:rsidP="00710393">
      <w:pPr>
        <w:rPr>
          <w:lang w:val="lt-LT"/>
        </w:rPr>
      </w:pPr>
      <w:r w:rsidRPr="003E78EA">
        <w:rPr>
          <w:lang w:val="lt-LT"/>
        </w:rPr>
        <w:t xml:space="preserve">Laikyti žemesnėje </w:t>
      </w:r>
      <w:r w:rsidR="00381032" w:rsidRPr="003E78EA">
        <w:rPr>
          <w:lang w:val="lt-LT"/>
        </w:rPr>
        <w:t xml:space="preserve">kaip </w:t>
      </w:r>
      <w:r w:rsidRPr="003E78EA">
        <w:rPr>
          <w:lang w:val="lt-LT"/>
        </w:rPr>
        <w:t>30</w:t>
      </w:r>
      <w:r w:rsidR="00502A9E">
        <w:rPr>
          <w:lang w:val="lt-LT"/>
        </w:rPr>
        <w:t> </w:t>
      </w:r>
      <w:r w:rsidRPr="003E78EA">
        <w:rPr>
          <w:lang w:val="lt-LT"/>
        </w:rPr>
        <w:t>°C temperatūroje.</w:t>
      </w:r>
    </w:p>
    <w:p w14:paraId="503BD616" w14:textId="77777777" w:rsidR="00710393" w:rsidRPr="003E78EA" w:rsidRDefault="00710393" w:rsidP="00710393">
      <w:pPr>
        <w:ind w:left="567" w:hanging="567"/>
        <w:rPr>
          <w:lang w:val="lt-LT"/>
        </w:rPr>
      </w:pPr>
    </w:p>
    <w:p w14:paraId="2E8C3101" w14:textId="77777777" w:rsidR="00710393" w:rsidRPr="003E78EA" w:rsidRDefault="00710393" w:rsidP="00710393">
      <w:pPr>
        <w:ind w:left="567" w:hanging="567"/>
        <w:rPr>
          <w:lang w:val="lt-LT"/>
        </w:rPr>
      </w:pPr>
    </w:p>
    <w:p w14:paraId="5340C87B" w14:textId="77777777" w:rsidR="00710393" w:rsidRPr="003E78EA" w:rsidRDefault="00710393" w:rsidP="00710393">
      <w:pPr>
        <w:pBdr>
          <w:top w:val="single" w:sz="4" w:space="1" w:color="auto"/>
          <w:left w:val="single" w:sz="4" w:space="4" w:color="auto"/>
          <w:bottom w:val="single" w:sz="4" w:space="1" w:color="auto"/>
          <w:right w:val="single" w:sz="4" w:space="4" w:color="auto"/>
        </w:pBdr>
        <w:ind w:left="567" w:hanging="567"/>
        <w:outlineLvl w:val="0"/>
        <w:rPr>
          <w:b/>
          <w:lang w:val="lt-LT"/>
        </w:rPr>
      </w:pPr>
      <w:r w:rsidRPr="003E78EA">
        <w:rPr>
          <w:b/>
          <w:lang w:val="lt-LT"/>
        </w:rPr>
        <w:t>10.</w:t>
      </w:r>
      <w:r w:rsidRPr="003E78EA">
        <w:rPr>
          <w:b/>
          <w:lang w:val="lt-LT"/>
        </w:rPr>
        <w:tab/>
        <w:t>SPECIALIOS ATSARGUMO PRIEMONĖS DĖL NESUVARTOTO VAISTINIO PREPARATO AR JO ATLIEKŲ TVARKYMO (JEI REIKIA)</w:t>
      </w:r>
    </w:p>
    <w:p w14:paraId="05ACFF98" w14:textId="77777777" w:rsidR="006E3FD0" w:rsidRPr="003E78EA" w:rsidRDefault="006E3FD0" w:rsidP="00710393">
      <w:pPr>
        <w:rPr>
          <w:lang w:val="lt-LT"/>
        </w:rPr>
      </w:pPr>
    </w:p>
    <w:p w14:paraId="58D620FD" w14:textId="77777777" w:rsidR="00710393" w:rsidRPr="003E78EA" w:rsidRDefault="00710393" w:rsidP="00710393">
      <w:pPr>
        <w:rPr>
          <w:lang w:val="lt-LT"/>
        </w:rPr>
      </w:pPr>
    </w:p>
    <w:p w14:paraId="29BC81A6"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b/>
          <w:lang w:val="lt-LT"/>
        </w:rPr>
      </w:pPr>
      <w:r w:rsidRPr="003E78EA">
        <w:rPr>
          <w:b/>
          <w:lang w:val="lt-LT"/>
        </w:rPr>
        <w:t>11.</w:t>
      </w:r>
      <w:r w:rsidRPr="003E78EA">
        <w:rPr>
          <w:b/>
          <w:lang w:val="lt-LT"/>
        </w:rPr>
        <w:tab/>
        <w:t>REGISTRUOTOJO PAVADINIMAS IR ADRESAS</w:t>
      </w:r>
    </w:p>
    <w:p w14:paraId="3FC67AD2" w14:textId="77777777" w:rsidR="00710393" w:rsidRPr="003E78EA" w:rsidRDefault="00710393" w:rsidP="00710393">
      <w:pPr>
        <w:rPr>
          <w:lang w:val="lt-LT"/>
        </w:rPr>
      </w:pPr>
    </w:p>
    <w:p w14:paraId="3C62A900" w14:textId="77777777" w:rsidR="00710393" w:rsidRPr="003E78EA" w:rsidRDefault="00710393" w:rsidP="00710393">
      <w:pPr>
        <w:adjustRightInd w:val="0"/>
        <w:rPr>
          <w:color w:val="000000"/>
          <w:lang w:val="lt-LT"/>
        </w:rPr>
      </w:pPr>
      <w:r w:rsidRPr="003E78EA">
        <w:rPr>
          <w:color w:val="000000"/>
          <w:lang w:val="lt-LT"/>
        </w:rPr>
        <w:t>Accord Healthcare B.V.</w:t>
      </w:r>
    </w:p>
    <w:p w14:paraId="2FFA2F41" w14:textId="77777777" w:rsidR="00710393" w:rsidRPr="003E78EA" w:rsidRDefault="00710393" w:rsidP="00710393">
      <w:pPr>
        <w:adjustRightInd w:val="0"/>
        <w:rPr>
          <w:color w:val="000000"/>
          <w:lang w:val="lt-LT"/>
        </w:rPr>
      </w:pPr>
      <w:r w:rsidRPr="003E78EA">
        <w:rPr>
          <w:color w:val="000000"/>
          <w:lang w:val="lt-LT"/>
        </w:rPr>
        <w:t>Winthontlaan 200</w:t>
      </w:r>
    </w:p>
    <w:p w14:paraId="2BF3AAAE" w14:textId="77777777" w:rsidR="00710393" w:rsidRPr="003E78EA" w:rsidRDefault="00710393" w:rsidP="00710393">
      <w:pPr>
        <w:adjustRightInd w:val="0"/>
        <w:rPr>
          <w:color w:val="000000"/>
          <w:lang w:val="lt-LT"/>
        </w:rPr>
      </w:pPr>
      <w:r w:rsidRPr="003E78EA">
        <w:rPr>
          <w:color w:val="000000"/>
          <w:lang w:val="lt-LT"/>
        </w:rPr>
        <w:t>3526 KV Utrecht</w:t>
      </w:r>
    </w:p>
    <w:p w14:paraId="3DE7956D" w14:textId="77777777" w:rsidR="00710393" w:rsidRPr="003E78EA" w:rsidRDefault="00710393" w:rsidP="00710393">
      <w:pPr>
        <w:rPr>
          <w:lang w:val="lt-LT"/>
        </w:rPr>
      </w:pPr>
      <w:r w:rsidRPr="003E78EA">
        <w:rPr>
          <w:color w:val="000000"/>
          <w:lang w:val="lt-LT"/>
        </w:rPr>
        <w:t>Nyderlandai</w:t>
      </w:r>
    </w:p>
    <w:p w14:paraId="0839A996" w14:textId="77777777" w:rsidR="006E3FD0" w:rsidRPr="003E78EA" w:rsidRDefault="006E3FD0" w:rsidP="00710393">
      <w:pPr>
        <w:rPr>
          <w:lang w:val="lt-LT"/>
        </w:rPr>
      </w:pPr>
    </w:p>
    <w:p w14:paraId="272B9AFD" w14:textId="77777777" w:rsidR="00710393" w:rsidRPr="003E78EA" w:rsidRDefault="00710393" w:rsidP="00710393">
      <w:pPr>
        <w:rPr>
          <w:lang w:val="lt-LT"/>
        </w:rPr>
      </w:pPr>
    </w:p>
    <w:p w14:paraId="4EE597ED"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lang w:val="lt-LT"/>
        </w:rPr>
      </w:pPr>
      <w:r w:rsidRPr="003E78EA">
        <w:rPr>
          <w:b/>
          <w:lang w:val="lt-LT"/>
        </w:rPr>
        <w:t>12.</w:t>
      </w:r>
      <w:r w:rsidRPr="003E78EA">
        <w:rPr>
          <w:b/>
          <w:lang w:val="lt-LT"/>
        </w:rPr>
        <w:tab/>
        <w:t xml:space="preserve">REGISTRACIJOS PAŽYMĖJIMO NUMERIS (-IAI) </w:t>
      </w:r>
    </w:p>
    <w:p w14:paraId="59024BE4" w14:textId="77777777" w:rsidR="00710393" w:rsidRPr="003E78EA" w:rsidRDefault="00710393" w:rsidP="00710393">
      <w:pPr>
        <w:rPr>
          <w:lang w:val="lt-LT"/>
        </w:rPr>
      </w:pPr>
    </w:p>
    <w:p w14:paraId="33DC6399" w14:textId="28E5B6A1" w:rsidR="00826BA2" w:rsidRPr="00F569BB" w:rsidRDefault="00826BA2" w:rsidP="000540B2">
      <w:pPr>
        <w:rPr>
          <w:highlight w:val="lightGray"/>
          <w:u w:val="single"/>
          <w:lang w:val="lt-LT"/>
        </w:rPr>
      </w:pPr>
      <w:r w:rsidRPr="00F569BB">
        <w:rPr>
          <w:highlight w:val="lightGray"/>
          <w:u w:val="single"/>
          <w:lang w:val="lt-LT"/>
        </w:rPr>
        <w:t>100 mg</w:t>
      </w:r>
    </w:p>
    <w:p w14:paraId="40152637" w14:textId="77777777" w:rsidR="000540B2" w:rsidRPr="00556F71" w:rsidRDefault="000540B2" w:rsidP="000540B2">
      <w:pPr>
        <w:rPr>
          <w:bCs/>
          <w:lang w:val="lt-LT"/>
        </w:rPr>
      </w:pPr>
      <w:r w:rsidRPr="000540B2">
        <w:rPr>
          <w:highlight w:val="lightGray"/>
          <w:lang w:val="lt-LT"/>
        </w:rPr>
        <w:t>LT/1/19/4393/001</w:t>
      </w:r>
      <w:r w:rsidRPr="000540B2">
        <w:rPr>
          <w:bCs/>
          <w:highlight w:val="lightGray"/>
          <w:lang w:val="lt-LT"/>
        </w:rPr>
        <w:t xml:space="preserve"> – N25</w:t>
      </w:r>
    </w:p>
    <w:p w14:paraId="0667DEC8" w14:textId="77777777" w:rsidR="000540B2" w:rsidRPr="000540B2" w:rsidRDefault="000540B2" w:rsidP="000540B2">
      <w:pPr>
        <w:rPr>
          <w:bCs/>
          <w:highlight w:val="lightGray"/>
          <w:lang w:val="lt-LT"/>
        </w:rPr>
      </w:pPr>
      <w:r>
        <w:rPr>
          <w:lang w:val="lt-LT"/>
        </w:rPr>
        <w:t>LT/1/19/4393/002</w:t>
      </w:r>
      <w:r w:rsidRPr="003C1C77">
        <w:rPr>
          <w:bCs/>
          <w:lang w:val="lt-LT"/>
        </w:rPr>
        <w:t xml:space="preserve"> </w:t>
      </w:r>
      <w:r w:rsidRPr="000540B2">
        <w:rPr>
          <w:bCs/>
          <w:highlight w:val="lightGray"/>
          <w:lang w:val="lt-LT"/>
        </w:rPr>
        <w:t>– N28</w:t>
      </w:r>
    </w:p>
    <w:p w14:paraId="59DA471E" w14:textId="77777777" w:rsidR="000540B2" w:rsidRPr="000540B2" w:rsidRDefault="000540B2" w:rsidP="000540B2">
      <w:pPr>
        <w:rPr>
          <w:bCs/>
          <w:highlight w:val="lightGray"/>
          <w:lang w:val="lt-LT"/>
        </w:rPr>
      </w:pPr>
      <w:r w:rsidRPr="000540B2">
        <w:rPr>
          <w:highlight w:val="lightGray"/>
          <w:lang w:val="lt-LT"/>
        </w:rPr>
        <w:t>LT/1/19/4393/003</w:t>
      </w:r>
      <w:r w:rsidRPr="000540B2">
        <w:rPr>
          <w:bCs/>
          <w:highlight w:val="lightGray"/>
          <w:lang w:val="lt-LT"/>
        </w:rPr>
        <w:t xml:space="preserve"> – N30</w:t>
      </w:r>
    </w:p>
    <w:p w14:paraId="25E72709" w14:textId="77777777" w:rsidR="000540B2" w:rsidRPr="000540B2" w:rsidRDefault="000540B2" w:rsidP="000540B2">
      <w:pPr>
        <w:rPr>
          <w:bCs/>
          <w:highlight w:val="lightGray"/>
          <w:lang w:val="lt-LT"/>
        </w:rPr>
      </w:pPr>
      <w:r w:rsidRPr="000540B2">
        <w:rPr>
          <w:highlight w:val="lightGray"/>
          <w:lang w:val="lt-LT"/>
        </w:rPr>
        <w:t>LT/1/19/4393/004</w:t>
      </w:r>
      <w:r w:rsidRPr="000540B2">
        <w:rPr>
          <w:bCs/>
          <w:highlight w:val="lightGray"/>
          <w:lang w:val="lt-LT"/>
        </w:rPr>
        <w:t xml:space="preserve"> – N50</w:t>
      </w:r>
    </w:p>
    <w:p w14:paraId="2FD155A5" w14:textId="77777777" w:rsidR="000540B2" w:rsidRPr="000540B2" w:rsidRDefault="000540B2" w:rsidP="000540B2">
      <w:pPr>
        <w:rPr>
          <w:bCs/>
          <w:highlight w:val="lightGray"/>
          <w:lang w:val="lt-LT"/>
        </w:rPr>
      </w:pPr>
      <w:r w:rsidRPr="000540B2">
        <w:rPr>
          <w:highlight w:val="lightGray"/>
          <w:lang w:val="lt-LT"/>
        </w:rPr>
        <w:t>LT/1/19/4393/005</w:t>
      </w:r>
      <w:r w:rsidRPr="000540B2">
        <w:rPr>
          <w:bCs/>
          <w:highlight w:val="lightGray"/>
          <w:lang w:val="lt-LT"/>
        </w:rPr>
        <w:t xml:space="preserve"> – N60</w:t>
      </w:r>
    </w:p>
    <w:p w14:paraId="0CCF5876" w14:textId="77777777" w:rsidR="000540B2" w:rsidRPr="000540B2" w:rsidRDefault="000540B2" w:rsidP="000540B2">
      <w:pPr>
        <w:rPr>
          <w:bCs/>
          <w:highlight w:val="lightGray"/>
          <w:lang w:val="lt-LT"/>
        </w:rPr>
      </w:pPr>
      <w:r w:rsidRPr="000540B2">
        <w:rPr>
          <w:highlight w:val="lightGray"/>
          <w:lang w:val="lt-LT"/>
        </w:rPr>
        <w:t>LT/1/19/4393/006</w:t>
      </w:r>
      <w:r w:rsidRPr="000540B2">
        <w:rPr>
          <w:bCs/>
          <w:highlight w:val="lightGray"/>
          <w:lang w:val="lt-LT"/>
        </w:rPr>
        <w:t xml:space="preserve"> – N90</w:t>
      </w:r>
    </w:p>
    <w:p w14:paraId="09815F38" w14:textId="77777777" w:rsidR="000540B2" w:rsidRDefault="000540B2" w:rsidP="000540B2">
      <w:pPr>
        <w:rPr>
          <w:bCs/>
          <w:lang w:val="lt-LT"/>
        </w:rPr>
      </w:pPr>
      <w:r w:rsidRPr="000540B2">
        <w:rPr>
          <w:highlight w:val="lightGray"/>
          <w:lang w:val="lt-LT"/>
        </w:rPr>
        <w:t>LT/1/19/4393/007</w:t>
      </w:r>
      <w:r w:rsidRPr="000540B2">
        <w:rPr>
          <w:bCs/>
          <w:highlight w:val="lightGray"/>
          <w:lang w:val="lt-LT"/>
        </w:rPr>
        <w:t xml:space="preserve"> – N100</w:t>
      </w:r>
    </w:p>
    <w:p w14:paraId="079DDE12" w14:textId="77777777" w:rsidR="00826BA2" w:rsidRDefault="00826BA2" w:rsidP="000540B2">
      <w:pPr>
        <w:rPr>
          <w:bCs/>
          <w:lang w:val="lt-LT"/>
        </w:rPr>
      </w:pPr>
    </w:p>
    <w:p w14:paraId="0F9C145C" w14:textId="71C5C70A" w:rsidR="00826BA2" w:rsidRPr="00F569BB" w:rsidRDefault="00826BA2" w:rsidP="00826BA2">
      <w:pPr>
        <w:rPr>
          <w:highlight w:val="lightGray"/>
          <w:u w:val="single"/>
          <w:lang w:val="lt-LT"/>
        </w:rPr>
      </w:pPr>
      <w:r w:rsidRPr="00F569BB">
        <w:rPr>
          <w:highlight w:val="lightGray"/>
          <w:u w:val="single"/>
          <w:lang w:val="lt-LT"/>
        </w:rPr>
        <w:t xml:space="preserve">300 mg </w:t>
      </w:r>
    </w:p>
    <w:p w14:paraId="0BE6B4E8" w14:textId="77777777" w:rsidR="00826BA2" w:rsidRPr="00556F71" w:rsidRDefault="00826BA2" w:rsidP="00826BA2">
      <w:pPr>
        <w:rPr>
          <w:bCs/>
          <w:lang w:val="lt-LT"/>
        </w:rPr>
      </w:pPr>
      <w:r w:rsidRPr="00826BA2">
        <w:rPr>
          <w:highlight w:val="lightGray"/>
          <w:lang w:val="lt-LT"/>
        </w:rPr>
        <w:t>LT/1/19/4394/001</w:t>
      </w:r>
      <w:r w:rsidRPr="00826BA2">
        <w:rPr>
          <w:bCs/>
          <w:highlight w:val="lightGray"/>
          <w:lang w:val="lt-LT"/>
        </w:rPr>
        <w:t xml:space="preserve"> – N25</w:t>
      </w:r>
    </w:p>
    <w:p w14:paraId="2CB6DE62" w14:textId="77777777" w:rsidR="00826BA2" w:rsidRPr="00826BA2" w:rsidRDefault="00826BA2" w:rsidP="00826BA2">
      <w:pPr>
        <w:rPr>
          <w:bCs/>
          <w:highlight w:val="lightGray"/>
          <w:lang w:val="lt-LT"/>
        </w:rPr>
      </w:pPr>
      <w:r>
        <w:rPr>
          <w:lang w:val="lt-LT"/>
        </w:rPr>
        <w:t>LT/1/19/4394/002</w:t>
      </w:r>
      <w:r w:rsidRPr="003C1C77">
        <w:rPr>
          <w:bCs/>
          <w:lang w:val="lt-LT"/>
        </w:rPr>
        <w:t xml:space="preserve"> </w:t>
      </w:r>
      <w:r w:rsidRPr="00826BA2">
        <w:rPr>
          <w:bCs/>
          <w:highlight w:val="lightGray"/>
          <w:lang w:val="lt-LT"/>
        </w:rPr>
        <w:t>– N28</w:t>
      </w:r>
    </w:p>
    <w:p w14:paraId="7E7E0E9E" w14:textId="77777777" w:rsidR="00826BA2" w:rsidRPr="00826BA2" w:rsidRDefault="00826BA2" w:rsidP="00826BA2">
      <w:pPr>
        <w:rPr>
          <w:bCs/>
          <w:highlight w:val="lightGray"/>
          <w:lang w:val="lt-LT"/>
        </w:rPr>
      </w:pPr>
      <w:r w:rsidRPr="00826BA2">
        <w:rPr>
          <w:highlight w:val="lightGray"/>
          <w:lang w:val="lt-LT"/>
        </w:rPr>
        <w:t>LT/1/19/4394/003</w:t>
      </w:r>
      <w:r w:rsidRPr="00826BA2">
        <w:rPr>
          <w:bCs/>
          <w:highlight w:val="lightGray"/>
          <w:lang w:val="lt-LT"/>
        </w:rPr>
        <w:t xml:space="preserve"> – N30</w:t>
      </w:r>
    </w:p>
    <w:p w14:paraId="4503CC5E" w14:textId="77777777" w:rsidR="00826BA2" w:rsidRPr="00826BA2" w:rsidRDefault="00826BA2" w:rsidP="00826BA2">
      <w:pPr>
        <w:rPr>
          <w:bCs/>
          <w:highlight w:val="lightGray"/>
          <w:lang w:val="lt-LT"/>
        </w:rPr>
      </w:pPr>
      <w:r w:rsidRPr="00826BA2">
        <w:rPr>
          <w:highlight w:val="lightGray"/>
          <w:lang w:val="lt-LT"/>
        </w:rPr>
        <w:t>LT/1/19/4394/004</w:t>
      </w:r>
      <w:r w:rsidRPr="00826BA2">
        <w:rPr>
          <w:bCs/>
          <w:highlight w:val="lightGray"/>
          <w:lang w:val="lt-LT"/>
        </w:rPr>
        <w:t xml:space="preserve"> – N50</w:t>
      </w:r>
    </w:p>
    <w:p w14:paraId="3DC40D7D" w14:textId="77777777" w:rsidR="00826BA2" w:rsidRPr="00826BA2" w:rsidRDefault="00826BA2" w:rsidP="00826BA2">
      <w:pPr>
        <w:rPr>
          <w:bCs/>
          <w:highlight w:val="lightGray"/>
          <w:lang w:val="lt-LT"/>
        </w:rPr>
      </w:pPr>
      <w:r w:rsidRPr="00826BA2">
        <w:rPr>
          <w:highlight w:val="lightGray"/>
          <w:lang w:val="lt-LT"/>
        </w:rPr>
        <w:t>LT/1/19/4394/005</w:t>
      </w:r>
      <w:r w:rsidRPr="00826BA2">
        <w:rPr>
          <w:bCs/>
          <w:highlight w:val="lightGray"/>
          <w:lang w:val="lt-LT"/>
        </w:rPr>
        <w:t xml:space="preserve"> – N60</w:t>
      </w:r>
    </w:p>
    <w:p w14:paraId="254637FF" w14:textId="77777777" w:rsidR="00826BA2" w:rsidRPr="00826BA2" w:rsidRDefault="00826BA2" w:rsidP="00826BA2">
      <w:pPr>
        <w:rPr>
          <w:bCs/>
          <w:highlight w:val="lightGray"/>
          <w:lang w:val="lt-LT"/>
        </w:rPr>
      </w:pPr>
      <w:r w:rsidRPr="00826BA2">
        <w:rPr>
          <w:highlight w:val="lightGray"/>
          <w:lang w:val="lt-LT"/>
        </w:rPr>
        <w:t>LT/1/19/4394/006</w:t>
      </w:r>
      <w:r w:rsidRPr="00826BA2">
        <w:rPr>
          <w:bCs/>
          <w:highlight w:val="lightGray"/>
          <w:lang w:val="lt-LT"/>
        </w:rPr>
        <w:t xml:space="preserve"> – N90</w:t>
      </w:r>
    </w:p>
    <w:p w14:paraId="4E5CFE27" w14:textId="11DF0556" w:rsidR="00826BA2" w:rsidRDefault="00826BA2" w:rsidP="00826BA2">
      <w:pPr>
        <w:rPr>
          <w:bCs/>
          <w:lang w:val="lt-LT"/>
        </w:rPr>
      </w:pPr>
      <w:r w:rsidRPr="00826BA2">
        <w:rPr>
          <w:highlight w:val="lightGray"/>
          <w:lang w:val="lt-LT"/>
        </w:rPr>
        <w:t>LT/1/19/4394/007</w:t>
      </w:r>
      <w:r w:rsidRPr="00826BA2">
        <w:rPr>
          <w:bCs/>
          <w:highlight w:val="lightGray"/>
          <w:lang w:val="lt-LT"/>
        </w:rPr>
        <w:t xml:space="preserve"> – N100</w:t>
      </w:r>
    </w:p>
    <w:p w14:paraId="2376A30B" w14:textId="77777777" w:rsidR="00826BA2" w:rsidRDefault="00826BA2" w:rsidP="000540B2">
      <w:pPr>
        <w:rPr>
          <w:bCs/>
          <w:lang w:val="lt-LT"/>
        </w:rPr>
      </w:pPr>
    </w:p>
    <w:p w14:paraId="3FEF1B96" w14:textId="77777777" w:rsidR="00710393" w:rsidRPr="003E78EA" w:rsidRDefault="00710393" w:rsidP="00710393">
      <w:pPr>
        <w:rPr>
          <w:lang w:val="lt-LT"/>
        </w:rPr>
      </w:pPr>
    </w:p>
    <w:p w14:paraId="530232FE"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lang w:val="lt-LT"/>
        </w:rPr>
      </w:pPr>
      <w:r w:rsidRPr="003E78EA">
        <w:rPr>
          <w:b/>
          <w:lang w:val="lt-LT"/>
        </w:rPr>
        <w:t>13.</w:t>
      </w:r>
      <w:r w:rsidRPr="003E78EA">
        <w:rPr>
          <w:b/>
          <w:lang w:val="lt-LT"/>
        </w:rPr>
        <w:tab/>
        <w:t>SERIJOS NUMERIS</w:t>
      </w:r>
    </w:p>
    <w:p w14:paraId="166B2187" w14:textId="77777777" w:rsidR="00710393" w:rsidRPr="003E78EA" w:rsidRDefault="00710393" w:rsidP="00710393">
      <w:pPr>
        <w:rPr>
          <w:lang w:val="lt-LT"/>
        </w:rPr>
      </w:pPr>
    </w:p>
    <w:p w14:paraId="26F1F70F" w14:textId="77777777" w:rsidR="00710393" w:rsidRPr="003E78EA" w:rsidRDefault="006E3FD0" w:rsidP="00710393">
      <w:pPr>
        <w:rPr>
          <w:lang w:val="lt-LT"/>
        </w:rPr>
      </w:pPr>
      <w:r w:rsidRPr="003E78EA">
        <w:rPr>
          <w:lang w:val="lt-LT"/>
        </w:rPr>
        <w:t>Lot</w:t>
      </w:r>
    </w:p>
    <w:p w14:paraId="2C3E5C77" w14:textId="77777777" w:rsidR="00710393" w:rsidRPr="003E78EA" w:rsidRDefault="00710393" w:rsidP="00710393">
      <w:pPr>
        <w:rPr>
          <w:lang w:val="lt-LT"/>
        </w:rPr>
      </w:pPr>
    </w:p>
    <w:p w14:paraId="6F6DFC6C" w14:textId="77777777" w:rsidR="00710393" w:rsidRPr="003E78EA" w:rsidRDefault="00710393" w:rsidP="00710393">
      <w:pPr>
        <w:rPr>
          <w:lang w:val="lt-LT"/>
        </w:rPr>
      </w:pPr>
    </w:p>
    <w:p w14:paraId="6979A81A"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lang w:val="lt-LT"/>
        </w:rPr>
      </w:pPr>
      <w:r w:rsidRPr="003E78EA">
        <w:rPr>
          <w:b/>
          <w:lang w:val="lt-LT"/>
        </w:rPr>
        <w:t>14.</w:t>
      </w:r>
      <w:r w:rsidRPr="003E78EA">
        <w:rPr>
          <w:b/>
          <w:lang w:val="lt-LT"/>
        </w:rPr>
        <w:tab/>
        <w:t>PARDAVIMO (IŠDAVIMO) TVARKA</w:t>
      </w:r>
    </w:p>
    <w:p w14:paraId="7B32EACC" w14:textId="77777777" w:rsidR="00710393" w:rsidRPr="003E78EA" w:rsidRDefault="00710393" w:rsidP="00710393">
      <w:pPr>
        <w:rPr>
          <w:lang w:val="lt-LT"/>
        </w:rPr>
      </w:pPr>
    </w:p>
    <w:p w14:paraId="58AAFA5D" w14:textId="2068DCCD" w:rsidR="006E3FD0" w:rsidRPr="000A5826" w:rsidRDefault="006E3FD0" w:rsidP="006E3FD0">
      <w:pPr>
        <w:widowControl/>
        <w:tabs>
          <w:tab w:val="left" w:pos="567"/>
        </w:tabs>
        <w:autoSpaceDE/>
        <w:autoSpaceDN/>
        <w:spacing w:line="260" w:lineRule="exact"/>
        <w:rPr>
          <w:snapToGrid w:val="0"/>
          <w:szCs w:val="24"/>
          <w:lang w:val="lt-LT"/>
        </w:rPr>
      </w:pPr>
      <w:r w:rsidRPr="000A5826">
        <w:rPr>
          <w:snapToGrid w:val="0"/>
          <w:szCs w:val="20"/>
          <w:lang w:val="lt-LT"/>
        </w:rPr>
        <w:t>Receptinis vaistas.</w:t>
      </w:r>
    </w:p>
    <w:p w14:paraId="4E690512" w14:textId="77777777" w:rsidR="00710393" w:rsidRPr="003E78EA" w:rsidRDefault="00710393" w:rsidP="00710393">
      <w:pPr>
        <w:rPr>
          <w:lang w:val="lt-LT"/>
        </w:rPr>
      </w:pPr>
    </w:p>
    <w:p w14:paraId="2DF45B22" w14:textId="77777777" w:rsidR="006E3FD0" w:rsidRPr="003E78EA" w:rsidRDefault="006E3FD0" w:rsidP="00710393">
      <w:pPr>
        <w:rPr>
          <w:lang w:val="lt-LT"/>
        </w:rPr>
      </w:pPr>
    </w:p>
    <w:p w14:paraId="1258E7CB"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lang w:val="lt-LT"/>
        </w:rPr>
      </w:pPr>
      <w:r w:rsidRPr="003E78EA">
        <w:rPr>
          <w:b/>
          <w:lang w:val="lt-LT"/>
        </w:rPr>
        <w:t>15.</w:t>
      </w:r>
      <w:r w:rsidRPr="003E78EA">
        <w:rPr>
          <w:b/>
          <w:lang w:val="lt-LT"/>
        </w:rPr>
        <w:tab/>
        <w:t>VARTOJIMO INSTRUKCIJA</w:t>
      </w:r>
    </w:p>
    <w:p w14:paraId="77C11250" w14:textId="77777777" w:rsidR="00710393" w:rsidRPr="003E78EA" w:rsidRDefault="00710393" w:rsidP="00710393">
      <w:pPr>
        <w:rPr>
          <w:lang w:val="lt-LT"/>
        </w:rPr>
      </w:pPr>
    </w:p>
    <w:p w14:paraId="741245DD" w14:textId="77777777" w:rsidR="00710393" w:rsidRPr="003E78EA" w:rsidRDefault="00710393" w:rsidP="00710393">
      <w:pPr>
        <w:rPr>
          <w:lang w:val="lt-LT"/>
        </w:rPr>
      </w:pPr>
    </w:p>
    <w:p w14:paraId="7C0F2226" w14:textId="77777777" w:rsidR="00710393" w:rsidRPr="003E78EA" w:rsidRDefault="00710393" w:rsidP="00710393">
      <w:pPr>
        <w:pBdr>
          <w:top w:val="single" w:sz="4" w:space="1" w:color="auto"/>
          <w:left w:val="single" w:sz="4" w:space="4" w:color="auto"/>
          <w:bottom w:val="single" w:sz="4" w:space="1" w:color="auto"/>
          <w:right w:val="single" w:sz="4" w:space="4" w:color="auto"/>
        </w:pBdr>
        <w:outlineLvl w:val="0"/>
        <w:rPr>
          <w:lang w:val="lt-LT"/>
        </w:rPr>
      </w:pPr>
      <w:r w:rsidRPr="003E78EA">
        <w:rPr>
          <w:b/>
          <w:lang w:val="lt-LT"/>
        </w:rPr>
        <w:t>16.</w:t>
      </w:r>
      <w:r w:rsidRPr="003E78EA">
        <w:rPr>
          <w:b/>
          <w:lang w:val="lt-LT"/>
        </w:rPr>
        <w:tab/>
        <w:t>INFORMACIJA BRAILIO RAŠTU</w:t>
      </w:r>
    </w:p>
    <w:p w14:paraId="6B9DF72D" w14:textId="77777777" w:rsidR="00710393" w:rsidRPr="003E78EA" w:rsidRDefault="00710393" w:rsidP="00710393">
      <w:pPr>
        <w:rPr>
          <w:lang w:val="lt-LT"/>
        </w:rPr>
      </w:pPr>
    </w:p>
    <w:p w14:paraId="26205E6E" w14:textId="71EB6E20" w:rsidR="006E3FD0" w:rsidRPr="003E78EA" w:rsidRDefault="006E3FD0" w:rsidP="006E3FD0">
      <w:pPr>
        <w:adjustRightInd w:val="0"/>
        <w:spacing w:before="17"/>
        <w:rPr>
          <w:color w:val="000000"/>
          <w:lang w:val="lt-LT"/>
        </w:rPr>
      </w:pPr>
      <w:r w:rsidRPr="003E78EA">
        <w:rPr>
          <w:color w:val="000000"/>
          <w:lang w:val="lt-LT"/>
        </w:rPr>
        <w:lastRenderedPageBreak/>
        <w:t>Allopurinol Accord 100</w:t>
      </w:r>
      <w:r w:rsidR="00381032" w:rsidRPr="003E78EA">
        <w:rPr>
          <w:color w:val="000000"/>
          <w:lang w:val="lt-LT"/>
        </w:rPr>
        <w:t> </w:t>
      </w:r>
      <w:r w:rsidRPr="003E78EA">
        <w:rPr>
          <w:color w:val="000000"/>
          <w:lang w:val="lt-LT"/>
        </w:rPr>
        <w:t xml:space="preserve">mg </w:t>
      </w:r>
    </w:p>
    <w:p w14:paraId="42D356C9" w14:textId="6FECB0AB" w:rsidR="00710393" w:rsidRPr="003E78EA" w:rsidRDefault="006E3FD0" w:rsidP="006E3FD0">
      <w:pPr>
        <w:adjustRightInd w:val="0"/>
        <w:spacing w:before="17"/>
        <w:rPr>
          <w:lang w:val="lt-LT"/>
        </w:rPr>
      </w:pPr>
      <w:r w:rsidRPr="003E78EA">
        <w:rPr>
          <w:color w:val="000000"/>
          <w:highlight w:val="lightGray"/>
          <w:lang w:val="lt-LT"/>
        </w:rPr>
        <w:t>Allopurinol Accord 300</w:t>
      </w:r>
      <w:r w:rsidR="00381032" w:rsidRPr="003E78EA">
        <w:rPr>
          <w:color w:val="000000"/>
          <w:highlight w:val="lightGray"/>
          <w:lang w:val="lt-LT"/>
        </w:rPr>
        <w:t> </w:t>
      </w:r>
      <w:r w:rsidRPr="003E78EA">
        <w:rPr>
          <w:color w:val="000000"/>
          <w:highlight w:val="lightGray"/>
          <w:lang w:val="lt-LT"/>
        </w:rPr>
        <w:t>mg</w:t>
      </w:r>
      <w:r w:rsidRPr="003E78EA">
        <w:rPr>
          <w:color w:val="000000"/>
          <w:lang w:val="lt-LT"/>
        </w:rPr>
        <w:t xml:space="preserve"> </w:t>
      </w:r>
    </w:p>
    <w:p w14:paraId="40B53908" w14:textId="77777777" w:rsidR="00710393" w:rsidRPr="003E78EA" w:rsidRDefault="00710393" w:rsidP="00710393">
      <w:pPr>
        <w:rPr>
          <w:lang w:val="lt-LT"/>
        </w:rPr>
      </w:pPr>
    </w:p>
    <w:p w14:paraId="25BB0A70" w14:textId="77777777" w:rsidR="00710393" w:rsidRPr="003E78EA" w:rsidRDefault="00710393" w:rsidP="00710393">
      <w:pPr>
        <w:rPr>
          <w:i/>
          <w:lang w:val="lt-LT"/>
        </w:rPr>
      </w:pPr>
    </w:p>
    <w:p w14:paraId="138C43C8" w14:textId="77777777" w:rsidR="00710393" w:rsidRPr="003E78EA" w:rsidRDefault="00710393" w:rsidP="00710393">
      <w:pPr>
        <w:pBdr>
          <w:top w:val="single" w:sz="4" w:space="1" w:color="auto"/>
          <w:left w:val="single" w:sz="4" w:space="4" w:color="auto"/>
          <w:bottom w:val="single" w:sz="4" w:space="0" w:color="auto"/>
          <w:right w:val="single" w:sz="4" w:space="4" w:color="auto"/>
        </w:pBdr>
        <w:rPr>
          <w:i/>
          <w:lang w:val="lt-LT"/>
        </w:rPr>
      </w:pPr>
      <w:r w:rsidRPr="003E78EA">
        <w:rPr>
          <w:b/>
          <w:lang w:val="lt-LT"/>
        </w:rPr>
        <w:t>17.</w:t>
      </w:r>
      <w:r w:rsidRPr="003E78EA">
        <w:rPr>
          <w:b/>
          <w:lang w:val="lt-LT"/>
        </w:rPr>
        <w:tab/>
        <w:t>UNIKALUS IDENTIFIKATORIUS – 2D BRŪKŠNINIS KODAS</w:t>
      </w:r>
    </w:p>
    <w:p w14:paraId="07110203" w14:textId="77777777" w:rsidR="00710393" w:rsidRPr="003E78EA" w:rsidRDefault="00710393" w:rsidP="00710393">
      <w:pPr>
        <w:rPr>
          <w:lang w:val="lt-LT"/>
        </w:rPr>
      </w:pPr>
    </w:p>
    <w:p w14:paraId="3286E2F7" w14:textId="77777777" w:rsidR="00710393" w:rsidRPr="003E78EA" w:rsidRDefault="00710393" w:rsidP="00710393">
      <w:pPr>
        <w:rPr>
          <w:lang w:val="lt-LT"/>
        </w:rPr>
      </w:pPr>
      <w:r w:rsidRPr="003E78EA">
        <w:rPr>
          <w:highlight w:val="lightGray"/>
          <w:lang w:val="lt-LT"/>
        </w:rPr>
        <w:t>2D brūkšninis kodas su nurodytu unikaliu identifikatoriumi</w:t>
      </w:r>
    </w:p>
    <w:p w14:paraId="3F822839" w14:textId="77777777" w:rsidR="00710393" w:rsidRPr="003E78EA" w:rsidRDefault="00710393" w:rsidP="00710393">
      <w:pPr>
        <w:rPr>
          <w:lang w:val="lt-LT"/>
        </w:rPr>
      </w:pPr>
    </w:p>
    <w:p w14:paraId="7F4DECFE" w14:textId="77777777" w:rsidR="00710393" w:rsidRPr="003E78EA" w:rsidRDefault="00710393" w:rsidP="00710393">
      <w:pPr>
        <w:rPr>
          <w:lang w:val="lt-LT"/>
        </w:rPr>
      </w:pPr>
    </w:p>
    <w:p w14:paraId="6B89C7C1" w14:textId="77777777" w:rsidR="00710393" w:rsidRPr="003E78EA" w:rsidRDefault="00710393" w:rsidP="00710393">
      <w:pPr>
        <w:pBdr>
          <w:top w:val="single" w:sz="4" w:space="1" w:color="auto"/>
          <w:left w:val="single" w:sz="4" w:space="4" w:color="auto"/>
          <w:bottom w:val="single" w:sz="4" w:space="0" w:color="auto"/>
          <w:right w:val="single" w:sz="4" w:space="4" w:color="auto"/>
        </w:pBdr>
        <w:rPr>
          <w:i/>
          <w:lang w:val="lt-LT"/>
        </w:rPr>
      </w:pPr>
      <w:r w:rsidRPr="003E78EA">
        <w:rPr>
          <w:b/>
          <w:lang w:val="lt-LT"/>
        </w:rPr>
        <w:t>18.</w:t>
      </w:r>
      <w:r w:rsidRPr="003E78EA">
        <w:rPr>
          <w:b/>
          <w:lang w:val="lt-LT"/>
        </w:rPr>
        <w:tab/>
        <w:t>UNIKALUS IDENTIFIKATORIUS – ŽMONĖMS SUPRANTAMI DUOMENYS</w:t>
      </w:r>
    </w:p>
    <w:p w14:paraId="1FC11E24" w14:textId="77777777" w:rsidR="00710393" w:rsidRPr="003E78EA" w:rsidRDefault="00710393" w:rsidP="00710393">
      <w:pPr>
        <w:rPr>
          <w:lang w:val="lt-LT"/>
        </w:rPr>
      </w:pPr>
    </w:p>
    <w:p w14:paraId="0866AD15" w14:textId="77777777" w:rsidR="00710393" w:rsidRPr="003E78EA" w:rsidRDefault="00710393" w:rsidP="00710393">
      <w:pPr>
        <w:rPr>
          <w:lang w:val="lt-LT"/>
        </w:rPr>
      </w:pPr>
      <w:r w:rsidRPr="003E78EA">
        <w:rPr>
          <w:lang w:val="lt-LT"/>
        </w:rPr>
        <w:t xml:space="preserve">PC: </w:t>
      </w:r>
    </w:p>
    <w:p w14:paraId="660ABDF1" w14:textId="77777777" w:rsidR="00710393" w:rsidRPr="003E78EA" w:rsidRDefault="00710393" w:rsidP="00710393">
      <w:pPr>
        <w:rPr>
          <w:lang w:val="lt-LT"/>
        </w:rPr>
      </w:pPr>
      <w:r w:rsidRPr="003E78EA">
        <w:rPr>
          <w:lang w:val="lt-LT"/>
        </w:rPr>
        <w:t>SN:</w:t>
      </w:r>
    </w:p>
    <w:p w14:paraId="4885F738" w14:textId="4E193B92" w:rsidR="00710393" w:rsidRPr="003E78EA" w:rsidRDefault="00710393" w:rsidP="00710393">
      <w:pPr>
        <w:rPr>
          <w:b/>
          <w:lang w:val="lt-LT"/>
        </w:rPr>
      </w:pPr>
      <w:r w:rsidRPr="003E78EA">
        <w:rPr>
          <w:highlight w:val="lightGray"/>
          <w:lang w:val="lt-LT"/>
        </w:rPr>
        <w:t>NN:</w:t>
      </w:r>
      <w:r w:rsidRPr="003E78EA">
        <w:rPr>
          <w:lang w:val="lt-LT"/>
        </w:rPr>
        <w:t xml:space="preserve"> </w:t>
      </w:r>
      <w:r w:rsidRPr="003E78EA">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1FD685CE" w14:textId="77777777" w:rsidTr="00381032">
        <w:trPr>
          <w:trHeight w:val="785"/>
        </w:trPr>
        <w:tc>
          <w:tcPr>
            <w:tcW w:w="9287" w:type="dxa"/>
            <w:tcBorders>
              <w:bottom w:val="single" w:sz="4" w:space="0" w:color="auto"/>
            </w:tcBorders>
          </w:tcPr>
          <w:p w14:paraId="3B2886FA" w14:textId="77777777" w:rsidR="00710393" w:rsidRPr="003E78EA" w:rsidRDefault="00710393" w:rsidP="00381032">
            <w:pPr>
              <w:rPr>
                <w:b/>
                <w:lang w:val="lt-LT"/>
              </w:rPr>
            </w:pPr>
            <w:r w:rsidRPr="003E78EA">
              <w:rPr>
                <w:b/>
                <w:lang w:val="lt-LT"/>
              </w:rPr>
              <w:lastRenderedPageBreak/>
              <w:t xml:space="preserve">MINIMALI INFORMACIJA ANT LIZDINIŲ PLOKŠTELIŲ ARBA DVISLUOKSNIŲ JUOSTELIŲ </w:t>
            </w:r>
          </w:p>
          <w:p w14:paraId="1CCEE7E2" w14:textId="77777777" w:rsidR="00710393" w:rsidRPr="003E78EA" w:rsidRDefault="00710393" w:rsidP="00381032">
            <w:pPr>
              <w:rPr>
                <w:b/>
                <w:lang w:val="lt-LT"/>
              </w:rPr>
            </w:pPr>
          </w:p>
          <w:p w14:paraId="48A29262" w14:textId="371668D8" w:rsidR="00710393" w:rsidRPr="003E78EA" w:rsidRDefault="00443FCE" w:rsidP="00443FCE">
            <w:pPr>
              <w:rPr>
                <w:b/>
                <w:lang w:val="lt-LT"/>
              </w:rPr>
            </w:pPr>
            <w:r w:rsidRPr="003E78EA">
              <w:rPr>
                <w:b/>
                <w:lang w:val="lt-LT"/>
              </w:rPr>
              <w:t xml:space="preserve">PVC/Al </w:t>
            </w:r>
            <w:r w:rsidR="00710393" w:rsidRPr="003E78EA">
              <w:rPr>
                <w:b/>
                <w:lang w:val="lt-LT"/>
              </w:rPr>
              <w:t>LIZDINĖ PLOKŠTELĖ</w:t>
            </w:r>
          </w:p>
        </w:tc>
      </w:tr>
    </w:tbl>
    <w:p w14:paraId="03D7FF44" w14:textId="77777777" w:rsidR="00710393" w:rsidRPr="003E78EA" w:rsidRDefault="00710393" w:rsidP="00710393">
      <w:pPr>
        <w:rPr>
          <w:b/>
          <w:lang w:val="lt-LT"/>
        </w:rPr>
      </w:pPr>
    </w:p>
    <w:p w14:paraId="12705FE8" w14:textId="77777777" w:rsidR="006E3FD0" w:rsidRPr="003E78EA" w:rsidRDefault="006E3FD0" w:rsidP="00710393">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5A63DFA5" w14:textId="77777777" w:rsidTr="00381032">
        <w:tc>
          <w:tcPr>
            <w:tcW w:w="9287" w:type="dxa"/>
          </w:tcPr>
          <w:p w14:paraId="7C1C07CB" w14:textId="77777777" w:rsidR="00710393" w:rsidRPr="003E78EA" w:rsidRDefault="00710393" w:rsidP="00381032">
            <w:pPr>
              <w:tabs>
                <w:tab w:val="left" w:pos="142"/>
              </w:tabs>
              <w:ind w:left="567" w:hanging="567"/>
              <w:rPr>
                <w:b/>
                <w:lang w:val="lt-LT"/>
              </w:rPr>
            </w:pPr>
            <w:r w:rsidRPr="003E78EA">
              <w:rPr>
                <w:b/>
                <w:lang w:val="lt-LT"/>
              </w:rPr>
              <w:t>1.</w:t>
            </w:r>
            <w:r w:rsidRPr="003E78EA">
              <w:rPr>
                <w:b/>
                <w:lang w:val="lt-LT"/>
              </w:rPr>
              <w:tab/>
              <w:t>VAISTINIO PREPARATO PAVADINIMAS</w:t>
            </w:r>
          </w:p>
        </w:tc>
      </w:tr>
    </w:tbl>
    <w:p w14:paraId="4487A22B" w14:textId="77777777" w:rsidR="00710393" w:rsidRPr="003E78EA" w:rsidRDefault="00710393" w:rsidP="00710393">
      <w:pPr>
        <w:ind w:left="567" w:hanging="567"/>
        <w:rPr>
          <w:lang w:val="lt-LT"/>
        </w:rPr>
      </w:pPr>
    </w:p>
    <w:p w14:paraId="226534AC" w14:textId="71C0E721" w:rsidR="00710393" w:rsidRPr="003E78EA" w:rsidRDefault="00710393" w:rsidP="00710393">
      <w:pPr>
        <w:adjustRightInd w:val="0"/>
        <w:spacing w:before="17"/>
        <w:rPr>
          <w:color w:val="000000"/>
          <w:lang w:val="lt-LT"/>
        </w:rPr>
      </w:pPr>
      <w:r w:rsidRPr="003E78EA">
        <w:rPr>
          <w:color w:val="000000"/>
          <w:lang w:val="lt-LT"/>
        </w:rPr>
        <w:t>Allopurinol Accord 100</w:t>
      </w:r>
      <w:r w:rsidR="0056319A" w:rsidRPr="003E78EA">
        <w:rPr>
          <w:color w:val="000000"/>
          <w:lang w:val="lt-LT"/>
        </w:rPr>
        <w:t> </w:t>
      </w:r>
      <w:r w:rsidRPr="003E78EA">
        <w:rPr>
          <w:color w:val="000000"/>
          <w:lang w:val="lt-LT"/>
        </w:rPr>
        <w:t>mg tabletės</w:t>
      </w:r>
    </w:p>
    <w:p w14:paraId="1FA2774A" w14:textId="106FD3D4" w:rsidR="00710393" w:rsidRPr="003E78EA" w:rsidRDefault="00710393" w:rsidP="00710393">
      <w:pPr>
        <w:adjustRightInd w:val="0"/>
        <w:spacing w:before="17"/>
        <w:rPr>
          <w:color w:val="000000"/>
          <w:lang w:val="lt-LT"/>
        </w:rPr>
      </w:pPr>
      <w:r w:rsidRPr="003E78EA">
        <w:rPr>
          <w:color w:val="000000"/>
          <w:highlight w:val="lightGray"/>
          <w:lang w:val="lt-LT"/>
        </w:rPr>
        <w:t>Allopurinol Accord 300</w:t>
      </w:r>
      <w:r w:rsidR="0056319A" w:rsidRPr="003E78EA">
        <w:rPr>
          <w:color w:val="000000"/>
          <w:highlight w:val="lightGray"/>
          <w:lang w:val="lt-LT"/>
        </w:rPr>
        <w:t> </w:t>
      </w:r>
      <w:r w:rsidRPr="003E78EA">
        <w:rPr>
          <w:color w:val="000000"/>
          <w:highlight w:val="lightGray"/>
          <w:lang w:val="lt-LT"/>
        </w:rPr>
        <w:t>mg tabletės</w:t>
      </w:r>
    </w:p>
    <w:p w14:paraId="36C70C54" w14:textId="77777777" w:rsidR="00710393" w:rsidRPr="003E78EA" w:rsidRDefault="00710393" w:rsidP="00710393">
      <w:pPr>
        <w:rPr>
          <w:lang w:val="lt-LT"/>
        </w:rPr>
      </w:pPr>
    </w:p>
    <w:p w14:paraId="0D30C012" w14:textId="77777777" w:rsidR="002F36D2" w:rsidRPr="003E78EA" w:rsidRDefault="002F36D2" w:rsidP="002F36D2">
      <w:pPr>
        <w:tabs>
          <w:tab w:val="left" w:pos="720"/>
        </w:tabs>
        <w:rPr>
          <w:lang w:val="lt-LT"/>
        </w:rPr>
      </w:pPr>
      <w:r w:rsidRPr="003E78EA">
        <w:rPr>
          <w:lang w:val="lt-LT"/>
        </w:rPr>
        <w:t>allopurinolum</w:t>
      </w:r>
    </w:p>
    <w:p w14:paraId="51CD5941" w14:textId="77777777" w:rsidR="00710393" w:rsidRPr="003E78EA" w:rsidRDefault="00710393" w:rsidP="00710393">
      <w:pPr>
        <w:rPr>
          <w:b/>
          <w:lang w:val="lt-LT"/>
        </w:rPr>
      </w:pPr>
    </w:p>
    <w:p w14:paraId="4DE5F020" w14:textId="77777777" w:rsidR="00C63F62" w:rsidRPr="003E78EA" w:rsidRDefault="00C63F62" w:rsidP="00710393">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08F31C99" w14:textId="77777777" w:rsidTr="00381032">
        <w:tc>
          <w:tcPr>
            <w:tcW w:w="9287" w:type="dxa"/>
          </w:tcPr>
          <w:p w14:paraId="0939C97B" w14:textId="77777777" w:rsidR="00710393" w:rsidRPr="003E78EA" w:rsidRDefault="00710393" w:rsidP="00381032">
            <w:pPr>
              <w:tabs>
                <w:tab w:val="left" w:pos="142"/>
              </w:tabs>
              <w:ind w:left="567" w:hanging="567"/>
              <w:rPr>
                <w:b/>
                <w:lang w:val="lt-LT"/>
              </w:rPr>
            </w:pPr>
            <w:r w:rsidRPr="003E78EA">
              <w:rPr>
                <w:b/>
                <w:lang w:val="lt-LT"/>
              </w:rPr>
              <w:t>2.</w:t>
            </w:r>
            <w:r w:rsidRPr="003E78EA">
              <w:rPr>
                <w:b/>
                <w:lang w:val="lt-LT"/>
              </w:rPr>
              <w:tab/>
              <w:t>REGISTRUOTOJO PAVADINIMAS</w:t>
            </w:r>
          </w:p>
        </w:tc>
      </w:tr>
    </w:tbl>
    <w:p w14:paraId="719CD3CC" w14:textId="77777777" w:rsidR="00710393" w:rsidRPr="003E78EA" w:rsidRDefault="00710393" w:rsidP="00710393">
      <w:pPr>
        <w:rPr>
          <w:b/>
          <w:lang w:val="lt-LT"/>
        </w:rPr>
      </w:pPr>
    </w:p>
    <w:p w14:paraId="28763E7C" w14:textId="77777777" w:rsidR="00710393" w:rsidRPr="003E78EA" w:rsidRDefault="00710393" w:rsidP="00710393">
      <w:pPr>
        <w:rPr>
          <w:lang w:val="lt-LT"/>
        </w:rPr>
      </w:pPr>
      <w:r w:rsidRPr="003E78EA">
        <w:rPr>
          <w:lang w:val="lt-LT"/>
        </w:rPr>
        <w:t>Accord</w:t>
      </w:r>
    </w:p>
    <w:p w14:paraId="6EA22724" w14:textId="77777777" w:rsidR="00710393" w:rsidRPr="003E78EA" w:rsidRDefault="00710393" w:rsidP="00710393">
      <w:pPr>
        <w:rPr>
          <w:b/>
          <w:lang w:val="lt-LT"/>
        </w:rPr>
      </w:pPr>
    </w:p>
    <w:p w14:paraId="5DC47827" w14:textId="77777777" w:rsidR="00710393" w:rsidRPr="003E78EA" w:rsidRDefault="00710393" w:rsidP="00710393">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6CD8AC7B" w14:textId="77777777" w:rsidTr="00381032">
        <w:tc>
          <w:tcPr>
            <w:tcW w:w="9287" w:type="dxa"/>
          </w:tcPr>
          <w:p w14:paraId="5542558C" w14:textId="77777777" w:rsidR="00710393" w:rsidRPr="003E78EA" w:rsidRDefault="00710393" w:rsidP="00381032">
            <w:pPr>
              <w:tabs>
                <w:tab w:val="left" w:pos="142"/>
              </w:tabs>
              <w:ind w:left="567" w:hanging="567"/>
              <w:rPr>
                <w:b/>
                <w:lang w:val="lt-LT"/>
              </w:rPr>
            </w:pPr>
            <w:r w:rsidRPr="003E78EA">
              <w:rPr>
                <w:b/>
                <w:lang w:val="lt-LT"/>
              </w:rPr>
              <w:t>3.</w:t>
            </w:r>
            <w:r w:rsidRPr="003E78EA">
              <w:rPr>
                <w:b/>
                <w:lang w:val="lt-LT"/>
              </w:rPr>
              <w:tab/>
              <w:t>TINKAMUMO LAIKAS</w:t>
            </w:r>
          </w:p>
        </w:tc>
      </w:tr>
    </w:tbl>
    <w:p w14:paraId="4F5DD59B" w14:textId="77777777" w:rsidR="00710393" w:rsidRPr="003E78EA" w:rsidRDefault="00710393" w:rsidP="00710393">
      <w:pPr>
        <w:rPr>
          <w:b/>
          <w:lang w:val="lt-LT"/>
        </w:rPr>
      </w:pPr>
    </w:p>
    <w:p w14:paraId="5DD87CF0" w14:textId="77777777" w:rsidR="00710393" w:rsidRPr="003E78EA" w:rsidRDefault="006E3FD0" w:rsidP="00710393">
      <w:pPr>
        <w:rPr>
          <w:lang w:val="lt-LT"/>
        </w:rPr>
      </w:pPr>
      <w:r w:rsidRPr="003E78EA">
        <w:rPr>
          <w:lang w:val="lt-LT"/>
        </w:rPr>
        <w:t>EXP</w:t>
      </w:r>
      <w:r w:rsidR="00502A9E">
        <w:rPr>
          <w:lang w:val="lt-LT"/>
        </w:rPr>
        <w:t xml:space="preserve"> {mm/MMMM}</w:t>
      </w:r>
    </w:p>
    <w:p w14:paraId="553DF707" w14:textId="77777777" w:rsidR="00710393" w:rsidRPr="003E78EA" w:rsidRDefault="00710393" w:rsidP="00710393">
      <w:pPr>
        <w:rPr>
          <w:lang w:val="lt-LT"/>
        </w:rPr>
      </w:pPr>
    </w:p>
    <w:p w14:paraId="453A9A57" w14:textId="77777777" w:rsidR="00710393" w:rsidRPr="003E78EA" w:rsidRDefault="00710393" w:rsidP="00710393">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4E45BB19" w14:textId="77777777" w:rsidTr="00381032">
        <w:tc>
          <w:tcPr>
            <w:tcW w:w="9287" w:type="dxa"/>
          </w:tcPr>
          <w:p w14:paraId="743FCA6D" w14:textId="77777777" w:rsidR="00710393" w:rsidRPr="003E78EA" w:rsidRDefault="00710393" w:rsidP="00381032">
            <w:pPr>
              <w:tabs>
                <w:tab w:val="left" w:pos="142"/>
              </w:tabs>
              <w:ind w:left="567" w:hanging="567"/>
              <w:rPr>
                <w:b/>
                <w:lang w:val="lt-LT"/>
              </w:rPr>
            </w:pPr>
            <w:r w:rsidRPr="003E78EA">
              <w:rPr>
                <w:b/>
                <w:lang w:val="lt-LT"/>
              </w:rPr>
              <w:t>4.</w:t>
            </w:r>
            <w:r w:rsidRPr="003E78EA">
              <w:rPr>
                <w:b/>
                <w:lang w:val="lt-LT"/>
              </w:rPr>
              <w:tab/>
              <w:t>SERIJOS NUMERIS</w:t>
            </w:r>
          </w:p>
        </w:tc>
      </w:tr>
    </w:tbl>
    <w:p w14:paraId="64277F87" w14:textId="77777777" w:rsidR="00710393" w:rsidRPr="003E78EA" w:rsidRDefault="00710393" w:rsidP="00710393">
      <w:pPr>
        <w:ind w:right="113"/>
        <w:rPr>
          <w:lang w:val="lt-LT"/>
        </w:rPr>
      </w:pPr>
    </w:p>
    <w:p w14:paraId="5A5448E4" w14:textId="2D1E22CA" w:rsidR="00710393" w:rsidRPr="003E78EA" w:rsidRDefault="0056319A" w:rsidP="00710393">
      <w:pPr>
        <w:ind w:right="113"/>
        <w:rPr>
          <w:lang w:val="lt-LT"/>
        </w:rPr>
      </w:pPr>
      <w:r w:rsidRPr="003E78EA">
        <w:rPr>
          <w:lang w:val="lt-LT"/>
        </w:rPr>
        <w:t>Lot</w:t>
      </w:r>
    </w:p>
    <w:p w14:paraId="6E7D2D6A" w14:textId="77777777" w:rsidR="00710393" w:rsidRPr="003E78EA" w:rsidRDefault="00710393" w:rsidP="00710393">
      <w:pPr>
        <w:ind w:right="113"/>
        <w:rPr>
          <w:lang w:val="lt-LT"/>
        </w:rPr>
      </w:pPr>
    </w:p>
    <w:p w14:paraId="53442C80" w14:textId="77777777" w:rsidR="00710393" w:rsidRPr="003E78EA" w:rsidRDefault="00710393" w:rsidP="00710393">
      <w:pPr>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10393" w:rsidRPr="000A5826" w14:paraId="3F70D4F8" w14:textId="77777777" w:rsidTr="00381032">
        <w:tc>
          <w:tcPr>
            <w:tcW w:w="9287" w:type="dxa"/>
          </w:tcPr>
          <w:p w14:paraId="796C010A" w14:textId="77777777" w:rsidR="00710393" w:rsidRPr="003E78EA" w:rsidRDefault="00710393" w:rsidP="00381032">
            <w:pPr>
              <w:tabs>
                <w:tab w:val="left" w:pos="142"/>
              </w:tabs>
              <w:ind w:left="567" w:hanging="567"/>
              <w:rPr>
                <w:b/>
                <w:lang w:val="lt-LT"/>
              </w:rPr>
            </w:pPr>
            <w:r w:rsidRPr="003E78EA">
              <w:rPr>
                <w:b/>
                <w:lang w:val="lt-LT"/>
              </w:rPr>
              <w:t>5.</w:t>
            </w:r>
            <w:r w:rsidRPr="003E78EA">
              <w:rPr>
                <w:b/>
                <w:lang w:val="lt-LT"/>
              </w:rPr>
              <w:tab/>
              <w:t>KITA</w:t>
            </w:r>
          </w:p>
        </w:tc>
      </w:tr>
    </w:tbl>
    <w:p w14:paraId="66A6FD24" w14:textId="77777777" w:rsidR="00710393" w:rsidRPr="003E78EA" w:rsidRDefault="00710393" w:rsidP="00710393">
      <w:pPr>
        <w:ind w:right="113"/>
        <w:rPr>
          <w:lang w:val="lt-LT"/>
        </w:rPr>
      </w:pPr>
    </w:p>
    <w:p w14:paraId="2F4A401F" w14:textId="782970C0" w:rsidR="00710393" w:rsidRPr="003E78EA" w:rsidRDefault="00710393" w:rsidP="00710393">
      <w:pPr>
        <w:ind w:right="113"/>
        <w:rPr>
          <w:lang w:val="lt-LT"/>
        </w:rPr>
      </w:pPr>
    </w:p>
    <w:p w14:paraId="4E8AAA45" w14:textId="77777777" w:rsidR="00710393" w:rsidRPr="003E78EA" w:rsidRDefault="00710393" w:rsidP="00710393">
      <w:pPr>
        <w:rPr>
          <w:lang w:val="lt-LT"/>
        </w:rPr>
      </w:pPr>
    </w:p>
    <w:p w14:paraId="45C9CCAF" w14:textId="77777777" w:rsidR="0056319A" w:rsidRPr="003E78EA" w:rsidRDefault="0056319A">
      <w:pPr>
        <w:pStyle w:val="Pagrindinistekstas"/>
        <w:rPr>
          <w:lang w:val="lt-LT"/>
        </w:rPr>
      </w:pPr>
      <w:r w:rsidRPr="003E78EA">
        <w:rPr>
          <w:lang w:val="lt-LT"/>
        </w:rPr>
        <w:br w:type="page"/>
      </w:r>
    </w:p>
    <w:p w14:paraId="69BE2EBD" w14:textId="77777777" w:rsidR="00A129D5" w:rsidRPr="003E78EA" w:rsidRDefault="00A129D5">
      <w:pPr>
        <w:pStyle w:val="Pagrindinistekstas"/>
        <w:rPr>
          <w:lang w:val="lt-LT"/>
        </w:rPr>
      </w:pPr>
    </w:p>
    <w:p w14:paraId="4013E858" w14:textId="77777777" w:rsidR="00A129D5" w:rsidRPr="003E78EA" w:rsidRDefault="00A129D5">
      <w:pPr>
        <w:pStyle w:val="Pagrindinistekstas"/>
        <w:rPr>
          <w:lang w:val="lt-LT"/>
        </w:rPr>
      </w:pPr>
    </w:p>
    <w:p w14:paraId="56C55015" w14:textId="77777777" w:rsidR="00A129D5" w:rsidRPr="003E78EA" w:rsidRDefault="00A129D5">
      <w:pPr>
        <w:pStyle w:val="Pagrindinistekstas"/>
        <w:rPr>
          <w:lang w:val="lt-LT"/>
        </w:rPr>
      </w:pPr>
    </w:p>
    <w:p w14:paraId="6A9E26D8" w14:textId="77777777" w:rsidR="00A129D5" w:rsidRPr="003E78EA" w:rsidRDefault="00A129D5">
      <w:pPr>
        <w:pStyle w:val="Pagrindinistekstas"/>
        <w:rPr>
          <w:lang w:val="lt-LT"/>
        </w:rPr>
      </w:pPr>
    </w:p>
    <w:p w14:paraId="504517EA" w14:textId="77777777" w:rsidR="00A129D5" w:rsidRPr="003E78EA" w:rsidRDefault="00A129D5">
      <w:pPr>
        <w:pStyle w:val="Pagrindinistekstas"/>
        <w:rPr>
          <w:lang w:val="lt-LT"/>
        </w:rPr>
      </w:pPr>
    </w:p>
    <w:p w14:paraId="05B357FC" w14:textId="77777777" w:rsidR="00A129D5" w:rsidRPr="003E78EA" w:rsidRDefault="00A129D5">
      <w:pPr>
        <w:pStyle w:val="Pagrindinistekstas"/>
        <w:rPr>
          <w:lang w:val="lt-LT"/>
        </w:rPr>
      </w:pPr>
    </w:p>
    <w:p w14:paraId="4C430835" w14:textId="77777777" w:rsidR="00A129D5" w:rsidRPr="003E78EA" w:rsidRDefault="00A129D5">
      <w:pPr>
        <w:pStyle w:val="Pagrindinistekstas"/>
        <w:rPr>
          <w:lang w:val="lt-LT"/>
        </w:rPr>
      </w:pPr>
    </w:p>
    <w:p w14:paraId="429EB2CB" w14:textId="77777777" w:rsidR="00A129D5" w:rsidRPr="003E78EA" w:rsidRDefault="00A129D5">
      <w:pPr>
        <w:pStyle w:val="Pagrindinistekstas"/>
        <w:rPr>
          <w:lang w:val="lt-LT"/>
        </w:rPr>
      </w:pPr>
    </w:p>
    <w:p w14:paraId="5D3DF1E8" w14:textId="77777777" w:rsidR="00A129D5" w:rsidRPr="003E78EA" w:rsidRDefault="00A129D5">
      <w:pPr>
        <w:pStyle w:val="Pagrindinistekstas"/>
        <w:rPr>
          <w:lang w:val="lt-LT"/>
        </w:rPr>
      </w:pPr>
    </w:p>
    <w:p w14:paraId="2C763B28" w14:textId="77777777" w:rsidR="00A129D5" w:rsidRPr="003E78EA" w:rsidRDefault="00A129D5">
      <w:pPr>
        <w:pStyle w:val="Pagrindinistekstas"/>
        <w:rPr>
          <w:lang w:val="lt-LT"/>
        </w:rPr>
      </w:pPr>
    </w:p>
    <w:p w14:paraId="4EC83A42" w14:textId="77777777" w:rsidR="00A129D5" w:rsidRPr="003E78EA" w:rsidRDefault="00A129D5">
      <w:pPr>
        <w:pStyle w:val="Pagrindinistekstas"/>
        <w:rPr>
          <w:lang w:val="lt-LT"/>
        </w:rPr>
      </w:pPr>
    </w:p>
    <w:p w14:paraId="726FCFD0" w14:textId="77777777" w:rsidR="00A129D5" w:rsidRPr="003E78EA" w:rsidRDefault="00A129D5">
      <w:pPr>
        <w:pStyle w:val="Pagrindinistekstas"/>
        <w:rPr>
          <w:lang w:val="lt-LT"/>
        </w:rPr>
      </w:pPr>
    </w:p>
    <w:p w14:paraId="46845699" w14:textId="77777777" w:rsidR="00A129D5" w:rsidRPr="003E78EA" w:rsidRDefault="00A129D5">
      <w:pPr>
        <w:pStyle w:val="Pagrindinistekstas"/>
        <w:rPr>
          <w:lang w:val="lt-LT"/>
        </w:rPr>
      </w:pPr>
    </w:p>
    <w:p w14:paraId="5DFB051F" w14:textId="77777777" w:rsidR="00A129D5" w:rsidRPr="003E78EA" w:rsidRDefault="00A129D5">
      <w:pPr>
        <w:pStyle w:val="Pagrindinistekstas"/>
        <w:rPr>
          <w:lang w:val="lt-LT"/>
        </w:rPr>
      </w:pPr>
    </w:p>
    <w:p w14:paraId="0200526D" w14:textId="77777777" w:rsidR="00A129D5" w:rsidRPr="003E78EA" w:rsidRDefault="00A129D5">
      <w:pPr>
        <w:pStyle w:val="Pagrindinistekstas"/>
        <w:rPr>
          <w:lang w:val="lt-LT"/>
        </w:rPr>
      </w:pPr>
    </w:p>
    <w:p w14:paraId="6166E31B" w14:textId="77777777" w:rsidR="00A129D5" w:rsidRPr="003E78EA" w:rsidRDefault="00A129D5">
      <w:pPr>
        <w:pStyle w:val="Pagrindinistekstas"/>
        <w:rPr>
          <w:lang w:val="lt-LT"/>
        </w:rPr>
      </w:pPr>
    </w:p>
    <w:p w14:paraId="432375E7" w14:textId="77777777" w:rsidR="00A129D5" w:rsidRPr="003E78EA" w:rsidRDefault="00A129D5">
      <w:pPr>
        <w:pStyle w:val="Pagrindinistekstas"/>
        <w:rPr>
          <w:lang w:val="lt-LT"/>
        </w:rPr>
      </w:pPr>
    </w:p>
    <w:p w14:paraId="426EE966" w14:textId="77777777" w:rsidR="00A129D5" w:rsidRPr="003E78EA" w:rsidRDefault="00A129D5">
      <w:pPr>
        <w:pStyle w:val="Pagrindinistekstas"/>
        <w:rPr>
          <w:lang w:val="lt-LT"/>
        </w:rPr>
      </w:pPr>
    </w:p>
    <w:p w14:paraId="33FCB6A9" w14:textId="77777777" w:rsidR="00A129D5" w:rsidRPr="003E78EA" w:rsidRDefault="00A129D5">
      <w:pPr>
        <w:pStyle w:val="Pagrindinistekstas"/>
        <w:rPr>
          <w:lang w:val="lt-LT"/>
        </w:rPr>
      </w:pPr>
    </w:p>
    <w:p w14:paraId="00F84B9D" w14:textId="77777777" w:rsidR="00A129D5" w:rsidRPr="003E78EA" w:rsidRDefault="00A129D5">
      <w:pPr>
        <w:pStyle w:val="Pagrindinistekstas"/>
        <w:rPr>
          <w:lang w:val="lt-LT"/>
        </w:rPr>
      </w:pPr>
    </w:p>
    <w:p w14:paraId="50796DD2" w14:textId="77777777" w:rsidR="00A129D5" w:rsidRPr="003E78EA" w:rsidRDefault="00A129D5">
      <w:pPr>
        <w:pStyle w:val="Pagrindinistekstas"/>
        <w:rPr>
          <w:lang w:val="lt-LT"/>
        </w:rPr>
      </w:pPr>
    </w:p>
    <w:p w14:paraId="5D76FC70" w14:textId="77777777" w:rsidR="00A129D5" w:rsidRPr="003E78EA" w:rsidRDefault="00A129D5">
      <w:pPr>
        <w:pStyle w:val="Pagrindinistekstas"/>
        <w:rPr>
          <w:lang w:val="lt-LT"/>
        </w:rPr>
      </w:pPr>
    </w:p>
    <w:p w14:paraId="38BF3040" w14:textId="77777777" w:rsidR="00A129D5" w:rsidRPr="003E78EA" w:rsidRDefault="00A129D5">
      <w:pPr>
        <w:pStyle w:val="Pagrindinistekstas"/>
        <w:spacing w:before="5"/>
        <w:rPr>
          <w:lang w:val="lt-LT"/>
        </w:rPr>
      </w:pPr>
    </w:p>
    <w:p w14:paraId="19AADFBE" w14:textId="77777777" w:rsidR="00A129D5" w:rsidRPr="003E78EA" w:rsidRDefault="00C6346A">
      <w:pPr>
        <w:pStyle w:val="Antrat1"/>
        <w:numPr>
          <w:ilvl w:val="1"/>
          <w:numId w:val="6"/>
        </w:numPr>
        <w:tabs>
          <w:tab w:val="left" w:pos="3796"/>
        </w:tabs>
        <w:spacing w:before="91"/>
        <w:ind w:left="3795" w:hanging="257"/>
        <w:jc w:val="left"/>
        <w:rPr>
          <w:lang w:val="lt-LT"/>
        </w:rPr>
      </w:pPr>
      <w:bookmarkStart w:id="3" w:name="B._PAKUOTĖS_LAPELIS"/>
      <w:bookmarkEnd w:id="3"/>
      <w:r w:rsidRPr="003E78EA">
        <w:rPr>
          <w:lang w:val="lt-LT"/>
        </w:rPr>
        <w:t>PAKUOTĖS</w:t>
      </w:r>
      <w:r w:rsidRPr="003E78EA">
        <w:rPr>
          <w:spacing w:val="-2"/>
          <w:lang w:val="lt-LT"/>
        </w:rPr>
        <w:t xml:space="preserve"> </w:t>
      </w:r>
      <w:r w:rsidRPr="003E78EA">
        <w:rPr>
          <w:lang w:val="lt-LT"/>
        </w:rPr>
        <w:t>LAPELIS</w:t>
      </w:r>
    </w:p>
    <w:p w14:paraId="4762D0E6" w14:textId="77777777" w:rsidR="0056319A" w:rsidRPr="003E78EA" w:rsidRDefault="0056319A" w:rsidP="00710393">
      <w:pPr>
        <w:jc w:val="center"/>
        <w:outlineLvl w:val="0"/>
        <w:rPr>
          <w:b/>
          <w:lang w:val="lt-LT"/>
        </w:rPr>
      </w:pPr>
      <w:r w:rsidRPr="003E78EA">
        <w:rPr>
          <w:b/>
          <w:lang w:val="lt-LT"/>
        </w:rPr>
        <w:br w:type="page"/>
      </w:r>
    </w:p>
    <w:p w14:paraId="34F4F567" w14:textId="77777777" w:rsidR="00710393" w:rsidRPr="003E78EA" w:rsidRDefault="00710393" w:rsidP="00710393">
      <w:pPr>
        <w:jc w:val="center"/>
        <w:outlineLvl w:val="0"/>
        <w:rPr>
          <w:lang w:val="lt-LT"/>
        </w:rPr>
      </w:pPr>
      <w:r w:rsidRPr="003E78EA">
        <w:rPr>
          <w:b/>
          <w:lang w:val="lt-LT"/>
        </w:rPr>
        <w:lastRenderedPageBreak/>
        <w:t xml:space="preserve">Pakuotės lapelis: informacija pacientui </w:t>
      </w:r>
    </w:p>
    <w:p w14:paraId="34772ED6" w14:textId="77777777" w:rsidR="00710393" w:rsidRPr="003E78EA" w:rsidRDefault="00710393" w:rsidP="00710393">
      <w:pPr>
        <w:jc w:val="center"/>
        <w:outlineLvl w:val="0"/>
        <w:rPr>
          <w:b/>
          <w:lang w:val="lt-LT"/>
        </w:rPr>
      </w:pPr>
    </w:p>
    <w:p w14:paraId="5B4C86FB" w14:textId="68D77FFE" w:rsidR="00710393" w:rsidRPr="003E78EA" w:rsidRDefault="00710393" w:rsidP="00710393">
      <w:pPr>
        <w:numPr>
          <w:ilvl w:val="12"/>
          <w:numId w:val="0"/>
        </w:numPr>
        <w:jc w:val="center"/>
        <w:rPr>
          <w:b/>
          <w:lang w:val="lt-LT"/>
        </w:rPr>
      </w:pPr>
      <w:r w:rsidRPr="003E78EA">
        <w:rPr>
          <w:b/>
          <w:lang w:val="lt-LT"/>
        </w:rPr>
        <w:t>Allopurinol Accord 100</w:t>
      </w:r>
      <w:r w:rsidR="0056319A" w:rsidRPr="003E78EA">
        <w:rPr>
          <w:b/>
          <w:lang w:val="lt-LT"/>
        </w:rPr>
        <w:t> </w:t>
      </w:r>
      <w:r w:rsidRPr="003E78EA">
        <w:rPr>
          <w:b/>
          <w:lang w:val="lt-LT"/>
        </w:rPr>
        <w:t>mg tabletės</w:t>
      </w:r>
    </w:p>
    <w:p w14:paraId="21E330B7" w14:textId="2E56120F" w:rsidR="00710393" w:rsidRPr="003E78EA" w:rsidRDefault="00710393" w:rsidP="00710393">
      <w:pPr>
        <w:numPr>
          <w:ilvl w:val="12"/>
          <w:numId w:val="0"/>
        </w:numPr>
        <w:jc w:val="center"/>
        <w:rPr>
          <w:b/>
          <w:lang w:val="lt-LT"/>
        </w:rPr>
      </w:pPr>
      <w:r w:rsidRPr="003E78EA">
        <w:rPr>
          <w:b/>
          <w:lang w:val="lt-LT"/>
        </w:rPr>
        <w:t>Allopurinol Accord 300</w:t>
      </w:r>
      <w:r w:rsidR="0056319A" w:rsidRPr="003E78EA">
        <w:rPr>
          <w:b/>
          <w:lang w:val="lt-LT"/>
        </w:rPr>
        <w:t> </w:t>
      </w:r>
      <w:r w:rsidRPr="003E78EA">
        <w:rPr>
          <w:b/>
          <w:lang w:val="lt-LT"/>
        </w:rPr>
        <w:t>mg tabletės</w:t>
      </w:r>
    </w:p>
    <w:p w14:paraId="23D094AE" w14:textId="77777777" w:rsidR="00710393" w:rsidRPr="003E78EA" w:rsidRDefault="00710393" w:rsidP="00710393">
      <w:pPr>
        <w:numPr>
          <w:ilvl w:val="12"/>
          <w:numId w:val="0"/>
        </w:numPr>
        <w:jc w:val="center"/>
        <w:rPr>
          <w:b/>
          <w:lang w:val="lt-LT"/>
        </w:rPr>
      </w:pPr>
    </w:p>
    <w:p w14:paraId="13E49388" w14:textId="77777777" w:rsidR="00710393" w:rsidRPr="003E78EA" w:rsidRDefault="00710393" w:rsidP="00710393">
      <w:pPr>
        <w:numPr>
          <w:ilvl w:val="12"/>
          <w:numId w:val="0"/>
        </w:numPr>
        <w:jc w:val="center"/>
        <w:rPr>
          <w:lang w:val="lt-LT"/>
        </w:rPr>
      </w:pPr>
      <w:r w:rsidRPr="003E78EA">
        <w:rPr>
          <w:lang w:val="lt-LT"/>
        </w:rPr>
        <w:t>alopurinolis</w:t>
      </w:r>
    </w:p>
    <w:p w14:paraId="42FC8459" w14:textId="77777777" w:rsidR="00710393" w:rsidRPr="003E78EA" w:rsidRDefault="00710393" w:rsidP="00710393">
      <w:pPr>
        <w:numPr>
          <w:ilvl w:val="12"/>
          <w:numId w:val="0"/>
        </w:numPr>
        <w:jc w:val="center"/>
        <w:rPr>
          <w:lang w:val="lt-LT"/>
        </w:rPr>
      </w:pPr>
    </w:p>
    <w:p w14:paraId="6C6E3028" w14:textId="77777777" w:rsidR="00710393" w:rsidRPr="003E78EA" w:rsidRDefault="00710393" w:rsidP="00710393">
      <w:pPr>
        <w:suppressAutoHyphens/>
        <w:rPr>
          <w:lang w:val="lt-LT"/>
        </w:rPr>
      </w:pPr>
      <w:r w:rsidRPr="003E78EA">
        <w:rPr>
          <w:b/>
          <w:lang w:val="lt-LT"/>
        </w:rPr>
        <w:t>Atidžiai perskaitykite visą šį lapelį, prieš pradėdami vartoti vaistą, nes jame pateikiama Jums svarbi informacija.</w:t>
      </w:r>
    </w:p>
    <w:p w14:paraId="5A3A68F6" w14:textId="77777777" w:rsidR="00710393" w:rsidRPr="003E78EA" w:rsidRDefault="00710393" w:rsidP="00710393">
      <w:pPr>
        <w:widowControl/>
        <w:numPr>
          <w:ilvl w:val="0"/>
          <w:numId w:val="17"/>
        </w:numPr>
        <w:autoSpaceDE/>
        <w:autoSpaceDN/>
        <w:ind w:left="567" w:right="-2" w:hanging="567"/>
        <w:rPr>
          <w:lang w:val="lt-LT"/>
        </w:rPr>
      </w:pPr>
      <w:r w:rsidRPr="003E78EA">
        <w:rPr>
          <w:lang w:val="lt-LT"/>
        </w:rPr>
        <w:t>Neišmeskite šio lapelio, nes vėl gali prireikti jį perskaityti.</w:t>
      </w:r>
    </w:p>
    <w:p w14:paraId="0DD99E14" w14:textId="77777777" w:rsidR="00710393" w:rsidRPr="003E78EA" w:rsidRDefault="00710393" w:rsidP="00710393">
      <w:pPr>
        <w:widowControl/>
        <w:numPr>
          <w:ilvl w:val="0"/>
          <w:numId w:val="17"/>
        </w:numPr>
        <w:autoSpaceDE/>
        <w:autoSpaceDN/>
        <w:ind w:left="567" w:right="-2" w:hanging="567"/>
        <w:rPr>
          <w:lang w:val="lt-LT"/>
        </w:rPr>
      </w:pPr>
      <w:r w:rsidRPr="003E78EA">
        <w:rPr>
          <w:lang w:val="lt-LT"/>
        </w:rPr>
        <w:t>Jeigu kiltų daugiau klausimų, kreipkitės į gydytoją arba vaistininką.</w:t>
      </w:r>
    </w:p>
    <w:p w14:paraId="709230A4" w14:textId="77777777" w:rsidR="00710393" w:rsidRPr="003E78EA" w:rsidRDefault="00710393" w:rsidP="00710393">
      <w:pPr>
        <w:ind w:left="567" w:right="-2" w:hanging="567"/>
        <w:rPr>
          <w:lang w:val="lt-LT"/>
        </w:rPr>
      </w:pPr>
      <w:r w:rsidRPr="003E78EA">
        <w:rPr>
          <w:lang w:val="lt-LT"/>
        </w:rPr>
        <w:t>-</w:t>
      </w:r>
      <w:r w:rsidRPr="003E78EA">
        <w:rPr>
          <w:lang w:val="lt-LT"/>
        </w:rPr>
        <w:tab/>
        <w:t>Šis vaistas skirtas tik Jums, todėl kitiems žmonėms jo duoti negalima. Vaistas gali jiems pakenkti (net tiems, kurių ligos požymiai yra tokie patys kaip Jūsų).</w:t>
      </w:r>
    </w:p>
    <w:p w14:paraId="3360F971" w14:textId="7CADD28C" w:rsidR="00710393" w:rsidRPr="003E78EA" w:rsidRDefault="00710393" w:rsidP="0056319A">
      <w:pPr>
        <w:widowControl/>
        <w:numPr>
          <w:ilvl w:val="0"/>
          <w:numId w:val="17"/>
        </w:numPr>
        <w:autoSpaceDE/>
        <w:autoSpaceDN/>
        <w:ind w:left="567" w:right="-2" w:hanging="567"/>
        <w:rPr>
          <w:lang w:val="lt-LT"/>
        </w:rPr>
      </w:pPr>
      <w:r w:rsidRPr="003E78EA">
        <w:rPr>
          <w:lang w:val="lt-LT"/>
        </w:rPr>
        <w:t>Jeigu pasireiškė šalutinis poveikis</w:t>
      </w:r>
      <w:r w:rsidR="0056319A" w:rsidRPr="003E78EA">
        <w:rPr>
          <w:color w:val="FF0000"/>
          <w:lang w:val="lt-LT"/>
        </w:rPr>
        <w:t xml:space="preserve"> </w:t>
      </w:r>
      <w:r w:rsidR="0056319A" w:rsidRPr="003E78EA">
        <w:rPr>
          <w:lang w:val="lt-LT"/>
        </w:rPr>
        <w:t>(net jeigu jis šiame lapelyje nenurodytas), kreipkitės į gydytoją arba vaistininką</w:t>
      </w:r>
      <w:r w:rsidRPr="003E78EA">
        <w:rPr>
          <w:lang w:val="lt-LT"/>
        </w:rPr>
        <w:t>. Žr. 4 skyrių.</w:t>
      </w:r>
    </w:p>
    <w:p w14:paraId="2A4E3340" w14:textId="77777777" w:rsidR="00710393" w:rsidRPr="003E78EA" w:rsidRDefault="00710393" w:rsidP="00710393">
      <w:pPr>
        <w:ind w:right="-2"/>
        <w:rPr>
          <w:lang w:val="lt-LT"/>
        </w:rPr>
      </w:pPr>
    </w:p>
    <w:p w14:paraId="1510F7DE" w14:textId="77777777" w:rsidR="00710393" w:rsidRPr="003E78EA" w:rsidRDefault="00710393" w:rsidP="00710393">
      <w:pPr>
        <w:numPr>
          <w:ilvl w:val="12"/>
          <w:numId w:val="0"/>
        </w:numPr>
        <w:ind w:right="-2"/>
        <w:outlineLvl w:val="0"/>
        <w:rPr>
          <w:lang w:val="lt-LT"/>
        </w:rPr>
      </w:pPr>
      <w:r w:rsidRPr="003E78EA">
        <w:rPr>
          <w:b/>
          <w:lang w:val="lt-LT"/>
        </w:rPr>
        <w:t>Apie ką rašoma šiame lapelyje?</w:t>
      </w:r>
    </w:p>
    <w:p w14:paraId="4701BC6A" w14:textId="77777777" w:rsidR="00710393" w:rsidRPr="003E78EA" w:rsidRDefault="00710393" w:rsidP="003E78EA">
      <w:pPr>
        <w:numPr>
          <w:ilvl w:val="12"/>
          <w:numId w:val="0"/>
        </w:numPr>
        <w:tabs>
          <w:tab w:val="left" w:pos="567"/>
        </w:tabs>
        <w:ind w:right="-29"/>
        <w:rPr>
          <w:lang w:val="lt-LT"/>
        </w:rPr>
      </w:pPr>
      <w:r w:rsidRPr="003E78EA">
        <w:rPr>
          <w:lang w:val="lt-LT"/>
        </w:rPr>
        <w:t>1.</w:t>
      </w:r>
      <w:r w:rsidRPr="003E78EA">
        <w:rPr>
          <w:lang w:val="lt-LT"/>
        </w:rPr>
        <w:tab/>
        <w:t xml:space="preserve">Kas yra </w:t>
      </w:r>
      <w:r w:rsidRPr="003E78EA">
        <w:rPr>
          <w:color w:val="000000"/>
          <w:lang w:val="lt-LT"/>
        </w:rPr>
        <w:t xml:space="preserve">Allopurinol Accord </w:t>
      </w:r>
      <w:r w:rsidRPr="003E78EA">
        <w:rPr>
          <w:lang w:val="lt-LT"/>
        </w:rPr>
        <w:t>ir kam jis vartojamas</w:t>
      </w:r>
    </w:p>
    <w:p w14:paraId="28A61443" w14:textId="77777777" w:rsidR="00710393" w:rsidRPr="003E78EA" w:rsidRDefault="00710393" w:rsidP="003E78EA">
      <w:pPr>
        <w:numPr>
          <w:ilvl w:val="12"/>
          <w:numId w:val="0"/>
        </w:numPr>
        <w:tabs>
          <w:tab w:val="left" w:pos="567"/>
        </w:tabs>
        <w:ind w:right="-29"/>
        <w:rPr>
          <w:lang w:val="lt-LT"/>
        </w:rPr>
      </w:pPr>
      <w:r w:rsidRPr="003E78EA">
        <w:rPr>
          <w:lang w:val="lt-LT"/>
        </w:rPr>
        <w:t>2.</w:t>
      </w:r>
      <w:r w:rsidRPr="003E78EA">
        <w:rPr>
          <w:lang w:val="lt-LT"/>
        </w:rPr>
        <w:tab/>
        <w:t xml:space="preserve">Kas žinotina prieš vartojant </w:t>
      </w:r>
      <w:r w:rsidRPr="003E78EA">
        <w:rPr>
          <w:color w:val="000000"/>
          <w:lang w:val="lt-LT"/>
        </w:rPr>
        <w:t>Allopurinol Accord</w:t>
      </w:r>
    </w:p>
    <w:p w14:paraId="06641B72" w14:textId="77777777" w:rsidR="00710393" w:rsidRPr="003E78EA" w:rsidRDefault="00710393" w:rsidP="003E78EA">
      <w:pPr>
        <w:numPr>
          <w:ilvl w:val="12"/>
          <w:numId w:val="0"/>
        </w:numPr>
        <w:tabs>
          <w:tab w:val="left" w:pos="567"/>
        </w:tabs>
        <w:ind w:right="-29"/>
        <w:rPr>
          <w:lang w:val="lt-LT"/>
        </w:rPr>
      </w:pPr>
      <w:r w:rsidRPr="003E78EA">
        <w:rPr>
          <w:lang w:val="lt-LT"/>
        </w:rPr>
        <w:t>3.</w:t>
      </w:r>
      <w:r w:rsidRPr="003E78EA">
        <w:rPr>
          <w:lang w:val="lt-LT"/>
        </w:rPr>
        <w:tab/>
        <w:t xml:space="preserve">Kaip vartoti </w:t>
      </w:r>
      <w:r w:rsidRPr="003E78EA">
        <w:rPr>
          <w:color w:val="000000"/>
          <w:lang w:val="lt-LT"/>
        </w:rPr>
        <w:t>Allopurinol Accord</w:t>
      </w:r>
    </w:p>
    <w:p w14:paraId="497D945E" w14:textId="77777777" w:rsidR="00710393" w:rsidRPr="003E78EA" w:rsidRDefault="00710393" w:rsidP="003E78EA">
      <w:pPr>
        <w:numPr>
          <w:ilvl w:val="12"/>
          <w:numId w:val="0"/>
        </w:numPr>
        <w:tabs>
          <w:tab w:val="left" w:pos="567"/>
        </w:tabs>
        <w:ind w:right="-29"/>
        <w:rPr>
          <w:lang w:val="lt-LT"/>
        </w:rPr>
      </w:pPr>
      <w:r w:rsidRPr="003E78EA">
        <w:rPr>
          <w:lang w:val="lt-LT"/>
        </w:rPr>
        <w:t>4.</w:t>
      </w:r>
      <w:r w:rsidRPr="003E78EA">
        <w:rPr>
          <w:lang w:val="lt-LT"/>
        </w:rPr>
        <w:tab/>
        <w:t>Galimas šalutinis poveikis</w:t>
      </w:r>
    </w:p>
    <w:p w14:paraId="71B1BD93" w14:textId="77777777" w:rsidR="00710393" w:rsidRPr="003E78EA" w:rsidRDefault="00710393" w:rsidP="003E78EA">
      <w:pPr>
        <w:widowControl/>
        <w:numPr>
          <w:ilvl w:val="0"/>
          <w:numId w:val="18"/>
        </w:numPr>
        <w:tabs>
          <w:tab w:val="clear" w:pos="570"/>
          <w:tab w:val="left" w:pos="567"/>
        </w:tabs>
        <w:autoSpaceDE/>
        <w:autoSpaceDN/>
        <w:ind w:right="-29"/>
        <w:rPr>
          <w:lang w:val="lt-LT"/>
        </w:rPr>
      </w:pPr>
      <w:r w:rsidRPr="003E78EA">
        <w:rPr>
          <w:lang w:val="lt-LT"/>
        </w:rPr>
        <w:t>Kaip laikyti Allopurinol Accord</w:t>
      </w:r>
    </w:p>
    <w:p w14:paraId="4AC2B207" w14:textId="77777777" w:rsidR="00710393" w:rsidRPr="003E78EA" w:rsidRDefault="00710393" w:rsidP="003E78EA">
      <w:pPr>
        <w:tabs>
          <w:tab w:val="left" w:pos="567"/>
        </w:tabs>
        <w:ind w:right="-29"/>
        <w:rPr>
          <w:lang w:val="lt-LT"/>
        </w:rPr>
      </w:pPr>
      <w:r w:rsidRPr="003E78EA">
        <w:rPr>
          <w:lang w:val="lt-LT"/>
        </w:rPr>
        <w:t>6.</w:t>
      </w:r>
      <w:r w:rsidRPr="003E78EA">
        <w:rPr>
          <w:lang w:val="lt-LT"/>
        </w:rPr>
        <w:tab/>
        <w:t>Pakuotės turinys ir kita informacija</w:t>
      </w:r>
    </w:p>
    <w:p w14:paraId="2A3499AD" w14:textId="77777777" w:rsidR="00710393" w:rsidRPr="003E78EA" w:rsidRDefault="00710393" w:rsidP="003E78EA">
      <w:pPr>
        <w:numPr>
          <w:ilvl w:val="12"/>
          <w:numId w:val="0"/>
        </w:numPr>
        <w:tabs>
          <w:tab w:val="left" w:pos="567"/>
        </w:tabs>
        <w:rPr>
          <w:lang w:val="lt-LT"/>
        </w:rPr>
      </w:pPr>
    </w:p>
    <w:p w14:paraId="3EF8413D" w14:textId="77777777" w:rsidR="00710393" w:rsidRPr="003E78EA" w:rsidRDefault="00710393" w:rsidP="00710393">
      <w:pPr>
        <w:numPr>
          <w:ilvl w:val="12"/>
          <w:numId w:val="0"/>
        </w:numPr>
        <w:rPr>
          <w:lang w:val="lt-LT"/>
        </w:rPr>
      </w:pPr>
    </w:p>
    <w:p w14:paraId="54EB8E43" w14:textId="77777777" w:rsidR="00710393" w:rsidRPr="003E78EA" w:rsidRDefault="00710393" w:rsidP="00710393">
      <w:pPr>
        <w:widowControl/>
        <w:numPr>
          <w:ilvl w:val="0"/>
          <w:numId w:val="20"/>
        </w:numPr>
        <w:tabs>
          <w:tab w:val="clear" w:pos="570"/>
        </w:tabs>
        <w:autoSpaceDE/>
        <w:autoSpaceDN/>
        <w:ind w:right="-2"/>
        <w:rPr>
          <w:b/>
          <w:lang w:val="lt-LT"/>
        </w:rPr>
      </w:pPr>
      <w:r w:rsidRPr="003E78EA">
        <w:rPr>
          <w:b/>
          <w:lang w:val="lt-LT"/>
        </w:rPr>
        <w:t>Kas yra Allopurinol Accord ir kam jis vartojamas</w:t>
      </w:r>
    </w:p>
    <w:p w14:paraId="6BBD76A8" w14:textId="77777777" w:rsidR="00710393" w:rsidRPr="003E78EA" w:rsidRDefault="00710393" w:rsidP="00710393">
      <w:pPr>
        <w:numPr>
          <w:ilvl w:val="12"/>
          <w:numId w:val="0"/>
        </w:numPr>
        <w:rPr>
          <w:lang w:val="lt-LT"/>
        </w:rPr>
      </w:pPr>
    </w:p>
    <w:p w14:paraId="5E7DEE76" w14:textId="77777777" w:rsidR="00710393" w:rsidRPr="003E78EA" w:rsidRDefault="00710393" w:rsidP="00710393">
      <w:pPr>
        <w:ind w:right="-2"/>
        <w:rPr>
          <w:lang w:val="lt-LT"/>
        </w:rPr>
      </w:pPr>
      <w:r w:rsidRPr="003E78EA">
        <w:rPr>
          <w:lang w:val="lt-LT"/>
        </w:rPr>
        <w:t>Allopurinol Accord sudėtyje yra veikliosios medžiagos, vadinamos alopurinoliu. Šis vaistas priklauso fermentų inhibitoriais vadinamų vaistų, kontroliuojančių greitį, kuriuo organizme atsiranda tam tikrų cheminių pokyčių, grupei.</w:t>
      </w:r>
    </w:p>
    <w:p w14:paraId="20320035" w14:textId="77777777" w:rsidR="00710393" w:rsidRPr="003E78EA" w:rsidRDefault="00710393" w:rsidP="00710393">
      <w:pPr>
        <w:ind w:right="-2"/>
        <w:rPr>
          <w:lang w:val="lt-LT"/>
        </w:rPr>
      </w:pPr>
    </w:p>
    <w:p w14:paraId="393EB4D7" w14:textId="77777777" w:rsidR="00710393" w:rsidRPr="003E78EA" w:rsidRDefault="00710393" w:rsidP="00710393">
      <w:pPr>
        <w:ind w:right="-2"/>
        <w:rPr>
          <w:lang w:val="lt-LT"/>
        </w:rPr>
      </w:pPr>
      <w:r w:rsidRPr="003E78EA">
        <w:rPr>
          <w:lang w:val="lt-LT"/>
        </w:rPr>
        <w:t>Allopurinol Accord vartojamas gydyti būklei, kuriai esant organizmas gamina per daug šlapimo rūgšties, pavyzdžiui, podagrai, tam tikrų rūšių inkstų ligoms bei inkstų akmenims, vėžiui ir kai kuriems fermentų sutrikimams, dėl kurių susidaro per daug šlapimo rūgšties.</w:t>
      </w:r>
    </w:p>
    <w:p w14:paraId="35AC6FCD" w14:textId="77777777" w:rsidR="00710393" w:rsidRPr="003E78EA" w:rsidRDefault="00710393" w:rsidP="00710393">
      <w:pPr>
        <w:numPr>
          <w:ilvl w:val="12"/>
          <w:numId w:val="0"/>
        </w:numPr>
        <w:rPr>
          <w:lang w:val="lt-LT"/>
        </w:rPr>
      </w:pPr>
    </w:p>
    <w:p w14:paraId="3349E131" w14:textId="77777777" w:rsidR="00710393" w:rsidRPr="003E78EA" w:rsidRDefault="00710393" w:rsidP="00710393">
      <w:pPr>
        <w:numPr>
          <w:ilvl w:val="12"/>
          <w:numId w:val="0"/>
        </w:numPr>
        <w:rPr>
          <w:lang w:val="lt-LT"/>
        </w:rPr>
      </w:pPr>
    </w:p>
    <w:p w14:paraId="3450E6D9" w14:textId="77777777" w:rsidR="00710393" w:rsidRPr="003E78EA" w:rsidRDefault="00710393" w:rsidP="00710393">
      <w:pPr>
        <w:widowControl/>
        <w:numPr>
          <w:ilvl w:val="0"/>
          <w:numId w:val="19"/>
        </w:numPr>
        <w:tabs>
          <w:tab w:val="clear" w:pos="570"/>
        </w:tabs>
        <w:autoSpaceDE/>
        <w:autoSpaceDN/>
        <w:ind w:right="-2"/>
        <w:rPr>
          <w:b/>
          <w:lang w:val="lt-LT"/>
        </w:rPr>
      </w:pPr>
      <w:r w:rsidRPr="003E78EA">
        <w:rPr>
          <w:b/>
          <w:lang w:val="lt-LT"/>
        </w:rPr>
        <w:t>Kas žinotina prieš vartojant Allopurinol Accord</w:t>
      </w:r>
    </w:p>
    <w:p w14:paraId="1EB4E8B4" w14:textId="77777777" w:rsidR="00710393" w:rsidRPr="003E78EA" w:rsidRDefault="00710393" w:rsidP="00710393">
      <w:pPr>
        <w:numPr>
          <w:ilvl w:val="12"/>
          <w:numId w:val="0"/>
        </w:numPr>
        <w:ind w:right="-2"/>
        <w:rPr>
          <w:lang w:val="lt-LT"/>
        </w:rPr>
      </w:pPr>
    </w:p>
    <w:p w14:paraId="1D4FFB03" w14:textId="68C1E1CA" w:rsidR="00710393" w:rsidRPr="003E78EA" w:rsidRDefault="00710393" w:rsidP="00710393">
      <w:pPr>
        <w:numPr>
          <w:ilvl w:val="12"/>
          <w:numId w:val="0"/>
        </w:numPr>
        <w:outlineLvl w:val="0"/>
        <w:rPr>
          <w:b/>
          <w:lang w:val="lt-LT"/>
        </w:rPr>
      </w:pPr>
      <w:r w:rsidRPr="003E78EA">
        <w:rPr>
          <w:b/>
          <w:lang w:val="lt-LT"/>
        </w:rPr>
        <w:t xml:space="preserve">Allopurinol Accord vartoti </w:t>
      </w:r>
      <w:r w:rsidR="00945321">
        <w:rPr>
          <w:b/>
          <w:lang w:val="lt-LT"/>
        </w:rPr>
        <w:t>draudžia</w:t>
      </w:r>
      <w:r w:rsidR="00945321" w:rsidRPr="003E78EA">
        <w:rPr>
          <w:b/>
          <w:lang w:val="lt-LT"/>
        </w:rPr>
        <w:t>ma</w:t>
      </w:r>
      <w:r w:rsidRPr="003E78EA">
        <w:rPr>
          <w:b/>
          <w:lang w:val="lt-LT"/>
        </w:rPr>
        <w:t>:</w:t>
      </w:r>
    </w:p>
    <w:p w14:paraId="205D6FB8" w14:textId="77777777" w:rsidR="00710393" w:rsidRPr="003E78EA" w:rsidRDefault="00710393" w:rsidP="00710393">
      <w:pPr>
        <w:numPr>
          <w:ilvl w:val="12"/>
          <w:numId w:val="0"/>
        </w:numPr>
        <w:outlineLvl w:val="0"/>
        <w:rPr>
          <w:b/>
          <w:lang w:val="lt-LT"/>
        </w:rPr>
      </w:pPr>
    </w:p>
    <w:p w14:paraId="29762491" w14:textId="79446486" w:rsidR="00710393" w:rsidRPr="003E78EA" w:rsidRDefault="00710393" w:rsidP="003E78EA">
      <w:pPr>
        <w:widowControl/>
        <w:numPr>
          <w:ilvl w:val="0"/>
          <w:numId w:val="21"/>
        </w:numPr>
        <w:autoSpaceDE/>
        <w:autoSpaceDN/>
        <w:ind w:hanging="436"/>
        <w:outlineLvl w:val="0"/>
        <w:rPr>
          <w:lang w:val="lt-LT"/>
        </w:rPr>
      </w:pPr>
      <w:r w:rsidRPr="003E78EA">
        <w:rPr>
          <w:lang w:val="lt-LT"/>
        </w:rPr>
        <w:t xml:space="preserve">jeigu yra alergija alopurinoliui arba bet kuriai pagalbinei šio vaisto medžiagai (jos išvardytos </w:t>
      </w:r>
      <w:r w:rsidR="00502A9E" w:rsidRPr="003E78EA">
        <w:rPr>
          <w:lang w:val="lt-LT"/>
        </w:rPr>
        <w:t>6</w:t>
      </w:r>
      <w:r w:rsidR="00502A9E">
        <w:rPr>
          <w:lang w:val="lt-LT"/>
        </w:rPr>
        <w:t> </w:t>
      </w:r>
      <w:r w:rsidRPr="003E78EA">
        <w:rPr>
          <w:lang w:val="lt-LT"/>
        </w:rPr>
        <w:t>skyriuje).</w:t>
      </w:r>
    </w:p>
    <w:p w14:paraId="3C0558C2" w14:textId="77777777" w:rsidR="00710393" w:rsidRPr="002748BD" w:rsidRDefault="00A50633" w:rsidP="00A50633">
      <w:pPr>
        <w:numPr>
          <w:ilvl w:val="12"/>
          <w:numId w:val="0"/>
        </w:numPr>
        <w:ind w:firstLine="284"/>
        <w:outlineLvl w:val="0"/>
        <w:rPr>
          <w:lang w:val="lt-LT"/>
        </w:rPr>
      </w:pPr>
      <w:r w:rsidRPr="002748BD">
        <w:rPr>
          <w:lang w:val="lt-LT"/>
        </w:rPr>
        <w:t>Jei nesate tikri, prieš vartodami vaistą pirmiausia pasitarkite su gydytoju.</w:t>
      </w:r>
    </w:p>
    <w:p w14:paraId="34658633" w14:textId="77777777" w:rsidR="00710393" w:rsidRPr="003E78EA" w:rsidRDefault="00710393" w:rsidP="00710393">
      <w:pPr>
        <w:numPr>
          <w:ilvl w:val="12"/>
          <w:numId w:val="0"/>
        </w:numPr>
        <w:outlineLvl w:val="0"/>
        <w:rPr>
          <w:lang w:val="lt-LT"/>
        </w:rPr>
      </w:pPr>
    </w:p>
    <w:p w14:paraId="35DA1CDB" w14:textId="77777777" w:rsidR="00710393" w:rsidRPr="003E78EA" w:rsidRDefault="00710393" w:rsidP="00710393">
      <w:pPr>
        <w:numPr>
          <w:ilvl w:val="12"/>
          <w:numId w:val="0"/>
        </w:numPr>
        <w:ind w:right="-2"/>
        <w:outlineLvl w:val="0"/>
        <w:rPr>
          <w:b/>
          <w:lang w:val="lt-LT"/>
        </w:rPr>
      </w:pPr>
      <w:r w:rsidRPr="003E78EA">
        <w:rPr>
          <w:b/>
          <w:lang w:val="lt-LT"/>
        </w:rPr>
        <w:t>Įspėjimai ir atsargumo priemonės</w:t>
      </w:r>
    </w:p>
    <w:p w14:paraId="0B91DE98" w14:textId="77777777" w:rsidR="00710393" w:rsidRPr="003E78EA" w:rsidRDefault="00710393" w:rsidP="00710393">
      <w:pPr>
        <w:numPr>
          <w:ilvl w:val="12"/>
          <w:numId w:val="0"/>
        </w:numPr>
        <w:rPr>
          <w:lang w:val="lt-LT"/>
        </w:rPr>
      </w:pPr>
      <w:r w:rsidRPr="003E78EA">
        <w:rPr>
          <w:lang w:val="lt-LT"/>
        </w:rPr>
        <w:t>Pasitarkite su gydytoju arba vaistininku, prieš pradėdami vartoti Allopurinol Accord, jei:</w:t>
      </w:r>
    </w:p>
    <w:p w14:paraId="7615294F" w14:textId="77777777" w:rsidR="00710393" w:rsidRPr="003E78EA" w:rsidRDefault="00710393" w:rsidP="00710393">
      <w:pPr>
        <w:numPr>
          <w:ilvl w:val="12"/>
          <w:numId w:val="0"/>
        </w:numPr>
        <w:rPr>
          <w:lang w:val="lt-LT"/>
        </w:rPr>
      </w:pPr>
    </w:p>
    <w:p w14:paraId="24DEAF77" w14:textId="76ABD433" w:rsidR="00710393" w:rsidRPr="003E78EA" w:rsidRDefault="00710393" w:rsidP="00710393">
      <w:pPr>
        <w:widowControl/>
        <w:numPr>
          <w:ilvl w:val="0"/>
          <w:numId w:val="22"/>
        </w:numPr>
        <w:autoSpaceDE/>
        <w:autoSpaceDN/>
        <w:ind w:hanging="436"/>
        <w:rPr>
          <w:lang w:val="lt-LT"/>
        </w:rPr>
      </w:pPr>
      <w:r w:rsidRPr="003E78EA">
        <w:rPr>
          <w:lang w:val="lt-LT"/>
        </w:rPr>
        <w:t>sergate arba sirgote kepenų ar inkstų liga;</w:t>
      </w:r>
    </w:p>
    <w:p w14:paraId="0DFE3423" w14:textId="38F8AFB3" w:rsidR="00710393" w:rsidRPr="003E78EA" w:rsidRDefault="00710393" w:rsidP="00710393">
      <w:pPr>
        <w:widowControl/>
        <w:numPr>
          <w:ilvl w:val="0"/>
          <w:numId w:val="22"/>
        </w:numPr>
        <w:autoSpaceDE/>
        <w:autoSpaceDN/>
        <w:ind w:left="709" w:hanging="436"/>
        <w:rPr>
          <w:lang w:val="lt-LT"/>
        </w:rPr>
      </w:pPr>
      <w:r w:rsidRPr="003E78EA">
        <w:rPr>
          <w:lang w:val="lt-LT"/>
        </w:rPr>
        <w:t>vartojate vaistus (diuretikus ir (arba) vaistus, vadinamus AKF inhibitoriais) dėl širdies ligos ar aukšto kraujospūdžio;</w:t>
      </w:r>
    </w:p>
    <w:p w14:paraId="6C22D643" w14:textId="37793394" w:rsidR="00710393" w:rsidRPr="003E78EA" w:rsidRDefault="00710393" w:rsidP="00710393">
      <w:pPr>
        <w:widowControl/>
        <w:numPr>
          <w:ilvl w:val="0"/>
          <w:numId w:val="22"/>
        </w:numPr>
        <w:autoSpaceDE/>
        <w:autoSpaceDN/>
        <w:ind w:left="709" w:hanging="425"/>
        <w:rPr>
          <w:lang w:val="lt-LT"/>
        </w:rPr>
      </w:pPr>
      <w:r w:rsidRPr="003E78EA">
        <w:rPr>
          <w:lang w:val="lt-LT"/>
        </w:rPr>
        <w:t>patiriate ūminį podagros priepuolį;</w:t>
      </w:r>
    </w:p>
    <w:p w14:paraId="0F82C759" w14:textId="148789AF" w:rsidR="00710393" w:rsidRPr="003E78EA" w:rsidRDefault="00710393" w:rsidP="00710393">
      <w:pPr>
        <w:widowControl/>
        <w:numPr>
          <w:ilvl w:val="0"/>
          <w:numId w:val="22"/>
        </w:numPr>
        <w:autoSpaceDE/>
        <w:autoSpaceDN/>
        <w:ind w:left="709" w:hanging="425"/>
        <w:rPr>
          <w:lang w:val="lt-LT"/>
        </w:rPr>
      </w:pPr>
      <w:r w:rsidRPr="003E78EA">
        <w:rPr>
          <w:lang w:val="lt-LT"/>
        </w:rPr>
        <w:t>esate hanių</w:t>
      </w:r>
      <w:r w:rsidR="00263AD9">
        <w:rPr>
          <w:lang w:val="lt-LT"/>
        </w:rPr>
        <w:t xml:space="preserve"> </w:t>
      </w:r>
      <w:r w:rsidR="00AB0776">
        <w:rPr>
          <w:lang w:val="lt-LT"/>
        </w:rPr>
        <w:t>(</w:t>
      </w:r>
      <w:r w:rsidR="00774BBA">
        <w:rPr>
          <w:lang w:val="lt-LT"/>
        </w:rPr>
        <w:t>kinų</w:t>
      </w:r>
      <w:r w:rsidR="00AB0776">
        <w:rPr>
          <w:lang w:val="lt-LT"/>
        </w:rPr>
        <w:t>)</w:t>
      </w:r>
      <w:r w:rsidR="00774BBA">
        <w:rPr>
          <w:lang w:val="lt-LT"/>
        </w:rPr>
        <w:t>,</w:t>
      </w:r>
      <w:r w:rsidRPr="002748BD">
        <w:rPr>
          <w:lang w:val="lt-LT"/>
        </w:rPr>
        <w:t xml:space="preserve"> </w:t>
      </w:r>
      <w:r w:rsidR="00A50633" w:rsidRPr="002748BD">
        <w:rPr>
          <w:lang w:val="lt-LT"/>
        </w:rPr>
        <w:t>tajų</w:t>
      </w:r>
      <w:r w:rsidRPr="003E78EA">
        <w:rPr>
          <w:lang w:val="lt-LT"/>
        </w:rPr>
        <w:t xml:space="preserve"> ar </w:t>
      </w:r>
      <w:r w:rsidR="00A50633" w:rsidRPr="002748BD">
        <w:rPr>
          <w:lang w:val="lt-LT"/>
        </w:rPr>
        <w:t>korėjiečių</w:t>
      </w:r>
      <w:r w:rsidRPr="003E78EA">
        <w:rPr>
          <w:lang w:val="lt-LT"/>
        </w:rPr>
        <w:t xml:space="preserve"> kilmės;</w:t>
      </w:r>
    </w:p>
    <w:p w14:paraId="27265050" w14:textId="2EB9CC6D" w:rsidR="00710393" w:rsidRPr="003E78EA" w:rsidRDefault="00710393" w:rsidP="00710393">
      <w:pPr>
        <w:widowControl/>
        <w:numPr>
          <w:ilvl w:val="0"/>
          <w:numId w:val="22"/>
        </w:numPr>
        <w:autoSpaceDE/>
        <w:autoSpaceDN/>
        <w:ind w:left="709" w:hanging="425"/>
        <w:rPr>
          <w:lang w:val="lt-LT"/>
        </w:rPr>
      </w:pPr>
      <w:r w:rsidRPr="003E78EA">
        <w:rPr>
          <w:lang w:val="lt-LT"/>
        </w:rPr>
        <w:t>turite skydliaukės problemų.</w:t>
      </w:r>
    </w:p>
    <w:p w14:paraId="03E3E2A2" w14:textId="77777777" w:rsidR="00710393" w:rsidRPr="003E78EA" w:rsidRDefault="00710393" w:rsidP="00710393">
      <w:pPr>
        <w:numPr>
          <w:ilvl w:val="12"/>
          <w:numId w:val="0"/>
        </w:numPr>
        <w:rPr>
          <w:lang w:val="lt-LT"/>
        </w:rPr>
      </w:pPr>
    </w:p>
    <w:p w14:paraId="587A24F6" w14:textId="77777777" w:rsidR="00710393" w:rsidRPr="003E78EA" w:rsidRDefault="00710393" w:rsidP="00710393">
      <w:pPr>
        <w:numPr>
          <w:ilvl w:val="12"/>
          <w:numId w:val="0"/>
        </w:numPr>
        <w:rPr>
          <w:lang w:val="lt-LT"/>
        </w:rPr>
      </w:pPr>
      <w:r w:rsidRPr="003E78EA">
        <w:rPr>
          <w:lang w:val="lt-LT"/>
        </w:rPr>
        <w:t>Vartojant Allopurinol Accord specialių atsargumo priemonių imtis reikia toliau nurodytais atvejais.</w:t>
      </w:r>
    </w:p>
    <w:p w14:paraId="60E8CF7A" w14:textId="77777777" w:rsidR="00710393" w:rsidRPr="003E78EA" w:rsidRDefault="00710393" w:rsidP="00710393">
      <w:pPr>
        <w:numPr>
          <w:ilvl w:val="12"/>
          <w:numId w:val="0"/>
        </w:numPr>
        <w:rPr>
          <w:lang w:val="lt-LT"/>
        </w:rPr>
      </w:pPr>
    </w:p>
    <w:p w14:paraId="5E6C5A8D" w14:textId="77777777" w:rsidR="00710393" w:rsidRPr="003E78EA" w:rsidRDefault="00710393" w:rsidP="00710393">
      <w:pPr>
        <w:widowControl/>
        <w:numPr>
          <w:ilvl w:val="0"/>
          <w:numId w:val="23"/>
        </w:numPr>
        <w:autoSpaceDE/>
        <w:autoSpaceDN/>
        <w:ind w:left="567" w:hanging="283"/>
        <w:rPr>
          <w:lang w:val="lt-LT"/>
        </w:rPr>
      </w:pPr>
      <w:r w:rsidRPr="003E78EA">
        <w:rPr>
          <w:lang w:val="lt-LT"/>
        </w:rPr>
        <w:lastRenderedPageBreak/>
        <w:t>Turint inkstų akmenų. Inkstų akmenys taps mažesni ir gali turėti nedidelę galimybę patekti į šlapimo takus bei juos blokuoti.</w:t>
      </w:r>
    </w:p>
    <w:p w14:paraId="7DDACE40" w14:textId="697383E0" w:rsidR="00710393" w:rsidRPr="003E78EA" w:rsidRDefault="00710393" w:rsidP="00710393">
      <w:pPr>
        <w:widowControl/>
        <w:numPr>
          <w:ilvl w:val="0"/>
          <w:numId w:val="23"/>
        </w:numPr>
        <w:autoSpaceDE/>
        <w:autoSpaceDN/>
        <w:ind w:left="567" w:hanging="283"/>
        <w:rPr>
          <w:lang w:val="lt-LT"/>
        </w:rPr>
      </w:pPr>
      <w:r w:rsidRPr="003E78EA">
        <w:rPr>
          <w:lang w:val="lt-LT"/>
        </w:rPr>
        <w:t>Pranešta apie atvejus, kai alopurinolį vartojantiems pacientams atsirado sunkių odos bėrimų</w:t>
      </w:r>
      <w:r w:rsidRPr="003E78EA">
        <w:rPr>
          <w:b/>
          <w:lang w:val="lt-LT"/>
        </w:rPr>
        <w:t xml:space="preserve"> </w:t>
      </w:r>
      <w:r w:rsidRPr="003E78EA">
        <w:rPr>
          <w:lang w:val="lt-LT"/>
        </w:rPr>
        <w:t>(padidėjusio jautrumo sindromas, Stivenso-Džonsono</w:t>
      </w:r>
      <w:r w:rsidR="00641F60" w:rsidRPr="003E78EA">
        <w:rPr>
          <w:lang w:val="lt-LT"/>
        </w:rPr>
        <w:t xml:space="preserve"> (</w:t>
      </w:r>
      <w:r w:rsidR="00641F60" w:rsidRPr="003E78EA">
        <w:rPr>
          <w:i/>
          <w:lang w:val="lt-LT"/>
        </w:rPr>
        <w:t>Stevens-Johnson</w:t>
      </w:r>
      <w:r w:rsidR="00641F60" w:rsidRPr="003E78EA">
        <w:rPr>
          <w:lang w:val="lt-LT"/>
        </w:rPr>
        <w:t>)</w:t>
      </w:r>
      <w:r w:rsidRPr="003E78EA">
        <w:rPr>
          <w:lang w:val="lt-LT"/>
        </w:rPr>
        <w:t xml:space="preserve"> sindromas, toksinė epidermio nekrolizė). Dažnai bėrimas gali apimti burnos, gerklės, nosies bei lytinių organų opas ir konjunktyvitą (raudonos ir patinusios akys). Prieš atsirandant šiems sunkiems odos bėrimams dažnai pasireiškia į gripą panašūs simptomai: karščiavimas, galvos skausmas, kūno skausmas (gripo simptomai). Išbėrimas gali išsivystyti iki plačiai paplitusių pūslių ir odos lupimosi. </w:t>
      </w:r>
      <w:r w:rsidR="00A50633" w:rsidRPr="002748BD">
        <w:rPr>
          <w:lang w:val="lt-LT"/>
        </w:rPr>
        <w:t xml:space="preserve">Šios sunkios odos reakcijos gali būti dažnesnės hanių </w:t>
      </w:r>
      <w:r w:rsidR="00AB0776">
        <w:rPr>
          <w:lang w:val="lt-LT"/>
        </w:rPr>
        <w:t>(</w:t>
      </w:r>
      <w:r w:rsidR="00774BBA">
        <w:rPr>
          <w:lang w:val="lt-LT"/>
        </w:rPr>
        <w:t>kinų</w:t>
      </w:r>
      <w:r w:rsidR="00AB0776">
        <w:rPr>
          <w:lang w:val="lt-LT"/>
        </w:rPr>
        <w:t>)</w:t>
      </w:r>
      <w:r w:rsidR="00774BBA">
        <w:rPr>
          <w:lang w:val="lt-LT"/>
        </w:rPr>
        <w:t xml:space="preserve">, </w:t>
      </w:r>
      <w:r w:rsidR="00A50633" w:rsidRPr="002748BD">
        <w:rPr>
          <w:lang w:val="lt-LT"/>
        </w:rPr>
        <w:t xml:space="preserve">tajų ar korėjiečių kilmės žmonėms. Šiems pacientams riziką papildomai gali padidinti lėtinė inkstų liga. </w:t>
      </w:r>
      <w:r w:rsidRPr="003E78EA">
        <w:rPr>
          <w:lang w:val="lt-LT"/>
        </w:rPr>
        <w:t xml:space="preserve">Jei atsiranda bėrimas ar šie odos simptomai, </w:t>
      </w:r>
      <w:r w:rsidRPr="00560A49">
        <w:rPr>
          <w:b/>
          <w:lang w:val="lt-LT"/>
        </w:rPr>
        <w:t>nustokite vartoti alopurinolį ir nedelsdami kreipkitės į gydytoją</w:t>
      </w:r>
      <w:r w:rsidRPr="003E78EA">
        <w:rPr>
          <w:lang w:val="lt-LT"/>
        </w:rPr>
        <w:t>.</w:t>
      </w:r>
    </w:p>
    <w:p w14:paraId="4E277731" w14:textId="4FD15D44" w:rsidR="00710393" w:rsidRPr="003E78EA" w:rsidRDefault="00710393" w:rsidP="00710393">
      <w:pPr>
        <w:widowControl/>
        <w:numPr>
          <w:ilvl w:val="0"/>
          <w:numId w:val="23"/>
        </w:numPr>
        <w:autoSpaceDE/>
        <w:autoSpaceDN/>
        <w:ind w:left="567" w:hanging="283"/>
        <w:rPr>
          <w:lang w:val="lt-LT"/>
        </w:rPr>
      </w:pPr>
      <w:r w:rsidRPr="003E78EA">
        <w:rPr>
          <w:lang w:val="lt-LT"/>
        </w:rPr>
        <w:t>Sergant vėžiu ar Lešo-</w:t>
      </w:r>
      <w:r w:rsidR="00502A9E" w:rsidRPr="000A5826">
        <w:rPr>
          <w:lang w:val="lt-LT"/>
        </w:rPr>
        <w:t>N</w:t>
      </w:r>
      <w:r w:rsidR="00502A9E">
        <w:rPr>
          <w:lang w:val="lt-LT"/>
        </w:rPr>
        <w:t>yh</w:t>
      </w:r>
      <w:r w:rsidR="00502A9E" w:rsidRPr="000A5826">
        <w:rPr>
          <w:lang w:val="lt-LT"/>
        </w:rPr>
        <w:t>ano (</w:t>
      </w:r>
      <w:r w:rsidR="00502A9E" w:rsidRPr="000A5826">
        <w:rPr>
          <w:i/>
          <w:lang w:val="lt-LT"/>
        </w:rPr>
        <w:t>Lesch-Nyhan</w:t>
      </w:r>
      <w:r w:rsidR="00502A9E" w:rsidRPr="000A5826">
        <w:rPr>
          <w:lang w:val="lt-LT"/>
        </w:rPr>
        <w:t>)</w:t>
      </w:r>
      <w:r w:rsidR="00502A9E" w:rsidRPr="003E78EA">
        <w:rPr>
          <w:lang w:val="lt-LT"/>
        </w:rPr>
        <w:t xml:space="preserve"> </w:t>
      </w:r>
      <w:r w:rsidRPr="003E78EA">
        <w:rPr>
          <w:lang w:val="lt-LT"/>
        </w:rPr>
        <w:t>sindromu, šlapime gali padidėti šlapimo rūgšties kiekis. Siekdami to išvengti, gerkite pakankamai skysčių, kad praskiestumėte šlapimą.</w:t>
      </w:r>
    </w:p>
    <w:p w14:paraId="5B147C13" w14:textId="77777777" w:rsidR="00710393" w:rsidRPr="003E78EA" w:rsidRDefault="00710393" w:rsidP="00710393">
      <w:pPr>
        <w:numPr>
          <w:ilvl w:val="12"/>
          <w:numId w:val="0"/>
        </w:numPr>
        <w:rPr>
          <w:lang w:val="lt-LT"/>
        </w:rPr>
      </w:pPr>
    </w:p>
    <w:p w14:paraId="3BE8C69C" w14:textId="77777777" w:rsidR="00710393" w:rsidRPr="003E78EA" w:rsidRDefault="00710393" w:rsidP="00710393">
      <w:pPr>
        <w:numPr>
          <w:ilvl w:val="12"/>
          <w:numId w:val="0"/>
        </w:numPr>
        <w:rPr>
          <w:b/>
          <w:lang w:val="lt-LT"/>
        </w:rPr>
      </w:pPr>
      <w:r w:rsidRPr="003E78EA">
        <w:rPr>
          <w:b/>
          <w:lang w:val="lt-LT"/>
        </w:rPr>
        <w:t xml:space="preserve">Vaikams ir paaugliams </w:t>
      </w:r>
    </w:p>
    <w:p w14:paraId="6C18231D" w14:textId="2DF3EBD2" w:rsidR="00710393" w:rsidRPr="003E78EA" w:rsidRDefault="00710393" w:rsidP="00710393">
      <w:pPr>
        <w:numPr>
          <w:ilvl w:val="12"/>
          <w:numId w:val="0"/>
        </w:numPr>
        <w:rPr>
          <w:lang w:val="lt-LT"/>
        </w:rPr>
      </w:pPr>
      <w:r w:rsidRPr="003E78EA">
        <w:rPr>
          <w:lang w:val="lt-LT"/>
        </w:rPr>
        <w:t>Retai paskiriamas vaikams, išskyrus esant kai kuriems vėžio tipams (ypač leukemijai) ir tam tikriems fermentų sutrikimams, pavyzdžiui, Lešo-</w:t>
      </w:r>
      <w:r w:rsidR="00641F60" w:rsidRPr="003E78EA">
        <w:rPr>
          <w:lang w:val="lt-LT"/>
        </w:rPr>
        <w:t>Nyhano (</w:t>
      </w:r>
      <w:r w:rsidR="00641F60" w:rsidRPr="003E78EA">
        <w:rPr>
          <w:i/>
          <w:lang w:val="lt-LT"/>
        </w:rPr>
        <w:t>Lesch-Nyhan</w:t>
      </w:r>
      <w:r w:rsidR="00641F60" w:rsidRPr="003E78EA">
        <w:rPr>
          <w:lang w:val="lt-LT"/>
        </w:rPr>
        <w:t>)</w:t>
      </w:r>
      <w:r w:rsidRPr="003E78EA">
        <w:rPr>
          <w:lang w:val="lt-LT"/>
        </w:rPr>
        <w:t xml:space="preserve"> sindromui.</w:t>
      </w:r>
    </w:p>
    <w:p w14:paraId="75080492" w14:textId="77777777" w:rsidR="00710393" w:rsidRPr="003E78EA" w:rsidRDefault="00710393" w:rsidP="00710393">
      <w:pPr>
        <w:numPr>
          <w:ilvl w:val="12"/>
          <w:numId w:val="0"/>
        </w:numPr>
        <w:rPr>
          <w:b/>
          <w:lang w:val="lt-LT"/>
        </w:rPr>
      </w:pPr>
    </w:p>
    <w:p w14:paraId="4FA44AC0" w14:textId="77777777" w:rsidR="00710393" w:rsidRPr="003E78EA" w:rsidRDefault="00710393" w:rsidP="00710393">
      <w:pPr>
        <w:numPr>
          <w:ilvl w:val="12"/>
          <w:numId w:val="0"/>
        </w:numPr>
        <w:ind w:right="-2"/>
        <w:rPr>
          <w:lang w:val="lt-LT"/>
        </w:rPr>
      </w:pPr>
      <w:r w:rsidRPr="003E78EA">
        <w:rPr>
          <w:b/>
          <w:lang w:val="lt-LT"/>
        </w:rPr>
        <w:t>Kiti vaistai ir Allopurinol Accord</w:t>
      </w:r>
    </w:p>
    <w:p w14:paraId="6CD48F60" w14:textId="77777777" w:rsidR="00710393" w:rsidRPr="003E78EA" w:rsidRDefault="00710393" w:rsidP="00710393">
      <w:pPr>
        <w:numPr>
          <w:ilvl w:val="12"/>
          <w:numId w:val="0"/>
        </w:numPr>
        <w:ind w:right="-2"/>
        <w:rPr>
          <w:lang w:val="lt-LT"/>
        </w:rPr>
      </w:pPr>
      <w:r w:rsidRPr="003E78EA">
        <w:rPr>
          <w:lang w:val="lt-LT"/>
        </w:rPr>
        <w:t>Pasakykite gydytojui arba vaistininkui, jei vartojate arba neseniai vartojote kitų vaistų:</w:t>
      </w:r>
    </w:p>
    <w:p w14:paraId="318D37BC" w14:textId="01AAA345" w:rsidR="00710393" w:rsidRPr="003E78EA" w:rsidRDefault="00710393" w:rsidP="00710393">
      <w:pPr>
        <w:widowControl/>
        <w:numPr>
          <w:ilvl w:val="0"/>
          <w:numId w:val="24"/>
        </w:numPr>
        <w:autoSpaceDE/>
        <w:autoSpaceDN/>
        <w:ind w:right="-2"/>
        <w:rPr>
          <w:lang w:val="lt-LT"/>
        </w:rPr>
      </w:pPr>
      <w:r w:rsidRPr="003E78EA">
        <w:rPr>
          <w:lang w:val="lt-LT"/>
        </w:rPr>
        <w:t>vaistų, skirtų imuniniam atsakui mažinti (imunosupresantų), pavyzdžiui, 6-merkaptopurino, azatioprino ir ciklosporino;</w:t>
      </w:r>
    </w:p>
    <w:p w14:paraId="119FE378"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adenino arabinozido (vidarabino), vartojamo herpesui arba vėjaraupiams gydyti;</w:t>
      </w:r>
    </w:p>
    <w:p w14:paraId="3DE6209A"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kitų vaistų podagrai gydyti, pavyzdžiui, probenecido;</w:t>
      </w:r>
    </w:p>
    <w:p w14:paraId="407D7BA7"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acetilsalicilo rūgšties (arba susijusių vaistų, vadinamų salicilatais);</w:t>
      </w:r>
    </w:p>
    <w:p w14:paraId="28FD88FD"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chlorpropamido, vartojamo </w:t>
      </w:r>
      <w:r w:rsidR="00BB4435" w:rsidRPr="003E78EA">
        <w:rPr>
          <w:lang w:val="lt-LT"/>
        </w:rPr>
        <w:t xml:space="preserve">cukriniam </w:t>
      </w:r>
      <w:r w:rsidRPr="003E78EA">
        <w:rPr>
          <w:lang w:val="lt-LT"/>
        </w:rPr>
        <w:t>diabetui gydyti;</w:t>
      </w:r>
    </w:p>
    <w:p w14:paraId="217D2B27"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kraują skystinančių vaistų (antikoaguliantų), pavyzdžiui, varfarino;</w:t>
      </w:r>
    </w:p>
    <w:p w14:paraId="59ED3775"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vaistų, vartojamų dėl priepuolių (epilepsijos), fenitoino;</w:t>
      </w:r>
    </w:p>
    <w:p w14:paraId="7C75577F"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teofilino, vartojamo dėl kvėpavimo sutrikimų;</w:t>
      </w:r>
    </w:p>
    <w:p w14:paraId="3CAA94BB"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antibiotikų (ampicilino arba amoksicilino);</w:t>
      </w:r>
    </w:p>
    <w:p w14:paraId="77188B7E"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vaistų vėžiui gydyti;</w:t>
      </w:r>
    </w:p>
    <w:p w14:paraId="03AC5E82" w14:textId="77777777" w:rsidR="00710393" w:rsidRPr="003E78EA" w:rsidRDefault="00710393" w:rsidP="00710393">
      <w:pPr>
        <w:widowControl/>
        <w:numPr>
          <w:ilvl w:val="0"/>
          <w:numId w:val="24"/>
        </w:numPr>
        <w:autoSpaceDE/>
        <w:autoSpaceDN/>
        <w:ind w:right="-2"/>
        <w:rPr>
          <w:lang w:val="lt-LT"/>
        </w:rPr>
      </w:pPr>
      <w:r w:rsidRPr="003E78EA">
        <w:rPr>
          <w:lang w:val="lt-LT"/>
        </w:rPr>
        <w:t xml:space="preserve"> didanozino, vartojamo ŽIV infekcijai gydyti;</w:t>
      </w:r>
    </w:p>
    <w:p w14:paraId="06B24CEA" w14:textId="77777777" w:rsidR="00710393" w:rsidRPr="003E78EA" w:rsidRDefault="00710393" w:rsidP="003E78EA">
      <w:pPr>
        <w:widowControl/>
        <w:numPr>
          <w:ilvl w:val="0"/>
          <w:numId w:val="24"/>
        </w:numPr>
        <w:autoSpaceDE/>
        <w:autoSpaceDN/>
        <w:ind w:right="-2"/>
        <w:rPr>
          <w:lang w:val="lt-LT"/>
        </w:rPr>
      </w:pPr>
      <w:r w:rsidRPr="003E78EA">
        <w:rPr>
          <w:lang w:val="lt-LT"/>
        </w:rPr>
        <w:t xml:space="preserve"> vaistų dėl širdies problemų ar aukšto kraujospūdžio, pavyzdžiui, AKF inhibitorių arba vandens tablečių (diuretikų);</w:t>
      </w:r>
    </w:p>
    <w:p w14:paraId="013D5C84" w14:textId="77777777" w:rsidR="00710393" w:rsidRPr="003E78EA" w:rsidRDefault="00710393" w:rsidP="003E78EA">
      <w:pPr>
        <w:widowControl/>
        <w:numPr>
          <w:ilvl w:val="0"/>
          <w:numId w:val="24"/>
        </w:numPr>
        <w:autoSpaceDE/>
        <w:autoSpaceDN/>
        <w:ind w:right="-2"/>
        <w:rPr>
          <w:lang w:val="lt-LT"/>
        </w:rPr>
      </w:pPr>
      <w:r w:rsidRPr="003E78EA">
        <w:rPr>
          <w:lang w:val="lt-LT"/>
        </w:rPr>
        <w:t>aliuminio hidroksido, nes jis gali sumažinti alopurinolio poveikį; tarp abiejų vaistų vartojimo turėtų būti bent 3 valandų intervalas;</w:t>
      </w:r>
    </w:p>
    <w:p w14:paraId="2A12ED93" w14:textId="27E05BC1" w:rsidR="00710393" w:rsidRDefault="00A50633" w:rsidP="003E78EA">
      <w:pPr>
        <w:widowControl/>
        <w:numPr>
          <w:ilvl w:val="0"/>
          <w:numId w:val="24"/>
        </w:numPr>
        <w:autoSpaceDE/>
        <w:autoSpaceDN/>
        <w:ind w:right="-2"/>
        <w:rPr>
          <w:lang w:val="lt-LT"/>
        </w:rPr>
      </w:pPr>
      <w:r w:rsidRPr="002748BD">
        <w:rPr>
          <w:lang w:val="lt-LT"/>
        </w:rPr>
        <w:t xml:space="preserve">vartojant Allopurinol Accord ir </w:t>
      </w:r>
      <w:r w:rsidR="00710393" w:rsidRPr="003E78EA">
        <w:rPr>
          <w:lang w:val="lt-LT"/>
        </w:rPr>
        <w:t>citotoksinių vaistų (pvz., ciklofosfamido, doksorubicino, bleomicino, prokarbazino, alkilhalogenidų), kraujo diskrazijos atsiranda dažniau</w:t>
      </w:r>
      <w:r w:rsidRPr="002748BD">
        <w:rPr>
          <w:lang w:val="lt-LT"/>
        </w:rPr>
        <w:t xml:space="preserve"> nei vartojant šias veikliąsias medžiagas</w:t>
      </w:r>
      <w:r w:rsidR="00D85DB9" w:rsidRPr="002748BD">
        <w:rPr>
          <w:lang w:val="lt-LT"/>
        </w:rPr>
        <w:t xml:space="preserve"> po vieną</w:t>
      </w:r>
      <w:r w:rsidR="00710393" w:rsidRPr="003E78EA">
        <w:rPr>
          <w:lang w:val="lt-LT"/>
        </w:rPr>
        <w:t>. Todėl reikia reguliariai atlikti kraujo tyrimus.</w:t>
      </w:r>
    </w:p>
    <w:p w14:paraId="77502F88" w14:textId="77777777" w:rsidR="00EB75D3" w:rsidRDefault="00EB75D3" w:rsidP="00EB75D3">
      <w:pPr>
        <w:widowControl/>
        <w:autoSpaceDE/>
        <w:autoSpaceDN/>
        <w:ind w:right="-2"/>
        <w:rPr>
          <w:lang w:val="lt-LT"/>
        </w:rPr>
      </w:pPr>
    </w:p>
    <w:p w14:paraId="06EB24A8" w14:textId="34C0E58E" w:rsidR="00EB75D3" w:rsidRPr="00AE6E76" w:rsidRDefault="00EB75D3" w:rsidP="00EB75D3">
      <w:pPr>
        <w:widowControl/>
        <w:autoSpaceDE/>
        <w:autoSpaceDN/>
        <w:ind w:right="-2"/>
        <w:rPr>
          <w:lang w:val="pt-PT"/>
        </w:rPr>
      </w:pPr>
      <w:r w:rsidRPr="00AE6E76">
        <w:rPr>
          <w:lang w:val="pt-PT"/>
        </w:rPr>
        <w:t xml:space="preserve">Reikia vengti 6-merkaptopurino arba azatioprino vartoti kartu su alopurinoliu. Kai 6 merkaptopurinas arba azatioprinas vartojamas kartu su </w:t>
      </w:r>
      <w:r w:rsidR="00136F85" w:rsidRPr="00AE6E76">
        <w:rPr>
          <w:lang w:val="pt-PT"/>
        </w:rPr>
        <w:t>Allopurinol Accord</w:t>
      </w:r>
      <w:r w:rsidRPr="00AE6E76">
        <w:rPr>
          <w:lang w:val="pt-PT"/>
        </w:rPr>
        <w:t xml:space="preserve">, 6-merkaptopurino arba azatioprino dozę reikia sumažinti, nes pailgės </w:t>
      </w:r>
      <w:r w:rsidR="00B91582" w:rsidRPr="00AE6E76">
        <w:rPr>
          <w:lang w:val="pt-PT"/>
        </w:rPr>
        <w:t>šių vaistų</w:t>
      </w:r>
      <w:r w:rsidRPr="00AE6E76">
        <w:rPr>
          <w:lang w:val="pt-PT"/>
        </w:rPr>
        <w:t xml:space="preserve"> veikimas. Tai gali padidinti sunkių kraujo sutrikimų pavojų. Tokiu atveju gydytojas gydymo metu atidžiai stebės Jūsų kraujo rodiklius.</w:t>
      </w:r>
    </w:p>
    <w:p w14:paraId="1C6BF875" w14:textId="77777777" w:rsidR="00AA4DC3" w:rsidRPr="00AE6E76" w:rsidRDefault="00AA4DC3" w:rsidP="00EB75D3">
      <w:pPr>
        <w:widowControl/>
        <w:autoSpaceDE/>
        <w:autoSpaceDN/>
        <w:ind w:right="-2"/>
        <w:rPr>
          <w:lang w:val="pt-PT"/>
        </w:rPr>
      </w:pPr>
    </w:p>
    <w:p w14:paraId="099FE2BD" w14:textId="3D450ED1" w:rsidR="00AA4DC3" w:rsidRPr="003E78EA" w:rsidRDefault="00AA4DC3" w:rsidP="001B39C7">
      <w:pPr>
        <w:widowControl/>
        <w:autoSpaceDE/>
        <w:autoSpaceDN/>
        <w:ind w:right="-2"/>
        <w:rPr>
          <w:lang w:val="lt-LT"/>
        </w:rPr>
      </w:pPr>
      <w:r w:rsidRPr="00AE6E76">
        <w:rPr>
          <w:lang w:val="pt-PT"/>
        </w:rPr>
        <w:t xml:space="preserve">Nedelsdami kreipkitės į gydytoją, jei pastebėjote, kad atsirado neaiškių mėlynių, kraujavimas, karščiavimas ar gerklės </w:t>
      </w:r>
      <w:r w:rsidR="00B91582" w:rsidRPr="00AE6E76">
        <w:rPr>
          <w:lang w:val="pt-PT"/>
        </w:rPr>
        <w:t xml:space="preserve">(ryklės) </w:t>
      </w:r>
      <w:r w:rsidRPr="00AE6E76">
        <w:rPr>
          <w:lang w:val="pt-PT"/>
        </w:rPr>
        <w:t>skausmas.</w:t>
      </w:r>
    </w:p>
    <w:p w14:paraId="3330EE08" w14:textId="77777777" w:rsidR="00710393" w:rsidRPr="003E78EA" w:rsidRDefault="00710393" w:rsidP="00710393">
      <w:pPr>
        <w:numPr>
          <w:ilvl w:val="12"/>
          <w:numId w:val="0"/>
        </w:numPr>
        <w:ind w:right="-2"/>
        <w:rPr>
          <w:lang w:val="lt-LT"/>
        </w:rPr>
      </w:pPr>
    </w:p>
    <w:p w14:paraId="77286EC6" w14:textId="77777777" w:rsidR="00710393" w:rsidRPr="003E78EA" w:rsidRDefault="00710393" w:rsidP="00710393">
      <w:pPr>
        <w:numPr>
          <w:ilvl w:val="12"/>
          <w:numId w:val="0"/>
        </w:numPr>
        <w:ind w:right="-2"/>
        <w:outlineLvl w:val="0"/>
        <w:rPr>
          <w:b/>
          <w:lang w:val="lt-LT"/>
        </w:rPr>
      </w:pPr>
      <w:r w:rsidRPr="003E78EA">
        <w:rPr>
          <w:b/>
          <w:lang w:val="lt-LT"/>
        </w:rPr>
        <w:t>Nėštumas, žindymo laikotarpis ir vaisingumas</w:t>
      </w:r>
    </w:p>
    <w:p w14:paraId="652E9D86" w14:textId="77777777" w:rsidR="00710393" w:rsidRPr="003E78EA" w:rsidRDefault="00710393" w:rsidP="00710393">
      <w:pPr>
        <w:numPr>
          <w:ilvl w:val="12"/>
          <w:numId w:val="0"/>
        </w:numPr>
        <w:ind w:right="-2"/>
        <w:outlineLvl w:val="0"/>
        <w:rPr>
          <w:lang w:val="lt-LT"/>
        </w:rPr>
      </w:pPr>
      <w:r w:rsidRPr="003E78EA">
        <w:rPr>
          <w:lang w:val="lt-LT"/>
        </w:rPr>
        <w:t xml:space="preserve">Jeigu esate nėščia, žindote kūdikį, manote, kad galbūt esate nėščia, arba planuojate pastoti, tai prieš vartodama šį vaistą pasitarkite su gydytoju arba vaistininku. </w:t>
      </w:r>
    </w:p>
    <w:p w14:paraId="485DFC04" w14:textId="77777777" w:rsidR="00710393" w:rsidRPr="003E78EA" w:rsidRDefault="00710393" w:rsidP="00710393">
      <w:pPr>
        <w:numPr>
          <w:ilvl w:val="12"/>
          <w:numId w:val="0"/>
        </w:numPr>
        <w:ind w:right="-2"/>
        <w:outlineLvl w:val="0"/>
        <w:rPr>
          <w:lang w:val="lt-LT"/>
        </w:rPr>
      </w:pPr>
    </w:p>
    <w:p w14:paraId="5899F33A" w14:textId="77777777" w:rsidR="00710393" w:rsidRPr="003E78EA" w:rsidRDefault="00710393" w:rsidP="00710393">
      <w:pPr>
        <w:numPr>
          <w:ilvl w:val="12"/>
          <w:numId w:val="0"/>
        </w:numPr>
        <w:ind w:right="-2"/>
        <w:outlineLvl w:val="0"/>
        <w:rPr>
          <w:lang w:val="lt-LT"/>
        </w:rPr>
      </w:pPr>
      <w:r w:rsidRPr="003E78EA">
        <w:rPr>
          <w:lang w:val="lt-LT"/>
        </w:rPr>
        <w:t xml:space="preserve">Alopurinolis patenka į motinos pieną. Alopurinolis žindymo laikotarpiu nerekomenduojamas. </w:t>
      </w:r>
    </w:p>
    <w:p w14:paraId="2514E6BE" w14:textId="77777777" w:rsidR="00710393" w:rsidRPr="003E78EA" w:rsidRDefault="00710393" w:rsidP="00710393">
      <w:pPr>
        <w:numPr>
          <w:ilvl w:val="12"/>
          <w:numId w:val="0"/>
        </w:numPr>
        <w:ind w:right="-2"/>
        <w:outlineLvl w:val="0"/>
        <w:rPr>
          <w:b/>
          <w:lang w:val="lt-LT"/>
        </w:rPr>
      </w:pPr>
    </w:p>
    <w:p w14:paraId="2DE4C55D" w14:textId="77777777" w:rsidR="00710393" w:rsidRPr="003E78EA" w:rsidRDefault="00710393" w:rsidP="00710393">
      <w:pPr>
        <w:numPr>
          <w:ilvl w:val="12"/>
          <w:numId w:val="0"/>
        </w:numPr>
        <w:ind w:right="-2"/>
        <w:outlineLvl w:val="0"/>
        <w:rPr>
          <w:lang w:val="lt-LT"/>
        </w:rPr>
      </w:pPr>
      <w:r w:rsidRPr="003E78EA">
        <w:rPr>
          <w:b/>
          <w:lang w:val="lt-LT"/>
        </w:rPr>
        <w:t>Vairavimas ir mechanizmų valdymas</w:t>
      </w:r>
    </w:p>
    <w:p w14:paraId="3C745F6C" w14:textId="77777777" w:rsidR="00710393" w:rsidRPr="003E78EA" w:rsidRDefault="00710393" w:rsidP="00710393">
      <w:pPr>
        <w:numPr>
          <w:ilvl w:val="12"/>
          <w:numId w:val="0"/>
        </w:numPr>
        <w:rPr>
          <w:lang w:val="lt-LT"/>
        </w:rPr>
      </w:pPr>
      <w:r w:rsidRPr="003E78EA">
        <w:rPr>
          <w:lang w:val="lt-LT"/>
        </w:rPr>
        <w:t xml:space="preserve">Allopurinol Accord kai kuriems žmonėms gali sukelti mieguistumą ar koordinacijos problemų. </w:t>
      </w:r>
      <w:r w:rsidRPr="003E78EA">
        <w:rPr>
          <w:lang w:val="lt-LT"/>
        </w:rPr>
        <w:lastRenderedPageBreak/>
        <w:t>Nevairuokite ir nevaldykite mechanizmų, kol nežinote, kokį poveikį jis jums turi.</w:t>
      </w:r>
    </w:p>
    <w:p w14:paraId="577D7585" w14:textId="77777777" w:rsidR="00710393" w:rsidRPr="003E78EA" w:rsidRDefault="00710393" w:rsidP="00710393">
      <w:pPr>
        <w:numPr>
          <w:ilvl w:val="12"/>
          <w:numId w:val="0"/>
        </w:numPr>
        <w:rPr>
          <w:lang w:val="lt-LT"/>
        </w:rPr>
      </w:pPr>
    </w:p>
    <w:p w14:paraId="03124D81" w14:textId="77777777" w:rsidR="00710393" w:rsidRPr="003E78EA" w:rsidRDefault="00710393" w:rsidP="00710393">
      <w:pPr>
        <w:numPr>
          <w:ilvl w:val="12"/>
          <w:numId w:val="0"/>
        </w:numPr>
        <w:ind w:right="-2"/>
        <w:outlineLvl w:val="0"/>
        <w:rPr>
          <w:b/>
          <w:lang w:val="lt-LT"/>
        </w:rPr>
      </w:pPr>
      <w:r w:rsidRPr="003E78EA">
        <w:rPr>
          <w:b/>
          <w:lang w:val="lt-LT"/>
        </w:rPr>
        <w:t xml:space="preserve">Allopurinol Accord sudėtyje yra laktozės </w:t>
      </w:r>
    </w:p>
    <w:p w14:paraId="70340DB3" w14:textId="674C503E" w:rsidR="00710393" w:rsidRPr="003E78EA" w:rsidRDefault="00710393" w:rsidP="00710393">
      <w:pPr>
        <w:rPr>
          <w:lang w:val="lt-LT"/>
        </w:rPr>
      </w:pPr>
      <w:r w:rsidRPr="003E78EA">
        <w:rPr>
          <w:lang w:val="lt-LT"/>
        </w:rPr>
        <w:t>Šio vaisto sudėtyje yra laktozės (cukraus rūšis). Jei</w:t>
      </w:r>
      <w:r w:rsidR="00443FCE" w:rsidRPr="003E78EA">
        <w:rPr>
          <w:lang w:val="lt-LT"/>
        </w:rPr>
        <w:t>gu</w:t>
      </w:r>
      <w:r w:rsidRPr="003E78EA">
        <w:rPr>
          <w:lang w:val="lt-LT"/>
        </w:rPr>
        <w:t xml:space="preserve"> gydytojas </w:t>
      </w:r>
      <w:r w:rsidR="00443FCE" w:rsidRPr="003E78EA">
        <w:rPr>
          <w:lang w:val="lt-LT"/>
        </w:rPr>
        <w:t>J</w:t>
      </w:r>
      <w:r w:rsidRPr="003E78EA">
        <w:rPr>
          <w:lang w:val="lt-LT"/>
        </w:rPr>
        <w:t xml:space="preserve">ums yra sakęs, </w:t>
      </w:r>
      <w:r w:rsidR="0056319A" w:rsidRPr="003E78EA">
        <w:rPr>
          <w:lang w:val="lt-LT"/>
        </w:rPr>
        <w:t>kad netoleruojate kokių nors angliavandenių, kreipkitės į jį prieš pradėdami vartoti šį vaistą</w:t>
      </w:r>
      <w:r w:rsidRPr="003E78EA">
        <w:rPr>
          <w:lang w:val="lt-LT"/>
        </w:rPr>
        <w:t>.</w:t>
      </w:r>
    </w:p>
    <w:p w14:paraId="17FE82F2" w14:textId="77777777" w:rsidR="00710393" w:rsidRPr="003E78EA" w:rsidRDefault="00710393" w:rsidP="00710393">
      <w:pPr>
        <w:ind w:left="567" w:hanging="567"/>
        <w:rPr>
          <w:i/>
          <w:lang w:val="lt-LT"/>
        </w:rPr>
      </w:pPr>
    </w:p>
    <w:p w14:paraId="19F22C26" w14:textId="77777777" w:rsidR="00710393" w:rsidRPr="003E78EA" w:rsidRDefault="00710393" w:rsidP="00710393">
      <w:pPr>
        <w:numPr>
          <w:ilvl w:val="12"/>
          <w:numId w:val="0"/>
        </w:numPr>
        <w:ind w:right="-2"/>
        <w:rPr>
          <w:lang w:val="lt-LT"/>
        </w:rPr>
      </w:pPr>
    </w:p>
    <w:p w14:paraId="7A94640D" w14:textId="77777777" w:rsidR="00710393" w:rsidRPr="003E78EA" w:rsidRDefault="00710393" w:rsidP="003E78EA">
      <w:pPr>
        <w:keepNext/>
        <w:widowControl/>
        <w:numPr>
          <w:ilvl w:val="0"/>
          <w:numId w:val="19"/>
        </w:numPr>
        <w:tabs>
          <w:tab w:val="clear" w:pos="570"/>
        </w:tabs>
        <w:autoSpaceDE/>
        <w:autoSpaceDN/>
        <w:rPr>
          <w:b/>
          <w:lang w:val="lt-LT"/>
        </w:rPr>
      </w:pPr>
      <w:r w:rsidRPr="003E78EA">
        <w:rPr>
          <w:b/>
          <w:lang w:val="lt-LT"/>
        </w:rPr>
        <w:t>Kaip vartoti Allopurinol Accord</w:t>
      </w:r>
    </w:p>
    <w:p w14:paraId="29CF340B" w14:textId="77777777" w:rsidR="00710393" w:rsidRPr="003E78EA" w:rsidRDefault="00710393" w:rsidP="003E78EA">
      <w:pPr>
        <w:keepNext/>
        <w:rPr>
          <w:lang w:val="lt-LT"/>
        </w:rPr>
      </w:pPr>
    </w:p>
    <w:p w14:paraId="0D0C6470" w14:textId="77777777" w:rsidR="00710393" w:rsidRPr="003E78EA" w:rsidRDefault="00710393" w:rsidP="003E78EA">
      <w:pPr>
        <w:keepNext/>
        <w:numPr>
          <w:ilvl w:val="12"/>
          <w:numId w:val="0"/>
        </w:numPr>
        <w:rPr>
          <w:lang w:val="lt-LT"/>
        </w:rPr>
      </w:pPr>
      <w:r w:rsidRPr="003E78EA">
        <w:rPr>
          <w:lang w:val="lt-LT"/>
        </w:rPr>
        <w:t xml:space="preserve">Visada vartokite šį vaistą tiksliai taip, kaip nurodė gydytojas. Jeigu abejojate, kreipkitės į gydytoją. </w:t>
      </w:r>
    </w:p>
    <w:p w14:paraId="2F75D961" w14:textId="77777777" w:rsidR="00710393" w:rsidRPr="003E78EA" w:rsidRDefault="00710393" w:rsidP="00710393">
      <w:pPr>
        <w:numPr>
          <w:ilvl w:val="12"/>
          <w:numId w:val="0"/>
        </w:numPr>
        <w:ind w:right="-2"/>
        <w:rPr>
          <w:lang w:val="lt-LT"/>
        </w:rPr>
      </w:pPr>
    </w:p>
    <w:p w14:paraId="57213D05" w14:textId="77777777" w:rsidR="00710393" w:rsidRPr="003E78EA" w:rsidRDefault="00710393" w:rsidP="00710393">
      <w:pPr>
        <w:numPr>
          <w:ilvl w:val="12"/>
          <w:numId w:val="0"/>
        </w:numPr>
        <w:ind w:right="-2"/>
        <w:rPr>
          <w:lang w:val="lt-LT"/>
        </w:rPr>
      </w:pPr>
      <w:r w:rsidRPr="003E78EA">
        <w:rPr>
          <w:lang w:val="lt-LT"/>
        </w:rPr>
        <w:t>Allopurinol Accord kiekis, kurį žmonės gali suvartoti, gali ženkliai skirtis. Gydytojas nuspręs, kokia Allopurinol Accord dozė bus jums tinkama.</w:t>
      </w:r>
    </w:p>
    <w:p w14:paraId="6201CE0B" w14:textId="77777777" w:rsidR="00027D66" w:rsidRDefault="00027D66" w:rsidP="00710393">
      <w:pPr>
        <w:numPr>
          <w:ilvl w:val="12"/>
          <w:numId w:val="0"/>
        </w:numPr>
        <w:ind w:right="-2"/>
        <w:rPr>
          <w:lang w:val="lt-LT"/>
        </w:rPr>
      </w:pPr>
    </w:p>
    <w:p w14:paraId="312EE067" w14:textId="77777777" w:rsidR="00710393" w:rsidRPr="003E78EA" w:rsidRDefault="00027D66" w:rsidP="00710393">
      <w:pPr>
        <w:numPr>
          <w:ilvl w:val="12"/>
          <w:numId w:val="0"/>
        </w:numPr>
        <w:ind w:right="-2"/>
        <w:rPr>
          <w:lang w:val="lt-LT"/>
        </w:rPr>
      </w:pPr>
      <w:r w:rsidRPr="00027D66">
        <w:rPr>
          <w:lang w:val="lt-LT"/>
        </w:rPr>
        <w:t>Įprastai, kad sumažėtų galimo šalutinio poveikio rizika, gydymo pradžioje gydytojas skirs mažą alopurinolio dozę (pvz., 100</w:t>
      </w:r>
      <w:r w:rsidR="00C577E8">
        <w:rPr>
          <w:lang w:val="lt-LT"/>
        </w:rPr>
        <w:t> </w:t>
      </w:r>
      <w:r w:rsidRPr="00027D66">
        <w:rPr>
          <w:lang w:val="lt-LT"/>
        </w:rPr>
        <w:t>mg per parą). Prireikus, dozė bus padidinta.</w:t>
      </w:r>
    </w:p>
    <w:p w14:paraId="195B0E4E" w14:textId="77777777" w:rsidR="00027D66" w:rsidRDefault="00027D66" w:rsidP="00710393">
      <w:pPr>
        <w:numPr>
          <w:ilvl w:val="12"/>
          <w:numId w:val="0"/>
        </w:numPr>
        <w:ind w:right="-2"/>
        <w:rPr>
          <w:lang w:val="lt-LT"/>
        </w:rPr>
      </w:pPr>
    </w:p>
    <w:p w14:paraId="6E63A55C" w14:textId="1E4779F2" w:rsidR="00710393" w:rsidRPr="003E78EA" w:rsidRDefault="00710393" w:rsidP="00710393">
      <w:pPr>
        <w:numPr>
          <w:ilvl w:val="12"/>
          <w:numId w:val="0"/>
        </w:numPr>
        <w:ind w:right="-2"/>
        <w:rPr>
          <w:lang w:val="lt-LT"/>
        </w:rPr>
      </w:pPr>
      <w:r w:rsidRPr="003E78EA">
        <w:rPr>
          <w:lang w:val="lt-LT"/>
        </w:rPr>
        <w:t>Įprasta pradinė dozė yra nuo 100 iki 300</w:t>
      </w:r>
      <w:r w:rsidR="00502A9E">
        <w:rPr>
          <w:lang w:val="lt-LT"/>
        </w:rPr>
        <w:t> </w:t>
      </w:r>
      <w:r w:rsidRPr="003E78EA">
        <w:rPr>
          <w:lang w:val="lt-LT"/>
        </w:rPr>
        <w:t>mg per parą; ją galima suvartoti per vieną kartą</w:t>
      </w:r>
      <w:r w:rsidR="00D85DB9" w:rsidRPr="002748BD">
        <w:rPr>
          <w:lang w:val="lt-LT"/>
        </w:rPr>
        <w:t>, po valgio</w:t>
      </w:r>
      <w:r w:rsidRPr="003E78EA">
        <w:rPr>
          <w:lang w:val="lt-LT"/>
        </w:rPr>
        <w:t>. Dozę galima didinti iki 900</w:t>
      </w:r>
      <w:r w:rsidR="00502A9E">
        <w:rPr>
          <w:lang w:val="lt-LT"/>
        </w:rPr>
        <w:t> </w:t>
      </w:r>
      <w:r w:rsidRPr="003E78EA">
        <w:rPr>
          <w:lang w:val="lt-LT"/>
        </w:rPr>
        <w:t>mg per parą, priklausomai nuo jūsų būklės sunkumo.</w:t>
      </w:r>
    </w:p>
    <w:p w14:paraId="7FCBA15F" w14:textId="77777777" w:rsidR="00710393" w:rsidRPr="003E78EA" w:rsidRDefault="00710393" w:rsidP="00710393">
      <w:pPr>
        <w:numPr>
          <w:ilvl w:val="12"/>
          <w:numId w:val="0"/>
        </w:numPr>
        <w:ind w:right="-2"/>
        <w:rPr>
          <w:lang w:val="lt-LT"/>
        </w:rPr>
      </w:pPr>
    </w:p>
    <w:p w14:paraId="41FAA988" w14:textId="60F19ABA" w:rsidR="00710393" w:rsidRPr="003E78EA" w:rsidRDefault="00710393" w:rsidP="00710393">
      <w:pPr>
        <w:numPr>
          <w:ilvl w:val="12"/>
          <w:numId w:val="0"/>
        </w:numPr>
        <w:ind w:right="-2"/>
        <w:rPr>
          <w:lang w:val="lt-LT"/>
        </w:rPr>
      </w:pPr>
      <w:r w:rsidRPr="003E78EA">
        <w:rPr>
          <w:lang w:val="lt-LT"/>
        </w:rPr>
        <w:t>Jei vartojate didesnę nei 300</w:t>
      </w:r>
      <w:r w:rsidR="00502A9E">
        <w:rPr>
          <w:lang w:val="lt-LT"/>
        </w:rPr>
        <w:t> </w:t>
      </w:r>
      <w:r w:rsidRPr="003E78EA">
        <w:rPr>
          <w:lang w:val="lt-LT"/>
        </w:rPr>
        <w:t>mg paros dozę, gydytojas gali jums paskirti bendrą dozę padalyti į mažesnes dozes, tolygiai paskirstytas per parą, kad būtų sumažintas poveikis virškinimo traktui.</w:t>
      </w:r>
    </w:p>
    <w:p w14:paraId="48468F29" w14:textId="77777777" w:rsidR="00710393" w:rsidRPr="003E78EA" w:rsidRDefault="00710393" w:rsidP="00710393">
      <w:pPr>
        <w:numPr>
          <w:ilvl w:val="12"/>
          <w:numId w:val="0"/>
        </w:numPr>
        <w:ind w:right="-2"/>
        <w:rPr>
          <w:lang w:val="lt-LT"/>
        </w:rPr>
      </w:pPr>
    </w:p>
    <w:p w14:paraId="55EF000B" w14:textId="2FC9AAA9" w:rsidR="00710393" w:rsidRPr="003E78EA" w:rsidRDefault="00710393" w:rsidP="00710393">
      <w:pPr>
        <w:numPr>
          <w:ilvl w:val="12"/>
          <w:numId w:val="0"/>
        </w:numPr>
        <w:ind w:right="-2"/>
        <w:rPr>
          <w:lang w:val="lt-LT"/>
        </w:rPr>
      </w:pPr>
      <w:r w:rsidRPr="003E78EA">
        <w:rPr>
          <w:lang w:val="lt-LT"/>
        </w:rPr>
        <w:t>Jei esate vyresnio amžiaus arba jei sumažėjusi jūsų kepenų ar inkstų funkcija, gydytojas gali paskirti vartoti mažesnę dozę arba suvartoti ją ilgesniais intervalais. Jei du ar tris kartus per savaitę jums atliekama dializė, gydytojas gali paskirti 300 arba 400</w:t>
      </w:r>
      <w:r w:rsidR="00502A9E">
        <w:rPr>
          <w:lang w:val="lt-LT"/>
        </w:rPr>
        <w:t> </w:t>
      </w:r>
      <w:r w:rsidRPr="003E78EA">
        <w:rPr>
          <w:lang w:val="lt-LT"/>
        </w:rPr>
        <w:t>mg dozę, kuri turi būti vartojama iš karto po dializės.</w:t>
      </w:r>
    </w:p>
    <w:p w14:paraId="4CE19244" w14:textId="77777777" w:rsidR="00710393" w:rsidRPr="003E78EA" w:rsidRDefault="00710393" w:rsidP="00710393">
      <w:pPr>
        <w:numPr>
          <w:ilvl w:val="12"/>
          <w:numId w:val="0"/>
        </w:numPr>
        <w:ind w:right="-2"/>
        <w:rPr>
          <w:lang w:val="lt-LT"/>
        </w:rPr>
      </w:pPr>
    </w:p>
    <w:p w14:paraId="04B5269B" w14:textId="77777777" w:rsidR="00710393" w:rsidRPr="003E78EA" w:rsidRDefault="00710393" w:rsidP="00710393">
      <w:pPr>
        <w:numPr>
          <w:ilvl w:val="12"/>
          <w:numId w:val="0"/>
        </w:numPr>
        <w:ind w:right="-2"/>
        <w:rPr>
          <w:b/>
          <w:lang w:val="lt-LT"/>
        </w:rPr>
      </w:pPr>
      <w:r w:rsidRPr="003E78EA">
        <w:rPr>
          <w:b/>
          <w:lang w:val="lt-LT"/>
        </w:rPr>
        <w:t>Vartojimas vaikams ir paaugliams</w:t>
      </w:r>
    </w:p>
    <w:p w14:paraId="3496AB00" w14:textId="604F8468" w:rsidR="00710393" w:rsidRPr="003E78EA" w:rsidRDefault="00710393" w:rsidP="00710393">
      <w:pPr>
        <w:numPr>
          <w:ilvl w:val="12"/>
          <w:numId w:val="0"/>
        </w:numPr>
        <w:ind w:right="-2"/>
        <w:rPr>
          <w:lang w:val="lt-LT"/>
        </w:rPr>
      </w:pPr>
      <w:r w:rsidRPr="003E78EA">
        <w:rPr>
          <w:lang w:val="lt-LT"/>
        </w:rPr>
        <w:t>Vaikams ir paaugliams iki 15 metų: nuo 10 iki 20</w:t>
      </w:r>
      <w:r w:rsidR="00502A9E">
        <w:rPr>
          <w:lang w:val="lt-LT"/>
        </w:rPr>
        <w:t> </w:t>
      </w:r>
      <w:r w:rsidRPr="003E78EA">
        <w:rPr>
          <w:lang w:val="lt-LT"/>
        </w:rPr>
        <w:t>mg vienam kilogramui kūno svorio per dieną, daugiausiai 400</w:t>
      </w:r>
      <w:r w:rsidR="00502A9E">
        <w:rPr>
          <w:lang w:val="lt-LT"/>
        </w:rPr>
        <w:t> </w:t>
      </w:r>
      <w:r w:rsidRPr="003E78EA">
        <w:rPr>
          <w:lang w:val="lt-LT"/>
        </w:rPr>
        <w:t>mg per parą, padalijus į tris dozes. Retai paskiriamas vaikams, išskyrus esant kai kurioms piktybinėms būklėms (ypač leukemijai) ir tam tikriems fermentų sutrikimams, pavyzdžiui, Lešo-</w:t>
      </w:r>
      <w:r w:rsidR="003A0AC0" w:rsidRPr="003E78EA">
        <w:rPr>
          <w:lang w:val="lt-LT"/>
        </w:rPr>
        <w:t>Nyhano (</w:t>
      </w:r>
      <w:r w:rsidR="003A0AC0" w:rsidRPr="003E78EA">
        <w:rPr>
          <w:i/>
          <w:lang w:val="lt-LT"/>
        </w:rPr>
        <w:t>Lesch-Nyhan</w:t>
      </w:r>
      <w:r w:rsidR="003A0AC0" w:rsidRPr="003E78EA">
        <w:rPr>
          <w:lang w:val="lt-LT"/>
        </w:rPr>
        <w:t>)</w:t>
      </w:r>
      <w:r w:rsidR="003A0AC0" w:rsidRPr="003E78EA">
        <w:rPr>
          <w:i/>
          <w:lang w:val="lt-LT"/>
        </w:rPr>
        <w:t xml:space="preserve"> </w:t>
      </w:r>
      <w:r w:rsidRPr="003E78EA">
        <w:rPr>
          <w:lang w:val="lt-LT"/>
        </w:rPr>
        <w:t>sindromui.</w:t>
      </w:r>
    </w:p>
    <w:p w14:paraId="132AFCAA" w14:textId="77777777" w:rsidR="00710393" w:rsidRPr="003E78EA" w:rsidRDefault="00710393" w:rsidP="00710393">
      <w:pPr>
        <w:numPr>
          <w:ilvl w:val="12"/>
          <w:numId w:val="0"/>
        </w:numPr>
        <w:ind w:right="-2"/>
        <w:rPr>
          <w:lang w:val="lt-LT"/>
        </w:rPr>
      </w:pPr>
    </w:p>
    <w:p w14:paraId="732BBB2E" w14:textId="77777777" w:rsidR="00710393" w:rsidRPr="003E78EA" w:rsidRDefault="00710393" w:rsidP="00710393">
      <w:pPr>
        <w:numPr>
          <w:ilvl w:val="12"/>
          <w:numId w:val="0"/>
        </w:numPr>
        <w:ind w:right="-2"/>
        <w:rPr>
          <w:lang w:val="lt-LT"/>
        </w:rPr>
      </w:pPr>
      <w:r w:rsidRPr="003E78EA">
        <w:rPr>
          <w:lang w:val="lt-LT"/>
        </w:rPr>
        <w:t>Vartojimo metodas</w:t>
      </w:r>
    </w:p>
    <w:p w14:paraId="6FB8C11B" w14:textId="77777777" w:rsidR="00710393" w:rsidRPr="003E78EA" w:rsidRDefault="00710393" w:rsidP="00710393">
      <w:pPr>
        <w:numPr>
          <w:ilvl w:val="12"/>
          <w:numId w:val="0"/>
        </w:numPr>
        <w:ind w:right="-2"/>
        <w:rPr>
          <w:lang w:val="lt-LT"/>
        </w:rPr>
      </w:pPr>
      <w:r w:rsidRPr="003E78EA">
        <w:rPr>
          <w:lang w:val="lt-LT"/>
        </w:rPr>
        <w:t xml:space="preserve">Allopurinol Accord skirtas vartoti per burną. </w:t>
      </w:r>
    </w:p>
    <w:p w14:paraId="1DD50A25" w14:textId="77777777" w:rsidR="00710393" w:rsidRPr="003E78EA" w:rsidRDefault="00710393" w:rsidP="00710393">
      <w:pPr>
        <w:numPr>
          <w:ilvl w:val="12"/>
          <w:numId w:val="0"/>
        </w:numPr>
        <w:ind w:right="-2"/>
        <w:rPr>
          <w:lang w:val="lt-LT"/>
        </w:rPr>
      </w:pPr>
      <w:r w:rsidRPr="003E78EA">
        <w:rPr>
          <w:lang w:val="lt-LT"/>
        </w:rPr>
        <w:t>Tabletės turi būti vartojamos su stikline vandens, kad būtų lengviau nuryti.</w:t>
      </w:r>
    </w:p>
    <w:p w14:paraId="50666C25" w14:textId="75AF3795" w:rsidR="00710393" w:rsidRPr="003E78EA" w:rsidRDefault="00710393" w:rsidP="00710393">
      <w:pPr>
        <w:numPr>
          <w:ilvl w:val="12"/>
          <w:numId w:val="0"/>
        </w:numPr>
        <w:ind w:right="-2"/>
        <w:rPr>
          <w:lang w:val="lt-LT"/>
        </w:rPr>
      </w:pPr>
      <w:r w:rsidRPr="003E78EA">
        <w:rPr>
          <w:lang w:val="lt-LT"/>
        </w:rPr>
        <w:t>Jei norite sumažinti šalutinio poveikio, pavyzdžiui, šleikštulio (pykinimo) ir vėmimo riziką,</w:t>
      </w:r>
      <w:r w:rsidR="00FD691E">
        <w:rPr>
          <w:lang w:val="lt-LT"/>
        </w:rPr>
        <w:t xml:space="preserve"> </w:t>
      </w:r>
      <w:r w:rsidRPr="003E78EA">
        <w:rPr>
          <w:lang w:val="lt-LT"/>
        </w:rPr>
        <w:t>vartokite tabletes po valgio.</w:t>
      </w:r>
    </w:p>
    <w:p w14:paraId="044FB703" w14:textId="77777777" w:rsidR="00710393" w:rsidRPr="003E78EA" w:rsidRDefault="00710393" w:rsidP="00710393">
      <w:pPr>
        <w:numPr>
          <w:ilvl w:val="12"/>
          <w:numId w:val="0"/>
        </w:numPr>
        <w:ind w:right="-2"/>
        <w:rPr>
          <w:lang w:val="lt-LT"/>
        </w:rPr>
      </w:pPr>
    </w:p>
    <w:p w14:paraId="012CB354" w14:textId="77777777" w:rsidR="00710393" w:rsidRPr="003E78EA" w:rsidRDefault="00710393" w:rsidP="00710393">
      <w:pPr>
        <w:numPr>
          <w:ilvl w:val="12"/>
          <w:numId w:val="0"/>
        </w:numPr>
        <w:ind w:right="-2"/>
        <w:outlineLvl w:val="0"/>
        <w:rPr>
          <w:lang w:val="lt-LT"/>
        </w:rPr>
      </w:pPr>
      <w:r w:rsidRPr="003E78EA">
        <w:rPr>
          <w:b/>
          <w:lang w:val="lt-LT"/>
        </w:rPr>
        <w:t>Ką daryti pavartojus per didelę Allopurinol Accord dozę?</w:t>
      </w:r>
    </w:p>
    <w:p w14:paraId="2AE84AB3" w14:textId="22EA965D" w:rsidR="00710393" w:rsidRPr="003E78EA" w:rsidRDefault="00710393" w:rsidP="00710393">
      <w:pPr>
        <w:numPr>
          <w:ilvl w:val="12"/>
          <w:numId w:val="0"/>
        </w:numPr>
        <w:rPr>
          <w:lang w:val="lt-LT"/>
        </w:rPr>
      </w:pPr>
      <w:r w:rsidRPr="003E78EA">
        <w:rPr>
          <w:lang w:val="lt-LT"/>
        </w:rPr>
        <w:t xml:space="preserve">Jei suvartosite per daug tablečių arba kas nors kitas netyčia pavartos jūsų vaisto, nedelsdami pasakykite gydytojui arba iš karto nuvykite į ligoninę. Paimkite vaisto pakuotę su savimi. Perdozavimo požymiai gali būti pykinimas, vėmimas, viduriavimas ir </w:t>
      </w:r>
      <w:r w:rsidR="003A0AC0" w:rsidRPr="003E78EA">
        <w:rPr>
          <w:lang w:val="lt-LT"/>
        </w:rPr>
        <w:t>svaigulys</w:t>
      </w:r>
      <w:r w:rsidRPr="003E78EA">
        <w:rPr>
          <w:lang w:val="lt-LT"/>
        </w:rPr>
        <w:t>.</w:t>
      </w:r>
    </w:p>
    <w:p w14:paraId="2C867CD0" w14:textId="77777777" w:rsidR="00710393" w:rsidRPr="003E78EA" w:rsidRDefault="00710393" w:rsidP="00710393">
      <w:pPr>
        <w:numPr>
          <w:ilvl w:val="12"/>
          <w:numId w:val="0"/>
        </w:numPr>
        <w:rPr>
          <w:lang w:val="lt-LT"/>
        </w:rPr>
      </w:pPr>
    </w:p>
    <w:p w14:paraId="3E6EF6FD" w14:textId="77777777" w:rsidR="00710393" w:rsidRPr="003E78EA" w:rsidRDefault="00710393" w:rsidP="00710393">
      <w:pPr>
        <w:numPr>
          <w:ilvl w:val="12"/>
          <w:numId w:val="0"/>
        </w:numPr>
        <w:ind w:right="-2"/>
        <w:outlineLvl w:val="0"/>
        <w:rPr>
          <w:lang w:val="lt-LT"/>
        </w:rPr>
      </w:pPr>
      <w:r w:rsidRPr="003E78EA">
        <w:rPr>
          <w:b/>
          <w:lang w:val="lt-LT"/>
        </w:rPr>
        <w:t>Pamiršus pavartoti Allopurinol Accord</w:t>
      </w:r>
    </w:p>
    <w:p w14:paraId="42062BAD" w14:textId="77777777" w:rsidR="00710393" w:rsidRPr="003E78EA" w:rsidRDefault="00710393" w:rsidP="00710393">
      <w:pPr>
        <w:numPr>
          <w:ilvl w:val="12"/>
          <w:numId w:val="0"/>
        </w:numPr>
        <w:ind w:right="-2"/>
        <w:rPr>
          <w:lang w:val="lt-LT"/>
        </w:rPr>
      </w:pPr>
      <w:r w:rsidRPr="003E78EA">
        <w:rPr>
          <w:lang w:val="lt-LT"/>
        </w:rPr>
        <w:t>Jei pamiršite suvartoti dozę, suvartokite kitą dozę tada, kai tik prisiminsite. Tačiau, jei beveik laikas vartoti kitą dozę, praleiskite pamirštą dozę. Negalima vartoti dvigubos dozės norint kompensuoti praleistą dozę.</w:t>
      </w:r>
    </w:p>
    <w:p w14:paraId="01C67341" w14:textId="77777777" w:rsidR="00710393" w:rsidRPr="003E78EA" w:rsidRDefault="00710393" w:rsidP="00710393">
      <w:pPr>
        <w:numPr>
          <w:ilvl w:val="12"/>
          <w:numId w:val="0"/>
        </w:numPr>
        <w:ind w:right="-2"/>
        <w:rPr>
          <w:lang w:val="lt-LT"/>
        </w:rPr>
      </w:pPr>
    </w:p>
    <w:p w14:paraId="35402B34" w14:textId="77777777" w:rsidR="00710393" w:rsidRPr="003E78EA" w:rsidRDefault="00710393" w:rsidP="00710393">
      <w:pPr>
        <w:numPr>
          <w:ilvl w:val="12"/>
          <w:numId w:val="0"/>
        </w:numPr>
        <w:ind w:right="-2"/>
        <w:outlineLvl w:val="0"/>
        <w:rPr>
          <w:b/>
          <w:lang w:val="lt-LT"/>
        </w:rPr>
      </w:pPr>
      <w:r w:rsidRPr="003E78EA">
        <w:rPr>
          <w:b/>
          <w:lang w:val="lt-LT"/>
        </w:rPr>
        <w:t>Nustojus vartoti Allopurinol Accord</w:t>
      </w:r>
    </w:p>
    <w:p w14:paraId="79C63245" w14:textId="77777777" w:rsidR="00710393" w:rsidRPr="003E78EA" w:rsidRDefault="00710393" w:rsidP="00710393">
      <w:pPr>
        <w:numPr>
          <w:ilvl w:val="12"/>
          <w:numId w:val="0"/>
        </w:numPr>
        <w:ind w:right="-2"/>
        <w:outlineLvl w:val="0"/>
        <w:rPr>
          <w:lang w:val="lt-LT"/>
        </w:rPr>
      </w:pPr>
      <w:r w:rsidRPr="003E78EA">
        <w:rPr>
          <w:lang w:val="lt-LT"/>
        </w:rPr>
        <w:t>Nenustokite vartoti Allopurinol Accord, jei gydytojas nenurodys to daryti.</w:t>
      </w:r>
    </w:p>
    <w:p w14:paraId="438383BE" w14:textId="77777777" w:rsidR="00710393" w:rsidRPr="003E78EA" w:rsidRDefault="00710393" w:rsidP="00710393">
      <w:pPr>
        <w:numPr>
          <w:ilvl w:val="12"/>
          <w:numId w:val="0"/>
        </w:numPr>
        <w:ind w:right="-2"/>
        <w:outlineLvl w:val="0"/>
        <w:rPr>
          <w:lang w:val="lt-LT"/>
        </w:rPr>
      </w:pPr>
    </w:p>
    <w:p w14:paraId="2761E179" w14:textId="77777777" w:rsidR="00710393" w:rsidRPr="003E78EA" w:rsidRDefault="00710393" w:rsidP="00710393">
      <w:pPr>
        <w:numPr>
          <w:ilvl w:val="12"/>
          <w:numId w:val="0"/>
        </w:numPr>
        <w:ind w:right="-2"/>
        <w:rPr>
          <w:lang w:val="lt-LT"/>
        </w:rPr>
      </w:pPr>
      <w:r w:rsidRPr="003E78EA">
        <w:rPr>
          <w:lang w:val="lt-LT"/>
        </w:rPr>
        <w:t>Jeigu kiltų daugiau klausimų dėl šio vaisto vartojimo, kreipkitės į gydytoją arba vaistininką.</w:t>
      </w:r>
    </w:p>
    <w:p w14:paraId="7113A370" w14:textId="77777777" w:rsidR="00710393" w:rsidRPr="003E78EA" w:rsidRDefault="00710393" w:rsidP="00710393">
      <w:pPr>
        <w:numPr>
          <w:ilvl w:val="12"/>
          <w:numId w:val="0"/>
        </w:numPr>
        <w:ind w:right="-2"/>
        <w:rPr>
          <w:lang w:val="lt-LT"/>
        </w:rPr>
      </w:pPr>
    </w:p>
    <w:p w14:paraId="197200A4" w14:textId="77777777" w:rsidR="00710393" w:rsidRPr="003E78EA" w:rsidRDefault="00710393" w:rsidP="00710393">
      <w:pPr>
        <w:numPr>
          <w:ilvl w:val="12"/>
          <w:numId w:val="0"/>
        </w:numPr>
        <w:ind w:right="-2"/>
        <w:rPr>
          <w:lang w:val="lt-LT"/>
        </w:rPr>
      </w:pPr>
    </w:p>
    <w:p w14:paraId="458F5E48" w14:textId="77777777" w:rsidR="00710393" w:rsidRPr="003E78EA" w:rsidRDefault="00710393" w:rsidP="00710393">
      <w:pPr>
        <w:numPr>
          <w:ilvl w:val="12"/>
          <w:numId w:val="0"/>
        </w:numPr>
        <w:ind w:left="567" w:right="-2" w:hanging="567"/>
        <w:rPr>
          <w:lang w:val="lt-LT"/>
        </w:rPr>
      </w:pPr>
      <w:r w:rsidRPr="003E78EA">
        <w:rPr>
          <w:b/>
          <w:lang w:val="lt-LT"/>
        </w:rPr>
        <w:t>4.</w:t>
      </w:r>
      <w:r w:rsidRPr="003E78EA">
        <w:rPr>
          <w:b/>
          <w:lang w:val="lt-LT"/>
        </w:rPr>
        <w:tab/>
        <w:t>Galimas šalutinis poveikis</w:t>
      </w:r>
    </w:p>
    <w:p w14:paraId="2820CDAB" w14:textId="77777777" w:rsidR="00710393" w:rsidRPr="003E78EA" w:rsidRDefault="00710393" w:rsidP="00710393">
      <w:pPr>
        <w:numPr>
          <w:ilvl w:val="12"/>
          <w:numId w:val="0"/>
        </w:numPr>
        <w:ind w:right="-2"/>
        <w:rPr>
          <w:lang w:val="lt-LT"/>
        </w:rPr>
      </w:pPr>
    </w:p>
    <w:p w14:paraId="0D7EE6FA" w14:textId="77777777" w:rsidR="00710393" w:rsidRPr="003E78EA" w:rsidRDefault="00710393" w:rsidP="00710393">
      <w:pPr>
        <w:numPr>
          <w:ilvl w:val="12"/>
          <w:numId w:val="0"/>
        </w:numPr>
        <w:ind w:right="-29"/>
        <w:rPr>
          <w:lang w:val="lt-LT"/>
        </w:rPr>
      </w:pPr>
      <w:r w:rsidRPr="003E78EA">
        <w:rPr>
          <w:lang w:val="lt-LT"/>
        </w:rPr>
        <w:t xml:space="preserve">Šis vaistas, kaip ir visi kiti, gali sukelti šalutinį poveikį, nors jis pasireiškia ne visiems žmonėms. </w:t>
      </w:r>
    </w:p>
    <w:p w14:paraId="586FADBB" w14:textId="77777777" w:rsidR="00710393" w:rsidRPr="003E78EA" w:rsidRDefault="00710393" w:rsidP="00710393">
      <w:pPr>
        <w:numPr>
          <w:ilvl w:val="12"/>
          <w:numId w:val="0"/>
        </w:numPr>
        <w:ind w:right="-2"/>
        <w:rPr>
          <w:lang w:val="lt-LT"/>
        </w:rPr>
      </w:pPr>
    </w:p>
    <w:p w14:paraId="4F68BF84" w14:textId="77777777" w:rsidR="00710393" w:rsidRPr="000A5826" w:rsidRDefault="00710393" w:rsidP="00710393">
      <w:pPr>
        <w:pStyle w:val="xpilsectionheader2ndlevel"/>
        <w:shd w:val="clear" w:color="auto" w:fill="FFFFFF"/>
        <w:spacing w:before="0" w:beforeAutospacing="0" w:after="0" w:afterAutospacing="0" w:line="240" w:lineRule="atLeast"/>
        <w:rPr>
          <w:b/>
          <w:bCs/>
          <w:color w:val="000000"/>
          <w:sz w:val="22"/>
          <w:szCs w:val="22"/>
        </w:rPr>
      </w:pPr>
      <w:r w:rsidRPr="000A5826">
        <w:rPr>
          <w:b/>
          <w:bCs/>
          <w:color w:val="000000"/>
          <w:sz w:val="22"/>
          <w:szCs w:val="22"/>
        </w:rPr>
        <w:t>Padidėjęs jautrumas</w:t>
      </w:r>
    </w:p>
    <w:p w14:paraId="008809F7" w14:textId="652CBF99" w:rsidR="00710393" w:rsidRPr="000A5826" w:rsidRDefault="00710393" w:rsidP="00710393">
      <w:pPr>
        <w:pStyle w:val="xpilsectionheader2ndlevel"/>
        <w:shd w:val="clear" w:color="auto" w:fill="FFFFFF"/>
        <w:spacing w:before="0" w:beforeAutospacing="0" w:after="0" w:afterAutospacing="0" w:line="240" w:lineRule="atLeast"/>
        <w:rPr>
          <w:b/>
          <w:bCs/>
          <w:color w:val="000000"/>
          <w:sz w:val="22"/>
          <w:szCs w:val="22"/>
        </w:rPr>
      </w:pPr>
      <w:r w:rsidRPr="000A5826">
        <w:rPr>
          <w:b/>
          <w:bCs/>
          <w:color w:val="000000"/>
          <w:sz w:val="22"/>
          <w:szCs w:val="22"/>
        </w:rPr>
        <w:t xml:space="preserve">Nedažnas </w:t>
      </w:r>
      <w:r w:rsidRPr="000A5826">
        <w:rPr>
          <w:bCs/>
          <w:color w:val="000000"/>
          <w:sz w:val="22"/>
          <w:szCs w:val="22"/>
        </w:rPr>
        <w:t xml:space="preserve">(gali pasireikšti </w:t>
      </w:r>
      <w:r w:rsidR="003A0AC0" w:rsidRPr="000A5826">
        <w:rPr>
          <w:bCs/>
          <w:color w:val="000000"/>
          <w:sz w:val="22"/>
          <w:szCs w:val="22"/>
        </w:rPr>
        <w:t xml:space="preserve">rečiau </w:t>
      </w:r>
      <w:r w:rsidRPr="000A5826">
        <w:rPr>
          <w:bCs/>
          <w:color w:val="000000"/>
          <w:sz w:val="22"/>
          <w:szCs w:val="22"/>
        </w:rPr>
        <w:t xml:space="preserve">kaip 1 iš 100 </w:t>
      </w:r>
      <w:r w:rsidR="00D85DB9" w:rsidRPr="002748BD">
        <w:rPr>
          <w:bCs/>
          <w:color w:val="000000"/>
          <w:sz w:val="22"/>
          <w:szCs w:val="22"/>
        </w:rPr>
        <w:t>asmenų</w:t>
      </w:r>
      <w:r w:rsidRPr="000A5826">
        <w:rPr>
          <w:bCs/>
          <w:color w:val="000000"/>
          <w:sz w:val="22"/>
          <w:szCs w:val="22"/>
        </w:rPr>
        <w:t>)</w:t>
      </w:r>
    </w:p>
    <w:p w14:paraId="7DF3087E" w14:textId="77777777" w:rsidR="00710393" w:rsidRPr="000A5826" w:rsidRDefault="00710393" w:rsidP="00710393">
      <w:pPr>
        <w:pStyle w:val="xpilsectionheader2ndlevel"/>
        <w:shd w:val="clear" w:color="auto" w:fill="FFFFFF"/>
        <w:spacing w:before="0" w:beforeAutospacing="0" w:after="0" w:afterAutospacing="0" w:line="240" w:lineRule="atLeast"/>
        <w:rPr>
          <w:bCs/>
          <w:color w:val="000000"/>
          <w:sz w:val="22"/>
          <w:szCs w:val="22"/>
        </w:rPr>
      </w:pPr>
      <w:r w:rsidRPr="000A5826">
        <w:rPr>
          <w:b/>
          <w:bCs/>
          <w:color w:val="000000"/>
          <w:sz w:val="22"/>
          <w:szCs w:val="22"/>
        </w:rPr>
        <w:t>Nedelsdami</w:t>
      </w:r>
      <w:r w:rsidRPr="000A5826">
        <w:rPr>
          <w:bCs/>
          <w:color w:val="000000"/>
          <w:sz w:val="22"/>
          <w:szCs w:val="22"/>
        </w:rPr>
        <w:t xml:space="preserve"> pasitarkite su gydytoju, jei patiriate bet kurį iš šių reiškinių:</w:t>
      </w:r>
    </w:p>
    <w:p w14:paraId="6F99B9B7" w14:textId="77777777" w:rsidR="00710393" w:rsidRPr="000A5826" w:rsidRDefault="00710393" w:rsidP="00710393">
      <w:pPr>
        <w:pStyle w:val="xpilsectionheader2ndlevel"/>
        <w:numPr>
          <w:ilvl w:val="0"/>
          <w:numId w:val="25"/>
        </w:numPr>
        <w:shd w:val="clear" w:color="auto" w:fill="FFFFFF"/>
        <w:spacing w:line="240" w:lineRule="atLeast"/>
        <w:ind w:left="567" w:hanging="567"/>
        <w:rPr>
          <w:bCs/>
          <w:color w:val="000000"/>
          <w:sz w:val="22"/>
          <w:szCs w:val="22"/>
        </w:rPr>
      </w:pPr>
      <w:r w:rsidRPr="000A5826">
        <w:rPr>
          <w:bCs/>
          <w:color w:val="000000"/>
          <w:sz w:val="22"/>
          <w:szCs w:val="22"/>
        </w:rPr>
        <w:t>bet kokio tipo reakciją, pavyzdžiui, odos pleiskanojimą, šunvotes ar lūpų ir burnos skausmą;</w:t>
      </w:r>
    </w:p>
    <w:p w14:paraId="77769517" w14:textId="77777777" w:rsidR="00710393" w:rsidRPr="000A5826" w:rsidRDefault="00710393" w:rsidP="00710393">
      <w:pPr>
        <w:pStyle w:val="xpilsectionheader2ndlevel"/>
        <w:numPr>
          <w:ilvl w:val="0"/>
          <w:numId w:val="25"/>
        </w:numPr>
        <w:shd w:val="clear" w:color="auto" w:fill="FFFFFF"/>
        <w:spacing w:before="0" w:beforeAutospacing="0" w:after="0" w:afterAutospacing="0" w:line="240" w:lineRule="atLeast"/>
        <w:ind w:left="567" w:hanging="567"/>
        <w:rPr>
          <w:bCs/>
          <w:color w:val="000000"/>
          <w:sz w:val="22"/>
          <w:szCs w:val="22"/>
        </w:rPr>
      </w:pPr>
      <w:r w:rsidRPr="000A5826">
        <w:rPr>
          <w:bCs/>
          <w:color w:val="000000"/>
          <w:sz w:val="22"/>
          <w:szCs w:val="22"/>
        </w:rPr>
        <w:t>arba, labai retai, staigų švokštimą, plazdėjimą ar įtempimą krūtinėje; susmukimą.</w:t>
      </w:r>
    </w:p>
    <w:p w14:paraId="1B429E0D" w14:textId="77777777" w:rsidR="00710393" w:rsidRPr="000A5826" w:rsidRDefault="00710393" w:rsidP="00710393">
      <w:pPr>
        <w:pStyle w:val="xpilsectionheader2ndlevel"/>
        <w:shd w:val="clear" w:color="auto" w:fill="FFFFFF"/>
        <w:spacing w:before="0" w:beforeAutospacing="0" w:after="0" w:afterAutospacing="0" w:line="240" w:lineRule="atLeast"/>
        <w:ind w:left="720"/>
        <w:rPr>
          <w:bCs/>
          <w:color w:val="000000"/>
          <w:sz w:val="22"/>
          <w:szCs w:val="22"/>
        </w:rPr>
      </w:pPr>
    </w:p>
    <w:p w14:paraId="65B61497" w14:textId="00BF2B2D" w:rsidR="00710393" w:rsidRPr="000A5826" w:rsidRDefault="00710393" w:rsidP="00560A49">
      <w:pPr>
        <w:pStyle w:val="prastasiniatinklio"/>
        <w:shd w:val="clear" w:color="auto" w:fill="FFFFFF"/>
        <w:spacing w:before="0" w:beforeAutospacing="0" w:after="0" w:afterAutospacing="0"/>
        <w:rPr>
          <w:sz w:val="22"/>
          <w:szCs w:val="22"/>
        </w:rPr>
      </w:pPr>
      <w:r w:rsidRPr="000A5826">
        <w:rPr>
          <w:b/>
          <w:bCs/>
          <w:sz w:val="22"/>
          <w:szCs w:val="22"/>
        </w:rPr>
        <w:t xml:space="preserve">Retas </w:t>
      </w:r>
      <w:r w:rsidRPr="000A5826">
        <w:rPr>
          <w:sz w:val="22"/>
          <w:szCs w:val="22"/>
        </w:rPr>
        <w:t xml:space="preserve">(gali pasireikšti </w:t>
      </w:r>
      <w:r w:rsidR="003A0AC0" w:rsidRPr="000A5826">
        <w:rPr>
          <w:sz w:val="22"/>
          <w:szCs w:val="22"/>
        </w:rPr>
        <w:t xml:space="preserve">rečiau </w:t>
      </w:r>
      <w:r w:rsidRPr="000A5826">
        <w:rPr>
          <w:sz w:val="22"/>
          <w:szCs w:val="22"/>
        </w:rPr>
        <w:t xml:space="preserve">kaip 1 iš </w:t>
      </w:r>
      <w:r w:rsidRPr="002748BD">
        <w:rPr>
          <w:sz w:val="22"/>
          <w:szCs w:val="22"/>
        </w:rPr>
        <w:t>1</w:t>
      </w:r>
      <w:r w:rsidR="00D85DB9" w:rsidRPr="002748BD">
        <w:rPr>
          <w:sz w:val="22"/>
          <w:szCs w:val="22"/>
        </w:rPr>
        <w:t> </w:t>
      </w:r>
      <w:r w:rsidRPr="002748BD">
        <w:rPr>
          <w:sz w:val="22"/>
          <w:szCs w:val="22"/>
        </w:rPr>
        <w:t xml:space="preserve">000 </w:t>
      </w:r>
      <w:r w:rsidR="00D85DB9" w:rsidRPr="002748BD">
        <w:rPr>
          <w:sz w:val="22"/>
          <w:szCs w:val="22"/>
        </w:rPr>
        <w:t>asmenų</w:t>
      </w:r>
      <w:r w:rsidRPr="002748BD">
        <w:rPr>
          <w:sz w:val="22"/>
          <w:szCs w:val="22"/>
        </w:rPr>
        <w:t>)</w:t>
      </w:r>
    </w:p>
    <w:p w14:paraId="1540C3B8" w14:textId="77777777" w:rsidR="00710393" w:rsidRPr="000A5826" w:rsidRDefault="00710393" w:rsidP="00560A49">
      <w:pPr>
        <w:pStyle w:val="prastasiniatinklio"/>
        <w:numPr>
          <w:ilvl w:val="0"/>
          <w:numId w:val="26"/>
        </w:numPr>
        <w:shd w:val="clear" w:color="auto" w:fill="FFFFFF"/>
        <w:spacing w:before="0" w:beforeAutospacing="0" w:after="0" w:afterAutospacing="0"/>
        <w:rPr>
          <w:color w:val="000000"/>
          <w:sz w:val="22"/>
          <w:szCs w:val="22"/>
        </w:rPr>
      </w:pPr>
      <w:r w:rsidRPr="000A5826">
        <w:rPr>
          <w:color w:val="000000"/>
          <w:sz w:val="22"/>
          <w:szCs w:val="22"/>
        </w:rPr>
        <w:t>Karščiavimas ir šaltkrėtis, galvos skausmas, raumenų skausmas (į gripą panašūs simptomai) ir bloga bendra savijauta</w:t>
      </w:r>
    </w:p>
    <w:p w14:paraId="70A11BAB" w14:textId="77777777" w:rsidR="00710393" w:rsidRPr="000A5826" w:rsidRDefault="00710393" w:rsidP="00710393">
      <w:pPr>
        <w:pStyle w:val="prastasiniatinklio"/>
        <w:numPr>
          <w:ilvl w:val="0"/>
          <w:numId w:val="26"/>
        </w:numPr>
        <w:shd w:val="clear" w:color="auto" w:fill="FFFFFF"/>
        <w:spacing w:line="240" w:lineRule="atLeast"/>
        <w:ind w:left="567" w:hanging="567"/>
        <w:rPr>
          <w:color w:val="000000"/>
          <w:sz w:val="22"/>
          <w:szCs w:val="22"/>
        </w:rPr>
      </w:pPr>
      <w:r w:rsidRPr="000A5826">
        <w:rPr>
          <w:color w:val="000000"/>
          <w:sz w:val="22"/>
          <w:szCs w:val="22"/>
        </w:rPr>
        <w:t>Sunkios padidėjusio jautrumo reakcijos, apimančios karščiavimą, odos išbėrimą, sąnarių skausmus, nenormalius kraujo ir kepenų funkcijų tyrimų rezultatus (tai gali būti kelių organų jautrumo sutrikimo požymiai)</w:t>
      </w:r>
    </w:p>
    <w:p w14:paraId="6FAF674E" w14:textId="77777777" w:rsidR="00710393" w:rsidRPr="000A5826" w:rsidRDefault="00710393" w:rsidP="003E78EA">
      <w:pPr>
        <w:pStyle w:val="prastasiniatinklio"/>
        <w:numPr>
          <w:ilvl w:val="0"/>
          <w:numId w:val="26"/>
        </w:numPr>
        <w:shd w:val="clear" w:color="auto" w:fill="FFFFFF"/>
        <w:spacing w:line="240" w:lineRule="atLeast"/>
        <w:ind w:left="567" w:hanging="567"/>
        <w:rPr>
          <w:color w:val="000000"/>
          <w:sz w:val="22"/>
          <w:szCs w:val="22"/>
        </w:rPr>
      </w:pPr>
      <w:r w:rsidRPr="000A5826">
        <w:rPr>
          <w:color w:val="000000"/>
          <w:sz w:val="22"/>
          <w:szCs w:val="22"/>
        </w:rPr>
        <w:t>Lūpų, akių, burnos, nosies ar lytinių organų kraujavimas</w:t>
      </w:r>
    </w:p>
    <w:p w14:paraId="371B02AA" w14:textId="77777777" w:rsidR="00710393" w:rsidRPr="000A5826" w:rsidRDefault="00710393" w:rsidP="003E78EA">
      <w:pPr>
        <w:pStyle w:val="prastasiniatinklio"/>
        <w:numPr>
          <w:ilvl w:val="0"/>
          <w:numId w:val="26"/>
        </w:numPr>
        <w:shd w:val="clear" w:color="auto" w:fill="FFFFFF"/>
        <w:spacing w:line="240" w:lineRule="atLeast"/>
        <w:ind w:left="567" w:hanging="567"/>
        <w:rPr>
          <w:color w:val="000000"/>
          <w:sz w:val="22"/>
          <w:szCs w:val="22"/>
        </w:rPr>
      </w:pPr>
      <w:r w:rsidRPr="000A5826">
        <w:rPr>
          <w:color w:val="000000"/>
          <w:sz w:val="22"/>
          <w:szCs w:val="22"/>
        </w:rPr>
        <w:t>Bet kokie odos pokyčiai, pavyzdžiui, burnos, gerklės, nosies bei lytinių organų opos ir konjunktyvitas (raudonos ir patinusios akys), plačiai paplitusios pūslės ar lupimasis</w:t>
      </w:r>
    </w:p>
    <w:p w14:paraId="58199A65" w14:textId="40E8019D" w:rsidR="00710393" w:rsidRPr="000A5826" w:rsidRDefault="00710393" w:rsidP="00710393">
      <w:pPr>
        <w:pStyle w:val="prastasiniatinklio"/>
        <w:shd w:val="clear" w:color="auto" w:fill="FFFFFF"/>
        <w:spacing w:before="0" w:beforeAutospacing="0" w:after="0" w:afterAutospacing="0" w:line="240" w:lineRule="atLeast"/>
        <w:rPr>
          <w:b/>
          <w:color w:val="000000"/>
          <w:sz w:val="22"/>
          <w:szCs w:val="22"/>
        </w:rPr>
      </w:pPr>
      <w:r w:rsidRPr="000A5826">
        <w:rPr>
          <w:b/>
          <w:color w:val="000000"/>
          <w:sz w:val="22"/>
          <w:szCs w:val="22"/>
        </w:rPr>
        <w:t xml:space="preserve">Labai retas </w:t>
      </w:r>
      <w:r w:rsidRPr="000A5826">
        <w:rPr>
          <w:color w:val="000000"/>
          <w:szCs w:val="22"/>
        </w:rPr>
        <w:t>(</w:t>
      </w:r>
      <w:r w:rsidRPr="003E78EA">
        <w:rPr>
          <w:color w:val="000000"/>
          <w:sz w:val="22"/>
          <w:szCs w:val="22"/>
        </w:rPr>
        <w:t xml:space="preserve">gali pasireikšti </w:t>
      </w:r>
      <w:r w:rsidR="003A0AC0" w:rsidRPr="000A5826">
        <w:rPr>
          <w:color w:val="000000"/>
          <w:sz w:val="22"/>
          <w:szCs w:val="22"/>
        </w:rPr>
        <w:t>rečiau</w:t>
      </w:r>
      <w:r w:rsidR="003A0AC0" w:rsidRPr="003E78EA">
        <w:rPr>
          <w:color w:val="000000"/>
          <w:sz w:val="22"/>
          <w:szCs w:val="22"/>
        </w:rPr>
        <w:t xml:space="preserve"> </w:t>
      </w:r>
      <w:r w:rsidRPr="003E78EA">
        <w:rPr>
          <w:color w:val="000000"/>
          <w:sz w:val="22"/>
          <w:szCs w:val="22"/>
        </w:rPr>
        <w:t xml:space="preserve">kaip 1 iš 10 000 </w:t>
      </w:r>
      <w:r w:rsidR="00D85DB9" w:rsidRPr="002748BD">
        <w:rPr>
          <w:color w:val="000000"/>
          <w:sz w:val="22"/>
          <w:szCs w:val="22"/>
        </w:rPr>
        <w:t>asmen</w:t>
      </w:r>
      <w:r w:rsidRPr="002748BD">
        <w:rPr>
          <w:color w:val="000000"/>
          <w:sz w:val="22"/>
          <w:szCs w:val="22"/>
        </w:rPr>
        <w:t>ų</w:t>
      </w:r>
      <w:r w:rsidRPr="000A5826">
        <w:rPr>
          <w:color w:val="000000"/>
          <w:szCs w:val="22"/>
        </w:rPr>
        <w:t>)</w:t>
      </w:r>
    </w:p>
    <w:p w14:paraId="6944FBDE" w14:textId="77777777" w:rsidR="00710393" w:rsidRPr="003E78EA" w:rsidRDefault="00710393" w:rsidP="00710393">
      <w:pPr>
        <w:widowControl/>
        <w:numPr>
          <w:ilvl w:val="0"/>
          <w:numId w:val="28"/>
        </w:numPr>
        <w:adjustRightInd w:val="0"/>
        <w:ind w:hanging="720"/>
        <w:rPr>
          <w:color w:val="000000"/>
          <w:lang w:val="lt-LT"/>
        </w:rPr>
      </w:pPr>
      <w:r w:rsidRPr="003E78EA">
        <w:rPr>
          <w:color w:val="000000"/>
          <w:lang w:val="lt-LT"/>
        </w:rPr>
        <w:t>Rimta alerginė reakcija, sukelianti veido ar gerklės patinimą</w:t>
      </w:r>
    </w:p>
    <w:p w14:paraId="167F5210" w14:textId="77777777" w:rsidR="00710393" w:rsidRPr="003E78EA" w:rsidRDefault="00710393" w:rsidP="00710393">
      <w:pPr>
        <w:widowControl/>
        <w:numPr>
          <w:ilvl w:val="0"/>
          <w:numId w:val="28"/>
        </w:numPr>
        <w:adjustRightInd w:val="0"/>
        <w:ind w:hanging="720"/>
        <w:rPr>
          <w:color w:val="000000"/>
          <w:lang w:val="lt-LT"/>
        </w:rPr>
      </w:pPr>
      <w:r w:rsidRPr="003E78EA">
        <w:rPr>
          <w:color w:val="000000"/>
          <w:lang w:val="lt-LT"/>
        </w:rPr>
        <w:t>Rimta gyvybei potencialiai pavojinga alerginė reakcija</w:t>
      </w:r>
    </w:p>
    <w:p w14:paraId="2D7BDE32" w14:textId="77777777" w:rsidR="00710393" w:rsidRPr="000A5826" w:rsidRDefault="00710393" w:rsidP="00710393">
      <w:pPr>
        <w:pStyle w:val="prastasiniatinklio"/>
        <w:shd w:val="clear" w:color="auto" w:fill="FFFFFF"/>
        <w:spacing w:before="0" w:beforeAutospacing="0" w:after="0" w:afterAutospacing="0" w:line="240" w:lineRule="atLeast"/>
        <w:rPr>
          <w:color w:val="000000"/>
          <w:sz w:val="22"/>
          <w:szCs w:val="22"/>
        </w:rPr>
      </w:pPr>
    </w:p>
    <w:p w14:paraId="0407E85A" w14:textId="77777777" w:rsidR="00710393" w:rsidRPr="000A5826" w:rsidRDefault="00710393" w:rsidP="00710393">
      <w:pPr>
        <w:pStyle w:val="prastasiniatinklio"/>
        <w:shd w:val="clear" w:color="auto" w:fill="FFFFFF"/>
        <w:spacing w:before="0" w:beforeAutospacing="0" w:after="0" w:afterAutospacing="0" w:line="240" w:lineRule="atLeast"/>
        <w:rPr>
          <w:color w:val="000000"/>
          <w:sz w:val="22"/>
          <w:szCs w:val="22"/>
        </w:rPr>
      </w:pPr>
      <w:r w:rsidRPr="000A5826">
        <w:rPr>
          <w:color w:val="000000"/>
          <w:sz w:val="22"/>
          <w:szCs w:val="22"/>
        </w:rPr>
        <w:t>Šie simptomai gali reikšti, kad esate alergiški Allopurinol Accord. Nevartokite daugiau tablečių, jei jūsų gydytojas nenurodys to daryti.</w:t>
      </w:r>
    </w:p>
    <w:p w14:paraId="3E698369" w14:textId="77777777" w:rsidR="00710393" w:rsidRPr="000A5826" w:rsidRDefault="00710393" w:rsidP="00710393">
      <w:pPr>
        <w:pStyle w:val="prastasiniatinklio"/>
        <w:shd w:val="clear" w:color="auto" w:fill="FFFFFF"/>
        <w:spacing w:before="0" w:beforeAutospacing="0" w:after="0" w:afterAutospacing="0" w:line="240" w:lineRule="atLeast"/>
        <w:rPr>
          <w:b/>
          <w:color w:val="000000"/>
          <w:sz w:val="22"/>
          <w:szCs w:val="22"/>
        </w:rPr>
      </w:pPr>
    </w:p>
    <w:p w14:paraId="70E32E41" w14:textId="77777777" w:rsidR="00710393" w:rsidRPr="000A5826" w:rsidRDefault="00710393" w:rsidP="00710393">
      <w:pPr>
        <w:pStyle w:val="prastasiniatinklio"/>
        <w:shd w:val="clear" w:color="auto" w:fill="FFFFFF"/>
        <w:spacing w:before="0" w:beforeAutospacing="0" w:after="0" w:afterAutospacing="0" w:line="240" w:lineRule="atLeast"/>
        <w:rPr>
          <w:b/>
          <w:color w:val="000000"/>
          <w:sz w:val="22"/>
          <w:szCs w:val="22"/>
        </w:rPr>
      </w:pPr>
      <w:r w:rsidRPr="000A5826">
        <w:rPr>
          <w:b/>
          <w:color w:val="000000"/>
          <w:sz w:val="22"/>
          <w:szCs w:val="22"/>
        </w:rPr>
        <w:t>Kitas šalutinis poveikis</w:t>
      </w:r>
    </w:p>
    <w:p w14:paraId="56726F05" w14:textId="1F92BA95" w:rsidR="00710393" w:rsidRPr="003E78EA" w:rsidRDefault="00710393" w:rsidP="00710393">
      <w:pPr>
        <w:adjustRightInd w:val="0"/>
        <w:rPr>
          <w:color w:val="000000"/>
          <w:lang w:val="lt-LT"/>
        </w:rPr>
      </w:pPr>
      <w:r w:rsidRPr="003E78EA">
        <w:rPr>
          <w:b/>
          <w:color w:val="000000"/>
          <w:lang w:val="lt-LT"/>
        </w:rPr>
        <w:t xml:space="preserve">Dažnas </w:t>
      </w:r>
      <w:r w:rsidRPr="003E78EA">
        <w:rPr>
          <w:color w:val="000000"/>
          <w:lang w:val="lt-LT"/>
        </w:rPr>
        <w:t xml:space="preserve">(gali pasireikšti </w:t>
      </w:r>
      <w:r w:rsidR="003A0AC0" w:rsidRPr="003E78EA">
        <w:rPr>
          <w:color w:val="000000"/>
          <w:lang w:val="lt-LT"/>
        </w:rPr>
        <w:t xml:space="preserve">rečiau </w:t>
      </w:r>
      <w:r w:rsidRPr="003E78EA">
        <w:rPr>
          <w:color w:val="000000"/>
          <w:lang w:val="lt-LT"/>
        </w:rPr>
        <w:t xml:space="preserve">kaip 1 iš 10 </w:t>
      </w:r>
      <w:r w:rsidR="00D85DB9" w:rsidRPr="002748BD">
        <w:rPr>
          <w:color w:val="000000"/>
          <w:lang w:val="lt-LT"/>
        </w:rPr>
        <w:t>asmenų</w:t>
      </w:r>
      <w:r w:rsidRPr="003E78EA">
        <w:rPr>
          <w:color w:val="000000"/>
          <w:lang w:val="lt-LT"/>
        </w:rPr>
        <w:t xml:space="preserve">) </w:t>
      </w:r>
    </w:p>
    <w:p w14:paraId="7F19F2F2" w14:textId="77777777" w:rsidR="00710393" w:rsidRPr="003E78EA" w:rsidRDefault="00710393" w:rsidP="00710393">
      <w:pPr>
        <w:widowControl/>
        <w:numPr>
          <w:ilvl w:val="0"/>
          <w:numId w:val="27"/>
        </w:numPr>
        <w:adjustRightInd w:val="0"/>
        <w:ind w:hanging="720"/>
        <w:rPr>
          <w:color w:val="000000"/>
          <w:lang w:val="lt-LT"/>
        </w:rPr>
      </w:pPr>
      <w:r w:rsidRPr="003E78EA">
        <w:rPr>
          <w:color w:val="000000"/>
          <w:lang w:val="lt-LT"/>
        </w:rPr>
        <w:t xml:space="preserve">Odos bėrimas </w:t>
      </w:r>
    </w:p>
    <w:p w14:paraId="218A2FD8" w14:textId="77777777" w:rsidR="00710393" w:rsidRPr="003E78EA" w:rsidRDefault="00710393" w:rsidP="003E78EA">
      <w:pPr>
        <w:widowControl/>
        <w:numPr>
          <w:ilvl w:val="0"/>
          <w:numId w:val="27"/>
        </w:numPr>
        <w:adjustRightInd w:val="0"/>
        <w:ind w:hanging="720"/>
        <w:rPr>
          <w:color w:val="000000"/>
          <w:lang w:val="lt-LT"/>
        </w:rPr>
      </w:pPr>
      <w:r w:rsidRPr="003E78EA">
        <w:rPr>
          <w:color w:val="000000"/>
          <w:lang w:val="lt-LT"/>
        </w:rPr>
        <w:t>Padidėjęs skydliaukę stimuliuojančio hormono kiekis kraujyje</w:t>
      </w:r>
    </w:p>
    <w:p w14:paraId="4D5A23BF" w14:textId="77777777" w:rsidR="00710393" w:rsidRPr="003E78EA" w:rsidRDefault="00710393" w:rsidP="00710393">
      <w:pPr>
        <w:adjustRightInd w:val="0"/>
        <w:rPr>
          <w:color w:val="000000"/>
          <w:lang w:val="lt-LT"/>
        </w:rPr>
      </w:pPr>
    </w:p>
    <w:p w14:paraId="161A2BA8" w14:textId="5B0C9D33" w:rsidR="00710393" w:rsidRPr="003E78EA" w:rsidRDefault="00710393" w:rsidP="00710393">
      <w:pPr>
        <w:adjustRightInd w:val="0"/>
        <w:rPr>
          <w:color w:val="000000"/>
          <w:lang w:val="lt-LT"/>
        </w:rPr>
      </w:pPr>
      <w:r w:rsidRPr="003E78EA">
        <w:rPr>
          <w:b/>
          <w:color w:val="000000"/>
          <w:lang w:val="lt-LT"/>
        </w:rPr>
        <w:t xml:space="preserve">Nedažnas </w:t>
      </w:r>
      <w:r w:rsidRPr="003E78EA">
        <w:rPr>
          <w:color w:val="000000"/>
          <w:lang w:val="lt-LT"/>
        </w:rPr>
        <w:t xml:space="preserve">(gali pasireikšti </w:t>
      </w:r>
      <w:r w:rsidR="003A0AC0" w:rsidRPr="003E78EA">
        <w:rPr>
          <w:color w:val="000000"/>
          <w:lang w:val="lt-LT"/>
        </w:rPr>
        <w:t xml:space="preserve">rečiau </w:t>
      </w:r>
      <w:r w:rsidRPr="003E78EA">
        <w:rPr>
          <w:color w:val="000000"/>
          <w:lang w:val="lt-LT"/>
        </w:rPr>
        <w:t xml:space="preserve">kaip 1 iš 100 </w:t>
      </w:r>
      <w:r w:rsidR="00D85DB9" w:rsidRPr="002748BD">
        <w:rPr>
          <w:color w:val="000000"/>
          <w:lang w:val="lt-LT"/>
        </w:rPr>
        <w:t>asmenų</w:t>
      </w:r>
      <w:r w:rsidRPr="003E78EA">
        <w:rPr>
          <w:color w:val="000000"/>
          <w:lang w:val="lt-LT"/>
        </w:rPr>
        <w:t xml:space="preserve">) </w:t>
      </w:r>
    </w:p>
    <w:p w14:paraId="05099AA3" w14:textId="77777777" w:rsidR="00710393" w:rsidRPr="003E78EA" w:rsidRDefault="00710393" w:rsidP="00710393">
      <w:pPr>
        <w:widowControl/>
        <w:numPr>
          <w:ilvl w:val="0"/>
          <w:numId w:val="27"/>
        </w:numPr>
        <w:adjustRightInd w:val="0"/>
        <w:spacing w:after="38"/>
        <w:ind w:hanging="720"/>
        <w:rPr>
          <w:color w:val="000000"/>
          <w:lang w:val="lt-LT"/>
        </w:rPr>
      </w:pPr>
      <w:r w:rsidRPr="003E78EA">
        <w:rPr>
          <w:color w:val="000000"/>
          <w:lang w:val="lt-LT"/>
        </w:rPr>
        <w:t xml:space="preserve">Pykinimas (šleikštulys) arba negalavimas (vėmimas) </w:t>
      </w:r>
    </w:p>
    <w:p w14:paraId="5C7E0115" w14:textId="70FFECC7" w:rsidR="00710393" w:rsidRPr="003E78EA" w:rsidRDefault="00710393" w:rsidP="00710393">
      <w:pPr>
        <w:widowControl/>
        <w:numPr>
          <w:ilvl w:val="0"/>
          <w:numId w:val="27"/>
        </w:numPr>
        <w:adjustRightInd w:val="0"/>
        <w:spacing w:after="38"/>
        <w:ind w:hanging="720"/>
        <w:rPr>
          <w:color w:val="000000"/>
          <w:lang w:val="lt-LT"/>
        </w:rPr>
      </w:pPr>
      <w:r w:rsidRPr="003E78EA">
        <w:rPr>
          <w:color w:val="000000"/>
          <w:lang w:val="lt-LT"/>
        </w:rPr>
        <w:t>Nenormalūs kepenų tyrimų rezultatai</w:t>
      </w:r>
    </w:p>
    <w:p w14:paraId="663701C8" w14:textId="24DBF38D" w:rsidR="00C577E8" w:rsidRPr="003E78EA" w:rsidRDefault="00C577E8" w:rsidP="00710393">
      <w:pPr>
        <w:widowControl/>
        <w:numPr>
          <w:ilvl w:val="0"/>
          <w:numId w:val="27"/>
        </w:numPr>
        <w:adjustRightInd w:val="0"/>
        <w:spacing w:after="38"/>
        <w:ind w:hanging="720"/>
        <w:rPr>
          <w:color w:val="000000"/>
          <w:lang w:val="lt-LT"/>
        </w:rPr>
      </w:pPr>
      <w:r>
        <w:rPr>
          <w:color w:val="000000"/>
          <w:lang w:val="lt-LT"/>
        </w:rPr>
        <w:t>Viduriavimas</w:t>
      </w:r>
    </w:p>
    <w:p w14:paraId="68FC605D" w14:textId="77777777" w:rsidR="00710393" w:rsidRPr="003E78EA" w:rsidRDefault="00710393" w:rsidP="00710393">
      <w:pPr>
        <w:adjustRightInd w:val="0"/>
        <w:rPr>
          <w:color w:val="000000"/>
          <w:lang w:val="lt-LT"/>
        </w:rPr>
      </w:pPr>
    </w:p>
    <w:p w14:paraId="3509B28B" w14:textId="0DF79AC7" w:rsidR="00710393" w:rsidRPr="003E78EA" w:rsidRDefault="00710393" w:rsidP="00710393">
      <w:pPr>
        <w:adjustRightInd w:val="0"/>
        <w:rPr>
          <w:color w:val="000000"/>
          <w:lang w:val="lt-LT"/>
        </w:rPr>
      </w:pPr>
      <w:r w:rsidRPr="003E78EA">
        <w:rPr>
          <w:b/>
          <w:color w:val="000000"/>
          <w:lang w:val="lt-LT"/>
        </w:rPr>
        <w:t xml:space="preserve">Retas </w:t>
      </w:r>
      <w:r w:rsidRPr="003E78EA">
        <w:rPr>
          <w:color w:val="000000"/>
          <w:lang w:val="lt-LT"/>
        </w:rPr>
        <w:t xml:space="preserve">(gali pasireikšti </w:t>
      </w:r>
      <w:r w:rsidR="003A0AC0" w:rsidRPr="003E78EA">
        <w:rPr>
          <w:color w:val="000000"/>
          <w:lang w:val="lt-LT"/>
        </w:rPr>
        <w:t xml:space="preserve">rečiau </w:t>
      </w:r>
      <w:r w:rsidRPr="003E78EA">
        <w:rPr>
          <w:color w:val="000000"/>
          <w:lang w:val="lt-LT"/>
        </w:rPr>
        <w:t xml:space="preserve">kaip 1 iš </w:t>
      </w:r>
      <w:r w:rsidRPr="002748BD">
        <w:rPr>
          <w:color w:val="000000"/>
          <w:lang w:val="lt-LT"/>
        </w:rPr>
        <w:t>1</w:t>
      </w:r>
      <w:r w:rsidR="00D85DB9" w:rsidRPr="002748BD">
        <w:rPr>
          <w:color w:val="000000"/>
          <w:lang w:val="lt-LT"/>
        </w:rPr>
        <w:t> </w:t>
      </w:r>
      <w:r w:rsidRPr="002748BD">
        <w:rPr>
          <w:color w:val="000000"/>
          <w:lang w:val="lt-LT"/>
        </w:rPr>
        <w:t xml:space="preserve">000 </w:t>
      </w:r>
      <w:r w:rsidR="00D85DB9" w:rsidRPr="002748BD">
        <w:rPr>
          <w:color w:val="000000"/>
          <w:lang w:val="lt-LT"/>
        </w:rPr>
        <w:t>asmenų</w:t>
      </w:r>
      <w:r w:rsidRPr="003E78EA">
        <w:rPr>
          <w:color w:val="000000"/>
          <w:lang w:val="lt-LT"/>
        </w:rPr>
        <w:t xml:space="preserve">) </w:t>
      </w:r>
    </w:p>
    <w:p w14:paraId="50134168" w14:textId="77777777" w:rsidR="00710393" w:rsidRPr="003E78EA" w:rsidRDefault="00710393" w:rsidP="00710393">
      <w:pPr>
        <w:widowControl/>
        <w:numPr>
          <w:ilvl w:val="0"/>
          <w:numId w:val="28"/>
        </w:numPr>
        <w:adjustRightInd w:val="0"/>
        <w:ind w:hanging="720"/>
        <w:rPr>
          <w:color w:val="000000"/>
          <w:lang w:val="lt-LT"/>
        </w:rPr>
      </w:pPr>
      <w:r w:rsidRPr="003E78EA">
        <w:rPr>
          <w:color w:val="000000"/>
          <w:lang w:val="lt-LT"/>
        </w:rPr>
        <w:t xml:space="preserve">Kepenų problemos, pavyzdžiui, kepenų uždegimas </w:t>
      </w:r>
    </w:p>
    <w:p w14:paraId="0DC1147E" w14:textId="77777777" w:rsidR="00710393" w:rsidRPr="000A5826" w:rsidRDefault="00710393" w:rsidP="00710393">
      <w:pPr>
        <w:pStyle w:val="prastasiniatinklio"/>
        <w:shd w:val="clear" w:color="auto" w:fill="FFFFFF"/>
        <w:spacing w:before="0" w:beforeAutospacing="0" w:after="0" w:afterAutospacing="0" w:line="240" w:lineRule="atLeast"/>
        <w:rPr>
          <w:color w:val="000000"/>
          <w:sz w:val="22"/>
          <w:szCs w:val="22"/>
        </w:rPr>
      </w:pPr>
    </w:p>
    <w:p w14:paraId="433BD3DB" w14:textId="6EF97153" w:rsidR="00710393" w:rsidRPr="003E78EA" w:rsidRDefault="00710393" w:rsidP="00710393">
      <w:pPr>
        <w:adjustRightInd w:val="0"/>
        <w:rPr>
          <w:color w:val="000000"/>
          <w:lang w:val="lt-LT"/>
        </w:rPr>
      </w:pPr>
      <w:r w:rsidRPr="003E78EA">
        <w:rPr>
          <w:b/>
          <w:color w:val="000000"/>
          <w:lang w:val="lt-LT"/>
        </w:rPr>
        <w:t xml:space="preserve">Labai retas </w:t>
      </w:r>
      <w:r w:rsidRPr="003E78EA">
        <w:rPr>
          <w:color w:val="000000"/>
          <w:lang w:val="lt-LT"/>
        </w:rPr>
        <w:t xml:space="preserve">(gali pasireikšti </w:t>
      </w:r>
      <w:r w:rsidR="003A0AC0" w:rsidRPr="003E78EA">
        <w:rPr>
          <w:color w:val="000000"/>
          <w:lang w:val="lt-LT"/>
        </w:rPr>
        <w:t xml:space="preserve">rečiau </w:t>
      </w:r>
      <w:r w:rsidRPr="003E78EA">
        <w:rPr>
          <w:color w:val="000000"/>
          <w:lang w:val="lt-LT"/>
        </w:rPr>
        <w:t xml:space="preserve">kaip 1 iš 10 000 </w:t>
      </w:r>
      <w:r w:rsidR="00D85DB9" w:rsidRPr="002748BD">
        <w:rPr>
          <w:color w:val="000000"/>
          <w:lang w:val="lt-LT"/>
        </w:rPr>
        <w:t>asmenų</w:t>
      </w:r>
      <w:r w:rsidRPr="003E78EA">
        <w:rPr>
          <w:color w:val="000000"/>
          <w:lang w:val="lt-LT"/>
        </w:rPr>
        <w:t xml:space="preserve">) </w:t>
      </w:r>
    </w:p>
    <w:p w14:paraId="693B473B"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Aukšta temperatūra </w:t>
      </w:r>
    </w:p>
    <w:p w14:paraId="22289800"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Kraujas šlapime (hematurija) </w:t>
      </w:r>
    </w:p>
    <w:p w14:paraId="0A5BEB41"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Didelis cholesterolio kiekis kraujyje (hiperlipidemija) </w:t>
      </w:r>
    </w:p>
    <w:p w14:paraId="035CD962"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Bloga bendra savijauta arba silpnumas </w:t>
      </w:r>
    </w:p>
    <w:p w14:paraId="1C0C43FE" w14:textId="77777777" w:rsidR="00710393" w:rsidRPr="003E78EA" w:rsidRDefault="00710393" w:rsidP="00710393">
      <w:pPr>
        <w:widowControl/>
        <w:numPr>
          <w:ilvl w:val="0"/>
          <w:numId w:val="28"/>
        </w:numPr>
        <w:adjustRightInd w:val="0"/>
        <w:spacing w:after="38"/>
        <w:ind w:left="567" w:hanging="567"/>
        <w:rPr>
          <w:color w:val="000000"/>
          <w:lang w:val="lt-LT"/>
        </w:rPr>
      </w:pPr>
      <w:r w:rsidRPr="003E78EA">
        <w:rPr>
          <w:color w:val="000000"/>
          <w:lang w:val="lt-LT"/>
        </w:rPr>
        <w:t xml:space="preserve">Silpnumas, tirpimas, pėdų nestabilumas, negalėjimas pajudinti raumenų (paralyžius) arba sąmonės netekimas </w:t>
      </w:r>
    </w:p>
    <w:p w14:paraId="1D993461" w14:textId="10EC0C23"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Galvos skausmas, </w:t>
      </w:r>
      <w:r w:rsidR="00810D6D" w:rsidRPr="003E78EA">
        <w:rPr>
          <w:color w:val="000000"/>
          <w:lang w:val="lt-LT"/>
        </w:rPr>
        <w:t>svaigulys</w:t>
      </w:r>
      <w:r w:rsidRPr="003E78EA">
        <w:rPr>
          <w:color w:val="000000"/>
          <w:lang w:val="lt-LT"/>
        </w:rPr>
        <w:t xml:space="preserve">, mieguistumas ar regėjimo sutrikimas </w:t>
      </w:r>
    </w:p>
    <w:p w14:paraId="197B1D32"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Krūtinės skausmas (krūtinės angina), aukštas kraujospūdis arba lėtas pulsas </w:t>
      </w:r>
    </w:p>
    <w:p w14:paraId="231BC43C"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Skysčio sulaikymas, sukeliantis patinimą (edemą), ypač kulkšnių </w:t>
      </w:r>
    </w:p>
    <w:p w14:paraId="7B43E6B1" w14:textId="77777777" w:rsidR="00710393" w:rsidRPr="003E78EA" w:rsidRDefault="00710393" w:rsidP="00710393">
      <w:pPr>
        <w:widowControl/>
        <w:numPr>
          <w:ilvl w:val="0"/>
          <w:numId w:val="28"/>
        </w:numPr>
        <w:adjustRightInd w:val="0"/>
        <w:spacing w:after="38"/>
        <w:ind w:left="567" w:hanging="567"/>
        <w:rPr>
          <w:color w:val="000000"/>
          <w:lang w:val="lt-LT"/>
        </w:rPr>
      </w:pPr>
      <w:r w:rsidRPr="003E78EA">
        <w:rPr>
          <w:color w:val="000000"/>
          <w:lang w:val="lt-LT"/>
        </w:rPr>
        <w:t>Nenormalus gliukozės metabolizmas (</w:t>
      </w:r>
      <w:r w:rsidR="00810D6D" w:rsidRPr="003E78EA">
        <w:rPr>
          <w:color w:val="000000"/>
          <w:lang w:val="lt-LT"/>
        </w:rPr>
        <w:t xml:space="preserve">cukrinis </w:t>
      </w:r>
      <w:r w:rsidRPr="003E78EA">
        <w:rPr>
          <w:color w:val="000000"/>
          <w:lang w:val="lt-LT"/>
        </w:rPr>
        <w:t xml:space="preserve">diabetas); gydytojas gali norėti įvertinti cukraus kiekį kraujyje, kad lengviau nustatytų, ar jis pasireiškė. </w:t>
      </w:r>
    </w:p>
    <w:p w14:paraId="76F61DA4" w14:textId="3E5A8916" w:rsidR="00710393" w:rsidRPr="003E78EA" w:rsidRDefault="00710393" w:rsidP="00710393">
      <w:pPr>
        <w:widowControl/>
        <w:numPr>
          <w:ilvl w:val="0"/>
          <w:numId w:val="28"/>
        </w:numPr>
        <w:adjustRightInd w:val="0"/>
        <w:spacing w:after="38"/>
        <w:ind w:left="567" w:hanging="567"/>
        <w:rPr>
          <w:color w:val="000000"/>
          <w:lang w:val="lt-LT"/>
        </w:rPr>
      </w:pPr>
      <w:r w:rsidRPr="003E78EA">
        <w:rPr>
          <w:color w:val="000000"/>
          <w:lang w:val="lt-LT"/>
        </w:rPr>
        <w:lastRenderedPageBreak/>
        <w:t>Kartais Allopurinol Accord tabletės gali paveikti jūsų kraują</w:t>
      </w:r>
      <w:r w:rsidR="00D85DB9" w:rsidRPr="002748BD">
        <w:rPr>
          <w:color w:val="000000"/>
          <w:lang w:val="lt-LT"/>
        </w:rPr>
        <w:t>, todėl gali</w:t>
      </w:r>
      <w:r w:rsidRPr="003E78EA">
        <w:rPr>
          <w:color w:val="000000"/>
          <w:lang w:val="lt-LT"/>
        </w:rPr>
        <w:t xml:space="preserve"> lengviau nei </w:t>
      </w:r>
      <w:r w:rsidRPr="002748BD">
        <w:rPr>
          <w:color w:val="000000"/>
          <w:lang w:val="lt-LT"/>
        </w:rPr>
        <w:t>įprasta</w:t>
      </w:r>
      <w:r w:rsidR="00D85DB9" w:rsidRPr="002748BD">
        <w:rPr>
          <w:color w:val="000000"/>
          <w:lang w:val="lt-LT"/>
        </w:rPr>
        <w:t>i</w:t>
      </w:r>
      <w:r w:rsidRPr="002748BD">
        <w:rPr>
          <w:color w:val="000000"/>
          <w:lang w:val="lt-LT"/>
        </w:rPr>
        <w:t xml:space="preserve"> </w:t>
      </w:r>
      <w:r w:rsidR="00D85DB9" w:rsidRPr="002748BD">
        <w:rPr>
          <w:color w:val="000000"/>
          <w:lang w:val="lt-LT"/>
        </w:rPr>
        <w:t>atsirasti</w:t>
      </w:r>
      <w:r w:rsidRPr="003E78EA">
        <w:rPr>
          <w:color w:val="000000"/>
          <w:lang w:val="lt-LT"/>
        </w:rPr>
        <w:t xml:space="preserve"> </w:t>
      </w:r>
      <w:r w:rsidR="00810D6D" w:rsidRPr="003E78EA">
        <w:rPr>
          <w:color w:val="000000"/>
          <w:lang w:val="lt-LT"/>
        </w:rPr>
        <w:t>kraujosruvos (</w:t>
      </w:r>
      <w:r w:rsidRPr="003E78EA">
        <w:rPr>
          <w:color w:val="000000"/>
          <w:lang w:val="lt-LT"/>
        </w:rPr>
        <w:t>mėlynės</w:t>
      </w:r>
      <w:r w:rsidR="00810D6D" w:rsidRPr="003E78EA">
        <w:rPr>
          <w:color w:val="000000"/>
          <w:lang w:val="lt-LT"/>
        </w:rPr>
        <w:t>)</w:t>
      </w:r>
      <w:r w:rsidRPr="003E78EA">
        <w:rPr>
          <w:color w:val="000000"/>
          <w:lang w:val="lt-LT"/>
        </w:rPr>
        <w:t xml:space="preserve">, arba </w:t>
      </w:r>
      <w:r w:rsidR="00D85DB9" w:rsidRPr="002748BD">
        <w:rPr>
          <w:color w:val="000000"/>
          <w:lang w:val="lt-LT"/>
        </w:rPr>
        <w:t>gali atsirasti</w:t>
      </w:r>
      <w:r w:rsidRPr="003E78EA">
        <w:rPr>
          <w:color w:val="000000"/>
          <w:lang w:val="lt-LT"/>
        </w:rPr>
        <w:t xml:space="preserve"> gerklės skausmas ar kitų infekcijos požymių. Toks poveikis paprastai pasireiškia žmonėms, turintiems kepenų ar inkstų sutrikimų. Kuo greičiau apie tai pasakykite gydytojui.</w:t>
      </w:r>
    </w:p>
    <w:p w14:paraId="5ADC1AD5"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Allopurinol Accord gali paveikti limfmazgius. </w:t>
      </w:r>
    </w:p>
    <w:p w14:paraId="48FE39C4"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Vyrų nevaisingumas, impotencija </w:t>
      </w:r>
    </w:p>
    <w:p w14:paraId="5BFAEC9E"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Vyrų ir moterų krūtų padidėjimas </w:t>
      </w:r>
    </w:p>
    <w:p w14:paraId="44545020"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Vidurių veiklos pokyčiai </w:t>
      </w:r>
    </w:p>
    <w:p w14:paraId="7192B696" w14:textId="77777777" w:rsidR="00710393" w:rsidRPr="003E78EA" w:rsidRDefault="00710393" w:rsidP="003E78EA">
      <w:pPr>
        <w:widowControl/>
        <w:numPr>
          <w:ilvl w:val="0"/>
          <w:numId w:val="28"/>
        </w:numPr>
        <w:adjustRightInd w:val="0"/>
        <w:spacing w:after="38"/>
        <w:ind w:left="567" w:hanging="567"/>
        <w:rPr>
          <w:color w:val="000000"/>
          <w:lang w:val="lt-LT"/>
        </w:rPr>
      </w:pPr>
      <w:r w:rsidRPr="003E78EA">
        <w:rPr>
          <w:color w:val="000000"/>
          <w:lang w:val="lt-LT"/>
        </w:rPr>
        <w:t xml:space="preserve">Skonio suvokimo pokyčiai </w:t>
      </w:r>
    </w:p>
    <w:p w14:paraId="247385F7" w14:textId="77777777" w:rsidR="00710393" w:rsidRPr="003E78EA" w:rsidRDefault="00710393" w:rsidP="006C14E4">
      <w:pPr>
        <w:widowControl/>
        <w:numPr>
          <w:ilvl w:val="0"/>
          <w:numId w:val="28"/>
        </w:numPr>
        <w:adjustRightInd w:val="0"/>
        <w:spacing w:after="38"/>
        <w:ind w:left="567" w:hanging="567"/>
        <w:rPr>
          <w:color w:val="000000"/>
          <w:lang w:val="lt-LT"/>
        </w:rPr>
      </w:pPr>
      <w:r w:rsidRPr="003E78EA">
        <w:rPr>
          <w:color w:val="000000"/>
          <w:lang w:val="lt-LT"/>
        </w:rPr>
        <w:t xml:space="preserve">Katarakta </w:t>
      </w:r>
    </w:p>
    <w:p w14:paraId="7EE716BD" w14:textId="77777777" w:rsidR="00710393" w:rsidRPr="003E78EA" w:rsidRDefault="00710393" w:rsidP="006C14E4">
      <w:pPr>
        <w:widowControl/>
        <w:numPr>
          <w:ilvl w:val="0"/>
          <w:numId w:val="28"/>
        </w:numPr>
        <w:adjustRightInd w:val="0"/>
        <w:spacing w:after="38"/>
        <w:ind w:left="567" w:hanging="567"/>
        <w:rPr>
          <w:color w:val="000000"/>
          <w:lang w:val="lt-LT"/>
        </w:rPr>
      </w:pPr>
      <w:r w:rsidRPr="003E78EA">
        <w:rPr>
          <w:color w:val="000000"/>
          <w:lang w:val="lt-LT"/>
        </w:rPr>
        <w:t xml:space="preserve">Plaukų slinkimas ar spalvos išblukimas </w:t>
      </w:r>
    </w:p>
    <w:p w14:paraId="026051D7" w14:textId="77777777" w:rsidR="00710393" w:rsidRPr="003E78EA" w:rsidRDefault="00710393" w:rsidP="006C14E4">
      <w:pPr>
        <w:widowControl/>
        <w:numPr>
          <w:ilvl w:val="0"/>
          <w:numId w:val="28"/>
        </w:numPr>
        <w:adjustRightInd w:val="0"/>
        <w:spacing w:after="38"/>
        <w:ind w:left="567" w:hanging="567"/>
        <w:rPr>
          <w:color w:val="000000"/>
          <w:lang w:val="lt-LT"/>
        </w:rPr>
      </w:pPr>
      <w:r w:rsidRPr="003E78EA">
        <w:rPr>
          <w:color w:val="000000"/>
          <w:lang w:val="lt-LT"/>
        </w:rPr>
        <w:t xml:space="preserve">Depresija </w:t>
      </w:r>
    </w:p>
    <w:p w14:paraId="44305E47" w14:textId="77777777" w:rsidR="00710393" w:rsidRPr="003E78EA" w:rsidRDefault="00710393" w:rsidP="006C14E4">
      <w:pPr>
        <w:widowControl/>
        <w:numPr>
          <w:ilvl w:val="0"/>
          <w:numId w:val="28"/>
        </w:numPr>
        <w:adjustRightInd w:val="0"/>
        <w:spacing w:after="38"/>
        <w:ind w:left="567" w:hanging="567"/>
        <w:rPr>
          <w:color w:val="000000"/>
          <w:lang w:val="lt-LT"/>
        </w:rPr>
      </w:pPr>
      <w:r w:rsidRPr="003E78EA">
        <w:rPr>
          <w:color w:val="000000"/>
          <w:lang w:val="lt-LT"/>
        </w:rPr>
        <w:t xml:space="preserve">Valingos raumenų judėjimo koordinacijos nebuvimas (ataksija) </w:t>
      </w:r>
    </w:p>
    <w:p w14:paraId="0E9D93FA" w14:textId="77777777" w:rsidR="00710393" w:rsidRPr="003E78EA" w:rsidRDefault="00710393" w:rsidP="006C14E4">
      <w:pPr>
        <w:widowControl/>
        <w:numPr>
          <w:ilvl w:val="0"/>
          <w:numId w:val="28"/>
        </w:numPr>
        <w:adjustRightInd w:val="0"/>
        <w:ind w:left="567" w:hanging="567"/>
        <w:rPr>
          <w:color w:val="000000"/>
          <w:lang w:val="lt-LT"/>
        </w:rPr>
      </w:pPr>
      <w:r w:rsidRPr="003E78EA">
        <w:rPr>
          <w:color w:val="000000"/>
          <w:lang w:val="lt-LT"/>
        </w:rPr>
        <w:t xml:space="preserve">Odos dilgčiojimo, kutenimo, niežėjimo ar degimo pojūtis (parestezija) </w:t>
      </w:r>
    </w:p>
    <w:p w14:paraId="39435BE9" w14:textId="5C119982" w:rsidR="00C577E8" w:rsidRDefault="00C577E8" w:rsidP="00C577E8">
      <w:pPr>
        <w:widowControl/>
        <w:adjustRightInd w:val="0"/>
        <w:rPr>
          <w:color w:val="000000"/>
          <w:lang w:val="lt-LT"/>
        </w:rPr>
      </w:pPr>
    </w:p>
    <w:p w14:paraId="0EF9F264" w14:textId="4376FE97" w:rsidR="00C577E8" w:rsidRPr="00C577E8" w:rsidRDefault="00C577E8" w:rsidP="00C577E8">
      <w:pPr>
        <w:widowControl/>
        <w:tabs>
          <w:tab w:val="left" w:pos="3321"/>
        </w:tabs>
        <w:autoSpaceDE/>
        <w:autoSpaceDN/>
        <w:jc w:val="both"/>
        <w:rPr>
          <w:rFonts w:eastAsia="Calibri"/>
          <w:lang w:val="lt-LT"/>
        </w:rPr>
      </w:pPr>
      <w:r w:rsidRPr="00C577E8">
        <w:rPr>
          <w:rFonts w:eastAsia="Calibri"/>
          <w:b/>
          <w:lang w:val="lt-LT"/>
        </w:rPr>
        <w:t>Dažnis nežinomas</w:t>
      </w:r>
      <w:r w:rsidRPr="00C577E8">
        <w:rPr>
          <w:rFonts w:eastAsia="Calibri"/>
          <w:lang w:val="lt-LT"/>
        </w:rPr>
        <w:t xml:space="preserve"> (negali būti apskaičiuotas pagal turimus duomenis)</w:t>
      </w:r>
    </w:p>
    <w:p w14:paraId="01B43DC1" w14:textId="6A4D34E6" w:rsidR="00C577E8" w:rsidRDefault="00C577E8" w:rsidP="005E6848">
      <w:pPr>
        <w:pStyle w:val="Sraopastraipa"/>
        <w:widowControl/>
        <w:numPr>
          <w:ilvl w:val="0"/>
          <w:numId w:val="29"/>
        </w:numPr>
        <w:adjustRightInd w:val="0"/>
        <w:ind w:left="567" w:hanging="567"/>
        <w:rPr>
          <w:color w:val="000000"/>
          <w:lang w:val="lt-LT"/>
        </w:rPr>
      </w:pPr>
      <w:r w:rsidRPr="005E6848">
        <w:rPr>
          <w:color w:val="000000"/>
          <w:lang w:val="lt-LT"/>
        </w:rPr>
        <w:t>Aseptinis meningitas (galvos ir nugaros smegenis gaubiančių dangalų uždegimas): simptomai, kurie gali pasireikšti, yra kaklo sąstingis, galvos skausmas, pykinimas, karščiavimas ar sąmonės pritemimas. Jeigu atsiranda tokių simptomų, nedelsdami kreipkitės į gydytoją.</w:t>
      </w:r>
    </w:p>
    <w:p w14:paraId="2A7F5F10" w14:textId="7F62F0E3" w:rsidR="00AD6204" w:rsidRPr="005E6848" w:rsidRDefault="006D5474" w:rsidP="005E6848">
      <w:pPr>
        <w:pStyle w:val="Sraopastraipa"/>
        <w:widowControl/>
        <w:numPr>
          <w:ilvl w:val="0"/>
          <w:numId w:val="29"/>
        </w:numPr>
        <w:adjustRightInd w:val="0"/>
        <w:ind w:left="567" w:hanging="567"/>
        <w:rPr>
          <w:color w:val="000000"/>
          <w:lang w:val="lt-LT"/>
        </w:rPr>
      </w:pPr>
      <w:r w:rsidRPr="00AE6E76">
        <w:rPr>
          <w:color w:val="000000"/>
          <w:lang w:val="pt-PT"/>
        </w:rPr>
        <w:t>Lichenoidinis odos išbėrimas (niežtintis rausvai violetinis odos išbėrimas ir (arba) siūlinės baltai pilkos linijos ant gleivinės)</w:t>
      </w:r>
    </w:p>
    <w:p w14:paraId="4E42A18E" w14:textId="77777777" w:rsidR="00710393" w:rsidRPr="000A5826" w:rsidRDefault="00710393" w:rsidP="00710393">
      <w:pPr>
        <w:pStyle w:val="prastasiniatinklio"/>
        <w:shd w:val="clear" w:color="auto" w:fill="FFFFFF"/>
        <w:spacing w:before="0" w:beforeAutospacing="0" w:after="0" w:afterAutospacing="0" w:line="240" w:lineRule="atLeast"/>
        <w:rPr>
          <w:color w:val="000000"/>
          <w:sz w:val="22"/>
          <w:szCs w:val="22"/>
        </w:rPr>
      </w:pPr>
    </w:p>
    <w:p w14:paraId="6D3CA637" w14:textId="77777777" w:rsidR="00C63F62" w:rsidRPr="003E78EA" w:rsidRDefault="00C63F62" w:rsidP="00C63F62">
      <w:pPr>
        <w:tabs>
          <w:tab w:val="left" w:pos="567"/>
        </w:tabs>
        <w:rPr>
          <w:b/>
          <w:lang w:val="lt-LT"/>
        </w:rPr>
      </w:pPr>
      <w:r w:rsidRPr="003E78EA">
        <w:rPr>
          <w:b/>
          <w:lang w:val="lt-LT"/>
        </w:rPr>
        <w:t>Pranešimas apie šalutinį poveikį</w:t>
      </w:r>
    </w:p>
    <w:p w14:paraId="4AC17FD2" w14:textId="42345C4F" w:rsidR="00C63F62" w:rsidRPr="003E78EA" w:rsidRDefault="00C63F62" w:rsidP="00C63F62">
      <w:pPr>
        <w:tabs>
          <w:tab w:val="left" w:pos="567"/>
        </w:tabs>
        <w:ind w:right="-449"/>
        <w:rPr>
          <w:lang w:val="lt-LT"/>
        </w:rPr>
      </w:pPr>
      <w:r w:rsidRPr="003E78EA">
        <w:rPr>
          <w:lang w:val="lt-LT"/>
        </w:rPr>
        <w:t xml:space="preserve">Jeigu pasireiškė šalutinis poveikis, įskaitant šiame lapelyje nenurodytą, pasakykite gydytojui, vaistininkui arba </w:t>
      </w:r>
      <w:r w:rsidR="00FD691E" w:rsidRPr="00FD691E">
        <w:rPr>
          <w:lang w:val="lt-LT"/>
        </w:rPr>
        <w:t>slaugytojui</w:t>
      </w:r>
      <w:r w:rsidRPr="003E78EA">
        <w:rPr>
          <w:lang w:val="lt-LT"/>
        </w:rPr>
        <w:t xml:space="preserve">. </w:t>
      </w:r>
      <w:r w:rsidR="00945321" w:rsidRPr="00945321">
        <w:rPr>
          <w:lang w:val="lt-LT"/>
        </w:rPr>
        <w:t xml:space="preserve">Pranešimą apie šalutinį poveikį galite </w:t>
      </w:r>
      <w:r w:rsidR="00A613E0" w:rsidRPr="00A613E0">
        <w:rPr>
          <w:lang w:val="lt-LT"/>
        </w:rPr>
        <w:t xml:space="preserve">užpildyti ir pateikti Valstybinės vaistų kontrolės tarnybos prie Lietuvos Respublikos sveikatos apsaugos ministerijos tinklalapyje </w:t>
      </w:r>
      <w:r w:rsidR="00A613E0" w:rsidRPr="00A613E0">
        <w:rPr>
          <w:u w:val="single"/>
          <w:lang w:val="lt-LT"/>
        </w:rPr>
        <w:t>https://vvkt.lrv.lt/lt/</w:t>
      </w:r>
      <w:r w:rsidR="00A613E0" w:rsidRPr="00A613E0">
        <w:rPr>
          <w:lang w:val="lt-LT"/>
        </w:rPr>
        <w:t xml:space="preserve"> nurodytais būdais arba paskambinti nemokamu telefonu 8 800 73 568. Pranešdami apie šalutinį poveikį galite mums padėti gauti daugiau informacijos apie šio vaisto saugumą.</w:t>
      </w:r>
    </w:p>
    <w:p w14:paraId="7C516E3B" w14:textId="77777777" w:rsidR="00710393" w:rsidRPr="003E78EA" w:rsidRDefault="00710393" w:rsidP="00710393">
      <w:pPr>
        <w:pStyle w:val="BodytextAgency"/>
        <w:spacing w:after="0" w:line="240" w:lineRule="auto"/>
        <w:rPr>
          <w:rFonts w:ascii="Times New Roman" w:hAnsi="Times New Roman"/>
          <w:sz w:val="22"/>
        </w:rPr>
      </w:pPr>
    </w:p>
    <w:p w14:paraId="5AFED08F" w14:textId="77777777" w:rsidR="00710393" w:rsidRPr="003E78EA" w:rsidRDefault="00710393" w:rsidP="00710393">
      <w:pPr>
        <w:pStyle w:val="BodytextAgency"/>
        <w:spacing w:after="0" w:line="240" w:lineRule="auto"/>
        <w:rPr>
          <w:rFonts w:ascii="Times New Roman" w:hAnsi="Times New Roman"/>
          <w:sz w:val="22"/>
        </w:rPr>
      </w:pPr>
    </w:p>
    <w:p w14:paraId="7C93D2FD" w14:textId="77777777" w:rsidR="00710393" w:rsidRPr="003E78EA" w:rsidRDefault="00710393" w:rsidP="00710393">
      <w:pPr>
        <w:numPr>
          <w:ilvl w:val="12"/>
          <w:numId w:val="0"/>
        </w:numPr>
        <w:ind w:left="567" w:right="-2" w:hanging="567"/>
        <w:rPr>
          <w:lang w:val="lt-LT"/>
        </w:rPr>
      </w:pPr>
      <w:r w:rsidRPr="003E78EA">
        <w:rPr>
          <w:b/>
          <w:lang w:val="lt-LT"/>
        </w:rPr>
        <w:t>5.</w:t>
      </w:r>
      <w:r w:rsidRPr="003E78EA">
        <w:rPr>
          <w:b/>
          <w:lang w:val="lt-LT"/>
        </w:rPr>
        <w:tab/>
        <w:t>Kaip laikyti Allopurinol Accord</w:t>
      </w:r>
    </w:p>
    <w:p w14:paraId="4E123A55" w14:textId="77777777" w:rsidR="00710393" w:rsidRPr="003E78EA" w:rsidRDefault="00710393" w:rsidP="00710393">
      <w:pPr>
        <w:numPr>
          <w:ilvl w:val="12"/>
          <w:numId w:val="0"/>
        </w:numPr>
        <w:ind w:right="-2"/>
        <w:rPr>
          <w:lang w:val="lt-LT"/>
        </w:rPr>
      </w:pPr>
    </w:p>
    <w:p w14:paraId="2C54A3A0" w14:textId="4A9A4653" w:rsidR="00710393" w:rsidRPr="003E78EA" w:rsidRDefault="0056319A" w:rsidP="00710393">
      <w:pPr>
        <w:numPr>
          <w:ilvl w:val="12"/>
          <w:numId w:val="0"/>
        </w:numPr>
        <w:ind w:right="-2"/>
        <w:rPr>
          <w:lang w:val="lt-LT"/>
        </w:rPr>
      </w:pPr>
      <w:r w:rsidRPr="003E78EA">
        <w:rPr>
          <w:lang w:val="lt-LT"/>
        </w:rPr>
        <w:t>Š</w:t>
      </w:r>
      <w:r w:rsidR="00710393" w:rsidRPr="003E78EA">
        <w:rPr>
          <w:lang w:val="lt-LT"/>
        </w:rPr>
        <w:t xml:space="preserve">į vaistą </w:t>
      </w:r>
      <w:r w:rsidRPr="003E78EA">
        <w:rPr>
          <w:lang w:val="lt-LT"/>
        </w:rPr>
        <w:t xml:space="preserve">laikykite </w:t>
      </w:r>
      <w:r w:rsidR="00710393" w:rsidRPr="003E78EA">
        <w:rPr>
          <w:lang w:val="lt-LT"/>
        </w:rPr>
        <w:t>vaikams nepastebimoje ir nepasiekiamoje vietoje.</w:t>
      </w:r>
    </w:p>
    <w:p w14:paraId="4615F54F" w14:textId="77777777" w:rsidR="00710393" w:rsidRPr="003E78EA" w:rsidRDefault="00710393" w:rsidP="00710393">
      <w:pPr>
        <w:numPr>
          <w:ilvl w:val="12"/>
          <w:numId w:val="0"/>
        </w:numPr>
        <w:ind w:right="-2"/>
        <w:rPr>
          <w:lang w:val="lt-LT"/>
        </w:rPr>
      </w:pPr>
    </w:p>
    <w:p w14:paraId="5370BCC7" w14:textId="280A6231" w:rsidR="00710393" w:rsidRPr="003E78EA" w:rsidRDefault="00710393" w:rsidP="00710393">
      <w:pPr>
        <w:numPr>
          <w:ilvl w:val="12"/>
          <w:numId w:val="0"/>
        </w:numPr>
        <w:ind w:right="-2"/>
        <w:rPr>
          <w:lang w:val="lt-LT"/>
        </w:rPr>
      </w:pPr>
      <w:r w:rsidRPr="003E78EA">
        <w:rPr>
          <w:lang w:val="lt-LT"/>
        </w:rPr>
        <w:t xml:space="preserve">Ant lizdinės plokštelės ir kartono dėžutės </w:t>
      </w:r>
      <w:r w:rsidR="0056319A" w:rsidRPr="003E78EA">
        <w:rPr>
          <w:lang w:val="lt-LT"/>
        </w:rPr>
        <w:t xml:space="preserve">po </w:t>
      </w:r>
      <w:r w:rsidR="003B217B">
        <w:rPr>
          <w:lang w:val="lt-LT"/>
        </w:rPr>
        <w:t>„</w:t>
      </w:r>
      <w:r w:rsidR="0056319A" w:rsidRPr="003E78EA">
        <w:rPr>
          <w:lang w:val="lt-LT"/>
        </w:rPr>
        <w:t>EXP</w:t>
      </w:r>
      <w:r w:rsidR="003B217B">
        <w:rPr>
          <w:lang w:val="lt-LT"/>
        </w:rPr>
        <w:t>“</w:t>
      </w:r>
      <w:r w:rsidR="0056319A" w:rsidRPr="003E78EA">
        <w:rPr>
          <w:lang w:val="lt-LT"/>
        </w:rPr>
        <w:t xml:space="preserve"> </w:t>
      </w:r>
      <w:r w:rsidRPr="003E78EA">
        <w:rPr>
          <w:lang w:val="lt-LT"/>
        </w:rPr>
        <w:t>nurodytam tinkamumo laikui pasibaigus, šio vaisto vartoti negalima. Vaistas tinkamas vartoti iki paskutinės nurodyto mėnesio dienos.</w:t>
      </w:r>
    </w:p>
    <w:p w14:paraId="2706F968" w14:textId="77777777" w:rsidR="00710393" w:rsidRPr="003E78EA" w:rsidRDefault="00710393" w:rsidP="00710393">
      <w:pPr>
        <w:numPr>
          <w:ilvl w:val="12"/>
          <w:numId w:val="0"/>
        </w:numPr>
        <w:ind w:right="-2"/>
        <w:rPr>
          <w:lang w:val="lt-LT"/>
        </w:rPr>
      </w:pPr>
    </w:p>
    <w:p w14:paraId="519ADFD3" w14:textId="3165C9D8" w:rsidR="00710393" w:rsidRPr="003E78EA" w:rsidRDefault="00710393" w:rsidP="00710393">
      <w:pPr>
        <w:numPr>
          <w:ilvl w:val="12"/>
          <w:numId w:val="0"/>
        </w:numPr>
        <w:ind w:right="-2"/>
        <w:rPr>
          <w:lang w:val="lt-LT"/>
        </w:rPr>
      </w:pPr>
      <w:r w:rsidRPr="003E78EA">
        <w:rPr>
          <w:lang w:val="lt-LT"/>
        </w:rPr>
        <w:t xml:space="preserve">Laikyti žemesnėje </w:t>
      </w:r>
      <w:r w:rsidR="0056319A" w:rsidRPr="003E78EA">
        <w:rPr>
          <w:lang w:val="lt-LT"/>
        </w:rPr>
        <w:t xml:space="preserve">kaip </w:t>
      </w:r>
      <w:r w:rsidRPr="003E78EA">
        <w:rPr>
          <w:lang w:val="lt-LT"/>
        </w:rPr>
        <w:t>30</w:t>
      </w:r>
      <w:r w:rsidR="003B217B">
        <w:rPr>
          <w:lang w:val="lt-LT"/>
        </w:rPr>
        <w:t> </w:t>
      </w:r>
      <w:r w:rsidRPr="003E78EA">
        <w:rPr>
          <w:lang w:val="lt-LT"/>
        </w:rPr>
        <w:t>°C temperatūroje.</w:t>
      </w:r>
    </w:p>
    <w:p w14:paraId="3D8981B6" w14:textId="77777777" w:rsidR="00710393" w:rsidRPr="003E78EA" w:rsidRDefault="00710393" w:rsidP="00710393">
      <w:pPr>
        <w:numPr>
          <w:ilvl w:val="12"/>
          <w:numId w:val="0"/>
        </w:numPr>
        <w:ind w:right="-2"/>
        <w:rPr>
          <w:lang w:val="lt-LT"/>
        </w:rPr>
      </w:pPr>
    </w:p>
    <w:p w14:paraId="5F41F7B6" w14:textId="77777777" w:rsidR="00710393" w:rsidRPr="003E78EA" w:rsidRDefault="00710393" w:rsidP="00710393">
      <w:pPr>
        <w:numPr>
          <w:ilvl w:val="12"/>
          <w:numId w:val="0"/>
        </w:numPr>
        <w:ind w:right="-2"/>
        <w:rPr>
          <w:lang w:val="lt-LT"/>
        </w:rPr>
      </w:pPr>
      <w:r w:rsidRPr="003E78EA">
        <w:rPr>
          <w:lang w:val="lt-LT"/>
        </w:rPr>
        <w:t>Vaistų negalima išmesti į kanalizaciją arba su buitinėmis atliekomis. Kaip išmesti nereikalingus vaistus, klauskite vaistininko. Šios priemonės padės apsaugoti aplinką.</w:t>
      </w:r>
    </w:p>
    <w:p w14:paraId="00C8DDBC" w14:textId="77777777" w:rsidR="00710393" w:rsidRPr="003E78EA" w:rsidRDefault="00710393" w:rsidP="00710393">
      <w:pPr>
        <w:numPr>
          <w:ilvl w:val="12"/>
          <w:numId w:val="0"/>
        </w:numPr>
        <w:ind w:right="-2"/>
        <w:rPr>
          <w:lang w:val="lt-LT"/>
        </w:rPr>
      </w:pPr>
    </w:p>
    <w:p w14:paraId="34EF15E4" w14:textId="77777777" w:rsidR="00710393" w:rsidRPr="003E78EA" w:rsidRDefault="00710393" w:rsidP="00710393">
      <w:pPr>
        <w:numPr>
          <w:ilvl w:val="12"/>
          <w:numId w:val="0"/>
        </w:numPr>
        <w:ind w:right="-2"/>
        <w:rPr>
          <w:lang w:val="lt-LT"/>
        </w:rPr>
      </w:pPr>
    </w:p>
    <w:p w14:paraId="5327A631" w14:textId="77777777" w:rsidR="00710393" w:rsidRPr="003E78EA" w:rsidRDefault="00710393" w:rsidP="00710393">
      <w:pPr>
        <w:numPr>
          <w:ilvl w:val="12"/>
          <w:numId w:val="0"/>
        </w:numPr>
        <w:ind w:right="-2"/>
        <w:rPr>
          <w:b/>
          <w:lang w:val="lt-LT"/>
        </w:rPr>
      </w:pPr>
      <w:r w:rsidRPr="003E78EA">
        <w:rPr>
          <w:b/>
          <w:lang w:val="lt-LT"/>
        </w:rPr>
        <w:t>6.</w:t>
      </w:r>
      <w:r w:rsidRPr="003E78EA">
        <w:rPr>
          <w:b/>
          <w:lang w:val="lt-LT"/>
        </w:rPr>
        <w:tab/>
        <w:t>Pakuotės turinys ir kita informacija</w:t>
      </w:r>
    </w:p>
    <w:p w14:paraId="331F8D64" w14:textId="77777777" w:rsidR="00710393" w:rsidRPr="003E78EA" w:rsidRDefault="00710393" w:rsidP="00710393">
      <w:pPr>
        <w:numPr>
          <w:ilvl w:val="12"/>
          <w:numId w:val="0"/>
        </w:numPr>
        <w:ind w:right="-2"/>
        <w:rPr>
          <w:lang w:val="lt-LT"/>
        </w:rPr>
      </w:pPr>
    </w:p>
    <w:p w14:paraId="5C80008E" w14:textId="77777777" w:rsidR="00710393" w:rsidRPr="003E78EA" w:rsidRDefault="00710393" w:rsidP="00710393">
      <w:pPr>
        <w:numPr>
          <w:ilvl w:val="12"/>
          <w:numId w:val="0"/>
        </w:numPr>
        <w:ind w:right="-2"/>
        <w:rPr>
          <w:b/>
          <w:lang w:val="lt-LT"/>
        </w:rPr>
      </w:pPr>
      <w:r w:rsidRPr="003E78EA">
        <w:rPr>
          <w:b/>
          <w:lang w:val="lt-LT"/>
        </w:rPr>
        <w:t>Allopurinol Accord sudėtis</w:t>
      </w:r>
    </w:p>
    <w:p w14:paraId="35A22F83" w14:textId="77777777" w:rsidR="00710393" w:rsidRPr="003E78EA" w:rsidRDefault="00710393" w:rsidP="00710393">
      <w:pPr>
        <w:numPr>
          <w:ilvl w:val="12"/>
          <w:numId w:val="0"/>
        </w:numPr>
        <w:ind w:right="-2"/>
        <w:rPr>
          <w:u w:val="single"/>
          <w:lang w:val="lt-LT"/>
        </w:rPr>
      </w:pPr>
    </w:p>
    <w:p w14:paraId="2A058BF5" w14:textId="045EAAD1" w:rsidR="00710393" w:rsidRPr="003E78EA" w:rsidRDefault="00710393" w:rsidP="00710393">
      <w:pPr>
        <w:ind w:right="-2"/>
        <w:rPr>
          <w:lang w:val="lt-LT"/>
        </w:rPr>
      </w:pPr>
      <w:r w:rsidRPr="003E78EA">
        <w:rPr>
          <w:lang w:val="lt-LT"/>
        </w:rPr>
        <w:t>Veiklioji medžiaga yra alopurinolis.</w:t>
      </w:r>
    </w:p>
    <w:p w14:paraId="31D707E7" w14:textId="2AFE0878" w:rsidR="00710393" w:rsidRPr="003E78EA" w:rsidRDefault="00710393" w:rsidP="00710393">
      <w:pPr>
        <w:adjustRightInd w:val="0"/>
        <w:rPr>
          <w:lang w:val="lt-LT"/>
        </w:rPr>
      </w:pPr>
      <w:r w:rsidRPr="003E78EA">
        <w:rPr>
          <w:lang w:val="lt-LT"/>
        </w:rPr>
        <w:t>Allopurinol Accord 100</w:t>
      </w:r>
      <w:r w:rsidR="0056319A" w:rsidRPr="003E78EA">
        <w:rPr>
          <w:lang w:val="lt-LT"/>
        </w:rPr>
        <w:t> </w:t>
      </w:r>
      <w:r w:rsidRPr="003E78EA">
        <w:rPr>
          <w:lang w:val="lt-LT"/>
        </w:rPr>
        <w:t>mg: kiekvienoje tabletėje yra 100</w:t>
      </w:r>
      <w:r w:rsidR="0056319A" w:rsidRPr="003E78EA">
        <w:rPr>
          <w:lang w:val="lt-LT"/>
        </w:rPr>
        <w:t> </w:t>
      </w:r>
      <w:r w:rsidRPr="003E78EA">
        <w:rPr>
          <w:lang w:val="lt-LT"/>
        </w:rPr>
        <w:t>mg alopurinolio.</w:t>
      </w:r>
    </w:p>
    <w:p w14:paraId="2156F0DA" w14:textId="4E2E5E4A" w:rsidR="00710393" w:rsidRPr="003E78EA" w:rsidRDefault="00710393" w:rsidP="00710393">
      <w:pPr>
        <w:adjustRightInd w:val="0"/>
        <w:rPr>
          <w:lang w:val="lt-LT"/>
        </w:rPr>
      </w:pPr>
      <w:r w:rsidRPr="003E78EA">
        <w:rPr>
          <w:lang w:val="lt-LT"/>
        </w:rPr>
        <w:t>Allopurinol Accord 300</w:t>
      </w:r>
      <w:r w:rsidR="0056319A" w:rsidRPr="003E78EA">
        <w:rPr>
          <w:lang w:val="lt-LT"/>
        </w:rPr>
        <w:t> </w:t>
      </w:r>
      <w:r w:rsidRPr="003E78EA">
        <w:rPr>
          <w:lang w:val="lt-LT"/>
        </w:rPr>
        <w:t>mg: k</w:t>
      </w:r>
      <w:r w:rsidRPr="003E78EA">
        <w:rPr>
          <w:color w:val="000000"/>
          <w:lang w:val="lt-LT"/>
        </w:rPr>
        <w:t>iekvienoje tabletėje yra 300</w:t>
      </w:r>
      <w:r w:rsidR="0056319A" w:rsidRPr="003E78EA">
        <w:rPr>
          <w:color w:val="000000"/>
          <w:lang w:val="lt-LT"/>
        </w:rPr>
        <w:t> </w:t>
      </w:r>
      <w:r w:rsidRPr="003E78EA">
        <w:rPr>
          <w:color w:val="000000"/>
          <w:lang w:val="lt-LT"/>
        </w:rPr>
        <w:t>mg alopurinolio</w:t>
      </w:r>
      <w:r w:rsidRPr="003E78EA">
        <w:rPr>
          <w:lang w:val="lt-LT"/>
        </w:rPr>
        <w:t>.</w:t>
      </w:r>
    </w:p>
    <w:p w14:paraId="1F629D0F" w14:textId="77777777" w:rsidR="00710393" w:rsidRPr="003E78EA" w:rsidRDefault="00710393" w:rsidP="00710393">
      <w:pPr>
        <w:adjustRightInd w:val="0"/>
        <w:rPr>
          <w:lang w:val="lt-LT"/>
        </w:rPr>
      </w:pPr>
    </w:p>
    <w:p w14:paraId="25301554" w14:textId="63E4191E" w:rsidR="00710393" w:rsidRPr="003E78EA" w:rsidRDefault="0056319A" w:rsidP="00710393">
      <w:pPr>
        <w:rPr>
          <w:lang w:val="lt-LT"/>
        </w:rPr>
      </w:pPr>
      <w:r w:rsidRPr="003E78EA">
        <w:rPr>
          <w:lang w:val="lt-LT"/>
        </w:rPr>
        <w:t>Pagalbinės medžiagos</w:t>
      </w:r>
      <w:r w:rsidR="00710393" w:rsidRPr="003E78EA">
        <w:rPr>
          <w:lang w:val="lt-LT"/>
        </w:rPr>
        <w:t xml:space="preserve">: </w:t>
      </w:r>
    </w:p>
    <w:p w14:paraId="13908BE5" w14:textId="4B673BB4" w:rsidR="00710393" w:rsidRPr="003E78EA" w:rsidRDefault="00710393" w:rsidP="00710393">
      <w:pPr>
        <w:rPr>
          <w:lang w:val="lt-LT"/>
        </w:rPr>
      </w:pPr>
      <w:r w:rsidRPr="003E78EA">
        <w:rPr>
          <w:lang w:val="lt-LT"/>
        </w:rPr>
        <w:t>laktozė monohidratas, krospovidonas B, kukurūzų krakmolas, povidonas K30 ir magnio stearatas.</w:t>
      </w:r>
    </w:p>
    <w:p w14:paraId="2B5383F8" w14:textId="77777777" w:rsidR="00710393" w:rsidRPr="003E78EA" w:rsidRDefault="00710393" w:rsidP="00710393">
      <w:pPr>
        <w:rPr>
          <w:lang w:val="lt-LT"/>
        </w:rPr>
      </w:pPr>
    </w:p>
    <w:p w14:paraId="3DFA8847" w14:textId="526A368B" w:rsidR="00710393" w:rsidRPr="003E78EA" w:rsidRDefault="0056319A" w:rsidP="00710393">
      <w:pPr>
        <w:numPr>
          <w:ilvl w:val="12"/>
          <w:numId w:val="0"/>
        </w:numPr>
        <w:ind w:right="-2"/>
        <w:rPr>
          <w:b/>
          <w:lang w:val="lt-LT"/>
        </w:rPr>
      </w:pPr>
      <w:r w:rsidRPr="003E78EA">
        <w:rPr>
          <w:b/>
          <w:lang w:val="lt-LT"/>
        </w:rPr>
        <w:t>Allopurinol Accord</w:t>
      </w:r>
      <w:r w:rsidR="00710393" w:rsidRPr="003E78EA">
        <w:rPr>
          <w:b/>
          <w:lang w:val="lt-LT"/>
        </w:rPr>
        <w:t xml:space="preserve"> išvaizda ir kiekis pakuotėje</w:t>
      </w:r>
    </w:p>
    <w:p w14:paraId="4F4AD4B3" w14:textId="77777777" w:rsidR="00710393" w:rsidRPr="003E78EA" w:rsidRDefault="00710393" w:rsidP="00710393">
      <w:pPr>
        <w:adjustRightInd w:val="0"/>
        <w:spacing w:before="17"/>
        <w:rPr>
          <w:lang w:val="lt-LT"/>
        </w:rPr>
      </w:pPr>
    </w:p>
    <w:p w14:paraId="04CEA6C1" w14:textId="060A1A82" w:rsidR="00710393" w:rsidRPr="003E78EA" w:rsidRDefault="00710393" w:rsidP="00710393">
      <w:pPr>
        <w:rPr>
          <w:color w:val="000000"/>
          <w:lang w:val="lt-LT"/>
        </w:rPr>
      </w:pPr>
      <w:r w:rsidRPr="003E78EA">
        <w:rPr>
          <w:lang w:val="lt-LT"/>
        </w:rPr>
        <w:t>Allopurinol Accord 100</w:t>
      </w:r>
      <w:r w:rsidR="0056319A" w:rsidRPr="003E78EA">
        <w:rPr>
          <w:lang w:val="lt-LT"/>
        </w:rPr>
        <w:t> </w:t>
      </w:r>
      <w:r w:rsidRPr="003E78EA">
        <w:rPr>
          <w:lang w:val="lt-LT"/>
        </w:rPr>
        <w:t>mg</w:t>
      </w:r>
      <w:r w:rsidRPr="003E78EA">
        <w:rPr>
          <w:color w:val="000000"/>
          <w:lang w:val="lt-LT"/>
        </w:rPr>
        <w:t xml:space="preserve"> yra</w:t>
      </w:r>
      <w:r w:rsidRPr="003E78EA">
        <w:rPr>
          <w:b/>
          <w:color w:val="000000"/>
          <w:lang w:val="lt-LT"/>
        </w:rPr>
        <w:t xml:space="preserve"> </w:t>
      </w:r>
      <w:r w:rsidRPr="003E78EA">
        <w:rPr>
          <w:color w:val="000000"/>
          <w:lang w:val="lt-LT"/>
        </w:rPr>
        <w:t xml:space="preserve">balta arba </w:t>
      </w:r>
      <w:r w:rsidR="00443FCE" w:rsidRPr="003E78EA">
        <w:rPr>
          <w:color w:val="000000"/>
          <w:lang w:val="lt-LT"/>
        </w:rPr>
        <w:t xml:space="preserve">beveik balta, </w:t>
      </w:r>
      <w:r w:rsidRPr="003E78EA">
        <w:rPr>
          <w:color w:val="000000"/>
          <w:lang w:val="lt-LT"/>
        </w:rPr>
        <w:t>apvali, abipus išgaubta, nedengta maždaug 8,0</w:t>
      </w:r>
      <w:r w:rsidR="0056319A" w:rsidRPr="003E78EA">
        <w:rPr>
          <w:color w:val="000000"/>
          <w:lang w:val="lt-LT"/>
        </w:rPr>
        <w:t> </w:t>
      </w:r>
      <w:r w:rsidRPr="003E78EA">
        <w:rPr>
          <w:color w:val="000000"/>
          <w:lang w:val="lt-LT"/>
        </w:rPr>
        <w:t xml:space="preserve">mm skersmens tabletė, kurios vienoje pusėje yra </w:t>
      </w:r>
      <w:r w:rsidR="0056319A" w:rsidRPr="003E78EA">
        <w:rPr>
          <w:color w:val="000000"/>
          <w:lang w:val="lt-LT"/>
        </w:rPr>
        <w:t xml:space="preserve">įspausta </w:t>
      </w:r>
      <w:r w:rsidRPr="003E78EA">
        <w:rPr>
          <w:color w:val="000000"/>
          <w:lang w:val="lt-LT"/>
        </w:rPr>
        <w:t xml:space="preserve">„AW“, o kita pusė lygi. </w:t>
      </w:r>
    </w:p>
    <w:p w14:paraId="06DFF7C8" w14:textId="77777777" w:rsidR="00710393" w:rsidRPr="003E78EA" w:rsidRDefault="00710393" w:rsidP="00710393">
      <w:pPr>
        <w:rPr>
          <w:color w:val="000000"/>
          <w:lang w:val="lt-LT"/>
        </w:rPr>
      </w:pPr>
    </w:p>
    <w:p w14:paraId="593179F0" w14:textId="74413503" w:rsidR="00710393" w:rsidRPr="003E78EA" w:rsidRDefault="00710393" w:rsidP="00710393">
      <w:pPr>
        <w:adjustRightInd w:val="0"/>
        <w:spacing w:before="17"/>
        <w:rPr>
          <w:color w:val="000000"/>
          <w:lang w:val="lt-LT"/>
        </w:rPr>
      </w:pPr>
      <w:r w:rsidRPr="003E78EA">
        <w:rPr>
          <w:lang w:val="lt-LT"/>
        </w:rPr>
        <w:t>Allopurinol Accord 300</w:t>
      </w:r>
      <w:r w:rsidR="0056319A" w:rsidRPr="003E78EA">
        <w:rPr>
          <w:lang w:val="lt-LT"/>
        </w:rPr>
        <w:t> </w:t>
      </w:r>
      <w:r w:rsidRPr="003E78EA">
        <w:rPr>
          <w:lang w:val="lt-LT"/>
        </w:rPr>
        <w:t>mg</w:t>
      </w:r>
      <w:r w:rsidRPr="003E78EA">
        <w:rPr>
          <w:color w:val="000000"/>
          <w:lang w:val="lt-LT"/>
        </w:rPr>
        <w:t xml:space="preserve"> yra</w:t>
      </w:r>
      <w:r w:rsidRPr="003E78EA">
        <w:rPr>
          <w:b/>
          <w:color w:val="000000"/>
          <w:lang w:val="lt-LT"/>
        </w:rPr>
        <w:t xml:space="preserve"> </w:t>
      </w:r>
      <w:r w:rsidRPr="003E78EA">
        <w:rPr>
          <w:color w:val="000000"/>
          <w:lang w:val="lt-LT"/>
        </w:rPr>
        <w:t xml:space="preserve">balta arba </w:t>
      </w:r>
      <w:r w:rsidR="00443FCE" w:rsidRPr="003E78EA">
        <w:rPr>
          <w:color w:val="000000"/>
          <w:lang w:val="lt-LT"/>
        </w:rPr>
        <w:t xml:space="preserve">beveik balta, </w:t>
      </w:r>
      <w:r w:rsidRPr="003E78EA">
        <w:rPr>
          <w:color w:val="000000"/>
          <w:lang w:val="lt-LT"/>
        </w:rPr>
        <w:t>apvali, abipus išgaubta, nedengta maždaug 11,2</w:t>
      </w:r>
      <w:r w:rsidR="0056319A" w:rsidRPr="003E78EA">
        <w:rPr>
          <w:color w:val="000000"/>
          <w:lang w:val="lt-LT"/>
        </w:rPr>
        <w:t> </w:t>
      </w:r>
      <w:r w:rsidRPr="003E78EA">
        <w:rPr>
          <w:color w:val="000000"/>
          <w:lang w:val="lt-LT"/>
        </w:rPr>
        <w:t xml:space="preserve">mm skersmens tabletė </w:t>
      </w:r>
      <w:r w:rsidR="0056319A" w:rsidRPr="003E78EA">
        <w:rPr>
          <w:color w:val="000000"/>
          <w:lang w:val="lt-LT"/>
        </w:rPr>
        <w:t xml:space="preserve">nuožulniu </w:t>
      </w:r>
      <w:r w:rsidRPr="003E78EA">
        <w:rPr>
          <w:color w:val="000000"/>
          <w:lang w:val="lt-LT"/>
        </w:rPr>
        <w:t xml:space="preserve">kraštu, kurios vienoje pusėje yra </w:t>
      </w:r>
      <w:r w:rsidR="0056319A" w:rsidRPr="003E78EA">
        <w:rPr>
          <w:color w:val="000000"/>
          <w:lang w:val="lt-LT"/>
        </w:rPr>
        <w:t xml:space="preserve">įspausta </w:t>
      </w:r>
      <w:r w:rsidRPr="003E78EA">
        <w:rPr>
          <w:color w:val="000000"/>
          <w:lang w:val="lt-LT"/>
        </w:rPr>
        <w:t xml:space="preserve">„AX“, o kita pusė lygi. </w:t>
      </w:r>
    </w:p>
    <w:p w14:paraId="5A1FD490" w14:textId="77777777" w:rsidR="00710393" w:rsidRPr="003E78EA" w:rsidRDefault="00710393" w:rsidP="00710393">
      <w:pPr>
        <w:adjustRightInd w:val="0"/>
        <w:spacing w:before="17"/>
        <w:rPr>
          <w:color w:val="000000"/>
          <w:lang w:val="lt-LT"/>
        </w:rPr>
      </w:pPr>
    </w:p>
    <w:p w14:paraId="122A7321" w14:textId="3B5F2AD1" w:rsidR="00710393" w:rsidRPr="003E78EA" w:rsidRDefault="009836CE" w:rsidP="00710393">
      <w:pPr>
        <w:adjustRightInd w:val="0"/>
        <w:spacing w:before="17"/>
        <w:rPr>
          <w:color w:val="000000"/>
          <w:lang w:val="lt-LT"/>
        </w:rPr>
      </w:pPr>
      <w:r w:rsidRPr="003E78EA">
        <w:rPr>
          <w:color w:val="000000"/>
          <w:lang w:val="lt-LT"/>
        </w:rPr>
        <w:t>PVC/Al l</w:t>
      </w:r>
      <w:r w:rsidR="00710393" w:rsidRPr="003E78EA">
        <w:rPr>
          <w:color w:val="000000"/>
          <w:lang w:val="lt-LT"/>
        </w:rPr>
        <w:t>izdinėje plokštelėje yra 25, 28, 30, 50, 60, 90 arba 100 tablečių.</w:t>
      </w:r>
    </w:p>
    <w:p w14:paraId="018F722A" w14:textId="77777777" w:rsidR="00710393" w:rsidRPr="003E78EA" w:rsidRDefault="00710393" w:rsidP="00710393">
      <w:pPr>
        <w:rPr>
          <w:lang w:val="lt-LT"/>
        </w:rPr>
      </w:pPr>
    </w:p>
    <w:p w14:paraId="771B5912" w14:textId="77777777" w:rsidR="00710393" w:rsidRPr="003E78EA" w:rsidRDefault="00710393" w:rsidP="00710393">
      <w:pPr>
        <w:adjustRightInd w:val="0"/>
        <w:spacing w:before="17"/>
        <w:rPr>
          <w:color w:val="000000"/>
          <w:lang w:val="lt-LT"/>
        </w:rPr>
      </w:pPr>
      <w:r w:rsidRPr="003E78EA">
        <w:rPr>
          <w:color w:val="000000"/>
          <w:lang w:val="lt-LT"/>
        </w:rPr>
        <w:t>Gali būti tiekiamos ne visų dydžių pakuotės.</w:t>
      </w:r>
    </w:p>
    <w:p w14:paraId="5F742CF2" w14:textId="77777777" w:rsidR="00710393" w:rsidRPr="003E78EA" w:rsidRDefault="00710393" w:rsidP="00710393">
      <w:pPr>
        <w:numPr>
          <w:ilvl w:val="12"/>
          <w:numId w:val="0"/>
        </w:numPr>
        <w:ind w:right="-2"/>
        <w:rPr>
          <w:b/>
          <w:lang w:val="lt-LT"/>
        </w:rPr>
      </w:pPr>
    </w:p>
    <w:p w14:paraId="06ED38ED" w14:textId="77777777" w:rsidR="00710393" w:rsidRPr="003E78EA" w:rsidRDefault="00710393" w:rsidP="00710393">
      <w:pPr>
        <w:numPr>
          <w:ilvl w:val="12"/>
          <w:numId w:val="0"/>
        </w:numPr>
        <w:ind w:right="-2"/>
        <w:rPr>
          <w:b/>
          <w:lang w:val="lt-LT"/>
        </w:rPr>
      </w:pPr>
      <w:r w:rsidRPr="003E78EA">
        <w:rPr>
          <w:b/>
          <w:lang w:val="lt-LT"/>
        </w:rPr>
        <w:t>Registruotojas ir gamintojas</w:t>
      </w:r>
    </w:p>
    <w:p w14:paraId="55AD9CFC" w14:textId="77777777" w:rsidR="00710393" w:rsidRPr="003E78EA" w:rsidRDefault="00710393" w:rsidP="00710393">
      <w:pPr>
        <w:numPr>
          <w:ilvl w:val="12"/>
          <w:numId w:val="0"/>
        </w:numPr>
        <w:ind w:right="-2"/>
        <w:rPr>
          <w:i/>
          <w:lang w:val="lt-LT"/>
        </w:rPr>
      </w:pPr>
    </w:p>
    <w:p w14:paraId="006C54EE" w14:textId="77777777" w:rsidR="00710393" w:rsidRPr="003E78EA" w:rsidRDefault="00710393" w:rsidP="00710393">
      <w:pPr>
        <w:numPr>
          <w:ilvl w:val="12"/>
          <w:numId w:val="0"/>
        </w:numPr>
        <w:ind w:right="-2"/>
        <w:rPr>
          <w:i/>
          <w:lang w:val="lt-LT"/>
        </w:rPr>
      </w:pPr>
      <w:r w:rsidRPr="003E78EA">
        <w:rPr>
          <w:i/>
          <w:lang w:val="lt-LT"/>
        </w:rPr>
        <w:t>Registruotojas</w:t>
      </w:r>
    </w:p>
    <w:p w14:paraId="5702D8B8" w14:textId="77777777" w:rsidR="00710393" w:rsidRPr="003E78EA" w:rsidRDefault="00710393" w:rsidP="00710393">
      <w:pPr>
        <w:adjustRightInd w:val="0"/>
        <w:rPr>
          <w:color w:val="000000"/>
          <w:lang w:val="lt-LT"/>
        </w:rPr>
      </w:pPr>
      <w:r w:rsidRPr="003E78EA">
        <w:rPr>
          <w:color w:val="000000"/>
          <w:lang w:val="lt-LT"/>
        </w:rPr>
        <w:t>Accord Healthcare B.V.</w:t>
      </w:r>
    </w:p>
    <w:p w14:paraId="2340F5C5" w14:textId="77777777" w:rsidR="00710393" w:rsidRPr="003E78EA" w:rsidRDefault="00710393" w:rsidP="00710393">
      <w:pPr>
        <w:adjustRightInd w:val="0"/>
        <w:rPr>
          <w:color w:val="000000"/>
          <w:lang w:val="lt-LT"/>
        </w:rPr>
      </w:pPr>
      <w:r w:rsidRPr="003E78EA">
        <w:rPr>
          <w:color w:val="000000"/>
          <w:lang w:val="lt-LT"/>
        </w:rPr>
        <w:t>Winthontlaan 200</w:t>
      </w:r>
    </w:p>
    <w:p w14:paraId="0E214D3A" w14:textId="77777777" w:rsidR="00710393" w:rsidRPr="003E78EA" w:rsidRDefault="00710393" w:rsidP="00710393">
      <w:pPr>
        <w:adjustRightInd w:val="0"/>
        <w:rPr>
          <w:color w:val="000000"/>
          <w:lang w:val="lt-LT"/>
        </w:rPr>
      </w:pPr>
      <w:r w:rsidRPr="003E78EA">
        <w:rPr>
          <w:color w:val="000000"/>
          <w:lang w:val="lt-LT"/>
        </w:rPr>
        <w:t>3526 KV Utrecht</w:t>
      </w:r>
    </w:p>
    <w:p w14:paraId="2E9C6890" w14:textId="77777777" w:rsidR="00710393" w:rsidRPr="003E78EA" w:rsidRDefault="00710393" w:rsidP="00710393">
      <w:pPr>
        <w:rPr>
          <w:lang w:val="lt-LT"/>
        </w:rPr>
      </w:pPr>
      <w:r w:rsidRPr="003E78EA">
        <w:rPr>
          <w:color w:val="000000"/>
          <w:lang w:val="lt-LT"/>
        </w:rPr>
        <w:t>Nyderlandai</w:t>
      </w:r>
    </w:p>
    <w:p w14:paraId="398D29B9" w14:textId="77777777" w:rsidR="00710393" w:rsidRPr="003E78EA" w:rsidRDefault="00710393" w:rsidP="00710393">
      <w:pPr>
        <w:numPr>
          <w:ilvl w:val="12"/>
          <w:numId w:val="0"/>
        </w:numPr>
        <w:ind w:right="-2"/>
        <w:rPr>
          <w:lang w:val="lt-LT"/>
        </w:rPr>
      </w:pPr>
    </w:p>
    <w:p w14:paraId="77867D23" w14:textId="77777777" w:rsidR="00710393" w:rsidRPr="003E78EA" w:rsidRDefault="00710393" w:rsidP="00710393">
      <w:pPr>
        <w:numPr>
          <w:ilvl w:val="12"/>
          <w:numId w:val="0"/>
        </w:numPr>
        <w:ind w:right="-2"/>
        <w:rPr>
          <w:i/>
          <w:lang w:val="lt-LT"/>
        </w:rPr>
      </w:pPr>
      <w:r w:rsidRPr="003E78EA">
        <w:rPr>
          <w:i/>
          <w:lang w:val="lt-LT"/>
        </w:rPr>
        <w:t>Gamintojas</w:t>
      </w:r>
    </w:p>
    <w:p w14:paraId="57287CDD" w14:textId="63110B7F" w:rsidR="00710393" w:rsidRPr="003E78EA" w:rsidRDefault="00710393" w:rsidP="00710393">
      <w:pPr>
        <w:numPr>
          <w:ilvl w:val="12"/>
          <w:numId w:val="0"/>
        </w:numPr>
        <w:ind w:right="-2"/>
        <w:rPr>
          <w:lang w:val="lt-LT"/>
        </w:rPr>
      </w:pPr>
      <w:r w:rsidRPr="003E78EA">
        <w:rPr>
          <w:lang w:val="lt-LT"/>
        </w:rPr>
        <w:t>LABORATORI FUNDACIÓ DAU</w:t>
      </w:r>
    </w:p>
    <w:p w14:paraId="474B08C5" w14:textId="3D40B629" w:rsidR="00710393" w:rsidRPr="003E78EA" w:rsidRDefault="00710393" w:rsidP="00710393">
      <w:pPr>
        <w:numPr>
          <w:ilvl w:val="12"/>
          <w:numId w:val="0"/>
        </w:numPr>
        <w:ind w:right="-2"/>
        <w:rPr>
          <w:lang w:val="lt-LT"/>
        </w:rPr>
      </w:pPr>
      <w:r w:rsidRPr="003E78EA">
        <w:rPr>
          <w:lang w:val="lt-LT"/>
        </w:rPr>
        <w:t>C/ C, 12-14 Pol. Ind. Zona Franca</w:t>
      </w:r>
    </w:p>
    <w:p w14:paraId="249C4948" w14:textId="76992426" w:rsidR="0056319A" w:rsidRPr="003E78EA" w:rsidRDefault="00710393" w:rsidP="00710393">
      <w:pPr>
        <w:numPr>
          <w:ilvl w:val="12"/>
          <w:numId w:val="0"/>
        </w:numPr>
        <w:ind w:right="-2"/>
        <w:rPr>
          <w:lang w:val="lt-LT"/>
        </w:rPr>
      </w:pPr>
      <w:r w:rsidRPr="003E78EA">
        <w:rPr>
          <w:lang w:val="lt-LT"/>
        </w:rPr>
        <w:t>Barcelona, 08040</w:t>
      </w:r>
    </w:p>
    <w:p w14:paraId="1AB40F39" w14:textId="77777777" w:rsidR="00710393" w:rsidRPr="003E78EA" w:rsidRDefault="00710393" w:rsidP="00710393">
      <w:pPr>
        <w:numPr>
          <w:ilvl w:val="12"/>
          <w:numId w:val="0"/>
        </w:numPr>
        <w:ind w:right="-2"/>
        <w:rPr>
          <w:lang w:val="lt-LT"/>
        </w:rPr>
      </w:pPr>
      <w:r w:rsidRPr="003E78EA">
        <w:rPr>
          <w:lang w:val="lt-LT"/>
        </w:rPr>
        <w:t>Ispanija</w:t>
      </w:r>
    </w:p>
    <w:p w14:paraId="08B8BCCD" w14:textId="77777777" w:rsidR="00710393" w:rsidRPr="003E78EA" w:rsidRDefault="00710393" w:rsidP="00710393">
      <w:pPr>
        <w:numPr>
          <w:ilvl w:val="12"/>
          <w:numId w:val="0"/>
        </w:numPr>
        <w:ind w:right="-2"/>
        <w:rPr>
          <w:lang w:val="lt-LT"/>
        </w:rPr>
      </w:pPr>
    </w:p>
    <w:p w14:paraId="322FB5B4" w14:textId="77777777" w:rsidR="0056319A" w:rsidRPr="003E78EA" w:rsidRDefault="006234DA" w:rsidP="00710393">
      <w:pPr>
        <w:numPr>
          <w:ilvl w:val="12"/>
          <w:numId w:val="0"/>
        </w:numPr>
        <w:ind w:right="-2"/>
        <w:rPr>
          <w:lang w:val="lt-LT"/>
        </w:rPr>
      </w:pPr>
      <w:r w:rsidRPr="003E78EA">
        <w:rPr>
          <w:lang w:val="lt-LT"/>
        </w:rPr>
        <w:t>a</w:t>
      </w:r>
      <w:r w:rsidR="0056319A" w:rsidRPr="003E78EA">
        <w:rPr>
          <w:lang w:val="lt-LT"/>
        </w:rPr>
        <w:t>rba</w:t>
      </w:r>
    </w:p>
    <w:p w14:paraId="6B5A7AD4" w14:textId="77777777" w:rsidR="006234DA" w:rsidRPr="003E78EA" w:rsidRDefault="006234DA" w:rsidP="00710393">
      <w:pPr>
        <w:numPr>
          <w:ilvl w:val="12"/>
          <w:numId w:val="0"/>
        </w:numPr>
        <w:ind w:right="-2"/>
        <w:rPr>
          <w:lang w:val="lt-LT"/>
        </w:rPr>
      </w:pPr>
    </w:p>
    <w:p w14:paraId="240E3A8C" w14:textId="77777777" w:rsidR="00710393" w:rsidRPr="003E78EA" w:rsidRDefault="00710393" w:rsidP="00710393">
      <w:pPr>
        <w:numPr>
          <w:ilvl w:val="12"/>
          <w:numId w:val="0"/>
        </w:numPr>
        <w:ind w:right="-2"/>
        <w:rPr>
          <w:lang w:val="lt-LT"/>
        </w:rPr>
      </w:pPr>
      <w:r w:rsidRPr="003E78EA">
        <w:rPr>
          <w:lang w:val="lt-LT"/>
        </w:rPr>
        <w:t>Accord Healthcare Polska Sp. z o.o.</w:t>
      </w:r>
    </w:p>
    <w:p w14:paraId="50E8D504" w14:textId="21E0FB7A" w:rsidR="0056319A" w:rsidRPr="003E78EA" w:rsidRDefault="00710393" w:rsidP="00710393">
      <w:pPr>
        <w:numPr>
          <w:ilvl w:val="12"/>
          <w:numId w:val="0"/>
        </w:numPr>
        <w:ind w:right="-2"/>
        <w:rPr>
          <w:lang w:val="lt-LT"/>
        </w:rPr>
      </w:pPr>
      <w:r w:rsidRPr="003E78EA">
        <w:rPr>
          <w:lang w:val="lt-LT"/>
        </w:rPr>
        <w:t>ul. Lutomierska 50</w:t>
      </w:r>
    </w:p>
    <w:p w14:paraId="44A73838" w14:textId="4F1C38E2" w:rsidR="0056319A" w:rsidRPr="003E78EA" w:rsidRDefault="00710393" w:rsidP="00710393">
      <w:pPr>
        <w:numPr>
          <w:ilvl w:val="12"/>
          <w:numId w:val="0"/>
        </w:numPr>
        <w:ind w:right="-2"/>
        <w:rPr>
          <w:lang w:val="lt-LT"/>
        </w:rPr>
      </w:pPr>
      <w:r w:rsidRPr="003E78EA">
        <w:rPr>
          <w:lang w:val="lt-LT"/>
        </w:rPr>
        <w:t>Pabianice</w:t>
      </w:r>
      <w:r w:rsidR="0056319A" w:rsidRPr="003E78EA">
        <w:rPr>
          <w:lang w:val="lt-LT"/>
        </w:rPr>
        <w:t xml:space="preserve"> </w:t>
      </w:r>
      <w:r w:rsidRPr="003E78EA">
        <w:rPr>
          <w:lang w:val="lt-LT"/>
        </w:rPr>
        <w:t>95-200</w:t>
      </w:r>
    </w:p>
    <w:p w14:paraId="5E24A53E" w14:textId="08BF0D79" w:rsidR="00710393" w:rsidRPr="003E78EA" w:rsidRDefault="00710393" w:rsidP="00710393">
      <w:pPr>
        <w:numPr>
          <w:ilvl w:val="12"/>
          <w:numId w:val="0"/>
        </w:numPr>
        <w:ind w:right="-2"/>
        <w:rPr>
          <w:lang w:val="lt-LT"/>
        </w:rPr>
      </w:pPr>
      <w:r w:rsidRPr="003E78EA">
        <w:rPr>
          <w:lang w:val="lt-LT"/>
        </w:rPr>
        <w:t>Lenkija</w:t>
      </w:r>
    </w:p>
    <w:p w14:paraId="3EE420C0" w14:textId="77777777" w:rsidR="006952DF" w:rsidRPr="000A5826" w:rsidRDefault="006952DF" w:rsidP="006952DF">
      <w:pPr>
        <w:widowControl/>
        <w:numPr>
          <w:ilvl w:val="12"/>
          <w:numId w:val="0"/>
        </w:numPr>
        <w:tabs>
          <w:tab w:val="left" w:pos="567"/>
        </w:tabs>
        <w:autoSpaceDE/>
        <w:autoSpaceDN/>
        <w:ind w:right="-2"/>
        <w:rPr>
          <w:snapToGrid w:val="0"/>
          <w:szCs w:val="24"/>
          <w:lang w:val="lt-LT"/>
        </w:rPr>
      </w:pPr>
    </w:p>
    <w:p w14:paraId="4535232A" w14:textId="77777777" w:rsidR="003546C8" w:rsidRDefault="003546C8" w:rsidP="003546C8">
      <w:pPr>
        <w:widowControl/>
        <w:tabs>
          <w:tab w:val="left" w:pos="567"/>
        </w:tabs>
        <w:autoSpaceDE/>
        <w:autoSpaceDN/>
        <w:spacing w:line="260" w:lineRule="exact"/>
        <w:rPr>
          <w:snapToGrid w:val="0"/>
          <w:szCs w:val="24"/>
          <w:lang w:val="lt-LT"/>
        </w:rPr>
      </w:pPr>
      <w:r>
        <w:rPr>
          <w:snapToGrid w:val="0"/>
          <w:szCs w:val="24"/>
          <w:lang w:val="lt-LT"/>
        </w:rPr>
        <w:t>arba</w:t>
      </w:r>
    </w:p>
    <w:p w14:paraId="2292ECCF" w14:textId="77777777" w:rsidR="003546C8" w:rsidRDefault="003546C8" w:rsidP="003546C8">
      <w:pPr>
        <w:widowControl/>
        <w:tabs>
          <w:tab w:val="left" w:pos="567"/>
        </w:tabs>
        <w:autoSpaceDE/>
        <w:autoSpaceDN/>
        <w:spacing w:line="260" w:lineRule="exact"/>
        <w:rPr>
          <w:snapToGrid w:val="0"/>
          <w:szCs w:val="24"/>
          <w:lang w:val="lt-LT"/>
        </w:rPr>
      </w:pPr>
    </w:p>
    <w:p w14:paraId="0D60E82E" w14:textId="77777777" w:rsidR="00E7075E" w:rsidRDefault="00E7075E" w:rsidP="00E7075E">
      <w:pPr>
        <w:numPr>
          <w:ilvl w:val="12"/>
          <w:numId w:val="0"/>
        </w:numPr>
        <w:tabs>
          <w:tab w:val="left" w:pos="708"/>
        </w:tabs>
        <w:ind w:right="-2"/>
      </w:pPr>
      <w:r w:rsidRPr="003C53A7">
        <w:t>Accord Healthcare Single Member S.A.</w:t>
      </w:r>
    </w:p>
    <w:p w14:paraId="59B7F132" w14:textId="77777777" w:rsidR="00E7075E" w:rsidRDefault="00E7075E" w:rsidP="00E7075E">
      <w:pPr>
        <w:numPr>
          <w:ilvl w:val="12"/>
          <w:numId w:val="0"/>
        </w:numPr>
        <w:tabs>
          <w:tab w:val="left" w:pos="708"/>
        </w:tabs>
        <w:ind w:right="-2"/>
      </w:pPr>
      <w:r w:rsidRPr="003C53A7">
        <w:t xml:space="preserve">64th Km National Road Athens, Lamia, </w:t>
      </w:r>
    </w:p>
    <w:p w14:paraId="0A0C4D5A" w14:textId="2F934D2C" w:rsidR="00710393" w:rsidRDefault="003546C8" w:rsidP="003546C8">
      <w:pPr>
        <w:numPr>
          <w:ilvl w:val="12"/>
          <w:numId w:val="0"/>
        </w:numPr>
        <w:ind w:right="-2"/>
        <w:rPr>
          <w:snapToGrid w:val="0"/>
          <w:szCs w:val="24"/>
          <w:lang w:val="lt-LT"/>
        </w:rPr>
      </w:pPr>
      <w:r w:rsidRPr="003546C8">
        <w:rPr>
          <w:snapToGrid w:val="0"/>
          <w:szCs w:val="24"/>
          <w:lang w:val="lt-LT"/>
        </w:rPr>
        <w:t>32009, Gr</w:t>
      </w:r>
      <w:r>
        <w:rPr>
          <w:snapToGrid w:val="0"/>
          <w:szCs w:val="24"/>
          <w:lang w:val="lt-LT"/>
        </w:rPr>
        <w:t>aikija</w:t>
      </w:r>
    </w:p>
    <w:p w14:paraId="71A521A4" w14:textId="77777777" w:rsidR="003546C8" w:rsidRPr="003E78EA" w:rsidRDefault="003546C8" w:rsidP="003546C8">
      <w:pPr>
        <w:numPr>
          <w:ilvl w:val="12"/>
          <w:numId w:val="0"/>
        </w:numPr>
        <w:ind w:right="-2"/>
        <w:rPr>
          <w:lang w:val="lt-LT"/>
        </w:rPr>
      </w:pPr>
    </w:p>
    <w:p w14:paraId="406C6359" w14:textId="3AA78703" w:rsidR="00710393" w:rsidRPr="003E78EA" w:rsidRDefault="0056319A" w:rsidP="00710393">
      <w:pPr>
        <w:adjustRightInd w:val="0"/>
        <w:rPr>
          <w:lang w:val="lt-LT"/>
        </w:rPr>
      </w:pPr>
      <w:r w:rsidRPr="000A5826">
        <w:rPr>
          <w:b/>
          <w:snapToGrid w:val="0"/>
          <w:szCs w:val="20"/>
          <w:lang w:val="lt-LT"/>
        </w:rPr>
        <w:t xml:space="preserve">Šis vaistas </w:t>
      </w:r>
      <w:r w:rsidR="002748BD" w:rsidRPr="002748BD">
        <w:rPr>
          <w:b/>
          <w:snapToGrid w:val="0"/>
          <w:szCs w:val="20"/>
          <w:lang w:val="lt-LT"/>
        </w:rPr>
        <w:t>Europos ekonominės erdvės</w:t>
      </w:r>
      <w:r w:rsidRPr="000A5826">
        <w:rPr>
          <w:b/>
          <w:snapToGrid w:val="0"/>
          <w:szCs w:val="20"/>
          <w:lang w:val="lt-LT"/>
        </w:rPr>
        <w:t xml:space="preserve"> valstybėse narėse registruotas tokiais pavadinimais</w:t>
      </w:r>
      <w:r w:rsidRPr="000A5826">
        <w:rPr>
          <w:snapToGrid w:val="0"/>
          <w:szCs w:val="20"/>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5849"/>
      </w:tblGrid>
      <w:tr w:rsidR="004B2486" w:rsidRPr="000A5826" w14:paraId="0D000495" w14:textId="77777777" w:rsidTr="00381032">
        <w:tc>
          <w:tcPr>
            <w:tcW w:w="3095" w:type="dxa"/>
            <w:shd w:val="clear" w:color="auto" w:fill="auto"/>
          </w:tcPr>
          <w:p w14:paraId="192C2DEB" w14:textId="77777777" w:rsidR="004B2486" w:rsidRPr="003E78EA" w:rsidRDefault="004B2486" w:rsidP="00381032">
            <w:pPr>
              <w:adjustRightInd w:val="0"/>
              <w:rPr>
                <w:b/>
                <w:lang w:val="lt-LT"/>
              </w:rPr>
            </w:pPr>
            <w:r w:rsidRPr="003E78EA">
              <w:rPr>
                <w:b/>
                <w:lang w:val="lt-LT"/>
              </w:rPr>
              <w:t>Valstybės narės pavadinimas</w:t>
            </w:r>
          </w:p>
        </w:tc>
        <w:tc>
          <w:tcPr>
            <w:tcW w:w="5849" w:type="dxa"/>
            <w:shd w:val="clear" w:color="auto" w:fill="auto"/>
          </w:tcPr>
          <w:p w14:paraId="4EEA4904" w14:textId="12A5D9D1" w:rsidR="004B2486" w:rsidRPr="003E78EA" w:rsidRDefault="004B2486" w:rsidP="00381032">
            <w:pPr>
              <w:adjustRightInd w:val="0"/>
              <w:rPr>
                <w:lang w:val="lt-LT"/>
              </w:rPr>
            </w:pPr>
            <w:r w:rsidRPr="003E78EA">
              <w:rPr>
                <w:b/>
                <w:lang w:val="lt-LT"/>
              </w:rPr>
              <w:t>Vaisto pavadinimas</w:t>
            </w:r>
          </w:p>
        </w:tc>
      </w:tr>
      <w:tr w:rsidR="004B2486" w:rsidRPr="000A5826" w14:paraId="57DC0E51" w14:textId="77777777" w:rsidTr="00381032">
        <w:tc>
          <w:tcPr>
            <w:tcW w:w="3095" w:type="dxa"/>
            <w:shd w:val="clear" w:color="auto" w:fill="auto"/>
          </w:tcPr>
          <w:p w14:paraId="54BC91B5" w14:textId="77777777" w:rsidR="004B2486" w:rsidRPr="003E78EA" w:rsidRDefault="004B2486" w:rsidP="00381032">
            <w:pPr>
              <w:adjustRightInd w:val="0"/>
              <w:rPr>
                <w:lang w:val="lt-LT"/>
              </w:rPr>
            </w:pPr>
            <w:r w:rsidRPr="003E78EA">
              <w:rPr>
                <w:lang w:val="lt-LT"/>
              </w:rPr>
              <w:t>Austrija</w:t>
            </w:r>
          </w:p>
        </w:tc>
        <w:tc>
          <w:tcPr>
            <w:tcW w:w="5849" w:type="dxa"/>
            <w:shd w:val="clear" w:color="auto" w:fill="auto"/>
          </w:tcPr>
          <w:p w14:paraId="612EB4D4" w14:textId="77777777" w:rsidR="004B2486" w:rsidRPr="003E78EA" w:rsidRDefault="004B2486" w:rsidP="00381032">
            <w:pPr>
              <w:adjustRightInd w:val="0"/>
              <w:rPr>
                <w:lang w:val="lt-LT"/>
              </w:rPr>
            </w:pPr>
            <w:r w:rsidRPr="003E78EA">
              <w:rPr>
                <w:lang w:val="lt-LT"/>
              </w:rPr>
              <w:t>Allopurinol Accord 100 mg, 300 mg tabletten</w:t>
            </w:r>
          </w:p>
        </w:tc>
      </w:tr>
      <w:tr w:rsidR="004B2486" w:rsidRPr="000A5826" w14:paraId="06D150E8" w14:textId="77777777" w:rsidTr="00381032">
        <w:tc>
          <w:tcPr>
            <w:tcW w:w="3095" w:type="dxa"/>
            <w:shd w:val="clear" w:color="auto" w:fill="auto"/>
          </w:tcPr>
          <w:p w14:paraId="301E2972" w14:textId="77777777" w:rsidR="004B2486" w:rsidRPr="003E78EA" w:rsidRDefault="004B2486" w:rsidP="00381032">
            <w:pPr>
              <w:adjustRightInd w:val="0"/>
              <w:rPr>
                <w:lang w:val="lt-LT"/>
              </w:rPr>
            </w:pPr>
            <w:r w:rsidRPr="003E78EA">
              <w:rPr>
                <w:lang w:val="lt-LT"/>
              </w:rPr>
              <w:t>Danija</w:t>
            </w:r>
          </w:p>
        </w:tc>
        <w:tc>
          <w:tcPr>
            <w:tcW w:w="5849" w:type="dxa"/>
            <w:shd w:val="clear" w:color="auto" w:fill="auto"/>
          </w:tcPr>
          <w:p w14:paraId="1028C319" w14:textId="77777777" w:rsidR="004B2486" w:rsidRPr="003E78EA" w:rsidRDefault="004B2486" w:rsidP="00381032">
            <w:pPr>
              <w:adjustRightInd w:val="0"/>
              <w:rPr>
                <w:lang w:val="lt-LT"/>
              </w:rPr>
            </w:pPr>
            <w:r w:rsidRPr="003E78EA">
              <w:rPr>
                <w:lang w:val="lt-LT"/>
              </w:rPr>
              <w:t>Allopurinol Accord 100 mg, 300 mg tabletter</w:t>
            </w:r>
          </w:p>
        </w:tc>
      </w:tr>
      <w:tr w:rsidR="004B2486" w:rsidRPr="000A5826" w14:paraId="11CF1744" w14:textId="77777777" w:rsidTr="00381032">
        <w:tc>
          <w:tcPr>
            <w:tcW w:w="3095" w:type="dxa"/>
            <w:shd w:val="clear" w:color="auto" w:fill="auto"/>
          </w:tcPr>
          <w:p w14:paraId="271977F3" w14:textId="77777777" w:rsidR="004B2486" w:rsidRPr="003E78EA" w:rsidRDefault="004B2486" w:rsidP="00381032">
            <w:pPr>
              <w:adjustRightInd w:val="0"/>
              <w:rPr>
                <w:lang w:val="lt-LT"/>
              </w:rPr>
            </w:pPr>
            <w:r w:rsidRPr="003E78EA">
              <w:rPr>
                <w:lang w:val="lt-LT"/>
              </w:rPr>
              <w:t>Estija</w:t>
            </w:r>
          </w:p>
        </w:tc>
        <w:tc>
          <w:tcPr>
            <w:tcW w:w="5849" w:type="dxa"/>
            <w:shd w:val="clear" w:color="auto" w:fill="auto"/>
          </w:tcPr>
          <w:p w14:paraId="171B6A70" w14:textId="77777777" w:rsidR="004B2486" w:rsidRPr="003E78EA" w:rsidRDefault="004B2486" w:rsidP="00381032">
            <w:pPr>
              <w:adjustRightInd w:val="0"/>
              <w:rPr>
                <w:lang w:val="lt-LT"/>
              </w:rPr>
            </w:pPr>
            <w:r w:rsidRPr="003E78EA">
              <w:rPr>
                <w:lang w:val="lt-LT"/>
              </w:rPr>
              <w:t>Allopurinol Accord</w:t>
            </w:r>
          </w:p>
        </w:tc>
      </w:tr>
      <w:tr w:rsidR="004B2486" w:rsidRPr="000A5826" w14:paraId="2B43F659" w14:textId="77777777" w:rsidTr="00381032">
        <w:tc>
          <w:tcPr>
            <w:tcW w:w="3095" w:type="dxa"/>
            <w:shd w:val="clear" w:color="auto" w:fill="auto"/>
          </w:tcPr>
          <w:p w14:paraId="50BC579B" w14:textId="77777777" w:rsidR="004B2486" w:rsidRPr="003E78EA" w:rsidRDefault="004B2486" w:rsidP="00381032">
            <w:pPr>
              <w:adjustRightInd w:val="0"/>
              <w:rPr>
                <w:lang w:val="lt-LT"/>
              </w:rPr>
            </w:pPr>
            <w:r w:rsidRPr="003E78EA">
              <w:rPr>
                <w:lang w:val="lt-LT"/>
              </w:rPr>
              <w:t>Suomija</w:t>
            </w:r>
          </w:p>
        </w:tc>
        <w:tc>
          <w:tcPr>
            <w:tcW w:w="5849" w:type="dxa"/>
            <w:shd w:val="clear" w:color="auto" w:fill="auto"/>
          </w:tcPr>
          <w:p w14:paraId="6479AF38" w14:textId="77777777" w:rsidR="004B2486" w:rsidRPr="003E78EA" w:rsidRDefault="004B2486" w:rsidP="00381032">
            <w:pPr>
              <w:adjustRightInd w:val="0"/>
              <w:rPr>
                <w:lang w:val="lt-LT"/>
              </w:rPr>
            </w:pPr>
            <w:r w:rsidRPr="003E78EA">
              <w:rPr>
                <w:lang w:val="lt-LT"/>
              </w:rPr>
              <w:t>Allopurinol Accord</w:t>
            </w:r>
          </w:p>
        </w:tc>
      </w:tr>
      <w:tr w:rsidR="004B2486" w:rsidRPr="000A5826" w14:paraId="2B856E18" w14:textId="77777777" w:rsidTr="00381032">
        <w:tc>
          <w:tcPr>
            <w:tcW w:w="3095" w:type="dxa"/>
            <w:shd w:val="clear" w:color="auto" w:fill="auto"/>
          </w:tcPr>
          <w:p w14:paraId="694E8999" w14:textId="77777777" w:rsidR="004B2486" w:rsidRPr="003E78EA" w:rsidRDefault="004B2486" w:rsidP="00381032">
            <w:pPr>
              <w:adjustRightInd w:val="0"/>
              <w:rPr>
                <w:lang w:val="lt-LT"/>
              </w:rPr>
            </w:pPr>
            <w:r w:rsidRPr="003E78EA">
              <w:rPr>
                <w:lang w:val="lt-LT"/>
              </w:rPr>
              <w:t>Vokietija</w:t>
            </w:r>
          </w:p>
        </w:tc>
        <w:tc>
          <w:tcPr>
            <w:tcW w:w="5849" w:type="dxa"/>
            <w:shd w:val="clear" w:color="auto" w:fill="auto"/>
          </w:tcPr>
          <w:p w14:paraId="0501A78D" w14:textId="77777777" w:rsidR="004B2486" w:rsidRPr="003E78EA" w:rsidRDefault="004B2486" w:rsidP="00381032">
            <w:pPr>
              <w:adjustRightInd w:val="0"/>
              <w:rPr>
                <w:lang w:val="lt-LT"/>
              </w:rPr>
            </w:pPr>
            <w:r w:rsidRPr="003E78EA">
              <w:rPr>
                <w:lang w:val="lt-LT"/>
              </w:rPr>
              <w:t>Allopurinol Accord 100 mg, 300 mg Tabletten</w:t>
            </w:r>
          </w:p>
        </w:tc>
      </w:tr>
      <w:tr w:rsidR="004B2486" w:rsidRPr="000A5826" w14:paraId="1907F273" w14:textId="77777777" w:rsidTr="00381032">
        <w:tc>
          <w:tcPr>
            <w:tcW w:w="3095" w:type="dxa"/>
            <w:shd w:val="clear" w:color="auto" w:fill="auto"/>
          </w:tcPr>
          <w:p w14:paraId="38DD4617" w14:textId="77777777" w:rsidR="004B2486" w:rsidRPr="003E78EA" w:rsidRDefault="004B2486" w:rsidP="00381032">
            <w:pPr>
              <w:adjustRightInd w:val="0"/>
              <w:rPr>
                <w:lang w:val="lt-LT"/>
              </w:rPr>
            </w:pPr>
            <w:r w:rsidRPr="003E78EA">
              <w:rPr>
                <w:lang w:val="lt-LT"/>
              </w:rPr>
              <w:t>Lietuva</w:t>
            </w:r>
          </w:p>
        </w:tc>
        <w:tc>
          <w:tcPr>
            <w:tcW w:w="5849" w:type="dxa"/>
            <w:shd w:val="clear" w:color="auto" w:fill="auto"/>
          </w:tcPr>
          <w:p w14:paraId="1BD6C31D" w14:textId="77777777" w:rsidR="004B2486" w:rsidRPr="003E78EA" w:rsidRDefault="004B2486" w:rsidP="00381032">
            <w:pPr>
              <w:adjustRightInd w:val="0"/>
              <w:rPr>
                <w:lang w:val="lt-LT"/>
              </w:rPr>
            </w:pPr>
            <w:r w:rsidRPr="003E78EA">
              <w:rPr>
                <w:lang w:val="lt-LT"/>
              </w:rPr>
              <w:t>Allopurinol Accord 100 mg, 300 mg tabletės</w:t>
            </w:r>
          </w:p>
        </w:tc>
      </w:tr>
      <w:tr w:rsidR="004B2486" w:rsidRPr="000A5826" w14:paraId="63908C6D" w14:textId="77777777" w:rsidTr="00381032">
        <w:tc>
          <w:tcPr>
            <w:tcW w:w="3095" w:type="dxa"/>
            <w:shd w:val="clear" w:color="auto" w:fill="auto"/>
          </w:tcPr>
          <w:p w14:paraId="60ECE11E" w14:textId="77777777" w:rsidR="004B2486" w:rsidRPr="003E78EA" w:rsidRDefault="004B2486" w:rsidP="00381032">
            <w:pPr>
              <w:adjustRightInd w:val="0"/>
              <w:rPr>
                <w:lang w:val="lt-LT"/>
              </w:rPr>
            </w:pPr>
            <w:r w:rsidRPr="003E78EA">
              <w:rPr>
                <w:lang w:val="lt-LT"/>
              </w:rPr>
              <w:t>Latvija</w:t>
            </w:r>
          </w:p>
        </w:tc>
        <w:tc>
          <w:tcPr>
            <w:tcW w:w="5849" w:type="dxa"/>
            <w:shd w:val="clear" w:color="auto" w:fill="auto"/>
          </w:tcPr>
          <w:p w14:paraId="7A8536B4" w14:textId="77777777" w:rsidR="004B2486" w:rsidRPr="003E78EA" w:rsidRDefault="004B2486" w:rsidP="00381032">
            <w:pPr>
              <w:adjustRightInd w:val="0"/>
              <w:rPr>
                <w:lang w:val="lt-LT"/>
              </w:rPr>
            </w:pPr>
            <w:r w:rsidRPr="003E78EA">
              <w:rPr>
                <w:lang w:val="lt-LT"/>
              </w:rPr>
              <w:t>Allopurinol Accord 100 mg, 300 mg tabletes</w:t>
            </w:r>
          </w:p>
        </w:tc>
      </w:tr>
      <w:tr w:rsidR="004B2486" w:rsidRPr="000A5826" w14:paraId="41D91723" w14:textId="77777777" w:rsidTr="00381032">
        <w:tc>
          <w:tcPr>
            <w:tcW w:w="3095" w:type="dxa"/>
            <w:shd w:val="clear" w:color="auto" w:fill="auto"/>
          </w:tcPr>
          <w:p w14:paraId="3B682750" w14:textId="77777777" w:rsidR="004B2486" w:rsidRPr="003E78EA" w:rsidRDefault="004B2486" w:rsidP="00381032">
            <w:pPr>
              <w:adjustRightInd w:val="0"/>
              <w:rPr>
                <w:lang w:val="lt-LT"/>
              </w:rPr>
            </w:pPr>
            <w:r w:rsidRPr="003E78EA">
              <w:rPr>
                <w:lang w:val="lt-LT"/>
              </w:rPr>
              <w:t>Nyderlandai</w:t>
            </w:r>
          </w:p>
        </w:tc>
        <w:tc>
          <w:tcPr>
            <w:tcW w:w="5849" w:type="dxa"/>
            <w:shd w:val="clear" w:color="auto" w:fill="auto"/>
          </w:tcPr>
          <w:p w14:paraId="25B8E941" w14:textId="77777777" w:rsidR="004B2486" w:rsidRPr="003E78EA" w:rsidRDefault="004B2486" w:rsidP="00381032">
            <w:pPr>
              <w:adjustRightInd w:val="0"/>
              <w:rPr>
                <w:lang w:val="lt-LT"/>
              </w:rPr>
            </w:pPr>
            <w:r w:rsidRPr="003E78EA">
              <w:rPr>
                <w:lang w:val="lt-LT"/>
              </w:rPr>
              <w:t>Allopurinol Accord 100 mg, 300 mg tabletten</w:t>
            </w:r>
          </w:p>
        </w:tc>
      </w:tr>
      <w:tr w:rsidR="004B2486" w:rsidRPr="000A5826" w14:paraId="2FCE04E4" w14:textId="77777777" w:rsidTr="00381032">
        <w:tc>
          <w:tcPr>
            <w:tcW w:w="3095" w:type="dxa"/>
            <w:shd w:val="clear" w:color="auto" w:fill="auto"/>
          </w:tcPr>
          <w:p w14:paraId="40598038" w14:textId="77777777" w:rsidR="004B2486" w:rsidRPr="003E78EA" w:rsidRDefault="004B2486" w:rsidP="00381032">
            <w:pPr>
              <w:adjustRightInd w:val="0"/>
              <w:rPr>
                <w:lang w:val="lt-LT"/>
              </w:rPr>
            </w:pPr>
            <w:r w:rsidRPr="003E78EA">
              <w:rPr>
                <w:lang w:val="lt-LT"/>
              </w:rPr>
              <w:t>Švedija</w:t>
            </w:r>
          </w:p>
        </w:tc>
        <w:tc>
          <w:tcPr>
            <w:tcW w:w="5849" w:type="dxa"/>
            <w:shd w:val="clear" w:color="auto" w:fill="auto"/>
          </w:tcPr>
          <w:p w14:paraId="4498AA67" w14:textId="77777777" w:rsidR="004B2486" w:rsidRPr="003E78EA" w:rsidRDefault="004B2486" w:rsidP="00381032">
            <w:pPr>
              <w:adjustRightInd w:val="0"/>
              <w:rPr>
                <w:lang w:val="lt-LT"/>
              </w:rPr>
            </w:pPr>
            <w:r w:rsidRPr="003E78EA">
              <w:rPr>
                <w:lang w:val="lt-LT"/>
              </w:rPr>
              <w:t>Allopurinol Accord 100 mg, 300 mg tabletter</w:t>
            </w:r>
          </w:p>
        </w:tc>
      </w:tr>
      <w:tr w:rsidR="004B2486" w:rsidRPr="000A5826" w14:paraId="050E62A8" w14:textId="77777777" w:rsidTr="00381032">
        <w:tc>
          <w:tcPr>
            <w:tcW w:w="3095" w:type="dxa"/>
            <w:shd w:val="clear" w:color="auto" w:fill="auto"/>
          </w:tcPr>
          <w:p w14:paraId="0D9E5FA5" w14:textId="77777777" w:rsidR="004B2486" w:rsidRPr="003E78EA" w:rsidRDefault="004B2486" w:rsidP="00381032">
            <w:pPr>
              <w:adjustRightInd w:val="0"/>
              <w:rPr>
                <w:lang w:val="lt-LT"/>
              </w:rPr>
            </w:pPr>
            <w:r w:rsidRPr="003E78EA">
              <w:rPr>
                <w:lang w:val="lt-LT"/>
              </w:rPr>
              <w:t>Airija</w:t>
            </w:r>
          </w:p>
        </w:tc>
        <w:tc>
          <w:tcPr>
            <w:tcW w:w="5849" w:type="dxa"/>
            <w:shd w:val="clear" w:color="auto" w:fill="auto"/>
          </w:tcPr>
          <w:p w14:paraId="0FC7F4FE" w14:textId="77777777" w:rsidR="004B2486" w:rsidRPr="003E78EA" w:rsidRDefault="004B2486" w:rsidP="00381032">
            <w:pPr>
              <w:adjustRightInd w:val="0"/>
              <w:rPr>
                <w:lang w:val="lt-LT"/>
              </w:rPr>
            </w:pPr>
            <w:r w:rsidRPr="003E78EA">
              <w:rPr>
                <w:lang w:val="lt-LT"/>
              </w:rPr>
              <w:t>Allopurinol 100 mg, 300 mg tablet</w:t>
            </w:r>
          </w:p>
        </w:tc>
      </w:tr>
      <w:tr w:rsidR="004B2486" w:rsidRPr="000A5826" w14:paraId="329EAD19" w14:textId="77777777" w:rsidTr="00381032">
        <w:tc>
          <w:tcPr>
            <w:tcW w:w="3095" w:type="dxa"/>
            <w:shd w:val="clear" w:color="auto" w:fill="auto"/>
          </w:tcPr>
          <w:p w14:paraId="65F90162" w14:textId="7FA1DE38" w:rsidR="004B2486" w:rsidRPr="003E78EA" w:rsidRDefault="004B2486" w:rsidP="0056319A">
            <w:pPr>
              <w:pStyle w:val="TableParagraph"/>
              <w:kinsoku w:val="0"/>
              <w:overflowPunct w:val="0"/>
              <w:spacing w:line="272" w:lineRule="exact"/>
              <w:ind w:left="0"/>
              <w:rPr>
                <w:lang w:val="lt-LT"/>
              </w:rPr>
            </w:pPr>
            <w:r w:rsidRPr="003E78EA">
              <w:rPr>
                <w:lang w:val="lt-LT"/>
              </w:rPr>
              <w:t>Čekija</w:t>
            </w:r>
          </w:p>
        </w:tc>
        <w:tc>
          <w:tcPr>
            <w:tcW w:w="5849" w:type="dxa"/>
            <w:shd w:val="clear" w:color="auto" w:fill="auto"/>
          </w:tcPr>
          <w:p w14:paraId="1CB6F9ED" w14:textId="77777777" w:rsidR="004B2486" w:rsidRPr="003E78EA" w:rsidRDefault="004B2486" w:rsidP="00381032">
            <w:pPr>
              <w:adjustRightInd w:val="0"/>
              <w:rPr>
                <w:lang w:val="lt-LT"/>
              </w:rPr>
            </w:pPr>
            <w:r w:rsidRPr="003E78EA">
              <w:rPr>
                <w:lang w:val="lt-LT"/>
              </w:rPr>
              <w:t>Allospes</w:t>
            </w:r>
          </w:p>
        </w:tc>
      </w:tr>
      <w:tr w:rsidR="004B2486" w:rsidRPr="000A5826" w14:paraId="3379AAB0" w14:textId="77777777" w:rsidTr="00381032">
        <w:tc>
          <w:tcPr>
            <w:tcW w:w="3095" w:type="dxa"/>
            <w:shd w:val="clear" w:color="auto" w:fill="auto"/>
          </w:tcPr>
          <w:p w14:paraId="1D943B4C" w14:textId="77777777" w:rsidR="004B2486" w:rsidRPr="003E78EA" w:rsidRDefault="004B2486" w:rsidP="00381032">
            <w:pPr>
              <w:adjustRightInd w:val="0"/>
              <w:rPr>
                <w:lang w:val="lt-LT"/>
              </w:rPr>
            </w:pPr>
            <w:r w:rsidRPr="003E78EA">
              <w:rPr>
                <w:lang w:val="lt-LT"/>
              </w:rPr>
              <w:t>Lenkija</w:t>
            </w:r>
          </w:p>
        </w:tc>
        <w:tc>
          <w:tcPr>
            <w:tcW w:w="5849" w:type="dxa"/>
            <w:shd w:val="clear" w:color="auto" w:fill="auto"/>
          </w:tcPr>
          <w:p w14:paraId="5AB38171" w14:textId="77777777" w:rsidR="004B2486" w:rsidRPr="003E78EA" w:rsidRDefault="004B2486" w:rsidP="00381032">
            <w:pPr>
              <w:adjustRightInd w:val="0"/>
              <w:rPr>
                <w:lang w:val="lt-LT"/>
              </w:rPr>
            </w:pPr>
            <w:r w:rsidRPr="003E78EA">
              <w:rPr>
                <w:lang w:val="lt-LT"/>
              </w:rPr>
              <w:t>Allospes</w:t>
            </w:r>
          </w:p>
        </w:tc>
      </w:tr>
      <w:tr w:rsidR="004B2486" w:rsidRPr="000A5826" w14:paraId="71F5AF9D" w14:textId="77777777" w:rsidTr="00381032">
        <w:tc>
          <w:tcPr>
            <w:tcW w:w="3095" w:type="dxa"/>
            <w:shd w:val="clear" w:color="auto" w:fill="auto"/>
          </w:tcPr>
          <w:p w14:paraId="3A3601BF" w14:textId="77777777" w:rsidR="004B2486" w:rsidRPr="003E78EA" w:rsidRDefault="004B2486" w:rsidP="00381032">
            <w:pPr>
              <w:adjustRightInd w:val="0"/>
              <w:rPr>
                <w:lang w:val="lt-LT"/>
              </w:rPr>
            </w:pPr>
            <w:r w:rsidRPr="003E78EA">
              <w:rPr>
                <w:lang w:val="lt-LT"/>
              </w:rPr>
              <w:t>Kipras</w:t>
            </w:r>
          </w:p>
        </w:tc>
        <w:tc>
          <w:tcPr>
            <w:tcW w:w="5849" w:type="dxa"/>
            <w:shd w:val="clear" w:color="auto" w:fill="auto"/>
          </w:tcPr>
          <w:p w14:paraId="44EDCD9C" w14:textId="77777777" w:rsidR="004B2486" w:rsidRPr="003E78EA" w:rsidRDefault="004B2486" w:rsidP="00381032">
            <w:pPr>
              <w:adjustRightInd w:val="0"/>
              <w:rPr>
                <w:lang w:val="lt-LT"/>
              </w:rPr>
            </w:pPr>
            <w:r w:rsidRPr="003E78EA">
              <w:rPr>
                <w:lang w:val="lt-LT"/>
              </w:rPr>
              <w:t>Allopurinol Accord 100 mg tablet</w:t>
            </w:r>
          </w:p>
        </w:tc>
      </w:tr>
      <w:tr w:rsidR="004B2486" w:rsidRPr="000A5826" w14:paraId="71B68A6E" w14:textId="77777777" w:rsidTr="00381032">
        <w:tc>
          <w:tcPr>
            <w:tcW w:w="3095" w:type="dxa"/>
            <w:shd w:val="clear" w:color="auto" w:fill="auto"/>
          </w:tcPr>
          <w:p w14:paraId="795F00FC" w14:textId="77777777" w:rsidR="004B2486" w:rsidRPr="003E78EA" w:rsidRDefault="004B2486" w:rsidP="00381032">
            <w:pPr>
              <w:adjustRightInd w:val="0"/>
              <w:rPr>
                <w:lang w:val="lt-LT"/>
              </w:rPr>
            </w:pPr>
            <w:r w:rsidRPr="003E78EA">
              <w:rPr>
                <w:lang w:val="lt-LT"/>
              </w:rPr>
              <w:t>Italija</w:t>
            </w:r>
          </w:p>
        </w:tc>
        <w:tc>
          <w:tcPr>
            <w:tcW w:w="5849" w:type="dxa"/>
            <w:shd w:val="clear" w:color="auto" w:fill="auto"/>
          </w:tcPr>
          <w:p w14:paraId="4CB5B390" w14:textId="77777777" w:rsidR="004B2486" w:rsidRPr="003E78EA" w:rsidRDefault="004B2486" w:rsidP="00381032">
            <w:pPr>
              <w:adjustRightInd w:val="0"/>
              <w:rPr>
                <w:spacing w:val="-1"/>
                <w:lang w:val="lt-LT"/>
              </w:rPr>
            </w:pPr>
            <w:r w:rsidRPr="003E78EA">
              <w:rPr>
                <w:lang w:val="lt-LT"/>
              </w:rPr>
              <w:t>Allopurinolo Accord</w:t>
            </w:r>
          </w:p>
        </w:tc>
      </w:tr>
      <w:tr w:rsidR="004B2486" w:rsidRPr="000A5826" w14:paraId="2617B6B1" w14:textId="77777777" w:rsidTr="00381032">
        <w:tc>
          <w:tcPr>
            <w:tcW w:w="3095" w:type="dxa"/>
            <w:shd w:val="clear" w:color="auto" w:fill="auto"/>
          </w:tcPr>
          <w:p w14:paraId="02E9861E" w14:textId="77777777" w:rsidR="004B2486" w:rsidRPr="003E78EA" w:rsidRDefault="004B2486" w:rsidP="00381032">
            <w:pPr>
              <w:adjustRightInd w:val="0"/>
              <w:rPr>
                <w:lang w:val="lt-LT"/>
              </w:rPr>
            </w:pPr>
            <w:r w:rsidRPr="003E78EA">
              <w:rPr>
                <w:lang w:val="lt-LT"/>
              </w:rPr>
              <w:t>Ispanija</w:t>
            </w:r>
          </w:p>
        </w:tc>
        <w:tc>
          <w:tcPr>
            <w:tcW w:w="5849" w:type="dxa"/>
            <w:shd w:val="clear" w:color="auto" w:fill="auto"/>
          </w:tcPr>
          <w:p w14:paraId="53CACC98" w14:textId="77777777" w:rsidR="004B2486" w:rsidRPr="003E78EA" w:rsidRDefault="004B2486" w:rsidP="00381032">
            <w:pPr>
              <w:adjustRightInd w:val="0"/>
              <w:rPr>
                <w:spacing w:val="-1"/>
                <w:lang w:val="lt-LT"/>
              </w:rPr>
            </w:pPr>
            <w:r w:rsidRPr="003E78EA">
              <w:rPr>
                <w:lang w:val="lt-LT"/>
              </w:rPr>
              <w:t>Allopurinol Accord 100 mg, 300 mg comprimidos</w:t>
            </w:r>
          </w:p>
        </w:tc>
      </w:tr>
    </w:tbl>
    <w:p w14:paraId="76C87C1D" w14:textId="77777777" w:rsidR="00710393" w:rsidRPr="003E78EA" w:rsidRDefault="00710393" w:rsidP="00710393">
      <w:pPr>
        <w:adjustRightInd w:val="0"/>
        <w:rPr>
          <w:lang w:val="lt-LT"/>
        </w:rPr>
      </w:pPr>
    </w:p>
    <w:p w14:paraId="044E603F" w14:textId="64196D9D" w:rsidR="00710393" w:rsidRPr="003E78EA" w:rsidRDefault="00710393" w:rsidP="00710393">
      <w:pPr>
        <w:numPr>
          <w:ilvl w:val="12"/>
          <w:numId w:val="0"/>
        </w:numPr>
        <w:ind w:right="-2"/>
        <w:outlineLvl w:val="0"/>
        <w:rPr>
          <w:b/>
          <w:lang w:val="lt-LT"/>
        </w:rPr>
      </w:pPr>
      <w:r w:rsidRPr="003E78EA">
        <w:rPr>
          <w:b/>
          <w:lang w:val="lt-LT"/>
        </w:rPr>
        <w:t>Šis pakuotės lapelis paskutinį kartą peržiūrėtas</w:t>
      </w:r>
      <w:r w:rsidR="00CB74E7">
        <w:rPr>
          <w:b/>
          <w:lang w:val="lt-LT"/>
        </w:rPr>
        <w:t xml:space="preserve"> 202</w:t>
      </w:r>
      <w:r w:rsidR="002728EA">
        <w:rPr>
          <w:b/>
          <w:lang w:val="lt-LT"/>
        </w:rPr>
        <w:t>5-02-</w:t>
      </w:r>
      <w:r w:rsidR="002368BD">
        <w:rPr>
          <w:b/>
          <w:lang w:val="lt-LT"/>
        </w:rPr>
        <w:t>04.</w:t>
      </w:r>
    </w:p>
    <w:p w14:paraId="4DCF002A" w14:textId="77777777" w:rsidR="00710393" w:rsidRPr="003E78EA" w:rsidRDefault="00710393" w:rsidP="00710393">
      <w:pPr>
        <w:numPr>
          <w:ilvl w:val="12"/>
          <w:numId w:val="0"/>
        </w:numPr>
        <w:ind w:right="-2"/>
        <w:outlineLvl w:val="0"/>
        <w:rPr>
          <w:lang w:val="lt-LT"/>
        </w:rPr>
      </w:pPr>
    </w:p>
    <w:p w14:paraId="19463CB4" w14:textId="3E8F0CC2" w:rsidR="0056319A" w:rsidRPr="000A5826" w:rsidRDefault="0056319A" w:rsidP="0056319A">
      <w:pPr>
        <w:widowControl/>
        <w:numPr>
          <w:ilvl w:val="12"/>
          <w:numId w:val="0"/>
        </w:numPr>
        <w:tabs>
          <w:tab w:val="left" w:pos="567"/>
        </w:tabs>
        <w:autoSpaceDE/>
        <w:autoSpaceDN/>
        <w:ind w:right="-2"/>
        <w:rPr>
          <w:snapToGrid w:val="0"/>
          <w:szCs w:val="24"/>
          <w:lang w:val="lt-LT"/>
        </w:rPr>
      </w:pPr>
      <w:r w:rsidRPr="000A5826">
        <w:rPr>
          <w:snapToGrid w:val="0"/>
          <w:szCs w:val="20"/>
          <w:lang w:val="lt-LT"/>
        </w:rPr>
        <w:t xml:space="preserve">Išsami informacija apie šį </w:t>
      </w:r>
      <w:r w:rsidRPr="000A5826">
        <w:rPr>
          <w:snapToGrid w:val="0"/>
          <w:szCs w:val="24"/>
          <w:lang w:val="lt-LT"/>
        </w:rPr>
        <w:t>vaistą</w:t>
      </w:r>
      <w:r w:rsidRPr="000A5826">
        <w:rPr>
          <w:snapToGrid w:val="0"/>
          <w:szCs w:val="20"/>
          <w:lang w:val="lt-LT"/>
        </w:rPr>
        <w:t xml:space="preserve"> pateikiama Valstybinės vaistų kontrolės tarnybos prie Lietuvos Respublikos sveikatos apsaugos ministerijos tinklalapyje</w:t>
      </w:r>
      <w:r w:rsidRPr="000A5826">
        <w:rPr>
          <w:i/>
          <w:snapToGrid w:val="0"/>
          <w:szCs w:val="24"/>
          <w:lang w:val="lt-LT"/>
        </w:rPr>
        <w:t xml:space="preserve"> </w:t>
      </w:r>
      <w:r w:rsidR="00FA1B6E" w:rsidRPr="00FA1B6E">
        <w:rPr>
          <w:color w:val="0000EE"/>
          <w:u w:val="single"/>
          <w:lang w:val="lt-LT" w:eastAsia="lt-LT"/>
        </w:rPr>
        <w:t>https://vvkt.lrv.lt/lt/</w:t>
      </w:r>
      <w:r w:rsidRPr="000A5826">
        <w:rPr>
          <w:snapToGrid w:val="0"/>
          <w:szCs w:val="20"/>
          <w:lang w:val="lt-LT"/>
        </w:rPr>
        <w:t>.</w:t>
      </w:r>
    </w:p>
    <w:p w14:paraId="36937904" w14:textId="77777777" w:rsidR="00710393" w:rsidRPr="003E78EA" w:rsidRDefault="00710393" w:rsidP="00710393">
      <w:pPr>
        <w:numPr>
          <w:ilvl w:val="12"/>
          <w:numId w:val="0"/>
        </w:numPr>
        <w:ind w:right="-2"/>
        <w:rPr>
          <w:lang w:val="lt-LT"/>
        </w:rPr>
      </w:pPr>
      <w:bookmarkStart w:id="4" w:name="_GoBack"/>
      <w:bookmarkEnd w:id="4"/>
    </w:p>
    <w:p w14:paraId="52966E10" w14:textId="77777777" w:rsidR="008B2021" w:rsidRPr="003E78EA" w:rsidRDefault="008B2021">
      <w:pPr>
        <w:spacing w:before="67"/>
        <w:ind w:left="2904"/>
        <w:rPr>
          <w:b/>
          <w:lang w:val="lt-LT"/>
        </w:rPr>
      </w:pPr>
    </w:p>
    <w:sectPr w:rsidR="008B2021" w:rsidRPr="003E78EA" w:rsidSect="00B910A3">
      <w:footerReference w:type="default" r:id="rId1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3D503" w14:textId="77777777" w:rsidR="00560A49" w:rsidRDefault="00560A49">
      <w:r>
        <w:separator/>
      </w:r>
    </w:p>
  </w:endnote>
  <w:endnote w:type="continuationSeparator" w:id="0">
    <w:p w14:paraId="1CFD60C2" w14:textId="77777777" w:rsidR="00560A49" w:rsidRDefault="00560A49">
      <w:r>
        <w:continuationSeparator/>
      </w:r>
    </w:p>
  </w:endnote>
  <w:endnote w:type="continuationNotice" w:id="1">
    <w:p w14:paraId="2126FF66" w14:textId="77777777" w:rsidR="00560A49" w:rsidRDefault="00560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E2946" w14:textId="77777777" w:rsidR="00F569BB" w:rsidRDefault="00F569BB">
    <w:pPr>
      <w:pStyle w:val="Pagrindinistekstas"/>
      <w:spacing w:line="14" w:lineRule="auto"/>
      <w:rPr>
        <w:sz w:val="20"/>
      </w:rPr>
    </w:pPr>
    <w:r>
      <w:rPr>
        <w:noProof/>
        <w:lang w:val="lt-LT" w:eastAsia="lt-LT"/>
      </w:rPr>
      <mc:AlternateContent>
        <mc:Choice Requires="wps">
          <w:drawing>
            <wp:anchor distT="0" distB="0" distL="114300" distR="114300" simplePos="0" relativeHeight="251657728" behindDoc="1" locked="0" layoutInCell="1" allowOverlap="1" wp14:anchorId="7D9C8275" wp14:editId="7845C6E6">
              <wp:simplePos x="0" y="0"/>
              <wp:positionH relativeFrom="page">
                <wp:posOffset>3684270</wp:posOffset>
              </wp:positionH>
              <wp:positionV relativeFrom="page">
                <wp:posOffset>10053320</wp:posOffset>
              </wp:positionV>
              <wp:extent cx="191135" cy="180975"/>
              <wp:effectExtent l="0" t="444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1C323" w14:textId="4B8A2B45" w:rsidR="00F569BB" w:rsidRDefault="00F569BB">
                          <w:pPr>
                            <w:pStyle w:val="Pagrindinistekstas"/>
                            <w:spacing w:before="11"/>
                            <w:ind w:left="40"/>
                          </w:pPr>
                          <w:r>
                            <w:fldChar w:fldCharType="begin"/>
                          </w:r>
                          <w:r>
                            <w:instrText xml:space="preserve"> PAGE </w:instrText>
                          </w:r>
                          <w:r>
                            <w:fldChar w:fldCharType="separate"/>
                          </w:r>
                          <w:r w:rsidR="008239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C8275" id="_x0000_t202" coordsize="21600,21600" o:spt="202" path="m,l,21600r21600,l21600,xe">
              <v:stroke joinstyle="miter"/>
              <v:path gradientshapeok="t" o:connecttype="rect"/>
            </v:shapetype>
            <v:shape id="Text Box 1" o:spid="_x0000_s1026" type="#_x0000_t202" style="position:absolute;margin-left:290.1pt;margin-top:791.6pt;width:15.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" filled="f" stroked="f">
              <v:textbox inset="0,0,0,0">
                <w:txbxContent>
                  <w:p w14:paraId="4FB1C323" w14:textId="4B8A2B45" w:rsidR="00F569BB" w:rsidRDefault="00F569BB">
                    <w:pPr>
                      <w:pStyle w:val="Pagrindinistekstas"/>
                      <w:spacing w:before="11"/>
                      <w:ind w:left="40"/>
                    </w:pPr>
                    <w:r>
                      <w:fldChar w:fldCharType="begin"/>
                    </w:r>
                    <w:r>
                      <w:instrText xml:space="preserve"> PAGE </w:instrText>
                    </w:r>
                    <w:r>
                      <w:fldChar w:fldCharType="separate"/>
                    </w:r>
                    <w:r w:rsidR="00823988">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C7A9D" w14:textId="44FD3F7C" w:rsidR="00F569BB" w:rsidRPr="000C1913" w:rsidRDefault="00F569BB">
    <w:pPr>
      <w:pStyle w:val="Porat"/>
      <w:tabs>
        <w:tab w:val="right" w:pos="8931"/>
      </w:tabs>
      <w:ind w:right="96"/>
      <w:jc w:val="center"/>
      <w:rPr>
        <w:rFonts w:cs="Arial"/>
      </w:rPr>
    </w:pPr>
    <w:r w:rsidRPr="000C1913">
      <w:rPr>
        <w:rFonts w:cs="Arial"/>
      </w:rPr>
      <w:fldChar w:fldCharType="begin"/>
    </w:r>
    <w:r w:rsidRPr="000C1913">
      <w:rPr>
        <w:rFonts w:cs="Arial"/>
      </w:rPr>
      <w:instrText xml:space="preserve"> EQ </w:instrText>
    </w:r>
    <w:r w:rsidRPr="000C1913">
      <w:rPr>
        <w:rFonts w:cs="Arial"/>
      </w:rPr>
      <w:fldChar w:fldCharType="end"/>
    </w:r>
    <w:r w:rsidRPr="000C1913">
      <w:rPr>
        <w:rStyle w:val="Puslapionumeris"/>
        <w:rFonts w:cs="Arial"/>
      </w:rPr>
      <w:fldChar w:fldCharType="begin"/>
    </w:r>
    <w:r w:rsidRPr="000C1913">
      <w:rPr>
        <w:rStyle w:val="Puslapionumeris"/>
        <w:rFonts w:cs="Arial"/>
      </w:rPr>
      <w:instrText xml:space="preserve">PAGE  </w:instrText>
    </w:r>
    <w:r w:rsidRPr="000C1913">
      <w:rPr>
        <w:rStyle w:val="Puslapionumeris"/>
        <w:rFonts w:cs="Arial"/>
      </w:rPr>
      <w:fldChar w:fldCharType="separate"/>
    </w:r>
    <w:r w:rsidR="00823988">
      <w:rPr>
        <w:rStyle w:val="Puslapionumeris"/>
        <w:rFonts w:cs="Arial"/>
      </w:rPr>
      <w:t>28</w:t>
    </w:r>
    <w:r w:rsidRPr="000C1913">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BB4EA" w14:textId="77777777" w:rsidR="00560A49" w:rsidRDefault="00560A49">
      <w:r>
        <w:separator/>
      </w:r>
    </w:p>
  </w:footnote>
  <w:footnote w:type="continuationSeparator" w:id="0">
    <w:p w14:paraId="5D024A1A" w14:textId="77777777" w:rsidR="00560A49" w:rsidRDefault="00560A49">
      <w:r>
        <w:continuationSeparator/>
      </w:r>
    </w:p>
  </w:footnote>
  <w:footnote w:type="continuationNotice" w:id="1">
    <w:p w14:paraId="5C56A3C6" w14:textId="77777777" w:rsidR="00560A49" w:rsidRDefault="00560A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46E8B" w14:textId="77777777" w:rsidR="00F569BB" w:rsidRDefault="00F569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B7584"/>
    <w:multiLevelType w:val="hybridMultilevel"/>
    <w:tmpl w:val="51D00FAE"/>
    <w:lvl w:ilvl="0" w:tplc="C512FABA">
      <w:start w:val="1"/>
      <w:numFmt w:val="decimal"/>
      <w:lvlText w:val="%1."/>
      <w:lvlJc w:val="left"/>
      <w:pPr>
        <w:ind w:left="234" w:hanging="567"/>
      </w:pPr>
      <w:rPr>
        <w:rFonts w:ascii="Times New Roman" w:eastAsia="Times New Roman" w:hAnsi="Times New Roman" w:cs="Times New Roman" w:hint="default"/>
        <w:b/>
        <w:bCs/>
        <w:w w:val="100"/>
        <w:sz w:val="22"/>
        <w:szCs w:val="22"/>
      </w:rPr>
    </w:lvl>
    <w:lvl w:ilvl="1" w:tplc="5A38A5D8">
      <w:numFmt w:val="bullet"/>
      <w:lvlText w:val="•"/>
      <w:lvlJc w:val="left"/>
      <w:pPr>
        <w:ind w:left="1186" w:hanging="567"/>
      </w:pPr>
      <w:rPr>
        <w:rFonts w:hint="default"/>
      </w:rPr>
    </w:lvl>
    <w:lvl w:ilvl="2" w:tplc="F38830F6">
      <w:numFmt w:val="bullet"/>
      <w:lvlText w:val="•"/>
      <w:lvlJc w:val="left"/>
      <w:pPr>
        <w:ind w:left="2133" w:hanging="567"/>
      </w:pPr>
      <w:rPr>
        <w:rFonts w:hint="default"/>
      </w:rPr>
    </w:lvl>
    <w:lvl w:ilvl="3" w:tplc="A9BE5524">
      <w:numFmt w:val="bullet"/>
      <w:lvlText w:val="•"/>
      <w:lvlJc w:val="left"/>
      <w:pPr>
        <w:ind w:left="3079" w:hanging="567"/>
      </w:pPr>
      <w:rPr>
        <w:rFonts w:hint="default"/>
      </w:rPr>
    </w:lvl>
    <w:lvl w:ilvl="4" w:tplc="DC02C324">
      <w:numFmt w:val="bullet"/>
      <w:lvlText w:val="•"/>
      <w:lvlJc w:val="left"/>
      <w:pPr>
        <w:ind w:left="4026" w:hanging="567"/>
      </w:pPr>
      <w:rPr>
        <w:rFonts w:hint="default"/>
      </w:rPr>
    </w:lvl>
    <w:lvl w:ilvl="5" w:tplc="CAFC98F6">
      <w:numFmt w:val="bullet"/>
      <w:lvlText w:val="•"/>
      <w:lvlJc w:val="left"/>
      <w:pPr>
        <w:ind w:left="4973" w:hanging="567"/>
      </w:pPr>
      <w:rPr>
        <w:rFonts w:hint="default"/>
      </w:rPr>
    </w:lvl>
    <w:lvl w:ilvl="6" w:tplc="8C46E930">
      <w:numFmt w:val="bullet"/>
      <w:lvlText w:val="•"/>
      <w:lvlJc w:val="left"/>
      <w:pPr>
        <w:ind w:left="5919" w:hanging="567"/>
      </w:pPr>
      <w:rPr>
        <w:rFonts w:hint="default"/>
      </w:rPr>
    </w:lvl>
    <w:lvl w:ilvl="7" w:tplc="69BAA3B6">
      <w:numFmt w:val="bullet"/>
      <w:lvlText w:val="•"/>
      <w:lvlJc w:val="left"/>
      <w:pPr>
        <w:ind w:left="6866" w:hanging="567"/>
      </w:pPr>
      <w:rPr>
        <w:rFonts w:hint="default"/>
      </w:rPr>
    </w:lvl>
    <w:lvl w:ilvl="8" w:tplc="05EC9E02">
      <w:numFmt w:val="bullet"/>
      <w:lvlText w:val="•"/>
      <w:lvlJc w:val="left"/>
      <w:pPr>
        <w:ind w:left="7813" w:hanging="567"/>
      </w:pPr>
      <w:rPr>
        <w:rFonts w:hint="default"/>
      </w:rPr>
    </w:lvl>
  </w:abstractNum>
  <w:abstractNum w:abstractNumId="2" w15:restartNumberingAfterBreak="0">
    <w:nsid w:val="071B3B26"/>
    <w:multiLevelType w:val="hybridMultilevel"/>
    <w:tmpl w:val="CB94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03132"/>
    <w:multiLevelType w:val="hybridMultilevel"/>
    <w:tmpl w:val="02385F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B34924"/>
    <w:multiLevelType w:val="hybridMultilevel"/>
    <w:tmpl w:val="B61CE3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853235"/>
    <w:multiLevelType w:val="hybridMultilevel"/>
    <w:tmpl w:val="D39C8F4C"/>
    <w:lvl w:ilvl="0" w:tplc="F6B2C484">
      <w:numFmt w:val="bullet"/>
      <w:lvlText w:val=""/>
      <w:lvlJc w:val="left"/>
      <w:pPr>
        <w:ind w:left="801" w:hanging="567"/>
      </w:pPr>
      <w:rPr>
        <w:rFonts w:ascii="Symbol" w:eastAsia="Symbol" w:hAnsi="Symbol" w:cs="Symbol" w:hint="default"/>
        <w:w w:val="100"/>
        <w:sz w:val="22"/>
        <w:szCs w:val="22"/>
      </w:rPr>
    </w:lvl>
    <w:lvl w:ilvl="1" w:tplc="B24820AC">
      <w:numFmt w:val="bullet"/>
      <w:lvlText w:val=""/>
      <w:lvlJc w:val="left"/>
      <w:pPr>
        <w:ind w:left="801" w:hanging="284"/>
      </w:pPr>
      <w:rPr>
        <w:rFonts w:ascii="Symbol" w:eastAsia="Symbol" w:hAnsi="Symbol" w:cs="Symbol" w:hint="default"/>
        <w:w w:val="100"/>
        <w:sz w:val="22"/>
        <w:szCs w:val="22"/>
      </w:rPr>
    </w:lvl>
    <w:lvl w:ilvl="2" w:tplc="D15A1D98">
      <w:numFmt w:val="bullet"/>
      <w:lvlText w:val="•"/>
      <w:lvlJc w:val="left"/>
      <w:pPr>
        <w:ind w:left="2581" w:hanging="284"/>
      </w:pPr>
      <w:rPr>
        <w:rFonts w:hint="default"/>
      </w:rPr>
    </w:lvl>
    <w:lvl w:ilvl="3" w:tplc="B8FE8792">
      <w:numFmt w:val="bullet"/>
      <w:lvlText w:val="•"/>
      <w:lvlJc w:val="left"/>
      <w:pPr>
        <w:ind w:left="3471" w:hanging="284"/>
      </w:pPr>
      <w:rPr>
        <w:rFonts w:hint="default"/>
      </w:rPr>
    </w:lvl>
    <w:lvl w:ilvl="4" w:tplc="90AA5DCE">
      <w:numFmt w:val="bullet"/>
      <w:lvlText w:val="•"/>
      <w:lvlJc w:val="left"/>
      <w:pPr>
        <w:ind w:left="4362" w:hanging="284"/>
      </w:pPr>
      <w:rPr>
        <w:rFonts w:hint="default"/>
      </w:rPr>
    </w:lvl>
    <w:lvl w:ilvl="5" w:tplc="0B7C0CDC">
      <w:numFmt w:val="bullet"/>
      <w:lvlText w:val="•"/>
      <w:lvlJc w:val="left"/>
      <w:pPr>
        <w:ind w:left="5253" w:hanging="284"/>
      </w:pPr>
      <w:rPr>
        <w:rFonts w:hint="default"/>
      </w:rPr>
    </w:lvl>
    <w:lvl w:ilvl="6" w:tplc="8E94624C">
      <w:numFmt w:val="bullet"/>
      <w:lvlText w:val="•"/>
      <w:lvlJc w:val="left"/>
      <w:pPr>
        <w:ind w:left="6143" w:hanging="284"/>
      </w:pPr>
      <w:rPr>
        <w:rFonts w:hint="default"/>
      </w:rPr>
    </w:lvl>
    <w:lvl w:ilvl="7" w:tplc="943E8C80">
      <w:numFmt w:val="bullet"/>
      <w:lvlText w:val="•"/>
      <w:lvlJc w:val="left"/>
      <w:pPr>
        <w:ind w:left="7034" w:hanging="284"/>
      </w:pPr>
      <w:rPr>
        <w:rFonts w:hint="default"/>
      </w:rPr>
    </w:lvl>
    <w:lvl w:ilvl="8" w:tplc="6E762B76">
      <w:numFmt w:val="bullet"/>
      <w:lvlText w:val="•"/>
      <w:lvlJc w:val="left"/>
      <w:pPr>
        <w:ind w:left="7925" w:hanging="284"/>
      </w:pPr>
      <w:rPr>
        <w:rFonts w:hint="default"/>
      </w:rPr>
    </w:lvl>
  </w:abstractNum>
  <w:abstractNum w:abstractNumId="6" w15:restartNumberingAfterBreak="0">
    <w:nsid w:val="181A4EF0"/>
    <w:multiLevelType w:val="hybridMultilevel"/>
    <w:tmpl w:val="11DC8522"/>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F853347"/>
    <w:multiLevelType w:val="hybridMultilevel"/>
    <w:tmpl w:val="C88AFE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740CF2"/>
    <w:multiLevelType w:val="hybridMultilevel"/>
    <w:tmpl w:val="CA64F22A"/>
    <w:lvl w:ilvl="0" w:tplc="B9849204">
      <w:start w:val="1"/>
      <w:numFmt w:val="decimal"/>
      <w:lvlText w:val="%1."/>
      <w:lvlJc w:val="left"/>
      <w:pPr>
        <w:ind w:left="802" w:hanging="567"/>
      </w:pPr>
      <w:rPr>
        <w:rFonts w:ascii="Times New Roman" w:eastAsia="Times New Roman" w:hAnsi="Times New Roman" w:cs="Times New Roman" w:hint="default"/>
        <w:w w:val="100"/>
        <w:sz w:val="22"/>
        <w:szCs w:val="22"/>
      </w:rPr>
    </w:lvl>
    <w:lvl w:ilvl="1" w:tplc="091A8C48">
      <w:numFmt w:val="bullet"/>
      <w:lvlText w:val="•"/>
      <w:lvlJc w:val="left"/>
      <w:pPr>
        <w:ind w:left="1690" w:hanging="567"/>
      </w:pPr>
      <w:rPr>
        <w:rFonts w:hint="default"/>
      </w:rPr>
    </w:lvl>
    <w:lvl w:ilvl="2" w:tplc="438EF4B2">
      <w:numFmt w:val="bullet"/>
      <w:lvlText w:val="•"/>
      <w:lvlJc w:val="left"/>
      <w:pPr>
        <w:ind w:left="2581" w:hanging="567"/>
      </w:pPr>
      <w:rPr>
        <w:rFonts w:hint="default"/>
      </w:rPr>
    </w:lvl>
    <w:lvl w:ilvl="3" w:tplc="05F01914">
      <w:numFmt w:val="bullet"/>
      <w:lvlText w:val="•"/>
      <w:lvlJc w:val="left"/>
      <w:pPr>
        <w:ind w:left="3471" w:hanging="567"/>
      </w:pPr>
      <w:rPr>
        <w:rFonts w:hint="default"/>
      </w:rPr>
    </w:lvl>
    <w:lvl w:ilvl="4" w:tplc="8E2E08FE">
      <w:numFmt w:val="bullet"/>
      <w:lvlText w:val="•"/>
      <w:lvlJc w:val="left"/>
      <w:pPr>
        <w:ind w:left="4362" w:hanging="567"/>
      </w:pPr>
      <w:rPr>
        <w:rFonts w:hint="default"/>
      </w:rPr>
    </w:lvl>
    <w:lvl w:ilvl="5" w:tplc="3E14DF1C">
      <w:numFmt w:val="bullet"/>
      <w:lvlText w:val="•"/>
      <w:lvlJc w:val="left"/>
      <w:pPr>
        <w:ind w:left="5253" w:hanging="567"/>
      </w:pPr>
      <w:rPr>
        <w:rFonts w:hint="default"/>
      </w:rPr>
    </w:lvl>
    <w:lvl w:ilvl="6" w:tplc="BC72094E">
      <w:numFmt w:val="bullet"/>
      <w:lvlText w:val="•"/>
      <w:lvlJc w:val="left"/>
      <w:pPr>
        <w:ind w:left="6143" w:hanging="567"/>
      </w:pPr>
      <w:rPr>
        <w:rFonts w:hint="default"/>
      </w:rPr>
    </w:lvl>
    <w:lvl w:ilvl="7" w:tplc="3BB4E1A0">
      <w:numFmt w:val="bullet"/>
      <w:lvlText w:val="•"/>
      <w:lvlJc w:val="left"/>
      <w:pPr>
        <w:ind w:left="7034" w:hanging="567"/>
      </w:pPr>
      <w:rPr>
        <w:rFonts w:hint="default"/>
      </w:rPr>
    </w:lvl>
    <w:lvl w:ilvl="8" w:tplc="3684E7B8">
      <w:numFmt w:val="bullet"/>
      <w:lvlText w:val="•"/>
      <w:lvlJc w:val="left"/>
      <w:pPr>
        <w:ind w:left="7925" w:hanging="567"/>
      </w:pPr>
      <w:rPr>
        <w:rFonts w:hint="default"/>
      </w:rPr>
    </w:lvl>
  </w:abstractNum>
  <w:abstractNum w:abstractNumId="10" w15:restartNumberingAfterBreak="0">
    <w:nsid w:val="34612FBE"/>
    <w:multiLevelType w:val="hybridMultilevel"/>
    <w:tmpl w:val="A32A19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4814AF"/>
    <w:multiLevelType w:val="multilevel"/>
    <w:tmpl w:val="50D80348"/>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1" w:hanging="567"/>
      </w:pPr>
      <w:rPr>
        <w:rFonts w:ascii="Times New Roman" w:eastAsia="Times New Roman" w:hAnsi="Times New Roman" w:cs="Times New Roman" w:hint="default"/>
        <w:b/>
        <w:bCs/>
        <w:w w:val="100"/>
        <w:sz w:val="22"/>
        <w:szCs w:val="22"/>
      </w:rPr>
    </w:lvl>
    <w:lvl w:ilvl="2">
      <w:numFmt w:val="bullet"/>
      <w:lvlText w:val="•"/>
      <w:lvlJc w:val="left"/>
      <w:pPr>
        <w:ind w:left="2581" w:hanging="567"/>
      </w:pPr>
      <w:rPr>
        <w:rFonts w:hint="default"/>
      </w:rPr>
    </w:lvl>
    <w:lvl w:ilvl="3">
      <w:numFmt w:val="bullet"/>
      <w:lvlText w:val="•"/>
      <w:lvlJc w:val="left"/>
      <w:pPr>
        <w:ind w:left="3471" w:hanging="567"/>
      </w:pPr>
      <w:rPr>
        <w:rFonts w:hint="default"/>
      </w:rPr>
    </w:lvl>
    <w:lvl w:ilvl="4">
      <w:numFmt w:val="bullet"/>
      <w:lvlText w:val="•"/>
      <w:lvlJc w:val="left"/>
      <w:pPr>
        <w:ind w:left="4362" w:hanging="567"/>
      </w:pPr>
      <w:rPr>
        <w:rFonts w:hint="default"/>
      </w:rPr>
    </w:lvl>
    <w:lvl w:ilvl="5">
      <w:numFmt w:val="bullet"/>
      <w:lvlText w:val="•"/>
      <w:lvlJc w:val="left"/>
      <w:pPr>
        <w:ind w:left="5253" w:hanging="567"/>
      </w:pPr>
      <w:rPr>
        <w:rFonts w:hint="default"/>
      </w:rPr>
    </w:lvl>
    <w:lvl w:ilvl="6">
      <w:numFmt w:val="bullet"/>
      <w:lvlText w:val="•"/>
      <w:lvlJc w:val="left"/>
      <w:pPr>
        <w:ind w:left="6143" w:hanging="567"/>
      </w:pPr>
      <w:rPr>
        <w:rFonts w:hint="default"/>
      </w:rPr>
    </w:lvl>
    <w:lvl w:ilvl="7">
      <w:numFmt w:val="bullet"/>
      <w:lvlText w:val="•"/>
      <w:lvlJc w:val="left"/>
      <w:pPr>
        <w:ind w:left="7034" w:hanging="567"/>
      </w:pPr>
      <w:rPr>
        <w:rFonts w:hint="default"/>
      </w:rPr>
    </w:lvl>
    <w:lvl w:ilvl="8">
      <w:numFmt w:val="bullet"/>
      <w:lvlText w:val="•"/>
      <w:lvlJc w:val="left"/>
      <w:pPr>
        <w:ind w:left="7925" w:hanging="567"/>
      </w:pPr>
      <w:rPr>
        <w:rFont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DCF64BC"/>
    <w:multiLevelType w:val="multilevel"/>
    <w:tmpl w:val="50264212"/>
    <w:lvl w:ilvl="0">
      <w:start w:val="1"/>
      <w:numFmt w:val="decimal"/>
      <w:lvlText w:val="%1."/>
      <w:lvlJc w:val="left"/>
      <w:pPr>
        <w:ind w:left="802" w:hanging="567"/>
      </w:pPr>
      <w:rPr>
        <w:rFonts w:ascii="Times New Roman" w:eastAsia="Times New Roman" w:hAnsi="Times New Roman" w:cs="Times New Roman" w:hint="default"/>
        <w:b/>
        <w:bCs/>
        <w:w w:val="100"/>
        <w:sz w:val="22"/>
        <w:szCs w:val="22"/>
      </w:rPr>
    </w:lvl>
    <w:lvl w:ilvl="1">
      <w:start w:val="1"/>
      <w:numFmt w:val="decimal"/>
      <w:lvlText w:val="%1.%2"/>
      <w:lvlJc w:val="left"/>
      <w:pPr>
        <w:ind w:left="801" w:hanging="567"/>
      </w:pPr>
      <w:rPr>
        <w:rFonts w:ascii="Times New Roman" w:eastAsia="Times New Roman" w:hAnsi="Times New Roman" w:cs="Times New Roman" w:hint="default"/>
        <w:b/>
        <w:bCs/>
        <w:w w:val="100"/>
        <w:sz w:val="22"/>
        <w:szCs w:val="22"/>
      </w:rPr>
    </w:lvl>
    <w:lvl w:ilvl="2">
      <w:numFmt w:val="bullet"/>
      <w:lvlText w:val="•"/>
      <w:lvlJc w:val="left"/>
      <w:pPr>
        <w:ind w:left="2581" w:hanging="567"/>
      </w:pPr>
      <w:rPr>
        <w:rFonts w:hint="default"/>
      </w:rPr>
    </w:lvl>
    <w:lvl w:ilvl="3">
      <w:numFmt w:val="bullet"/>
      <w:lvlText w:val="•"/>
      <w:lvlJc w:val="left"/>
      <w:pPr>
        <w:ind w:left="3471" w:hanging="567"/>
      </w:pPr>
      <w:rPr>
        <w:rFonts w:hint="default"/>
      </w:rPr>
    </w:lvl>
    <w:lvl w:ilvl="4">
      <w:numFmt w:val="bullet"/>
      <w:lvlText w:val="•"/>
      <w:lvlJc w:val="left"/>
      <w:pPr>
        <w:ind w:left="4362" w:hanging="567"/>
      </w:pPr>
      <w:rPr>
        <w:rFonts w:hint="default"/>
      </w:rPr>
    </w:lvl>
    <w:lvl w:ilvl="5">
      <w:numFmt w:val="bullet"/>
      <w:lvlText w:val="•"/>
      <w:lvlJc w:val="left"/>
      <w:pPr>
        <w:ind w:left="5253" w:hanging="567"/>
      </w:pPr>
      <w:rPr>
        <w:rFonts w:hint="default"/>
      </w:rPr>
    </w:lvl>
    <w:lvl w:ilvl="6">
      <w:numFmt w:val="bullet"/>
      <w:lvlText w:val="•"/>
      <w:lvlJc w:val="left"/>
      <w:pPr>
        <w:ind w:left="6143" w:hanging="567"/>
      </w:pPr>
      <w:rPr>
        <w:rFonts w:hint="default"/>
      </w:rPr>
    </w:lvl>
    <w:lvl w:ilvl="7">
      <w:numFmt w:val="bullet"/>
      <w:lvlText w:val="•"/>
      <w:lvlJc w:val="left"/>
      <w:pPr>
        <w:ind w:left="7034" w:hanging="567"/>
      </w:pPr>
      <w:rPr>
        <w:rFonts w:hint="default"/>
      </w:rPr>
    </w:lvl>
    <w:lvl w:ilvl="8">
      <w:numFmt w:val="bullet"/>
      <w:lvlText w:val="•"/>
      <w:lvlJc w:val="left"/>
      <w:pPr>
        <w:ind w:left="7925" w:hanging="567"/>
      </w:pPr>
      <w:rPr>
        <w:rFonts w:hint="default"/>
      </w:rPr>
    </w:lvl>
  </w:abstractNum>
  <w:abstractNum w:abstractNumId="14" w15:restartNumberingAfterBreak="0">
    <w:nsid w:val="45784A70"/>
    <w:multiLevelType w:val="hybridMultilevel"/>
    <w:tmpl w:val="9F002A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4360D8"/>
    <w:multiLevelType w:val="hybridMultilevel"/>
    <w:tmpl w:val="FAC6270E"/>
    <w:lvl w:ilvl="0" w:tplc="C204866E">
      <w:start w:val="2"/>
      <w:numFmt w:val="upperRoman"/>
      <w:lvlText w:val="%1"/>
      <w:lvlJc w:val="left"/>
      <w:pPr>
        <w:ind w:left="2696" w:hanging="226"/>
      </w:pPr>
      <w:rPr>
        <w:rFonts w:ascii="Times New Roman" w:eastAsia="Times New Roman" w:hAnsi="Times New Roman" w:cs="Times New Roman" w:hint="default"/>
        <w:b/>
        <w:bCs/>
        <w:w w:val="100"/>
        <w:sz w:val="22"/>
        <w:szCs w:val="22"/>
      </w:rPr>
    </w:lvl>
    <w:lvl w:ilvl="1" w:tplc="A85C6034">
      <w:numFmt w:val="bullet"/>
      <w:lvlText w:val="•"/>
      <w:lvlJc w:val="left"/>
      <w:pPr>
        <w:ind w:left="3400" w:hanging="226"/>
      </w:pPr>
      <w:rPr>
        <w:rFonts w:hint="default"/>
      </w:rPr>
    </w:lvl>
    <w:lvl w:ilvl="2" w:tplc="07E8C5CA">
      <w:numFmt w:val="bullet"/>
      <w:lvlText w:val="•"/>
      <w:lvlJc w:val="left"/>
      <w:pPr>
        <w:ind w:left="4101" w:hanging="226"/>
      </w:pPr>
      <w:rPr>
        <w:rFonts w:hint="default"/>
      </w:rPr>
    </w:lvl>
    <w:lvl w:ilvl="3" w:tplc="57C451FA">
      <w:numFmt w:val="bullet"/>
      <w:lvlText w:val="•"/>
      <w:lvlJc w:val="left"/>
      <w:pPr>
        <w:ind w:left="4801" w:hanging="226"/>
      </w:pPr>
      <w:rPr>
        <w:rFonts w:hint="default"/>
      </w:rPr>
    </w:lvl>
    <w:lvl w:ilvl="4" w:tplc="601231BC">
      <w:numFmt w:val="bullet"/>
      <w:lvlText w:val="•"/>
      <w:lvlJc w:val="left"/>
      <w:pPr>
        <w:ind w:left="5502" w:hanging="226"/>
      </w:pPr>
      <w:rPr>
        <w:rFonts w:hint="default"/>
      </w:rPr>
    </w:lvl>
    <w:lvl w:ilvl="5" w:tplc="7EEEE882">
      <w:numFmt w:val="bullet"/>
      <w:lvlText w:val="•"/>
      <w:lvlJc w:val="left"/>
      <w:pPr>
        <w:ind w:left="6203" w:hanging="226"/>
      </w:pPr>
      <w:rPr>
        <w:rFonts w:hint="default"/>
      </w:rPr>
    </w:lvl>
    <w:lvl w:ilvl="6" w:tplc="7F58F05E">
      <w:numFmt w:val="bullet"/>
      <w:lvlText w:val="•"/>
      <w:lvlJc w:val="left"/>
      <w:pPr>
        <w:ind w:left="6903" w:hanging="226"/>
      </w:pPr>
      <w:rPr>
        <w:rFonts w:hint="default"/>
      </w:rPr>
    </w:lvl>
    <w:lvl w:ilvl="7" w:tplc="F45C0752">
      <w:numFmt w:val="bullet"/>
      <w:lvlText w:val="•"/>
      <w:lvlJc w:val="left"/>
      <w:pPr>
        <w:ind w:left="7604" w:hanging="226"/>
      </w:pPr>
      <w:rPr>
        <w:rFonts w:hint="default"/>
      </w:rPr>
    </w:lvl>
    <w:lvl w:ilvl="8" w:tplc="0E12329C">
      <w:numFmt w:val="bullet"/>
      <w:lvlText w:val="•"/>
      <w:lvlJc w:val="left"/>
      <w:pPr>
        <w:ind w:left="8305" w:hanging="226"/>
      </w:pPr>
      <w:rPr>
        <w:rFonts w:hint="default"/>
      </w:rPr>
    </w:lvl>
  </w:abstractNum>
  <w:abstractNum w:abstractNumId="16" w15:restartNumberingAfterBreak="0">
    <w:nsid w:val="5365019D"/>
    <w:multiLevelType w:val="hybridMultilevel"/>
    <w:tmpl w:val="38CA13C2"/>
    <w:lvl w:ilvl="0" w:tplc="57C81F4A">
      <w:numFmt w:val="bullet"/>
      <w:lvlText w:val="-"/>
      <w:lvlJc w:val="left"/>
      <w:pPr>
        <w:ind w:left="782" w:hanging="567"/>
      </w:pPr>
      <w:rPr>
        <w:rFonts w:ascii="Times New Roman" w:eastAsia="Times New Roman" w:hAnsi="Times New Roman" w:cs="Times New Roman" w:hint="default"/>
        <w:w w:val="100"/>
        <w:sz w:val="22"/>
        <w:szCs w:val="22"/>
      </w:rPr>
    </w:lvl>
    <w:lvl w:ilvl="1" w:tplc="A56A4C78">
      <w:numFmt w:val="bullet"/>
      <w:lvlText w:val="•"/>
      <w:lvlJc w:val="left"/>
      <w:pPr>
        <w:ind w:left="1672" w:hanging="567"/>
      </w:pPr>
      <w:rPr>
        <w:rFonts w:hint="default"/>
      </w:rPr>
    </w:lvl>
    <w:lvl w:ilvl="2" w:tplc="F5488E8A">
      <w:numFmt w:val="bullet"/>
      <w:lvlText w:val="•"/>
      <w:lvlJc w:val="left"/>
      <w:pPr>
        <w:ind w:left="2565" w:hanging="567"/>
      </w:pPr>
      <w:rPr>
        <w:rFonts w:hint="default"/>
      </w:rPr>
    </w:lvl>
    <w:lvl w:ilvl="3" w:tplc="E8CEA7D8">
      <w:numFmt w:val="bullet"/>
      <w:lvlText w:val="•"/>
      <w:lvlJc w:val="left"/>
      <w:pPr>
        <w:ind w:left="3457" w:hanging="567"/>
      </w:pPr>
      <w:rPr>
        <w:rFonts w:hint="default"/>
      </w:rPr>
    </w:lvl>
    <w:lvl w:ilvl="4" w:tplc="9906E1CA">
      <w:numFmt w:val="bullet"/>
      <w:lvlText w:val="•"/>
      <w:lvlJc w:val="left"/>
      <w:pPr>
        <w:ind w:left="4350" w:hanging="567"/>
      </w:pPr>
      <w:rPr>
        <w:rFonts w:hint="default"/>
      </w:rPr>
    </w:lvl>
    <w:lvl w:ilvl="5" w:tplc="C85624D6">
      <w:numFmt w:val="bullet"/>
      <w:lvlText w:val="•"/>
      <w:lvlJc w:val="left"/>
      <w:pPr>
        <w:ind w:left="5243" w:hanging="567"/>
      </w:pPr>
      <w:rPr>
        <w:rFonts w:hint="default"/>
      </w:rPr>
    </w:lvl>
    <w:lvl w:ilvl="6" w:tplc="787A49B2">
      <w:numFmt w:val="bullet"/>
      <w:lvlText w:val="•"/>
      <w:lvlJc w:val="left"/>
      <w:pPr>
        <w:ind w:left="6135" w:hanging="567"/>
      </w:pPr>
      <w:rPr>
        <w:rFonts w:hint="default"/>
      </w:rPr>
    </w:lvl>
    <w:lvl w:ilvl="7" w:tplc="92D8E668">
      <w:numFmt w:val="bullet"/>
      <w:lvlText w:val="•"/>
      <w:lvlJc w:val="left"/>
      <w:pPr>
        <w:ind w:left="7028" w:hanging="567"/>
      </w:pPr>
      <w:rPr>
        <w:rFonts w:hint="default"/>
      </w:rPr>
    </w:lvl>
    <w:lvl w:ilvl="8" w:tplc="CBB203A0">
      <w:numFmt w:val="bullet"/>
      <w:lvlText w:val="•"/>
      <w:lvlJc w:val="left"/>
      <w:pPr>
        <w:ind w:left="7921" w:hanging="567"/>
      </w:pPr>
      <w:rPr>
        <w:rFonts w:hint="default"/>
      </w:rPr>
    </w:lvl>
  </w:abstractNum>
  <w:abstractNum w:abstractNumId="17" w15:restartNumberingAfterBreak="0">
    <w:nsid w:val="555E3BDA"/>
    <w:multiLevelType w:val="hybridMultilevel"/>
    <w:tmpl w:val="AF246A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635464A4"/>
    <w:multiLevelType w:val="hybridMultilevel"/>
    <w:tmpl w:val="6AD286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1D2169"/>
    <w:multiLevelType w:val="hybridMultilevel"/>
    <w:tmpl w:val="D3CE182C"/>
    <w:lvl w:ilvl="0" w:tplc="D72A1DDE">
      <w:start w:val="1"/>
      <w:numFmt w:val="upperLetter"/>
      <w:lvlText w:val="%1."/>
      <w:lvlJc w:val="left"/>
      <w:pPr>
        <w:ind w:left="1937" w:hanging="711"/>
      </w:pPr>
      <w:rPr>
        <w:rFonts w:ascii="Times New Roman" w:eastAsia="Times New Roman" w:hAnsi="Times New Roman" w:cs="Times New Roman" w:hint="default"/>
        <w:b/>
        <w:bCs/>
        <w:spacing w:val="-2"/>
        <w:w w:val="100"/>
        <w:sz w:val="22"/>
        <w:szCs w:val="22"/>
      </w:rPr>
    </w:lvl>
    <w:lvl w:ilvl="1" w:tplc="4C40AEFE">
      <w:numFmt w:val="bullet"/>
      <w:lvlText w:val="•"/>
      <w:lvlJc w:val="left"/>
      <w:pPr>
        <w:ind w:left="2716" w:hanging="711"/>
      </w:pPr>
      <w:rPr>
        <w:rFonts w:hint="default"/>
      </w:rPr>
    </w:lvl>
    <w:lvl w:ilvl="2" w:tplc="CDAA8014">
      <w:numFmt w:val="bullet"/>
      <w:lvlText w:val="•"/>
      <w:lvlJc w:val="left"/>
      <w:pPr>
        <w:ind w:left="3493" w:hanging="711"/>
      </w:pPr>
      <w:rPr>
        <w:rFonts w:hint="default"/>
      </w:rPr>
    </w:lvl>
    <w:lvl w:ilvl="3" w:tplc="E8BAAFD0">
      <w:numFmt w:val="bullet"/>
      <w:lvlText w:val="•"/>
      <w:lvlJc w:val="left"/>
      <w:pPr>
        <w:ind w:left="4269" w:hanging="711"/>
      </w:pPr>
      <w:rPr>
        <w:rFonts w:hint="default"/>
      </w:rPr>
    </w:lvl>
    <w:lvl w:ilvl="4" w:tplc="33B6261C">
      <w:numFmt w:val="bullet"/>
      <w:lvlText w:val="•"/>
      <w:lvlJc w:val="left"/>
      <w:pPr>
        <w:ind w:left="5046" w:hanging="711"/>
      </w:pPr>
      <w:rPr>
        <w:rFonts w:hint="default"/>
      </w:rPr>
    </w:lvl>
    <w:lvl w:ilvl="5" w:tplc="6024A19A">
      <w:numFmt w:val="bullet"/>
      <w:lvlText w:val="•"/>
      <w:lvlJc w:val="left"/>
      <w:pPr>
        <w:ind w:left="5823" w:hanging="711"/>
      </w:pPr>
      <w:rPr>
        <w:rFonts w:hint="default"/>
      </w:rPr>
    </w:lvl>
    <w:lvl w:ilvl="6" w:tplc="31A614E0">
      <w:numFmt w:val="bullet"/>
      <w:lvlText w:val="•"/>
      <w:lvlJc w:val="left"/>
      <w:pPr>
        <w:ind w:left="6599" w:hanging="711"/>
      </w:pPr>
      <w:rPr>
        <w:rFonts w:hint="default"/>
      </w:rPr>
    </w:lvl>
    <w:lvl w:ilvl="7" w:tplc="2206AE26">
      <w:numFmt w:val="bullet"/>
      <w:lvlText w:val="•"/>
      <w:lvlJc w:val="left"/>
      <w:pPr>
        <w:ind w:left="7376" w:hanging="711"/>
      </w:pPr>
      <w:rPr>
        <w:rFonts w:hint="default"/>
      </w:rPr>
    </w:lvl>
    <w:lvl w:ilvl="8" w:tplc="61B015D2">
      <w:numFmt w:val="bullet"/>
      <w:lvlText w:val="•"/>
      <w:lvlJc w:val="left"/>
      <w:pPr>
        <w:ind w:left="8153" w:hanging="711"/>
      </w:pPr>
      <w:rPr>
        <w:rFonts w:hint="default"/>
      </w:rPr>
    </w:lvl>
  </w:abstractNum>
  <w:abstractNum w:abstractNumId="21" w15:restartNumberingAfterBreak="0">
    <w:nsid w:val="66CA2438"/>
    <w:multiLevelType w:val="hybridMultilevel"/>
    <w:tmpl w:val="42CC0596"/>
    <w:lvl w:ilvl="0" w:tplc="B3C2B91C">
      <w:start w:val="1"/>
      <w:numFmt w:val="upperLetter"/>
      <w:lvlText w:val="%1."/>
      <w:lvlJc w:val="left"/>
      <w:pPr>
        <w:ind w:left="775" w:hanging="540"/>
      </w:pPr>
      <w:rPr>
        <w:rFonts w:ascii="Times New Roman" w:eastAsia="Times New Roman" w:hAnsi="Times New Roman" w:cs="Times New Roman" w:hint="default"/>
        <w:b/>
        <w:bCs/>
        <w:spacing w:val="-2"/>
        <w:w w:val="100"/>
        <w:sz w:val="22"/>
        <w:szCs w:val="22"/>
      </w:rPr>
    </w:lvl>
    <w:lvl w:ilvl="1" w:tplc="19C6330A">
      <w:start w:val="1"/>
      <w:numFmt w:val="upperLetter"/>
      <w:lvlText w:val="%2."/>
      <w:lvlJc w:val="left"/>
      <w:pPr>
        <w:ind w:left="4111" w:hanging="269"/>
        <w:jc w:val="right"/>
      </w:pPr>
      <w:rPr>
        <w:rFonts w:ascii="Times New Roman" w:eastAsia="Times New Roman" w:hAnsi="Times New Roman" w:cs="Times New Roman" w:hint="default"/>
        <w:b/>
        <w:bCs/>
        <w:spacing w:val="-2"/>
        <w:w w:val="100"/>
        <w:sz w:val="22"/>
        <w:szCs w:val="22"/>
      </w:rPr>
    </w:lvl>
    <w:lvl w:ilvl="2" w:tplc="96FEFB06">
      <w:numFmt w:val="bullet"/>
      <w:lvlText w:val="•"/>
      <w:lvlJc w:val="left"/>
      <w:pPr>
        <w:ind w:left="4740" w:hanging="269"/>
      </w:pPr>
      <w:rPr>
        <w:rFonts w:hint="default"/>
      </w:rPr>
    </w:lvl>
    <w:lvl w:ilvl="3" w:tplc="9E7C6350">
      <w:numFmt w:val="bullet"/>
      <w:lvlText w:val="•"/>
      <w:lvlJc w:val="left"/>
      <w:pPr>
        <w:ind w:left="5361" w:hanging="269"/>
      </w:pPr>
      <w:rPr>
        <w:rFonts w:hint="default"/>
      </w:rPr>
    </w:lvl>
    <w:lvl w:ilvl="4" w:tplc="513AA9F2">
      <w:numFmt w:val="bullet"/>
      <w:lvlText w:val="•"/>
      <w:lvlJc w:val="left"/>
      <w:pPr>
        <w:ind w:left="5982" w:hanging="269"/>
      </w:pPr>
      <w:rPr>
        <w:rFonts w:hint="default"/>
      </w:rPr>
    </w:lvl>
    <w:lvl w:ilvl="5" w:tplc="452E4796">
      <w:numFmt w:val="bullet"/>
      <w:lvlText w:val="•"/>
      <w:lvlJc w:val="left"/>
      <w:pPr>
        <w:ind w:left="6602" w:hanging="269"/>
      </w:pPr>
      <w:rPr>
        <w:rFonts w:hint="default"/>
      </w:rPr>
    </w:lvl>
    <w:lvl w:ilvl="6" w:tplc="A3A8FDB8">
      <w:numFmt w:val="bullet"/>
      <w:lvlText w:val="•"/>
      <w:lvlJc w:val="left"/>
      <w:pPr>
        <w:ind w:left="7223" w:hanging="269"/>
      </w:pPr>
      <w:rPr>
        <w:rFonts w:hint="default"/>
      </w:rPr>
    </w:lvl>
    <w:lvl w:ilvl="7" w:tplc="2C32F180">
      <w:numFmt w:val="bullet"/>
      <w:lvlText w:val="•"/>
      <w:lvlJc w:val="left"/>
      <w:pPr>
        <w:ind w:left="7844" w:hanging="269"/>
      </w:pPr>
      <w:rPr>
        <w:rFonts w:hint="default"/>
      </w:rPr>
    </w:lvl>
    <w:lvl w:ilvl="8" w:tplc="6FD81E32">
      <w:numFmt w:val="bullet"/>
      <w:lvlText w:val="•"/>
      <w:lvlJc w:val="left"/>
      <w:pPr>
        <w:ind w:left="8464" w:hanging="269"/>
      </w:pPr>
      <w:rPr>
        <w:rFont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119093E"/>
    <w:multiLevelType w:val="hybridMultilevel"/>
    <w:tmpl w:val="8E98D8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2B34B1"/>
    <w:multiLevelType w:val="multilevel"/>
    <w:tmpl w:val="4244C150"/>
    <w:lvl w:ilvl="0">
      <w:start w:val="6"/>
      <w:numFmt w:val="decimal"/>
      <w:lvlText w:val="%1"/>
      <w:lvlJc w:val="left"/>
      <w:pPr>
        <w:ind w:left="802" w:hanging="567"/>
      </w:pPr>
      <w:rPr>
        <w:rFonts w:hint="default"/>
      </w:rPr>
    </w:lvl>
    <w:lvl w:ilvl="1">
      <w:start w:val="1"/>
      <w:numFmt w:val="decimal"/>
      <w:lvlText w:val="%1.%2."/>
      <w:lvlJc w:val="left"/>
      <w:pPr>
        <w:ind w:left="802" w:hanging="567"/>
      </w:pPr>
      <w:rPr>
        <w:rFonts w:ascii="Times New Roman" w:eastAsia="Times New Roman" w:hAnsi="Times New Roman" w:cs="Times New Roman" w:hint="default"/>
        <w:b/>
        <w:bCs/>
        <w:w w:val="100"/>
        <w:sz w:val="22"/>
        <w:szCs w:val="22"/>
      </w:rPr>
    </w:lvl>
    <w:lvl w:ilvl="2">
      <w:numFmt w:val="bullet"/>
      <w:lvlText w:val="•"/>
      <w:lvlJc w:val="left"/>
      <w:pPr>
        <w:ind w:left="2581" w:hanging="567"/>
      </w:pPr>
      <w:rPr>
        <w:rFonts w:hint="default"/>
      </w:rPr>
    </w:lvl>
    <w:lvl w:ilvl="3">
      <w:numFmt w:val="bullet"/>
      <w:lvlText w:val="•"/>
      <w:lvlJc w:val="left"/>
      <w:pPr>
        <w:ind w:left="3471" w:hanging="567"/>
      </w:pPr>
      <w:rPr>
        <w:rFonts w:hint="default"/>
      </w:rPr>
    </w:lvl>
    <w:lvl w:ilvl="4">
      <w:numFmt w:val="bullet"/>
      <w:lvlText w:val="•"/>
      <w:lvlJc w:val="left"/>
      <w:pPr>
        <w:ind w:left="4362" w:hanging="567"/>
      </w:pPr>
      <w:rPr>
        <w:rFonts w:hint="default"/>
      </w:rPr>
    </w:lvl>
    <w:lvl w:ilvl="5">
      <w:numFmt w:val="bullet"/>
      <w:lvlText w:val="•"/>
      <w:lvlJc w:val="left"/>
      <w:pPr>
        <w:ind w:left="5253" w:hanging="567"/>
      </w:pPr>
      <w:rPr>
        <w:rFonts w:hint="default"/>
      </w:rPr>
    </w:lvl>
    <w:lvl w:ilvl="6">
      <w:numFmt w:val="bullet"/>
      <w:lvlText w:val="•"/>
      <w:lvlJc w:val="left"/>
      <w:pPr>
        <w:ind w:left="6143" w:hanging="567"/>
      </w:pPr>
      <w:rPr>
        <w:rFonts w:hint="default"/>
      </w:rPr>
    </w:lvl>
    <w:lvl w:ilvl="7">
      <w:numFmt w:val="bullet"/>
      <w:lvlText w:val="•"/>
      <w:lvlJc w:val="left"/>
      <w:pPr>
        <w:ind w:left="7034" w:hanging="567"/>
      </w:pPr>
      <w:rPr>
        <w:rFonts w:hint="default"/>
      </w:rPr>
    </w:lvl>
    <w:lvl w:ilvl="8">
      <w:numFmt w:val="bullet"/>
      <w:lvlText w:val="•"/>
      <w:lvlJc w:val="left"/>
      <w:pPr>
        <w:ind w:left="7925" w:hanging="567"/>
      </w:pPr>
      <w:rPr>
        <w:rFonts w:hint="default"/>
      </w:rPr>
    </w:lvl>
  </w:abstractNum>
  <w:abstractNum w:abstractNumId="26" w15:restartNumberingAfterBreak="0">
    <w:nsid w:val="73FD0E95"/>
    <w:multiLevelType w:val="hybridMultilevel"/>
    <w:tmpl w:val="46FC8646"/>
    <w:lvl w:ilvl="0" w:tplc="FFFFFFFF">
      <w:start w:val="1"/>
      <w:numFmt w:val="bullet"/>
      <w:lvlText w:val=""/>
      <w:lvlJc w:val="left"/>
      <w:pPr>
        <w:ind w:left="2059" w:hanging="360"/>
      </w:pPr>
      <w:rPr>
        <w:rFonts w:ascii="Symbol" w:hAnsi="Symbol" w:hint="default"/>
      </w:rPr>
    </w:lvl>
    <w:lvl w:ilvl="1" w:tplc="FFFFFFFF" w:tentative="1">
      <w:start w:val="1"/>
      <w:numFmt w:val="bullet"/>
      <w:lvlText w:val="o"/>
      <w:lvlJc w:val="left"/>
      <w:pPr>
        <w:ind w:left="2779" w:hanging="360"/>
      </w:pPr>
      <w:rPr>
        <w:rFonts w:ascii="Courier New" w:hAnsi="Courier New" w:cs="Courier New" w:hint="default"/>
      </w:rPr>
    </w:lvl>
    <w:lvl w:ilvl="2" w:tplc="FFFFFFFF" w:tentative="1">
      <w:start w:val="1"/>
      <w:numFmt w:val="bullet"/>
      <w:lvlText w:val=""/>
      <w:lvlJc w:val="left"/>
      <w:pPr>
        <w:ind w:left="3499" w:hanging="360"/>
      </w:pPr>
      <w:rPr>
        <w:rFonts w:ascii="Wingdings" w:hAnsi="Wingdings" w:hint="default"/>
      </w:rPr>
    </w:lvl>
    <w:lvl w:ilvl="3" w:tplc="FFFFFFFF" w:tentative="1">
      <w:start w:val="1"/>
      <w:numFmt w:val="bullet"/>
      <w:lvlText w:val=""/>
      <w:lvlJc w:val="left"/>
      <w:pPr>
        <w:ind w:left="4219" w:hanging="360"/>
      </w:pPr>
      <w:rPr>
        <w:rFonts w:ascii="Symbol" w:hAnsi="Symbol" w:hint="default"/>
      </w:rPr>
    </w:lvl>
    <w:lvl w:ilvl="4" w:tplc="FFFFFFFF" w:tentative="1">
      <w:start w:val="1"/>
      <w:numFmt w:val="bullet"/>
      <w:lvlText w:val="o"/>
      <w:lvlJc w:val="left"/>
      <w:pPr>
        <w:ind w:left="4939" w:hanging="360"/>
      </w:pPr>
      <w:rPr>
        <w:rFonts w:ascii="Courier New" w:hAnsi="Courier New" w:cs="Courier New" w:hint="default"/>
      </w:rPr>
    </w:lvl>
    <w:lvl w:ilvl="5" w:tplc="FFFFFFFF" w:tentative="1">
      <w:start w:val="1"/>
      <w:numFmt w:val="bullet"/>
      <w:lvlText w:val=""/>
      <w:lvlJc w:val="left"/>
      <w:pPr>
        <w:ind w:left="5659" w:hanging="360"/>
      </w:pPr>
      <w:rPr>
        <w:rFonts w:ascii="Wingdings" w:hAnsi="Wingdings" w:hint="default"/>
      </w:rPr>
    </w:lvl>
    <w:lvl w:ilvl="6" w:tplc="FFFFFFFF" w:tentative="1">
      <w:start w:val="1"/>
      <w:numFmt w:val="bullet"/>
      <w:lvlText w:val=""/>
      <w:lvlJc w:val="left"/>
      <w:pPr>
        <w:ind w:left="6379" w:hanging="360"/>
      </w:pPr>
      <w:rPr>
        <w:rFonts w:ascii="Symbol" w:hAnsi="Symbol" w:hint="default"/>
      </w:rPr>
    </w:lvl>
    <w:lvl w:ilvl="7" w:tplc="FFFFFFFF" w:tentative="1">
      <w:start w:val="1"/>
      <w:numFmt w:val="bullet"/>
      <w:lvlText w:val="o"/>
      <w:lvlJc w:val="left"/>
      <w:pPr>
        <w:ind w:left="7099" w:hanging="360"/>
      </w:pPr>
      <w:rPr>
        <w:rFonts w:ascii="Courier New" w:hAnsi="Courier New" w:cs="Courier New" w:hint="default"/>
      </w:rPr>
    </w:lvl>
    <w:lvl w:ilvl="8" w:tplc="FFFFFFFF" w:tentative="1">
      <w:start w:val="1"/>
      <w:numFmt w:val="bullet"/>
      <w:lvlText w:val=""/>
      <w:lvlJc w:val="left"/>
      <w:pPr>
        <w:ind w:left="7819" w:hanging="360"/>
      </w:pPr>
      <w:rPr>
        <w:rFonts w:ascii="Wingdings" w:hAnsi="Wingdings" w:hint="default"/>
      </w:rPr>
    </w:lvl>
  </w:abstractNum>
  <w:abstractNum w:abstractNumId="27" w15:restartNumberingAfterBreak="0">
    <w:nsid w:val="7B05536E"/>
    <w:multiLevelType w:val="hybridMultilevel"/>
    <w:tmpl w:val="BFEC580C"/>
    <w:lvl w:ilvl="0" w:tplc="37E472A6">
      <w:start w:val="1"/>
      <w:numFmt w:val="decimal"/>
      <w:lvlText w:val="%1."/>
      <w:lvlJc w:val="left"/>
      <w:pPr>
        <w:ind w:left="801" w:hanging="567"/>
      </w:pPr>
      <w:rPr>
        <w:rFonts w:ascii="Times New Roman" w:eastAsia="Times New Roman" w:hAnsi="Times New Roman" w:cs="Times New Roman" w:hint="default"/>
        <w:w w:val="100"/>
        <w:sz w:val="22"/>
        <w:szCs w:val="22"/>
      </w:rPr>
    </w:lvl>
    <w:lvl w:ilvl="1" w:tplc="E8023B0C">
      <w:numFmt w:val="bullet"/>
      <w:lvlText w:val="•"/>
      <w:lvlJc w:val="left"/>
      <w:pPr>
        <w:ind w:left="1690" w:hanging="567"/>
      </w:pPr>
      <w:rPr>
        <w:rFonts w:hint="default"/>
      </w:rPr>
    </w:lvl>
    <w:lvl w:ilvl="2" w:tplc="CACA5306">
      <w:numFmt w:val="bullet"/>
      <w:lvlText w:val="•"/>
      <w:lvlJc w:val="left"/>
      <w:pPr>
        <w:ind w:left="2581" w:hanging="567"/>
      </w:pPr>
      <w:rPr>
        <w:rFonts w:hint="default"/>
      </w:rPr>
    </w:lvl>
    <w:lvl w:ilvl="3" w:tplc="8B42E742">
      <w:numFmt w:val="bullet"/>
      <w:lvlText w:val="•"/>
      <w:lvlJc w:val="left"/>
      <w:pPr>
        <w:ind w:left="3471" w:hanging="567"/>
      </w:pPr>
      <w:rPr>
        <w:rFonts w:hint="default"/>
      </w:rPr>
    </w:lvl>
    <w:lvl w:ilvl="4" w:tplc="52808B80">
      <w:numFmt w:val="bullet"/>
      <w:lvlText w:val="•"/>
      <w:lvlJc w:val="left"/>
      <w:pPr>
        <w:ind w:left="4362" w:hanging="567"/>
      </w:pPr>
      <w:rPr>
        <w:rFonts w:hint="default"/>
      </w:rPr>
    </w:lvl>
    <w:lvl w:ilvl="5" w:tplc="4FC0CB34">
      <w:numFmt w:val="bullet"/>
      <w:lvlText w:val="•"/>
      <w:lvlJc w:val="left"/>
      <w:pPr>
        <w:ind w:left="5253" w:hanging="567"/>
      </w:pPr>
      <w:rPr>
        <w:rFonts w:hint="default"/>
      </w:rPr>
    </w:lvl>
    <w:lvl w:ilvl="6" w:tplc="3E54966A">
      <w:numFmt w:val="bullet"/>
      <w:lvlText w:val="•"/>
      <w:lvlJc w:val="left"/>
      <w:pPr>
        <w:ind w:left="6143" w:hanging="567"/>
      </w:pPr>
      <w:rPr>
        <w:rFonts w:hint="default"/>
      </w:rPr>
    </w:lvl>
    <w:lvl w:ilvl="7" w:tplc="016E3726">
      <w:numFmt w:val="bullet"/>
      <w:lvlText w:val="•"/>
      <w:lvlJc w:val="left"/>
      <w:pPr>
        <w:ind w:left="7034" w:hanging="567"/>
      </w:pPr>
      <w:rPr>
        <w:rFonts w:hint="default"/>
      </w:rPr>
    </w:lvl>
    <w:lvl w:ilvl="8" w:tplc="FA1467FE">
      <w:numFmt w:val="bullet"/>
      <w:lvlText w:val="•"/>
      <w:lvlJc w:val="left"/>
      <w:pPr>
        <w:ind w:left="7925" w:hanging="567"/>
      </w:pPr>
      <w:rPr>
        <w:rFonts w:hint="default"/>
      </w:rPr>
    </w:lvl>
  </w:abstractNum>
  <w:abstractNum w:abstractNumId="28" w15:restartNumberingAfterBreak="0">
    <w:nsid w:val="7D6F701E"/>
    <w:multiLevelType w:val="hybridMultilevel"/>
    <w:tmpl w:val="DB1C3DFA"/>
    <w:lvl w:ilvl="0" w:tplc="EEE08D94">
      <w:start w:val="1"/>
      <w:numFmt w:val="decimal"/>
      <w:lvlText w:val="%1."/>
      <w:lvlJc w:val="left"/>
      <w:pPr>
        <w:ind w:left="233" w:hanging="567"/>
      </w:pPr>
      <w:rPr>
        <w:rFonts w:ascii="Times New Roman" w:eastAsia="Times New Roman" w:hAnsi="Times New Roman" w:cs="Times New Roman" w:hint="default"/>
        <w:b/>
        <w:bCs/>
        <w:w w:val="100"/>
        <w:sz w:val="22"/>
        <w:szCs w:val="22"/>
      </w:rPr>
    </w:lvl>
    <w:lvl w:ilvl="1" w:tplc="D50237D4">
      <w:numFmt w:val="bullet"/>
      <w:lvlText w:val="•"/>
      <w:lvlJc w:val="left"/>
      <w:pPr>
        <w:ind w:left="1186" w:hanging="567"/>
      </w:pPr>
      <w:rPr>
        <w:rFonts w:hint="default"/>
      </w:rPr>
    </w:lvl>
    <w:lvl w:ilvl="2" w:tplc="071049D2">
      <w:numFmt w:val="bullet"/>
      <w:lvlText w:val="•"/>
      <w:lvlJc w:val="left"/>
      <w:pPr>
        <w:ind w:left="2133" w:hanging="567"/>
      </w:pPr>
      <w:rPr>
        <w:rFonts w:hint="default"/>
      </w:rPr>
    </w:lvl>
    <w:lvl w:ilvl="3" w:tplc="5198BBBC">
      <w:numFmt w:val="bullet"/>
      <w:lvlText w:val="•"/>
      <w:lvlJc w:val="left"/>
      <w:pPr>
        <w:ind w:left="3079" w:hanging="567"/>
      </w:pPr>
      <w:rPr>
        <w:rFonts w:hint="default"/>
      </w:rPr>
    </w:lvl>
    <w:lvl w:ilvl="4" w:tplc="A484CD30">
      <w:numFmt w:val="bullet"/>
      <w:lvlText w:val="•"/>
      <w:lvlJc w:val="left"/>
      <w:pPr>
        <w:ind w:left="4026" w:hanging="567"/>
      </w:pPr>
      <w:rPr>
        <w:rFonts w:hint="default"/>
      </w:rPr>
    </w:lvl>
    <w:lvl w:ilvl="5" w:tplc="3A2C2620">
      <w:numFmt w:val="bullet"/>
      <w:lvlText w:val="•"/>
      <w:lvlJc w:val="left"/>
      <w:pPr>
        <w:ind w:left="4973" w:hanging="567"/>
      </w:pPr>
      <w:rPr>
        <w:rFonts w:hint="default"/>
      </w:rPr>
    </w:lvl>
    <w:lvl w:ilvl="6" w:tplc="DE867F3C">
      <w:numFmt w:val="bullet"/>
      <w:lvlText w:val="•"/>
      <w:lvlJc w:val="left"/>
      <w:pPr>
        <w:ind w:left="5919" w:hanging="567"/>
      </w:pPr>
      <w:rPr>
        <w:rFonts w:hint="default"/>
      </w:rPr>
    </w:lvl>
    <w:lvl w:ilvl="7" w:tplc="86B40C96">
      <w:numFmt w:val="bullet"/>
      <w:lvlText w:val="•"/>
      <w:lvlJc w:val="left"/>
      <w:pPr>
        <w:ind w:left="6866" w:hanging="567"/>
      </w:pPr>
      <w:rPr>
        <w:rFonts w:hint="default"/>
      </w:rPr>
    </w:lvl>
    <w:lvl w:ilvl="8" w:tplc="1B061A58">
      <w:numFmt w:val="bullet"/>
      <w:lvlText w:val="•"/>
      <w:lvlJc w:val="left"/>
      <w:pPr>
        <w:ind w:left="7813" w:hanging="567"/>
      </w:pPr>
      <w:rPr>
        <w:rFonts w:hint="default"/>
      </w:rPr>
    </w:lvl>
  </w:abstractNum>
  <w:num w:numId="1">
    <w:abstractNumId w:val="28"/>
  </w:num>
  <w:num w:numId="2">
    <w:abstractNumId w:val="27"/>
  </w:num>
  <w:num w:numId="3">
    <w:abstractNumId w:val="1"/>
  </w:num>
  <w:num w:numId="4">
    <w:abstractNumId w:val="9"/>
  </w:num>
  <w:num w:numId="5">
    <w:abstractNumId w:val="5"/>
  </w:num>
  <w:num w:numId="6">
    <w:abstractNumId w:val="21"/>
  </w:num>
  <w:num w:numId="7">
    <w:abstractNumId w:val="20"/>
  </w:num>
  <w:num w:numId="8">
    <w:abstractNumId w:val="15"/>
  </w:num>
  <w:num w:numId="9">
    <w:abstractNumId w:val="25"/>
  </w:num>
  <w:num w:numId="10">
    <w:abstractNumId w:val="13"/>
  </w:num>
  <w:num w:numId="11">
    <w:abstractNumId w:val="16"/>
  </w:num>
  <w:num w:numId="12">
    <w:abstractNumId w:val="11"/>
  </w:num>
  <w:num w:numId="13">
    <w:abstractNumId w:val="23"/>
  </w:num>
  <w:num w:numId="14">
    <w:abstractNumId w:val="12"/>
  </w:num>
  <w:num w:numId="15">
    <w:abstractNumId w:val="10"/>
  </w:num>
  <w:num w:numId="16">
    <w:abstractNumId w:val="6"/>
  </w:num>
  <w:num w:numId="17">
    <w:abstractNumId w:val="0"/>
    <w:lvlOverride w:ilvl="0">
      <w:lvl w:ilvl="0">
        <w:start w:val="1"/>
        <w:numFmt w:val="bullet"/>
        <w:lvlText w:val="-"/>
        <w:legacy w:legacy="1" w:legacySpace="0" w:legacyIndent="360"/>
        <w:lvlJc w:val="left"/>
        <w:pPr>
          <w:ind w:left="360" w:hanging="360"/>
        </w:pPr>
      </w:lvl>
    </w:lvlOverride>
  </w:num>
  <w:num w:numId="18">
    <w:abstractNumId w:val="22"/>
  </w:num>
  <w:num w:numId="19">
    <w:abstractNumId w:val="18"/>
  </w:num>
  <w:num w:numId="20">
    <w:abstractNumId w:val="7"/>
  </w:num>
  <w:num w:numId="21">
    <w:abstractNumId w:val="19"/>
  </w:num>
  <w:num w:numId="22">
    <w:abstractNumId w:val="3"/>
  </w:num>
  <w:num w:numId="23">
    <w:abstractNumId w:val="26"/>
  </w:num>
  <w:num w:numId="24">
    <w:abstractNumId w:val="17"/>
  </w:num>
  <w:num w:numId="25">
    <w:abstractNumId w:val="14"/>
  </w:num>
  <w:num w:numId="26">
    <w:abstractNumId w:val="8"/>
  </w:num>
  <w:num w:numId="27">
    <w:abstractNumId w:val="24"/>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D5"/>
    <w:rsid w:val="00010445"/>
    <w:rsid w:val="0001260A"/>
    <w:rsid w:val="00022D25"/>
    <w:rsid w:val="00027D38"/>
    <w:rsid w:val="00027D66"/>
    <w:rsid w:val="00040A81"/>
    <w:rsid w:val="00053953"/>
    <w:rsid w:val="000540B2"/>
    <w:rsid w:val="000565B0"/>
    <w:rsid w:val="00057422"/>
    <w:rsid w:val="000820B4"/>
    <w:rsid w:val="00097B29"/>
    <w:rsid w:val="000A5826"/>
    <w:rsid w:val="000B065E"/>
    <w:rsid w:val="000D52A4"/>
    <w:rsid w:val="00100229"/>
    <w:rsid w:val="0010041E"/>
    <w:rsid w:val="00100CCB"/>
    <w:rsid w:val="001224FE"/>
    <w:rsid w:val="00136F85"/>
    <w:rsid w:val="00146329"/>
    <w:rsid w:val="0016599F"/>
    <w:rsid w:val="00174C82"/>
    <w:rsid w:val="001948DA"/>
    <w:rsid w:val="001A0B1E"/>
    <w:rsid w:val="001A10CB"/>
    <w:rsid w:val="001B39C7"/>
    <w:rsid w:val="001B3A32"/>
    <w:rsid w:val="001B6DD1"/>
    <w:rsid w:val="001C2A41"/>
    <w:rsid w:val="001C3E79"/>
    <w:rsid w:val="001D02ED"/>
    <w:rsid w:val="001D1B2A"/>
    <w:rsid w:val="001D5D12"/>
    <w:rsid w:val="0022678D"/>
    <w:rsid w:val="002368BD"/>
    <w:rsid w:val="0024204C"/>
    <w:rsid w:val="0026102F"/>
    <w:rsid w:val="00263AD9"/>
    <w:rsid w:val="002728EA"/>
    <w:rsid w:val="00272D94"/>
    <w:rsid w:val="002748BD"/>
    <w:rsid w:val="0027612D"/>
    <w:rsid w:val="002B3FFA"/>
    <w:rsid w:val="002D0A4E"/>
    <w:rsid w:val="002F36D2"/>
    <w:rsid w:val="002F5D09"/>
    <w:rsid w:val="00314E9C"/>
    <w:rsid w:val="00321851"/>
    <w:rsid w:val="0033574A"/>
    <w:rsid w:val="003546C8"/>
    <w:rsid w:val="0036592C"/>
    <w:rsid w:val="00367ACB"/>
    <w:rsid w:val="003770F7"/>
    <w:rsid w:val="00381032"/>
    <w:rsid w:val="00391367"/>
    <w:rsid w:val="003A0AC0"/>
    <w:rsid w:val="003B217B"/>
    <w:rsid w:val="003D3005"/>
    <w:rsid w:val="003E78EA"/>
    <w:rsid w:val="00415447"/>
    <w:rsid w:val="004400EF"/>
    <w:rsid w:val="00443FCE"/>
    <w:rsid w:val="0048191A"/>
    <w:rsid w:val="004B2486"/>
    <w:rsid w:val="004B3309"/>
    <w:rsid w:val="004B4268"/>
    <w:rsid w:val="004E69A9"/>
    <w:rsid w:val="004F7739"/>
    <w:rsid w:val="00502A9E"/>
    <w:rsid w:val="00507DAE"/>
    <w:rsid w:val="00510C7D"/>
    <w:rsid w:val="0052460A"/>
    <w:rsid w:val="00533759"/>
    <w:rsid w:val="00537F47"/>
    <w:rsid w:val="00557C11"/>
    <w:rsid w:val="00560A49"/>
    <w:rsid w:val="0056319A"/>
    <w:rsid w:val="0057038B"/>
    <w:rsid w:val="00575661"/>
    <w:rsid w:val="00591E5A"/>
    <w:rsid w:val="0059670B"/>
    <w:rsid w:val="005D2536"/>
    <w:rsid w:val="005D272D"/>
    <w:rsid w:val="005E30F4"/>
    <w:rsid w:val="005E387F"/>
    <w:rsid w:val="005E6848"/>
    <w:rsid w:val="00613C96"/>
    <w:rsid w:val="0061751D"/>
    <w:rsid w:val="006234DA"/>
    <w:rsid w:val="00641F60"/>
    <w:rsid w:val="00673398"/>
    <w:rsid w:val="006817C8"/>
    <w:rsid w:val="006952DF"/>
    <w:rsid w:val="006A1EC8"/>
    <w:rsid w:val="006C0B15"/>
    <w:rsid w:val="006C14E4"/>
    <w:rsid w:val="006D5474"/>
    <w:rsid w:val="006D6CB3"/>
    <w:rsid w:val="006E3FD0"/>
    <w:rsid w:val="00710393"/>
    <w:rsid w:val="0071431C"/>
    <w:rsid w:val="007157EF"/>
    <w:rsid w:val="00721B6F"/>
    <w:rsid w:val="00724183"/>
    <w:rsid w:val="00750357"/>
    <w:rsid w:val="00751447"/>
    <w:rsid w:val="00751B04"/>
    <w:rsid w:val="007615C3"/>
    <w:rsid w:val="00774BBA"/>
    <w:rsid w:val="007951A9"/>
    <w:rsid w:val="007D42ED"/>
    <w:rsid w:val="007E6BF7"/>
    <w:rsid w:val="0080467D"/>
    <w:rsid w:val="00806C84"/>
    <w:rsid w:val="00810D6D"/>
    <w:rsid w:val="00811DCE"/>
    <w:rsid w:val="008135AF"/>
    <w:rsid w:val="00823988"/>
    <w:rsid w:val="00826BA2"/>
    <w:rsid w:val="008311CB"/>
    <w:rsid w:val="008613FB"/>
    <w:rsid w:val="008861AA"/>
    <w:rsid w:val="008907A6"/>
    <w:rsid w:val="008B2021"/>
    <w:rsid w:val="008B3E60"/>
    <w:rsid w:val="008C1734"/>
    <w:rsid w:val="008C4EA8"/>
    <w:rsid w:val="008D31F6"/>
    <w:rsid w:val="008E5D8D"/>
    <w:rsid w:val="009128A0"/>
    <w:rsid w:val="00935A65"/>
    <w:rsid w:val="00935DC2"/>
    <w:rsid w:val="009369E9"/>
    <w:rsid w:val="009424B2"/>
    <w:rsid w:val="009425F3"/>
    <w:rsid w:val="00945321"/>
    <w:rsid w:val="009477B8"/>
    <w:rsid w:val="009630C6"/>
    <w:rsid w:val="009836CE"/>
    <w:rsid w:val="00990C50"/>
    <w:rsid w:val="009958EA"/>
    <w:rsid w:val="009A6C26"/>
    <w:rsid w:val="00A1046F"/>
    <w:rsid w:val="00A129D5"/>
    <w:rsid w:val="00A25F4E"/>
    <w:rsid w:val="00A36B2F"/>
    <w:rsid w:val="00A50633"/>
    <w:rsid w:val="00A613E0"/>
    <w:rsid w:val="00A71E0C"/>
    <w:rsid w:val="00A75EAA"/>
    <w:rsid w:val="00A83590"/>
    <w:rsid w:val="00A84FB6"/>
    <w:rsid w:val="00A92084"/>
    <w:rsid w:val="00A9328D"/>
    <w:rsid w:val="00A95825"/>
    <w:rsid w:val="00AA4DC3"/>
    <w:rsid w:val="00AB0776"/>
    <w:rsid w:val="00AB3630"/>
    <w:rsid w:val="00AD50D7"/>
    <w:rsid w:val="00AD6204"/>
    <w:rsid w:val="00AE6E76"/>
    <w:rsid w:val="00AF1B55"/>
    <w:rsid w:val="00AF1BA6"/>
    <w:rsid w:val="00B03E72"/>
    <w:rsid w:val="00B04E77"/>
    <w:rsid w:val="00B14AF9"/>
    <w:rsid w:val="00B4599D"/>
    <w:rsid w:val="00B717BE"/>
    <w:rsid w:val="00B755B5"/>
    <w:rsid w:val="00B76390"/>
    <w:rsid w:val="00B80D14"/>
    <w:rsid w:val="00B86AD0"/>
    <w:rsid w:val="00B910A3"/>
    <w:rsid w:val="00B91582"/>
    <w:rsid w:val="00BA22EA"/>
    <w:rsid w:val="00BB4435"/>
    <w:rsid w:val="00BB4BA9"/>
    <w:rsid w:val="00BB6012"/>
    <w:rsid w:val="00BC51AC"/>
    <w:rsid w:val="00BF3A3B"/>
    <w:rsid w:val="00BF40C6"/>
    <w:rsid w:val="00C00022"/>
    <w:rsid w:val="00C32147"/>
    <w:rsid w:val="00C3616E"/>
    <w:rsid w:val="00C53C27"/>
    <w:rsid w:val="00C577E8"/>
    <w:rsid w:val="00C6346A"/>
    <w:rsid w:val="00C63F62"/>
    <w:rsid w:val="00C64D72"/>
    <w:rsid w:val="00C75CA4"/>
    <w:rsid w:val="00C85179"/>
    <w:rsid w:val="00C86AF2"/>
    <w:rsid w:val="00CA6477"/>
    <w:rsid w:val="00CB74E7"/>
    <w:rsid w:val="00CC3C3B"/>
    <w:rsid w:val="00CE4059"/>
    <w:rsid w:val="00CE52C2"/>
    <w:rsid w:val="00D00678"/>
    <w:rsid w:val="00D053CB"/>
    <w:rsid w:val="00D30E05"/>
    <w:rsid w:val="00D67F7D"/>
    <w:rsid w:val="00D85DB9"/>
    <w:rsid w:val="00D96B3F"/>
    <w:rsid w:val="00DA6BAB"/>
    <w:rsid w:val="00DB3949"/>
    <w:rsid w:val="00DE7619"/>
    <w:rsid w:val="00DF4AC4"/>
    <w:rsid w:val="00E03789"/>
    <w:rsid w:val="00E150A9"/>
    <w:rsid w:val="00E17816"/>
    <w:rsid w:val="00E223FC"/>
    <w:rsid w:val="00E7075E"/>
    <w:rsid w:val="00E7264C"/>
    <w:rsid w:val="00E758F5"/>
    <w:rsid w:val="00E76399"/>
    <w:rsid w:val="00E80AF1"/>
    <w:rsid w:val="00E83075"/>
    <w:rsid w:val="00E858C0"/>
    <w:rsid w:val="00EA52B8"/>
    <w:rsid w:val="00EB75D3"/>
    <w:rsid w:val="00ED5C96"/>
    <w:rsid w:val="00EF0A07"/>
    <w:rsid w:val="00EF2455"/>
    <w:rsid w:val="00F05024"/>
    <w:rsid w:val="00F1038D"/>
    <w:rsid w:val="00F140E0"/>
    <w:rsid w:val="00F247A9"/>
    <w:rsid w:val="00F27DEE"/>
    <w:rsid w:val="00F32BAC"/>
    <w:rsid w:val="00F366AE"/>
    <w:rsid w:val="00F466CF"/>
    <w:rsid w:val="00F53DE4"/>
    <w:rsid w:val="00F569BB"/>
    <w:rsid w:val="00F90582"/>
    <w:rsid w:val="00FA1B6E"/>
    <w:rsid w:val="00FA3063"/>
    <w:rsid w:val="00FB230A"/>
    <w:rsid w:val="00FD691E"/>
    <w:rsid w:val="00FE150F"/>
    <w:rsid w:val="00FE257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80EE39"/>
  <w15:docId w15:val="{1C66BD42-92E3-4C2D-ADEE-2C151569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802" w:hanging="566"/>
    </w:pPr>
  </w:style>
  <w:style w:type="paragraph" w:customStyle="1" w:styleId="TableParagraph">
    <w:name w:val="Table Paragraph"/>
    <w:basedOn w:val="prastasis"/>
    <w:uiPriority w:val="1"/>
    <w:qFormat/>
    <w:pPr>
      <w:ind w:left="107"/>
    </w:pPr>
  </w:style>
  <w:style w:type="paragraph" w:styleId="Debesliotekstas">
    <w:name w:val="Balloon Text"/>
    <w:basedOn w:val="prastasis"/>
    <w:link w:val="DebesliotekstasDiagrama"/>
    <w:uiPriority w:val="99"/>
    <w:semiHidden/>
    <w:unhideWhenUsed/>
    <w:rsid w:val="00C634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346A"/>
    <w:rPr>
      <w:rFonts w:ascii="Tahoma" w:eastAsia="Times New Roman" w:hAnsi="Tahoma" w:cs="Tahoma"/>
      <w:sz w:val="16"/>
      <w:szCs w:val="16"/>
    </w:rPr>
  </w:style>
  <w:style w:type="paragraph" w:styleId="Porat">
    <w:name w:val="footer"/>
    <w:basedOn w:val="prastasis"/>
    <w:link w:val="PoratDiagrama"/>
    <w:rsid w:val="00146329"/>
    <w:pPr>
      <w:widowControl/>
      <w:tabs>
        <w:tab w:val="left" w:pos="567"/>
        <w:tab w:val="center" w:pos="4536"/>
        <w:tab w:val="right" w:pos="8306"/>
      </w:tabs>
      <w:autoSpaceDE/>
      <w:autoSpaceDN/>
      <w:spacing w:line="260" w:lineRule="exact"/>
    </w:pPr>
    <w:rPr>
      <w:rFonts w:ascii="Arial" w:hAnsi="Arial"/>
      <w:noProof/>
      <w:sz w:val="16"/>
      <w:szCs w:val="20"/>
      <w:lang w:val="en-GB"/>
    </w:rPr>
  </w:style>
  <w:style w:type="character" w:customStyle="1" w:styleId="PoratDiagrama">
    <w:name w:val="Poraštė Diagrama"/>
    <w:basedOn w:val="Numatytasispastraiposriftas"/>
    <w:link w:val="Porat"/>
    <w:uiPriority w:val="99"/>
    <w:rsid w:val="00146329"/>
    <w:rPr>
      <w:rFonts w:ascii="Arial" w:eastAsia="Times New Roman" w:hAnsi="Arial" w:cs="Times New Roman"/>
      <w:noProof/>
      <w:sz w:val="16"/>
      <w:szCs w:val="20"/>
      <w:lang w:val="en-GB"/>
    </w:rPr>
  </w:style>
  <w:style w:type="character" w:styleId="Grietas">
    <w:name w:val="Strong"/>
    <w:qFormat/>
    <w:rsid w:val="00146329"/>
    <w:rPr>
      <w:b/>
      <w:bCs/>
    </w:rPr>
  </w:style>
  <w:style w:type="paragraph" w:styleId="Pataisymai">
    <w:name w:val="Revision"/>
    <w:hidden/>
    <w:uiPriority w:val="99"/>
    <w:semiHidden/>
    <w:rsid w:val="00D67F7D"/>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D67F7D"/>
    <w:rPr>
      <w:sz w:val="16"/>
      <w:szCs w:val="16"/>
    </w:rPr>
  </w:style>
  <w:style w:type="paragraph" w:styleId="Komentarotekstas">
    <w:name w:val="annotation text"/>
    <w:basedOn w:val="prastasis"/>
    <w:link w:val="KomentarotekstasDiagrama"/>
    <w:uiPriority w:val="99"/>
    <w:semiHidden/>
    <w:unhideWhenUsed/>
    <w:rsid w:val="00D67F7D"/>
    <w:rPr>
      <w:sz w:val="20"/>
      <w:szCs w:val="20"/>
    </w:rPr>
  </w:style>
  <w:style w:type="character" w:customStyle="1" w:styleId="KomentarotekstasDiagrama">
    <w:name w:val="Komentaro tekstas Diagrama"/>
    <w:basedOn w:val="Numatytasispastraiposriftas"/>
    <w:link w:val="Komentarotekstas"/>
    <w:uiPriority w:val="99"/>
    <w:semiHidden/>
    <w:rsid w:val="00D67F7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67F7D"/>
    <w:rPr>
      <w:b/>
      <w:bCs/>
    </w:rPr>
  </w:style>
  <w:style w:type="character" w:customStyle="1" w:styleId="KomentarotemaDiagrama">
    <w:name w:val="Komentaro tema Diagrama"/>
    <w:basedOn w:val="KomentarotekstasDiagrama"/>
    <w:link w:val="Komentarotema"/>
    <w:uiPriority w:val="99"/>
    <w:semiHidden/>
    <w:rsid w:val="00D67F7D"/>
    <w:rPr>
      <w:rFonts w:ascii="Times New Roman" w:eastAsia="Times New Roman" w:hAnsi="Times New Roman" w:cs="Times New Roman"/>
      <w:b/>
      <w:bCs/>
      <w:sz w:val="20"/>
      <w:szCs w:val="20"/>
    </w:rPr>
  </w:style>
  <w:style w:type="character" w:styleId="Hipersaitas">
    <w:name w:val="Hyperlink"/>
    <w:unhideWhenUsed/>
    <w:rsid w:val="008B2021"/>
    <w:rPr>
      <w:color w:val="0000FF"/>
      <w:u w:val="single"/>
    </w:rPr>
  </w:style>
  <w:style w:type="paragraph" w:customStyle="1" w:styleId="EMEAEnBodyText">
    <w:name w:val="EMEA En Body Text"/>
    <w:basedOn w:val="prastasis"/>
    <w:rsid w:val="00710393"/>
    <w:pPr>
      <w:widowControl/>
      <w:autoSpaceDE/>
      <w:autoSpaceDN/>
      <w:spacing w:before="120" w:after="120"/>
      <w:jc w:val="both"/>
    </w:pPr>
    <w:rPr>
      <w:szCs w:val="20"/>
      <w:lang w:val="lt-LT"/>
    </w:rPr>
  </w:style>
  <w:style w:type="paragraph" w:customStyle="1" w:styleId="Default">
    <w:name w:val="Default"/>
    <w:rsid w:val="00710393"/>
    <w:pPr>
      <w:widowControl/>
      <w:adjustRightInd w:val="0"/>
    </w:pPr>
    <w:rPr>
      <w:rFonts w:ascii="Times New Roman" w:eastAsia="Times New Roman" w:hAnsi="Times New Roman" w:cs="Times New Roman"/>
      <w:sz w:val="20"/>
      <w:szCs w:val="20"/>
      <w:lang w:val="lt-LT"/>
    </w:rPr>
  </w:style>
  <w:style w:type="paragraph" w:styleId="prastasiniatinklio">
    <w:name w:val="Normal (Web)"/>
    <w:basedOn w:val="prastasis"/>
    <w:uiPriority w:val="99"/>
    <w:unhideWhenUsed/>
    <w:rsid w:val="00710393"/>
    <w:pPr>
      <w:widowControl/>
      <w:autoSpaceDE/>
      <w:autoSpaceDN/>
      <w:spacing w:before="100" w:beforeAutospacing="1" w:after="100" w:afterAutospacing="1"/>
    </w:pPr>
    <w:rPr>
      <w:sz w:val="24"/>
      <w:szCs w:val="24"/>
      <w:lang w:val="lt-LT"/>
    </w:rPr>
  </w:style>
  <w:style w:type="character" w:styleId="Puslapionumeris">
    <w:name w:val="page number"/>
    <w:basedOn w:val="Numatytasispastraiposriftas"/>
    <w:rsid w:val="00710393"/>
  </w:style>
  <w:style w:type="paragraph" w:customStyle="1" w:styleId="BodytextAgency">
    <w:name w:val="Body text (Agency)"/>
    <w:basedOn w:val="prastasis"/>
    <w:link w:val="BodytextAgencyChar"/>
    <w:rsid w:val="00710393"/>
    <w:pPr>
      <w:widowControl/>
      <w:autoSpaceDE/>
      <w:autoSpaceDN/>
      <w:spacing w:after="140" w:line="280" w:lineRule="atLeast"/>
    </w:pPr>
    <w:rPr>
      <w:rFonts w:ascii="Verdana" w:eastAsia="Verdana" w:hAnsi="Verdana"/>
      <w:sz w:val="18"/>
      <w:szCs w:val="18"/>
      <w:lang w:val="lt-LT" w:eastAsia="x-none"/>
    </w:rPr>
  </w:style>
  <w:style w:type="character" w:customStyle="1" w:styleId="BodytextAgencyChar">
    <w:name w:val="Body text (Agency) Char"/>
    <w:link w:val="BodytextAgency"/>
    <w:rsid w:val="00710393"/>
    <w:rPr>
      <w:rFonts w:ascii="Verdana" w:eastAsia="Verdana" w:hAnsi="Verdana" w:cs="Times New Roman"/>
      <w:sz w:val="18"/>
      <w:szCs w:val="18"/>
      <w:lang w:val="lt-LT" w:eastAsia="x-none"/>
    </w:rPr>
  </w:style>
  <w:style w:type="paragraph" w:customStyle="1" w:styleId="xpilsectionheader2ndlevel">
    <w:name w:val="xpilsectionheader2ndlevel"/>
    <w:basedOn w:val="prastasis"/>
    <w:rsid w:val="00710393"/>
    <w:pPr>
      <w:widowControl/>
      <w:autoSpaceDE/>
      <w:autoSpaceDN/>
      <w:spacing w:before="100" w:beforeAutospacing="1" w:after="100" w:afterAutospacing="1"/>
    </w:pPr>
    <w:rPr>
      <w:sz w:val="24"/>
      <w:szCs w:val="24"/>
      <w:lang w:val="lt-LT"/>
    </w:rPr>
  </w:style>
  <w:style w:type="paragraph" w:styleId="Antrats">
    <w:name w:val="header"/>
    <w:basedOn w:val="prastasis"/>
    <w:link w:val="AntratsDiagrama"/>
    <w:uiPriority w:val="99"/>
    <w:unhideWhenUsed/>
    <w:rsid w:val="003E78EA"/>
    <w:pPr>
      <w:tabs>
        <w:tab w:val="center" w:pos="4819"/>
        <w:tab w:val="right" w:pos="9638"/>
      </w:tabs>
    </w:pPr>
  </w:style>
  <w:style w:type="character" w:customStyle="1" w:styleId="AntratsDiagrama">
    <w:name w:val="Antraštės Diagrama"/>
    <w:basedOn w:val="Numatytasispastraiposriftas"/>
    <w:link w:val="Antrats"/>
    <w:uiPriority w:val="99"/>
    <w:rsid w:val="003E78EA"/>
    <w:rPr>
      <w:rFonts w:ascii="Times New Roman" w:eastAsia="Times New Roman" w:hAnsi="Times New Roman" w:cs="Times New Roman"/>
    </w:rPr>
  </w:style>
  <w:style w:type="table" w:styleId="Lentelstinklelis">
    <w:name w:val="Table Grid"/>
    <w:basedOn w:val="prastojilentel"/>
    <w:uiPriority w:val="59"/>
    <w:rsid w:val="0082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326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D5DDF-3D84-4AA6-BBF9-2BBF36EEC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E684B-038A-4BE3-B088-B09EC15CF4F6}">
  <ds:schemaRefs>
    <ds:schemaRef ds:uri="http://schemas.microsoft.com/sharepoint/v3/contenttype/forms"/>
  </ds:schemaRefs>
</ds:datastoreItem>
</file>

<file path=customXml/itemProps3.xml><?xml version="1.0" encoding="utf-8"?>
<ds:datastoreItem xmlns:ds="http://schemas.openxmlformats.org/officeDocument/2006/customXml" ds:itemID="{72459195-C106-4778-B176-3912D7E0AFED}">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dbf2eccc-375d-4251-95f3-c31d8c476153"/>
    <ds:schemaRef ds:uri="525029b5-868e-4932-a2f1-2267ab1d00cd"/>
    <ds:schemaRef ds:uri="http://purl.org/dc/dcmitype/"/>
  </ds:schemaRefs>
</ds:datastoreItem>
</file>

<file path=customXml/itemProps4.xml><?xml version="1.0" encoding="utf-8"?>
<ds:datastoreItem xmlns:ds="http://schemas.openxmlformats.org/officeDocument/2006/customXml" ds:itemID="{B1DA8AAB-AEC7-42F3-A7AC-C23DEEB4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33426</Words>
  <Characters>19053</Characters>
  <Application>Microsoft Office Word</Application>
  <DocSecurity>0</DocSecurity>
  <Lines>158</Lines>
  <Paragraphs>104</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53</vt:i4>
      </vt:variant>
      <vt:variant>
        <vt:lpstr>Cím</vt:lpstr>
      </vt:variant>
      <vt:variant>
        <vt:i4>1</vt:i4>
      </vt:variant>
    </vt:vector>
  </HeadingPairs>
  <TitlesOfParts>
    <vt:vector size="56" baseType="lpstr">
      <vt:lpstr>Tractocile, atosiban</vt:lpstr>
      <vt:lpstr>Tractocile, atosiban</vt:lpstr>
      <vt:lpstr>I PRIEDAS</vt:lpstr>
      <vt:lpstr>6.6	Specialūs reikalavimai atliekoms tvarkyti</vt:lpstr>
      <vt:lpstr/>
      <vt:lpstr/>
      <vt:lpstr/>
      <vt:lpstr/>
      <vt:lpstr/>
      <vt:lpstr/>
      <vt:lpstr/>
      <vt:lpstr>    III PRIEDAS</vt:lpstr>
      <vt:lpstr>    ŽENKLINIMAS IR PAKUOTĖS LAPELIS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NEPASIEKIA</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PAKUOTĖS LAPELIS</vt:lpstr>
      <vt:lpstr/>
      <vt:lpstr>Pakuotės lapelis: informacija pacientui </vt:lpstr>
      <vt:lpstr/>
      <vt:lpstr>Apie ką rašoma šiame lapelyje?</vt:lpstr>
      <vt:lpstr>Allopurinol Accord vartoti draudžiama:</vt:lpstr>
      <vt:lpstr/>
      <vt:lpstr>jeigu yra alergija alopurinoliui arba bet kuriai pagalbinei šio vaisto medžiagai</vt:lpstr>
      <vt:lpstr>Jei nesate tikri, prieš vartodami vaistą pirmiausia pasitarkite su gydytoju.</vt:lpstr>
      <vt:lpstr/>
      <vt:lpstr>Įspėjimai ir atsargumo priemonės</vt:lpstr>
      <vt:lpstr>Nėštumas, žindymo laikotarpis ir vaisingumas</vt:lpstr>
      <vt:lpstr>Jeigu esate nėščia, žindote kūdikį, manote, kad galbūt esate nėščia, arba planuo</vt:lpstr>
      <vt:lpstr/>
      <vt:lpstr>Alopurinolis patenka į motinos pieną. Alopurinolis žindymo laikotarpiu nerekomen</vt:lpstr>
      <vt:lpstr/>
      <vt:lpstr>Vairavimas ir mechanizmų valdymas</vt:lpstr>
      <vt:lpstr>Allopurinol Accord sudėtyje yra laktozės </vt:lpstr>
      <vt:lpstr>Ką daryti pavartojus per didelę Allopurinol Accord dozę?</vt:lpstr>
      <vt:lpstr>Pamiršus pavartoti Allopurinol Accord</vt:lpstr>
      <vt:lpstr>Nustojus vartoti Allopurinol Accord</vt:lpstr>
      <vt:lpstr>Nenustokite vartoti Allopurinol Accord, jei gydytojas nenurodys to daryti.</vt:lpstr>
      <vt:lpstr/>
      <vt:lpstr>Šis pakuotės lapelis paskutinį kartą peržiūrėtas 2024-01-2311-05.</vt:lpstr>
      <vt:lpstr/>
      <vt:lpstr>Tractocile, atosiban</vt:lpstr>
    </vt:vector>
  </TitlesOfParts>
  <Company/>
  <LinksUpToDate>false</LinksUpToDate>
  <CharactersWithSpaces>52375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Tractocile, atosiban</dc:title>
  <dc:subject>EPAR</dc:subject>
  <dc:creator>CHMP</dc:creator>
  <cp:keywords>Tractocile, atosiban</cp:keywords>
  <cp:lastModifiedBy>Albina Burkauskaitė</cp:lastModifiedBy>
  <cp:revision>3</cp:revision>
  <dcterms:created xsi:type="dcterms:W3CDTF">2025-03-04T13:03:00Z</dcterms:created>
  <dcterms:modified xsi:type="dcterms:W3CDTF">2025-03-04T13:05:00Z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Creator">
    <vt:lpwstr>Acrobat PDFMaker 10.1 for Word</vt:lpwstr>
  </property>
  <property fmtid="{D5CDD505-2E9C-101B-9397-08002B2CF9AE}" pid="4" name="LastSaved">
    <vt:filetime>2018-05-29T00:00:00Z</vt:filetime>
  </property>
  <property fmtid="{D5CDD505-2E9C-101B-9397-08002B2CF9AE}" pid="5" name="ContentTypeId">
    <vt:lpwstr>0x01010024448ADDA094B941BF150AA70B0E97EF</vt:lpwstr>
  </property>
  <property fmtid="{D5CDD505-2E9C-101B-9397-08002B2CF9AE}" pid="6" name="MediaServiceImageTags">
    <vt:lpwstr/>
  </property>
</Properties>
</file>