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0B7C5" w14:textId="77777777" w:rsidR="006332FB" w:rsidRPr="005A3594" w:rsidRDefault="006332FB" w:rsidP="006332FB">
      <w:pPr>
        <w:widowControl/>
        <w:tabs>
          <w:tab w:val="left" w:pos="567"/>
        </w:tabs>
        <w:autoSpaceDE/>
        <w:autoSpaceDN/>
        <w:adjustRightInd/>
        <w:spacing w:line="260" w:lineRule="exact"/>
        <w:outlineLvl w:val="0"/>
        <w:rPr>
          <w:rFonts w:eastAsia="Times New Roman"/>
          <w:b/>
          <w:snapToGrid w:val="0"/>
          <w:sz w:val="22"/>
          <w:szCs w:val="22"/>
          <w:lang w:val="lt-LT"/>
        </w:rPr>
      </w:pPr>
    </w:p>
    <w:p w14:paraId="5786DDC7" w14:textId="77777777" w:rsidR="006332FB" w:rsidRPr="005A3594" w:rsidRDefault="006332FB" w:rsidP="006332FB">
      <w:pPr>
        <w:widowControl/>
        <w:tabs>
          <w:tab w:val="left" w:pos="567"/>
        </w:tabs>
        <w:autoSpaceDE/>
        <w:autoSpaceDN/>
        <w:adjustRightInd/>
        <w:spacing w:line="260" w:lineRule="exact"/>
        <w:outlineLvl w:val="0"/>
        <w:rPr>
          <w:rFonts w:eastAsia="Times New Roman"/>
          <w:b/>
          <w:snapToGrid w:val="0"/>
          <w:sz w:val="22"/>
          <w:szCs w:val="22"/>
          <w:lang w:val="lt-LT"/>
        </w:rPr>
      </w:pPr>
    </w:p>
    <w:p w14:paraId="6BF6F3A2" w14:textId="77777777" w:rsidR="006332FB" w:rsidRPr="005A3594" w:rsidRDefault="006332FB" w:rsidP="006332FB">
      <w:pPr>
        <w:widowControl/>
        <w:tabs>
          <w:tab w:val="left" w:pos="567"/>
        </w:tabs>
        <w:autoSpaceDE/>
        <w:autoSpaceDN/>
        <w:adjustRightInd/>
        <w:spacing w:line="260" w:lineRule="exact"/>
        <w:outlineLvl w:val="0"/>
        <w:rPr>
          <w:rFonts w:eastAsia="Times New Roman"/>
          <w:b/>
          <w:snapToGrid w:val="0"/>
          <w:sz w:val="22"/>
          <w:szCs w:val="22"/>
          <w:lang w:val="lt-LT"/>
        </w:rPr>
      </w:pPr>
    </w:p>
    <w:p w14:paraId="7BED6D9B" w14:textId="77777777" w:rsidR="006332FB" w:rsidRPr="005A3594" w:rsidRDefault="006332FB" w:rsidP="006332FB">
      <w:pPr>
        <w:widowControl/>
        <w:tabs>
          <w:tab w:val="left" w:pos="-1440"/>
          <w:tab w:val="left" w:pos="-720"/>
          <w:tab w:val="left" w:pos="567"/>
        </w:tabs>
        <w:autoSpaceDE/>
        <w:autoSpaceDN/>
        <w:adjustRightInd/>
        <w:spacing w:line="260" w:lineRule="exact"/>
        <w:rPr>
          <w:rFonts w:eastAsia="Times New Roman"/>
          <w:b/>
          <w:snapToGrid w:val="0"/>
          <w:sz w:val="22"/>
          <w:szCs w:val="22"/>
          <w:lang w:val="lt-LT"/>
        </w:rPr>
      </w:pPr>
    </w:p>
    <w:p w14:paraId="5E92D8E7" w14:textId="77777777" w:rsidR="006332FB" w:rsidRPr="005A3594" w:rsidRDefault="006332FB" w:rsidP="006332FB">
      <w:pPr>
        <w:widowControl/>
        <w:tabs>
          <w:tab w:val="left" w:pos="-1440"/>
          <w:tab w:val="left" w:pos="-720"/>
          <w:tab w:val="left" w:pos="567"/>
        </w:tabs>
        <w:autoSpaceDE/>
        <w:autoSpaceDN/>
        <w:adjustRightInd/>
        <w:spacing w:line="260" w:lineRule="exact"/>
        <w:rPr>
          <w:rFonts w:eastAsia="Times New Roman"/>
          <w:b/>
          <w:snapToGrid w:val="0"/>
          <w:sz w:val="22"/>
          <w:szCs w:val="22"/>
          <w:lang w:val="lt-LT"/>
        </w:rPr>
      </w:pPr>
    </w:p>
    <w:p w14:paraId="42981106" w14:textId="77777777" w:rsidR="006332FB" w:rsidRPr="005A3594" w:rsidRDefault="006332FB" w:rsidP="006332FB">
      <w:pPr>
        <w:widowControl/>
        <w:tabs>
          <w:tab w:val="left" w:pos="-1440"/>
          <w:tab w:val="left" w:pos="-720"/>
          <w:tab w:val="left" w:pos="567"/>
        </w:tabs>
        <w:autoSpaceDE/>
        <w:autoSpaceDN/>
        <w:adjustRightInd/>
        <w:spacing w:line="260" w:lineRule="exact"/>
        <w:rPr>
          <w:rFonts w:eastAsia="Times New Roman"/>
          <w:b/>
          <w:snapToGrid w:val="0"/>
          <w:sz w:val="22"/>
          <w:szCs w:val="22"/>
          <w:lang w:val="lt-LT"/>
        </w:rPr>
      </w:pPr>
    </w:p>
    <w:p w14:paraId="5ED1FDBA" w14:textId="77777777" w:rsidR="006332FB" w:rsidRPr="005A3594" w:rsidRDefault="006332FB" w:rsidP="006332FB">
      <w:pPr>
        <w:widowControl/>
        <w:tabs>
          <w:tab w:val="left" w:pos="-1440"/>
          <w:tab w:val="left" w:pos="-720"/>
          <w:tab w:val="left" w:pos="567"/>
        </w:tabs>
        <w:autoSpaceDE/>
        <w:autoSpaceDN/>
        <w:adjustRightInd/>
        <w:spacing w:line="260" w:lineRule="exact"/>
        <w:rPr>
          <w:rFonts w:eastAsia="Times New Roman"/>
          <w:b/>
          <w:snapToGrid w:val="0"/>
          <w:sz w:val="22"/>
          <w:szCs w:val="22"/>
          <w:lang w:val="lt-LT"/>
        </w:rPr>
      </w:pPr>
    </w:p>
    <w:p w14:paraId="38FFADA6" w14:textId="77777777" w:rsidR="006332FB" w:rsidRPr="005A3594" w:rsidRDefault="006332FB" w:rsidP="006332FB">
      <w:pPr>
        <w:widowControl/>
        <w:tabs>
          <w:tab w:val="left" w:pos="-1440"/>
          <w:tab w:val="left" w:pos="-720"/>
          <w:tab w:val="left" w:pos="567"/>
        </w:tabs>
        <w:autoSpaceDE/>
        <w:autoSpaceDN/>
        <w:adjustRightInd/>
        <w:spacing w:line="260" w:lineRule="exact"/>
        <w:rPr>
          <w:rFonts w:eastAsia="Times New Roman"/>
          <w:b/>
          <w:snapToGrid w:val="0"/>
          <w:sz w:val="22"/>
          <w:szCs w:val="22"/>
          <w:lang w:val="lt-LT"/>
        </w:rPr>
      </w:pPr>
    </w:p>
    <w:p w14:paraId="43B5946B" w14:textId="77777777" w:rsidR="006332FB" w:rsidRPr="005A3594" w:rsidRDefault="006332FB" w:rsidP="006332FB">
      <w:pPr>
        <w:widowControl/>
        <w:tabs>
          <w:tab w:val="left" w:pos="-1440"/>
          <w:tab w:val="left" w:pos="-720"/>
          <w:tab w:val="left" w:pos="567"/>
        </w:tabs>
        <w:autoSpaceDE/>
        <w:autoSpaceDN/>
        <w:adjustRightInd/>
        <w:spacing w:line="260" w:lineRule="exact"/>
        <w:rPr>
          <w:rFonts w:eastAsia="Times New Roman"/>
          <w:b/>
          <w:snapToGrid w:val="0"/>
          <w:sz w:val="22"/>
          <w:szCs w:val="22"/>
          <w:lang w:val="lt-LT"/>
        </w:rPr>
      </w:pPr>
    </w:p>
    <w:p w14:paraId="280BA1EB" w14:textId="77777777" w:rsidR="006332FB" w:rsidRPr="005A3594" w:rsidRDefault="006332FB" w:rsidP="006332FB">
      <w:pPr>
        <w:widowControl/>
        <w:tabs>
          <w:tab w:val="left" w:pos="-1440"/>
          <w:tab w:val="left" w:pos="-720"/>
          <w:tab w:val="left" w:pos="567"/>
        </w:tabs>
        <w:autoSpaceDE/>
        <w:autoSpaceDN/>
        <w:adjustRightInd/>
        <w:spacing w:line="260" w:lineRule="exact"/>
        <w:rPr>
          <w:rFonts w:eastAsia="Times New Roman"/>
          <w:b/>
          <w:snapToGrid w:val="0"/>
          <w:sz w:val="22"/>
          <w:szCs w:val="22"/>
          <w:lang w:val="lt-LT"/>
        </w:rPr>
      </w:pPr>
    </w:p>
    <w:p w14:paraId="614F6E10" w14:textId="77777777" w:rsidR="006332FB" w:rsidRPr="005A3594" w:rsidRDefault="006332FB" w:rsidP="006332FB">
      <w:pPr>
        <w:widowControl/>
        <w:tabs>
          <w:tab w:val="left" w:pos="-1440"/>
          <w:tab w:val="left" w:pos="-720"/>
          <w:tab w:val="left" w:pos="567"/>
        </w:tabs>
        <w:autoSpaceDE/>
        <w:autoSpaceDN/>
        <w:adjustRightInd/>
        <w:spacing w:line="260" w:lineRule="exact"/>
        <w:rPr>
          <w:rFonts w:eastAsia="Times New Roman"/>
          <w:b/>
          <w:snapToGrid w:val="0"/>
          <w:sz w:val="22"/>
          <w:szCs w:val="22"/>
          <w:lang w:val="lt-LT"/>
        </w:rPr>
      </w:pPr>
    </w:p>
    <w:p w14:paraId="3F3E56C5" w14:textId="77777777" w:rsidR="006332FB" w:rsidRPr="005A3594" w:rsidRDefault="006332FB" w:rsidP="006332FB">
      <w:pPr>
        <w:widowControl/>
        <w:tabs>
          <w:tab w:val="left" w:pos="-1440"/>
          <w:tab w:val="left" w:pos="-720"/>
          <w:tab w:val="left" w:pos="567"/>
        </w:tabs>
        <w:autoSpaceDE/>
        <w:autoSpaceDN/>
        <w:adjustRightInd/>
        <w:spacing w:line="260" w:lineRule="exact"/>
        <w:rPr>
          <w:rFonts w:eastAsia="Times New Roman"/>
          <w:b/>
          <w:snapToGrid w:val="0"/>
          <w:sz w:val="22"/>
          <w:szCs w:val="22"/>
          <w:lang w:val="lt-LT"/>
        </w:rPr>
      </w:pPr>
    </w:p>
    <w:p w14:paraId="5593A02D" w14:textId="77777777" w:rsidR="006332FB" w:rsidRPr="005A3594" w:rsidRDefault="006332FB" w:rsidP="006332FB">
      <w:pPr>
        <w:widowControl/>
        <w:tabs>
          <w:tab w:val="left" w:pos="-1440"/>
          <w:tab w:val="left" w:pos="-720"/>
          <w:tab w:val="left" w:pos="567"/>
        </w:tabs>
        <w:autoSpaceDE/>
        <w:autoSpaceDN/>
        <w:adjustRightInd/>
        <w:spacing w:line="260" w:lineRule="exact"/>
        <w:rPr>
          <w:rFonts w:eastAsia="Times New Roman"/>
          <w:b/>
          <w:snapToGrid w:val="0"/>
          <w:sz w:val="22"/>
          <w:szCs w:val="22"/>
          <w:lang w:val="lt-LT"/>
        </w:rPr>
      </w:pPr>
    </w:p>
    <w:p w14:paraId="1B74CBAC" w14:textId="77777777" w:rsidR="006332FB" w:rsidRPr="005A3594" w:rsidRDefault="006332FB" w:rsidP="006332FB">
      <w:pPr>
        <w:widowControl/>
        <w:tabs>
          <w:tab w:val="left" w:pos="-1440"/>
          <w:tab w:val="left" w:pos="-720"/>
          <w:tab w:val="left" w:pos="567"/>
        </w:tabs>
        <w:autoSpaceDE/>
        <w:autoSpaceDN/>
        <w:adjustRightInd/>
        <w:spacing w:line="260" w:lineRule="exact"/>
        <w:rPr>
          <w:rFonts w:eastAsia="Times New Roman"/>
          <w:b/>
          <w:snapToGrid w:val="0"/>
          <w:sz w:val="22"/>
          <w:szCs w:val="22"/>
          <w:lang w:val="lt-LT"/>
        </w:rPr>
      </w:pPr>
    </w:p>
    <w:p w14:paraId="6AB6397B" w14:textId="77777777" w:rsidR="006332FB" w:rsidRPr="005A3594" w:rsidRDefault="006332FB" w:rsidP="006332FB">
      <w:pPr>
        <w:widowControl/>
        <w:tabs>
          <w:tab w:val="left" w:pos="-1440"/>
          <w:tab w:val="left" w:pos="-720"/>
          <w:tab w:val="left" w:pos="567"/>
        </w:tabs>
        <w:autoSpaceDE/>
        <w:autoSpaceDN/>
        <w:adjustRightInd/>
        <w:spacing w:line="260" w:lineRule="exact"/>
        <w:rPr>
          <w:rFonts w:eastAsia="Times New Roman"/>
          <w:b/>
          <w:snapToGrid w:val="0"/>
          <w:sz w:val="22"/>
          <w:szCs w:val="22"/>
          <w:lang w:val="lt-LT"/>
        </w:rPr>
      </w:pPr>
    </w:p>
    <w:p w14:paraId="6BC82622" w14:textId="77777777" w:rsidR="006332FB" w:rsidRPr="005A3594" w:rsidRDefault="006332FB" w:rsidP="006332FB">
      <w:pPr>
        <w:widowControl/>
        <w:tabs>
          <w:tab w:val="left" w:pos="-1440"/>
          <w:tab w:val="left" w:pos="-720"/>
          <w:tab w:val="left" w:pos="567"/>
        </w:tabs>
        <w:autoSpaceDE/>
        <w:autoSpaceDN/>
        <w:adjustRightInd/>
        <w:spacing w:line="260" w:lineRule="exact"/>
        <w:rPr>
          <w:rFonts w:eastAsia="Times New Roman"/>
          <w:b/>
          <w:snapToGrid w:val="0"/>
          <w:sz w:val="22"/>
          <w:szCs w:val="22"/>
          <w:lang w:val="lt-LT"/>
        </w:rPr>
      </w:pPr>
    </w:p>
    <w:p w14:paraId="786BC941" w14:textId="77777777" w:rsidR="006332FB" w:rsidRPr="005A3594" w:rsidRDefault="006332FB" w:rsidP="006332FB">
      <w:pPr>
        <w:widowControl/>
        <w:tabs>
          <w:tab w:val="left" w:pos="-1440"/>
          <w:tab w:val="left" w:pos="-720"/>
          <w:tab w:val="left" w:pos="567"/>
        </w:tabs>
        <w:autoSpaceDE/>
        <w:autoSpaceDN/>
        <w:adjustRightInd/>
        <w:spacing w:line="260" w:lineRule="exact"/>
        <w:rPr>
          <w:rFonts w:eastAsia="Times New Roman"/>
          <w:b/>
          <w:snapToGrid w:val="0"/>
          <w:sz w:val="22"/>
          <w:szCs w:val="22"/>
          <w:lang w:val="lt-LT"/>
        </w:rPr>
      </w:pPr>
    </w:p>
    <w:p w14:paraId="5A14B9D3" w14:textId="77777777" w:rsidR="006332FB" w:rsidRPr="005A3594" w:rsidRDefault="006332FB" w:rsidP="006332FB">
      <w:pPr>
        <w:widowControl/>
        <w:tabs>
          <w:tab w:val="left" w:pos="-1440"/>
          <w:tab w:val="left" w:pos="-720"/>
          <w:tab w:val="left" w:pos="567"/>
        </w:tabs>
        <w:autoSpaceDE/>
        <w:autoSpaceDN/>
        <w:adjustRightInd/>
        <w:spacing w:line="260" w:lineRule="exact"/>
        <w:rPr>
          <w:rFonts w:eastAsia="Times New Roman"/>
          <w:b/>
          <w:snapToGrid w:val="0"/>
          <w:sz w:val="22"/>
          <w:szCs w:val="22"/>
          <w:lang w:val="lt-LT"/>
        </w:rPr>
      </w:pPr>
    </w:p>
    <w:p w14:paraId="6829AD31" w14:textId="77777777" w:rsidR="006332FB" w:rsidRPr="005A3594" w:rsidRDefault="006332FB" w:rsidP="006332FB">
      <w:pPr>
        <w:widowControl/>
        <w:tabs>
          <w:tab w:val="left" w:pos="-1440"/>
          <w:tab w:val="left" w:pos="-720"/>
          <w:tab w:val="left" w:pos="567"/>
        </w:tabs>
        <w:autoSpaceDE/>
        <w:autoSpaceDN/>
        <w:adjustRightInd/>
        <w:spacing w:line="260" w:lineRule="exact"/>
        <w:rPr>
          <w:rFonts w:eastAsia="Times New Roman"/>
          <w:b/>
          <w:snapToGrid w:val="0"/>
          <w:sz w:val="22"/>
          <w:szCs w:val="22"/>
          <w:lang w:val="lt-LT"/>
        </w:rPr>
      </w:pPr>
    </w:p>
    <w:p w14:paraId="21E60CF7" w14:textId="77777777" w:rsidR="006332FB" w:rsidRPr="005A3594" w:rsidRDefault="006332FB" w:rsidP="006332FB">
      <w:pPr>
        <w:widowControl/>
        <w:tabs>
          <w:tab w:val="left" w:pos="-1440"/>
          <w:tab w:val="left" w:pos="-720"/>
          <w:tab w:val="left" w:pos="567"/>
        </w:tabs>
        <w:autoSpaceDE/>
        <w:autoSpaceDN/>
        <w:adjustRightInd/>
        <w:spacing w:line="260" w:lineRule="exact"/>
        <w:rPr>
          <w:rFonts w:eastAsia="Times New Roman"/>
          <w:b/>
          <w:snapToGrid w:val="0"/>
          <w:sz w:val="22"/>
          <w:szCs w:val="22"/>
          <w:lang w:val="lt-LT"/>
        </w:rPr>
      </w:pPr>
    </w:p>
    <w:p w14:paraId="118C233E" w14:textId="77777777" w:rsidR="006332FB" w:rsidRPr="005A3594" w:rsidRDefault="006332FB" w:rsidP="006332FB">
      <w:pPr>
        <w:widowControl/>
        <w:tabs>
          <w:tab w:val="left" w:pos="-1440"/>
          <w:tab w:val="left" w:pos="-720"/>
          <w:tab w:val="left" w:pos="567"/>
        </w:tabs>
        <w:autoSpaceDE/>
        <w:autoSpaceDN/>
        <w:adjustRightInd/>
        <w:spacing w:line="260" w:lineRule="exact"/>
        <w:rPr>
          <w:rFonts w:eastAsia="Times New Roman"/>
          <w:b/>
          <w:snapToGrid w:val="0"/>
          <w:sz w:val="22"/>
          <w:szCs w:val="22"/>
          <w:lang w:val="lt-LT"/>
        </w:rPr>
      </w:pPr>
    </w:p>
    <w:p w14:paraId="4830CE40" w14:textId="77777777" w:rsidR="000C463E" w:rsidRDefault="000C463E" w:rsidP="006332FB">
      <w:pPr>
        <w:keepNext/>
        <w:widowControl/>
        <w:tabs>
          <w:tab w:val="left" w:pos="567"/>
        </w:tabs>
        <w:autoSpaceDE/>
        <w:autoSpaceDN/>
        <w:adjustRightInd/>
        <w:jc w:val="center"/>
        <w:outlineLvl w:val="1"/>
        <w:rPr>
          <w:rFonts w:eastAsia="Times New Roman"/>
          <w:b/>
          <w:bCs/>
          <w:iCs/>
          <w:snapToGrid w:val="0"/>
          <w:sz w:val="22"/>
          <w:szCs w:val="22"/>
          <w:lang w:val="lt-LT" w:eastAsia="x-none"/>
        </w:rPr>
      </w:pPr>
    </w:p>
    <w:p w14:paraId="13654718" w14:textId="77777777" w:rsidR="006332FB" w:rsidRPr="005A3594" w:rsidRDefault="006332FB" w:rsidP="006332FB">
      <w:pPr>
        <w:keepNext/>
        <w:widowControl/>
        <w:tabs>
          <w:tab w:val="left" w:pos="567"/>
        </w:tabs>
        <w:autoSpaceDE/>
        <w:autoSpaceDN/>
        <w:adjustRightInd/>
        <w:jc w:val="center"/>
        <w:outlineLvl w:val="1"/>
        <w:rPr>
          <w:rFonts w:eastAsia="Times New Roman"/>
          <w:b/>
          <w:snapToGrid w:val="0"/>
          <w:sz w:val="22"/>
          <w:szCs w:val="22"/>
          <w:lang w:val="lt-LT" w:eastAsia="x-none"/>
        </w:rPr>
      </w:pPr>
      <w:r w:rsidRPr="005A3594">
        <w:rPr>
          <w:rFonts w:eastAsia="Times New Roman"/>
          <w:b/>
          <w:bCs/>
          <w:iCs/>
          <w:snapToGrid w:val="0"/>
          <w:sz w:val="22"/>
          <w:szCs w:val="22"/>
          <w:lang w:val="lt-LT" w:eastAsia="x-none"/>
        </w:rPr>
        <w:t>I PRIEDAS</w:t>
      </w:r>
    </w:p>
    <w:p w14:paraId="2F650F07" w14:textId="77777777" w:rsidR="006332FB" w:rsidRPr="005A3594" w:rsidRDefault="006332FB" w:rsidP="006332FB">
      <w:pPr>
        <w:widowControl/>
        <w:tabs>
          <w:tab w:val="left" w:pos="567"/>
        </w:tabs>
        <w:autoSpaceDE/>
        <w:autoSpaceDN/>
        <w:adjustRightInd/>
        <w:rPr>
          <w:rFonts w:eastAsia="Times New Roman"/>
          <w:snapToGrid w:val="0"/>
          <w:sz w:val="22"/>
          <w:szCs w:val="22"/>
          <w:lang w:val="lt-LT"/>
        </w:rPr>
      </w:pPr>
    </w:p>
    <w:p w14:paraId="52FE58EE" w14:textId="77777777" w:rsidR="006332FB" w:rsidRPr="005A3594" w:rsidRDefault="006332FB" w:rsidP="006332FB">
      <w:pPr>
        <w:widowControl/>
        <w:tabs>
          <w:tab w:val="left" w:pos="-1440"/>
          <w:tab w:val="left" w:pos="-720"/>
          <w:tab w:val="left" w:pos="567"/>
        </w:tabs>
        <w:autoSpaceDE/>
        <w:autoSpaceDN/>
        <w:adjustRightInd/>
        <w:spacing w:line="260" w:lineRule="exact"/>
        <w:jc w:val="center"/>
        <w:rPr>
          <w:rFonts w:eastAsia="Times New Roman"/>
          <w:b/>
          <w:snapToGrid w:val="0"/>
          <w:sz w:val="22"/>
          <w:szCs w:val="22"/>
          <w:lang w:val="lt-LT"/>
        </w:rPr>
      </w:pPr>
      <w:r w:rsidRPr="005A3594">
        <w:rPr>
          <w:b/>
          <w:snapToGrid w:val="0"/>
          <w:sz w:val="22"/>
          <w:szCs w:val="22"/>
          <w:lang w:val="lt-LT"/>
        </w:rPr>
        <w:t>PREPARATO CHARAKTERISTIKŲ SANTRAUKA</w:t>
      </w:r>
    </w:p>
    <w:p w14:paraId="02A6970E" w14:textId="77777777" w:rsidR="006332FB" w:rsidRPr="005A3594" w:rsidRDefault="006332FB" w:rsidP="006332FB">
      <w:pPr>
        <w:rPr>
          <w:rFonts w:eastAsia="Times New Roman"/>
          <w:b/>
          <w:bCs/>
          <w:snapToGrid w:val="0"/>
          <w:sz w:val="22"/>
          <w:szCs w:val="22"/>
          <w:lang w:val="lt-LT" w:eastAsia="x-none"/>
        </w:rPr>
      </w:pPr>
      <w:r w:rsidRPr="005A3594">
        <w:rPr>
          <w:rFonts w:eastAsia="Times New Roman"/>
          <w:snapToGrid w:val="0"/>
          <w:sz w:val="22"/>
          <w:szCs w:val="22"/>
          <w:lang w:val="lt-LT" w:eastAsia="zh-CN"/>
        </w:rPr>
        <w:br w:type="page"/>
      </w:r>
      <w:r w:rsidRPr="005A3594">
        <w:rPr>
          <w:rFonts w:eastAsia="Times New Roman"/>
          <w:b/>
          <w:bCs/>
          <w:snapToGrid w:val="0"/>
          <w:sz w:val="22"/>
          <w:szCs w:val="22"/>
          <w:lang w:val="lt-LT" w:eastAsia="x-none"/>
        </w:rPr>
        <w:lastRenderedPageBreak/>
        <w:t>1.</w:t>
      </w:r>
      <w:r w:rsidRPr="005A3594">
        <w:rPr>
          <w:rFonts w:eastAsia="Times New Roman"/>
          <w:b/>
          <w:bCs/>
          <w:snapToGrid w:val="0"/>
          <w:sz w:val="22"/>
          <w:szCs w:val="22"/>
          <w:lang w:val="lt-LT" w:eastAsia="x-none"/>
        </w:rPr>
        <w:tab/>
        <w:t>VAISTINIO PREPARATO PAVADINIMAS</w:t>
      </w:r>
    </w:p>
    <w:p w14:paraId="4BFD997A" w14:textId="77777777" w:rsidR="006332FB" w:rsidRPr="00AE5BD5" w:rsidRDefault="006332FB" w:rsidP="008C6014">
      <w:pPr>
        <w:rPr>
          <w:b/>
          <w:bCs/>
          <w:sz w:val="22"/>
          <w:szCs w:val="22"/>
          <w:lang w:val="lt-LT"/>
        </w:rPr>
      </w:pPr>
    </w:p>
    <w:p w14:paraId="5AF5A94C" w14:textId="77777777" w:rsidR="00C05173" w:rsidRPr="00AE5BD5" w:rsidRDefault="00B61707" w:rsidP="008C6014">
      <w:pPr>
        <w:rPr>
          <w:sz w:val="22"/>
          <w:szCs w:val="22"/>
          <w:lang w:val="lt-LT"/>
        </w:rPr>
      </w:pPr>
      <w:r w:rsidRPr="00AE5BD5">
        <w:rPr>
          <w:sz w:val="22"/>
          <w:szCs w:val="22"/>
          <w:lang w:val="lt-LT"/>
        </w:rPr>
        <w:t>Silungo</w:t>
      </w:r>
      <w:r w:rsidR="00C05173" w:rsidRPr="00AE5BD5">
        <w:rPr>
          <w:sz w:val="22"/>
          <w:szCs w:val="22"/>
          <w:lang w:val="lt-LT"/>
        </w:rPr>
        <w:t xml:space="preserve"> 20</w:t>
      </w:r>
      <w:r w:rsidR="006332FB" w:rsidRPr="00AE5BD5">
        <w:rPr>
          <w:sz w:val="22"/>
          <w:szCs w:val="22"/>
          <w:lang w:val="lt-LT"/>
        </w:rPr>
        <w:t> </w:t>
      </w:r>
      <w:r w:rsidR="00C05173" w:rsidRPr="00AE5BD5">
        <w:rPr>
          <w:sz w:val="22"/>
          <w:szCs w:val="22"/>
          <w:lang w:val="lt-LT"/>
        </w:rPr>
        <w:t>mg plėvele dengtos tabletės</w:t>
      </w:r>
    </w:p>
    <w:p w14:paraId="1D6CC07F" w14:textId="77777777" w:rsidR="00C05173" w:rsidRPr="00AE5BD5" w:rsidRDefault="00C05173" w:rsidP="008C6014">
      <w:pPr>
        <w:rPr>
          <w:sz w:val="22"/>
          <w:szCs w:val="22"/>
          <w:lang w:val="lt-LT"/>
        </w:rPr>
      </w:pPr>
    </w:p>
    <w:p w14:paraId="70219396" w14:textId="77777777" w:rsidR="006F2D33" w:rsidRPr="005A3594" w:rsidRDefault="006F2D33" w:rsidP="008C6014">
      <w:pPr>
        <w:rPr>
          <w:rFonts w:eastAsia="Times New Roman"/>
          <w:snapToGrid w:val="0"/>
          <w:sz w:val="22"/>
          <w:szCs w:val="22"/>
          <w:lang w:val="lt-LT"/>
        </w:rPr>
      </w:pPr>
    </w:p>
    <w:p w14:paraId="5327DE52" w14:textId="77777777" w:rsidR="006F2D33" w:rsidRPr="00AE5BD5" w:rsidRDefault="006F2D33" w:rsidP="008C6014">
      <w:pPr>
        <w:rPr>
          <w:rFonts w:eastAsia="Times New Roman"/>
          <w:b/>
          <w:bCs/>
          <w:snapToGrid w:val="0"/>
          <w:sz w:val="22"/>
          <w:szCs w:val="22"/>
          <w:lang w:val="lt-LT" w:eastAsia="x-none"/>
        </w:rPr>
      </w:pPr>
      <w:r w:rsidRPr="00AE5BD5">
        <w:rPr>
          <w:b/>
          <w:bCs/>
          <w:snapToGrid w:val="0"/>
          <w:sz w:val="22"/>
          <w:szCs w:val="22"/>
          <w:lang w:val="lt-LT" w:eastAsia="x-none"/>
        </w:rPr>
        <w:t>2.</w:t>
      </w:r>
      <w:r w:rsidRPr="00AE5BD5">
        <w:rPr>
          <w:b/>
          <w:bCs/>
          <w:snapToGrid w:val="0"/>
          <w:sz w:val="22"/>
          <w:szCs w:val="22"/>
          <w:lang w:val="lt-LT" w:eastAsia="x-none"/>
        </w:rPr>
        <w:tab/>
        <w:t>KOKYBINĖ IR KIEKYBINĖ SUDĖTIS</w:t>
      </w:r>
    </w:p>
    <w:p w14:paraId="3B88E14E" w14:textId="77777777" w:rsidR="006F2D33" w:rsidRPr="00AE5BD5" w:rsidRDefault="006F2D33" w:rsidP="008C6014">
      <w:pPr>
        <w:rPr>
          <w:rFonts w:eastAsia="Times New Roman"/>
          <w:snapToGrid w:val="0"/>
          <w:sz w:val="22"/>
          <w:szCs w:val="22"/>
          <w:lang w:val="lt-LT"/>
        </w:rPr>
      </w:pPr>
    </w:p>
    <w:p w14:paraId="0D384E4C" w14:textId="77777777" w:rsidR="003E6E21" w:rsidRDefault="00C05173" w:rsidP="008C6014">
      <w:pPr>
        <w:rPr>
          <w:sz w:val="22"/>
          <w:szCs w:val="22"/>
          <w:lang w:val="lt-LT"/>
        </w:rPr>
      </w:pPr>
      <w:r w:rsidRPr="00AE5BD5">
        <w:rPr>
          <w:sz w:val="22"/>
          <w:szCs w:val="22"/>
          <w:lang w:val="lt-LT"/>
        </w:rPr>
        <w:t>Kiekvienoje plėvele dengtoje tabletėje yra 20</w:t>
      </w:r>
      <w:r w:rsidR="006332FB" w:rsidRPr="00AE5BD5">
        <w:rPr>
          <w:sz w:val="22"/>
          <w:szCs w:val="22"/>
          <w:lang w:val="lt-LT"/>
        </w:rPr>
        <w:t> </w:t>
      </w:r>
      <w:r w:rsidRPr="00AE5BD5">
        <w:rPr>
          <w:sz w:val="22"/>
          <w:szCs w:val="22"/>
          <w:lang w:val="lt-LT"/>
        </w:rPr>
        <w:t>mg sildenafilio (citrato pavidal</w:t>
      </w:r>
      <w:r w:rsidR="00A03602">
        <w:rPr>
          <w:sz w:val="22"/>
          <w:szCs w:val="22"/>
          <w:lang w:val="lt-LT"/>
        </w:rPr>
        <w:t>u</w:t>
      </w:r>
      <w:r w:rsidRPr="00AE5BD5">
        <w:rPr>
          <w:sz w:val="22"/>
          <w:szCs w:val="22"/>
          <w:lang w:val="lt-LT"/>
        </w:rPr>
        <w:t xml:space="preserve">). </w:t>
      </w:r>
    </w:p>
    <w:p w14:paraId="44206EBC" w14:textId="77777777" w:rsidR="003E6E21" w:rsidRDefault="003E6E21" w:rsidP="008C6014">
      <w:pPr>
        <w:rPr>
          <w:sz w:val="22"/>
          <w:szCs w:val="22"/>
          <w:u w:val="single"/>
          <w:lang w:val="lt-LT"/>
        </w:rPr>
      </w:pPr>
    </w:p>
    <w:p w14:paraId="2B44F3D2" w14:textId="77777777" w:rsidR="00C05173" w:rsidRPr="00AE5BD5" w:rsidRDefault="00C05173" w:rsidP="008C6014">
      <w:pPr>
        <w:rPr>
          <w:sz w:val="22"/>
          <w:szCs w:val="22"/>
          <w:lang w:val="lt-LT"/>
        </w:rPr>
      </w:pPr>
      <w:r w:rsidRPr="00AE5BD5">
        <w:rPr>
          <w:sz w:val="22"/>
          <w:szCs w:val="22"/>
          <w:u w:val="single"/>
          <w:lang w:val="lt-LT"/>
        </w:rPr>
        <w:t>Pagalbinė (-ės) medžiaga (-os), kurios (-ių) poveikis žinomas</w:t>
      </w:r>
    </w:p>
    <w:p w14:paraId="0F4A8ABF" w14:textId="77777777" w:rsidR="00C05173" w:rsidRPr="00AE5BD5" w:rsidRDefault="00C05173" w:rsidP="008C6014">
      <w:pPr>
        <w:rPr>
          <w:sz w:val="22"/>
          <w:szCs w:val="22"/>
          <w:lang w:val="lt-LT"/>
        </w:rPr>
      </w:pPr>
      <w:r w:rsidRPr="00AE5BD5">
        <w:rPr>
          <w:sz w:val="22"/>
          <w:szCs w:val="22"/>
          <w:lang w:val="lt-LT"/>
        </w:rPr>
        <w:t xml:space="preserve">Kiekvienoje tabletėje </w:t>
      </w:r>
      <w:r w:rsidR="00A03602">
        <w:rPr>
          <w:sz w:val="22"/>
          <w:szCs w:val="22"/>
          <w:lang w:val="lt-LT"/>
        </w:rPr>
        <w:t xml:space="preserve">taip pat </w:t>
      </w:r>
      <w:r w:rsidRPr="00AE5BD5">
        <w:rPr>
          <w:sz w:val="22"/>
          <w:szCs w:val="22"/>
          <w:lang w:val="lt-LT"/>
        </w:rPr>
        <w:t>yra 0,7</w:t>
      </w:r>
      <w:r w:rsidR="006332FB" w:rsidRPr="00AE5BD5">
        <w:rPr>
          <w:sz w:val="22"/>
          <w:szCs w:val="22"/>
          <w:lang w:val="lt-LT"/>
        </w:rPr>
        <w:t> </w:t>
      </w:r>
      <w:r w:rsidRPr="00AE5BD5">
        <w:rPr>
          <w:sz w:val="22"/>
          <w:szCs w:val="22"/>
          <w:lang w:val="lt-LT"/>
        </w:rPr>
        <w:t>mg laktozės.</w:t>
      </w:r>
    </w:p>
    <w:p w14:paraId="39B9717E" w14:textId="77777777" w:rsidR="00C05173" w:rsidRPr="00AE5BD5" w:rsidRDefault="00C05173" w:rsidP="008C6014">
      <w:pPr>
        <w:rPr>
          <w:sz w:val="22"/>
          <w:szCs w:val="22"/>
          <w:lang w:val="lt-LT"/>
        </w:rPr>
      </w:pPr>
    </w:p>
    <w:p w14:paraId="1A43B9C7" w14:textId="77777777" w:rsidR="00C05173" w:rsidRPr="00AE5BD5" w:rsidRDefault="00C05173" w:rsidP="008C6014">
      <w:pPr>
        <w:rPr>
          <w:sz w:val="22"/>
          <w:szCs w:val="22"/>
          <w:lang w:val="lt-LT"/>
        </w:rPr>
      </w:pPr>
      <w:r w:rsidRPr="00AE5BD5">
        <w:rPr>
          <w:sz w:val="22"/>
          <w:szCs w:val="22"/>
          <w:lang w:val="lt-LT"/>
        </w:rPr>
        <w:t>Visos pagalbinės medžiagos išvardytos 6.1 skyriuje.</w:t>
      </w:r>
    </w:p>
    <w:p w14:paraId="333ADA51" w14:textId="77777777" w:rsidR="00C05173" w:rsidRPr="00AE5BD5" w:rsidRDefault="00C05173" w:rsidP="008C6014">
      <w:pPr>
        <w:rPr>
          <w:sz w:val="22"/>
          <w:szCs w:val="22"/>
          <w:lang w:val="lt-LT"/>
        </w:rPr>
      </w:pPr>
    </w:p>
    <w:p w14:paraId="73D612CA" w14:textId="77777777" w:rsidR="006F2D33" w:rsidRPr="005A3594" w:rsidRDefault="006F2D33" w:rsidP="008C6014">
      <w:pPr>
        <w:rPr>
          <w:rFonts w:eastAsia="Times New Roman"/>
          <w:snapToGrid w:val="0"/>
          <w:sz w:val="22"/>
          <w:szCs w:val="22"/>
          <w:lang w:val="lt-LT"/>
        </w:rPr>
      </w:pPr>
    </w:p>
    <w:p w14:paraId="769BC684" w14:textId="77777777" w:rsidR="006F2D33" w:rsidRPr="00AE5BD5" w:rsidRDefault="006F2D33" w:rsidP="008C6014">
      <w:pPr>
        <w:rPr>
          <w:rFonts w:eastAsia="Times New Roman"/>
          <w:b/>
          <w:bCs/>
          <w:snapToGrid w:val="0"/>
          <w:sz w:val="22"/>
          <w:szCs w:val="22"/>
          <w:lang w:val="lt-LT" w:eastAsia="x-none"/>
        </w:rPr>
      </w:pPr>
      <w:r w:rsidRPr="00AE5BD5">
        <w:rPr>
          <w:rFonts w:eastAsia="Times New Roman"/>
          <w:b/>
          <w:bCs/>
          <w:snapToGrid w:val="0"/>
          <w:sz w:val="22"/>
          <w:szCs w:val="22"/>
          <w:lang w:val="lt-LT" w:eastAsia="x-none"/>
        </w:rPr>
        <w:t>3.</w:t>
      </w:r>
      <w:r w:rsidRPr="00AE5BD5">
        <w:rPr>
          <w:rFonts w:eastAsia="Times New Roman"/>
          <w:b/>
          <w:bCs/>
          <w:snapToGrid w:val="0"/>
          <w:sz w:val="22"/>
          <w:szCs w:val="22"/>
          <w:lang w:val="lt-LT" w:eastAsia="x-none"/>
        </w:rPr>
        <w:tab/>
        <w:t>FAR</w:t>
      </w:r>
      <w:r w:rsidRPr="00AE5BD5">
        <w:rPr>
          <w:b/>
          <w:bCs/>
          <w:snapToGrid w:val="0"/>
          <w:sz w:val="22"/>
          <w:szCs w:val="22"/>
          <w:lang w:val="lt-LT" w:eastAsia="x-none"/>
        </w:rPr>
        <w:t>MACINĖ FORMA</w:t>
      </w:r>
    </w:p>
    <w:p w14:paraId="511BAEF6" w14:textId="77777777" w:rsidR="00C05173" w:rsidRPr="00AE5BD5" w:rsidRDefault="00C05173" w:rsidP="008C6014">
      <w:pPr>
        <w:rPr>
          <w:b/>
          <w:bCs/>
          <w:sz w:val="22"/>
          <w:szCs w:val="22"/>
          <w:lang w:val="lt-LT"/>
        </w:rPr>
      </w:pPr>
    </w:p>
    <w:p w14:paraId="2E13FAB2" w14:textId="77777777" w:rsidR="00C05173" w:rsidRPr="00AE5BD5" w:rsidRDefault="00C05173" w:rsidP="008C6014">
      <w:pPr>
        <w:rPr>
          <w:sz w:val="22"/>
          <w:szCs w:val="22"/>
          <w:lang w:val="lt-LT"/>
        </w:rPr>
      </w:pPr>
      <w:r w:rsidRPr="00AE5BD5">
        <w:rPr>
          <w:sz w:val="22"/>
          <w:szCs w:val="22"/>
          <w:lang w:val="lt-LT"/>
        </w:rPr>
        <w:t>Plėvele dengta tabletė.</w:t>
      </w:r>
    </w:p>
    <w:p w14:paraId="4F8544A5" w14:textId="77777777" w:rsidR="00C05173" w:rsidRPr="00AE5BD5" w:rsidRDefault="00C05173" w:rsidP="008C6014">
      <w:pPr>
        <w:rPr>
          <w:sz w:val="22"/>
          <w:szCs w:val="22"/>
          <w:lang w:val="lt-LT"/>
        </w:rPr>
      </w:pPr>
    </w:p>
    <w:p w14:paraId="46A760CE" w14:textId="77777777" w:rsidR="00C05173" w:rsidRPr="00AE5BD5" w:rsidRDefault="00C05173" w:rsidP="008C6014">
      <w:pPr>
        <w:rPr>
          <w:sz w:val="22"/>
          <w:szCs w:val="22"/>
          <w:lang w:val="lt-LT"/>
        </w:rPr>
      </w:pPr>
      <w:r w:rsidRPr="00AE5BD5">
        <w:rPr>
          <w:sz w:val="22"/>
          <w:szCs w:val="22"/>
          <w:lang w:val="lt-LT"/>
        </w:rPr>
        <w:t>Baltos arba beveik baltos</w:t>
      </w:r>
      <w:r w:rsidR="00710AD3" w:rsidRPr="00AE5BD5">
        <w:rPr>
          <w:sz w:val="22"/>
          <w:szCs w:val="22"/>
          <w:lang w:val="lt-LT"/>
        </w:rPr>
        <w:t>,</w:t>
      </w:r>
      <w:r w:rsidRPr="00AE5BD5">
        <w:rPr>
          <w:sz w:val="22"/>
          <w:szCs w:val="22"/>
          <w:lang w:val="lt-LT"/>
        </w:rPr>
        <w:t xml:space="preserve"> apvalios formos, apie 6,6 mm diametro, abipus išgaubtos</w:t>
      </w:r>
      <w:r w:rsidR="00710AD3" w:rsidRPr="00AE5BD5">
        <w:rPr>
          <w:sz w:val="22"/>
          <w:szCs w:val="22"/>
          <w:lang w:val="lt-LT"/>
        </w:rPr>
        <w:t>,</w:t>
      </w:r>
      <w:r w:rsidRPr="00AE5BD5">
        <w:rPr>
          <w:sz w:val="22"/>
          <w:szCs w:val="22"/>
          <w:lang w:val="lt-LT"/>
        </w:rPr>
        <w:t xml:space="preserve"> plėvele dengtos tabletės</w:t>
      </w:r>
      <w:r w:rsidR="00710AD3" w:rsidRPr="00AE5BD5">
        <w:rPr>
          <w:sz w:val="22"/>
          <w:szCs w:val="22"/>
          <w:lang w:val="lt-LT"/>
        </w:rPr>
        <w:t xml:space="preserve"> su </w:t>
      </w:r>
      <w:r w:rsidR="00710AD3" w:rsidRPr="005A3594">
        <w:rPr>
          <w:sz w:val="22"/>
          <w:szCs w:val="22"/>
          <w:lang w:val="lt-LT"/>
        </w:rPr>
        <w:t>įspaudu „20“ vienoje pusėje ir vientisos kitoje.</w:t>
      </w:r>
      <w:r w:rsidRPr="00AE5BD5">
        <w:rPr>
          <w:sz w:val="22"/>
          <w:szCs w:val="22"/>
          <w:lang w:val="lt-LT"/>
        </w:rPr>
        <w:t xml:space="preserve"> </w:t>
      </w:r>
    </w:p>
    <w:p w14:paraId="1E39AA23" w14:textId="77777777" w:rsidR="006F2D33" w:rsidRPr="005A3594" w:rsidRDefault="006F2D33" w:rsidP="008C6014">
      <w:pPr>
        <w:rPr>
          <w:rFonts w:eastAsia="Times New Roman"/>
          <w:snapToGrid w:val="0"/>
          <w:sz w:val="22"/>
          <w:szCs w:val="22"/>
          <w:lang w:val="lt-LT"/>
        </w:rPr>
      </w:pPr>
    </w:p>
    <w:p w14:paraId="2540B863" w14:textId="77777777" w:rsidR="006F2D33" w:rsidRPr="00AE5BD5" w:rsidRDefault="006F2D33" w:rsidP="008C6014">
      <w:pPr>
        <w:rPr>
          <w:rFonts w:eastAsia="Times New Roman"/>
          <w:snapToGrid w:val="0"/>
          <w:sz w:val="22"/>
          <w:szCs w:val="22"/>
          <w:lang w:val="lt-LT"/>
        </w:rPr>
      </w:pPr>
    </w:p>
    <w:p w14:paraId="3EEE863B" w14:textId="77777777" w:rsidR="006F2D33" w:rsidRPr="00AE5BD5" w:rsidRDefault="006F2D33" w:rsidP="008C6014">
      <w:pPr>
        <w:rPr>
          <w:rFonts w:eastAsia="Times New Roman"/>
          <w:b/>
          <w:bCs/>
          <w:snapToGrid w:val="0"/>
          <w:sz w:val="22"/>
          <w:szCs w:val="22"/>
          <w:lang w:val="lt-LT" w:eastAsia="x-none"/>
        </w:rPr>
      </w:pPr>
      <w:r w:rsidRPr="00AE5BD5">
        <w:rPr>
          <w:b/>
          <w:bCs/>
          <w:snapToGrid w:val="0"/>
          <w:sz w:val="22"/>
          <w:szCs w:val="22"/>
          <w:lang w:val="lt-LT" w:eastAsia="x-none"/>
        </w:rPr>
        <w:t>4.</w:t>
      </w:r>
      <w:r w:rsidRPr="00AE5BD5">
        <w:rPr>
          <w:b/>
          <w:bCs/>
          <w:snapToGrid w:val="0"/>
          <w:sz w:val="22"/>
          <w:szCs w:val="22"/>
          <w:lang w:val="lt-LT" w:eastAsia="x-none"/>
        </w:rPr>
        <w:tab/>
        <w:t>KLINIKINĖ INFORMACIJA</w:t>
      </w:r>
    </w:p>
    <w:p w14:paraId="5FA05E39" w14:textId="77777777" w:rsidR="006F2D33" w:rsidRPr="00AE5BD5" w:rsidRDefault="006F2D33" w:rsidP="008C6014">
      <w:pPr>
        <w:rPr>
          <w:rFonts w:eastAsia="Times New Roman"/>
          <w:snapToGrid w:val="0"/>
          <w:sz w:val="22"/>
          <w:szCs w:val="22"/>
          <w:lang w:val="lt-LT"/>
        </w:rPr>
      </w:pPr>
    </w:p>
    <w:p w14:paraId="264B93EA" w14:textId="77777777" w:rsidR="006F2D33" w:rsidRPr="00AE5BD5" w:rsidRDefault="006F2D33" w:rsidP="008C6014">
      <w:pPr>
        <w:rPr>
          <w:rFonts w:eastAsia="Times New Roman"/>
          <w:b/>
          <w:bCs/>
          <w:snapToGrid w:val="0"/>
          <w:sz w:val="22"/>
          <w:szCs w:val="22"/>
          <w:lang w:val="lt-LT" w:eastAsia="x-none"/>
        </w:rPr>
      </w:pPr>
      <w:r w:rsidRPr="00AE5BD5">
        <w:rPr>
          <w:b/>
          <w:bCs/>
          <w:snapToGrid w:val="0"/>
          <w:sz w:val="22"/>
          <w:szCs w:val="22"/>
          <w:lang w:val="lt-LT" w:eastAsia="x-none"/>
        </w:rPr>
        <w:t>4.1</w:t>
      </w:r>
      <w:r w:rsidRPr="00AE5BD5">
        <w:rPr>
          <w:b/>
          <w:bCs/>
          <w:snapToGrid w:val="0"/>
          <w:sz w:val="22"/>
          <w:szCs w:val="22"/>
          <w:lang w:val="lt-LT" w:eastAsia="x-none"/>
        </w:rPr>
        <w:tab/>
        <w:t>Terapinės indikacijos</w:t>
      </w:r>
    </w:p>
    <w:p w14:paraId="3C763E5E" w14:textId="77777777" w:rsidR="006F2D33" w:rsidRPr="00AE5BD5" w:rsidRDefault="006F2D33" w:rsidP="008C6014">
      <w:pPr>
        <w:rPr>
          <w:rFonts w:eastAsia="Times New Roman"/>
          <w:b/>
          <w:bCs/>
          <w:snapToGrid w:val="0"/>
          <w:sz w:val="22"/>
          <w:szCs w:val="22"/>
          <w:lang w:val="lt-LT" w:eastAsia="x-none"/>
        </w:rPr>
      </w:pPr>
    </w:p>
    <w:p w14:paraId="1F436522" w14:textId="77777777" w:rsidR="00C05173" w:rsidRPr="00AE5BD5" w:rsidRDefault="00C05173" w:rsidP="008C6014">
      <w:pPr>
        <w:rPr>
          <w:sz w:val="22"/>
          <w:szCs w:val="22"/>
          <w:lang w:val="lt-LT"/>
        </w:rPr>
      </w:pPr>
      <w:r w:rsidRPr="00AE5BD5">
        <w:rPr>
          <w:sz w:val="22"/>
          <w:szCs w:val="22"/>
          <w:u w:val="single"/>
          <w:lang w:val="lt-LT"/>
        </w:rPr>
        <w:t>Suaugusie</w:t>
      </w:r>
      <w:r w:rsidR="00D4458C">
        <w:rPr>
          <w:sz w:val="22"/>
          <w:szCs w:val="22"/>
          <w:u w:val="single"/>
          <w:lang w:val="lt-LT"/>
        </w:rPr>
        <w:t>ji</w:t>
      </w:r>
    </w:p>
    <w:p w14:paraId="778B79AD" w14:textId="77777777" w:rsidR="00C05173" w:rsidRPr="00AE5BD5" w:rsidRDefault="00C05173" w:rsidP="008C6014">
      <w:pPr>
        <w:rPr>
          <w:sz w:val="22"/>
          <w:szCs w:val="22"/>
          <w:lang w:val="lt-LT"/>
        </w:rPr>
      </w:pPr>
      <w:r w:rsidRPr="00AE5BD5">
        <w:rPr>
          <w:sz w:val="22"/>
          <w:szCs w:val="22"/>
          <w:lang w:val="lt-LT"/>
        </w:rPr>
        <w:t>Suaugusių pacientų, sergančių II ir III funkcinės klasės pagal PSO klasifikaciją plautine arterine hipertenzija</w:t>
      </w:r>
      <w:r w:rsidR="00A31524">
        <w:rPr>
          <w:sz w:val="22"/>
          <w:szCs w:val="22"/>
          <w:lang w:val="lt-LT"/>
        </w:rPr>
        <w:t>,</w:t>
      </w:r>
      <w:r w:rsidRPr="00AE5BD5">
        <w:rPr>
          <w:sz w:val="22"/>
          <w:szCs w:val="22"/>
          <w:lang w:val="lt-LT"/>
        </w:rPr>
        <w:t xml:space="preserve"> gydymas, norint pagerinti fizinį pajėgumą. Vaistinis preparatas veiksmingas gydant pirminę plautinę hipertenziją ir plautinę hipertenziją, susijusią su jungiamojo audinio ligomis.</w:t>
      </w:r>
    </w:p>
    <w:p w14:paraId="3CC7E81F" w14:textId="77777777" w:rsidR="00C05173" w:rsidRPr="00AE5BD5" w:rsidRDefault="00C05173" w:rsidP="008C6014">
      <w:pPr>
        <w:rPr>
          <w:sz w:val="22"/>
          <w:szCs w:val="22"/>
          <w:lang w:val="lt-LT"/>
        </w:rPr>
      </w:pPr>
    </w:p>
    <w:p w14:paraId="5C20B3EB" w14:textId="77777777" w:rsidR="00C05173" w:rsidRPr="00AE5BD5" w:rsidRDefault="00C05173" w:rsidP="008C6014">
      <w:pPr>
        <w:rPr>
          <w:sz w:val="22"/>
          <w:szCs w:val="22"/>
          <w:lang w:val="lt-LT"/>
        </w:rPr>
      </w:pPr>
      <w:r w:rsidRPr="00AE5BD5">
        <w:rPr>
          <w:sz w:val="22"/>
          <w:szCs w:val="22"/>
          <w:u w:val="single"/>
          <w:lang w:val="lt-LT"/>
        </w:rPr>
        <w:t>Vaikų populiacija</w:t>
      </w:r>
    </w:p>
    <w:p w14:paraId="6DA32339" w14:textId="77777777" w:rsidR="00C05173" w:rsidRPr="00AE5BD5" w:rsidRDefault="00346C94" w:rsidP="008C6014">
      <w:pPr>
        <w:rPr>
          <w:sz w:val="22"/>
          <w:szCs w:val="22"/>
          <w:lang w:val="lt-LT"/>
        </w:rPr>
      </w:pPr>
      <w:r>
        <w:rPr>
          <w:sz w:val="22"/>
          <w:szCs w:val="22"/>
          <w:lang w:val="lt-LT"/>
        </w:rPr>
        <w:t>Vaikų populiacijos (</w:t>
      </w:r>
      <w:r w:rsidR="00C05173" w:rsidRPr="00AE5BD5">
        <w:rPr>
          <w:sz w:val="22"/>
          <w:szCs w:val="22"/>
          <w:lang w:val="lt-LT"/>
        </w:rPr>
        <w:t>nuo 1 iki 17</w:t>
      </w:r>
      <w:r w:rsidR="001C7696">
        <w:rPr>
          <w:sz w:val="22"/>
          <w:szCs w:val="22"/>
          <w:lang w:val="lt-LT"/>
        </w:rPr>
        <w:t> metų</w:t>
      </w:r>
      <w:r>
        <w:rPr>
          <w:sz w:val="22"/>
          <w:szCs w:val="22"/>
          <w:lang w:val="lt-LT"/>
        </w:rPr>
        <w:t>)</w:t>
      </w:r>
      <w:r w:rsidRPr="00346C94">
        <w:rPr>
          <w:sz w:val="22"/>
          <w:szCs w:val="22"/>
          <w:lang w:val="lt-LT"/>
        </w:rPr>
        <w:t xml:space="preserve"> </w:t>
      </w:r>
      <w:r>
        <w:rPr>
          <w:sz w:val="22"/>
          <w:szCs w:val="22"/>
          <w:lang w:val="lt-LT"/>
        </w:rPr>
        <w:t>pacientų</w:t>
      </w:r>
      <w:r w:rsidR="00C05173" w:rsidRPr="00AE5BD5">
        <w:rPr>
          <w:sz w:val="22"/>
          <w:szCs w:val="22"/>
          <w:lang w:val="lt-LT"/>
        </w:rPr>
        <w:t>, kuriems diagnozuota plautinė arterinė hipertenzija, gydymas. Pagal fizinio pajėgumo ir plaučių kraujotakos pagerėjimą nustatytas veiksmingumas gydant pirminę plautinę hipertenziją ir plautinę hipertenziją, susijusią su įgimta širdies liga (žr. 5.1 skyrių).</w:t>
      </w:r>
    </w:p>
    <w:p w14:paraId="268B2E48" w14:textId="77777777" w:rsidR="006F2D33" w:rsidRPr="005A3594" w:rsidRDefault="006F2D33" w:rsidP="008C6014">
      <w:pPr>
        <w:rPr>
          <w:rFonts w:eastAsia="Times New Roman"/>
          <w:snapToGrid w:val="0"/>
          <w:sz w:val="22"/>
          <w:szCs w:val="22"/>
          <w:lang w:val="lt-LT"/>
        </w:rPr>
      </w:pPr>
    </w:p>
    <w:p w14:paraId="447B3B46" w14:textId="77777777" w:rsidR="006F2D33" w:rsidRPr="00AE5BD5" w:rsidRDefault="006F2D33" w:rsidP="008C6014">
      <w:pPr>
        <w:rPr>
          <w:rFonts w:eastAsia="Times New Roman"/>
          <w:b/>
          <w:bCs/>
          <w:snapToGrid w:val="0"/>
          <w:sz w:val="22"/>
          <w:szCs w:val="22"/>
          <w:lang w:val="lt-LT" w:eastAsia="x-none"/>
        </w:rPr>
      </w:pPr>
      <w:r w:rsidRPr="00AE5BD5">
        <w:rPr>
          <w:rFonts w:eastAsia="Times New Roman"/>
          <w:b/>
          <w:bCs/>
          <w:snapToGrid w:val="0"/>
          <w:sz w:val="22"/>
          <w:szCs w:val="22"/>
          <w:lang w:val="lt-LT" w:eastAsia="x-none"/>
        </w:rPr>
        <w:t>4.2</w:t>
      </w:r>
      <w:r w:rsidRPr="00AE5BD5">
        <w:rPr>
          <w:rFonts w:eastAsia="Times New Roman"/>
          <w:b/>
          <w:bCs/>
          <w:snapToGrid w:val="0"/>
          <w:sz w:val="22"/>
          <w:szCs w:val="22"/>
          <w:lang w:val="lt-LT" w:eastAsia="x-none"/>
        </w:rPr>
        <w:tab/>
        <w:t>Dozavimas ir vartojimo metodas</w:t>
      </w:r>
    </w:p>
    <w:p w14:paraId="469DD255" w14:textId="77777777" w:rsidR="006F2D33" w:rsidRPr="00AE5BD5" w:rsidRDefault="006F2D33" w:rsidP="008C6014">
      <w:pPr>
        <w:rPr>
          <w:rFonts w:eastAsia="Times New Roman"/>
          <w:snapToGrid w:val="0"/>
          <w:sz w:val="22"/>
          <w:szCs w:val="22"/>
          <w:lang w:val="lt-LT"/>
        </w:rPr>
      </w:pPr>
    </w:p>
    <w:p w14:paraId="2F9AE1EB" w14:textId="77777777" w:rsidR="00C05173" w:rsidRPr="00AE5BD5" w:rsidRDefault="00C05173" w:rsidP="008C6014">
      <w:pPr>
        <w:rPr>
          <w:sz w:val="22"/>
          <w:szCs w:val="22"/>
          <w:lang w:val="lt-LT"/>
        </w:rPr>
      </w:pPr>
      <w:r w:rsidRPr="00AE5BD5">
        <w:rPr>
          <w:sz w:val="22"/>
          <w:szCs w:val="22"/>
          <w:lang w:val="lt-LT"/>
        </w:rPr>
        <w:t xml:space="preserve">Gydymą pradėti ir ligonį stebėti gali tik gydytojas, turintis plautinės arterinės hipertenzijos gydymo patirties. Jeigu vartojančio </w:t>
      </w:r>
      <w:r w:rsidR="00B61707" w:rsidRPr="00AE5BD5">
        <w:rPr>
          <w:sz w:val="22"/>
          <w:szCs w:val="22"/>
          <w:lang w:val="lt-LT"/>
        </w:rPr>
        <w:t>Silungo</w:t>
      </w:r>
      <w:r w:rsidRPr="00AE5BD5">
        <w:rPr>
          <w:sz w:val="22"/>
          <w:szCs w:val="22"/>
          <w:lang w:val="lt-LT"/>
        </w:rPr>
        <w:t xml:space="preserve"> ligonio būklė blogėja, būtina apsvarstyti galimybę gydyti kitais gydymo būdais.</w:t>
      </w:r>
    </w:p>
    <w:p w14:paraId="63D9C272" w14:textId="77777777" w:rsidR="00C05173" w:rsidRPr="00AE5BD5" w:rsidRDefault="00C05173" w:rsidP="008C6014">
      <w:pPr>
        <w:rPr>
          <w:sz w:val="22"/>
          <w:szCs w:val="22"/>
          <w:lang w:val="lt-LT"/>
        </w:rPr>
      </w:pPr>
    </w:p>
    <w:p w14:paraId="34057398" w14:textId="77777777" w:rsidR="00C05173" w:rsidRPr="00AE5BD5" w:rsidRDefault="00C05173" w:rsidP="008C6014">
      <w:pPr>
        <w:rPr>
          <w:sz w:val="22"/>
          <w:szCs w:val="22"/>
          <w:lang w:val="lt-LT"/>
        </w:rPr>
      </w:pPr>
      <w:r w:rsidRPr="00AE5BD5">
        <w:rPr>
          <w:sz w:val="22"/>
          <w:szCs w:val="22"/>
          <w:u w:val="single"/>
          <w:lang w:val="lt-LT"/>
        </w:rPr>
        <w:t>Dozavimas</w:t>
      </w:r>
    </w:p>
    <w:p w14:paraId="50306270" w14:textId="77777777" w:rsidR="00C05173" w:rsidRPr="00AE5BD5" w:rsidRDefault="00C05173" w:rsidP="008C6014">
      <w:pPr>
        <w:rPr>
          <w:sz w:val="22"/>
          <w:szCs w:val="22"/>
          <w:lang w:val="lt-LT"/>
        </w:rPr>
      </w:pPr>
    </w:p>
    <w:p w14:paraId="6B3D42D1" w14:textId="77777777" w:rsidR="00C05173" w:rsidRPr="00AE5BD5" w:rsidRDefault="00C05173" w:rsidP="008C6014">
      <w:pPr>
        <w:rPr>
          <w:i/>
          <w:iCs/>
          <w:sz w:val="22"/>
          <w:szCs w:val="22"/>
          <w:lang w:val="lt-LT"/>
        </w:rPr>
      </w:pPr>
      <w:r w:rsidRPr="00AE5BD5">
        <w:rPr>
          <w:i/>
          <w:iCs/>
          <w:sz w:val="22"/>
          <w:szCs w:val="22"/>
          <w:u w:val="single"/>
          <w:lang w:val="lt-LT"/>
        </w:rPr>
        <w:t>Suaugusiems pacientams</w:t>
      </w:r>
    </w:p>
    <w:p w14:paraId="28394DDA" w14:textId="77777777" w:rsidR="00C05173" w:rsidRPr="00AE5BD5" w:rsidRDefault="00C05173" w:rsidP="008C6014">
      <w:pPr>
        <w:rPr>
          <w:sz w:val="22"/>
          <w:szCs w:val="22"/>
          <w:lang w:val="lt-LT"/>
        </w:rPr>
      </w:pPr>
      <w:r w:rsidRPr="00AE5BD5">
        <w:rPr>
          <w:sz w:val="22"/>
          <w:szCs w:val="22"/>
          <w:lang w:val="lt-LT"/>
        </w:rPr>
        <w:t xml:space="preserve">Rekomenduojama dozė – po 20 mg tris kartus per parą. Gydytojas turi patarti pacientui, kuris užmiršo pavartoti </w:t>
      </w:r>
      <w:r w:rsidR="00B61707" w:rsidRPr="00AE5BD5">
        <w:rPr>
          <w:sz w:val="22"/>
          <w:szCs w:val="22"/>
          <w:lang w:val="lt-LT"/>
        </w:rPr>
        <w:t>Silungo</w:t>
      </w:r>
      <w:r w:rsidRPr="00AE5BD5">
        <w:rPr>
          <w:sz w:val="22"/>
          <w:szCs w:val="22"/>
          <w:lang w:val="lt-LT"/>
        </w:rPr>
        <w:t>, dozę išgerti iš karto prisiminus, o toliau vaistinį preparatą vartoti įprasta tvarka.</w:t>
      </w:r>
    </w:p>
    <w:p w14:paraId="396C7CD6" w14:textId="77777777" w:rsidR="00C05173" w:rsidRPr="00AE5BD5" w:rsidRDefault="00C05173" w:rsidP="008C6014">
      <w:pPr>
        <w:rPr>
          <w:sz w:val="22"/>
          <w:szCs w:val="22"/>
          <w:lang w:val="lt-LT"/>
        </w:rPr>
      </w:pPr>
      <w:r w:rsidRPr="00AE5BD5">
        <w:rPr>
          <w:sz w:val="22"/>
          <w:szCs w:val="22"/>
          <w:lang w:val="lt-LT"/>
        </w:rPr>
        <w:t>Pacientui negalima vartoti dvigubos dozės norint kompensuoti praleistą dozę.</w:t>
      </w:r>
    </w:p>
    <w:p w14:paraId="11FDF304" w14:textId="77777777" w:rsidR="00C05173" w:rsidRPr="00AE5BD5" w:rsidRDefault="00C05173" w:rsidP="008C6014">
      <w:pPr>
        <w:rPr>
          <w:sz w:val="22"/>
          <w:szCs w:val="22"/>
          <w:lang w:val="lt-LT"/>
        </w:rPr>
      </w:pPr>
    </w:p>
    <w:p w14:paraId="566088B0" w14:textId="77777777" w:rsidR="00C05173" w:rsidRPr="00AE5BD5" w:rsidRDefault="00C05173" w:rsidP="008C6014">
      <w:pPr>
        <w:rPr>
          <w:i/>
          <w:iCs/>
          <w:sz w:val="22"/>
          <w:szCs w:val="22"/>
          <w:lang w:val="lt-LT"/>
        </w:rPr>
      </w:pPr>
      <w:r w:rsidRPr="00AE5BD5">
        <w:rPr>
          <w:i/>
          <w:iCs/>
          <w:sz w:val="22"/>
          <w:szCs w:val="22"/>
          <w:u w:val="single"/>
          <w:lang w:val="lt-LT"/>
        </w:rPr>
        <w:t>Vaikų populiacija (nuo 1 iki 17 metų)</w:t>
      </w:r>
    </w:p>
    <w:p w14:paraId="5068B688" w14:textId="77777777" w:rsidR="00C05173" w:rsidRPr="00AE5BD5" w:rsidRDefault="00C05173" w:rsidP="008C6014">
      <w:pPr>
        <w:rPr>
          <w:sz w:val="22"/>
          <w:szCs w:val="22"/>
          <w:lang w:val="lt-LT"/>
        </w:rPr>
      </w:pPr>
      <w:r w:rsidRPr="00AE5BD5">
        <w:rPr>
          <w:sz w:val="22"/>
          <w:szCs w:val="22"/>
          <w:lang w:val="lt-LT"/>
        </w:rPr>
        <w:t>Rekomenduojama dozė kūdikiams, vaikams ir paaugliams nuo 1 iki 17 metų</w:t>
      </w:r>
      <w:r w:rsidR="00C2202C">
        <w:rPr>
          <w:sz w:val="22"/>
          <w:szCs w:val="22"/>
          <w:lang w:val="lt-LT"/>
        </w:rPr>
        <w:t xml:space="preserve">, </w:t>
      </w:r>
      <w:r w:rsidR="00C2202C" w:rsidRPr="00C2202C">
        <w:rPr>
          <w:sz w:val="22"/>
          <w:szCs w:val="22"/>
          <w:lang w:val="lt-LT"/>
        </w:rPr>
        <w:t xml:space="preserve">kurių kūno </w:t>
      </w:r>
      <w:r w:rsidR="00DF292D">
        <w:rPr>
          <w:sz w:val="22"/>
          <w:szCs w:val="22"/>
          <w:lang w:val="lt-LT"/>
        </w:rPr>
        <w:t>svoris</w:t>
      </w:r>
      <w:r w:rsidR="00C2202C" w:rsidRPr="00C2202C">
        <w:rPr>
          <w:sz w:val="22"/>
          <w:szCs w:val="22"/>
          <w:lang w:val="lt-LT"/>
        </w:rPr>
        <w:t xml:space="preserve"> yra ≤ 2</w:t>
      </w:r>
      <w:r w:rsidR="00002E8D">
        <w:rPr>
          <w:sz w:val="22"/>
          <w:szCs w:val="22"/>
          <w:lang w:val="lt-LT"/>
        </w:rPr>
        <w:t>0 kg</w:t>
      </w:r>
      <w:r w:rsidR="00C2202C">
        <w:rPr>
          <w:sz w:val="22"/>
          <w:szCs w:val="22"/>
          <w:lang w:val="lt-LT"/>
        </w:rPr>
        <w:t>,</w:t>
      </w:r>
      <w:r w:rsidRPr="00AE5BD5">
        <w:rPr>
          <w:sz w:val="22"/>
          <w:szCs w:val="22"/>
          <w:lang w:val="lt-LT"/>
        </w:rPr>
        <w:t xml:space="preserve"> yra 10 mg tris kartus per parą ir 20 mg tris kartus per parą pacientams, kurių kūno </w:t>
      </w:r>
      <w:r w:rsidR="00DF292D">
        <w:rPr>
          <w:sz w:val="22"/>
          <w:szCs w:val="22"/>
          <w:lang w:val="lt-LT"/>
        </w:rPr>
        <w:t xml:space="preserve">svoris </w:t>
      </w:r>
      <w:r w:rsidRPr="00AE5BD5">
        <w:rPr>
          <w:sz w:val="22"/>
          <w:szCs w:val="22"/>
          <w:lang w:val="lt-LT"/>
        </w:rPr>
        <w:t>yra &gt; 20</w:t>
      </w:r>
      <w:r w:rsidR="00002E8D">
        <w:rPr>
          <w:sz w:val="22"/>
          <w:szCs w:val="22"/>
          <w:lang w:val="lt-LT"/>
        </w:rPr>
        <w:t> </w:t>
      </w:r>
      <w:r w:rsidRPr="00AE5BD5">
        <w:rPr>
          <w:sz w:val="22"/>
          <w:szCs w:val="22"/>
          <w:lang w:val="lt-LT"/>
        </w:rPr>
        <w:t xml:space="preserve">kg. Vaikų populiacijos pacientams, kuriems </w:t>
      </w:r>
      <w:r w:rsidR="00DF292D">
        <w:rPr>
          <w:sz w:val="22"/>
          <w:szCs w:val="22"/>
          <w:lang w:val="lt-LT"/>
        </w:rPr>
        <w:t>nustatyta plautinė arterinė hipertenzija (</w:t>
      </w:r>
      <w:r w:rsidRPr="00AE5BD5">
        <w:rPr>
          <w:sz w:val="22"/>
          <w:szCs w:val="22"/>
          <w:lang w:val="lt-LT"/>
        </w:rPr>
        <w:t>PAH</w:t>
      </w:r>
      <w:r w:rsidR="00DF292D">
        <w:rPr>
          <w:sz w:val="22"/>
          <w:szCs w:val="22"/>
          <w:lang w:val="lt-LT"/>
        </w:rPr>
        <w:t>)</w:t>
      </w:r>
      <w:r w:rsidRPr="00AE5BD5">
        <w:rPr>
          <w:sz w:val="22"/>
          <w:szCs w:val="22"/>
          <w:lang w:val="lt-LT"/>
        </w:rPr>
        <w:t>, negalima vartoti didesnių už rekomenduojamas dozių (taip pat žr. 4.4 ir 5.1 skyrius). Jaunesni pacientai turi nevartoti 20</w:t>
      </w:r>
      <w:r w:rsidR="00002E8D">
        <w:rPr>
          <w:sz w:val="22"/>
          <w:szCs w:val="22"/>
          <w:lang w:val="lt-LT"/>
        </w:rPr>
        <w:t> </w:t>
      </w:r>
      <w:r w:rsidRPr="00AE5BD5">
        <w:rPr>
          <w:sz w:val="22"/>
          <w:szCs w:val="22"/>
          <w:lang w:val="lt-LT"/>
        </w:rPr>
        <w:t>mg tabletės tuo atveju, kai galima vartoti 10</w:t>
      </w:r>
      <w:r w:rsidR="00002E8D">
        <w:rPr>
          <w:sz w:val="22"/>
          <w:szCs w:val="22"/>
          <w:lang w:val="lt-LT"/>
        </w:rPr>
        <w:t> </w:t>
      </w:r>
      <w:r w:rsidRPr="00AE5BD5">
        <w:rPr>
          <w:sz w:val="22"/>
          <w:szCs w:val="22"/>
          <w:lang w:val="lt-LT"/>
        </w:rPr>
        <w:t xml:space="preserve">mg tabletę tris kartus per parą. Pacientams, kurių kūno </w:t>
      </w:r>
      <w:r w:rsidR="00DF292D">
        <w:rPr>
          <w:sz w:val="22"/>
          <w:szCs w:val="22"/>
          <w:lang w:val="lt-LT"/>
        </w:rPr>
        <w:t xml:space="preserve"> svoris</w:t>
      </w:r>
      <w:r w:rsidR="000C463E">
        <w:rPr>
          <w:sz w:val="22"/>
          <w:szCs w:val="22"/>
          <w:lang w:val="lt-LT"/>
        </w:rPr>
        <w:t xml:space="preserve"> </w:t>
      </w:r>
      <w:r w:rsidRPr="00AE5BD5">
        <w:rPr>
          <w:sz w:val="22"/>
          <w:szCs w:val="22"/>
          <w:lang w:val="lt-LT"/>
        </w:rPr>
        <w:t>≤ 20</w:t>
      </w:r>
      <w:r w:rsidR="00002E8D">
        <w:rPr>
          <w:sz w:val="22"/>
          <w:szCs w:val="22"/>
          <w:lang w:val="lt-LT"/>
        </w:rPr>
        <w:t> </w:t>
      </w:r>
      <w:r w:rsidRPr="00AE5BD5">
        <w:rPr>
          <w:sz w:val="22"/>
          <w:szCs w:val="22"/>
          <w:lang w:val="lt-LT"/>
        </w:rPr>
        <w:t>kg ir kitiems jaunesniems pacientams, kurie negali nuryti tablečių, yra tiekiamos kitos farmacinės formos.</w:t>
      </w:r>
    </w:p>
    <w:p w14:paraId="5C2F5D24" w14:textId="77777777" w:rsidR="00C05173" w:rsidRPr="00AE5BD5" w:rsidRDefault="00C05173" w:rsidP="008C6014">
      <w:pPr>
        <w:rPr>
          <w:sz w:val="22"/>
          <w:szCs w:val="22"/>
          <w:lang w:val="lt-LT"/>
        </w:rPr>
      </w:pPr>
    </w:p>
    <w:p w14:paraId="201510D6" w14:textId="77777777" w:rsidR="00C05173" w:rsidRPr="00AE5BD5" w:rsidRDefault="00C05173" w:rsidP="008C6014">
      <w:pPr>
        <w:rPr>
          <w:i/>
          <w:iCs/>
          <w:sz w:val="22"/>
          <w:szCs w:val="22"/>
          <w:lang w:val="lt-LT"/>
        </w:rPr>
      </w:pPr>
      <w:r w:rsidRPr="00AE5BD5">
        <w:rPr>
          <w:i/>
          <w:iCs/>
          <w:sz w:val="22"/>
          <w:szCs w:val="22"/>
          <w:u w:val="single"/>
          <w:lang w:val="lt-LT"/>
        </w:rPr>
        <w:lastRenderedPageBreak/>
        <w:t>Pacientams, kurie vartoja kitus vaistinius preparatus</w:t>
      </w:r>
    </w:p>
    <w:p w14:paraId="6333A4A7" w14:textId="77777777" w:rsidR="00C05173" w:rsidRPr="00AE5BD5" w:rsidRDefault="00C05173" w:rsidP="008C6014">
      <w:pPr>
        <w:rPr>
          <w:sz w:val="22"/>
          <w:szCs w:val="22"/>
          <w:lang w:val="lt-LT"/>
        </w:rPr>
      </w:pPr>
      <w:r w:rsidRPr="00AE5BD5">
        <w:rPr>
          <w:sz w:val="22"/>
          <w:szCs w:val="22"/>
          <w:lang w:val="lt-LT"/>
        </w:rPr>
        <w:t>Paprastai bet kurią vaistinio preparato dozę galima keisti tik atidžiai įvertinus naudos ir rizikos santykį. Skiriant kartu vartoti sildenafilį pacientams, kurie jau vartoja CYP3A4 inhibitorių, pavyzdžiui, eritromiciną ar sakvinavirą, dozę rekomenduojama apgalvotai sumažinti iki po 20 mg du kartus per parą. Skiriant vartoti kartu su stipresnio poveikio CYP3A4 inhibitoriais, pavyzdžiui, klaritromicinu, telitromicinu ir nefazodonu, dozę rekomenduojama sumažinti iki 20 mg vieną kartą per parą.</w:t>
      </w:r>
      <w:r w:rsidRPr="00AE5BD5">
        <w:rPr>
          <w:spacing w:val="-4"/>
          <w:sz w:val="22"/>
          <w:szCs w:val="22"/>
          <w:lang w:val="lt-LT"/>
        </w:rPr>
        <w:t xml:space="preserve"> </w:t>
      </w:r>
      <w:r w:rsidRPr="00AE5BD5">
        <w:rPr>
          <w:sz w:val="22"/>
          <w:szCs w:val="22"/>
          <w:lang w:val="lt-LT"/>
        </w:rPr>
        <w:t>Apie</w:t>
      </w:r>
      <w:r w:rsidRPr="00AE5BD5">
        <w:rPr>
          <w:spacing w:val="-5"/>
          <w:sz w:val="22"/>
          <w:szCs w:val="22"/>
          <w:lang w:val="lt-LT"/>
        </w:rPr>
        <w:t xml:space="preserve"> </w:t>
      </w:r>
      <w:r w:rsidRPr="00AE5BD5">
        <w:rPr>
          <w:sz w:val="22"/>
          <w:szCs w:val="22"/>
          <w:lang w:val="lt-LT"/>
        </w:rPr>
        <w:t>sildenafilio</w:t>
      </w:r>
      <w:r w:rsidRPr="00AE5BD5">
        <w:rPr>
          <w:spacing w:val="-5"/>
          <w:sz w:val="22"/>
          <w:szCs w:val="22"/>
          <w:lang w:val="lt-LT"/>
        </w:rPr>
        <w:t xml:space="preserve"> </w:t>
      </w:r>
      <w:r w:rsidRPr="00AE5BD5">
        <w:rPr>
          <w:sz w:val="22"/>
          <w:szCs w:val="22"/>
          <w:lang w:val="lt-LT"/>
        </w:rPr>
        <w:t>vartojimą</w:t>
      </w:r>
      <w:r w:rsidRPr="00AE5BD5">
        <w:rPr>
          <w:spacing w:val="-5"/>
          <w:sz w:val="22"/>
          <w:szCs w:val="22"/>
          <w:lang w:val="lt-LT"/>
        </w:rPr>
        <w:t xml:space="preserve"> </w:t>
      </w:r>
      <w:r w:rsidRPr="00AE5BD5">
        <w:rPr>
          <w:sz w:val="22"/>
          <w:szCs w:val="22"/>
          <w:lang w:val="lt-LT"/>
        </w:rPr>
        <w:t>kartu</w:t>
      </w:r>
      <w:r w:rsidRPr="00AE5BD5">
        <w:rPr>
          <w:spacing w:val="-5"/>
          <w:sz w:val="22"/>
          <w:szCs w:val="22"/>
          <w:lang w:val="lt-LT"/>
        </w:rPr>
        <w:t xml:space="preserve"> </w:t>
      </w:r>
      <w:r w:rsidRPr="00AE5BD5">
        <w:rPr>
          <w:sz w:val="22"/>
          <w:szCs w:val="22"/>
          <w:lang w:val="lt-LT"/>
        </w:rPr>
        <w:t>su</w:t>
      </w:r>
      <w:r w:rsidRPr="00AE5BD5">
        <w:rPr>
          <w:spacing w:val="-5"/>
          <w:sz w:val="22"/>
          <w:szCs w:val="22"/>
          <w:lang w:val="lt-LT"/>
        </w:rPr>
        <w:t xml:space="preserve"> </w:t>
      </w:r>
      <w:r w:rsidRPr="00AE5BD5">
        <w:rPr>
          <w:sz w:val="22"/>
          <w:szCs w:val="22"/>
          <w:lang w:val="lt-LT"/>
        </w:rPr>
        <w:t>stipriausio</w:t>
      </w:r>
      <w:r w:rsidRPr="00AE5BD5">
        <w:rPr>
          <w:spacing w:val="-5"/>
          <w:sz w:val="22"/>
          <w:szCs w:val="22"/>
          <w:lang w:val="lt-LT"/>
        </w:rPr>
        <w:t xml:space="preserve"> </w:t>
      </w:r>
      <w:r w:rsidRPr="00AE5BD5">
        <w:rPr>
          <w:sz w:val="22"/>
          <w:szCs w:val="22"/>
          <w:lang w:val="lt-LT"/>
        </w:rPr>
        <w:t>poveikio</w:t>
      </w:r>
      <w:r w:rsidRPr="00AE5BD5">
        <w:rPr>
          <w:spacing w:val="-5"/>
          <w:sz w:val="22"/>
          <w:szCs w:val="22"/>
          <w:lang w:val="lt-LT"/>
        </w:rPr>
        <w:t xml:space="preserve"> </w:t>
      </w:r>
      <w:r w:rsidRPr="00AE5BD5">
        <w:rPr>
          <w:sz w:val="22"/>
          <w:szCs w:val="22"/>
          <w:lang w:val="lt-LT"/>
        </w:rPr>
        <w:t>CYP3A4</w:t>
      </w:r>
      <w:r w:rsidRPr="00AE5BD5">
        <w:rPr>
          <w:spacing w:val="-5"/>
          <w:sz w:val="22"/>
          <w:szCs w:val="22"/>
          <w:lang w:val="lt-LT"/>
        </w:rPr>
        <w:t xml:space="preserve"> </w:t>
      </w:r>
      <w:r w:rsidRPr="00AE5BD5">
        <w:rPr>
          <w:sz w:val="22"/>
          <w:szCs w:val="22"/>
          <w:lang w:val="lt-LT"/>
        </w:rPr>
        <w:t>inhibitoriais</w:t>
      </w:r>
      <w:r w:rsidRPr="00AE5BD5">
        <w:rPr>
          <w:spacing w:val="-5"/>
          <w:sz w:val="22"/>
          <w:szCs w:val="22"/>
          <w:lang w:val="lt-LT"/>
        </w:rPr>
        <w:t xml:space="preserve"> </w:t>
      </w:r>
      <w:r w:rsidRPr="00AE5BD5">
        <w:rPr>
          <w:sz w:val="22"/>
          <w:szCs w:val="22"/>
          <w:lang w:val="lt-LT"/>
        </w:rPr>
        <w:t>žr.</w:t>
      </w:r>
      <w:r w:rsidRPr="00AE5BD5">
        <w:rPr>
          <w:spacing w:val="-5"/>
          <w:sz w:val="22"/>
          <w:szCs w:val="22"/>
          <w:lang w:val="lt-LT"/>
        </w:rPr>
        <w:t xml:space="preserve"> </w:t>
      </w:r>
      <w:r w:rsidRPr="00AE5BD5">
        <w:rPr>
          <w:sz w:val="22"/>
          <w:szCs w:val="22"/>
          <w:lang w:val="lt-LT"/>
        </w:rPr>
        <w:t>4.3</w:t>
      </w:r>
      <w:r w:rsidRPr="00AE5BD5">
        <w:rPr>
          <w:spacing w:val="-7"/>
          <w:sz w:val="22"/>
          <w:szCs w:val="22"/>
          <w:lang w:val="lt-LT"/>
        </w:rPr>
        <w:t xml:space="preserve"> </w:t>
      </w:r>
      <w:r w:rsidRPr="00AE5BD5">
        <w:rPr>
          <w:sz w:val="22"/>
          <w:szCs w:val="22"/>
          <w:lang w:val="lt-LT"/>
        </w:rPr>
        <w:t>skyriuje.</w:t>
      </w:r>
    </w:p>
    <w:p w14:paraId="4F407C60" w14:textId="77777777" w:rsidR="00C05173" w:rsidRPr="00AE5BD5" w:rsidRDefault="00C05173" w:rsidP="008C6014">
      <w:pPr>
        <w:rPr>
          <w:sz w:val="22"/>
          <w:szCs w:val="22"/>
          <w:lang w:val="lt-LT"/>
        </w:rPr>
      </w:pPr>
      <w:r w:rsidRPr="00AE5BD5">
        <w:rPr>
          <w:sz w:val="22"/>
          <w:szCs w:val="22"/>
          <w:lang w:val="lt-LT"/>
        </w:rPr>
        <w:t>Gali prireikti keisti sildenafilio dozę, skiriant vartoti kartu su CYP3A4 izofermentus sužadinančiais vaistiniais preparatais (žr. 4.5 skyrių).</w:t>
      </w:r>
    </w:p>
    <w:p w14:paraId="77F04351" w14:textId="77777777" w:rsidR="00C05173" w:rsidRPr="00AE5BD5" w:rsidRDefault="00C05173" w:rsidP="008C6014">
      <w:pPr>
        <w:rPr>
          <w:sz w:val="22"/>
          <w:szCs w:val="22"/>
          <w:lang w:val="lt-LT"/>
        </w:rPr>
      </w:pPr>
    </w:p>
    <w:p w14:paraId="57536F76" w14:textId="77777777" w:rsidR="00C05173" w:rsidRPr="00AE5BD5" w:rsidRDefault="00A31754" w:rsidP="008C6014">
      <w:pPr>
        <w:rPr>
          <w:sz w:val="22"/>
          <w:szCs w:val="22"/>
          <w:lang w:val="lt-LT"/>
        </w:rPr>
      </w:pPr>
      <w:r>
        <w:rPr>
          <w:sz w:val="22"/>
          <w:szCs w:val="22"/>
          <w:u w:val="single"/>
          <w:lang w:val="lt-LT"/>
        </w:rPr>
        <w:t xml:space="preserve">Ypatingos populiacijos </w:t>
      </w:r>
    </w:p>
    <w:p w14:paraId="36E7F795" w14:textId="77777777" w:rsidR="00C05173" w:rsidRPr="00AE5BD5" w:rsidRDefault="00C05173" w:rsidP="008C6014">
      <w:pPr>
        <w:rPr>
          <w:sz w:val="22"/>
          <w:szCs w:val="22"/>
          <w:lang w:val="lt-LT"/>
        </w:rPr>
      </w:pPr>
    </w:p>
    <w:p w14:paraId="7C11D050" w14:textId="77777777" w:rsidR="00C05173" w:rsidRPr="00AE5BD5" w:rsidRDefault="00C05173" w:rsidP="008C6014">
      <w:pPr>
        <w:rPr>
          <w:i/>
          <w:iCs/>
          <w:sz w:val="22"/>
          <w:szCs w:val="22"/>
          <w:lang w:val="lt-LT"/>
        </w:rPr>
      </w:pPr>
      <w:r w:rsidRPr="00AE5BD5">
        <w:rPr>
          <w:i/>
          <w:iCs/>
          <w:sz w:val="22"/>
          <w:szCs w:val="22"/>
          <w:u w:val="single"/>
          <w:lang w:val="lt-LT"/>
        </w:rPr>
        <w:t>Senyviems</w:t>
      </w:r>
      <w:r w:rsidR="00346C94">
        <w:rPr>
          <w:i/>
          <w:iCs/>
          <w:sz w:val="22"/>
          <w:szCs w:val="22"/>
          <w:u w:val="single"/>
          <w:lang w:val="lt-LT"/>
        </w:rPr>
        <w:t xml:space="preserve"> </w:t>
      </w:r>
      <w:r w:rsidR="00346C94" w:rsidRPr="00AE5BD5">
        <w:rPr>
          <w:i/>
          <w:iCs/>
          <w:sz w:val="22"/>
          <w:szCs w:val="22"/>
          <w:u w:val="single"/>
          <w:lang w:val="lt-LT"/>
        </w:rPr>
        <w:t>(≥ 65 metų)</w:t>
      </w:r>
      <w:r w:rsidRPr="00AE5BD5">
        <w:rPr>
          <w:i/>
          <w:iCs/>
          <w:sz w:val="22"/>
          <w:szCs w:val="22"/>
          <w:u w:val="single"/>
          <w:lang w:val="lt-LT"/>
        </w:rPr>
        <w:t xml:space="preserve"> pacientams </w:t>
      </w:r>
    </w:p>
    <w:p w14:paraId="52718E50" w14:textId="77777777" w:rsidR="00C05173" w:rsidRPr="00AE5BD5" w:rsidRDefault="00C05173" w:rsidP="008C6014">
      <w:pPr>
        <w:rPr>
          <w:sz w:val="22"/>
          <w:szCs w:val="22"/>
          <w:lang w:val="lt-LT"/>
        </w:rPr>
      </w:pPr>
      <w:r w:rsidRPr="00AE5BD5">
        <w:rPr>
          <w:sz w:val="22"/>
          <w:szCs w:val="22"/>
          <w:lang w:val="lt-LT"/>
        </w:rPr>
        <w:t>Senyviems ligoniams dozės keisti nereikia. Vaistinio preparato veiksmingumas, vertinant 6 minučių ėjimo mėginiu, senyviems ligoniams gali būti mažesnis.</w:t>
      </w:r>
    </w:p>
    <w:p w14:paraId="696D79A3" w14:textId="77777777" w:rsidR="00C05173" w:rsidRPr="00AE5BD5" w:rsidRDefault="00C05173" w:rsidP="008C6014">
      <w:pPr>
        <w:rPr>
          <w:sz w:val="22"/>
          <w:szCs w:val="22"/>
          <w:lang w:val="lt-LT"/>
        </w:rPr>
      </w:pPr>
    </w:p>
    <w:p w14:paraId="27E0559B" w14:textId="77777777" w:rsidR="00C05173" w:rsidRPr="00AE5BD5" w:rsidRDefault="00C05173" w:rsidP="008C6014">
      <w:pPr>
        <w:rPr>
          <w:i/>
          <w:iCs/>
          <w:sz w:val="22"/>
          <w:szCs w:val="22"/>
          <w:lang w:val="lt-LT"/>
        </w:rPr>
      </w:pPr>
      <w:r w:rsidRPr="00AE5BD5">
        <w:rPr>
          <w:i/>
          <w:iCs/>
          <w:sz w:val="22"/>
          <w:szCs w:val="22"/>
          <w:u w:val="single"/>
          <w:lang w:val="lt-LT"/>
        </w:rPr>
        <w:t>Pacientams, kuri</w:t>
      </w:r>
      <w:r w:rsidR="00A31754">
        <w:rPr>
          <w:i/>
          <w:iCs/>
          <w:sz w:val="22"/>
          <w:szCs w:val="22"/>
          <w:u w:val="single"/>
          <w:lang w:val="lt-LT"/>
        </w:rPr>
        <w:t>ų</w:t>
      </w:r>
      <w:r w:rsidRPr="00AE5BD5">
        <w:rPr>
          <w:i/>
          <w:iCs/>
          <w:sz w:val="22"/>
          <w:szCs w:val="22"/>
          <w:u w:val="single"/>
          <w:lang w:val="lt-LT"/>
        </w:rPr>
        <w:t xml:space="preserve"> inkstų funkcij</w:t>
      </w:r>
      <w:r w:rsidR="00A31754">
        <w:rPr>
          <w:i/>
          <w:iCs/>
          <w:sz w:val="22"/>
          <w:szCs w:val="22"/>
          <w:u w:val="single"/>
          <w:lang w:val="lt-LT"/>
        </w:rPr>
        <w:t>a</w:t>
      </w:r>
      <w:r w:rsidRPr="00AE5BD5">
        <w:rPr>
          <w:i/>
          <w:iCs/>
          <w:sz w:val="22"/>
          <w:szCs w:val="22"/>
          <w:u w:val="single"/>
          <w:lang w:val="lt-LT"/>
        </w:rPr>
        <w:t xml:space="preserve"> sutrik</w:t>
      </w:r>
      <w:r w:rsidR="00A31754">
        <w:rPr>
          <w:i/>
          <w:iCs/>
          <w:sz w:val="22"/>
          <w:szCs w:val="22"/>
          <w:u w:val="single"/>
          <w:lang w:val="lt-LT"/>
        </w:rPr>
        <w:t>us</w:t>
      </w:r>
      <w:r w:rsidRPr="00AE5BD5">
        <w:rPr>
          <w:i/>
          <w:iCs/>
          <w:sz w:val="22"/>
          <w:szCs w:val="22"/>
          <w:u w:val="single"/>
          <w:lang w:val="lt-LT"/>
        </w:rPr>
        <w:t>i</w:t>
      </w:r>
    </w:p>
    <w:p w14:paraId="6440EAA8" w14:textId="77777777" w:rsidR="00C05173" w:rsidRPr="00AE5BD5" w:rsidRDefault="00C05173" w:rsidP="008C6014">
      <w:pPr>
        <w:rPr>
          <w:sz w:val="22"/>
          <w:szCs w:val="22"/>
          <w:lang w:val="lt-LT"/>
        </w:rPr>
      </w:pPr>
      <w:r w:rsidRPr="00AE5BD5">
        <w:rPr>
          <w:sz w:val="22"/>
          <w:szCs w:val="22"/>
          <w:lang w:val="lt-LT"/>
        </w:rPr>
        <w:t>Ligoniams, kuriems yra inkstų funkcijos sutrikimas, įskaitant sunkų (kreatinino klirensas</w:t>
      </w:r>
    </w:p>
    <w:p w14:paraId="29771695" w14:textId="77777777" w:rsidR="00C05173" w:rsidRPr="00AE5BD5" w:rsidRDefault="00C05173" w:rsidP="008C6014">
      <w:pPr>
        <w:rPr>
          <w:sz w:val="22"/>
          <w:szCs w:val="22"/>
          <w:lang w:val="lt-LT"/>
        </w:rPr>
      </w:pPr>
      <w:r w:rsidRPr="00AE5BD5">
        <w:rPr>
          <w:sz w:val="22"/>
          <w:szCs w:val="22"/>
          <w:lang w:val="lt-LT"/>
        </w:rPr>
        <w:t>&lt; 30 ml/min.), pradinės dozės keisti nereikia. Jeigu ligonis blogai toleruoja gydymą, atidžiai įvertinus naudos ir rizikos santykį, reikia sumažinti dozę iki 20 mg du kartus per dieną.</w:t>
      </w:r>
    </w:p>
    <w:p w14:paraId="58AA2D04" w14:textId="77777777" w:rsidR="00C05173" w:rsidRPr="00AE5BD5" w:rsidRDefault="00C05173" w:rsidP="008C6014">
      <w:pPr>
        <w:rPr>
          <w:sz w:val="22"/>
          <w:szCs w:val="22"/>
          <w:lang w:val="lt-LT"/>
        </w:rPr>
      </w:pPr>
    </w:p>
    <w:p w14:paraId="138DD8F5" w14:textId="77777777" w:rsidR="00C05173" w:rsidRPr="00AE5BD5" w:rsidRDefault="00C05173" w:rsidP="008C6014">
      <w:pPr>
        <w:rPr>
          <w:i/>
          <w:iCs/>
          <w:sz w:val="22"/>
          <w:szCs w:val="22"/>
          <w:lang w:val="lt-LT"/>
        </w:rPr>
      </w:pPr>
      <w:r w:rsidRPr="00AE5BD5">
        <w:rPr>
          <w:i/>
          <w:iCs/>
          <w:sz w:val="22"/>
          <w:szCs w:val="22"/>
          <w:u w:val="single"/>
          <w:lang w:val="lt-LT"/>
        </w:rPr>
        <w:t>Pacientams, kuri</w:t>
      </w:r>
      <w:r w:rsidR="00A31754">
        <w:rPr>
          <w:i/>
          <w:iCs/>
          <w:sz w:val="22"/>
          <w:szCs w:val="22"/>
          <w:u w:val="single"/>
          <w:lang w:val="lt-LT"/>
        </w:rPr>
        <w:t>ų</w:t>
      </w:r>
      <w:r w:rsidRPr="00AE5BD5">
        <w:rPr>
          <w:i/>
          <w:iCs/>
          <w:sz w:val="22"/>
          <w:szCs w:val="22"/>
          <w:u w:val="single"/>
          <w:lang w:val="lt-LT"/>
        </w:rPr>
        <w:t xml:space="preserve"> kepenų funkcij</w:t>
      </w:r>
      <w:r w:rsidR="00A31754">
        <w:rPr>
          <w:i/>
          <w:iCs/>
          <w:sz w:val="22"/>
          <w:szCs w:val="22"/>
          <w:u w:val="single"/>
          <w:lang w:val="lt-LT"/>
        </w:rPr>
        <w:t>a</w:t>
      </w:r>
      <w:r w:rsidRPr="00AE5BD5">
        <w:rPr>
          <w:i/>
          <w:iCs/>
          <w:sz w:val="22"/>
          <w:szCs w:val="22"/>
          <w:u w:val="single"/>
          <w:lang w:val="lt-LT"/>
        </w:rPr>
        <w:t xml:space="preserve"> sutrik</w:t>
      </w:r>
      <w:r w:rsidR="00A31754">
        <w:rPr>
          <w:i/>
          <w:iCs/>
          <w:sz w:val="22"/>
          <w:szCs w:val="22"/>
          <w:u w:val="single"/>
          <w:lang w:val="lt-LT"/>
        </w:rPr>
        <w:t>us</w:t>
      </w:r>
      <w:r w:rsidRPr="00AE5BD5">
        <w:rPr>
          <w:i/>
          <w:iCs/>
          <w:sz w:val="22"/>
          <w:szCs w:val="22"/>
          <w:u w:val="single"/>
          <w:lang w:val="lt-LT"/>
        </w:rPr>
        <w:t>i</w:t>
      </w:r>
    </w:p>
    <w:p w14:paraId="43C8F510" w14:textId="77777777" w:rsidR="00C05173" w:rsidRPr="00AE5BD5" w:rsidRDefault="00C05173" w:rsidP="008C6014">
      <w:pPr>
        <w:rPr>
          <w:sz w:val="22"/>
          <w:szCs w:val="22"/>
          <w:lang w:val="lt-LT"/>
        </w:rPr>
      </w:pPr>
      <w:r w:rsidRPr="00AE5BD5">
        <w:rPr>
          <w:sz w:val="22"/>
          <w:szCs w:val="22"/>
          <w:lang w:val="lt-LT"/>
        </w:rPr>
        <w:t xml:space="preserve">Ligoniams, kuriems yra kepenų funkcijos sutrikimas (A ir B klasės pagal </w:t>
      </w:r>
      <w:r w:rsidRPr="00AE5BD5">
        <w:rPr>
          <w:i/>
          <w:iCs/>
          <w:sz w:val="22"/>
          <w:szCs w:val="22"/>
          <w:lang w:val="lt-LT"/>
        </w:rPr>
        <w:t>Child-Pugh</w:t>
      </w:r>
      <w:r w:rsidRPr="00AE5BD5">
        <w:rPr>
          <w:sz w:val="22"/>
          <w:szCs w:val="22"/>
          <w:lang w:val="lt-LT"/>
        </w:rPr>
        <w:t>), pradinės dozės keisti nereikia. Jeigu ligonis blogai toleruoja gydymą, atidžiai įvertinus naudos ir rizikos santykį, reikia sumažinti dozę iki 20 mg du kartus per dieną.</w:t>
      </w:r>
    </w:p>
    <w:p w14:paraId="0F6E3A49" w14:textId="77777777" w:rsidR="00C05173" w:rsidRPr="00AE5BD5" w:rsidRDefault="00C05173" w:rsidP="008C6014">
      <w:pPr>
        <w:rPr>
          <w:sz w:val="22"/>
          <w:szCs w:val="22"/>
          <w:lang w:val="lt-LT"/>
        </w:rPr>
      </w:pPr>
    </w:p>
    <w:p w14:paraId="12BEC356" w14:textId="77777777" w:rsidR="00C05173" w:rsidRPr="00AE5BD5" w:rsidRDefault="00C05173" w:rsidP="008C6014">
      <w:pPr>
        <w:rPr>
          <w:sz w:val="22"/>
          <w:szCs w:val="22"/>
          <w:lang w:val="lt-LT"/>
        </w:rPr>
      </w:pPr>
      <w:r w:rsidRPr="00AE5BD5">
        <w:rPr>
          <w:sz w:val="22"/>
          <w:szCs w:val="22"/>
          <w:lang w:val="lt-LT"/>
        </w:rPr>
        <w:t xml:space="preserve">Ligoniams, kuriems yra sunkus kepenų funkcijos sutrikimas (C klasės pagal </w:t>
      </w:r>
      <w:r w:rsidRPr="00AE5BD5">
        <w:rPr>
          <w:i/>
          <w:iCs/>
          <w:sz w:val="22"/>
          <w:szCs w:val="22"/>
          <w:lang w:val="lt-LT"/>
        </w:rPr>
        <w:t>Child-Pugh</w:t>
      </w:r>
      <w:r w:rsidRPr="00AE5BD5">
        <w:rPr>
          <w:sz w:val="22"/>
          <w:szCs w:val="22"/>
          <w:lang w:val="lt-LT"/>
        </w:rPr>
        <w:t xml:space="preserve">), </w:t>
      </w:r>
      <w:r w:rsidR="00B61707" w:rsidRPr="00AE5BD5">
        <w:rPr>
          <w:sz w:val="22"/>
          <w:szCs w:val="22"/>
          <w:lang w:val="lt-LT"/>
        </w:rPr>
        <w:t>Silungo</w:t>
      </w:r>
      <w:r w:rsidRPr="00AE5BD5">
        <w:rPr>
          <w:sz w:val="22"/>
          <w:szCs w:val="22"/>
          <w:lang w:val="lt-LT"/>
        </w:rPr>
        <w:t xml:space="preserve"> vartoti draudžiama (žr. 4.3 skyrių).</w:t>
      </w:r>
    </w:p>
    <w:p w14:paraId="3B58724A" w14:textId="77777777" w:rsidR="00C05173" w:rsidRPr="00AE5BD5" w:rsidRDefault="00C05173" w:rsidP="008C6014">
      <w:pPr>
        <w:rPr>
          <w:sz w:val="22"/>
          <w:szCs w:val="22"/>
          <w:lang w:val="lt-LT"/>
        </w:rPr>
      </w:pPr>
    </w:p>
    <w:p w14:paraId="4B2555A0" w14:textId="2F00BFCC" w:rsidR="00C05173" w:rsidRPr="00AE5BD5" w:rsidRDefault="00C05173" w:rsidP="008C6014">
      <w:pPr>
        <w:rPr>
          <w:i/>
          <w:iCs/>
          <w:sz w:val="22"/>
          <w:szCs w:val="22"/>
          <w:lang w:val="lt-LT"/>
        </w:rPr>
      </w:pPr>
      <w:r w:rsidRPr="00AE5BD5">
        <w:rPr>
          <w:i/>
          <w:iCs/>
          <w:sz w:val="22"/>
          <w:szCs w:val="22"/>
          <w:u w:val="single"/>
          <w:lang w:val="lt-LT"/>
        </w:rPr>
        <w:t>Vaikų populiacija</w:t>
      </w:r>
      <w:r w:rsidR="00BA75D8">
        <w:rPr>
          <w:i/>
          <w:iCs/>
          <w:sz w:val="22"/>
          <w:szCs w:val="22"/>
          <w:u w:val="single"/>
          <w:lang w:val="lt-LT"/>
        </w:rPr>
        <w:t xml:space="preserve"> (jaunesni</w:t>
      </w:r>
      <w:r w:rsidR="00935B64">
        <w:rPr>
          <w:i/>
          <w:iCs/>
          <w:sz w:val="22"/>
          <w:szCs w:val="22"/>
          <w:u w:val="single"/>
          <w:lang w:val="lt-LT"/>
        </w:rPr>
        <w:t xml:space="preserve"> nei 1 metų vaikai ir naujagimiai)</w:t>
      </w:r>
    </w:p>
    <w:p w14:paraId="7252C5AC" w14:textId="4E051460" w:rsidR="00C05173" w:rsidRPr="00AE5BD5" w:rsidRDefault="002A25B4" w:rsidP="008C6014">
      <w:pPr>
        <w:rPr>
          <w:sz w:val="22"/>
          <w:szCs w:val="22"/>
          <w:lang w:val="lt-LT"/>
        </w:rPr>
      </w:pPr>
      <w:r w:rsidRPr="002A25B4">
        <w:rPr>
          <w:sz w:val="22"/>
          <w:szCs w:val="22"/>
          <w:lang w:val="lt-LT"/>
        </w:rPr>
        <w:t>Pagal kitas nei patvirtintos indikacijos, sildenafilio negalima skirti naujagimiams, sergantiems naujagimių išliekančia plautine hipertenzija, nes rizika yra didesnė už naudą (žr. 5.1 skyrių).</w:t>
      </w:r>
      <w:r>
        <w:rPr>
          <w:sz w:val="22"/>
          <w:szCs w:val="22"/>
          <w:lang w:val="lt-LT"/>
        </w:rPr>
        <w:t xml:space="preserve"> </w:t>
      </w:r>
      <w:r w:rsidR="00B61707" w:rsidRPr="00AE5BD5">
        <w:rPr>
          <w:sz w:val="22"/>
          <w:szCs w:val="22"/>
          <w:lang w:val="lt-LT"/>
        </w:rPr>
        <w:t>Silungo</w:t>
      </w:r>
      <w:r w:rsidR="00C05173" w:rsidRPr="00AE5BD5">
        <w:rPr>
          <w:sz w:val="22"/>
          <w:szCs w:val="22"/>
          <w:lang w:val="lt-LT"/>
        </w:rPr>
        <w:t xml:space="preserve"> saugumas ir veiksmingumas jaunesniems kaip 1 metų kūdikiams</w:t>
      </w:r>
      <w:r w:rsidR="001719B8" w:rsidRPr="001719B8">
        <w:rPr>
          <w:sz w:val="22"/>
          <w:szCs w:val="22"/>
          <w:lang w:val="lt-LT"/>
        </w:rPr>
        <w:t>, turintiems kitų būklių,</w:t>
      </w:r>
      <w:r w:rsidR="00C05173" w:rsidRPr="00AE5BD5">
        <w:rPr>
          <w:sz w:val="22"/>
          <w:szCs w:val="22"/>
          <w:lang w:val="lt-LT"/>
        </w:rPr>
        <w:t xml:space="preserve"> nebuvo nustatytas. Duomenų nėra.</w:t>
      </w:r>
    </w:p>
    <w:p w14:paraId="6C763C8F" w14:textId="77777777" w:rsidR="00C05173" w:rsidRPr="00AE5BD5" w:rsidRDefault="00C05173" w:rsidP="008C6014">
      <w:pPr>
        <w:rPr>
          <w:sz w:val="22"/>
          <w:szCs w:val="22"/>
          <w:lang w:val="lt-LT"/>
        </w:rPr>
      </w:pPr>
    </w:p>
    <w:p w14:paraId="0EFE3B81" w14:textId="77777777" w:rsidR="00C05173" w:rsidRPr="00AE5BD5" w:rsidRDefault="00C05173" w:rsidP="008C6014">
      <w:pPr>
        <w:rPr>
          <w:sz w:val="22"/>
          <w:szCs w:val="22"/>
          <w:lang w:val="lt-LT"/>
        </w:rPr>
      </w:pPr>
      <w:r w:rsidRPr="00AE5BD5">
        <w:rPr>
          <w:sz w:val="22"/>
          <w:szCs w:val="22"/>
          <w:u w:val="single"/>
          <w:lang w:val="lt-LT"/>
        </w:rPr>
        <w:t>Gydymo nutraukimas</w:t>
      </w:r>
    </w:p>
    <w:p w14:paraId="4A3D7996" w14:textId="77777777" w:rsidR="00C05173" w:rsidRPr="00AE5BD5" w:rsidRDefault="00C05173" w:rsidP="008C6014">
      <w:pPr>
        <w:rPr>
          <w:sz w:val="22"/>
          <w:szCs w:val="22"/>
          <w:lang w:val="lt-LT"/>
        </w:rPr>
      </w:pPr>
      <w:r w:rsidRPr="00AE5BD5">
        <w:rPr>
          <w:sz w:val="22"/>
          <w:szCs w:val="22"/>
          <w:lang w:val="lt-LT"/>
        </w:rPr>
        <w:t xml:space="preserve">Remiantis riboto skaičiaus tyrimų duomenimis, manoma, kad staigus </w:t>
      </w:r>
      <w:r w:rsidR="00B61707" w:rsidRPr="00AE5BD5">
        <w:rPr>
          <w:sz w:val="22"/>
          <w:szCs w:val="22"/>
          <w:lang w:val="lt-LT"/>
        </w:rPr>
        <w:t>Silungo</w:t>
      </w:r>
      <w:r w:rsidRPr="00AE5BD5">
        <w:rPr>
          <w:sz w:val="22"/>
          <w:szCs w:val="22"/>
          <w:lang w:val="lt-LT"/>
        </w:rPr>
        <w:t xml:space="preserve"> vartojimo nutraukimas nesukelia plautinės arterinės hipertenzijos pablogėjimo. Visgi reikia apsvarstyti galimybę mažinti dozę palaipsniui, kad būtų išvengta galimo staigaus būklės pablogėjimo. Gydymo nutraukimo laikotarpiu rekomenduojamas akylesnis stebėjimas.</w:t>
      </w:r>
    </w:p>
    <w:p w14:paraId="336E5266" w14:textId="77777777" w:rsidR="00C05173" w:rsidRPr="00AE5BD5" w:rsidRDefault="00C05173" w:rsidP="008C6014">
      <w:pPr>
        <w:rPr>
          <w:sz w:val="22"/>
          <w:szCs w:val="22"/>
          <w:lang w:val="lt-LT"/>
        </w:rPr>
      </w:pPr>
    </w:p>
    <w:p w14:paraId="2A5BE3E7" w14:textId="77777777" w:rsidR="00C05173" w:rsidRPr="00AE5BD5" w:rsidRDefault="00C05173" w:rsidP="008C6014">
      <w:pPr>
        <w:rPr>
          <w:sz w:val="22"/>
          <w:szCs w:val="22"/>
          <w:lang w:val="lt-LT"/>
        </w:rPr>
      </w:pPr>
      <w:r w:rsidRPr="00AE5BD5">
        <w:rPr>
          <w:sz w:val="22"/>
          <w:szCs w:val="22"/>
          <w:u w:val="single"/>
          <w:lang w:val="lt-LT"/>
        </w:rPr>
        <w:t>Vartojimo metodas</w:t>
      </w:r>
    </w:p>
    <w:p w14:paraId="2242EE62" w14:textId="77777777" w:rsidR="00C05173" w:rsidRPr="00AE5BD5" w:rsidRDefault="00B61707" w:rsidP="008C6014">
      <w:pPr>
        <w:rPr>
          <w:sz w:val="22"/>
          <w:szCs w:val="22"/>
          <w:lang w:val="lt-LT"/>
        </w:rPr>
      </w:pPr>
      <w:r w:rsidRPr="00AE5BD5">
        <w:rPr>
          <w:sz w:val="22"/>
          <w:szCs w:val="22"/>
          <w:lang w:val="lt-LT"/>
        </w:rPr>
        <w:t>Silungo</w:t>
      </w:r>
      <w:r w:rsidR="00C05173" w:rsidRPr="00AE5BD5">
        <w:rPr>
          <w:sz w:val="22"/>
          <w:szCs w:val="22"/>
          <w:lang w:val="lt-LT"/>
        </w:rPr>
        <w:t xml:space="preserve"> vartojamas tik per burną. Tabletes reikia gerti maždaug kas 6-8 valandas valgant arba be maisto.</w:t>
      </w:r>
    </w:p>
    <w:p w14:paraId="7CBFFACB" w14:textId="77777777" w:rsidR="006F2D33" w:rsidRPr="005A3594" w:rsidRDefault="006F2D33" w:rsidP="008C6014">
      <w:pPr>
        <w:rPr>
          <w:rFonts w:eastAsia="Times New Roman"/>
          <w:snapToGrid w:val="0"/>
          <w:sz w:val="22"/>
          <w:szCs w:val="22"/>
          <w:lang w:val="lt-LT"/>
        </w:rPr>
      </w:pPr>
    </w:p>
    <w:p w14:paraId="6C052BBD" w14:textId="77777777" w:rsidR="006F2D33" w:rsidRPr="00AE5BD5" w:rsidRDefault="006F2D33" w:rsidP="008C6014">
      <w:pPr>
        <w:rPr>
          <w:rFonts w:eastAsia="Times New Roman"/>
          <w:b/>
          <w:bCs/>
          <w:snapToGrid w:val="0"/>
          <w:sz w:val="22"/>
          <w:szCs w:val="22"/>
          <w:lang w:val="lt-LT" w:eastAsia="x-none"/>
        </w:rPr>
      </w:pPr>
      <w:r w:rsidRPr="00AE5BD5">
        <w:rPr>
          <w:rFonts w:eastAsia="Times New Roman"/>
          <w:b/>
          <w:bCs/>
          <w:snapToGrid w:val="0"/>
          <w:sz w:val="22"/>
          <w:szCs w:val="22"/>
          <w:lang w:val="lt-LT" w:eastAsia="x-none"/>
        </w:rPr>
        <w:t>4.3</w:t>
      </w:r>
      <w:r w:rsidRPr="00AE5BD5">
        <w:rPr>
          <w:rFonts w:eastAsia="Times New Roman"/>
          <w:b/>
          <w:bCs/>
          <w:snapToGrid w:val="0"/>
          <w:sz w:val="22"/>
          <w:szCs w:val="22"/>
          <w:lang w:val="lt-LT" w:eastAsia="x-none"/>
        </w:rPr>
        <w:tab/>
        <w:t>Kontraindikacijos</w:t>
      </w:r>
    </w:p>
    <w:p w14:paraId="1D6BE461" w14:textId="77777777" w:rsidR="006F2D33" w:rsidRPr="00AE5BD5" w:rsidRDefault="006F2D33" w:rsidP="008C6014">
      <w:pPr>
        <w:rPr>
          <w:rFonts w:eastAsia="Times New Roman"/>
          <w:snapToGrid w:val="0"/>
          <w:sz w:val="22"/>
          <w:szCs w:val="22"/>
          <w:lang w:val="lt-LT"/>
        </w:rPr>
      </w:pPr>
    </w:p>
    <w:p w14:paraId="4F25144F" w14:textId="77777777" w:rsidR="00C05173" w:rsidRPr="00AE5BD5" w:rsidRDefault="00C05173" w:rsidP="008C6014">
      <w:pPr>
        <w:rPr>
          <w:sz w:val="22"/>
          <w:szCs w:val="22"/>
          <w:lang w:val="lt-LT"/>
        </w:rPr>
      </w:pPr>
      <w:r w:rsidRPr="00AE5BD5">
        <w:rPr>
          <w:sz w:val="22"/>
          <w:szCs w:val="22"/>
          <w:lang w:val="lt-LT"/>
        </w:rPr>
        <w:t>Padidėjęs jautrumas veikliajai arba bet kuriai 6.1 skyriuje nurodytai pagalbinei medžiagai.</w:t>
      </w:r>
    </w:p>
    <w:p w14:paraId="5C8907F1" w14:textId="77777777" w:rsidR="00C05173" w:rsidRPr="00AE5BD5" w:rsidRDefault="00C05173" w:rsidP="008C6014">
      <w:pPr>
        <w:rPr>
          <w:sz w:val="22"/>
          <w:szCs w:val="22"/>
          <w:lang w:val="lt-LT"/>
        </w:rPr>
      </w:pPr>
    </w:p>
    <w:p w14:paraId="1002A250" w14:textId="77777777" w:rsidR="00C05173" w:rsidRPr="00AE5BD5" w:rsidRDefault="00C05173" w:rsidP="008C6014">
      <w:pPr>
        <w:rPr>
          <w:sz w:val="22"/>
          <w:szCs w:val="22"/>
          <w:lang w:val="lt-LT"/>
        </w:rPr>
      </w:pPr>
      <w:r w:rsidRPr="00AE5BD5">
        <w:rPr>
          <w:sz w:val="22"/>
          <w:szCs w:val="22"/>
          <w:lang w:val="lt-LT"/>
        </w:rPr>
        <w:t>Vartojimas kartu su bet kurios formos azoto oksido donorais (pvz., amilo nitritu) arba nitratais dėl nitratų sukeliamo hipotenzinio poveikio (žr. 5.1 skyrių).</w:t>
      </w:r>
    </w:p>
    <w:p w14:paraId="501990E8" w14:textId="77777777" w:rsidR="00C05173" w:rsidRPr="00AE5BD5" w:rsidRDefault="00C05173" w:rsidP="008C6014">
      <w:pPr>
        <w:rPr>
          <w:sz w:val="22"/>
          <w:szCs w:val="22"/>
          <w:lang w:val="lt-LT"/>
        </w:rPr>
      </w:pPr>
    </w:p>
    <w:p w14:paraId="7FD8F6CF" w14:textId="77777777" w:rsidR="00710D1E" w:rsidRPr="00AE5BD5" w:rsidRDefault="00C05173" w:rsidP="008C6014">
      <w:pPr>
        <w:rPr>
          <w:color w:val="000000"/>
          <w:sz w:val="22"/>
          <w:szCs w:val="22"/>
          <w:lang w:val="lt-LT"/>
        </w:rPr>
      </w:pPr>
      <w:r w:rsidRPr="00AE5BD5">
        <w:rPr>
          <w:sz w:val="22"/>
          <w:szCs w:val="22"/>
          <w:lang w:val="lt-LT"/>
        </w:rPr>
        <w:t xml:space="preserve">FDE5 inhibitorius, įskaitant sildenafilį, draudžiama vartoti kartu su guanilatciklazės stimuliatoriais (pvz., riociguatu), nes gali pasireikšti simptominė hipotenzija (žr. </w:t>
      </w:r>
      <w:r w:rsidRPr="00AE5BD5">
        <w:rPr>
          <w:color w:val="323200"/>
          <w:sz w:val="22"/>
          <w:szCs w:val="22"/>
          <w:lang w:val="lt-LT"/>
        </w:rPr>
        <w:t xml:space="preserve">4.5 </w:t>
      </w:r>
      <w:r w:rsidRPr="00AE5BD5">
        <w:rPr>
          <w:color w:val="000000"/>
          <w:sz w:val="22"/>
          <w:szCs w:val="22"/>
          <w:lang w:val="lt-LT"/>
        </w:rPr>
        <w:t>skyrių).</w:t>
      </w:r>
    </w:p>
    <w:p w14:paraId="41815DEF" w14:textId="77777777" w:rsidR="00C05173" w:rsidRPr="00AE5BD5" w:rsidRDefault="00C05173" w:rsidP="008C6014">
      <w:pPr>
        <w:rPr>
          <w:sz w:val="22"/>
          <w:szCs w:val="22"/>
          <w:lang w:val="lt-LT"/>
        </w:rPr>
      </w:pPr>
      <w:r w:rsidRPr="00AE5BD5">
        <w:rPr>
          <w:sz w:val="22"/>
          <w:szCs w:val="22"/>
          <w:lang w:val="lt-LT"/>
        </w:rPr>
        <w:t>Vartojimas kartu su stipriausiais CYP3A4 fermentų inhibitoriais (pvz., ketokonazolu, itrakonazolu, ritonaviru) (žr. 4.5 skyrių).</w:t>
      </w:r>
    </w:p>
    <w:p w14:paraId="1AFD61AF" w14:textId="77777777" w:rsidR="00C05173" w:rsidRPr="00AE5BD5" w:rsidRDefault="00C05173" w:rsidP="008C6014">
      <w:pPr>
        <w:rPr>
          <w:sz w:val="22"/>
          <w:szCs w:val="22"/>
          <w:lang w:val="lt-LT"/>
        </w:rPr>
      </w:pPr>
    </w:p>
    <w:p w14:paraId="05993179" w14:textId="77777777" w:rsidR="00C05173" w:rsidRPr="00AE5BD5" w:rsidRDefault="00C05173" w:rsidP="008C6014">
      <w:pPr>
        <w:rPr>
          <w:sz w:val="22"/>
          <w:szCs w:val="22"/>
          <w:lang w:val="lt-LT"/>
        </w:rPr>
      </w:pPr>
      <w:r w:rsidRPr="00AE5BD5">
        <w:rPr>
          <w:sz w:val="22"/>
          <w:szCs w:val="22"/>
          <w:lang w:val="lt-LT"/>
        </w:rPr>
        <w:t xml:space="preserve">Pacientams, kurie apako viena akimi dėl ne arterito sukeltos priekinės išeminės regos nervo neuropatijos (angl. </w:t>
      </w:r>
      <w:r w:rsidRPr="00AE5BD5">
        <w:rPr>
          <w:i/>
          <w:iCs/>
          <w:sz w:val="22"/>
          <w:szCs w:val="22"/>
          <w:lang w:val="lt-LT"/>
        </w:rPr>
        <w:t>non-arteritic anterior ischaemic optic neuropathy, NAION</w:t>
      </w:r>
      <w:r w:rsidRPr="00AE5BD5">
        <w:rPr>
          <w:sz w:val="22"/>
          <w:szCs w:val="22"/>
          <w:lang w:val="lt-LT"/>
        </w:rPr>
        <w:t xml:space="preserve">), nepaisant to, ar šis reiškinys buvo ar </w:t>
      </w:r>
      <w:r w:rsidRPr="00AE5BD5">
        <w:rPr>
          <w:sz w:val="22"/>
          <w:szCs w:val="22"/>
          <w:lang w:val="lt-LT"/>
        </w:rPr>
        <w:lastRenderedPageBreak/>
        <w:t>nebuvo susijęs su FDE5 inhibitorių vartojimu, draudžiama (žr. 4.4 skyrių).</w:t>
      </w:r>
    </w:p>
    <w:p w14:paraId="610B9997" w14:textId="77777777" w:rsidR="00C05173" w:rsidRPr="00AE5BD5" w:rsidRDefault="00C05173" w:rsidP="008C6014">
      <w:pPr>
        <w:rPr>
          <w:sz w:val="22"/>
          <w:szCs w:val="22"/>
          <w:lang w:val="lt-LT"/>
        </w:rPr>
      </w:pPr>
    </w:p>
    <w:p w14:paraId="15101D42" w14:textId="77777777" w:rsidR="00C05173" w:rsidRPr="00AE5BD5" w:rsidRDefault="00C05173" w:rsidP="008C6014">
      <w:pPr>
        <w:rPr>
          <w:sz w:val="22"/>
          <w:szCs w:val="22"/>
          <w:lang w:val="lt-LT"/>
        </w:rPr>
      </w:pPr>
      <w:r w:rsidRPr="00AE5BD5">
        <w:rPr>
          <w:sz w:val="22"/>
          <w:szCs w:val="22"/>
          <w:lang w:val="lt-LT"/>
        </w:rPr>
        <w:t>Ar saugu vartoti sildenafilį, netirta, todėl skirti sildenafilį draudžiama šių pogrupių pacientams: kuriems yra sunkus kepenų funkcijos sutrikimas;</w:t>
      </w:r>
    </w:p>
    <w:p w14:paraId="263F39EE" w14:textId="77777777" w:rsidR="00C05173" w:rsidRPr="00AE5BD5" w:rsidRDefault="00C05173" w:rsidP="008C6014">
      <w:pPr>
        <w:rPr>
          <w:sz w:val="22"/>
          <w:szCs w:val="22"/>
          <w:lang w:val="lt-LT"/>
        </w:rPr>
      </w:pPr>
      <w:r w:rsidRPr="00AE5BD5">
        <w:rPr>
          <w:sz w:val="22"/>
          <w:szCs w:val="22"/>
          <w:lang w:val="lt-LT"/>
        </w:rPr>
        <w:t>kuriuos neseniai ištiko insultas ar miokardo infarktas;</w:t>
      </w:r>
    </w:p>
    <w:p w14:paraId="629E27D7" w14:textId="77777777" w:rsidR="00C05173" w:rsidRPr="00AE5BD5" w:rsidRDefault="00C05173" w:rsidP="008C6014">
      <w:pPr>
        <w:rPr>
          <w:sz w:val="22"/>
          <w:szCs w:val="22"/>
          <w:lang w:val="lt-LT"/>
        </w:rPr>
      </w:pPr>
      <w:r w:rsidRPr="00AE5BD5">
        <w:rPr>
          <w:sz w:val="22"/>
          <w:szCs w:val="22"/>
          <w:lang w:val="lt-LT"/>
        </w:rPr>
        <w:t>kuriems prieš pradedant gydymą yra sunki hipotenzija (kraujospūdis &lt; 90/50 mm Hg).</w:t>
      </w:r>
    </w:p>
    <w:p w14:paraId="686B4EC6" w14:textId="77777777" w:rsidR="00E93353" w:rsidRPr="005A3594" w:rsidRDefault="00E93353" w:rsidP="008C6014">
      <w:pPr>
        <w:rPr>
          <w:rFonts w:eastAsia="Times New Roman"/>
          <w:snapToGrid w:val="0"/>
          <w:sz w:val="22"/>
          <w:szCs w:val="22"/>
          <w:lang w:val="lt-LT"/>
        </w:rPr>
      </w:pPr>
    </w:p>
    <w:p w14:paraId="77BA02CE" w14:textId="77777777" w:rsidR="00E93353" w:rsidRPr="00AE5BD5" w:rsidRDefault="00E93353" w:rsidP="008C6014">
      <w:pPr>
        <w:rPr>
          <w:rFonts w:eastAsia="Times New Roman"/>
          <w:b/>
          <w:bCs/>
          <w:snapToGrid w:val="0"/>
          <w:sz w:val="22"/>
          <w:szCs w:val="22"/>
          <w:lang w:val="lt-LT" w:eastAsia="x-none"/>
        </w:rPr>
      </w:pPr>
      <w:r w:rsidRPr="00AE5BD5">
        <w:rPr>
          <w:b/>
          <w:bCs/>
          <w:snapToGrid w:val="0"/>
          <w:sz w:val="22"/>
          <w:szCs w:val="22"/>
          <w:lang w:val="lt-LT" w:eastAsia="x-none"/>
        </w:rPr>
        <w:t>4.4</w:t>
      </w:r>
      <w:r w:rsidRPr="00AE5BD5">
        <w:rPr>
          <w:b/>
          <w:bCs/>
          <w:snapToGrid w:val="0"/>
          <w:sz w:val="22"/>
          <w:szCs w:val="22"/>
          <w:lang w:val="lt-LT" w:eastAsia="x-none"/>
        </w:rPr>
        <w:tab/>
        <w:t>Specialūs įspėjimai ir atsargumo priemonės</w:t>
      </w:r>
    </w:p>
    <w:p w14:paraId="360A82DC" w14:textId="77777777" w:rsidR="00E93353" w:rsidRPr="00AE5BD5" w:rsidRDefault="00E93353" w:rsidP="008C6014">
      <w:pPr>
        <w:rPr>
          <w:rFonts w:eastAsia="Times New Roman"/>
          <w:snapToGrid w:val="0"/>
          <w:sz w:val="22"/>
          <w:szCs w:val="22"/>
          <w:lang w:val="lt-LT"/>
        </w:rPr>
      </w:pPr>
    </w:p>
    <w:p w14:paraId="4C4B0CA9" w14:textId="77777777" w:rsidR="00C05173" w:rsidRPr="00AE5BD5" w:rsidRDefault="00C05173" w:rsidP="008C6014">
      <w:pPr>
        <w:rPr>
          <w:sz w:val="22"/>
          <w:szCs w:val="22"/>
          <w:lang w:val="lt-LT"/>
        </w:rPr>
      </w:pPr>
      <w:r w:rsidRPr="00AE5BD5">
        <w:rPr>
          <w:sz w:val="22"/>
          <w:szCs w:val="22"/>
          <w:lang w:val="lt-LT"/>
        </w:rPr>
        <w:t xml:space="preserve">Ar veiksminga </w:t>
      </w:r>
      <w:r w:rsidR="00B61707" w:rsidRPr="00AE5BD5">
        <w:rPr>
          <w:sz w:val="22"/>
          <w:szCs w:val="22"/>
          <w:lang w:val="lt-LT"/>
        </w:rPr>
        <w:t>Silungo</w:t>
      </w:r>
      <w:r w:rsidRPr="00AE5BD5">
        <w:rPr>
          <w:sz w:val="22"/>
          <w:szCs w:val="22"/>
          <w:lang w:val="lt-LT"/>
        </w:rPr>
        <w:t xml:space="preserve"> gydyti ligonius, sergančius sunkia plautine arterine hipertenzija (IV funkcinės klasės), nenustatyta. Jeigu gydomo ligonio būklė pablogėja, reikia apsvarstyti galimybę skirti vaistinių preparatų, rekomenduojamų šiai sunkiai ligos stadijai gydyti (pvz., epoprostenolio) (žr. 4.2 skyrių).</w:t>
      </w:r>
    </w:p>
    <w:p w14:paraId="763187F5" w14:textId="77777777" w:rsidR="00C05173" w:rsidRPr="00AE5BD5" w:rsidRDefault="00C05173" w:rsidP="008C6014">
      <w:pPr>
        <w:rPr>
          <w:sz w:val="22"/>
          <w:szCs w:val="22"/>
          <w:lang w:val="lt-LT"/>
        </w:rPr>
      </w:pPr>
      <w:r w:rsidRPr="00AE5BD5">
        <w:rPr>
          <w:sz w:val="22"/>
          <w:szCs w:val="22"/>
          <w:lang w:val="lt-LT"/>
        </w:rPr>
        <w:t>Koks sildenafilio naudos ir rizikos santykis gydant ligonius, kuriems pagal PSO yra I funkcinės klasės plautinė arterinė hipertenzija, nenustatyta.</w:t>
      </w:r>
    </w:p>
    <w:p w14:paraId="6539B6AA" w14:textId="77777777" w:rsidR="00C05173" w:rsidRPr="00AE5BD5" w:rsidRDefault="00C05173" w:rsidP="008C6014">
      <w:pPr>
        <w:rPr>
          <w:sz w:val="22"/>
          <w:szCs w:val="22"/>
          <w:lang w:val="lt-LT"/>
        </w:rPr>
      </w:pPr>
    </w:p>
    <w:p w14:paraId="722190EA" w14:textId="77777777" w:rsidR="00C05173" w:rsidRPr="00AE5BD5" w:rsidRDefault="00C05173" w:rsidP="008C6014">
      <w:pPr>
        <w:rPr>
          <w:sz w:val="22"/>
          <w:szCs w:val="22"/>
          <w:lang w:val="lt-LT"/>
        </w:rPr>
      </w:pPr>
      <w:r w:rsidRPr="00AE5BD5">
        <w:rPr>
          <w:sz w:val="22"/>
          <w:szCs w:val="22"/>
          <w:lang w:val="lt-LT"/>
        </w:rPr>
        <w:t>Sildenafilio tyrimai atlikti tik su pacientais, kuriems buvo diagnozuotos plautinės arterinės hipertenzijos formos, susijusios su pirmine (idiopatine) liga, jungiamojo audinio liga, arba PAH forma, susijusi su paveldima širdies liga (žr. 5.1 skyrių). Sildenafilio nerekomenduojama vartoti pacientams, kuriems diagnozuotos kitokios PAH formos.</w:t>
      </w:r>
    </w:p>
    <w:p w14:paraId="0CC15633" w14:textId="77777777" w:rsidR="00C05173" w:rsidRPr="00AE5BD5" w:rsidRDefault="00C05173" w:rsidP="008C6014">
      <w:pPr>
        <w:rPr>
          <w:sz w:val="22"/>
          <w:szCs w:val="22"/>
          <w:lang w:val="lt-LT"/>
        </w:rPr>
      </w:pPr>
    </w:p>
    <w:p w14:paraId="7014994C" w14:textId="77777777" w:rsidR="00C05173" w:rsidRPr="00AE5BD5" w:rsidRDefault="00C05173" w:rsidP="008C6014">
      <w:pPr>
        <w:rPr>
          <w:sz w:val="22"/>
          <w:szCs w:val="22"/>
          <w:lang w:val="lt-LT"/>
        </w:rPr>
      </w:pPr>
      <w:r w:rsidRPr="00AE5BD5">
        <w:rPr>
          <w:sz w:val="22"/>
          <w:szCs w:val="22"/>
          <w:lang w:val="lt-LT"/>
        </w:rPr>
        <w:t>Ilgalaikio tęstinio tyrimo su vaikais ir paaugliais metu pacientams skiriant didesnes už rekomenduojamas dozes, buvo stebėtas mirtingumo padidėjimas. Todėl PAH sergantiems vaikams ir paaugliams negalima vartoti didesnių už rekomenduojamas dozes (taip pat žr. 4.2 ir 5.1 skyrius).</w:t>
      </w:r>
    </w:p>
    <w:p w14:paraId="6149F058" w14:textId="77777777" w:rsidR="00C05173" w:rsidRPr="00AE5BD5" w:rsidRDefault="00C05173" w:rsidP="008C6014">
      <w:pPr>
        <w:rPr>
          <w:sz w:val="22"/>
          <w:szCs w:val="22"/>
          <w:lang w:val="lt-LT"/>
        </w:rPr>
      </w:pPr>
    </w:p>
    <w:p w14:paraId="6C9643FF" w14:textId="77777777" w:rsidR="00C05173" w:rsidRPr="00AE5BD5" w:rsidRDefault="00C05173" w:rsidP="008C6014">
      <w:pPr>
        <w:rPr>
          <w:sz w:val="22"/>
          <w:szCs w:val="22"/>
          <w:lang w:val="lt-LT"/>
        </w:rPr>
      </w:pPr>
      <w:r w:rsidRPr="00AE5BD5">
        <w:rPr>
          <w:sz w:val="22"/>
          <w:szCs w:val="22"/>
          <w:u w:val="single"/>
          <w:lang w:val="lt-LT"/>
        </w:rPr>
        <w:t>Pigmentinis retinitas</w:t>
      </w:r>
    </w:p>
    <w:p w14:paraId="5BBB7A48" w14:textId="77777777" w:rsidR="00C05173" w:rsidRPr="00AE5BD5" w:rsidRDefault="00C05173" w:rsidP="008C6014">
      <w:pPr>
        <w:rPr>
          <w:sz w:val="22"/>
          <w:szCs w:val="22"/>
          <w:lang w:val="lt-LT"/>
        </w:rPr>
      </w:pPr>
      <w:r w:rsidRPr="00AE5BD5">
        <w:rPr>
          <w:sz w:val="22"/>
          <w:szCs w:val="22"/>
          <w:lang w:val="lt-LT"/>
        </w:rPr>
        <w:t>Kadangi netirta, ar vartoti sildenafilį saugu pacientams, kuriems nustatytas paveldimas degeneracinis tinklainės sutrikimas, pavyzdžiui, pigmentinis retinitas (mažai daliai tokių ligonių diagnozuojamas genetinis tinklainės fosfodiesterazių sutrikimas), tokių ligonių rekomenduojama juo negydyti.</w:t>
      </w:r>
    </w:p>
    <w:p w14:paraId="424F04AE" w14:textId="77777777" w:rsidR="00C05173" w:rsidRPr="00AE5BD5" w:rsidRDefault="00C05173" w:rsidP="008C6014">
      <w:pPr>
        <w:rPr>
          <w:sz w:val="22"/>
          <w:szCs w:val="22"/>
          <w:lang w:val="lt-LT"/>
        </w:rPr>
      </w:pPr>
    </w:p>
    <w:p w14:paraId="6C736FF5" w14:textId="77777777" w:rsidR="00C05173" w:rsidRPr="00AE5BD5" w:rsidRDefault="00C05173" w:rsidP="008C6014">
      <w:pPr>
        <w:rPr>
          <w:sz w:val="22"/>
          <w:szCs w:val="22"/>
          <w:lang w:val="lt-LT"/>
        </w:rPr>
      </w:pPr>
      <w:r w:rsidRPr="00AE5BD5">
        <w:rPr>
          <w:sz w:val="22"/>
          <w:szCs w:val="22"/>
          <w:u w:val="single"/>
          <w:lang w:val="lt-LT"/>
        </w:rPr>
        <w:t>Kraujagyslių išplėtimas</w:t>
      </w:r>
    </w:p>
    <w:p w14:paraId="239B07A9" w14:textId="77777777" w:rsidR="00C05173" w:rsidRPr="00AE5BD5" w:rsidRDefault="00C05173" w:rsidP="008C6014">
      <w:pPr>
        <w:rPr>
          <w:sz w:val="22"/>
          <w:szCs w:val="22"/>
          <w:lang w:val="lt-LT"/>
        </w:rPr>
      </w:pPr>
      <w:r w:rsidRPr="00AE5BD5">
        <w:rPr>
          <w:sz w:val="22"/>
          <w:szCs w:val="22"/>
          <w:lang w:val="lt-LT"/>
        </w:rPr>
        <w:t>Prieš skirdamas sildenafilio, gydytojas turi gerai apsvarstyti, ar kraujagyslių išplėtimas nepablogins tam tikros ligonio būklės, pavyzdžiui, pacientams su hipotenzija, netekusiems daug skysčių, ligoniams, kuriems yra didelė kraujo nuotėkio iš kairiojo širdies skilvelio obstrukcija ar turintiems autonominę disfunkciją (žr. 4.4 skyrių).</w:t>
      </w:r>
    </w:p>
    <w:p w14:paraId="0D81A967" w14:textId="77777777" w:rsidR="00C05173" w:rsidRPr="00AE5BD5" w:rsidRDefault="00C05173" w:rsidP="008C6014">
      <w:pPr>
        <w:rPr>
          <w:sz w:val="22"/>
          <w:szCs w:val="22"/>
          <w:lang w:val="lt-LT"/>
        </w:rPr>
      </w:pPr>
    </w:p>
    <w:p w14:paraId="424C8113" w14:textId="77777777" w:rsidR="00C05173" w:rsidRPr="00AE5BD5" w:rsidRDefault="00C05173" w:rsidP="008C6014">
      <w:pPr>
        <w:rPr>
          <w:sz w:val="22"/>
          <w:szCs w:val="22"/>
          <w:lang w:val="lt-LT"/>
        </w:rPr>
      </w:pPr>
      <w:r w:rsidRPr="00AE5BD5">
        <w:rPr>
          <w:sz w:val="22"/>
          <w:szCs w:val="22"/>
          <w:u w:val="single"/>
          <w:lang w:val="lt-LT"/>
        </w:rPr>
        <w:t>Kardiovaskulinės rizikos veiksniai</w:t>
      </w:r>
    </w:p>
    <w:p w14:paraId="0C0099A3" w14:textId="77777777" w:rsidR="00C05173" w:rsidRPr="00AE5BD5" w:rsidRDefault="003147F8" w:rsidP="008C6014">
      <w:pPr>
        <w:rPr>
          <w:sz w:val="22"/>
          <w:szCs w:val="22"/>
          <w:lang w:val="lt-LT"/>
        </w:rPr>
      </w:pPr>
      <w:r>
        <w:rPr>
          <w:sz w:val="22"/>
          <w:szCs w:val="22"/>
          <w:lang w:val="lt-LT"/>
        </w:rPr>
        <w:t xml:space="preserve">Pateikus </w:t>
      </w:r>
      <w:r w:rsidR="00C05173" w:rsidRPr="00AE5BD5">
        <w:rPr>
          <w:sz w:val="22"/>
          <w:szCs w:val="22"/>
          <w:lang w:val="lt-LT"/>
        </w:rPr>
        <w:t>vaistinį preparatą į rinką, gauta pranešimų, kad vyrai, vartoję sildenafilį nuo erekcijos sutrikimų, patyrė su sildenafilio vartojimu susijusių sunkių širdies ir kraujagyslių sistemos sutrikimų, kaip antai miokardo infarktą, nestabilią krūtinės anginą, staigią mirtį, skilvelių aritmiją, kraujavimą į smegenis, praeinantį smegenų išemijos priepuolį, hipertenziją bei hipotenziją. Daugeliui (bet ne visiems) tokių ligonių prieš vaistinio preparato vartojimą buvo širdies ir kraujagyslių sistemos ligų rizikos veiksnių. Daugelis sutrikimų pasireiškė lytinio akto metu arba tuoj po jo, keli  tuoj po sildenafilio išgėrimo dar nepradėjus akto. Ar išvardyti sutrikimai tiesiogiai susiję su širdies ir kraujagyslių sistemos ligų rizikos veiksniais, ar priklauso nuo kitų priežasčių, nustatyti neįmanoma.</w:t>
      </w:r>
    </w:p>
    <w:p w14:paraId="0E12ACA1" w14:textId="77777777" w:rsidR="00C05173" w:rsidRPr="00AE5BD5" w:rsidRDefault="00C05173" w:rsidP="008C6014">
      <w:pPr>
        <w:rPr>
          <w:sz w:val="22"/>
          <w:szCs w:val="22"/>
          <w:lang w:val="lt-LT"/>
        </w:rPr>
      </w:pPr>
    </w:p>
    <w:p w14:paraId="7D75489E" w14:textId="77777777" w:rsidR="00C05173" w:rsidRPr="00AE5BD5" w:rsidRDefault="00C05173" w:rsidP="008C6014">
      <w:pPr>
        <w:rPr>
          <w:sz w:val="22"/>
          <w:szCs w:val="22"/>
          <w:lang w:val="lt-LT"/>
        </w:rPr>
      </w:pPr>
      <w:r w:rsidRPr="00AE5BD5">
        <w:rPr>
          <w:sz w:val="22"/>
          <w:szCs w:val="22"/>
          <w:u w:val="single"/>
          <w:lang w:val="lt-LT"/>
        </w:rPr>
        <w:t>Priapizmas</w:t>
      </w:r>
    </w:p>
    <w:p w14:paraId="176FD514" w14:textId="77777777" w:rsidR="00C05173" w:rsidRPr="00AE5BD5" w:rsidRDefault="00C05173" w:rsidP="008C6014">
      <w:pPr>
        <w:rPr>
          <w:sz w:val="22"/>
          <w:szCs w:val="22"/>
          <w:lang w:val="lt-LT"/>
        </w:rPr>
      </w:pPr>
      <w:r w:rsidRPr="00AE5BD5">
        <w:rPr>
          <w:sz w:val="22"/>
          <w:szCs w:val="22"/>
          <w:lang w:val="lt-LT"/>
        </w:rPr>
        <w:t>Jei ligonis turi anatominių varpos ydų (pvz.: anguliacija, akytkūnio fibrozė, Peiron</w:t>
      </w:r>
      <w:r w:rsidR="00D42D4C">
        <w:rPr>
          <w:sz w:val="22"/>
          <w:szCs w:val="22"/>
          <w:lang w:val="lt-LT"/>
        </w:rPr>
        <w:t>i (</w:t>
      </w:r>
      <w:r w:rsidR="00D42D4C">
        <w:rPr>
          <w:i/>
          <w:sz w:val="22"/>
          <w:szCs w:val="22"/>
          <w:lang w:val="lt-LT"/>
        </w:rPr>
        <w:t>Peyronie</w:t>
      </w:r>
      <w:r w:rsidR="00D42D4C">
        <w:rPr>
          <w:sz w:val="22"/>
          <w:szCs w:val="22"/>
          <w:lang w:val="lt-LT"/>
        </w:rPr>
        <w:t>)</w:t>
      </w:r>
      <w:r w:rsidRPr="00AE5BD5">
        <w:rPr>
          <w:sz w:val="22"/>
          <w:szCs w:val="22"/>
          <w:lang w:val="lt-LT"/>
        </w:rPr>
        <w:t xml:space="preserve"> liga) arba serga liga, kuri skatina priapizmą (pvz.: pjautuvo pavidalo ląstelių anemija, </w:t>
      </w:r>
      <w:r w:rsidR="00D42D4C">
        <w:rPr>
          <w:sz w:val="22"/>
          <w:szCs w:val="22"/>
          <w:lang w:val="lt-LT"/>
        </w:rPr>
        <w:t xml:space="preserve">dauginė </w:t>
      </w:r>
      <w:r w:rsidRPr="00AE5BD5">
        <w:rPr>
          <w:sz w:val="22"/>
          <w:szCs w:val="22"/>
          <w:lang w:val="lt-LT"/>
        </w:rPr>
        <w:t>mieloma, leukemija), sildenafiliu reikia gydyti atsargiai.</w:t>
      </w:r>
    </w:p>
    <w:p w14:paraId="384E2786" w14:textId="77777777" w:rsidR="005D0FF0" w:rsidRPr="00AE5BD5" w:rsidRDefault="005D0FF0" w:rsidP="008C6014">
      <w:pPr>
        <w:rPr>
          <w:sz w:val="22"/>
          <w:szCs w:val="22"/>
          <w:lang w:val="lt-LT"/>
        </w:rPr>
      </w:pPr>
    </w:p>
    <w:p w14:paraId="294F0F8E" w14:textId="77777777" w:rsidR="005D0FF0" w:rsidRPr="00AE5BD5" w:rsidRDefault="00C05173" w:rsidP="008C6014">
      <w:pPr>
        <w:rPr>
          <w:sz w:val="22"/>
          <w:szCs w:val="22"/>
          <w:lang w:val="lt-LT"/>
        </w:rPr>
      </w:pPr>
      <w:r w:rsidRPr="00AE5BD5">
        <w:rPr>
          <w:sz w:val="22"/>
          <w:szCs w:val="22"/>
          <w:lang w:val="lt-LT"/>
        </w:rPr>
        <w:t>Sildenafilį pateikus į rinką buvo gauta pranešimų apie erekcijos pailgėjimo ir priapizmo atvejus. Jei erekcija tęsiasi ilgiau nei 4 valandas, pacientas turi nedelsdamas kreiptis medicininės pagalbos.</w:t>
      </w:r>
    </w:p>
    <w:p w14:paraId="59148630" w14:textId="77777777" w:rsidR="00C05173" w:rsidRPr="00AE5BD5" w:rsidRDefault="00C05173" w:rsidP="008C6014">
      <w:pPr>
        <w:rPr>
          <w:sz w:val="22"/>
          <w:szCs w:val="22"/>
          <w:lang w:val="lt-LT"/>
        </w:rPr>
      </w:pPr>
      <w:r w:rsidRPr="00AE5BD5">
        <w:rPr>
          <w:sz w:val="22"/>
          <w:szCs w:val="22"/>
          <w:lang w:val="lt-LT"/>
        </w:rPr>
        <w:t>Priapizmo tuojau pat nepradėjus gydyti, jis gali pažeisti varpos audinius ir pacientas gali visam laikui prarasti lytinę potenciją (žr. 4.8 skyrių).</w:t>
      </w:r>
    </w:p>
    <w:p w14:paraId="036CC3D8" w14:textId="77777777" w:rsidR="00C05173" w:rsidRPr="00AE5BD5" w:rsidRDefault="00C05173" w:rsidP="008C6014">
      <w:pPr>
        <w:rPr>
          <w:sz w:val="22"/>
          <w:szCs w:val="22"/>
          <w:lang w:val="lt-LT"/>
        </w:rPr>
      </w:pPr>
    </w:p>
    <w:p w14:paraId="7EA1F83A" w14:textId="77777777" w:rsidR="00C05173" w:rsidRPr="00AE5BD5" w:rsidRDefault="00C05173" w:rsidP="008C6014">
      <w:pPr>
        <w:rPr>
          <w:sz w:val="22"/>
          <w:szCs w:val="22"/>
          <w:lang w:val="lt-LT"/>
        </w:rPr>
      </w:pPr>
      <w:r w:rsidRPr="00AE5BD5">
        <w:rPr>
          <w:sz w:val="22"/>
          <w:szCs w:val="22"/>
          <w:u w:val="single"/>
          <w:lang w:val="lt-LT"/>
        </w:rPr>
        <w:t>Vazookliuzinė krizė pacientams, kurie serga pjautuvo pavidalo ląstelių anemija</w:t>
      </w:r>
    </w:p>
    <w:p w14:paraId="26BCC335" w14:textId="77777777" w:rsidR="00C05173" w:rsidRPr="00AE5BD5" w:rsidRDefault="00C05173" w:rsidP="008C6014">
      <w:pPr>
        <w:rPr>
          <w:sz w:val="22"/>
          <w:szCs w:val="22"/>
          <w:lang w:val="lt-LT"/>
        </w:rPr>
      </w:pPr>
      <w:r w:rsidRPr="00AE5BD5">
        <w:rPr>
          <w:sz w:val="22"/>
          <w:szCs w:val="22"/>
          <w:lang w:val="lt-LT"/>
        </w:rPr>
        <w:t xml:space="preserve">Sildenafilio negalima vartoti pacientams, kuriems pasireiškia antrinė plautinė hipertenzija sergant pjautuvo pavidalo ląstelių anemija. Klinikinių tyrimų metu buvo dažniau pranešta apie vazookliuzinės krizės atvejus, </w:t>
      </w:r>
      <w:r w:rsidRPr="00AE5BD5">
        <w:rPr>
          <w:sz w:val="22"/>
          <w:szCs w:val="22"/>
          <w:lang w:val="lt-LT"/>
        </w:rPr>
        <w:lastRenderedPageBreak/>
        <w:t xml:space="preserve">dėl kurių pacientus teko gydyti ligoninėje, pacientams, vartojantiems </w:t>
      </w:r>
      <w:r w:rsidR="00B61707" w:rsidRPr="00AE5BD5">
        <w:rPr>
          <w:sz w:val="22"/>
          <w:szCs w:val="22"/>
          <w:lang w:val="lt-LT"/>
        </w:rPr>
        <w:t>Silungo</w:t>
      </w:r>
      <w:r w:rsidRPr="00AE5BD5">
        <w:rPr>
          <w:sz w:val="22"/>
          <w:szCs w:val="22"/>
          <w:lang w:val="lt-LT"/>
        </w:rPr>
        <w:t xml:space="preserve"> nei vartojantiems placebą, ir tai paskatino priešlaikinį tyrimo nutraukimą.</w:t>
      </w:r>
    </w:p>
    <w:p w14:paraId="32997EBA" w14:textId="77777777" w:rsidR="005D0FF0" w:rsidRPr="00AE5BD5" w:rsidRDefault="005D0FF0" w:rsidP="008C6014">
      <w:pPr>
        <w:rPr>
          <w:sz w:val="22"/>
          <w:szCs w:val="22"/>
          <w:lang w:val="lt-LT"/>
        </w:rPr>
      </w:pPr>
    </w:p>
    <w:p w14:paraId="459F816F" w14:textId="77777777" w:rsidR="00C05173" w:rsidRPr="00AE5BD5" w:rsidRDefault="00C05173" w:rsidP="008C6014">
      <w:pPr>
        <w:rPr>
          <w:sz w:val="22"/>
          <w:szCs w:val="22"/>
          <w:lang w:val="lt-LT"/>
        </w:rPr>
      </w:pPr>
      <w:r w:rsidRPr="00AE5BD5">
        <w:rPr>
          <w:sz w:val="22"/>
          <w:szCs w:val="22"/>
          <w:u w:val="single"/>
          <w:lang w:val="lt-LT"/>
        </w:rPr>
        <w:t>Regėjimo sutrikimai</w:t>
      </w:r>
    </w:p>
    <w:p w14:paraId="13354D54" w14:textId="77777777" w:rsidR="00C05173" w:rsidRPr="00AE5BD5" w:rsidRDefault="00C05173" w:rsidP="008C6014">
      <w:pPr>
        <w:rPr>
          <w:sz w:val="22"/>
          <w:szCs w:val="22"/>
          <w:lang w:val="lt-LT"/>
        </w:rPr>
      </w:pPr>
      <w:r w:rsidRPr="00AE5BD5">
        <w:rPr>
          <w:sz w:val="22"/>
          <w:szCs w:val="22"/>
          <w:lang w:val="lt-LT"/>
        </w:rPr>
        <w:t xml:space="preserve">Gauta spontaninių pranešimų apie akipločio defektų atvejus, kurie buvo susiję su sildenafilio ir kitų FDE5 inhibitorių vartojimu. Gauta spontaninių pranešimų ir atlikus stebėjimo tyrimą nustatyta retos būklės – ne arterito sukeltos priekinės išeminės regos nervo neuropatijos atvejų, kurie buvo susiję su sildenafilio ir kitų FDE5 inhibitorių vartojimu (žr. 4.8 skyrių). Reikia nedelsiant nutraukti </w:t>
      </w:r>
      <w:r w:rsidR="00B61707" w:rsidRPr="00AE5BD5">
        <w:rPr>
          <w:sz w:val="22"/>
          <w:szCs w:val="22"/>
          <w:lang w:val="lt-LT"/>
        </w:rPr>
        <w:t>Silungo</w:t>
      </w:r>
      <w:r w:rsidRPr="00AE5BD5">
        <w:rPr>
          <w:sz w:val="22"/>
          <w:szCs w:val="22"/>
          <w:lang w:val="lt-LT"/>
        </w:rPr>
        <w:t xml:space="preserve"> vartojimą bei apsvarstyti alternatyvų gydymą, jeigu staiga atsiranda bet koks akipločio defektas (žr.</w:t>
      </w:r>
      <w:r w:rsidR="005D0FF0" w:rsidRPr="00AE5BD5">
        <w:rPr>
          <w:sz w:val="22"/>
          <w:szCs w:val="22"/>
          <w:lang w:val="lt-LT"/>
        </w:rPr>
        <w:t xml:space="preserve"> </w:t>
      </w:r>
      <w:r w:rsidRPr="00AE5BD5">
        <w:rPr>
          <w:sz w:val="22"/>
          <w:szCs w:val="22"/>
          <w:lang w:val="lt-LT"/>
        </w:rPr>
        <w:t>4.3 skyrių).</w:t>
      </w:r>
    </w:p>
    <w:p w14:paraId="7EE4465C" w14:textId="77777777" w:rsidR="005D0FF0" w:rsidRPr="00AE5BD5" w:rsidRDefault="005D0FF0" w:rsidP="008C6014">
      <w:pPr>
        <w:rPr>
          <w:sz w:val="22"/>
          <w:szCs w:val="22"/>
          <w:lang w:val="lt-LT"/>
        </w:rPr>
      </w:pPr>
    </w:p>
    <w:p w14:paraId="166C3621" w14:textId="77777777" w:rsidR="00C05173" w:rsidRPr="00AE5BD5" w:rsidRDefault="00C05173" w:rsidP="008C6014">
      <w:pPr>
        <w:rPr>
          <w:sz w:val="22"/>
          <w:szCs w:val="22"/>
          <w:lang w:val="lt-LT"/>
        </w:rPr>
      </w:pPr>
      <w:r w:rsidRPr="00AE5BD5">
        <w:rPr>
          <w:sz w:val="22"/>
          <w:szCs w:val="22"/>
          <w:u w:val="single"/>
          <w:lang w:val="lt-LT"/>
        </w:rPr>
        <w:t>Alfa adrenoreceptorių blokatoriai</w:t>
      </w:r>
    </w:p>
    <w:p w14:paraId="50654975" w14:textId="77777777" w:rsidR="00C05173" w:rsidRPr="00AE5BD5" w:rsidRDefault="00C05173" w:rsidP="008C6014">
      <w:pPr>
        <w:rPr>
          <w:sz w:val="22"/>
          <w:szCs w:val="22"/>
          <w:lang w:val="lt-LT"/>
        </w:rPr>
      </w:pPr>
      <w:r w:rsidRPr="00AE5BD5">
        <w:rPr>
          <w:sz w:val="22"/>
          <w:szCs w:val="22"/>
          <w:lang w:val="lt-LT"/>
        </w:rPr>
        <w:t>Sildenafiliu atsargiai gydomi ligoniai, vartojantys alfa adrenoreceptorių blokatorių, nes juos vartojant kartu kai kuriems jautriems asmenims gali pasireikšti simptominė hipotenzija (žr. 4.5 skyrių). Kad ortostatinės hipotenzijos rizika būtų mažesnė, pradedančio gerti sildenafilį ligonio, kuris vartoja alfa adrenoreceptorių blokatorių, hemodinamika turi būti stabili. Gydytojas turi išaiškinti pacientui, kaip elgtis, jei pasireiškia ortostatinės hipotenzijos simptomų.</w:t>
      </w:r>
    </w:p>
    <w:p w14:paraId="58BFF38E" w14:textId="77777777" w:rsidR="005D0FF0" w:rsidRPr="00AE5BD5" w:rsidRDefault="005D0FF0" w:rsidP="008C6014">
      <w:pPr>
        <w:rPr>
          <w:sz w:val="22"/>
          <w:szCs w:val="22"/>
          <w:lang w:val="lt-LT"/>
        </w:rPr>
      </w:pPr>
    </w:p>
    <w:p w14:paraId="56EF778F" w14:textId="77777777" w:rsidR="00C05173" w:rsidRPr="00AE5BD5" w:rsidRDefault="00C05173" w:rsidP="008C6014">
      <w:pPr>
        <w:rPr>
          <w:sz w:val="22"/>
          <w:szCs w:val="22"/>
          <w:lang w:val="lt-LT"/>
        </w:rPr>
      </w:pPr>
      <w:r w:rsidRPr="00AE5BD5">
        <w:rPr>
          <w:sz w:val="22"/>
          <w:szCs w:val="22"/>
          <w:u w:val="single"/>
          <w:lang w:val="lt-LT"/>
        </w:rPr>
        <w:t>Kraujavimo sutrikimai</w:t>
      </w:r>
    </w:p>
    <w:p w14:paraId="3BCA9525" w14:textId="77777777" w:rsidR="00C05173" w:rsidRPr="00AE5BD5" w:rsidRDefault="00C05173" w:rsidP="008C6014">
      <w:pPr>
        <w:rPr>
          <w:sz w:val="22"/>
          <w:szCs w:val="22"/>
          <w:lang w:val="lt-LT"/>
        </w:rPr>
      </w:pPr>
      <w:r w:rsidRPr="00AE5BD5">
        <w:rPr>
          <w:sz w:val="22"/>
          <w:szCs w:val="22"/>
          <w:lang w:val="lt-LT"/>
        </w:rPr>
        <w:t xml:space="preserve">Tyrimų </w:t>
      </w:r>
      <w:r w:rsidRPr="00AE5BD5">
        <w:rPr>
          <w:i/>
          <w:iCs/>
          <w:sz w:val="22"/>
          <w:szCs w:val="22"/>
          <w:lang w:val="lt-LT"/>
        </w:rPr>
        <w:t xml:space="preserve">in vitro </w:t>
      </w:r>
      <w:r w:rsidRPr="00AE5BD5">
        <w:rPr>
          <w:sz w:val="22"/>
          <w:szCs w:val="22"/>
          <w:lang w:val="lt-LT"/>
        </w:rPr>
        <w:t>su žmogaus trombocitais duomenimis, sildenafilis stiprina antiagregacinį natrio nitroprusido poveikį. Ar saugu sildenafilio vartoti ligoniams, kuriems yra kraujo krešėjimo sutrikimas arba aktyvi pepsinė opa, nežinoma, todėl jiems šio vaistinio preparato galima skirti tik tiksliai įvertinus gydymo naudos ir rizikos santykį.</w:t>
      </w:r>
    </w:p>
    <w:p w14:paraId="65C8915E" w14:textId="77777777" w:rsidR="005D0FF0" w:rsidRPr="00AE5BD5" w:rsidRDefault="005D0FF0" w:rsidP="008C6014">
      <w:pPr>
        <w:rPr>
          <w:sz w:val="22"/>
          <w:szCs w:val="22"/>
          <w:lang w:val="lt-LT"/>
        </w:rPr>
      </w:pPr>
    </w:p>
    <w:p w14:paraId="5A7DB6B0" w14:textId="77777777" w:rsidR="00C05173" w:rsidRPr="00AE5BD5" w:rsidRDefault="00C05173" w:rsidP="008C6014">
      <w:pPr>
        <w:rPr>
          <w:sz w:val="22"/>
          <w:szCs w:val="22"/>
          <w:lang w:val="lt-LT"/>
        </w:rPr>
      </w:pPr>
      <w:r w:rsidRPr="00AE5BD5">
        <w:rPr>
          <w:sz w:val="22"/>
          <w:szCs w:val="22"/>
          <w:u w:val="single"/>
          <w:lang w:val="lt-LT"/>
        </w:rPr>
        <w:t>Vitamino K antagonistai</w:t>
      </w:r>
    </w:p>
    <w:p w14:paraId="23D65B3A" w14:textId="77777777" w:rsidR="00C05173" w:rsidRPr="00AE5BD5" w:rsidRDefault="00C05173" w:rsidP="008C6014">
      <w:pPr>
        <w:rPr>
          <w:sz w:val="22"/>
          <w:szCs w:val="22"/>
          <w:lang w:val="lt-LT"/>
        </w:rPr>
      </w:pPr>
      <w:r w:rsidRPr="00AE5BD5">
        <w:rPr>
          <w:sz w:val="22"/>
          <w:szCs w:val="22"/>
          <w:lang w:val="lt-LT"/>
        </w:rPr>
        <w:t>Plautine arterine hipertenzija sergantiems ligoniams, kurie kartu vartoja vitamino K antagonistų, ypač sergantiems jungiamojo audinio liga ir antrine plautine arterine hipertenzija, pradėjus vartoti sildenafilį gali padidėti kraujavimo rizika.</w:t>
      </w:r>
    </w:p>
    <w:p w14:paraId="71767903" w14:textId="77777777" w:rsidR="005D0FF0" w:rsidRPr="00AE5BD5" w:rsidRDefault="005D0FF0" w:rsidP="008C6014">
      <w:pPr>
        <w:rPr>
          <w:sz w:val="22"/>
          <w:szCs w:val="22"/>
          <w:lang w:val="lt-LT"/>
        </w:rPr>
      </w:pPr>
    </w:p>
    <w:p w14:paraId="690D6A17" w14:textId="77777777" w:rsidR="00C05173" w:rsidRPr="00AE5BD5" w:rsidRDefault="00C05173" w:rsidP="008C6014">
      <w:pPr>
        <w:rPr>
          <w:sz w:val="22"/>
          <w:szCs w:val="22"/>
          <w:lang w:val="lt-LT"/>
        </w:rPr>
      </w:pPr>
      <w:r w:rsidRPr="00AE5BD5">
        <w:rPr>
          <w:sz w:val="22"/>
          <w:szCs w:val="22"/>
          <w:u w:val="single"/>
          <w:lang w:val="lt-LT"/>
        </w:rPr>
        <w:t>Okliuzinė venų liga</w:t>
      </w:r>
    </w:p>
    <w:p w14:paraId="42ABD3E4" w14:textId="77777777" w:rsidR="00C05173" w:rsidRPr="00AE5BD5" w:rsidRDefault="00C05173" w:rsidP="008C6014">
      <w:pPr>
        <w:rPr>
          <w:sz w:val="22"/>
          <w:szCs w:val="22"/>
          <w:lang w:val="lt-LT"/>
        </w:rPr>
      </w:pPr>
      <w:r w:rsidRPr="00AE5BD5">
        <w:rPr>
          <w:sz w:val="22"/>
          <w:szCs w:val="22"/>
          <w:lang w:val="lt-LT"/>
        </w:rPr>
        <w:t>Duomenų apie ligonių, sergančių plautine arterine hipertenzija ir plaučių venų okliuzine liga, gydymą sidenafiliu nėra. Gydant tokius ligonius kraujagysles plečiančiais vaistiniais preparatais (daugiausia prostaciklinu) yra pasitaikę gyvybei pavojingos plaučių edemos atvejų. Taigi, jeigu plaučių hipertenzija sergančiam ligoniui vartojančiam sildenafilį atsiranda plaučių edemos požymių, reikia apgalvoti, ar tai nesusiję su okliuzine venų liga.</w:t>
      </w:r>
    </w:p>
    <w:p w14:paraId="54EC9C02" w14:textId="77777777" w:rsidR="005D0FF0" w:rsidRPr="00AE5BD5" w:rsidRDefault="005D0FF0" w:rsidP="008C6014">
      <w:pPr>
        <w:rPr>
          <w:sz w:val="22"/>
          <w:szCs w:val="22"/>
          <w:lang w:val="lt-LT"/>
        </w:rPr>
      </w:pPr>
    </w:p>
    <w:p w14:paraId="1429CBD3" w14:textId="0658DFA2" w:rsidR="00C05173" w:rsidRPr="00AE5BD5" w:rsidRDefault="00CC792F" w:rsidP="008C6014">
      <w:pPr>
        <w:rPr>
          <w:sz w:val="22"/>
          <w:szCs w:val="22"/>
          <w:lang w:val="lt-LT"/>
        </w:rPr>
      </w:pPr>
      <w:r w:rsidRPr="00CC792F">
        <w:rPr>
          <w:sz w:val="22"/>
          <w:szCs w:val="22"/>
          <w:u w:val="single"/>
          <w:lang w:val="lt-LT"/>
        </w:rPr>
        <w:t>Informacija apie pagalbines medžiagas</w:t>
      </w:r>
    </w:p>
    <w:p w14:paraId="227D21FD" w14:textId="77777777" w:rsidR="00C05173" w:rsidRDefault="00C05173" w:rsidP="008C6014">
      <w:pPr>
        <w:rPr>
          <w:sz w:val="22"/>
          <w:szCs w:val="22"/>
          <w:lang w:val="lt-LT"/>
        </w:rPr>
      </w:pPr>
      <w:r w:rsidRPr="00AE5BD5">
        <w:rPr>
          <w:sz w:val="22"/>
          <w:szCs w:val="22"/>
          <w:lang w:val="lt-LT"/>
        </w:rPr>
        <w:t>Tabletės plėvelėje yra laktozės monohidrato. Šio vaist</w:t>
      </w:r>
      <w:r w:rsidR="005A3594" w:rsidRPr="00AE5BD5">
        <w:rPr>
          <w:sz w:val="22"/>
          <w:szCs w:val="22"/>
          <w:lang w:val="lt-LT"/>
        </w:rPr>
        <w:t>inio preparato</w:t>
      </w:r>
      <w:r w:rsidRPr="00AE5BD5">
        <w:rPr>
          <w:sz w:val="22"/>
          <w:szCs w:val="22"/>
          <w:lang w:val="lt-LT"/>
        </w:rPr>
        <w:t xml:space="preserve"> negalima vartoti pacientams, kuriems nustatytas retas paveldimas sutrikimas – galaktozės netoleravimas, </w:t>
      </w:r>
      <w:r w:rsidR="00710AD3" w:rsidRPr="00AE5BD5">
        <w:rPr>
          <w:iCs/>
          <w:sz w:val="22"/>
          <w:szCs w:val="22"/>
          <w:lang w:val="lt-LT"/>
        </w:rPr>
        <w:t>visiškas</w:t>
      </w:r>
      <w:r w:rsidRPr="00AE5BD5">
        <w:rPr>
          <w:iCs/>
          <w:sz w:val="22"/>
          <w:szCs w:val="22"/>
          <w:lang w:val="lt-LT"/>
        </w:rPr>
        <w:t xml:space="preserve"> </w:t>
      </w:r>
      <w:r w:rsidRPr="00AE5BD5">
        <w:rPr>
          <w:sz w:val="22"/>
          <w:szCs w:val="22"/>
          <w:lang w:val="lt-LT"/>
        </w:rPr>
        <w:t>laktazės stygius arba gliukozės ir galaktozės malabsorbcija.</w:t>
      </w:r>
    </w:p>
    <w:p w14:paraId="378022CD" w14:textId="77777777" w:rsidR="00E10A93" w:rsidRDefault="00E10A93" w:rsidP="008C6014">
      <w:pPr>
        <w:rPr>
          <w:sz w:val="22"/>
          <w:szCs w:val="22"/>
          <w:lang w:val="lt-LT"/>
        </w:rPr>
      </w:pPr>
    </w:p>
    <w:p w14:paraId="2E75F7AC" w14:textId="5E310E61" w:rsidR="00E10A93" w:rsidRPr="00AE5BD5" w:rsidRDefault="00E10A93" w:rsidP="008C6014">
      <w:pPr>
        <w:rPr>
          <w:sz w:val="22"/>
          <w:szCs w:val="22"/>
          <w:lang w:val="lt-LT"/>
        </w:rPr>
      </w:pPr>
      <w:r w:rsidRPr="00E10A93">
        <w:rPr>
          <w:sz w:val="22"/>
          <w:szCs w:val="22"/>
          <w:lang w:val="lt-LT"/>
        </w:rPr>
        <w:t>Šio vaistinio preparato vienoje plėvele dengtoje tabletėje yra mažiau kaip 1 mmol (23 mg) natrio, t. y. jis beveik neturi reikšmės.</w:t>
      </w:r>
    </w:p>
    <w:p w14:paraId="358DB390" w14:textId="77777777" w:rsidR="005D0FF0" w:rsidRPr="00AE5BD5" w:rsidRDefault="005D0FF0" w:rsidP="008C6014">
      <w:pPr>
        <w:rPr>
          <w:sz w:val="22"/>
          <w:szCs w:val="22"/>
          <w:lang w:val="lt-LT"/>
        </w:rPr>
      </w:pPr>
    </w:p>
    <w:p w14:paraId="182E6E30" w14:textId="77777777" w:rsidR="00C05173" w:rsidRPr="00AE5BD5" w:rsidRDefault="00C05173" w:rsidP="008C6014">
      <w:pPr>
        <w:rPr>
          <w:sz w:val="22"/>
          <w:szCs w:val="22"/>
          <w:lang w:val="lt-LT"/>
        </w:rPr>
      </w:pPr>
      <w:r w:rsidRPr="00AE5BD5">
        <w:rPr>
          <w:sz w:val="22"/>
          <w:szCs w:val="22"/>
          <w:u w:val="single"/>
          <w:lang w:val="lt-LT"/>
        </w:rPr>
        <w:t>Sildenafilio vartojimas kartu su bozentanu</w:t>
      </w:r>
    </w:p>
    <w:p w14:paraId="4845D6DE" w14:textId="77777777" w:rsidR="00C05173" w:rsidRPr="00AE5BD5" w:rsidRDefault="00C05173" w:rsidP="008C6014">
      <w:pPr>
        <w:rPr>
          <w:sz w:val="22"/>
          <w:szCs w:val="22"/>
          <w:lang w:val="lt-LT"/>
        </w:rPr>
      </w:pPr>
      <w:r w:rsidRPr="00AE5BD5">
        <w:rPr>
          <w:sz w:val="22"/>
          <w:szCs w:val="22"/>
          <w:lang w:val="lt-LT"/>
        </w:rPr>
        <w:t>Sildenafilio veiksmingumas pacientams, kurie jau gydėsi bozentanu nebuvo įtikinamai įrodytas (žr.</w:t>
      </w:r>
    </w:p>
    <w:p w14:paraId="3A50DBAA" w14:textId="77777777" w:rsidR="00C05173" w:rsidRPr="00AE5BD5" w:rsidRDefault="00C05173" w:rsidP="008C6014">
      <w:pPr>
        <w:rPr>
          <w:sz w:val="22"/>
          <w:szCs w:val="22"/>
          <w:lang w:val="lt-LT"/>
        </w:rPr>
      </w:pPr>
      <w:r w:rsidRPr="00AE5BD5">
        <w:rPr>
          <w:sz w:val="22"/>
          <w:szCs w:val="22"/>
          <w:lang w:val="lt-LT"/>
        </w:rPr>
        <w:t>4.5 ir 5.1 skyrius).</w:t>
      </w:r>
    </w:p>
    <w:p w14:paraId="4B07DA81" w14:textId="77777777" w:rsidR="00C05173" w:rsidRPr="00AE5BD5" w:rsidRDefault="00C05173" w:rsidP="008C6014">
      <w:pPr>
        <w:rPr>
          <w:sz w:val="22"/>
          <w:szCs w:val="22"/>
          <w:lang w:val="lt-LT"/>
        </w:rPr>
      </w:pPr>
    </w:p>
    <w:p w14:paraId="0756673A" w14:textId="77777777" w:rsidR="00C05173" w:rsidRPr="00AE5BD5" w:rsidRDefault="00C05173" w:rsidP="008C6014">
      <w:pPr>
        <w:rPr>
          <w:sz w:val="22"/>
          <w:szCs w:val="22"/>
          <w:lang w:val="lt-LT"/>
        </w:rPr>
      </w:pPr>
      <w:r w:rsidRPr="00AE5BD5">
        <w:rPr>
          <w:sz w:val="22"/>
          <w:szCs w:val="22"/>
          <w:u w:val="single"/>
          <w:lang w:val="lt-LT"/>
        </w:rPr>
        <w:t>Vartojimas kartu su kitais FDE5 inhibitoriais</w:t>
      </w:r>
    </w:p>
    <w:p w14:paraId="18C2BFD0" w14:textId="77777777" w:rsidR="0007529A" w:rsidRPr="00AE5BD5" w:rsidRDefault="00C05173" w:rsidP="008C6014">
      <w:pPr>
        <w:rPr>
          <w:sz w:val="22"/>
          <w:szCs w:val="22"/>
          <w:lang w:val="lt-LT"/>
        </w:rPr>
      </w:pPr>
      <w:r w:rsidRPr="00AE5BD5">
        <w:rPr>
          <w:sz w:val="22"/>
          <w:szCs w:val="22"/>
          <w:lang w:val="lt-LT"/>
        </w:rPr>
        <w:t>Ar saugu ir veiksminga sildenafilio vartoti kartu su kitais FDE5 inhibitoriais, įskaitant Viagra, PAH sergantiems pacientams netirta, todėl taip gydyti nerekomenduojama (žr. 4.5 skyrių)</w:t>
      </w:r>
    </w:p>
    <w:p w14:paraId="02455AB2" w14:textId="77777777" w:rsidR="0007529A" w:rsidRPr="00AE5BD5" w:rsidRDefault="0007529A" w:rsidP="008C6014">
      <w:pPr>
        <w:rPr>
          <w:sz w:val="22"/>
          <w:szCs w:val="22"/>
          <w:lang w:val="lt-LT"/>
        </w:rPr>
      </w:pPr>
    </w:p>
    <w:p w14:paraId="39B500C2" w14:textId="77777777" w:rsidR="00C05173" w:rsidRPr="00AE5BD5" w:rsidRDefault="00C05173" w:rsidP="008C6014">
      <w:pPr>
        <w:rPr>
          <w:b/>
          <w:sz w:val="22"/>
          <w:szCs w:val="22"/>
          <w:lang w:val="lt-LT"/>
        </w:rPr>
      </w:pPr>
      <w:r w:rsidRPr="00AE5BD5">
        <w:rPr>
          <w:b/>
          <w:sz w:val="22"/>
          <w:szCs w:val="22"/>
          <w:lang w:val="lt-LT"/>
        </w:rPr>
        <w:t>4.5</w:t>
      </w:r>
      <w:r w:rsidRPr="00AE5BD5">
        <w:rPr>
          <w:b/>
          <w:sz w:val="22"/>
          <w:szCs w:val="22"/>
          <w:lang w:val="lt-LT"/>
        </w:rPr>
        <w:tab/>
        <w:t>Sąveika su kitais vaistiniais preparatais ir kitokia</w:t>
      </w:r>
      <w:r w:rsidRPr="00AE5BD5">
        <w:rPr>
          <w:b/>
          <w:spacing w:val="-35"/>
          <w:sz w:val="22"/>
          <w:szCs w:val="22"/>
          <w:lang w:val="lt-LT"/>
        </w:rPr>
        <w:t xml:space="preserve"> </w:t>
      </w:r>
      <w:r w:rsidRPr="00AE5BD5">
        <w:rPr>
          <w:b/>
          <w:sz w:val="22"/>
          <w:szCs w:val="22"/>
          <w:lang w:val="lt-LT"/>
        </w:rPr>
        <w:t>sąveika</w:t>
      </w:r>
    </w:p>
    <w:p w14:paraId="6FEADEC1" w14:textId="77777777" w:rsidR="00C05173" w:rsidRPr="00AE5BD5" w:rsidRDefault="00C05173" w:rsidP="008C6014">
      <w:pPr>
        <w:rPr>
          <w:b/>
          <w:bCs/>
          <w:sz w:val="22"/>
          <w:szCs w:val="22"/>
          <w:lang w:val="lt-LT"/>
        </w:rPr>
      </w:pPr>
    </w:p>
    <w:p w14:paraId="20707F83" w14:textId="77777777" w:rsidR="00C05173" w:rsidRPr="00AE5BD5" w:rsidRDefault="00C05173" w:rsidP="008C6014">
      <w:pPr>
        <w:rPr>
          <w:sz w:val="22"/>
          <w:szCs w:val="22"/>
          <w:lang w:val="lt-LT"/>
        </w:rPr>
      </w:pPr>
      <w:r w:rsidRPr="00AE5BD5">
        <w:rPr>
          <w:sz w:val="22"/>
          <w:szCs w:val="22"/>
          <w:u w:val="single"/>
          <w:lang w:val="lt-LT"/>
        </w:rPr>
        <w:t>Kitų vaistinių preparatų įtaka sildenafilio poveikiui</w:t>
      </w:r>
    </w:p>
    <w:p w14:paraId="16D87F90" w14:textId="77777777" w:rsidR="00C05173" w:rsidRPr="00AE5BD5" w:rsidRDefault="00C05173" w:rsidP="008C6014">
      <w:pPr>
        <w:rPr>
          <w:sz w:val="22"/>
          <w:szCs w:val="22"/>
          <w:lang w:val="lt-LT"/>
        </w:rPr>
      </w:pPr>
    </w:p>
    <w:p w14:paraId="0AA268EB" w14:textId="77777777" w:rsidR="00C05173" w:rsidRPr="00AE5BD5" w:rsidRDefault="00C05173" w:rsidP="008C6014">
      <w:pPr>
        <w:rPr>
          <w:i/>
          <w:iCs/>
          <w:sz w:val="22"/>
          <w:szCs w:val="22"/>
          <w:lang w:val="lt-LT"/>
        </w:rPr>
      </w:pPr>
      <w:r w:rsidRPr="00AE5BD5">
        <w:rPr>
          <w:i/>
          <w:iCs/>
          <w:sz w:val="22"/>
          <w:szCs w:val="22"/>
          <w:u w:val="single"/>
          <w:lang w:val="lt-LT"/>
        </w:rPr>
        <w:t>Tyrimai in vitro</w:t>
      </w:r>
    </w:p>
    <w:p w14:paraId="139FBC4A" w14:textId="77777777" w:rsidR="00C05173" w:rsidRPr="00AE5BD5" w:rsidRDefault="00C05173" w:rsidP="008C6014">
      <w:pPr>
        <w:rPr>
          <w:sz w:val="22"/>
          <w:szCs w:val="22"/>
          <w:lang w:val="lt-LT"/>
        </w:rPr>
      </w:pPr>
      <w:r w:rsidRPr="00AE5BD5">
        <w:rPr>
          <w:sz w:val="22"/>
          <w:szCs w:val="22"/>
          <w:lang w:val="lt-LT"/>
        </w:rPr>
        <w:t xml:space="preserve">Daugiausia sildenafilio metabolizuojama veikiant citochromo P450 (CYP) 3A4 (svarbiausias metabolizmo būdas) ir 2C9 (nesvarbus metabolizmo būdas) izofermentams. Taigi šių izofermentų inhibitoriai gali </w:t>
      </w:r>
      <w:r w:rsidRPr="00AE5BD5">
        <w:rPr>
          <w:sz w:val="22"/>
          <w:szCs w:val="22"/>
          <w:lang w:val="lt-LT"/>
        </w:rPr>
        <w:lastRenderedPageBreak/>
        <w:t>mažinti sildenafilio klirensą, o juos sužadinantys vaistiniai preparatai, didinti sildenafilio klirensą. Dozavimo rekomendacijas žr. 4.2 ir 4.3 skyriuose.</w:t>
      </w:r>
    </w:p>
    <w:p w14:paraId="72073035" w14:textId="77777777" w:rsidR="00C05173" w:rsidRPr="00AE5BD5" w:rsidRDefault="00C05173" w:rsidP="008C6014">
      <w:pPr>
        <w:rPr>
          <w:sz w:val="22"/>
          <w:szCs w:val="22"/>
          <w:lang w:val="lt-LT"/>
        </w:rPr>
      </w:pPr>
    </w:p>
    <w:p w14:paraId="18D14C7B" w14:textId="77777777" w:rsidR="00C05173" w:rsidRPr="00AE5BD5" w:rsidRDefault="00C05173" w:rsidP="008C6014">
      <w:pPr>
        <w:rPr>
          <w:i/>
          <w:iCs/>
          <w:sz w:val="22"/>
          <w:szCs w:val="22"/>
          <w:lang w:val="lt-LT"/>
        </w:rPr>
      </w:pPr>
      <w:r w:rsidRPr="00AE5BD5">
        <w:rPr>
          <w:i/>
          <w:iCs/>
          <w:sz w:val="22"/>
          <w:szCs w:val="22"/>
          <w:u w:val="single"/>
          <w:lang w:val="lt-LT"/>
        </w:rPr>
        <w:t>Tyrimai in vivo</w:t>
      </w:r>
    </w:p>
    <w:p w14:paraId="306FBB77" w14:textId="77777777" w:rsidR="00C05173" w:rsidRPr="00AE5BD5" w:rsidRDefault="00C05173" w:rsidP="008C6014">
      <w:pPr>
        <w:rPr>
          <w:sz w:val="22"/>
          <w:szCs w:val="22"/>
          <w:lang w:val="lt-LT"/>
        </w:rPr>
      </w:pPr>
      <w:r w:rsidRPr="00AE5BD5">
        <w:rPr>
          <w:sz w:val="22"/>
          <w:szCs w:val="22"/>
          <w:lang w:val="lt-LT"/>
        </w:rPr>
        <w:t>Ištirtas sildenafilio vartojimas per burną kartu su į veną vartojamu epoprostenoliu (žr. 4.8 ir</w:t>
      </w:r>
      <w:r w:rsidR="005D0FF0" w:rsidRPr="00AE5BD5">
        <w:rPr>
          <w:sz w:val="22"/>
          <w:szCs w:val="22"/>
          <w:lang w:val="lt-LT"/>
        </w:rPr>
        <w:t xml:space="preserve"> </w:t>
      </w:r>
      <w:r w:rsidRPr="00AE5BD5">
        <w:rPr>
          <w:sz w:val="22"/>
          <w:szCs w:val="22"/>
          <w:lang w:val="lt-LT"/>
        </w:rPr>
        <w:t>5.1 skyrius).</w:t>
      </w:r>
    </w:p>
    <w:p w14:paraId="49778139" w14:textId="77777777" w:rsidR="00C05173" w:rsidRPr="00AE5BD5" w:rsidRDefault="00C05173" w:rsidP="008C6014">
      <w:pPr>
        <w:rPr>
          <w:sz w:val="22"/>
          <w:szCs w:val="22"/>
          <w:lang w:val="lt-LT"/>
        </w:rPr>
      </w:pPr>
    </w:p>
    <w:p w14:paraId="08A53C01" w14:textId="77777777" w:rsidR="00C05173" w:rsidRPr="00AE5BD5" w:rsidRDefault="00C05173" w:rsidP="008C6014">
      <w:pPr>
        <w:rPr>
          <w:sz w:val="22"/>
          <w:szCs w:val="22"/>
          <w:lang w:val="lt-LT"/>
        </w:rPr>
      </w:pPr>
      <w:r w:rsidRPr="00AE5BD5">
        <w:rPr>
          <w:sz w:val="22"/>
          <w:szCs w:val="22"/>
          <w:lang w:val="lt-LT"/>
        </w:rPr>
        <w:t>Sildenafilio veiksmingumas ir saugumas vartojant kartu su kitais vaistiniais preparatais, kuriais gydoma plautinė arterinė hipertenzija (pvz.: ambrisentanu, iloprostu), kontroliuojamųjų klinikinių tyrimų metu netirtas. Dėl to vartoti kartu rekomenduojama atsargiai.</w:t>
      </w:r>
    </w:p>
    <w:p w14:paraId="45FBB31A" w14:textId="77777777" w:rsidR="00C05173" w:rsidRPr="00AE5BD5" w:rsidRDefault="00C05173" w:rsidP="008C6014">
      <w:pPr>
        <w:rPr>
          <w:sz w:val="22"/>
          <w:szCs w:val="22"/>
          <w:lang w:val="lt-LT"/>
        </w:rPr>
      </w:pPr>
    </w:p>
    <w:p w14:paraId="6412C3E2" w14:textId="77777777" w:rsidR="00C05173" w:rsidRPr="00AE5BD5" w:rsidRDefault="00C05173" w:rsidP="008C6014">
      <w:pPr>
        <w:rPr>
          <w:sz w:val="22"/>
          <w:szCs w:val="22"/>
          <w:lang w:val="lt-LT"/>
        </w:rPr>
      </w:pPr>
      <w:r w:rsidRPr="00AE5BD5">
        <w:rPr>
          <w:sz w:val="22"/>
          <w:szCs w:val="22"/>
          <w:lang w:val="lt-LT"/>
        </w:rPr>
        <w:t>Kartu su kitais FDE5 inhibitoriais vartojamo sildenafilio saugumas ir veiksmingumas plautine arterine hipertenzija sergantiems pacientams netirtas (žr. 4.4 skyrių).</w:t>
      </w:r>
    </w:p>
    <w:p w14:paraId="3EF1B455" w14:textId="77777777" w:rsidR="005D0FF0" w:rsidRPr="00AE5BD5" w:rsidRDefault="005D0FF0" w:rsidP="008C6014">
      <w:pPr>
        <w:rPr>
          <w:sz w:val="22"/>
          <w:szCs w:val="22"/>
          <w:lang w:val="lt-LT"/>
        </w:rPr>
      </w:pPr>
    </w:p>
    <w:p w14:paraId="599FE4B0" w14:textId="77777777" w:rsidR="00C05173" w:rsidRPr="00AE5BD5" w:rsidRDefault="00C05173" w:rsidP="008C6014">
      <w:pPr>
        <w:rPr>
          <w:sz w:val="22"/>
          <w:szCs w:val="22"/>
          <w:lang w:val="lt-LT"/>
        </w:rPr>
      </w:pPr>
      <w:r w:rsidRPr="00AE5BD5">
        <w:rPr>
          <w:sz w:val="22"/>
          <w:szCs w:val="22"/>
          <w:lang w:val="lt-LT"/>
        </w:rPr>
        <w:t>Klinikinių tyrimų, kuriuose dalyvavo plautine arterine hipertenzija sergantys ligoniai, farmakokinetikos populiacijoje analizės duomenimis, kartu su CYP3A4 substratais ir su CYP3A4 substratų bei beta adrenoreceptorių blokatorių deriniu vartojamo sildenafilio klirensas buvo mažesnis ir (arba) išgerto preparato biologinis prieinamumas didesnis. Tik šie veiksniai turėjo statistiškai reikšmingą įtaką sildenafilio farmakokinetikai ligonių, sergančių plautine arterine hipertenzija, organizme. Sildenafilio ekspozicija organizme ligonių, vartojusių kartu CYP3A4 substratų buvo 43 %, o CYP3A4 substratų ir beta adrenoreceptorių blokatorių derinį – 66 % didesnė nei tų, kurie minėtų grupių vaistinių preparatų nevartojo. Po 80 mg tris kartus per parą vartojamo sildenafilio ekspozicija buvo 5 kartus didesnė nei po 20 mg tris kartus per parą. Šis sildenafilio koncentracijos padidėjimas atitinka specialaus plano vaistinių preparatų sąveikos tyrimų su CYP3A4 inhibitoriais (išskyrus stipriausius CYP3A4 fermentų inhibitorius, pavyzdžiui, ketokonazolą, itrakonazolą, ritonavirą) metu nustatytas ekspozicijos</w:t>
      </w:r>
      <w:r w:rsidRPr="00AE5BD5">
        <w:rPr>
          <w:spacing w:val="-19"/>
          <w:sz w:val="22"/>
          <w:szCs w:val="22"/>
          <w:lang w:val="lt-LT"/>
        </w:rPr>
        <w:t xml:space="preserve"> </w:t>
      </w:r>
      <w:r w:rsidRPr="00AE5BD5">
        <w:rPr>
          <w:sz w:val="22"/>
          <w:szCs w:val="22"/>
          <w:lang w:val="lt-LT"/>
        </w:rPr>
        <w:t>ribas.</w:t>
      </w:r>
    </w:p>
    <w:p w14:paraId="66151C89" w14:textId="77777777" w:rsidR="005D0FF0" w:rsidRPr="00AE5BD5" w:rsidRDefault="005D0FF0" w:rsidP="008C6014">
      <w:pPr>
        <w:rPr>
          <w:sz w:val="22"/>
          <w:szCs w:val="22"/>
          <w:lang w:val="lt-LT"/>
        </w:rPr>
      </w:pPr>
    </w:p>
    <w:p w14:paraId="52F4A37D" w14:textId="77777777" w:rsidR="00C05173" w:rsidRPr="00AE5BD5" w:rsidRDefault="00C05173" w:rsidP="008C6014">
      <w:pPr>
        <w:rPr>
          <w:sz w:val="22"/>
          <w:szCs w:val="22"/>
          <w:lang w:val="lt-LT"/>
        </w:rPr>
      </w:pPr>
      <w:r w:rsidRPr="00AE5BD5">
        <w:rPr>
          <w:sz w:val="22"/>
          <w:szCs w:val="22"/>
          <w:lang w:val="lt-LT"/>
        </w:rPr>
        <w:t xml:space="preserve">Manoma, kad CYP3A4 fermentus sužadinantys vaistiniai preparatai, daro didelę įtaką sildenafilio farmakokinetikai plautine arterine hipertenzija sergančių ligonių organizme. Tai patvirtinta sąveikos tyrimu </w:t>
      </w:r>
      <w:r w:rsidRPr="00AE5BD5">
        <w:rPr>
          <w:i/>
          <w:iCs/>
          <w:sz w:val="22"/>
          <w:szCs w:val="22"/>
          <w:lang w:val="lt-LT"/>
        </w:rPr>
        <w:t xml:space="preserve">in vivo </w:t>
      </w:r>
      <w:r w:rsidRPr="00AE5BD5">
        <w:rPr>
          <w:sz w:val="22"/>
          <w:szCs w:val="22"/>
          <w:lang w:val="lt-LT"/>
        </w:rPr>
        <w:t>su CYP3A4 fermentus sužadinančiu vaistiniu preparatu bozentanu.</w:t>
      </w:r>
    </w:p>
    <w:p w14:paraId="0E30C595" w14:textId="77777777" w:rsidR="005D0FF0" w:rsidRPr="00AE5BD5" w:rsidRDefault="005D0FF0" w:rsidP="008C6014">
      <w:pPr>
        <w:rPr>
          <w:sz w:val="22"/>
          <w:szCs w:val="22"/>
          <w:lang w:val="lt-LT"/>
        </w:rPr>
      </w:pPr>
    </w:p>
    <w:p w14:paraId="0018B070" w14:textId="77777777" w:rsidR="00C05173" w:rsidRPr="00AE5BD5" w:rsidRDefault="00C05173" w:rsidP="008C6014">
      <w:pPr>
        <w:rPr>
          <w:sz w:val="22"/>
          <w:szCs w:val="22"/>
          <w:lang w:val="lt-LT"/>
        </w:rPr>
      </w:pPr>
      <w:r w:rsidRPr="00AE5BD5">
        <w:rPr>
          <w:sz w:val="22"/>
          <w:szCs w:val="22"/>
          <w:lang w:val="lt-LT"/>
        </w:rPr>
        <w:t>80</w:t>
      </w:r>
      <w:r w:rsidR="005D0FF0" w:rsidRPr="00AE5BD5">
        <w:rPr>
          <w:sz w:val="22"/>
          <w:szCs w:val="22"/>
          <w:lang w:val="lt-LT"/>
        </w:rPr>
        <w:t> </w:t>
      </w:r>
      <w:r w:rsidRPr="00AE5BD5">
        <w:rPr>
          <w:sz w:val="22"/>
          <w:szCs w:val="22"/>
          <w:lang w:val="lt-LT"/>
        </w:rPr>
        <w:t>mg sildenafilio tris kartus per parą (esant pusiausvyros apykaitai) kartu su 125</w:t>
      </w:r>
      <w:r w:rsidR="005D0FF0" w:rsidRPr="00AE5BD5">
        <w:rPr>
          <w:sz w:val="22"/>
          <w:szCs w:val="22"/>
          <w:lang w:val="lt-LT"/>
        </w:rPr>
        <w:t> </w:t>
      </w:r>
      <w:r w:rsidRPr="00AE5BD5">
        <w:rPr>
          <w:sz w:val="22"/>
          <w:szCs w:val="22"/>
          <w:lang w:val="lt-LT"/>
        </w:rPr>
        <w:t>mg bozentano (vidutinio stiprumo CYP3A4, CYP2C9 ir galbūt CYP2C19 fermentus sužadinantis vaistinis preparatas) du kartus per parą 6 dienas vartojusių sveikų savanorių organizme sildenafilio AUC sumažėjo 63</w:t>
      </w:r>
      <w:r w:rsidR="00062E73">
        <w:rPr>
          <w:sz w:val="22"/>
          <w:szCs w:val="22"/>
          <w:lang w:val="lt-LT"/>
        </w:rPr>
        <w:t> </w:t>
      </w:r>
      <w:r w:rsidRPr="00AE5BD5">
        <w:rPr>
          <w:sz w:val="22"/>
          <w:szCs w:val="22"/>
          <w:lang w:val="lt-LT"/>
        </w:rPr>
        <w:t>%. Sildenafilio duomenų, gautų atlikus klinikinius tyrimus su PAH sergančiais suaugusiais pacientais, įskaitant 12 savaičių tyrimą, kuriuo buvo siekiama įvertinti geriamojo sildenafilio (po 20 mg tris kartus per parą) veiksmingumą ir saugumą, jį skiriant kartu su bozentanu (pastovi dozė: po 62,5</w:t>
      </w:r>
      <w:r w:rsidR="00062E73">
        <w:rPr>
          <w:sz w:val="22"/>
          <w:szCs w:val="22"/>
          <w:lang w:val="lt-LT"/>
        </w:rPr>
        <w:t> </w:t>
      </w:r>
      <w:r w:rsidRPr="00AE5BD5">
        <w:rPr>
          <w:sz w:val="22"/>
          <w:szCs w:val="22"/>
          <w:lang w:val="lt-LT"/>
        </w:rPr>
        <w:t>mg – 125</w:t>
      </w:r>
      <w:r w:rsidR="00062E73">
        <w:rPr>
          <w:sz w:val="22"/>
          <w:szCs w:val="22"/>
          <w:lang w:val="lt-LT"/>
        </w:rPr>
        <w:t> </w:t>
      </w:r>
      <w:r w:rsidRPr="00AE5BD5">
        <w:rPr>
          <w:sz w:val="22"/>
          <w:szCs w:val="22"/>
          <w:lang w:val="lt-LT"/>
        </w:rPr>
        <w:t>mg du kartus per parą), populiacinė farmakokinetinė analizė parodė, kad kartu su bozentanu vartojamo sildenafilio ekspozicijos sumažėjimas buvo panašus į tą, kuris pasireiškė sveikiems savanoriams (žr. 4.4 ir 5.1 skyrius).</w:t>
      </w:r>
    </w:p>
    <w:p w14:paraId="4E355ADB" w14:textId="77777777" w:rsidR="00C05173" w:rsidRPr="00AE5BD5" w:rsidRDefault="00C05173" w:rsidP="008C6014">
      <w:pPr>
        <w:rPr>
          <w:sz w:val="22"/>
          <w:szCs w:val="22"/>
          <w:lang w:val="lt-LT"/>
        </w:rPr>
      </w:pPr>
    </w:p>
    <w:p w14:paraId="6FEB56CD" w14:textId="77777777" w:rsidR="00C05173" w:rsidRPr="00AE5BD5" w:rsidRDefault="00C05173" w:rsidP="008C6014">
      <w:pPr>
        <w:rPr>
          <w:sz w:val="22"/>
          <w:szCs w:val="22"/>
          <w:lang w:val="lt-LT"/>
        </w:rPr>
      </w:pPr>
      <w:r w:rsidRPr="00AE5BD5">
        <w:rPr>
          <w:sz w:val="22"/>
          <w:szCs w:val="22"/>
          <w:lang w:val="lt-LT"/>
        </w:rPr>
        <w:t xml:space="preserve">Jei ligonis kartu vartoja stiprių CYP3A4 sužadinančių vaistinių preparatų, pavyzdžiui, karbamazepiną, fenitoiną, fenobarbitalį, </w:t>
      </w:r>
      <w:r w:rsidR="00390E07">
        <w:rPr>
          <w:sz w:val="22"/>
          <w:szCs w:val="22"/>
          <w:lang w:val="lt-LT"/>
        </w:rPr>
        <w:t xml:space="preserve">paprastosios </w:t>
      </w:r>
      <w:r w:rsidRPr="00AE5BD5">
        <w:rPr>
          <w:sz w:val="22"/>
          <w:szCs w:val="22"/>
          <w:lang w:val="lt-LT"/>
        </w:rPr>
        <w:t>jonažol</w:t>
      </w:r>
      <w:r w:rsidR="00495F2D">
        <w:rPr>
          <w:sz w:val="22"/>
          <w:szCs w:val="22"/>
          <w:lang w:val="lt-LT"/>
        </w:rPr>
        <w:t>ės preparatus</w:t>
      </w:r>
      <w:r w:rsidRPr="00AE5BD5">
        <w:rPr>
          <w:sz w:val="22"/>
          <w:szCs w:val="22"/>
          <w:lang w:val="lt-LT"/>
        </w:rPr>
        <w:t xml:space="preserve"> ir rifampiciną, sildenafilio veiksmingumą reikia atidžiai stebėti.</w:t>
      </w:r>
    </w:p>
    <w:p w14:paraId="326DFCBF" w14:textId="77777777" w:rsidR="00C05173" w:rsidRPr="00AE5BD5" w:rsidRDefault="00C05173" w:rsidP="008C6014">
      <w:pPr>
        <w:rPr>
          <w:sz w:val="22"/>
          <w:szCs w:val="22"/>
          <w:lang w:val="lt-LT"/>
        </w:rPr>
      </w:pPr>
    </w:p>
    <w:p w14:paraId="4085F20B" w14:textId="77777777" w:rsidR="00C05173" w:rsidRPr="00AE5BD5" w:rsidRDefault="00C05173" w:rsidP="008C6014">
      <w:pPr>
        <w:rPr>
          <w:sz w:val="22"/>
          <w:szCs w:val="22"/>
          <w:lang w:val="lt-LT"/>
        </w:rPr>
      </w:pPr>
      <w:r w:rsidRPr="00AE5BD5">
        <w:rPr>
          <w:sz w:val="22"/>
          <w:szCs w:val="22"/>
          <w:lang w:val="lt-LT"/>
        </w:rPr>
        <w:t>Stiprų citochromo P450 fermentus slopinantį ŽIV proteazės inhibitorių ritonavirą (po 500 mg du kartus per parą) vartojantiems ligoniams, kurie išgėrė vieną 100 mg sildenafilio dozę tada, kai ritonaviro apykaita buvo pusiausvyrinė, sildenafilio C</w:t>
      </w:r>
      <w:r w:rsidRPr="00AE5BD5">
        <w:rPr>
          <w:position w:val="-3"/>
          <w:sz w:val="22"/>
          <w:szCs w:val="22"/>
          <w:lang w:val="lt-LT"/>
        </w:rPr>
        <w:t xml:space="preserve">max </w:t>
      </w:r>
      <w:r w:rsidRPr="00AE5BD5">
        <w:rPr>
          <w:sz w:val="22"/>
          <w:szCs w:val="22"/>
          <w:lang w:val="lt-LT"/>
        </w:rPr>
        <w:t>padidėjo 300</w:t>
      </w:r>
      <w:r w:rsidR="00C13CB7" w:rsidRPr="00C13CB7">
        <w:rPr>
          <w:sz w:val="22"/>
          <w:szCs w:val="22"/>
          <w:lang w:val="lt-LT"/>
        </w:rPr>
        <w:t>%</w:t>
      </w:r>
      <w:r w:rsidRPr="00AE5BD5">
        <w:rPr>
          <w:sz w:val="22"/>
          <w:szCs w:val="22"/>
          <w:lang w:val="lt-LT"/>
        </w:rPr>
        <w:t xml:space="preserve">  (4 kartus), o AUC  1000</w:t>
      </w:r>
      <w:r w:rsidR="00C13CB7" w:rsidRPr="00C13CB7">
        <w:rPr>
          <w:sz w:val="22"/>
          <w:szCs w:val="22"/>
          <w:lang w:val="lt-LT"/>
        </w:rPr>
        <w:t>%</w:t>
      </w:r>
      <w:r w:rsidRPr="00AE5BD5">
        <w:rPr>
          <w:sz w:val="22"/>
          <w:szCs w:val="22"/>
          <w:lang w:val="lt-LT"/>
        </w:rPr>
        <w:t xml:space="preserve">  (11 kartų). Po 24 valandų sildenafilio apykaita kraujo plazmoje vis dar buvo maždaug 200</w:t>
      </w:r>
      <w:r w:rsidR="00C02F27" w:rsidRPr="00AE5BD5">
        <w:rPr>
          <w:sz w:val="22"/>
          <w:szCs w:val="22"/>
          <w:lang w:val="lt-LT"/>
        </w:rPr>
        <w:t> </w:t>
      </w:r>
      <w:r w:rsidRPr="00AE5BD5">
        <w:rPr>
          <w:sz w:val="22"/>
          <w:szCs w:val="22"/>
          <w:lang w:val="lt-LT"/>
        </w:rPr>
        <w:t>ng/ml, o kai vartojamas tik sildenafilis, ji tokiu laiku būna maždaug 5 ng/ml. Toks skirtumas atsiranda dėl stipraus ritonaviro</w:t>
      </w:r>
      <w:r w:rsidRPr="00AE5BD5">
        <w:rPr>
          <w:spacing w:val="-6"/>
          <w:sz w:val="22"/>
          <w:szCs w:val="22"/>
          <w:lang w:val="lt-LT"/>
        </w:rPr>
        <w:t xml:space="preserve"> </w:t>
      </w:r>
      <w:r w:rsidRPr="00AE5BD5">
        <w:rPr>
          <w:sz w:val="22"/>
          <w:szCs w:val="22"/>
          <w:lang w:val="lt-LT"/>
        </w:rPr>
        <w:t>poveikio</w:t>
      </w:r>
      <w:r w:rsidRPr="00AE5BD5">
        <w:rPr>
          <w:spacing w:val="-6"/>
          <w:sz w:val="22"/>
          <w:szCs w:val="22"/>
          <w:lang w:val="lt-LT"/>
        </w:rPr>
        <w:t xml:space="preserve"> </w:t>
      </w:r>
      <w:r w:rsidRPr="00AE5BD5">
        <w:rPr>
          <w:sz w:val="22"/>
          <w:szCs w:val="22"/>
          <w:lang w:val="lt-LT"/>
        </w:rPr>
        <w:t>daugeliui</w:t>
      </w:r>
      <w:r w:rsidRPr="00AE5BD5">
        <w:rPr>
          <w:spacing w:val="-6"/>
          <w:sz w:val="22"/>
          <w:szCs w:val="22"/>
          <w:lang w:val="lt-LT"/>
        </w:rPr>
        <w:t xml:space="preserve"> </w:t>
      </w:r>
      <w:r w:rsidRPr="00AE5BD5">
        <w:rPr>
          <w:sz w:val="22"/>
          <w:szCs w:val="22"/>
          <w:lang w:val="lt-LT"/>
        </w:rPr>
        <w:t>P</w:t>
      </w:r>
      <w:r w:rsidRPr="00AE5BD5">
        <w:rPr>
          <w:spacing w:val="-6"/>
          <w:sz w:val="22"/>
          <w:szCs w:val="22"/>
          <w:lang w:val="lt-LT"/>
        </w:rPr>
        <w:t xml:space="preserve"> </w:t>
      </w:r>
      <w:r w:rsidRPr="00AE5BD5">
        <w:rPr>
          <w:sz w:val="22"/>
          <w:szCs w:val="22"/>
          <w:lang w:val="lt-LT"/>
        </w:rPr>
        <w:t>450</w:t>
      </w:r>
      <w:r w:rsidRPr="00AE5BD5">
        <w:rPr>
          <w:spacing w:val="-6"/>
          <w:sz w:val="22"/>
          <w:szCs w:val="22"/>
          <w:lang w:val="lt-LT"/>
        </w:rPr>
        <w:t xml:space="preserve"> </w:t>
      </w:r>
      <w:r w:rsidRPr="00AE5BD5">
        <w:rPr>
          <w:sz w:val="22"/>
          <w:szCs w:val="22"/>
          <w:lang w:val="lt-LT"/>
        </w:rPr>
        <w:t>substratų.</w:t>
      </w:r>
      <w:r w:rsidRPr="00AE5BD5">
        <w:rPr>
          <w:spacing w:val="-6"/>
          <w:sz w:val="22"/>
          <w:szCs w:val="22"/>
          <w:lang w:val="lt-LT"/>
        </w:rPr>
        <w:t xml:space="preserve"> </w:t>
      </w:r>
      <w:r w:rsidRPr="00AE5BD5">
        <w:rPr>
          <w:sz w:val="22"/>
          <w:szCs w:val="22"/>
          <w:lang w:val="lt-LT"/>
        </w:rPr>
        <w:t>Atsižvelgiant</w:t>
      </w:r>
      <w:r w:rsidRPr="00AE5BD5">
        <w:rPr>
          <w:spacing w:val="-6"/>
          <w:sz w:val="22"/>
          <w:szCs w:val="22"/>
          <w:lang w:val="lt-LT"/>
        </w:rPr>
        <w:t xml:space="preserve"> </w:t>
      </w:r>
      <w:r w:rsidRPr="00AE5BD5">
        <w:rPr>
          <w:sz w:val="22"/>
          <w:szCs w:val="22"/>
          <w:lang w:val="lt-LT"/>
        </w:rPr>
        <w:t>į</w:t>
      </w:r>
      <w:r w:rsidRPr="00AE5BD5">
        <w:rPr>
          <w:spacing w:val="-6"/>
          <w:sz w:val="22"/>
          <w:szCs w:val="22"/>
          <w:lang w:val="lt-LT"/>
        </w:rPr>
        <w:t xml:space="preserve"> </w:t>
      </w:r>
      <w:r w:rsidRPr="00AE5BD5">
        <w:rPr>
          <w:sz w:val="22"/>
          <w:szCs w:val="22"/>
          <w:lang w:val="lt-LT"/>
        </w:rPr>
        <w:t>šiuos</w:t>
      </w:r>
      <w:r w:rsidRPr="00AE5BD5">
        <w:rPr>
          <w:spacing w:val="-6"/>
          <w:sz w:val="22"/>
          <w:szCs w:val="22"/>
          <w:lang w:val="lt-LT"/>
        </w:rPr>
        <w:t xml:space="preserve"> </w:t>
      </w:r>
      <w:r w:rsidRPr="00AE5BD5">
        <w:rPr>
          <w:sz w:val="22"/>
          <w:szCs w:val="22"/>
          <w:lang w:val="lt-LT"/>
        </w:rPr>
        <w:t>farmakokinetikos</w:t>
      </w:r>
      <w:r w:rsidRPr="00AE5BD5">
        <w:rPr>
          <w:spacing w:val="-6"/>
          <w:sz w:val="22"/>
          <w:szCs w:val="22"/>
          <w:lang w:val="lt-LT"/>
        </w:rPr>
        <w:t xml:space="preserve"> </w:t>
      </w:r>
      <w:r w:rsidRPr="00AE5BD5">
        <w:rPr>
          <w:sz w:val="22"/>
          <w:szCs w:val="22"/>
          <w:lang w:val="lt-LT"/>
        </w:rPr>
        <w:t>tyrimų</w:t>
      </w:r>
    </w:p>
    <w:p w14:paraId="6DA374D9" w14:textId="77777777" w:rsidR="00C05173" w:rsidRPr="00AE5BD5" w:rsidRDefault="00C05173" w:rsidP="008C6014">
      <w:pPr>
        <w:rPr>
          <w:sz w:val="22"/>
          <w:szCs w:val="22"/>
          <w:lang w:val="lt-LT"/>
        </w:rPr>
      </w:pPr>
      <w:r w:rsidRPr="00AE5BD5">
        <w:rPr>
          <w:sz w:val="22"/>
          <w:szCs w:val="22"/>
          <w:lang w:val="lt-LT"/>
        </w:rPr>
        <w:t>duomenis, ligoniams, sergantiems plautine arterine hipertenzija, sildenafilio vartoti kartu su ritonaviru kontraindikuotina (žr. 4.3 skyrių).</w:t>
      </w:r>
    </w:p>
    <w:p w14:paraId="32C69567" w14:textId="77777777" w:rsidR="00C05173" w:rsidRPr="00AE5BD5" w:rsidRDefault="00C05173" w:rsidP="008C6014">
      <w:pPr>
        <w:rPr>
          <w:sz w:val="22"/>
          <w:szCs w:val="22"/>
          <w:lang w:val="lt-LT"/>
        </w:rPr>
      </w:pPr>
    </w:p>
    <w:p w14:paraId="075E71E7" w14:textId="77777777" w:rsidR="00C05173" w:rsidRPr="00AE5BD5" w:rsidRDefault="00C05173" w:rsidP="008C6014">
      <w:pPr>
        <w:rPr>
          <w:sz w:val="22"/>
          <w:szCs w:val="22"/>
          <w:lang w:val="lt-LT"/>
        </w:rPr>
      </w:pPr>
      <w:r w:rsidRPr="00AE5BD5">
        <w:rPr>
          <w:sz w:val="22"/>
          <w:szCs w:val="22"/>
          <w:lang w:val="lt-LT"/>
        </w:rPr>
        <w:t>CYP3A4 fermentus slopinantį ŽIV proteazės inhibitorių sakvinavirą (po 1200 mg tris kartus per parą) vartojantiems ligoniams, vieną 100 mg sildenafilio dozę išgėrusių tada, kai sakvinaviro apykaita tapo pusiausvyrinė, sildenafilio C</w:t>
      </w:r>
      <w:r w:rsidRPr="00AE5BD5">
        <w:rPr>
          <w:position w:val="-3"/>
          <w:sz w:val="22"/>
          <w:szCs w:val="22"/>
          <w:lang w:val="lt-LT"/>
        </w:rPr>
        <w:t xml:space="preserve">max </w:t>
      </w:r>
      <w:r w:rsidRPr="00AE5BD5">
        <w:rPr>
          <w:sz w:val="22"/>
          <w:szCs w:val="22"/>
          <w:lang w:val="lt-LT"/>
        </w:rPr>
        <w:t>padidėjo 140</w:t>
      </w:r>
      <w:r w:rsidR="00C13CB7" w:rsidRPr="00C13CB7">
        <w:rPr>
          <w:sz w:val="22"/>
          <w:szCs w:val="22"/>
          <w:lang w:val="lt-LT"/>
        </w:rPr>
        <w:t>%</w:t>
      </w:r>
      <w:r w:rsidRPr="00AE5BD5">
        <w:rPr>
          <w:sz w:val="22"/>
          <w:szCs w:val="22"/>
          <w:lang w:val="lt-LT"/>
        </w:rPr>
        <w:t>, AUC  210</w:t>
      </w:r>
      <w:r w:rsidR="00C13CB7" w:rsidRPr="00C13CB7">
        <w:rPr>
          <w:sz w:val="22"/>
          <w:szCs w:val="22"/>
          <w:lang w:val="lt-LT"/>
        </w:rPr>
        <w:t>%</w:t>
      </w:r>
      <w:r w:rsidRPr="00AE5BD5">
        <w:rPr>
          <w:sz w:val="22"/>
          <w:szCs w:val="22"/>
          <w:lang w:val="lt-LT"/>
        </w:rPr>
        <w:t>. Sildenafilis sakvinaviro farmakokinetikai įtakos nedarė. Dozavimo rekomendacijas žr. 4.2 skyriuje.</w:t>
      </w:r>
    </w:p>
    <w:p w14:paraId="4D446A75" w14:textId="77777777" w:rsidR="00C05173" w:rsidRPr="00AE5BD5" w:rsidRDefault="00C05173" w:rsidP="008C6014">
      <w:pPr>
        <w:rPr>
          <w:sz w:val="22"/>
          <w:szCs w:val="22"/>
          <w:lang w:val="lt-LT"/>
        </w:rPr>
      </w:pPr>
    </w:p>
    <w:p w14:paraId="54B4E58A" w14:textId="77777777" w:rsidR="00C05173" w:rsidRPr="00AE5BD5" w:rsidRDefault="00C05173" w:rsidP="008C6014">
      <w:pPr>
        <w:rPr>
          <w:sz w:val="22"/>
          <w:szCs w:val="22"/>
          <w:lang w:val="lt-LT"/>
        </w:rPr>
      </w:pPr>
      <w:r w:rsidRPr="00AE5BD5">
        <w:rPr>
          <w:sz w:val="22"/>
          <w:szCs w:val="22"/>
          <w:lang w:val="lt-LT"/>
        </w:rPr>
        <w:t>Vidutinio poveikio CYP3A4 fermentų inhibitorių eritromiciną (5 paras po 500</w:t>
      </w:r>
      <w:r w:rsidR="00C02F27" w:rsidRPr="00AE5BD5">
        <w:rPr>
          <w:sz w:val="22"/>
          <w:szCs w:val="22"/>
          <w:lang w:val="lt-LT"/>
        </w:rPr>
        <w:t> </w:t>
      </w:r>
      <w:r w:rsidRPr="00AE5BD5">
        <w:rPr>
          <w:sz w:val="22"/>
          <w:szCs w:val="22"/>
          <w:lang w:val="lt-LT"/>
        </w:rPr>
        <w:t>mg du kartus per parą) vartojantiems ligoniams, kurie išgėrė vieną 100</w:t>
      </w:r>
      <w:r w:rsidR="00C02F27" w:rsidRPr="00AE5BD5">
        <w:rPr>
          <w:sz w:val="22"/>
          <w:szCs w:val="22"/>
          <w:lang w:val="lt-LT"/>
        </w:rPr>
        <w:t> </w:t>
      </w:r>
      <w:r w:rsidRPr="00AE5BD5">
        <w:rPr>
          <w:sz w:val="22"/>
          <w:szCs w:val="22"/>
          <w:lang w:val="lt-LT"/>
        </w:rPr>
        <w:t xml:space="preserve">mg sildenafilio dozę tada, kai eritromicino apykaita buvo </w:t>
      </w:r>
      <w:r w:rsidRPr="00AE5BD5">
        <w:rPr>
          <w:sz w:val="22"/>
          <w:szCs w:val="22"/>
          <w:lang w:val="lt-LT"/>
        </w:rPr>
        <w:lastRenderedPageBreak/>
        <w:t>pusiausvyrinė, sisteminė sildenafilio ekspozicija (AUC) padidėjo 182</w:t>
      </w:r>
      <w:r w:rsidR="00062E73">
        <w:rPr>
          <w:sz w:val="22"/>
          <w:szCs w:val="22"/>
          <w:lang w:val="lt-LT"/>
        </w:rPr>
        <w:t> </w:t>
      </w:r>
      <w:r w:rsidRPr="00AE5BD5">
        <w:rPr>
          <w:sz w:val="22"/>
          <w:szCs w:val="22"/>
          <w:lang w:val="lt-LT"/>
        </w:rPr>
        <w:t>%. Dozavimo rekomendacijas žr. 4.2 skyriuje. Sveikų savanorių vyrų, vartojusių azitromiciną (3 paras po 500</w:t>
      </w:r>
      <w:r w:rsidR="00062E73">
        <w:rPr>
          <w:sz w:val="22"/>
          <w:szCs w:val="22"/>
          <w:lang w:val="lt-LT"/>
        </w:rPr>
        <w:t> </w:t>
      </w:r>
      <w:r w:rsidRPr="00AE5BD5">
        <w:rPr>
          <w:sz w:val="22"/>
          <w:szCs w:val="22"/>
          <w:lang w:val="lt-LT"/>
        </w:rPr>
        <w:t>mg per parą), organizme sildenafilio AUC, C</w:t>
      </w:r>
      <w:r w:rsidRPr="00AE5BD5">
        <w:rPr>
          <w:position w:val="-3"/>
          <w:sz w:val="22"/>
          <w:szCs w:val="22"/>
          <w:lang w:val="lt-LT"/>
        </w:rPr>
        <w:t>max</w:t>
      </w:r>
      <w:r w:rsidRPr="00AE5BD5">
        <w:rPr>
          <w:sz w:val="22"/>
          <w:szCs w:val="22"/>
          <w:lang w:val="lt-LT"/>
        </w:rPr>
        <w:t>, t</w:t>
      </w:r>
      <w:r w:rsidRPr="00AE5BD5">
        <w:rPr>
          <w:position w:val="-3"/>
          <w:sz w:val="22"/>
          <w:szCs w:val="22"/>
          <w:lang w:val="lt-LT"/>
        </w:rPr>
        <w:t xml:space="preserve">max </w:t>
      </w:r>
      <w:r w:rsidRPr="00AE5BD5">
        <w:rPr>
          <w:sz w:val="22"/>
          <w:szCs w:val="22"/>
          <w:lang w:val="lt-LT"/>
        </w:rPr>
        <w:t>ir eliminacijos greičio konstanta bei sildenafilio ir svarbiausio kraujyje esančio jo metabolito pusinės eliminacijos laikas nepakito. Dozės keisti nereikia. Sveikų savanorių organizme 800</w:t>
      </w:r>
      <w:r w:rsidR="00062E73">
        <w:rPr>
          <w:sz w:val="22"/>
          <w:szCs w:val="22"/>
          <w:lang w:val="lt-LT"/>
        </w:rPr>
        <w:t> </w:t>
      </w:r>
      <w:r w:rsidRPr="00AE5BD5">
        <w:rPr>
          <w:sz w:val="22"/>
          <w:szCs w:val="22"/>
          <w:lang w:val="lt-LT"/>
        </w:rPr>
        <w:t>mg cimetidino, kuris yra citochromo P450 fermentų inhibitorius ir nespecifinio poveikio CYP3A4 fermentų inhibitorius, padidino sildenafilio (50</w:t>
      </w:r>
      <w:r w:rsidR="00062E73">
        <w:rPr>
          <w:sz w:val="22"/>
          <w:szCs w:val="22"/>
          <w:lang w:val="lt-LT"/>
        </w:rPr>
        <w:t> </w:t>
      </w:r>
      <w:r w:rsidRPr="00AE5BD5">
        <w:rPr>
          <w:sz w:val="22"/>
          <w:szCs w:val="22"/>
          <w:lang w:val="lt-LT"/>
        </w:rPr>
        <w:t>mg) koncentraciją kraujo plazmoje 56</w:t>
      </w:r>
      <w:r w:rsidR="00062E73">
        <w:rPr>
          <w:sz w:val="22"/>
          <w:szCs w:val="22"/>
          <w:lang w:val="lt-LT"/>
        </w:rPr>
        <w:t> </w:t>
      </w:r>
      <w:r w:rsidRPr="00AE5BD5">
        <w:rPr>
          <w:sz w:val="22"/>
          <w:szCs w:val="22"/>
          <w:lang w:val="lt-LT"/>
        </w:rPr>
        <w:t>%. Dozės keisti nereikia.</w:t>
      </w:r>
    </w:p>
    <w:p w14:paraId="3AD6D392" w14:textId="77777777" w:rsidR="00C05173" w:rsidRPr="00AE5BD5" w:rsidRDefault="00C05173" w:rsidP="008C6014">
      <w:pPr>
        <w:rPr>
          <w:sz w:val="22"/>
          <w:szCs w:val="22"/>
          <w:lang w:val="lt-LT"/>
        </w:rPr>
      </w:pPr>
    </w:p>
    <w:p w14:paraId="5E7F6C37" w14:textId="77777777" w:rsidR="00C05173" w:rsidRPr="00AE5BD5" w:rsidRDefault="00C05173" w:rsidP="008C6014">
      <w:pPr>
        <w:rPr>
          <w:sz w:val="22"/>
          <w:szCs w:val="22"/>
          <w:lang w:val="lt-LT"/>
        </w:rPr>
      </w:pPr>
      <w:r w:rsidRPr="00AE5BD5">
        <w:rPr>
          <w:sz w:val="22"/>
          <w:szCs w:val="22"/>
          <w:lang w:val="lt-LT"/>
        </w:rPr>
        <w:t>Laukiama, kad stipriausi CYP3A4 inhibitoriai, pavyzdžiui, ketokonazolas ir itrakonazolas, sukels tokį patį poveikį kaip ritonaviras (žr. 4.3 skyrių). Manoma, kad CYP3A4 inhibitorių (pvz.: klaritromicino, telitromicino, nefazodono) poveikis bus tarpinis tarp ritonaviro ir CYP3A4 inhibitorių sakvinaviro ar eritromicino, susidarant septynis kartus didesnei ekspozicijai. Taigi, jeigu sildenafilis vartojamas kartu su CYP3A4 inhibitoriais, rekomenduojama sumažinti jo dozę (žr. 4.2 skyrių).</w:t>
      </w:r>
    </w:p>
    <w:p w14:paraId="59677490" w14:textId="77777777" w:rsidR="00C05173" w:rsidRPr="00AE5BD5" w:rsidRDefault="00C05173" w:rsidP="008C6014">
      <w:pPr>
        <w:rPr>
          <w:sz w:val="22"/>
          <w:szCs w:val="22"/>
          <w:lang w:val="lt-LT"/>
        </w:rPr>
      </w:pPr>
    </w:p>
    <w:p w14:paraId="70EF9871" w14:textId="77777777" w:rsidR="00C05173" w:rsidRPr="00AE5BD5" w:rsidRDefault="00C05173" w:rsidP="008C6014">
      <w:pPr>
        <w:rPr>
          <w:sz w:val="22"/>
          <w:szCs w:val="22"/>
          <w:lang w:val="lt-LT"/>
        </w:rPr>
      </w:pPr>
      <w:r w:rsidRPr="00AE5BD5">
        <w:rPr>
          <w:sz w:val="22"/>
          <w:szCs w:val="22"/>
          <w:lang w:val="lt-LT"/>
        </w:rPr>
        <w:t xml:space="preserve">Ligonių, sergančių plautine arterine hipertenzija, tyrimų farmakokinetikos populiacijoje analizės duomenimis, beta adrenoreceptorių blokatorių vartojimas ir CYP3A4 substratų derinys gali dar </w:t>
      </w:r>
      <w:r w:rsidR="0047471E">
        <w:rPr>
          <w:sz w:val="22"/>
          <w:szCs w:val="22"/>
          <w:lang w:val="lt-LT"/>
        </w:rPr>
        <w:t xml:space="preserve">labiau </w:t>
      </w:r>
      <w:r w:rsidRPr="00AE5BD5">
        <w:rPr>
          <w:sz w:val="22"/>
          <w:szCs w:val="22"/>
          <w:lang w:val="lt-LT"/>
        </w:rPr>
        <w:t>padidinti kartu vartojamo sildenafilio ekspoziciją nei vienas CYP3A4 substratas.</w:t>
      </w:r>
    </w:p>
    <w:p w14:paraId="32B828FA" w14:textId="77777777" w:rsidR="00C05173" w:rsidRPr="00AE5BD5" w:rsidRDefault="00C05173" w:rsidP="008C6014">
      <w:pPr>
        <w:rPr>
          <w:sz w:val="22"/>
          <w:szCs w:val="22"/>
          <w:lang w:val="lt-LT"/>
        </w:rPr>
      </w:pPr>
    </w:p>
    <w:p w14:paraId="5E08D775" w14:textId="77777777" w:rsidR="00C05173" w:rsidRPr="00AE5BD5" w:rsidRDefault="00C05173" w:rsidP="008C6014">
      <w:pPr>
        <w:rPr>
          <w:sz w:val="22"/>
          <w:szCs w:val="22"/>
          <w:lang w:val="lt-LT"/>
        </w:rPr>
      </w:pPr>
      <w:r w:rsidRPr="00AE5BD5">
        <w:rPr>
          <w:sz w:val="22"/>
          <w:szCs w:val="22"/>
          <w:lang w:val="lt-LT"/>
        </w:rPr>
        <w:t>Greipfrutų sultys yra silpnas CYP3A4 fermentų, veikiančių metabolizmą žarnų sienoje, inhibitorius, taigi gali šiek tiek padidinti sildenafilio koncentraciją kraujyje. Dozės keisti nereikia, bet sildenafilio vartoti kartu su greipfrutų sultimis nerekomenduojama.</w:t>
      </w:r>
    </w:p>
    <w:p w14:paraId="143E9F23" w14:textId="77777777" w:rsidR="00C05173" w:rsidRPr="00AE5BD5" w:rsidRDefault="00C05173" w:rsidP="008C6014">
      <w:pPr>
        <w:rPr>
          <w:sz w:val="22"/>
          <w:szCs w:val="22"/>
          <w:lang w:val="lt-LT"/>
        </w:rPr>
      </w:pPr>
    </w:p>
    <w:p w14:paraId="416BD051" w14:textId="77777777" w:rsidR="00C05173" w:rsidRPr="00AE5BD5" w:rsidRDefault="00C05173" w:rsidP="008C6014">
      <w:pPr>
        <w:rPr>
          <w:sz w:val="22"/>
          <w:szCs w:val="22"/>
          <w:lang w:val="lt-LT"/>
        </w:rPr>
      </w:pPr>
      <w:r w:rsidRPr="00AE5BD5">
        <w:rPr>
          <w:sz w:val="22"/>
          <w:szCs w:val="22"/>
          <w:lang w:val="lt-LT"/>
        </w:rPr>
        <w:t>Pavienės antacidinių vaistinių preparatų (magnio hidroksido ir aliuminio hidroksido) dozės poveikio sildenafilio biologiniam prieinamumui nedarė.</w:t>
      </w:r>
    </w:p>
    <w:p w14:paraId="60237BA8" w14:textId="77777777" w:rsidR="00C05173" w:rsidRPr="00AE5BD5" w:rsidRDefault="00C05173" w:rsidP="008C6014">
      <w:pPr>
        <w:rPr>
          <w:sz w:val="22"/>
          <w:szCs w:val="22"/>
          <w:lang w:val="lt-LT"/>
        </w:rPr>
      </w:pPr>
    </w:p>
    <w:p w14:paraId="4C4BB9C4" w14:textId="77777777" w:rsidR="00C05173" w:rsidRPr="00AE5BD5" w:rsidRDefault="00C05173" w:rsidP="008C6014">
      <w:pPr>
        <w:rPr>
          <w:sz w:val="22"/>
          <w:szCs w:val="22"/>
          <w:lang w:val="lt-LT"/>
        </w:rPr>
      </w:pPr>
      <w:r w:rsidRPr="00AE5BD5">
        <w:rPr>
          <w:sz w:val="22"/>
          <w:szCs w:val="22"/>
          <w:lang w:val="lt-LT"/>
        </w:rPr>
        <w:t>Kartu geriami kontraceptikai (etinilestradiolis 30</w:t>
      </w:r>
      <w:r w:rsidR="00C02F27" w:rsidRPr="00AE5BD5">
        <w:rPr>
          <w:sz w:val="22"/>
          <w:szCs w:val="22"/>
          <w:lang w:val="lt-LT"/>
        </w:rPr>
        <w:t> </w:t>
      </w:r>
      <w:r w:rsidR="0047471E" w:rsidRPr="0047471E">
        <w:rPr>
          <w:sz w:val="22"/>
          <w:szCs w:val="22"/>
          <w:lang w:val="lt-LT"/>
        </w:rPr>
        <w:t xml:space="preserve">µg </w:t>
      </w:r>
      <w:r w:rsidRPr="00AE5BD5">
        <w:rPr>
          <w:sz w:val="22"/>
          <w:szCs w:val="22"/>
          <w:lang w:val="lt-LT"/>
        </w:rPr>
        <w:t>ir levonorgestrelis 150</w:t>
      </w:r>
      <w:r w:rsidR="0047471E" w:rsidRPr="0047471E">
        <w:t xml:space="preserve"> </w:t>
      </w:r>
      <w:r w:rsidR="0047471E" w:rsidRPr="0047471E">
        <w:rPr>
          <w:sz w:val="22"/>
          <w:szCs w:val="22"/>
          <w:lang w:val="lt-LT"/>
        </w:rPr>
        <w:t>µg</w:t>
      </w:r>
      <w:r w:rsidR="00C02F27" w:rsidRPr="00AE5BD5">
        <w:rPr>
          <w:sz w:val="22"/>
          <w:szCs w:val="22"/>
          <w:lang w:val="lt-LT"/>
        </w:rPr>
        <w:t> </w:t>
      </w:r>
      <w:r w:rsidRPr="00AE5BD5">
        <w:rPr>
          <w:sz w:val="22"/>
          <w:szCs w:val="22"/>
          <w:lang w:val="lt-LT"/>
        </w:rPr>
        <w:t>) sildenafilio farmakokinetikai įtakos neturėjo.</w:t>
      </w:r>
    </w:p>
    <w:p w14:paraId="102276F6" w14:textId="77777777" w:rsidR="00C05173" w:rsidRPr="00AE5BD5" w:rsidRDefault="00C05173" w:rsidP="008C6014">
      <w:pPr>
        <w:rPr>
          <w:sz w:val="22"/>
          <w:szCs w:val="22"/>
          <w:lang w:val="lt-LT"/>
        </w:rPr>
      </w:pPr>
    </w:p>
    <w:p w14:paraId="153A7E48" w14:textId="77777777" w:rsidR="00C05173" w:rsidRPr="00AE5BD5" w:rsidRDefault="00C05173" w:rsidP="008C6014">
      <w:pPr>
        <w:rPr>
          <w:sz w:val="22"/>
          <w:szCs w:val="22"/>
          <w:lang w:val="lt-LT"/>
        </w:rPr>
      </w:pPr>
      <w:r w:rsidRPr="00AE5BD5">
        <w:rPr>
          <w:sz w:val="22"/>
          <w:szCs w:val="22"/>
          <w:lang w:val="lt-LT"/>
        </w:rPr>
        <w:t>Nikorandilas yra nitrato ir medžiagos, sužadinančios kalio kanalus, hibridas. Kadangi šiame vaistiniame preparate yra nitratų, jis gali labai sąveikauti su sildenafiliu (žr. 4.3 skyrių).</w:t>
      </w:r>
    </w:p>
    <w:p w14:paraId="000B4B81" w14:textId="77777777" w:rsidR="00C05173" w:rsidRPr="00AE5BD5" w:rsidRDefault="00C05173" w:rsidP="008C6014">
      <w:pPr>
        <w:rPr>
          <w:sz w:val="22"/>
          <w:szCs w:val="22"/>
          <w:lang w:val="lt-LT"/>
        </w:rPr>
      </w:pPr>
    </w:p>
    <w:p w14:paraId="4C5C41F2" w14:textId="77777777" w:rsidR="00C05173" w:rsidRPr="00AE5BD5" w:rsidRDefault="00C05173" w:rsidP="008C6014">
      <w:pPr>
        <w:rPr>
          <w:sz w:val="22"/>
          <w:szCs w:val="22"/>
          <w:lang w:val="lt-LT"/>
        </w:rPr>
      </w:pPr>
      <w:r w:rsidRPr="00AE5BD5">
        <w:rPr>
          <w:sz w:val="22"/>
          <w:szCs w:val="22"/>
          <w:u w:val="single"/>
          <w:lang w:val="lt-LT"/>
        </w:rPr>
        <w:t>Sildenafilio įtaka kitų vaistinių preparatų poveikiui</w:t>
      </w:r>
    </w:p>
    <w:p w14:paraId="0A5AAF98" w14:textId="77777777" w:rsidR="00C05173" w:rsidRPr="00AE5BD5" w:rsidRDefault="00C05173" w:rsidP="008C6014">
      <w:pPr>
        <w:rPr>
          <w:sz w:val="22"/>
          <w:szCs w:val="22"/>
          <w:lang w:val="lt-LT"/>
        </w:rPr>
      </w:pPr>
    </w:p>
    <w:p w14:paraId="540F10B1" w14:textId="77777777" w:rsidR="00C05173" w:rsidRPr="00AE5BD5" w:rsidRDefault="00C05173" w:rsidP="008C6014">
      <w:pPr>
        <w:rPr>
          <w:i/>
          <w:iCs/>
          <w:sz w:val="22"/>
          <w:szCs w:val="22"/>
          <w:lang w:val="lt-LT"/>
        </w:rPr>
      </w:pPr>
      <w:r w:rsidRPr="00AE5BD5">
        <w:rPr>
          <w:i/>
          <w:iCs/>
          <w:sz w:val="22"/>
          <w:szCs w:val="22"/>
          <w:u w:val="single"/>
          <w:lang w:val="lt-LT"/>
        </w:rPr>
        <w:t>Tyrimai in vitro</w:t>
      </w:r>
    </w:p>
    <w:p w14:paraId="61003229" w14:textId="77777777" w:rsidR="00C05173" w:rsidRPr="00AE5BD5" w:rsidRDefault="00C05173" w:rsidP="008C6014">
      <w:pPr>
        <w:rPr>
          <w:sz w:val="22"/>
          <w:szCs w:val="22"/>
          <w:lang w:val="lt-LT"/>
        </w:rPr>
      </w:pPr>
      <w:r w:rsidRPr="00AE5BD5">
        <w:rPr>
          <w:sz w:val="22"/>
          <w:szCs w:val="22"/>
          <w:lang w:val="lt-LT"/>
        </w:rPr>
        <w:t>Sildenafilis yra silpnas citochromo P450 1A2, 2C9, 2C19, 2D6, 2E1 ir 3A4 izoformų inhibitorius (IC</w:t>
      </w:r>
      <w:r w:rsidRPr="00AE5BD5">
        <w:rPr>
          <w:position w:val="-3"/>
          <w:sz w:val="22"/>
          <w:szCs w:val="22"/>
          <w:lang w:val="lt-LT"/>
        </w:rPr>
        <w:t xml:space="preserve">50  </w:t>
      </w:r>
      <w:r w:rsidRPr="00AE5BD5">
        <w:rPr>
          <w:sz w:val="22"/>
          <w:szCs w:val="22"/>
          <w:lang w:val="lt-LT"/>
        </w:rPr>
        <w:t>&gt; 150</w:t>
      </w:r>
      <w:r w:rsidR="00C02F27" w:rsidRPr="00AE5BD5">
        <w:rPr>
          <w:sz w:val="22"/>
          <w:szCs w:val="22"/>
          <w:lang w:val="lt-LT"/>
        </w:rPr>
        <w:t> </w:t>
      </w:r>
      <w:r w:rsidR="00757A8C">
        <w:rPr>
          <w:sz w:val="22"/>
          <w:szCs w:val="22"/>
          <w:lang w:val="lt-LT"/>
        </w:rPr>
        <w:t>mikro</w:t>
      </w:r>
      <w:r w:rsidRPr="00AE5BD5">
        <w:rPr>
          <w:sz w:val="22"/>
          <w:szCs w:val="22"/>
          <w:lang w:val="lt-LT"/>
        </w:rPr>
        <w:t>mol).</w:t>
      </w:r>
    </w:p>
    <w:p w14:paraId="5F914342" w14:textId="77777777" w:rsidR="00C05173" w:rsidRPr="00AE5BD5" w:rsidRDefault="00C05173" w:rsidP="008C6014">
      <w:pPr>
        <w:rPr>
          <w:sz w:val="22"/>
          <w:szCs w:val="22"/>
          <w:lang w:val="lt-LT"/>
        </w:rPr>
      </w:pPr>
      <w:r w:rsidRPr="00AE5BD5">
        <w:rPr>
          <w:sz w:val="22"/>
          <w:szCs w:val="22"/>
          <w:lang w:val="lt-LT"/>
        </w:rPr>
        <w:t>Apie sildenafilio ir neselektyviųjų fosfodiesterazės inhibitorių, pavyzdžiui, teofilino ar dipiridamolo, sąveiką duomenų nėra.</w:t>
      </w:r>
    </w:p>
    <w:p w14:paraId="62CE1830" w14:textId="77777777" w:rsidR="00C05173" w:rsidRPr="00AE5BD5" w:rsidRDefault="00C05173" w:rsidP="008C6014">
      <w:pPr>
        <w:rPr>
          <w:sz w:val="22"/>
          <w:szCs w:val="22"/>
          <w:lang w:val="lt-LT"/>
        </w:rPr>
      </w:pPr>
    </w:p>
    <w:p w14:paraId="1782C1C8" w14:textId="77777777" w:rsidR="00C05173" w:rsidRPr="00AE5BD5" w:rsidRDefault="00C05173" w:rsidP="008C6014">
      <w:pPr>
        <w:rPr>
          <w:i/>
          <w:iCs/>
          <w:sz w:val="22"/>
          <w:szCs w:val="22"/>
          <w:lang w:val="lt-LT"/>
        </w:rPr>
      </w:pPr>
      <w:r w:rsidRPr="00AE5BD5">
        <w:rPr>
          <w:i/>
          <w:iCs/>
          <w:sz w:val="22"/>
          <w:szCs w:val="22"/>
          <w:u w:val="single"/>
          <w:lang w:val="lt-LT"/>
        </w:rPr>
        <w:t>Tyrimai in vivo</w:t>
      </w:r>
    </w:p>
    <w:p w14:paraId="0E50CF0E" w14:textId="77777777" w:rsidR="00C05173" w:rsidRPr="00AE5BD5" w:rsidRDefault="00C05173" w:rsidP="008C6014">
      <w:pPr>
        <w:rPr>
          <w:sz w:val="22"/>
          <w:szCs w:val="22"/>
          <w:lang w:val="lt-LT"/>
        </w:rPr>
      </w:pPr>
      <w:r w:rsidRPr="00AE5BD5">
        <w:rPr>
          <w:sz w:val="22"/>
          <w:szCs w:val="22"/>
          <w:lang w:val="lt-LT"/>
        </w:rPr>
        <w:t>Kartu su sildenafiliu (50</w:t>
      </w:r>
      <w:r w:rsidR="00C02F27" w:rsidRPr="00AE5BD5">
        <w:rPr>
          <w:sz w:val="22"/>
          <w:szCs w:val="22"/>
          <w:lang w:val="lt-LT"/>
        </w:rPr>
        <w:t> </w:t>
      </w:r>
      <w:r w:rsidRPr="00AE5BD5">
        <w:rPr>
          <w:sz w:val="22"/>
          <w:szCs w:val="22"/>
          <w:lang w:val="lt-LT"/>
        </w:rPr>
        <w:t>mg) vartojant CYP2C9 fermentų metabolizuojamų tolbutamido (250 mg) arba varfarino (40</w:t>
      </w:r>
      <w:r w:rsidR="00C02F27" w:rsidRPr="00AE5BD5">
        <w:rPr>
          <w:sz w:val="22"/>
          <w:szCs w:val="22"/>
          <w:lang w:val="lt-LT"/>
        </w:rPr>
        <w:t> </w:t>
      </w:r>
      <w:r w:rsidRPr="00AE5BD5">
        <w:rPr>
          <w:sz w:val="22"/>
          <w:szCs w:val="22"/>
          <w:lang w:val="lt-LT"/>
        </w:rPr>
        <w:t>mg), kokios nors reikšmingos sąveikos nepastebėta.</w:t>
      </w:r>
    </w:p>
    <w:p w14:paraId="4D2404CE" w14:textId="77777777" w:rsidR="00C05173" w:rsidRPr="00AE5BD5" w:rsidRDefault="00C05173" w:rsidP="008C6014">
      <w:pPr>
        <w:rPr>
          <w:sz w:val="22"/>
          <w:szCs w:val="22"/>
          <w:lang w:val="lt-LT"/>
        </w:rPr>
      </w:pPr>
    </w:p>
    <w:p w14:paraId="79D93FEE" w14:textId="77777777" w:rsidR="0007529A" w:rsidRPr="00AE5BD5" w:rsidRDefault="00C05173" w:rsidP="008C6014">
      <w:pPr>
        <w:rPr>
          <w:sz w:val="22"/>
          <w:szCs w:val="22"/>
          <w:lang w:val="lt-LT"/>
        </w:rPr>
      </w:pPr>
      <w:r w:rsidRPr="00AE5BD5">
        <w:rPr>
          <w:sz w:val="22"/>
          <w:szCs w:val="22"/>
          <w:lang w:val="lt-LT"/>
        </w:rPr>
        <w:t>Manoma, kad sildenafilis kliniškai reikšmingo poveikio CYP3A4 nesukelia, nes atorvastatino ekspozicija labai nepadidėjo (AUC padidėjo 11 %)</w:t>
      </w:r>
    </w:p>
    <w:p w14:paraId="1E767949" w14:textId="77777777" w:rsidR="00C05173" w:rsidRPr="00AE5BD5" w:rsidRDefault="00C05173" w:rsidP="008C6014">
      <w:pPr>
        <w:rPr>
          <w:sz w:val="22"/>
          <w:szCs w:val="22"/>
          <w:lang w:val="lt-LT"/>
        </w:rPr>
      </w:pPr>
      <w:r w:rsidRPr="00AE5BD5">
        <w:rPr>
          <w:sz w:val="22"/>
          <w:szCs w:val="22"/>
          <w:lang w:val="lt-LT"/>
        </w:rPr>
        <w:t>Sildenafilio (vienkartinė 100</w:t>
      </w:r>
      <w:r w:rsidR="00C02F27" w:rsidRPr="00AE5BD5">
        <w:rPr>
          <w:sz w:val="22"/>
          <w:szCs w:val="22"/>
          <w:lang w:val="lt-LT"/>
        </w:rPr>
        <w:t> </w:t>
      </w:r>
      <w:r w:rsidRPr="00AE5BD5">
        <w:rPr>
          <w:sz w:val="22"/>
          <w:szCs w:val="22"/>
          <w:lang w:val="lt-LT"/>
        </w:rPr>
        <w:t>mg dozė) sąveikos su acenokumaroliu nenustatyta.</w:t>
      </w:r>
    </w:p>
    <w:p w14:paraId="4217A7AE" w14:textId="77777777" w:rsidR="00C05173" w:rsidRPr="00AE5BD5" w:rsidRDefault="00C05173" w:rsidP="008C6014">
      <w:pPr>
        <w:rPr>
          <w:sz w:val="22"/>
          <w:szCs w:val="22"/>
          <w:lang w:val="lt-LT"/>
        </w:rPr>
      </w:pPr>
    </w:p>
    <w:p w14:paraId="2088A6F7" w14:textId="77777777" w:rsidR="00C05173" w:rsidRPr="00AE5BD5" w:rsidRDefault="00C05173" w:rsidP="008C6014">
      <w:pPr>
        <w:rPr>
          <w:sz w:val="22"/>
          <w:szCs w:val="22"/>
          <w:lang w:val="lt-LT"/>
        </w:rPr>
      </w:pPr>
      <w:r w:rsidRPr="00AE5BD5">
        <w:rPr>
          <w:sz w:val="22"/>
          <w:szCs w:val="22"/>
          <w:lang w:val="lt-LT"/>
        </w:rPr>
        <w:t>Sildenafilis (50</w:t>
      </w:r>
      <w:r w:rsidR="00C02F27" w:rsidRPr="00AE5BD5">
        <w:rPr>
          <w:sz w:val="22"/>
          <w:szCs w:val="22"/>
          <w:lang w:val="lt-LT"/>
        </w:rPr>
        <w:t> </w:t>
      </w:r>
      <w:r w:rsidRPr="00AE5BD5">
        <w:rPr>
          <w:sz w:val="22"/>
          <w:szCs w:val="22"/>
          <w:lang w:val="lt-LT"/>
        </w:rPr>
        <w:t>mg) neilgino kraujavimo laiko, pailgėjusio dėl acetilsalicilo rūgšties (150 mg) poveikio.</w:t>
      </w:r>
    </w:p>
    <w:p w14:paraId="357A02A9" w14:textId="77777777" w:rsidR="00C05173" w:rsidRPr="00AE5BD5" w:rsidRDefault="00C05173" w:rsidP="008C6014">
      <w:pPr>
        <w:rPr>
          <w:sz w:val="22"/>
          <w:szCs w:val="22"/>
          <w:lang w:val="lt-LT"/>
        </w:rPr>
      </w:pPr>
    </w:p>
    <w:p w14:paraId="24C4D853" w14:textId="77777777" w:rsidR="00C05173" w:rsidRPr="00AE5BD5" w:rsidRDefault="00C05173" w:rsidP="008C6014">
      <w:pPr>
        <w:rPr>
          <w:sz w:val="22"/>
          <w:szCs w:val="22"/>
          <w:lang w:val="lt-LT"/>
        </w:rPr>
      </w:pPr>
      <w:r w:rsidRPr="00AE5BD5">
        <w:rPr>
          <w:sz w:val="22"/>
          <w:szCs w:val="22"/>
          <w:lang w:val="lt-LT"/>
        </w:rPr>
        <w:t>Sildenafilis (50</w:t>
      </w:r>
      <w:r w:rsidR="00C02F27" w:rsidRPr="00AE5BD5">
        <w:rPr>
          <w:sz w:val="22"/>
          <w:szCs w:val="22"/>
          <w:lang w:val="lt-LT"/>
        </w:rPr>
        <w:t> </w:t>
      </w:r>
      <w:r w:rsidRPr="00AE5BD5">
        <w:rPr>
          <w:sz w:val="22"/>
          <w:szCs w:val="22"/>
          <w:lang w:val="lt-LT"/>
        </w:rPr>
        <w:t>mg) nestiprino alkoholio sukeliamo hipotenzinio poveikio sveikiems savanoriams, kurių kraujo plazmoje didžiausia alkoholio koncentracija buvo 80</w:t>
      </w:r>
      <w:r w:rsidR="00062E73">
        <w:rPr>
          <w:sz w:val="22"/>
          <w:szCs w:val="22"/>
          <w:lang w:val="lt-LT"/>
        </w:rPr>
        <w:t> </w:t>
      </w:r>
      <w:r w:rsidRPr="00AE5BD5">
        <w:rPr>
          <w:sz w:val="22"/>
          <w:szCs w:val="22"/>
          <w:lang w:val="lt-LT"/>
        </w:rPr>
        <w:t>mg/dl.</w:t>
      </w:r>
    </w:p>
    <w:p w14:paraId="2EABB435" w14:textId="77777777" w:rsidR="00C05173" w:rsidRPr="00AE5BD5" w:rsidRDefault="00C05173" w:rsidP="008C6014">
      <w:pPr>
        <w:rPr>
          <w:sz w:val="22"/>
          <w:szCs w:val="22"/>
          <w:lang w:val="lt-LT"/>
        </w:rPr>
      </w:pPr>
    </w:p>
    <w:p w14:paraId="0C2D16BF" w14:textId="77777777" w:rsidR="00C05173" w:rsidRPr="00AE5BD5" w:rsidRDefault="00C05173" w:rsidP="008C6014">
      <w:pPr>
        <w:rPr>
          <w:sz w:val="22"/>
          <w:szCs w:val="22"/>
          <w:lang w:val="lt-LT"/>
        </w:rPr>
      </w:pPr>
      <w:r w:rsidRPr="00AE5BD5">
        <w:rPr>
          <w:sz w:val="22"/>
          <w:szCs w:val="22"/>
          <w:lang w:val="lt-LT"/>
        </w:rPr>
        <w:t>Tyrimų su sveikais savanoriais duomenimis, sildenafilis, kai jo apykaita buvo pusiausvyrinė (80</w:t>
      </w:r>
      <w:r w:rsidR="00C02F27" w:rsidRPr="00AE5BD5">
        <w:rPr>
          <w:sz w:val="22"/>
          <w:szCs w:val="22"/>
          <w:lang w:val="lt-LT"/>
        </w:rPr>
        <w:t> </w:t>
      </w:r>
      <w:r w:rsidRPr="00AE5BD5">
        <w:rPr>
          <w:sz w:val="22"/>
          <w:szCs w:val="22"/>
          <w:lang w:val="lt-LT"/>
        </w:rPr>
        <w:t>mg tris kartus per parą), bozentano (po 125</w:t>
      </w:r>
      <w:r w:rsidR="00C02F27" w:rsidRPr="00AE5BD5">
        <w:rPr>
          <w:sz w:val="22"/>
          <w:szCs w:val="22"/>
          <w:lang w:val="lt-LT"/>
        </w:rPr>
        <w:t> </w:t>
      </w:r>
      <w:r w:rsidRPr="00AE5BD5">
        <w:rPr>
          <w:sz w:val="22"/>
          <w:szCs w:val="22"/>
          <w:lang w:val="lt-LT"/>
        </w:rPr>
        <w:t>mg du kartus per parą) AUC padidino 50 %. Su PAH sergančiais suaugusiais pacientais, kuriems buvo skiriamas foninis gydymas bozentanu (po 62,5</w:t>
      </w:r>
      <w:r w:rsidR="00C02F27" w:rsidRPr="00AE5BD5">
        <w:rPr>
          <w:sz w:val="22"/>
          <w:szCs w:val="22"/>
          <w:lang w:val="lt-LT"/>
        </w:rPr>
        <w:t> </w:t>
      </w:r>
      <w:r w:rsidRPr="00AE5BD5">
        <w:rPr>
          <w:sz w:val="22"/>
          <w:szCs w:val="22"/>
          <w:lang w:val="lt-LT"/>
        </w:rPr>
        <w:t>mg – 125</w:t>
      </w:r>
      <w:r w:rsidR="00C02F27" w:rsidRPr="00AE5BD5">
        <w:rPr>
          <w:sz w:val="22"/>
          <w:szCs w:val="22"/>
          <w:lang w:val="lt-LT"/>
        </w:rPr>
        <w:t> </w:t>
      </w:r>
      <w:r w:rsidRPr="00AE5BD5">
        <w:rPr>
          <w:sz w:val="22"/>
          <w:szCs w:val="22"/>
          <w:lang w:val="lt-LT"/>
        </w:rPr>
        <w:t>mg du kartus per parą), atlikto tyrimo duomenų populiacinė farmakokinetinė analizė parodė, kad, esant pusiausvyrinei sildenafilio koncentracijai (po 20</w:t>
      </w:r>
      <w:r w:rsidR="00C02F27" w:rsidRPr="00AE5BD5">
        <w:rPr>
          <w:sz w:val="22"/>
          <w:szCs w:val="22"/>
          <w:lang w:val="lt-LT"/>
        </w:rPr>
        <w:t> </w:t>
      </w:r>
      <w:r w:rsidRPr="00AE5BD5">
        <w:rPr>
          <w:sz w:val="22"/>
          <w:szCs w:val="22"/>
          <w:lang w:val="lt-LT"/>
        </w:rPr>
        <w:t xml:space="preserve">mg tris kartus per parą), bozentano AUC padidėjo (20% (95% PI: 9,8 – 30,8) ir buvo mažesnis nei tas, kuris pasireiškė bozentaną kartu su sildenafiliu (po 80 mg tris kartus per </w:t>
      </w:r>
      <w:r w:rsidRPr="00AE5BD5">
        <w:rPr>
          <w:sz w:val="22"/>
          <w:szCs w:val="22"/>
          <w:lang w:val="lt-LT"/>
        </w:rPr>
        <w:lastRenderedPageBreak/>
        <w:t>parą) vartojusiems sveikiems savanoriams (žr. 4.4 ir 5.1 skyrius).</w:t>
      </w:r>
    </w:p>
    <w:p w14:paraId="38CE476C" w14:textId="77777777" w:rsidR="00C05173" w:rsidRPr="00AE5BD5" w:rsidRDefault="00C05173" w:rsidP="008C6014">
      <w:pPr>
        <w:rPr>
          <w:sz w:val="22"/>
          <w:szCs w:val="22"/>
          <w:lang w:val="lt-LT"/>
        </w:rPr>
      </w:pPr>
    </w:p>
    <w:p w14:paraId="5C96D040" w14:textId="77777777" w:rsidR="00C05173" w:rsidRPr="00AE5BD5" w:rsidRDefault="00C05173" w:rsidP="008C6014">
      <w:pPr>
        <w:rPr>
          <w:sz w:val="22"/>
          <w:szCs w:val="22"/>
          <w:lang w:val="lt-LT"/>
        </w:rPr>
      </w:pPr>
      <w:r w:rsidRPr="00AE5BD5">
        <w:rPr>
          <w:sz w:val="22"/>
          <w:szCs w:val="22"/>
          <w:lang w:val="lt-LT"/>
        </w:rPr>
        <w:t>Specifinės sąveikos tyrimo duomenimis, hipertenzija sergantiems ligoniams, kurie sildenafilio</w:t>
      </w:r>
      <w:r w:rsidR="00C02F27" w:rsidRPr="00AE5BD5">
        <w:rPr>
          <w:sz w:val="22"/>
          <w:szCs w:val="22"/>
          <w:lang w:val="lt-LT"/>
        </w:rPr>
        <w:t xml:space="preserve"> </w:t>
      </w:r>
      <w:r w:rsidRPr="00AE5BD5">
        <w:rPr>
          <w:sz w:val="22"/>
          <w:szCs w:val="22"/>
          <w:lang w:val="lt-LT"/>
        </w:rPr>
        <w:t>(100</w:t>
      </w:r>
      <w:r w:rsidR="00C02F27" w:rsidRPr="00AE5BD5">
        <w:rPr>
          <w:sz w:val="22"/>
          <w:szCs w:val="22"/>
          <w:lang w:val="lt-LT"/>
        </w:rPr>
        <w:t> </w:t>
      </w:r>
      <w:r w:rsidRPr="00AE5BD5">
        <w:rPr>
          <w:sz w:val="22"/>
          <w:szCs w:val="22"/>
          <w:lang w:val="lt-LT"/>
        </w:rPr>
        <w:t>mg) vartojo kartu su amlodipinu, sistolinis kraujospūdis gulint ant nugaros sumažėjo papildomai 8</w:t>
      </w:r>
      <w:r w:rsidR="00C02F27" w:rsidRPr="00AE5BD5">
        <w:rPr>
          <w:sz w:val="22"/>
          <w:szCs w:val="22"/>
          <w:lang w:val="lt-LT"/>
        </w:rPr>
        <w:t> </w:t>
      </w:r>
      <w:r w:rsidRPr="00AE5BD5">
        <w:rPr>
          <w:sz w:val="22"/>
          <w:szCs w:val="22"/>
          <w:lang w:val="lt-LT"/>
        </w:rPr>
        <w:t>mm Hg, o diastolinis  7 mm Hg. Tiek pat kraujospūdis sumažėjo ir sveikiems savanoriams, vartojusiems vien sildenafilį.</w:t>
      </w:r>
    </w:p>
    <w:p w14:paraId="20C0152C" w14:textId="77777777" w:rsidR="00C05173" w:rsidRPr="00AE5BD5" w:rsidRDefault="00C05173" w:rsidP="008C6014">
      <w:pPr>
        <w:rPr>
          <w:sz w:val="22"/>
          <w:szCs w:val="22"/>
          <w:lang w:val="lt-LT"/>
        </w:rPr>
      </w:pPr>
    </w:p>
    <w:p w14:paraId="03F8FE5F" w14:textId="77777777" w:rsidR="00C05173" w:rsidRPr="00AE5BD5" w:rsidRDefault="00C05173" w:rsidP="008C6014">
      <w:pPr>
        <w:rPr>
          <w:sz w:val="22"/>
          <w:szCs w:val="22"/>
          <w:lang w:val="lt-LT"/>
        </w:rPr>
      </w:pPr>
      <w:r w:rsidRPr="00AE5BD5">
        <w:rPr>
          <w:sz w:val="22"/>
          <w:szCs w:val="22"/>
          <w:lang w:val="lt-LT"/>
        </w:rPr>
        <w:t>Trijų specifinių vaistų sąveikos tyrimų duomenimis, alfa adrenoreceptorių blokatorių doksazosiną (4</w:t>
      </w:r>
      <w:r w:rsidR="00062E73">
        <w:rPr>
          <w:sz w:val="22"/>
          <w:szCs w:val="22"/>
          <w:lang w:val="lt-LT"/>
        </w:rPr>
        <w:t> </w:t>
      </w:r>
      <w:r w:rsidRPr="00AE5BD5">
        <w:rPr>
          <w:sz w:val="22"/>
          <w:szCs w:val="22"/>
          <w:lang w:val="lt-LT"/>
        </w:rPr>
        <w:t>mg ir 8</w:t>
      </w:r>
      <w:r w:rsidR="00062E73">
        <w:rPr>
          <w:sz w:val="22"/>
          <w:szCs w:val="22"/>
          <w:lang w:val="lt-LT"/>
        </w:rPr>
        <w:t> </w:t>
      </w:r>
      <w:r w:rsidRPr="00AE5BD5">
        <w:rPr>
          <w:sz w:val="22"/>
          <w:szCs w:val="22"/>
          <w:lang w:val="lt-LT"/>
        </w:rPr>
        <w:t>mg) ir sildenafilį (25</w:t>
      </w:r>
      <w:r w:rsidR="00062E73">
        <w:rPr>
          <w:sz w:val="22"/>
          <w:szCs w:val="22"/>
          <w:lang w:val="lt-LT"/>
        </w:rPr>
        <w:t> </w:t>
      </w:r>
      <w:r w:rsidRPr="00AE5BD5">
        <w:rPr>
          <w:sz w:val="22"/>
          <w:szCs w:val="22"/>
          <w:lang w:val="lt-LT"/>
        </w:rPr>
        <w:t>mg, 50</w:t>
      </w:r>
      <w:r w:rsidR="00062E73">
        <w:rPr>
          <w:sz w:val="22"/>
          <w:szCs w:val="22"/>
          <w:lang w:val="lt-LT"/>
        </w:rPr>
        <w:t> </w:t>
      </w:r>
      <w:r w:rsidRPr="00AE5BD5">
        <w:rPr>
          <w:sz w:val="22"/>
          <w:szCs w:val="22"/>
          <w:lang w:val="lt-LT"/>
        </w:rPr>
        <w:t>mg arba 100</w:t>
      </w:r>
      <w:r w:rsidR="00062E73">
        <w:rPr>
          <w:sz w:val="22"/>
          <w:szCs w:val="22"/>
          <w:lang w:val="lt-LT"/>
        </w:rPr>
        <w:t> </w:t>
      </w:r>
      <w:r w:rsidRPr="00AE5BD5">
        <w:rPr>
          <w:sz w:val="22"/>
          <w:szCs w:val="22"/>
          <w:lang w:val="lt-LT"/>
        </w:rPr>
        <w:t>mg) vartojo kartu ligoniai, sergantys gerybine prostatos hiperplazija (GPH), kuriems gydymas doksazosinu stabilizavo būklę. Šių tyrimų duomenimis, ant nugaros gulintiems ligoniams kraujospūdis sumažėjo papildomai vidutiniškai atitinkamai 7/7</w:t>
      </w:r>
      <w:r w:rsidR="00062E73">
        <w:rPr>
          <w:sz w:val="22"/>
          <w:szCs w:val="22"/>
          <w:lang w:val="lt-LT"/>
        </w:rPr>
        <w:t> </w:t>
      </w:r>
      <w:r w:rsidRPr="00AE5BD5">
        <w:rPr>
          <w:sz w:val="22"/>
          <w:szCs w:val="22"/>
          <w:lang w:val="lt-LT"/>
        </w:rPr>
        <w:t>mm Hg, 9/5</w:t>
      </w:r>
      <w:r w:rsidR="00062E73">
        <w:rPr>
          <w:sz w:val="22"/>
          <w:szCs w:val="22"/>
          <w:lang w:val="lt-LT"/>
        </w:rPr>
        <w:t> </w:t>
      </w:r>
      <w:r w:rsidRPr="00AE5BD5">
        <w:rPr>
          <w:sz w:val="22"/>
          <w:szCs w:val="22"/>
          <w:lang w:val="lt-LT"/>
        </w:rPr>
        <w:t>mm Hg ir 8/4</w:t>
      </w:r>
      <w:r w:rsidR="00062E73">
        <w:rPr>
          <w:sz w:val="22"/>
          <w:szCs w:val="22"/>
          <w:lang w:val="lt-LT"/>
        </w:rPr>
        <w:t> </w:t>
      </w:r>
      <w:r w:rsidRPr="00AE5BD5">
        <w:rPr>
          <w:sz w:val="22"/>
          <w:szCs w:val="22"/>
          <w:lang w:val="lt-LT"/>
        </w:rPr>
        <w:t>mm Hg, o stovint - vidutiniškai atitinkamai 6/6</w:t>
      </w:r>
      <w:r w:rsidR="00062E73">
        <w:rPr>
          <w:sz w:val="22"/>
          <w:szCs w:val="22"/>
          <w:lang w:val="lt-LT"/>
        </w:rPr>
        <w:t> </w:t>
      </w:r>
      <w:r w:rsidRPr="00AE5BD5">
        <w:rPr>
          <w:sz w:val="22"/>
          <w:szCs w:val="22"/>
          <w:lang w:val="lt-LT"/>
        </w:rPr>
        <w:t>mm Hg, 11/4</w:t>
      </w:r>
      <w:r w:rsidR="00062E73">
        <w:rPr>
          <w:spacing w:val="-3"/>
          <w:sz w:val="22"/>
          <w:szCs w:val="22"/>
          <w:lang w:val="lt-LT"/>
        </w:rPr>
        <w:t> </w:t>
      </w:r>
      <w:r w:rsidRPr="00AE5BD5">
        <w:rPr>
          <w:sz w:val="22"/>
          <w:szCs w:val="22"/>
          <w:lang w:val="lt-LT"/>
        </w:rPr>
        <w:t>mm</w:t>
      </w:r>
      <w:r w:rsidRPr="00AE5BD5">
        <w:rPr>
          <w:spacing w:val="-7"/>
          <w:sz w:val="22"/>
          <w:szCs w:val="22"/>
          <w:lang w:val="lt-LT"/>
        </w:rPr>
        <w:t xml:space="preserve"> </w:t>
      </w:r>
      <w:r w:rsidRPr="00AE5BD5">
        <w:rPr>
          <w:sz w:val="22"/>
          <w:szCs w:val="22"/>
          <w:lang w:val="lt-LT"/>
        </w:rPr>
        <w:t>Hg</w:t>
      </w:r>
      <w:r w:rsidRPr="00AE5BD5">
        <w:rPr>
          <w:spacing w:val="-3"/>
          <w:sz w:val="22"/>
          <w:szCs w:val="22"/>
          <w:lang w:val="lt-LT"/>
        </w:rPr>
        <w:t xml:space="preserve"> </w:t>
      </w:r>
      <w:r w:rsidRPr="00AE5BD5">
        <w:rPr>
          <w:sz w:val="22"/>
          <w:szCs w:val="22"/>
          <w:lang w:val="lt-LT"/>
        </w:rPr>
        <w:t>ir</w:t>
      </w:r>
      <w:r w:rsidRPr="00AE5BD5">
        <w:rPr>
          <w:spacing w:val="-3"/>
          <w:sz w:val="22"/>
          <w:szCs w:val="22"/>
          <w:lang w:val="lt-LT"/>
        </w:rPr>
        <w:t xml:space="preserve"> </w:t>
      </w:r>
      <w:r w:rsidRPr="00AE5BD5">
        <w:rPr>
          <w:sz w:val="22"/>
          <w:szCs w:val="22"/>
          <w:lang w:val="lt-LT"/>
        </w:rPr>
        <w:t>4/5</w:t>
      </w:r>
      <w:r w:rsidR="00062E73">
        <w:rPr>
          <w:spacing w:val="-3"/>
          <w:sz w:val="22"/>
          <w:szCs w:val="22"/>
          <w:lang w:val="lt-LT"/>
        </w:rPr>
        <w:t> </w:t>
      </w:r>
      <w:r w:rsidRPr="00AE5BD5">
        <w:rPr>
          <w:sz w:val="22"/>
          <w:szCs w:val="22"/>
          <w:lang w:val="lt-LT"/>
        </w:rPr>
        <w:t>mm</w:t>
      </w:r>
      <w:r w:rsidRPr="00AE5BD5">
        <w:rPr>
          <w:spacing w:val="-7"/>
          <w:sz w:val="22"/>
          <w:szCs w:val="22"/>
          <w:lang w:val="lt-LT"/>
        </w:rPr>
        <w:t xml:space="preserve"> </w:t>
      </w:r>
      <w:r w:rsidRPr="00AE5BD5">
        <w:rPr>
          <w:sz w:val="22"/>
          <w:szCs w:val="22"/>
          <w:lang w:val="lt-LT"/>
        </w:rPr>
        <w:t>Hg.</w:t>
      </w:r>
      <w:r w:rsidRPr="00AE5BD5">
        <w:rPr>
          <w:spacing w:val="-4"/>
          <w:sz w:val="22"/>
          <w:szCs w:val="22"/>
          <w:lang w:val="lt-LT"/>
        </w:rPr>
        <w:t xml:space="preserve"> </w:t>
      </w:r>
      <w:r w:rsidRPr="00AE5BD5">
        <w:rPr>
          <w:sz w:val="22"/>
          <w:szCs w:val="22"/>
          <w:lang w:val="lt-LT"/>
        </w:rPr>
        <w:t>Tiems</w:t>
      </w:r>
      <w:r w:rsidRPr="00AE5BD5">
        <w:rPr>
          <w:spacing w:val="-4"/>
          <w:sz w:val="22"/>
          <w:szCs w:val="22"/>
          <w:lang w:val="lt-LT"/>
        </w:rPr>
        <w:t xml:space="preserve"> </w:t>
      </w:r>
      <w:r w:rsidRPr="00AE5BD5">
        <w:rPr>
          <w:sz w:val="22"/>
          <w:szCs w:val="22"/>
          <w:lang w:val="lt-LT"/>
        </w:rPr>
        <w:t>ligoniams,</w:t>
      </w:r>
      <w:r w:rsidRPr="00AE5BD5">
        <w:rPr>
          <w:spacing w:val="-4"/>
          <w:sz w:val="22"/>
          <w:szCs w:val="22"/>
          <w:lang w:val="lt-LT"/>
        </w:rPr>
        <w:t xml:space="preserve"> </w:t>
      </w:r>
      <w:r w:rsidRPr="00AE5BD5">
        <w:rPr>
          <w:sz w:val="22"/>
          <w:szCs w:val="22"/>
          <w:lang w:val="lt-LT"/>
        </w:rPr>
        <w:t>kuriems</w:t>
      </w:r>
      <w:r w:rsidRPr="00AE5BD5">
        <w:rPr>
          <w:spacing w:val="-4"/>
          <w:sz w:val="22"/>
          <w:szCs w:val="22"/>
          <w:lang w:val="lt-LT"/>
        </w:rPr>
        <w:t xml:space="preserve"> </w:t>
      </w:r>
      <w:r w:rsidRPr="00AE5BD5">
        <w:rPr>
          <w:sz w:val="22"/>
          <w:szCs w:val="22"/>
          <w:lang w:val="lt-LT"/>
        </w:rPr>
        <w:t>kartu</w:t>
      </w:r>
      <w:r w:rsidRPr="00AE5BD5">
        <w:rPr>
          <w:spacing w:val="-4"/>
          <w:sz w:val="22"/>
          <w:szCs w:val="22"/>
          <w:lang w:val="lt-LT"/>
        </w:rPr>
        <w:t xml:space="preserve"> </w:t>
      </w:r>
      <w:r w:rsidRPr="00AE5BD5">
        <w:rPr>
          <w:sz w:val="22"/>
          <w:szCs w:val="22"/>
          <w:lang w:val="lt-LT"/>
        </w:rPr>
        <w:t>su</w:t>
      </w:r>
      <w:r w:rsidRPr="00AE5BD5">
        <w:rPr>
          <w:spacing w:val="-4"/>
          <w:sz w:val="22"/>
          <w:szCs w:val="22"/>
          <w:lang w:val="lt-LT"/>
        </w:rPr>
        <w:t xml:space="preserve"> </w:t>
      </w:r>
      <w:r w:rsidRPr="00AE5BD5">
        <w:rPr>
          <w:sz w:val="22"/>
          <w:szCs w:val="22"/>
          <w:lang w:val="lt-LT"/>
        </w:rPr>
        <w:t>sildenafiliu</w:t>
      </w:r>
      <w:r w:rsidRPr="00AE5BD5">
        <w:rPr>
          <w:spacing w:val="-4"/>
          <w:sz w:val="22"/>
          <w:szCs w:val="22"/>
          <w:lang w:val="lt-LT"/>
        </w:rPr>
        <w:t xml:space="preserve"> </w:t>
      </w:r>
      <w:r w:rsidRPr="00AE5BD5">
        <w:rPr>
          <w:sz w:val="22"/>
          <w:szCs w:val="22"/>
          <w:lang w:val="lt-LT"/>
        </w:rPr>
        <w:t>vartojamas</w:t>
      </w:r>
      <w:r w:rsidRPr="00AE5BD5">
        <w:rPr>
          <w:spacing w:val="-4"/>
          <w:sz w:val="22"/>
          <w:szCs w:val="22"/>
          <w:lang w:val="lt-LT"/>
        </w:rPr>
        <w:t xml:space="preserve"> </w:t>
      </w:r>
      <w:r w:rsidRPr="00AE5BD5">
        <w:rPr>
          <w:sz w:val="22"/>
          <w:szCs w:val="22"/>
          <w:lang w:val="lt-LT"/>
        </w:rPr>
        <w:t>doksazosinas</w:t>
      </w:r>
      <w:r w:rsidR="00C02F27" w:rsidRPr="00AE5BD5">
        <w:rPr>
          <w:sz w:val="22"/>
          <w:szCs w:val="22"/>
          <w:lang w:val="lt-LT"/>
        </w:rPr>
        <w:t xml:space="preserve"> </w:t>
      </w:r>
      <w:r w:rsidRPr="00AE5BD5">
        <w:rPr>
          <w:sz w:val="22"/>
          <w:szCs w:val="22"/>
          <w:lang w:val="lt-LT"/>
        </w:rPr>
        <w:t>stabilizavo būklę, ortostatinės hipotenzijos simptomai pasireiškė nedažnai. Pasireiškė galvos sukimasis svaigulys, bet ne sinkopė. Kai kuriems jautriems žmonėms sildenafilio ir alfa adrenoreceptorių blokatorių vartojimas kartu gali sukelti simptominę hipotenziją (žr. 4.4 skyrių).</w:t>
      </w:r>
    </w:p>
    <w:p w14:paraId="02433DA2" w14:textId="77777777" w:rsidR="00C05173" w:rsidRPr="00AE5BD5" w:rsidRDefault="00C05173" w:rsidP="008C6014">
      <w:pPr>
        <w:rPr>
          <w:sz w:val="22"/>
          <w:szCs w:val="22"/>
          <w:lang w:val="lt-LT"/>
        </w:rPr>
      </w:pPr>
    </w:p>
    <w:p w14:paraId="68A02F63" w14:textId="77777777" w:rsidR="00C05173" w:rsidRPr="00AE5BD5" w:rsidRDefault="00C05173" w:rsidP="008C6014">
      <w:pPr>
        <w:rPr>
          <w:sz w:val="22"/>
          <w:szCs w:val="22"/>
          <w:lang w:val="lt-LT"/>
        </w:rPr>
      </w:pPr>
      <w:r w:rsidRPr="00AE5BD5">
        <w:rPr>
          <w:sz w:val="22"/>
          <w:szCs w:val="22"/>
          <w:lang w:val="lt-LT"/>
        </w:rPr>
        <w:t>Sildenafilis (100</w:t>
      </w:r>
      <w:r w:rsidR="00062E73">
        <w:rPr>
          <w:sz w:val="22"/>
          <w:szCs w:val="22"/>
          <w:lang w:val="lt-LT"/>
        </w:rPr>
        <w:t> </w:t>
      </w:r>
      <w:r w:rsidRPr="00AE5BD5">
        <w:rPr>
          <w:sz w:val="22"/>
          <w:szCs w:val="22"/>
          <w:lang w:val="lt-LT"/>
        </w:rPr>
        <w:t>mg), suvartotas nusistovėjus pusiausvyrinei ŽIV proteazės inhibitoriaus sakvinaviro (metabolizuoja CYP3A4 fermentai) apykaitai, įtakos jo farmakokinetikai nedarė.</w:t>
      </w:r>
    </w:p>
    <w:p w14:paraId="6446EA5E" w14:textId="77777777" w:rsidR="00C05173" w:rsidRPr="00AE5BD5" w:rsidRDefault="00C05173" w:rsidP="008C6014">
      <w:pPr>
        <w:rPr>
          <w:sz w:val="22"/>
          <w:szCs w:val="22"/>
          <w:lang w:val="lt-LT"/>
        </w:rPr>
      </w:pPr>
    </w:p>
    <w:p w14:paraId="0F99FD3B" w14:textId="77777777" w:rsidR="00C05173" w:rsidRPr="00AE5BD5" w:rsidRDefault="00C05173" w:rsidP="008C6014">
      <w:pPr>
        <w:rPr>
          <w:sz w:val="22"/>
          <w:szCs w:val="22"/>
          <w:lang w:val="lt-LT"/>
        </w:rPr>
      </w:pPr>
      <w:r w:rsidRPr="00AE5BD5">
        <w:rPr>
          <w:sz w:val="22"/>
          <w:szCs w:val="22"/>
          <w:lang w:val="lt-LT"/>
        </w:rPr>
        <w:t>Žinant, kad sildenafilis veikia azoto oksido ir cGMF reakcijų grandinę (žr. 5.1 skyrių) ir dėl to stiprina hipotenzinį nitratų poveikį, jo negalima vartoti kartu su bet kuriais azoto oksido donorais arba nitratais (žr. 4.3 skyrių).</w:t>
      </w:r>
    </w:p>
    <w:p w14:paraId="2194752F" w14:textId="77777777" w:rsidR="00C05173" w:rsidRPr="00AE5BD5" w:rsidRDefault="00C05173" w:rsidP="008C6014">
      <w:pPr>
        <w:rPr>
          <w:sz w:val="22"/>
          <w:szCs w:val="22"/>
          <w:lang w:val="lt-LT"/>
        </w:rPr>
      </w:pPr>
    </w:p>
    <w:p w14:paraId="5760611E" w14:textId="77777777" w:rsidR="00C05173" w:rsidRPr="00AE5BD5" w:rsidRDefault="00C05173" w:rsidP="008C6014">
      <w:pPr>
        <w:rPr>
          <w:i/>
          <w:iCs/>
          <w:sz w:val="22"/>
          <w:szCs w:val="22"/>
          <w:lang w:val="lt-LT"/>
        </w:rPr>
      </w:pPr>
      <w:r w:rsidRPr="00AE5BD5">
        <w:rPr>
          <w:i/>
          <w:iCs/>
          <w:sz w:val="22"/>
          <w:szCs w:val="22"/>
          <w:lang w:val="lt-LT"/>
        </w:rPr>
        <w:t>Riociguatas</w:t>
      </w:r>
    </w:p>
    <w:p w14:paraId="277A9BF5" w14:textId="77777777" w:rsidR="00C05173" w:rsidRPr="00AE5BD5" w:rsidRDefault="00C05173" w:rsidP="008C6014">
      <w:pPr>
        <w:rPr>
          <w:sz w:val="22"/>
          <w:szCs w:val="22"/>
          <w:lang w:val="lt-LT"/>
        </w:rPr>
      </w:pPr>
      <w:r w:rsidRPr="00AE5BD5">
        <w:rPr>
          <w:sz w:val="22"/>
          <w:szCs w:val="22"/>
          <w:lang w:val="lt-LT"/>
        </w:rPr>
        <w:t>Ikiklinikiniai tyrimai parodė papildomą sisteminio kraujospūdžio sumažėjimą FDE5 inhibitorius vartojant kartu su riociguatu. Remiantis klinikinių tyrimų duomenimis, įrodyta, kad riociguatas padidina hipotenzinį FDE5 inhibitorių poveikį. Nėra palankaus tokio derinio klinikinio poveikio tirtoje populiacijoje įrodymų. Riociguatą vartoti kartu su FDE5 inhibitoriais, įskaitant sildenafilį, draudžiama (žr. 4.3 skyrių).</w:t>
      </w:r>
    </w:p>
    <w:p w14:paraId="25BDDA9A" w14:textId="77777777" w:rsidR="00C05173" w:rsidRPr="00AE5BD5" w:rsidRDefault="00C05173" w:rsidP="008C6014">
      <w:pPr>
        <w:rPr>
          <w:sz w:val="22"/>
          <w:szCs w:val="22"/>
          <w:lang w:val="lt-LT"/>
        </w:rPr>
      </w:pPr>
      <w:r w:rsidRPr="00AE5BD5">
        <w:rPr>
          <w:sz w:val="22"/>
          <w:szCs w:val="22"/>
          <w:lang w:val="lt-LT"/>
        </w:rPr>
        <w:t xml:space="preserve">Sildenafilis neturėjo kliniškai reikšmingo poveikio kartu vartojamų geriamų kontraceptinių vaistinių preparatų (etinilestradiolis 30 </w:t>
      </w:r>
      <w:r w:rsidR="00953345" w:rsidRPr="00953345">
        <w:rPr>
          <w:sz w:val="22"/>
          <w:szCs w:val="22"/>
          <w:lang w:val="lt-LT"/>
        </w:rPr>
        <w:t xml:space="preserve">µg </w:t>
      </w:r>
      <w:r w:rsidRPr="00AE5BD5">
        <w:rPr>
          <w:sz w:val="22"/>
          <w:szCs w:val="22"/>
          <w:lang w:val="lt-LT"/>
        </w:rPr>
        <w:t xml:space="preserve">ir levonorgestrelis 150 </w:t>
      </w:r>
      <w:r w:rsidR="00953345" w:rsidRPr="00953345">
        <w:rPr>
          <w:sz w:val="22"/>
          <w:szCs w:val="22"/>
          <w:lang w:val="lt-LT"/>
        </w:rPr>
        <w:t>µg</w:t>
      </w:r>
      <w:r w:rsidRPr="00AE5BD5">
        <w:rPr>
          <w:sz w:val="22"/>
          <w:szCs w:val="22"/>
          <w:lang w:val="lt-LT"/>
        </w:rPr>
        <w:t xml:space="preserve">) koncentracijai </w:t>
      </w:r>
      <w:r w:rsidR="00953345">
        <w:rPr>
          <w:sz w:val="22"/>
          <w:szCs w:val="22"/>
          <w:lang w:val="lt-LT"/>
        </w:rPr>
        <w:t xml:space="preserve">kraujo </w:t>
      </w:r>
      <w:r w:rsidRPr="00AE5BD5">
        <w:rPr>
          <w:sz w:val="22"/>
          <w:szCs w:val="22"/>
          <w:lang w:val="lt-LT"/>
        </w:rPr>
        <w:t>plazmoje.</w:t>
      </w:r>
    </w:p>
    <w:p w14:paraId="7F77FC31" w14:textId="77777777" w:rsidR="00C05173" w:rsidRDefault="00C05173" w:rsidP="008C6014">
      <w:pPr>
        <w:rPr>
          <w:sz w:val="22"/>
          <w:szCs w:val="22"/>
          <w:lang w:val="lt-LT"/>
        </w:rPr>
      </w:pPr>
    </w:p>
    <w:p w14:paraId="6498C301" w14:textId="15EF4E8A" w:rsidR="009711C9" w:rsidRDefault="009711C9" w:rsidP="008C6014">
      <w:pPr>
        <w:rPr>
          <w:sz w:val="22"/>
          <w:szCs w:val="22"/>
          <w:lang w:val="lt-LT"/>
        </w:rPr>
      </w:pPr>
      <w:r w:rsidRPr="009711C9">
        <w:rPr>
          <w:sz w:val="22"/>
          <w:szCs w:val="22"/>
          <w:lang w:val="lt-LT"/>
        </w:rPr>
        <w:t>Pacientams, sergantiems hipertenzija, vartojantiems sakubitrilo/valsartano (nusistovėjus pusiausvyrinei koncentracijai) papildomai pavartojus vienkartinę sildenafilio dozę, kraujospūdis, palyginti su vien tik sakubitrilo/valsartano vartojimu, sumažėjo reikšmingai daugiau. Todėl reikia būti atsargiems pradedant skirti sildenafilį pacientams, kurie gydomi sakubitrilu/valsartanu.</w:t>
      </w:r>
    </w:p>
    <w:p w14:paraId="330BD05E" w14:textId="77777777" w:rsidR="002A02A3" w:rsidRPr="00AE5BD5" w:rsidRDefault="002A02A3" w:rsidP="008C6014">
      <w:pPr>
        <w:rPr>
          <w:sz w:val="22"/>
          <w:szCs w:val="22"/>
          <w:lang w:val="lt-LT"/>
        </w:rPr>
      </w:pPr>
    </w:p>
    <w:p w14:paraId="3912D11F" w14:textId="77777777" w:rsidR="00C05173" w:rsidRPr="00AE5BD5" w:rsidRDefault="00C05173" w:rsidP="008C6014">
      <w:pPr>
        <w:rPr>
          <w:sz w:val="22"/>
          <w:szCs w:val="22"/>
          <w:lang w:val="lt-LT"/>
        </w:rPr>
      </w:pPr>
      <w:r w:rsidRPr="00AE5BD5">
        <w:rPr>
          <w:sz w:val="22"/>
          <w:szCs w:val="22"/>
          <w:u w:val="single"/>
          <w:lang w:val="lt-LT"/>
        </w:rPr>
        <w:t>Vaikų populiacija</w:t>
      </w:r>
    </w:p>
    <w:p w14:paraId="21ED6CB4" w14:textId="77777777" w:rsidR="00C05173" w:rsidRPr="00AE5BD5" w:rsidRDefault="00C05173" w:rsidP="008C6014">
      <w:pPr>
        <w:rPr>
          <w:sz w:val="22"/>
          <w:szCs w:val="22"/>
          <w:lang w:val="lt-LT"/>
        </w:rPr>
      </w:pPr>
      <w:r w:rsidRPr="00AE5BD5">
        <w:rPr>
          <w:sz w:val="22"/>
          <w:szCs w:val="22"/>
          <w:lang w:val="lt-LT"/>
        </w:rPr>
        <w:t>Sąveikos tyrimai atlikti tik suaugusiesiems.</w:t>
      </w:r>
    </w:p>
    <w:p w14:paraId="2C6FF216" w14:textId="77777777" w:rsidR="00C05173" w:rsidRPr="00AE5BD5" w:rsidRDefault="00C05173" w:rsidP="008C6014">
      <w:pPr>
        <w:rPr>
          <w:sz w:val="22"/>
          <w:szCs w:val="22"/>
          <w:lang w:val="lt-LT"/>
        </w:rPr>
      </w:pPr>
    </w:p>
    <w:p w14:paraId="5DA6EE69" w14:textId="77777777" w:rsidR="00C05173" w:rsidRPr="00AE5BD5" w:rsidRDefault="00C05173" w:rsidP="008C6014">
      <w:pPr>
        <w:rPr>
          <w:b/>
          <w:sz w:val="22"/>
          <w:szCs w:val="22"/>
          <w:lang w:val="lt-LT"/>
        </w:rPr>
      </w:pPr>
      <w:r w:rsidRPr="00AE5BD5">
        <w:rPr>
          <w:b/>
          <w:sz w:val="22"/>
          <w:szCs w:val="22"/>
          <w:lang w:val="lt-LT"/>
        </w:rPr>
        <w:t>4.6</w:t>
      </w:r>
      <w:r w:rsidRPr="00AE5BD5">
        <w:rPr>
          <w:b/>
          <w:sz w:val="22"/>
          <w:szCs w:val="22"/>
          <w:lang w:val="lt-LT"/>
        </w:rPr>
        <w:tab/>
        <w:t>Vaisingumas, nėštumo ir žindymo</w:t>
      </w:r>
      <w:r w:rsidRPr="00AE5BD5">
        <w:rPr>
          <w:b/>
          <w:spacing w:val="-25"/>
          <w:sz w:val="22"/>
          <w:szCs w:val="22"/>
          <w:lang w:val="lt-LT"/>
        </w:rPr>
        <w:t xml:space="preserve"> </w:t>
      </w:r>
      <w:r w:rsidRPr="00AE5BD5">
        <w:rPr>
          <w:b/>
          <w:sz w:val="22"/>
          <w:szCs w:val="22"/>
          <w:lang w:val="lt-LT"/>
        </w:rPr>
        <w:t>laikotarpis</w:t>
      </w:r>
    </w:p>
    <w:p w14:paraId="681529BA" w14:textId="77777777" w:rsidR="00C05173" w:rsidRPr="00AE5BD5" w:rsidRDefault="00C05173" w:rsidP="008C6014">
      <w:pPr>
        <w:rPr>
          <w:b/>
          <w:bCs/>
          <w:sz w:val="22"/>
          <w:szCs w:val="22"/>
          <w:lang w:val="lt-LT"/>
        </w:rPr>
      </w:pPr>
    </w:p>
    <w:p w14:paraId="0EEEC0E1" w14:textId="77777777" w:rsidR="00C05173" w:rsidRPr="00AE5BD5" w:rsidRDefault="00C05173" w:rsidP="008C6014">
      <w:pPr>
        <w:rPr>
          <w:sz w:val="22"/>
          <w:szCs w:val="22"/>
          <w:lang w:val="lt-LT"/>
        </w:rPr>
      </w:pPr>
      <w:r w:rsidRPr="00AE5BD5">
        <w:rPr>
          <w:sz w:val="22"/>
          <w:szCs w:val="22"/>
          <w:u w:val="single"/>
          <w:lang w:val="lt-LT"/>
        </w:rPr>
        <w:t>Vaisingo amžiaus moterys bei vyrų ir moterų kontracepcija</w:t>
      </w:r>
    </w:p>
    <w:p w14:paraId="786A3853" w14:textId="77777777" w:rsidR="00C05173" w:rsidRDefault="00C05173" w:rsidP="008C6014">
      <w:pPr>
        <w:rPr>
          <w:sz w:val="22"/>
          <w:szCs w:val="22"/>
          <w:lang w:val="lt-LT"/>
        </w:rPr>
      </w:pPr>
      <w:r w:rsidRPr="00AE5BD5">
        <w:rPr>
          <w:sz w:val="22"/>
          <w:szCs w:val="22"/>
          <w:lang w:val="lt-LT"/>
        </w:rPr>
        <w:t xml:space="preserve">Duomenys apie </w:t>
      </w:r>
      <w:r w:rsidR="00B61707" w:rsidRPr="00AE5BD5">
        <w:rPr>
          <w:sz w:val="22"/>
          <w:szCs w:val="22"/>
          <w:lang w:val="lt-LT"/>
        </w:rPr>
        <w:t>Silungo</w:t>
      </w:r>
      <w:r w:rsidRPr="00AE5BD5">
        <w:rPr>
          <w:sz w:val="22"/>
          <w:szCs w:val="22"/>
          <w:lang w:val="lt-LT"/>
        </w:rPr>
        <w:t xml:space="preserve"> poveikį nėščioms moterims yra riboti. </w:t>
      </w:r>
      <w:r w:rsidR="00B61707" w:rsidRPr="00AE5BD5">
        <w:rPr>
          <w:sz w:val="22"/>
          <w:szCs w:val="22"/>
          <w:lang w:val="lt-LT"/>
        </w:rPr>
        <w:t>Silungo</w:t>
      </w:r>
      <w:r w:rsidRPr="00AE5BD5">
        <w:rPr>
          <w:sz w:val="22"/>
          <w:szCs w:val="22"/>
          <w:lang w:val="lt-LT"/>
        </w:rPr>
        <w:t xml:space="preserve"> nerekomenduojama vartoti vaisingo amžiaus moterims, kurios nenaudoja tinkamų kontracepcijos priemonių.</w:t>
      </w:r>
    </w:p>
    <w:p w14:paraId="1DFFB806" w14:textId="77777777" w:rsidR="00895C23" w:rsidRPr="00AE5BD5" w:rsidRDefault="00895C23" w:rsidP="008C6014">
      <w:pPr>
        <w:rPr>
          <w:sz w:val="22"/>
          <w:szCs w:val="22"/>
          <w:lang w:val="lt-LT"/>
        </w:rPr>
      </w:pPr>
    </w:p>
    <w:p w14:paraId="764378FF" w14:textId="77777777" w:rsidR="00C05173" w:rsidRPr="00AE5BD5" w:rsidRDefault="00C05173" w:rsidP="008C6014">
      <w:pPr>
        <w:rPr>
          <w:sz w:val="22"/>
          <w:szCs w:val="22"/>
          <w:lang w:val="lt-LT"/>
        </w:rPr>
      </w:pPr>
      <w:r w:rsidRPr="00AE5BD5">
        <w:rPr>
          <w:sz w:val="22"/>
          <w:szCs w:val="22"/>
          <w:u w:val="single"/>
          <w:lang w:val="lt-LT"/>
        </w:rPr>
        <w:t>Nėštumas</w:t>
      </w:r>
    </w:p>
    <w:p w14:paraId="1585BF08" w14:textId="77777777" w:rsidR="0007529A" w:rsidRPr="00AE5BD5" w:rsidRDefault="00C05173" w:rsidP="008C6014">
      <w:pPr>
        <w:rPr>
          <w:sz w:val="22"/>
          <w:szCs w:val="22"/>
          <w:lang w:val="lt-LT"/>
        </w:rPr>
      </w:pPr>
      <w:r w:rsidRPr="00AE5BD5">
        <w:rPr>
          <w:sz w:val="22"/>
          <w:szCs w:val="22"/>
          <w:lang w:val="lt-LT"/>
        </w:rPr>
        <w:t xml:space="preserve">Duomenų apie sildenafilio vartojimą nėštumo metu nėra. Tyrimais su gyvūnais nei tiesioginio, nei netiesioginio kenksmingo poveikio nėštumo eigai, embriono ar vaisiaus raidai nenustatyta. Su gyvūnais atliktų tyrimų duomenimis, </w:t>
      </w:r>
      <w:r w:rsidR="00895C23">
        <w:rPr>
          <w:sz w:val="22"/>
          <w:szCs w:val="22"/>
          <w:lang w:val="lt-LT"/>
        </w:rPr>
        <w:t xml:space="preserve">vaistinis </w:t>
      </w:r>
      <w:r w:rsidRPr="00AE5BD5">
        <w:rPr>
          <w:sz w:val="22"/>
          <w:szCs w:val="22"/>
          <w:lang w:val="lt-LT"/>
        </w:rPr>
        <w:t>preparatas daro toksinį poveikį postnataliniam vystymuisi (žr.</w:t>
      </w:r>
      <w:r w:rsidR="00C02F27" w:rsidRPr="00AE5BD5">
        <w:rPr>
          <w:sz w:val="22"/>
          <w:szCs w:val="22"/>
          <w:lang w:val="lt-LT"/>
        </w:rPr>
        <w:t xml:space="preserve"> </w:t>
      </w:r>
      <w:r w:rsidRPr="00AE5BD5">
        <w:rPr>
          <w:sz w:val="22"/>
          <w:szCs w:val="22"/>
          <w:lang w:val="lt-LT"/>
        </w:rPr>
        <w:t>5.3 skyrių).</w:t>
      </w:r>
    </w:p>
    <w:p w14:paraId="46FE5B11" w14:textId="77777777" w:rsidR="00C02F27" w:rsidRPr="00AE5BD5" w:rsidRDefault="00B61707" w:rsidP="008C6014">
      <w:pPr>
        <w:rPr>
          <w:sz w:val="22"/>
          <w:szCs w:val="22"/>
          <w:lang w:val="lt-LT"/>
        </w:rPr>
      </w:pPr>
      <w:r w:rsidRPr="00AE5BD5">
        <w:rPr>
          <w:sz w:val="22"/>
          <w:szCs w:val="22"/>
          <w:lang w:val="lt-LT"/>
        </w:rPr>
        <w:t>Silungo</w:t>
      </w:r>
      <w:r w:rsidR="00C05173" w:rsidRPr="00AE5BD5">
        <w:rPr>
          <w:sz w:val="22"/>
          <w:szCs w:val="22"/>
          <w:lang w:val="lt-LT"/>
        </w:rPr>
        <w:t xml:space="preserve"> dėl duomenų stokos nėštumo metu vartoti negalima, išskyrus neabejotinai būtinus atvejus. </w:t>
      </w:r>
    </w:p>
    <w:p w14:paraId="26F867C1" w14:textId="77777777" w:rsidR="00C02F27" w:rsidRPr="00AE5BD5" w:rsidRDefault="00C02F27" w:rsidP="008C6014">
      <w:pPr>
        <w:rPr>
          <w:sz w:val="22"/>
          <w:szCs w:val="22"/>
          <w:u w:val="single"/>
          <w:lang w:val="lt-LT"/>
        </w:rPr>
      </w:pPr>
    </w:p>
    <w:p w14:paraId="22B12305" w14:textId="77777777" w:rsidR="00C05173" w:rsidRPr="00AE5BD5" w:rsidRDefault="00C05173" w:rsidP="008C6014">
      <w:pPr>
        <w:rPr>
          <w:sz w:val="22"/>
          <w:szCs w:val="22"/>
          <w:lang w:val="lt-LT"/>
        </w:rPr>
      </w:pPr>
      <w:r w:rsidRPr="00AE5BD5">
        <w:rPr>
          <w:sz w:val="22"/>
          <w:szCs w:val="22"/>
          <w:u w:val="single"/>
          <w:lang w:val="lt-LT"/>
        </w:rPr>
        <w:t>Žindymas</w:t>
      </w:r>
    </w:p>
    <w:p w14:paraId="0EFB30CB" w14:textId="034BC595" w:rsidR="00AB2458" w:rsidRPr="00C458F4" w:rsidRDefault="00BF56BB" w:rsidP="008C6014">
      <w:pPr>
        <w:rPr>
          <w:sz w:val="22"/>
          <w:szCs w:val="22"/>
          <w:lang w:val="lt-LT"/>
        </w:rPr>
      </w:pPr>
      <w:r w:rsidRPr="00C458F4">
        <w:rPr>
          <w:sz w:val="22"/>
          <w:szCs w:val="22"/>
          <w:lang w:val="lt-LT"/>
        </w:rPr>
        <w:t xml:space="preserve">Su žindyvėmis reikiamų ir tinkamai kontroliuojamų tyrimų neatlikta. Vienos žindyvės duomenys rodo, kad į motinos pieną išsiskiria labai mažai sildenafilio ir jo veikliojo metabolito N-desmetilsildenafilio. Klinikinių duomenų apie nepageidaujamą poveikį žindomiems kūdikiams nėra, tačiau, atsižvelgiant į suvartojamą kiekį, nepageidaujamo poveikio nesitikima. Vaistinį preparatą skiriantys medikai turi atidžiai </w:t>
      </w:r>
      <w:r w:rsidRPr="00C458F4">
        <w:rPr>
          <w:sz w:val="22"/>
          <w:szCs w:val="22"/>
          <w:lang w:val="lt-LT"/>
        </w:rPr>
        <w:lastRenderedPageBreak/>
        <w:t>įvertinti klinikinį sildenafilio poreikį motinai ir galimą nepageidaujamą poveikį žindomam vaikui.</w:t>
      </w:r>
    </w:p>
    <w:p w14:paraId="718FD6F7" w14:textId="77777777" w:rsidR="00BF56BB" w:rsidRPr="00AE5BD5" w:rsidRDefault="00BF56BB" w:rsidP="008C6014">
      <w:pPr>
        <w:rPr>
          <w:sz w:val="22"/>
          <w:szCs w:val="22"/>
          <w:u w:val="single"/>
          <w:lang w:val="lt-LT"/>
        </w:rPr>
      </w:pPr>
    </w:p>
    <w:p w14:paraId="558B8AA7" w14:textId="77777777" w:rsidR="00C05173" w:rsidRPr="00AE5BD5" w:rsidRDefault="00C05173" w:rsidP="008C6014">
      <w:pPr>
        <w:rPr>
          <w:sz w:val="22"/>
          <w:szCs w:val="22"/>
          <w:lang w:val="lt-LT"/>
        </w:rPr>
      </w:pPr>
      <w:r w:rsidRPr="00AE5BD5">
        <w:rPr>
          <w:sz w:val="22"/>
          <w:szCs w:val="22"/>
          <w:u w:val="single"/>
          <w:lang w:val="lt-LT"/>
        </w:rPr>
        <w:t>Vaisingumas</w:t>
      </w:r>
    </w:p>
    <w:p w14:paraId="655302C4" w14:textId="77777777" w:rsidR="00C05173" w:rsidRPr="00AE5BD5" w:rsidRDefault="00C05173" w:rsidP="008C6014">
      <w:pPr>
        <w:rPr>
          <w:sz w:val="22"/>
          <w:szCs w:val="22"/>
          <w:lang w:val="lt-LT"/>
        </w:rPr>
      </w:pPr>
      <w:r w:rsidRPr="00AE5BD5">
        <w:rPr>
          <w:sz w:val="22"/>
          <w:szCs w:val="22"/>
          <w:lang w:val="lt-LT"/>
        </w:rPr>
        <w:t>Įprastų toksinio poveikio vaisingumui ikiklinikinių tyrimų duomenys specifinio pavojaus žmogui nerodo (žr. 5.3 skyrių).</w:t>
      </w:r>
    </w:p>
    <w:p w14:paraId="3C9E167C" w14:textId="77777777" w:rsidR="00E93353" w:rsidRPr="005A3594" w:rsidRDefault="00E93353" w:rsidP="008C6014">
      <w:pPr>
        <w:rPr>
          <w:rFonts w:eastAsia="Times New Roman"/>
          <w:snapToGrid w:val="0"/>
          <w:sz w:val="22"/>
          <w:szCs w:val="22"/>
          <w:lang w:val="lt-LT"/>
        </w:rPr>
      </w:pPr>
    </w:p>
    <w:p w14:paraId="17D16180" w14:textId="77777777" w:rsidR="00E93353" w:rsidRPr="00D37093" w:rsidRDefault="00E93353" w:rsidP="008C6014">
      <w:pPr>
        <w:rPr>
          <w:rFonts w:eastAsia="Times New Roman"/>
          <w:b/>
          <w:bCs/>
          <w:snapToGrid w:val="0"/>
          <w:sz w:val="22"/>
          <w:szCs w:val="22"/>
          <w:lang w:val="lt-LT" w:eastAsia="x-none"/>
        </w:rPr>
      </w:pPr>
      <w:r w:rsidRPr="00042B32">
        <w:rPr>
          <w:b/>
          <w:bCs/>
          <w:snapToGrid w:val="0"/>
          <w:sz w:val="22"/>
          <w:szCs w:val="22"/>
          <w:lang w:val="lt-LT" w:eastAsia="x-none"/>
        </w:rPr>
        <w:t>4.7</w:t>
      </w:r>
      <w:r w:rsidRPr="00042B32">
        <w:rPr>
          <w:b/>
          <w:bCs/>
          <w:snapToGrid w:val="0"/>
          <w:sz w:val="22"/>
          <w:szCs w:val="22"/>
          <w:lang w:val="lt-LT" w:eastAsia="x-none"/>
        </w:rPr>
        <w:tab/>
      </w:r>
      <w:r w:rsidRPr="00D37093">
        <w:rPr>
          <w:b/>
          <w:bCs/>
          <w:snapToGrid w:val="0"/>
          <w:sz w:val="22"/>
          <w:szCs w:val="22"/>
          <w:lang w:val="lt-LT" w:eastAsia="x-none"/>
        </w:rPr>
        <w:t>Poveikis gebėjimui vairuoti ir valdyti mechanizmus</w:t>
      </w:r>
    </w:p>
    <w:p w14:paraId="569625CB" w14:textId="77777777" w:rsidR="00E93353" w:rsidRPr="003E6E21" w:rsidRDefault="00E93353" w:rsidP="008C6014">
      <w:pPr>
        <w:rPr>
          <w:rFonts w:eastAsia="Times New Roman"/>
          <w:snapToGrid w:val="0"/>
          <w:sz w:val="22"/>
          <w:szCs w:val="22"/>
          <w:lang w:val="lt-LT"/>
        </w:rPr>
      </w:pPr>
    </w:p>
    <w:p w14:paraId="5934C2B9" w14:textId="77777777" w:rsidR="00C05173" w:rsidRPr="00AE5BD5" w:rsidRDefault="00B61707" w:rsidP="008C6014">
      <w:pPr>
        <w:rPr>
          <w:sz w:val="22"/>
          <w:szCs w:val="22"/>
          <w:lang w:val="lt-LT"/>
        </w:rPr>
      </w:pPr>
      <w:r w:rsidRPr="00AE5BD5">
        <w:rPr>
          <w:sz w:val="22"/>
          <w:szCs w:val="22"/>
          <w:lang w:val="lt-LT"/>
        </w:rPr>
        <w:t>Silungo</w:t>
      </w:r>
      <w:r w:rsidR="00C05173" w:rsidRPr="00AE5BD5">
        <w:rPr>
          <w:sz w:val="22"/>
          <w:szCs w:val="22"/>
          <w:lang w:val="lt-LT"/>
        </w:rPr>
        <w:t xml:space="preserve"> gebėjimą vairuoti ir valdyti mechanizmus veikia vidutiniškai.</w:t>
      </w:r>
    </w:p>
    <w:p w14:paraId="581F1536" w14:textId="77777777" w:rsidR="00C05173" w:rsidRPr="00AE5BD5" w:rsidRDefault="00B1025D" w:rsidP="008C6014">
      <w:pPr>
        <w:rPr>
          <w:sz w:val="22"/>
          <w:szCs w:val="22"/>
          <w:lang w:val="lt-LT"/>
        </w:rPr>
      </w:pPr>
      <w:r>
        <w:rPr>
          <w:sz w:val="22"/>
          <w:szCs w:val="22"/>
          <w:lang w:val="lt-LT"/>
        </w:rPr>
        <w:t xml:space="preserve">Pacientą </w:t>
      </w:r>
      <w:r w:rsidR="00C05173" w:rsidRPr="00AE5BD5">
        <w:rPr>
          <w:sz w:val="22"/>
          <w:szCs w:val="22"/>
          <w:lang w:val="lt-LT"/>
        </w:rPr>
        <w:t xml:space="preserve">reikia perspėti, kad </w:t>
      </w:r>
      <w:r w:rsidR="00B61707" w:rsidRPr="00AE5BD5">
        <w:rPr>
          <w:sz w:val="22"/>
          <w:szCs w:val="22"/>
          <w:lang w:val="lt-LT"/>
        </w:rPr>
        <w:t>Silungo</w:t>
      </w:r>
      <w:r w:rsidR="00C05173" w:rsidRPr="00AE5BD5">
        <w:rPr>
          <w:sz w:val="22"/>
          <w:szCs w:val="22"/>
          <w:lang w:val="lt-LT"/>
        </w:rPr>
        <w:t xml:space="preserve"> gali pabloginti gebėjimą vairuoti arba valdyti mechanizmus, nes klinikinių tyrimų metu vaistinis preparatas sukėlė </w:t>
      </w:r>
      <w:r>
        <w:rPr>
          <w:sz w:val="22"/>
          <w:szCs w:val="22"/>
          <w:lang w:val="lt-LT"/>
        </w:rPr>
        <w:t xml:space="preserve">svaigulį </w:t>
      </w:r>
      <w:r w:rsidR="00C05173" w:rsidRPr="00AE5BD5">
        <w:rPr>
          <w:sz w:val="22"/>
          <w:szCs w:val="22"/>
          <w:lang w:val="lt-LT"/>
        </w:rPr>
        <w:t>ir regėjimo pokytį.</w:t>
      </w:r>
    </w:p>
    <w:p w14:paraId="3B7DA8EF" w14:textId="77777777" w:rsidR="00E93353" w:rsidRPr="005A3594" w:rsidRDefault="00E93353" w:rsidP="008C6014">
      <w:pPr>
        <w:rPr>
          <w:rFonts w:eastAsia="Times New Roman"/>
          <w:snapToGrid w:val="0"/>
          <w:sz w:val="22"/>
          <w:szCs w:val="22"/>
          <w:lang w:val="lt-LT"/>
        </w:rPr>
      </w:pPr>
    </w:p>
    <w:p w14:paraId="5EC6BD60" w14:textId="77777777" w:rsidR="00E93353" w:rsidRPr="00D37093" w:rsidRDefault="00E93353" w:rsidP="008C6014">
      <w:pPr>
        <w:rPr>
          <w:rFonts w:eastAsia="Times New Roman"/>
          <w:snapToGrid w:val="0"/>
          <w:sz w:val="22"/>
          <w:szCs w:val="22"/>
          <w:lang w:val="lt-LT"/>
        </w:rPr>
      </w:pPr>
      <w:r w:rsidRPr="00042B32">
        <w:rPr>
          <w:rFonts w:eastAsia="Times New Roman"/>
          <w:b/>
          <w:snapToGrid w:val="0"/>
          <w:sz w:val="22"/>
          <w:szCs w:val="22"/>
          <w:lang w:val="lt-LT"/>
        </w:rPr>
        <w:t>4.8</w:t>
      </w:r>
      <w:r w:rsidRPr="00042B32">
        <w:rPr>
          <w:rFonts w:eastAsia="Times New Roman"/>
          <w:b/>
          <w:snapToGrid w:val="0"/>
          <w:sz w:val="22"/>
          <w:szCs w:val="22"/>
          <w:lang w:val="lt-LT"/>
        </w:rPr>
        <w:tab/>
        <w:t>Nepageidaujamas poveikis</w:t>
      </w:r>
    </w:p>
    <w:p w14:paraId="095C02F1" w14:textId="77777777" w:rsidR="00E93353" w:rsidRPr="003E6E21" w:rsidRDefault="00E93353" w:rsidP="008C6014">
      <w:pPr>
        <w:rPr>
          <w:rFonts w:eastAsia="Times New Roman"/>
          <w:snapToGrid w:val="0"/>
          <w:sz w:val="22"/>
          <w:szCs w:val="22"/>
          <w:u w:val="single"/>
          <w:lang w:val="lt-LT"/>
        </w:rPr>
      </w:pPr>
    </w:p>
    <w:p w14:paraId="29E97CB8" w14:textId="77777777" w:rsidR="00C05173" w:rsidRPr="00AE5BD5" w:rsidRDefault="00C05173" w:rsidP="008C6014">
      <w:pPr>
        <w:rPr>
          <w:sz w:val="22"/>
          <w:szCs w:val="22"/>
          <w:lang w:val="lt-LT"/>
        </w:rPr>
      </w:pPr>
      <w:r w:rsidRPr="00AE5BD5">
        <w:rPr>
          <w:sz w:val="22"/>
          <w:szCs w:val="22"/>
          <w:u w:val="single"/>
          <w:lang w:val="lt-LT"/>
        </w:rPr>
        <w:t>Saugumo duomenų suvestinė</w:t>
      </w:r>
    </w:p>
    <w:p w14:paraId="7D6255EA" w14:textId="77777777" w:rsidR="00C05173" w:rsidRPr="00AE5BD5" w:rsidRDefault="00C05173" w:rsidP="008C6014">
      <w:pPr>
        <w:rPr>
          <w:sz w:val="22"/>
          <w:szCs w:val="22"/>
          <w:lang w:val="lt-LT"/>
        </w:rPr>
      </w:pPr>
      <w:r w:rsidRPr="00AE5BD5">
        <w:rPr>
          <w:sz w:val="22"/>
          <w:szCs w:val="22"/>
          <w:lang w:val="lt-LT"/>
        </w:rPr>
        <w:t>Pagrindžiamojo klinikinio placebu kontroliuojamojo tyrimo metu 207 pacientams, sergantiems plautine arterine hipertenzija, atsitiktiniu būdu buvo paskirtas gydymas 20</w:t>
      </w:r>
      <w:r w:rsidR="00AB2458" w:rsidRPr="00AE5BD5">
        <w:rPr>
          <w:sz w:val="22"/>
          <w:szCs w:val="22"/>
          <w:lang w:val="lt-LT"/>
        </w:rPr>
        <w:t> </w:t>
      </w:r>
      <w:r w:rsidRPr="00AE5BD5">
        <w:rPr>
          <w:sz w:val="22"/>
          <w:szCs w:val="22"/>
          <w:lang w:val="lt-LT"/>
        </w:rPr>
        <w:t>mg, 40</w:t>
      </w:r>
      <w:r w:rsidR="00AB2458" w:rsidRPr="00AE5BD5">
        <w:rPr>
          <w:sz w:val="22"/>
          <w:szCs w:val="22"/>
          <w:lang w:val="lt-LT"/>
        </w:rPr>
        <w:t> </w:t>
      </w:r>
      <w:r w:rsidRPr="00AE5BD5">
        <w:rPr>
          <w:sz w:val="22"/>
          <w:szCs w:val="22"/>
          <w:lang w:val="lt-LT"/>
        </w:rPr>
        <w:t>mg arba 80</w:t>
      </w:r>
      <w:r w:rsidR="00AB2458" w:rsidRPr="00AE5BD5">
        <w:rPr>
          <w:sz w:val="22"/>
          <w:szCs w:val="22"/>
          <w:lang w:val="lt-LT"/>
        </w:rPr>
        <w:t> </w:t>
      </w:r>
      <w:r w:rsidRPr="00AE5BD5">
        <w:rPr>
          <w:sz w:val="22"/>
          <w:szCs w:val="22"/>
          <w:lang w:val="lt-LT"/>
        </w:rPr>
        <w:t xml:space="preserve">mg </w:t>
      </w:r>
      <w:r w:rsidR="00AB2458" w:rsidRPr="00AE5BD5">
        <w:rPr>
          <w:sz w:val="22"/>
          <w:szCs w:val="22"/>
          <w:lang w:val="lt-LT"/>
        </w:rPr>
        <w:t>sildenafilio</w:t>
      </w:r>
      <w:r w:rsidRPr="00AE5BD5">
        <w:rPr>
          <w:sz w:val="22"/>
          <w:szCs w:val="22"/>
          <w:lang w:val="lt-LT"/>
        </w:rPr>
        <w:t xml:space="preserve"> dozėmis tris kartus per parą ir 70 pacientų atsitiktiniu būdu buvo paskirtas gydymas placebu. Tyrimas truko 12 savaičių. Bendras gydymo nutraukimo dažnis pacientų, gydytų 20</w:t>
      </w:r>
      <w:r w:rsidR="00AB2458" w:rsidRPr="00AE5BD5">
        <w:rPr>
          <w:sz w:val="22"/>
          <w:szCs w:val="22"/>
          <w:lang w:val="lt-LT"/>
        </w:rPr>
        <w:t> </w:t>
      </w:r>
      <w:r w:rsidRPr="00AE5BD5">
        <w:rPr>
          <w:sz w:val="22"/>
          <w:szCs w:val="22"/>
          <w:lang w:val="lt-LT"/>
        </w:rPr>
        <w:t>mg, 40</w:t>
      </w:r>
      <w:r w:rsidR="00AB2458" w:rsidRPr="00AE5BD5">
        <w:rPr>
          <w:sz w:val="22"/>
          <w:szCs w:val="22"/>
          <w:lang w:val="lt-LT"/>
        </w:rPr>
        <w:t> </w:t>
      </w:r>
      <w:r w:rsidRPr="00AE5BD5">
        <w:rPr>
          <w:sz w:val="22"/>
          <w:szCs w:val="22"/>
          <w:lang w:val="lt-LT"/>
        </w:rPr>
        <w:t>mg arba 80</w:t>
      </w:r>
      <w:r w:rsidR="00AB2458" w:rsidRPr="00AE5BD5">
        <w:rPr>
          <w:sz w:val="22"/>
          <w:szCs w:val="22"/>
          <w:lang w:val="lt-LT"/>
        </w:rPr>
        <w:t> </w:t>
      </w:r>
      <w:r w:rsidRPr="00AE5BD5">
        <w:rPr>
          <w:sz w:val="22"/>
          <w:szCs w:val="22"/>
          <w:lang w:val="lt-LT"/>
        </w:rPr>
        <w:t>mg sildenafilio dozėmis tris kartus per parą, grupėje buvo atitinkamai 2,9 %, 3,0 % ir 8,5 %, palyginti su 2,9 % placebo grupėje. 259 asmenys iš 277 pagrindžiamajame tyrime dalyvavusių tiriamųjų, toliau dalyvavo ilgalaikiame tyrime. Buvo vartotos iki 80</w:t>
      </w:r>
      <w:r w:rsidR="00AB2458" w:rsidRPr="00AE5BD5">
        <w:rPr>
          <w:sz w:val="22"/>
          <w:szCs w:val="22"/>
          <w:lang w:val="lt-LT"/>
        </w:rPr>
        <w:t> </w:t>
      </w:r>
      <w:r w:rsidRPr="00AE5BD5">
        <w:rPr>
          <w:sz w:val="22"/>
          <w:szCs w:val="22"/>
          <w:lang w:val="lt-LT"/>
        </w:rPr>
        <w:t>mg dozės tris kartus per parą</w:t>
      </w:r>
      <w:r w:rsidR="00AB2458" w:rsidRPr="00AE5BD5">
        <w:rPr>
          <w:sz w:val="22"/>
          <w:szCs w:val="22"/>
          <w:lang w:val="lt-LT"/>
        </w:rPr>
        <w:t xml:space="preserve"> </w:t>
      </w:r>
      <w:r w:rsidRPr="00AE5BD5">
        <w:rPr>
          <w:sz w:val="22"/>
          <w:szCs w:val="22"/>
          <w:lang w:val="lt-LT"/>
        </w:rPr>
        <w:t>(4 kartus didesnė dozė už rekomenduojamą 20</w:t>
      </w:r>
      <w:r w:rsidR="00AB2458" w:rsidRPr="00AE5BD5">
        <w:rPr>
          <w:sz w:val="22"/>
          <w:szCs w:val="22"/>
          <w:lang w:val="lt-LT"/>
        </w:rPr>
        <w:t> </w:t>
      </w:r>
      <w:r w:rsidRPr="00AE5BD5">
        <w:rPr>
          <w:sz w:val="22"/>
          <w:szCs w:val="22"/>
          <w:lang w:val="lt-LT"/>
        </w:rPr>
        <w:t>mg tris kartus per parą) ir po 3 metų 87 % iš 183 pacientų, kuriems buvo skirtas tiriamasis gydymas, vartojo 80</w:t>
      </w:r>
      <w:r w:rsidR="00AB2458" w:rsidRPr="00AE5BD5">
        <w:rPr>
          <w:sz w:val="22"/>
          <w:szCs w:val="22"/>
          <w:lang w:val="lt-LT"/>
        </w:rPr>
        <w:t> </w:t>
      </w:r>
      <w:r w:rsidRPr="00AE5BD5">
        <w:rPr>
          <w:sz w:val="22"/>
          <w:szCs w:val="22"/>
          <w:lang w:val="lt-LT"/>
        </w:rPr>
        <w:t xml:space="preserve">mg </w:t>
      </w:r>
      <w:r w:rsidR="00AB2458" w:rsidRPr="00AE5BD5">
        <w:rPr>
          <w:sz w:val="22"/>
          <w:szCs w:val="22"/>
          <w:lang w:val="lt-LT"/>
        </w:rPr>
        <w:t>sildenafilo</w:t>
      </w:r>
      <w:r w:rsidRPr="00AE5BD5">
        <w:rPr>
          <w:sz w:val="22"/>
          <w:szCs w:val="22"/>
          <w:lang w:val="lt-LT"/>
        </w:rPr>
        <w:t xml:space="preserve"> dozę tris kartus per parą.</w:t>
      </w:r>
    </w:p>
    <w:p w14:paraId="4086DF41" w14:textId="77777777" w:rsidR="00C05173" w:rsidRPr="00AE5BD5" w:rsidRDefault="00C05173" w:rsidP="008C6014">
      <w:pPr>
        <w:rPr>
          <w:sz w:val="22"/>
          <w:szCs w:val="22"/>
          <w:lang w:val="lt-LT"/>
        </w:rPr>
      </w:pPr>
    </w:p>
    <w:p w14:paraId="112F9429" w14:textId="77777777" w:rsidR="00C05173" w:rsidRPr="00AE5BD5" w:rsidRDefault="00C05173" w:rsidP="008C6014">
      <w:pPr>
        <w:rPr>
          <w:sz w:val="22"/>
          <w:szCs w:val="22"/>
          <w:lang w:val="lt-LT"/>
        </w:rPr>
      </w:pPr>
      <w:r w:rsidRPr="00AE5BD5">
        <w:rPr>
          <w:sz w:val="22"/>
          <w:szCs w:val="22"/>
          <w:lang w:val="lt-LT"/>
        </w:rPr>
        <w:t xml:space="preserve">Placebu kontroliuojamojo tyrimo metu plautine arterine hipertenzija sergantys pacientai buvo papildomai gydomi </w:t>
      </w:r>
      <w:r w:rsidR="00AB2458" w:rsidRPr="00AE5BD5">
        <w:rPr>
          <w:sz w:val="22"/>
          <w:szCs w:val="22"/>
          <w:lang w:val="lt-LT"/>
        </w:rPr>
        <w:t>sildenafiliu</w:t>
      </w:r>
      <w:r w:rsidRPr="00AE5BD5">
        <w:rPr>
          <w:sz w:val="22"/>
          <w:szCs w:val="22"/>
          <w:lang w:val="lt-LT"/>
        </w:rPr>
        <w:t xml:space="preserve"> kartu su epoprostenoliu į veną. Iš viso 134 pacientai buvo gydomi </w:t>
      </w:r>
      <w:r w:rsidR="00AB2458" w:rsidRPr="00AE5BD5">
        <w:rPr>
          <w:sz w:val="22"/>
          <w:szCs w:val="22"/>
          <w:lang w:val="lt-LT"/>
        </w:rPr>
        <w:t>sildenafiliu</w:t>
      </w:r>
      <w:r w:rsidRPr="00AE5BD5">
        <w:rPr>
          <w:sz w:val="22"/>
          <w:szCs w:val="22"/>
          <w:lang w:val="lt-LT"/>
        </w:rPr>
        <w:t xml:space="preserve"> (nustatytas dozės didinimas nuo 20</w:t>
      </w:r>
      <w:r w:rsidR="00AB2458" w:rsidRPr="00AE5BD5">
        <w:rPr>
          <w:sz w:val="22"/>
          <w:szCs w:val="22"/>
          <w:lang w:val="lt-LT"/>
        </w:rPr>
        <w:t> </w:t>
      </w:r>
      <w:r w:rsidRPr="00AE5BD5">
        <w:rPr>
          <w:sz w:val="22"/>
          <w:szCs w:val="22"/>
          <w:lang w:val="lt-LT"/>
        </w:rPr>
        <w:t>mg iki 40</w:t>
      </w:r>
      <w:r w:rsidR="00AB2458" w:rsidRPr="00AE5BD5">
        <w:rPr>
          <w:sz w:val="22"/>
          <w:szCs w:val="22"/>
          <w:lang w:val="lt-LT"/>
        </w:rPr>
        <w:t> </w:t>
      </w:r>
      <w:r w:rsidRPr="00AE5BD5">
        <w:rPr>
          <w:sz w:val="22"/>
          <w:szCs w:val="22"/>
          <w:lang w:val="lt-LT"/>
        </w:rPr>
        <w:t>mg, o vėliau – iki 80</w:t>
      </w:r>
      <w:r w:rsidR="00AB2458" w:rsidRPr="00AE5BD5">
        <w:rPr>
          <w:sz w:val="22"/>
          <w:szCs w:val="22"/>
          <w:lang w:val="lt-LT"/>
        </w:rPr>
        <w:t> </w:t>
      </w:r>
      <w:r w:rsidRPr="00AE5BD5">
        <w:rPr>
          <w:sz w:val="22"/>
          <w:szCs w:val="22"/>
          <w:lang w:val="lt-LT"/>
        </w:rPr>
        <w:t xml:space="preserve">mg tris kartus per parą, jeigu pacientas toleravo) ir epoprostenoliu, o 131 pacientas vartojo placebą ir epoprostenolį. Gydymo trukmė – 16 savaičių. Pacientų, vartojusių sildenafilį ir epoprostenolį, bendrasis gydymo nutraukimo dėl nepageidaujamų reiškinių dažnis buvo 5,2 %, palyginti su 10,7 % placebą ir epoprostenolį vartojusių pacientų. Užregistruotos naujos nepageidaujamos reakcijos, kurių dažniau pasireiškė sildenafilio ir epoprostenolio grupėje, buvo šios: akių hiperemija, miglotas matymas, nosies užgulimas, prakaitavimas naktį, nugaros skausmas, burnos džiūvimas. Žinomų nepageidaujamų reakcijų (galvos skausmas, </w:t>
      </w:r>
      <w:r w:rsidR="00290F2E">
        <w:rPr>
          <w:sz w:val="22"/>
          <w:szCs w:val="22"/>
          <w:lang w:val="lt-LT"/>
        </w:rPr>
        <w:t xml:space="preserve">veido ir kaklo </w:t>
      </w:r>
      <w:r w:rsidRPr="00AE5BD5">
        <w:rPr>
          <w:sz w:val="22"/>
          <w:szCs w:val="22"/>
          <w:lang w:val="lt-LT"/>
        </w:rPr>
        <w:t>paraudimas, galūnių skausmas, edema) dažniau buvo nustatoma sildenafiliu ir epoprostenoliu gydomiems pacientams, palyginti su placebą ir epoprostenolį vartojančiais pacientais. 242 asmenys iš tiriamųjų, kurie baigė pradinį tyrimą, grupės toliau dalyvavo ilgalaikiame tyrime. Buvo vartotos iki 80</w:t>
      </w:r>
      <w:r w:rsidR="00AB2458" w:rsidRPr="00AE5BD5">
        <w:rPr>
          <w:sz w:val="22"/>
          <w:szCs w:val="22"/>
          <w:lang w:val="lt-LT"/>
        </w:rPr>
        <w:t> </w:t>
      </w:r>
      <w:r w:rsidRPr="00AE5BD5">
        <w:rPr>
          <w:sz w:val="22"/>
          <w:szCs w:val="22"/>
          <w:lang w:val="lt-LT"/>
        </w:rPr>
        <w:t>mg dozės tris kartus per parą ir po 3 metų 68</w:t>
      </w:r>
      <w:r w:rsidR="00AB2458" w:rsidRPr="00AE5BD5">
        <w:rPr>
          <w:sz w:val="22"/>
          <w:szCs w:val="22"/>
          <w:lang w:val="lt-LT"/>
        </w:rPr>
        <w:t> </w:t>
      </w:r>
      <w:r w:rsidRPr="00AE5BD5">
        <w:rPr>
          <w:sz w:val="22"/>
          <w:szCs w:val="22"/>
          <w:lang w:val="lt-LT"/>
        </w:rPr>
        <w:t>% iš 133 pacientų,</w:t>
      </w:r>
      <w:r w:rsidRPr="00AE5BD5">
        <w:rPr>
          <w:spacing w:val="-4"/>
          <w:sz w:val="22"/>
          <w:szCs w:val="22"/>
          <w:lang w:val="lt-LT"/>
        </w:rPr>
        <w:t xml:space="preserve"> </w:t>
      </w:r>
      <w:r w:rsidRPr="00AE5BD5">
        <w:rPr>
          <w:sz w:val="22"/>
          <w:szCs w:val="22"/>
          <w:lang w:val="lt-LT"/>
        </w:rPr>
        <w:t>kuriems</w:t>
      </w:r>
      <w:r w:rsidRPr="00AE5BD5">
        <w:rPr>
          <w:spacing w:val="-4"/>
          <w:sz w:val="22"/>
          <w:szCs w:val="22"/>
          <w:lang w:val="lt-LT"/>
        </w:rPr>
        <w:t xml:space="preserve"> </w:t>
      </w:r>
      <w:r w:rsidRPr="00AE5BD5">
        <w:rPr>
          <w:sz w:val="22"/>
          <w:szCs w:val="22"/>
          <w:lang w:val="lt-LT"/>
        </w:rPr>
        <w:t>buvo</w:t>
      </w:r>
      <w:r w:rsidRPr="00AE5BD5">
        <w:rPr>
          <w:spacing w:val="-4"/>
          <w:sz w:val="22"/>
          <w:szCs w:val="22"/>
          <w:lang w:val="lt-LT"/>
        </w:rPr>
        <w:t xml:space="preserve"> </w:t>
      </w:r>
      <w:r w:rsidRPr="00AE5BD5">
        <w:rPr>
          <w:sz w:val="22"/>
          <w:szCs w:val="22"/>
          <w:lang w:val="lt-LT"/>
        </w:rPr>
        <w:t>skirtas</w:t>
      </w:r>
      <w:r w:rsidRPr="00AE5BD5">
        <w:rPr>
          <w:spacing w:val="-4"/>
          <w:sz w:val="22"/>
          <w:szCs w:val="22"/>
          <w:lang w:val="lt-LT"/>
        </w:rPr>
        <w:t xml:space="preserve"> </w:t>
      </w:r>
      <w:r w:rsidRPr="00AE5BD5">
        <w:rPr>
          <w:sz w:val="22"/>
          <w:szCs w:val="22"/>
          <w:lang w:val="lt-LT"/>
        </w:rPr>
        <w:t>tiriamasis</w:t>
      </w:r>
      <w:r w:rsidRPr="00AE5BD5">
        <w:rPr>
          <w:spacing w:val="-4"/>
          <w:sz w:val="22"/>
          <w:szCs w:val="22"/>
          <w:lang w:val="lt-LT"/>
        </w:rPr>
        <w:t xml:space="preserve"> </w:t>
      </w:r>
      <w:r w:rsidRPr="00AE5BD5">
        <w:rPr>
          <w:sz w:val="22"/>
          <w:szCs w:val="22"/>
          <w:lang w:val="lt-LT"/>
        </w:rPr>
        <w:t>gydymas,</w:t>
      </w:r>
      <w:r w:rsidRPr="00AE5BD5">
        <w:rPr>
          <w:spacing w:val="-4"/>
          <w:sz w:val="22"/>
          <w:szCs w:val="22"/>
          <w:lang w:val="lt-LT"/>
        </w:rPr>
        <w:t xml:space="preserve"> </w:t>
      </w:r>
      <w:r w:rsidRPr="00AE5BD5">
        <w:rPr>
          <w:sz w:val="22"/>
          <w:szCs w:val="22"/>
          <w:lang w:val="lt-LT"/>
        </w:rPr>
        <w:t>vartojo</w:t>
      </w:r>
      <w:r w:rsidRPr="00AE5BD5">
        <w:rPr>
          <w:spacing w:val="-4"/>
          <w:sz w:val="22"/>
          <w:szCs w:val="22"/>
          <w:lang w:val="lt-LT"/>
        </w:rPr>
        <w:t xml:space="preserve"> </w:t>
      </w:r>
      <w:r w:rsidRPr="00AE5BD5">
        <w:rPr>
          <w:sz w:val="22"/>
          <w:szCs w:val="22"/>
          <w:lang w:val="lt-LT"/>
        </w:rPr>
        <w:t>80</w:t>
      </w:r>
      <w:r w:rsidR="00AB2458" w:rsidRPr="00AE5BD5">
        <w:rPr>
          <w:spacing w:val="-4"/>
          <w:sz w:val="22"/>
          <w:szCs w:val="22"/>
          <w:lang w:val="lt-LT"/>
        </w:rPr>
        <w:t> </w:t>
      </w:r>
      <w:r w:rsidRPr="00AE5BD5">
        <w:rPr>
          <w:sz w:val="22"/>
          <w:szCs w:val="22"/>
          <w:lang w:val="lt-LT"/>
        </w:rPr>
        <w:t>mg</w:t>
      </w:r>
      <w:r w:rsidRPr="00AE5BD5">
        <w:rPr>
          <w:spacing w:val="-4"/>
          <w:sz w:val="22"/>
          <w:szCs w:val="22"/>
          <w:lang w:val="lt-LT"/>
        </w:rPr>
        <w:t xml:space="preserve"> </w:t>
      </w:r>
      <w:r w:rsidR="00AB2458" w:rsidRPr="00AE5BD5">
        <w:rPr>
          <w:sz w:val="22"/>
          <w:szCs w:val="22"/>
          <w:lang w:val="lt-LT"/>
        </w:rPr>
        <w:t>sildenafilio</w:t>
      </w:r>
      <w:r w:rsidRPr="00AE5BD5">
        <w:rPr>
          <w:spacing w:val="-4"/>
          <w:sz w:val="22"/>
          <w:szCs w:val="22"/>
          <w:lang w:val="lt-LT"/>
        </w:rPr>
        <w:t xml:space="preserve"> </w:t>
      </w:r>
      <w:r w:rsidRPr="00AE5BD5">
        <w:rPr>
          <w:sz w:val="22"/>
          <w:szCs w:val="22"/>
          <w:lang w:val="lt-LT"/>
        </w:rPr>
        <w:t>dozę</w:t>
      </w:r>
      <w:r w:rsidRPr="00AE5BD5">
        <w:rPr>
          <w:spacing w:val="-4"/>
          <w:sz w:val="22"/>
          <w:szCs w:val="22"/>
          <w:lang w:val="lt-LT"/>
        </w:rPr>
        <w:t xml:space="preserve"> </w:t>
      </w:r>
      <w:r w:rsidRPr="00AE5BD5">
        <w:rPr>
          <w:sz w:val="22"/>
          <w:szCs w:val="22"/>
          <w:lang w:val="lt-LT"/>
        </w:rPr>
        <w:t>tris</w:t>
      </w:r>
      <w:r w:rsidRPr="00AE5BD5">
        <w:rPr>
          <w:spacing w:val="-4"/>
          <w:sz w:val="22"/>
          <w:szCs w:val="22"/>
          <w:lang w:val="lt-LT"/>
        </w:rPr>
        <w:t xml:space="preserve"> </w:t>
      </w:r>
      <w:r w:rsidRPr="00AE5BD5">
        <w:rPr>
          <w:sz w:val="22"/>
          <w:szCs w:val="22"/>
          <w:lang w:val="lt-LT"/>
        </w:rPr>
        <w:t>kartus</w:t>
      </w:r>
      <w:r w:rsidRPr="00AE5BD5">
        <w:rPr>
          <w:spacing w:val="-4"/>
          <w:sz w:val="22"/>
          <w:szCs w:val="22"/>
          <w:lang w:val="lt-LT"/>
        </w:rPr>
        <w:t xml:space="preserve"> </w:t>
      </w:r>
      <w:r w:rsidRPr="00AE5BD5">
        <w:rPr>
          <w:sz w:val="22"/>
          <w:szCs w:val="22"/>
          <w:lang w:val="lt-LT"/>
        </w:rPr>
        <w:t>per</w:t>
      </w:r>
      <w:r w:rsidRPr="00AE5BD5">
        <w:rPr>
          <w:spacing w:val="-4"/>
          <w:sz w:val="22"/>
          <w:szCs w:val="22"/>
          <w:lang w:val="lt-LT"/>
        </w:rPr>
        <w:t xml:space="preserve"> </w:t>
      </w:r>
      <w:r w:rsidRPr="00AE5BD5">
        <w:rPr>
          <w:sz w:val="22"/>
          <w:szCs w:val="22"/>
          <w:lang w:val="lt-LT"/>
        </w:rPr>
        <w:t>parą.</w:t>
      </w:r>
    </w:p>
    <w:p w14:paraId="6953B0AC" w14:textId="77777777" w:rsidR="00C05173" w:rsidRPr="00AE5BD5" w:rsidRDefault="00C05173" w:rsidP="008C6014">
      <w:pPr>
        <w:rPr>
          <w:sz w:val="22"/>
          <w:szCs w:val="22"/>
          <w:lang w:val="lt-LT"/>
        </w:rPr>
      </w:pPr>
    </w:p>
    <w:p w14:paraId="4AADB723" w14:textId="77777777" w:rsidR="00C05173" w:rsidRPr="00AE5BD5" w:rsidRDefault="00C05173" w:rsidP="008C6014">
      <w:pPr>
        <w:rPr>
          <w:sz w:val="22"/>
          <w:szCs w:val="22"/>
          <w:lang w:val="lt-LT"/>
        </w:rPr>
      </w:pPr>
      <w:r w:rsidRPr="00AE5BD5">
        <w:rPr>
          <w:sz w:val="22"/>
          <w:szCs w:val="22"/>
          <w:lang w:val="lt-LT"/>
        </w:rPr>
        <w:t>Dviejų placebu kontroliuojamųjų tyrimų metu nepageidaujami reiškiniai daugeliu atvejų buvo lengvi ir vidutinio sunkumo. Dažniausiai, palyginti su placebu, pasireiškusios nepageidaujamos reakcijos</w:t>
      </w:r>
      <w:r w:rsidR="00AB2458" w:rsidRPr="00AE5BD5">
        <w:rPr>
          <w:sz w:val="22"/>
          <w:szCs w:val="22"/>
          <w:lang w:val="lt-LT"/>
        </w:rPr>
        <w:t xml:space="preserve"> </w:t>
      </w:r>
      <w:r w:rsidRPr="00AE5BD5">
        <w:rPr>
          <w:sz w:val="22"/>
          <w:szCs w:val="22"/>
          <w:lang w:val="lt-LT"/>
        </w:rPr>
        <w:t xml:space="preserve">(10 % arba daugiau) vartojant </w:t>
      </w:r>
      <w:r w:rsidR="00AB2458" w:rsidRPr="00AE5BD5">
        <w:rPr>
          <w:sz w:val="22"/>
          <w:szCs w:val="22"/>
          <w:lang w:val="lt-LT"/>
        </w:rPr>
        <w:t>sildenafilį</w:t>
      </w:r>
      <w:r w:rsidRPr="00AE5BD5">
        <w:rPr>
          <w:sz w:val="22"/>
          <w:szCs w:val="22"/>
          <w:lang w:val="lt-LT"/>
        </w:rPr>
        <w:t xml:space="preserve">, buvo galvos skausmas, </w:t>
      </w:r>
      <w:r w:rsidR="00005F71">
        <w:rPr>
          <w:sz w:val="22"/>
          <w:szCs w:val="22"/>
          <w:lang w:val="lt-LT"/>
        </w:rPr>
        <w:t xml:space="preserve"> veido ir kaklo paraudimas</w:t>
      </w:r>
      <w:r w:rsidRPr="00AE5BD5">
        <w:rPr>
          <w:sz w:val="22"/>
          <w:szCs w:val="22"/>
          <w:lang w:val="lt-LT"/>
        </w:rPr>
        <w:t>, dispepsija, viduriavimas ir galūnių skausmas.</w:t>
      </w:r>
    </w:p>
    <w:p w14:paraId="05578ED6" w14:textId="77777777" w:rsidR="00C05173" w:rsidRDefault="00C05173" w:rsidP="008C6014">
      <w:pPr>
        <w:rPr>
          <w:sz w:val="22"/>
          <w:szCs w:val="22"/>
          <w:lang w:val="lt-LT"/>
        </w:rPr>
      </w:pPr>
    </w:p>
    <w:p w14:paraId="16897971" w14:textId="4EA50AF8" w:rsidR="00630F37" w:rsidRDefault="00630F37" w:rsidP="008C6014">
      <w:pPr>
        <w:rPr>
          <w:sz w:val="22"/>
          <w:szCs w:val="22"/>
          <w:lang w:val="lt-LT"/>
        </w:rPr>
      </w:pPr>
      <w:r w:rsidRPr="00630F37">
        <w:rPr>
          <w:sz w:val="22"/>
          <w:szCs w:val="22"/>
          <w:lang w:val="lt-LT"/>
        </w:rPr>
        <w:t>Atlikus tyrimą, kurio metu buvo vertinamas skirtingų sildenafilio dozių poveikis, sildenafilio 20 mg tris kartus per parą (rekomenduojama dozė) ir sildenafilio 80 mg tris kartus per parą (4 kartus didesnė už rekomenduojamą dozę) saugumo duomenys atitiko ankstesniuose suaugusiųjų PAH tyrimuose nustatytus sildenafilio saugumo duomenis.</w:t>
      </w:r>
    </w:p>
    <w:p w14:paraId="7D4B4E7C" w14:textId="77777777" w:rsidR="00630F37" w:rsidRPr="00AE5BD5" w:rsidRDefault="00630F37" w:rsidP="008C6014">
      <w:pPr>
        <w:rPr>
          <w:sz w:val="22"/>
          <w:szCs w:val="22"/>
          <w:lang w:val="lt-LT"/>
        </w:rPr>
      </w:pPr>
    </w:p>
    <w:p w14:paraId="0B0F6869" w14:textId="77777777" w:rsidR="00C05173" w:rsidRPr="00AE5BD5" w:rsidRDefault="00C05173" w:rsidP="008C6014">
      <w:pPr>
        <w:rPr>
          <w:sz w:val="22"/>
          <w:szCs w:val="22"/>
          <w:lang w:val="lt-LT"/>
        </w:rPr>
      </w:pPr>
      <w:r w:rsidRPr="00AE5BD5">
        <w:rPr>
          <w:sz w:val="22"/>
          <w:szCs w:val="22"/>
          <w:u w:val="single"/>
          <w:lang w:val="lt-LT"/>
        </w:rPr>
        <w:t>Nepageidaujamų reakcijų lentelė</w:t>
      </w:r>
    </w:p>
    <w:p w14:paraId="69252E41" w14:textId="35317CAF" w:rsidR="00C05173" w:rsidRPr="00AE5BD5" w:rsidRDefault="00C05173" w:rsidP="008C6014">
      <w:pPr>
        <w:rPr>
          <w:sz w:val="22"/>
          <w:szCs w:val="22"/>
          <w:lang w:val="lt-LT"/>
        </w:rPr>
      </w:pPr>
      <w:r w:rsidRPr="00AE5BD5">
        <w:rPr>
          <w:sz w:val="22"/>
          <w:szCs w:val="22"/>
          <w:lang w:val="lt-LT"/>
        </w:rPr>
        <w:t>Nepageidaujamos reakcijos, kurių buvo &gt; 1</w:t>
      </w:r>
      <w:r w:rsidR="000D21D8" w:rsidRPr="00AE5BD5">
        <w:rPr>
          <w:sz w:val="22"/>
          <w:szCs w:val="22"/>
          <w:lang w:val="lt-LT"/>
        </w:rPr>
        <w:t> </w:t>
      </w:r>
      <w:r w:rsidRPr="00AE5BD5">
        <w:rPr>
          <w:sz w:val="22"/>
          <w:szCs w:val="22"/>
          <w:lang w:val="lt-LT"/>
        </w:rPr>
        <w:t xml:space="preserve">% </w:t>
      </w:r>
      <w:r w:rsidR="000D21D8" w:rsidRPr="00AE5BD5">
        <w:rPr>
          <w:sz w:val="22"/>
          <w:szCs w:val="22"/>
          <w:lang w:val="lt-LT"/>
        </w:rPr>
        <w:t>sildenafilio</w:t>
      </w:r>
      <w:r w:rsidRPr="00AE5BD5">
        <w:rPr>
          <w:sz w:val="22"/>
          <w:szCs w:val="22"/>
          <w:lang w:val="lt-LT"/>
        </w:rPr>
        <w:t xml:space="preserve"> vartojusių ligonių ir kurių pagrindinio tyrimo metu ar bendrais abiejų placebu kontroliuojamųjų </w:t>
      </w:r>
      <w:r w:rsidR="000D21D8" w:rsidRPr="00AE5BD5">
        <w:rPr>
          <w:sz w:val="22"/>
          <w:szCs w:val="22"/>
          <w:lang w:val="lt-LT"/>
        </w:rPr>
        <w:t>sildenafilio</w:t>
      </w:r>
      <w:r w:rsidRPr="00AE5BD5">
        <w:rPr>
          <w:sz w:val="22"/>
          <w:szCs w:val="22"/>
          <w:lang w:val="lt-LT"/>
        </w:rPr>
        <w:t xml:space="preserve"> klinikinių tyrimų duomenimis, dažniau (skirtumas &gt; 1 %) pasitaikė plautine arterine hipertenzija sergantiems pacientams, kurie vartojo 20</w:t>
      </w:r>
      <w:r w:rsidR="000D21D8" w:rsidRPr="00AE5BD5">
        <w:rPr>
          <w:sz w:val="22"/>
          <w:szCs w:val="22"/>
          <w:lang w:val="lt-LT"/>
        </w:rPr>
        <w:t> </w:t>
      </w:r>
      <w:r w:rsidRPr="00AE5BD5">
        <w:rPr>
          <w:sz w:val="22"/>
          <w:szCs w:val="22"/>
          <w:lang w:val="lt-LT"/>
        </w:rPr>
        <w:t>mg, 40</w:t>
      </w:r>
      <w:r w:rsidR="000D21D8" w:rsidRPr="00AE5BD5">
        <w:rPr>
          <w:sz w:val="22"/>
          <w:szCs w:val="22"/>
          <w:lang w:val="lt-LT"/>
        </w:rPr>
        <w:t> </w:t>
      </w:r>
      <w:r w:rsidRPr="00AE5BD5">
        <w:rPr>
          <w:sz w:val="22"/>
          <w:szCs w:val="22"/>
          <w:lang w:val="lt-LT"/>
        </w:rPr>
        <w:t>mg arba 80</w:t>
      </w:r>
      <w:r w:rsidR="000D21D8" w:rsidRPr="00AE5BD5">
        <w:rPr>
          <w:sz w:val="22"/>
          <w:szCs w:val="22"/>
          <w:lang w:val="lt-LT"/>
        </w:rPr>
        <w:t> </w:t>
      </w:r>
      <w:r w:rsidRPr="00AE5BD5">
        <w:rPr>
          <w:sz w:val="22"/>
          <w:szCs w:val="22"/>
          <w:lang w:val="lt-LT"/>
        </w:rPr>
        <w:t xml:space="preserve">mg </w:t>
      </w:r>
      <w:r w:rsidR="000D21D8" w:rsidRPr="00AE5BD5">
        <w:rPr>
          <w:sz w:val="22"/>
          <w:szCs w:val="22"/>
          <w:lang w:val="lt-LT"/>
        </w:rPr>
        <w:t>sildenafilio</w:t>
      </w:r>
      <w:r w:rsidRPr="00AE5BD5">
        <w:rPr>
          <w:sz w:val="22"/>
          <w:szCs w:val="22"/>
          <w:lang w:val="lt-LT"/>
        </w:rPr>
        <w:t xml:space="preserve"> dozes tris kartus per parą, išvardytos toliau esančioje </w:t>
      </w:r>
      <w:r w:rsidR="00E82766">
        <w:rPr>
          <w:sz w:val="22"/>
          <w:szCs w:val="22"/>
          <w:lang w:val="lt-LT"/>
        </w:rPr>
        <w:t xml:space="preserve">1 </w:t>
      </w:r>
      <w:r w:rsidRPr="00AE5BD5">
        <w:rPr>
          <w:sz w:val="22"/>
          <w:szCs w:val="22"/>
          <w:lang w:val="lt-LT"/>
        </w:rPr>
        <w:t>lentelėje pagal organų sistemų klases ir dažnį (labai dažni (≥</w:t>
      </w:r>
      <w:r w:rsidR="000D21D8" w:rsidRPr="00AE5BD5">
        <w:rPr>
          <w:sz w:val="22"/>
          <w:szCs w:val="22"/>
          <w:lang w:val="lt-LT"/>
        </w:rPr>
        <w:t> </w:t>
      </w:r>
      <w:r w:rsidRPr="00AE5BD5">
        <w:rPr>
          <w:sz w:val="22"/>
          <w:szCs w:val="22"/>
          <w:lang w:val="lt-LT"/>
        </w:rPr>
        <w:t>1/10), dažni (nuo ≥</w:t>
      </w:r>
      <w:r w:rsidR="000D21D8" w:rsidRPr="00AE5BD5">
        <w:rPr>
          <w:sz w:val="22"/>
          <w:szCs w:val="22"/>
          <w:lang w:val="lt-LT"/>
        </w:rPr>
        <w:t> </w:t>
      </w:r>
      <w:r w:rsidRPr="00AE5BD5">
        <w:rPr>
          <w:sz w:val="22"/>
          <w:szCs w:val="22"/>
          <w:lang w:val="lt-LT"/>
        </w:rPr>
        <w:t>1/100 iki &lt;</w:t>
      </w:r>
      <w:r w:rsidR="000D21D8" w:rsidRPr="00AE5BD5">
        <w:rPr>
          <w:sz w:val="22"/>
          <w:szCs w:val="22"/>
          <w:lang w:val="lt-LT"/>
        </w:rPr>
        <w:t> </w:t>
      </w:r>
      <w:r w:rsidRPr="00AE5BD5">
        <w:rPr>
          <w:sz w:val="22"/>
          <w:szCs w:val="22"/>
          <w:lang w:val="lt-LT"/>
        </w:rPr>
        <w:t>1/10), nedažni (nuo ≥</w:t>
      </w:r>
      <w:r w:rsidR="000D21D8" w:rsidRPr="00AE5BD5">
        <w:rPr>
          <w:sz w:val="22"/>
          <w:szCs w:val="22"/>
          <w:lang w:val="lt-LT"/>
        </w:rPr>
        <w:t> </w:t>
      </w:r>
      <w:r w:rsidRPr="00AE5BD5">
        <w:rPr>
          <w:sz w:val="22"/>
          <w:szCs w:val="22"/>
          <w:lang w:val="lt-LT"/>
        </w:rPr>
        <w:t>1/1000 iki</w:t>
      </w:r>
      <w:r w:rsidR="000D21D8" w:rsidRPr="00AE5BD5">
        <w:rPr>
          <w:sz w:val="22"/>
          <w:szCs w:val="22"/>
          <w:lang w:val="lt-LT"/>
        </w:rPr>
        <w:t xml:space="preserve"> </w:t>
      </w:r>
      <w:r w:rsidRPr="00AE5BD5">
        <w:rPr>
          <w:sz w:val="22"/>
          <w:szCs w:val="22"/>
          <w:lang w:val="lt-LT"/>
        </w:rPr>
        <w:t>&lt; 1/100) ir nežinomas (</w:t>
      </w:r>
      <w:r w:rsidR="00005F71">
        <w:rPr>
          <w:sz w:val="22"/>
          <w:szCs w:val="22"/>
          <w:lang w:val="lt-LT"/>
        </w:rPr>
        <w:t>negali būti apskaičiuotas pagal turimus duomenis</w:t>
      </w:r>
      <w:r w:rsidRPr="00AE5BD5">
        <w:rPr>
          <w:sz w:val="22"/>
          <w:szCs w:val="22"/>
          <w:lang w:val="lt-LT"/>
        </w:rPr>
        <w:t>). Kiekvienoje dažnio grupėje nepageidaujamos reakcijos išvardytos mažėjančio sunkumo tvarka.</w:t>
      </w:r>
    </w:p>
    <w:p w14:paraId="526C5099" w14:textId="77777777" w:rsidR="00C05173" w:rsidRPr="00AE5BD5" w:rsidRDefault="00C05173" w:rsidP="008C6014">
      <w:pPr>
        <w:rPr>
          <w:sz w:val="22"/>
          <w:szCs w:val="22"/>
          <w:lang w:val="lt-LT"/>
        </w:rPr>
      </w:pPr>
    </w:p>
    <w:p w14:paraId="205CE762" w14:textId="77777777" w:rsidR="00F47C39" w:rsidRPr="00AE5BD5" w:rsidRDefault="00F47C39" w:rsidP="008C6014">
      <w:pPr>
        <w:rPr>
          <w:sz w:val="22"/>
          <w:szCs w:val="22"/>
          <w:lang w:val="lt-LT"/>
        </w:rPr>
      </w:pPr>
    </w:p>
    <w:p w14:paraId="2725605D" w14:textId="77777777" w:rsidR="00C05173" w:rsidRPr="00AE5BD5" w:rsidRDefault="00C05173" w:rsidP="008C6014">
      <w:pPr>
        <w:rPr>
          <w:sz w:val="22"/>
          <w:szCs w:val="22"/>
          <w:lang w:val="lt-LT"/>
        </w:rPr>
      </w:pPr>
      <w:r w:rsidRPr="00AE5BD5">
        <w:rPr>
          <w:sz w:val="22"/>
          <w:szCs w:val="22"/>
          <w:lang w:val="lt-LT"/>
        </w:rPr>
        <w:t>Po vaistinio preparato registracijos gauti duomenys įrašyti kursyvu.</w:t>
      </w:r>
    </w:p>
    <w:p w14:paraId="646A0825" w14:textId="77777777" w:rsidR="00CF65D5" w:rsidRDefault="00CF65D5" w:rsidP="008C6014">
      <w:pPr>
        <w:rPr>
          <w:sz w:val="22"/>
          <w:szCs w:val="22"/>
          <w:lang w:val="lt-LT"/>
        </w:rPr>
      </w:pPr>
    </w:p>
    <w:p w14:paraId="5FEE8761" w14:textId="3142A2BD" w:rsidR="00C05173" w:rsidRPr="00CF65D5" w:rsidRDefault="00CF65D5" w:rsidP="008C6014">
      <w:pPr>
        <w:rPr>
          <w:b/>
          <w:bCs/>
          <w:sz w:val="22"/>
          <w:szCs w:val="22"/>
          <w:lang w:val="lt-LT"/>
        </w:rPr>
      </w:pPr>
      <w:r w:rsidRPr="00CF65D5">
        <w:rPr>
          <w:b/>
          <w:bCs/>
          <w:sz w:val="22"/>
          <w:szCs w:val="22"/>
          <w:lang w:val="lt-LT"/>
        </w:rPr>
        <w:t>1 lentelė. Nepageidaujamos reakcijos suaugusiesiems, pasireiškusios placebu kontroliuojamuose sildenafilio tyrimuose su PAH sergančiais pacientais ir poregistracinio stebėjimo duomenimis</w:t>
      </w:r>
    </w:p>
    <w:p w14:paraId="25333DCF" w14:textId="77777777" w:rsidR="00CF65D5" w:rsidRPr="00AE5BD5" w:rsidRDefault="00CF65D5" w:rsidP="008C6014">
      <w:pPr>
        <w:rPr>
          <w:sz w:val="22"/>
          <w:szCs w:val="22"/>
          <w:lang w:val="lt-LT"/>
        </w:rPr>
      </w:pPr>
    </w:p>
    <w:tbl>
      <w:tblPr>
        <w:tblStyle w:val="Lentelstinklelis"/>
        <w:tblW w:w="10113" w:type="dxa"/>
        <w:tblLayout w:type="fixed"/>
        <w:tblLook w:val="0000" w:firstRow="0" w:lastRow="0" w:firstColumn="0" w:lastColumn="0" w:noHBand="0" w:noVBand="0"/>
      </w:tblPr>
      <w:tblGrid>
        <w:gridCol w:w="4362"/>
        <w:gridCol w:w="5751"/>
      </w:tblGrid>
      <w:tr w:rsidR="00C05173" w:rsidRPr="00AE5BD5" w14:paraId="16005F10" w14:textId="77777777" w:rsidTr="00F21A09">
        <w:trPr>
          <w:trHeight w:hRule="exact" w:val="264"/>
        </w:trPr>
        <w:tc>
          <w:tcPr>
            <w:tcW w:w="4362" w:type="dxa"/>
            <w:tcBorders>
              <w:bottom w:val="single" w:sz="4" w:space="0" w:color="auto"/>
              <w:right w:val="nil"/>
            </w:tcBorders>
          </w:tcPr>
          <w:p w14:paraId="5CCC8BE6" w14:textId="77777777" w:rsidR="00C05173" w:rsidRPr="00AE5BD5" w:rsidRDefault="00C05173" w:rsidP="008C6014">
            <w:pPr>
              <w:rPr>
                <w:sz w:val="22"/>
                <w:szCs w:val="22"/>
                <w:lang w:val="lt-LT"/>
              </w:rPr>
            </w:pPr>
            <w:r w:rsidRPr="00AE5BD5">
              <w:rPr>
                <w:b/>
                <w:bCs/>
                <w:sz w:val="22"/>
                <w:szCs w:val="22"/>
                <w:lang w:val="lt-LT"/>
              </w:rPr>
              <w:t>MedDRA organų sistemų klasės (V. 14.0)</w:t>
            </w:r>
          </w:p>
        </w:tc>
        <w:tc>
          <w:tcPr>
            <w:tcW w:w="5751" w:type="dxa"/>
            <w:tcBorders>
              <w:left w:val="nil"/>
              <w:bottom w:val="single" w:sz="4" w:space="0" w:color="auto"/>
            </w:tcBorders>
          </w:tcPr>
          <w:p w14:paraId="2E1FD378" w14:textId="77777777" w:rsidR="00C05173" w:rsidRPr="00AE5BD5" w:rsidRDefault="00C05173" w:rsidP="008C6014">
            <w:pPr>
              <w:rPr>
                <w:sz w:val="22"/>
                <w:szCs w:val="22"/>
                <w:lang w:val="lt-LT"/>
              </w:rPr>
            </w:pPr>
            <w:r w:rsidRPr="00AE5BD5">
              <w:rPr>
                <w:b/>
                <w:bCs/>
                <w:sz w:val="22"/>
                <w:szCs w:val="22"/>
                <w:lang w:val="lt-LT"/>
              </w:rPr>
              <w:t>Nepageidaujama reakcija</w:t>
            </w:r>
          </w:p>
        </w:tc>
      </w:tr>
      <w:tr w:rsidR="00C05173" w:rsidRPr="00AE5BD5" w14:paraId="5C089248" w14:textId="77777777" w:rsidTr="008248B1">
        <w:trPr>
          <w:trHeight w:hRule="exact" w:val="258"/>
        </w:trPr>
        <w:tc>
          <w:tcPr>
            <w:tcW w:w="4362" w:type="dxa"/>
            <w:tcBorders>
              <w:top w:val="single" w:sz="4" w:space="0" w:color="auto"/>
              <w:left w:val="single" w:sz="4" w:space="0" w:color="auto"/>
              <w:bottom w:val="nil"/>
              <w:right w:val="nil"/>
            </w:tcBorders>
          </w:tcPr>
          <w:p w14:paraId="274BB2B2" w14:textId="77777777" w:rsidR="00C05173" w:rsidRPr="00AE5BD5" w:rsidRDefault="00C05173" w:rsidP="008C6014">
            <w:pPr>
              <w:rPr>
                <w:sz w:val="22"/>
                <w:szCs w:val="22"/>
                <w:lang w:val="lt-LT"/>
              </w:rPr>
            </w:pPr>
            <w:r w:rsidRPr="00AE5BD5">
              <w:rPr>
                <w:b/>
                <w:bCs/>
                <w:sz w:val="22"/>
                <w:szCs w:val="22"/>
                <w:lang w:val="lt-LT"/>
              </w:rPr>
              <w:t>Infekcijos ir infestacijos</w:t>
            </w:r>
          </w:p>
        </w:tc>
        <w:tc>
          <w:tcPr>
            <w:tcW w:w="5751" w:type="dxa"/>
            <w:tcBorders>
              <w:top w:val="single" w:sz="4" w:space="0" w:color="auto"/>
              <w:left w:val="nil"/>
              <w:bottom w:val="nil"/>
              <w:right w:val="single" w:sz="4" w:space="0" w:color="auto"/>
            </w:tcBorders>
          </w:tcPr>
          <w:p w14:paraId="1E130DE3" w14:textId="77777777" w:rsidR="00C05173" w:rsidRPr="00AE5BD5" w:rsidRDefault="00C05173" w:rsidP="008C6014">
            <w:pPr>
              <w:rPr>
                <w:sz w:val="22"/>
                <w:szCs w:val="22"/>
                <w:lang w:val="lt-LT"/>
              </w:rPr>
            </w:pPr>
          </w:p>
        </w:tc>
      </w:tr>
      <w:tr w:rsidR="00C05173" w:rsidRPr="00AE5BD5" w14:paraId="58DE2289" w14:textId="77777777" w:rsidTr="008248B1">
        <w:trPr>
          <w:trHeight w:hRule="exact" w:val="251"/>
        </w:trPr>
        <w:tc>
          <w:tcPr>
            <w:tcW w:w="4362" w:type="dxa"/>
            <w:tcBorders>
              <w:top w:val="nil"/>
              <w:left w:val="single" w:sz="4" w:space="0" w:color="auto"/>
              <w:bottom w:val="nil"/>
              <w:right w:val="nil"/>
            </w:tcBorders>
          </w:tcPr>
          <w:p w14:paraId="4FE0C5AC" w14:textId="77777777" w:rsidR="00C05173" w:rsidRPr="00AE5BD5" w:rsidRDefault="00C05173" w:rsidP="008C6014">
            <w:pPr>
              <w:rPr>
                <w:sz w:val="22"/>
                <w:szCs w:val="22"/>
                <w:lang w:val="lt-LT"/>
              </w:rPr>
            </w:pPr>
            <w:r w:rsidRPr="00AE5BD5">
              <w:rPr>
                <w:sz w:val="22"/>
                <w:szCs w:val="22"/>
                <w:lang w:val="lt-LT"/>
              </w:rPr>
              <w:t>Dažni</w:t>
            </w:r>
          </w:p>
        </w:tc>
        <w:tc>
          <w:tcPr>
            <w:tcW w:w="5751" w:type="dxa"/>
            <w:tcBorders>
              <w:top w:val="nil"/>
              <w:left w:val="nil"/>
              <w:bottom w:val="nil"/>
              <w:right w:val="single" w:sz="4" w:space="0" w:color="auto"/>
            </w:tcBorders>
          </w:tcPr>
          <w:p w14:paraId="7D0C3870" w14:textId="77777777" w:rsidR="00C05173" w:rsidRPr="00AE5BD5" w:rsidRDefault="00005F71" w:rsidP="008C6014">
            <w:pPr>
              <w:rPr>
                <w:sz w:val="22"/>
                <w:szCs w:val="22"/>
                <w:lang w:val="lt-LT"/>
              </w:rPr>
            </w:pPr>
            <w:r>
              <w:rPr>
                <w:sz w:val="22"/>
                <w:szCs w:val="22"/>
                <w:lang w:val="lt-LT"/>
              </w:rPr>
              <w:t>Celiulitas</w:t>
            </w:r>
            <w:r w:rsidR="00C05173" w:rsidRPr="00AE5BD5">
              <w:rPr>
                <w:sz w:val="22"/>
                <w:szCs w:val="22"/>
                <w:lang w:val="lt-LT"/>
              </w:rPr>
              <w:t>, gripas,</w:t>
            </w:r>
            <w:r>
              <w:rPr>
                <w:sz w:val="22"/>
                <w:szCs w:val="22"/>
                <w:lang w:val="lt-LT"/>
              </w:rPr>
              <w:t xml:space="preserve"> bronchitas, bbronchitas</w:t>
            </w:r>
            <w:r w:rsidR="00C05173" w:rsidRPr="00AE5BD5">
              <w:rPr>
                <w:sz w:val="22"/>
                <w:szCs w:val="22"/>
                <w:lang w:val="lt-LT"/>
              </w:rPr>
              <w:t xml:space="preserve"> bronchitas,</w:t>
            </w:r>
          </w:p>
        </w:tc>
      </w:tr>
      <w:tr w:rsidR="00C05173" w:rsidRPr="00AE5BD5" w14:paraId="1EF74E68" w14:textId="77777777" w:rsidTr="008248B1">
        <w:trPr>
          <w:trHeight w:hRule="exact" w:val="383"/>
        </w:trPr>
        <w:tc>
          <w:tcPr>
            <w:tcW w:w="4362" w:type="dxa"/>
            <w:tcBorders>
              <w:top w:val="nil"/>
              <w:left w:val="single" w:sz="4" w:space="0" w:color="auto"/>
              <w:bottom w:val="nil"/>
              <w:right w:val="nil"/>
            </w:tcBorders>
          </w:tcPr>
          <w:p w14:paraId="5CDFD9BA" w14:textId="77777777" w:rsidR="00C05173" w:rsidRPr="00AE5BD5" w:rsidRDefault="00C05173" w:rsidP="008C6014">
            <w:pPr>
              <w:rPr>
                <w:sz w:val="22"/>
                <w:szCs w:val="22"/>
                <w:lang w:val="lt-LT"/>
              </w:rPr>
            </w:pPr>
          </w:p>
        </w:tc>
        <w:tc>
          <w:tcPr>
            <w:tcW w:w="5751" w:type="dxa"/>
            <w:tcBorders>
              <w:top w:val="nil"/>
              <w:left w:val="nil"/>
              <w:bottom w:val="nil"/>
              <w:right w:val="single" w:sz="4" w:space="0" w:color="auto"/>
            </w:tcBorders>
          </w:tcPr>
          <w:p w14:paraId="12B0AD5C" w14:textId="77777777" w:rsidR="00C05173" w:rsidRPr="00AE5BD5" w:rsidRDefault="00C05173" w:rsidP="008C6014">
            <w:pPr>
              <w:rPr>
                <w:sz w:val="22"/>
                <w:szCs w:val="22"/>
                <w:lang w:val="lt-LT"/>
              </w:rPr>
            </w:pPr>
            <w:r w:rsidRPr="00AE5BD5">
              <w:rPr>
                <w:sz w:val="22"/>
                <w:szCs w:val="22"/>
                <w:lang w:val="lt-LT"/>
              </w:rPr>
              <w:t>sinusitas, rinitas, gastroenteritas.</w:t>
            </w:r>
          </w:p>
        </w:tc>
      </w:tr>
      <w:tr w:rsidR="00C05173" w:rsidRPr="00AE5BD5" w14:paraId="76E044D0" w14:textId="77777777" w:rsidTr="008248B1">
        <w:trPr>
          <w:trHeight w:hRule="exact" w:val="379"/>
        </w:trPr>
        <w:tc>
          <w:tcPr>
            <w:tcW w:w="4362" w:type="dxa"/>
            <w:tcBorders>
              <w:top w:val="nil"/>
              <w:left w:val="single" w:sz="4" w:space="0" w:color="auto"/>
              <w:bottom w:val="nil"/>
              <w:right w:val="nil"/>
            </w:tcBorders>
          </w:tcPr>
          <w:p w14:paraId="1087B72A" w14:textId="77777777" w:rsidR="00C05173" w:rsidRPr="00AE5BD5" w:rsidRDefault="00C05173" w:rsidP="008C6014">
            <w:pPr>
              <w:rPr>
                <w:sz w:val="22"/>
                <w:szCs w:val="22"/>
                <w:lang w:val="lt-LT"/>
              </w:rPr>
            </w:pPr>
            <w:r w:rsidRPr="00AE5BD5">
              <w:rPr>
                <w:b/>
                <w:bCs/>
                <w:sz w:val="22"/>
                <w:szCs w:val="22"/>
                <w:lang w:val="lt-LT"/>
              </w:rPr>
              <w:t>Kraujo ir limfinės sistemos sutrikimai</w:t>
            </w:r>
          </w:p>
        </w:tc>
        <w:tc>
          <w:tcPr>
            <w:tcW w:w="5751" w:type="dxa"/>
            <w:tcBorders>
              <w:top w:val="nil"/>
              <w:left w:val="nil"/>
              <w:bottom w:val="nil"/>
              <w:right w:val="single" w:sz="4" w:space="0" w:color="auto"/>
            </w:tcBorders>
          </w:tcPr>
          <w:p w14:paraId="418A6F65" w14:textId="77777777" w:rsidR="00C05173" w:rsidRPr="00AE5BD5" w:rsidRDefault="00C05173" w:rsidP="008C6014">
            <w:pPr>
              <w:rPr>
                <w:sz w:val="22"/>
                <w:szCs w:val="22"/>
                <w:lang w:val="lt-LT"/>
              </w:rPr>
            </w:pPr>
          </w:p>
        </w:tc>
      </w:tr>
      <w:tr w:rsidR="00C05173" w:rsidRPr="00AE5BD5" w14:paraId="7C2B1C21" w14:textId="77777777" w:rsidTr="008248B1">
        <w:trPr>
          <w:trHeight w:hRule="exact" w:val="379"/>
        </w:trPr>
        <w:tc>
          <w:tcPr>
            <w:tcW w:w="4362" w:type="dxa"/>
            <w:tcBorders>
              <w:top w:val="nil"/>
              <w:left w:val="single" w:sz="4" w:space="0" w:color="auto"/>
              <w:bottom w:val="nil"/>
              <w:right w:val="nil"/>
            </w:tcBorders>
          </w:tcPr>
          <w:p w14:paraId="14BCD893" w14:textId="77777777" w:rsidR="00C05173" w:rsidRPr="00AE5BD5" w:rsidRDefault="00C05173" w:rsidP="008C6014">
            <w:pPr>
              <w:rPr>
                <w:sz w:val="22"/>
                <w:szCs w:val="22"/>
                <w:lang w:val="lt-LT"/>
              </w:rPr>
            </w:pPr>
            <w:r w:rsidRPr="00AE5BD5">
              <w:rPr>
                <w:sz w:val="22"/>
                <w:szCs w:val="22"/>
                <w:lang w:val="lt-LT"/>
              </w:rPr>
              <w:t>Dažni</w:t>
            </w:r>
          </w:p>
        </w:tc>
        <w:tc>
          <w:tcPr>
            <w:tcW w:w="5751" w:type="dxa"/>
            <w:tcBorders>
              <w:top w:val="nil"/>
              <w:left w:val="nil"/>
              <w:bottom w:val="nil"/>
              <w:right w:val="single" w:sz="4" w:space="0" w:color="auto"/>
            </w:tcBorders>
          </w:tcPr>
          <w:p w14:paraId="2BCD405E" w14:textId="77777777" w:rsidR="00C05173" w:rsidRPr="00AE5BD5" w:rsidRDefault="00C05173" w:rsidP="008C6014">
            <w:pPr>
              <w:rPr>
                <w:sz w:val="22"/>
                <w:szCs w:val="22"/>
                <w:lang w:val="lt-LT"/>
              </w:rPr>
            </w:pPr>
            <w:r w:rsidRPr="00AE5BD5">
              <w:rPr>
                <w:sz w:val="22"/>
                <w:szCs w:val="22"/>
                <w:lang w:val="lt-LT"/>
              </w:rPr>
              <w:t>Anemija</w:t>
            </w:r>
            <w:r w:rsidRPr="00AE5BD5">
              <w:rPr>
                <w:i/>
                <w:iCs/>
                <w:sz w:val="22"/>
                <w:szCs w:val="22"/>
                <w:lang w:val="lt-LT"/>
              </w:rPr>
              <w:t>.</w:t>
            </w:r>
          </w:p>
        </w:tc>
      </w:tr>
      <w:tr w:rsidR="00C05173" w:rsidRPr="00AE5BD5" w14:paraId="000DADAF" w14:textId="77777777" w:rsidTr="008248B1">
        <w:trPr>
          <w:trHeight w:hRule="exact" w:val="379"/>
        </w:trPr>
        <w:tc>
          <w:tcPr>
            <w:tcW w:w="4362" w:type="dxa"/>
            <w:tcBorders>
              <w:top w:val="nil"/>
              <w:left w:val="single" w:sz="4" w:space="0" w:color="auto"/>
              <w:bottom w:val="nil"/>
              <w:right w:val="nil"/>
            </w:tcBorders>
          </w:tcPr>
          <w:p w14:paraId="1CE310DB" w14:textId="77777777" w:rsidR="00C05173" w:rsidRPr="00AE5BD5" w:rsidRDefault="00C05173" w:rsidP="008C6014">
            <w:pPr>
              <w:rPr>
                <w:sz w:val="22"/>
                <w:szCs w:val="22"/>
                <w:lang w:val="lt-LT"/>
              </w:rPr>
            </w:pPr>
            <w:r w:rsidRPr="00AE5BD5">
              <w:rPr>
                <w:b/>
                <w:bCs/>
                <w:sz w:val="22"/>
                <w:szCs w:val="22"/>
                <w:lang w:val="lt-LT"/>
              </w:rPr>
              <w:t>Metabolizmo ir mitybos sutrikimai</w:t>
            </w:r>
          </w:p>
        </w:tc>
        <w:tc>
          <w:tcPr>
            <w:tcW w:w="5751" w:type="dxa"/>
            <w:tcBorders>
              <w:top w:val="nil"/>
              <w:left w:val="nil"/>
              <w:bottom w:val="nil"/>
              <w:right w:val="single" w:sz="4" w:space="0" w:color="auto"/>
            </w:tcBorders>
          </w:tcPr>
          <w:p w14:paraId="4E0A6691" w14:textId="77777777" w:rsidR="00C05173" w:rsidRPr="00AE5BD5" w:rsidRDefault="00C05173" w:rsidP="008C6014">
            <w:pPr>
              <w:rPr>
                <w:sz w:val="22"/>
                <w:szCs w:val="22"/>
                <w:lang w:val="lt-LT"/>
              </w:rPr>
            </w:pPr>
          </w:p>
        </w:tc>
      </w:tr>
      <w:tr w:rsidR="00C05173" w:rsidRPr="00AE5BD5" w14:paraId="0B9F4408" w14:textId="77777777" w:rsidTr="008248B1">
        <w:trPr>
          <w:trHeight w:hRule="exact" w:val="379"/>
        </w:trPr>
        <w:tc>
          <w:tcPr>
            <w:tcW w:w="4362" w:type="dxa"/>
            <w:tcBorders>
              <w:top w:val="nil"/>
              <w:left w:val="single" w:sz="4" w:space="0" w:color="auto"/>
              <w:bottom w:val="nil"/>
              <w:right w:val="nil"/>
            </w:tcBorders>
          </w:tcPr>
          <w:p w14:paraId="27CCC05B" w14:textId="77777777" w:rsidR="00C05173" w:rsidRPr="00AE5BD5" w:rsidRDefault="00C05173" w:rsidP="008C6014">
            <w:pPr>
              <w:rPr>
                <w:sz w:val="22"/>
                <w:szCs w:val="22"/>
                <w:lang w:val="lt-LT"/>
              </w:rPr>
            </w:pPr>
            <w:r w:rsidRPr="00AE5BD5">
              <w:rPr>
                <w:sz w:val="22"/>
                <w:szCs w:val="22"/>
                <w:lang w:val="lt-LT"/>
              </w:rPr>
              <w:t>Dažni</w:t>
            </w:r>
          </w:p>
        </w:tc>
        <w:tc>
          <w:tcPr>
            <w:tcW w:w="5751" w:type="dxa"/>
            <w:tcBorders>
              <w:top w:val="nil"/>
              <w:left w:val="nil"/>
              <w:bottom w:val="nil"/>
              <w:right w:val="single" w:sz="4" w:space="0" w:color="auto"/>
            </w:tcBorders>
          </w:tcPr>
          <w:p w14:paraId="74FC3C39" w14:textId="77777777" w:rsidR="00C05173" w:rsidRPr="00AE5BD5" w:rsidRDefault="00C05173" w:rsidP="008C6014">
            <w:pPr>
              <w:rPr>
                <w:sz w:val="22"/>
                <w:szCs w:val="22"/>
                <w:lang w:val="lt-LT"/>
              </w:rPr>
            </w:pPr>
            <w:r w:rsidRPr="00AE5BD5">
              <w:rPr>
                <w:sz w:val="22"/>
                <w:szCs w:val="22"/>
                <w:lang w:val="lt-LT"/>
              </w:rPr>
              <w:t>Skysčių susikaupimas.</w:t>
            </w:r>
          </w:p>
        </w:tc>
      </w:tr>
      <w:tr w:rsidR="00C05173" w:rsidRPr="00AE5BD5" w14:paraId="49626D18" w14:textId="77777777" w:rsidTr="008248B1">
        <w:trPr>
          <w:trHeight w:hRule="exact" w:val="379"/>
        </w:trPr>
        <w:tc>
          <w:tcPr>
            <w:tcW w:w="4362" w:type="dxa"/>
            <w:tcBorders>
              <w:top w:val="nil"/>
              <w:left w:val="single" w:sz="4" w:space="0" w:color="auto"/>
              <w:bottom w:val="nil"/>
              <w:right w:val="nil"/>
            </w:tcBorders>
          </w:tcPr>
          <w:p w14:paraId="78019AFA" w14:textId="77777777" w:rsidR="00C05173" w:rsidRPr="00AE5BD5" w:rsidRDefault="00C05173" w:rsidP="008C6014">
            <w:pPr>
              <w:rPr>
                <w:sz w:val="22"/>
                <w:szCs w:val="22"/>
                <w:lang w:val="lt-LT"/>
              </w:rPr>
            </w:pPr>
            <w:r w:rsidRPr="00AE5BD5">
              <w:rPr>
                <w:b/>
                <w:bCs/>
                <w:sz w:val="22"/>
                <w:szCs w:val="22"/>
                <w:lang w:val="lt-LT"/>
              </w:rPr>
              <w:t>Psichikos sutrikimai</w:t>
            </w:r>
          </w:p>
        </w:tc>
        <w:tc>
          <w:tcPr>
            <w:tcW w:w="5751" w:type="dxa"/>
            <w:tcBorders>
              <w:top w:val="nil"/>
              <w:left w:val="nil"/>
              <w:bottom w:val="nil"/>
              <w:right w:val="single" w:sz="4" w:space="0" w:color="auto"/>
            </w:tcBorders>
          </w:tcPr>
          <w:p w14:paraId="70A3723C" w14:textId="77777777" w:rsidR="00C05173" w:rsidRPr="00AE5BD5" w:rsidRDefault="00C05173" w:rsidP="008C6014">
            <w:pPr>
              <w:rPr>
                <w:sz w:val="22"/>
                <w:szCs w:val="22"/>
                <w:lang w:val="lt-LT"/>
              </w:rPr>
            </w:pPr>
          </w:p>
        </w:tc>
      </w:tr>
      <w:tr w:rsidR="00C05173" w:rsidRPr="00AE5BD5" w14:paraId="2CE4FB48" w14:textId="77777777" w:rsidTr="008248B1">
        <w:trPr>
          <w:trHeight w:hRule="exact" w:val="379"/>
        </w:trPr>
        <w:tc>
          <w:tcPr>
            <w:tcW w:w="4362" w:type="dxa"/>
            <w:tcBorders>
              <w:top w:val="nil"/>
              <w:left w:val="single" w:sz="4" w:space="0" w:color="auto"/>
              <w:bottom w:val="nil"/>
              <w:right w:val="nil"/>
            </w:tcBorders>
          </w:tcPr>
          <w:p w14:paraId="600010F3" w14:textId="77777777" w:rsidR="00C05173" w:rsidRPr="00AE5BD5" w:rsidRDefault="00C05173" w:rsidP="008C6014">
            <w:pPr>
              <w:rPr>
                <w:sz w:val="22"/>
                <w:szCs w:val="22"/>
                <w:lang w:val="lt-LT"/>
              </w:rPr>
            </w:pPr>
            <w:r w:rsidRPr="00AE5BD5">
              <w:rPr>
                <w:sz w:val="22"/>
                <w:szCs w:val="22"/>
                <w:lang w:val="lt-LT"/>
              </w:rPr>
              <w:t>Dažni</w:t>
            </w:r>
          </w:p>
        </w:tc>
        <w:tc>
          <w:tcPr>
            <w:tcW w:w="5751" w:type="dxa"/>
            <w:tcBorders>
              <w:top w:val="nil"/>
              <w:left w:val="nil"/>
              <w:bottom w:val="nil"/>
              <w:right w:val="single" w:sz="4" w:space="0" w:color="auto"/>
            </w:tcBorders>
          </w:tcPr>
          <w:p w14:paraId="7D97354E" w14:textId="77777777" w:rsidR="00C05173" w:rsidRPr="00AE5BD5" w:rsidRDefault="00C05173" w:rsidP="008C6014">
            <w:pPr>
              <w:rPr>
                <w:sz w:val="22"/>
                <w:szCs w:val="22"/>
                <w:lang w:val="lt-LT"/>
              </w:rPr>
            </w:pPr>
            <w:r w:rsidRPr="00AE5BD5">
              <w:rPr>
                <w:sz w:val="22"/>
                <w:szCs w:val="22"/>
                <w:lang w:val="lt-LT"/>
              </w:rPr>
              <w:t>Nemiga, nerimas.</w:t>
            </w:r>
          </w:p>
        </w:tc>
      </w:tr>
      <w:tr w:rsidR="00C05173" w:rsidRPr="00AE5BD5" w14:paraId="3B1EE78C" w14:textId="77777777" w:rsidTr="008248B1">
        <w:trPr>
          <w:trHeight w:hRule="exact" w:val="380"/>
        </w:trPr>
        <w:tc>
          <w:tcPr>
            <w:tcW w:w="4362" w:type="dxa"/>
            <w:tcBorders>
              <w:top w:val="nil"/>
              <w:left w:val="single" w:sz="4" w:space="0" w:color="auto"/>
              <w:bottom w:val="nil"/>
              <w:right w:val="nil"/>
            </w:tcBorders>
          </w:tcPr>
          <w:p w14:paraId="6788BC11" w14:textId="77777777" w:rsidR="00C05173" w:rsidRPr="00AE5BD5" w:rsidRDefault="00C05173" w:rsidP="008C6014">
            <w:pPr>
              <w:rPr>
                <w:sz w:val="22"/>
                <w:szCs w:val="22"/>
                <w:lang w:val="lt-LT"/>
              </w:rPr>
            </w:pPr>
            <w:r w:rsidRPr="00AE5BD5">
              <w:rPr>
                <w:b/>
                <w:bCs/>
                <w:sz w:val="22"/>
                <w:szCs w:val="22"/>
                <w:lang w:val="lt-LT"/>
              </w:rPr>
              <w:t>Nervų sistemos sutrikimai</w:t>
            </w:r>
          </w:p>
        </w:tc>
        <w:tc>
          <w:tcPr>
            <w:tcW w:w="5751" w:type="dxa"/>
            <w:tcBorders>
              <w:top w:val="nil"/>
              <w:left w:val="nil"/>
              <w:bottom w:val="nil"/>
              <w:right w:val="single" w:sz="4" w:space="0" w:color="auto"/>
            </w:tcBorders>
          </w:tcPr>
          <w:p w14:paraId="03A3B9E3" w14:textId="77777777" w:rsidR="00C05173" w:rsidRPr="00AE5BD5" w:rsidRDefault="00C05173" w:rsidP="008C6014">
            <w:pPr>
              <w:rPr>
                <w:sz w:val="22"/>
                <w:szCs w:val="22"/>
                <w:lang w:val="lt-LT"/>
              </w:rPr>
            </w:pPr>
          </w:p>
        </w:tc>
      </w:tr>
      <w:tr w:rsidR="00C05173" w:rsidRPr="00AE5BD5" w14:paraId="501095B5" w14:textId="77777777" w:rsidTr="008248B1">
        <w:trPr>
          <w:trHeight w:hRule="exact" w:val="251"/>
        </w:trPr>
        <w:tc>
          <w:tcPr>
            <w:tcW w:w="4362" w:type="dxa"/>
            <w:tcBorders>
              <w:top w:val="nil"/>
              <w:left w:val="single" w:sz="4" w:space="0" w:color="auto"/>
              <w:bottom w:val="nil"/>
              <w:right w:val="nil"/>
            </w:tcBorders>
          </w:tcPr>
          <w:p w14:paraId="2BA5B489" w14:textId="77777777" w:rsidR="00C05173" w:rsidRPr="00AE5BD5" w:rsidRDefault="00C05173" w:rsidP="008C6014">
            <w:pPr>
              <w:rPr>
                <w:sz w:val="22"/>
                <w:szCs w:val="22"/>
                <w:lang w:val="lt-LT"/>
              </w:rPr>
            </w:pPr>
            <w:r w:rsidRPr="00AE5BD5">
              <w:rPr>
                <w:sz w:val="22"/>
                <w:szCs w:val="22"/>
                <w:lang w:val="lt-LT"/>
              </w:rPr>
              <w:t>Labai dažni</w:t>
            </w:r>
          </w:p>
        </w:tc>
        <w:tc>
          <w:tcPr>
            <w:tcW w:w="5751" w:type="dxa"/>
            <w:tcBorders>
              <w:top w:val="nil"/>
              <w:left w:val="nil"/>
              <w:bottom w:val="nil"/>
              <w:right w:val="single" w:sz="4" w:space="0" w:color="auto"/>
            </w:tcBorders>
          </w:tcPr>
          <w:p w14:paraId="0F0BBAF9" w14:textId="77777777" w:rsidR="00C05173" w:rsidRPr="00AE5BD5" w:rsidRDefault="00C05173" w:rsidP="008C6014">
            <w:pPr>
              <w:rPr>
                <w:sz w:val="22"/>
                <w:szCs w:val="22"/>
                <w:lang w:val="lt-LT"/>
              </w:rPr>
            </w:pPr>
            <w:r w:rsidRPr="00AE5BD5">
              <w:rPr>
                <w:sz w:val="22"/>
                <w:szCs w:val="22"/>
                <w:lang w:val="lt-LT"/>
              </w:rPr>
              <w:t>Galvos skausmas.</w:t>
            </w:r>
          </w:p>
        </w:tc>
      </w:tr>
      <w:tr w:rsidR="00C05173" w:rsidRPr="00AE5BD5" w14:paraId="19BAF0AA" w14:textId="77777777" w:rsidTr="008248B1">
        <w:trPr>
          <w:trHeight w:hRule="exact" w:val="252"/>
        </w:trPr>
        <w:tc>
          <w:tcPr>
            <w:tcW w:w="4362" w:type="dxa"/>
            <w:tcBorders>
              <w:top w:val="nil"/>
              <w:left w:val="single" w:sz="4" w:space="0" w:color="auto"/>
              <w:bottom w:val="nil"/>
              <w:right w:val="nil"/>
            </w:tcBorders>
          </w:tcPr>
          <w:p w14:paraId="274C23E3" w14:textId="77777777" w:rsidR="00C05173" w:rsidRPr="00AE5BD5" w:rsidRDefault="00C05173" w:rsidP="008C6014">
            <w:pPr>
              <w:rPr>
                <w:sz w:val="22"/>
                <w:szCs w:val="22"/>
                <w:lang w:val="lt-LT"/>
              </w:rPr>
            </w:pPr>
            <w:r w:rsidRPr="00AE5BD5">
              <w:rPr>
                <w:sz w:val="22"/>
                <w:szCs w:val="22"/>
                <w:lang w:val="lt-LT"/>
              </w:rPr>
              <w:t>Dažni</w:t>
            </w:r>
          </w:p>
        </w:tc>
        <w:tc>
          <w:tcPr>
            <w:tcW w:w="5751" w:type="dxa"/>
            <w:tcBorders>
              <w:top w:val="nil"/>
              <w:left w:val="nil"/>
              <w:bottom w:val="nil"/>
              <w:right w:val="single" w:sz="4" w:space="0" w:color="auto"/>
            </w:tcBorders>
          </w:tcPr>
          <w:p w14:paraId="2F097ADB" w14:textId="77777777" w:rsidR="00C05173" w:rsidRPr="00AE5BD5" w:rsidRDefault="00C05173" w:rsidP="008C6014">
            <w:pPr>
              <w:rPr>
                <w:sz w:val="22"/>
                <w:szCs w:val="22"/>
                <w:lang w:val="lt-LT"/>
              </w:rPr>
            </w:pPr>
            <w:r w:rsidRPr="00AE5BD5">
              <w:rPr>
                <w:sz w:val="22"/>
                <w:szCs w:val="22"/>
                <w:lang w:val="lt-LT"/>
              </w:rPr>
              <w:t>Migrena, drebulys, parestezija, deginimo pojūtis,</w:t>
            </w:r>
          </w:p>
        </w:tc>
      </w:tr>
      <w:tr w:rsidR="00C05173" w:rsidRPr="00AE5BD5" w14:paraId="5F309C1F" w14:textId="77777777" w:rsidTr="008248B1">
        <w:trPr>
          <w:trHeight w:hRule="exact" w:val="382"/>
        </w:trPr>
        <w:tc>
          <w:tcPr>
            <w:tcW w:w="4362" w:type="dxa"/>
            <w:tcBorders>
              <w:top w:val="nil"/>
              <w:left w:val="single" w:sz="4" w:space="0" w:color="auto"/>
              <w:bottom w:val="nil"/>
              <w:right w:val="nil"/>
            </w:tcBorders>
          </w:tcPr>
          <w:p w14:paraId="33AF59B7" w14:textId="77777777" w:rsidR="00C05173" w:rsidRPr="00AE5BD5" w:rsidRDefault="00C05173" w:rsidP="008C6014">
            <w:pPr>
              <w:rPr>
                <w:sz w:val="22"/>
                <w:szCs w:val="22"/>
                <w:lang w:val="lt-LT"/>
              </w:rPr>
            </w:pPr>
          </w:p>
        </w:tc>
        <w:tc>
          <w:tcPr>
            <w:tcW w:w="5751" w:type="dxa"/>
            <w:tcBorders>
              <w:top w:val="nil"/>
              <w:left w:val="nil"/>
              <w:bottom w:val="nil"/>
              <w:right w:val="single" w:sz="4" w:space="0" w:color="auto"/>
            </w:tcBorders>
          </w:tcPr>
          <w:p w14:paraId="69117E8B" w14:textId="77777777" w:rsidR="00C05173" w:rsidRPr="00AE5BD5" w:rsidRDefault="00C05173" w:rsidP="008C6014">
            <w:pPr>
              <w:rPr>
                <w:sz w:val="22"/>
                <w:szCs w:val="22"/>
                <w:lang w:val="lt-LT"/>
              </w:rPr>
            </w:pPr>
            <w:r w:rsidRPr="00AE5BD5">
              <w:rPr>
                <w:sz w:val="22"/>
                <w:szCs w:val="22"/>
                <w:lang w:val="lt-LT"/>
              </w:rPr>
              <w:t>hipestezija.</w:t>
            </w:r>
          </w:p>
        </w:tc>
      </w:tr>
      <w:tr w:rsidR="00C05173" w:rsidRPr="00AE5BD5" w14:paraId="4F2F0CF3" w14:textId="77777777" w:rsidTr="008248B1">
        <w:trPr>
          <w:trHeight w:hRule="exact" w:val="380"/>
        </w:trPr>
        <w:tc>
          <w:tcPr>
            <w:tcW w:w="4362" w:type="dxa"/>
            <w:tcBorders>
              <w:top w:val="nil"/>
              <w:left w:val="single" w:sz="4" w:space="0" w:color="auto"/>
              <w:bottom w:val="nil"/>
              <w:right w:val="nil"/>
            </w:tcBorders>
          </w:tcPr>
          <w:p w14:paraId="66E2343D" w14:textId="77777777" w:rsidR="00C05173" w:rsidRPr="00AE5BD5" w:rsidRDefault="00C05173" w:rsidP="008C6014">
            <w:pPr>
              <w:rPr>
                <w:sz w:val="22"/>
                <w:szCs w:val="22"/>
                <w:lang w:val="lt-LT"/>
              </w:rPr>
            </w:pPr>
            <w:r w:rsidRPr="00AE5BD5">
              <w:rPr>
                <w:b/>
                <w:bCs/>
                <w:sz w:val="22"/>
                <w:szCs w:val="22"/>
                <w:lang w:val="lt-LT"/>
              </w:rPr>
              <w:t>Akių sutrikimai</w:t>
            </w:r>
          </w:p>
        </w:tc>
        <w:tc>
          <w:tcPr>
            <w:tcW w:w="5751" w:type="dxa"/>
            <w:tcBorders>
              <w:top w:val="nil"/>
              <w:left w:val="nil"/>
              <w:bottom w:val="nil"/>
              <w:right w:val="single" w:sz="4" w:space="0" w:color="auto"/>
            </w:tcBorders>
          </w:tcPr>
          <w:p w14:paraId="0EFB0658" w14:textId="77777777" w:rsidR="00C05173" w:rsidRPr="00AE5BD5" w:rsidRDefault="00C05173" w:rsidP="008C6014">
            <w:pPr>
              <w:rPr>
                <w:sz w:val="22"/>
                <w:szCs w:val="22"/>
                <w:lang w:val="lt-LT"/>
              </w:rPr>
            </w:pPr>
          </w:p>
        </w:tc>
      </w:tr>
      <w:tr w:rsidR="00C05173" w:rsidRPr="00AE5BD5" w14:paraId="1ACCD6AA" w14:textId="77777777" w:rsidTr="008248B1">
        <w:trPr>
          <w:trHeight w:hRule="exact" w:val="251"/>
        </w:trPr>
        <w:tc>
          <w:tcPr>
            <w:tcW w:w="4362" w:type="dxa"/>
            <w:tcBorders>
              <w:top w:val="nil"/>
              <w:left w:val="single" w:sz="4" w:space="0" w:color="auto"/>
              <w:bottom w:val="nil"/>
              <w:right w:val="nil"/>
            </w:tcBorders>
          </w:tcPr>
          <w:p w14:paraId="5B109BD8" w14:textId="77777777" w:rsidR="00C05173" w:rsidRPr="00AE5BD5" w:rsidRDefault="00C05173" w:rsidP="008C6014">
            <w:pPr>
              <w:rPr>
                <w:sz w:val="22"/>
                <w:szCs w:val="22"/>
                <w:lang w:val="lt-LT"/>
              </w:rPr>
            </w:pPr>
            <w:r w:rsidRPr="00AE5BD5">
              <w:rPr>
                <w:sz w:val="22"/>
                <w:szCs w:val="22"/>
                <w:lang w:val="lt-LT"/>
              </w:rPr>
              <w:t>Dažni</w:t>
            </w:r>
          </w:p>
        </w:tc>
        <w:tc>
          <w:tcPr>
            <w:tcW w:w="5751" w:type="dxa"/>
            <w:tcBorders>
              <w:top w:val="nil"/>
              <w:left w:val="nil"/>
              <w:bottom w:val="nil"/>
              <w:right w:val="single" w:sz="4" w:space="0" w:color="auto"/>
            </w:tcBorders>
          </w:tcPr>
          <w:p w14:paraId="273797F2" w14:textId="77777777" w:rsidR="00C05173" w:rsidRPr="00AE5BD5" w:rsidRDefault="00C05173" w:rsidP="008C6014">
            <w:pPr>
              <w:rPr>
                <w:sz w:val="22"/>
                <w:szCs w:val="22"/>
                <w:lang w:val="lt-LT"/>
              </w:rPr>
            </w:pPr>
            <w:r w:rsidRPr="00AE5BD5">
              <w:rPr>
                <w:sz w:val="22"/>
                <w:szCs w:val="22"/>
                <w:lang w:val="lt-LT"/>
              </w:rPr>
              <w:t>Tinklainės kraujosruva, regėjimo sutrikimas,</w:t>
            </w:r>
          </w:p>
        </w:tc>
      </w:tr>
      <w:tr w:rsidR="00C05173" w:rsidRPr="00AE5BD5" w14:paraId="34F5531D" w14:textId="77777777" w:rsidTr="008248B1">
        <w:trPr>
          <w:trHeight w:hRule="exact" w:val="253"/>
        </w:trPr>
        <w:tc>
          <w:tcPr>
            <w:tcW w:w="4362" w:type="dxa"/>
            <w:tcBorders>
              <w:top w:val="nil"/>
              <w:left w:val="single" w:sz="4" w:space="0" w:color="auto"/>
              <w:bottom w:val="nil"/>
              <w:right w:val="nil"/>
            </w:tcBorders>
          </w:tcPr>
          <w:p w14:paraId="3F53F0A1" w14:textId="77777777" w:rsidR="00C05173" w:rsidRPr="00AE5BD5" w:rsidRDefault="00C05173" w:rsidP="008C6014">
            <w:pPr>
              <w:rPr>
                <w:sz w:val="22"/>
                <w:szCs w:val="22"/>
                <w:lang w:val="lt-LT"/>
              </w:rPr>
            </w:pPr>
          </w:p>
        </w:tc>
        <w:tc>
          <w:tcPr>
            <w:tcW w:w="5751" w:type="dxa"/>
            <w:tcBorders>
              <w:top w:val="nil"/>
              <w:left w:val="nil"/>
              <w:bottom w:val="nil"/>
              <w:right w:val="single" w:sz="4" w:space="0" w:color="auto"/>
            </w:tcBorders>
          </w:tcPr>
          <w:p w14:paraId="12432529" w14:textId="77777777" w:rsidR="00C05173" w:rsidRPr="00AE5BD5" w:rsidRDefault="00C05173" w:rsidP="008C6014">
            <w:pPr>
              <w:rPr>
                <w:sz w:val="22"/>
                <w:szCs w:val="22"/>
                <w:lang w:val="lt-LT"/>
              </w:rPr>
            </w:pPr>
            <w:r w:rsidRPr="00AE5BD5">
              <w:rPr>
                <w:sz w:val="22"/>
                <w:szCs w:val="22"/>
                <w:lang w:val="lt-LT"/>
              </w:rPr>
              <w:t>miglotas matymas, fotofobija, chromatopsija,</w:t>
            </w:r>
          </w:p>
        </w:tc>
      </w:tr>
      <w:tr w:rsidR="00C05173" w:rsidRPr="00AE5BD5" w14:paraId="1A579CD1" w14:textId="77777777" w:rsidTr="008248B1">
        <w:trPr>
          <w:trHeight w:hRule="exact" w:val="253"/>
        </w:trPr>
        <w:tc>
          <w:tcPr>
            <w:tcW w:w="4362" w:type="dxa"/>
            <w:tcBorders>
              <w:top w:val="nil"/>
              <w:left w:val="single" w:sz="4" w:space="0" w:color="auto"/>
              <w:bottom w:val="nil"/>
              <w:right w:val="nil"/>
            </w:tcBorders>
          </w:tcPr>
          <w:p w14:paraId="4282425F" w14:textId="77777777" w:rsidR="00C05173" w:rsidRPr="00AE5BD5" w:rsidRDefault="00C05173" w:rsidP="008C6014">
            <w:pPr>
              <w:rPr>
                <w:sz w:val="22"/>
                <w:szCs w:val="22"/>
                <w:lang w:val="lt-LT"/>
              </w:rPr>
            </w:pPr>
          </w:p>
        </w:tc>
        <w:tc>
          <w:tcPr>
            <w:tcW w:w="5751" w:type="dxa"/>
            <w:tcBorders>
              <w:top w:val="nil"/>
              <w:left w:val="nil"/>
              <w:bottom w:val="nil"/>
              <w:right w:val="single" w:sz="4" w:space="0" w:color="auto"/>
            </w:tcBorders>
          </w:tcPr>
          <w:p w14:paraId="1A391141" w14:textId="77777777" w:rsidR="00C05173" w:rsidRPr="00AE5BD5" w:rsidRDefault="00C05173" w:rsidP="008C6014">
            <w:pPr>
              <w:rPr>
                <w:sz w:val="22"/>
                <w:szCs w:val="22"/>
                <w:lang w:val="lt-LT"/>
              </w:rPr>
            </w:pPr>
            <w:r w:rsidRPr="00AE5BD5">
              <w:rPr>
                <w:sz w:val="22"/>
                <w:szCs w:val="22"/>
                <w:lang w:val="lt-LT"/>
              </w:rPr>
              <w:t>cianopsija, akies dirginimas, akių hiperemija.</w:t>
            </w:r>
          </w:p>
        </w:tc>
      </w:tr>
      <w:tr w:rsidR="00C05173" w:rsidRPr="00AE5BD5" w14:paraId="7648F699" w14:textId="77777777" w:rsidTr="008248B1">
        <w:trPr>
          <w:trHeight w:hRule="exact" w:val="252"/>
        </w:trPr>
        <w:tc>
          <w:tcPr>
            <w:tcW w:w="4362" w:type="dxa"/>
            <w:tcBorders>
              <w:top w:val="nil"/>
              <w:left w:val="single" w:sz="4" w:space="0" w:color="auto"/>
              <w:bottom w:val="nil"/>
              <w:right w:val="nil"/>
            </w:tcBorders>
          </w:tcPr>
          <w:p w14:paraId="2E27CC3A" w14:textId="77777777" w:rsidR="00C05173" w:rsidRPr="00AE5BD5" w:rsidRDefault="00C05173" w:rsidP="008C6014">
            <w:pPr>
              <w:rPr>
                <w:sz w:val="22"/>
                <w:szCs w:val="22"/>
                <w:lang w:val="lt-LT"/>
              </w:rPr>
            </w:pPr>
            <w:r w:rsidRPr="00AE5BD5">
              <w:rPr>
                <w:sz w:val="22"/>
                <w:szCs w:val="22"/>
                <w:lang w:val="lt-LT"/>
              </w:rPr>
              <w:t>Nedažni</w:t>
            </w:r>
          </w:p>
        </w:tc>
        <w:tc>
          <w:tcPr>
            <w:tcW w:w="5751" w:type="dxa"/>
            <w:tcBorders>
              <w:top w:val="nil"/>
              <w:left w:val="nil"/>
              <w:bottom w:val="nil"/>
              <w:right w:val="single" w:sz="4" w:space="0" w:color="auto"/>
            </w:tcBorders>
          </w:tcPr>
          <w:p w14:paraId="47D29FCA" w14:textId="77777777" w:rsidR="00C05173" w:rsidRPr="00AE5BD5" w:rsidRDefault="00C05173" w:rsidP="008C6014">
            <w:pPr>
              <w:rPr>
                <w:sz w:val="22"/>
                <w:szCs w:val="22"/>
                <w:lang w:val="lt-LT"/>
              </w:rPr>
            </w:pPr>
            <w:r w:rsidRPr="00AE5BD5">
              <w:rPr>
                <w:sz w:val="22"/>
                <w:szCs w:val="22"/>
                <w:lang w:val="lt-LT"/>
              </w:rPr>
              <w:t>Regėjimo aštrumo sumažėjimas, diplopija,</w:t>
            </w:r>
          </w:p>
        </w:tc>
      </w:tr>
      <w:tr w:rsidR="00C05173" w:rsidRPr="00AE5BD5" w14:paraId="386C259C" w14:textId="77777777" w:rsidTr="008248B1">
        <w:trPr>
          <w:trHeight w:hRule="exact" w:val="253"/>
        </w:trPr>
        <w:tc>
          <w:tcPr>
            <w:tcW w:w="4362" w:type="dxa"/>
            <w:tcBorders>
              <w:top w:val="nil"/>
              <w:left w:val="single" w:sz="4" w:space="0" w:color="auto"/>
              <w:bottom w:val="nil"/>
              <w:right w:val="nil"/>
            </w:tcBorders>
          </w:tcPr>
          <w:p w14:paraId="68295333" w14:textId="77777777" w:rsidR="00C05173" w:rsidRPr="00AE5BD5" w:rsidRDefault="00C05173" w:rsidP="008C6014">
            <w:pPr>
              <w:rPr>
                <w:sz w:val="22"/>
                <w:szCs w:val="22"/>
                <w:lang w:val="lt-LT"/>
              </w:rPr>
            </w:pPr>
          </w:p>
        </w:tc>
        <w:tc>
          <w:tcPr>
            <w:tcW w:w="5751" w:type="dxa"/>
            <w:tcBorders>
              <w:top w:val="nil"/>
              <w:left w:val="nil"/>
              <w:bottom w:val="nil"/>
              <w:right w:val="single" w:sz="4" w:space="0" w:color="auto"/>
            </w:tcBorders>
          </w:tcPr>
          <w:p w14:paraId="1469C30A" w14:textId="77777777" w:rsidR="00C05173" w:rsidRPr="00AE5BD5" w:rsidRDefault="00C05173" w:rsidP="008C6014">
            <w:pPr>
              <w:rPr>
                <w:sz w:val="22"/>
                <w:szCs w:val="22"/>
                <w:lang w:val="lt-LT"/>
              </w:rPr>
            </w:pPr>
            <w:r w:rsidRPr="00AE5BD5">
              <w:rPr>
                <w:sz w:val="22"/>
                <w:szCs w:val="22"/>
                <w:lang w:val="lt-LT"/>
              </w:rPr>
              <w:t>nenormalūs pojūčiai akyje.</w:t>
            </w:r>
          </w:p>
        </w:tc>
      </w:tr>
      <w:tr w:rsidR="00C05173" w:rsidRPr="00AE5BD5" w14:paraId="37AA4890" w14:textId="77777777" w:rsidTr="008248B1">
        <w:trPr>
          <w:trHeight w:hRule="exact" w:val="253"/>
        </w:trPr>
        <w:tc>
          <w:tcPr>
            <w:tcW w:w="4362" w:type="dxa"/>
            <w:tcBorders>
              <w:top w:val="nil"/>
              <w:left w:val="single" w:sz="4" w:space="0" w:color="auto"/>
              <w:bottom w:val="nil"/>
              <w:right w:val="nil"/>
            </w:tcBorders>
          </w:tcPr>
          <w:p w14:paraId="27EB9662" w14:textId="77777777" w:rsidR="00C05173" w:rsidRPr="00AE5BD5" w:rsidRDefault="00C05173" w:rsidP="008C6014">
            <w:pPr>
              <w:rPr>
                <w:sz w:val="22"/>
                <w:szCs w:val="22"/>
                <w:lang w:val="lt-LT"/>
              </w:rPr>
            </w:pPr>
            <w:r w:rsidRPr="00AE5BD5">
              <w:rPr>
                <w:sz w:val="22"/>
                <w:szCs w:val="22"/>
                <w:lang w:val="lt-LT"/>
              </w:rPr>
              <w:t>Dažnis nežinomas</w:t>
            </w:r>
          </w:p>
        </w:tc>
        <w:tc>
          <w:tcPr>
            <w:tcW w:w="5751" w:type="dxa"/>
            <w:tcBorders>
              <w:top w:val="nil"/>
              <w:left w:val="nil"/>
              <w:bottom w:val="nil"/>
              <w:right w:val="single" w:sz="4" w:space="0" w:color="auto"/>
            </w:tcBorders>
          </w:tcPr>
          <w:p w14:paraId="13F4F6BC" w14:textId="77777777" w:rsidR="00C05173" w:rsidRPr="00AE5BD5" w:rsidRDefault="00C05173" w:rsidP="008C6014">
            <w:pPr>
              <w:rPr>
                <w:sz w:val="22"/>
                <w:szCs w:val="22"/>
                <w:lang w:val="lt-LT"/>
              </w:rPr>
            </w:pPr>
            <w:r w:rsidRPr="00AE5BD5">
              <w:rPr>
                <w:i/>
                <w:iCs/>
                <w:sz w:val="22"/>
                <w:szCs w:val="22"/>
                <w:lang w:val="lt-LT"/>
              </w:rPr>
              <w:t>Ne arterito sukelta priekinė išeminė regos nervo</w:t>
            </w:r>
          </w:p>
        </w:tc>
      </w:tr>
      <w:tr w:rsidR="00C05173" w:rsidRPr="00AE5BD5" w14:paraId="79E23DAA" w14:textId="77777777" w:rsidTr="008248B1">
        <w:trPr>
          <w:trHeight w:hRule="exact" w:val="253"/>
        </w:trPr>
        <w:tc>
          <w:tcPr>
            <w:tcW w:w="4362" w:type="dxa"/>
            <w:tcBorders>
              <w:top w:val="nil"/>
              <w:left w:val="single" w:sz="4" w:space="0" w:color="auto"/>
              <w:bottom w:val="nil"/>
              <w:right w:val="nil"/>
            </w:tcBorders>
          </w:tcPr>
          <w:p w14:paraId="1AAE93FB" w14:textId="77777777" w:rsidR="00C05173" w:rsidRPr="00AE5BD5" w:rsidRDefault="00C05173" w:rsidP="008C6014">
            <w:pPr>
              <w:rPr>
                <w:sz w:val="22"/>
                <w:szCs w:val="22"/>
                <w:lang w:val="lt-LT"/>
              </w:rPr>
            </w:pPr>
          </w:p>
        </w:tc>
        <w:tc>
          <w:tcPr>
            <w:tcW w:w="5751" w:type="dxa"/>
            <w:tcBorders>
              <w:top w:val="nil"/>
              <w:left w:val="nil"/>
              <w:bottom w:val="nil"/>
              <w:right w:val="single" w:sz="4" w:space="0" w:color="auto"/>
            </w:tcBorders>
          </w:tcPr>
          <w:p w14:paraId="366FCB97" w14:textId="77777777" w:rsidR="00C05173" w:rsidRPr="00AE5BD5" w:rsidRDefault="00C05173" w:rsidP="008C6014">
            <w:pPr>
              <w:rPr>
                <w:sz w:val="22"/>
                <w:szCs w:val="22"/>
                <w:lang w:val="lt-LT"/>
              </w:rPr>
            </w:pPr>
            <w:r w:rsidRPr="00AE5BD5">
              <w:rPr>
                <w:i/>
                <w:iCs/>
                <w:sz w:val="22"/>
                <w:szCs w:val="22"/>
                <w:lang w:val="lt-LT"/>
              </w:rPr>
              <w:t>neuropatija* (NAION), tinklainės kraujagyslių</w:t>
            </w:r>
          </w:p>
        </w:tc>
      </w:tr>
      <w:tr w:rsidR="00C05173" w:rsidRPr="00AE5BD5" w14:paraId="0930E6C6" w14:textId="77777777" w:rsidTr="008248B1">
        <w:trPr>
          <w:trHeight w:hRule="exact" w:val="382"/>
        </w:trPr>
        <w:tc>
          <w:tcPr>
            <w:tcW w:w="4362" w:type="dxa"/>
            <w:tcBorders>
              <w:top w:val="nil"/>
              <w:left w:val="single" w:sz="4" w:space="0" w:color="auto"/>
              <w:bottom w:val="nil"/>
              <w:right w:val="nil"/>
            </w:tcBorders>
          </w:tcPr>
          <w:p w14:paraId="77648C7B" w14:textId="77777777" w:rsidR="00C05173" w:rsidRPr="00AE5BD5" w:rsidRDefault="00C05173" w:rsidP="008C6014">
            <w:pPr>
              <w:rPr>
                <w:sz w:val="22"/>
                <w:szCs w:val="22"/>
                <w:lang w:val="lt-LT"/>
              </w:rPr>
            </w:pPr>
          </w:p>
        </w:tc>
        <w:tc>
          <w:tcPr>
            <w:tcW w:w="5751" w:type="dxa"/>
            <w:tcBorders>
              <w:top w:val="nil"/>
              <w:left w:val="nil"/>
              <w:bottom w:val="nil"/>
              <w:right w:val="single" w:sz="4" w:space="0" w:color="auto"/>
            </w:tcBorders>
          </w:tcPr>
          <w:p w14:paraId="676E2FE9" w14:textId="77777777" w:rsidR="00C05173" w:rsidRPr="00AE5BD5" w:rsidRDefault="00C05173" w:rsidP="008C6014">
            <w:pPr>
              <w:rPr>
                <w:sz w:val="22"/>
                <w:szCs w:val="22"/>
                <w:lang w:val="lt-LT"/>
              </w:rPr>
            </w:pPr>
            <w:r w:rsidRPr="00AE5BD5">
              <w:rPr>
                <w:i/>
                <w:iCs/>
                <w:sz w:val="22"/>
                <w:szCs w:val="22"/>
                <w:lang w:val="lt-LT"/>
              </w:rPr>
              <w:t>okliuzija*, akipločio defektas*</w:t>
            </w:r>
          </w:p>
        </w:tc>
      </w:tr>
      <w:tr w:rsidR="00C05173" w:rsidRPr="00AE5BD5" w14:paraId="387E3A63" w14:textId="77777777" w:rsidTr="008248B1">
        <w:trPr>
          <w:trHeight w:hRule="exact" w:val="379"/>
        </w:trPr>
        <w:tc>
          <w:tcPr>
            <w:tcW w:w="4362" w:type="dxa"/>
            <w:tcBorders>
              <w:top w:val="nil"/>
              <w:left w:val="single" w:sz="4" w:space="0" w:color="auto"/>
              <w:bottom w:val="nil"/>
              <w:right w:val="nil"/>
            </w:tcBorders>
          </w:tcPr>
          <w:p w14:paraId="3411E756" w14:textId="77777777" w:rsidR="00C05173" w:rsidRPr="00AE5BD5" w:rsidRDefault="00C05173" w:rsidP="008C6014">
            <w:pPr>
              <w:rPr>
                <w:sz w:val="22"/>
                <w:szCs w:val="22"/>
                <w:lang w:val="lt-LT"/>
              </w:rPr>
            </w:pPr>
            <w:r w:rsidRPr="00AE5BD5">
              <w:rPr>
                <w:b/>
                <w:bCs/>
                <w:sz w:val="22"/>
                <w:szCs w:val="22"/>
                <w:lang w:val="lt-LT"/>
              </w:rPr>
              <w:t>Ausų ir labirintų sutrikimai</w:t>
            </w:r>
          </w:p>
        </w:tc>
        <w:tc>
          <w:tcPr>
            <w:tcW w:w="5751" w:type="dxa"/>
            <w:tcBorders>
              <w:top w:val="nil"/>
              <w:left w:val="nil"/>
              <w:bottom w:val="nil"/>
              <w:right w:val="single" w:sz="4" w:space="0" w:color="auto"/>
            </w:tcBorders>
          </w:tcPr>
          <w:p w14:paraId="2DE4AAEE" w14:textId="77777777" w:rsidR="00C05173" w:rsidRPr="00AE5BD5" w:rsidRDefault="00C05173" w:rsidP="008C6014">
            <w:pPr>
              <w:rPr>
                <w:sz w:val="22"/>
                <w:szCs w:val="22"/>
                <w:lang w:val="lt-LT"/>
              </w:rPr>
            </w:pPr>
          </w:p>
        </w:tc>
      </w:tr>
      <w:tr w:rsidR="00C05173" w:rsidRPr="00AE5BD5" w14:paraId="18A1F2DE" w14:textId="77777777" w:rsidTr="008248B1">
        <w:trPr>
          <w:trHeight w:hRule="exact" w:val="251"/>
        </w:trPr>
        <w:tc>
          <w:tcPr>
            <w:tcW w:w="4362" w:type="dxa"/>
            <w:tcBorders>
              <w:top w:val="nil"/>
              <w:left w:val="single" w:sz="4" w:space="0" w:color="auto"/>
              <w:bottom w:val="nil"/>
              <w:right w:val="nil"/>
            </w:tcBorders>
          </w:tcPr>
          <w:p w14:paraId="5D92BE35" w14:textId="77777777" w:rsidR="00C05173" w:rsidRPr="00AE5BD5" w:rsidRDefault="00C05173" w:rsidP="008C6014">
            <w:pPr>
              <w:rPr>
                <w:sz w:val="22"/>
                <w:szCs w:val="22"/>
                <w:lang w:val="lt-LT"/>
              </w:rPr>
            </w:pPr>
            <w:r w:rsidRPr="00AE5BD5">
              <w:rPr>
                <w:sz w:val="22"/>
                <w:szCs w:val="22"/>
                <w:lang w:val="lt-LT"/>
              </w:rPr>
              <w:t>Dažni</w:t>
            </w:r>
          </w:p>
        </w:tc>
        <w:tc>
          <w:tcPr>
            <w:tcW w:w="5751" w:type="dxa"/>
            <w:tcBorders>
              <w:top w:val="nil"/>
              <w:left w:val="nil"/>
              <w:bottom w:val="nil"/>
              <w:right w:val="single" w:sz="4" w:space="0" w:color="auto"/>
            </w:tcBorders>
          </w:tcPr>
          <w:p w14:paraId="6197D3B7" w14:textId="77777777" w:rsidR="00C05173" w:rsidRPr="00AE5BD5" w:rsidRDefault="00C05173" w:rsidP="00005F71">
            <w:pPr>
              <w:rPr>
                <w:sz w:val="22"/>
                <w:szCs w:val="22"/>
                <w:lang w:val="lt-LT"/>
              </w:rPr>
            </w:pPr>
            <w:r w:rsidRPr="00AE5BD5">
              <w:rPr>
                <w:sz w:val="22"/>
                <w:szCs w:val="22"/>
                <w:lang w:val="lt-LT"/>
              </w:rPr>
              <w:t xml:space="preserve">Galvos </w:t>
            </w:r>
            <w:r w:rsidR="00005F71">
              <w:rPr>
                <w:sz w:val="22"/>
                <w:szCs w:val="22"/>
                <w:lang w:val="lt-LT"/>
              </w:rPr>
              <w:t>svaigimas (</w:t>
            </w:r>
            <w:r w:rsidR="00005F71">
              <w:rPr>
                <w:i/>
                <w:sz w:val="22"/>
                <w:szCs w:val="22"/>
                <w:lang w:val="lt-LT"/>
              </w:rPr>
              <w:t>vertigo</w:t>
            </w:r>
            <w:r w:rsidR="00005F71">
              <w:rPr>
                <w:sz w:val="22"/>
                <w:szCs w:val="22"/>
                <w:lang w:val="lt-LT"/>
              </w:rPr>
              <w:t>)</w:t>
            </w:r>
            <w:r w:rsidRPr="00AE5BD5">
              <w:rPr>
                <w:sz w:val="22"/>
                <w:szCs w:val="22"/>
                <w:lang w:val="lt-LT"/>
              </w:rPr>
              <w:t>.</w:t>
            </w:r>
          </w:p>
        </w:tc>
      </w:tr>
      <w:tr w:rsidR="00C05173" w:rsidRPr="00AE5BD5" w14:paraId="39641D35" w14:textId="77777777" w:rsidTr="008248B1">
        <w:trPr>
          <w:trHeight w:hRule="exact" w:val="382"/>
        </w:trPr>
        <w:tc>
          <w:tcPr>
            <w:tcW w:w="4362" w:type="dxa"/>
            <w:tcBorders>
              <w:top w:val="nil"/>
              <w:left w:val="single" w:sz="4" w:space="0" w:color="auto"/>
              <w:bottom w:val="nil"/>
              <w:right w:val="nil"/>
            </w:tcBorders>
          </w:tcPr>
          <w:p w14:paraId="17EEEAE5" w14:textId="77777777" w:rsidR="00C05173" w:rsidRPr="00AE5BD5" w:rsidRDefault="00C05173" w:rsidP="008C6014">
            <w:pPr>
              <w:rPr>
                <w:sz w:val="22"/>
                <w:szCs w:val="22"/>
                <w:lang w:val="lt-LT"/>
              </w:rPr>
            </w:pPr>
            <w:r w:rsidRPr="00AE5BD5">
              <w:rPr>
                <w:sz w:val="22"/>
                <w:szCs w:val="22"/>
                <w:lang w:val="lt-LT"/>
              </w:rPr>
              <w:t>Dažnis nežinomas</w:t>
            </w:r>
          </w:p>
        </w:tc>
        <w:tc>
          <w:tcPr>
            <w:tcW w:w="5751" w:type="dxa"/>
            <w:tcBorders>
              <w:top w:val="nil"/>
              <w:left w:val="nil"/>
              <w:bottom w:val="nil"/>
              <w:right w:val="single" w:sz="4" w:space="0" w:color="auto"/>
            </w:tcBorders>
          </w:tcPr>
          <w:p w14:paraId="43B6082A" w14:textId="77777777" w:rsidR="00C05173" w:rsidRPr="00AE5BD5" w:rsidRDefault="00C05173" w:rsidP="008C6014">
            <w:pPr>
              <w:rPr>
                <w:sz w:val="22"/>
                <w:szCs w:val="22"/>
                <w:lang w:val="lt-LT"/>
              </w:rPr>
            </w:pPr>
            <w:r w:rsidRPr="00AE5BD5">
              <w:rPr>
                <w:i/>
                <w:iCs/>
                <w:sz w:val="22"/>
                <w:szCs w:val="22"/>
                <w:lang w:val="lt-LT"/>
              </w:rPr>
              <w:t>Staigus apkurtimas</w:t>
            </w:r>
          </w:p>
        </w:tc>
      </w:tr>
      <w:tr w:rsidR="00C05173" w:rsidRPr="00AE5BD5" w14:paraId="5C0F60AF" w14:textId="77777777" w:rsidTr="008248B1">
        <w:trPr>
          <w:trHeight w:hRule="exact" w:val="379"/>
        </w:trPr>
        <w:tc>
          <w:tcPr>
            <w:tcW w:w="4362" w:type="dxa"/>
            <w:tcBorders>
              <w:top w:val="nil"/>
              <w:left w:val="single" w:sz="4" w:space="0" w:color="auto"/>
              <w:bottom w:val="nil"/>
              <w:right w:val="nil"/>
            </w:tcBorders>
          </w:tcPr>
          <w:p w14:paraId="50C14DF3" w14:textId="77777777" w:rsidR="00C05173" w:rsidRPr="00AE5BD5" w:rsidRDefault="00C05173" w:rsidP="008C6014">
            <w:pPr>
              <w:rPr>
                <w:sz w:val="22"/>
                <w:szCs w:val="22"/>
                <w:lang w:val="lt-LT"/>
              </w:rPr>
            </w:pPr>
            <w:r w:rsidRPr="00AE5BD5">
              <w:rPr>
                <w:b/>
                <w:bCs/>
                <w:sz w:val="22"/>
                <w:szCs w:val="22"/>
                <w:lang w:val="lt-LT"/>
              </w:rPr>
              <w:t>Kraujagyslių sutrikimai</w:t>
            </w:r>
          </w:p>
        </w:tc>
        <w:tc>
          <w:tcPr>
            <w:tcW w:w="5751" w:type="dxa"/>
            <w:tcBorders>
              <w:top w:val="nil"/>
              <w:left w:val="nil"/>
              <w:bottom w:val="nil"/>
              <w:right w:val="single" w:sz="4" w:space="0" w:color="auto"/>
            </w:tcBorders>
          </w:tcPr>
          <w:p w14:paraId="22D838FF" w14:textId="77777777" w:rsidR="00C05173" w:rsidRPr="00AE5BD5" w:rsidRDefault="00C05173" w:rsidP="008C6014">
            <w:pPr>
              <w:rPr>
                <w:sz w:val="22"/>
                <w:szCs w:val="22"/>
                <w:lang w:val="lt-LT"/>
              </w:rPr>
            </w:pPr>
          </w:p>
        </w:tc>
      </w:tr>
      <w:tr w:rsidR="00C05173" w:rsidRPr="00AE5BD5" w14:paraId="29A700E6" w14:textId="77777777" w:rsidTr="008248B1">
        <w:trPr>
          <w:trHeight w:hRule="exact" w:val="251"/>
        </w:trPr>
        <w:tc>
          <w:tcPr>
            <w:tcW w:w="4362" w:type="dxa"/>
            <w:tcBorders>
              <w:top w:val="nil"/>
              <w:left w:val="single" w:sz="4" w:space="0" w:color="auto"/>
              <w:bottom w:val="nil"/>
              <w:right w:val="nil"/>
            </w:tcBorders>
          </w:tcPr>
          <w:p w14:paraId="54FCEF71" w14:textId="77777777" w:rsidR="00C05173" w:rsidRPr="00AE5BD5" w:rsidRDefault="00C05173" w:rsidP="008C6014">
            <w:pPr>
              <w:rPr>
                <w:sz w:val="22"/>
                <w:szCs w:val="22"/>
                <w:lang w:val="lt-LT"/>
              </w:rPr>
            </w:pPr>
            <w:r w:rsidRPr="00AE5BD5">
              <w:rPr>
                <w:sz w:val="22"/>
                <w:szCs w:val="22"/>
                <w:lang w:val="lt-LT"/>
              </w:rPr>
              <w:t>Labai dažni</w:t>
            </w:r>
          </w:p>
        </w:tc>
        <w:tc>
          <w:tcPr>
            <w:tcW w:w="5751" w:type="dxa"/>
            <w:tcBorders>
              <w:top w:val="nil"/>
              <w:left w:val="nil"/>
              <w:bottom w:val="nil"/>
              <w:right w:val="single" w:sz="4" w:space="0" w:color="auto"/>
            </w:tcBorders>
          </w:tcPr>
          <w:p w14:paraId="067AA20A" w14:textId="77777777" w:rsidR="00C05173" w:rsidRPr="00AE5BD5" w:rsidRDefault="00C05173" w:rsidP="008C6014">
            <w:pPr>
              <w:rPr>
                <w:sz w:val="22"/>
                <w:szCs w:val="22"/>
                <w:lang w:val="lt-LT"/>
              </w:rPr>
            </w:pPr>
            <w:r w:rsidRPr="00AE5BD5">
              <w:rPr>
                <w:sz w:val="22"/>
                <w:szCs w:val="22"/>
                <w:lang w:val="lt-LT"/>
              </w:rPr>
              <w:t>Veido ir kaklo paraudimas.</w:t>
            </w:r>
          </w:p>
        </w:tc>
      </w:tr>
      <w:tr w:rsidR="00C05173" w:rsidRPr="00AE5BD5" w14:paraId="2D2B4C19" w14:textId="77777777" w:rsidTr="008248B1">
        <w:trPr>
          <w:trHeight w:hRule="exact" w:val="383"/>
        </w:trPr>
        <w:tc>
          <w:tcPr>
            <w:tcW w:w="4362" w:type="dxa"/>
            <w:tcBorders>
              <w:top w:val="nil"/>
              <w:left w:val="single" w:sz="4" w:space="0" w:color="auto"/>
              <w:bottom w:val="nil"/>
              <w:right w:val="nil"/>
            </w:tcBorders>
          </w:tcPr>
          <w:p w14:paraId="06DA31ED" w14:textId="77777777" w:rsidR="00C05173" w:rsidRPr="00AE5BD5" w:rsidRDefault="00C05173" w:rsidP="008C6014">
            <w:pPr>
              <w:rPr>
                <w:sz w:val="22"/>
                <w:szCs w:val="22"/>
                <w:lang w:val="lt-LT"/>
              </w:rPr>
            </w:pPr>
            <w:r w:rsidRPr="00AE5BD5">
              <w:rPr>
                <w:sz w:val="22"/>
                <w:szCs w:val="22"/>
                <w:lang w:val="lt-LT"/>
              </w:rPr>
              <w:t>Dažnis nežinomas</w:t>
            </w:r>
          </w:p>
        </w:tc>
        <w:tc>
          <w:tcPr>
            <w:tcW w:w="5751" w:type="dxa"/>
            <w:tcBorders>
              <w:top w:val="nil"/>
              <w:left w:val="nil"/>
              <w:bottom w:val="nil"/>
              <w:right w:val="single" w:sz="4" w:space="0" w:color="auto"/>
            </w:tcBorders>
          </w:tcPr>
          <w:p w14:paraId="7BBA17AD" w14:textId="77777777" w:rsidR="00C05173" w:rsidRPr="00AE5BD5" w:rsidRDefault="00C05173" w:rsidP="008C6014">
            <w:pPr>
              <w:rPr>
                <w:sz w:val="22"/>
                <w:szCs w:val="22"/>
                <w:lang w:val="lt-LT"/>
              </w:rPr>
            </w:pPr>
            <w:r w:rsidRPr="00AE5BD5">
              <w:rPr>
                <w:i/>
                <w:iCs/>
                <w:sz w:val="22"/>
                <w:szCs w:val="22"/>
                <w:lang w:val="lt-LT"/>
              </w:rPr>
              <w:t>Hipotenzija</w:t>
            </w:r>
          </w:p>
        </w:tc>
      </w:tr>
      <w:tr w:rsidR="00C05173" w:rsidRPr="00AE5BD5" w14:paraId="276620B2" w14:textId="77777777" w:rsidTr="008248B1">
        <w:trPr>
          <w:trHeight w:hRule="exact" w:val="521"/>
        </w:trPr>
        <w:tc>
          <w:tcPr>
            <w:tcW w:w="4362" w:type="dxa"/>
            <w:tcBorders>
              <w:top w:val="nil"/>
              <w:left w:val="single" w:sz="4" w:space="0" w:color="auto"/>
              <w:bottom w:val="nil"/>
              <w:right w:val="nil"/>
            </w:tcBorders>
          </w:tcPr>
          <w:p w14:paraId="7113257C" w14:textId="603DF9E1" w:rsidR="00C05173" w:rsidRPr="00472FCD" w:rsidRDefault="00C05173" w:rsidP="008C6014">
            <w:pPr>
              <w:rPr>
                <w:sz w:val="22"/>
                <w:szCs w:val="22"/>
                <w:lang w:val="lt-LT"/>
              </w:rPr>
            </w:pPr>
            <w:r w:rsidRPr="00AE5BD5">
              <w:rPr>
                <w:b/>
                <w:bCs/>
                <w:sz w:val="22"/>
                <w:szCs w:val="22"/>
                <w:lang w:val="lt-LT"/>
              </w:rPr>
              <w:t>Kvėpavimo sistemos, krūtinės ląstos ir</w:t>
            </w:r>
            <w:r w:rsidR="00472FCD">
              <w:rPr>
                <w:b/>
                <w:bCs/>
                <w:sz w:val="22"/>
                <w:szCs w:val="22"/>
                <w:lang w:val="lt-LT"/>
              </w:rPr>
              <w:t xml:space="preserve"> </w:t>
            </w:r>
            <w:r w:rsidR="00472FCD" w:rsidRPr="00AE5BD5">
              <w:rPr>
                <w:b/>
                <w:bCs/>
                <w:sz w:val="22"/>
                <w:szCs w:val="22"/>
                <w:lang w:val="lt-LT"/>
              </w:rPr>
              <w:t>tarpuplaučio sutrikimai</w:t>
            </w:r>
          </w:p>
        </w:tc>
        <w:tc>
          <w:tcPr>
            <w:tcW w:w="5751" w:type="dxa"/>
            <w:tcBorders>
              <w:top w:val="nil"/>
              <w:left w:val="nil"/>
              <w:bottom w:val="nil"/>
              <w:right w:val="single" w:sz="4" w:space="0" w:color="auto"/>
            </w:tcBorders>
          </w:tcPr>
          <w:p w14:paraId="0691EE0D" w14:textId="77777777" w:rsidR="00C05173" w:rsidRPr="00AE5BD5" w:rsidRDefault="00C05173" w:rsidP="008C6014">
            <w:pPr>
              <w:rPr>
                <w:sz w:val="22"/>
                <w:szCs w:val="22"/>
                <w:lang w:val="lt-LT"/>
              </w:rPr>
            </w:pPr>
          </w:p>
        </w:tc>
      </w:tr>
      <w:tr w:rsidR="00C05173" w:rsidRPr="00AE5BD5" w14:paraId="1F11427F" w14:textId="77777777" w:rsidTr="008248B1">
        <w:trPr>
          <w:trHeight w:hRule="exact" w:val="379"/>
        </w:trPr>
        <w:tc>
          <w:tcPr>
            <w:tcW w:w="4362" w:type="dxa"/>
            <w:tcBorders>
              <w:top w:val="nil"/>
              <w:left w:val="single" w:sz="4" w:space="0" w:color="auto"/>
              <w:bottom w:val="nil"/>
              <w:right w:val="nil"/>
            </w:tcBorders>
          </w:tcPr>
          <w:p w14:paraId="559C5379" w14:textId="77777777" w:rsidR="00C05173" w:rsidRPr="00AE5BD5" w:rsidRDefault="00C05173" w:rsidP="008C6014">
            <w:pPr>
              <w:rPr>
                <w:sz w:val="22"/>
                <w:szCs w:val="22"/>
                <w:lang w:val="lt-LT"/>
              </w:rPr>
            </w:pPr>
            <w:r w:rsidRPr="00AE5BD5">
              <w:rPr>
                <w:sz w:val="22"/>
                <w:szCs w:val="22"/>
                <w:lang w:val="lt-LT"/>
              </w:rPr>
              <w:t>Dažni</w:t>
            </w:r>
          </w:p>
        </w:tc>
        <w:tc>
          <w:tcPr>
            <w:tcW w:w="5751" w:type="dxa"/>
            <w:tcBorders>
              <w:top w:val="nil"/>
              <w:left w:val="nil"/>
              <w:bottom w:val="nil"/>
              <w:right w:val="single" w:sz="4" w:space="0" w:color="auto"/>
            </w:tcBorders>
          </w:tcPr>
          <w:p w14:paraId="693B329B" w14:textId="77777777" w:rsidR="00C05173" w:rsidRPr="00AE5BD5" w:rsidRDefault="00C05173" w:rsidP="008C6014">
            <w:pPr>
              <w:rPr>
                <w:sz w:val="22"/>
                <w:szCs w:val="22"/>
                <w:lang w:val="lt-LT"/>
              </w:rPr>
            </w:pPr>
            <w:r w:rsidRPr="00AE5BD5">
              <w:rPr>
                <w:sz w:val="22"/>
                <w:szCs w:val="22"/>
                <w:lang w:val="lt-LT"/>
              </w:rPr>
              <w:t>Kraujavimas iš nosies, kosulys, nosies užgulimas.</w:t>
            </w:r>
          </w:p>
        </w:tc>
      </w:tr>
      <w:tr w:rsidR="00C05173" w:rsidRPr="00AE5BD5" w14:paraId="2AAD4E2E" w14:textId="77777777" w:rsidTr="008248B1">
        <w:trPr>
          <w:trHeight w:hRule="exact" w:val="380"/>
        </w:trPr>
        <w:tc>
          <w:tcPr>
            <w:tcW w:w="4362" w:type="dxa"/>
            <w:tcBorders>
              <w:top w:val="nil"/>
              <w:left w:val="single" w:sz="4" w:space="0" w:color="auto"/>
              <w:bottom w:val="nil"/>
              <w:right w:val="nil"/>
            </w:tcBorders>
          </w:tcPr>
          <w:p w14:paraId="7430C1F9" w14:textId="77777777" w:rsidR="00C05173" w:rsidRPr="00AE5BD5" w:rsidRDefault="00C05173" w:rsidP="008C6014">
            <w:pPr>
              <w:rPr>
                <w:sz w:val="22"/>
                <w:szCs w:val="22"/>
                <w:lang w:val="lt-LT"/>
              </w:rPr>
            </w:pPr>
            <w:r w:rsidRPr="00AE5BD5">
              <w:rPr>
                <w:b/>
                <w:bCs/>
                <w:sz w:val="22"/>
                <w:szCs w:val="22"/>
                <w:lang w:val="lt-LT"/>
              </w:rPr>
              <w:t>Virškinimo trakto sutrikimai</w:t>
            </w:r>
          </w:p>
        </w:tc>
        <w:tc>
          <w:tcPr>
            <w:tcW w:w="5751" w:type="dxa"/>
            <w:tcBorders>
              <w:top w:val="nil"/>
              <w:left w:val="nil"/>
              <w:bottom w:val="nil"/>
              <w:right w:val="single" w:sz="4" w:space="0" w:color="auto"/>
            </w:tcBorders>
          </w:tcPr>
          <w:p w14:paraId="0D8E645F" w14:textId="77777777" w:rsidR="00C05173" w:rsidRPr="00AE5BD5" w:rsidRDefault="00C05173" w:rsidP="008C6014">
            <w:pPr>
              <w:rPr>
                <w:sz w:val="22"/>
                <w:szCs w:val="22"/>
                <w:lang w:val="lt-LT"/>
              </w:rPr>
            </w:pPr>
          </w:p>
        </w:tc>
      </w:tr>
      <w:tr w:rsidR="000F1657" w:rsidRPr="00AE5BD5" w14:paraId="066C78EA" w14:textId="77777777" w:rsidTr="008248B1">
        <w:trPr>
          <w:trHeight w:hRule="exact" w:val="380"/>
        </w:trPr>
        <w:tc>
          <w:tcPr>
            <w:tcW w:w="4362" w:type="dxa"/>
            <w:tcBorders>
              <w:top w:val="nil"/>
              <w:left w:val="single" w:sz="4" w:space="0" w:color="auto"/>
              <w:bottom w:val="nil"/>
              <w:right w:val="nil"/>
            </w:tcBorders>
          </w:tcPr>
          <w:p w14:paraId="247A8E49" w14:textId="49CFEC90" w:rsidR="000F1657" w:rsidRPr="000D5714" w:rsidRDefault="000D5714" w:rsidP="008C6014">
            <w:pPr>
              <w:rPr>
                <w:sz w:val="22"/>
                <w:szCs w:val="22"/>
                <w:lang w:val="lt-LT"/>
              </w:rPr>
            </w:pPr>
            <w:r w:rsidRPr="00AE5BD5">
              <w:rPr>
                <w:sz w:val="22"/>
                <w:szCs w:val="22"/>
                <w:lang w:val="lt-LT"/>
              </w:rPr>
              <w:t>Labai dažni</w:t>
            </w:r>
          </w:p>
        </w:tc>
        <w:tc>
          <w:tcPr>
            <w:tcW w:w="5751" w:type="dxa"/>
            <w:tcBorders>
              <w:top w:val="nil"/>
              <w:left w:val="nil"/>
              <w:bottom w:val="nil"/>
              <w:right w:val="single" w:sz="4" w:space="0" w:color="auto"/>
            </w:tcBorders>
          </w:tcPr>
          <w:p w14:paraId="0CB13C8C" w14:textId="58A7277A" w:rsidR="000F1657" w:rsidRPr="00AE5BD5" w:rsidRDefault="00611AD7" w:rsidP="008C6014">
            <w:pPr>
              <w:rPr>
                <w:sz w:val="22"/>
                <w:szCs w:val="22"/>
                <w:lang w:val="lt-LT"/>
              </w:rPr>
            </w:pPr>
            <w:r w:rsidRPr="00AE5BD5">
              <w:rPr>
                <w:sz w:val="22"/>
                <w:szCs w:val="22"/>
                <w:lang w:val="lt-LT"/>
              </w:rPr>
              <w:t>Viduriavimas, dispepsija.</w:t>
            </w:r>
          </w:p>
        </w:tc>
      </w:tr>
      <w:tr w:rsidR="000F1657" w:rsidRPr="00AE5BD5" w14:paraId="23F8D0C9" w14:textId="77777777" w:rsidTr="008248B1">
        <w:trPr>
          <w:trHeight w:hRule="exact" w:val="589"/>
        </w:trPr>
        <w:tc>
          <w:tcPr>
            <w:tcW w:w="4362" w:type="dxa"/>
            <w:tcBorders>
              <w:top w:val="nil"/>
              <w:left w:val="single" w:sz="4" w:space="0" w:color="auto"/>
              <w:bottom w:val="nil"/>
              <w:right w:val="nil"/>
            </w:tcBorders>
          </w:tcPr>
          <w:p w14:paraId="7A787D81" w14:textId="111F3DC7" w:rsidR="000F1657" w:rsidRPr="000D5714" w:rsidRDefault="000D5714" w:rsidP="008C6014">
            <w:pPr>
              <w:rPr>
                <w:sz w:val="22"/>
                <w:szCs w:val="22"/>
                <w:lang w:val="lt-LT"/>
              </w:rPr>
            </w:pPr>
            <w:r w:rsidRPr="00AE5BD5">
              <w:rPr>
                <w:sz w:val="22"/>
                <w:szCs w:val="22"/>
                <w:lang w:val="lt-LT"/>
              </w:rPr>
              <w:t>Dažni</w:t>
            </w:r>
          </w:p>
        </w:tc>
        <w:tc>
          <w:tcPr>
            <w:tcW w:w="5751" w:type="dxa"/>
            <w:tcBorders>
              <w:top w:val="nil"/>
              <w:left w:val="nil"/>
              <w:bottom w:val="nil"/>
              <w:right w:val="single" w:sz="4" w:space="0" w:color="auto"/>
            </w:tcBorders>
          </w:tcPr>
          <w:p w14:paraId="631AC25D" w14:textId="7691BC41" w:rsidR="008248B1" w:rsidRDefault="00611AD7" w:rsidP="00611AD7">
            <w:pPr>
              <w:rPr>
                <w:sz w:val="22"/>
                <w:szCs w:val="22"/>
                <w:lang w:val="lt-LT"/>
              </w:rPr>
            </w:pPr>
            <w:r w:rsidRPr="00AE5BD5">
              <w:rPr>
                <w:sz w:val="22"/>
                <w:szCs w:val="22"/>
                <w:lang w:val="lt-LT"/>
              </w:rPr>
              <w:t>Gastritas, gastroezofaginio refliukso liga,</w:t>
            </w:r>
            <w:r w:rsidR="00472FCD">
              <w:rPr>
                <w:sz w:val="22"/>
                <w:szCs w:val="22"/>
                <w:lang w:val="lt-LT"/>
              </w:rPr>
              <w:t xml:space="preserve"> </w:t>
            </w:r>
            <w:r w:rsidRPr="00AE5BD5">
              <w:rPr>
                <w:sz w:val="22"/>
                <w:szCs w:val="22"/>
                <w:lang w:val="lt-LT"/>
              </w:rPr>
              <w:t>hemorojus, pilvo išpūtimas, burnos džiūvim</w:t>
            </w:r>
          </w:p>
          <w:p w14:paraId="0F3B19AE" w14:textId="10383A69" w:rsidR="00611AD7" w:rsidRPr="00AE5BD5" w:rsidRDefault="00611AD7" w:rsidP="00611AD7">
            <w:pPr>
              <w:rPr>
                <w:sz w:val="22"/>
                <w:szCs w:val="22"/>
                <w:lang w:val="lt-LT"/>
              </w:rPr>
            </w:pPr>
          </w:p>
          <w:p w14:paraId="7B73C927" w14:textId="52ED8207" w:rsidR="000F1657" w:rsidRPr="00AE5BD5" w:rsidRDefault="000F1657" w:rsidP="008C6014">
            <w:pPr>
              <w:rPr>
                <w:sz w:val="22"/>
                <w:szCs w:val="22"/>
                <w:lang w:val="lt-LT"/>
              </w:rPr>
            </w:pPr>
          </w:p>
        </w:tc>
      </w:tr>
      <w:tr w:rsidR="000F1657" w:rsidRPr="00AE5BD5" w14:paraId="132C8FEF" w14:textId="77777777" w:rsidTr="008248B1">
        <w:trPr>
          <w:trHeight w:hRule="exact" w:val="380"/>
        </w:trPr>
        <w:tc>
          <w:tcPr>
            <w:tcW w:w="4362" w:type="dxa"/>
            <w:tcBorders>
              <w:top w:val="nil"/>
              <w:left w:val="single" w:sz="4" w:space="0" w:color="auto"/>
              <w:bottom w:val="nil"/>
              <w:right w:val="nil"/>
            </w:tcBorders>
          </w:tcPr>
          <w:p w14:paraId="7B56218D" w14:textId="4736EDBC" w:rsidR="000F1657" w:rsidRPr="00AE5BD5" w:rsidRDefault="00D24DDA" w:rsidP="008C6014">
            <w:pPr>
              <w:rPr>
                <w:b/>
                <w:bCs/>
                <w:sz w:val="22"/>
                <w:szCs w:val="22"/>
                <w:lang w:val="lt-LT"/>
              </w:rPr>
            </w:pPr>
            <w:r w:rsidRPr="00AE5BD5">
              <w:rPr>
                <w:b/>
                <w:bCs/>
                <w:sz w:val="22"/>
                <w:szCs w:val="22"/>
                <w:lang w:val="lt-LT"/>
              </w:rPr>
              <w:t>Odos ir poodinio audinio sutrikimai</w:t>
            </w:r>
          </w:p>
        </w:tc>
        <w:tc>
          <w:tcPr>
            <w:tcW w:w="5751" w:type="dxa"/>
            <w:tcBorders>
              <w:top w:val="nil"/>
              <w:left w:val="nil"/>
              <w:bottom w:val="nil"/>
              <w:right w:val="single" w:sz="4" w:space="0" w:color="auto"/>
            </w:tcBorders>
          </w:tcPr>
          <w:p w14:paraId="32521CED" w14:textId="77777777" w:rsidR="000F1657" w:rsidRPr="00AE5BD5" w:rsidRDefault="000F1657" w:rsidP="008C6014">
            <w:pPr>
              <w:rPr>
                <w:sz w:val="22"/>
                <w:szCs w:val="22"/>
                <w:lang w:val="lt-LT"/>
              </w:rPr>
            </w:pPr>
          </w:p>
        </w:tc>
      </w:tr>
      <w:tr w:rsidR="000F1657" w:rsidRPr="00AE5BD5" w14:paraId="1DBC9A61" w14:textId="77777777" w:rsidTr="008248B1">
        <w:trPr>
          <w:trHeight w:hRule="exact" w:val="380"/>
        </w:trPr>
        <w:tc>
          <w:tcPr>
            <w:tcW w:w="4362" w:type="dxa"/>
            <w:tcBorders>
              <w:top w:val="nil"/>
              <w:left w:val="single" w:sz="4" w:space="0" w:color="auto"/>
              <w:bottom w:val="nil"/>
              <w:right w:val="nil"/>
            </w:tcBorders>
          </w:tcPr>
          <w:p w14:paraId="2D827D6D" w14:textId="19349E8A" w:rsidR="000F1657" w:rsidRPr="00AE5BD5" w:rsidRDefault="00D24DDA" w:rsidP="008C6014">
            <w:pPr>
              <w:rPr>
                <w:b/>
                <w:bCs/>
                <w:sz w:val="22"/>
                <w:szCs w:val="22"/>
                <w:lang w:val="lt-LT"/>
              </w:rPr>
            </w:pPr>
            <w:r w:rsidRPr="00AE5BD5">
              <w:rPr>
                <w:sz w:val="22"/>
                <w:szCs w:val="22"/>
                <w:lang w:val="lt-LT"/>
              </w:rPr>
              <w:t>Dažni</w:t>
            </w:r>
          </w:p>
        </w:tc>
        <w:tc>
          <w:tcPr>
            <w:tcW w:w="5751" w:type="dxa"/>
            <w:tcBorders>
              <w:top w:val="nil"/>
              <w:left w:val="nil"/>
              <w:bottom w:val="nil"/>
              <w:right w:val="single" w:sz="4" w:space="0" w:color="auto"/>
            </w:tcBorders>
          </w:tcPr>
          <w:p w14:paraId="021293CC" w14:textId="4FE9B2BE" w:rsidR="000F1657" w:rsidRPr="00AE5BD5" w:rsidRDefault="00CC0A33" w:rsidP="008C6014">
            <w:pPr>
              <w:rPr>
                <w:sz w:val="22"/>
                <w:szCs w:val="22"/>
                <w:lang w:val="lt-LT"/>
              </w:rPr>
            </w:pPr>
            <w:r w:rsidRPr="00AE5BD5">
              <w:rPr>
                <w:sz w:val="22"/>
                <w:szCs w:val="22"/>
                <w:lang w:val="lt-LT"/>
              </w:rPr>
              <w:t>Alopecija, eritema, prakaitavimas naktį.</w:t>
            </w:r>
          </w:p>
        </w:tc>
      </w:tr>
      <w:tr w:rsidR="000F1657" w:rsidRPr="00AE5BD5" w14:paraId="751E8F87" w14:textId="77777777" w:rsidTr="008248B1">
        <w:trPr>
          <w:trHeight w:hRule="exact" w:val="380"/>
        </w:trPr>
        <w:tc>
          <w:tcPr>
            <w:tcW w:w="4362" w:type="dxa"/>
            <w:tcBorders>
              <w:top w:val="nil"/>
              <w:left w:val="single" w:sz="4" w:space="0" w:color="auto"/>
              <w:bottom w:val="nil"/>
              <w:right w:val="nil"/>
            </w:tcBorders>
          </w:tcPr>
          <w:p w14:paraId="7E45E090" w14:textId="0C70CE42" w:rsidR="000F1657" w:rsidRPr="00AE5BD5" w:rsidRDefault="00D24DDA" w:rsidP="008C6014">
            <w:pPr>
              <w:rPr>
                <w:b/>
                <w:bCs/>
                <w:sz w:val="22"/>
                <w:szCs w:val="22"/>
                <w:lang w:val="lt-LT"/>
              </w:rPr>
            </w:pPr>
            <w:r w:rsidRPr="00AE5BD5">
              <w:rPr>
                <w:sz w:val="22"/>
                <w:szCs w:val="22"/>
                <w:lang w:val="lt-LT"/>
              </w:rPr>
              <w:t>Dažnis nežinomas</w:t>
            </w:r>
          </w:p>
        </w:tc>
        <w:tc>
          <w:tcPr>
            <w:tcW w:w="5751" w:type="dxa"/>
            <w:tcBorders>
              <w:top w:val="nil"/>
              <w:left w:val="nil"/>
              <w:bottom w:val="nil"/>
              <w:right w:val="single" w:sz="4" w:space="0" w:color="auto"/>
            </w:tcBorders>
          </w:tcPr>
          <w:p w14:paraId="59C4FCAE" w14:textId="41304A50" w:rsidR="000F1657" w:rsidRPr="00AE5BD5" w:rsidRDefault="00CB2088" w:rsidP="008C6014">
            <w:pPr>
              <w:rPr>
                <w:sz w:val="22"/>
                <w:szCs w:val="22"/>
                <w:lang w:val="lt-LT"/>
              </w:rPr>
            </w:pPr>
            <w:r w:rsidRPr="00AE5BD5">
              <w:rPr>
                <w:i/>
                <w:iCs/>
                <w:sz w:val="22"/>
                <w:szCs w:val="22"/>
                <w:lang w:val="lt-LT"/>
              </w:rPr>
              <w:t>Išbėrimas</w:t>
            </w:r>
          </w:p>
        </w:tc>
      </w:tr>
      <w:tr w:rsidR="000F1657" w:rsidRPr="00AE5BD5" w14:paraId="3A045C74" w14:textId="77777777" w:rsidTr="008248B1">
        <w:trPr>
          <w:trHeight w:hRule="exact" w:val="557"/>
        </w:trPr>
        <w:tc>
          <w:tcPr>
            <w:tcW w:w="4362" w:type="dxa"/>
            <w:tcBorders>
              <w:top w:val="nil"/>
              <w:left w:val="single" w:sz="4" w:space="0" w:color="auto"/>
              <w:bottom w:val="nil"/>
              <w:right w:val="nil"/>
            </w:tcBorders>
          </w:tcPr>
          <w:p w14:paraId="58283556" w14:textId="3204CC35" w:rsidR="000F1657" w:rsidRPr="00AE5BD5" w:rsidRDefault="00C0347C" w:rsidP="008C6014">
            <w:pPr>
              <w:rPr>
                <w:b/>
                <w:bCs/>
                <w:sz w:val="22"/>
                <w:szCs w:val="22"/>
                <w:lang w:val="lt-LT"/>
              </w:rPr>
            </w:pPr>
            <w:r w:rsidRPr="00C0347C">
              <w:rPr>
                <w:b/>
                <w:bCs/>
                <w:sz w:val="22"/>
                <w:szCs w:val="22"/>
                <w:lang w:val="lt-LT"/>
              </w:rPr>
              <w:lastRenderedPageBreak/>
              <w:t>Skeleto, raumenų ir jungiamojo audinio sutrikimai</w:t>
            </w:r>
          </w:p>
        </w:tc>
        <w:tc>
          <w:tcPr>
            <w:tcW w:w="5751" w:type="dxa"/>
            <w:tcBorders>
              <w:top w:val="nil"/>
              <w:left w:val="nil"/>
              <w:bottom w:val="nil"/>
              <w:right w:val="single" w:sz="4" w:space="0" w:color="auto"/>
            </w:tcBorders>
          </w:tcPr>
          <w:p w14:paraId="1993111E" w14:textId="77777777" w:rsidR="000F1657" w:rsidRPr="00AE5BD5" w:rsidRDefault="000F1657" w:rsidP="008C6014">
            <w:pPr>
              <w:rPr>
                <w:sz w:val="22"/>
                <w:szCs w:val="22"/>
                <w:lang w:val="lt-LT"/>
              </w:rPr>
            </w:pPr>
          </w:p>
        </w:tc>
      </w:tr>
      <w:tr w:rsidR="000F1657" w:rsidRPr="00AE5BD5" w14:paraId="7FE4C181" w14:textId="77777777" w:rsidTr="008248B1">
        <w:trPr>
          <w:trHeight w:hRule="exact" w:val="380"/>
        </w:trPr>
        <w:tc>
          <w:tcPr>
            <w:tcW w:w="4362" w:type="dxa"/>
            <w:tcBorders>
              <w:top w:val="nil"/>
              <w:left w:val="single" w:sz="4" w:space="0" w:color="auto"/>
              <w:bottom w:val="nil"/>
              <w:right w:val="nil"/>
            </w:tcBorders>
          </w:tcPr>
          <w:p w14:paraId="315AFB6E" w14:textId="42DDBDE9" w:rsidR="000F1657" w:rsidRPr="00AE5BD5" w:rsidRDefault="00C0347C" w:rsidP="008C6014">
            <w:pPr>
              <w:rPr>
                <w:b/>
                <w:bCs/>
                <w:sz w:val="22"/>
                <w:szCs w:val="22"/>
                <w:lang w:val="lt-LT"/>
              </w:rPr>
            </w:pPr>
            <w:r w:rsidRPr="00AE5BD5">
              <w:rPr>
                <w:sz w:val="22"/>
                <w:szCs w:val="22"/>
                <w:lang w:val="lt-LT"/>
              </w:rPr>
              <w:t>Labai dažni</w:t>
            </w:r>
          </w:p>
        </w:tc>
        <w:tc>
          <w:tcPr>
            <w:tcW w:w="5751" w:type="dxa"/>
            <w:tcBorders>
              <w:top w:val="nil"/>
              <w:left w:val="nil"/>
              <w:bottom w:val="nil"/>
              <w:right w:val="single" w:sz="4" w:space="0" w:color="auto"/>
            </w:tcBorders>
          </w:tcPr>
          <w:p w14:paraId="0A6C82DB" w14:textId="1D7B2B3C" w:rsidR="000F1657" w:rsidRPr="00AE5BD5" w:rsidRDefault="00CB2088" w:rsidP="008C6014">
            <w:pPr>
              <w:rPr>
                <w:sz w:val="22"/>
                <w:szCs w:val="22"/>
                <w:lang w:val="lt-LT"/>
              </w:rPr>
            </w:pPr>
            <w:r w:rsidRPr="00AE5BD5">
              <w:rPr>
                <w:sz w:val="22"/>
                <w:szCs w:val="22"/>
                <w:lang w:val="lt-LT"/>
              </w:rPr>
              <w:t>Galūnių skausmas.</w:t>
            </w:r>
          </w:p>
        </w:tc>
      </w:tr>
      <w:tr w:rsidR="000F1657" w:rsidRPr="00AE5BD5" w14:paraId="7CDBCB19" w14:textId="77777777" w:rsidTr="008248B1">
        <w:trPr>
          <w:trHeight w:hRule="exact" w:val="380"/>
        </w:trPr>
        <w:tc>
          <w:tcPr>
            <w:tcW w:w="4362" w:type="dxa"/>
            <w:tcBorders>
              <w:top w:val="nil"/>
              <w:left w:val="single" w:sz="4" w:space="0" w:color="auto"/>
              <w:bottom w:val="nil"/>
              <w:right w:val="nil"/>
            </w:tcBorders>
          </w:tcPr>
          <w:p w14:paraId="4A9FB269" w14:textId="1AD15197" w:rsidR="000F1657" w:rsidRPr="00AE5BD5" w:rsidRDefault="00C0347C" w:rsidP="008C6014">
            <w:pPr>
              <w:rPr>
                <w:b/>
                <w:bCs/>
                <w:sz w:val="22"/>
                <w:szCs w:val="22"/>
                <w:lang w:val="lt-LT"/>
              </w:rPr>
            </w:pPr>
            <w:r w:rsidRPr="00AE5BD5">
              <w:rPr>
                <w:sz w:val="22"/>
                <w:szCs w:val="22"/>
                <w:lang w:val="lt-LT"/>
              </w:rPr>
              <w:t>Dažni</w:t>
            </w:r>
          </w:p>
        </w:tc>
        <w:tc>
          <w:tcPr>
            <w:tcW w:w="5751" w:type="dxa"/>
            <w:tcBorders>
              <w:top w:val="nil"/>
              <w:left w:val="nil"/>
              <w:bottom w:val="nil"/>
              <w:right w:val="single" w:sz="4" w:space="0" w:color="auto"/>
            </w:tcBorders>
          </w:tcPr>
          <w:p w14:paraId="6B8C350B" w14:textId="73637E5F" w:rsidR="000F1657" w:rsidRPr="00AE5BD5" w:rsidRDefault="00CB2088" w:rsidP="008C6014">
            <w:pPr>
              <w:rPr>
                <w:sz w:val="22"/>
                <w:szCs w:val="22"/>
                <w:lang w:val="lt-LT"/>
              </w:rPr>
            </w:pPr>
            <w:r w:rsidRPr="00AE5BD5">
              <w:rPr>
                <w:sz w:val="22"/>
                <w:szCs w:val="22"/>
                <w:lang w:val="lt-LT"/>
              </w:rPr>
              <w:t>Mialgija, nugaros skausmas.</w:t>
            </w:r>
          </w:p>
        </w:tc>
      </w:tr>
      <w:tr w:rsidR="000F1657" w:rsidRPr="00AE5BD5" w14:paraId="771613F8" w14:textId="77777777" w:rsidTr="008248B1">
        <w:trPr>
          <w:trHeight w:hRule="exact" w:val="380"/>
        </w:trPr>
        <w:tc>
          <w:tcPr>
            <w:tcW w:w="4362" w:type="dxa"/>
            <w:tcBorders>
              <w:top w:val="nil"/>
              <w:left w:val="single" w:sz="4" w:space="0" w:color="auto"/>
              <w:bottom w:val="nil"/>
              <w:right w:val="nil"/>
            </w:tcBorders>
          </w:tcPr>
          <w:p w14:paraId="0247CFF1" w14:textId="0EEDEBB1" w:rsidR="000F1657" w:rsidRPr="00AE5BD5" w:rsidRDefault="00851FFA" w:rsidP="008C6014">
            <w:pPr>
              <w:rPr>
                <w:b/>
                <w:bCs/>
                <w:sz w:val="22"/>
                <w:szCs w:val="22"/>
                <w:lang w:val="lt-LT"/>
              </w:rPr>
            </w:pPr>
            <w:r w:rsidRPr="00AE5BD5">
              <w:rPr>
                <w:b/>
                <w:bCs/>
                <w:sz w:val="22"/>
                <w:szCs w:val="22"/>
                <w:lang w:val="lt-LT"/>
              </w:rPr>
              <w:t>Inkstų ir šlapimo takų sutrikimai</w:t>
            </w:r>
          </w:p>
        </w:tc>
        <w:tc>
          <w:tcPr>
            <w:tcW w:w="5751" w:type="dxa"/>
            <w:tcBorders>
              <w:top w:val="nil"/>
              <w:left w:val="nil"/>
              <w:bottom w:val="nil"/>
              <w:right w:val="single" w:sz="4" w:space="0" w:color="auto"/>
            </w:tcBorders>
          </w:tcPr>
          <w:p w14:paraId="1800F079" w14:textId="77777777" w:rsidR="000F1657" w:rsidRPr="00AE5BD5" w:rsidRDefault="000F1657" w:rsidP="008C6014">
            <w:pPr>
              <w:rPr>
                <w:sz w:val="22"/>
                <w:szCs w:val="22"/>
                <w:lang w:val="lt-LT"/>
              </w:rPr>
            </w:pPr>
          </w:p>
        </w:tc>
      </w:tr>
      <w:tr w:rsidR="000F1657" w:rsidRPr="00AE5BD5" w14:paraId="53C9404E" w14:textId="77777777" w:rsidTr="008248B1">
        <w:trPr>
          <w:trHeight w:hRule="exact" w:val="380"/>
        </w:trPr>
        <w:tc>
          <w:tcPr>
            <w:tcW w:w="4362" w:type="dxa"/>
            <w:tcBorders>
              <w:top w:val="nil"/>
              <w:left w:val="single" w:sz="4" w:space="0" w:color="auto"/>
              <w:bottom w:val="nil"/>
              <w:right w:val="nil"/>
            </w:tcBorders>
          </w:tcPr>
          <w:p w14:paraId="5CBCE7AC" w14:textId="3D5AC55C" w:rsidR="000F1657" w:rsidRPr="00AE5BD5" w:rsidRDefault="00851FFA" w:rsidP="008C6014">
            <w:pPr>
              <w:rPr>
                <w:b/>
                <w:bCs/>
                <w:sz w:val="22"/>
                <w:szCs w:val="22"/>
                <w:lang w:val="lt-LT"/>
              </w:rPr>
            </w:pPr>
            <w:r w:rsidRPr="00AE5BD5">
              <w:rPr>
                <w:sz w:val="22"/>
                <w:szCs w:val="22"/>
                <w:lang w:val="lt-LT"/>
              </w:rPr>
              <w:t>Nedažni</w:t>
            </w:r>
          </w:p>
        </w:tc>
        <w:tc>
          <w:tcPr>
            <w:tcW w:w="5751" w:type="dxa"/>
            <w:tcBorders>
              <w:top w:val="nil"/>
              <w:left w:val="nil"/>
              <w:bottom w:val="nil"/>
              <w:right w:val="single" w:sz="4" w:space="0" w:color="auto"/>
            </w:tcBorders>
          </w:tcPr>
          <w:p w14:paraId="56108B9F" w14:textId="762D5740" w:rsidR="000F1657" w:rsidRPr="00AE5BD5" w:rsidRDefault="00CB2088" w:rsidP="008C6014">
            <w:pPr>
              <w:rPr>
                <w:sz w:val="22"/>
                <w:szCs w:val="22"/>
                <w:lang w:val="lt-LT"/>
              </w:rPr>
            </w:pPr>
            <w:r w:rsidRPr="00AE5BD5">
              <w:rPr>
                <w:sz w:val="22"/>
                <w:szCs w:val="22"/>
                <w:lang w:val="lt-LT"/>
              </w:rPr>
              <w:t>Hematurija</w:t>
            </w:r>
          </w:p>
        </w:tc>
      </w:tr>
      <w:tr w:rsidR="000F1657" w:rsidRPr="00AE5BD5" w14:paraId="5BF53C36" w14:textId="77777777" w:rsidTr="008248B1">
        <w:trPr>
          <w:trHeight w:hRule="exact" w:val="380"/>
        </w:trPr>
        <w:tc>
          <w:tcPr>
            <w:tcW w:w="4362" w:type="dxa"/>
            <w:tcBorders>
              <w:top w:val="nil"/>
              <w:left w:val="single" w:sz="4" w:space="0" w:color="auto"/>
              <w:bottom w:val="nil"/>
              <w:right w:val="nil"/>
            </w:tcBorders>
          </w:tcPr>
          <w:p w14:paraId="79993FF0" w14:textId="09422331" w:rsidR="000F1657" w:rsidRPr="00AE5BD5" w:rsidRDefault="00851FFA" w:rsidP="008C6014">
            <w:pPr>
              <w:rPr>
                <w:b/>
                <w:bCs/>
                <w:sz w:val="22"/>
                <w:szCs w:val="22"/>
                <w:lang w:val="lt-LT"/>
              </w:rPr>
            </w:pPr>
            <w:r w:rsidRPr="00AE5BD5">
              <w:rPr>
                <w:b/>
                <w:bCs/>
                <w:sz w:val="22"/>
                <w:szCs w:val="22"/>
                <w:lang w:val="lt-LT"/>
              </w:rPr>
              <w:t>Lytinės sistemos ir krūties sutrikimai</w:t>
            </w:r>
          </w:p>
        </w:tc>
        <w:tc>
          <w:tcPr>
            <w:tcW w:w="5751" w:type="dxa"/>
            <w:tcBorders>
              <w:top w:val="nil"/>
              <w:left w:val="nil"/>
              <w:bottom w:val="nil"/>
              <w:right w:val="single" w:sz="4" w:space="0" w:color="auto"/>
            </w:tcBorders>
          </w:tcPr>
          <w:p w14:paraId="0736CA22" w14:textId="77777777" w:rsidR="000F1657" w:rsidRPr="00AE5BD5" w:rsidRDefault="000F1657" w:rsidP="008C6014">
            <w:pPr>
              <w:rPr>
                <w:sz w:val="22"/>
                <w:szCs w:val="22"/>
                <w:lang w:val="lt-LT"/>
              </w:rPr>
            </w:pPr>
          </w:p>
        </w:tc>
      </w:tr>
      <w:tr w:rsidR="000F1657" w:rsidRPr="00AE5BD5" w14:paraId="2AEF5C06" w14:textId="77777777" w:rsidTr="008248B1">
        <w:trPr>
          <w:trHeight w:hRule="exact" w:val="366"/>
        </w:trPr>
        <w:tc>
          <w:tcPr>
            <w:tcW w:w="4362" w:type="dxa"/>
            <w:tcBorders>
              <w:top w:val="nil"/>
              <w:left w:val="single" w:sz="4" w:space="0" w:color="auto"/>
              <w:bottom w:val="nil"/>
              <w:right w:val="nil"/>
            </w:tcBorders>
          </w:tcPr>
          <w:p w14:paraId="012ADAFC" w14:textId="66292B78" w:rsidR="000F1657" w:rsidRPr="00AE5BD5" w:rsidRDefault="00851FFA" w:rsidP="008C6014">
            <w:pPr>
              <w:rPr>
                <w:b/>
                <w:bCs/>
                <w:sz w:val="22"/>
                <w:szCs w:val="22"/>
                <w:lang w:val="lt-LT"/>
              </w:rPr>
            </w:pPr>
            <w:r w:rsidRPr="00AE5BD5">
              <w:rPr>
                <w:sz w:val="22"/>
                <w:szCs w:val="22"/>
                <w:lang w:val="lt-LT"/>
              </w:rPr>
              <w:t>Nedažni</w:t>
            </w:r>
          </w:p>
        </w:tc>
        <w:tc>
          <w:tcPr>
            <w:tcW w:w="5751" w:type="dxa"/>
            <w:tcBorders>
              <w:top w:val="nil"/>
              <w:left w:val="nil"/>
              <w:bottom w:val="nil"/>
              <w:right w:val="single" w:sz="4" w:space="0" w:color="auto"/>
            </w:tcBorders>
          </w:tcPr>
          <w:p w14:paraId="641F96F7" w14:textId="7011DC98" w:rsidR="000F1657" w:rsidRPr="00AE5BD5" w:rsidRDefault="00CB2088" w:rsidP="008C6014">
            <w:pPr>
              <w:rPr>
                <w:sz w:val="22"/>
                <w:szCs w:val="22"/>
                <w:lang w:val="lt-LT"/>
              </w:rPr>
            </w:pPr>
            <w:r w:rsidRPr="00AE5BD5">
              <w:rPr>
                <w:sz w:val="22"/>
                <w:szCs w:val="22"/>
                <w:lang w:val="lt-LT"/>
              </w:rPr>
              <w:t>Varpos kraujavimas, hematospermija,</w:t>
            </w:r>
            <w:r>
              <w:rPr>
                <w:sz w:val="22"/>
                <w:szCs w:val="22"/>
                <w:lang w:val="lt-LT"/>
              </w:rPr>
              <w:t xml:space="preserve"> </w:t>
            </w:r>
            <w:r w:rsidRPr="00AE5BD5">
              <w:rPr>
                <w:sz w:val="22"/>
                <w:szCs w:val="22"/>
                <w:lang w:val="lt-LT"/>
              </w:rPr>
              <w:t>ginekomastija.</w:t>
            </w:r>
          </w:p>
        </w:tc>
      </w:tr>
      <w:tr w:rsidR="000F1657" w:rsidRPr="00AE5BD5" w14:paraId="5C7315CD" w14:textId="77777777" w:rsidTr="008248B1">
        <w:trPr>
          <w:trHeight w:hRule="exact" w:val="380"/>
        </w:trPr>
        <w:tc>
          <w:tcPr>
            <w:tcW w:w="4362" w:type="dxa"/>
            <w:tcBorders>
              <w:top w:val="nil"/>
              <w:left w:val="single" w:sz="4" w:space="0" w:color="auto"/>
              <w:bottom w:val="nil"/>
              <w:right w:val="nil"/>
            </w:tcBorders>
          </w:tcPr>
          <w:p w14:paraId="36E48D16" w14:textId="1DA95735" w:rsidR="000F1657" w:rsidRPr="00AE5BD5" w:rsidRDefault="00851FFA" w:rsidP="008C6014">
            <w:pPr>
              <w:rPr>
                <w:b/>
                <w:bCs/>
                <w:sz w:val="22"/>
                <w:szCs w:val="22"/>
                <w:lang w:val="lt-LT"/>
              </w:rPr>
            </w:pPr>
            <w:r w:rsidRPr="00AE5BD5">
              <w:rPr>
                <w:sz w:val="22"/>
                <w:szCs w:val="22"/>
                <w:lang w:val="lt-LT"/>
              </w:rPr>
              <w:t>Dažnis nežinomas</w:t>
            </w:r>
          </w:p>
        </w:tc>
        <w:tc>
          <w:tcPr>
            <w:tcW w:w="5751" w:type="dxa"/>
            <w:tcBorders>
              <w:top w:val="nil"/>
              <w:left w:val="nil"/>
              <w:bottom w:val="nil"/>
              <w:right w:val="single" w:sz="4" w:space="0" w:color="auto"/>
            </w:tcBorders>
          </w:tcPr>
          <w:p w14:paraId="790553F7" w14:textId="31A3A64B" w:rsidR="000F1657" w:rsidRPr="00CB2088" w:rsidRDefault="00CB2088" w:rsidP="008C6014">
            <w:pPr>
              <w:rPr>
                <w:i/>
                <w:iCs/>
                <w:sz w:val="22"/>
                <w:szCs w:val="22"/>
                <w:lang w:val="lt-LT"/>
              </w:rPr>
            </w:pPr>
            <w:r w:rsidRPr="00AE5BD5">
              <w:rPr>
                <w:i/>
                <w:iCs/>
                <w:sz w:val="22"/>
                <w:szCs w:val="22"/>
                <w:lang w:val="lt-LT"/>
              </w:rPr>
              <w:t>Priapizmas, sustiprėjusi erekcija</w:t>
            </w:r>
          </w:p>
        </w:tc>
      </w:tr>
      <w:tr w:rsidR="000F1657" w:rsidRPr="00AE5BD5" w14:paraId="1C4728DD" w14:textId="77777777" w:rsidTr="008248B1">
        <w:trPr>
          <w:trHeight w:hRule="exact" w:val="603"/>
        </w:trPr>
        <w:tc>
          <w:tcPr>
            <w:tcW w:w="4362" w:type="dxa"/>
            <w:tcBorders>
              <w:top w:val="nil"/>
              <w:left w:val="single" w:sz="4" w:space="0" w:color="auto"/>
              <w:bottom w:val="nil"/>
              <w:right w:val="nil"/>
            </w:tcBorders>
          </w:tcPr>
          <w:p w14:paraId="64AADB35" w14:textId="20AA19B1" w:rsidR="000F1657" w:rsidRPr="00AE5BD5" w:rsidRDefault="00851FFA" w:rsidP="008C6014">
            <w:pPr>
              <w:rPr>
                <w:b/>
                <w:bCs/>
                <w:sz w:val="22"/>
                <w:szCs w:val="22"/>
                <w:lang w:val="lt-LT"/>
              </w:rPr>
            </w:pPr>
            <w:r w:rsidRPr="00AE5BD5">
              <w:rPr>
                <w:b/>
                <w:bCs/>
                <w:sz w:val="22"/>
                <w:szCs w:val="22"/>
                <w:lang w:val="lt-LT"/>
              </w:rPr>
              <w:t>Bendrieji sutrikimai ir vartojimo vietos</w:t>
            </w:r>
            <w:r w:rsidR="00CC0A33">
              <w:rPr>
                <w:b/>
                <w:bCs/>
                <w:sz w:val="22"/>
                <w:szCs w:val="22"/>
                <w:lang w:val="lt-LT"/>
              </w:rPr>
              <w:t xml:space="preserve"> pažeidimai</w:t>
            </w:r>
          </w:p>
        </w:tc>
        <w:tc>
          <w:tcPr>
            <w:tcW w:w="5751" w:type="dxa"/>
            <w:tcBorders>
              <w:top w:val="nil"/>
              <w:left w:val="nil"/>
              <w:bottom w:val="nil"/>
              <w:right w:val="single" w:sz="4" w:space="0" w:color="auto"/>
            </w:tcBorders>
          </w:tcPr>
          <w:p w14:paraId="09A86569" w14:textId="77777777" w:rsidR="000F1657" w:rsidRPr="00AE5BD5" w:rsidRDefault="000F1657" w:rsidP="008C6014">
            <w:pPr>
              <w:rPr>
                <w:sz w:val="22"/>
                <w:szCs w:val="22"/>
                <w:lang w:val="lt-LT"/>
              </w:rPr>
            </w:pPr>
          </w:p>
        </w:tc>
      </w:tr>
      <w:tr w:rsidR="00CC0A33" w:rsidRPr="00AE5BD5" w14:paraId="12B6C219" w14:textId="77777777" w:rsidTr="008248B1">
        <w:trPr>
          <w:trHeight w:hRule="exact" w:val="380"/>
        </w:trPr>
        <w:tc>
          <w:tcPr>
            <w:tcW w:w="4362" w:type="dxa"/>
            <w:tcBorders>
              <w:top w:val="nil"/>
              <w:left w:val="single" w:sz="4" w:space="0" w:color="auto"/>
              <w:bottom w:val="single" w:sz="4" w:space="0" w:color="auto"/>
              <w:right w:val="nil"/>
            </w:tcBorders>
          </w:tcPr>
          <w:p w14:paraId="1B555B54" w14:textId="53D441D6" w:rsidR="00CC0A33" w:rsidRPr="00CC0A33" w:rsidRDefault="00CC0A33" w:rsidP="008C6014">
            <w:pPr>
              <w:rPr>
                <w:sz w:val="22"/>
                <w:szCs w:val="22"/>
                <w:lang w:val="lt-LT"/>
              </w:rPr>
            </w:pPr>
            <w:r w:rsidRPr="00AE5BD5">
              <w:rPr>
                <w:sz w:val="22"/>
                <w:szCs w:val="22"/>
                <w:lang w:val="lt-LT"/>
              </w:rPr>
              <w:t>Dažni</w:t>
            </w:r>
          </w:p>
        </w:tc>
        <w:tc>
          <w:tcPr>
            <w:tcW w:w="5751" w:type="dxa"/>
            <w:tcBorders>
              <w:top w:val="nil"/>
              <w:left w:val="nil"/>
              <w:bottom w:val="single" w:sz="4" w:space="0" w:color="auto"/>
              <w:right w:val="single" w:sz="4" w:space="0" w:color="auto"/>
            </w:tcBorders>
          </w:tcPr>
          <w:p w14:paraId="349D5446" w14:textId="26DA602E" w:rsidR="00CC0A33" w:rsidRPr="00AE5BD5" w:rsidRDefault="00472FCD" w:rsidP="008C6014">
            <w:pPr>
              <w:rPr>
                <w:sz w:val="22"/>
                <w:szCs w:val="22"/>
                <w:lang w:val="lt-LT"/>
              </w:rPr>
            </w:pPr>
            <w:r w:rsidRPr="00AE5BD5">
              <w:rPr>
                <w:sz w:val="22"/>
                <w:szCs w:val="22"/>
                <w:lang w:val="lt-LT"/>
              </w:rPr>
              <w:t>Karščiavimas.</w:t>
            </w:r>
          </w:p>
        </w:tc>
      </w:tr>
    </w:tbl>
    <w:p w14:paraId="501132E2" w14:textId="77777777" w:rsidR="00C05173" w:rsidRPr="00AE5BD5" w:rsidRDefault="00C05173" w:rsidP="008C6014">
      <w:pPr>
        <w:rPr>
          <w:sz w:val="22"/>
          <w:szCs w:val="22"/>
          <w:lang w:val="lt-LT"/>
        </w:rPr>
        <w:sectPr w:rsidR="00C05173" w:rsidRPr="00AE5BD5">
          <w:headerReference w:type="default" r:id="rId8"/>
          <w:footerReference w:type="default" r:id="rId9"/>
          <w:pgSz w:w="11910" w:h="16840"/>
          <w:pgMar w:top="1040" w:right="1180" w:bottom="900" w:left="1200" w:header="0" w:footer="716" w:gutter="0"/>
          <w:cols w:space="1296" w:equalWidth="0">
            <w:col w:w="9530"/>
          </w:cols>
          <w:noEndnote/>
        </w:sectPr>
      </w:pPr>
    </w:p>
    <w:p w14:paraId="3ED9DA99" w14:textId="77777777" w:rsidR="00C05173" w:rsidRPr="00AE5BD5" w:rsidRDefault="00641446" w:rsidP="008C6014">
      <w:pPr>
        <w:rPr>
          <w:sz w:val="22"/>
          <w:szCs w:val="22"/>
          <w:lang w:val="lt-LT"/>
        </w:rPr>
      </w:pPr>
      <w:r w:rsidRPr="00AE5BD5">
        <w:rPr>
          <w:sz w:val="22"/>
          <w:szCs w:val="22"/>
          <w:lang w:val="lt-LT"/>
        </w:rPr>
        <w:t>*</w:t>
      </w:r>
      <w:r w:rsidRPr="005A3594">
        <w:rPr>
          <w:sz w:val="22"/>
          <w:szCs w:val="22"/>
          <w:lang w:val="lt-LT"/>
        </w:rPr>
        <w:t>Šios vaistinio preparato reakcijos pasireiškė pacientams, kurie var</w:t>
      </w:r>
      <w:r w:rsidR="00C05173" w:rsidRPr="00AE5BD5">
        <w:rPr>
          <w:sz w:val="22"/>
          <w:szCs w:val="22"/>
          <w:lang w:val="lt-LT"/>
        </w:rPr>
        <w:t>tojo vyrų erekcijos sutrikimams (VES) gydyti.</w:t>
      </w:r>
    </w:p>
    <w:p w14:paraId="46A3F8E5" w14:textId="77777777" w:rsidR="00C05173" w:rsidRPr="00AE5BD5" w:rsidRDefault="00C05173" w:rsidP="008C6014">
      <w:pPr>
        <w:rPr>
          <w:sz w:val="22"/>
          <w:szCs w:val="22"/>
          <w:lang w:val="lt-LT"/>
        </w:rPr>
      </w:pPr>
    </w:p>
    <w:p w14:paraId="1B9056D0" w14:textId="77777777" w:rsidR="00C05173" w:rsidRPr="00AE5BD5" w:rsidRDefault="00C05173" w:rsidP="008C6014">
      <w:pPr>
        <w:rPr>
          <w:sz w:val="22"/>
          <w:szCs w:val="22"/>
          <w:lang w:val="lt-LT"/>
        </w:rPr>
      </w:pPr>
      <w:r w:rsidRPr="00AE5BD5">
        <w:rPr>
          <w:sz w:val="22"/>
          <w:szCs w:val="22"/>
          <w:u w:val="single"/>
          <w:lang w:val="lt-LT"/>
        </w:rPr>
        <w:t>Vaikų populiacija</w:t>
      </w:r>
    </w:p>
    <w:p w14:paraId="0B5F3971" w14:textId="77777777" w:rsidR="00C05173" w:rsidRPr="00AE5BD5" w:rsidRDefault="00C05173" w:rsidP="008C6014">
      <w:pPr>
        <w:rPr>
          <w:sz w:val="22"/>
          <w:szCs w:val="22"/>
          <w:lang w:val="lt-LT"/>
        </w:rPr>
      </w:pPr>
      <w:r w:rsidRPr="00AE5BD5">
        <w:rPr>
          <w:sz w:val="22"/>
          <w:szCs w:val="22"/>
          <w:lang w:val="lt-LT"/>
        </w:rPr>
        <w:t xml:space="preserve">Placebu kontroliuojamojo </w:t>
      </w:r>
      <w:r w:rsidR="00367235" w:rsidRPr="00AE5BD5">
        <w:rPr>
          <w:sz w:val="22"/>
          <w:szCs w:val="22"/>
          <w:lang w:val="lt-LT"/>
        </w:rPr>
        <w:t>sildenafilio</w:t>
      </w:r>
      <w:r w:rsidRPr="00AE5BD5">
        <w:rPr>
          <w:sz w:val="22"/>
          <w:szCs w:val="22"/>
          <w:lang w:val="lt-LT"/>
        </w:rPr>
        <w:t xml:space="preserve"> tyrimo, kuriame dalyvavo nuo 1 iki 17 metų pacientai, kuriems diagnozuota plautinė arterinė hipertenzija, duomenimis, iš viso 174 pacientams taikytas gydymas pagal vartojimo tris kartus per parą planą, vartojant mažą (po 10</w:t>
      </w:r>
      <w:r w:rsidR="00367235" w:rsidRPr="00AE5BD5">
        <w:rPr>
          <w:sz w:val="22"/>
          <w:szCs w:val="22"/>
          <w:lang w:val="lt-LT"/>
        </w:rPr>
        <w:t> </w:t>
      </w:r>
      <w:r w:rsidRPr="00AE5BD5">
        <w:rPr>
          <w:sz w:val="22"/>
          <w:szCs w:val="22"/>
          <w:lang w:val="lt-LT"/>
        </w:rPr>
        <w:t>mg pacientams, kurių kūno svoris yra</w:t>
      </w:r>
      <w:r w:rsidR="00367235" w:rsidRPr="00AE5BD5">
        <w:rPr>
          <w:sz w:val="22"/>
          <w:szCs w:val="22"/>
          <w:lang w:val="lt-LT"/>
        </w:rPr>
        <w:t xml:space="preserve"> </w:t>
      </w:r>
      <w:r w:rsidRPr="00AE5BD5">
        <w:rPr>
          <w:sz w:val="22"/>
          <w:szCs w:val="22"/>
          <w:lang w:val="lt-LT"/>
        </w:rPr>
        <w:t>&gt;</w:t>
      </w:r>
      <w:r w:rsidR="00367235" w:rsidRPr="00AE5BD5">
        <w:rPr>
          <w:sz w:val="22"/>
          <w:szCs w:val="22"/>
          <w:lang w:val="lt-LT"/>
        </w:rPr>
        <w:t> </w:t>
      </w:r>
      <w:r w:rsidRPr="00AE5BD5">
        <w:rPr>
          <w:sz w:val="22"/>
          <w:szCs w:val="22"/>
          <w:lang w:val="lt-LT"/>
        </w:rPr>
        <w:t>20</w:t>
      </w:r>
      <w:r w:rsidR="00367235" w:rsidRPr="00AE5BD5">
        <w:rPr>
          <w:sz w:val="22"/>
          <w:szCs w:val="22"/>
          <w:lang w:val="lt-LT"/>
        </w:rPr>
        <w:t> </w:t>
      </w:r>
      <w:r w:rsidRPr="00AE5BD5">
        <w:rPr>
          <w:sz w:val="22"/>
          <w:szCs w:val="22"/>
          <w:lang w:val="lt-LT"/>
        </w:rPr>
        <w:t>kg, maža dozė neskirta nei vienam pacientui, kurio kūno svoris buvo ≤</w:t>
      </w:r>
      <w:r w:rsidR="00367235" w:rsidRPr="00AE5BD5">
        <w:rPr>
          <w:sz w:val="22"/>
          <w:szCs w:val="22"/>
          <w:lang w:val="lt-LT"/>
        </w:rPr>
        <w:t> </w:t>
      </w:r>
      <w:r w:rsidRPr="00AE5BD5">
        <w:rPr>
          <w:sz w:val="22"/>
          <w:szCs w:val="22"/>
          <w:lang w:val="lt-LT"/>
        </w:rPr>
        <w:t>20</w:t>
      </w:r>
      <w:r w:rsidR="00367235" w:rsidRPr="00AE5BD5">
        <w:rPr>
          <w:sz w:val="22"/>
          <w:szCs w:val="22"/>
          <w:lang w:val="lt-LT"/>
        </w:rPr>
        <w:t> </w:t>
      </w:r>
      <w:r w:rsidRPr="00AE5BD5">
        <w:rPr>
          <w:sz w:val="22"/>
          <w:szCs w:val="22"/>
          <w:lang w:val="lt-LT"/>
        </w:rPr>
        <w:t>kg), vidutinę (po 10</w:t>
      </w:r>
      <w:r w:rsidR="00367235" w:rsidRPr="00AE5BD5">
        <w:rPr>
          <w:sz w:val="22"/>
          <w:szCs w:val="22"/>
          <w:lang w:val="lt-LT"/>
        </w:rPr>
        <w:t> </w:t>
      </w:r>
      <w:r w:rsidRPr="00AE5BD5">
        <w:rPr>
          <w:sz w:val="22"/>
          <w:szCs w:val="22"/>
          <w:lang w:val="lt-LT"/>
        </w:rPr>
        <w:t>mg pacientams, kurių kūno svoris yra ≥</w:t>
      </w:r>
      <w:r w:rsidR="00367235" w:rsidRPr="00AE5BD5">
        <w:rPr>
          <w:sz w:val="22"/>
          <w:szCs w:val="22"/>
          <w:lang w:val="lt-LT"/>
        </w:rPr>
        <w:t> </w:t>
      </w:r>
      <w:r w:rsidRPr="00AE5BD5">
        <w:rPr>
          <w:sz w:val="22"/>
          <w:szCs w:val="22"/>
          <w:lang w:val="lt-LT"/>
        </w:rPr>
        <w:t>8-20</w:t>
      </w:r>
      <w:r w:rsidR="00367235" w:rsidRPr="00AE5BD5">
        <w:rPr>
          <w:sz w:val="22"/>
          <w:szCs w:val="22"/>
          <w:lang w:val="lt-LT"/>
        </w:rPr>
        <w:t> </w:t>
      </w:r>
      <w:r w:rsidRPr="00AE5BD5">
        <w:rPr>
          <w:sz w:val="22"/>
          <w:szCs w:val="22"/>
          <w:lang w:val="lt-LT"/>
        </w:rPr>
        <w:t>kg, po 20</w:t>
      </w:r>
      <w:r w:rsidR="00367235" w:rsidRPr="00AE5BD5">
        <w:rPr>
          <w:sz w:val="22"/>
          <w:szCs w:val="22"/>
          <w:lang w:val="lt-LT"/>
        </w:rPr>
        <w:t> </w:t>
      </w:r>
      <w:r w:rsidRPr="00AE5BD5">
        <w:rPr>
          <w:sz w:val="22"/>
          <w:szCs w:val="22"/>
          <w:lang w:val="lt-LT"/>
        </w:rPr>
        <w:t>mg pacientams, kurių kūno svoris yra</w:t>
      </w:r>
      <w:r w:rsidR="00367235" w:rsidRPr="00AE5BD5">
        <w:rPr>
          <w:sz w:val="22"/>
          <w:szCs w:val="22"/>
          <w:lang w:val="lt-LT"/>
        </w:rPr>
        <w:t xml:space="preserve"> </w:t>
      </w:r>
      <w:r w:rsidRPr="00AE5BD5">
        <w:rPr>
          <w:sz w:val="22"/>
          <w:szCs w:val="22"/>
          <w:lang w:val="lt-LT"/>
        </w:rPr>
        <w:t>≥</w:t>
      </w:r>
      <w:r w:rsidR="00367235" w:rsidRPr="00AE5BD5">
        <w:rPr>
          <w:sz w:val="22"/>
          <w:szCs w:val="22"/>
          <w:lang w:val="lt-LT"/>
        </w:rPr>
        <w:t> </w:t>
      </w:r>
      <w:r w:rsidRPr="00AE5BD5">
        <w:rPr>
          <w:sz w:val="22"/>
          <w:szCs w:val="22"/>
          <w:lang w:val="lt-LT"/>
        </w:rPr>
        <w:t>20-45</w:t>
      </w:r>
      <w:r w:rsidR="00367235" w:rsidRPr="00AE5BD5">
        <w:rPr>
          <w:sz w:val="22"/>
          <w:szCs w:val="22"/>
          <w:lang w:val="lt-LT"/>
        </w:rPr>
        <w:t> </w:t>
      </w:r>
      <w:r w:rsidRPr="00AE5BD5">
        <w:rPr>
          <w:sz w:val="22"/>
          <w:szCs w:val="22"/>
          <w:lang w:val="lt-LT"/>
        </w:rPr>
        <w:t>kg, po 40</w:t>
      </w:r>
      <w:r w:rsidR="00367235" w:rsidRPr="00AE5BD5">
        <w:rPr>
          <w:sz w:val="22"/>
          <w:szCs w:val="22"/>
          <w:lang w:val="lt-LT"/>
        </w:rPr>
        <w:t> </w:t>
      </w:r>
      <w:r w:rsidRPr="00AE5BD5">
        <w:rPr>
          <w:sz w:val="22"/>
          <w:szCs w:val="22"/>
          <w:lang w:val="lt-LT"/>
        </w:rPr>
        <w:t>mg pacientams, kurių kūno svoris yra &gt;</w:t>
      </w:r>
      <w:r w:rsidR="00367235" w:rsidRPr="00AE5BD5">
        <w:rPr>
          <w:sz w:val="22"/>
          <w:szCs w:val="22"/>
          <w:lang w:val="lt-LT"/>
        </w:rPr>
        <w:t> </w:t>
      </w:r>
      <w:r w:rsidRPr="00AE5BD5">
        <w:rPr>
          <w:sz w:val="22"/>
          <w:szCs w:val="22"/>
          <w:lang w:val="lt-LT"/>
        </w:rPr>
        <w:t>45</w:t>
      </w:r>
      <w:r w:rsidR="00367235" w:rsidRPr="00AE5BD5">
        <w:rPr>
          <w:sz w:val="22"/>
          <w:szCs w:val="22"/>
          <w:lang w:val="lt-LT"/>
        </w:rPr>
        <w:t> </w:t>
      </w:r>
      <w:r w:rsidRPr="00AE5BD5">
        <w:rPr>
          <w:sz w:val="22"/>
          <w:szCs w:val="22"/>
          <w:lang w:val="lt-LT"/>
        </w:rPr>
        <w:t xml:space="preserve">kg) arba didelę </w:t>
      </w:r>
      <w:r w:rsidR="00367235" w:rsidRPr="00AE5BD5">
        <w:rPr>
          <w:sz w:val="22"/>
          <w:szCs w:val="22"/>
          <w:lang w:val="lt-LT"/>
        </w:rPr>
        <w:t>sildenafilio</w:t>
      </w:r>
      <w:r w:rsidRPr="00AE5BD5">
        <w:rPr>
          <w:sz w:val="22"/>
          <w:szCs w:val="22"/>
          <w:lang w:val="lt-LT"/>
        </w:rPr>
        <w:t xml:space="preserve"> dozę (po 20</w:t>
      </w:r>
      <w:r w:rsidR="00367235" w:rsidRPr="00AE5BD5">
        <w:rPr>
          <w:sz w:val="22"/>
          <w:szCs w:val="22"/>
          <w:lang w:val="lt-LT"/>
        </w:rPr>
        <w:t> </w:t>
      </w:r>
      <w:r w:rsidRPr="00AE5BD5">
        <w:rPr>
          <w:sz w:val="22"/>
          <w:szCs w:val="22"/>
          <w:lang w:val="lt-LT"/>
        </w:rPr>
        <w:t>mg pacientams, kurių kūno svoris yra ≥</w:t>
      </w:r>
      <w:r w:rsidR="00367235" w:rsidRPr="00AE5BD5">
        <w:rPr>
          <w:sz w:val="22"/>
          <w:szCs w:val="22"/>
          <w:lang w:val="lt-LT"/>
        </w:rPr>
        <w:t> </w:t>
      </w:r>
      <w:r w:rsidRPr="00AE5BD5">
        <w:rPr>
          <w:sz w:val="22"/>
          <w:szCs w:val="22"/>
          <w:lang w:val="lt-LT"/>
        </w:rPr>
        <w:t>8-20</w:t>
      </w:r>
      <w:r w:rsidR="00367235" w:rsidRPr="00AE5BD5">
        <w:rPr>
          <w:sz w:val="22"/>
          <w:szCs w:val="22"/>
          <w:lang w:val="lt-LT"/>
        </w:rPr>
        <w:t> </w:t>
      </w:r>
      <w:r w:rsidRPr="00AE5BD5">
        <w:rPr>
          <w:sz w:val="22"/>
          <w:szCs w:val="22"/>
          <w:lang w:val="lt-LT"/>
        </w:rPr>
        <w:t>kg, po 40</w:t>
      </w:r>
      <w:r w:rsidR="00367235" w:rsidRPr="00AE5BD5">
        <w:rPr>
          <w:sz w:val="22"/>
          <w:szCs w:val="22"/>
          <w:lang w:val="lt-LT"/>
        </w:rPr>
        <w:t> </w:t>
      </w:r>
      <w:r w:rsidRPr="00AE5BD5">
        <w:rPr>
          <w:sz w:val="22"/>
          <w:szCs w:val="22"/>
          <w:lang w:val="lt-LT"/>
        </w:rPr>
        <w:t>mg pacientams, kurių kūno svoris yra ≥ 20-45</w:t>
      </w:r>
      <w:r w:rsidR="00367235" w:rsidRPr="00AE5BD5">
        <w:rPr>
          <w:sz w:val="22"/>
          <w:szCs w:val="22"/>
          <w:lang w:val="lt-LT"/>
        </w:rPr>
        <w:t> </w:t>
      </w:r>
      <w:r w:rsidRPr="00AE5BD5">
        <w:rPr>
          <w:sz w:val="22"/>
          <w:szCs w:val="22"/>
          <w:lang w:val="lt-LT"/>
        </w:rPr>
        <w:t>kg, po 80</w:t>
      </w:r>
      <w:r w:rsidR="00367235" w:rsidRPr="00AE5BD5">
        <w:rPr>
          <w:sz w:val="22"/>
          <w:szCs w:val="22"/>
          <w:lang w:val="lt-LT"/>
        </w:rPr>
        <w:t> </w:t>
      </w:r>
      <w:r w:rsidRPr="00AE5BD5">
        <w:rPr>
          <w:sz w:val="22"/>
          <w:szCs w:val="22"/>
          <w:lang w:val="lt-LT"/>
        </w:rPr>
        <w:t>mg pacientams, kurių kūno svoris yra &gt;</w:t>
      </w:r>
      <w:r w:rsidR="00367235" w:rsidRPr="00AE5BD5">
        <w:rPr>
          <w:sz w:val="22"/>
          <w:szCs w:val="22"/>
          <w:lang w:val="lt-LT"/>
        </w:rPr>
        <w:t> </w:t>
      </w:r>
      <w:r w:rsidRPr="00AE5BD5">
        <w:rPr>
          <w:sz w:val="22"/>
          <w:szCs w:val="22"/>
          <w:lang w:val="lt-LT"/>
        </w:rPr>
        <w:t>45</w:t>
      </w:r>
      <w:r w:rsidR="00367235" w:rsidRPr="00AE5BD5">
        <w:rPr>
          <w:sz w:val="22"/>
          <w:szCs w:val="22"/>
          <w:lang w:val="lt-LT"/>
        </w:rPr>
        <w:t> </w:t>
      </w:r>
      <w:r w:rsidRPr="00AE5BD5">
        <w:rPr>
          <w:sz w:val="22"/>
          <w:szCs w:val="22"/>
          <w:lang w:val="lt-LT"/>
        </w:rPr>
        <w:t>kg), o 60 pacientų vartojo placebą.</w:t>
      </w:r>
    </w:p>
    <w:p w14:paraId="5F2B494A" w14:textId="77777777" w:rsidR="00C05173" w:rsidRPr="00AE5BD5" w:rsidRDefault="00C05173" w:rsidP="008C6014">
      <w:pPr>
        <w:rPr>
          <w:sz w:val="22"/>
          <w:szCs w:val="22"/>
          <w:lang w:val="lt-LT"/>
        </w:rPr>
      </w:pPr>
    </w:p>
    <w:p w14:paraId="1AA7804A" w14:textId="77777777" w:rsidR="00C05173" w:rsidRPr="00AE5BD5" w:rsidRDefault="00C05173" w:rsidP="008C6014">
      <w:pPr>
        <w:rPr>
          <w:sz w:val="22"/>
          <w:szCs w:val="22"/>
          <w:lang w:val="lt-LT"/>
        </w:rPr>
      </w:pPr>
      <w:r w:rsidRPr="00AE5BD5">
        <w:rPr>
          <w:sz w:val="22"/>
          <w:szCs w:val="22"/>
          <w:lang w:val="lt-LT"/>
        </w:rPr>
        <w:t>Šio tyrimo su vaikais duomenimis, pasireiškusių nepageidaujamų reakcijų pobūdis iš esmės buvo panašus į nustatytąjį suaugusiesiems (žr. anksčiau pateiktą lentelę). Dažniausi nepageidaujami reiškiniai, ≥</w:t>
      </w:r>
      <w:r w:rsidR="00367235" w:rsidRPr="00AE5BD5">
        <w:rPr>
          <w:sz w:val="22"/>
          <w:szCs w:val="22"/>
          <w:lang w:val="lt-LT"/>
        </w:rPr>
        <w:t> </w:t>
      </w:r>
      <w:r w:rsidRPr="00AE5BD5">
        <w:rPr>
          <w:sz w:val="22"/>
          <w:szCs w:val="22"/>
          <w:lang w:val="lt-LT"/>
        </w:rPr>
        <w:t xml:space="preserve">1 % dažniu pasireiškę </w:t>
      </w:r>
      <w:r w:rsidR="00367235" w:rsidRPr="00AE5BD5">
        <w:rPr>
          <w:sz w:val="22"/>
          <w:szCs w:val="22"/>
          <w:lang w:val="lt-LT"/>
        </w:rPr>
        <w:t>sildenaflio</w:t>
      </w:r>
      <w:r w:rsidRPr="00AE5BD5">
        <w:rPr>
          <w:sz w:val="22"/>
          <w:szCs w:val="22"/>
          <w:lang w:val="lt-LT"/>
        </w:rPr>
        <w:t xml:space="preserve"> (įvairias dozes) vartojusiems pacientams, &gt;</w:t>
      </w:r>
      <w:r w:rsidR="00367235" w:rsidRPr="00AE5BD5">
        <w:rPr>
          <w:sz w:val="22"/>
          <w:szCs w:val="22"/>
          <w:lang w:val="lt-LT"/>
        </w:rPr>
        <w:t> </w:t>
      </w:r>
      <w:r w:rsidRPr="00AE5BD5">
        <w:rPr>
          <w:sz w:val="22"/>
          <w:szCs w:val="22"/>
          <w:lang w:val="lt-LT"/>
        </w:rPr>
        <w:t>1 % dažniau nei placebą vartojusiems pacientams, buvo kūno temperatūros padidėjimas, viršutinių kvėpavimo takų infekcija (kiekvieno 11,5 %), vėmimas (10,9 %), sustiprėjusi erekcija (įskaitant savaiminę varpos erekciją vyriškosios lyties tiriamiesiems) (9,0 %), pykinimas, bronchitas (kiekvieno 4,6 %), faringitas (4,0 %), rinorėja (3,4 %) ir plaučių uždegimas, rinitas (kiekvieno 2,9</w:t>
      </w:r>
      <w:r w:rsidR="005D3666">
        <w:rPr>
          <w:sz w:val="22"/>
          <w:szCs w:val="22"/>
          <w:lang w:val="lt-LT"/>
        </w:rPr>
        <w:t> </w:t>
      </w:r>
      <w:r w:rsidRPr="00AE5BD5">
        <w:rPr>
          <w:sz w:val="22"/>
          <w:szCs w:val="22"/>
          <w:lang w:val="lt-LT"/>
        </w:rPr>
        <w:t>%).</w:t>
      </w:r>
    </w:p>
    <w:p w14:paraId="26F159A5" w14:textId="77777777" w:rsidR="00C05173" w:rsidRPr="00AE5BD5" w:rsidRDefault="00C05173" w:rsidP="008C6014">
      <w:pPr>
        <w:rPr>
          <w:sz w:val="22"/>
          <w:szCs w:val="22"/>
          <w:lang w:val="lt-LT"/>
        </w:rPr>
      </w:pPr>
    </w:p>
    <w:p w14:paraId="1408E2B7" w14:textId="77777777" w:rsidR="00C05173" w:rsidRPr="00AE5BD5" w:rsidRDefault="00C05173" w:rsidP="008C6014">
      <w:pPr>
        <w:rPr>
          <w:sz w:val="22"/>
          <w:szCs w:val="22"/>
          <w:lang w:val="lt-LT"/>
        </w:rPr>
      </w:pPr>
      <w:r w:rsidRPr="00AE5BD5">
        <w:rPr>
          <w:sz w:val="22"/>
          <w:szCs w:val="22"/>
          <w:lang w:val="lt-LT"/>
        </w:rPr>
        <w:t>Iš 234 vaikų populiacijos tiriamųjų, gydytų per trumpalaikį, placebu kontroliuojamą tyrimą, į ilgalaikį tęstinį tyrimą buvo įtraukta 220 tiriamųjų. Tiriamųjų, kuriems buvo skirtas aktyvus gydymas sildenafiliu, toliau buvo gydomi tokiu pačiu dozavimo režimu, o per trumpalaikį tyrimą placebo grupei priklausę tiriamieji buvo atsitiktinai atrinkti gydyti sildenafiliu.</w:t>
      </w:r>
    </w:p>
    <w:p w14:paraId="33EE3CCE" w14:textId="77777777" w:rsidR="00C05173" w:rsidRPr="00AE5BD5" w:rsidRDefault="00C05173" w:rsidP="008C6014">
      <w:pPr>
        <w:rPr>
          <w:sz w:val="22"/>
          <w:szCs w:val="22"/>
          <w:lang w:val="lt-LT"/>
        </w:rPr>
      </w:pPr>
    </w:p>
    <w:p w14:paraId="559F78C3" w14:textId="77777777" w:rsidR="00367235" w:rsidRPr="00AE5BD5" w:rsidRDefault="00C05173" w:rsidP="008C6014">
      <w:pPr>
        <w:rPr>
          <w:sz w:val="22"/>
          <w:szCs w:val="22"/>
          <w:lang w:val="lt-LT"/>
        </w:rPr>
      </w:pPr>
      <w:r w:rsidRPr="00AE5BD5">
        <w:rPr>
          <w:sz w:val="22"/>
          <w:szCs w:val="22"/>
          <w:lang w:val="lt-LT"/>
        </w:rPr>
        <w:t>Dažniausiai pasireiškusios nepageidaujamos reakcijos, apie kurias pranešta per visą trumpalaikio ir ilgalaikio tyrimų laikotarpį, buvo panašios į pastebėtas per trumpalaikį tyrimą. Nepageidaujamos reakcijos, kurios nustatytos &gt;</w:t>
      </w:r>
      <w:r w:rsidR="00367235" w:rsidRPr="00AE5BD5">
        <w:rPr>
          <w:sz w:val="22"/>
          <w:szCs w:val="22"/>
          <w:lang w:val="lt-LT"/>
        </w:rPr>
        <w:t> </w:t>
      </w:r>
      <w:r w:rsidRPr="00AE5BD5">
        <w:rPr>
          <w:sz w:val="22"/>
          <w:szCs w:val="22"/>
          <w:lang w:val="lt-LT"/>
        </w:rPr>
        <w:t>10</w:t>
      </w:r>
      <w:r w:rsidR="00367235" w:rsidRPr="00AE5BD5">
        <w:rPr>
          <w:sz w:val="22"/>
          <w:szCs w:val="22"/>
          <w:lang w:val="lt-LT"/>
        </w:rPr>
        <w:t> </w:t>
      </w:r>
      <w:r w:rsidRPr="00AE5BD5">
        <w:rPr>
          <w:sz w:val="22"/>
          <w:szCs w:val="22"/>
          <w:lang w:val="lt-LT"/>
        </w:rPr>
        <w:t>% iš 229 sildenafiliu gydytų pacientų (jungtinė įvairių dozių grupė, įskaitant 9 pacientus, kurie neprat</w:t>
      </w:r>
      <w:r w:rsidR="00D84321">
        <w:rPr>
          <w:sz w:val="22"/>
          <w:szCs w:val="22"/>
          <w:lang w:val="lt-LT"/>
        </w:rPr>
        <w:t>e</w:t>
      </w:r>
      <w:r w:rsidRPr="00AE5BD5">
        <w:rPr>
          <w:sz w:val="22"/>
          <w:szCs w:val="22"/>
          <w:lang w:val="lt-LT"/>
        </w:rPr>
        <w:t>sė dalyvavimo ilgalaikiame tyrime), buvo viršutinių kvėpavimo takų infekcija (31</w:t>
      </w:r>
      <w:r w:rsidR="00367235" w:rsidRPr="00AE5BD5">
        <w:rPr>
          <w:sz w:val="22"/>
          <w:szCs w:val="22"/>
          <w:lang w:val="lt-LT"/>
        </w:rPr>
        <w:t> </w:t>
      </w:r>
      <w:r w:rsidRPr="00AE5BD5">
        <w:rPr>
          <w:sz w:val="22"/>
          <w:szCs w:val="22"/>
          <w:lang w:val="lt-LT"/>
        </w:rPr>
        <w:t>%), galvos skausmas (26</w:t>
      </w:r>
      <w:r w:rsidR="00367235" w:rsidRPr="00AE5BD5">
        <w:rPr>
          <w:sz w:val="22"/>
          <w:szCs w:val="22"/>
          <w:lang w:val="lt-LT"/>
        </w:rPr>
        <w:t> </w:t>
      </w:r>
      <w:r w:rsidRPr="00AE5BD5">
        <w:rPr>
          <w:sz w:val="22"/>
          <w:szCs w:val="22"/>
          <w:lang w:val="lt-LT"/>
        </w:rPr>
        <w:t>%), vėmimas (22</w:t>
      </w:r>
      <w:r w:rsidR="00367235" w:rsidRPr="00AE5BD5">
        <w:rPr>
          <w:sz w:val="22"/>
          <w:szCs w:val="22"/>
          <w:lang w:val="lt-LT"/>
        </w:rPr>
        <w:t> </w:t>
      </w:r>
      <w:r w:rsidRPr="00AE5BD5">
        <w:rPr>
          <w:sz w:val="22"/>
          <w:szCs w:val="22"/>
          <w:lang w:val="lt-LT"/>
        </w:rPr>
        <w:t>%), bronchitas (20</w:t>
      </w:r>
      <w:r w:rsidR="00367235" w:rsidRPr="00AE5BD5">
        <w:rPr>
          <w:sz w:val="22"/>
          <w:szCs w:val="22"/>
          <w:lang w:val="lt-LT"/>
        </w:rPr>
        <w:t> </w:t>
      </w:r>
      <w:r w:rsidRPr="00AE5BD5">
        <w:rPr>
          <w:sz w:val="22"/>
          <w:szCs w:val="22"/>
          <w:lang w:val="lt-LT"/>
        </w:rPr>
        <w:t>%), faringitas (18</w:t>
      </w:r>
      <w:r w:rsidR="00367235" w:rsidRPr="00AE5BD5">
        <w:rPr>
          <w:sz w:val="22"/>
          <w:szCs w:val="22"/>
          <w:lang w:val="lt-LT"/>
        </w:rPr>
        <w:t> </w:t>
      </w:r>
      <w:r w:rsidRPr="00AE5BD5">
        <w:rPr>
          <w:sz w:val="22"/>
          <w:szCs w:val="22"/>
          <w:lang w:val="lt-LT"/>
        </w:rPr>
        <w:t>%), karščiavimas (17</w:t>
      </w:r>
      <w:r w:rsidR="00367235" w:rsidRPr="00AE5BD5">
        <w:rPr>
          <w:sz w:val="22"/>
          <w:szCs w:val="22"/>
          <w:lang w:val="lt-LT"/>
        </w:rPr>
        <w:t> </w:t>
      </w:r>
      <w:r w:rsidRPr="00AE5BD5">
        <w:rPr>
          <w:sz w:val="22"/>
          <w:szCs w:val="22"/>
          <w:lang w:val="lt-LT"/>
        </w:rPr>
        <w:t>%), viduriavimas (15</w:t>
      </w:r>
      <w:r w:rsidR="00367235" w:rsidRPr="00AE5BD5">
        <w:rPr>
          <w:sz w:val="22"/>
          <w:szCs w:val="22"/>
          <w:lang w:val="lt-LT"/>
        </w:rPr>
        <w:t> </w:t>
      </w:r>
      <w:r w:rsidRPr="00AE5BD5">
        <w:rPr>
          <w:sz w:val="22"/>
          <w:szCs w:val="22"/>
          <w:lang w:val="lt-LT"/>
        </w:rPr>
        <w:t>%) ir gripas, kraujavimas iš nosies (po 12</w:t>
      </w:r>
      <w:r w:rsidR="00367235" w:rsidRPr="00AE5BD5">
        <w:rPr>
          <w:sz w:val="22"/>
          <w:szCs w:val="22"/>
          <w:lang w:val="lt-LT"/>
        </w:rPr>
        <w:t> </w:t>
      </w:r>
      <w:r w:rsidRPr="00AE5BD5">
        <w:rPr>
          <w:sz w:val="22"/>
          <w:szCs w:val="22"/>
          <w:lang w:val="lt-LT"/>
        </w:rPr>
        <w:t>%). Daugelis šių nepageidaujamų reakcijų laikomos lengvomis ar vidutinio sunkumo.</w:t>
      </w:r>
    </w:p>
    <w:p w14:paraId="61E8A715" w14:textId="77777777" w:rsidR="00C05173" w:rsidRPr="00AE5BD5" w:rsidRDefault="00C05173" w:rsidP="008C6014">
      <w:pPr>
        <w:rPr>
          <w:sz w:val="22"/>
          <w:szCs w:val="22"/>
          <w:lang w:val="lt-LT"/>
        </w:rPr>
      </w:pPr>
      <w:r w:rsidRPr="00AE5BD5">
        <w:rPr>
          <w:sz w:val="22"/>
          <w:szCs w:val="22"/>
          <w:lang w:val="lt-LT"/>
        </w:rPr>
        <w:t>94 (41</w:t>
      </w:r>
      <w:r w:rsidR="00367235" w:rsidRPr="00AE5BD5">
        <w:rPr>
          <w:sz w:val="22"/>
          <w:szCs w:val="22"/>
          <w:lang w:val="lt-LT"/>
        </w:rPr>
        <w:t> </w:t>
      </w:r>
      <w:r w:rsidRPr="00AE5BD5">
        <w:rPr>
          <w:sz w:val="22"/>
          <w:szCs w:val="22"/>
          <w:lang w:val="lt-LT"/>
        </w:rPr>
        <w:t>%) iš 229 tiriamųjų, kurie vartojo sildenafilį, nustatytos sunkios nepageidaujamos reakcijos. Iš 94 tiriamųjų, pranešusių apie sunkias nepageidaujamas reakcijas, 14/55 (25,5</w:t>
      </w:r>
      <w:r w:rsidR="00367235" w:rsidRPr="00AE5BD5">
        <w:rPr>
          <w:sz w:val="22"/>
          <w:szCs w:val="22"/>
          <w:lang w:val="lt-LT"/>
        </w:rPr>
        <w:t> </w:t>
      </w:r>
      <w:r w:rsidRPr="00AE5BD5">
        <w:rPr>
          <w:sz w:val="22"/>
          <w:szCs w:val="22"/>
          <w:lang w:val="lt-LT"/>
        </w:rPr>
        <w:t>%) tiriamųjų buvo mažos dozės grupėje, 35/74 (47,3%) vidutinės dozės grupėje ir 45/100 (45%) didelės dozės grupėje. Dažniausi nepageidaujami reiškiniai pasireiškę ≥</w:t>
      </w:r>
      <w:r w:rsidR="00367235" w:rsidRPr="00AE5BD5">
        <w:rPr>
          <w:sz w:val="22"/>
          <w:szCs w:val="22"/>
          <w:lang w:val="lt-LT"/>
        </w:rPr>
        <w:t> </w:t>
      </w:r>
      <w:r w:rsidRPr="00AE5BD5">
        <w:rPr>
          <w:sz w:val="22"/>
          <w:szCs w:val="22"/>
          <w:lang w:val="lt-LT"/>
        </w:rPr>
        <w:t>1% dažnumu įvairias sildenafilio dozes vartojusiems pacientams buvo pneumonija (7,4%), širdies nepakankamumas, plautinė hipertenzija (po 5,2</w:t>
      </w:r>
      <w:r w:rsidR="00367235" w:rsidRPr="00AE5BD5">
        <w:rPr>
          <w:sz w:val="22"/>
          <w:szCs w:val="22"/>
          <w:lang w:val="lt-LT"/>
        </w:rPr>
        <w:t> </w:t>
      </w:r>
      <w:r w:rsidRPr="00AE5BD5">
        <w:rPr>
          <w:sz w:val="22"/>
          <w:szCs w:val="22"/>
          <w:lang w:val="lt-LT"/>
        </w:rPr>
        <w:t>%), viršutinių kvėpavimo takų infekcija (3,1%), dešiniojo skilvelio nepakankamumas, gastroenteritas (po 2,6</w:t>
      </w:r>
      <w:r w:rsidR="00367235" w:rsidRPr="00AE5BD5">
        <w:rPr>
          <w:sz w:val="22"/>
          <w:szCs w:val="22"/>
          <w:lang w:val="lt-LT"/>
        </w:rPr>
        <w:t> </w:t>
      </w:r>
      <w:r w:rsidRPr="00AE5BD5">
        <w:rPr>
          <w:sz w:val="22"/>
          <w:szCs w:val="22"/>
          <w:lang w:val="lt-LT"/>
        </w:rPr>
        <w:t>%), apalpimas, bronchitas, bronchopneumonija, plautinė arterinė hipertenzija (2,2 %), krūtinės skausmas, dantų kariesas (po 1,7</w:t>
      </w:r>
      <w:r w:rsidR="00367235" w:rsidRPr="00AE5BD5">
        <w:rPr>
          <w:sz w:val="22"/>
          <w:szCs w:val="22"/>
          <w:lang w:val="lt-LT"/>
        </w:rPr>
        <w:t> </w:t>
      </w:r>
      <w:r w:rsidRPr="00AE5BD5">
        <w:rPr>
          <w:sz w:val="22"/>
          <w:szCs w:val="22"/>
          <w:lang w:val="lt-LT"/>
        </w:rPr>
        <w:t xml:space="preserve">%), ir kardiogeninis šokas, virusinis gastroenteritas, šlapimo takų infekcija (po </w:t>
      </w:r>
      <w:r w:rsidRPr="00AE5BD5">
        <w:rPr>
          <w:sz w:val="22"/>
          <w:szCs w:val="22"/>
          <w:lang w:val="lt-LT"/>
        </w:rPr>
        <w:lastRenderedPageBreak/>
        <w:t>1,3</w:t>
      </w:r>
      <w:r w:rsidR="00367235" w:rsidRPr="00AE5BD5">
        <w:rPr>
          <w:spacing w:val="-11"/>
          <w:sz w:val="22"/>
          <w:szCs w:val="22"/>
          <w:lang w:val="lt-LT"/>
        </w:rPr>
        <w:t> </w:t>
      </w:r>
      <w:r w:rsidRPr="00AE5BD5">
        <w:rPr>
          <w:sz w:val="22"/>
          <w:szCs w:val="22"/>
          <w:lang w:val="lt-LT"/>
        </w:rPr>
        <w:t>%).</w:t>
      </w:r>
    </w:p>
    <w:p w14:paraId="355EAD17" w14:textId="77777777" w:rsidR="00C05173" w:rsidRPr="00AE5BD5" w:rsidRDefault="00C05173" w:rsidP="008C6014">
      <w:pPr>
        <w:rPr>
          <w:sz w:val="22"/>
          <w:szCs w:val="22"/>
          <w:lang w:val="lt-LT"/>
        </w:rPr>
      </w:pPr>
    </w:p>
    <w:p w14:paraId="0C232ABE" w14:textId="77777777" w:rsidR="00C05173" w:rsidRPr="00AE5BD5" w:rsidRDefault="00C05173" w:rsidP="008C6014">
      <w:pPr>
        <w:rPr>
          <w:sz w:val="22"/>
          <w:szCs w:val="22"/>
          <w:lang w:val="lt-LT"/>
        </w:rPr>
      </w:pPr>
      <w:r w:rsidRPr="00AE5BD5">
        <w:rPr>
          <w:sz w:val="22"/>
          <w:szCs w:val="22"/>
          <w:lang w:val="lt-LT"/>
        </w:rPr>
        <w:t>Su gydymu susijusios sunkios nepageidaujamos reakcijos buvo enterokolitas, traukuliai, padidėjusio jautrumo reakcija, stridoras, hipoksija, neurosensorinis kurtumas ir skilvelinė aritmija.</w:t>
      </w:r>
    </w:p>
    <w:p w14:paraId="3C2B7744" w14:textId="77777777" w:rsidR="00C05173" w:rsidRPr="00AE5BD5" w:rsidRDefault="00C05173" w:rsidP="008C6014">
      <w:pPr>
        <w:rPr>
          <w:sz w:val="22"/>
          <w:szCs w:val="22"/>
          <w:lang w:val="lt-LT"/>
        </w:rPr>
      </w:pPr>
    </w:p>
    <w:p w14:paraId="6A8B470A" w14:textId="77777777" w:rsidR="007B1671" w:rsidRPr="005A3594" w:rsidRDefault="007B1671" w:rsidP="008C6014">
      <w:pPr>
        <w:rPr>
          <w:rFonts w:eastAsia="Times New Roman"/>
          <w:snapToGrid w:val="0"/>
          <w:sz w:val="22"/>
          <w:szCs w:val="22"/>
          <w:u w:val="single"/>
          <w:lang w:val="lt-LT"/>
        </w:rPr>
      </w:pPr>
      <w:r w:rsidRPr="005A3594">
        <w:rPr>
          <w:noProof/>
          <w:snapToGrid w:val="0"/>
          <w:sz w:val="22"/>
          <w:szCs w:val="22"/>
          <w:u w:val="single"/>
          <w:lang w:val="lt-LT"/>
        </w:rPr>
        <w:t>Pranešimas apie įtariamas nepageidaujamas reakcijas</w:t>
      </w:r>
    </w:p>
    <w:p w14:paraId="18E95781" w14:textId="27EEAC69" w:rsidR="00897F13" w:rsidRPr="0078391B" w:rsidRDefault="00897F13" w:rsidP="009E3FC3">
      <w:pPr>
        <w:tabs>
          <w:tab w:val="left" w:pos="567"/>
        </w:tabs>
        <w:spacing w:line="260" w:lineRule="exact"/>
        <w:rPr>
          <w:noProof/>
          <w:snapToGrid w:val="0"/>
          <w:sz w:val="22"/>
          <w:szCs w:val="22"/>
        </w:rPr>
      </w:pPr>
      <w:bookmarkStart w:id="0" w:name="_Hlk109037487"/>
      <w:r w:rsidRPr="008248B1">
        <w:rPr>
          <w:sz w:val="22"/>
        </w:rPr>
        <w:t xml:space="preserve">Svarbu pranešti apie įtariamas nepageidaujamas reakcijas, pastebėtas po vaistinio preparato registracijos, nes </w:t>
      </w:r>
      <w:proofErr w:type="gramStart"/>
      <w:r w:rsidRPr="008248B1">
        <w:rPr>
          <w:sz w:val="22"/>
        </w:rPr>
        <w:t>tai</w:t>
      </w:r>
      <w:proofErr w:type="gramEnd"/>
      <w:r w:rsidRPr="008248B1">
        <w:rPr>
          <w:sz w:val="22"/>
        </w:rPr>
        <w:t xml:space="preserve"> leidžia nuolat stebėti vaistinio preparato naudos ir rizikos santykį. Sveikatos priežiūros </w:t>
      </w:r>
      <w:r w:rsidRPr="0078391B">
        <w:rPr>
          <w:noProof/>
          <w:snapToGrid w:val="0"/>
          <w:sz w:val="22"/>
          <w:szCs w:val="22"/>
        </w:rPr>
        <w:t xml:space="preserve">ar farmacijos </w:t>
      </w:r>
      <w:r w:rsidRPr="008248B1">
        <w:rPr>
          <w:sz w:val="22"/>
        </w:rPr>
        <w:t xml:space="preserve">specialistai turi pranešti apie bet kokias įtariamas nepageidaujamas reakcijas, </w:t>
      </w:r>
      <w:r w:rsidRPr="0078391B">
        <w:rPr>
          <w:noProof/>
          <w:snapToGrid w:val="0"/>
          <w:sz w:val="22"/>
          <w:szCs w:val="22"/>
        </w:rPr>
        <w:t xml:space="preserve">tiesiogiai </w:t>
      </w:r>
      <w:r w:rsidRPr="008248B1">
        <w:rPr>
          <w:sz w:val="22"/>
        </w:rPr>
        <w:t xml:space="preserve">užpildę </w:t>
      </w:r>
      <w:r w:rsidRPr="0078391B">
        <w:rPr>
          <w:noProof/>
          <w:snapToGrid w:val="0"/>
          <w:sz w:val="22"/>
          <w:szCs w:val="22"/>
        </w:rPr>
        <w:t>pranešimo</w:t>
      </w:r>
      <w:r w:rsidRPr="008248B1">
        <w:rPr>
          <w:sz w:val="22"/>
        </w:rPr>
        <w:t xml:space="preserve"> formą</w:t>
      </w:r>
      <w:r w:rsidRPr="0078391B">
        <w:rPr>
          <w:noProof/>
          <w:snapToGrid w:val="0"/>
          <w:sz w:val="22"/>
          <w:szCs w:val="22"/>
        </w:rPr>
        <w:t xml:space="preserve"> internetu Tarnybos Vaistinių preparatų informacinėje sistemoje </w:t>
      </w:r>
      <w:hyperlink r:id="rId10" w:history="1">
        <w:r w:rsidRPr="0078391B">
          <w:rPr>
            <w:rStyle w:val="Hipersaitas"/>
            <w:noProof/>
            <w:snapToGrid w:val="0"/>
            <w:sz w:val="22"/>
            <w:szCs w:val="22"/>
          </w:rPr>
          <w:t>https://vapris.vvkt.lt/vvkt-web/public/nrvSpecialist</w:t>
        </w:r>
      </w:hyperlink>
      <w:r w:rsidRPr="0078391B">
        <w:rPr>
          <w:noProof/>
          <w:snapToGrid w:val="0"/>
          <w:sz w:val="22"/>
          <w:szCs w:val="22"/>
        </w:rPr>
        <w:t xml:space="preserve"> arba užpildę Sveikatos priežiūros ar farmacijos specialisto pranešimo apie įtariamą nepageidaujamą reakciją (ĮNR) formą, kuri skelbiama </w:t>
      </w:r>
      <w:hyperlink r:id="rId11" w:history="1">
        <w:r w:rsidRPr="0078391B">
          <w:rPr>
            <w:rStyle w:val="Hipersaitas"/>
            <w:noProof/>
            <w:snapToGrid w:val="0"/>
            <w:sz w:val="22"/>
            <w:szCs w:val="22"/>
          </w:rPr>
          <w:t>https://www.vvkt.lt/index.php?1399030386</w:t>
        </w:r>
      </w:hyperlink>
      <w:r w:rsidRPr="0078391B">
        <w:rPr>
          <w:noProof/>
          <w:snapToGrid w:val="0"/>
          <w:sz w:val="22"/>
          <w:szCs w:val="22"/>
        </w:rPr>
        <w:t>,</w:t>
      </w:r>
      <w:r w:rsidRPr="008248B1">
        <w:rPr>
          <w:sz w:val="22"/>
        </w:rPr>
        <w:t xml:space="preserve"> ir </w:t>
      </w:r>
      <w:r w:rsidRPr="0078391B">
        <w:rPr>
          <w:noProof/>
          <w:snapToGrid w:val="0"/>
          <w:sz w:val="22"/>
          <w:szCs w:val="22"/>
        </w:rPr>
        <w:t>atsiųsti</w:t>
      </w:r>
      <w:r w:rsidRPr="008248B1">
        <w:rPr>
          <w:sz w:val="22"/>
        </w:rPr>
        <w:t xml:space="preserve"> elektroniniu paštu (adresu </w:t>
      </w:r>
      <w:r w:rsidRPr="0078391B">
        <w:rPr>
          <w:noProof/>
          <w:snapToGrid w:val="0"/>
          <w:sz w:val="22"/>
          <w:szCs w:val="22"/>
        </w:rPr>
        <w:t>NepageidaujamaR@vvkt.lt).</w:t>
      </w:r>
    </w:p>
    <w:bookmarkEnd w:id="0"/>
    <w:p w14:paraId="7C313494" w14:textId="62423B5F" w:rsidR="007B1671" w:rsidRPr="005A3594" w:rsidRDefault="007B1671" w:rsidP="008C6014">
      <w:pPr>
        <w:rPr>
          <w:rFonts w:eastAsia="Times New Roman"/>
          <w:noProof/>
          <w:snapToGrid w:val="0"/>
          <w:sz w:val="22"/>
          <w:szCs w:val="22"/>
          <w:lang w:val="lt-LT"/>
        </w:rPr>
      </w:pPr>
    </w:p>
    <w:p w14:paraId="06BB0BD4" w14:textId="77777777" w:rsidR="00E93353" w:rsidRPr="00042B32" w:rsidRDefault="00E93353" w:rsidP="008C6014">
      <w:pPr>
        <w:rPr>
          <w:rFonts w:eastAsia="Times New Roman"/>
          <w:snapToGrid w:val="0"/>
          <w:sz w:val="22"/>
          <w:szCs w:val="22"/>
          <w:lang w:val="lt-LT"/>
        </w:rPr>
      </w:pPr>
    </w:p>
    <w:p w14:paraId="50C17372" w14:textId="77777777" w:rsidR="00E93353" w:rsidRPr="003E6E21" w:rsidRDefault="00E93353" w:rsidP="008C6014">
      <w:pPr>
        <w:rPr>
          <w:rFonts w:eastAsia="Times New Roman"/>
          <w:b/>
          <w:bCs/>
          <w:snapToGrid w:val="0"/>
          <w:sz w:val="22"/>
          <w:szCs w:val="22"/>
          <w:lang w:val="lt-LT" w:eastAsia="x-none"/>
        </w:rPr>
      </w:pPr>
      <w:r w:rsidRPr="003E6E21">
        <w:rPr>
          <w:rFonts w:eastAsia="Times New Roman"/>
          <w:b/>
          <w:bCs/>
          <w:snapToGrid w:val="0"/>
          <w:sz w:val="22"/>
          <w:szCs w:val="22"/>
          <w:lang w:val="lt-LT" w:eastAsia="x-none"/>
        </w:rPr>
        <w:t>4.9</w:t>
      </w:r>
      <w:r w:rsidRPr="003E6E21">
        <w:rPr>
          <w:rFonts w:eastAsia="Times New Roman"/>
          <w:b/>
          <w:bCs/>
          <w:snapToGrid w:val="0"/>
          <w:sz w:val="22"/>
          <w:szCs w:val="22"/>
          <w:lang w:val="lt-LT" w:eastAsia="x-none"/>
        </w:rPr>
        <w:tab/>
        <w:t>Perdozavimas</w:t>
      </w:r>
    </w:p>
    <w:p w14:paraId="2876B56E" w14:textId="77777777" w:rsidR="00E93353" w:rsidRPr="003E6E21" w:rsidRDefault="00E93353" w:rsidP="008C6014">
      <w:pPr>
        <w:rPr>
          <w:rFonts w:eastAsia="Times New Roman"/>
          <w:snapToGrid w:val="0"/>
          <w:sz w:val="22"/>
          <w:szCs w:val="22"/>
          <w:lang w:val="lt-LT"/>
        </w:rPr>
      </w:pPr>
    </w:p>
    <w:p w14:paraId="6D1B0EB5" w14:textId="77777777" w:rsidR="00C05173" w:rsidRPr="00AE5BD5" w:rsidRDefault="00C05173" w:rsidP="008C6014">
      <w:pPr>
        <w:rPr>
          <w:sz w:val="22"/>
          <w:szCs w:val="22"/>
          <w:lang w:val="lt-LT"/>
        </w:rPr>
      </w:pPr>
      <w:r w:rsidRPr="00AE5BD5">
        <w:rPr>
          <w:sz w:val="22"/>
          <w:szCs w:val="22"/>
          <w:lang w:val="lt-LT"/>
        </w:rPr>
        <w:t>Vienkartinė ne didesnė kaip 800</w:t>
      </w:r>
      <w:r w:rsidR="003F6968" w:rsidRPr="00AE5BD5">
        <w:rPr>
          <w:sz w:val="22"/>
          <w:szCs w:val="22"/>
          <w:lang w:val="lt-LT"/>
        </w:rPr>
        <w:t> </w:t>
      </w:r>
      <w:r w:rsidRPr="00AE5BD5">
        <w:rPr>
          <w:sz w:val="22"/>
          <w:szCs w:val="22"/>
          <w:lang w:val="lt-LT"/>
        </w:rPr>
        <w:t>mg sildenafilio dozė sveikiems savanoriams sukėlė tokias pat nepageidaujamas reakcijas kaip mažesnės dozės, tačiau jos pasireiškė dažniau ir buvo sunkesnės. Išgėrus vienkartinę 200</w:t>
      </w:r>
      <w:r w:rsidR="003F6968" w:rsidRPr="00AE5BD5">
        <w:rPr>
          <w:sz w:val="22"/>
          <w:szCs w:val="22"/>
          <w:lang w:val="lt-LT"/>
        </w:rPr>
        <w:t> </w:t>
      </w:r>
      <w:r w:rsidRPr="00AE5BD5">
        <w:rPr>
          <w:sz w:val="22"/>
          <w:szCs w:val="22"/>
          <w:lang w:val="lt-LT"/>
        </w:rPr>
        <w:t xml:space="preserve">mg dozę, vaistinio preparato veiksmingumas nepadidėjo, bet kilo daugiau nepageidaujamų reakcijų (galvos skausmas, </w:t>
      </w:r>
      <w:r w:rsidR="00BA3EE6">
        <w:rPr>
          <w:sz w:val="22"/>
          <w:szCs w:val="22"/>
          <w:lang w:val="lt-LT"/>
        </w:rPr>
        <w:t xml:space="preserve"> veido ir kaklo paraudimas</w:t>
      </w:r>
      <w:r w:rsidRPr="00AE5BD5">
        <w:rPr>
          <w:sz w:val="22"/>
          <w:szCs w:val="22"/>
          <w:lang w:val="lt-LT"/>
        </w:rPr>
        <w:t xml:space="preserve">, </w:t>
      </w:r>
      <w:r w:rsidR="00BA3EE6">
        <w:rPr>
          <w:sz w:val="22"/>
          <w:szCs w:val="22"/>
          <w:lang w:val="lt-LT"/>
        </w:rPr>
        <w:t xml:space="preserve"> svaigulys</w:t>
      </w:r>
      <w:r w:rsidRPr="00AE5BD5">
        <w:rPr>
          <w:sz w:val="22"/>
          <w:szCs w:val="22"/>
          <w:lang w:val="lt-LT"/>
        </w:rPr>
        <w:t>, dispepsija, nosies užgulimas ir regėjimo sutrikimas).</w:t>
      </w:r>
    </w:p>
    <w:p w14:paraId="4210161D" w14:textId="77777777" w:rsidR="00C05173" w:rsidRPr="00AE5BD5" w:rsidRDefault="00C05173" w:rsidP="008C6014">
      <w:pPr>
        <w:rPr>
          <w:sz w:val="22"/>
          <w:szCs w:val="22"/>
          <w:lang w:val="lt-LT"/>
        </w:rPr>
      </w:pPr>
      <w:r w:rsidRPr="00AE5BD5">
        <w:rPr>
          <w:sz w:val="22"/>
          <w:szCs w:val="22"/>
          <w:lang w:val="lt-LT"/>
        </w:rPr>
        <w:t>Vaistinio preparato perdozavus, taikomos, jei reikia, įprastinės palaikomojo gydymo priemonės. Kadangi sildenafilis stipriai prisijungia prie kraujo plazmos baltymų ir nepasišalina su šlapimu, dializė jo klirenso greitinti neturėtų.</w:t>
      </w:r>
    </w:p>
    <w:p w14:paraId="7E2D20C9" w14:textId="77777777" w:rsidR="00C05173" w:rsidRPr="00AE5BD5" w:rsidRDefault="00C05173" w:rsidP="008C6014">
      <w:pPr>
        <w:rPr>
          <w:sz w:val="22"/>
          <w:szCs w:val="22"/>
          <w:lang w:val="lt-LT"/>
        </w:rPr>
      </w:pPr>
    </w:p>
    <w:p w14:paraId="244FBF73" w14:textId="77777777" w:rsidR="00E93353" w:rsidRPr="005A3594" w:rsidRDefault="00E93353" w:rsidP="008C6014">
      <w:pPr>
        <w:rPr>
          <w:rFonts w:eastAsia="Times New Roman"/>
          <w:snapToGrid w:val="0"/>
          <w:sz w:val="22"/>
          <w:szCs w:val="22"/>
          <w:lang w:val="lt-LT"/>
        </w:rPr>
      </w:pPr>
    </w:p>
    <w:p w14:paraId="22705F25" w14:textId="77777777" w:rsidR="00E93353" w:rsidRPr="00D37093" w:rsidRDefault="00E93353" w:rsidP="008C6014">
      <w:pPr>
        <w:rPr>
          <w:rFonts w:eastAsia="Times New Roman"/>
          <w:b/>
          <w:bCs/>
          <w:snapToGrid w:val="0"/>
          <w:sz w:val="22"/>
          <w:szCs w:val="22"/>
          <w:lang w:val="lt-LT" w:eastAsia="x-none"/>
        </w:rPr>
      </w:pPr>
      <w:r w:rsidRPr="00042B32">
        <w:rPr>
          <w:b/>
          <w:bCs/>
          <w:snapToGrid w:val="0"/>
          <w:sz w:val="22"/>
          <w:szCs w:val="22"/>
          <w:lang w:val="lt-LT" w:eastAsia="x-none"/>
        </w:rPr>
        <w:t>5.</w:t>
      </w:r>
      <w:r w:rsidRPr="00042B32">
        <w:rPr>
          <w:b/>
          <w:bCs/>
          <w:snapToGrid w:val="0"/>
          <w:sz w:val="22"/>
          <w:szCs w:val="22"/>
          <w:lang w:val="lt-LT" w:eastAsia="x-none"/>
        </w:rPr>
        <w:tab/>
        <w:t>FARMAKOLOGINĖS SAVYBĖS</w:t>
      </w:r>
    </w:p>
    <w:p w14:paraId="4BFEC30A" w14:textId="77777777" w:rsidR="00E93353" w:rsidRPr="003E6E21" w:rsidRDefault="00E93353" w:rsidP="008C6014">
      <w:pPr>
        <w:rPr>
          <w:rFonts w:eastAsia="Times New Roman"/>
          <w:snapToGrid w:val="0"/>
          <w:sz w:val="22"/>
          <w:szCs w:val="22"/>
          <w:lang w:val="lt-LT"/>
        </w:rPr>
      </w:pPr>
    </w:p>
    <w:p w14:paraId="078D441B" w14:textId="77777777" w:rsidR="00E93353" w:rsidRPr="00396C9C" w:rsidRDefault="00E93353" w:rsidP="008C6014">
      <w:pPr>
        <w:rPr>
          <w:rFonts w:eastAsia="Times New Roman"/>
          <w:b/>
          <w:bCs/>
          <w:snapToGrid w:val="0"/>
          <w:sz w:val="22"/>
          <w:szCs w:val="22"/>
          <w:lang w:val="lt-LT" w:eastAsia="x-none"/>
        </w:rPr>
      </w:pPr>
      <w:r w:rsidRPr="003E6E21">
        <w:rPr>
          <w:rFonts w:eastAsia="Times New Roman"/>
          <w:b/>
          <w:bCs/>
          <w:snapToGrid w:val="0"/>
          <w:sz w:val="22"/>
          <w:szCs w:val="22"/>
          <w:lang w:val="lt-LT" w:eastAsia="x-none"/>
        </w:rPr>
        <w:t>5.1</w:t>
      </w:r>
      <w:r w:rsidRPr="003E6E21">
        <w:rPr>
          <w:rFonts w:eastAsia="Times New Roman"/>
          <w:b/>
          <w:snapToGrid w:val="0"/>
          <w:sz w:val="22"/>
          <w:szCs w:val="22"/>
          <w:lang w:val="lt-LT" w:eastAsia="x-none"/>
        </w:rPr>
        <w:t xml:space="preserve"> </w:t>
      </w:r>
      <w:r w:rsidRPr="003E6E21">
        <w:rPr>
          <w:b/>
          <w:bCs/>
          <w:snapToGrid w:val="0"/>
          <w:sz w:val="22"/>
          <w:szCs w:val="22"/>
          <w:lang w:val="lt-LT" w:eastAsia="x-none"/>
        </w:rPr>
        <w:tab/>
      </w:r>
      <w:r w:rsidRPr="005E5846">
        <w:rPr>
          <w:b/>
          <w:bCs/>
          <w:snapToGrid w:val="0"/>
          <w:sz w:val="22"/>
          <w:szCs w:val="22"/>
          <w:lang w:val="lt-LT" w:eastAsia="x-none"/>
        </w:rPr>
        <w:t>Farmakodinaminės savybės</w:t>
      </w:r>
    </w:p>
    <w:p w14:paraId="517A81BF" w14:textId="77777777" w:rsidR="00E93353" w:rsidRPr="00C95A19" w:rsidRDefault="00E93353" w:rsidP="008C6014">
      <w:pPr>
        <w:rPr>
          <w:rFonts w:eastAsia="Times New Roman"/>
          <w:snapToGrid w:val="0"/>
          <w:sz w:val="22"/>
          <w:szCs w:val="22"/>
          <w:lang w:val="lt-LT"/>
        </w:rPr>
      </w:pPr>
    </w:p>
    <w:p w14:paraId="63D0503B" w14:textId="77777777" w:rsidR="00C05173" w:rsidRPr="00AE5BD5" w:rsidRDefault="00C05173" w:rsidP="008C6014">
      <w:pPr>
        <w:rPr>
          <w:sz w:val="22"/>
          <w:szCs w:val="22"/>
          <w:lang w:val="lt-LT"/>
        </w:rPr>
      </w:pPr>
      <w:r w:rsidRPr="00AE5BD5">
        <w:rPr>
          <w:sz w:val="22"/>
          <w:szCs w:val="22"/>
          <w:lang w:val="lt-LT"/>
        </w:rPr>
        <w:t>Farmakoterapinė grupė – urogenitalinę sistemą veikiantys vaist</w:t>
      </w:r>
      <w:r w:rsidR="00CA491E">
        <w:rPr>
          <w:sz w:val="22"/>
          <w:szCs w:val="22"/>
          <w:lang w:val="lt-LT"/>
        </w:rPr>
        <w:t>ini</w:t>
      </w:r>
      <w:r w:rsidRPr="00AE5BD5">
        <w:rPr>
          <w:sz w:val="22"/>
          <w:szCs w:val="22"/>
          <w:lang w:val="lt-LT"/>
        </w:rPr>
        <w:t>ai</w:t>
      </w:r>
      <w:r w:rsidR="00CA491E">
        <w:rPr>
          <w:sz w:val="22"/>
          <w:szCs w:val="22"/>
          <w:lang w:val="lt-LT"/>
        </w:rPr>
        <w:t xml:space="preserve"> preparatai</w:t>
      </w:r>
      <w:r w:rsidRPr="00AE5BD5">
        <w:rPr>
          <w:sz w:val="22"/>
          <w:szCs w:val="22"/>
          <w:lang w:val="lt-LT"/>
        </w:rPr>
        <w:t>, vaist</w:t>
      </w:r>
      <w:r w:rsidR="00CA491E">
        <w:rPr>
          <w:sz w:val="22"/>
          <w:szCs w:val="22"/>
          <w:lang w:val="lt-LT"/>
        </w:rPr>
        <w:t>ini</w:t>
      </w:r>
      <w:r w:rsidRPr="00AE5BD5">
        <w:rPr>
          <w:sz w:val="22"/>
          <w:szCs w:val="22"/>
          <w:lang w:val="lt-LT"/>
        </w:rPr>
        <w:t>ai</w:t>
      </w:r>
      <w:r w:rsidR="00CA491E">
        <w:rPr>
          <w:sz w:val="22"/>
          <w:szCs w:val="22"/>
          <w:lang w:val="lt-LT"/>
        </w:rPr>
        <w:t xml:space="preserve"> preparatai</w:t>
      </w:r>
      <w:r w:rsidRPr="00AE5BD5">
        <w:rPr>
          <w:sz w:val="22"/>
          <w:szCs w:val="22"/>
          <w:lang w:val="lt-LT"/>
        </w:rPr>
        <w:t xml:space="preserve"> erekcijos funkcijos sutrikimui gydyti, ATC kodas</w:t>
      </w:r>
      <w:r w:rsidR="00CA491E">
        <w:rPr>
          <w:sz w:val="22"/>
          <w:szCs w:val="22"/>
          <w:lang w:val="lt-LT"/>
        </w:rPr>
        <w:t>:</w:t>
      </w:r>
      <w:r w:rsidRPr="00AE5BD5">
        <w:rPr>
          <w:sz w:val="22"/>
          <w:szCs w:val="22"/>
          <w:lang w:val="lt-LT"/>
        </w:rPr>
        <w:t xml:space="preserve"> G04BE03.</w:t>
      </w:r>
    </w:p>
    <w:p w14:paraId="49A2CB17" w14:textId="77777777" w:rsidR="00C05173" w:rsidRPr="00AE5BD5" w:rsidRDefault="00C05173" w:rsidP="008C6014">
      <w:pPr>
        <w:rPr>
          <w:sz w:val="22"/>
          <w:szCs w:val="22"/>
          <w:lang w:val="lt-LT"/>
        </w:rPr>
      </w:pPr>
    </w:p>
    <w:p w14:paraId="0555FB2A" w14:textId="77777777" w:rsidR="00C05173" w:rsidRPr="00AE5BD5" w:rsidRDefault="00C05173" w:rsidP="008C6014">
      <w:pPr>
        <w:rPr>
          <w:sz w:val="22"/>
          <w:szCs w:val="22"/>
          <w:lang w:val="lt-LT"/>
        </w:rPr>
      </w:pPr>
      <w:r w:rsidRPr="00AE5BD5">
        <w:rPr>
          <w:sz w:val="22"/>
          <w:szCs w:val="22"/>
          <w:u w:val="single"/>
          <w:lang w:val="lt-LT"/>
        </w:rPr>
        <w:t>Veikimo mechanizmas</w:t>
      </w:r>
    </w:p>
    <w:p w14:paraId="4E912A83" w14:textId="77777777" w:rsidR="00C05173" w:rsidRPr="00AE5BD5" w:rsidRDefault="00C05173" w:rsidP="008C6014">
      <w:pPr>
        <w:rPr>
          <w:sz w:val="22"/>
          <w:szCs w:val="22"/>
          <w:lang w:val="lt-LT"/>
        </w:rPr>
      </w:pPr>
      <w:r w:rsidRPr="00AE5BD5">
        <w:rPr>
          <w:sz w:val="22"/>
          <w:szCs w:val="22"/>
          <w:lang w:val="lt-LT"/>
        </w:rPr>
        <w:t>Sildenafilis yra stipraus poveikio selektyvus ciklinio guanozino monofosfato (cGMF) specifinės 5-o tipo fosfodiesterazės (FDE5) inhibitorius. Šis fermentas atsakingas už cGMF skaldymą. FDE5 būna ne tik varpos akytkūnyje, bet ir plaučių kraujagyslėse. Sildenafilis didina cGMF kiekį plaučių kraujagyslių lygiųjų raumenų ląstelėse ir jas atpalaiduoja. Ligoniams, kurie serga plautine arterine hipertenzija,</w:t>
      </w:r>
      <w:r w:rsidRPr="00AE5BD5">
        <w:rPr>
          <w:spacing w:val="-7"/>
          <w:sz w:val="22"/>
          <w:szCs w:val="22"/>
          <w:lang w:val="lt-LT"/>
        </w:rPr>
        <w:t xml:space="preserve"> </w:t>
      </w:r>
      <w:r w:rsidRPr="00AE5BD5">
        <w:rPr>
          <w:sz w:val="22"/>
          <w:szCs w:val="22"/>
          <w:lang w:val="lt-LT"/>
        </w:rPr>
        <w:t>vaistinis</w:t>
      </w:r>
      <w:r w:rsidRPr="00AE5BD5">
        <w:rPr>
          <w:spacing w:val="-7"/>
          <w:sz w:val="22"/>
          <w:szCs w:val="22"/>
          <w:lang w:val="lt-LT"/>
        </w:rPr>
        <w:t xml:space="preserve"> </w:t>
      </w:r>
      <w:r w:rsidRPr="00AE5BD5">
        <w:rPr>
          <w:sz w:val="22"/>
          <w:szCs w:val="22"/>
          <w:lang w:val="lt-LT"/>
        </w:rPr>
        <w:t>preparatas</w:t>
      </w:r>
      <w:r w:rsidRPr="00AE5BD5">
        <w:rPr>
          <w:spacing w:val="-7"/>
          <w:sz w:val="22"/>
          <w:szCs w:val="22"/>
          <w:lang w:val="lt-LT"/>
        </w:rPr>
        <w:t xml:space="preserve"> </w:t>
      </w:r>
      <w:r w:rsidRPr="00AE5BD5">
        <w:rPr>
          <w:sz w:val="22"/>
          <w:szCs w:val="22"/>
          <w:lang w:val="lt-LT"/>
        </w:rPr>
        <w:t>išplečia</w:t>
      </w:r>
      <w:r w:rsidRPr="00AE5BD5">
        <w:rPr>
          <w:spacing w:val="-7"/>
          <w:sz w:val="22"/>
          <w:szCs w:val="22"/>
          <w:lang w:val="lt-LT"/>
        </w:rPr>
        <w:t xml:space="preserve"> </w:t>
      </w:r>
      <w:r w:rsidRPr="00AE5BD5">
        <w:rPr>
          <w:sz w:val="22"/>
          <w:szCs w:val="22"/>
          <w:lang w:val="lt-LT"/>
        </w:rPr>
        <w:t>plaučių</w:t>
      </w:r>
      <w:r w:rsidRPr="00AE5BD5">
        <w:rPr>
          <w:spacing w:val="-7"/>
          <w:sz w:val="22"/>
          <w:szCs w:val="22"/>
          <w:lang w:val="lt-LT"/>
        </w:rPr>
        <w:t xml:space="preserve"> </w:t>
      </w:r>
      <w:r w:rsidRPr="00AE5BD5">
        <w:rPr>
          <w:sz w:val="22"/>
          <w:szCs w:val="22"/>
          <w:lang w:val="lt-LT"/>
        </w:rPr>
        <w:t>kraujagysles</w:t>
      </w:r>
      <w:r w:rsidRPr="00AE5BD5">
        <w:rPr>
          <w:spacing w:val="-7"/>
          <w:sz w:val="22"/>
          <w:szCs w:val="22"/>
          <w:lang w:val="lt-LT"/>
        </w:rPr>
        <w:t xml:space="preserve"> </w:t>
      </w:r>
      <w:r w:rsidRPr="00AE5BD5">
        <w:rPr>
          <w:sz w:val="22"/>
          <w:szCs w:val="22"/>
          <w:lang w:val="lt-LT"/>
        </w:rPr>
        <w:t>ir</w:t>
      </w:r>
      <w:r w:rsidRPr="00AE5BD5">
        <w:rPr>
          <w:spacing w:val="-7"/>
          <w:sz w:val="22"/>
          <w:szCs w:val="22"/>
          <w:lang w:val="lt-LT"/>
        </w:rPr>
        <w:t xml:space="preserve"> </w:t>
      </w:r>
      <w:r w:rsidRPr="00AE5BD5">
        <w:rPr>
          <w:sz w:val="22"/>
          <w:szCs w:val="22"/>
          <w:lang w:val="lt-LT"/>
        </w:rPr>
        <w:t>mažiau</w:t>
      </w:r>
      <w:r w:rsidRPr="00AE5BD5">
        <w:rPr>
          <w:spacing w:val="-7"/>
          <w:sz w:val="22"/>
          <w:szCs w:val="22"/>
          <w:lang w:val="lt-LT"/>
        </w:rPr>
        <w:t xml:space="preserve"> </w:t>
      </w:r>
      <w:r w:rsidRPr="00AE5BD5">
        <w:rPr>
          <w:sz w:val="22"/>
          <w:szCs w:val="22"/>
          <w:lang w:val="lt-LT"/>
        </w:rPr>
        <w:t>kitas</w:t>
      </w:r>
      <w:r w:rsidRPr="00AE5BD5">
        <w:rPr>
          <w:spacing w:val="-7"/>
          <w:sz w:val="22"/>
          <w:szCs w:val="22"/>
          <w:lang w:val="lt-LT"/>
        </w:rPr>
        <w:t xml:space="preserve"> </w:t>
      </w:r>
      <w:r w:rsidRPr="00AE5BD5">
        <w:rPr>
          <w:sz w:val="22"/>
          <w:szCs w:val="22"/>
          <w:lang w:val="lt-LT"/>
        </w:rPr>
        <w:t>organizmo</w:t>
      </w:r>
      <w:r w:rsidRPr="00AE5BD5">
        <w:rPr>
          <w:spacing w:val="-7"/>
          <w:sz w:val="22"/>
          <w:szCs w:val="22"/>
          <w:lang w:val="lt-LT"/>
        </w:rPr>
        <w:t xml:space="preserve"> </w:t>
      </w:r>
      <w:r w:rsidRPr="00AE5BD5">
        <w:rPr>
          <w:sz w:val="22"/>
          <w:szCs w:val="22"/>
          <w:lang w:val="lt-LT"/>
        </w:rPr>
        <w:t>kraujagysles.</w:t>
      </w:r>
    </w:p>
    <w:p w14:paraId="3218BC88" w14:textId="77777777" w:rsidR="00C05173" w:rsidRPr="00AE5BD5" w:rsidRDefault="00C05173" w:rsidP="008C6014">
      <w:pPr>
        <w:rPr>
          <w:sz w:val="22"/>
          <w:szCs w:val="22"/>
          <w:lang w:val="lt-LT"/>
        </w:rPr>
      </w:pPr>
    </w:p>
    <w:p w14:paraId="7A05782E" w14:textId="77777777" w:rsidR="00C05173" w:rsidRPr="00AE5BD5" w:rsidRDefault="00C05173" w:rsidP="008C6014">
      <w:pPr>
        <w:rPr>
          <w:sz w:val="22"/>
          <w:szCs w:val="22"/>
          <w:lang w:val="lt-LT"/>
        </w:rPr>
      </w:pPr>
      <w:r w:rsidRPr="00AE5BD5">
        <w:rPr>
          <w:sz w:val="22"/>
          <w:szCs w:val="22"/>
          <w:u w:val="single"/>
          <w:lang w:val="lt-LT"/>
        </w:rPr>
        <w:t>Farmakodinaminis poveikis</w:t>
      </w:r>
    </w:p>
    <w:p w14:paraId="3EE0878E" w14:textId="77777777" w:rsidR="00C05173" w:rsidRPr="00AE5BD5" w:rsidRDefault="00C05173" w:rsidP="008C6014">
      <w:pPr>
        <w:rPr>
          <w:sz w:val="22"/>
          <w:szCs w:val="22"/>
          <w:lang w:val="lt-LT"/>
        </w:rPr>
      </w:pPr>
      <w:r w:rsidRPr="00AE5BD5">
        <w:rPr>
          <w:sz w:val="22"/>
          <w:szCs w:val="22"/>
          <w:lang w:val="lt-LT"/>
        </w:rPr>
        <w:t xml:space="preserve">Tyrimais </w:t>
      </w:r>
      <w:r w:rsidRPr="00AE5BD5">
        <w:rPr>
          <w:i/>
          <w:iCs/>
          <w:sz w:val="22"/>
          <w:szCs w:val="22"/>
          <w:lang w:val="lt-LT"/>
        </w:rPr>
        <w:t xml:space="preserve">in vitro </w:t>
      </w:r>
      <w:r w:rsidRPr="00AE5BD5">
        <w:rPr>
          <w:sz w:val="22"/>
          <w:szCs w:val="22"/>
          <w:lang w:val="lt-LT"/>
        </w:rPr>
        <w:t>nustatyta, kad sildenafilis selektyviai veikia FDE5. FDE5 jis slopina daug stipriau negu kitas žinomas fosfodiesterazes. Nustatyta, kad poveikis FDE5 yra 10 kartų didesnis už poveikį FDE6, nuo kurios priklauso šviesos perdavimas tinklainėje. Didžiausia rekomenduojama sildenafilio dozė FDE5 veikia 80 kartų stipriau nei FDE1, ir 700 kartų stipriau negi FDE2, 3, 4, 7, 8, 9, 10 ar 11. FDE5 preparatas veikia 4000 kartų stipriau nei FDE3, t. y. cAMF specifinę fosfodiesterazę, kuri svarbi reguliuojant širdies kontraktiliškumą.</w:t>
      </w:r>
    </w:p>
    <w:p w14:paraId="46BD1C64" w14:textId="77777777" w:rsidR="00C05173" w:rsidRPr="00AE5BD5" w:rsidRDefault="00C05173" w:rsidP="008C6014">
      <w:pPr>
        <w:rPr>
          <w:sz w:val="22"/>
          <w:szCs w:val="22"/>
          <w:lang w:val="lt-LT"/>
        </w:rPr>
      </w:pPr>
    </w:p>
    <w:p w14:paraId="5FF6FEF2" w14:textId="77777777" w:rsidR="00C05173" w:rsidRPr="00AE5BD5" w:rsidRDefault="00C05173" w:rsidP="008C6014">
      <w:pPr>
        <w:rPr>
          <w:sz w:val="22"/>
          <w:szCs w:val="22"/>
          <w:lang w:val="lt-LT"/>
        </w:rPr>
      </w:pPr>
      <w:r w:rsidRPr="00AE5BD5">
        <w:rPr>
          <w:sz w:val="22"/>
          <w:szCs w:val="22"/>
          <w:lang w:val="lt-LT"/>
        </w:rPr>
        <w:t>Sildenafilio poveikis kraujospūdžiui silpnas, trumpalaikis ir daugeliu atvejų kliniškai nereikšmingas.</w:t>
      </w:r>
    </w:p>
    <w:p w14:paraId="219F62DB" w14:textId="77777777" w:rsidR="00C05173" w:rsidRPr="00AE5BD5" w:rsidRDefault="00C05173" w:rsidP="008C6014">
      <w:pPr>
        <w:rPr>
          <w:sz w:val="22"/>
          <w:szCs w:val="22"/>
          <w:lang w:val="lt-LT"/>
        </w:rPr>
      </w:pPr>
      <w:r w:rsidRPr="00AE5BD5">
        <w:rPr>
          <w:sz w:val="22"/>
          <w:szCs w:val="22"/>
          <w:lang w:val="lt-LT"/>
        </w:rPr>
        <w:t>Sistemine hipertenzija sergantiems ligoniams, kurie ilgą laiką vartojo 80</w:t>
      </w:r>
      <w:r w:rsidR="003F6968" w:rsidRPr="00AE5BD5">
        <w:rPr>
          <w:sz w:val="22"/>
          <w:szCs w:val="22"/>
          <w:lang w:val="lt-LT"/>
        </w:rPr>
        <w:t> </w:t>
      </w:r>
      <w:r w:rsidRPr="00AE5BD5">
        <w:rPr>
          <w:sz w:val="22"/>
          <w:szCs w:val="22"/>
          <w:lang w:val="lt-LT"/>
        </w:rPr>
        <w:t>mg sildenafilio dozes tris kartus per parą, daugiausia vidutinis sistolinis kraujospūdis sumažėjo 9,4</w:t>
      </w:r>
      <w:r w:rsidR="003F6968" w:rsidRPr="00AE5BD5">
        <w:rPr>
          <w:sz w:val="22"/>
          <w:szCs w:val="22"/>
          <w:lang w:val="lt-LT"/>
        </w:rPr>
        <w:t> </w:t>
      </w:r>
      <w:r w:rsidRPr="00AE5BD5">
        <w:rPr>
          <w:sz w:val="22"/>
          <w:szCs w:val="22"/>
          <w:lang w:val="lt-LT"/>
        </w:rPr>
        <w:t>mm</w:t>
      </w:r>
      <w:r w:rsidR="00B1005F" w:rsidRPr="00AE5BD5">
        <w:rPr>
          <w:sz w:val="22"/>
          <w:szCs w:val="22"/>
          <w:lang w:val="lt-LT"/>
        </w:rPr>
        <w:t xml:space="preserve"> </w:t>
      </w:r>
      <w:r w:rsidRPr="00AE5BD5">
        <w:rPr>
          <w:sz w:val="22"/>
          <w:szCs w:val="22"/>
          <w:lang w:val="lt-LT"/>
        </w:rPr>
        <w:t>Hg, o diastolinis – 9,1</w:t>
      </w:r>
      <w:r w:rsidR="003F6968" w:rsidRPr="00AE5BD5">
        <w:rPr>
          <w:sz w:val="22"/>
          <w:szCs w:val="22"/>
          <w:lang w:val="lt-LT"/>
        </w:rPr>
        <w:t> </w:t>
      </w:r>
      <w:r w:rsidRPr="00AE5BD5">
        <w:rPr>
          <w:sz w:val="22"/>
          <w:szCs w:val="22"/>
          <w:lang w:val="lt-LT"/>
        </w:rPr>
        <w:t>mm</w:t>
      </w:r>
      <w:r w:rsidR="003F6968" w:rsidRPr="00AE5BD5">
        <w:rPr>
          <w:sz w:val="22"/>
          <w:szCs w:val="22"/>
          <w:lang w:val="lt-LT"/>
        </w:rPr>
        <w:t> </w:t>
      </w:r>
      <w:r w:rsidRPr="00AE5BD5">
        <w:rPr>
          <w:sz w:val="22"/>
          <w:szCs w:val="22"/>
          <w:lang w:val="lt-LT"/>
        </w:rPr>
        <w:t>Hg, palyginti su pradiniu. Ligoniams, sergantiems plautine arterine hipertenzija, kurie ilgą</w:t>
      </w:r>
      <w:r w:rsidR="003F6968" w:rsidRPr="00AE5BD5">
        <w:rPr>
          <w:sz w:val="22"/>
          <w:szCs w:val="22"/>
          <w:lang w:val="lt-LT"/>
        </w:rPr>
        <w:t xml:space="preserve"> </w:t>
      </w:r>
      <w:r w:rsidRPr="00AE5BD5">
        <w:rPr>
          <w:sz w:val="22"/>
          <w:szCs w:val="22"/>
          <w:lang w:val="lt-LT"/>
        </w:rPr>
        <w:t>laiką vartojo 80</w:t>
      </w:r>
      <w:r w:rsidR="003F6968" w:rsidRPr="00AE5BD5">
        <w:rPr>
          <w:sz w:val="22"/>
          <w:szCs w:val="22"/>
          <w:lang w:val="lt-LT"/>
        </w:rPr>
        <w:t> </w:t>
      </w:r>
      <w:r w:rsidRPr="00AE5BD5">
        <w:rPr>
          <w:sz w:val="22"/>
          <w:szCs w:val="22"/>
          <w:lang w:val="lt-LT"/>
        </w:rPr>
        <w:t>mg sildenafilio dozes tris kartus per parą, kraujospūdis sumažėjo mažiau (sistolinis ir diastolinis kraujospūdis sumažėjo po 2</w:t>
      </w:r>
      <w:r w:rsidR="003F6968" w:rsidRPr="00AE5BD5">
        <w:rPr>
          <w:sz w:val="22"/>
          <w:szCs w:val="22"/>
          <w:lang w:val="lt-LT"/>
        </w:rPr>
        <w:t> </w:t>
      </w:r>
      <w:r w:rsidRPr="00AE5BD5">
        <w:rPr>
          <w:sz w:val="22"/>
          <w:szCs w:val="22"/>
          <w:lang w:val="lt-LT"/>
        </w:rPr>
        <w:t>mm</w:t>
      </w:r>
      <w:r w:rsidR="003F6968" w:rsidRPr="00AE5BD5">
        <w:rPr>
          <w:sz w:val="22"/>
          <w:szCs w:val="22"/>
          <w:lang w:val="lt-LT"/>
        </w:rPr>
        <w:t> </w:t>
      </w:r>
      <w:r w:rsidRPr="00AE5BD5">
        <w:rPr>
          <w:sz w:val="22"/>
          <w:szCs w:val="22"/>
          <w:lang w:val="lt-LT"/>
        </w:rPr>
        <w:t>Hg). Vartojant rekomenduojamą 20</w:t>
      </w:r>
      <w:r w:rsidR="003F6968" w:rsidRPr="00AE5BD5">
        <w:rPr>
          <w:sz w:val="22"/>
          <w:szCs w:val="22"/>
          <w:lang w:val="lt-LT"/>
        </w:rPr>
        <w:t> </w:t>
      </w:r>
      <w:r w:rsidRPr="00AE5BD5">
        <w:rPr>
          <w:sz w:val="22"/>
          <w:szCs w:val="22"/>
          <w:lang w:val="lt-LT"/>
        </w:rPr>
        <w:t>mg dozę tris kartus per parą, sistolinis ar diastolinis kraujospūdis nesumažėjo.</w:t>
      </w:r>
    </w:p>
    <w:p w14:paraId="7AA03655" w14:textId="77777777" w:rsidR="00C05173" w:rsidRPr="00AE5BD5" w:rsidRDefault="00C05173" w:rsidP="008C6014">
      <w:pPr>
        <w:rPr>
          <w:sz w:val="22"/>
          <w:szCs w:val="22"/>
          <w:lang w:val="lt-LT"/>
        </w:rPr>
      </w:pPr>
    </w:p>
    <w:p w14:paraId="6F5165B8" w14:textId="77777777" w:rsidR="00C05173" w:rsidRPr="00AE5BD5" w:rsidRDefault="00C05173" w:rsidP="008C6014">
      <w:pPr>
        <w:rPr>
          <w:sz w:val="22"/>
          <w:szCs w:val="22"/>
          <w:lang w:val="lt-LT"/>
        </w:rPr>
      </w:pPr>
      <w:r w:rsidRPr="00AE5BD5">
        <w:rPr>
          <w:sz w:val="22"/>
          <w:szCs w:val="22"/>
          <w:lang w:val="lt-LT"/>
        </w:rPr>
        <w:t>Sveikiems savanoriams, išgėrusiems vieną ne didesnę kaip 100</w:t>
      </w:r>
      <w:r w:rsidR="003F6968" w:rsidRPr="00AE5BD5">
        <w:rPr>
          <w:sz w:val="22"/>
          <w:szCs w:val="22"/>
          <w:lang w:val="lt-LT"/>
        </w:rPr>
        <w:t> </w:t>
      </w:r>
      <w:r w:rsidRPr="00AE5BD5">
        <w:rPr>
          <w:sz w:val="22"/>
          <w:szCs w:val="22"/>
          <w:lang w:val="lt-LT"/>
        </w:rPr>
        <w:t>mg sildenafilio dozę, kliniškai reikšmingų pokyčių EKG nenustatyta. Ilgą laiką vartojant po 80</w:t>
      </w:r>
      <w:r w:rsidR="003F6968" w:rsidRPr="00AE5BD5">
        <w:rPr>
          <w:sz w:val="22"/>
          <w:szCs w:val="22"/>
          <w:lang w:val="lt-LT"/>
        </w:rPr>
        <w:t> </w:t>
      </w:r>
      <w:r w:rsidRPr="00AE5BD5">
        <w:rPr>
          <w:sz w:val="22"/>
          <w:szCs w:val="22"/>
          <w:lang w:val="lt-LT"/>
        </w:rPr>
        <w:t>mg sildenafilio dozę tris kartus per parą plautine arterine hipertenzija sergantiems ligoniams taip pat kliniškai reikšmingų pokyčių EKG nenustatyta.</w:t>
      </w:r>
    </w:p>
    <w:p w14:paraId="20B83403" w14:textId="77777777" w:rsidR="00C05173" w:rsidRPr="00AE5BD5" w:rsidRDefault="00C05173" w:rsidP="008C6014">
      <w:pPr>
        <w:rPr>
          <w:sz w:val="22"/>
          <w:szCs w:val="22"/>
          <w:lang w:val="lt-LT"/>
        </w:rPr>
      </w:pPr>
    </w:p>
    <w:p w14:paraId="55B02DC8" w14:textId="77777777" w:rsidR="00C05173" w:rsidRPr="00AE5BD5" w:rsidRDefault="00C05173" w:rsidP="008C6014">
      <w:pPr>
        <w:rPr>
          <w:sz w:val="22"/>
          <w:szCs w:val="22"/>
          <w:lang w:val="lt-LT"/>
        </w:rPr>
      </w:pPr>
      <w:r w:rsidRPr="00AE5BD5">
        <w:rPr>
          <w:sz w:val="22"/>
          <w:szCs w:val="22"/>
          <w:lang w:val="lt-LT"/>
        </w:rPr>
        <w:t>Atliktas tyrimas nustatyti išgertos vienkartinės 100</w:t>
      </w:r>
      <w:r w:rsidR="003F6968" w:rsidRPr="00AE5BD5">
        <w:rPr>
          <w:sz w:val="22"/>
          <w:szCs w:val="22"/>
          <w:lang w:val="lt-LT"/>
        </w:rPr>
        <w:t> </w:t>
      </w:r>
      <w:r w:rsidRPr="00AE5BD5">
        <w:rPr>
          <w:sz w:val="22"/>
          <w:szCs w:val="22"/>
          <w:lang w:val="lt-LT"/>
        </w:rPr>
        <w:t>mg sildenafilio dozės poveikį kraujotakai. Jame dalyvavo 14 ligonių, sergančių sunkia širdies vainikinių arterijų liga (VKL) (mažiausiai viena vainikinė arterija buvo susiaurėjusi daugiau kaip 70 %). Tyrimo duomenimis, vidutinis sistolinis ir diastolinis kraujospūdis ramybės metu sumažėjo atitinkamai 7 % ir 6 %, palyginti su buvusiu prieš vaistinio preparato vartojimą. Vidutinis sistolinis kraujospūdis plaučių arterijose sumažėjo 9 %.</w:t>
      </w:r>
      <w:r w:rsidR="003F6968" w:rsidRPr="00AE5BD5">
        <w:rPr>
          <w:sz w:val="22"/>
          <w:szCs w:val="22"/>
          <w:lang w:val="lt-LT"/>
        </w:rPr>
        <w:t xml:space="preserve"> </w:t>
      </w:r>
      <w:r w:rsidRPr="00AE5BD5">
        <w:rPr>
          <w:sz w:val="22"/>
          <w:szCs w:val="22"/>
          <w:lang w:val="lt-LT"/>
        </w:rPr>
        <w:t>Poveikio širdies išstumiamo kraujo tūriui sildenafilis nedarė, kraujo tėkmės per susiaurėjusias vainikines kraujagysles nesutrikdė.</w:t>
      </w:r>
    </w:p>
    <w:p w14:paraId="62D93190" w14:textId="77777777" w:rsidR="00C05173" w:rsidRPr="00AE5BD5" w:rsidRDefault="00C05173" w:rsidP="008C6014">
      <w:pPr>
        <w:rPr>
          <w:sz w:val="22"/>
          <w:szCs w:val="22"/>
          <w:lang w:val="lt-LT"/>
        </w:rPr>
      </w:pPr>
    </w:p>
    <w:p w14:paraId="414F4E55" w14:textId="77777777" w:rsidR="00C05173" w:rsidRPr="00AE5BD5" w:rsidRDefault="00C05173" w:rsidP="008C6014">
      <w:pPr>
        <w:rPr>
          <w:sz w:val="22"/>
          <w:szCs w:val="22"/>
          <w:lang w:val="lt-LT"/>
        </w:rPr>
      </w:pPr>
      <w:r w:rsidRPr="00AE5BD5">
        <w:rPr>
          <w:sz w:val="22"/>
          <w:szCs w:val="22"/>
          <w:lang w:val="lt-LT"/>
        </w:rPr>
        <w:t>Kai kuriems ligoniams, išgėrusiems 100</w:t>
      </w:r>
      <w:r w:rsidR="003F6968" w:rsidRPr="00AE5BD5">
        <w:rPr>
          <w:sz w:val="22"/>
          <w:szCs w:val="22"/>
          <w:lang w:val="lt-LT"/>
        </w:rPr>
        <w:t> </w:t>
      </w:r>
      <w:r w:rsidRPr="00AE5BD5">
        <w:rPr>
          <w:sz w:val="22"/>
          <w:szCs w:val="22"/>
          <w:lang w:val="lt-LT"/>
        </w:rPr>
        <w:t xml:space="preserve">mg sildenafilio dozę, po 1 val. lengvai trumpam sutriko spalvų (mėlynos ir žalios) skyrimas (pagal </w:t>
      </w:r>
      <w:r w:rsidRPr="00AE5BD5">
        <w:rPr>
          <w:i/>
          <w:iCs/>
          <w:sz w:val="22"/>
          <w:szCs w:val="22"/>
          <w:lang w:val="lt-LT"/>
        </w:rPr>
        <w:t xml:space="preserve">Farnsworth-Munsell </w:t>
      </w:r>
      <w:r w:rsidRPr="00AE5BD5">
        <w:rPr>
          <w:sz w:val="22"/>
          <w:szCs w:val="22"/>
          <w:lang w:val="lt-LT"/>
        </w:rPr>
        <w:t>100 atspalvių testą), tačiau, praėjus 2 valandoms po vartojimo, sutrikimo jau nebuvo. Manoma, kad spalvų skyrimo sutrikimą lemia</w:t>
      </w:r>
      <w:r w:rsidR="003F6968" w:rsidRPr="00AE5BD5">
        <w:rPr>
          <w:sz w:val="22"/>
          <w:szCs w:val="22"/>
          <w:lang w:val="lt-LT"/>
        </w:rPr>
        <w:t xml:space="preserve"> </w:t>
      </w:r>
      <w:r w:rsidRPr="00AE5BD5">
        <w:rPr>
          <w:sz w:val="22"/>
          <w:szCs w:val="22"/>
          <w:lang w:val="lt-LT"/>
        </w:rPr>
        <w:t>FDE6, nuo kurios priklauso šviesos perdavimas tinklainėje, slopinimas. Poveikio regėjimo aštrumui ir kontrasto jutimui sildenafilis nedaro. Mažos apimties klinikinio placebu kontroliuojamojo tyrimo, kuriame dalyvavo 9 pacientai, sergantys ankstyvąja nuo amžiaus priklausoma tinklainės geltonosios dėmės degeneracija, viena 100</w:t>
      </w:r>
      <w:r w:rsidR="003F6968" w:rsidRPr="00AE5BD5">
        <w:rPr>
          <w:sz w:val="22"/>
          <w:szCs w:val="22"/>
          <w:lang w:val="lt-LT"/>
        </w:rPr>
        <w:t> </w:t>
      </w:r>
      <w:r w:rsidRPr="00AE5BD5">
        <w:rPr>
          <w:sz w:val="22"/>
          <w:szCs w:val="22"/>
          <w:lang w:val="lt-LT"/>
        </w:rPr>
        <w:t xml:space="preserve">mg sildenafilio dozė regos tyrimų (regos aštrumo, </w:t>
      </w:r>
      <w:r w:rsidRPr="000C463E">
        <w:rPr>
          <w:i/>
          <w:sz w:val="22"/>
          <w:szCs w:val="22"/>
          <w:lang w:val="lt-LT"/>
        </w:rPr>
        <w:t>Amsler</w:t>
      </w:r>
      <w:r w:rsidRPr="00AE5BD5">
        <w:rPr>
          <w:sz w:val="22"/>
          <w:szCs w:val="22"/>
          <w:lang w:val="lt-LT"/>
        </w:rPr>
        <w:t xml:space="preserve"> koordinačių nustatymo, judančios šviesos spalvų skyrimo, </w:t>
      </w:r>
      <w:r w:rsidR="003A0127">
        <w:rPr>
          <w:sz w:val="22"/>
          <w:szCs w:val="22"/>
          <w:lang w:val="lt-LT"/>
        </w:rPr>
        <w:t xml:space="preserve"> </w:t>
      </w:r>
      <w:r w:rsidR="003A0127">
        <w:rPr>
          <w:i/>
          <w:sz w:val="22"/>
          <w:szCs w:val="22"/>
          <w:lang w:val="lt-LT"/>
        </w:rPr>
        <w:t xml:space="preserve">Humphrey </w:t>
      </w:r>
      <w:r w:rsidRPr="00AE5BD5">
        <w:rPr>
          <w:sz w:val="22"/>
          <w:szCs w:val="22"/>
          <w:lang w:val="lt-LT"/>
        </w:rPr>
        <w:t>perimetrijos ir fotostreso) rodmenų reikšmingai nekeitė.</w:t>
      </w:r>
    </w:p>
    <w:p w14:paraId="1A7CF7BC" w14:textId="77777777" w:rsidR="00C05173" w:rsidRPr="00AE5BD5" w:rsidRDefault="00C05173" w:rsidP="008C6014">
      <w:pPr>
        <w:rPr>
          <w:sz w:val="22"/>
          <w:szCs w:val="22"/>
          <w:lang w:val="lt-LT"/>
        </w:rPr>
      </w:pPr>
    </w:p>
    <w:p w14:paraId="4738AD81" w14:textId="77777777" w:rsidR="00C05173" w:rsidRPr="00AE5BD5" w:rsidRDefault="00C05173" w:rsidP="008C6014">
      <w:pPr>
        <w:rPr>
          <w:sz w:val="22"/>
          <w:szCs w:val="22"/>
          <w:lang w:val="lt-LT"/>
        </w:rPr>
      </w:pPr>
      <w:r w:rsidRPr="00AE5BD5">
        <w:rPr>
          <w:sz w:val="22"/>
          <w:szCs w:val="22"/>
          <w:u w:val="single"/>
          <w:lang w:val="lt-LT"/>
        </w:rPr>
        <w:t>Klinikinis veiksmingumas ir saugumas</w:t>
      </w:r>
    </w:p>
    <w:p w14:paraId="64650F45" w14:textId="77777777" w:rsidR="00C05173" w:rsidRPr="00AE5BD5" w:rsidRDefault="00C05173" w:rsidP="008C6014">
      <w:pPr>
        <w:rPr>
          <w:sz w:val="22"/>
          <w:szCs w:val="22"/>
          <w:lang w:val="lt-LT"/>
        </w:rPr>
      </w:pPr>
    </w:p>
    <w:p w14:paraId="1407A901" w14:textId="77777777" w:rsidR="00C05173" w:rsidRPr="00AE5BD5" w:rsidRDefault="00C05173" w:rsidP="008C6014">
      <w:pPr>
        <w:rPr>
          <w:sz w:val="22"/>
          <w:szCs w:val="22"/>
          <w:lang w:val="lt-LT"/>
        </w:rPr>
      </w:pPr>
      <w:r w:rsidRPr="00AE5BD5">
        <w:rPr>
          <w:i/>
          <w:iCs/>
          <w:sz w:val="22"/>
          <w:szCs w:val="22"/>
          <w:u w:val="single"/>
          <w:lang w:val="lt-LT"/>
        </w:rPr>
        <w:t xml:space="preserve">Veiksmingumas gydant suaugusiuosius, sergančius plautine arterine hipertenzija (PAH) </w:t>
      </w:r>
      <w:r w:rsidRPr="00AE5BD5">
        <w:rPr>
          <w:sz w:val="22"/>
          <w:szCs w:val="22"/>
          <w:lang w:val="lt-LT"/>
        </w:rPr>
        <w:t>Klinikiniame atsitiktinių imčių placebu kontroliuojamame dvigubai aklame tyrime dalyvavo 278 ligoniai, sergantys įvairios kilmės plautine hipertenzija (PAH): pirmine; sukelta jungiamojo</w:t>
      </w:r>
      <w:r w:rsidR="003F6968" w:rsidRPr="00AE5BD5">
        <w:rPr>
          <w:sz w:val="22"/>
          <w:szCs w:val="22"/>
          <w:lang w:val="lt-LT"/>
        </w:rPr>
        <w:t xml:space="preserve"> </w:t>
      </w:r>
      <w:r w:rsidRPr="00AE5BD5">
        <w:rPr>
          <w:sz w:val="22"/>
          <w:szCs w:val="22"/>
          <w:lang w:val="lt-LT"/>
        </w:rPr>
        <w:t>audinio ligos; pasireiškusia po chirurginės įgimtų širdies ydų operacijos. Pacientai atsitiktinai paskirti į vieną iš keturių grupių: placebo ar gydymo 20</w:t>
      </w:r>
      <w:r w:rsidR="003F6968" w:rsidRPr="00AE5BD5">
        <w:rPr>
          <w:sz w:val="22"/>
          <w:szCs w:val="22"/>
          <w:lang w:val="lt-LT"/>
        </w:rPr>
        <w:t> </w:t>
      </w:r>
      <w:r w:rsidRPr="00AE5BD5">
        <w:rPr>
          <w:sz w:val="22"/>
          <w:szCs w:val="22"/>
          <w:lang w:val="lt-LT"/>
        </w:rPr>
        <w:t>mg, 40</w:t>
      </w:r>
      <w:r w:rsidR="003F6968" w:rsidRPr="00AE5BD5">
        <w:rPr>
          <w:sz w:val="22"/>
          <w:szCs w:val="22"/>
          <w:lang w:val="lt-LT"/>
        </w:rPr>
        <w:t> </w:t>
      </w:r>
      <w:r w:rsidRPr="00AE5BD5">
        <w:rPr>
          <w:sz w:val="22"/>
          <w:szCs w:val="22"/>
          <w:lang w:val="lt-LT"/>
        </w:rPr>
        <w:t>mg arba 80</w:t>
      </w:r>
      <w:r w:rsidR="003F6968" w:rsidRPr="00AE5BD5">
        <w:rPr>
          <w:sz w:val="22"/>
          <w:szCs w:val="22"/>
          <w:lang w:val="lt-LT"/>
        </w:rPr>
        <w:t> </w:t>
      </w:r>
      <w:r w:rsidRPr="00AE5BD5">
        <w:rPr>
          <w:sz w:val="22"/>
          <w:szCs w:val="22"/>
          <w:lang w:val="lt-LT"/>
        </w:rPr>
        <w:t>mg sildenafilio tris kartus per parą. Iš 278 atsitiktinės atrankos būdu suskirstytų ligonių, 277 ligoniai vartojo ne mažiau kaip vieną tiriamojo vaistinio preparato dozę. Tyrime dalyvavo 68 (25</w:t>
      </w:r>
      <w:r w:rsidR="00B1005F" w:rsidRPr="00AE5BD5">
        <w:rPr>
          <w:sz w:val="22"/>
          <w:szCs w:val="22"/>
          <w:lang w:val="lt-LT"/>
        </w:rPr>
        <w:t> </w:t>
      </w:r>
      <w:r w:rsidRPr="00AE5BD5">
        <w:rPr>
          <w:sz w:val="22"/>
          <w:szCs w:val="22"/>
          <w:lang w:val="lt-LT"/>
        </w:rPr>
        <w:t>%) vyrai ir 209 (75</w:t>
      </w:r>
      <w:r w:rsidR="003F6968" w:rsidRPr="00AE5BD5">
        <w:rPr>
          <w:sz w:val="22"/>
          <w:szCs w:val="22"/>
          <w:lang w:val="lt-LT"/>
        </w:rPr>
        <w:t> </w:t>
      </w:r>
      <w:r w:rsidRPr="00AE5BD5">
        <w:rPr>
          <w:sz w:val="22"/>
          <w:szCs w:val="22"/>
          <w:lang w:val="lt-LT"/>
        </w:rPr>
        <w:t>%) moterys, kurių vidutinis amžius buvo 49 metai (18-81 metų), per 6 minutes (ėjimo mėginys) nuėjo nuo 100 iki</w:t>
      </w:r>
      <w:r w:rsidR="00B1005F" w:rsidRPr="00AE5BD5">
        <w:rPr>
          <w:sz w:val="22"/>
          <w:szCs w:val="22"/>
          <w:lang w:val="lt-LT"/>
        </w:rPr>
        <w:t xml:space="preserve"> </w:t>
      </w:r>
      <w:r w:rsidRPr="00AE5BD5">
        <w:rPr>
          <w:sz w:val="22"/>
          <w:szCs w:val="22"/>
          <w:lang w:val="lt-LT"/>
        </w:rPr>
        <w:t>450 metrų imtinai (vidutiniškai 344 metrus). 175 ligoniams (63 %) nustatyta pirminė plautinė hipertenzija, 84 (30</w:t>
      </w:r>
      <w:r w:rsidR="00B1005F" w:rsidRPr="00AE5BD5">
        <w:rPr>
          <w:sz w:val="22"/>
          <w:szCs w:val="22"/>
          <w:lang w:val="lt-LT"/>
        </w:rPr>
        <w:t> </w:t>
      </w:r>
      <w:r w:rsidRPr="00AE5BD5">
        <w:rPr>
          <w:sz w:val="22"/>
          <w:szCs w:val="22"/>
          <w:lang w:val="lt-LT"/>
        </w:rPr>
        <w:t>%) – PAH, susijusi su jungiamojo audinio liga ir 18 (7</w:t>
      </w:r>
      <w:r w:rsidR="00B1005F" w:rsidRPr="00AE5BD5">
        <w:rPr>
          <w:sz w:val="22"/>
          <w:szCs w:val="22"/>
          <w:lang w:val="lt-LT"/>
        </w:rPr>
        <w:t> </w:t>
      </w:r>
      <w:r w:rsidRPr="00AE5BD5">
        <w:rPr>
          <w:sz w:val="22"/>
          <w:szCs w:val="22"/>
          <w:lang w:val="lt-LT"/>
        </w:rPr>
        <w:t>%) - PAH po chirurginių įgimtų širdies ydų operacijų. Daugeliu atvejų liga priskirta II (107 iš 277, 39</w:t>
      </w:r>
      <w:r w:rsidR="00B1005F" w:rsidRPr="00AE5BD5">
        <w:rPr>
          <w:sz w:val="22"/>
          <w:szCs w:val="22"/>
          <w:lang w:val="lt-LT"/>
        </w:rPr>
        <w:t> </w:t>
      </w:r>
      <w:r w:rsidRPr="00AE5BD5">
        <w:rPr>
          <w:sz w:val="22"/>
          <w:szCs w:val="22"/>
          <w:lang w:val="lt-LT"/>
        </w:rPr>
        <w:t>%) ir III (160 iš 277, 58</w:t>
      </w:r>
      <w:r w:rsidR="00B1005F" w:rsidRPr="00AE5BD5">
        <w:rPr>
          <w:sz w:val="22"/>
          <w:szCs w:val="22"/>
          <w:lang w:val="lt-LT"/>
        </w:rPr>
        <w:t> </w:t>
      </w:r>
      <w:r w:rsidRPr="00AE5BD5">
        <w:rPr>
          <w:sz w:val="22"/>
          <w:szCs w:val="22"/>
          <w:lang w:val="lt-LT"/>
        </w:rPr>
        <w:t>%) funkcinei klasei pagal PSO su 6 minučių ėjimo mėginiu nuo 378 iki 326 metrų atitinkamai; keliems ligoniams prieš gydymą diagnozuota I (1 iš 277, 0,4</w:t>
      </w:r>
      <w:r w:rsidR="00B1005F" w:rsidRPr="00AE5BD5">
        <w:rPr>
          <w:sz w:val="22"/>
          <w:szCs w:val="22"/>
          <w:lang w:val="lt-LT"/>
        </w:rPr>
        <w:t> </w:t>
      </w:r>
      <w:r w:rsidRPr="00AE5BD5">
        <w:rPr>
          <w:sz w:val="22"/>
          <w:szCs w:val="22"/>
          <w:lang w:val="lt-LT"/>
        </w:rPr>
        <w:t>%) ir IV (9 iš 277, 3</w:t>
      </w:r>
      <w:r w:rsidR="00B1005F" w:rsidRPr="00AE5BD5">
        <w:rPr>
          <w:sz w:val="22"/>
          <w:szCs w:val="22"/>
          <w:lang w:val="lt-LT"/>
        </w:rPr>
        <w:t> </w:t>
      </w:r>
      <w:r w:rsidRPr="00AE5BD5">
        <w:rPr>
          <w:sz w:val="22"/>
          <w:szCs w:val="22"/>
          <w:lang w:val="lt-LT"/>
        </w:rPr>
        <w:t>%) funkcinės klasės liga. Ligoniai, kurių kairiojo skilvelio išstūmimo frakcija nesiekė 45</w:t>
      </w:r>
      <w:r w:rsidR="00B1005F" w:rsidRPr="00AE5BD5">
        <w:rPr>
          <w:sz w:val="22"/>
          <w:szCs w:val="22"/>
          <w:lang w:val="lt-LT"/>
        </w:rPr>
        <w:t> </w:t>
      </w:r>
      <w:r w:rsidRPr="00AE5BD5">
        <w:rPr>
          <w:sz w:val="22"/>
          <w:szCs w:val="22"/>
          <w:lang w:val="lt-LT"/>
        </w:rPr>
        <w:t>% ir tie, kurių kairiojo skilvelio sutrumpėjimo frakcija nesiekė 0,2, netirti.</w:t>
      </w:r>
    </w:p>
    <w:p w14:paraId="04EB442A" w14:textId="77777777" w:rsidR="00C05173" w:rsidRPr="00AE5BD5" w:rsidRDefault="00C05173" w:rsidP="008C6014">
      <w:pPr>
        <w:rPr>
          <w:sz w:val="22"/>
          <w:szCs w:val="22"/>
          <w:lang w:val="lt-LT"/>
        </w:rPr>
      </w:pPr>
    </w:p>
    <w:p w14:paraId="50A2A698" w14:textId="77777777" w:rsidR="00C05173" w:rsidRPr="00AE5BD5" w:rsidRDefault="00C05173" w:rsidP="008C6014">
      <w:pPr>
        <w:rPr>
          <w:sz w:val="22"/>
          <w:szCs w:val="22"/>
          <w:lang w:val="lt-LT"/>
        </w:rPr>
      </w:pPr>
      <w:r w:rsidRPr="00AE5BD5">
        <w:rPr>
          <w:sz w:val="22"/>
          <w:szCs w:val="22"/>
          <w:lang w:val="lt-LT"/>
        </w:rPr>
        <w:t>Sildenafilio (arba placebo) skirta papildomai ligoniams, jau gydomiems kitų vaistinių preparatų deriniais: antikoaguliantais, digoksinu, kalcio kanalų blokatoriais, diuretikais arba deguonimi. Nebuvo leidžiama papildomai vartoti prostaciklino, prostaciklino analogų, endotelio receptorių antagonistų ir arginino maisto papildų. Ligoniai, kuriems prieš tai gydymas bozentanu buvo nesėkmingas, iš tyrimo buvo pašalinti.</w:t>
      </w:r>
    </w:p>
    <w:p w14:paraId="0ADDFCEC" w14:textId="77777777" w:rsidR="00C05173" w:rsidRPr="00AE5BD5" w:rsidRDefault="00C05173" w:rsidP="008C6014">
      <w:pPr>
        <w:rPr>
          <w:sz w:val="22"/>
          <w:szCs w:val="22"/>
          <w:lang w:val="lt-LT"/>
        </w:rPr>
      </w:pPr>
    </w:p>
    <w:p w14:paraId="013CAC33" w14:textId="77777777" w:rsidR="00C05173" w:rsidRPr="00AE5BD5" w:rsidRDefault="00C05173" w:rsidP="008C6014">
      <w:pPr>
        <w:rPr>
          <w:sz w:val="22"/>
          <w:szCs w:val="22"/>
          <w:lang w:val="lt-LT"/>
        </w:rPr>
      </w:pPr>
      <w:r w:rsidRPr="00AE5BD5">
        <w:rPr>
          <w:sz w:val="22"/>
          <w:szCs w:val="22"/>
          <w:lang w:val="lt-LT"/>
        </w:rPr>
        <w:t>Pirmasis efektyvumo tyrimo tikslas – įvertinti, kaip po 12 savaičių pakito 6 minučių ėjimo mėginio (6 MĖM) rezultatai, palyginti su buvusiais prieš tyrimą. Visų trijų sildenafilio dozių grupių tiriamųjų, palyginti</w:t>
      </w:r>
      <w:r w:rsidRPr="00AE5BD5">
        <w:rPr>
          <w:spacing w:val="-4"/>
          <w:sz w:val="22"/>
          <w:szCs w:val="22"/>
          <w:lang w:val="lt-LT"/>
        </w:rPr>
        <w:t xml:space="preserve"> </w:t>
      </w:r>
      <w:r w:rsidRPr="00AE5BD5">
        <w:rPr>
          <w:sz w:val="22"/>
          <w:szCs w:val="22"/>
          <w:lang w:val="lt-LT"/>
        </w:rPr>
        <w:t>su</w:t>
      </w:r>
      <w:r w:rsidRPr="00AE5BD5">
        <w:rPr>
          <w:spacing w:val="-4"/>
          <w:sz w:val="22"/>
          <w:szCs w:val="22"/>
          <w:lang w:val="lt-LT"/>
        </w:rPr>
        <w:t xml:space="preserve"> </w:t>
      </w:r>
      <w:r w:rsidRPr="00AE5BD5">
        <w:rPr>
          <w:sz w:val="22"/>
          <w:szCs w:val="22"/>
          <w:lang w:val="lt-LT"/>
        </w:rPr>
        <w:t>placebu,</w:t>
      </w:r>
      <w:r w:rsidRPr="00AE5BD5">
        <w:rPr>
          <w:spacing w:val="-4"/>
          <w:sz w:val="22"/>
          <w:szCs w:val="22"/>
          <w:lang w:val="lt-LT"/>
        </w:rPr>
        <w:t xml:space="preserve"> </w:t>
      </w:r>
      <w:r w:rsidRPr="00AE5BD5">
        <w:rPr>
          <w:sz w:val="22"/>
          <w:szCs w:val="22"/>
          <w:lang w:val="lt-LT"/>
        </w:rPr>
        <w:t>6</w:t>
      </w:r>
      <w:r w:rsidRPr="00AE5BD5">
        <w:rPr>
          <w:spacing w:val="-6"/>
          <w:sz w:val="22"/>
          <w:szCs w:val="22"/>
          <w:lang w:val="lt-LT"/>
        </w:rPr>
        <w:t xml:space="preserve"> </w:t>
      </w:r>
      <w:r w:rsidRPr="00AE5BD5">
        <w:rPr>
          <w:sz w:val="22"/>
          <w:szCs w:val="22"/>
          <w:lang w:val="lt-LT"/>
        </w:rPr>
        <w:t>MĖM</w:t>
      </w:r>
      <w:r w:rsidRPr="00AE5BD5">
        <w:rPr>
          <w:spacing w:val="-3"/>
          <w:sz w:val="22"/>
          <w:szCs w:val="22"/>
          <w:lang w:val="lt-LT"/>
        </w:rPr>
        <w:t xml:space="preserve"> </w:t>
      </w:r>
      <w:r w:rsidRPr="00AE5BD5">
        <w:rPr>
          <w:sz w:val="22"/>
          <w:szCs w:val="22"/>
          <w:lang w:val="lt-LT"/>
        </w:rPr>
        <w:t>statistiškai</w:t>
      </w:r>
      <w:r w:rsidRPr="00AE5BD5">
        <w:rPr>
          <w:spacing w:val="-4"/>
          <w:sz w:val="22"/>
          <w:szCs w:val="22"/>
          <w:lang w:val="lt-LT"/>
        </w:rPr>
        <w:t xml:space="preserve"> </w:t>
      </w:r>
      <w:r w:rsidRPr="00AE5BD5">
        <w:rPr>
          <w:sz w:val="22"/>
          <w:szCs w:val="22"/>
          <w:lang w:val="lt-LT"/>
        </w:rPr>
        <w:t>reikšmingai</w:t>
      </w:r>
      <w:r w:rsidRPr="00AE5BD5">
        <w:rPr>
          <w:spacing w:val="-4"/>
          <w:sz w:val="22"/>
          <w:szCs w:val="22"/>
          <w:lang w:val="lt-LT"/>
        </w:rPr>
        <w:t xml:space="preserve"> </w:t>
      </w:r>
      <w:r w:rsidRPr="00AE5BD5">
        <w:rPr>
          <w:sz w:val="22"/>
          <w:szCs w:val="22"/>
          <w:lang w:val="lt-LT"/>
        </w:rPr>
        <w:t>pailgėjo.</w:t>
      </w:r>
      <w:r w:rsidRPr="00AE5BD5">
        <w:rPr>
          <w:spacing w:val="-4"/>
          <w:sz w:val="22"/>
          <w:szCs w:val="22"/>
          <w:lang w:val="lt-LT"/>
        </w:rPr>
        <w:t xml:space="preserve"> </w:t>
      </w:r>
      <w:r w:rsidRPr="00AE5BD5">
        <w:rPr>
          <w:sz w:val="22"/>
          <w:szCs w:val="22"/>
          <w:lang w:val="lt-LT"/>
        </w:rPr>
        <w:t>Palyginti</w:t>
      </w:r>
      <w:r w:rsidRPr="00AE5BD5">
        <w:rPr>
          <w:spacing w:val="-4"/>
          <w:sz w:val="22"/>
          <w:szCs w:val="22"/>
          <w:lang w:val="lt-LT"/>
        </w:rPr>
        <w:t xml:space="preserve"> </w:t>
      </w:r>
      <w:r w:rsidRPr="00AE5BD5">
        <w:rPr>
          <w:sz w:val="22"/>
          <w:szCs w:val="22"/>
          <w:lang w:val="lt-LT"/>
        </w:rPr>
        <w:t>su</w:t>
      </w:r>
      <w:r w:rsidRPr="00AE5BD5">
        <w:rPr>
          <w:spacing w:val="-4"/>
          <w:sz w:val="22"/>
          <w:szCs w:val="22"/>
          <w:lang w:val="lt-LT"/>
        </w:rPr>
        <w:t xml:space="preserve"> </w:t>
      </w:r>
      <w:r w:rsidRPr="00AE5BD5">
        <w:rPr>
          <w:sz w:val="22"/>
          <w:szCs w:val="22"/>
          <w:lang w:val="lt-LT"/>
        </w:rPr>
        <w:t>placebu,</w:t>
      </w:r>
      <w:r w:rsidRPr="00AE5BD5">
        <w:rPr>
          <w:spacing w:val="-4"/>
          <w:sz w:val="22"/>
          <w:szCs w:val="22"/>
          <w:lang w:val="lt-LT"/>
        </w:rPr>
        <w:t xml:space="preserve"> </w:t>
      </w:r>
      <w:r w:rsidRPr="00AE5BD5">
        <w:rPr>
          <w:sz w:val="22"/>
          <w:szCs w:val="22"/>
          <w:lang w:val="lt-LT"/>
        </w:rPr>
        <w:t>20</w:t>
      </w:r>
      <w:r w:rsidR="00B1005F" w:rsidRPr="00AE5BD5">
        <w:rPr>
          <w:spacing w:val="-4"/>
          <w:sz w:val="22"/>
          <w:szCs w:val="22"/>
          <w:lang w:val="lt-LT"/>
        </w:rPr>
        <w:t> </w:t>
      </w:r>
      <w:r w:rsidRPr="00AE5BD5">
        <w:rPr>
          <w:sz w:val="22"/>
          <w:szCs w:val="22"/>
          <w:lang w:val="lt-LT"/>
        </w:rPr>
        <w:t>mg,</w:t>
      </w:r>
      <w:r w:rsidRPr="00AE5BD5">
        <w:rPr>
          <w:spacing w:val="-6"/>
          <w:sz w:val="22"/>
          <w:szCs w:val="22"/>
          <w:lang w:val="lt-LT"/>
        </w:rPr>
        <w:t xml:space="preserve"> </w:t>
      </w:r>
      <w:r w:rsidRPr="00AE5BD5">
        <w:rPr>
          <w:sz w:val="22"/>
          <w:szCs w:val="22"/>
          <w:lang w:val="lt-LT"/>
        </w:rPr>
        <w:t>40</w:t>
      </w:r>
      <w:r w:rsidR="00B1005F" w:rsidRPr="00AE5BD5">
        <w:rPr>
          <w:spacing w:val="-2"/>
          <w:sz w:val="22"/>
          <w:szCs w:val="22"/>
          <w:lang w:val="lt-LT"/>
        </w:rPr>
        <w:t> </w:t>
      </w:r>
      <w:r w:rsidRPr="00AE5BD5">
        <w:rPr>
          <w:sz w:val="22"/>
          <w:szCs w:val="22"/>
          <w:lang w:val="lt-LT"/>
        </w:rPr>
        <w:t>mg</w:t>
      </w:r>
      <w:r w:rsidRPr="00AE5BD5">
        <w:rPr>
          <w:spacing w:val="-4"/>
          <w:sz w:val="22"/>
          <w:szCs w:val="22"/>
          <w:lang w:val="lt-LT"/>
        </w:rPr>
        <w:t xml:space="preserve"> </w:t>
      </w:r>
      <w:r w:rsidRPr="00AE5BD5">
        <w:rPr>
          <w:sz w:val="22"/>
          <w:szCs w:val="22"/>
          <w:lang w:val="lt-LT"/>
        </w:rPr>
        <w:t>ir</w:t>
      </w:r>
      <w:r w:rsidR="00B1005F" w:rsidRPr="00AE5BD5">
        <w:rPr>
          <w:sz w:val="22"/>
          <w:szCs w:val="22"/>
          <w:lang w:val="lt-LT"/>
        </w:rPr>
        <w:t xml:space="preserve"> </w:t>
      </w:r>
      <w:r w:rsidRPr="00AE5BD5">
        <w:rPr>
          <w:sz w:val="22"/>
          <w:szCs w:val="22"/>
          <w:lang w:val="lt-LT"/>
        </w:rPr>
        <w:t>80</w:t>
      </w:r>
      <w:r w:rsidR="00B1005F" w:rsidRPr="00AE5BD5">
        <w:rPr>
          <w:sz w:val="22"/>
          <w:szCs w:val="22"/>
          <w:lang w:val="lt-LT"/>
        </w:rPr>
        <w:t> </w:t>
      </w:r>
      <w:r w:rsidRPr="00AE5BD5">
        <w:rPr>
          <w:sz w:val="22"/>
          <w:szCs w:val="22"/>
          <w:lang w:val="lt-LT"/>
        </w:rPr>
        <w:t>mg sildenafilio dozes tris kartus per parą vartojusių ligonių 6 MĖM pailgėjo atitinkamai 45 metrais (p &lt; 0,0001), 46 metrais (p &lt; 0,0001) ir 50 metrų (p &lt; 0,0001). Poveikis tarp sildenafilio grupių statistiškai reikšmingai nesiskyrė. Pacientų, kurių pradinis 6 MĖM buvo &lt; 325 m, veiksmingumas padidėjo vartojant didesnes dozes (palyginti su placebu, pagerėjimas 58 metrais, 65 metrais ir</w:t>
      </w:r>
      <w:r w:rsidR="00B1005F" w:rsidRPr="00AE5BD5">
        <w:rPr>
          <w:sz w:val="22"/>
          <w:szCs w:val="22"/>
          <w:lang w:val="lt-LT"/>
        </w:rPr>
        <w:t xml:space="preserve"> </w:t>
      </w:r>
      <w:r w:rsidRPr="00AE5BD5">
        <w:rPr>
          <w:sz w:val="22"/>
          <w:szCs w:val="22"/>
          <w:lang w:val="lt-LT"/>
        </w:rPr>
        <w:t>87 metrais, vartojant atitinkamai 20</w:t>
      </w:r>
      <w:r w:rsidR="00B1005F" w:rsidRPr="00AE5BD5">
        <w:rPr>
          <w:sz w:val="22"/>
          <w:szCs w:val="22"/>
          <w:lang w:val="lt-LT"/>
        </w:rPr>
        <w:t> </w:t>
      </w:r>
      <w:r w:rsidRPr="00AE5BD5">
        <w:rPr>
          <w:sz w:val="22"/>
          <w:szCs w:val="22"/>
          <w:lang w:val="lt-LT"/>
        </w:rPr>
        <w:t>mg, 40</w:t>
      </w:r>
      <w:r w:rsidR="00B1005F" w:rsidRPr="00AE5BD5">
        <w:rPr>
          <w:sz w:val="22"/>
          <w:szCs w:val="22"/>
          <w:lang w:val="lt-LT"/>
        </w:rPr>
        <w:t> </w:t>
      </w:r>
      <w:r w:rsidRPr="00AE5BD5">
        <w:rPr>
          <w:sz w:val="22"/>
          <w:szCs w:val="22"/>
          <w:lang w:val="lt-LT"/>
        </w:rPr>
        <w:t>mg ir 80</w:t>
      </w:r>
      <w:r w:rsidR="00B1005F" w:rsidRPr="00AE5BD5">
        <w:rPr>
          <w:sz w:val="22"/>
          <w:szCs w:val="22"/>
          <w:lang w:val="lt-LT"/>
        </w:rPr>
        <w:t> </w:t>
      </w:r>
      <w:r w:rsidRPr="00AE5BD5">
        <w:rPr>
          <w:sz w:val="22"/>
          <w:szCs w:val="22"/>
          <w:lang w:val="lt-LT"/>
        </w:rPr>
        <w:t>mg dozes tris kartus per parą.</w:t>
      </w:r>
    </w:p>
    <w:p w14:paraId="0FA6D86D" w14:textId="77777777" w:rsidR="00C05173" w:rsidRPr="00AE5BD5" w:rsidRDefault="00C05173" w:rsidP="008C6014">
      <w:pPr>
        <w:rPr>
          <w:sz w:val="22"/>
          <w:szCs w:val="22"/>
          <w:lang w:val="lt-LT"/>
        </w:rPr>
      </w:pPr>
    </w:p>
    <w:p w14:paraId="0EC99469" w14:textId="77777777" w:rsidR="00C05173" w:rsidRPr="00AE5BD5" w:rsidRDefault="00C05173" w:rsidP="008C6014">
      <w:pPr>
        <w:rPr>
          <w:sz w:val="22"/>
          <w:szCs w:val="22"/>
          <w:lang w:val="lt-LT"/>
        </w:rPr>
      </w:pPr>
      <w:r w:rsidRPr="00AE5BD5">
        <w:rPr>
          <w:sz w:val="22"/>
          <w:szCs w:val="22"/>
          <w:lang w:val="lt-LT"/>
        </w:rPr>
        <w:t>Analizuojant pagal PSO funkcines klases, nustatytas statistiškai reikšmingas 6 MĖM pailgėjimas 20</w:t>
      </w:r>
      <w:r w:rsidR="00B1005F" w:rsidRPr="00AE5BD5">
        <w:rPr>
          <w:sz w:val="22"/>
          <w:szCs w:val="22"/>
          <w:lang w:val="lt-LT"/>
        </w:rPr>
        <w:t> </w:t>
      </w:r>
      <w:r w:rsidRPr="00AE5BD5">
        <w:rPr>
          <w:sz w:val="22"/>
          <w:szCs w:val="22"/>
          <w:lang w:val="lt-LT"/>
        </w:rPr>
        <w:t xml:space="preserve">mg </w:t>
      </w:r>
      <w:r w:rsidRPr="00AE5BD5">
        <w:rPr>
          <w:sz w:val="22"/>
          <w:szCs w:val="22"/>
          <w:lang w:val="lt-LT"/>
        </w:rPr>
        <w:lastRenderedPageBreak/>
        <w:t>dozės grupėje. Esant II ar III funkcinei klasei, palyginti su placebu, nustatytas atitinkamai 49 metrų (p = 0,0007) ar 45 metrų (p = 0,0031) atstumo pailgėjimas.</w:t>
      </w:r>
    </w:p>
    <w:p w14:paraId="664F31B5" w14:textId="77777777" w:rsidR="00C05173" w:rsidRPr="00AE5BD5" w:rsidRDefault="00C05173" w:rsidP="008C6014">
      <w:pPr>
        <w:rPr>
          <w:sz w:val="22"/>
          <w:szCs w:val="22"/>
          <w:lang w:val="lt-LT"/>
        </w:rPr>
      </w:pPr>
    </w:p>
    <w:p w14:paraId="0732DFBC" w14:textId="77777777" w:rsidR="00C05173" w:rsidRPr="00AE5BD5" w:rsidRDefault="00C05173" w:rsidP="008C6014">
      <w:pPr>
        <w:rPr>
          <w:sz w:val="22"/>
          <w:szCs w:val="22"/>
          <w:lang w:val="lt-LT"/>
        </w:rPr>
      </w:pPr>
      <w:r w:rsidRPr="00AE5BD5">
        <w:rPr>
          <w:sz w:val="22"/>
          <w:szCs w:val="22"/>
          <w:lang w:val="lt-LT"/>
        </w:rPr>
        <w:t>6 MĖM pagerėjo po 4 gydymo savaičių ir išliko 8 bei 12 savaitę. Tyrimo rezultatai paprastai atitiko prieš tyrimą nustatytus pogrupiuose, sugrupuotuose pagal etiologiją (pirminė ir su jungiamojo audinio liga susijusi plautinė arterinė hipertenzija), PSO funkcinę klasę, lytį, rasę, geografinę padėtį, vidutinį plautinį arterinį kraujospūdį (PAKS) ir plaučių kraujagyslių pasipriešinimo indeksą (PKPI).</w:t>
      </w:r>
    </w:p>
    <w:p w14:paraId="45BDEB8A" w14:textId="77777777" w:rsidR="00C05173" w:rsidRPr="00AE5BD5" w:rsidRDefault="00C05173" w:rsidP="008C6014">
      <w:pPr>
        <w:rPr>
          <w:sz w:val="22"/>
          <w:szCs w:val="22"/>
          <w:lang w:val="lt-LT"/>
        </w:rPr>
      </w:pPr>
    </w:p>
    <w:p w14:paraId="2201E879" w14:textId="77777777" w:rsidR="00C05173" w:rsidRPr="00AE5BD5" w:rsidRDefault="00C05173" w:rsidP="008C6014">
      <w:pPr>
        <w:rPr>
          <w:sz w:val="22"/>
          <w:szCs w:val="22"/>
          <w:lang w:val="lt-LT"/>
        </w:rPr>
      </w:pPr>
      <w:r w:rsidRPr="00AE5BD5">
        <w:rPr>
          <w:sz w:val="22"/>
          <w:szCs w:val="22"/>
          <w:lang w:val="lt-LT"/>
        </w:rPr>
        <w:t>Palyginti su placebu, statistiškai reikšmingai sumažėjo visas sildenafilio dozes vartojusių pacientų vidutinis plautinis arterinis kraujospūdis (vPAKS) ir plaučių kraujagyslių pasipriešinimas (PKP). Gydymo 20</w:t>
      </w:r>
      <w:r w:rsidR="00B1005F" w:rsidRPr="00AE5BD5">
        <w:rPr>
          <w:sz w:val="22"/>
          <w:szCs w:val="22"/>
          <w:lang w:val="lt-LT"/>
        </w:rPr>
        <w:t> </w:t>
      </w:r>
      <w:r w:rsidRPr="00AE5BD5">
        <w:rPr>
          <w:sz w:val="22"/>
          <w:szCs w:val="22"/>
          <w:lang w:val="lt-LT"/>
        </w:rPr>
        <w:t>mg, 40</w:t>
      </w:r>
      <w:r w:rsidR="00B1005F" w:rsidRPr="00AE5BD5">
        <w:rPr>
          <w:sz w:val="22"/>
          <w:szCs w:val="22"/>
          <w:lang w:val="lt-LT"/>
        </w:rPr>
        <w:t> </w:t>
      </w:r>
      <w:r w:rsidRPr="00AE5BD5">
        <w:rPr>
          <w:sz w:val="22"/>
          <w:szCs w:val="22"/>
          <w:lang w:val="lt-LT"/>
        </w:rPr>
        <w:t>mg ir 80</w:t>
      </w:r>
      <w:r w:rsidR="00B1005F" w:rsidRPr="00AE5BD5">
        <w:rPr>
          <w:sz w:val="22"/>
          <w:szCs w:val="22"/>
          <w:lang w:val="lt-LT"/>
        </w:rPr>
        <w:t> </w:t>
      </w:r>
      <w:r w:rsidRPr="00AE5BD5">
        <w:rPr>
          <w:sz w:val="22"/>
          <w:szCs w:val="22"/>
          <w:lang w:val="lt-LT"/>
        </w:rPr>
        <w:t>mg sildenafilio dozėmis tris kartus per parą poveikis vPAKS, palyginti su placebu, buvo atitinkamai -2,7</w:t>
      </w:r>
      <w:r w:rsidR="00B1005F" w:rsidRPr="00AE5BD5">
        <w:rPr>
          <w:sz w:val="22"/>
          <w:szCs w:val="22"/>
          <w:lang w:val="lt-LT"/>
        </w:rPr>
        <w:t> </w:t>
      </w:r>
      <w:r w:rsidRPr="00AE5BD5">
        <w:rPr>
          <w:sz w:val="22"/>
          <w:szCs w:val="22"/>
          <w:lang w:val="lt-LT"/>
        </w:rPr>
        <w:t>mm</w:t>
      </w:r>
      <w:r w:rsidR="00B1005F" w:rsidRPr="00AE5BD5">
        <w:rPr>
          <w:sz w:val="22"/>
          <w:szCs w:val="22"/>
          <w:lang w:val="lt-LT"/>
        </w:rPr>
        <w:t> </w:t>
      </w:r>
      <w:r w:rsidRPr="00AE5BD5">
        <w:rPr>
          <w:sz w:val="22"/>
          <w:szCs w:val="22"/>
          <w:lang w:val="lt-LT"/>
        </w:rPr>
        <w:t>Hg (p = 0,04), -3,0</w:t>
      </w:r>
      <w:r w:rsidR="00B1005F" w:rsidRPr="00AE5BD5">
        <w:rPr>
          <w:sz w:val="22"/>
          <w:szCs w:val="22"/>
          <w:lang w:val="lt-LT"/>
        </w:rPr>
        <w:t> </w:t>
      </w:r>
      <w:r w:rsidRPr="00AE5BD5">
        <w:rPr>
          <w:sz w:val="22"/>
          <w:szCs w:val="22"/>
          <w:lang w:val="lt-LT"/>
        </w:rPr>
        <w:t>mm</w:t>
      </w:r>
      <w:r w:rsidR="00B1005F" w:rsidRPr="00AE5BD5">
        <w:rPr>
          <w:sz w:val="22"/>
          <w:szCs w:val="22"/>
          <w:lang w:val="lt-LT"/>
        </w:rPr>
        <w:t> </w:t>
      </w:r>
      <w:r w:rsidRPr="00AE5BD5">
        <w:rPr>
          <w:sz w:val="22"/>
          <w:szCs w:val="22"/>
          <w:lang w:val="lt-LT"/>
        </w:rPr>
        <w:t>Hg (p = 0,01) arba -5,1</w:t>
      </w:r>
      <w:r w:rsidR="00B1005F" w:rsidRPr="00AE5BD5">
        <w:rPr>
          <w:sz w:val="22"/>
          <w:szCs w:val="22"/>
          <w:lang w:val="lt-LT"/>
        </w:rPr>
        <w:t> </w:t>
      </w:r>
      <w:r w:rsidRPr="00AE5BD5">
        <w:rPr>
          <w:sz w:val="22"/>
          <w:szCs w:val="22"/>
          <w:lang w:val="lt-LT"/>
        </w:rPr>
        <w:t>mm</w:t>
      </w:r>
      <w:r w:rsidR="00B1005F" w:rsidRPr="00AE5BD5">
        <w:rPr>
          <w:sz w:val="22"/>
          <w:szCs w:val="22"/>
          <w:lang w:val="lt-LT"/>
        </w:rPr>
        <w:t> </w:t>
      </w:r>
      <w:r w:rsidRPr="00AE5BD5">
        <w:rPr>
          <w:sz w:val="22"/>
          <w:szCs w:val="22"/>
          <w:lang w:val="lt-LT"/>
        </w:rPr>
        <w:t>Hg</w:t>
      </w:r>
    </w:p>
    <w:p w14:paraId="3E402D8B" w14:textId="77777777" w:rsidR="00C05173" w:rsidRPr="00AE5BD5" w:rsidRDefault="00C05173" w:rsidP="008C6014">
      <w:pPr>
        <w:rPr>
          <w:sz w:val="22"/>
          <w:szCs w:val="22"/>
          <w:lang w:val="lt-LT"/>
        </w:rPr>
      </w:pPr>
      <w:r w:rsidRPr="00AE5BD5">
        <w:rPr>
          <w:sz w:val="22"/>
          <w:szCs w:val="22"/>
          <w:lang w:val="lt-LT"/>
        </w:rPr>
        <w:t>(p = 0,0001). Gydymo 20</w:t>
      </w:r>
      <w:r w:rsidR="00B1005F" w:rsidRPr="00AE5BD5">
        <w:rPr>
          <w:sz w:val="22"/>
          <w:szCs w:val="22"/>
          <w:lang w:val="lt-LT"/>
        </w:rPr>
        <w:t> </w:t>
      </w:r>
      <w:r w:rsidRPr="00AE5BD5">
        <w:rPr>
          <w:sz w:val="22"/>
          <w:szCs w:val="22"/>
          <w:lang w:val="lt-LT"/>
        </w:rPr>
        <w:t>mg, 40</w:t>
      </w:r>
      <w:r w:rsidR="00B1005F" w:rsidRPr="00AE5BD5">
        <w:rPr>
          <w:sz w:val="22"/>
          <w:szCs w:val="22"/>
          <w:lang w:val="lt-LT"/>
        </w:rPr>
        <w:t> </w:t>
      </w:r>
      <w:r w:rsidRPr="00AE5BD5">
        <w:rPr>
          <w:sz w:val="22"/>
          <w:szCs w:val="22"/>
          <w:lang w:val="lt-LT"/>
        </w:rPr>
        <w:t>mg ir 80</w:t>
      </w:r>
      <w:r w:rsidR="00B1005F" w:rsidRPr="00AE5BD5">
        <w:rPr>
          <w:sz w:val="22"/>
          <w:szCs w:val="22"/>
          <w:lang w:val="lt-LT"/>
        </w:rPr>
        <w:t> </w:t>
      </w:r>
      <w:r w:rsidRPr="00AE5BD5">
        <w:rPr>
          <w:sz w:val="22"/>
          <w:szCs w:val="22"/>
          <w:lang w:val="lt-LT"/>
        </w:rPr>
        <w:t>mg sildenafilio dozėmis tris kartus per parą poveikis PKP, palyginti su placebu, buvo atitinkamai -178</w:t>
      </w:r>
      <w:r w:rsidR="00B1005F" w:rsidRPr="00AE5BD5">
        <w:rPr>
          <w:sz w:val="22"/>
          <w:szCs w:val="22"/>
          <w:lang w:val="lt-LT"/>
        </w:rPr>
        <w:t> </w:t>
      </w:r>
      <w:r w:rsidRPr="00AE5BD5">
        <w:rPr>
          <w:sz w:val="22"/>
          <w:szCs w:val="22"/>
          <w:lang w:val="lt-LT"/>
        </w:rPr>
        <w:t>din.s/cm</w:t>
      </w:r>
      <w:r w:rsidRPr="00AE5BD5">
        <w:rPr>
          <w:position w:val="10"/>
          <w:sz w:val="22"/>
          <w:szCs w:val="22"/>
          <w:lang w:val="lt-LT"/>
        </w:rPr>
        <w:t xml:space="preserve">5 </w:t>
      </w:r>
      <w:r w:rsidRPr="00AE5BD5">
        <w:rPr>
          <w:sz w:val="22"/>
          <w:szCs w:val="22"/>
          <w:lang w:val="lt-LT"/>
        </w:rPr>
        <w:t>(p = 0,0051), -195</w:t>
      </w:r>
      <w:r w:rsidR="00B1005F" w:rsidRPr="00AE5BD5">
        <w:rPr>
          <w:sz w:val="22"/>
          <w:szCs w:val="22"/>
          <w:lang w:val="lt-LT"/>
        </w:rPr>
        <w:t> </w:t>
      </w:r>
      <w:r w:rsidRPr="00AE5BD5">
        <w:rPr>
          <w:sz w:val="22"/>
          <w:szCs w:val="22"/>
          <w:lang w:val="lt-LT"/>
        </w:rPr>
        <w:t>din.s/cm</w:t>
      </w:r>
      <w:r w:rsidRPr="00AE5BD5">
        <w:rPr>
          <w:position w:val="10"/>
          <w:sz w:val="22"/>
          <w:szCs w:val="22"/>
          <w:lang w:val="lt-LT"/>
        </w:rPr>
        <w:t xml:space="preserve">5 </w:t>
      </w:r>
      <w:r w:rsidRPr="00AE5BD5">
        <w:rPr>
          <w:sz w:val="22"/>
          <w:szCs w:val="22"/>
          <w:lang w:val="lt-LT"/>
        </w:rPr>
        <w:t xml:space="preserve">(p = 0,0017) arba </w:t>
      </w:r>
      <w:r w:rsidR="00B1005F" w:rsidRPr="00AE5BD5">
        <w:rPr>
          <w:sz w:val="22"/>
          <w:szCs w:val="22"/>
          <w:lang w:val="lt-LT"/>
        </w:rPr>
        <w:t>–</w:t>
      </w:r>
      <w:r w:rsidRPr="00AE5BD5">
        <w:rPr>
          <w:sz w:val="22"/>
          <w:szCs w:val="22"/>
          <w:lang w:val="lt-LT"/>
        </w:rPr>
        <w:t xml:space="preserve"> 320</w:t>
      </w:r>
      <w:r w:rsidR="00B1005F" w:rsidRPr="00AE5BD5">
        <w:rPr>
          <w:sz w:val="22"/>
          <w:szCs w:val="22"/>
          <w:lang w:val="lt-LT"/>
        </w:rPr>
        <w:t> </w:t>
      </w:r>
      <w:r w:rsidRPr="00AE5BD5">
        <w:rPr>
          <w:sz w:val="22"/>
          <w:szCs w:val="22"/>
          <w:lang w:val="lt-LT"/>
        </w:rPr>
        <w:t>din.s/cm</w:t>
      </w:r>
      <w:r w:rsidRPr="00AE5BD5">
        <w:rPr>
          <w:position w:val="10"/>
          <w:sz w:val="22"/>
          <w:szCs w:val="22"/>
          <w:lang w:val="lt-LT"/>
        </w:rPr>
        <w:t xml:space="preserve">5 </w:t>
      </w:r>
      <w:r w:rsidRPr="00AE5BD5">
        <w:rPr>
          <w:sz w:val="22"/>
          <w:szCs w:val="22"/>
          <w:lang w:val="lt-LT"/>
        </w:rPr>
        <w:t>(p &lt; 0,0001). Po 12 savaičių gydymo 20</w:t>
      </w:r>
      <w:r w:rsidR="00B1005F" w:rsidRPr="00AE5BD5">
        <w:rPr>
          <w:sz w:val="22"/>
          <w:szCs w:val="22"/>
          <w:lang w:val="lt-LT"/>
        </w:rPr>
        <w:t> </w:t>
      </w:r>
      <w:r w:rsidRPr="00AE5BD5">
        <w:rPr>
          <w:sz w:val="22"/>
          <w:szCs w:val="22"/>
          <w:lang w:val="lt-LT"/>
        </w:rPr>
        <w:t>mg, 40</w:t>
      </w:r>
      <w:r w:rsidR="00B1005F" w:rsidRPr="00AE5BD5">
        <w:rPr>
          <w:sz w:val="22"/>
          <w:szCs w:val="22"/>
          <w:lang w:val="lt-LT"/>
        </w:rPr>
        <w:t> </w:t>
      </w:r>
      <w:r w:rsidRPr="00AE5BD5">
        <w:rPr>
          <w:sz w:val="22"/>
          <w:szCs w:val="22"/>
          <w:lang w:val="lt-LT"/>
        </w:rPr>
        <w:t>mg ir 80</w:t>
      </w:r>
      <w:r w:rsidR="00B1005F" w:rsidRPr="00AE5BD5">
        <w:rPr>
          <w:sz w:val="22"/>
          <w:szCs w:val="22"/>
          <w:lang w:val="lt-LT"/>
        </w:rPr>
        <w:t> </w:t>
      </w:r>
      <w:r w:rsidRPr="00AE5BD5">
        <w:rPr>
          <w:sz w:val="22"/>
          <w:szCs w:val="22"/>
          <w:lang w:val="lt-LT"/>
        </w:rPr>
        <w:t>mg sildenafilio dozėmis PKP sumažėjimas procentais (11,2</w:t>
      </w:r>
      <w:r w:rsidR="00B1005F" w:rsidRPr="00AE5BD5">
        <w:rPr>
          <w:sz w:val="22"/>
          <w:szCs w:val="22"/>
          <w:lang w:val="lt-LT"/>
        </w:rPr>
        <w:t> </w:t>
      </w:r>
      <w:r w:rsidRPr="00AE5BD5">
        <w:rPr>
          <w:sz w:val="22"/>
          <w:szCs w:val="22"/>
          <w:lang w:val="lt-LT"/>
        </w:rPr>
        <w:t>%, 12,9</w:t>
      </w:r>
      <w:r w:rsidR="00B1005F" w:rsidRPr="00AE5BD5">
        <w:rPr>
          <w:sz w:val="22"/>
          <w:szCs w:val="22"/>
          <w:lang w:val="lt-LT"/>
        </w:rPr>
        <w:t xml:space="preserve"> </w:t>
      </w:r>
      <w:r w:rsidRPr="00AE5BD5">
        <w:rPr>
          <w:sz w:val="22"/>
          <w:szCs w:val="22"/>
          <w:lang w:val="lt-LT"/>
        </w:rPr>
        <w:t>%, 23,3</w:t>
      </w:r>
      <w:r w:rsidR="00B1005F" w:rsidRPr="00AE5BD5">
        <w:rPr>
          <w:sz w:val="22"/>
          <w:szCs w:val="22"/>
          <w:lang w:val="lt-LT"/>
        </w:rPr>
        <w:t> </w:t>
      </w:r>
      <w:r w:rsidRPr="00AE5BD5">
        <w:rPr>
          <w:sz w:val="22"/>
          <w:szCs w:val="22"/>
          <w:lang w:val="lt-LT"/>
        </w:rPr>
        <w:t>%) buvo proporcingai didesnis nei sisteminio kraujagyslių pasipriešinimo (SKP) (7,2</w:t>
      </w:r>
      <w:r w:rsidR="00B1005F" w:rsidRPr="00AE5BD5">
        <w:rPr>
          <w:sz w:val="22"/>
          <w:szCs w:val="22"/>
          <w:lang w:val="lt-LT"/>
        </w:rPr>
        <w:t> </w:t>
      </w:r>
      <w:r w:rsidRPr="00AE5BD5">
        <w:rPr>
          <w:sz w:val="22"/>
          <w:szCs w:val="22"/>
          <w:lang w:val="lt-LT"/>
        </w:rPr>
        <w:t>%, 5,9</w:t>
      </w:r>
      <w:r w:rsidR="00B1005F" w:rsidRPr="00AE5BD5">
        <w:rPr>
          <w:sz w:val="22"/>
          <w:szCs w:val="22"/>
          <w:lang w:val="lt-LT"/>
        </w:rPr>
        <w:t xml:space="preserve"> </w:t>
      </w:r>
      <w:r w:rsidRPr="00AE5BD5">
        <w:rPr>
          <w:sz w:val="22"/>
          <w:szCs w:val="22"/>
          <w:lang w:val="lt-LT"/>
        </w:rPr>
        <w:t>%, 14,4</w:t>
      </w:r>
      <w:r w:rsidR="00B1005F" w:rsidRPr="00AE5BD5">
        <w:rPr>
          <w:sz w:val="22"/>
          <w:szCs w:val="22"/>
          <w:lang w:val="lt-LT"/>
        </w:rPr>
        <w:t> </w:t>
      </w:r>
      <w:r w:rsidRPr="00AE5BD5">
        <w:rPr>
          <w:sz w:val="22"/>
          <w:szCs w:val="22"/>
          <w:lang w:val="lt-LT"/>
        </w:rPr>
        <w:t>%). Sildenafilio įtaka mirštamumui nežinoma.</w:t>
      </w:r>
    </w:p>
    <w:p w14:paraId="3F200131" w14:textId="77777777" w:rsidR="00C05173" w:rsidRPr="00AE5BD5" w:rsidRDefault="00C05173" w:rsidP="008C6014">
      <w:pPr>
        <w:rPr>
          <w:sz w:val="22"/>
          <w:szCs w:val="22"/>
          <w:lang w:val="lt-LT"/>
        </w:rPr>
      </w:pPr>
    </w:p>
    <w:p w14:paraId="49DA8A85" w14:textId="77777777" w:rsidR="00C05173" w:rsidRPr="00AE5BD5" w:rsidRDefault="00C05173" w:rsidP="008C6014">
      <w:pPr>
        <w:rPr>
          <w:sz w:val="22"/>
          <w:szCs w:val="22"/>
          <w:lang w:val="lt-LT"/>
        </w:rPr>
      </w:pPr>
      <w:r w:rsidRPr="00AE5BD5">
        <w:rPr>
          <w:sz w:val="22"/>
          <w:szCs w:val="22"/>
          <w:lang w:val="lt-LT"/>
        </w:rPr>
        <w:t>Dvyliktą savaitę pagerėjimas bent viena PSO funkcine klase buvo nustatytas didesnei procentinei daliai pacientų visų sildenafilio dozių (t. y. 28</w:t>
      </w:r>
      <w:r w:rsidR="00B1005F" w:rsidRPr="00AE5BD5">
        <w:rPr>
          <w:sz w:val="22"/>
          <w:szCs w:val="22"/>
          <w:lang w:val="lt-LT"/>
        </w:rPr>
        <w:t> </w:t>
      </w:r>
      <w:r w:rsidRPr="00AE5BD5">
        <w:rPr>
          <w:sz w:val="22"/>
          <w:szCs w:val="22"/>
          <w:lang w:val="lt-LT"/>
        </w:rPr>
        <w:t>%, 36</w:t>
      </w:r>
      <w:r w:rsidR="00B1005F" w:rsidRPr="00AE5BD5">
        <w:rPr>
          <w:sz w:val="22"/>
          <w:szCs w:val="22"/>
          <w:lang w:val="lt-LT"/>
        </w:rPr>
        <w:t> </w:t>
      </w:r>
      <w:r w:rsidRPr="00AE5BD5">
        <w:rPr>
          <w:sz w:val="22"/>
          <w:szCs w:val="22"/>
          <w:lang w:val="lt-LT"/>
        </w:rPr>
        <w:t>% ir 42</w:t>
      </w:r>
      <w:r w:rsidR="00B1005F" w:rsidRPr="00AE5BD5">
        <w:rPr>
          <w:sz w:val="22"/>
          <w:szCs w:val="22"/>
          <w:lang w:val="lt-LT"/>
        </w:rPr>
        <w:t xml:space="preserve"> </w:t>
      </w:r>
      <w:r w:rsidRPr="00AE5BD5">
        <w:rPr>
          <w:sz w:val="22"/>
          <w:szCs w:val="22"/>
          <w:lang w:val="lt-LT"/>
        </w:rPr>
        <w:t>% tiriamiesiems, kurie vartojo</w:t>
      </w:r>
      <w:r w:rsidRPr="00AE5BD5">
        <w:rPr>
          <w:spacing w:val="-4"/>
          <w:sz w:val="22"/>
          <w:szCs w:val="22"/>
          <w:lang w:val="lt-LT"/>
        </w:rPr>
        <w:t xml:space="preserve"> </w:t>
      </w:r>
      <w:r w:rsidRPr="00AE5BD5">
        <w:rPr>
          <w:sz w:val="22"/>
          <w:szCs w:val="22"/>
          <w:lang w:val="lt-LT"/>
        </w:rPr>
        <w:t>atitinkamai 20</w:t>
      </w:r>
      <w:r w:rsidR="00B1005F" w:rsidRPr="00AE5BD5">
        <w:rPr>
          <w:sz w:val="22"/>
          <w:szCs w:val="22"/>
          <w:lang w:val="lt-LT"/>
        </w:rPr>
        <w:t> </w:t>
      </w:r>
      <w:r w:rsidRPr="00AE5BD5">
        <w:rPr>
          <w:sz w:val="22"/>
          <w:szCs w:val="22"/>
          <w:lang w:val="lt-LT"/>
        </w:rPr>
        <w:t>mg, 40</w:t>
      </w:r>
      <w:r w:rsidR="00B1005F" w:rsidRPr="00AE5BD5">
        <w:rPr>
          <w:sz w:val="22"/>
          <w:szCs w:val="22"/>
          <w:lang w:val="lt-LT"/>
        </w:rPr>
        <w:t> </w:t>
      </w:r>
      <w:r w:rsidRPr="00AE5BD5">
        <w:rPr>
          <w:sz w:val="22"/>
          <w:szCs w:val="22"/>
          <w:lang w:val="lt-LT"/>
        </w:rPr>
        <w:t>mg ir 80</w:t>
      </w:r>
      <w:r w:rsidR="00B1005F" w:rsidRPr="00AE5BD5">
        <w:rPr>
          <w:sz w:val="22"/>
          <w:szCs w:val="22"/>
          <w:lang w:val="lt-LT"/>
        </w:rPr>
        <w:t xml:space="preserve"> </w:t>
      </w:r>
      <w:r w:rsidRPr="00AE5BD5">
        <w:rPr>
          <w:sz w:val="22"/>
          <w:szCs w:val="22"/>
          <w:lang w:val="lt-LT"/>
        </w:rPr>
        <w:t>mg sildenafilio dozes tris kartus per parą) grupėse, palyginti su placebo grupe (7 %).</w:t>
      </w:r>
      <w:r w:rsidRPr="00AE5BD5">
        <w:rPr>
          <w:spacing w:val="-4"/>
          <w:sz w:val="22"/>
          <w:szCs w:val="22"/>
          <w:lang w:val="lt-LT"/>
        </w:rPr>
        <w:t xml:space="preserve"> </w:t>
      </w:r>
      <w:r w:rsidRPr="00AE5BD5">
        <w:rPr>
          <w:sz w:val="22"/>
          <w:szCs w:val="22"/>
          <w:lang w:val="lt-LT"/>
        </w:rPr>
        <w:t>Atitinkami</w:t>
      </w:r>
      <w:r w:rsidRPr="00AE5BD5">
        <w:rPr>
          <w:spacing w:val="-4"/>
          <w:sz w:val="22"/>
          <w:szCs w:val="22"/>
          <w:lang w:val="lt-LT"/>
        </w:rPr>
        <w:t xml:space="preserve"> </w:t>
      </w:r>
      <w:r w:rsidRPr="00AE5BD5">
        <w:rPr>
          <w:sz w:val="22"/>
          <w:szCs w:val="22"/>
          <w:lang w:val="lt-LT"/>
        </w:rPr>
        <w:t>šansų</w:t>
      </w:r>
      <w:r w:rsidRPr="00AE5BD5">
        <w:rPr>
          <w:spacing w:val="-4"/>
          <w:sz w:val="22"/>
          <w:szCs w:val="22"/>
          <w:lang w:val="lt-LT"/>
        </w:rPr>
        <w:t xml:space="preserve"> </w:t>
      </w:r>
      <w:r w:rsidRPr="00AE5BD5">
        <w:rPr>
          <w:sz w:val="22"/>
          <w:szCs w:val="22"/>
          <w:lang w:val="lt-LT"/>
        </w:rPr>
        <w:t>santykiai</w:t>
      </w:r>
      <w:r w:rsidRPr="00AE5BD5">
        <w:rPr>
          <w:spacing w:val="-4"/>
          <w:sz w:val="22"/>
          <w:szCs w:val="22"/>
          <w:lang w:val="lt-LT"/>
        </w:rPr>
        <w:t xml:space="preserve"> </w:t>
      </w:r>
      <w:r w:rsidRPr="00AE5BD5">
        <w:rPr>
          <w:sz w:val="22"/>
          <w:szCs w:val="22"/>
          <w:lang w:val="lt-LT"/>
        </w:rPr>
        <w:t>buvo</w:t>
      </w:r>
      <w:r w:rsidRPr="00AE5BD5">
        <w:rPr>
          <w:spacing w:val="-4"/>
          <w:sz w:val="22"/>
          <w:szCs w:val="22"/>
          <w:lang w:val="lt-LT"/>
        </w:rPr>
        <w:t xml:space="preserve"> </w:t>
      </w:r>
      <w:r w:rsidRPr="00AE5BD5">
        <w:rPr>
          <w:sz w:val="22"/>
          <w:szCs w:val="22"/>
          <w:lang w:val="lt-LT"/>
        </w:rPr>
        <w:t>2,92</w:t>
      </w:r>
      <w:r w:rsidR="00B1005F" w:rsidRPr="00AE5BD5">
        <w:rPr>
          <w:spacing w:val="-4"/>
          <w:sz w:val="22"/>
          <w:szCs w:val="22"/>
          <w:lang w:val="lt-LT"/>
        </w:rPr>
        <w:t> </w:t>
      </w:r>
      <w:r w:rsidRPr="00AE5BD5">
        <w:rPr>
          <w:sz w:val="22"/>
          <w:szCs w:val="22"/>
          <w:lang w:val="lt-LT"/>
        </w:rPr>
        <w:t>(p</w:t>
      </w:r>
      <w:r w:rsidRPr="00AE5BD5">
        <w:rPr>
          <w:spacing w:val="-6"/>
          <w:sz w:val="22"/>
          <w:szCs w:val="22"/>
          <w:lang w:val="lt-LT"/>
        </w:rPr>
        <w:t xml:space="preserve"> </w:t>
      </w:r>
      <w:r w:rsidRPr="00AE5BD5">
        <w:rPr>
          <w:sz w:val="22"/>
          <w:szCs w:val="22"/>
          <w:lang w:val="lt-LT"/>
        </w:rPr>
        <w:t>=</w:t>
      </w:r>
      <w:r w:rsidRPr="00AE5BD5">
        <w:rPr>
          <w:spacing w:val="-3"/>
          <w:sz w:val="22"/>
          <w:szCs w:val="22"/>
          <w:lang w:val="lt-LT"/>
        </w:rPr>
        <w:t xml:space="preserve"> </w:t>
      </w:r>
      <w:r w:rsidRPr="00AE5BD5">
        <w:rPr>
          <w:sz w:val="22"/>
          <w:szCs w:val="22"/>
          <w:lang w:val="lt-LT"/>
        </w:rPr>
        <w:t>0,0087),</w:t>
      </w:r>
      <w:r w:rsidRPr="00AE5BD5">
        <w:rPr>
          <w:spacing w:val="-4"/>
          <w:sz w:val="22"/>
          <w:szCs w:val="22"/>
          <w:lang w:val="lt-LT"/>
        </w:rPr>
        <w:t xml:space="preserve"> </w:t>
      </w:r>
      <w:r w:rsidRPr="00AE5BD5">
        <w:rPr>
          <w:sz w:val="22"/>
          <w:szCs w:val="22"/>
          <w:lang w:val="lt-LT"/>
        </w:rPr>
        <w:t>4,32</w:t>
      </w:r>
      <w:r w:rsidRPr="00AE5BD5">
        <w:rPr>
          <w:spacing w:val="-4"/>
          <w:sz w:val="22"/>
          <w:szCs w:val="22"/>
          <w:lang w:val="lt-LT"/>
        </w:rPr>
        <w:t xml:space="preserve"> </w:t>
      </w:r>
      <w:r w:rsidRPr="00AE5BD5">
        <w:rPr>
          <w:sz w:val="22"/>
          <w:szCs w:val="22"/>
          <w:lang w:val="lt-LT"/>
        </w:rPr>
        <w:t>(p</w:t>
      </w:r>
      <w:r w:rsidRPr="00AE5BD5">
        <w:rPr>
          <w:spacing w:val="-5"/>
          <w:sz w:val="22"/>
          <w:szCs w:val="22"/>
          <w:lang w:val="lt-LT"/>
        </w:rPr>
        <w:t xml:space="preserve"> </w:t>
      </w:r>
      <w:r w:rsidRPr="00AE5BD5">
        <w:rPr>
          <w:sz w:val="22"/>
          <w:szCs w:val="22"/>
          <w:lang w:val="lt-LT"/>
        </w:rPr>
        <w:t>=</w:t>
      </w:r>
      <w:r w:rsidRPr="00AE5BD5">
        <w:rPr>
          <w:spacing w:val="-3"/>
          <w:sz w:val="22"/>
          <w:szCs w:val="22"/>
          <w:lang w:val="lt-LT"/>
        </w:rPr>
        <w:t xml:space="preserve"> </w:t>
      </w:r>
      <w:r w:rsidRPr="00AE5BD5">
        <w:rPr>
          <w:sz w:val="22"/>
          <w:szCs w:val="22"/>
          <w:lang w:val="lt-LT"/>
        </w:rPr>
        <w:t>0,0004)</w:t>
      </w:r>
      <w:r w:rsidRPr="00AE5BD5">
        <w:rPr>
          <w:spacing w:val="-4"/>
          <w:sz w:val="22"/>
          <w:szCs w:val="22"/>
          <w:lang w:val="lt-LT"/>
        </w:rPr>
        <w:t xml:space="preserve"> </w:t>
      </w:r>
      <w:r w:rsidRPr="00AE5BD5">
        <w:rPr>
          <w:sz w:val="22"/>
          <w:szCs w:val="22"/>
          <w:lang w:val="lt-LT"/>
        </w:rPr>
        <w:t>ir</w:t>
      </w:r>
      <w:r w:rsidRPr="00AE5BD5">
        <w:rPr>
          <w:spacing w:val="-4"/>
          <w:sz w:val="22"/>
          <w:szCs w:val="22"/>
          <w:lang w:val="lt-LT"/>
        </w:rPr>
        <w:t xml:space="preserve"> </w:t>
      </w:r>
      <w:r w:rsidRPr="00AE5BD5">
        <w:rPr>
          <w:sz w:val="22"/>
          <w:szCs w:val="22"/>
          <w:lang w:val="lt-LT"/>
        </w:rPr>
        <w:t>5,75</w:t>
      </w:r>
      <w:r w:rsidR="00B1005F" w:rsidRPr="00AE5BD5">
        <w:rPr>
          <w:sz w:val="22"/>
          <w:szCs w:val="22"/>
          <w:lang w:val="lt-LT"/>
        </w:rPr>
        <w:t xml:space="preserve"> </w:t>
      </w:r>
      <w:r w:rsidRPr="00AE5BD5">
        <w:rPr>
          <w:sz w:val="22"/>
          <w:szCs w:val="22"/>
          <w:lang w:val="lt-LT"/>
        </w:rPr>
        <w:t>(p &lt; 0,0001).</w:t>
      </w:r>
    </w:p>
    <w:p w14:paraId="6000E25C" w14:textId="77777777" w:rsidR="00C05173" w:rsidRPr="00AE5BD5" w:rsidRDefault="00C05173" w:rsidP="008C6014">
      <w:pPr>
        <w:rPr>
          <w:sz w:val="22"/>
          <w:szCs w:val="22"/>
          <w:lang w:val="lt-LT"/>
        </w:rPr>
      </w:pPr>
    </w:p>
    <w:p w14:paraId="1CF8DFA8" w14:textId="77777777" w:rsidR="00C05173" w:rsidRPr="00AE5BD5" w:rsidRDefault="00C05173" w:rsidP="008C6014">
      <w:pPr>
        <w:rPr>
          <w:i/>
          <w:iCs/>
          <w:sz w:val="22"/>
          <w:szCs w:val="22"/>
          <w:lang w:val="lt-LT"/>
        </w:rPr>
      </w:pPr>
      <w:r w:rsidRPr="00AE5BD5">
        <w:rPr>
          <w:i/>
          <w:iCs/>
          <w:sz w:val="22"/>
          <w:szCs w:val="22"/>
          <w:u w:val="single"/>
          <w:lang w:val="lt-LT"/>
        </w:rPr>
        <w:t>Ilgalaikio išgyvenamumo duomenys anksčiau negydytų pacientų grupėje</w:t>
      </w:r>
    </w:p>
    <w:p w14:paraId="12A8E9A7" w14:textId="77777777" w:rsidR="00C05173" w:rsidRPr="00AE5BD5" w:rsidRDefault="00C05173" w:rsidP="008C6014">
      <w:pPr>
        <w:rPr>
          <w:sz w:val="22"/>
          <w:szCs w:val="22"/>
          <w:lang w:val="lt-LT"/>
        </w:rPr>
      </w:pPr>
      <w:r w:rsidRPr="00AE5BD5">
        <w:rPr>
          <w:sz w:val="22"/>
          <w:szCs w:val="22"/>
          <w:lang w:val="lt-LT"/>
        </w:rPr>
        <w:t>Pagrindžiamajame tyrime dalyvavę pacientai galėjo dalyvauti ilgalaikiame atviru būdu atliktame tęstiniame tyrime. Trečiaisiais metais 87</w:t>
      </w:r>
      <w:r w:rsidR="00B1005F" w:rsidRPr="00AE5BD5">
        <w:rPr>
          <w:sz w:val="22"/>
          <w:szCs w:val="22"/>
          <w:lang w:val="lt-LT"/>
        </w:rPr>
        <w:t> </w:t>
      </w:r>
      <w:r w:rsidRPr="00AE5BD5">
        <w:rPr>
          <w:sz w:val="22"/>
          <w:szCs w:val="22"/>
          <w:lang w:val="lt-LT"/>
        </w:rPr>
        <w:t>% pacientų vartojo 80</w:t>
      </w:r>
      <w:r w:rsidR="00B1005F" w:rsidRPr="00AE5BD5">
        <w:rPr>
          <w:sz w:val="22"/>
          <w:szCs w:val="22"/>
          <w:lang w:val="lt-LT"/>
        </w:rPr>
        <w:t> </w:t>
      </w:r>
      <w:r w:rsidRPr="00AE5BD5">
        <w:rPr>
          <w:sz w:val="22"/>
          <w:szCs w:val="22"/>
          <w:lang w:val="lt-LT"/>
        </w:rPr>
        <w:t>mg dozę tris kartus per parą.</w:t>
      </w:r>
      <w:r w:rsidR="00B1005F" w:rsidRPr="00AE5BD5">
        <w:rPr>
          <w:sz w:val="22"/>
          <w:szCs w:val="22"/>
          <w:lang w:val="lt-LT"/>
        </w:rPr>
        <w:t xml:space="preserve"> </w:t>
      </w:r>
      <w:r w:rsidRPr="00AE5BD5">
        <w:rPr>
          <w:sz w:val="22"/>
          <w:szCs w:val="22"/>
          <w:lang w:val="lt-LT"/>
        </w:rPr>
        <w:t xml:space="preserve">Pagrindžiamojo tyrimo metu </w:t>
      </w:r>
      <w:r w:rsidR="00105BCD">
        <w:rPr>
          <w:sz w:val="22"/>
          <w:szCs w:val="22"/>
          <w:lang w:val="lt-LT"/>
        </w:rPr>
        <w:t xml:space="preserve">sildenafilį </w:t>
      </w:r>
      <w:r w:rsidRPr="00AE5BD5">
        <w:rPr>
          <w:sz w:val="22"/>
          <w:szCs w:val="22"/>
          <w:lang w:val="lt-LT"/>
        </w:rPr>
        <w:t xml:space="preserve">vartojo 207 pacientai, o jų ilgalaikis išgyvenamumas buvo vertintas ne trumpiau kaip 3 metus. Šioje populiacijoje išgyvenamumo </w:t>
      </w:r>
      <w:r w:rsidRPr="00AE5BD5">
        <w:rPr>
          <w:i/>
          <w:iCs/>
          <w:sz w:val="22"/>
          <w:szCs w:val="22"/>
          <w:lang w:val="lt-LT"/>
        </w:rPr>
        <w:t xml:space="preserve">Kaplan-Meier </w:t>
      </w:r>
      <w:r w:rsidRPr="00AE5BD5">
        <w:rPr>
          <w:sz w:val="22"/>
          <w:szCs w:val="22"/>
          <w:lang w:val="lt-LT"/>
        </w:rPr>
        <w:t>įvertis 1-ais, 2- ais ir 3-ais metais buvo atitinkamai 96</w:t>
      </w:r>
      <w:r w:rsidR="00B1005F" w:rsidRPr="00AE5BD5">
        <w:rPr>
          <w:sz w:val="22"/>
          <w:szCs w:val="22"/>
          <w:lang w:val="lt-LT"/>
        </w:rPr>
        <w:t> </w:t>
      </w:r>
      <w:r w:rsidRPr="00AE5BD5">
        <w:rPr>
          <w:sz w:val="22"/>
          <w:szCs w:val="22"/>
          <w:lang w:val="lt-LT"/>
        </w:rPr>
        <w:t>%, 91</w:t>
      </w:r>
      <w:r w:rsidR="00B1005F" w:rsidRPr="00AE5BD5">
        <w:rPr>
          <w:sz w:val="22"/>
          <w:szCs w:val="22"/>
          <w:lang w:val="lt-LT"/>
        </w:rPr>
        <w:t xml:space="preserve"> </w:t>
      </w:r>
      <w:r w:rsidRPr="00AE5BD5">
        <w:rPr>
          <w:sz w:val="22"/>
          <w:szCs w:val="22"/>
          <w:lang w:val="lt-LT"/>
        </w:rPr>
        <w:t>% ir 82</w:t>
      </w:r>
      <w:r w:rsidR="00B1005F" w:rsidRPr="00AE5BD5">
        <w:rPr>
          <w:sz w:val="22"/>
          <w:szCs w:val="22"/>
          <w:lang w:val="lt-LT"/>
        </w:rPr>
        <w:t> </w:t>
      </w:r>
      <w:r w:rsidRPr="00AE5BD5">
        <w:rPr>
          <w:sz w:val="22"/>
          <w:szCs w:val="22"/>
          <w:lang w:val="lt-LT"/>
        </w:rPr>
        <w:t>%. Pacientų, kuriems prieš pradedant tyrimą buvo nustatyta II funkcinė klasė pagal PSO, išgyvenamumas 1-ais, 2-ais ir 3-ais metais buvo atitinkamai 99</w:t>
      </w:r>
      <w:r w:rsidR="00B1005F" w:rsidRPr="00AE5BD5">
        <w:rPr>
          <w:sz w:val="22"/>
          <w:szCs w:val="22"/>
          <w:lang w:val="lt-LT"/>
        </w:rPr>
        <w:t> </w:t>
      </w:r>
      <w:r w:rsidRPr="00AE5BD5">
        <w:rPr>
          <w:sz w:val="22"/>
          <w:szCs w:val="22"/>
          <w:lang w:val="lt-LT"/>
        </w:rPr>
        <w:t>%, 91</w:t>
      </w:r>
      <w:r w:rsidR="00B1005F" w:rsidRPr="00AE5BD5">
        <w:rPr>
          <w:sz w:val="22"/>
          <w:szCs w:val="22"/>
          <w:lang w:val="lt-LT"/>
        </w:rPr>
        <w:t> </w:t>
      </w:r>
      <w:r w:rsidRPr="00AE5BD5">
        <w:rPr>
          <w:sz w:val="22"/>
          <w:szCs w:val="22"/>
          <w:lang w:val="lt-LT"/>
        </w:rPr>
        <w:t>% ir 84</w:t>
      </w:r>
      <w:r w:rsidR="00B1005F" w:rsidRPr="00AE5BD5">
        <w:rPr>
          <w:sz w:val="22"/>
          <w:szCs w:val="22"/>
          <w:lang w:val="lt-LT"/>
        </w:rPr>
        <w:t> </w:t>
      </w:r>
      <w:r w:rsidRPr="00AE5BD5">
        <w:rPr>
          <w:sz w:val="22"/>
          <w:szCs w:val="22"/>
          <w:lang w:val="lt-LT"/>
        </w:rPr>
        <w:t>%, o pacientų, kuriems prieš pradedant tyrimą buvo nustatyta III funkcinė klasė pagal PSO atitinkamai 94</w:t>
      </w:r>
      <w:r w:rsidR="00B1005F" w:rsidRPr="00AE5BD5">
        <w:rPr>
          <w:sz w:val="22"/>
          <w:szCs w:val="22"/>
          <w:lang w:val="lt-LT"/>
        </w:rPr>
        <w:t> </w:t>
      </w:r>
      <w:r w:rsidRPr="00AE5BD5">
        <w:rPr>
          <w:sz w:val="22"/>
          <w:szCs w:val="22"/>
          <w:lang w:val="lt-LT"/>
        </w:rPr>
        <w:t>%, 90</w:t>
      </w:r>
      <w:r w:rsidR="00B1005F" w:rsidRPr="00AE5BD5">
        <w:rPr>
          <w:sz w:val="22"/>
          <w:szCs w:val="22"/>
          <w:lang w:val="lt-LT"/>
        </w:rPr>
        <w:t> </w:t>
      </w:r>
      <w:r w:rsidRPr="00AE5BD5">
        <w:rPr>
          <w:sz w:val="22"/>
          <w:szCs w:val="22"/>
          <w:lang w:val="lt-LT"/>
        </w:rPr>
        <w:t>% ir 81</w:t>
      </w:r>
      <w:r w:rsidR="00B1005F" w:rsidRPr="00AE5BD5">
        <w:rPr>
          <w:sz w:val="22"/>
          <w:szCs w:val="22"/>
          <w:lang w:val="lt-LT"/>
        </w:rPr>
        <w:t> </w:t>
      </w:r>
      <w:r w:rsidRPr="00AE5BD5">
        <w:rPr>
          <w:sz w:val="22"/>
          <w:szCs w:val="22"/>
          <w:lang w:val="lt-LT"/>
        </w:rPr>
        <w:t>%.</w:t>
      </w:r>
    </w:p>
    <w:p w14:paraId="7518794A" w14:textId="77777777" w:rsidR="00C05173" w:rsidRPr="00AE5BD5" w:rsidRDefault="00C05173" w:rsidP="008C6014">
      <w:pPr>
        <w:rPr>
          <w:sz w:val="22"/>
          <w:szCs w:val="22"/>
          <w:lang w:val="lt-LT"/>
        </w:rPr>
      </w:pPr>
    </w:p>
    <w:p w14:paraId="46F212FA" w14:textId="77777777" w:rsidR="00C05173" w:rsidRPr="00AE5BD5" w:rsidRDefault="00C05173" w:rsidP="008C6014">
      <w:pPr>
        <w:rPr>
          <w:i/>
          <w:iCs/>
          <w:sz w:val="22"/>
          <w:szCs w:val="22"/>
          <w:lang w:val="lt-LT"/>
        </w:rPr>
      </w:pPr>
      <w:r w:rsidRPr="00AE5BD5">
        <w:rPr>
          <w:i/>
          <w:iCs/>
          <w:sz w:val="22"/>
          <w:szCs w:val="22"/>
          <w:u w:val="single"/>
          <w:lang w:val="lt-LT"/>
        </w:rPr>
        <w:t>Veiksmingumas gydant suaugusiuosius, sergančius plautine arterine hipertenzija (PAH) (kai sildenafilis vartojamas kartu su epoprostenoliu)</w:t>
      </w:r>
    </w:p>
    <w:p w14:paraId="4FCEEDD7" w14:textId="77777777" w:rsidR="00C05173" w:rsidRPr="00AE5BD5" w:rsidRDefault="00C05173" w:rsidP="008C6014">
      <w:pPr>
        <w:rPr>
          <w:sz w:val="22"/>
          <w:szCs w:val="22"/>
          <w:lang w:val="lt-LT"/>
        </w:rPr>
      </w:pPr>
      <w:r w:rsidRPr="00AE5BD5">
        <w:rPr>
          <w:sz w:val="22"/>
          <w:szCs w:val="22"/>
          <w:lang w:val="lt-LT"/>
        </w:rPr>
        <w:t>Klinikiniame atsitiktinių imčių placebu kontroliuojamame dvigubai aklu būdu atliktame tyrime dalyvavo 267 ligoniai, sergantys plautine arterine hipertenzija (PAH), kurių būklė stabilizuota vartojant epoprostenolį į veną. 212 iš 267 PAH ligonių diagnozuota pirminė plautinė arterinė hipertenzija (79</w:t>
      </w:r>
      <w:r w:rsidR="00B1005F" w:rsidRPr="00AE5BD5">
        <w:rPr>
          <w:sz w:val="22"/>
          <w:szCs w:val="22"/>
          <w:lang w:val="lt-LT"/>
        </w:rPr>
        <w:t> </w:t>
      </w:r>
      <w:r w:rsidRPr="00AE5BD5">
        <w:rPr>
          <w:sz w:val="22"/>
          <w:szCs w:val="22"/>
          <w:lang w:val="lt-LT"/>
        </w:rPr>
        <w:t>%) ir 55 iš 267 – PAH, susijusi su jungiamojo audinio liga (21</w:t>
      </w:r>
      <w:r w:rsidR="00B1005F" w:rsidRPr="00AE5BD5">
        <w:rPr>
          <w:sz w:val="22"/>
          <w:szCs w:val="22"/>
          <w:lang w:val="lt-LT"/>
        </w:rPr>
        <w:t xml:space="preserve"> </w:t>
      </w:r>
      <w:r w:rsidRPr="00AE5BD5">
        <w:rPr>
          <w:sz w:val="22"/>
          <w:szCs w:val="22"/>
          <w:lang w:val="lt-LT"/>
        </w:rPr>
        <w:t>%). Daugelio ligonių liga priskirta II (68 iš 267, 26</w:t>
      </w:r>
      <w:r w:rsidR="00B1005F" w:rsidRPr="00AE5BD5">
        <w:rPr>
          <w:sz w:val="22"/>
          <w:szCs w:val="22"/>
          <w:lang w:val="lt-LT"/>
        </w:rPr>
        <w:t> </w:t>
      </w:r>
      <w:r w:rsidRPr="00AE5BD5">
        <w:rPr>
          <w:sz w:val="22"/>
          <w:szCs w:val="22"/>
          <w:lang w:val="lt-LT"/>
        </w:rPr>
        <w:t>%) ir III (175 iš 267, 66</w:t>
      </w:r>
      <w:r w:rsidR="00B1005F" w:rsidRPr="00AE5BD5">
        <w:rPr>
          <w:sz w:val="22"/>
          <w:szCs w:val="22"/>
          <w:lang w:val="lt-LT"/>
        </w:rPr>
        <w:t> </w:t>
      </w:r>
      <w:r w:rsidRPr="00AE5BD5">
        <w:rPr>
          <w:sz w:val="22"/>
          <w:szCs w:val="22"/>
          <w:lang w:val="lt-LT"/>
        </w:rPr>
        <w:t>%) funkcinei klasei pagal PSO. Keliems ligoniams prieš gydymą diagnozuota I (3 iš 267, 1</w:t>
      </w:r>
      <w:r w:rsidR="00B1005F" w:rsidRPr="00AE5BD5">
        <w:rPr>
          <w:sz w:val="22"/>
          <w:szCs w:val="22"/>
          <w:lang w:val="lt-LT"/>
        </w:rPr>
        <w:t> </w:t>
      </w:r>
      <w:r w:rsidRPr="00AE5BD5">
        <w:rPr>
          <w:sz w:val="22"/>
          <w:szCs w:val="22"/>
          <w:lang w:val="lt-LT"/>
        </w:rPr>
        <w:t>%) ir IV (16 iš 267, 6</w:t>
      </w:r>
      <w:r w:rsidR="00B1005F" w:rsidRPr="00AE5BD5">
        <w:rPr>
          <w:sz w:val="22"/>
          <w:szCs w:val="22"/>
          <w:lang w:val="lt-LT"/>
        </w:rPr>
        <w:t> </w:t>
      </w:r>
      <w:r w:rsidRPr="00AE5BD5">
        <w:rPr>
          <w:sz w:val="22"/>
          <w:szCs w:val="22"/>
          <w:lang w:val="lt-LT"/>
        </w:rPr>
        <w:t>%) funkcinės klasės liga.</w:t>
      </w:r>
      <w:r w:rsidR="00B1005F" w:rsidRPr="00AE5BD5">
        <w:rPr>
          <w:sz w:val="22"/>
          <w:szCs w:val="22"/>
          <w:lang w:val="lt-LT"/>
        </w:rPr>
        <w:t xml:space="preserve"> </w:t>
      </w:r>
      <w:r w:rsidRPr="00AE5BD5">
        <w:rPr>
          <w:sz w:val="22"/>
          <w:szCs w:val="22"/>
          <w:lang w:val="lt-LT"/>
        </w:rPr>
        <w:t>Kelių pacientų (5 iš 267, 2</w:t>
      </w:r>
      <w:r w:rsidR="00B1005F" w:rsidRPr="00AE5BD5">
        <w:rPr>
          <w:sz w:val="22"/>
          <w:szCs w:val="22"/>
          <w:lang w:val="lt-LT"/>
        </w:rPr>
        <w:t> </w:t>
      </w:r>
      <w:r w:rsidRPr="00AE5BD5">
        <w:rPr>
          <w:sz w:val="22"/>
          <w:szCs w:val="22"/>
          <w:lang w:val="lt-LT"/>
        </w:rPr>
        <w:t>%) funkcinė klasė pagal PSO buvo nežinoma. Pacientai atsitiktiniu būdu suskirstyti į grupes ir vartojo placebą arba sildenafilį (nustatytas dozės didinimas nuo 20</w:t>
      </w:r>
      <w:r w:rsidR="00B1005F" w:rsidRPr="00AE5BD5">
        <w:rPr>
          <w:sz w:val="22"/>
          <w:szCs w:val="22"/>
          <w:lang w:val="lt-LT"/>
        </w:rPr>
        <w:t> </w:t>
      </w:r>
      <w:r w:rsidRPr="00AE5BD5">
        <w:rPr>
          <w:sz w:val="22"/>
          <w:szCs w:val="22"/>
          <w:lang w:val="lt-LT"/>
        </w:rPr>
        <w:t>mg iki 40</w:t>
      </w:r>
      <w:r w:rsidR="00B1005F" w:rsidRPr="00AE5BD5">
        <w:rPr>
          <w:sz w:val="22"/>
          <w:szCs w:val="22"/>
          <w:lang w:val="lt-LT"/>
        </w:rPr>
        <w:t> </w:t>
      </w:r>
      <w:r w:rsidRPr="00AE5BD5">
        <w:rPr>
          <w:sz w:val="22"/>
          <w:szCs w:val="22"/>
          <w:lang w:val="lt-LT"/>
        </w:rPr>
        <w:t>mg, o vėliau – iki 80</w:t>
      </w:r>
      <w:r w:rsidR="00714B41" w:rsidRPr="00AE5BD5">
        <w:rPr>
          <w:sz w:val="22"/>
          <w:szCs w:val="22"/>
          <w:lang w:val="lt-LT"/>
        </w:rPr>
        <w:t> </w:t>
      </w:r>
      <w:r w:rsidRPr="00AE5BD5">
        <w:rPr>
          <w:sz w:val="22"/>
          <w:szCs w:val="22"/>
          <w:lang w:val="lt-LT"/>
        </w:rPr>
        <w:t>mg tris kartus per parą, jeigu pacientas toleravo) ir kartu epoprostenolį į veną.</w:t>
      </w:r>
    </w:p>
    <w:p w14:paraId="508735F5" w14:textId="77777777" w:rsidR="00C05173" w:rsidRPr="00AE5BD5" w:rsidRDefault="00C05173" w:rsidP="008C6014">
      <w:pPr>
        <w:rPr>
          <w:sz w:val="22"/>
          <w:szCs w:val="22"/>
          <w:lang w:val="lt-LT"/>
        </w:rPr>
      </w:pPr>
    </w:p>
    <w:p w14:paraId="6E2DE493" w14:textId="77777777" w:rsidR="00C05173" w:rsidRPr="00AE5BD5" w:rsidRDefault="00C05173" w:rsidP="008C6014">
      <w:pPr>
        <w:rPr>
          <w:sz w:val="22"/>
          <w:szCs w:val="22"/>
          <w:lang w:val="lt-LT"/>
        </w:rPr>
      </w:pPr>
      <w:r w:rsidRPr="00AE5BD5">
        <w:rPr>
          <w:sz w:val="22"/>
          <w:szCs w:val="22"/>
          <w:lang w:val="lt-LT"/>
        </w:rPr>
        <w:t>Svarbiausia veiksmingumo vertinamoji baigtis – prieš tyrimą buvusių 6 minučių ėjimo mėginio duomenų pokytis per 16 savaičių. Sildenafilio grupės tiriamųjų, palyginti su placebo, per 6 minutes nueinamas atstumas statistiškai reikšmingai pailgėjo. Sildenafilį vartoję ligoniai, palyginti su vartojusiais placebą, nuėjo vidutiniškai 26 metrais toliau (95 % PI: 10,8; 41,2) (p = 0,0009). Pacientai</w:t>
      </w:r>
      <w:r w:rsidR="00714B41" w:rsidRPr="00AE5BD5">
        <w:rPr>
          <w:sz w:val="22"/>
          <w:szCs w:val="22"/>
          <w:lang w:val="lt-LT"/>
        </w:rPr>
        <w:t xml:space="preserve">, </w:t>
      </w:r>
      <w:r w:rsidRPr="00AE5BD5">
        <w:rPr>
          <w:sz w:val="22"/>
          <w:szCs w:val="22"/>
          <w:lang w:val="lt-LT"/>
        </w:rPr>
        <w:t>kurių prieš tyrimą nueinamas atstumas buvo ≥ 325 metrai, veikiant sildenafiliui, palyginti su placebu, nuėjo 38,4 metrais toliau. Pacientai, kurių prieš tyrimą nueinamas atstumas buvo &lt; 325 metrų, veikiant sildenafiliui, palyginti su placebu, nuėjo 2,3 metrais toliau. Pacientų, sergančių pirmine PAH, nueinamas atstumas pailgėjo 31,1 metro, palyginti su 7,7 metro pailgėjimu pacientų, sergančių PAH, susijusia su jungiamojo audinio liga. Atsižvelgus į mažą imties dydį, duomenų skirtumai atsitiktiniu būdu suskirstytuose pogrupiuose gali būti didesni.</w:t>
      </w:r>
    </w:p>
    <w:p w14:paraId="71A6BCCE" w14:textId="77777777" w:rsidR="00C05173" w:rsidRPr="00AE5BD5" w:rsidRDefault="00C05173" w:rsidP="008C6014">
      <w:pPr>
        <w:rPr>
          <w:sz w:val="22"/>
          <w:szCs w:val="22"/>
          <w:lang w:val="lt-LT"/>
        </w:rPr>
      </w:pPr>
    </w:p>
    <w:p w14:paraId="24A63023" w14:textId="77777777" w:rsidR="00C05173" w:rsidRPr="00AE5BD5" w:rsidRDefault="00C05173" w:rsidP="008C6014">
      <w:pPr>
        <w:rPr>
          <w:sz w:val="22"/>
          <w:szCs w:val="22"/>
          <w:lang w:val="lt-LT"/>
        </w:rPr>
      </w:pPr>
      <w:r w:rsidRPr="00AE5BD5">
        <w:rPr>
          <w:sz w:val="22"/>
          <w:szCs w:val="22"/>
          <w:lang w:val="lt-LT"/>
        </w:rPr>
        <w:lastRenderedPageBreak/>
        <w:t>Sildenafilį vartojusių pacientų, palyginti su placebą vartojusiais, vidutinis plautinis arterinis kraujospūdis (vPAKS) statistiškai reikšmingai sumažėjo. Gydymo sildenafiliu efektyvumas, palyginti su placebu, buvo -3,9</w:t>
      </w:r>
      <w:r w:rsidR="00714B41" w:rsidRPr="00AE5BD5">
        <w:rPr>
          <w:sz w:val="22"/>
          <w:szCs w:val="22"/>
          <w:lang w:val="lt-LT"/>
        </w:rPr>
        <w:t> </w:t>
      </w:r>
      <w:r w:rsidRPr="00AE5BD5">
        <w:rPr>
          <w:sz w:val="22"/>
          <w:szCs w:val="22"/>
          <w:lang w:val="lt-LT"/>
        </w:rPr>
        <w:t>mm</w:t>
      </w:r>
      <w:r w:rsidR="00714B41" w:rsidRPr="00AE5BD5">
        <w:rPr>
          <w:sz w:val="22"/>
          <w:szCs w:val="22"/>
          <w:lang w:val="lt-LT"/>
        </w:rPr>
        <w:t> </w:t>
      </w:r>
      <w:r w:rsidRPr="00AE5BD5">
        <w:rPr>
          <w:sz w:val="22"/>
          <w:szCs w:val="22"/>
          <w:lang w:val="lt-LT"/>
        </w:rPr>
        <w:t>Hg (95</w:t>
      </w:r>
      <w:r w:rsidR="00714B41" w:rsidRPr="00AE5BD5">
        <w:rPr>
          <w:sz w:val="22"/>
          <w:szCs w:val="22"/>
          <w:lang w:val="lt-LT"/>
        </w:rPr>
        <w:t> </w:t>
      </w:r>
      <w:r w:rsidRPr="00AE5BD5">
        <w:rPr>
          <w:sz w:val="22"/>
          <w:szCs w:val="22"/>
          <w:lang w:val="lt-LT"/>
        </w:rPr>
        <w:t>% PI: -5,7, -2,1; p = 0,00003). Laikotarpis, po kurio paciento klinikinė būklė pablogėjo, buvo antrinė vertinamoji baigtis, apibūdinama kaip laikotarpis, parėjęs nuo suskirstymo į grupes iki pirmųjų klinikinės būklės pablogėjimo reiškinių (paciento mirtis, plaučių persodinimo operacija, gydymo bozentanu pradžia arba klinikinės būklės pablogėjimas, dėl kurio prireikė keisti gydymą epoprostenoliu). Gydymas sildenafiliu, palyginti su placebu, reikšmingai pailgino laikotarpį, po kurio PAH sergančio paciento klinikinė būklė pablogėjo (p = 0,0074). Klinikinė būklė pablogėjo 23 placebo grupės tiriamųjų (17,6</w:t>
      </w:r>
      <w:r w:rsidR="00714B41" w:rsidRPr="00AE5BD5">
        <w:rPr>
          <w:sz w:val="22"/>
          <w:szCs w:val="22"/>
          <w:lang w:val="lt-LT"/>
        </w:rPr>
        <w:t> </w:t>
      </w:r>
      <w:r w:rsidRPr="00AE5BD5">
        <w:rPr>
          <w:sz w:val="22"/>
          <w:szCs w:val="22"/>
          <w:lang w:val="lt-LT"/>
        </w:rPr>
        <w:t>%), palyginti su 8 sildenafilio grupės tiriamaisiais (6,0</w:t>
      </w:r>
      <w:r w:rsidR="00714B41" w:rsidRPr="00AE5BD5">
        <w:rPr>
          <w:sz w:val="22"/>
          <w:szCs w:val="22"/>
          <w:lang w:val="lt-LT"/>
        </w:rPr>
        <w:t> </w:t>
      </w:r>
      <w:r w:rsidRPr="00AE5BD5">
        <w:rPr>
          <w:sz w:val="22"/>
          <w:szCs w:val="22"/>
          <w:lang w:val="lt-LT"/>
        </w:rPr>
        <w:t>%).</w:t>
      </w:r>
    </w:p>
    <w:p w14:paraId="16916797" w14:textId="77777777" w:rsidR="00C05173" w:rsidRPr="00AE5BD5" w:rsidRDefault="00C05173" w:rsidP="008C6014">
      <w:pPr>
        <w:rPr>
          <w:sz w:val="22"/>
          <w:szCs w:val="22"/>
          <w:lang w:val="lt-LT"/>
        </w:rPr>
      </w:pPr>
    </w:p>
    <w:p w14:paraId="633FBA29" w14:textId="77777777" w:rsidR="00C05173" w:rsidRPr="00AE5BD5" w:rsidRDefault="00C05173" w:rsidP="008C6014">
      <w:pPr>
        <w:rPr>
          <w:sz w:val="22"/>
          <w:szCs w:val="22"/>
          <w:lang w:val="lt-LT"/>
        </w:rPr>
      </w:pPr>
      <w:r w:rsidRPr="00AE5BD5">
        <w:rPr>
          <w:sz w:val="22"/>
          <w:szCs w:val="22"/>
          <w:u w:val="single"/>
          <w:lang w:val="lt-LT"/>
        </w:rPr>
        <w:t>Ilgalaikio išgyvenamumo duomenys foninio gydymo epoprostenoliu tyrimo metu</w:t>
      </w:r>
    </w:p>
    <w:p w14:paraId="1ED59A7A" w14:textId="77777777" w:rsidR="00C05173" w:rsidRPr="00AE5BD5" w:rsidRDefault="00C05173" w:rsidP="008C6014">
      <w:pPr>
        <w:rPr>
          <w:sz w:val="22"/>
          <w:szCs w:val="22"/>
          <w:lang w:val="lt-LT"/>
        </w:rPr>
      </w:pPr>
      <w:r w:rsidRPr="00AE5BD5">
        <w:rPr>
          <w:sz w:val="22"/>
          <w:szCs w:val="22"/>
          <w:lang w:val="lt-LT"/>
        </w:rPr>
        <w:t>Papildomo gydymo epoprostenoliu tyrime dalyvavę pacientai galėjo toliau dalyvauti atviru būdu atliekamame ilgalaikiame tęstiniame tyrime. Trečiaisiais metais 68</w:t>
      </w:r>
      <w:r w:rsidR="00714B41" w:rsidRPr="00AE5BD5">
        <w:rPr>
          <w:sz w:val="22"/>
          <w:szCs w:val="22"/>
          <w:lang w:val="lt-LT"/>
        </w:rPr>
        <w:t> </w:t>
      </w:r>
      <w:r w:rsidRPr="00AE5BD5">
        <w:rPr>
          <w:sz w:val="22"/>
          <w:szCs w:val="22"/>
          <w:lang w:val="lt-LT"/>
        </w:rPr>
        <w:t>% pacientų vartojo 80</w:t>
      </w:r>
      <w:r w:rsidR="00714B41" w:rsidRPr="00AE5BD5">
        <w:rPr>
          <w:sz w:val="22"/>
          <w:szCs w:val="22"/>
          <w:lang w:val="lt-LT"/>
        </w:rPr>
        <w:t> </w:t>
      </w:r>
      <w:r w:rsidRPr="00AE5BD5">
        <w:rPr>
          <w:sz w:val="22"/>
          <w:szCs w:val="22"/>
          <w:lang w:val="lt-LT"/>
        </w:rPr>
        <w:t xml:space="preserve">mg dozę tris kartus per parą. Iš viso 134 pacientai buvo gydyti </w:t>
      </w:r>
      <w:r w:rsidR="000D491A" w:rsidRPr="00AE5BD5">
        <w:rPr>
          <w:sz w:val="22"/>
          <w:szCs w:val="22"/>
          <w:lang w:val="lt-LT"/>
        </w:rPr>
        <w:t>sildenafiliu</w:t>
      </w:r>
      <w:r w:rsidRPr="00AE5BD5">
        <w:rPr>
          <w:sz w:val="22"/>
          <w:szCs w:val="22"/>
          <w:lang w:val="lt-LT"/>
        </w:rPr>
        <w:t xml:space="preserve"> pradinio tyrimo metu, o jų ilgalaikio išgyvenamumo būklė buvo įvertinta praėjus ne mažiau kaip 3 metams. Išgyvenimo 1, 2 ir 3 metus </w:t>
      </w:r>
      <w:r w:rsidRPr="00AE5BD5">
        <w:rPr>
          <w:i/>
          <w:iCs/>
          <w:sz w:val="22"/>
          <w:szCs w:val="22"/>
          <w:lang w:val="lt-LT"/>
        </w:rPr>
        <w:t xml:space="preserve">Kaplan-Meier </w:t>
      </w:r>
      <w:r w:rsidRPr="00AE5BD5">
        <w:rPr>
          <w:sz w:val="22"/>
          <w:szCs w:val="22"/>
          <w:lang w:val="lt-LT"/>
        </w:rPr>
        <w:t>įvertinys šioje grupėje buvo atitinkamai 92</w:t>
      </w:r>
      <w:r w:rsidR="00714B41" w:rsidRPr="00AE5BD5">
        <w:rPr>
          <w:sz w:val="22"/>
          <w:szCs w:val="22"/>
          <w:lang w:val="lt-LT"/>
        </w:rPr>
        <w:t> </w:t>
      </w:r>
      <w:r w:rsidRPr="00AE5BD5">
        <w:rPr>
          <w:sz w:val="22"/>
          <w:szCs w:val="22"/>
          <w:lang w:val="lt-LT"/>
        </w:rPr>
        <w:t>%, 81</w:t>
      </w:r>
      <w:r w:rsidR="00714B41" w:rsidRPr="00AE5BD5">
        <w:rPr>
          <w:sz w:val="22"/>
          <w:szCs w:val="22"/>
          <w:lang w:val="lt-LT"/>
        </w:rPr>
        <w:t> </w:t>
      </w:r>
      <w:r w:rsidRPr="00AE5BD5">
        <w:rPr>
          <w:sz w:val="22"/>
          <w:szCs w:val="22"/>
          <w:lang w:val="lt-LT"/>
        </w:rPr>
        <w:t>% ir 74</w:t>
      </w:r>
      <w:r w:rsidR="00714B41" w:rsidRPr="00AE5BD5">
        <w:rPr>
          <w:sz w:val="22"/>
          <w:szCs w:val="22"/>
          <w:lang w:val="lt-LT"/>
        </w:rPr>
        <w:t> </w:t>
      </w:r>
      <w:r w:rsidRPr="00AE5BD5">
        <w:rPr>
          <w:sz w:val="22"/>
          <w:szCs w:val="22"/>
          <w:lang w:val="lt-LT"/>
        </w:rPr>
        <w:t>%.</w:t>
      </w:r>
    </w:p>
    <w:p w14:paraId="0393FD29" w14:textId="77777777" w:rsidR="00C05173" w:rsidRPr="00AE5BD5" w:rsidRDefault="00C05173" w:rsidP="008C6014">
      <w:pPr>
        <w:rPr>
          <w:sz w:val="22"/>
          <w:szCs w:val="22"/>
          <w:lang w:val="lt-LT"/>
        </w:rPr>
      </w:pPr>
    </w:p>
    <w:p w14:paraId="5F63C245" w14:textId="77777777" w:rsidR="00C05173" w:rsidRPr="00AE5BD5" w:rsidRDefault="00C05173" w:rsidP="008C6014">
      <w:pPr>
        <w:rPr>
          <w:sz w:val="22"/>
          <w:szCs w:val="22"/>
          <w:lang w:val="lt-LT"/>
        </w:rPr>
      </w:pPr>
      <w:r w:rsidRPr="00AE5BD5">
        <w:rPr>
          <w:sz w:val="22"/>
          <w:szCs w:val="22"/>
          <w:u w:val="single"/>
          <w:lang w:val="lt-LT"/>
        </w:rPr>
        <w:t>Veiksmingumas ir saugumas gydant PAH sergančius suaugusius pacientus (skiriant kartu su bozentanu)</w:t>
      </w:r>
    </w:p>
    <w:p w14:paraId="1120A9A3" w14:textId="77777777" w:rsidR="00C05173" w:rsidRPr="00AE5BD5" w:rsidRDefault="00C05173" w:rsidP="008C6014">
      <w:pPr>
        <w:rPr>
          <w:sz w:val="22"/>
          <w:szCs w:val="22"/>
          <w:lang w:val="lt-LT"/>
        </w:rPr>
      </w:pPr>
    </w:p>
    <w:p w14:paraId="2D187A27" w14:textId="77777777" w:rsidR="00C05173" w:rsidRPr="00AE5BD5" w:rsidRDefault="00C05173" w:rsidP="008C6014">
      <w:pPr>
        <w:rPr>
          <w:sz w:val="22"/>
          <w:szCs w:val="22"/>
          <w:lang w:val="lt-LT"/>
        </w:rPr>
      </w:pPr>
      <w:r w:rsidRPr="00AE5BD5">
        <w:rPr>
          <w:sz w:val="22"/>
          <w:szCs w:val="22"/>
          <w:lang w:val="lt-LT"/>
        </w:rPr>
        <w:t>Klinikiniame atsitiktinių imčių placebu kontroliuojamame dvigubai aklu būdu atliktame tyrime dalyvavo 103 kliniškai stabilūs tiriamieji, sergantys plautine arterine hipertenzija (PAH) (II ir III PSO funkcinė klasė), kurie bent tris mėnesius buvo gydyti bozentanu. Kai kurie iš jų sirgo pirmine PAH, o kiti – PAH, susijusia su jungiamojo audinio ligomis. Pacientai atsitiktine tvarka buvo atrinkti į placebo grupę arba į sildenafilio (po 20</w:t>
      </w:r>
      <w:r w:rsidR="00B1005F" w:rsidRPr="00AE5BD5">
        <w:rPr>
          <w:sz w:val="22"/>
          <w:szCs w:val="22"/>
          <w:lang w:val="lt-LT"/>
        </w:rPr>
        <w:t> </w:t>
      </w:r>
      <w:r w:rsidRPr="00AE5BD5">
        <w:rPr>
          <w:sz w:val="22"/>
          <w:szCs w:val="22"/>
          <w:lang w:val="lt-LT"/>
        </w:rPr>
        <w:t>mg tris kartus per parą) kartu su bozentanu (po 62,5-125</w:t>
      </w:r>
      <w:r w:rsidR="00714B41" w:rsidRPr="00AE5BD5">
        <w:rPr>
          <w:sz w:val="22"/>
          <w:szCs w:val="22"/>
          <w:lang w:val="lt-LT"/>
        </w:rPr>
        <w:t> </w:t>
      </w:r>
      <w:r w:rsidRPr="00AE5BD5">
        <w:rPr>
          <w:sz w:val="22"/>
          <w:szCs w:val="22"/>
          <w:lang w:val="lt-LT"/>
        </w:rPr>
        <w:t>mg du kartus per parą) vartojusiųjų grupę. Pirminė veiksmingumo vertinamoji baigtis buvo įvertinti, kaip po</w:t>
      </w:r>
      <w:r w:rsidR="00714B41" w:rsidRPr="00AE5BD5">
        <w:rPr>
          <w:sz w:val="22"/>
          <w:szCs w:val="22"/>
          <w:lang w:val="lt-LT"/>
        </w:rPr>
        <w:t xml:space="preserve"> </w:t>
      </w:r>
      <w:r w:rsidRPr="00AE5BD5">
        <w:rPr>
          <w:sz w:val="22"/>
          <w:szCs w:val="22"/>
          <w:lang w:val="lt-LT"/>
        </w:rPr>
        <w:t>12 savaičių pakito 6 MĖM rezultatai, palyginti su buvusiais prieš tyrimą. Tarp sildenafilį (po 20</w:t>
      </w:r>
      <w:r w:rsidR="00714B41" w:rsidRPr="00AE5BD5">
        <w:rPr>
          <w:sz w:val="22"/>
          <w:szCs w:val="22"/>
          <w:lang w:val="lt-LT"/>
        </w:rPr>
        <w:t> </w:t>
      </w:r>
      <w:r w:rsidRPr="00AE5BD5">
        <w:rPr>
          <w:sz w:val="22"/>
          <w:szCs w:val="22"/>
          <w:lang w:val="lt-LT"/>
        </w:rPr>
        <w:t>mg tris kartus per parą) ir placebą vartojusiųjų pacientų reikšmingų 6 MĖM tyrimo rezultatų pokyčių skirtumų, palyginti su buvusiais prieš tyrimą, nebuvo nustatyta (atitinkamai 13,62 m (95</w:t>
      </w:r>
      <w:r w:rsidR="00714B41" w:rsidRPr="00AE5BD5">
        <w:rPr>
          <w:sz w:val="22"/>
          <w:szCs w:val="22"/>
          <w:lang w:val="lt-LT"/>
        </w:rPr>
        <w:t> </w:t>
      </w:r>
      <w:r w:rsidRPr="00AE5BD5">
        <w:rPr>
          <w:sz w:val="22"/>
          <w:szCs w:val="22"/>
          <w:lang w:val="lt-LT"/>
        </w:rPr>
        <w:t>% PI: -3,89 – 31,12) ir 14,08 m (95</w:t>
      </w:r>
      <w:r w:rsidR="00714B41" w:rsidRPr="00AE5BD5">
        <w:rPr>
          <w:sz w:val="22"/>
          <w:szCs w:val="22"/>
          <w:lang w:val="lt-LT"/>
        </w:rPr>
        <w:t> </w:t>
      </w:r>
      <w:r w:rsidRPr="00AE5BD5">
        <w:rPr>
          <w:sz w:val="22"/>
          <w:szCs w:val="22"/>
          <w:lang w:val="lt-LT"/>
        </w:rPr>
        <w:t>% PI: -1,78 – 29,95)).</w:t>
      </w:r>
    </w:p>
    <w:p w14:paraId="1F12FCE4" w14:textId="77777777" w:rsidR="00C05173" w:rsidRPr="00AE5BD5" w:rsidRDefault="00C05173" w:rsidP="008C6014">
      <w:pPr>
        <w:rPr>
          <w:sz w:val="22"/>
          <w:szCs w:val="22"/>
          <w:lang w:val="lt-LT"/>
        </w:rPr>
      </w:pPr>
    </w:p>
    <w:p w14:paraId="367C7EAF" w14:textId="77777777" w:rsidR="00C05173" w:rsidRPr="00AE5BD5" w:rsidRDefault="00C05173" w:rsidP="008C6014">
      <w:pPr>
        <w:rPr>
          <w:sz w:val="22"/>
          <w:szCs w:val="22"/>
          <w:lang w:val="lt-LT"/>
        </w:rPr>
      </w:pPr>
      <w:r w:rsidRPr="00AE5BD5">
        <w:rPr>
          <w:sz w:val="22"/>
          <w:szCs w:val="22"/>
          <w:lang w:val="lt-LT"/>
        </w:rPr>
        <w:t>6 MĖM skirtumų buvo pastebėta tarp pirmine PAH sergančių pacientų ir pacientų, kurie sirgo su jungiamojo audinio ligomis susijusia PAH. Pirmine PAH sergančių 67 tiriamųjų vidutinis pokytis, palyginti su pradiniu, sildenafilio ir placebo grupėse buvo atitinkamai 26,39 m (95</w:t>
      </w:r>
      <w:r w:rsidR="00714B41" w:rsidRPr="00AE5BD5">
        <w:rPr>
          <w:sz w:val="22"/>
          <w:szCs w:val="22"/>
          <w:lang w:val="lt-LT"/>
        </w:rPr>
        <w:t> </w:t>
      </w:r>
      <w:r w:rsidRPr="00AE5BD5">
        <w:rPr>
          <w:sz w:val="22"/>
          <w:szCs w:val="22"/>
          <w:lang w:val="lt-LT"/>
        </w:rPr>
        <w:t>% PI: 10,70 – 42,08) ir 11,84 m (95</w:t>
      </w:r>
      <w:r w:rsidR="00714B41" w:rsidRPr="00AE5BD5">
        <w:rPr>
          <w:sz w:val="22"/>
          <w:szCs w:val="22"/>
          <w:lang w:val="lt-LT"/>
        </w:rPr>
        <w:t> </w:t>
      </w:r>
      <w:r w:rsidRPr="00AE5BD5">
        <w:rPr>
          <w:sz w:val="22"/>
          <w:szCs w:val="22"/>
          <w:lang w:val="lt-LT"/>
        </w:rPr>
        <w:t>% PI: -8,83 – 32,52). Tačiau su jungiamojo audinio ligomis susijusia PAH sergančių 36 tiriamųjų vidutinis pokytis, palyginti su pradiniu, sildenafilio ir placebo grupėse buvo atitinkamai 18,32 m (95</w:t>
      </w:r>
      <w:r w:rsidR="00714B41" w:rsidRPr="00AE5BD5">
        <w:rPr>
          <w:sz w:val="22"/>
          <w:szCs w:val="22"/>
          <w:lang w:val="lt-LT"/>
        </w:rPr>
        <w:t> </w:t>
      </w:r>
      <w:r w:rsidRPr="00AE5BD5">
        <w:rPr>
          <w:sz w:val="22"/>
          <w:szCs w:val="22"/>
          <w:lang w:val="lt-LT"/>
        </w:rPr>
        <w:t>% PI: -65,66 – 29,02) ir 17,50 m (95</w:t>
      </w:r>
      <w:r w:rsidR="00714B41" w:rsidRPr="00AE5BD5">
        <w:rPr>
          <w:sz w:val="22"/>
          <w:szCs w:val="22"/>
          <w:lang w:val="lt-LT"/>
        </w:rPr>
        <w:t> </w:t>
      </w:r>
      <w:r w:rsidRPr="00AE5BD5">
        <w:rPr>
          <w:sz w:val="22"/>
          <w:szCs w:val="22"/>
          <w:lang w:val="lt-LT"/>
        </w:rPr>
        <w:t>% PI: -9,41 – 44,41).</w:t>
      </w:r>
    </w:p>
    <w:p w14:paraId="6114E0D4" w14:textId="77777777" w:rsidR="00C05173" w:rsidRPr="00AE5BD5" w:rsidRDefault="00C05173" w:rsidP="008C6014">
      <w:pPr>
        <w:rPr>
          <w:sz w:val="22"/>
          <w:szCs w:val="22"/>
          <w:lang w:val="lt-LT"/>
        </w:rPr>
      </w:pPr>
    </w:p>
    <w:p w14:paraId="79021C60" w14:textId="77777777" w:rsidR="00C05173" w:rsidRPr="00AE5BD5" w:rsidRDefault="00C05173" w:rsidP="008C6014">
      <w:pPr>
        <w:rPr>
          <w:sz w:val="22"/>
          <w:szCs w:val="22"/>
          <w:lang w:val="lt-LT"/>
        </w:rPr>
      </w:pPr>
      <w:r w:rsidRPr="00AE5BD5">
        <w:rPr>
          <w:sz w:val="22"/>
          <w:szCs w:val="22"/>
          <w:lang w:val="lt-LT"/>
        </w:rPr>
        <w:t>Nepageidaujami reiškiniai iš esmės buvo panašūs abiejose vaistiniais preparatais (sildenafiliu kartu su bozentanu arba vien tik bozentanu) gydytų tiriamųjų grupėse ir atitiko žinomus sildenafilio monoterapijos saugumo duomenis (žr. 4.4 ir 4.5 skyrius).</w:t>
      </w:r>
    </w:p>
    <w:p w14:paraId="61077646" w14:textId="77777777" w:rsidR="00C05173" w:rsidRDefault="00C05173" w:rsidP="008C6014">
      <w:pPr>
        <w:rPr>
          <w:sz w:val="22"/>
          <w:szCs w:val="22"/>
          <w:lang w:val="lt-LT"/>
        </w:rPr>
      </w:pPr>
    </w:p>
    <w:p w14:paraId="7DBDE51D" w14:textId="77777777" w:rsidR="00524399" w:rsidRPr="008D4A33" w:rsidRDefault="00524399" w:rsidP="00524399">
      <w:pPr>
        <w:rPr>
          <w:sz w:val="22"/>
          <w:szCs w:val="22"/>
          <w:u w:val="single"/>
          <w:lang w:val="lt-LT"/>
        </w:rPr>
      </w:pPr>
      <w:r w:rsidRPr="008D4A33">
        <w:rPr>
          <w:sz w:val="22"/>
          <w:szCs w:val="22"/>
          <w:u w:val="single"/>
          <w:lang w:val="lt-LT"/>
        </w:rPr>
        <w:t>Poveikis PAH sergančių suaugusiųjų mirštamumui</w:t>
      </w:r>
    </w:p>
    <w:p w14:paraId="790B981F" w14:textId="77777777" w:rsidR="00524399" w:rsidRPr="00524399" w:rsidRDefault="00524399" w:rsidP="00524399">
      <w:pPr>
        <w:rPr>
          <w:sz w:val="22"/>
          <w:szCs w:val="22"/>
          <w:lang w:val="lt-LT"/>
        </w:rPr>
      </w:pPr>
      <w:r w:rsidRPr="00524399">
        <w:rPr>
          <w:sz w:val="22"/>
          <w:szCs w:val="22"/>
          <w:lang w:val="lt-LT"/>
        </w:rPr>
        <w:t xml:space="preserve">Tyrimas, kuriuo siekta ištirti skirtingų sildenafilio dozių įtaką suaugusiųjų, sergančių PAH, mirštamumui, buvo atliktas pastebėjus didesnę mirštamumo riziką pacientams vaikams, tris kartus per parą vartojusiems didelę sildenafilio dozę, apskaičiuotą pagal kūno svorį, palyginti su pacientais, vartojusiais mažesnę dozę ilgalaikio tęstinio vaikų klinikinio tyrimo metu (žr. toliau </w:t>
      </w:r>
      <w:r w:rsidRPr="008D4A33">
        <w:rPr>
          <w:sz w:val="22"/>
          <w:szCs w:val="22"/>
          <w:u w:val="single"/>
          <w:lang w:val="lt-LT"/>
        </w:rPr>
        <w:t xml:space="preserve">Vaikų populiacija </w:t>
      </w:r>
      <w:r w:rsidRPr="00524399">
        <w:rPr>
          <w:sz w:val="22"/>
          <w:szCs w:val="22"/>
          <w:lang w:val="lt-LT"/>
        </w:rPr>
        <w:t xml:space="preserve">– </w:t>
      </w:r>
      <w:r w:rsidRPr="008D4A33">
        <w:rPr>
          <w:i/>
          <w:iCs/>
          <w:sz w:val="22"/>
          <w:szCs w:val="22"/>
          <w:lang w:val="lt-LT"/>
        </w:rPr>
        <w:t>Plautinė arterinė hipertenzija</w:t>
      </w:r>
      <w:r w:rsidRPr="00524399">
        <w:rPr>
          <w:sz w:val="22"/>
          <w:szCs w:val="22"/>
          <w:lang w:val="lt-LT"/>
        </w:rPr>
        <w:t xml:space="preserve"> – Ilgalaikio tęstinio tyrimo duomenys).</w:t>
      </w:r>
    </w:p>
    <w:p w14:paraId="4CD7D093" w14:textId="77777777" w:rsidR="00524399" w:rsidRPr="00524399" w:rsidRDefault="00524399" w:rsidP="00524399">
      <w:pPr>
        <w:rPr>
          <w:sz w:val="22"/>
          <w:szCs w:val="22"/>
          <w:lang w:val="lt-LT"/>
        </w:rPr>
      </w:pPr>
    </w:p>
    <w:p w14:paraId="0E69863A" w14:textId="20670073" w:rsidR="00524399" w:rsidRPr="00524399" w:rsidRDefault="00524399" w:rsidP="00524399">
      <w:pPr>
        <w:rPr>
          <w:sz w:val="22"/>
          <w:szCs w:val="22"/>
          <w:lang w:val="lt-LT"/>
        </w:rPr>
      </w:pPr>
      <w:r w:rsidRPr="00524399">
        <w:rPr>
          <w:sz w:val="22"/>
          <w:szCs w:val="22"/>
          <w:lang w:val="lt-LT"/>
        </w:rPr>
        <w:t>Tai buvo atsitiktinių imčių, dvigubai koduotas, lygiagrečių grupių tyrimas, kuriame dalyvavo 385 suaugusieji, sergantys PAH. Pacientai santykiu 1:1:1 atsitiktine tvarka buvo priskirti vienai iš trijų dozavimo grupių (5 mg tris kartus per parą (4 kartus mažesnė nei rekomenduojama dozė), 20</w:t>
      </w:r>
      <w:r w:rsidR="000257C5">
        <w:rPr>
          <w:sz w:val="22"/>
          <w:szCs w:val="22"/>
          <w:lang w:val="lt-LT"/>
        </w:rPr>
        <w:t> </w:t>
      </w:r>
      <w:r w:rsidRPr="00524399">
        <w:rPr>
          <w:sz w:val="22"/>
          <w:szCs w:val="22"/>
          <w:lang w:val="lt-LT"/>
        </w:rPr>
        <w:t>mg tris kartus per parą (rekomenduojama dozė) ir 80</w:t>
      </w:r>
      <w:r w:rsidR="000257C5">
        <w:rPr>
          <w:sz w:val="22"/>
          <w:szCs w:val="22"/>
          <w:lang w:val="lt-LT"/>
        </w:rPr>
        <w:t> </w:t>
      </w:r>
      <w:r w:rsidRPr="00524399">
        <w:rPr>
          <w:sz w:val="22"/>
          <w:szCs w:val="22"/>
          <w:lang w:val="lt-LT"/>
        </w:rPr>
        <w:t>mg tris kartus per parą (4 kartus didesnė nei rekomenduojama dozė)). Dauguma tiriamųjų buvo dar negydyti nuo PAH (83,4</w:t>
      </w:r>
      <w:r w:rsidR="000257C5">
        <w:rPr>
          <w:sz w:val="22"/>
          <w:szCs w:val="22"/>
          <w:lang w:val="lt-LT"/>
        </w:rPr>
        <w:t> </w:t>
      </w:r>
      <w:r w:rsidRPr="00524399">
        <w:rPr>
          <w:sz w:val="22"/>
          <w:szCs w:val="22"/>
          <w:lang w:val="lt-LT"/>
        </w:rPr>
        <w:t>%). Daugumos tiriamųjų PAH etiologija buvo idiopatinė (71,7</w:t>
      </w:r>
      <w:r w:rsidR="000257C5">
        <w:rPr>
          <w:sz w:val="22"/>
          <w:szCs w:val="22"/>
          <w:lang w:val="lt-LT"/>
        </w:rPr>
        <w:t> </w:t>
      </w:r>
      <w:r w:rsidRPr="00524399">
        <w:rPr>
          <w:sz w:val="22"/>
          <w:szCs w:val="22"/>
          <w:lang w:val="lt-LT"/>
        </w:rPr>
        <w:t>%). Dažniausiai pasitaikanti PSO funkcinė klasė buvo III klasė (57,7</w:t>
      </w:r>
      <w:r w:rsidR="000257C5">
        <w:rPr>
          <w:sz w:val="22"/>
          <w:szCs w:val="22"/>
          <w:lang w:val="lt-LT"/>
        </w:rPr>
        <w:t> </w:t>
      </w:r>
      <w:r w:rsidRPr="00524399">
        <w:rPr>
          <w:sz w:val="22"/>
          <w:szCs w:val="22"/>
          <w:lang w:val="lt-LT"/>
        </w:rPr>
        <w:t xml:space="preserve">% tiriamųjų). Visos trys gydymo grupės buvo gerai subalansuotos pagal pradinius sluoksnių demografinius duomenis, PAH gydymo istoriją ir PAH etiologiją, taip pat PSO funkcinės </w:t>
      </w:r>
      <w:r w:rsidRPr="00524399">
        <w:rPr>
          <w:sz w:val="22"/>
          <w:szCs w:val="22"/>
          <w:lang w:val="lt-LT"/>
        </w:rPr>
        <w:lastRenderedPageBreak/>
        <w:t>klasės kategorijas.</w:t>
      </w:r>
    </w:p>
    <w:p w14:paraId="014F04FD" w14:textId="77777777" w:rsidR="00524399" w:rsidRPr="00524399" w:rsidRDefault="00524399" w:rsidP="00524399">
      <w:pPr>
        <w:rPr>
          <w:sz w:val="22"/>
          <w:szCs w:val="22"/>
          <w:lang w:val="lt-LT"/>
        </w:rPr>
      </w:pPr>
    </w:p>
    <w:p w14:paraId="5CB2E846" w14:textId="6C7C2705" w:rsidR="00524399" w:rsidRDefault="00524399" w:rsidP="00524399">
      <w:pPr>
        <w:rPr>
          <w:sz w:val="22"/>
          <w:szCs w:val="22"/>
          <w:lang w:val="lt-LT"/>
        </w:rPr>
      </w:pPr>
      <w:r w:rsidRPr="00524399">
        <w:rPr>
          <w:sz w:val="22"/>
          <w:szCs w:val="22"/>
          <w:lang w:val="lt-LT"/>
        </w:rPr>
        <w:t>Mirštamumas buvo 26,4</w:t>
      </w:r>
      <w:r w:rsidR="000257C5">
        <w:rPr>
          <w:sz w:val="22"/>
          <w:szCs w:val="22"/>
          <w:lang w:val="lt-LT"/>
        </w:rPr>
        <w:t> </w:t>
      </w:r>
      <w:r w:rsidRPr="00524399">
        <w:rPr>
          <w:sz w:val="22"/>
          <w:szCs w:val="22"/>
          <w:lang w:val="lt-LT"/>
        </w:rPr>
        <w:t>% (n</w:t>
      </w:r>
      <w:r w:rsidR="000257C5">
        <w:rPr>
          <w:sz w:val="22"/>
          <w:szCs w:val="22"/>
          <w:lang w:val="lt-LT"/>
        </w:rPr>
        <w:t> </w:t>
      </w:r>
      <w:r w:rsidRPr="00524399">
        <w:rPr>
          <w:sz w:val="22"/>
          <w:szCs w:val="22"/>
          <w:lang w:val="lt-LT"/>
        </w:rPr>
        <w:t>=</w:t>
      </w:r>
      <w:r w:rsidR="000257C5">
        <w:rPr>
          <w:sz w:val="22"/>
          <w:szCs w:val="22"/>
          <w:lang w:val="lt-LT"/>
        </w:rPr>
        <w:t> </w:t>
      </w:r>
      <w:r w:rsidRPr="00524399">
        <w:rPr>
          <w:sz w:val="22"/>
          <w:szCs w:val="22"/>
          <w:lang w:val="lt-LT"/>
        </w:rPr>
        <w:t>34) vartojant 5 mg tris kartus per parą dozę, 19,5</w:t>
      </w:r>
      <w:r w:rsidR="000257C5">
        <w:rPr>
          <w:sz w:val="22"/>
          <w:szCs w:val="22"/>
          <w:lang w:val="lt-LT"/>
        </w:rPr>
        <w:t> </w:t>
      </w:r>
      <w:r w:rsidRPr="00524399">
        <w:rPr>
          <w:sz w:val="22"/>
          <w:szCs w:val="22"/>
          <w:lang w:val="lt-LT"/>
        </w:rPr>
        <w:t>% (n</w:t>
      </w:r>
      <w:r w:rsidR="000257C5">
        <w:rPr>
          <w:sz w:val="22"/>
          <w:szCs w:val="22"/>
          <w:lang w:val="lt-LT"/>
        </w:rPr>
        <w:t> </w:t>
      </w:r>
      <w:r w:rsidRPr="00524399">
        <w:rPr>
          <w:sz w:val="22"/>
          <w:szCs w:val="22"/>
          <w:lang w:val="lt-LT"/>
        </w:rPr>
        <w:t>=</w:t>
      </w:r>
      <w:r w:rsidR="000257C5">
        <w:rPr>
          <w:sz w:val="22"/>
          <w:szCs w:val="22"/>
          <w:lang w:val="lt-LT"/>
        </w:rPr>
        <w:t> </w:t>
      </w:r>
      <w:r w:rsidRPr="00524399">
        <w:rPr>
          <w:sz w:val="22"/>
          <w:szCs w:val="22"/>
          <w:lang w:val="lt-LT"/>
        </w:rPr>
        <w:t>25) vartojant 20</w:t>
      </w:r>
      <w:r w:rsidR="000257C5">
        <w:rPr>
          <w:sz w:val="22"/>
          <w:szCs w:val="22"/>
          <w:lang w:val="lt-LT"/>
        </w:rPr>
        <w:t> </w:t>
      </w:r>
      <w:r w:rsidRPr="00524399">
        <w:rPr>
          <w:sz w:val="22"/>
          <w:szCs w:val="22"/>
          <w:lang w:val="lt-LT"/>
        </w:rPr>
        <w:t>mg tris kartus per parą dozę ir 14,8</w:t>
      </w:r>
      <w:r w:rsidR="000257C5">
        <w:rPr>
          <w:sz w:val="22"/>
          <w:szCs w:val="22"/>
          <w:lang w:val="lt-LT"/>
        </w:rPr>
        <w:t> </w:t>
      </w:r>
      <w:r w:rsidRPr="00524399">
        <w:rPr>
          <w:sz w:val="22"/>
          <w:szCs w:val="22"/>
          <w:lang w:val="lt-LT"/>
        </w:rPr>
        <w:t>% (n</w:t>
      </w:r>
      <w:r w:rsidR="000257C5">
        <w:rPr>
          <w:sz w:val="22"/>
          <w:szCs w:val="22"/>
          <w:lang w:val="lt-LT"/>
        </w:rPr>
        <w:t> </w:t>
      </w:r>
      <w:r w:rsidRPr="00524399">
        <w:rPr>
          <w:sz w:val="22"/>
          <w:szCs w:val="22"/>
          <w:lang w:val="lt-LT"/>
        </w:rPr>
        <w:t>=</w:t>
      </w:r>
      <w:r w:rsidR="000257C5">
        <w:rPr>
          <w:sz w:val="22"/>
          <w:szCs w:val="22"/>
          <w:lang w:val="lt-LT"/>
        </w:rPr>
        <w:t> </w:t>
      </w:r>
      <w:r w:rsidRPr="00524399">
        <w:rPr>
          <w:sz w:val="22"/>
          <w:szCs w:val="22"/>
          <w:lang w:val="lt-LT"/>
        </w:rPr>
        <w:t>19) vartojant 80</w:t>
      </w:r>
      <w:r w:rsidR="000257C5">
        <w:rPr>
          <w:sz w:val="22"/>
          <w:szCs w:val="22"/>
          <w:lang w:val="lt-LT"/>
        </w:rPr>
        <w:t> </w:t>
      </w:r>
      <w:r w:rsidRPr="00524399">
        <w:rPr>
          <w:sz w:val="22"/>
          <w:szCs w:val="22"/>
          <w:lang w:val="lt-LT"/>
        </w:rPr>
        <w:t>mg tris kartus per parą dozę.</w:t>
      </w:r>
    </w:p>
    <w:p w14:paraId="5CCCF682" w14:textId="77777777" w:rsidR="00524399" w:rsidRPr="00AE5BD5" w:rsidRDefault="00524399" w:rsidP="008C6014">
      <w:pPr>
        <w:rPr>
          <w:sz w:val="22"/>
          <w:szCs w:val="22"/>
          <w:lang w:val="lt-LT"/>
        </w:rPr>
      </w:pPr>
    </w:p>
    <w:p w14:paraId="76514EBE" w14:textId="77777777" w:rsidR="00C05173" w:rsidRDefault="00C05173" w:rsidP="008C6014">
      <w:pPr>
        <w:rPr>
          <w:i/>
          <w:iCs/>
          <w:sz w:val="22"/>
          <w:szCs w:val="22"/>
          <w:u w:val="single"/>
          <w:lang w:val="lt-LT"/>
        </w:rPr>
      </w:pPr>
      <w:r w:rsidRPr="00AE5BD5">
        <w:rPr>
          <w:i/>
          <w:iCs/>
          <w:sz w:val="22"/>
          <w:szCs w:val="22"/>
          <w:u w:val="single"/>
          <w:lang w:val="lt-LT"/>
        </w:rPr>
        <w:t>Vaikų populiacija</w:t>
      </w:r>
    </w:p>
    <w:p w14:paraId="3570C79C" w14:textId="77777777" w:rsidR="00E03477" w:rsidRDefault="00E03477" w:rsidP="008C6014">
      <w:pPr>
        <w:rPr>
          <w:sz w:val="22"/>
          <w:szCs w:val="22"/>
          <w:u w:val="single"/>
          <w:lang w:val="lt-LT"/>
        </w:rPr>
      </w:pPr>
    </w:p>
    <w:p w14:paraId="7A6FB0EF" w14:textId="24380B25" w:rsidR="00E03477" w:rsidRPr="008D4A33" w:rsidRDefault="00E03477" w:rsidP="008C6014">
      <w:pPr>
        <w:rPr>
          <w:i/>
          <w:iCs/>
          <w:sz w:val="22"/>
          <w:szCs w:val="22"/>
          <w:lang w:val="lt-LT"/>
        </w:rPr>
      </w:pPr>
      <w:r w:rsidRPr="008D4A33">
        <w:rPr>
          <w:i/>
          <w:iCs/>
          <w:sz w:val="22"/>
          <w:szCs w:val="22"/>
          <w:lang w:val="lt-LT"/>
        </w:rPr>
        <w:t>Plautinė arterinė hipertenzija</w:t>
      </w:r>
    </w:p>
    <w:p w14:paraId="4677707D" w14:textId="77777777" w:rsidR="00E03477" w:rsidRPr="008D4A33" w:rsidRDefault="00E03477" w:rsidP="008C6014">
      <w:pPr>
        <w:rPr>
          <w:sz w:val="22"/>
          <w:szCs w:val="22"/>
          <w:lang w:val="lt-LT"/>
        </w:rPr>
      </w:pPr>
    </w:p>
    <w:p w14:paraId="2846BDC5" w14:textId="77777777" w:rsidR="00C05173" w:rsidRPr="00AE5BD5" w:rsidRDefault="00C05173" w:rsidP="008C6014">
      <w:pPr>
        <w:rPr>
          <w:sz w:val="22"/>
          <w:szCs w:val="22"/>
          <w:lang w:val="lt-LT"/>
        </w:rPr>
      </w:pPr>
      <w:r w:rsidRPr="00AE5BD5">
        <w:rPr>
          <w:sz w:val="22"/>
          <w:szCs w:val="22"/>
          <w:lang w:val="lt-LT"/>
        </w:rPr>
        <w:t>Keliuose centruose atliktuose atsitiktinių imčių, dvigubai akluose, placebu kontroliuojamuosiuose, paralelinių grupių, dozės ribų nustatymo tyrimuose iš viso dalyvavo 234 nuo 1 iki 17 metų tiriamieji. Tiriamųjų (38</w:t>
      </w:r>
      <w:r w:rsidR="00B1005F" w:rsidRPr="00AE5BD5">
        <w:rPr>
          <w:sz w:val="22"/>
          <w:szCs w:val="22"/>
          <w:lang w:val="lt-LT"/>
        </w:rPr>
        <w:t> </w:t>
      </w:r>
      <w:r w:rsidRPr="00AE5BD5">
        <w:rPr>
          <w:sz w:val="22"/>
          <w:szCs w:val="22"/>
          <w:lang w:val="lt-LT"/>
        </w:rPr>
        <w:t>% vyriškos ir 62</w:t>
      </w:r>
      <w:r w:rsidR="00B1005F" w:rsidRPr="00AE5BD5">
        <w:rPr>
          <w:sz w:val="22"/>
          <w:szCs w:val="22"/>
          <w:lang w:val="lt-LT"/>
        </w:rPr>
        <w:t> </w:t>
      </w:r>
      <w:r w:rsidRPr="00AE5BD5">
        <w:rPr>
          <w:sz w:val="22"/>
          <w:szCs w:val="22"/>
          <w:lang w:val="lt-LT"/>
        </w:rPr>
        <w:t xml:space="preserve">% moteriškos lyties) kūno svoris buvo </w:t>
      </w:r>
      <w:r w:rsidR="000D491A" w:rsidRPr="00AE5BD5">
        <w:rPr>
          <w:sz w:val="22"/>
          <w:szCs w:val="22"/>
          <w:lang w:val="lt-LT"/>
        </w:rPr>
        <w:t xml:space="preserve"> </w:t>
      </w:r>
      <w:r w:rsidR="000D491A" w:rsidRPr="00AE5BD5">
        <w:rPr>
          <w:rFonts w:eastAsia="Times New Roman"/>
          <w:sz w:val="22"/>
          <w:szCs w:val="22"/>
          <w:lang w:val="lt-LT"/>
        </w:rPr>
        <w:t>≥</w:t>
      </w:r>
      <w:r w:rsidR="00714B41" w:rsidRPr="00AE5BD5">
        <w:rPr>
          <w:sz w:val="22"/>
          <w:szCs w:val="22"/>
          <w:lang w:val="lt-LT"/>
        </w:rPr>
        <w:t> </w:t>
      </w:r>
      <w:r w:rsidRPr="00AE5BD5">
        <w:rPr>
          <w:sz w:val="22"/>
          <w:szCs w:val="22"/>
          <w:lang w:val="lt-LT"/>
        </w:rPr>
        <w:t>8</w:t>
      </w:r>
      <w:r w:rsidR="000D491A" w:rsidRPr="00AE5BD5">
        <w:rPr>
          <w:sz w:val="22"/>
          <w:szCs w:val="22"/>
          <w:lang w:val="lt-LT"/>
        </w:rPr>
        <w:t> k</w:t>
      </w:r>
      <w:r w:rsidRPr="00AE5BD5">
        <w:rPr>
          <w:sz w:val="22"/>
          <w:szCs w:val="22"/>
          <w:lang w:val="lt-LT"/>
        </w:rPr>
        <w:t>g, jiems buvo diagnozuota pirminė plautinė hipertenzija (PPH) [33</w:t>
      </w:r>
      <w:r w:rsidR="00B1005F" w:rsidRPr="00AE5BD5">
        <w:rPr>
          <w:sz w:val="22"/>
          <w:szCs w:val="22"/>
          <w:lang w:val="lt-LT"/>
        </w:rPr>
        <w:t> </w:t>
      </w:r>
      <w:r w:rsidRPr="00AE5BD5">
        <w:rPr>
          <w:sz w:val="22"/>
          <w:szCs w:val="22"/>
          <w:lang w:val="lt-LT"/>
        </w:rPr>
        <w:t>%] arba antrinė PAH dėl įgimtos širdies ligos [sisteminės kraujotakos plautinė nuosrūva 37</w:t>
      </w:r>
      <w:r w:rsidR="00B1005F" w:rsidRPr="00AE5BD5">
        <w:rPr>
          <w:sz w:val="22"/>
          <w:szCs w:val="22"/>
          <w:lang w:val="lt-LT"/>
        </w:rPr>
        <w:t> </w:t>
      </w:r>
      <w:r w:rsidRPr="00AE5BD5">
        <w:rPr>
          <w:sz w:val="22"/>
          <w:szCs w:val="22"/>
          <w:lang w:val="lt-LT"/>
        </w:rPr>
        <w:t>%, koreguojanti chirurginė operacija 30</w:t>
      </w:r>
      <w:r w:rsidR="00B1005F" w:rsidRPr="00AE5BD5">
        <w:rPr>
          <w:sz w:val="22"/>
          <w:szCs w:val="22"/>
          <w:lang w:val="lt-LT"/>
        </w:rPr>
        <w:t> </w:t>
      </w:r>
      <w:r w:rsidRPr="00AE5BD5">
        <w:rPr>
          <w:sz w:val="22"/>
          <w:szCs w:val="22"/>
          <w:lang w:val="lt-LT"/>
        </w:rPr>
        <w:t xml:space="preserve">%]. Atliekant šį tyrimą </w:t>
      </w:r>
      <w:r w:rsidR="000D491A" w:rsidRPr="00AE5BD5">
        <w:rPr>
          <w:sz w:val="22"/>
          <w:szCs w:val="22"/>
          <w:lang w:val="lt-LT"/>
        </w:rPr>
        <w:t xml:space="preserve">63 iš </w:t>
      </w:r>
      <w:r w:rsidRPr="00AE5BD5">
        <w:rPr>
          <w:sz w:val="22"/>
          <w:szCs w:val="22"/>
          <w:lang w:val="lt-LT"/>
        </w:rPr>
        <w:t>234 (27</w:t>
      </w:r>
      <w:r w:rsidR="00B1005F" w:rsidRPr="00AE5BD5">
        <w:rPr>
          <w:sz w:val="22"/>
          <w:szCs w:val="22"/>
          <w:lang w:val="lt-LT"/>
        </w:rPr>
        <w:t> </w:t>
      </w:r>
      <w:r w:rsidRPr="00AE5BD5">
        <w:rPr>
          <w:sz w:val="22"/>
          <w:szCs w:val="22"/>
          <w:lang w:val="lt-LT"/>
        </w:rPr>
        <w:t>%) pacientų buvo jaunesni kaip 7 metų (maža sildenafilio dozė = 2, vidutinė dozė = 17, didelė dozė = 28, placebas = 16) ir 171 iš 234 (73</w:t>
      </w:r>
      <w:r w:rsidR="000D491A" w:rsidRPr="00AE5BD5">
        <w:rPr>
          <w:sz w:val="22"/>
          <w:szCs w:val="22"/>
          <w:lang w:val="lt-LT"/>
        </w:rPr>
        <w:t> </w:t>
      </w:r>
      <w:r w:rsidRPr="00AE5BD5">
        <w:rPr>
          <w:sz w:val="22"/>
          <w:szCs w:val="22"/>
          <w:lang w:val="lt-LT"/>
        </w:rPr>
        <w:t>%) pacientų buvo 7 metų ar vyresni (maža sildenafilio dozė = 40, vidutinė dozė = 38, didelė dozė = 49, placebas = 44). Daugumai tiriamųjų prieš pradedant tyrimą buvo nustatyta I (75 iš 234, 32</w:t>
      </w:r>
      <w:r w:rsidR="00B1005F" w:rsidRPr="00AE5BD5">
        <w:rPr>
          <w:sz w:val="22"/>
          <w:szCs w:val="22"/>
          <w:lang w:val="lt-LT"/>
        </w:rPr>
        <w:t> </w:t>
      </w:r>
      <w:r w:rsidRPr="00AE5BD5">
        <w:rPr>
          <w:sz w:val="22"/>
          <w:szCs w:val="22"/>
          <w:lang w:val="lt-LT"/>
        </w:rPr>
        <w:t>%) ar II (120 iš 234, 51</w:t>
      </w:r>
      <w:r w:rsidR="00B1005F" w:rsidRPr="00AE5BD5">
        <w:rPr>
          <w:sz w:val="22"/>
          <w:szCs w:val="22"/>
          <w:lang w:val="lt-LT"/>
        </w:rPr>
        <w:t> </w:t>
      </w:r>
      <w:r w:rsidRPr="00AE5BD5">
        <w:rPr>
          <w:sz w:val="22"/>
          <w:szCs w:val="22"/>
          <w:lang w:val="lt-LT"/>
        </w:rPr>
        <w:t>%) funkcinė klasė pagal PSO, mažiau pacientų</w:t>
      </w:r>
      <w:r w:rsidRPr="00AE5BD5">
        <w:rPr>
          <w:spacing w:val="-3"/>
          <w:sz w:val="22"/>
          <w:szCs w:val="22"/>
          <w:lang w:val="lt-LT"/>
        </w:rPr>
        <w:t xml:space="preserve"> </w:t>
      </w:r>
      <w:r w:rsidRPr="00AE5BD5">
        <w:rPr>
          <w:sz w:val="22"/>
          <w:szCs w:val="22"/>
          <w:lang w:val="lt-LT"/>
        </w:rPr>
        <w:t>–</w:t>
      </w:r>
      <w:r w:rsidRPr="00AE5BD5">
        <w:rPr>
          <w:spacing w:val="-2"/>
          <w:sz w:val="22"/>
          <w:szCs w:val="22"/>
          <w:lang w:val="lt-LT"/>
        </w:rPr>
        <w:t xml:space="preserve"> </w:t>
      </w:r>
      <w:r w:rsidRPr="00AE5BD5">
        <w:rPr>
          <w:sz w:val="22"/>
          <w:szCs w:val="22"/>
          <w:lang w:val="lt-LT"/>
        </w:rPr>
        <w:t>III</w:t>
      </w:r>
      <w:r w:rsidRPr="00AE5BD5">
        <w:rPr>
          <w:spacing w:val="-3"/>
          <w:sz w:val="22"/>
          <w:szCs w:val="22"/>
          <w:lang w:val="lt-LT"/>
        </w:rPr>
        <w:t xml:space="preserve"> </w:t>
      </w:r>
      <w:r w:rsidRPr="00AE5BD5">
        <w:rPr>
          <w:sz w:val="22"/>
          <w:szCs w:val="22"/>
          <w:lang w:val="lt-LT"/>
        </w:rPr>
        <w:t>(35</w:t>
      </w:r>
      <w:r w:rsidRPr="00AE5BD5">
        <w:rPr>
          <w:spacing w:val="-3"/>
          <w:sz w:val="22"/>
          <w:szCs w:val="22"/>
          <w:lang w:val="lt-LT"/>
        </w:rPr>
        <w:t xml:space="preserve"> </w:t>
      </w:r>
      <w:r w:rsidRPr="00AE5BD5">
        <w:rPr>
          <w:sz w:val="22"/>
          <w:szCs w:val="22"/>
          <w:lang w:val="lt-LT"/>
        </w:rPr>
        <w:t>iš</w:t>
      </w:r>
      <w:r w:rsidRPr="00AE5BD5">
        <w:rPr>
          <w:spacing w:val="-3"/>
          <w:sz w:val="22"/>
          <w:szCs w:val="22"/>
          <w:lang w:val="lt-LT"/>
        </w:rPr>
        <w:t xml:space="preserve"> </w:t>
      </w:r>
      <w:r w:rsidRPr="00AE5BD5">
        <w:rPr>
          <w:sz w:val="22"/>
          <w:szCs w:val="22"/>
          <w:lang w:val="lt-LT"/>
        </w:rPr>
        <w:t>234,</w:t>
      </w:r>
      <w:r w:rsidRPr="00AE5BD5">
        <w:rPr>
          <w:spacing w:val="-3"/>
          <w:sz w:val="22"/>
          <w:szCs w:val="22"/>
          <w:lang w:val="lt-LT"/>
        </w:rPr>
        <w:t xml:space="preserve"> </w:t>
      </w:r>
      <w:r w:rsidRPr="00AE5BD5">
        <w:rPr>
          <w:sz w:val="22"/>
          <w:szCs w:val="22"/>
          <w:lang w:val="lt-LT"/>
        </w:rPr>
        <w:t>15</w:t>
      </w:r>
      <w:r w:rsidR="00B1005F" w:rsidRPr="00AE5BD5">
        <w:rPr>
          <w:spacing w:val="-3"/>
          <w:sz w:val="22"/>
          <w:szCs w:val="22"/>
          <w:lang w:val="lt-LT"/>
        </w:rPr>
        <w:t> </w:t>
      </w:r>
      <w:r w:rsidRPr="00AE5BD5">
        <w:rPr>
          <w:sz w:val="22"/>
          <w:szCs w:val="22"/>
          <w:lang w:val="lt-LT"/>
        </w:rPr>
        <w:t>%)</w:t>
      </w:r>
      <w:r w:rsidRPr="00AE5BD5">
        <w:rPr>
          <w:spacing w:val="-3"/>
          <w:sz w:val="22"/>
          <w:szCs w:val="22"/>
          <w:lang w:val="lt-LT"/>
        </w:rPr>
        <w:t xml:space="preserve"> </w:t>
      </w:r>
      <w:r w:rsidRPr="00AE5BD5">
        <w:rPr>
          <w:sz w:val="22"/>
          <w:szCs w:val="22"/>
          <w:lang w:val="lt-LT"/>
        </w:rPr>
        <w:t>ar</w:t>
      </w:r>
      <w:r w:rsidRPr="00AE5BD5">
        <w:rPr>
          <w:spacing w:val="-3"/>
          <w:sz w:val="22"/>
          <w:szCs w:val="22"/>
          <w:lang w:val="lt-LT"/>
        </w:rPr>
        <w:t xml:space="preserve"> </w:t>
      </w:r>
      <w:r w:rsidRPr="00AE5BD5">
        <w:rPr>
          <w:sz w:val="22"/>
          <w:szCs w:val="22"/>
          <w:lang w:val="lt-LT"/>
        </w:rPr>
        <w:t>IV</w:t>
      </w:r>
      <w:r w:rsidRPr="00AE5BD5">
        <w:rPr>
          <w:spacing w:val="-3"/>
          <w:sz w:val="22"/>
          <w:szCs w:val="22"/>
          <w:lang w:val="lt-LT"/>
        </w:rPr>
        <w:t xml:space="preserve"> </w:t>
      </w:r>
      <w:r w:rsidRPr="00AE5BD5">
        <w:rPr>
          <w:sz w:val="22"/>
          <w:szCs w:val="22"/>
          <w:lang w:val="lt-LT"/>
        </w:rPr>
        <w:t>(1</w:t>
      </w:r>
      <w:r w:rsidRPr="00AE5BD5">
        <w:rPr>
          <w:spacing w:val="-3"/>
          <w:sz w:val="22"/>
          <w:szCs w:val="22"/>
          <w:lang w:val="lt-LT"/>
        </w:rPr>
        <w:t xml:space="preserve"> </w:t>
      </w:r>
      <w:r w:rsidRPr="00AE5BD5">
        <w:rPr>
          <w:sz w:val="22"/>
          <w:szCs w:val="22"/>
          <w:lang w:val="lt-LT"/>
        </w:rPr>
        <w:t>iš</w:t>
      </w:r>
      <w:r w:rsidRPr="00AE5BD5">
        <w:rPr>
          <w:spacing w:val="-3"/>
          <w:sz w:val="22"/>
          <w:szCs w:val="22"/>
          <w:lang w:val="lt-LT"/>
        </w:rPr>
        <w:t xml:space="preserve"> </w:t>
      </w:r>
      <w:r w:rsidRPr="00AE5BD5">
        <w:rPr>
          <w:sz w:val="22"/>
          <w:szCs w:val="22"/>
          <w:lang w:val="lt-LT"/>
        </w:rPr>
        <w:t>234,</w:t>
      </w:r>
      <w:r w:rsidRPr="00AE5BD5">
        <w:rPr>
          <w:spacing w:val="-3"/>
          <w:sz w:val="22"/>
          <w:szCs w:val="22"/>
          <w:lang w:val="lt-LT"/>
        </w:rPr>
        <w:t xml:space="preserve"> </w:t>
      </w:r>
      <w:r w:rsidRPr="00AE5BD5">
        <w:rPr>
          <w:sz w:val="22"/>
          <w:szCs w:val="22"/>
          <w:lang w:val="lt-LT"/>
        </w:rPr>
        <w:t>0,4</w:t>
      </w:r>
      <w:r w:rsidR="00B1005F" w:rsidRPr="00AE5BD5">
        <w:rPr>
          <w:spacing w:val="-3"/>
          <w:sz w:val="22"/>
          <w:szCs w:val="22"/>
          <w:lang w:val="lt-LT"/>
        </w:rPr>
        <w:t> </w:t>
      </w:r>
      <w:r w:rsidRPr="00AE5BD5">
        <w:rPr>
          <w:sz w:val="22"/>
          <w:szCs w:val="22"/>
          <w:lang w:val="lt-LT"/>
        </w:rPr>
        <w:t>%)</w:t>
      </w:r>
      <w:r w:rsidRPr="00AE5BD5">
        <w:rPr>
          <w:spacing w:val="-4"/>
          <w:sz w:val="22"/>
          <w:szCs w:val="22"/>
          <w:lang w:val="lt-LT"/>
        </w:rPr>
        <w:t xml:space="preserve"> </w:t>
      </w:r>
      <w:r w:rsidRPr="00AE5BD5">
        <w:rPr>
          <w:sz w:val="22"/>
          <w:szCs w:val="22"/>
          <w:lang w:val="lt-LT"/>
        </w:rPr>
        <w:t>funkcinė</w:t>
      </w:r>
      <w:r w:rsidRPr="00AE5BD5">
        <w:rPr>
          <w:spacing w:val="-2"/>
          <w:sz w:val="22"/>
          <w:szCs w:val="22"/>
          <w:lang w:val="lt-LT"/>
        </w:rPr>
        <w:t xml:space="preserve"> </w:t>
      </w:r>
      <w:r w:rsidRPr="00AE5BD5">
        <w:rPr>
          <w:sz w:val="22"/>
          <w:szCs w:val="22"/>
          <w:lang w:val="lt-LT"/>
        </w:rPr>
        <w:t>klasė</w:t>
      </w:r>
      <w:r w:rsidRPr="00AE5BD5">
        <w:rPr>
          <w:spacing w:val="-3"/>
          <w:sz w:val="22"/>
          <w:szCs w:val="22"/>
          <w:lang w:val="lt-LT"/>
        </w:rPr>
        <w:t xml:space="preserve"> </w:t>
      </w:r>
      <w:r w:rsidRPr="00AE5BD5">
        <w:rPr>
          <w:sz w:val="22"/>
          <w:szCs w:val="22"/>
          <w:lang w:val="lt-LT"/>
        </w:rPr>
        <w:t>ir</w:t>
      </w:r>
      <w:r w:rsidRPr="00AE5BD5">
        <w:rPr>
          <w:spacing w:val="-3"/>
          <w:sz w:val="22"/>
          <w:szCs w:val="22"/>
          <w:lang w:val="lt-LT"/>
        </w:rPr>
        <w:t xml:space="preserve"> </w:t>
      </w:r>
      <w:r w:rsidRPr="00AE5BD5">
        <w:rPr>
          <w:sz w:val="22"/>
          <w:szCs w:val="22"/>
          <w:lang w:val="lt-LT"/>
        </w:rPr>
        <w:t>kelių</w:t>
      </w:r>
      <w:r w:rsidRPr="00AE5BD5">
        <w:rPr>
          <w:spacing w:val="-3"/>
          <w:sz w:val="22"/>
          <w:szCs w:val="22"/>
          <w:lang w:val="lt-LT"/>
        </w:rPr>
        <w:t xml:space="preserve"> </w:t>
      </w:r>
      <w:r w:rsidRPr="00AE5BD5">
        <w:rPr>
          <w:sz w:val="22"/>
          <w:szCs w:val="22"/>
          <w:lang w:val="lt-LT"/>
        </w:rPr>
        <w:t>pacientų</w:t>
      </w:r>
      <w:r w:rsidRPr="00AE5BD5">
        <w:rPr>
          <w:spacing w:val="-3"/>
          <w:sz w:val="22"/>
          <w:szCs w:val="22"/>
          <w:lang w:val="lt-LT"/>
        </w:rPr>
        <w:t xml:space="preserve"> </w:t>
      </w:r>
      <w:r w:rsidRPr="00AE5BD5">
        <w:rPr>
          <w:sz w:val="22"/>
          <w:szCs w:val="22"/>
          <w:lang w:val="lt-LT"/>
        </w:rPr>
        <w:t>(3</w:t>
      </w:r>
      <w:r w:rsidRPr="00AE5BD5">
        <w:rPr>
          <w:spacing w:val="-3"/>
          <w:sz w:val="22"/>
          <w:szCs w:val="22"/>
          <w:lang w:val="lt-LT"/>
        </w:rPr>
        <w:t xml:space="preserve"> </w:t>
      </w:r>
      <w:r w:rsidRPr="00AE5BD5">
        <w:rPr>
          <w:sz w:val="22"/>
          <w:szCs w:val="22"/>
          <w:lang w:val="lt-LT"/>
        </w:rPr>
        <w:t>iš</w:t>
      </w:r>
      <w:r w:rsidRPr="00AE5BD5">
        <w:rPr>
          <w:spacing w:val="-3"/>
          <w:sz w:val="22"/>
          <w:szCs w:val="22"/>
          <w:lang w:val="lt-LT"/>
        </w:rPr>
        <w:t xml:space="preserve"> </w:t>
      </w:r>
      <w:r w:rsidRPr="00AE5BD5">
        <w:rPr>
          <w:sz w:val="22"/>
          <w:szCs w:val="22"/>
          <w:lang w:val="lt-LT"/>
        </w:rPr>
        <w:t>234,</w:t>
      </w:r>
      <w:r w:rsidRPr="00AE5BD5">
        <w:rPr>
          <w:spacing w:val="-3"/>
          <w:sz w:val="22"/>
          <w:szCs w:val="22"/>
          <w:lang w:val="lt-LT"/>
        </w:rPr>
        <w:t xml:space="preserve"> </w:t>
      </w:r>
      <w:r w:rsidRPr="00AE5BD5">
        <w:rPr>
          <w:sz w:val="22"/>
          <w:szCs w:val="22"/>
          <w:lang w:val="lt-LT"/>
        </w:rPr>
        <w:t>1,3</w:t>
      </w:r>
      <w:r w:rsidR="00B1005F" w:rsidRPr="00AE5BD5">
        <w:rPr>
          <w:sz w:val="22"/>
          <w:szCs w:val="22"/>
          <w:lang w:val="lt-LT"/>
        </w:rPr>
        <w:t> </w:t>
      </w:r>
      <w:r w:rsidRPr="00AE5BD5">
        <w:rPr>
          <w:sz w:val="22"/>
          <w:szCs w:val="22"/>
          <w:lang w:val="lt-LT"/>
        </w:rPr>
        <w:t>%) funkcinė klasė pagal PSO buvo nežinoma.</w:t>
      </w:r>
    </w:p>
    <w:p w14:paraId="3CEAF407" w14:textId="77777777" w:rsidR="00C05173" w:rsidRPr="00AE5BD5" w:rsidRDefault="00C05173" w:rsidP="008C6014">
      <w:pPr>
        <w:rPr>
          <w:sz w:val="22"/>
          <w:szCs w:val="22"/>
          <w:lang w:val="lt-LT"/>
        </w:rPr>
      </w:pPr>
    </w:p>
    <w:p w14:paraId="1CA072A2" w14:textId="77777777" w:rsidR="00C05173" w:rsidRPr="00AE5BD5" w:rsidRDefault="00C05173" w:rsidP="008C6014">
      <w:pPr>
        <w:rPr>
          <w:sz w:val="22"/>
          <w:szCs w:val="22"/>
          <w:lang w:val="lt-LT"/>
        </w:rPr>
      </w:pPr>
      <w:r w:rsidRPr="00AE5BD5">
        <w:rPr>
          <w:sz w:val="22"/>
          <w:szCs w:val="22"/>
          <w:lang w:val="lt-LT"/>
        </w:rPr>
        <w:t>Pacientams anksčiau nebuvo taikytas specifinis PAH gydymas ir tyrimo metu nebuvo leidžiama vartoti prostaciklino, prostaciklino darinių ir endotelino receptorių blokatorių ir nei vienas nevartojo arginino papildų, nitratų, alfa adrenoreceptorių blokatorių ir stipraus poveikio CYP450 3A4 inhibitorių.</w:t>
      </w:r>
    </w:p>
    <w:p w14:paraId="525A6C45" w14:textId="77777777" w:rsidR="00C05173" w:rsidRPr="00AE5BD5" w:rsidRDefault="00C05173" w:rsidP="008C6014">
      <w:pPr>
        <w:rPr>
          <w:sz w:val="22"/>
          <w:szCs w:val="22"/>
          <w:lang w:val="lt-LT"/>
        </w:rPr>
      </w:pPr>
      <w:r w:rsidRPr="00AE5BD5">
        <w:rPr>
          <w:sz w:val="22"/>
          <w:szCs w:val="22"/>
          <w:lang w:val="lt-LT"/>
        </w:rPr>
        <w:t>Svarbiausias tyrimo tikslas buvo įvertinti ilgalaikio 16 savaičių gydymo geriamuoju sildenafiliu veiksmingumą vaikams gerinant fizinį pajėgumą, įvertintą širdies ir plaučių fizinio krūvio mėginiu (ŠPFKM) tiriamiesiems, kurie pagal išsivystymą sugebėjo atlikti mėginį (n = 115). Antrinės vertinamosios baigtys buvo kraujotakos stebėjimas, simptomų įvertinimas, funkcinė klasė pagal PSO, pagrindinio gydymo pakeitimai ir gyvenimo kokybės įvertinimas.</w:t>
      </w:r>
    </w:p>
    <w:p w14:paraId="71F86E7A" w14:textId="77777777" w:rsidR="00C05173" w:rsidRPr="00AE5BD5" w:rsidRDefault="00C05173" w:rsidP="008C6014">
      <w:pPr>
        <w:rPr>
          <w:sz w:val="22"/>
          <w:szCs w:val="22"/>
          <w:lang w:val="lt-LT"/>
        </w:rPr>
      </w:pPr>
    </w:p>
    <w:p w14:paraId="62B32F3C" w14:textId="77777777" w:rsidR="00C05173" w:rsidRPr="00AE5BD5" w:rsidRDefault="00C05173" w:rsidP="008C6014">
      <w:pPr>
        <w:rPr>
          <w:sz w:val="22"/>
          <w:szCs w:val="22"/>
          <w:lang w:val="lt-LT"/>
        </w:rPr>
      </w:pPr>
      <w:r w:rsidRPr="00AE5BD5">
        <w:rPr>
          <w:sz w:val="22"/>
          <w:szCs w:val="22"/>
          <w:lang w:val="lt-LT"/>
        </w:rPr>
        <w:t>Tiriamieji buvo paskirti į vieną iš trijų gydymo sildenafiliu grupių: mažos (10</w:t>
      </w:r>
      <w:r w:rsidR="00714B41" w:rsidRPr="00AE5BD5">
        <w:rPr>
          <w:sz w:val="22"/>
          <w:szCs w:val="22"/>
          <w:lang w:val="lt-LT"/>
        </w:rPr>
        <w:t> </w:t>
      </w:r>
      <w:r w:rsidRPr="00AE5BD5">
        <w:rPr>
          <w:sz w:val="22"/>
          <w:szCs w:val="22"/>
          <w:lang w:val="lt-LT"/>
        </w:rPr>
        <w:t>mg), vidutinės</w:t>
      </w:r>
      <w:r w:rsidR="00714B41" w:rsidRPr="00AE5BD5">
        <w:rPr>
          <w:sz w:val="22"/>
          <w:szCs w:val="22"/>
          <w:lang w:val="lt-LT"/>
        </w:rPr>
        <w:t xml:space="preserve"> </w:t>
      </w:r>
      <w:r w:rsidRPr="00AE5BD5">
        <w:rPr>
          <w:sz w:val="22"/>
          <w:szCs w:val="22"/>
          <w:lang w:val="lt-LT"/>
        </w:rPr>
        <w:t>(10-40</w:t>
      </w:r>
      <w:r w:rsidR="00714B41" w:rsidRPr="00AE5BD5">
        <w:rPr>
          <w:sz w:val="22"/>
          <w:szCs w:val="22"/>
          <w:lang w:val="lt-LT"/>
        </w:rPr>
        <w:t> </w:t>
      </w:r>
      <w:r w:rsidRPr="00AE5BD5">
        <w:rPr>
          <w:sz w:val="22"/>
          <w:szCs w:val="22"/>
          <w:lang w:val="lt-LT"/>
        </w:rPr>
        <w:t xml:space="preserve">mg) arba didelės </w:t>
      </w:r>
      <w:r w:rsidR="00641446" w:rsidRPr="00AE5BD5">
        <w:rPr>
          <w:sz w:val="22"/>
          <w:szCs w:val="22"/>
          <w:lang w:val="lt-LT"/>
        </w:rPr>
        <w:t>sildenafilio</w:t>
      </w:r>
      <w:r w:rsidRPr="00AE5BD5">
        <w:rPr>
          <w:sz w:val="22"/>
          <w:szCs w:val="22"/>
          <w:lang w:val="lt-LT"/>
        </w:rPr>
        <w:t xml:space="preserve"> dozės (20-80</w:t>
      </w:r>
      <w:r w:rsidR="00714B41" w:rsidRPr="00AE5BD5">
        <w:rPr>
          <w:sz w:val="22"/>
          <w:szCs w:val="22"/>
          <w:lang w:val="lt-LT"/>
        </w:rPr>
        <w:t> </w:t>
      </w:r>
      <w:r w:rsidRPr="00AE5BD5">
        <w:rPr>
          <w:sz w:val="22"/>
          <w:szCs w:val="22"/>
          <w:lang w:val="lt-LT"/>
        </w:rPr>
        <w:t>mg) vartojimo tris kartus per parą gydymo plano arba placebo. Dozės kiekvienoje grupėje priklausė nuo kūno svorio (žr. 4.8 skyrių). Tiriamųjų, kurie vartojo palaikomųjų vaistinių preparatų (antikoaguliantų, digoksiną, kalcio kanalų blokatorių, diuretikų ir [arba] deguonį), dalis prieš pradedant tyrimą buvo panaši gydymo įvairiomis sildenafilio dozėmis grupėje (47,7</w:t>
      </w:r>
      <w:r w:rsidR="00714B41" w:rsidRPr="00AE5BD5">
        <w:rPr>
          <w:sz w:val="22"/>
          <w:szCs w:val="22"/>
          <w:lang w:val="lt-LT"/>
        </w:rPr>
        <w:t> </w:t>
      </w:r>
      <w:r w:rsidRPr="00AE5BD5">
        <w:rPr>
          <w:sz w:val="22"/>
          <w:szCs w:val="22"/>
          <w:lang w:val="lt-LT"/>
        </w:rPr>
        <w:t>%) ir placebo grupėje (41,7</w:t>
      </w:r>
      <w:r w:rsidR="00714B41" w:rsidRPr="00AE5BD5">
        <w:rPr>
          <w:sz w:val="22"/>
          <w:szCs w:val="22"/>
          <w:lang w:val="lt-LT"/>
        </w:rPr>
        <w:t> </w:t>
      </w:r>
      <w:r w:rsidRPr="00AE5BD5">
        <w:rPr>
          <w:sz w:val="22"/>
          <w:szCs w:val="22"/>
          <w:lang w:val="lt-LT"/>
        </w:rPr>
        <w:t>%).</w:t>
      </w:r>
    </w:p>
    <w:p w14:paraId="0F2806D0" w14:textId="77777777" w:rsidR="00C05173" w:rsidRPr="00AE5BD5" w:rsidRDefault="00C05173" w:rsidP="008C6014">
      <w:pPr>
        <w:rPr>
          <w:sz w:val="22"/>
          <w:szCs w:val="22"/>
          <w:lang w:val="lt-LT"/>
        </w:rPr>
      </w:pPr>
    </w:p>
    <w:p w14:paraId="0D9A1043" w14:textId="77777777" w:rsidR="00C05173" w:rsidRPr="00AE5BD5" w:rsidRDefault="00C05173" w:rsidP="008C6014">
      <w:pPr>
        <w:rPr>
          <w:sz w:val="22"/>
          <w:szCs w:val="22"/>
          <w:lang w:val="lt-LT"/>
        </w:rPr>
      </w:pPr>
      <w:r w:rsidRPr="00AE5BD5">
        <w:rPr>
          <w:sz w:val="22"/>
          <w:szCs w:val="22"/>
          <w:lang w:val="lt-LT"/>
        </w:rPr>
        <w:t>Svarbiausioji vertinamoji baigtis buvo placebu koreguotas procentinis didžiausio VO</w:t>
      </w:r>
      <w:r w:rsidRPr="00AE5BD5">
        <w:rPr>
          <w:position w:val="-3"/>
          <w:sz w:val="22"/>
          <w:szCs w:val="22"/>
          <w:lang w:val="lt-LT"/>
        </w:rPr>
        <w:t xml:space="preserve">2 </w:t>
      </w:r>
      <w:r w:rsidRPr="00AE5BD5">
        <w:rPr>
          <w:sz w:val="22"/>
          <w:szCs w:val="22"/>
          <w:lang w:val="lt-LT"/>
        </w:rPr>
        <w:t>pokytis 16-tą savaitę, palyginti su pradiniu, įvertintas ŠPFKM gydymo įvairiomis sildenafilio dozėmis grupėse, palyginti su placebo vartojimo grupėje (žr. 2 lentelę). ŠPFKM buvo atlikti iš viso 106 iš 234 (45</w:t>
      </w:r>
      <w:r w:rsidR="00714B41" w:rsidRPr="00AE5BD5">
        <w:rPr>
          <w:sz w:val="22"/>
          <w:szCs w:val="22"/>
          <w:lang w:val="lt-LT"/>
        </w:rPr>
        <w:t> </w:t>
      </w:r>
      <w:r w:rsidRPr="00AE5BD5">
        <w:rPr>
          <w:sz w:val="22"/>
          <w:szCs w:val="22"/>
          <w:lang w:val="lt-LT"/>
        </w:rPr>
        <w:t>%) tiriamųjų: tai buvo ≥ 7 metų vaikai, kurie pagal išsivystymą sugebėjo atlikti ŠPFK mėginį.</w:t>
      </w:r>
    </w:p>
    <w:p w14:paraId="6A6EA4BE" w14:textId="77777777" w:rsidR="00C05173" w:rsidRPr="00AE5BD5" w:rsidRDefault="00C05173" w:rsidP="008C6014">
      <w:pPr>
        <w:rPr>
          <w:sz w:val="22"/>
          <w:szCs w:val="22"/>
          <w:lang w:val="lt-LT"/>
        </w:rPr>
      </w:pPr>
      <w:r w:rsidRPr="00AE5BD5">
        <w:rPr>
          <w:sz w:val="22"/>
          <w:szCs w:val="22"/>
          <w:lang w:val="lt-LT"/>
        </w:rPr>
        <w:t>Jaunesniems kaip 7 metų vaikams (įvairios sildenafilio dozės = 47, placebas = 16) buvo vertintos tik antrinės vertinamosios baigtys. Vidutinio pradinio didžiausio deguonies tūrio (VO</w:t>
      </w:r>
      <w:r w:rsidRPr="00AE5BD5">
        <w:rPr>
          <w:position w:val="-3"/>
          <w:sz w:val="22"/>
          <w:szCs w:val="22"/>
          <w:lang w:val="lt-LT"/>
        </w:rPr>
        <w:t>2</w:t>
      </w:r>
      <w:r w:rsidRPr="00AE5BD5">
        <w:rPr>
          <w:sz w:val="22"/>
          <w:szCs w:val="22"/>
          <w:lang w:val="lt-LT"/>
        </w:rPr>
        <w:t>) rodmenys gydymo sildenafiliu grupėse buvo panašūs (17,37-18,03</w:t>
      </w:r>
      <w:r w:rsidR="000D491A" w:rsidRPr="00AE5BD5">
        <w:rPr>
          <w:sz w:val="22"/>
          <w:szCs w:val="22"/>
          <w:lang w:val="lt-LT"/>
        </w:rPr>
        <w:t> </w:t>
      </w:r>
      <w:r w:rsidRPr="00AE5BD5">
        <w:rPr>
          <w:sz w:val="22"/>
          <w:szCs w:val="22"/>
          <w:lang w:val="lt-LT"/>
        </w:rPr>
        <w:t>ml/kg/min.) ir šiek tiek didesni placebo grupėje (20,02</w:t>
      </w:r>
      <w:r w:rsidR="00714B41" w:rsidRPr="00AE5BD5">
        <w:rPr>
          <w:sz w:val="22"/>
          <w:szCs w:val="22"/>
          <w:lang w:val="lt-LT"/>
        </w:rPr>
        <w:t> </w:t>
      </w:r>
      <w:r w:rsidRPr="00AE5BD5">
        <w:rPr>
          <w:sz w:val="22"/>
          <w:szCs w:val="22"/>
          <w:lang w:val="lt-LT"/>
        </w:rPr>
        <w:t>ml/kg/min.). Pagrindinės analizės rezultatai (įvairių sildenafilio dozių grupėse, palyginti su placebo) buvo statistiškai nereikšmingi (p = 0,056) (žr. 2 lentelę). Nustatytas skirtumas tarp vidutinio dydžio sildenafilio dozės ir placebo buvo 11,33</w:t>
      </w:r>
      <w:r w:rsidR="000D491A" w:rsidRPr="00AE5BD5">
        <w:rPr>
          <w:sz w:val="22"/>
          <w:szCs w:val="22"/>
          <w:lang w:val="lt-LT"/>
        </w:rPr>
        <w:t> </w:t>
      </w:r>
      <w:r w:rsidRPr="00AE5BD5">
        <w:rPr>
          <w:sz w:val="22"/>
          <w:szCs w:val="22"/>
          <w:lang w:val="lt-LT"/>
        </w:rPr>
        <w:t>% (95</w:t>
      </w:r>
      <w:r w:rsidR="000D491A" w:rsidRPr="00AE5BD5">
        <w:rPr>
          <w:sz w:val="22"/>
          <w:szCs w:val="22"/>
          <w:lang w:val="lt-LT"/>
        </w:rPr>
        <w:t> </w:t>
      </w:r>
      <w:r w:rsidRPr="00AE5BD5">
        <w:rPr>
          <w:sz w:val="22"/>
          <w:szCs w:val="22"/>
          <w:lang w:val="lt-LT"/>
        </w:rPr>
        <w:t>% PI: 1,72-20,94) (žr. 2 lentelę).</w:t>
      </w:r>
    </w:p>
    <w:p w14:paraId="31B2F506" w14:textId="77777777" w:rsidR="00C05173" w:rsidRPr="00AE5BD5" w:rsidRDefault="00C05173" w:rsidP="008C6014">
      <w:pPr>
        <w:rPr>
          <w:sz w:val="22"/>
          <w:szCs w:val="22"/>
          <w:lang w:val="lt-LT"/>
        </w:rPr>
      </w:pPr>
    </w:p>
    <w:p w14:paraId="396EC584" w14:textId="77777777" w:rsidR="00C05173" w:rsidRPr="00AE5BD5" w:rsidRDefault="00C05173" w:rsidP="008C6014">
      <w:pPr>
        <w:rPr>
          <w:sz w:val="22"/>
          <w:szCs w:val="22"/>
          <w:lang w:val="lt-LT"/>
        </w:rPr>
      </w:pPr>
      <w:r w:rsidRPr="00AE5BD5">
        <w:rPr>
          <w:sz w:val="22"/>
          <w:szCs w:val="22"/>
          <w:lang w:val="lt-LT"/>
        </w:rPr>
        <w:t>2 lentelė. Placebu koreguotas didžiausio VO</w:t>
      </w:r>
      <w:r w:rsidRPr="00AE5BD5">
        <w:rPr>
          <w:position w:val="-3"/>
          <w:sz w:val="22"/>
          <w:szCs w:val="22"/>
          <w:lang w:val="lt-LT"/>
        </w:rPr>
        <w:t>2</w:t>
      </w:r>
      <w:r w:rsidRPr="00AE5BD5">
        <w:rPr>
          <w:sz w:val="22"/>
          <w:szCs w:val="22"/>
          <w:lang w:val="lt-LT"/>
        </w:rPr>
        <w:t>% pokytis, palyginti su pradiniu, veiklaus preparato vartojusiųjų grupėje</w:t>
      </w:r>
    </w:p>
    <w:p w14:paraId="699C26BA" w14:textId="77777777" w:rsidR="00C05173" w:rsidRPr="00AE5BD5" w:rsidRDefault="00C05173" w:rsidP="008C6014">
      <w:pPr>
        <w:rPr>
          <w:b/>
          <w:bCs/>
          <w:sz w:val="22"/>
          <w:szCs w:val="22"/>
          <w:lang w:val="lt-LT"/>
        </w:rPr>
      </w:pPr>
    </w:p>
    <w:tbl>
      <w:tblPr>
        <w:tblW w:w="0" w:type="auto"/>
        <w:tblInd w:w="108" w:type="dxa"/>
        <w:tblLayout w:type="fixed"/>
        <w:tblCellMar>
          <w:left w:w="0" w:type="dxa"/>
          <w:right w:w="0" w:type="dxa"/>
        </w:tblCellMar>
        <w:tblLook w:val="0000" w:firstRow="0" w:lastRow="0" w:firstColumn="0" w:lastColumn="0" w:noHBand="0" w:noVBand="0"/>
      </w:tblPr>
      <w:tblGrid>
        <w:gridCol w:w="2422"/>
        <w:gridCol w:w="2553"/>
        <w:gridCol w:w="2306"/>
      </w:tblGrid>
      <w:tr w:rsidR="00C05173" w:rsidRPr="00AE5BD5" w14:paraId="4D020105" w14:textId="77777777">
        <w:trPr>
          <w:trHeight w:hRule="exact" w:val="500"/>
        </w:trPr>
        <w:tc>
          <w:tcPr>
            <w:tcW w:w="2422" w:type="dxa"/>
            <w:tcBorders>
              <w:top w:val="none" w:sz="6" w:space="0" w:color="auto"/>
              <w:left w:val="none" w:sz="6" w:space="0" w:color="auto"/>
              <w:bottom w:val="none" w:sz="6" w:space="0" w:color="auto"/>
              <w:right w:val="none" w:sz="6" w:space="0" w:color="auto"/>
            </w:tcBorders>
          </w:tcPr>
          <w:p w14:paraId="26869C3E" w14:textId="77777777" w:rsidR="00C05173" w:rsidRPr="00AE5BD5" w:rsidRDefault="00C05173" w:rsidP="008C6014">
            <w:pPr>
              <w:rPr>
                <w:sz w:val="22"/>
                <w:szCs w:val="22"/>
                <w:lang w:val="lt-LT"/>
              </w:rPr>
            </w:pPr>
            <w:r w:rsidRPr="00AE5BD5">
              <w:rPr>
                <w:b/>
                <w:bCs/>
                <w:sz w:val="22"/>
                <w:szCs w:val="22"/>
                <w:lang w:val="lt-LT"/>
              </w:rPr>
              <w:t>Gydymo grupė</w:t>
            </w:r>
          </w:p>
        </w:tc>
        <w:tc>
          <w:tcPr>
            <w:tcW w:w="2553" w:type="dxa"/>
            <w:tcBorders>
              <w:top w:val="none" w:sz="6" w:space="0" w:color="auto"/>
              <w:left w:val="none" w:sz="6" w:space="0" w:color="auto"/>
              <w:bottom w:val="none" w:sz="6" w:space="0" w:color="auto"/>
              <w:right w:val="none" w:sz="6" w:space="0" w:color="auto"/>
            </w:tcBorders>
          </w:tcPr>
          <w:p w14:paraId="1524B4DE" w14:textId="77777777" w:rsidR="00C05173" w:rsidRPr="00AE5BD5" w:rsidRDefault="00C05173" w:rsidP="008C6014">
            <w:pPr>
              <w:rPr>
                <w:sz w:val="22"/>
                <w:szCs w:val="22"/>
                <w:lang w:val="lt-LT"/>
              </w:rPr>
            </w:pPr>
            <w:r w:rsidRPr="00AE5BD5">
              <w:rPr>
                <w:b/>
                <w:bCs/>
                <w:sz w:val="22"/>
                <w:szCs w:val="22"/>
                <w:lang w:val="lt-LT"/>
              </w:rPr>
              <w:t>Nustatytas skirtumas</w:t>
            </w:r>
          </w:p>
        </w:tc>
        <w:tc>
          <w:tcPr>
            <w:tcW w:w="2306" w:type="dxa"/>
            <w:tcBorders>
              <w:top w:val="none" w:sz="6" w:space="0" w:color="auto"/>
              <w:left w:val="none" w:sz="6" w:space="0" w:color="auto"/>
              <w:bottom w:val="none" w:sz="6" w:space="0" w:color="auto"/>
              <w:right w:val="none" w:sz="6" w:space="0" w:color="auto"/>
            </w:tcBorders>
          </w:tcPr>
          <w:p w14:paraId="3C3B60EC" w14:textId="77777777" w:rsidR="00C05173" w:rsidRPr="00AE5BD5" w:rsidRDefault="00C05173" w:rsidP="008C6014">
            <w:pPr>
              <w:rPr>
                <w:sz w:val="22"/>
                <w:szCs w:val="22"/>
                <w:lang w:val="lt-LT"/>
              </w:rPr>
            </w:pPr>
            <w:r w:rsidRPr="00AE5BD5">
              <w:rPr>
                <w:b/>
                <w:bCs/>
                <w:sz w:val="22"/>
                <w:szCs w:val="22"/>
                <w:lang w:val="lt-LT"/>
              </w:rPr>
              <w:t>95 % pasikliautinasis intervalas</w:t>
            </w:r>
          </w:p>
        </w:tc>
      </w:tr>
      <w:tr w:rsidR="00C05173" w:rsidRPr="00AE5BD5" w14:paraId="0F4878A5" w14:textId="77777777">
        <w:trPr>
          <w:trHeight w:hRule="exact" w:val="256"/>
        </w:trPr>
        <w:tc>
          <w:tcPr>
            <w:tcW w:w="2422" w:type="dxa"/>
            <w:tcBorders>
              <w:top w:val="none" w:sz="6" w:space="0" w:color="auto"/>
              <w:left w:val="none" w:sz="6" w:space="0" w:color="auto"/>
              <w:bottom w:val="none" w:sz="6" w:space="0" w:color="auto"/>
              <w:right w:val="none" w:sz="6" w:space="0" w:color="auto"/>
            </w:tcBorders>
          </w:tcPr>
          <w:p w14:paraId="60EDFB00" w14:textId="77777777" w:rsidR="00C05173" w:rsidRPr="00AE5BD5" w:rsidRDefault="00C05173" w:rsidP="008C6014">
            <w:pPr>
              <w:rPr>
                <w:sz w:val="22"/>
                <w:szCs w:val="22"/>
                <w:lang w:val="lt-LT"/>
              </w:rPr>
            </w:pPr>
            <w:r w:rsidRPr="00AE5BD5">
              <w:rPr>
                <w:b/>
                <w:bCs/>
                <w:sz w:val="22"/>
                <w:szCs w:val="22"/>
                <w:lang w:val="lt-LT"/>
              </w:rPr>
              <w:t>Maža dozė</w:t>
            </w:r>
          </w:p>
        </w:tc>
        <w:tc>
          <w:tcPr>
            <w:tcW w:w="2553" w:type="dxa"/>
            <w:tcBorders>
              <w:top w:val="none" w:sz="6" w:space="0" w:color="auto"/>
              <w:left w:val="none" w:sz="6" w:space="0" w:color="auto"/>
              <w:bottom w:val="none" w:sz="6" w:space="0" w:color="auto"/>
              <w:right w:val="none" w:sz="6" w:space="0" w:color="auto"/>
            </w:tcBorders>
          </w:tcPr>
          <w:p w14:paraId="24C31534" w14:textId="77777777" w:rsidR="00C05173" w:rsidRPr="00AE5BD5" w:rsidRDefault="00C05173" w:rsidP="008C6014">
            <w:pPr>
              <w:rPr>
                <w:sz w:val="22"/>
                <w:szCs w:val="22"/>
                <w:lang w:val="lt-LT"/>
              </w:rPr>
            </w:pPr>
            <w:r w:rsidRPr="00AE5BD5">
              <w:rPr>
                <w:sz w:val="22"/>
                <w:szCs w:val="22"/>
                <w:lang w:val="lt-LT"/>
              </w:rPr>
              <w:t>3,81</w:t>
            </w:r>
          </w:p>
        </w:tc>
        <w:tc>
          <w:tcPr>
            <w:tcW w:w="2306" w:type="dxa"/>
            <w:tcBorders>
              <w:top w:val="none" w:sz="6" w:space="0" w:color="auto"/>
              <w:left w:val="none" w:sz="6" w:space="0" w:color="auto"/>
              <w:bottom w:val="none" w:sz="6" w:space="0" w:color="auto"/>
              <w:right w:val="none" w:sz="6" w:space="0" w:color="auto"/>
            </w:tcBorders>
          </w:tcPr>
          <w:p w14:paraId="6B113C70" w14:textId="77777777" w:rsidR="00C05173" w:rsidRPr="00AE5BD5" w:rsidRDefault="00C05173" w:rsidP="008C6014">
            <w:pPr>
              <w:rPr>
                <w:sz w:val="22"/>
                <w:szCs w:val="22"/>
                <w:lang w:val="lt-LT"/>
              </w:rPr>
            </w:pPr>
            <w:r w:rsidRPr="00AE5BD5">
              <w:rPr>
                <w:sz w:val="22"/>
                <w:szCs w:val="22"/>
                <w:lang w:val="lt-LT"/>
              </w:rPr>
              <w:t>-6,11, 13,73</w:t>
            </w:r>
          </w:p>
        </w:tc>
      </w:tr>
      <w:tr w:rsidR="00C05173" w:rsidRPr="00AE5BD5" w14:paraId="62EAA3DF" w14:textId="77777777">
        <w:trPr>
          <w:trHeight w:hRule="exact" w:val="505"/>
        </w:trPr>
        <w:tc>
          <w:tcPr>
            <w:tcW w:w="2422" w:type="dxa"/>
            <w:tcBorders>
              <w:top w:val="none" w:sz="6" w:space="0" w:color="auto"/>
              <w:left w:val="none" w:sz="6" w:space="0" w:color="auto"/>
              <w:bottom w:val="none" w:sz="6" w:space="0" w:color="auto"/>
              <w:right w:val="none" w:sz="6" w:space="0" w:color="auto"/>
            </w:tcBorders>
          </w:tcPr>
          <w:p w14:paraId="6A491167" w14:textId="77777777" w:rsidR="00C05173" w:rsidRPr="00AE5BD5" w:rsidRDefault="00C05173" w:rsidP="008C6014">
            <w:pPr>
              <w:rPr>
                <w:b/>
                <w:bCs/>
                <w:sz w:val="22"/>
                <w:szCs w:val="22"/>
                <w:lang w:val="lt-LT"/>
              </w:rPr>
            </w:pPr>
            <w:r w:rsidRPr="00AE5BD5">
              <w:rPr>
                <w:b/>
                <w:bCs/>
                <w:sz w:val="22"/>
                <w:szCs w:val="22"/>
                <w:lang w:val="lt-LT"/>
              </w:rPr>
              <w:t>(n=24)</w:t>
            </w:r>
          </w:p>
          <w:p w14:paraId="102D96DB" w14:textId="77777777" w:rsidR="00C05173" w:rsidRPr="00AE5BD5" w:rsidRDefault="00C05173" w:rsidP="008C6014">
            <w:pPr>
              <w:rPr>
                <w:sz w:val="22"/>
                <w:szCs w:val="22"/>
                <w:lang w:val="lt-LT"/>
              </w:rPr>
            </w:pPr>
            <w:r w:rsidRPr="00AE5BD5">
              <w:rPr>
                <w:b/>
                <w:bCs/>
                <w:sz w:val="22"/>
                <w:szCs w:val="22"/>
                <w:lang w:val="lt-LT"/>
              </w:rPr>
              <w:t>Vidutinė dozė</w:t>
            </w:r>
          </w:p>
        </w:tc>
        <w:tc>
          <w:tcPr>
            <w:tcW w:w="2553" w:type="dxa"/>
            <w:tcBorders>
              <w:top w:val="none" w:sz="6" w:space="0" w:color="auto"/>
              <w:left w:val="none" w:sz="6" w:space="0" w:color="auto"/>
              <w:bottom w:val="none" w:sz="6" w:space="0" w:color="auto"/>
              <w:right w:val="none" w:sz="6" w:space="0" w:color="auto"/>
            </w:tcBorders>
          </w:tcPr>
          <w:p w14:paraId="4000FB64" w14:textId="77777777" w:rsidR="00C05173" w:rsidRPr="00AE5BD5" w:rsidRDefault="00C05173" w:rsidP="008C6014">
            <w:pPr>
              <w:rPr>
                <w:b/>
                <w:bCs/>
                <w:sz w:val="22"/>
                <w:szCs w:val="22"/>
                <w:lang w:val="lt-LT"/>
              </w:rPr>
            </w:pPr>
          </w:p>
          <w:p w14:paraId="00B90F23" w14:textId="77777777" w:rsidR="00C05173" w:rsidRPr="00AE5BD5" w:rsidRDefault="00C05173" w:rsidP="008C6014">
            <w:pPr>
              <w:rPr>
                <w:sz w:val="22"/>
                <w:szCs w:val="22"/>
                <w:lang w:val="lt-LT"/>
              </w:rPr>
            </w:pPr>
            <w:r w:rsidRPr="00AE5BD5">
              <w:rPr>
                <w:sz w:val="22"/>
                <w:szCs w:val="22"/>
                <w:lang w:val="lt-LT"/>
              </w:rPr>
              <w:t>11,33</w:t>
            </w:r>
          </w:p>
        </w:tc>
        <w:tc>
          <w:tcPr>
            <w:tcW w:w="2306" w:type="dxa"/>
            <w:tcBorders>
              <w:top w:val="none" w:sz="6" w:space="0" w:color="auto"/>
              <w:left w:val="none" w:sz="6" w:space="0" w:color="auto"/>
              <w:bottom w:val="none" w:sz="6" w:space="0" w:color="auto"/>
              <w:right w:val="none" w:sz="6" w:space="0" w:color="auto"/>
            </w:tcBorders>
          </w:tcPr>
          <w:p w14:paraId="56866317" w14:textId="77777777" w:rsidR="00C05173" w:rsidRPr="00AE5BD5" w:rsidRDefault="00C05173" w:rsidP="008C6014">
            <w:pPr>
              <w:rPr>
                <w:b/>
                <w:bCs/>
                <w:sz w:val="22"/>
                <w:szCs w:val="22"/>
                <w:lang w:val="lt-LT"/>
              </w:rPr>
            </w:pPr>
          </w:p>
          <w:p w14:paraId="7C945E17" w14:textId="77777777" w:rsidR="00C05173" w:rsidRPr="00AE5BD5" w:rsidRDefault="00C05173" w:rsidP="008C6014">
            <w:pPr>
              <w:rPr>
                <w:sz w:val="22"/>
                <w:szCs w:val="22"/>
                <w:lang w:val="lt-LT"/>
              </w:rPr>
            </w:pPr>
            <w:r w:rsidRPr="00AE5BD5">
              <w:rPr>
                <w:sz w:val="22"/>
                <w:szCs w:val="22"/>
                <w:lang w:val="lt-LT"/>
              </w:rPr>
              <w:t>1,72, 20,94</w:t>
            </w:r>
          </w:p>
        </w:tc>
      </w:tr>
      <w:tr w:rsidR="00C05173" w:rsidRPr="00AE5BD5" w14:paraId="76140D91" w14:textId="77777777">
        <w:trPr>
          <w:trHeight w:hRule="exact" w:val="251"/>
        </w:trPr>
        <w:tc>
          <w:tcPr>
            <w:tcW w:w="2422" w:type="dxa"/>
            <w:tcBorders>
              <w:top w:val="none" w:sz="6" w:space="0" w:color="auto"/>
              <w:left w:val="none" w:sz="6" w:space="0" w:color="auto"/>
              <w:bottom w:val="none" w:sz="6" w:space="0" w:color="auto"/>
              <w:right w:val="none" w:sz="6" w:space="0" w:color="auto"/>
            </w:tcBorders>
          </w:tcPr>
          <w:p w14:paraId="5E9D843E" w14:textId="77777777" w:rsidR="00C05173" w:rsidRPr="00AE5BD5" w:rsidRDefault="00C05173" w:rsidP="008C6014">
            <w:pPr>
              <w:rPr>
                <w:sz w:val="22"/>
                <w:szCs w:val="22"/>
                <w:lang w:val="lt-LT"/>
              </w:rPr>
            </w:pPr>
            <w:r w:rsidRPr="00AE5BD5">
              <w:rPr>
                <w:b/>
                <w:bCs/>
                <w:sz w:val="22"/>
                <w:szCs w:val="22"/>
                <w:lang w:val="lt-LT"/>
              </w:rPr>
              <w:t>(n=26)</w:t>
            </w:r>
          </w:p>
        </w:tc>
        <w:tc>
          <w:tcPr>
            <w:tcW w:w="2553" w:type="dxa"/>
            <w:tcBorders>
              <w:top w:val="none" w:sz="6" w:space="0" w:color="auto"/>
              <w:left w:val="none" w:sz="6" w:space="0" w:color="auto"/>
              <w:bottom w:val="none" w:sz="6" w:space="0" w:color="auto"/>
              <w:right w:val="none" w:sz="6" w:space="0" w:color="auto"/>
            </w:tcBorders>
          </w:tcPr>
          <w:p w14:paraId="5BE71D62" w14:textId="77777777" w:rsidR="00C05173" w:rsidRPr="00AE5BD5" w:rsidRDefault="00C05173" w:rsidP="008C6014">
            <w:pPr>
              <w:rPr>
                <w:sz w:val="22"/>
                <w:szCs w:val="22"/>
                <w:lang w:val="lt-LT"/>
              </w:rPr>
            </w:pPr>
          </w:p>
        </w:tc>
        <w:tc>
          <w:tcPr>
            <w:tcW w:w="2306" w:type="dxa"/>
            <w:tcBorders>
              <w:top w:val="none" w:sz="6" w:space="0" w:color="auto"/>
              <w:left w:val="none" w:sz="6" w:space="0" w:color="auto"/>
              <w:bottom w:val="none" w:sz="6" w:space="0" w:color="auto"/>
              <w:right w:val="none" w:sz="6" w:space="0" w:color="auto"/>
            </w:tcBorders>
          </w:tcPr>
          <w:p w14:paraId="4C5F10CB" w14:textId="77777777" w:rsidR="00C05173" w:rsidRPr="00AE5BD5" w:rsidRDefault="00C05173" w:rsidP="008C6014">
            <w:pPr>
              <w:rPr>
                <w:sz w:val="22"/>
                <w:szCs w:val="22"/>
                <w:lang w:val="lt-LT"/>
              </w:rPr>
            </w:pPr>
          </w:p>
        </w:tc>
      </w:tr>
      <w:tr w:rsidR="00C05173" w:rsidRPr="00AE5BD5" w14:paraId="52388D70" w14:textId="77777777">
        <w:trPr>
          <w:trHeight w:hRule="exact" w:val="256"/>
        </w:trPr>
        <w:tc>
          <w:tcPr>
            <w:tcW w:w="2422" w:type="dxa"/>
            <w:tcBorders>
              <w:top w:val="none" w:sz="6" w:space="0" w:color="auto"/>
              <w:left w:val="none" w:sz="6" w:space="0" w:color="auto"/>
              <w:bottom w:val="none" w:sz="6" w:space="0" w:color="auto"/>
              <w:right w:val="none" w:sz="6" w:space="0" w:color="auto"/>
            </w:tcBorders>
          </w:tcPr>
          <w:p w14:paraId="7A595B00" w14:textId="77777777" w:rsidR="00C05173" w:rsidRPr="00AE5BD5" w:rsidRDefault="00C05173" w:rsidP="008C6014">
            <w:pPr>
              <w:rPr>
                <w:sz w:val="22"/>
                <w:szCs w:val="22"/>
                <w:lang w:val="lt-LT"/>
              </w:rPr>
            </w:pPr>
            <w:r w:rsidRPr="00AE5BD5">
              <w:rPr>
                <w:b/>
                <w:bCs/>
                <w:sz w:val="22"/>
                <w:szCs w:val="22"/>
                <w:lang w:val="lt-LT"/>
              </w:rPr>
              <w:lastRenderedPageBreak/>
              <w:t>Didelė dozė</w:t>
            </w:r>
          </w:p>
        </w:tc>
        <w:tc>
          <w:tcPr>
            <w:tcW w:w="2553" w:type="dxa"/>
            <w:tcBorders>
              <w:top w:val="none" w:sz="6" w:space="0" w:color="auto"/>
              <w:left w:val="none" w:sz="6" w:space="0" w:color="auto"/>
              <w:bottom w:val="none" w:sz="6" w:space="0" w:color="auto"/>
              <w:right w:val="none" w:sz="6" w:space="0" w:color="auto"/>
            </w:tcBorders>
          </w:tcPr>
          <w:p w14:paraId="5104FB6C" w14:textId="77777777" w:rsidR="00C05173" w:rsidRPr="00AE5BD5" w:rsidRDefault="00C05173" w:rsidP="008C6014">
            <w:pPr>
              <w:rPr>
                <w:sz w:val="22"/>
                <w:szCs w:val="22"/>
                <w:lang w:val="lt-LT"/>
              </w:rPr>
            </w:pPr>
            <w:r w:rsidRPr="00AE5BD5">
              <w:rPr>
                <w:sz w:val="22"/>
                <w:szCs w:val="22"/>
                <w:lang w:val="lt-LT"/>
              </w:rPr>
              <w:t>7,98</w:t>
            </w:r>
          </w:p>
        </w:tc>
        <w:tc>
          <w:tcPr>
            <w:tcW w:w="2306" w:type="dxa"/>
            <w:tcBorders>
              <w:top w:val="none" w:sz="6" w:space="0" w:color="auto"/>
              <w:left w:val="none" w:sz="6" w:space="0" w:color="auto"/>
              <w:bottom w:val="none" w:sz="6" w:space="0" w:color="auto"/>
              <w:right w:val="none" w:sz="6" w:space="0" w:color="auto"/>
            </w:tcBorders>
          </w:tcPr>
          <w:p w14:paraId="472E31C8" w14:textId="77777777" w:rsidR="00C05173" w:rsidRPr="00AE5BD5" w:rsidRDefault="00C05173" w:rsidP="008C6014">
            <w:pPr>
              <w:rPr>
                <w:sz w:val="22"/>
                <w:szCs w:val="22"/>
                <w:lang w:val="lt-LT"/>
              </w:rPr>
            </w:pPr>
            <w:r w:rsidRPr="00AE5BD5">
              <w:rPr>
                <w:sz w:val="22"/>
                <w:szCs w:val="22"/>
                <w:lang w:val="lt-LT"/>
              </w:rPr>
              <w:t>-1,64, 17,60</w:t>
            </w:r>
          </w:p>
        </w:tc>
      </w:tr>
      <w:tr w:rsidR="00C05173" w:rsidRPr="00AE5BD5" w14:paraId="62AFDE74" w14:textId="77777777">
        <w:trPr>
          <w:trHeight w:hRule="exact" w:val="251"/>
        </w:trPr>
        <w:tc>
          <w:tcPr>
            <w:tcW w:w="2422" w:type="dxa"/>
            <w:tcBorders>
              <w:top w:val="none" w:sz="6" w:space="0" w:color="auto"/>
              <w:left w:val="none" w:sz="6" w:space="0" w:color="auto"/>
              <w:bottom w:val="none" w:sz="6" w:space="0" w:color="auto"/>
              <w:right w:val="none" w:sz="6" w:space="0" w:color="auto"/>
            </w:tcBorders>
          </w:tcPr>
          <w:p w14:paraId="5E96DBF9" w14:textId="77777777" w:rsidR="00C05173" w:rsidRPr="00AE5BD5" w:rsidRDefault="00C05173" w:rsidP="008C6014">
            <w:pPr>
              <w:rPr>
                <w:sz w:val="22"/>
                <w:szCs w:val="22"/>
                <w:lang w:val="lt-LT"/>
              </w:rPr>
            </w:pPr>
            <w:r w:rsidRPr="00AE5BD5">
              <w:rPr>
                <w:b/>
                <w:bCs/>
                <w:sz w:val="22"/>
                <w:szCs w:val="22"/>
                <w:lang w:val="lt-LT"/>
              </w:rPr>
              <w:t>(n=27)</w:t>
            </w:r>
          </w:p>
        </w:tc>
        <w:tc>
          <w:tcPr>
            <w:tcW w:w="2553" w:type="dxa"/>
            <w:tcBorders>
              <w:top w:val="none" w:sz="6" w:space="0" w:color="auto"/>
              <w:left w:val="none" w:sz="6" w:space="0" w:color="auto"/>
              <w:bottom w:val="none" w:sz="6" w:space="0" w:color="auto"/>
              <w:right w:val="none" w:sz="6" w:space="0" w:color="auto"/>
            </w:tcBorders>
          </w:tcPr>
          <w:p w14:paraId="5C81DAF0" w14:textId="77777777" w:rsidR="00C05173" w:rsidRPr="00AE5BD5" w:rsidRDefault="00C05173" w:rsidP="008C6014">
            <w:pPr>
              <w:rPr>
                <w:sz w:val="22"/>
                <w:szCs w:val="22"/>
                <w:lang w:val="lt-LT"/>
              </w:rPr>
            </w:pPr>
          </w:p>
        </w:tc>
        <w:tc>
          <w:tcPr>
            <w:tcW w:w="2306" w:type="dxa"/>
            <w:tcBorders>
              <w:top w:val="none" w:sz="6" w:space="0" w:color="auto"/>
              <w:left w:val="none" w:sz="6" w:space="0" w:color="auto"/>
              <w:bottom w:val="none" w:sz="6" w:space="0" w:color="auto"/>
              <w:right w:val="none" w:sz="6" w:space="0" w:color="auto"/>
            </w:tcBorders>
          </w:tcPr>
          <w:p w14:paraId="7CB91036" w14:textId="77777777" w:rsidR="00C05173" w:rsidRPr="00AE5BD5" w:rsidRDefault="00C05173" w:rsidP="008C6014">
            <w:pPr>
              <w:rPr>
                <w:sz w:val="22"/>
                <w:szCs w:val="22"/>
                <w:lang w:val="lt-LT"/>
              </w:rPr>
            </w:pPr>
          </w:p>
        </w:tc>
      </w:tr>
      <w:tr w:rsidR="00C05173" w:rsidRPr="00AE5BD5" w14:paraId="7B1FFE41" w14:textId="77777777">
        <w:trPr>
          <w:trHeight w:hRule="exact" w:val="751"/>
        </w:trPr>
        <w:tc>
          <w:tcPr>
            <w:tcW w:w="2422" w:type="dxa"/>
            <w:tcBorders>
              <w:top w:val="none" w:sz="6" w:space="0" w:color="auto"/>
              <w:left w:val="none" w:sz="6" w:space="0" w:color="auto"/>
              <w:bottom w:val="none" w:sz="6" w:space="0" w:color="auto"/>
              <w:right w:val="none" w:sz="6" w:space="0" w:color="auto"/>
            </w:tcBorders>
          </w:tcPr>
          <w:p w14:paraId="0FF5E548" w14:textId="77777777" w:rsidR="00C05173" w:rsidRPr="00AE5BD5" w:rsidRDefault="00C05173" w:rsidP="008C6014">
            <w:pPr>
              <w:rPr>
                <w:b/>
                <w:bCs/>
                <w:sz w:val="22"/>
                <w:szCs w:val="22"/>
                <w:lang w:val="lt-LT"/>
              </w:rPr>
            </w:pPr>
            <w:r w:rsidRPr="00AE5BD5">
              <w:rPr>
                <w:b/>
                <w:bCs/>
                <w:sz w:val="22"/>
                <w:szCs w:val="22"/>
                <w:lang w:val="lt-LT"/>
              </w:rPr>
              <w:t>Jungtinė įvairių dozių grupė (n=77)</w:t>
            </w:r>
          </w:p>
          <w:p w14:paraId="6769A62A" w14:textId="77777777" w:rsidR="00C05173" w:rsidRPr="00AE5BD5" w:rsidRDefault="00C05173" w:rsidP="008C6014">
            <w:pPr>
              <w:rPr>
                <w:sz w:val="22"/>
                <w:szCs w:val="22"/>
                <w:lang w:val="lt-LT"/>
              </w:rPr>
            </w:pPr>
            <w:r w:rsidRPr="00AE5BD5">
              <w:rPr>
                <w:i/>
                <w:iCs/>
                <w:sz w:val="22"/>
                <w:szCs w:val="22"/>
                <w:lang w:val="lt-LT"/>
              </w:rPr>
              <w:t>n=29 placebo grupėje</w:t>
            </w:r>
          </w:p>
        </w:tc>
        <w:tc>
          <w:tcPr>
            <w:tcW w:w="2553" w:type="dxa"/>
            <w:tcBorders>
              <w:top w:val="none" w:sz="6" w:space="0" w:color="auto"/>
              <w:left w:val="none" w:sz="6" w:space="0" w:color="auto"/>
              <w:bottom w:val="none" w:sz="6" w:space="0" w:color="auto"/>
              <w:right w:val="none" w:sz="6" w:space="0" w:color="auto"/>
            </w:tcBorders>
          </w:tcPr>
          <w:p w14:paraId="5B187D23" w14:textId="77777777" w:rsidR="00C05173" w:rsidRPr="00AE5BD5" w:rsidRDefault="00C05173" w:rsidP="008C6014">
            <w:pPr>
              <w:rPr>
                <w:sz w:val="22"/>
                <w:szCs w:val="22"/>
                <w:lang w:val="lt-LT"/>
              </w:rPr>
            </w:pPr>
            <w:r w:rsidRPr="00AE5BD5">
              <w:rPr>
                <w:sz w:val="22"/>
                <w:szCs w:val="22"/>
                <w:lang w:val="lt-LT"/>
              </w:rPr>
              <w:t>7,71</w:t>
            </w:r>
          </w:p>
          <w:p w14:paraId="5585866C" w14:textId="77777777" w:rsidR="00C05173" w:rsidRPr="00AE5BD5" w:rsidRDefault="00C05173" w:rsidP="008C6014">
            <w:pPr>
              <w:rPr>
                <w:sz w:val="22"/>
                <w:szCs w:val="22"/>
                <w:lang w:val="lt-LT"/>
              </w:rPr>
            </w:pPr>
            <w:r w:rsidRPr="00AE5BD5">
              <w:rPr>
                <w:sz w:val="22"/>
                <w:szCs w:val="22"/>
                <w:lang w:val="lt-LT"/>
              </w:rPr>
              <w:t>(p = 0,056)</w:t>
            </w:r>
          </w:p>
        </w:tc>
        <w:tc>
          <w:tcPr>
            <w:tcW w:w="2306" w:type="dxa"/>
            <w:tcBorders>
              <w:top w:val="none" w:sz="6" w:space="0" w:color="auto"/>
              <w:left w:val="none" w:sz="6" w:space="0" w:color="auto"/>
              <w:bottom w:val="none" w:sz="6" w:space="0" w:color="auto"/>
              <w:right w:val="none" w:sz="6" w:space="0" w:color="auto"/>
            </w:tcBorders>
          </w:tcPr>
          <w:p w14:paraId="7E82CDD9" w14:textId="77777777" w:rsidR="00C05173" w:rsidRPr="00AE5BD5" w:rsidRDefault="00C05173" w:rsidP="008C6014">
            <w:pPr>
              <w:rPr>
                <w:sz w:val="22"/>
                <w:szCs w:val="22"/>
                <w:lang w:val="lt-LT"/>
              </w:rPr>
            </w:pPr>
            <w:r w:rsidRPr="00AE5BD5">
              <w:rPr>
                <w:sz w:val="22"/>
                <w:szCs w:val="22"/>
                <w:lang w:val="lt-LT"/>
              </w:rPr>
              <w:t>-0,19, 15,60</w:t>
            </w:r>
          </w:p>
        </w:tc>
      </w:tr>
    </w:tbl>
    <w:p w14:paraId="156A10B5" w14:textId="77777777" w:rsidR="00C05173" w:rsidRPr="00AE5BD5" w:rsidRDefault="00C05173" w:rsidP="008C6014">
      <w:pPr>
        <w:rPr>
          <w:i/>
          <w:iCs/>
          <w:sz w:val="22"/>
          <w:szCs w:val="22"/>
          <w:lang w:val="lt-LT"/>
        </w:rPr>
      </w:pPr>
      <w:r w:rsidRPr="00AE5BD5">
        <w:rPr>
          <w:i/>
          <w:iCs/>
          <w:sz w:val="22"/>
          <w:szCs w:val="22"/>
          <w:lang w:val="lt-LT"/>
        </w:rPr>
        <w:t>Rodmenys, remiantis ANCOVA, koreguoti atsižvelgiant į pradinius didžiausio VO</w:t>
      </w:r>
      <w:r w:rsidRPr="00AE5BD5">
        <w:rPr>
          <w:i/>
          <w:iCs/>
          <w:position w:val="-3"/>
          <w:sz w:val="22"/>
          <w:szCs w:val="22"/>
          <w:lang w:val="lt-LT"/>
        </w:rPr>
        <w:t>2</w:t>
      </w:r>
      <w:r w:rsidRPr="00AE5BD5">
        <w:rPr>
          <w:i/>
          <w:iCs/>
          <w:sz w:val="22"/>
          <w:szCs w:val="22"/>
          <w:lang w:val="lt-LT"/>
        </w:rPr>
        <w:t>, etiologijos ir kūno svorio grupės kovariacijos kintamuosius.</w:t>
      </w:r>
    </w:p>
    <w:p w14:paraId="210FA46E" w14:textId="77777777" w:rsidR="00C05173" w:rsidRPr="00AE5BD5" w:rsidRDefault="00C05173" w:rsidP="008C6014">
      <w:pPr>
        <w:rPr>
          <w:i/>
          <w:iCs/>
          <w:sz w:val="22"/>
          <w:szCs w:val="22"/>
          <w:lang w:val="lt-LT"/>
        </w:rPr>
      </w:pPr>
    </w:p>
    <w:p w14:paraId="7023DE09" w14:textId="77777777" w:rsidR="00C05173" w:rsidRPr="00AE5BD5" w:rsidRDefault="00C05173" w:rsidP="008C6014">
      <w:pPr>
        <w:rPr>
          <w:sz w:val="22"/>
          <w:szCs w:val="22"/>
          <w:lang w:val="lt-LT"/>
        </w:rPr>
      </w:pPr>
      <w:r w:rsidRPr="00AE5BD5">
        <w:rPr>
          <w:sz w:val="22"/>
          <w:szCs w:val="22"/>
          <w:lang w:val="lt-LT"/>
        </w:rPr>
        <w:t>Buvo pastebėtas nuo dozės priklausomas plaučių kraujagyslių pasipriešinimo indekso (PKPI) ir vidutinio plautinio arterinio kraujospūdžio (vPAK) pagerėjimas. Ir vidutinės, ir didelės sildenafilio dozės grupėse nustatytas PKPI sumažėjimas, palyginti su placebu, atitinkamai 18</w:t>
      </w:r>
      <w:r w:rsidR="004716EC" w:rsidRPr="00AE5BD5">
        <w:rPr>
          <w:sz w:val="22"/>
          <w:szCs w:val="22"/>
          <w:lang w:val="lt-LT"/>
        </w:rPr>
        <w:t> </w:t>
      </w:r>
      <w:r w:rsidRPr="00AE5BD5">
        <w:rPr>
          <w:sz w:val="22"/>
          <w:szCs w:val="22"/>
          <w:lang w:val="lt-LT"/>
        </w:rPr>
        <w:t>% (95</w:t>
      </w:r>
      <w:r w:rsidR="00714B41" w:rsidRPr="00AE5BD5">
        <w:rPr>
          <w:sz w:val="22"/>
          <w:szCs w:val="22"/>
          <w:lang w:val="lt-LT"/>
        </w:rPr>
        <w:t> </w:t>
      </w:r>
      <w:r w:rsidRPr="00AE5BD5">
        <w:rPr>
          <w:sz w:val="22"/>
          <w:szCs w:val="22"/>
          <w:lang w:val="lt-LT"/>
        </w:rPr>
        <w:t>% PI: nuo 2</w:t>
      </w:r>
      <w:r w:rsidR="00714B41" w:rsidRPr="00AE5BD5">
        <w:rPr>
          <w:spacing w:val="-2"/>
          <w:sz w:val="22"/>
          <w:szCs w:val="22"/>
          <w:lang w:val="lt-LT"/>
        </w:rPr>
        <w:t> </w:t>
      </w:r>
      <w:r w:rsidRPr="00AE5BD5">
        <w:rPr>
          <w:sz w:val="22"/>
          <w:szCs w:val="22"/>
          <w:lang w:val="lt-LT"/>
        </w:rPr>
        <w:t>%</w:t>
      </w:r>
      <w:r w:rsidRPr="00AE5BD5">
        <w:rPr>
          <w:spacing w:val="-2"/>
          <w:sz w:val="22"/>
          <w:szCs w:val="22"/>
          <w:lang w:val="lt-LT"/>
        </w:rPr>
        <w:t xml:space="preserve"> </w:t>
      </w:r>
      <w:r w:rsidRPr="00AE5BD5">
        <w:rPr>
          <w:sz w:val="22"/>
          <w:szCs w:val="22"/>
          <w:lang w:val="lt-LT"/>
        </w:rPr>
        <w:t>iki</w:t>
      </w:r>
      <w:r w:rsidRPr="00AE5BD5">
        <w:rPr>
          <w:spacing w:val="-1"/>
          <w:sz w:val="22"/>
          <w:szCs w:val="22"/>
          <w:lang w:val="lt-LT"/>
        </w:rPr>
        <w:t xml:space="preserve"> </w:t>
      </w:r>
      <w:r w:rsidRPr="00AE5BD5">
        <w:rPr>
          <w:sz w:val="22"/>
          <w:szCs w:val="22"/>
          <w:lang w:val="lt-LT"/>
        </w:rPr>
        <w:t>32</w:t>
      </w:r>
      <w:r w:rsidR="00714B41" w:rsidRPr="00AE5BD5">
        <w:rPr>
          <w:spacing w:val="-3"/>
          <w:sz w:val="22"/>
          <w:szCs w:val="22"/>
          <w:lang w:val="lt-LT"/>
        </w:rPr>
        <w:t> </w:t>
      </w:r>
      <w:r w:rsidRPr="00AE5BD5">
        <w:rPr>
          <w:sz w:val="22"/>
          <w:szCs w:val="22"/>
          <w:lang w:val="lt-LT"/>
        </w:rPr>
        <w:t>%)</w:t>
      </w:r>
      <w:r w:rsidRPr="00AE5BD5">
        <w:rPr>
          <w:spacing w:val="-3"/>
          <w:sz w:val="22"/>
          <w:szCs w:val="22"/>
          <w:lang w:val="lt-LT"/>
        </w:rPr>
        <w:t xml:space="preserve"> </w:t>
      </w:r>
      <w:r w:rsidRPr="00AE5BD5">
        <w:rPr>
          <w:sz w:val="22"/>
          <w:szCs w:val="22"/>
          <w:lang w:val="lt-LT"/>
        </w:rPr>
        <w:t>ir</w:t>
      </w:r>
      <w:r w:rsidRPr="00AE5BD5">
        <w:rPr>
          <w:spacing w:val="-3"/>
          <w:sz w:val="22"/>
          <w:szCs w:val="22"/>
          <w:lang w:val="lt-LT"/>
        </w:rPr>
        <w:t xml:space="preserve"> </w:t>
      </w:r>
      <w:r w:rsidRPr="00AE5BD5">
        <w:rPr>
          <w:sz w:val="22"/>
          <w:szCs w:val="22"/>
          <w:lang w:val="lt-LT"/>
        </w:rPr>
        <w:t>27</w:t>
      </w:r>
      <w:r w:rsidR="00714B41" w:rsidRPr="00AE5BD5">
        <w:rPr>
          <w:spacing w:val="-3"/>
          <w:sz w:val="22"/>
          <w:szCs w:val="22"/>
          <w:lang w:val="lt-LT"/>
        </w:rPr>
        <w:t> </w:t>
      </w:r>
      <w:r w:rsidRPr="00AE5BD5">
        <w:rPr>
          <w:sz w:val="22"/>
          <w:szCs w:val="22"/>
          <w:lang w:val="lt-LT"/>
        </w:rPr>
        <w:t>%</w:t>
      </w:r>
      <w:r w:rsidRPr="00AE5BD5">
        <w:rPr>
          <w:spacing w:val="-3"/>
          <w:sz w:val="22"/>
          <w:szCs w:val="22"/>
          <w:lang w:val="lt-LT"/>
        </w:rPr>
        <w:t xml:space="preserve"> </w:t>
      </w:r>
      <w:r w:rsidRPr="00AE5BD5">
        <w:rPr>
          <w:sz w:val="22"/>
          <w:szCs w:val="22"/>
          <w:lang w:val="lt-LT"/>
        </w:rPr>
        <w:t>(95</w:t>
      </w:r>
      <w:r w:rsidR="00714B41" w:rsidRPr="00AE5BD5">
        <w:rPr>
          <w:spacing w:val="-3"/>
          <w:sz w:val="22"/>
          <w:szCs w:val="22"/>
          <w:lang w:val="lt-LT"/>
        </w:rPr>
        <w:t> </w:t>
      </w:r>
      <w:r w:rsidRPr="00AE5BD5">
        <w:rPr>
          <w:sz w:val="22"/>
          <w:szCs w:val="22"/>
          <w:lang w:val="lt-LT"/>
        </w:rPr>
        <w:t>%</w:t>
      </w:r>
      <w:r w:rsidRPr="00AE5BD5">
        <w:rPr>
          <w:spacing w:val="-3"/>
          <w:sz w:val="22"/>
          <w:szCs w:val="22"/>
          <w:lang w:val="lt-LT"/>
        </w:rPr>
        <w:t xml:space="preserve"> </w:t>
      </w:r>
      <w:r w:rsidRPr="00AE5BD5">
        <w:rPr>
          <w:sz w:val="22"/>
          <w:szCs w:val="22"/>
          <w:lang w:val="lt-LT"/>
        </w:rPr>
        <w:t>PI:</w:t>
      </w:r>
      <w:r w:rsidRPr="00AE5BD5">
        <w:rPr>
          <w:spacing w:val="-3"/>
          <w:sz w:val="22"/>
          <w:szCs w:val="22"/>
          <w:lang w:val="lt-LT"/>
        </w:rPr>
        <w:t xml:space="preserve"> </w:t>
      </w:r>
      <w:r w:rsidRPr="00AE5BD5">
        <w:rPr>
          <w:sz w:val="22"/>
          <w:szCs w:val="22"/>
          <w:lang w:val="lt-LT"/>
        </w:rPr>
        <w:t>nuo</w:t>
      </w:r>
      <w:r w:rsidRPr="00AE5BD5">
        <w:rPr>
          <w:spacing w:val="-3"/>
          <w:sz w:val="22"/>
          <w:szCs w:val="22"/>
          <w:lang w:val="lt-LT"/>
        </w:rPr>
        <w:t xml:space="preserve"> </w:t>
      </w:r>
      <w:r w:rsidRPr="00AE5BD5">
        <w:rPr>
          <w:sz w:val="22"/>
          <w:szCs w:val="22"/>
          <w:lang w:val="lt-LT"/>
        </w:rPr>
        <w:t>14</w:t>
      </w:r>
      <w:r w:rsidR="00714B41" w:rsidRPr="00AE5BD5">
        <w:rPr>
          <w:spacing w:val="-3"/>
          <w:sz w:val="22"/>
          <w:szCs w:val="22"/>
          <w:lang w:val="lt-LT"/>
        </w:rPr>
        <w:t> </w:t>
      </w:r>
      <w:r w:rsidRPr="00AE5BD5">
        <w:rPr>
          <w:sz w:val="22"/>
          <w:szCs w:val="22"/>
          <w:lang w:val="lt-LT"/>
        </w:rPr>
        <w:t>%</w:t>
      </w:r>
      <w:r w:rsidRPr="00AE5BD5">
        <w:rPr>
          <w:spacing w:val="-3"/>
          <w:sz w:val="22"/>
          <w:szCs w:val="22"/>
          <w:lang w:val="lt-LT"/>
        </w:rPr>
        <w:t xml:space="preserve"> </w:t>
      </w:r>
      <w:r w:rsidRPr="00AE5BD5">
        <w:rPr>
          <w:sz w:val="22"/>
          <w:szCs w:val="22"/>
          <w:lang w:val="lt-LT"/>
        </w:rPr>
        <w:t>iki</w:t>
      </w:r>
      <w:r w:rsidRPr="00AE5BD5">
        <w:rPr>
          <w:spacing w:val="-3"/>
          <w:sz w:val="22"/>
          <w:szCs w:val="22"/>
          <w:lang w:val="lt-LT"/>
        </w:rPr>
        <w:t xml:space="preserve"> </w:t>
      </w:r>
      <w:r w:rsidRPr="00AE5BD5">
        <w:rPr>
          <w:sz w:val="22"/>
          <w:szCs w:val="22"/>
          <w:lang w:val="lt-LT"/>
        </w:rPr>
        <w:t>39</w:t>
      </w:r>
      <w:r w:rsidR="00714B41" w:rsidRPr="00AE5BD5">
        <w:rPr>
          <w:spacing w:val="-3"/>
          <w:sz w:val="22"/>
          <w:szCs w:val="22"/>
          <w:lang w:val="lt-LT"/>
        </w:rPr>
        <w:t> </w:t>
      </w:r>
      <w:r w:rsidRPr="00AE5BD5">
        <w:rPr>
          <w:sz w:val="22"/>
          <w:szCs w:val="22"/>
          <w:lang w:val="lt-LT"/>
        </w:rPr>
        <w:t>%),</w:t>
      </w:r>
      <w:r w:rsidRPr="00AE5BD5">
        <w:rPr>
          <w:spacing w:val="-3"/>
          <w:sz w:val="22"/>
          <w:szCs w:val="22"/>
          <w:lang w:val="lt-LT"/>
        </w:rPr>
        <w:t xml:space="preserve"> </w:t>
      </w:r>
      <w:r w:rsidRPr="00AE5BD5">
        <w:rPr>
          <w:sz w:val="22"/>
          <w:szCs w:val="22"/>
          <w:lang w:val="lt-LT"/>
        </w:rPr>
        <w:t>o</w:t>
      </w:r>
      <w:r w:rsidRPr="00AE5BD5">
        <w:rPr>
          <w:spacing w:val="-3"/>
          <w:sz w:val="22"/>
          <w:szCs w:val="22"/>
          <w:lang w:val="lt-LT"/>
        </w:rPr>
        <w:t xml:space="preserve"> </w:t>
      </w:r>
      <w:r w:rsidRPr="00AE5BD5">
        <w:rPr>
          <w:sz w:val="22"/>
          <w:szCs w:val="22"/>
          <w:lang w:val="lt-LT"/>
        </w:rPr>
        <w:t>mažos</w:t>
      </w:r>
      <w:r w:rsidRPr="00AE5BD5">
        <w:rPr>
          <w:spacing w:val="-3"/>
          <w:sz w:val="22"/>
          <w:szCs w:val="22"/>
          <w:lang w:val="lt-LT"/>
        </w:rPr>
        <w:t xml:space="preserve"> </w:t>
      </w:r>
      <w:r w:rsidRPr="00AE5BD5">
        <w:rPr>
          <w:sz w:val="22"/>
          <w:szCs w:val="22"/>
          <w:lang w:val="lt-LT"/>
        </w:rPr>
        <w:t>dozės</w:t>
      </w:r>
      <w:r w:rsidRPr="00AE5BD5">
        <w:rPr>
          <w:spacing w:val="-3"/>
          <w:sz w:val="22"/>
          <w:szCs w:val="22"/>
          <w:lang w:val="lt-LT"/>
        </w:rPr>
        <w:t xml:space="preserve"> </w:t>
      </w:r>
      <w:r w:rsidRPr="00AE5BD5">
        <w:rPr>
          <w:sz w:val="22"/>
          <w:szCs w:val="22"/>
          <w:lang w:val="lt-LT"/>
        </w:rPr>
        <w:t>grupėje</w:t>
      </w:r>
      <w:r w:rsidRPr="00AE5BD5">
        <w:rPr>
          <w:spacing w:val="-3"/>
          <w:sz w:val="22"/>
          <w:szCs w:val="22"/>
          <w:lang w:val="lt-LT"/>
        </w:rPr>
        <w:t xml:space="preserve"> </w:t>
      </w:r>
      <w:r w:rsidRPr="00AE5BD5">
        <w:rPr>
          <w:sz w:val="22"/>
          <w:szCs w:val="22"/>
          <w:lang w:val="lt-LT"/>
        </w:rPr>
        <w:t>šis</w:t>
      </w:r>
      <w:r w:rsidRPr="00AE5BD5">
        <w:rPr>
          <w:spacing w:val="-3"/>
          <w:sz w:val="22"/>
          <w:szCs w:val="22"/>
          <w:lang w:val="lt-LT"/>
        </w:rPr>
        <w:t xml:space="preserve"> </w:t>
      </w:r>
      <w:r w:rsidRPr="00AE5BD5">
        <w:rPr>
          <w:sz w:val="22"/>
          <w:szCs w:val="22"/>
          <w:lang w:val="lt-LT"/>
        </w:rPr>
        <w:t>rodiklis</w:t>
      </w:r>
      <w:r w:rsidRPr="00AE5BD5">
        <w:rPr>
          <w:spacing w:val="-3"/>
          <w:sz w:val="22"/>
          <w:szCs w:val="22"/>
          <w:lang w:val="lt-LT"/>
        </w:rPr>
        <w:t xml:space="preserve"> </w:t>
      </w:r>
      <w:r w:rsidRPr="00AE5BD5">
        <w:rPr>
          <w:sz w:val="22"/>
          <w:szCs w:val="22"/>
          <w:lang w:val="lt-LT"/>
        </w:rPr>
        <w:t>reikšminga</w:t>
      </w:r>
      <w:r w:rsidR="00714B41" w:rsidRPr="00AE5BD5">
        <w:rPr>
          <w:sz w:val="22"/>
          <w:szCs w:val="22"/>
          <w:lang w:val="lt-LT"/>
        </w:rPr>
        <w:t xml:space="preserve">i </w:t>
      </w:r>
      <w:r w:rsidRPr="00AE5BD5">
        <w:rPr>
          <w:sz w:val="22"/>
          <w:szCs w:val="22"/>
          <w:lang w:val="lt-LT"/>
        </w:rPr>
        <w:t>nesiskyrė nuo placebo (2</w:t>
      </w:r>
      <w:r w:rsidR="00714B41" w:rsidRPr="00AE5BD5">
        <w:rPr>
          <w:sz w:val="22"/>
          <w:szCs w:val="22"/>
          <w:lang w:val="lt-LT"/>
        </w:rPr>
        <w:t> </w:t>
      </w:r>
      <w:r w:rsidRPr="00AE5BD5">
        <w:rPr>
          <w:sz w:val="22"/>
          <w:szCs w:val="22"/>
          <w:lang w:val="lt-LT"/>
        </w:rPr>
        <w:t>% skirtumas). Vidutinės ir didelės sildenafilio dozės grupėse nustatytas vPAK pokytis, palyginti su pradiniu ir lyginant su placebu, buvo atitinkamai -3,5</w:t>
      </w:r>
      <w:r w:rsidR="00714B41" w:rsidRPr="00AE5BD5">
        <w:rPr>
          <w:sz w:val="22"/>
          <w:szCs w:val="22"/>
          <w:lang w:val="lt-LT"/>
        </w:rPr>
        <w:t> </w:t>
      </w:r>
      <w:r w:rsidRPr="00AE5BD5">
        <w:rPr>
          <w:sz w:val="22"/>
          <w:szCs w:val="22"/>
          <w:lang w:val="lt-LT"/>
        </w:rPr>
        <w:t>mmHg (95</w:t>
      </w:r>
      <w:r w:rsidR="00714B41" w:rsidRPr="00AE5BD5">
        <w:rPr>
          <w:sz w:val="22"/>
          <w:szCs w:val="22"/>
          <w:lang w:val="lt-LT"/>
        </w:rPr>
        <w:t> </w:t>
      </w:r>
      <w:r w:rsidRPr="00AE5BD5">
        <w:rPr>
          <w:sz w:val="22"/>
          <w:szCs w:val="22"/>
          <w:lang w:val="lt-LT"/>
        </w:rPr>
        <w:t>% PI: - 8,9, 1,9) ir -7,3</w:t>
      </w:r>
      <w:r w:rsidR="00714B41" w:rsidRPr="00AE5BD5">
        <w:rPr>
          <w:sz w:val="22"/>
          <w:szCs w:val="22"/>
          <w:lang w:val="lt-LT"/>
        </w:rPr>
        <w:t> </w:t>
      </w:r>
      <w:r w:rsidRPr="00AE5BD5">
        <w:rPr>
          <w:sz w:val="22"/>
          <w:szCs w:val="22"/>
          <w:lang w:val="lt-LT"/>
        </w:rPr>
        <w:t>mmHg (95</w:t>
      </w:r>
      <w:r w:rsidR="00714B41" w:rsidRPr="00AE5BD5">
        <w:rPr>
          <w:sz w:val="22"/>
          <w:szCs w:val="22"/>
          <w:lang w:val="lt-LT"/>
        </w:rPr>
        <w:t> </w:t>
      </w:r>
      <w:r w:rsidRPr="00AE5BD5">
        <w:rPr>
          <w:sz w:val="22"/>
          <w:szCs w:val="22"/>
          <w:lang w:val="lt-LT"/>
        </w:rPr>
        <w:t>% PI: -12,4, -2,1), o mažos dozės grupėje šio rodiklio skirtumas, palyginti su placebu, buvo mažas (1,6</w:t>
      </w:r>
      <w:r w:rsidR="00714B41" w:rsidRPr="00AE5BD5">
        <w:rPr>
          <w:sz w:val="22"/>
          <w:szCs w:val="22"/>
          <w:lang w:val="lt-LT"/>
        </w:rPr>
        <w:t> </w:t>
      </w:r>
      <w:r w:rsidRPr="00AE5BD5">
        <w:rPr>
          <w:sz w:val="22"/>
          <w:szCs w:val="22"/>
          <w:lang w:val="lt-LT"/>
        </w:rPr>
        <w:t>mmHg skirtumas). Visose trijose gydymo sildenafiliu grupėse, palyginti su placebu, buvo nustatytas širdies indekso pagerėjimas: mažos, vidutinės ir didelės dozės grupėse atitinkamai 10</w:t>
      </w:r>
      <w:r w:rsidR="000D491A" w:rsidRPr="00AE5BD5">
        <w:rPr>
          <w:sz w:val="22"/>
          <w:szCs w:val="22"/>
          <w:lang w:val="lt-LT"/>
        </w:rPr>
        <w:t> </w:t>
      </w:r>
      <w:r w:rsidRPr="00AE5BD5">
        <w:rPr>
          <w:sz w:val="22"/>
          <w:szCs w:val="22"/>
          <w:lang w:val="lt-LT"/>
        </w:rPr>
        <w:t xml:space="preserve">%, 4 </w:t>
      </w:r>
      <w:r w:rsidR="000D491A" w:rsidRPr="00AE5BD5">
        <w:rPr>
          <w:sz w:val="22"/>
          <w:szCs w:val="22"/>
          <w:lang w:val="lt-LT"/>
        </w:rPr>
        <w:t> </w:t>
      </w:r>
      <w:r w:rsidRPr="00AE5BD5">
        <w:rPr>
          <w:sz w:val="22"/>
          <w:szCs w:val="22"/>
          <w:lang w:val="lt-LT"/>
        </w:rPr>
        <w:t>% ir 15</w:t>
      </w:r>
      <w:r w:rsidR="000D491A" w:rsidRPr="00AE5BD5">
        <w:rPr>
          <w:sz w:val="22"/>
          <w:szCs w:val="22"/>
          <w:lang w:val="lt-LT"/>
        </w:rPr>
        <w:t> </w:t>
      </w:r>
      <w:r w:rsidRPr="00AE5BD5">
        <w:rPr>
          <w:sz w:val="22"/>
          <w:szCs w:val="22"/>
          <w:lang w:val="lt-LT"/>
        </w:rPr>
        <w:t>%.</w:t>
      </w:r>
    </w:p>
    <w:p w14:paraId="2B09E373" w14:textId="77777777" w:rsidR="00C05173" w:rsidRPr="00AE5BD5" w:rsidRDefault="00C05173" w:rsidP="008C6014">
      <w:pPr>
        <w:rPr>
          <w:sz w:val="22"/>
          <w:szCs w:val="22"/>
          <w:lang w:val="lt-LT"/>
        </w:rPr>
      </w:pPr>
      <w:r w:rsidRPr="00AE5BD5">
        <w:rPr>
          <w:sz w:val="22"/>
          <w:szCs w:val="22"/>
          <w:lang w:val="lt-LT"/>
        </w:rPr>
        <w:t>Reikšmingas funkcinės klasės pagerėjimas buvo nustatytas tik tiriamiesiems, kurie vartojo didelę sildenafilio dozę, palyginti su placebu. Šansų santykis mažos, vidutinės ir didelės sildenafilio dozės grupėse, palyginti su placebu, buvo atitinkamai 0,6 (95</w:t>
      </w:r>
      <w:r w:rsidR="004716EC" w:rsidRPr="00AE5BD5">
        <w:rPr>
          <w:sz w:val="22"/>
          <w:szCs w:val="22"/>
          <w:lang w:val="lt-LT"/>
        </w:rPr>
        <w:t> </w:t>
      </w:r>
      <w:r w:rsidRPr="00AE5BD5">
        <w:rPr>
          <w:sz w:val="22"/>
          <w:szCs w:val="22"/>
          <w:lang w:val="lt-LT"/>
        </w:rPr>
        <w:t>% PI: 0,18, 2,01), 2,25 (95</w:t>
      </w:r>
      <w:r w:rsidR="004716EC" w:rsidRPr="00AE5BD5">
        <w:rPr>
          <w:sz w:val="22"/>
          <w:szCs w:val="22"/>
          <w:lang w:val="lt-LT"/>
        </w:rPr>
        <w:t> </w:t>
      </w:r>
      <w:r w:rsidRPr="00AE5BD5">
        <w:rPr>
          <w:sz w:val="22"/>
          <w:szCs w:val="22"/>
          <w:lang w:val="lt-LT"/>
        </w:rPr>
        <w:t>% PI: 0,75, 6,69) ir</w:t>
      </w:r>
      <w:r w:rsidR="000D491A" w:rsidRPr="00AE5BD5">
        <w:rPr>
          <w:sz w:val="22"/>
          <w:szCs w:val="22"/>
          <w:lang w:val="lt-LT"/>
        </w:rPr>
        <w:t xml:space="preserve"> </w:t>
      </w:r>
      <w:r w:rsidRPr="00AE5BD5">
        <w:rPr>
          <w:sz w:val="22"/>
          <w:szCs w:val="22"/>
          <w:lang w:val="lt-LT"/>
        </w:rPr>
        <w:t>4,52 (95</w:t>
      </w:r>
      <w:r w:rsidR="004716EC" w:rsidRPr="00AE5BD5">
        <w:rPr>
          <w:sz w:val="22"/>
          <w:szCs w:val="22"/>
          <w:lang w:val="lt-LT"/>
        </w:rPr>
        <w:t> </w:t>
      </w:r>
      <w:r w:rsidRPr="00AE5BD5">
        <w:rPr>
          <w:sz w:val="22"/>
          <w:szCs w:val="22"/>
          <w:lang w:val="lt-LT"/>
        </w:rPr>
        <w:t>% PI: 1,56, 13,10).</w:t>
      </w:r>
    </w:p>
    <w:p w14:paraId="35678713" w14:textId="77777777" w:rsidR="00C05173" w:rsidRPr="00AE5BD5" w:rsidRDefault="00C05173" w:rsidP="008C6014">
      <w:pPr>
        <w:rPr>
          <w:sz w:val="22"/>
          <w:szCs w:val="22"/>
          <w:lang w:val="lt-LT"/>
        </w:rPr>
      </w:pPr>
    </w:p>
    <w:p w14:paraId="5FB5A4A4" w14:textId="77777777" w:rsidR="00C05173" w:rsidRPr="00AE5BD5" w:rsidRDefault="00C05173" w:rsidP="008C6014">
      <w:pPr>
        <w:rPr>
          <w:sz w:val="22"/>
          <w:szCs w:val="22"/>
          <w:lang w:val="lt-LT"/>
        </w:rPr>
      </w:pPr>
      <w:r w:rsidRPr="00AE5BD5">
        <w:rPr>
          <w:sz w:val="22"/>
          <w:szCs w:val="22"/>
          <w:u w:val="single"/>
          <w:lang w:val="lt-LT"/>
        </w:rPr>
        <w:t>Ilgalaikio tęstinio tyrimo duomenys</w:t>
      </w:r>
    </w:p>
    <w:p w14:paraId="5679FF05" w14:textId="77777777" w:rsidR="00C05173" w:rsidRPr="00AE5BD5" w:rsidRDefault="00C05173" w:rsidP="008C6014">
      <w:pPr>
        <w:rPr>
          <w:sz w:val="22"/>
          <w:szCs w:val="22"/>
          <w:lang w:val="lt-LT"/>
        </w:rPr>
      </w:pPr>
    </w:p>
    <w:p w14:paraId="21393BAF" w14:textId="77777777" w:rsidR="00C05173" w:rsidRPr="00AE5BD5" w:rsidRDefault="00C05173" w:rsidP="008C6014">
      <w:pPr>
        <w:rPr>
          <w:sz w:val="22"/>
          <w:szCs w:val="22"/>
          <w:lang w:val="lt-LT"/>
        </w:rPr>
      </w:pPr>
      <w:r w:rsidRPr="00AE5BD5">
        <w:rPr>
          <w:sz w:val="22"/>
          <w:szCs w:val="22"/>
          <w:lang w:val="lt-LT"/>
        </w:rPr>
        <w:t>Iš 234 vaikų populiacijos tiriamųjų, gydytų per trumpalaikį, placebu kontroliuojamą tyrimą, į ilgalaikį tęstinį tyrimą buvo įtraukta 220 tiriamųjų. Placebo grupėje buvę tiriamieji buvo atsitiktinai atrinkti gydyti sildenafiliu; ≤</w:t>
      </w:r>
      <w:r w:rsidR="004716EC" w:rsidRPr="00AE5BD5">
        <w:rPr>
          <w:sz w:val="22"/>
          <w:szCs w:val="22"/>
          <w:lang w:val="lt-LT"/>
        </w:rPr>
        <w:t> </w:t>
      </w:r>
      <w:r w:rsidRPr="00AE5BD5">
        <w:rPr>
          <w:sz w:val="22"/>
          <w:szCs w:val="22"/>
          <w:lang w:val="lt-LT"/>
        </w:rPr>
        <w:t>20</w:t>
      </w:r>
      <w:r w:rsidR="000D491A" w:rsidRPr="00AE5BD5">
        <w:rPr>
          <w:sz w:val="22"/>
          <w:szCs w:val="22"/>
          <w:lang w:val="lt-LT"/>
        </w:rPr>
        <w:t> </w:t>
      </w:r>
      <w:r w:rsidRPr="00AE5BD5">
        <w:rPr>
          <w:sz w:val="22"/>
          <w:szCs w:val="22"/>
          <w:lang w:val="lt-LT"/>
        </w:rPr>
        <w:t>kg sveriantys tiriamieji buvo įtraukti į vidutinės ar didelės dozės grupes (1:1), o &gt;</w:t>
      </w:r>
      <w:r w:rsidR="004716EC" w:rsidRPr="00AE5BD5">
        <w:rPr>
          <w:sz w:val="22"/>
          <w:szCs w:val="22"/>
          <w:lang w:val="lt-LT"/>
        </w:rPr>
        <w:t> </w:t>
      </w:r>
      <w:r w:rsidRPr="00AE5BD5">
        <w:rPr>
          <w:sz w:val="22"/>
          <w:szCs w:val="22"/>
          <w:lang w:val="lt-LT"/>
        </w:rPr>
        <w:t>20</w:t>
      </w:r>
      <w:r w:rsidR="000D491A" w:rsidRPr="00AE5BD5">
        <w:rPr>
          <w:sz w:val="22"/>
          <w:szCs w:val="22"/>
          <w:lang w:val="lt-LT"/>
        </w:rPr>
        <w:t> </w:t>
      </w:r>
      <w:r w:rsidRPr="00AE5BD5">
        <w:rPr>
          <w:sz w:val="22"/>
          <w:szCs w:val="22"/>
          <w:lang w:val="lt-LT"/>
        </w:rPr>
        <w:t>kg sveriantys tiriamieji – mažos, vidutinės arba didelės dozės grupes (1:1:1). Iš 229 tiriamųjų, kuriems buvo skirta sildenafilio, mažos, vidutinės ir didelės dozių grupėse buvo atitinkamai 55, 74 ir 100 tiriamųjų. Bendra atskirų tiriamųjų trumpalaikio ir ilgalaikio gydymo trukmė nuo dvigubai aklo tyrimo pradžios svyravo buvo nuo 3 iki 3129 dienų. Sildenafilio grupės vidutinė gydymo sildenafiliu trukmė buvo 1696 dienos (išskyrus 5 tiriamuosius, per dvigubai aklą tyrimą vartojusius placebą ir negydytus per ilgalaikį tęstinį tyrimą).</w:t>
      </w:r>
    </w:p>
    <w:p w14:paraId="2BB36C63" w14:textId="77777777" w:rsidR="00C05173" w:rsidRPr="00AE5BD5" w:rsidRDefault="00C05173" w:rsidP="008C6014">
      <w:pPr>
        <w:rPr>
          <w:sz w:val="22"/>
          <w:szCs w:val="22"/>
          <w:lang w:val="lt-LT"/>
        </w:rPr>
      </w:pPr>
    </w:p>
    <w:p w14:paraId="1D51D434" w14:textId="77777777" w:rsidR="00C05173" w:rsidRPr="00AE5BD5" w:rsidRDefault="00C05173" w:rsidP="008C6014">
      <w:pPr>
        <w:rPr>
          <w:sz w:val="22"/>
          <w:szCs w:val="22"/>
          <w:lang w:val="lt-LT"/>
        </w:rPr>
      </w:pPr>
      <w:r w:rsidRPr="00AE5BD5">
        <w:rPr>
          <w:sz w:val="22"/>
          <w:szCs w:val="22"/>
          <w:lang w:val="lt-LT"/>
        </w:rPr>
        <w:t xml:space="preserve">Išgyvenimo trečiaisiais metais </w:t>
      </w:r>
      <w:r w:rsidR="007D6506" w:rsidRPr="000C463E">
        <w:rPr>
          <w:i/>
          <w:sz w:val="22"/>
          <w:szCs w:val="22"/>
          <w:lang w:val="lt-LT"/>
        </w:rPr>
        <w:t>Kaplan-Meier</w:t>
      </w:r>
      <w:r w:rsidR="007D6506" w:rsidRPr="007D6506">
        <w:rPr>
          <w:sz w:val="22"/>
          <w:szCs w:val="22"/>
          <w:lang w:val="lt-LT"/>
        </w:rPr>
        <w:t xml:space="preserve"> </w:t>
      </w:r>
      <w:r w:rsidRPr="00AE5BD5">
        <w:rPr>
          <w:sz w:val="22"/>
          <w:szCs w:val="22"/>
          <w:lang w:val="lt-LT"/>
        </w:rPr>
        <w:t>įvertis pacientams, kurių pradinė kūno masė buvo</w:t>
      </w:r>
      <w:r w:rsidR="000D491A" w:rsidRPr="00AE5BD5">
        <w:rPr>
          <w:sz w:val="22"/>
          <w:szCs w:val="22"/>
          <w:lang w:val="lt-LT"/>
        </w:rPr>
        <w:t xml:space="preserve"> </w:t>
      </w:r>
      <w:r w:rsidRPr="00AE5BD5">
        <w:rPr>
          <w:sz w:val="22"/>
          <w:szCs w:val="22"/>
          <w:lang w:val="lt-LT"/>
        </w:rPr>
        <w:t>&gt;</w:t>
      </w:r>
      <w:r w:rsidR="000D491A" w:rsidRPr="00AE5BD5">
        <w:rPr>
          <w:sz w:val="22"/>
          <w:szCs w:val="22"/>
          <w:lang w:val="lt-LT"/>
        </w:rPr>
        <w:t> </w:t>
      </w:r>
      <w:r w:rsidRPr="00AE5BD5">
        <w:rPr>
          <w:sz w:val="22"/>
          <w:szCs w:val="22"/>
          <w:lang w:val="lt-LT"/>
        </w:rPr>
        <w:t>20</w:t>
      </w:r>
      <w:r w:rsidR="000D491A" w:rsidRPr="00AE5BD5">
        <w:rPr>
          <w:sz w:val="22"/>
          <w:szCs w:val="22"/>
          <w:lang w:val="lt-LT"/>
        </w:rPr>
        <w:t> </w:t>
      </w:r>
      <w:r w:rsidRPr="00AE5BD5">
        <w:rPr>
          <w:sz w:val="22"/>
          <w:szCs w:val="22"/>
          <w:lang w:val="lt-LT"/>
        </w:rPr>
        <w:t>kg, mažos, vidutinės ir didelės dozių grupėse buvo atitinkamai 94</w:t>
      </w:r>
      <w:r w:rsidR="004716EC" w:rsidRPr="00AE5BD5">
        <w:rPr>
          <w:sz w:val="22"/>
          <w:szCs w:val="22"/>
          <w:lang w:val="lt-LT"/>
        </w:rPr>
        <w:t> </w:t>
      </w:r>
      <w:r w:rsidRPr="00AE5BD5">
        <w:rPr>
          <w:sz w:val="22"/>
          <w:szCs w:val="22"/>
          <w:lang w:val="lt-LT"/>
        </w:rPr>
        <w:t>%, 93</w:t>
      </w:r>
      <w:r w:rsidR="004716EC" w:rsidRPr="00AE5BD5">
        <w:rPr>
          <w:sz w:val="22"/>
          <w:szCs w:val="22"/>
          <w:lang w:val="lt-LT"/>
        </w:rPr>
        <w:t> </w:t>
      </w:r>
      <w:r w:rsidRPr="00AE5BD5">
        <w:rPr>
          <w:sz w:val="22"/>
          <w:szCs w:val="22"/>
          <w:lang w:val="lt-LT"/>
        </w:rPr>
        <w:t>% ir 85</w:t>
      </w:r>
      <w:r w:rsidR="004716EC" w:rsidRPr="00AE5BD5">
        <w:rPr>
          <w:sz w:val="22"/>
          <w:szCs w:val="22"/>
          <w:lang w:val="lt-LT"/>
        </w:rPr>
        <w:t> </w:t>
      </w:r>
      <w:r w:rsidRPr="00AE5BD5">
        <w:rPr>
          <w:sz w:val="22"/>
          <w:szCs w:val="22"/>
          <w:lang w:val="lt-LT"/>
        </w:rPr>
        <w:t>%. Pacientams, kurių pradinė kūno masė buvo ≤</w:t>
      </w:r>
      <w:r w:rsidR="000D491A" w:rsidRPr="00AE5BD5">
        <w:rPr>
          <w:sz w:val="22"/>
          <w:szCs w:val="22"/>
          <w:lang w:val="lt-LT"/>
        </w:rPr>
        <w:t> </w:t>
      </w:r>
      <w:r w:rsidRPr="00AE5BD5">
        <w:rPr>
          <w:sz w:val="22"/>
          <w:szCs w:val="22"/>
          <w:lang w:val="lt-LT"/>
        </w:rPr>
        <w:t>20</w:t>
      </w:r>
      <w:r w:rsidR="000D491A" w:rsidRPr="00AE5BD5">
        <w:rPr>
          <w:sz w:val="22"/>
          <w:szCs w:val="22"/>
          <w:lang w:val="lt-LT"/>
        </w:rPr>
        <w:t> </w:t>
      </w:r>
      <w:r w:rsidRPr="00AE5BD5">
        <w:rPr>
          <w:sz w:val="22"/>
          <w:szCs w:val="22"/>
          <w:lang w:val="lt-LT"/>
        </w:rPr>
        <w:t>kg, išgyvenimo įvertis vidutinės ir didelės dozių grupėse buvo atitinkamai 94</w:t>
      </w:r>
      <w:r w:rsidR="000D491A" w:rsidRPr="00AE5BD5">
        <w:rPr>
          <w:sz w:val="22"/>
          <w:szCs w:val="22"/>
          <w:lang w:val="lt-LT"/>
        </w:rPr>
        <w:t> </w:t>
      </w:r>
      <w:r w:rsidRPr="00AE5BD5">
        <w:rPr>
          <w:sz w:val="22"/>
          <w:szCs w:val="22"/>
          <w:lang w:val="lt-LT"/>
        </w:rPr>
        <w:t>% ir 93</w:t>
      </w:r>
      <w:r w:rsidR="000D491A" w:rsidRPr="00AE5BD5">
        <w:rPr>
          <w:sz w:val="22"/>
          <w:szCs w:val="22"/>
          <w:lang w:val="lt-LT"/>
        </w:rPr>
        <w:t> </w:t>
      </w:r>
      <w:r w:rsidRPr="00AE5BD5">
        <w:rPr>
          <w:sz w:val="22"/>
          <w:szCs w:val="22"/>
          <w:lang w:val="lt-LT"/>
        </w:rPr>
        <w:t>% (žr. 4.4 ir 4.8 skyrius).</w:t>
      </w:r>
    </w:p>
    <w:p w14:paraId="6746983E" w14:textId="77777777" w:rsidR="00C05173" w:rsidRPr="00AE5BD5" w:rsidRDefault="00C05173" w:rsidP="008C6014">
      <w:pPr>
        <w:rPr>
          <w:sz w:val="22"/>
          <w:szCs w:val="22"/>
          <w:lang w:val="lt-LT"/>
        </w:rPr>
      </w:pPr>
    </w:p>
    <w:p w14:paraId="1A4B7C0F" w14:textId="77777777" w:rsidR="00C05173" w:rsidRPr="00AE5BD5" w:rsidRDefault="00C05173" w:rsidP="008C6014">
      <w:pPr>
        <w:rPr>
          <w:sz w:val="22"/>
          <w:szCs w:val="22"/>
          <w:lang w:val="lt-LT"/>
        </w:rPr>
      </w:pPr>
      <w:r w:rsidRPr="00AE5BD5">
        <w:rPr>
          <w:sz w:val="22"/>
          <w:szCs w:val="22"/>
          <w:lang w:val="lt-LT"/>
        </w:rPr>
        <w:t>Vykdant tyrimą pranešta apie 42 mirties atvejus gydymo metu arba tolesnio išgyvenimo stebėjimo laikotarpiu. 37 mirties atvejai įvyko prieš duomenų stebėjimo komitetui nusprendžiant titruoti tiriamųjų dozę į mažesnę, dėl nustatyto didelio mirtingumo vartojant didesnes sildenafilio dozes. 37 mirčių atveju, mirtingumo skaičius (%) sildenafilio mažos, vidutinės ir didelės dozių grupėse buvo atitinkamai 5/55 (9,1</w:t>
      </w:r>
      <w:r w:rsidR="000D491A" w:rsidRPr="00AE5BD5">
        <w:rPr>
          <w:sz w:val="22"/>
          <w:szCs w:val="22"/>
          <w:lang w:val="lt-LT"/>
        </w:rPr>
        <w:t> </w:t>
      </w:r>
      <w:r w:rsidRPr="00AE5BD5">
        <w:rPr>
          <w:sz w:val="22"/>
          <w:szCs w:val="22"/>
          <w:lang w:val="lt-LT"/>
        </w:rPr>
        <w:t>%), 10/74 (13,5</w:t>
      </w:r>
      <w:r w:rsidR="000D491A" w:rsidRPr="00AE5BD5">
        <w:rPr>
          <w:sz w:val="22"/>
          <w:szCs w:val="22"/>
          <w:lang w:val="lt-LT"/>
        </w:rPr>
        <w:t> </w:t>
      </w:r>
      <w:r w:rsidRPr="00AE5BD5">
        <w:rPr>
          <w:sz w:val="22"/>
          <w:szCs w:val="22"/>
          <w:lang w:val="lt-LT"/>
        </w:rPr>
        <w:t>%), ir 22/100 (22</w:t>
      </w:r>
      <w:r w:rsidR="000D491A" w:rsidRPr="00AE5BD5">
        <w:rPr>
          <w:sz w:val="22"/>
          <w:szCs w:val="22"/>
          <w:lang w:val="lt-LT"/>
        </w:rPr>
        <w:t> </w:t>
      </w:r>
      <w:r w:rsidRPr="00AE5BD5">
        <w:rPr>
          <w:sz w:val="22"/>
          <w:szCs w:val="22"/>
          <w:lang w:val="lt-LT"/>
        </w:rPr>
        <w:t>%). Vėliau pranešta apie dar 5 mirties atvejus. Mirties priežastys buvo susijusios su PAH. PAH sergantiems vaikų populiacijos pacientams negalima skirti didesnių nei rekomenduojama dozių (žr. 4.2, 4.4 ir 5.1 skyrius).</w:t>
      </w:r>
    </w:p>
    <w:p w14:paraId="5CE316C0" w14:textId="77777777" w:rsidR="00C05173" w:rsidRPr="00AE5BD5" w:rsidRDefault="00C05173" w:rsidP="008C6014">
      <w:pPr>
        <w:rPr>
          <w:sz w:val="22"/>
          <w:szCs w:val="22"/>
          <w:lang w:val="lt-LT"/>
        </w:rPr>
      </w:pPr>
    </w:p>
    <w:p w14:paraId="0EECB2A6" w14:textId="77777777" w:rsidR="00C05173" w:rsidRPr="00AE5BD5" w:rsidRDefault="00C05173" w:rsidP="008C6014">
      <w:pPr>
        <w:rPr>
          <w:sz w:val="22"/>
          <w:szCs w:val="22"/>
          <w:lang w:val="lt-LT"/>
        </w:rPr>
      </w:pPr>
      <w:r w:rsidRPr="00AE5BD5">
        <w:rPr>
          <w:sz w:val="22"/>
          <w:szCs w:val="22"/>
          <w:lang w:val="lt-LT"/>
        </w:rPr>
        <w:t>Didžiausias VO</w:t>
      </w:r>
      <w:r w:rsidRPr="00AE5BD5">
        <w:rPr>
          <w:position w:val="-3"/>
          <w:sz w:val="22"/>
          <w:szCs w:val="22"/>
          <w:lang w:val="lt-LT"/>
        </w:rPr>
        <w:t xml:space="preserve">2 </w:t>
      </w:r>
      <w:r w:rsidRPr="00AE5BD5">
        <w:rPr>
          <w:sz w:val="22"/>
          <w:szCs w:val="22"/>
          <w:lang w:val="lt-LT"/>
        </w:rPr>
        <w:t>buvo įvertintas praėjus 1 metams nuo placebu kontroliuojamojo tyrimo pradžios. 59 iš 114 (52</w:t>
      </w:r>
      <w:r w:rsidR="000D491A" w:rsidRPr="00AE5BD5">
        <w:rPr>
          <w:sz w:val="22"/>
          <w:szCs w:val="22"/>
          <w:lang w:val="lt-LT"/>
        </w:rPr>
        <w:t> </w:t>
      </w:r>
      <w:r w:rsidRPr="00AE5BD5">
        <w:rPr>
          <w:sz w:val="22"/>
          <w:szCs w:val="22"/>
          <w:lang w:val="lt-LT"/>
        </w:rPr>
        <w:t>%) sildenafiliu gydytų tiriamųjų, kurie pagal išsivystymą sugebėjo atlikti ŠPFKM, nebuvo jokio didžiausio VO</w:t>
      </w:r>
      <w:r w:rsidRPr="00AE5BD5">
        <w:rPr>
          <w:position w:val="-3"/>
          <w:sz w:val="22"/>
          <w:szCs w:val="22"/>
          <w:lang w:val="lt-LT"/>
        </w:rPr>
        <w:t xml:space="preserve">2 </w:t>
      </w:r>
      <w:r w:rsidRPr="00AE5BD5">
        <w:rPr>
          <w:sz w:val="22"/>
          <w:szCs w:val="22"/>
          <w:lang w:val="lt-LT"/>
        </w:rPr>
        <w:t>pablogėjimo, palyginti su sildenafilio vartojimo pradžia. Atliekant vertinimą po pirmųjų metų rezultatai buvo panašūs: 191 iš 229 tiriamųjų (83</w:t>
      </w:r>
      <w:r w:rsidR="000D491A" w:rsidRPr="00AE5BD5">
        <w:rPr>
          <w:sz w:val="22"/>
          <w:szCs w:val="22"/>
          <w:lang w:val="lt-LT"/>
        </w:rPr>
        <w:t> </w:t>
      </w:r>
      <w:r w:rsidRPr="00AE5BD5">
        <w:rPr>
          <w:sz w:val="22"/>
          <w:szCs w:val="22"/>
          <w:lang w:val="lt-LT"/>
        </w:rPr>
        <w:t>%), kurie vartojo sildenafilį, funkcinė klasė pagal PSO išliko ta pati arba pagerėjo.</w:t>
      </w:r>
    </w:p>
    <w:p w14:paraId="298E3730" w14:textId="77777777" w:rsidR="00C05173" w:rsidRDefault="00C05173" w:rsidP="008C6014">
      <w:pPr>
        <w:rPr>
          <w:sz w:val="22"/>
          <w:szCs w:val="22"/>
          <w:lang w:val="lt-LT"/>
        </w:rPr>
      </w:pPr>
    </w:p>
    <w:p w14:paraId="142123AE" w14:textId="77777777" w:rsidR="00737448" w:rsidRPr="004238BC" w:rsidRDefault="00737448" w:rsidP="00737448">
      <w:pPr>
        <w:rPr>
          <w:i/>
          <w:iCs/>
          <w:sz w:val="22"/>
          <w:szCs w:val="22"/>
          <w:lang w:val="lt-LT"/>
        </w:rPr>
      </w:pPr>
      <w:r w:rsidRPr="004238BC">
        <w:rPr>
          <w:i/>
          <w:iCs/>
          <w:sz w:val="22"/>
          <w:szCs w:val="22"/>
          <w:lang w:val="lt-LT"/>
        </w:rPr>
        <w:t>Naujagimių išliekanti plautinė hipertenzija</w:t>
      </w:r>
    </w:p>
    <w:p w14:paraId="56628939" w14:textId="77777777" w:rsidR="00737448" w:rsidRPr="00737448" w:rsidRDefault="00737448" w:rsidP="00737448">
      <w:pPr>
        <w:rPr>
          <w:sz w:val="22"/>
          <w:szCs w:val="22"/>
          <w:lang w:val="lt-LT"/>
        </w:rPr>
      </w:pPr>
    </w:p>
    <w:p w14:paraId="1D3746B2" w14:textId="77777777" w:rsidR="00737448" w:rsidRPr="00737448" w:rsidRDefault="00737448" w:rsidP="00737448">
      <w:pPr>
        <w:rPr>
          <w:sz w:val="22"/>
          <w:szCs w:val="22"/>
          <w:lang w:val="lt-LT"/>
        </w:rPr>
      </w:pPr>
      <w:r w:rsidRPr="00737448">
        <w:rPr>
          <w:sz w:val="22"/>
          <w:szCs w:val="22"/>
          <w:lang w:val="lt-LT"/>
        </w:rPr>
        <w:t xml:space="preserve">Atsitiktinių imčių, dvigubai koduotas, dviejų lygiagrečių grupių, placebu kontroliuojamas tyrimas </w:t>
      </w:r>
      <w:r w:rsidRPr="00737448">
        <w:rPr>
          <w:sz w:val="22"/>
          <w:szCs w:val="22"/>
          <w:lang w:val="lt-LT"/>
        </w:rPr>
        <w:lastRenderedPageBreak/>
        <w:t>atliktas su 59 naujagimiais, sergančiais naujagimių išliekančia plautine hipertenzija (NIPH) arba hipoksiniu kvėpavimo nepakankamumu (HKN) esant NIPH rizikai, kai oksigenacijos indeksas (OI) yra nuo &gt;15 iki &lt;60. Pirminis tyrimo tikslas buvo įvertinti i.v. leidžiamo sildenafilio veiksmingumą ir saugumą, jo skiriant kartu su inhaliuojamu azoto oksidu (iNO), palyginti tik su iNO.</w:t>
      </w:r>
    </w:p>
    <w:p w14:paraId="6C9FDF39" w14:textId="77777777" w:rsidR="00737448" w:rsidRPr="00737448" w:rsidRDefault="00737448" w:rsidP="00737448">
      <w:pPr>
        <w:rPr>
          <w:sz w:val="22"/>
          <w:szCs w:val="22"/>
          <w:lang w:val="lt-LT"/>
        </w:rPr>
      </w:pPr>
    </w:p>
    <w:p w14:paraId="56019046" w14:textId="32D09339" w:rsidR="00737448" w:rsidRPr="00737448" w:rsidRDefault="00737448" w:rsidP="00737448">
      <w:pPr>
        <w:rPr>
          <w:sz w:val="22"/>
          <w:szCs w:val="22"/>
          <w:lang w:val="lt-LT"/>
        </w:rPr>
      </w:pPr>
      <w:r w:rsidRPr="00737448">
        <w:rPr>
          <w:sz w:val="22"/>
          <w:szCs w:val="22"/>
          <w:lang w:val="lt-LT"/>
        </w:rPr>
        <w:t>Gretutinės pirminės vertinamosios baigtys buvo gydymo nesėkmės rodiklis (apibūdintas kaip papildomo NIPH gydymo poreikis), ekstrakorporinės membraninės oksigenacijos (EKMO) poreikis</w:t>
      </w:r>
      <w:r w:rsidR="00962B89">
        <w:rPr>
          <w:sz w:val="22"/>
          <w:szCs w:val="22"/>
          <w:lang w:val="lt-LT"/>
        </w:rPr>
        <w:t xml:space="preserve"> </w:t>
      </w:r>
      <w:r w:rsidRPr="00737448">
        <w:rPr>
          <w:sz w:val="22"/>
          <w:szCs w:val="22"/>
          <w:lang w:val="lt-LT"/>
        </w:rPr>
        <w:t>arba mirtis tyrimo laikotarpiu; taip pat gydymo iNO trukmė po i.v. tiriamojo vaistinio preparato vartojimo pradžios pacientams, nepatyrusiems gydymo nesėkmės. Gydymo nesėkmės rodiklių</w:t>
      </w:r>
      <w:r w:rsidR="00962B89">
        <w:rPr>
          <w:sz w:val="22"/>
          <w:szCs w:val="22"/>
          <w:lang w:val="lt-LT"/>
        </w:rPr>
        <w:t xml:space="preserve"> </w:t>
      </w:r>
      <w:r w:rsidRPr="00737448">
        <w:rPr>
          <w:sz w:val="22"/>
          <w:szCs w:val="22"/>
          <w:lang w:val="lt-LT"/>
        </w:rPr>
        <w:t>skirtumas, lyginant abi gydymo grupes, buvo statistiškai nereikšmingas (27,6</w:t>
      </w:r>
      <w:r w:rsidR="00144962">
        <w:rPr>
          <w:sz w:val="22"/>
          <w:szCs w:val="22"/>
          <w:lang w:val="lt-LT"/>
        </w:rPr>
        <w:t> </w:t>
      </w:r>
      <w:r w:rsidRPr="00737448">
        <w:rPr>
          <w:sz w:val="22"/>
          <w:szCs w:val="22"/>
          <w:lang w:val="lt-LT"/>
        </w:rPr>
        <w:t>% iNO</w:t>
      </w:r>
      <w:r w:rsidR="00144962">
        <w:rPr>
          <w:sz w:val="22"/>
          <w:szCs w:val="22"/>
          <w:lang w:val="lt-LT"/>
        </w:rPr>
        <w:t> </w:t>
      </w:r>
      <w:r w:rsidRPr="00737448">
        <w:rPr>
          <w:sz w:val="22"/>
          <w:szCs w:val="22"/>
          <w:lang w:val="lt-LT"/>
        </w:rPr>
        <w:t>+</w:t>
      </w:r>
      <w:r w:rsidR="00144962">
        <w:rPr>
          <w:sz w:val="22"/>
          <w:szCs w:val="22"/>
          <w:lang w:val="lt-LT"/>
        </w:rPr>
        <w:t> </w:t>
      </w:r>
      <w:r w:rsidRPr="00737448">
        <w:rPr>
          <w:sz w:val="22"/>
          <w:szCs w:val="22"/>
          <w:lang w:val="lt-LT"/>
        </w:rPr>
        <w:t>i.v. sildenafilio grupėje ir 20,0</w:t>
      </w:r>
      <w:r w:rsidR="00144962">
        <w:rPr>
          <w:sz w:val="22"/>
          <w:szCs w:val="22"/>
          <w:lang w:val="lt-LT"/>
        </w:rPr>
        <w:t> </w:t>
      </w:r>
      <w:r w:rsidRPr="00737448">
        <w:rPr>
          <w:sz w:val="22"/>
          <w:szCs w:val="22"/>
          <w:lang w:val="lt-LT"/>
        </w:rPr>
        <w:t>% iNO</w:t>
      </w:r>
      <w:r w:rsidR="00144962">
        <w:rPr>
          <w:sz w:val="22"/>
          <w:szCs w:val="22"/>
          <w:lang w:val="lt-LT"/>
        </w:rPr>
        <w:t> </w:t>
      </w:r>
      <w:r w:rsidRPr="00737448">
        <w:rPr>
          <w:sz w:val="22"/>
          <w:szCs w:val="22"/>
          <w:lang w:val="lt-LT"/>
        </w:rPr>
        <w:t>+</w:t>
      </w:r>
      <w:r w:rsidR="00144962">
        <w:rPr>
          <w:sz w:val="22"/>
          <w:szCs w:val="22"/>
          <w:lang w:val="lt-LT"/>
        </w:rPr>
        <w:t> </w:t>
      </w:r>
      <w:r w:rsidRPr="00737448">
        <w:rPr>
          <w:sz w:val="22"/>
          <w:szCs w:val="22"/>
          <w:lang w:val="lt-LT"/>
        </w:rPr>
        <w:t>placebo grupėje). Abiejose grupėse pacientams, nepatyrusiems gydymo nesėkmės, nustatyta vienoda vidutinė gydymo iNO trukmė po i.v. tiriamojo vaistinio preparato</w:t>
      </w:r>
    </w:p>
    <w:p w14:paraId="1508BA01" w14:textId="77777777" w:rsidR="00737448" w:rsidRPr="00737448" w:rsidRDefault="00737448" w:rsidP="00737448">
      <w:pPr>
        <w:rPr>
          <w:sz w:val="22"/>
          <w:szCs w:val="22"/>
          <w:lang w:val="lt-LT"/>
        </w:rPr>
      </w:pPr>
      <w:r w:rsidRPr="00737448">
        <w:rPr>
          <w:sz w:val="22"/>
          <w:szCs w:val="22"/>
          <w:lang w:val="lt-LT"/>
        </w:rPr>
        <w:t>vartojimo pradžios, kuri siekė maždaug 4,1 paras.</w:t>
      </w:r>
    </w:p>
    <w:p w14:paraId="0AD47369" w14:textId="77777777" w:rsidR="00737448" w:rsidRPr="00737448" w:rsidRDefault="00737448" w:rsidP="00737448">
      <w:pPr>
        <w:rPr>
          <w:sz w:val="22"/>
          <w:szCs w:val="22"/>
          <w:lang w:val="lt-LT"/>
        </w:rPr>
      </w:pPr>
    </w:p>
    <w:p w14:paraId="43E7DF34" w14:textId="7F5EB883" w:rsidR="00737448" w:rsidRPr="00AE5BD5" w:rsidRDefault="00737448" w:rsidP="00737448">
      <w:pPr>
        <w:rPr>
          <w:sz w:val="22"/>
          <w:szCs w:val="22"/>
          <w:lang w:val="lt-LT"/>
        </w:rPr>
      </w:pPr>
      <w:r w:rsidRPr="00737448">
        <w:rPr>
          <w:sz w:val="22"/>
          <w:szCs w:val="22"/>
          <w:lang w:val="lt-LT"/>
        </w:rPr>
        <w:t>Pranešta, kad gydymo metu stebėtų nepageidaujamų reiškinių ir sunkių nepageidaujamų reiškinių iNO</w:t>
      </w:r>
      <w:r w:rsidR="00144962">
        <w:rPr>
          <w:sz w:val="22"/>
          <w:szCs w:val="22"/>
          <w:lang w:val="lt-LT"/>
        </w:rPr>
        <w:t> </w:t>
      </w:r>
      <w:r w:rsidRPr="00737448">
        <w:rPr>
          <w:sz w:val="22"/>
          <w:szCs w:val="22"/>
          <w:lang w:val="lt-LT"/>
        </w:rPr>
        <w:t>+</w:t>
      </w:r>
      <w:r w:rsidR="00144962">
        <w:rPr>
          <w:sz w:val="22"/>
          <w:szCs w:val="22"/>
          <w:lang w:val="lt-LT"/>
        </w:rPr>
        <w:t> </w:t>
      </w:r>
      <w:r w:rsidRPr="00737448">
        <w:rPr>
          <w:sz w:val="22"/>
          <w:szCs w:val="22"/>
          <w:lang w:val="lt-LT"/>
        </w:rPr>
        <w:t>i.v. sildenafilio gydymo grupėje pasireiškė atitinkamai 22 (75,9</w:t>
      </w:r>
      <w:r w:rsidR="00144962">
        <w:rPr>
          <w:sz w:val="22"/>
          <w:szCs w:val="22"/>
          <w:lang w:val="lt-LT"/>
        </w:rPr>
        <w:t> </w:t>
      </w:r>
      <w:r w:rsidRPr="00737448">
        <w:rPr>
          <w:sz w:val="22"/>
          <w:szCs w:val="22"/>
          <w:lang w:val="lt-LT"/>
        </w:rPr>
        <w:t>%) ir 7 (24,1</w:t>
      </w:r>
      <w:r w:rsidR="00144962">
        <w:rPr>
          <w:sz w:val="22"/>
          <w:szCs w:val="22"/>
          <w:lang w:val="lt-LT"/>
        </w:rPr>
        <w:t> </w:t>
      </w:r>
      <w:r w:rsidRPr="00737448">
        <w:rPr>
          <w:sz w:val="22"/>
          <w:szCs w:val="22"/>
          <w:lang w:val="lt-LT"/>
        </w:rPr>
        <w:t>%) tiriamiesiems, o iNO</w:t>
      </w:r>
      <w:r w:rsidR="00144962">
        <w:rPr>
          <w:sz w:val="22"/>
          <w:szCs w:val="22"/>
          <w:lang w:val="lt-LT"/>
        </w:rPr>
        <w:t> </w:t>
      </w:r>
      <w:r w:rsidRPr="00737448">
        <w:rPr>
          <w:sz w:val="22"/>
          <w:szCs w:val="22"/>
          <w:lang w:val="lt-LT"/>
        </w:rPr>
        <w:t>+</w:t>
      </w:r>
      <w:r w:rsidR="00144962">
        <w:rPr>
          <w:sz w:val="22"/>
          <w:szCs w:val="22"/>
          <w:lang w:val="lt-LT"/>
        </w:rPr>
        <w:t> </w:t>
      </w:r>
      <w:r w:rsidRPr="00737448">
        <w:rPr>
          <w:sz w:val="22"/>
          <w:szCs w:val="22"/>
          <w:lang w:val="lt-LT"/>
        </w:rPr>
        <w:t>placebo grupėje – atitinkamai 19 (63,3</w:t>
      </w:r>
      <w:r w:rsidR="00144962">
        <w:rPr>
          <w:sz w:val="22"/>
          <w:szCs w:val="22"/>
          <w:lang w:val="lt-LT"/>
        </w:rPr>
        <w:t> </w:t>
      </w:r>
      <w:r w:rsidRPr="00737448">
        <w:rPr>
          <w:sz w:val="22"/>
          <w:szCs w:val="22"/>
          <w:lang w:val="lt-LT"/>
        </w:rPr>
        <w:t>%) ir 2 (6,7</w:t>
      </w:r>
      <w:r w:rsidR="00144962">
        <w:rPr>
          <w:sz w:val="22"/>
          <w:szCs w:val="22"/>
          <w:lang w:val="lt-LT"/>
        </w:rPr>
        <w:t> </w:t>
      </w:r>
      <w:r w:rsidRPr="00737448">
        <w:rPr>
          <w:sz w:val="22"/>
          <w:szCs w:val="22"/>
          <w:lang w:val="lt-LT"/>
        </w:rPr>
        <w:t>%) tiriamiesiems. Dažniausiai stebėti nepageidaujami reiškiniai buvo hipotenzija (8 [27,6</w:t>
      </w:r>
      <w:r w:rsidR="00144962">
        <w:rPr>
          <w:sz w:val="22"/>
          <w:szCs w:val="22"/>
          <w:lang w:val="lt-LT"/>
        </w:rPr>
        <w:t> </w:t>
      </w:r>
      <w:r w:rsidRPr="00737448">
        <w:rPr>
          <w:sz w:val="22"/>
          <w:szCs w:val="22"/>
          <w:lang w:val="lt-LT"/>
        </w:rPr>
        <w:t>%] tiriamieji), hipokalemija (7 [24,1</w:t>
      </w:r>
      <w:r w:rsidR="00144962">
        <w:rPr>
          <w:sz w:val="22"/>
          <w:szCs w:val="22"/>
          <w:lang w:val="lt-LT"/>
        </w:rPr>
        <w:t> </w:t>
      </w:r>
      <w:r w:rsidRPr="00737448">
        <w:rPr>
          <w:sz w:val="22"/>
          <w:szCs w:val="22"/>
          <w:lang w:val="lt-LT"/>
        </w:rPr>
        <w:t>%] tiriamieji), anemija bei vaistinio preparato nutraukimo sindromas (po 4 [13,8</w:t>
      </w:r>
      <w:r w:rsidR="00144962">
        <w:rPr>
          <w:sz w:val="22"/>
          <w:szCs w:val="22"/>
          <w:lang w:val="lt-LT"/>
        </w:rPr>
        <w:t> </w:t>
      </w:r>
      <w:r w:rsidRPr="00737448">
        <w:rPr>
          <w:sz w:val="22"/>
          <w:szCs w:val="22"/>
          <w:lang w:val="lt-LT"/>
        </w:rPr>
        <w:t>%] tiriamuosius) ir bradikardija (3 [10,3</w:t>
      </w:r>
      <w:r w:rsidR="00144962">
        <w:rPr>
          <w:sz w:val="22"/>
          <w:szCs w:val="22"/>
          <w:lang w:val="lt-LT"/>
        </w:rPr>
        <w:t> </w:t>
      </w:r>
      <w:r w:rsidRPr="00737448">
        <w:rPr>
          <w:sz w:val="22"/>
          <w:szCs w:val="22"/>
          <w:lang w:val="lt-LT"/>
        </w:rPr>
        <w:t>%] tiriamieji) iNO</w:t>
      </w:r>
      <w:r w:rsidR="00144962">
        <w:rPr>
          <w:sz w:val="22"/>
          <w:szCs w:val="22"/>
          <w:lang w:val="lt-LT"/>
        </w:rPr>
        <w:t> </w:t>
      </w:r>
      <w:r w:rsidRPr="00737448">
        <w:rPr>
          <w:sz w:val="22"/>
          <w:szCs w:val="22"/>
          <w:lang w:val="lt-LT"/>
        </w:rPr>
        <w:t>+</w:t>
      </w:r>
      <w:r w:rsidR="00144962">
        <w:rPr>
          <w:sz w:val="22"/>
          <w:szCs w:val="22"/>
          <w:lang w:val="lt-LT"/>
        </w:rPr>
        <w:t> </w:t>
      </w:r>
      <w:r w:rsidRPr="00737448">
        <w:rPr>
          <w:sz w:val="22"/>
          <w:szCs w:val="22"/>
          <w:lang w:val="lt-LT"/>
        </w:rPr>
        <w:t>i.v. sildenafilio gydymo grupėje ir pneumotoraksas (4 [13,3</w:t>
      </w:r>
      <w:r w:rsidR="00144962">
        <w:rPr>
          <w:sz w:val="22"/>
          <w:szCs w:val="22"/>
          <w:lang w:val="lt-LT"/>
        </w:rPr>
        <w:t> </w:t>
      </w:r>
      <w:r w:rsidRPr="00737448">
        <w:rPr>
          <w:sz w:val="22"/>
          <w:szCs w:val="22"/>
          <w:lang w:val="lt-LT"/>
        </w:rPr>
        <w:t>%] tiriamieji), anemija, edema, hiperbilirubinemija, C reaktyviojo baltymo koncentracijos padidėjimas bei hipotenzija (po 3 [10,0</w:t>
      </w:r>
      <w:r w:rsidR="00144962">
        <w:rPr>
          <w:sz w:val="22"/>
          <w:szCs w:val="22"/>
          <w:lang w:val="lt-LT"/>
        </w:rPr>
        <w:t> </w:t>
      </w:r>
      <w:r w:rsidRPr="00737448">
        <w:rPr>
          <w:sz w:val="22"/>
          <w:szCs w:val="22"/>
          <w:lang w:val="lt-LT"/>
        </w:rPr>
        <w:t>%] tiriamuosius) iNO</w:t>
      </w:r>
      <w:r w:rsidR="00144962">
        <w:rPr>
          <w:sz w:val="22"/>
          <w:szCs w:val="22"/>
          <w:lang w:val="lt-LT"/>
        </w:rPr>
        <w:t> </w:t>
      </w:r>
      <w:r w:rsidRPr="00737448">
        <w:rPr>
          <w:sz w:val="22"/>
          <w:szCs w:val="22"/>
          <w:lang w:val="lt-LT"/>
        </w:rPr>
        <w:t>+</w:t>
      </w:r>
      <w:r w:rsidR="00144962">
        <w:rPr>
          <w:sz w:val="22"/>
          <w:szCs w:val="22"/>
          <w:lang w:val="lt-LT"/>
        </w:rPr>
        <w:t> </w:t>
      </w:r>
      <w:r w:rsidRPr="00737448">
        <w:rPr>
          <w:sz w:val="22"/>
          <w:szCs w:val="22"/>
          <w:lang w:val="lt-LT"/>
        </w:rPr>
        <w:t>placebo gydymo grupėje (žr. 4.2 skyrių).</w:t>
      </w:r>
    </w:p>
    <w:p w14:paraId="12235088" w14:textId="77777777" w:rsidR="00E93353" w:rsidRPr="005A3594" w:rsidRDefault="00E93353" w:rsidP="008C6014">
      <w:pPr>
        <w:rPr>
          <w:rFonts w:eastAsia="Times New Roman"/>
          <w:snapToGrid w:val="0"/>
          <w:sz w:val="22"/>
          <w:szCs w:val="22"/>
          <w:lang w:val="lt-LT"/>
        </w:rPr>
      </w:pPr>
    </w:p>
    <w:p w14:paraId="6FD51EA9" w14:textId="77777777" w:rsidR="00E93353" w:rsidRPr="00D37093" w:rsidRDefault="00E93353" w:rsidP="008C6014">
      <w:pPr>
        <w:rPr>
          <w:rFonts w:eastAsia="Times New Roman"/>
          <w:b/>
          <w:bCs/>
          <w:snapToGrid w:val="0"/>
          <w:sz w:val="22"/>
          <w:szCs w:val="22"/>
          <w:lang w:val="lt-LT" w:eastAsia="x-none"/>
        </w:rPr>
      </w:pPr>
      <w:r w:rsidRPr="00042B32">
        <w:rPr>
          <w:b/>
          <w:bCs/>
          <w:snapToGrid w:val="0"/>
          <w:sz w:val="22"/>
          <w:szCs w:val="22"/>
          <w:lang w:val="lt-LT" w:eastAsia="x-none"/>
        </w:rPr>
        <w:t>5.2</w:t>
      </w:r>
      <w:r w:rsidRPr="00042B32">
        <w:rPr>
          <w:b/>
          <w:bCs/>
          <w:snapToGrid w:val="0"/>
          <w:sz w:val="22"/>
          <w:szCs w:val="22"/>
          <w:lang w:val="lt-LT" w:eastAsia="x-none"/>
        </w:rPr>
        <w:tab/>
        <w:t>Farmakokinetinės savybės</w:t>
      </w:r>
    </w:p>
    <w:p w14:paraId="5E062E82" w14:textId="77777777" w:rsidR="00E93353" w:rsidRPr="003E6E21" w:rsidRDefault="00E93353" w:rsidP="008C6014">
      <w:pPr>
        <w:rPr>
          <w:rFonts w:eastAsia="Times New Roman"/>
          <w:snapToGrid w:val="0"/>
          <w:sz w:val="22"/>
          <w:szCs w:val="22"/>
          <w:lang w:val="lt-LT"/>
        </w:rPr>
      </w:pPr>
    </w:p>
    <w:p w14:paraId="2E330778" w14:textId="77777777" w:rsidR="00C05173" w:rsidRPr="00AE5BD5" w:rsidRDefault="00C05173" w:rsidP="008C6014">
      <w:pPr>
        <w:rPr>
          <w:sz w:val="22"/>
          <w:szCs w:val="22"/>
          <w:lang w:val="lt-LT"/>
        </w:rPr>
      </w:pPr>
      <w:r w:rsidRPr="00AE5BD5">
        <w:rPr>
          <w:sz w:val="22"/>
          <w:szCs w:val="22"/>
          <w:u w:val="single"/>
          <w:lang w:val="lt-LT"/>
        </w:rPr>
        <w:t>Absorbcija</w:t>
      </w:r>
    </w:p>
    <w:p w14:paraId="76B2630D" w14:textId="77777777" w:rsidR="00C05173" w:rsidRPr="00AE5BD5" w:rsidRDefault="00C05173" w:rsidP="008C6014">
      <w:pPr>
        <w:rPr>
          <w:sz w:val="22"/>
          <w:szCs w:val="22"/>
          <w:lang w:val="lt-LT"/>
        </w:rPr>
      </w:pPr>
      <w:r w:rsidRPr="00AE5BD5">
        <w:rPr>
          <w:sz w:val="22"/>
          <w:szCs w:val="22"/>
          <w:lang w:val="lt-LT"/>
        </w:rPr>
        <w:t xml:space="preserve">Sildenafilis greitai absorbuojamas. Kai </w:t>
      </w:r>
      <w:r w:rsidR="006E4A9B">
        <w:rPr>
          <w:sz w:val="22"/>
          <w:szCs w:val="22"/>
          <w:lang w:val="lt-LT"/>
        </w:rPr>
        <w:t xml:space="preserve">vaistinio </w:t>
      </w:r>
      <w:r w:rsidRPr="00AE5BD5">
        <w:rPr>
          <w:sz w:val="22"/>
          <w:szCs w:val="22"/>
          <w:lang w:val="lt-LT"/>
        </w:rPr>
        <w:t>preparato išgeriama nevalgius, didžiausia koncentracija kraujo plazmoje susidaro po 30-120</w:t>
      </w:r>
      <w:r w:rsidR="004716EC" w:rsidRPr="00AE5BD5">
        <w:rPr>
          <w:sz w:val="22"/>
          <w:szCs w:val="22"/>
          <w:lang w:val="lt-LT"/>
        </w:rPr>
        <w:t> </w:t>
      </w:r>
      <w:r w:rsidRPr="00AE5BD5">
        <w:rPr>
          <w:sz w:val="22"/>
          <w:szCs w:val="22"/>
          <w:lang w:val="lt-LT"/>
        </w:rPr>
        <w:t>min. (vidutiniškai po 60</w:t>
      </w:r>
      <w:r w:rsidR="004716EC" w:rsidRPr="00AE5BD5">
        <w:rPr>
          <w:sz w:val="22"/>
          <w:szCs w:val="22"/>
          <w:lang w:val="lt-LT"/>
        </w:rPr>
        <w:t> </w:t>
      </w:r>
      <w:r w:rsidRPr="00AE5BD5">
        <w:rPr>
          <w:sz w:val="22"/>
          <w:szCs w:val="22"/>
          <w:lang w:val="lt-LT"/>
        </w:rPr>
        <w:t>min.). Vidutinis absoliutus išgerto sildenafilio biologinis prieinamumas yra 41 % (25-63 %). Geriant 20-40 mg sildenfafilio tris kartus per parą, sildenafilio AUC ir C</w:t>
      </w:r>
      <w:r w:rsidRPr="00AE5BD5">
        <w:rPr>
          <w:position w:val="-3"/>
          <w:sz w:val="22"/>
          <w:szCs w:val="22"/>
          <w:lang w:val="lt-LT"/>
        </w:rPr>
        <w:t xml:space="preserve">max </w:t>
      </w:r>
      <w:r w:rsidRPr="00AE5BD5">
        <w:rPr>
          <w:sz w:val="22"/>
          <w:szCs w:val="22"/>
          <w:lang w:val="lt-LT"/>
        </w:rPr>
        <w:t>didėja proporcingai didėjant dozei. Geriant 80</w:t>
      </w:r>
      <w:r w:rsidR="004716EC" w:rsidRPr="00AE5BD5">
        <w:rPr>
          <w:sz w:val="22"/>
          <w:szCs w:val="22"/>
          <w:lang w:val="lt-LT"/>
        </w:rPr>
        <w:t> </w:t>
      </w:r>
      <w:r w:rsidRPr="00AE5BD5">
        <w:rPr>
          <w:sz w:val="22"/>
          <w:szCs w:val="22"/>
          <w:lang w:val="lt-LT"/>
        </w:rPr>
        <w:t xml:space="preserve">mg tris kartus per parą sildenafilio koncentracija </w:t>
      </w:r>
      <w:r w:rsidR="006E4A9B">
        <w:rPr>
          <w:sz w:val="22"/>
          <w:szCs w:val="22"/>
          <w:lang w:val="lt-LT"/>
        </w:rPr>
        <w:t xml:space="preserve">kraujo </w:t>
      </w:r>
      <w:r w:rsidRPr="00AE5BD5">
        <w:rPr>
          <w:sz w:val="22"/>
          <w:szCs w:val="22"/>
          <w:lang w:val="lt-LT"/>
        </w:rPr>
        <w:t>plazmoje didėja labiau - neproporcingai pagal dozę. Plautine arterine hipertenzija sergančių ligonių, kurie geria 80 mg tris kartus per parą, organizme sildenafilio vidutinis biologinis prieinamumas yra 43 % (90 % PI: 27 %–60 %) didesnis nei geriančių mažesnes dozes.</w:t>
      </w:r>
    </w:p>
    <w:p w14:paraId="348EEF78" w14:textId="77777777" w:rsidR="00C05173" w:rsidRPr="00AE5BD5" w:rsidRDefault="00C05173" w:rsidP="008C6014">
      <w:pPr>
        <w:rPr>
          <w:sz w:val="22"/>
          <w:szCs w:val="22"/>
          <w:lang w:val="lt-LT"/>
        </w:rPr>
      </w:pPr>
      <w:r w:rsidRPr="00AE5BD5">
        <w:rPr>
          <w:sz w:val="22"/>
          <w:szCs w:val="22"/>
          <w:lang w:val="lt-LT"/>
        </w:rPr>
        <w:t>Sildenafilį vartojant su maistu, absorbcijos greitis mažėja (t</w:t>
      </w:r>
      <w:r w:rsidRPr="00AE5BD5">
        <w:rPr>
          <w:position w:val="-3"/>
          <w:sz w:val="22"/>
          <w:szCs w:val="22"/>
          <w:lang w:val="lt-LT"/>
        </w:rPr>
        <w:t xml:space="preserve">max </w:t>
      </w:r>
      <w:r w:rsidRPr="00AE5BD5">
        <w:rPr>
          <w:sz w:val="22"/>
          <w:szCs w:val="22"/>
          <w:lang w:val="lt-LT"/>
        </w:rPr>
        <w:t>vidutiniškai pailgėja 60 minučių), o C</w:t>
      </w:r>
      <w:r w:rsidRPr="00AE5BD5">
        <w:rPr>
          <w:position w:val="-3"/>
          <w:sz w:val="22"/>
          <w:szCs w:val="22"/>
          <w:lang w:val="lt-LT"/>
        </w:rPr>
        <w:t xml:space="preserve">max  </w:t>
      </w:r>
      <w:r w:rsidRPr="00AE5BD5">
        <w:rPr>
          <w:sz w:val="22"/>
          <w:szCs w:val="22"/>
          <w:lang w:val="lt-LT"/>
        </w:rPr>
        <w:t>sumažėja vidutiniškai 29 %, tačiau absorbcijos laipsnis smarkiai nepakinta (AUC sumažėja 11</w:t>
      </w:r>
      <w:r w:rsidR="004716EC" w:rsidRPr="00AE5BD5">
        <w:rPr>
          <w:sz w:val="22"/>
          <w:szCs w:val="22"/>
          <w:lang w:val="lt-LT"/>
        </w:rPr>
        <w:t> </w:t>
      </w:r>
      <w:r w:rsidRPr="00AE5BD5">
        <w:rPr>
          <w:sz w:val="22"/>
          <w:szCs w:val="22"/>
          <w:lang w:val="lt-LT"/>
        </w:rPr>
        <w:t>%).</w:t>
      </w:r>
    </w:p>
    <w:p w14:paraId="6A85B146" w14:textId="77777777" w:rsidR="00C05173" w:rsidRPr="00AE5BD5" w:rsidRDefault="00C05173" w:rsidP="008C6014">
      <w:pPr>
        <w:rPr>
          <w:sz w:val="22"/>
          <w:szCs w:val="22"/>
          <w:lang w:val="lt-LT"/>
        </w:rPr>
      </w:pPr>
    </w:p>
    <w:p w14:paraId="25EEACBD" w14:textId="77777777" w:rsidR="00C05173" w:rsidRPr="00AE5BD5" w:rsidRDefault="00C05173" w:rsidP="008C6014">
      <w:pPr>
        <w:rPr>
          <w:sz w:val="22"/>
          <w:szCs w:val="22"/>
          <w:lang w:val="lt-LT"/>
        </w:rPr>
      </w:pPr>
      <w:r w:rsidRPr="00AE5BD5">
        <w:rPr>
          <w:sz w:val="22"/>
          <w:szCs w:val="22"/>
          <w:u w:val="single"/>
          <w:lang w:val="lt-LT"/>
        </w:rPr>
        <w:t>Pasiskirstymas</w:t>
      </w:r>
    </w:p>
    <w:p w14:paraId="50658E20" w14:textId="77777777" w:rsidR="00C05173" w:rsidRPr="00AE5BD5" w:rsidRDefault="00C05173" w:rsidP="008C6014">
      <w:pPr>
        <w:rPr>
          <w:sz w:val="22"/>
          <w:szCs w:val="22"/>
          <w:lang w:val="lt-LT"/>
        </w:rPr>
      </w:pPr>
      <w:r w:rsidRPr="00AE5BD5">
        <w:rPr>
          <w:sz w:val="22"/>
          <w:szCs w:val="22"/>
          <w:lang w:val="lt-LT"/>
        </w:rPr>
        <w:t>Vidutinis sildenafilio pasiskirstymo tūris (V</w:t>
      </w:r>
      <w:r w:rsidRPr="00AE5BD5">
        <w:rPr>
          <w:position w:val="-3"/>
          <w:sz w:val="22"/>
          <w:szCs w:val="22"/>
          <w:lang w:val="lt-LT"/>
        </w:rPr>
        <w:t>ss</w:t>
      </w:r>
      <w:r w:rsidRPr="00AE5BD5">
        <w:rPr>
          <w:sz w:val="22"/>
          <w:szCs w:val="22"/>
          <w:lang w:val="lt-LT"/>
        </w:rPr>
        <w:t xml:space="preserve">) esant pusiausvyrinei apykaitai yra 105 l. Tai rodo, kad, vaistinis preparatas pasiskirsto audiniuose. Geriant 20 mg tris kartus per parą, vidutinė didžiausia sildenafilio, kai jo apykaita pusiausvyrinė, koncentracija </w:t>
      </w:r>
      <w:r w:rsidR="006E4A9B">
        <w:rPr>
          <w:sz w:val="22"/>
          <w:szCs w:val="22"/>
          <w:lang w:val="lt-LT"/>
        </w:rPr>
        <w:t xml:space="preserve">kraujo </w:t>
      </w:r>
      <w:r w:rsidRPr="00AE5BD5">
        <w:rPr>
          <w:sz w:val="22"/>
          <w:szCs w:val="22"/>
          <w:lang w:val="lt-LT"/>
        </w:rPr>
        <w:t>plazmoje būna maždaug 113</w:t>
      </w:r>
      <w:r w:rsidR="004716EC" w:rsidRPr="00AE5BD5">
        <w:rPr>
          <w:sz w:val="22"/>
          <w:szCs w:val="22"/>
          <w:lang w:val="lt-LT"/>
        </w:rPr>
        <w:t> </w:t>
      </w:r>
      <w:r w:rsidRPr="00AE5BD5">
        <w:rPr>
          <w:sz w:val="22"/>
          <w:szCs w:val="22"/>
          <w:lang w:val="lt-LT"/>
        </w:rPr>
        <w:t>ng/ml. Maždaug 96</w:t>
      </w:r>
      <w:r w:rsidR="004716EC" w:rsidRPr="00AE5BD5">
        <w:rPr>
          <w:sz w:val="22"/>
          <w:szCs w:val="22"/>
          <w:lang w:val="lt-LT"/>
        </w:rPr>
        <w:t> </w:t>
      </w:r>
      <w:r w:rsidRPr="00AE5BD5">
        <w:rPr>
          <w:sz w:val="22"/>
          <w:szCs w:val="22"/>
          <w:lang w:val="lt-LT"/>
        </w:rPr>
        <w:t>% sildenafilio ir svarbiausio jo kraujyje cirkuliuojančio N-desmetilmetabolito prisijungia prie kraujo baltymų. Jungimasis prie baltymų nepriklauso nuo bendrosios vaist</w:t>
      </w:r>
      <w:r w:rsidR="006E4A9B">
        <w:rPr>
          <w:sz w:val="22"/>
          <w:szCs w:val="22"/>
          <w:lang w:val="lt-LT"/>
        </w:rPr>
        <w:t>ini</w:t>
      </w:r>
      <w:r w:rsidRPr="00AE5BD5">
        <w:rPr>
          <w:sz w:val="22"/>
          <w:szCs w:val="22"/>
          <w:lang w:val="lt-LT"/>
        </w:rPr>
        <w:t>o</w:t>
      </w:r>
      <w:r w:rsidR="006E4A9B">
        <w:rPr>
          <w:sz w:val="22"/>
          <w:szCs w:val="22"/>
          <w:lang w:val="lt-LT"/>
        </w:rPr>
        <w:t xml:space="preserve"> preparato</w:t>
      </w:r>
      <w:r w:rsidRPr="00AE5BD5">
        <w:rPr>
          <w:sz w:val="22"/>
          <w:szCs w:val="22"/>
          <w:lang w:val="lt-LT"/>
        </w:rPr>
        <w:t xml:space="preserve"> koncentracijos.</w:t>
      </w:r>
    </w:p>
    <w:p w14:paraId="630A35B1" w14:textId="77777777" w:rsidR="00C05173" w:rsidRPr="00AE5BD5" w:rsidRDefault="00C05173" w:rsidP="008C6014">
      <w:pPr>
        <w:rPr>
          <w:sz w:val="22"/>
          <w:szCs w:val="22"/>
          <w:lang w:val="lt-LT"/>
        </w:rPr>
      </w:pPr>
    </w:p>
    <w:p w14:paraId="19BABFDD" w14:textId="77777777" w:rsidR="00C05173" w:rsidRPr="00AE5BD5" w:rsidRDefault="00C05173" w:rsidP="008C6014">
      <w:pPr>
        <w:rPr>
          <w:sz w:val="22"/>
          <w:szCs w:val="22"/>
          <w:lang w:val="lt-LT"/>
        </w:rPr>
      </w:pPr>
      <w:r w:rsidRPr="00AE5BD5">
        <w:rPr>
          <w:sz w:val="22"/>
          <w:szCs w:val="22"/>
          <w:u w:val="single"/>
          <w:lang w:val="lt-LT"/>
        </w:rPr>
        <w:t>Biotransformacija</w:t>
      </w:r>
    </w:p>
    <w:p w14:paraId="2C5F3EBA" w14:textId="77777777" w:rsidR="00C05173" w:rsidRPr="00AE5BD5" w:rsidRDefault="00C05173" w:rsidP="008C6014">
      <w:pPr>
        <w:rPr>
          <w:sz w:val="22"/>
          <w:szCs w:val="22"/>
          <w:lang w:val="lt-LT"/>
        </w:rPr>
      </w:pPr>
      <w:r w:rsidRPr="00AE5BD5">
        <w:rPr>
          <w:sz w:val="22"/>
          <w:szCs w:val="22"/>
          <w:lang w:val="lt-LT"/>
        </w:rPr>
        <w:t xml:space="preserve">Sildenafilį daugiausia metabolizuoja CYP3A4 (pagrindinis metabolizmo būdas) ir CYP2C9 (nepagrindinis metabolizmo būdas) kepenų mikrosomų izofermentai. Svarbiausias kraujyje esantis metabolitas susidaro sildenafilio N-demetilinimo metu. Šio metabolito selektyvus poveikis fosfodiesterazei yra panašus į sildenafilio, o jo poveikis FDE5 </w:t>
      </w:r>
      <w:r w:rsidRPr="00AE5BD5">
        <w:rPr>
          <w:i/>
          <w:iCs/>
          <w:sz w:val="22"/>
          <w:szCs w:val="22"/>
          <w:lang w:val="lt-LT"/>
        </w:rPr>
        <w:t xml:space="preserve">in vitro </w:t>
      </w:r>
      <w:r w:rsidRPr="00AE5BD5">
        <w:rPr>
          <w:sz w:val="22"/>
          <w:szCs w:val="22"/>
          <w:lang w:val="lt-LT"/>
        </w:rPr>
        <w:t>50 % silpnesnis už sildenafilio. N-desmetilmetabolitas metabolizuojamas toliau, galutinis jo pusinės eliminacijos laikas yra maždaug 4 val. Ligonių, sergančių plautine arterine hipertenzija, N-desmetilmetabolito koncentracija sudaro maždaug 72</w:t>
      </w:r>
      <w:r w:rsidR="004716EC" w:rsidRPr="00AE5BD5">
        <w:rPr>
          <w:sz w:val="22"/>
          <w:szCs w:val="22"/>
          <w:lang w:val="lt-LT"/>
        </w:rPr>
        <w:t> </w:t>
      </w:r>
      <w:r w:rsidRPr="00AE5BD5">
        <w:rPr>
          <w:sz w:val="22"/>
          <w:szCs w:val="22"/>
          <w:lang w:val="lt-LT"/>
        </w:rPr>
        <w:t>% sildenafilio, vartojamo po 20</w:t>
      </w:r>
      <w:r w:rsidR="004716EC" w:rsidRPr="00AE5BD5">
        <w:rPr>
          <w:sz w:val="22"/>
          <w:szCs w:val="22"/>
          <w:lang w:val="lt-LT"/>
        </w:rPr>
        <w:t> </w:t>
      </w:r>
      <w:r w:rsidRPr="00AE5BD5">
        <w:rPr>
          <w:sz w:val="22"/>
          <w:szCs w:val="22"/>
          <w:lang w:val="lt-LT"/>
        </w:rPr>
        <w:t>mg tris kartus per parą (sudaro 36</w:t>
      </w:r>
      <w:r w:rsidR="004716EC" w:rsidRPr="00AE5BD5">
        <w:rPr>
          <w:sz w:val="22"/>
          <w:szCs w:val="22"/>
          <w:lang w:val="lt-LT"/>
        </w:rPr>
        <w:t> </w:t>
      </w:r>
      <w:r w:rsidRPr="00AE5BD5">
        <w:rPr>
          <w:sz w:val="22"/>
          <w:szCs w:val="22"/>
          <w:lang w:val="lt-LT"/>
        </w:rPr>
        <w:t>% sildenafilio farmakologinio poveikio). Kokią įtaką tai turi veiksmingumui, nežinoma.</w:t>
      </w:r>
    </w:p>
    <w:p w14:paraId="5CF63D4F" w14:textId="77777777" w:rsidR="00C05173" w:rsidRPr="00AE5BD5" w:rsidRDefault="00C05173" w:rsidP="008C6014">
      <w:pPr>
        <w:rPr>
          <w:sz w:val="22"/>
          <w:szCs w:val="22"/>
          <w:lang w:val="lt-LT"/>
        </w:rPr>
      </w:pPr>
    </w:p>
    <w:p w14:paraId="6D9AF46F" w14:textId="77777777" w:rsidR="00C05173" w:rsidRPr="00AE5BD5" w:rsidRDefault="00C05173" w:rsidP="008C6014">
      <w:pPr>
        <w:rPr>
          <w:sz w:val="22"/>
          <w:szCs w:val="22"/>
          <w:lang w:val="lt-LT"/>
        </w:rPr>
      </w:pPr>
      <w:r w:rsidRPr="00AE5BD5">
        <w:rPr>
          <w:sz w:val="22"/>
          <w:szCs w:val="22"/>
          <w:u w:val="single"/>
          <w:lang w:val="lt-LT"/>
        </w:rPr>
        <w:t>Eliminacija</w:t>
      </w:r>
    </w:p>
    <w:p w14:paraId="6CA04660" w14:textId="77777777" w:rsidR="00C05173" w:rsidRPr="00AE5BD5" w:rsidRDefault="00C05173" w:rsidP="008C6014">
      <w:pPr>
        <w:rPr>
          <w:sz w:val="22"/>
          <w:szCs w:val="22"/>
          <w:lang w:val="lt-LT"/>
        </w:rPr>
      </w:pPr>
      <w:r w:rsidRPr="00AE5BD5">
        <w:rPr>
          <w:sz w:val="22"/>
          <w:szCs w:val="22"/>
          <w:lang w:val="lt-LT"/>
        </w:rPr>
        <w:t>Bendras sildenafilio klirensas organizme yra 41</w:t>
      </w:r>
      <w:r w:rsidR="004716EC" w:rsidRPr="00AE5BD5">
        <w:rPr>
          <w:sz w:val="22"/>
          <w:szCs w:val="22"/>
          <w:lang w:val="lt-LT"/>
        </w:rPr>
        <w:t> </w:t>
      </w:r>
      <w:r w:rsidRPr="00AE5BD5">
        <w:rPr>
          <w:sz w:val="22"/>
          <w:szCs w:val="22"/>
          <w:lang w:val="lt-LT"/>
        </w:rPr>
        <w:t>l/val., galutinis pusinės eliminacijos laikas - 3-5</w:t>
      </w:r>
      <w:r w:rsidR="004716EC" w:rsidRPr="00AE5BD5">
        <w:rPr>
          <w:sz w:val="22"/>
          <w:szCs w:val="22"/>
          <w:lang w:val="lt-LT"/>
        </w:rPr>
        <w:t> </w:t>
      </w:r>
      <w:r w:rsidRPr="00AE5BD5">
        <w:rPr>
          <w:sz w:val="22"/>
          <w:szCs w:val="22"/>
          <w:lang w:val="lt-LT"/>
        </w:rPr>
        <w:t xml:space="preserve">val. </w:t>
      </w:r>
      <w:r w:rsidRPr="00AE5BD5">
        <w:rPr>
          <w:sz w:val="22"/>
          <w:szCs w:val="22"/>
          <w:lang w:val="lt-LT"/>
        </w:rPr>
        <w:lastRenderedPageBreak/>
        <w:t>Išgerto ar sušvirkšto į veną sildenafilio daugiausia išsiskiria metabolitų pavidalu su išmatomis (maždaug 80</w:t>
      </w:r>
      <w:r w:rsidR="004716EC" w:rsidRPr="00AE5BD5">
        <w:rPr>
          <w:sz w:val="22"/>
          <w:szCs w:val="22"/>
          <w:lang w:val="lt-LT"/>
        </w:rPr>
        <w:t> </w:t>
      </w:r>
      <w:r w:rsidRPr="00AE5BD5">
        <w:rPr>
          <w:sz w:val="22"/>
          <w:szCs w:val="22"/>
          <w:lang w:val="lt-LT"/>
        </w:rPr>
        <w:t>% išgertos dozės), kita dalis – su šlapimu (maždaug 13</w:t>
      </w:r>
      <w:r w:rsidR="004716EC" w:rsidRPr="00AE5BD5">
        <w:rPr>
          <w:sz w:val="22"/>
          <w:szCs w:val="22"/>
          <w:lang w:val="lt-LT"/>
        </w:rPr>
        <w:t> </w:t>
      </w:r>
      <w:r w:rsidRPr="00AE5BD5">
        <w:rPr>
          <w:sz w:val="22"/>
          <w:szCs w:val="22"/>
          <w:lang w:val="lt-LT"/>
        </w:rPr>
        <w:t>% išgertos dozės).</w:t>
      </w:r>
    </w:p>
    <w:p w14:paraId="5BB8BB0C" w14:textId="77777777" w:rsidR="00C05173" w:rsidRPr="00AE5BD5" w:rsidRDefault="00C05173" w:rsidP="008C6014">
      <w:pPr>
        <w:rPr>
          <w:sz w:val="22"/>
          <w:szCs w:val="22"/>
          <w:lang w:val="lt-LT"/>
        </w:rPr>
      </w:pPr>
    </w:p>
    <w:p w14:paraId="58ECA408" w14:textId="77777777" w:rsidR="00C05173" w:rsidRPr="00AE5BD5" w:rsidRDefault="00C0201B" w:rsidP="008C6014">
      <w:pPr>
        <w:rPr>
          <w:sz w:val="22"/>
          <w:szCs w:val="22"/>
          <w:lang w:val="lt-LT"/>
        </w:rPr>
      </w:pPr>
      <w:r>
        <w:rPr>
          <w:sz w:val="22"/>
          <w:szCs w:val="22"/>
          <w:u w:val="single"/>
          <w:lang w:val="lt-LT"/>
        </w:rPr>
        <w:t xml:space="preserve"> Ypatingos populiacijos </w:t>
      </w:r>
    </w:p>
    <w:p w14:paraId="095DBD99" w14:textId="77777777" w:rsidR="00C05173" w:rsidRPr="00AE5BD5" w:rsidRDefault="00C05173" w:rsidP="008C6014">
      <w:pPr>
        <w:rPr>
          <w:sz w:val="22"/>
          <w:szCs w:val="22"/>
          <w:lang w:val="lt-LT"/>
        </w:rPr>
      </w:pPr>
    </w:p>
    <w:p w14:paraId="6C3F3F44" w14:textId="77777777" w:rsidR="00C05173" w:rsidRPr="00AE5BD5" w:rsidRDefault="00C05173" w:rsidP="008C6014">
      <w:pPr>
        <w:rPr>
          <w:i/>
          <w:iCs/>
          <w:sz w:val="22"/>
          <w:szCs w:val="22"/>
          <w:lang w:val="lt-LT"/>
        </w:rPr>
      </w:pPr>
      <w:r w:rsidRPr="00AE5BD5">
        <w:rPr>
          <w:i/>
          <w:iCs/>
          <w:sz w:val="22"/>
          <w:szCs w:val="22"/>
          <w:u w:val="single"/>
          <w:lang w:val="lt-LT"/>
        </w:rPr>
        <w:t xml:space="preserve">Senyvi </w:t>
      </w:r>
      <w:r w:rsidR="00C0201B">
        <w:rPr>
          <w:i/>
          <w:iCs/>
          <w:sz w:val="22"/>
          <w:szCs w:val="22"/>
          <w:u w:val="single"/>
          <w:lang w:val="lt-LT"/>
        </w:rPr>
        <w:t xml:space="preserve">pacientai </w:t>
      </w:r>
    </w:p>
    <w:p w14:paraId="516B05BE" w14:textId="77777777" w:rsidR="00C05173" w:rsidRPr="00AE5BD5" w:rsidRDefault="00C05173" w:rsidP="008C6014">
      <w:pPr>
        <w:rPr>
          <w:sz w:val="22"/>
          <w:szCs w:val="22"/>
          <w:lang w:val="lt-LT"/>
        </w:rPr>
      </w:pPr>
      <w:r w:rsidRPr="00AE5BD5">
        <w:rPr>
          <w:sz w:val="22"/>
          <w:szCs w:val="22"/>
          <w:lang w:val="lt-LT"/>
        </w:rPr>
        <w:t>Sveikų senyvų savanorių (65 metų ar vyresnių) organizme sildenafilio klirensas buvo mažesnis, todėl nepakitusio vaistinio preparato ir veikliojo N-desmetilmetabolito koncentracija kraujo plazmoje buvo maždaug 90 % didesnė už sveikų jaunesnių (18-45 metų) savanorių. Dėl skirtingo jungimosi prie kraujo plazmos baltymų, kuris priklausomo nuo amžiaus, laisvojo sildenafilio koncentracija kraujyje buvo maždaug 40 % didesnė.</w:t>
      </w:r>
    </w:p>
    <w:p w14:paraId="11C8358C" w14:textId="77777777" w:rsidR="00C05173" w:rsidRPr="00AE5BD5" w:rsidRDefault="00C05173" w:rsidP="008C6014">
      <w:pPr>
        <w:rPr>
          <w:sz w:val="22"/>
          <w:szCs w:val="22"/>
          <w:lang w:val="lt-LT"/>
        </w:rPr>
      </w:pPr>
    </w:p>
    <w:p w14:paraId="48BB0870" w14:textId="77777777" w:rsidR="00C05173" w:rsidRPr="00AE5BD5" w:rsidRDefault="00C0201B" w:rsidP="008C6014">
      <w:pPr>
        <w:rPr>
          <w:i/>
          <w:iCs/>
          <w:sz w:val="22"/>
          <w:szCs w:val="22"/>
          <w:lang w:val="lt-LT"/>
        </w:rPr>
      </w:pPr>
      <w:r>
        <w:rPr>
          <w:i/>
          <w:iCs/>
          <w:sz w:val="22"/>
          <w:szCs w:val="22"/>
          <w:u w:val="single"/>
          <w:lang w:val="lt-LT"/>
        </w:rPr>
        <w:t>Sutrikusi i</w:t>
      </w:r>
      <w:r w:rsidR="00C05173" w:rsidRPr="00AE5BD5">
        <w:rPr>
          <w:i/>
          <w:iCs/>
          <w:sz w:val="22"/>
          <w:szCs w:val="22"/>
          <w:u w:val="single"/>
          <w:lang w:val="lt-LT"/>
        </w:rPr>
        <w:t xml:space="preserve">nkstų </w:t>
      </w:r>
      <w:r>
        <w:rPr>
          <w:i/>
          <w:iCs/>
          <w:sz w:val="22"/>
          <w:szCs w:val="22"/>
          <w:u w:val="single"/>
          <w:lang w:val="lt-LT"/>
        </w:rPr>
        <w:t xml:space="preserve">funkcija </w:t>
      </w:r>
    </w:p>
    <w:p w14:paraId="4A3F7C97" w14:textId="77777777" w:rsidR="00C05173" w:rsidRPr="00AE5BD5" w:rsidRDefault="00C05173" w:rsidP="008C6014">
      <w:pPr>
        <w:rPr>
          <w:sz w:val="22"/>
          <w:szCs w:val="22"/>
          <w:lang w:val="lt-LT"/>
        </w:rPr>
      </w:pPr>
      <w:r w:rsidRPr="00AE5BD5">
        <w:rPr>
          <w:sz w:val="22"/>
          <w:szCs w:val="22"/>
          <w:lang w:val="lt-LT"/>
        </w:rPr>
        <w:t>Savanorių, kuriems buvo lengvas arba vidutinio sunkumo inkstų funkcijos sutrikimas (kreatinino klirensas – 30-80</w:t>
      </w:r>
      <w:r w:rsidR="004716EC" w:rsidRPr="00AE5BD5">
        <w:rPr>
          <w:sz w:val="22"/>
          <w:szCs w:val="22"/>
          <w:lang w:val="lt-LT"/>
        </w:rPr>
        <w:t> </w:t>
      </w:r>
      <w:r w:rsidRPr="00AE5BD5">
        <w:rPr>
          <w:sz w:val="22"/>
          <w:szCs w:val="22"/>
          <w:lang w:val="lt-LT"/>
        </w:rPr>
        <w:t>ml/min.), organizme vienos išgertos 50</w:t>
      </w:r>
      <w:r w:rsidR="004716EC" w:rsidRPr="00AE5BD5">
        <w:rPr>
          <w:sz w:val="22"/>
          <w:szCs w:val="22"/>
          <w:lang w:val="lt-LT"/>
        </w:rPr>
        <w:t> </w:t>
      </w:r>
      <w:r w:rsidRPr="00AE5BD5">
        <w:rPr>
          <w:sz w:val="22"/>
          <w:szCs w:val="22"/>
          <w:lang w:val="lt-LT"/>
        </w:rPr>
        <w:t>mg sildenafilio dozės farmakokinetika nepakito. Esant sunkiam inkstų funkcijos sutrikimui (kreatinino klirensas &lt; 30</w:t>
      </w:r>
      <w:r w:rsidR="004716EC" w:rsidRPr="00AE5BD5">
        <w:rPr>
          <w:sz w:val="22"/>
          <w:szCs w:val="22"/>
          <w:lang w:val="lt-LT"/>
        </w:rPr>
        <w:t> </w:t>
      </w:r>
      <w:r w:rsidRPr="00AE5BD5">
        <w:rPr>
          <w:sz w:val="22"/>
          <w:szCs w:val="22"/>
          <w:lang w:val="lt-LT"/>
        </w:rPr>
        <w:t>ml/min.), savanorių organizme sildenafilio klirensas sumažėjo, dėl to buvo didesni AUC ir C</w:t>
      </w:r>
      <w:r w:rsidRPr="00AE5BD5">
        <w:rPr>
          <w:position w:val="-3"/>
          <w:sz w:val="22"/>
          <w:szCs w:val="22"/>
          <w:lang w:val="lt-LT"/>
        </w:rPr>
        <w:t xml:space="preserve">max </w:t>
      </w:r>
      <w:r w:rsidRPr="00AE5BD5">
        <w:rPr>
          <w:sz w:val="22"/>
          <w:szCs w:val="22"/>
          <w:lang w:val="lt-LT"/>
        </w:rPr>
        <w:t>(atitinkamai 100</w:t>
      </w:r>
      <w:r w:rsidR="004716EC" w:rsidRPr="00AE5BD5">
        <w:rPr>
          <w:sz w:val="22"/>
          <w:szCs w:val="22"/>
          <w:lang w:val="lt-LT"/>
        </w:rPr>
        <w:t> </w:t>
      </w:r>
      <w:r w:rsidR="00C0201B" w:rsidRPr="00C0201B">
        <w:rPr>
          <w:sz w:val="22"/>
          <w:szCs w:val="22"/>
          <w:lang w:val="lt-LT"/>
        </w:rPr>
        <w:t>%</w:t>
      </w:r>
      <w:r w:rsidRPr="00AE5BD5">
        <w:rPr>
          <w:sz w:val="22"/>
          <w:szCs w:val="22"/>
          <w:lang w:val="lt-LT"/>
        </w:rPr>
        <w:t xml:space="preserve"> ir 88</w:t>
      </w:r>
      <w:r w:rsidR="00C0201B" w:rsidRPr="00C0201B">
        <w:rPr>
          <w:sz w:val="22"/>
          <w:szCs w:val="22"/>
          <w:lang w:val="lt-LT"/>
        </w:rPr>
        <w:t>%</w:t>
      </w:r>
      <w:r w:rsidR="004716EC" w:rsidRPr="00AE5BD5">
        <w:rPr>
          <w:sz w:val="22"/>
          <w:szCs w:val="22"/>
          <w:lang w:val="lt-LT"/>
        </w:rPr>
        <w:t> </w:t>
      </w:r>
      <w:r w:rsidRPr="00AE5BD5">
        <w:rPr>
          <w:sz w:val="22"/>
          <w:szCs w:val="22"/>
          <w:lang w:val="lt-LT"/>
        </w:rPr>
        <w:t>), negu tokio pat amžiaus savanorių, kurių inkstų veikla normali. Be to, N-desmetilmetabolito AUC bei C</w:t>
      </w:r>
      <w:r w:rsidRPr="00AE5BD5">
        <w:rPr>
          <w:position w:val="-3"/>
          <w:sz w:val="22"/>
          <w:szCs w:val="22"/>
          <w:lang w:val="lt-LT"/>
        </w:rPr>
        <w:t xml:space="preserve">max </w:t>
      </w:r>
      <w:r w:rsidRPr="00AE5BD5">
        <w:rPr>
          <w:sz w:val="22"/>
          <w:szCs w:val="22"/>
          <w:lang w:val="lt-LT"/>
        </w:rPr>
        <w:t>(atitinkamai 200</w:t>
      </w:r>
      <w:r w:rsidR="004716EC" w:rsidRPr="00AE5BD5">
        <w:rPr>
          <w:sz w:val="22"/>
          <w:szCs w:val="22"/>
          <w:lang w:val="lt-LT"/>
        </w:rPr>
        <w:t> </w:t>
      </w:r>
      <w:r w:rsidRPr="00AE5BD5">
        <w:rPr>
          <w:sz w:val="22"/>
          <w:szCs w:val="22"/>
          <w:lang w:val="lt-LT"/>
        </w:rPr>
        <w:t>% ir 79</w:t>
      </w:r>
      <w:r w:rsidR="004716EC" w:rsidRPr="00AE5BD5">
        <w:rPr>
          <w:sz w:val="22"/>
          <w:szCs w:val="22"/>
          <w:lang w:val="lt-LT"/>
        </w:rPr>
        <w:t> </w:t>
      </w:r>
      <w:r w:rsidRPr="00AE5BD5">
        <w:rPr>
          <w:sz w:val="22"/>
          <w:szCs w:val="22"/>
          <w:lang w:val="lt-LT"/>
        </w:rPr>
        <w:t>%) sunkaus inkstų funkcijos sutrikimo atvejais gerokai padidėjo, palyginti su normalia inkstų funkcija.</w:t>
      </w:r>
    </w:p>
    <w:p w14:paraId="009B86C6" w14:textId="77777777" w:rsidR="00C05173" w:rsidRPr="00AE5BD5" w:rsidRDefault="00C05173" w:rsidP="008C6014">
      <w:pPr>
        <w:rPr>
          <w:sz w:val="22"/>
          <w:szCs w:val="22"/>
          <w:lang w:val="lt-LT"/>
        </w:rPr>
      </w:pPr>
    </w:p>
    <w:p w14:paraId="698E0C34" w14:textId="77777777" w:rsidR="00C05173" w:rsidRPr="00AE5BD5" w:rsidRDefault="00C0201B" w:rsidP="008C6014">
      <w:pPr>
        <w:rPr>
          <w:i/>
          <w:iCs/>
          <w:sz w:val="22"/>
          <w:szCs w:val="22"/>
          <w:lang w:val="lt-LT"/>
        </w:rPr>
      </w:pPr>
      <w:r>
        <w:rPr>
          <w:i/>
          <w:iCs/>
          <w:sz w:val="22"/>
          <w:szCs w:val="22"/>
          <w:u w:val="single"/>
          <w:lang w:val="lt-LT"/>
        </w:rPr>
        <w:t>Sutrikusi k</w:t>
      </w:r>
      <w:r w:rsidR="00C05173" w:rsidRPr="00AE5BD5">
        <w:rPr>
          <w:i/>
          <w:iCs/>
          <w:sz w:val="22"/>
          <w:szCs w:val="22"/>
          <w:u w:val="single"/>
          <w:lang w:val="lt-LT"/>
        </w:rPr>
        <w:t xml:space="preserve">epenų </w:t>
      </w:r>
      <w:r>
        <w:rPr>
          <w:i/>
          <w:iCs/>
          <w:sz w:val="22"/>
          <w:szCs w:val="22"/>
          <w:u w:val="single"/>
          <w:lang w:val="lt-LT"/>
        </w:rPr>
        <w:t xml:space="preserve">funkcija </w:t>
      </w:r>
    </w:p>
    <w:p w14:paraId="09772287" w14:textId="77777777" w:rsidR="00C05173" w:rsidRPr="00AE5BD5" w:rsidRDefault="00C05173" w:rsidP="008C6014">
      <w:pPr>
        <w:rPr>
          <w:sz w:val="22"/>
          <w:szCs w:val="22"/>
          <w:lang w:val="lt-LT"/>
        </w:rPr>
      </w:pPr>
      <w:r w:rsidRPr="00AE5BD5">
        <w:rPr>
          <w:sz w:val="22"/>
          <w:szCs w:val="22"/>
          <w:lang w:val="lt-LT"/>
        </w:rPr>
        <w:t xml:space="preserve">Lengva arba vidutinio sunkumo kepenų ciroze (A ir B klasė pagal </w:t>
      </w:r>
      <w:r w:rsidRPr="00AE5BD5">
        <w:rPr>
          <w:i/>
          <w:iCs/>
          <w:sz w:val="22"/>
          <w:szCs w:val="22"/>
          <w:lang w:val="lt-LT"/>
        </w:rPr>
        <w:t>Child-Pugh</w:t>
      </w:r>
      <w:r w:rsidRPr="00AE5BD5">
        <w:rPr>
          <w:sz w:val="22"/>
          <w:szCs w:val="22"/>
          <w:lang w:val="lt-LT"/>
        </w:rPr>
        <w:t>) sergančių savanorių organizme sildenafilio klirensas buvo mažesnis, dėl to AUC buvo 85</w:t>
      </w:r>
      <w:r w:rsidR="004716EC" w:rsidRPr="00AE5BD5">
        <w:rPr>
          <w:sz w:val="22"/>
          <w:szCs w:val="22"/>
          <w:lang w:val="lt-LT"/>
        </w:rPr>
        <w:t> </w:t>
      </w:r>
      <w:r w:rsidRPr="00AE5BD5">
        <w:rPr>
          <w:sz w:val="22"/>
          <w:szCs w:val="22"/>
          <w:lang w:val="lt-LT"/>
        </w:rPr>
        <w:t>%, C</w:t>
      </w:r>
      <w:r w:rsidRPr="00AE5BD5">
        <w:rPr>
          <w:position w:val="-3"/>
          <w:sz w:val="22"/>
          <w:szCs w:val="22"/>
          <w:lang w:val="lt-LT"/>
        </w:rPr>
        <w:t xml:space="preserve">max </w:t>
      </w:r>
      <w:r w:rsidRPr="00AE5BD5">
        <w:rPr>
          <w:sz w:val="22"/>
          <w:szCs w:val="22"/>
          <w:lang w:val="lt-LT"/>
        </w:rPr>
        <w:t xml:space="preserve"> 47</w:t>
      </w:r>
      <w:r w:rsidR="004716EC" w:rsidRPr="00AE5BD5">
        <w:rPr>
          <w:sz w:val="22"/>
          <w:szCs w:val="22"/>
          <w:lang w:val="lt-LT"/>
        </w:rPr>
        <w:t xml:space="preserve"> </w:t>
      </w:r>
      <w:r w:rsidR="00C0201B" w:rsidRPr="00C0201B">
        <w:rPr>
          <w:sz w:val="22"/>
          <w:szCs w:val="22"/>
          <w:lang w:val="lt-LT"/>
        </w:rPr>
        <w:t>%</w:t>
      </w:r>
      <w:r w:rsidRPr="00AE5BD5">
        <w:rPr>
          <w:sz w:val="22"/>
          <w:szCs w:val="22"/>
          <w:lang w:val="lt-LT"/>
        </w:rPr>
        <w:t xml:space="preserve"> didesni negu tokio pat amžiaus savanorių, kurių kepenų veikla normali, organizme. Be to, N-desmetilmetabolito AUC ir C</w:t>
      </w:r>
      <w:r w:rsidRPr="00AE5BD5">
        <w:rPr>
          <w:position w:val="-3"/>
          <w:sz w:val="22"/>
          <w:szCs w:val="22"/>
          <w:lang w:val="lt-LT"/>
        </w:rPr>
        <w:t xml:space="preserve">max </w:t>
      </w:r>
      <w:r w:rsidRPr="00AE5BD5">
        <w:rPr>
          <w:sz w:val="22"/>
          <w:szCs w:val="22"/>
          <w:lang w:val="lt-LT"/>
        </w:rPr>
        <w:t>asmenų, sergančių kepenų ciroze, organizme buvo statistiškai reikšmingai didesnės (atitinkamai 154</w:t>
      </w:r>
      <w:r w:rsidR="004716EC" w:rsidRPr="00AE5BD5">
        <w:rPr>
          <w:sz w:val="22"/>
          <w:szCs w:val="22"/>
          <w:lang w:val="lt-LT"/>
        </w:rPr>
        <w:t xml:space="preserve"> </w:t>
      </w:r>
      <w:r w:rsidRPr="00AE5BD5">
        <w:rPr>
          <w:sz w:val="22"/>
          <w:szCs w:val="22"/>
          <w:lang w:val="lt-LT"/>
        </w:rPr>
        <w:t>% ir 87</w:t>
      </w:r>
      <w:r w:rsidR="004716EC" w:rsidRPr="00AE5BD5">
        <w:rPr>
          <w:sz w:val="22"/>
          <w:szCs w:val="22"/>
          <w:lang w:val="lt-LT"/>
        </w:rPr>
        <w:t> </w:t>
      </w:r>
      <w:r w:rsidRPr="00AE5BD5">
        <w:rPr>
          <w:sz w:val="22"/>
          <w:szCs w:val="22"/>
          <w:lang w:val="lt-LT"/>
        </w:rPr>
        <w:t xml:space="preserve">%), palyginti su tų, kurių kepenų funkcija buvo normali. Ir sildenafilio, ir jo svarbiausio metabolito farmakokinetikos rodmenys aiškiai su </w:t>
      </w:r>
      <w:r w:rsidRPr="00AE5BD5">
        <w:rPr>
          <w:i/>
          <w:iCs/>
          <w:sz w:val="22"/>
          <w:szCs w:val="22"/>
          <w:lang w:val="lt-LT"/>
        </w:rPr>
        <w:t xml:space="preserve">Child-Pugh </w:t>
      </w:r>
      <w:r w:rsidRPr="00AE5BD5">
        <w:rPr>
          <w:sz w:val="22"/>
          <w:szCs w:val="22"/>
          <w:lang w:val="lt-LT"/>
        </w:rPr>
        <w:t>klase nesisiejo. Pacientų, kurių kepenų veikla labai sutrikusi, organizme sildenafilio farmakokinetika netirta.</w:t>
      </w:r>
    </w:p>
    <w:p w14:paraId="3A7448BF" w14:textId="77777777" w:rsidR="00C05173" w:rsidRPr="00AE5BD5" w:rsidRDefault="00C05173" w:rsidP="008C6014">
      <w:pPr>
        <w:rPr>
          <w:sz w:val="22"/>
          <w:szCs w:val="22"/>
          <w:lang w:val="lt-LT"/>
        </w:rPr>
      </w:pPr>
    </w:p>
    <w:p w14:paraId="1A17879A" w14:textId="77777777" w:rsidR="00C05173" w:rsidRPr="00AE5BD5" w:rsidRDefault="00C05173" w:rsidP="008C6014">
      <w:pPr>
        <w:rPr>
          <w:i/>
          <w:iCs/>
          <w:sz w:val="22"/>
          <w:szCs w:val="22"/>
          <w:lang w:val="lt-LT"/>
        </w:rPr>
      </w:pPr>
      <w:r w:rsidRPr="00AE5BD5">
        <w:rPr>
          <w:i/>
          <w:iCs/>
          <w:sz w:val="22"/>
          <w:szCs w:val="22"/>
          <w:u w:val="single"/>
          <w:lang w:val="lt-LT"/>
        </w:rPr>
        <w:t>Populiacijos farmakokinetika</w:t>
      </w:r>
    </w:p>
    <w:p w14:paraId="13B9EBFA" w14:textId="77777777" w:rsidR="00C05173" w:rsidRPr="00AE5BD5" w:rsidRDefault="00C05173" w:rsidP="008C6014">
      <w:pPr>
        <w:rPr>
          <w:sz w:val="22"/>
          <w:szCs w:val="22"/>
          <w:lang w:val="lt-LT"/>
        </w:rPr>
      </w:pPr>
      <w:r w:rsidRPr="00AE5BD5">
        <w:rPr>
          <w:sz w:val="22"/>
          <w:szCs w:val="22"/>
          <w:lang w:val="lt-LT"/>
        </w:rPr>
        <w:t>Plautine arterine hipertenzija sergančių ligonių, kurie vartojo tiriamąsias 20–80</w:t>
      </w:r>
      <w:r w:rsidR="004716EC" w:rsidRPr="00AE5BD5">
        <w:rPr>
          <w:sz w:val="22"/>
          <w:szCs w:val="22"/>
          <w:lang w:val="lt-LT"/>
        </w:rPr>
        <w:t> </w:t>
      </w:r>
      <w:r w:rsidRPr="00AE5BD5">
        <w:rPr>
          <w:sz w:val="22"/>
          <w:szCs w:val="22"/>
          <w:lang w:val="lt-LT"/>
        </w:rPr>
        <w:t>mg dozes tris kartus per parą, organizme vidutinė pusiausvyrinės apykaitos koncentracija buvo 20–50</w:t>
      </w:r>
      <w:r w:rsidR="004716EC" w:rsidRPr="00AE5BD5">
        <w:rPr>
          <w:sz w:val="22"/>
          <w:szCs w:val="22"/>
          <w:lang w:val="lt-LT"/>
        </w:rPr>
        <w:t> </w:t>
      </w:r>
      <w:r w:rsidRPr="00AE5BD5">
        <w:rPr>
          <w:sz w:val="22"/>
          <w:szCs w:val="22"/>
          <w:lang w:val="lt-LT"/>
        </w:rPr>
        <w:t>% didesnė nei sveikų</w:t>
      </w:r>
    </w:p>
    <w:p w14:paraId="5E9E7ECE" w14:textId="77777777" w:rsidR="00C05173" w:rsidRPr="00AE5BD5" w:rsidRDefault="00C05173" w:rsidP="008C6014">
      <w:pPr>
        <w:rPr>
          <w:sz w:val="22"/>
          <w:szCs w:val="22"/>
          <w:lang w:val="lt-LT"/>
        </w:rPr>
      </w:pPr>
      <w:r w:rsidRPr="00AE5BD5">
        <w:rPr>
          <w:sz w:val="22"/>
          <w:szCs w:val="22"/>
          <w:lang w:val="lt-LT"/>
        </w:rPr>
        <w:t>savanorių. Palyginti su sveikų savanorių, C</w:t>
      </w:r>
      <w:r w:rsidRPr="00AE5BD5">
        <w:rPr>
          <w:position w:val="-3"/>
          <w:sz w:val="22"/>
          <w:szCs w:val="22"/>
          <w:lang w:val="lt-LT"/>
        </w:rPr>
        <w:t xml:space="preserve">min. </w:t>
      </w:r>
      <w:r w:rsidRPr="00AE5BD5">
        <w:rPr>
          <w:sz w:val="22"/>
          <w:szCs w:val="22"/>
          <w:lang w:val="lt-LT"/>
        </w:rPr>
        <w:t>buvo dvigubai didesnė. Abu parametrai rodo, kad ligonių, sergančių plautine arterine hipertenzija, organizme klirensas yra mažesnis ir (arba) išgerto sildenafilio biologinis prieinamumas didesnis nei sveikų savanorių.</w:t>
      </w:r>
    </w:p>
    <w:p w14:paraId="01738C64" w14:textId="77777777" w:rsidR="00C05173" w:rsidRPr="00AE5BD5" w:rsidRDefault="00C05173" w:rsidP="008C6014">
      <w:pPr>
        <w:rPr>
          <w:sz w:val="22"/>
          <w:szCs w:val="22"/>
          <w:lang w:val="lt-LT"/>
        </w:rPr>
      </w:pPr>
    </w:p>
    <w:p w14:paraId="48DD8CDA" w14:textId="77777777" w:rsidR="00C05173" w:rsidRPr="00AE5BD5" w:rsidRDefault="00C05173" w:rsidP="008C6014">
      <w:pPr>
        <w:rPr>
          <w:i/>
          <w:iCs/>
          <w:sz w:val="22"/>
          <w:szCs w:val="22"/>
          <w:lang w:val="lt-LT"/>
        </w:rPr>
      </w:pPr>
      <w:r w:rsidRPr="00AE5BD5">
        <w:rPr>
          <w:i/>
          <w:iCs/>
          <w:sz w:val="22"/>
          <w:szCs w:val="22"/>
          <w:u w:val="single"/>
          <w:lang w:val="lt-LT"/>
        </w:rPr>
        <w:t>Vaikų populiacija</w:t>
      </w:r>
    </w:p>
    <w:p w14:paraId="76716DB2" w14:textId="77777777" w:rsidR="00E93353" w:rsidRPr="00AE5BD5" w:rsidRDefault="00C05173" w:rsidP="008C6014">
      <w:pPr>
        <w:rPr>
          <w:sz w:val="22"/>
          <w:szCs w:val="22"/>
          <w:lang w:val="lt-LT"/>
        </w:rPr>
      </w:pPr>
      <w:r w:rsidRPr="00AE5BD5">
        <w:rPr>
          <w:sz w:val="22"/>
          <w:szCs w:val="22"/>
          <w:lang w:val="lt-LT"/>
        </w:rPr>
        <w:t>Analizuojant sildenafilio farmakokinetikos savybių pacientų organizme klinikinių tyrimų, kuriuose dalyvavo vaikai, duomenis, nustatyta, kad kūno svoris yra geras prognostinis rodmuo, pagal kurį galima numatyti vaistinio preparato ekspoziciją vaiko organizme. Nustatyta, kad sildenafilio koncentracijos plazmoje pusinio periodo kitimo ribos yra nuo 4,2 iki 4,4 valandos, kai kūno svoris svyruoja nuo 10</w:t>
      </w:r>
      <w:r w:rsidR="004716EC" w:rsidRPr="00AE5BD5">
        <w:rPr>
          <w:sz w:val="22"/>
          <w:szCs w:val="22"/>
          <w:lang w:val="lt-LT"/>
        </w:rPr>
        <w:t> </w:t>
      </w:r>
      <w:r w:rsidRPr="00AE5BD5">
        <w:rPr>
          <w:sz w:val="22"/>
          <w:szCs w:val="22"/>
          <w:lang w:val="lt-LT"/>
        </w:rPr>
        <w:t>kg iki 70</w:t>
      </w:r>
      <w:r w:rsidR="004716EC" w:rsidRPr="00AE5BD5">
        <w:rPr>
          <w:sz w:val="22"/>
          <w:szCs w:val="22"/>
          <w:lang w:val="lt-LT"/>
        </w:rPr>
        <w:t> </w:t>
      </w:r>
      <w:r w:rsidRPr="00AE5BD5">
        <w:rPr>
          <w:sz w:val="22"/>
          <w:szCs w:val="22"/>
          <w:lang w:val="lt-LT"/>
        </w:rPr>
        <w:t>kg, ir nebūna jokių skirtumų, kurie galėtų būti kliniškai reikšmingi. Išgėrus vienkartinę 20</w:t>
      </w:r>
      <w:r w:rsidR="004716EC" w:rsidRPr="00AE5BD5">
        <w:rPr>
          <w:sz w:val="22"/>
          <w:szCs w:val="22"/>
          <w:lang w:val="lt-LT"/>
        </w:rPr>
        <w:t> </w:t>
      </w:r>
      <w:r w:rsidRPr="00AE5BD5">
        <w:rPr>
          <w:sz w:val="22"/>
          <w:szCs w:val="22"/>
          <w:lang w:val="lt-LT"/>
        </w:rPr>
        <w:t>mg sildenafilio dozę, C</w:t>
      </w:r>
      <w:r w:rsidRPr="00AE5BD5">
        <w:rPr>
          <w:position w:val="-3"/>
          <w:sz w:val="22"/>
          <w:szCs w:val="22"/>
          <w:lang w:val="lt-LT"/>
        </w:rPr>
        <w:t xml:space="preserve">max </w:t>
      </w:r>
      <w:r w:rsidRPr="00AE5BD5">
        <w:rPr>
          <w:sz w:val="22"/>
          <w:szCs w:val="22"/>
          <w:lang w:val="lt-LT"/>
        </w:rPr>
        <w:t>pacientų, kurių kūno svoris buvo 70</w:t>
      </w:r>
      <w:r w:rsidR="004716EC" w:rsidRPr="00AE5BD5">
        <w:rPr>
          <w:sz w:val="22"/>
          <w:szCs w:val="22"/>
          <w:lang w:val="lt-LT"/>
        </w:rPr>
        <w:t> </w:t>
      </w:r>
      <w:r w:rsidRPr="00AE5BD5">
        <w:rPr>
          <w:sz w:val="22"/>
          <w:szCs w:val="22"/>
          <w:lang w:val="lt-LT"/>
        </w:rPr>
        <w:t>kg, 20</w:t>
      </w:r>
      <w:r w:rsidR="004716EC" w:rsidRPr="00AE5BD5">
        <w:rPr>
          <w:sz w:val="22"/>
          <w:szCs w:val="22"/>
          <w:lang w:val="lt-LT"/>
        </w:rPr>
        <w:t> </w:t>
      </w:r>
      <w:r w:rsidRPr="00AE5BD5">
        <w:rPr>
          <w:sz w:val="22"/>
          <w:szCs w:val="22"/>
          <w:lang w:val="lt-LT"/>
        </w:rPr>
        <w:t>kg ir 10 kg, organizme buvo atitinkamai 49, 104 ir 165</w:t>
      </w:r>
      <w:r w:rsidR="004716EC" w:rsidRPr="00AE5BD5">
        <w:rPr>
          <w:sz w:val="22"/>
          <w:szCs w:val="22"/>
          <w:lang w:val="lt-LT"/>
        </w:rPr>
        <w:t> </w:t>
      </w:r>
      <w:r w:rsidRPr="00AE5BD5">
        <w:rPr>
          <w:sz w:val="22"/>
          <w:szCs w:val="22"/>
          <w:lang w:val="lt-LT"/>
        </w:rPr>
        <w:t>ng/ml. Išgėrus vienkartinę 10</w:t>
      </w:r>
      <w:r w:rsidR="004716EC" w:rsidRPr="00AE5BD5">
        <w:rPr>
          <w:sz w:val="22"/>
          <w:szCs w:val="22"/>
          <w:lang w:val="lt-LT"/>
        </w:rPr>
        <w:t> </w:t>
      </w:r>
      <w:r w:rsidRPr="00AE5BD5">
        <w:rPr>
          <w:sz w:val="22"/>
          <w:szCs w:val="22"/>
          <w:lang w:val="lt-LT"/>
        </w:rPr>
        <w:t>mg sildenafilio dozę, C</w:t>
      </w:r>
      <w:r w:rsidRPr="00AE5BD5">
        <w:rPr>
          <w:position w:val="-3"/>
          <w:sz w:val="22"/>
          <w:szCs w:val="22"/>
          <w:lang w:val="lt-LT"/>
        </w:rPr>
        <w:t xml:space="preserve">max </w:t>
      </w:r>
      <w:r w:rsidRPr="00AE5BD5">
        <w:rPr>
          <w:sz w:val="22"/>
          <w:szCs w:val="22"/>
          <w:lang w:val="lt-LT"/>
        </w:rPr>
        <w:t>pacientų, kurių kūno svoris buvo 70 kg, 20 kg ir 10 kg, organizme buvo atitinkamai 24, 53 ir 85</w:t>
      </w:r>
      <w:r w:rsidR="004716EC" w:rsidRPr="00AE5BD5">
        <w:rPr>
          <w:sz w:val="22"/>
          <w:szCs w:val="22"/>
          <w:lang w:val="lt-LT"/>
        </w:rPr>
        <w:t> </w:t>
      </w:r>
      <w:r w:rsidRPr="00AE5BD5">
        <w:rPr>
          <w:sz w:val="22"/>
          <w:szCs w:val="22"/>
          <w:lang w:val="lt-LT"/>
        </w:rPr>
        <w:t>ng/ml. Nustatytas t</w:t>
      </w:r>
      <w:r w:rsidRPr="00AE5BD5">
        <w:rPr>
          <w:position w:val="-3"/>
          <w:sz w:val="22"/>
          <w:szCs w:val="22"/>
          <w:lang w:val="lt-LT"/>
        </w:rPr>
        <w:t xml:space="preserve">max </w:t>
      </w:r>
      <w:r w:rsidRPr="00AE5BD5">
        <w:rPr>
          <w:sz w:val="22"/>
          <w:szCs w:val="22"/>
          <w:lang w:val="lt-LT"/>
        </w:rPr>
        <w:t>buvo maždaug 1 valanda ir beveik nepriklausė nuo kūno svorio.</w:t>
      </w:r>
    </w:p>
    <w:p w14:paraId="788A3D8C" w14:textId="77777777" w:rsidR="004D0EB2" w:rsidRPr="00AE5BD5" w:rsidRDefault="004D0EB2" w:rsidP="008C6014">
      <w:pPr>
        <w:rPr>
          <w:sz w:val="22"/>
          <w:szCs w:val="22"/>
          <w:lang w:val="lt-LT"/>
        </w:rPr>
      </w:pPr>
    </w:p>
    <w:p w14:paraId="6A6815AC" w14:textId="77777777" w:rsidR="00E93353" w:rsidRPr="005A3594" w:rsidRDefault="00E93353" w:rsidP="008C6014">
      <w:pPr>
        <w:rPr>
          <w:rFonts w:eastAsia="Times New Roman"/>
          <w:b/>
          <w:bCs/>
          <w:snapToGrid w:val="0"/>
          <w:sz w:val="22"/>
          <w:szCs w:val="22"/>
          <w:lang w:val="lt-LT" w:eastAsia="x-none"/>
        </w:rPr>
      </w:pPr>
      <w:r w:rsidRPr="005A3594">
        <w:rPr>
          <w:b/>
          <w:bCs/>
          <w:snapToGrid w:val="0"/>
          <w:sz w:val="22"/>
          <w:szCs w:val="22"/>
          <w:lang w:val="lt-LT" w:eastAsia="x-none"/>
        </w:rPr>
        <w:t>5.3</w:t>
      </w:r>
      <w:r w:rsidRPr="005A3594">
        <w:rPr>
          <w:b/>
          <w:bCs/>
          <w:snapToGrid w:val="0"/>
          <w:sz w:val="22"/>
          <w:szCs w:val="22"/>
          <w:lang w:val="lt-LT" w:eastAsia="x-none"/>
        </w:rPr>
        <w:tab/>
        <w:t>Ikiklinikinių saugumo tyrimų duomenys</w:t>
      </w:r>
    </w:p>
    <w:p w14:paraId="36146464" w14:textId="77777777" w:rsidR="00E93353" w:rsidRPr="00AE5BD5" w:rsidRDefault="00E93353" w:rsidP="008C6014">
      <w:pPr>
        <w:rPr>
          <w:rFonts w:eastAsia="Times New Roman"/>
          <w:snapToGrid w:val="0"/>
          <w:sz w:val="22"/>
          <w:szCs w:val="22"/>
          <w:lang w:val="lt-LT"/>
        </w:rPr>
      </w:pPr>
    </w:p>
    <w:p w14:paraId="475C224D" w14:textId="77777777" w:rsidR="00C05173" w:rsidRPr="00AE5BD5" w:rsidRDefault="00C05173" w:rsidP="008C6014">
      <w:pPr>
        <w:rPr>
          <w:sz w:val="22"/>
          <w:szCs w:val="22"/>
          <w:lang w:val="lt-LT"/>
        </w:rPr>
      </w:pPr>
      <w:r w:rsidRPr="00AE5BD5">
        <w:rPr>
          <w:sz w:val="22"/>
          <w:szCs w:val="22"/>
          <w:lang w:val="lt-LT"/>
        </w:rPr>
        <w:t>Įprastų farmakologinio saugumo, kartotinių dozių toksiškumo, genotoksiškumo, galimo kancerogeniškumo, toksinio poveikio reprodukcijai ir vystymuisi ikiklinikinių tyrimų duomenys specifinio pavojaus žmogui nerodo.</w:t>
      </w:r>
    </w:p>
    <w:p w14:paraId="349CB2E0" w14:textId="77777777" w:rsidR="00C05173" w:rsidRPr="00AE5BD5" w:rsidRDefault="00C05173" w:rsidP="008C6014">
      <w:pPr>
        <w:rPr>
          <w:sz w:val="22"/>
          <w:szCs w:val="22"/>
          <w:lang w:val="lt-LT"/>
        </w:rPr>
      </w:pPr>
    </w:p>
    <w:p w14:paraId="7A86F91D" w14:textId="77777777" w:rsidR="00C05173" w:rsidRPr="00AE5BD5" w:rsidRDefault="00C05173" w:rsidP="008C6014">
      <w:pPr>
        <w:rPr>
          <w:sz w:val="22"/>
          <w:szCs w:val="22"/>
          <w:lang w:val="lt-LT"/>
        </w:rPr>
      </w:pPr>
      <w:r w:rsidRPr="00AE5BD5">
        <w:rPr>
          <w:sz w:val="22"/>
          <w:szCs w:val="22"/>
          <w:lang w:val="lt-LT"/>
        </w:rPr>
        <w:t>Žiurkių jaunikliams, kuriems prieš ir po atsivedimo duota 60</w:t>
      </w:r>
      <w:r w:rsidR="004716EC" w:rsidRPr="00AE5BD5">
        <w:rPr>
          <w:sz w:val="22"/>
          <w:szCs w:val="22"/>
          <w:lang w:val="lt-LT"/>
        </w:rPr>
        <w:t> </w:t>
      </w:r>
      <w:r w:rsidRPr="00AE5BD5">
        <w:rPr>
          <w:sz w:val="22"/>
          <w:szCs w:val="22"/>
          <w:lang w:val="lt-LT"/>
        </w:rPr>
        <w:t xml:space="preserve">mg/kg sildenafilio, sumažėjo vados skaičius, buvo mažesnis jauniklių svoris pirmąją parą ir daugiau jų neišgyveno ketvirtąją parą, kai </w:t>
      </w:r>
      <w:r w:rsidRPr="00AE5BD5">
        <w:rPr>
          <w:sz w:val="22"/>
          <w:szCs w:val="22"/>
          <w:lang w:val="lt-LT"/>
        </w:rPr>
        <w:lastRenderedPageBreak/>
        <w:t>ekspozicija buvo maždaug penkiasdešimt kartų didesnė už žmogaus, vartojančio 20</w:t>
      </w:r>
      <w:r w:rsidR="004716EC" w:rsidRPr="00AE5BD5">
        <w:rPr>
          <w:sz w:val="22"/>
          <w:szCs w:val="22"/>
          <w:lang w:val="lt-LT"/>
        </w:rPr>
        <w:t> </w:t>
      </w:r>
      <w:r w:rsidRPr="00AE5BD5">
        <w:rPr>
          <w:sz w:val="22"/>
          <w:szCs w:val="22"/>
          <w:lang w:val="lt-LT"/>
        </w:rPr>
        <w:t>mg tris kartus per parą dozę. Ikiklinikinių tyrimų metu poveikis pasireiškė tiktai tokiu atveju, kai gyvūnų organizme ekspozicija buvo daug didesnė už didžiausią žmogaus organizme, todėl klinikai tokio poveikio reikšmė yra maža.</w:t>
      </w:r>
    </w:p>
    <w:p w14:paraId="270FC127" w14:textId="77777777" w:rsidR="00C05173" w:rsidRPr="00AE5BD5" w:rsidRDefault="00C05173" w:rsidP="008C6014">
      <w:pPr>
        <w:rPr>
          <w:sz w:val="22"/>
          <w:szCs w:val="22"/>
          <w:lang w:val="lt-LT"/>
        </w:rPr>
      </w:pPr>
    </w:p>
    <w:p w14:paraId="2271B323" w14:textId="77777777" w:rsidR="00C05173" w:rsidRPr="00AE5BD5" w:rsidRDefault="00C05173" w:rsidP="008C6014">
      <w:pPr>
        <w:rPr>
          <w:sz w:val="22"/>
          <w:szCs w:val="22"/>
          <w:lang w:val="lt-LT"/>
        </w:rPr>
      </w:pPr>
      <w:r w:rsidRPr="00AE5BD5">
        <w:rPr>
          <w:sz w:val="22"/>
          <w:szCs w:val="22"/>
          <w:lang w:val="lt-LT"/>
        </w:rPr>
        <w:t>Nebuvo jokių nepageidaujamų reakcijų, kurios galėtų turėti klinikinės reikšmės gydymui,</w:t>
      </w:r>
      <w:r w:rsidR="005B4EA4" w:rsidRPr="00AE5BD5">
        <w:rPr>
          <w:sz w:val="22"/>
          <w:szCs w:val="22"/>
          <w:lang w:val="lt-LT"/>
        </w:rPr>
        <w:t xml:space="preserve"> </w:t>
      </w:r>
      <w:r w:rsidRPr="00AE5BD5">
        <w:rPr>
          <w:sz w:val="22"/>
          <w:szCs w:val="22"/>
          <w:lang w:val="lt-LT"/>
        </w:rPr>
        <w:t>pasireiškusių gyvūnams esant kliniškai reikšmingoms ekspozicijoms, kurių nebuvo pastebėta klinikinių tyrimų metu.</w:t>
      </w:r>
    </w:p>
    <w:p w14:paraId="7EF20181" w14:textId="77777777" w:rsidR="00C05173" w:rsidRPr="00AE5BD5" w:rsidRDefault="00C05173" w:rsidP="008C6014">
      <w:pPr>
        <w:rPr>
          <w:sz w:val="22"/>
          <w:szCs w:val="22"/>
          <w:lang w:val="lt-LT"/>
        </w:rPr>
      </w:pPr>
    </w:p>
    <w:p w14:paraId="2530B01F" w14:textId="77777777" w:rsidR="00E93353" w:rsidRPr="005A3594" w:rsidRDefault="00E93353" w:rsidP="008C6014">
      <w:pPr>
        <w:rPr>
          <w:rFonts w:eastAsia="Times New Roman"/>
          <w:snapToGrid w:val="0"/>
          <w:sz w:val="22"/>
          <w:szCs w:val="22"/>
          <w:lang w:val="lt-LT"/>
        </w:rPr>
      </w:pPr>
    </w:p>
    <w:p w14:paraId="57E14B49" w14:textId="77777777" w:rsidR="00E93353" w:rsidRPr="005A3594" w:rsidRDefault="00E93353" w:rsidP="008C6014">
      <w:pPr>
        <w:rPr>
          <w:rFonts w:eastAsia="Times New Roman"/>
          <w:b/>
          <w:bCs/>
          <w:snapToGrid w:val="0"/>
          <w:sz w:val="22"/>
          <w:szCs w:val="22"/>
          <w:lang w:val="lt-LT" w:eastAsia="x-none"/>
        </w:rPr>
      </w:pPr>
      <w:r w:rsidRPr="005A3594">
        <w:rPr>
          <w:b/>
          <w:bCs/>
          <w:snapToGrid w:val="0"/>
          <w:sz w:val="22"/>
          <w:szCs w:val="22"/>
          <w:lang w:val="lt-LT" w:eastAsia="x-none"/>
        </w:rPr>
        <w:t>6.</w:t>
      </w:r>
      <w:r w:rsidRPr="005A3594">
        <w:rPr>
          <w:b/>
          <w:bCs/>
          <w:snapToGrid w:val="0"/>
          <w:sz w:val="22"/>
          <w:szCs w:val="22"/>
          <w:lang w:val="lt-LT" w:eastAsia="x-none"/>
        </w:rPr>
        <w:tab/>
        <w:t>FARMACINĖ INFORMACIJA</w:t>
      </w:r>
    </w:p>
    <w:p w14:paraId="791207EF" w14:textId="77777777" w:rsidR="00E93353" w:rsidRPr="005A3594" w:rsidRDefault="00E93353" w:rsidP="008C6014">
      <w:pPr>
        <w:rPr>
          <w:rFonts w:eastAsia="Times New Roman"/>
          <w:snapToGrid w:val="0"/>
          <w:sz w:val="22"/>
          <w:szCs w:val="22"/>
          <w:lang w:val="lt-LT"/>
        </w:rPr>
      </w:pPr>
    </w:p>
    <w:p w14:paraId="43C7428D" w14:textId="77777777" w:rsidR="00E93353" w:rsidRPr="005A3594" w:rsidRDefault="00E93353" w:rsidP="008C6014">
      <w:pPr>
        <w:rPr>
          <w:rFonts w:eastAsia="Times New Roman"/>
          <w:b/>
          <w:bCs/>
          <w:snapToGrid w:val="0"/>
          <w:sz w:val="22"/>
          <w:szCs w:val="22"/>
          <w:lang w:val="lt-LT" w:eastAsia="x-none"/>
        </w:rPr>
      </w:pPr>
      <w:r w:rsidRPr="005A3594">
        <w:rPr>
          <w:b/>
          <w:bCs/>
          <w:snapToGrid w:val="0"/>
          <w:sz w:val="22"/>
          <w:szCs w:val="22"/>
          <w:lang w:val="lt-LT" w:eastAsia="x-none"/>
        </w:rPr>
        <w:t>6.1</w:t>
      </w:r>
      <w:r w:rsidRPr="005A3594">
        <w:rPr>
          <w:b/>
          <w:bCs/>
          <w:snapToGrid w:val="0"/>
          <w:sz w:val="22"/>
          <w:szCs w:val="22"/>
          <w:lang w:val="lt-LT" w:eastAsia="x-none"/>
        </w:rPr>
        <w:tab/>
        <w:t>Pagalbinių medžiagų sąrašas</w:t>
      </w:r>
    </w:p>
    <w:p w14:paraId="4E50F643" w14:textId="77777777" w:rsidR="00E93353" w:rsidRPr="00AE5BD5" w:rsidRDefault="00E93353" w:rsidP="008C6014">
      <w:pPr>
        <w:rPr>
          <w:rFonts w:eastAsia="Times New Roman"/>
          <w:snapToGrid w:val="0"/>
          <w:sz w:val="22"/>
          <w:szCs w:val="22"/>
          <w:lang w:val="lt-LT"/>
        </w:rPr>
      </w:pPr>
    </w:p>
    <w:p w14:paraId="1304366B" w14:textId="77777777" w:rsidR="00310A20" w:rsidRPr="00AE5BD5" w:rsidRDefault="00C05173" w:rsidP="008C6014">
      <w:pPr>
        <w:rPr>
          <w:sz w:val="22"/>
          <w:szCs w:val="22"/>
          <w:u w:val="single"/>
          <w:lang w:val="lt-LT"/>
        </w:rPr>
      </w:pPr>
      <w:r w:rsidRPr="00AE5BD5">
        <w:rPr>
          <w:sz w:val="22"/>
          <w:szCs w:val="22"/>
          <w:u w:val="single"/>
          <w:lang w:val="lt-LT"/>
        </w:rPr>
        <w:t xml:space="preserve">Tabletės branduolys </w:t>
      </w:r>
    </w:p>
    <w:p w14:paraId="23A864B0" w14:textId="77777777" w:rsidR="00C05173" w:rsidRPr="00AE5BD5" w:rsidRDefault="005A3594" w:rsidP="008C6014">
      <w:pPr>
        <w:rPr>
          <w:sz w:val="22"/>
          <w:szCs w:val="22"/>
          <w:lang w:val="lt-LT"/>
        </w:rPr>
      </w:pPr>
      <w:r>
        <w:rPr>
          <w:sz w:val="22"/>
          <w:szCs w:val="22"/>
          <w:lang w:val="lt-LT"/>
        </w:rPr>
        <w:t>Mikrokristalinė celiuliozė</w:t>
      </w:r>
    </w:p>
    <w:p w14:paraId="0E2B8829" w14:textId="77777777" w:rsidR="00310A20" w:rsidRPr="00AE5BD5" w:rsidRDefault="00310A20" w:rsidP="008C6014">
      <w:pPr>
        <w:rPr>
          <w:sz w:val="22"/>
          <w:szCs w:val="22"/>
          <w:lang w:val="lt-LT"/>
        </w:rPr>
      </w:pPr>
      <w:r w:rsidRPr="00AE5BD5">
        <w:rPr>
          <w:sz w:val="22"/>
          <w:szCs w:val="22"/>
          <w:lang w:val="lt-LT"/>
        </w:rPr>
        <w:t>K</w:t>
      </w:r>
      <w:r w:rsidR="00C05173" w:rsidRPr="00AE5BD5">
        <w:rPr>
          <w:sz w:val="22"/>
          <w:szCs w:val="22"/>
          <w:lang w:val="lt-LT"/>
        </w:rPr>
        <w:t>alcio</w:t>
      </w:r>
      <w:r w:rsidR="003E6E21">
        <w:rPr>
          <w:sz w:val="22"/>
          <w:szCs w:val="22"/>
          <w:lang w:val="lt-LT"/>
        </w:rPr>
        <w:t>-</w:t>
      </w:r>
      <w:r w:rsidR="00C05173" w:rsidRPr="00AE5BD5">
        <w:rPr>
          <w:sz w:val="22"/>
          <w:szCs w:val="22"/>
          <w:lang w:val="lt-LT"/>
        </w:rPr>
        <w:t>vandenilio fosfatas</w:t>
      </w:r>
    </w:p>
    <w:p w14:paraId="371346AA" w14:textId="77777777" w:rsidR="004716EC" w:rsidRPr="00AE5BD5" w:rsidRDefault="00C05173" w:rsidP="008C6014">
      <w:pPr>
        <w:rPr>
          <w:sz w:val="22"/>
          <w:szCs w:val="22"/>
          <w:lang w:val="lt-LT"/>
        </w:rPr>
      </w:pPr>
      <w:r w:rsidRPr="00AE5BD5">
        <w:rPr>
          <w:sz w:val="22"/>
          <w:szCs w:val="22"/>
          <w:lang w:val="lt-LT"/>
        </w:rPr>
        <w:t>Kroskarmeliozės natrio druska</w:t>
      </w:r>
    </w:p>
    <w:p w14:paraId="798AC351" w14:textId="77777777" w:rsidR="00310A20" w:rsidRPr="00AE5BD5" w:rsidRDefault="005A3594" w:rsidP="008C6014">
      <w:pPr>
        <w:rPr>
          <w:rFonts w:eastAsia="Times New Roman"/>
          <w:sz w:val="22"/>
          <w:szCs w:val="22"/>
          <w:lang w:val="lt-LT"/>
        </w:rPr>
      </w:pPr>
      <w:bookmarkStart w:id="1" w:name="_Hlk125700"/>
      <w:r w:rsidRPr="00AE5BD5">
        <w:rPr>
          <w:rFonts w:eastAsia="Times New Roman"/>
          <w:sz w:val="22"/>
          <w:szCs w:val="22"/>
          <w:lang w:val="lt-LT"/>
        </w:rPr>
        <w:t>Hipromel</w:t>
      </w:r>
      <w:r>
        <w:rPr>
          <w:sz w:val="22"/>
          <w:szCs w:val="22"/>
          <w:lang w:val="lt-LT"/>
        </w:rPr>
        <w:t>iozė</w:t>
      </w:r>
      <w:r w:rsidRPr="00AE5BD5">
        <w:rPr>
          <w:rFonts w:eastAsia="Times New Roman"/>
          <w:sz w:val="22"/>
          <w:szCs w:val="22"/>
          <w:lang w:val="lt-LT"/>
        </w:rPr>
        <w:t xml:space="preserve"> </w:t>
      </w:r>
      <w:r w:rsidR="00310A20" w:rsidRPr="00AE5BD5">
        <w:rPr>
          <w:rFonts w:eastAsia="Times New Roman"/>
          <w:sz w:val="22"/>
          <w:szCs w:val="22"/>
          <w:lang w:val="lt-LT"/>
        </w:rPr>
        <w:t>5cp ( E464)</w:t>
      </w:r>
    </w:p>
    <w:bookmarkEnd w:id="1"/>
    <w:p w14:paraId="5B73F947" w14:textId="77777777" w:rsidR="00C05173" w:rsidRPr="00AE5BD5" w:rsidRDefault="00C05173" w:rsidP="008C6014">
      <w:pPr>
        <w:rPr>
          <w:sz w:val="22"/>
          <w:szCs w:val="22"/>
          <w:lang w:val="lt-LT"/>
        </w:rPr>
      </w:pPr>
      <w:r w:rsidRPr="00AE5BD5">
        <w:rPr>
          <w:sz w:val="22"/>
          <w:szCs w:val="22"/>
          <w:lang w:val="lt-LT"/>
        </w:rPr>
        <w:t>Magnio stearatas</w:t>
      </w:r>
    </w:p>
    <w:p w14:paraId="0B2F0691" w14:textId="77777777" w:rsidR="00C05173" w:rsidRPr="00AE5BD5" w:rsidRDefault="00C05173" w:rsidP="008C6014">
      <w:pPr>
        <w:rPr>
          <w:sz w:val="22"/>
          <w:szCs w:val="22"/>
          <w:lang w:val="lt-LT"/>
        </w:rPr>
      </w:pPr>
    </w:p>
    <w:p w14:paraId="261BA020" w14:textId="77777777" w:rsidR="00310A20" w:rsidRPr="00AE5BD5" w:rsidRDefault="00C05173" w:rsidP="008C6014">
      <w:pPr>
        <w:rPr>
          <w:sz w:val="22"/>
          <w:szCs w:val="22"/>
          <w:u w:val="single"/>
          <w:lang w:val="lt-LT"/>
        </w:rPr>
      </w:pPr>
      <w:r w:rsidRPr="00AE5BD5">
        <w:rPr>
          <w:sz w:val="22"/>
          <w:szCs w:val="22"/>
          <w:u w:val="single"/>
          <w:lang w:val="lt-LT"/>
        </w:rPr>
        <w:t>Tabletės plėvelė</w:t>
      </w:r>
    </w:p>
    <w:p w14:paraId="0CDAAEFD" w14:textId="77777777" w:rsidR="00C05173" w:rsidRPr="00AE5BD5" w:rsidRDefault="00C05173" w:rsidP="008C6014">
      <w:pPr>
        <w:rPr>
          <w:sz w:val="22"/>
          <w:szCs w:val="22"/>
          <w:lang w:val="lt-LT"/>
        </w:rPr>
      </w:pPr>
      <w:r w:rsidRPr="00AE5BD5">
        <w:rPr>
          <w:sz w:val="22"/>
          <w:szCs w:val="22"/>
          <w:lang w:val="lt-LT"/>
        </w:rPr>
        <w:t>Hipromeliozė</w:t>
      </w:r>
      <w:r w:rsidR="00310A20" w:rsidRPr="00AE5BD5">
        <w:rPr>
          <w:sz w:val="22"/>
          <w:szCs w:val="22"/>
          <w:lang w:val="lt-LT"/>
        </w:rPr>
        <w:t xml:space="preserve"> </w:t>
      </w:r>
      <w:r w:rsidR="00310A20" w:rsidRPr="00AE5BD5">
        <w:rPr>
          <w:rFonts w:eastAsia="Times New Roman"/>
          <w:sz w:val="22"/>
          <w:szCs w:val="22"/>
          <w:lang w:val="lt-LT"/>
        </w:rPr>
        <w:t>5cp ( E464)</w:t>
      </w:r>
    </w:p>
    <w:p w14:paraId="3C77DEB3" w14:textId="77777777" w:rsidR="00310A20" w:rsidRPr="00AE5BD5" w:rsidRDefault="00C05173" w:rsidP="008C6014">
      <w:pPr>
        <w:rPr>
          <w:sz w:val="22"/>
          <w:szCs w:val="22"/>
          <w:lang w:val="lt-LT"/>
        </w:rPr>
      </w:pPr>
      <w:r w:rsidRPr="00AE5BD5">
        <w:rPr>
          <w:sz w:val="22"/>
          <w:szCs w:val="22"/>
          <w:lang w:val="lt-LT"/>
        </w:rPr>
        <w:t xml:space="preserve">Titano dioksidas (E171) </w:t>
      </w:r>
    </w:p>
    <w:p w14:paraId="5DA75B1B" w14:textId="77777777" w:rsidR="00310A20" w:rsidRPr="00AE5BD5" w:rsidRDefault="00C05173" w:rsidP="008C6014">
      <w:pPr>
        <w:rPr>
          <w:sz w:val="22"/>
          <w:szCs w:val="22"/>
          <w:lang w:val="lt-LT"/>
        </w:rPr>
      </w:pPr>
      <w:r w:rsidRPr="00AE5BD5">
        <w:rPr>
          <w:sz w:val="22"/>
          <w:szCs w:val="22"/>
          <w:lang w:val="lt-LT"/>
        </w:rPr>
        <w:t>Laktozė monohidratas</w:t>
      </w:r>
    </w:p>
    <w:p w14:paraId="785F1217" w14:textId="77777777" w:rsidR="00C05173" w:rsidRPr="00AE5BD5" w:rsidRDefault="00310A20" w:rsidP="008C6014">
      <w:pPr>
        <w:rPr>
          <w:sz w:val="22"/>
          <w:szCs w:val="22"/>
          <w:lang w:val="lt-LT"/>
        </w:rPr>
      </w:pPr>
      <w:r w:rsidRPr="00AE5BD5">
        <w:rPr>
          <w:sz w:val="22"/>
          <w:szCs w:val="22"/>
          <w:lang w:val="lt-LT"/>
        </w:rPr>
        <w:t>T</w:t>
      </w:r>
      <w:r w:rsidR="00C05173" w:rsidRPr="00AE5BD5">
        <w:rPr>
          <w:sz w:val="22"/>
          <w:szCs w:val="22"/>
          <w:lang w:val="lt-LT"/>
        </w:rPr>
        <w:t>riacet</w:t>
      </w:r>
      <w:r w:rsidRPr="00AE5BD5">
        <w:rPr>
          <w:sz w:val="22"/>
          <w:szCs w:val="22"/>
          <w:lang w:val="lt-LT"/>
        </w:rPr>
        <w:t>in</w:t>
      </w:r>
      <w:r w:rsidR="00C05173" w:rsidRPr="00AE5BD5">
        <w:rPr>
          <w:sz w:val="22"/>
          <w:szCs w:val="22"/>
          <w:lang w:val="lt-LT"/>
        </w:rPr>
        <w:t>as</w:t>
      </w:r>
    </w:p>
    <w:p w14:paraId="72460326" w14:textId="77777777" w:rsidR="00E93353" w:rsidRPr="005A3594" w:rsidRDefault="00E93353" w:rsidP="008C6014">
      <w:pPr>
        <w:rPr>
          <w:rFonts w:eastAsia="Times New Roman"/>
          <w:snapToGrid w:val="0"/>
          <w:sz w:val="22"/>
          <w:szCs w:val="22"/>
          <w:lang w:val="lt-LT"/>
        </w:rPr>
      </w:pPr>
    </w:p>
    <w:p w14:paraId="02F3C052" w14:textId="77777777" w:rsidR="00E93353" w:rsidRPr="005A3594" w:rsidRDefault="00E93353" w:rsidP="008C6014">
      <w:pPr>
        <w:rPr>
          <w:rFonts w:eastAsia="Times New Roman"/>
          <w:b/>
          <w:bCs/>
          <w:snapToGrid w:val="0"/>
          <w:sz w:val="22"/>
          <w:szCs w:val="22"/>
          <w:lang w:val="lt-LT" w:eastAsia="x-none"/>
        </w:rPr>
      </w:pPr>
      <w:r w:rsidRPr="005A3594">
        <w:rPr>
          <w:rFonts w:eastAsia="Times New Roman"/>
          <w:b/>
          <w:bCs/>
          <w:snapToGrid w:val="0"/>
          <w:sz w:val="22"/>
          <w:szCs w:val="22"/>
          <w:lang w:val="lt-LT" w:eastAsia="x-none"/>
        </w:rPr>
        <w:t>6.2</w:t>
      </w:r>
      <w:r w:rsidRPr="005A3594">
        <w:rPr>
          <w:rFonts w:eastAsia="Times New Roman"/>
          <w:b/>
          <w:bCs/>
          <w:snapToGrid w:val="0"/>
          <w:sz w:val="22"/>
          <w:szCs w:val="22"/>
          <w:lang w:val="lt-LT" w:eastAsia="x-none"/>
        </w:rPr>
        <w:tab/>
        <w:t>Nesuderinamumas</w:t>
      </w:r>
    </w:p>
    <w:p w14:paraId="5C25B279" w14:textId="77777777" w:rsidR="00E93353" w:rsidRPr="005A3594" w:rsidRDefault="00E93353" w:rsidP="008C6014">
      <w:pPr>
        <w:rPr>
          <w:rFonts w:eastAsia="Times New Roman"/>
          <w:snapToGrid w:val="0"/>
          <w:sz w:val="22"/>
          <w:szCs w:val="22"/>
          <w:lang w:val="lt-LT"/>
        </w:rPr>
      </w:pPr>
    </w:p>
    <w:p w14:paraId="2D3CBE00" w14:textId="77777777" w:rsidR="00C05173" w:rsidRPr="00AE5BD5" w:rsidRDefault="00C05173" w:rsidP="008C6014">
      <w:pPr>
        <w:rPr>
          <w:sz w:val="22"/>
          <w:szCs w:val="22"/>
          <w:lang w:val="lt-LT"/>
        </w:rPr>
      </w:pPr>
      <w:r w:rsidRPr="00AE5BD5">
        <w:rPr>
          <w:sz w:val="22"/>
          <w:szCs w:val="22"/>
          <w:lang w:val="lt-LT"/>
        </w:rPr>
        <w:t>Duomenys nebūtini.</w:t>
      </w:r>
    </w:p>
    <w:p w14:paraId="0E51E204" w14:textId="77777777" w:rsidR="00E93353" w:rsidRPr="005A3594" w:rsidRDefault="00E93353" w:rsidP="008C6014">
      <w:pPr>
        <w:rPr>
          <w:rFonts w:eastAsia="Times New Roman"/>
          <w:snapToGrid w:val="0"/>
          <w:sz w:val="22"/>
          <w:szCs w:val="22"/>
          <w:lang w:val="lt-LT"/>
        </w:rPr>
      </w:pPr>
    </w:p>
    <w:p w14:paraId="76586906" w14:textId="77777777" w:rsidR="00E93353" w:rsidRPr="005A3594" w:rsidRDefault="00E93353" w:rsidP="008C6014">
      <w:pPr>
        <w:rPr>
          <w:rFonts w:eastAsia="Times New Roman"/>
          <w:b/>
          <w:bCs/>
          <w:snapToGrid w:val="0"/>
          <w:sz w:val="22"/>
          <w:szCs w:val="22"/>
          <w:lang w:val="lt-LT" w:eastAsia="x-none"/>
        </w:rPr>
      </w:pPr>
      <w:r w:rsidRPr="005A3594">
        <w:rPr>
          <w:rFonts w:eastAsia="Times New Roman"/>
          <w:b/>
          <w:bCs/>
          <w:snapToGrid w:val="0"/>
          <w:sz w:val="22"/>
          <w:szCs w:val="22"/>
          <w:lang w:val="lt-LT" w:eastAsia="x-none"/>
        </w:rPr>
        <w:t>6.3</w:t>
      </w:r>
      <w:r w:rsidRPr="005A3594">
        <w:rPr>
          <w:rFonts w:eastAsia="Times New Roman"/>
          <w:b/>
          <w:bCs/>
          <w:snapToGrid w:val="0"/>
          <w:sz w:val="22"/>
          <w:szCs w:val="22"/>
          <w:lang w:val="lt-LT" w:eastAsia="x-none"/>
        </w:rPr>
        <w:tab/>
        <w:t>Tinkamumo laikas</w:t>
      </w:r>
    </w:p>
    <w:p w14:paraId="38C20683" w14:textId="77777777" w:rsidR="00E93353" w:rsidRPr="005A3594" w:rsidRDefault="00E93353" w:rsidP="008C6014">
      <w:pPr>
        <w:rPr>
          <w:rFonts w:eastAsia="Times New Roman"/>
          <w:snapToGrid w:val="0"/>
          <w:sz w:val="22"/>
          <w:szCs w:val="22"/>
          <w:lang w:val="lt-LT"/>
        </w:rPr>
      </w:pPr>
    </w:p>
    <w:p w14:paraId="0680A8D5" w14:textId="77777777" w:rsidR="00C05173" w:rsidRPr="00AE5BD5" w:rsidRDefault="00C05173" w:rsidP="008C6014">
      <w:pPr>
        <w:rPr>
          <w:sz w:val="22"/>
          <w:szCs w:val="22"/>
          <w:lang w:val="lt-LT"/>
        </w:rPr>
      </w:pPr>
      <w:r w:rsidRPr="00AE5BD5">
        <w:rPr>
          <w:sz w:val="22"/>
          <w:szCs w:val="22"/>
          <w:lang w:val="lt-LT"/>
        </w:rPr>
        <w:t>5 metai.</w:t>
      </w:r>
    </w:p>
    <w:p w14:paraId="10D9B3AC" w14:textId="77777777" w:rsidR="00E93353" w:rsidRPr="005A3594" w:rsidRDefault="00E93353" w:rsidP="008C6014">
      <w:pPr>
        <w:rPr>
          <w:rFonts w:eastAsia="Times New Roman"/>
          <w:snapToGrid w:val="0"/>
          <w:sz w:val="22"/>
          <w:szCs w:val="22"/>
          <w:lang w:val="lt-LT"/>
        </w:rPr>
      </w:pPr>
    </w:p>
    <w:p w14:paraId="0ACE7B1F" w14:textId="77777777" w:rsidR="00E93353" w:rsidRPr="005A3594" w:rsidRDefault="00E93353" w:rsidP="008C6014">
      <w:pPr>
        <w:rPr>
          <w:rFonts w:eastAsia="Times New Roman"/>
          <w:b/>
          <w:bCs/>
          <w:snapToGrid w:val="0"/>
          <w:sz w:val="22"/>
          <w:szCs w:val="22"/>
          <w:lang w:val="lt-LT" w:eastAsia="x-none"/>
        </w:rPr>
      </w:pPr>
      <w:r w:rsidRPr="005A3594">
        <w:rPr>
          <w:b/>
          <w:bCs/>
          <w:snapToGrid w:val="0"/>
          <w:sz w:val="22"/>
          <w:szCs w:val="22"/>
          <w:lang w:val="lt-LT" w:eastAsia="x-none"/>
        </w:rPr>
        <w:t>6.4</w:t>
      </w:r>
      <w:r w:rsidRPr="005A3594">
        <w:rPr>
          <w:b/>
          <w:bCs/>
          <w:snapToGrid w:val="0"/>
          <w:sz w:val="22"/>
          <w:szCs w:val="22"/>
          <w:lang w:val="lt-LT" w:eastAsia="x-none"/>
        </w:rPr>
        <w:tab/>
        <w:t>Specialios laikymo sąlygos</w:t>
      </w:r>
    </w:p>
    <w:p w14:paraId="2E55F921" w14:textId="77777777" w:rsidR="00E93353" w:rsidRPr="005A3594" w:rsidRDefault="00E93353" w:rsidP="008C6014">
      <w:pPr>
        <w:rPr>
          <w:rFonts w:eastAsia="Times New Roman"/>
          <w:snapToGrid w:val="0"/>
          <w:sz w:val="22"/>
          <w:szCs w:val="22"/>
          <w:lang w:val="lt-LT"/>
        </w:rPr>
      </w:pPr>
    </w:p>
    <w:p w14:paraId="3343288D" w14:textId="77777777" w:rsidR="00C05173" w:rsidRPr="00AE5BD5" w:rsidRDefault="00B97C72" w:rsidP="008C6014">
      <w:pPr>
        <w:rPr>
          <w:sz w:val="22"/>
          <w:szCs w:val="22"/>
          <w:lang w:val="lt-LT"/>
        </w:rPr>
      </w:pPr>
      <w:r w:rsidRPr="00AE5BD5">
        <w:rPr>
          <w:sz w:val="22"/>
          <w:szCs w:val="22"/>
          <w:lang w:val="lt-LT"/>
        </w:rPr>
        <w:t>Šiam vaistiniam preparatui specialių laikymo s</w:t>
      </w:r>
      <w:r w:rsidRPr="005A3594">
        <w:rPr>
          <w:sz w:val="22"/>
          <w:szCs w:val="22"/>
          <w:lang w:val="lt-LT"/>
        </w:rPr>
        <w:t>ąlygų n</w:t>
      </w:r>
      <w:r w:rsidR="00AE5BD5">
        <w:rPr>
          <w:sz w:val="22"/>
          <w:szCs w:val="22"/>
          <w:lang w:val="lt-LT"/>
        </w:rPr>
        <w:t>ereikia</w:t>
      </w:r>
      <w:r w:rsidRPr="005A3594">
        <w:rPr>
          <w:sz w:val="22"/>
          <w:szCs w:val="22"/>
          <w:lang w:val="lt-LT"/>
        </w:rPr>
        <w:t>.</w:t>
      </w:r>
    </w:p>
    <w:p w14:paraId="32778097" w14:textId="77777777" w:rsidR="00E93353" w:rsidRPr="005A3594" w:rsidRDefault="00E93353" w:rsidP="008C6014">
      <w:pPr>
        <w:rPr>
          <w:rFonts w:eastAsia="Times New Roman"/>
          <w:snapToGrid w:val="0"/>
          <w:sz w:val="22"/>
          <w:szCs w:val="22"/>
          <w:lang w:val="lt-LT"/>
        </w:rPr>
      </w:pPr>
      <w:bookmarkStart w:id="2" w:name="_Hlk535708636"/>
    </w:p>
    <w:p w14:paraId="2D8CF2C1" w14:textId="77777777" w:rsidR="00E93353" w:rsidRPr="005A3594" w:rsidRDefault="00E93353" w:rsidP="008C6014">
      <w:pPr>
        <w:rPr>
          <w:rFonts w:eastAsia="Times New Roman"/>
          <w:b/>
          <w:bCs/>
          <w:snapToGrid w:val="0"/>
          <w:sz w:val="22"/>
          <w:szCs w:val="22"/>
          <w:lang w:val="lt-LT" w:eastAsia="x-none"/>
        </w:rPr>
      </w:pPr>
      <w:r w:rsidRPr="005A3594">
        <w:rPr>
          <w:b/>
          <w:bCs/>
          <w:snapToGrid w:val="0"/>
          <w:sz w:val="22"/>
          <w:szCs w:val="22"/>
          <w:lang w:val="lt-LT" w:eastAsia="x-none"/>
        </w:rPr>
        <w:t>6.5</w:t>
      </w:r>
      <w:r w:rsidRPr="005A3594">
        <w:rPr>
          <w:b/>
          <w:bCs/>
          <w:snapToGrid w:val="0"/>
          <w:sz w:val="22"/>
          <w:szCs w:val="22"/>
          <w:lang w:val="lt-LT" w:eastAsia="x-none"/>
        </w:rPr>
        <w:tab/>
        <w:t>Talpyklės pobūdis ir jos turinys</w:t>
      </w:r>
    </w:p>
    <w:p w14:paraId="13499E0C" w14:textId="77777777" w:rsidR="00E93353" w:rsidRPr="005A3594" w:rsidRDefault="00E93353" w:rsidP="008C6014">
      <w:pPr>
        <w:rPr>
          <w:rFonts w:eastAsia="Times New Roman"/>
          <w:snapToGrid w:val="0"/>
          <w:sz w:val="22"/>
          <w:szCs w:val="22"/>
          <w:lang w:val="lt-LT"/>
        </w:rPr>
      </w:pPr>
    </w:p>
    <w:p w14:paraId="0A40F43A" w14:textId="77777777" w:rsidR="00A03602" w:rsidRDefault="00C05173" w:rsidP="008C6014">
      <w:pPr>
        <w:rPr>
          <w:sz w:val="22"/>
          <w:szCs w:val="22"/>
          <w:lang w:val="lt-LT"/>
        </w:rPr>
      </w:pPr>
      <w:bookmarkStart w:id="3" w:name="_Hlk183991"/>
      <w:r w:rsidRPr="00AE5BD5">
        <w:rPr>
          <w:sz w:val="22"/>
          <w:szCs w:val="22"/>
          <w:lang w:val="lt-LT"/>
        </w:rPr>
        <w:t>90 tablečių PVC/aliuminio lizdinėse plokštelėse</w:t>
      </w:r>
      <w:r w:rsidR="005B4EA4" w:rsidRPr="00AE5BD5">
        <w:rPr>
          <w:sz w:val="22"/>
          <w:szCs w:val="22"/>
          <w:lang w:val="lt-LT"/>
        </w:rPr>
        <w:t>.</w:t>
      </w:r>
      <w:r w:rsidR="00FF3244" w:rsidRPr="00AE5BD5">
        <w:rPr>
          <w:sz w:val="22"/>
          <w:szCs w:val="22"/>
          <w:lang w:val="lt-LT"/>
        </w:rPr>
        <w:t xml:space="preserve"> </w:t>
      </w:r>
    </w:p>
    <w:p w14:paraId="78E5FB95" w14:textId="77777777" w:rsidR="00C05173" w:rsidRPr="00AE5BD5" w:rsidRDefault="00C05173" w:rsidP="008C6014">
      <w:pPr>
        <w:rPr>
          <w:sz w:val="22"/>
          <w:szCs w:val="22"/>
          <w:lang w:val="lt-LT"/>
        </w:rPr>
      </w:pPr>
      <w:r w:rsidRPr="00AE5BD5">
        <w:rPr>
          <w:sz w:val="22"/>
          <w:szCs w:val="22"/>
          <w:lang w:val="lt-LT"/>
        </w:rPr>
        <w:t>Pakuotės dydis: 90 tablečių kartono dėžutėje.</w:t>
      </w:r>
    </w:p>
    <w:bookmarkEnd w:id="2"/>
    <w:p w14:paraId="29F16AE8" w14:textId="77777777" w:rsidR="00C05173" w:rsidRPr="00AE5BD5" w:rsidRDefault="00C05173" w:rsidP="008C6014">
      <w:pPr>
        <w:rPr>
          <w:sz w:val="22"/>
          <w:szCs w:val="22"/>
          <w:lang w:val="lt-LT"/>
        </w:rPr>
      </w:pPr>
    </w:p>
    <w:p w14:paraId="2D9F0FCA" w14:textId="77777777" w:rsidR="005B1910" w:rsidRPr="00AE5BD5" w:rsidRDefault="005B1910" w:rsidP="008C6014">
      <w:pPr>
        <w:rPr>
          <w:sz w:val="22"/>
          <w:szCs w:val="22"/>
          <w:lang w:val="lt-LT"/>
        </w:rPr>
      </w:pPr>
      <w:r w:rsidRPr="00AE5BD5">
        <w:rPr>
          <w:sz w:val="22"/>
          <w:szCs w:val="22"/>
          <w:lang w:val="lt-LT"/>
        </w:rPr>
        <w:t>50 plėvele dengtų tablečių PVC/aliuminio lizdinėse plokštelėse. Pakuotės dydis: 50 tablečių kartono dėžutėje.</w:t>
      </w:r>
    </w:p>
    <w:p w14:paraId="4A2D7320" w14:textId="77777777" w:rsidR="005B1910" w:rsidRPr="00AE5BD5" w:rsidRDefault="005B1910" w:rsidP="008C6014">
      <w:pPr>
        <w:rPr>
          <w:sz w:val="22"/>
          <w:szCs w:val="22"/>
          <w:lang w:val="lt-LT"/>
        </w:rPr>
      </w:pPr>
    </w:p>
    <w:p w14:paraId="4CA67C0C" w14:textId="77777777" w:rsidR="00C05173" w:rsidRPr="00AE5BD5" w:rsidRDefault="005B1910" w:rsidP="008C6014">
      <w:pPr>
        <w:rPr>
          <w:sz w:val="22"/>
          <w:szCs w:val="22"/>
          <w:lang w:val="lt-LT"/>
        </w:rPr>
      </w:pPr>
      <w:r w:rsidRPr="00AE5BD5">
        <w:rPr>
          <w:sz w:val="22"/>
          <w:szCs w:val="22"/>
          <w:lang w:val="lt-LT"/>
        </w:rPr>
        <w:t xml:space="preserve">6 </w:t>
      </w:r>
      <w:r w:rsidR="005B4EA4" w:rsidRPr="00AE5BD5">
        <w:rPr>
          <w:sz w:val="22"/>
          <w:szCs w:val="22"/>
          <w:lang w:val="lt-LT"/>
        </w:rPr>
        <w:t>dėžutės po 50 table</w:t>
      </w:r>
      <w:r w:rsidR="005B4EA4" w:rsidRPr="005A3594">
        <w:rPr>
          <w:sz w:val="22"/>
          <w:szCs w:val="22"/>
          <w:lang w:val="lt-LT"/>
        </w:rPr>
        <w:t>čių supakuotos į paketą</w:t>
      </w:r>
      <w:r w:rsidR="005B4EA4" w:rsidRPr="00AE5BD5">
        <w:rPr>
          <w:sz w:val="22"/>
          <w:szCs w:val="22"/>
          <w:lang w:val="lt-LT"/>
        </w:rPr>
        <w:t xml:space="preserve"> (300 tablečių)</w:t>
      </w:r>
    </w:p>
    <w:bookmarkEnd w:id="3"/>
    <w:p w14:paraId="29F1C801" w14:textId="77777777" w:rsidR="00C05173" w:rsidRPr="00AE5BD5" w:rsidRDefault="00C05173" w:rsidP="008C6014">
      <w:pPr>
        <w:rPr>
          <w:sz w:val="22"/>
          <w:szCs w:val="22"/>
          <w:lang w:val="lt-LT"/>
        </w:rPr>
      </w:pPr>
    </w:p>
    <w:p w14:paraId="3B929A91" w14:textId="77777777" w:rsidR="00C05173" w:rsidRPr="00AE5BD5" w:rsidRDefault="00C05173" w:rsidP="008C6014">
      <w:pPr>
        <w:rPr>
          <w:sz w:val="22"/>
          <w:szCs w:val="22"/>
          <w:lang w:val="lt-LT"/>
        </w:rPr>
      </w:pPr>
      <w:r w:rsidRPr="00AE5BD5">
        <w:rPr>
          <w:sz w:val="22"/>
          <w:szCs w:val="22"/>
          <w:lang w:val="lt-LT"/>
        </w:rPr>
        <w:t>Gali būti tiekiamos ne visų dydžių pakuotės.</w:t>
      </w:r>
    </w:p>
    <w:p w14:paraId="02407C1B" w14:textId="77777777" w:rsidR="00E93353" w:rsidRPr="00AE5BD5" w:rsidRDefault="00E93353" w:rsidP="008C6014">
      <w:pPr>
        <w:rPr>
          <w:sz w:val="22"/>
          <w:szCs w:val="22"/>
          <w:lang w:val="lt-LT"/>
        </w:rPr>
      </w:pPr>
    </w:p>
    <w:p w14:paraId="7EE5B999" w14:textId="77777777" w:rsidR="00E93353" w:rsidRPr="005A3594" w:rsidRDefault="00E93353" w:rsidP="008C6014">
      <w:pPr>
        <w:rPr>
          <w:rFonts w:eastAsia="Times New Roman"/>
          <w:b/>
          <w:bCs/>
          <w:snapToGrid w:val="0"/>
          <w:sz w:val="22"/>
          <w:szCs w:val="22"/>
          <w:lang w:val="lt-LT" w:eastAsia="x-none"/>
        </w:rPr>
      </w:pPr>
      <w:bookmarkStart w:id="4" w:name="OLE_LINK1"/>
      <w:r w:rsidRPr="005A3594">
        <w:rPr>
          <w:b/>
          <w:bCs/>
          <w:snapToGrid w:val="0"/>
          <w:sz w:val="22"/>
          <w:szCs w:val="22"/>
          <w:lang w:val="lt-LT" w:eastAsia="x-none"/>
        </w:rPr>
        <w:t>6.6</w:t>
      </w:r>
      <w:r w:rsidRPr="005A3594">
        <w:rPr>
          <w:b/>
          <w:bCs/>
          <w:snapToGrid w:val="0"/>
          <w:sz w:val="22"/>
          <w:szCs w:val="22"/>
          <w:lang w:val="lt-LT" w:eastAsia="x-none"/>
        </w:rPr>
        <w:tab/>
        <w:t>Specialūs reikalavimai atliekoms tvarkyti ir vaistiniam preparatui ruošti</w:t>
      </w:r>
    </w:p>
    <w:bookmarkEnd w:id="4"/>
    <w:p w14:paraId="4E0E1FB7" w14:textId="77777777" w:rsidR="00E93353" w:rsidRPr="005A3594" w:rsidRDefault="00E93353" w:rsidP="008C6014">
      <w:pPr>
        <w:rPr>
          <w:rFonts w:eastAsia="Times New Roman"/>
          <w:snapToGrid w:val="0"/>
          <w:sz w:val="22"/>
          <w:szCs w:val="22"/>
          <w:lang w:val="lt-LT"/>
        </w:rPr>
      </w:pPr>
    </w:p>
    <w:p w14:paraId="0EE38713" w14:textId="77777777" w:rsidR="00C05173" w:rsidRPr="00AE5BD5" w:rsidRDefault="00C05173" w:rsidP="008C6014">
      <w:pPr>
        <w:rPr>
          <w:sz w:val="22"/>
          <w:szCs w:val="22"/>
          <w:lang w:val="lt-LT"/>
        </w:rPr>
      </w:pPr>
      <w:r w:rsidRPr="00AE5BD5">
        <w:rPr>
          <w:sz w:val="22"/>
          <w:szCs w:val="22"/>
          <w:lang w:val="lt-LT"/>
        </w:rPr>
        <w:t>Specialių reikalavimų atliekoms tvarkyti nėra.</w:t>
      </w:r>
    </w:p>
    <w:p w14:paraId="49C1A457" w14:textId="77777777" w:rsidR="00C05173" w:rsidRPr="00AE5BD5" w:rsidRDefault="00C05173" w:rsidP="008C6014">
      <w:pPr>
        <w:rPr>
          <w:sz w:val="22"/>
          <w:szCs w:val="22"/>
          <w:lang w:val="lt-LT"/>
        </w:rPr>
      </w:pPr>
    </w:p>
    <w:p w14:paraId="24CA7F8A" w14:textId="77777777" w:rsidR="00E93353" w:rsidRPr="005A3594" w:rsidRDefault="00E93353" w:rsidP="008C6014">
      <w:pPr>
        <w:rPr>
          <w:rFonts w:eastAsia="Times New Roman"/>
          <w:snapToGrid w:val="0"/>
          <w:sz w:val="22"/>
          <w:szCs w:val="22"/>
          <w:lang w:val="lt-LT"/>
        </w:rPr>
      </w:pPr>
    </w:p>
    <w:p w14:paraId="078B941F" w14:textId="77777777" w:rsidR="00E93353" w:rsidRPr="005A3594" w:rsidRDefault="00E93353" w:rsidP="008C6014">
      <w:pPr>
        <w:rPr>
          <w:rFonts w:eastAsia="Times New Roman"/>
          <w:b/>
          <w:bCs/>
          <w:snapToGrid w:val="0"/>
          <w:sz w:val="22"/>
          <w:szCs w:val="22"/>
          <w:lang w:val="lt-LT" w:eastAsia="x-none"/>
        </w:rPr>
      </w:pPr>
      <w:r w:rsidRPr="005A3594">
        <w:rPr>
          <w:rFonts w:eastAsia="Times New Roman"/>
          <w:b/>
          <w:bCs/>
          <w:snapToGrid w:val="0"/>
          <w:sz w:val="22"/>
          <w:szCs w:val="22"/>
          <w:lang w:val="lt-LT" w:eastAsia="x-none"/>
        </w:rPr>
        <w:t>7.</w:t>
      </w:r>
      <w:r w:rsidRPr="005A3594">
        <w:rPr>
          <w:rFonts w:eastAsia="Times New Roman"/>
          <w:b/>
          <w:bCs/>
          <w:snapToGrid w:val="0"/>
          <w:sz w:val="22"/>
          <w:szCs w:val="22"/>
          <w:lang w:val="lt-LT" w:eastAsia="x-none"/>
        </w:rPr>
        <w:tab/>
        <w:t>REGISTRUOTOJAS</w:t>
      </w:r>
    </w:p>
    <w:p w14:paraId="10BE2B94" w14:textId="77777777" w:rsidR="00E93353" w:rsidRPr="005A3594" w:rsidRDefault="00E93353" w:rsidP="008C6014">
      <w:pPr>
        <w:rPr>
          <w:rFonts w:eastAsia="Times New Roman"/>
          <w:snapToGrid w:val="0"/>
          <w:sz w:val="22"/>
          <w:szCs w:val="22"/>
          <w:lang w:val="lt-LT"/>
        </w:rPr>
      </w:pPr>
    </w:p>
    <w:p w14:paraId="6A9A76B9" w14:textId="77777777" w:rsidR="00B97C72" w:rsidRPr="00AE5BD5" w:rsidRDefault="00B97C72" w:rsidP="008C6014">
      <w:pPr>
        <w:rPr>
          <w:sz w:val="22"/>
          <w:szCs w:val="22"/>
          <w:lang w:val="lt-LT"/>
        </w:rPr>
      </w:pPr>
      <w:r w:rsidRPr="00AE5BD5">
        <w:rPr>
          <w:sz w:val="22"/>
          <w:szCs w:val="22"/>
          <w:lang w:val="lt-LT"/>
        </w:rPr>
        <w:lastRenderedPageBreak/>
        <w:t>UAB Norameda</w:t>
      </w:r>
    </w:p>
    <w:p w14:paraId="42C98C9F" w14:textId="77777777" w:rsidR="00AE5BD5" w:rsidRDefault="00B97C72" w:rsidP="008C6014">
      <w:pPr>
        <w:rPr>
          <w:sz w:val="22"/>
          <w:szCs w:val="22"/>
          <w:lang w:val="lt-LT"/>
        </w:rPr>
      </w:pPr>
      <w:r w:rsidRPr="00AE5BD5">
        <w:rPr>
          <w:sz w:val="22"/>
          <w:szCs w:val="22"/>
          <w:lang w:val="lt-LT"/>
        </w:rPr>
        <w:t>Meistrų 8a</w:t>
      </w:r>
    </w:p>
    <w:p w14:paraId="49247B70" w14:textId="77777777" w:rsidR="00B97C72" w:rsidRPr="00AE5BD5" w:rsidRDefault="00B97C72" w:rsidP="008C6014">
      <w:pPr>
        <w:rPr>
          <w:sz w:val="22"/>
          <w:szCs w:val="22"/>
          <w:lang w:val="lt-LT"/>
        </w:rPr>
      </w:pPr>
      <w:r w:rsidRPr="00AE5BD5">
        <w:rPr>
          <w:sz w:val="22"/>
          <w:szCs w:val="22"/>
          <w:lang w:val="lt-LT"/>
        </w:rPr>
        <w:t>LT-02189</w:t>
      </w:r>
      <w:r w:rsidR="00AE5BD5">
        <w:rPr>
          <w:sz w:val="22"/>
          <w:szCs w:val="22"/>
          <w:lang w:val="lt-LT"/>
        </w:rPr>
        <w:t>, Vilnius</w:t>
      </w:r>
    </w:p>
    <w:p w14:paraId="17A06310" w14:textId="77777777" w:rsidR="00C05173" w:rsidRPr="00AE5BD5" w:rsidRDefault="00B97C72" w:rsidP="008C6014">
      <w:pPr>
        <w:rPr>
          <w:sz w:val="22"/>
          <w:szCs w:val="22"/>
          <w:lang w:val="lt-LT"/>
        </w:rPr>
      </w:pPr>
      <w:r w:rsidRPr="00AE5BD5">
        <w:rPr>
          <w:sz w:val="22"/>
          <w:szCs w:val="22"/>
          <w:lang w:val="lt-LT"/>
        </w:rPr>
        <w:t>Lietuva</w:t>
      </w:r>
    </w:p>
    <w:p w14:paraId="7F051B73" w14:textId="77777777" w:rsidR="00C05173" w:rsidRPr="00AE5BD5" w:rsidRDefault="00C05173" w:rsidP="008C6014">
      <w:pPr>
        <w:rPr>
          <w:sz w:val="22"/>
          <w:szCs w:val="22"/>
          <w:lang w:val="lt-LT"/>
        </w:rPr>
      </w:pPr>
    </w:p>
    <w:p w14:paraId="01FB054A" w14:textId="77777777" w:rsidR="00E93353" w:rsidRPr="005A3594" w:rsidRDefault="00E93353" w:rsidP="008C6014">
      <w:pPr>
        <w:rPr>
          <w:rFonts w:eastAsia="Times New Roman"/>
          <w:snapToGrid w:val="0"/>
          <w:sz w:val="22"/>
          <w:szCs w:val="22"/>
          <w:lang w:val="lt-LT"/>
        </w:rPr>
      </w:pPr>
    </w:p>
    <w:p w14:paraId="16069AC3" w14:textId="77777777" w:rsidR="00E93353" w:rsidRDefault="00E93353" w:rsidP="008C6014">
      <w:pPr>
        <w:rPr>
          <w:rFonts w:eastAsia="Times New Roman"/>
          <w:b/>
          <w:bCs/>
          <w:snapToGrid w:val="0"/>
          <w:sz w:val="22"/>
          <w:szCs w:val="22"/>
          <w:lang w:val="lt-LT" w:eastAsia="x-none"/>
        </w:rPr>
      </w:pPr>
      <w:r w:rsidRPr="005A3594">
        <w:rPr>
          <w:rFonts w:eastAsia="Times New Roman"/>
          <w:b/>
          <w:bCs/>
          <w:snapToGrid w:val="0"/>
          <w:sz w:val="22"/>
          <w:szCs w:val="22"/>
          <w:lang w:val="lt-LT" w:eastAsia="x-none"/>
        </w:rPr>
        <w:t>8.</w:t>
      </w:r>
      <w:r w:rsidRPr="005A3594">
        <w:rPr>
          <w:rFonts w:eastAsia="Times New Roman"/>
          <w:b/>
          <w:bCs/>
          <w:snapToGrid w:val="0"/>
          <w:sz w:val="22"/>
          <w:szCs w:val="22"/>
          <w:lang w:val="lt-LT" w:eastAsia="x-none"/>
        </w:rPr>
        <w:tab/>
        <w:t xml:space="preserve">REGISTRACIJOS </w:t>
      </w:r>
      <w:r w:rsidRPr="005A3594">
        <w:rPr>
          <w:b/>
          <w:bCs/>
          <w:noProof/>
          <w:snapToGrid w:val="0"/>
          <w:sz w:val="22"/>
          <w:szCs w:val="22"/>
          <w:lang w:val="lt-LT" w:eastAsia="x-none"/>
        </w:rPr>
        <w:t>PAŽYMĖJIMO</w:t>
      </w:r>
      <w:r w:rsidRPr="005A3594">
        <w:rPr>
          <w:rFonts w:eastAsia="Times New Roman"/>
          <w:b/>
          <w:bCs/>
          <w:snapToGrid w:val="0"/>
          <w:sz w:val="22"/>
          <w:szCs w:val="22"/>
          <w:lang w:val="lt-LT" w:eastAsia="x-none"/>
        </w:rPr>
        <w:t xml:space="preserve"> NUMERIS (-IAI) </w:t>
      </w:r>
    </w:p>
    <w:p w14:paraId="166BEB22" w14:textId="77777777" w:rsidR="008B1AE9" w:rsidRPr="005A3594" w:rsidRDefault="008B1AE9" w:rsidP="008C6014">
      <w:pPr>
        <w:rPr>
          <w:rFonts w:eastAsia="Times New Roman"/>
          <w:b/>
          <w:bCs/>
          <w:snapToGrid w:val="0"/>
          <w:sz w:val="22"/>
          <w:szCs w:val="22"/>
          <w:lang w:val="lt-LT" w:eastAsia="x-none"/>
        </w:rPr>
      </w:pPr>
    </w:p>
    <w:p w14:paraId="45283BFC" w14:textId="77777777" w:rsidR="002D4160" w:rsidRPr="00556F71" w:rsidRDefault="002D4160" w:rsidP="002D4160">
      <w:pPr>
        <w:rPr>
          <w:bCs/>
          <w:sz w:val="22"/>
          <w:szCs w:val="22"/>
          <w:lang w:val="lt-LT"/>
        </w:rPr>
      </w:pPr>
      <w:r>
        <w:rPr>
          <w:sz w:val="22"/>
          <w:szCs w:val="22"/>
          <w:lang w:val="lt-LT"/>
        </w:rPr>
        <w:t>LT/1/19/4358/001</w:t>
      </w:r>
      <w:r w:rsidRPr="003C1C77">
        <w:rPr>
          <w:bCs/>
          <w:sz w:val="22"/>
          <w:szCs w:val="22"/>
          <w:lang w:val="lt-LT"/>
        </w:rPr>
        <w:t xml:space="preserve"> – N</w:t>
      </w:r>
      <w:r>
        <w:rPr>
          <w:bCs/>
          <w:sz w:val="22"/>
          <w:szCs w:val="22"/>
          <w:lang w:val="lt-LT"/>
        </w:rPr>
        <w:t>50</w:t>
      </w:r>
    </w:p>
    <w:p w14:paraId="33921B13" w14:textId="77777777" w:rsidR="002D4160" w:rsidRPr="00556F71" w:rsidRDefault="002D4160" w:rsidP="002D4160">
      <w:pPr>
        <w:rPr>
          <w:bCs/>
          <w:sz w:val="22"/>
          <w:szCs w:val="22"/>
          <w:lang w:val="lt-LT"/>
        </w:rPr>
      </w:pPr>
      <w:r>
        <w:rPr>
          <w:sz w:val="22"/>
          <w:szCs w:val="22"/>
          <w:lang w:val="lt-LT"/>
        </w:rPr>
        <w:t>LT/1/19/4358/002</w:t>
      </w:r>
      <w:r w:rsidRPr="003C1C77">
        <w:rPr>
          <w:bCs/>
          <w:sz w:val="22"/>
          <w:szCs w:val="22"/>
          <w:lang w:val="lt-LT"/>
        </w:rPr>
        <w:t xml:space="preserve"> – N</w:t>
      </w:r>
      <w:r>
        <w:rPr>
          <w:bCs/>
          <w:sz w:val="22"/>
          <w:szCs w:val="22"/>
          <w:lang w:val="lt-LT"/>
        </w:rPr>
        <w:t>90</w:t>
      </w:r>
    </w:p>
    <w:p w14:paraId="07256A4B" w14:textId="50566400" w:rsidR="00E93353" w:rsidRDefault="002D4160" w:rsidP="002D4160">
      <w:pPr>
        <w:rPr>
          <w:bCs/>
          <w:sz w:val="22"/>
          <w:szCs w:val="22"/>
          <w:lang w:val="lt-LT"/>
        </w:rPr>
      </w:pPr>
      <w:r>
        <w:rPr>
          <w:sz w:val="22"/>
          <w:szCs w:val="22"/>
          <w:lang w:val="lt-LT"/>
        </w:rPr>
        <w:t>LT/1/19/4358/003</w:t>
      </w:r>
      <w:r w:rsidRPr="003C1C77">
        <w:rPr>
          <w:bCs/>
          <w:sz w:val="22"/>
          <w:szCs w:val="22"/>
          <w:lang w:val="lt-LT"/>
        </w:rPr>
        <w:t xml:space="preserve"> – N</w:t>
      </w:r>
      <w:r>
        <w:rPr>
          <w:bCs/>
          <w:sz w:val="22"/>
          <w:szCs w:val="22"/>
          <w:lang w:val="lt-LT"/>
        </w:rPr>
        <w:t>300 (</w:t>
      </w:r>
      <w:r w:rsidR="00B45546">
        <w:rPr>
          <w:bCs/>
          <w:sz w:val="22"/>
          <w:szCs w:val="22"/>
          <w:lang w:val="lt-LT"/>
        </w:rPr>
        <w:t>6×50</w:t>
      </w:r>
      <w:r>
        <w:rPr>
          <w:bCs/>
          <w:sz w:val="22"/>
          <w:szCs w:val="22"/>
          <w:lang w:val="lt-LT"/>
        </w:rPr>
        <w:t>)</w:t>
      </w:r>
    </w:p>
    <w:p w14:paraId="416B702D" w14:textId="77777777" w:rsidR="002D4160" w:rsidRPr="005A3594" w:rsidRDefault="002D4160" w:rsidP="002D4160">
      <w:pPr>
        <w:rPr>
          <w:rFonts w:eastAsia="Times New Roman"/>
          <w:snapToGrid w:val="0"/>
          <w:sz w:val="22"/>
          <w:szCs w:val="22"/>
          <w:lang w:val="lt-LT"/>
        </w:rPr>
      </w:pPr>
    </w:p>
    <w:p w14:paraId="51BB3946" w14:textId="77777777" w:rsidR="00E93353" w:rsidRPr="00AE5BD5" w:rsidRDefault="00E93353" w:rsidP="008C6014">
      <w:pPr>
        <w:rPr>
          <w:rFonts w:eastAsia="Times New Roman"/>
          <w:snapToGrid w:val="0"/>
          <w:sz w:val="22"/>
          <w:szCs w:val="22"/>
          <w:lang w:val="lt-LT"/>
        </w:rPr>
      </w:pPr>
    </w:p>
    <w:p w14:paraId="169124D9" w14:textId="77777777" w:rsidR="00E93353" w:rsidRPr="00AE5BD5" w:rsidRDefault="00E93353" w:rsidP="008C6014">
      <w:pPr>
        <w:rPr>
          <w:rFonts w:eastAsia="Times New Roman"/>
          <w:b/>
          <w:bCs/>
          <w:snapToGrid w:val="0"/>
          <w:sz w:val="22"/>
          <w:szCs w:val="22"/>
          <w:lang w:val="lt-LT" w:eastAsia="x-none"/>
        </w:rPr>
      </w:pPr>
      <w:r w:rsidRPr="00AE5BD5">
        <w:rPr>
          <w:rFonts w:eastAsia="Times New Roman"/>
          <w:b/>
          <w:bCs/>
          <w:snapToGrid w:val="0"/>
          <w:sz w:val="22"/>
          <w:szCs w:val="22"/>
          <w:lang w:val="lt-LT" w:eastAsia="x-none"/>
        </w:rPr>
        <w:t>9.</w:t>
      </w:r>
      <w:r w:rsidRPr="00AE5BD5">
        <w:rPr>
          <w:rFonts w:eastAsia="Times New Roman"/>
          <w:b/>
          <w:bCs/>
          <w:snapToGrid w:val="0"/>
          <w:sz w:val="22"/>
          <w:szCs w:val="22"/>
          <w:lang w:val="lt-LT" w:eastAsia="x-none"/>
        </w:rPr>
        <w:tab/>
        <w:t>REGISTRAVIMO / PERREGISTRAVIMO DATA</w:t>
      </w:r>
    </w:p>
    <w:p w14:paraId="593F5A51" w14:textId="77777777" w:rsidR="00E93353" w:rsidRDefault="00E93353" w:rsidP="008C6014">
      <w:pPr>
        <w:rPr>
          <w:rFonts w:eastAsia="Times New Roman"/>
          <w:snapToGrid w:val="0"/>
          <w:sz w:val="22"/>
          <w:szCs w:val="22"/>
          <w:lang w:val="lt-LT"/>
        </w:rPr>
      </w:pPr>
    </w:p>
    <w:p w14:paraId="6E78CC2F" w14:textId="77777777" w:rsidR="008B1AE9" w:rsidRPr="008248B1" w:rsidRDefault="008B1AE9" w:rsidP="008C6014">
      <w:pPr>
        <w:rPr>
          <w:noProof/>
          <w:sz w:val="22"/>
          <w:szCs w:val="22"/>
          <w:lang w:val="lt-LT"/>
        </w:rPr>
      </w:pPr>
      <w:r w:rsidRPr="008248B1">
        <w:rPr>
          <w:noProof/>
          <w:sz w:val="22"/>
          <w:szCs w:val="22"/>
          <w:lang w:val="lt-LT"/>
        </w:rPr>
        <w:t xml:space="preserve">Registravimo data </w:t>
      </w:r>
      <w:r w:rsidR="002D4160" w:rsidRPr="008248B1">
        <w:rPr>
          <w:noProof/>
          <w:sz w:val="22"/>
          <w:szCs w:val="22"/>
          <w:lang w:val="lt-LT"/>
        </w:rPr>
        <w:t>2019 m. kovo 25 d.</w:t>
      </w:r>
    </w:p>
    <w:p w14:paraId="151EF193" w14:textId="43BEAF95" w:rsidR="009F0D12" w:rsidRPr="008248B1" w:rsidRDefault="009F0D12" w:rsidP="009F0D12">
      <w:pPr>
        <w:rPr>
          <w:rFonts w:eastAsia="Times New Roman"/>
          <w:sz w:val="22"/>
          <w:szCs w:val="22"/>
        </w:rPr>
      </w:pPr>
      <w:r w:rsidRPr="008248B1">
        <w:rPr>
          <w:rFonts w:eastAsia="Times New Roman"/>
          <w:sz w:val="22"/>
          <w:szCs w:val="22"/>
        </w:rPr>
        <w:t>P</w:t>
      </w:r>
      <w:r w:rsidR="008248B1" w:rsidRPr="008248B1">
        <w:rPr>
          <w:rFonts w:eastAsia="Times New Roman"/>
          <w:sz w:val="22"/>
          <w:szCs w:val="22"/>
        </w:rPr>
        <w:t>askutinio p</w:t>
      </w:r>
      <w:r w:rsidRPr="008248B1">
        <w:rPr>
          <w:rFonts w:eastAsia="Times New Roman"/>
          <w:sz w:val="22"/>
          <w:szCs w:val="22"/>
        </w:rPr>
        <w:t>erregistravimo data</w:t>
      </w:r>
      <w:r w:rsidR="00B45546">
        <w:rPr>
          <w:rFonts w:eastAsia="Times New Roman"/>
          <w:sz w:val="22"/>
          <w:szCs w:val="22"/>
        </w:rPr>
        <w:t xml:space="preserve"> 2023 m. liepos 31 d.</w:t>
      </w:r>
    </w:p>
    <w:p w14:paraId="2B3E2375" w14:textId="77777777" w:rsidR="005E5846" w:rsidRPr="008248B1" w:rsidRDefault="005E5846" w:rsidP="008C6014">
      <w:pPr>
        <w:rPr>
          <w:rFonts w:eastAsia="Times New Roman"/>
          <w:snapToGrid w:val="0"/>
          <w:sz w:val="22"/>
          <w:szCs w:val="22"/>
          <w:lang w:val="lt-LT"/>
        </w:rPr>
      </w:pPr>
    </w:p>
    <w:p w14:paraId="09E30710" w14:textId="77777777" w:rsidR="00E93353" w:rsidRPr="008248B1" w:rsidRDefault="00E93353" w:rsidP="008C6014">
      <w:pPr>
        <w:rPr>
          <w:rFonts w:eastAsia="Times New Roman"/>
          <w:snapToGrid w:val="0"/>
          <w:sz w:val="22"/>
          <w:szCs w:val="22"/>
          <w:lang w:val="lt-LT"/>
        </w:rPr>
      </w:pPr>
    </w:p>
    <w:p w14:paraId="6592B632" w14:textId="79AECF98" w:rsidR="00E93353" w:rsidRDefault="00E93353" w:rsidP="008C6014">
      <w:pPr>
        <w:rPr>
          <w:b/>
          <w:bCs/>
          <w:snapToGrid w:val="0"/>
          <w:sz w:val="22"/>
          <w:szCs w:val="22"/>
          <w:lang w:val="lt-LT" w:eastAsia="x-none"/>
        </w:rPr>
      </w:pPr>
      <w:r w:rsidRPr="008248B1">
        <w:rPr>
          <w:b/>
          <w:bCs/>
          <w:snapToGrid w:val="0"/>
          <w:sz w:val="22"/>
          <w:szCs w:val="22"/>
          <w:lang w:val="lt-LT" w:eastAsia="x-none"/>
        </w:rPr>
        <w:t>10.</w:t>
      </w:r>
      <w:r w:rsidRPr="008248B1">
        <w:rPr>
          <w:b/>
          <w:bCs/>
          <w:snapToGrid w:val="0"/>
          <w:sz w:val="22"/>
          <w:szCs w:val="22"/>
          <w:lang w:val="lt-LT" w:eastAsia="x-none"/>
        </w:rPr>
        <w:tab/>
        <w:t>TEKSTO PERŽIŪROS DATA</w:t>
      </w:r>
    </w:p>
    <w:p w14:paraId="425F036A" w14:textId="6D94F9AD" w:rsidR="00B45546" w:rsidRDefault="00B45546" w:rsidP="008C6014">
      <w:pPr>
        <w:rPr>
          <w:b/>
          <w:bCs/>
          <w:snapToGrid w:val="0"/>
          <w:sz w:val="22"/>
          <w:szCs w:val="22"/>
          <w:lang w:val="lt-LT" w:eastAsia="x-none"/>
        </w:rPr>
      </w:pPr>
    </w:p>
    <w:p w14:paraId="073B54A4" w14:textId="1D47382E" w:rsidR="00B45546" w:rsidRPr="00B45546" w:rsidRDefault="00B45546" w:rsidP="008C6014">
      <w:pPr>
        <w:rPr>
          <w:bCs/>
          <w:snapToGrid w:val="0"/>
          <w:sz w:val="22"/>
          <w:szCs w:val="22"/>
          <w:lang w:val="lt-LT" w:eastAsia="x-none"/>
        </w:rPr>
      </w:pPr>
      <w:r w:rsidRPr="00B45546">
        <w:rPr>
          <w:bCs/>
          <w:snapToGrid w:val="0"/>
          <w:sz w:val="22"/>
          <w:szCs w:val="22"/>
          <w:lang w:val="lt-LT" w:eastAsia="x-none"/>
        </w:rPr>
        <w:t xml:space="preserve">2023 m. </w:t>
      </w:r>
      <w:r w:rsidR="00A343D2">
        <w:rPr>
          <w:bCs/>
          <w:snapToGrid w:val="0"/>
          <w:sz w:val="22"/>
          <w:szCs w:val="22"/>
          <w:lang w:val="lt-LT" w:eastAsia="x-none"/>
        </w:rPr>
        <w:t>rugsėjo 25</w:t>
      </w:r>
      <w:r w:rsidRPr="00B45546">
        <w:rPr>
          <w:bCs/>
          <w:snapToGrid w:val="0"/>
          <w:sz w:val="22"/>
          <w:szCs w:val="22"/>
          <w:lang w:val="lt-LT" w:eastAsia="x-none"/>
        </w:rPr>
        <w:t xml:space="preserve"> d.</w:t>
      </w:r>
    </w:p>
    <w:p w14:paraId="57A12181" w14:textId="77777777" w:rsidR="002D4160" w:rsidRPr="008248B1" w:rsidRDefault="002D4160" w:rsidP="008C6014">
      <w:pPr>
        <w:rPr>
          <w:rFonts w:eastAsia="Times New Roman"/>
          <w:snapToGrid w:val="0"/>
          <w:sz w:val="22"/>
          <w:szCs w:val="22"/>
          <w:lang w:val="lt-LT"/>
        </w:rPr>
      </w:pPr>
    </w:p>
    <w:p w14:paraId="5B8F464D" w14:textId="77777777" w:rsidR="00B97C72" w:rsidRPr="008248B1" w:rsidRDefault="00B97C72" w:rsidP="008C6014">
      <w:pPr>
        <w:rPr>
          <w:b/>
          <w:bCs/>
          <w:sz w:val="22"/>
          <w:szCs w:val="22"/>
          <w:lang w:val="lt-LT"/>
        </w:rPr>
      </w:pPr>
    </w:p>
    <w:p w14:paraId="2288DC27" w14:textId="77777777" w:rsidR="00C05173" w:rsidRPr="008248B1" w:rsidRDefault="00C05173" w:rsidP="008C6014">
      <w:pPr>
        <w:rPr>
          <w:sz w:val="22"/>
          <w:szCs w:val="22"/>
          <w:lang w:val="lt-LT"/>
        </w:rPr>
      </w:pPr>
      <w:r w:rsidRPr="008248B1">
        <w:rPr>
          <w:sz w:val="22"/>
          <w:szCs w:val="22"/>
          <w:lang w:val="lt-LT"/>
        </w:rPr>
        <w:t xml:space="preserve">Išsami informacija apie šį vaistinį </w:t>
      </w:r>
      <w:r w:rsidR="00B97C72" w:rsidRPr="008248B1">
        <w:rPr>
          <w:noProof/>
          <w:sz w:val="22"/>
          <w:szCs w:val="22"/>
          <w:lang w:val="lt-LT"/>
        </w:rPr>
        <w:t>preparatą pateikiama Valstybinės vaistų kontrolės tarnybos prie Lietuvos Respublikos sveikatos apsaugos ministerijos tinklalapyje</w:t>
      </w:r>
      <w:r w:rsidR="00B97C72" w:rsidRPr="008248B1">
        <w:rPr>
          <w:i/>
          <w:noProof/>
          <w:sz w:val="22"/>
          <w:szCs w:val="22"/>
          <w:lang w:val="lt-LT"/>
        </w:rPr>
        <w:t xml:space="preserve"> </w:t>
      </w:r>
      <w:hyperlink r:id="rId12" w:history="1">
        <w:r w:rsidR="00B97C72" w:rsidRPr="008248B1">
          <w:rPr>
            <w:rStyle w:val="Hipersaitas"/>
            <w:noProof/>
            <w:sz w:val="22"/>
            <w:szCs w:val="22"/>
            <w:lang w:val="lt-LT"/>
          </w:rPr>
          <w:t>http://www.</w:t>
        </w:r>
        <w:r w:rsidR="00B97C72" w:rsidRPr="008248B1">
          <w:rPr>
            <w:rStyle w:val="Hipersaitas"/>
            <w:sz w:val="22"/>
            <w:szCs w:val="22"/>
            <w:lang w:val="lt-LT"/>
          </w:rPr>
          <w:t>vvkt.lt</w:t>
        </w:r>
      </w:hyperlink>
    </w:p>
    <w:p w14:paraId="77729862" w14:textId="77777777" w:rsidR="00C05173" w:rsidRPr="00AE5BD5" w:rsidRDefault="00C05173" w:rsidP="008C6014">
      <w:pPr>
        <w:rPr>
          <w:sz w:val="22"/>
          <w:szCs w:val="22"/>
          <w:lang w:val="lt-LT"/>
        </w:rPr>
      </w:pPr>
    </w:p>
    <w:p w14:paraId="024CEE1A" w14:textId="77777777" w:rsidR="00C05173" w:rsidRPr="00AE5BD5" w:rsidRDefault="005E5846" w:rsidP="008C6014">
      <w:pPr>
        <w:rPr>
          <w:sz w:val="22"/>
          <w:szCs w:val="22"/>
          <w:lang w:val="lt-LT"/>
        </w:rPr>
      </w:pPr>
      <w:r>
        <w:rPr>
          <w:sz w:val="22"/>
          <w:szCs w:val="22"/>
          <w:lang w:val="lt-LT"/>
        </w:rPr>
        <w:br w:type="page"/>
      </w:r>
    </w:p>
    <w:p w14:paraId="5C5710B8" w14:textId="77777777" w:rsidR="00C05173" w:rsidRPr="00AE5BD5" w:rsidRDefault="00C05173" w:rsidP="008C6014">
      <w:pPr>
        <w:rPr>
          <w:sz w:val="22"/>
          <w:szCs w:val="22"/>
          <w:lang w:val="lt-LT"/>
        </w:rPr>
      </w:pPr>
    </w:p>
    <w:p w14:paraId="1329424F" w14:textId="77777777" w:rsidR="00C05173" w:rsidRPr="00AE5BD5" w:rsidRDefault="00C05173" w:rsidP="008C6014">
      <w:pPr>
        <w:rPr>
          <w:sz w:val="22"/>
          <w:szCs w:val="22"/>
          <w:lang w:val="lt-LT"/>
        </w:rPr>
      </w:pPr>
    </w:p>
    <w:p w14:paraId="30E1848D" w14:textId="77777777" w:rsidR="00C05173" w:rsidRPr="00AE5BD5" w:rsidRDefault="00C05173" w:rsidP="008C6014">
      <w:pPr>
        <w:rPr>
          <w:sz w:val="22"/>
          <w:szCs w:val="22"/>
          <w:lang w:val="lt-LT"/>
        </w:rPr>
      </w:pPr>
    </w:p>
    <w:p w14:paraId="56A6E35F" w14:textId="77777777" w:rsidR="00C05173" w:rsidRPr="00AE5BD5" w:rsidRDefault="00C05173" w:rsidP="008C6014">
      <w:pPr>
        <w:rPr>
          <w:sz w:val="22"/>
          <w:szCs w:val="22"/>
          <w:lang w:val="lt-LT"/>
        </w:rPr>
      </w:pPr>
    </w:p>
    <w:p w14:paraId="5B6D9EA8" w14:textId="77777777" w:rsidR="00C05173" w:rsidRPr="00AE5BD5" w:rsidRDefault="00C05173" w:rsidP="008C6014">
      <w:pPr>
        <w:rPr>
          <w:sz w:val="22"/>
          <w:szCs w:val="22"/>
          <w:lang w:val="lt-LT"/>
        </w:rPr>
      </w:pPr>
    </w:p>
    <w:p w14:paraId="176C897F" w14:textId="77777777" w:rsidR="00C05173" w:rsidRPr="00AE5BD5" w:rsidRDefault="00C05173" w:rsidP="008C6014">
      <w:pPr>
        <w:rPr>
          <w:sz w:val="22"/>
          <w:szCs w:val="22"/>
          <w:lang w:val="lt-LT"/>
        </w:rPr>
      </w:pPr>
    </w:p>
    <w:p w14:paraId="39E38748" w14:textId="77777777" w:rsidR="00C05173" w:rsidRPr="00AE5BD5" w:rsidRDefault="00C05173" w:rsidP="008C6014">
      <w:pPr>
        <w:rPr>
          <w:sz w:val="22"/>
          <w:szCs w:val="22"/>
          <w:lang w:val="lt-LT"/>
        </w:rPr>
      </w:pPr>
    </w:p>
    <w:p w14:paraId="68C9AD32" w14:textId="77777777" w:rsidR="00C05173" w:rsidRPr="00AE5BD5" w:rsidRDefault="00C05173" w:rsidP="008C6014">
      <w:pPr>
        <w:rPr>
          <w:sz w:val="22"/>
          <w:szCs w:val="22"/>
          <w:lang w:val="lt-LT"/>
        </w:rPr>
      </w:pPr>
    </w:p>
    <w:p w14:paraId="1C06416A" w14:textId="77777777" w:rsidR="00C05173" w:rsidRPr="00AE5BD5" w:rsidRDefault="00C05173" w:rsidP="008C6014">
      <w:pPr>
        <w:rPr>
          <w:sz w:val="22"/>
          <w:szCs w:val="22"/>
          <w:lang w:val="lt-LT"/>
        </w:rPr>
      </w:pPr>
    </w:p>
    <w:p w14:paraId="370848B7" w14:textId="77777777" w:rsidR="00C05173" w:rsidRPr="00AE5BD5" w:rsidRDefault="00C05173" w:rsidP="008C6014">
      <w:pPr>
        <w:rPr>
          <w:sz w:val="22"/>
          <w:szCs w:val="22"/>
          <w:lang w:val="lt-LT"/>
        </w:rPr>
      </w:pPr>
    </w:p>
    <w:p w14:paraId="53DA59B7" w14:textId="77777777" w:rsidR="00C05173" w:rsidRPr="00AE5BD5" w:rsidRDefault="00C05173" w:rsidP="008C6014">
      <w:pPr>
        <w:rPr>
          <w:sz w:val="22"/>
          <w:szCs w:val="22"/>
          <w:lang w:val="lt-LT"/>
        </w:rPr>
      </w:pPr>
    </w:p>
    <w:p w14:paraId="7AB09506" w14:textId="77777777" w:rsidR="00C05173" w:rsidRPr="00AE5BD5" w:rsidRDefault="00C05173" w:rsidP="008C6014">
      <w:pPr>
        <w:rPr>
          <w:sz w:val="22"/>
          <w:szCs w:val="22"/>
          <w:lang w:val="lt-LT"/>
        </w:rPr>
      </w:pPr>
    </w:p>
    <w:p w14:paraId="6351F553" w14:textId="77777777" w:rsidR="00C05173" w:rsidRPr="00AE5BD5" w:rsidRDefault="00C05173" w:rsidP="008C6014">
      <w:pPr>
        <w:rPr>
          <w:sz w:val="22"/>
          <w:szCs w:val="22"/>
          <w:lang w:val="lt-LT"/>
        </w:rPr>
      </w:pPr>
    </w:p>
    <w:p w14:paraId="5A3D4B97" w14:textId="77777777" w:rsidR="00C05173" w:rsidRPr="00AE5BD5" w:rsidRDefault="00C05173" w:rsidP="008C6014">
      <w:pPr>
        <w:rPr>
          <w:sz w:val="22"/>
          <w:szCs w:val="22"/>
          <w:lang w:val="lt-LT"/>
        </w:rPr>
      </w:pPr>
    </w:p>
    <w:p w14:paraId="7C89C2E8" w14:textId="77777777" w:rsidR="00C05173" w:rsidRPr="00AE5BD5" w:rsidRDefault="00C05173" w:rsidP="008C6014">
      <w:pPr>
        <w:rPr>
          <w:sz w:val="22"/>
          <w:szCs w:val="22"/>
          <w:lang w:val="lt-LT"/>
        </w:rPr>
      </w:pPr>
    </w:p>
    <w:p w14:paraId="4C07436E" w14:textId="77777777" w:rsidR="00FF3244" w:rsidRPr="005A3594" w:rsidRDefault="00FF3244" w:rsidP="00FF3244">
      <w:pPr>
        <w:widowControl/>
        <w:tabs>
          <w:tab w:val="left" w:pos="567"/>
        </w:tabs>
        <w:autoSpaceDE/>
        <w:autoSpaceDN/>
        <w:adjustRightInd/>
        <w:spacing w:line="260" w:lineRule="exact"/>
        <w:rPr>
          <w:rFonts w:eastAsia="Times New Roman"/>
          <w:noProof/>
          <w:snapToGrid w:val="0"/>
          <w:sz w:val="22"/>
          <w:lang w:val="lt-LT"/>
        </w:rPr>
      </w:pPr>
      <w:bookmarkStart w:id="5" w:name="A._GAMINTOJAS_(-AI),_ATSAKINGAS_(-I)_UŽ_"/>
      <w:bookmarkStart w:id="6" w:name="B._TIEKIMO_IR_VARTOJIMO_SĄLYGOS_AR_APRIB"/>
      <w:bookmarkStart w:id="7" w:name="C._KITOS_SĄLYGOS_IR_REIKALAVIMAI_REGISTR"/>
      <w:bookmarkStart w:id="8" w:name="D._SĄLYGOS_AR_APRIBOJIMAI,_SKIRTI_SAUGIA"/>
      <w:bookmarkEnd w:id="5"/>
      <w:bookmarkEnd w:id="6"/>
      <w:bookmarkEnd w:id="7"/>
      <w:bookmarkEnd w:id="8"/>
    </w:p>
    <w:p w14:paraId="4DB2A442" w14:textId="77777777" w:rsidR="00FF3244" w:rsidRPr="00AE5BD5" w:rsidRDefault="00FF3244" w:rsidP="00FF3244">
      <w:pPr>
        <w:widowControl/>
        <w:tabs>
          <w:tab w:val="left" w:pos="567"/>
        </w:tabs>
        <w:autoSpaceDE/>
        <w:autoSpaceDN/>
        <w:adjustRightInd/>
        <w:spacing w:line="260" w:lineRule="exact"/>
        <w:rPr>
          <w:rFonts w:eastAsia="Times New Roman"/>
          <w:noProof/>
          <w:snapToGrid w:val="0"/>
          <w:sz w:val="22"/>
          <w:lang w:val="lt-LT"/>
        </w:rPr>
      </w:pPr>
    </w:p>
    <w:p w14:paraId="595454E3" w14:textId="77777777" w:rsidR="00FF3244" w:rsidRPr="00042B32" w:rsidRDefault="00FF3244" w:rsidP="00FF3244">
      <w:pPr>
        <w:widowControl/>
        <w:tabs>
          <w:tab w:val="left" w:pos="567"/>
        </w:tabs>
        <w:autoSpaceDE/>
        <w:autoSpaceDN/>
        <w:adjustRightInd/>
        <w:spacing w:line="260" w:lineRule="exact"/>
        <w:rPr>
          <w:rFonts w:eastAsia="Times New Roman"/>
          <w:noProof/>
          <w:snapToGrid w:val="0"/>
          <w:sz w:val="22"/>
          <w:lang w:val="lt-LT"/>
        </w:rPr>
      </w:pPr>
    </w:p>
    <w:p w14:paraId="13496B4C" w14:textId="77777777" w:rsidR="00FF3244" w:rsidRPr="003E6E21" w:rsidRDefault="00FF3244" w:rsidP="00FF3244">
      <w:pPr>
        <w:widowControl/>
        <w:tabs>
          <w:tab w:val="left" w:pos="567"/>
        </w:tabs>
        <w:autoSpaceDE/>
        <w:autoSpaceDN/>
        <w:adjustRightInd/>
        <w:spacing w:line="260" w:lineRule="exact"/>
        <w:rPr>
          <w:rFonts w:eastAsia="Times New Roman"/>
          <w:noProof/>
          <w:snapToGrid w:val="0"/>
          <w:sz w:val="22"/>
          <w:lang w:val="lt-LT"/>
        </w:rPr>
      </w:pPr>
    </w:p>
    <w:p w14:paraId="02A60C7E" w14:textId="77777777" w:rsidR="005E5846" w:rsidRDefault="005E5846" w:rsidP="00FF3244">
      <w:pPr>
        <w:widowControl/>
        <w:tabs>
          <w:tab w:val="left" w:pos="567"/>
        </w:tabs>
        <w:autoSpaceDE/>
        <w:autoSpaceDN/>
        <w:adjustRightInd/>
        <w:spacing w:line="260" w:lineRule="exact"/>
        <w:jc w:val="center"/>
        <w:rPr>
          <w:rFonts w:eastAsia="Times New Roman"/>
          <w:b/>
          <w:snapToGrid w:val="0"/>
          <w:sz w:val="22"/>
          <w:szCs w:val="20"/>
          <w:lang w:val="lt-LT"/>
        </w:rPr>
      </w:pPr>
    </w:p>
    <w:p w14:paraId="3739F4FF" w14:textId="77777777" w:rsidR="005E5846" w:rsidRDefault="005E5846" w:rsidP="00FF3244">
      <w:pPr>
        <w:widowControl/>
        <w:tabs>
          <w:tab w:val="left" w:pos="567"/>
        </w:tabs>
        <w:autoSpaceDE/>
        <w:autoSpaceDN/>
        <w:adjustRightInd/>
        <w:spacing w:line="260" w:lineRule="exact"/>
        <w:jc w:val="center"/>
        <w:rPr>
          <w:rFonts w:eastAsia="Times New Roman"/>
          <w:b/>
          <w:snapToGrid w:val="0"/>
          <w:sz w:val="22"/>
          <w:szCs w:val="20"/>
          <w:lang w:val="lt-LT"/>
        </w:rPr>
      </w:pPr>
    </w:p>
    <w:p w14:paraId="4578AF75" w14:textId="77777777" w:rsidR="005E5846" w:rsidRDefault="005E5846" w:rsidP="00FF3244">
      <w:pPr>
        <w:widowControl/>
        <w:tabs>
          <w:tab w:val="left" w:pos="567"/>
        </w:tabs>
        <w:autoSpaceDE/>
        <w:autoSpaceDN/>
        <w:adjustRightInd/>
        <w:spacing w:line="260" w:lineRule="exact"/>
        <w:jc w:val="center"/>
        <w:rPr>
          <w:rFonts w:eastAsia="Times New Roman"/>
          <w:b/>
          <w:snapToGrid w:val="0"/>
          <w:sz w:val="22"/>
          <w:szCs w:val="20"/>
          <w:lang w:val="lt-LT"/>
        </w:rPr>
      </w:pPr>
    </w:p>
    <w:p w14:paraId="41EFFDA9" w14:textId="77777777" w:rsidR="00FF3244" w:rsidRPr="003E6E21" w:rsidRDefault="00FF3244" w:rsidP="00FF3244">
      <w:pPr>
        <w:widowControl/>
        <w:tabs>
          <w:tab w:val="left" w:pos="567"/>
        </w:tabs>
        <w:autoSpaceDE/>
        <w:autoSpaceDN/>
        <w:adjustRightInd/>
        <w:spacing w:line="260" w:lineRule="exact"/>
        <w:jc w:val="center"/>
        <w:rPr>
          <w:rFonts w:eastAsia="Times New Roman"/>
          <w:b/>
          <w:snapToGrid w:val="0"/>
          <w:sz w:val="22"/>
          <w:szCs w:val="20"/>
          <w:lang w:val="lt-LT"/>
        </w:rPr>
      </w:pPr>
      <w:r w:rsidRPr="003E6E21">
        <w:rPr>
          <w:rFonts w:eastAsia="Times New Roman"/>
          <w:b/>
          <w:snapToGrid w:val="0"/>
          <w:sz w:val="22"/>
          <w:szCs w:val="20"/>
          <w:lang w:val="lt-LT"/>
        </w:rPr>
        <w:t>II PRIEDAS</w:t>
      </w:r>
    </w:p>
    <w:p w14:paraId="2EE31449" w14:textId="77777777" w:rsidR="00FF3244" w:rsidRPr="003E6E21" w:rsidRDefault="00FF3244" w:rsidP="00FF3244">
      <w:pPr>
        <w:widowControl/>
        <w:tabs>
          <w:tab w:val="left" w:pos="567"/>
        </w:tabs>
        <w:autoSpaceDE/>
        <w:autoSpaceDN/>
        <w:adjustRightInd/>
        <w:spacing w:line="260" w:lineRule="exact"/>
        <w:ind w:left="1701" w:right="1416" w:hanging="567"/>
        <w:rPr>
          <w:rFonts w:eastAsia="Times New Roman"/>
          <w:snapToGrid w:val="0"/>
          <w:sz w:val="22"/>
          <w:szCs w:val="20"/>
          <w:lang w:val="lt-LT"/>
        </w:rPr>
      </w:pPr>
    </w:p>
    <w:p w14:paraId="588E10D4" w14:textId="77777777" w:rsidR="00FF3244" w:rsidRPr="005E5846" w:rsidRDefault="00FF3244" w:rsidP="00FF3244">
      <w:pPr>
        <w:widowControl/>
        <w:tabs>
          <w:tab w:val="left" w:pos="567"/>
        </w:tabs>
        <w:autoSpaceDE/>
        <w:autoSpaceDN/>
        <w:adjustRightInd/>
        <w:spacing w:line="260" w:lineRule="exact"/>
        <w:jc w:val="center"/>
        <w:rPr>
          <w:rFonts w:eastAsia="Times New Roman"/>
          <w:i/>
          <w:snapToGrid w:val="0"/>
          <w:sz w:val="22"/>
          <w:szCs w:val="20"/>
          <w:lang w:val="lt-LT"/>
        </w:rPr>
      </w:pPr>
      <w:r w:rsidRPr="005E5846">
        <w:rPr>
          <w:rFonts w:eastAsia="Times New Roman"/>
          <w:b/>
          <w:snapToGrid w:val="0"/>
          <w:sz w:val="22"/>
          <w:szCs w:val="20"/>
          <w:lang w:val="lt-LT"/>
        </w:rPr>
        <w:t xml:space="preserve">REGISTRACIJOS </w:t>
      </w:r>
      <w:r w:rsidRPr="005E5846">
        <w:rPr>
          <w:b/>
          <w:snapToGrid w:val="0"/>
          <w:sz w:val="22"/>
          <w:szCs w:val="20"/>
          <w:lang w:val="lt-LT"/>
        </w:rPr>
        <w:t>SĄLYGOS</w:t>
      </w:r>
    </w:p>
    <w:p w14:paraId="5D288CD3" w14:textId="77777777" w:rsidR="00FF3244" w:rsidRPr="00A03602" w:rsidRDefault="00FF3244" w:rsidP="00FF3244">
      <w:pPr>
        <w:widowControl/>
        <w:tabs>
          <w:tab w:val="left" w:pos="567"/>
        </w:tabs>
        <w:autoSpaceDE/>
        <w:autoSpaceDN/>
        <w:adjustRightInd/>
        <w:spacing w:line="260" w:lineRule="exact"/>
        <w:rPr>
          <w:rFonts w:eastAsia="Times New Roman"/>
          <w:snapToGrid w:val="0"/>
          <w:sz w:val="22"/>
          <w:szCs w:val="20"/>
          <w:lang w:val="lt-LT"/>
        </w:rPr>
      </w:pPr>
    </w:p>
    <w:p w14:paraId="77AF657F" w14:textId="77777777" w:rsidR="00FF3244" w:rsidRPr="00D42D4C" w:rsidRDefault="00FF3244" w:rsidP="00FF3244">
      <w:pPr>
        <w:widowControl/>
        <w:tabs>
          <w:tab w:val="left" w:pos="1701"/>
        </w:tabs>
        <w:autoSpaceDE/>
        <w:autoSpaceDN/>
        <w:adjustRightInd/>
        <w:spacing w:line="260" w:lineRule="exact"/>
        <w:ind w:left="1701" w:right="567" w:hanging="567"/>
        <w:rPr>
          <w:rFonts w:eastAsia="Times New Roman"/>
          <w:b/>
          <w:noProof/>
          <w:snapToGrid w:val="0"/>
          <w:sz w:val="22"/>
          <w:lang w:val="lt-LT"/>
        </w:rPr>
      </w:pPr>
      <w:r w:rsidRPr="00A03602">
        <w:rPr>
          <w:rFonts w:eastAsia="Times New Roman"/>
          <w:b/>
          <w:noProof/>
          <w:snapToGrid w:val="0"/>
          <w:sz w:val="22"/>
          <w:lang w:val="lt-LT"/>
        </w:rPr>
        <w:t>A.</w:t>
      </w:r>
      <w:r w:rsidRPr="0088142B">
        <w:rPr>
          <w:rFonts w:eastAsia="Times New Roman"/>
          <w:b/>
          <w:noProof/>
          <w:snapToGrid w:val="0"/>
          <w:sz w:val="22"/>
          <w:lang w:val="lt-LT"/>
        </w:rPr>
        <w:tab/>
      </w:r>
      <w:r w:rsidRPr="00393066">
        <w:rPr>
          <w:rFonts w:eastAsia="Times New Roman"/>
          <w:b/>
          <w:noProof/>
          <w:snapToGrid w:val="0"/>
          <w:sz w:val="22"/>
          <w:lang w:val="lt-LT"/>
        </w:rPr>
        <w:t>GAMINTOJAS (-AI),</w:t>
      </w:r>
      <w:r w:rsidRPr="003147F8">
        <w:rPr>
          <w:b/>
          <w:noProof/>
          <w:snapToGrid w:val="0"/>
          <w:sz w:val="22"/>
          <w:lang w:val="lt-LT"/>
        </w:rPr>
        <w:t xml:space="preserve"> ATSAKINGAS (-I) UŽ SERIJŲ IŠLEIDIMĄ</w:t>
      </w:r>
    </w:p>
    <w:p w14:paraId="1ED5BA17" w14:textId="77777777" w:rsidR="00FF3244" w:rsidRPr="00D42D4C" w:rsidRDefault="00FF3244" w:rsidP="00FF3244">
      <w:pPr>
        <w:widowControl/>
        <w:tabs>
          <w:tab w:val="left" w:pos="1701"/>
        </w:tabs>
        <w:autoSpaceDE/>
        <w:autoSpaceDN/>
        <w:adjustRightInd/>
        <w:spacing w:line="260" w:lineRule="exact"/>
        <w:ind w:left="567" w:right="567" w:hanging="567"/>
        <w:rPr>
          <w:rFonts w:eastAsia="Times New Roman"/>
          <w:noProof/>
          <w:snapToGrid w:val="0"/>
          <w:sz w:val="22"/>
          <w:lang w:val="lt-LT"/>
        </w:rPr>
      </w:pPr>
    </w:p>
    <w:p w14:paraId="0850CF10" w14:textId="77777777" w:rsidR="00FF3244" w:rsidRPr="00495F2D" w:rsidRDefault="00FF3244" w:rsidP="00FF3244">
      <w:pPr>
        <w:widowControl/>
        <w:tabs>
          <w:tab w:val="left" w:pos="1701"/>
        </w:tabs>
        <w:autoSpaceDE/>
        <w:autoSpaceDN/>
        <w:adjustRightInd/>
        <w:spacing w:line="260" w:lineRule="exact"/>
        <w:ind w:left="1701" w:right="567" w:hanging="567"/>
        <w:rPr>
          <w:rFonts w:eastAsia="Times New Roman"/>
          <w:b/>
          <w:snapToGrid w:val="0"/>
          <w:sz w:val="22"/>
          <w:szCs w:val="20"/>
          <w:lang w:val="lt-LT"/>
        </w:rPr>
      </w:pPr>
      <w:r w:rsidRPr="00D42D4C">
        <w:rPr>
          <w:b/>
          <w:snapToGrid w:val="0"/>
          <w:sz w:val="22"/>
          <w:szCs w:val="20"/>
          <w:lang w:val="lt-LT"/>
        </w:rPr>
        <w:t>B.</w:t>
      </w:r>
      <w:r w:rsidRPr="00BB5D9F">
        <w:rPr>
          <w:b/>
          <w:snapToGrid w:val="0"/>
          <w:sz w:val="22"/>
          <w:szCs w:val="20"/>
          <w:lang w:val="lt-LT"/>
        </w:rPr>
        <w:tab/>
        <w:t>TIEKIMO IR VARTOJIMO SĄLYG</w:t>
      </w:r>
      <w:r w:rsidRPr="00495F2D">
        <w:rPr>
          <w:rFonts w:eastAsia="Times New Roman"/>
          <w:b/>
          <w:snapToGrid w:val="0"/>
          <w:sz w:val="22"/>
          <w:szCs w:val="20"/>
          <w:lang w:val="lt-LT"/>
        </w:rPr>
        <w:t>OS AR APRIBOJIMAI</w:t>
      </w:r>
    </w:p>
    <w:p w14:paraId="1F244FF6" w14:textId="77777777" w:rsidR="00FF3244" w:rsidRPr="00C13CB7" w:rsidRDefault="00FF3244" w:rsidP="00FF3244">
      <w:pPr>
        <w:widowControl/>
        <w:tabs>
          <w:tab w:val="left" w:pos="1701"/>
        </w:tabs>
        <w:autoSpaceDE/>
        <w:autoSpaceDN/>
        <w:adjustRightInd/>
        <w:spacing w:line="260" w:lineRule="exact"/>
        <w:ind w:left="567" w:right="567" w:hanging="567"/>
        <w:rPr>
          <w:rFonts w:eastAsia="Times New Roman"/>
          <w:snapToGrid w:val="0"/>
          <w:sz w:val="22"/>
          <w:szCs w:val="20"/>
          <w:lang w:val="lt-LT"/>
        </w:rPr>
      </w:pPr>
    </w:p>
    <w:p w14:paraId="4F1C5E38" w14:textId="77777777" w:rsidR="00FF3244" w:rsidRPr="0047471E" w:rsidRDefault="00FF3244" w:rsidP="00FF3244">
      <w:pPr>
        <w:widowControl/>
        <w:tabs>
          <w:tab w:val="left" w:pos="1701"/>
        </w:tabs>
        <w:autoSpaceDE/>
        <w:autoSpaceDN/>
        <w:adjustRightInd/>
        <w:spacing w:line="260" w:lineRule="exact"/>
        <w:ind w:left="1701" w:right="567" w:hanging="567"/>
        <w:rPr>
          <w:rFonts w:eastAsia="Times New Roman"/>
          <w:b/>
          <w:snapToGrid w:val="0"/>
          <w:sz w:val="22"/>
          <w:szCs w:val="20"/>
          <w:lang w:val="lt-LT"/>
        </w:rPr>
      </w:pPr>
      <w:r w:rsidRPr="0047471E">
        <w:rPr>
          <w:rFonts w:eastAsia="Times New Roman"/>
          <w:b/>
          <w:snapToGrid w:val="0"/>
          <w:sz w:val="22"/>
          <w:szCs w:val="20"/>
          <w:lang w:val="lt-LT"/>
        </w:rPr>
        <w:br w:type="page"/>
      </w:r>
    </w:p>
    <w:p w14:paraId="0E57599F" w14:textId="77777777" w:rsidR="00DB082F" w:rsidRPr="00895C23" w:rsidRDefault="00E93353" w:rsidP="008C6014">
      <w:pPr>
        <w:rPr>
          <w:b/>
          <w:sz w:val="22"/>
          <w:szCs w:val="22"/>
          <w:lang w:val="lt-LT"/>
        </w:rPr>
      </w:pPr>
      <w:r w:rsidRPr="00757A8C">
        <w:rPr>
          <w:b/>
          <w:sz w:val="22"/>
          <w:szCs w:val="22"/>
          <w:lang w:val="lt-LT"/>
        </w:rPr>
        <w:lastRenderedPageBreak/>
        <w:t>A.</w:t>
      </w:r>
      <w:r w:rsidRPr="00953345">
        <w:rPr>
          <w:b/>
          <w:sz w:val="22"/>
          <w:szCs w:val="22"/>
          <w:lang w:val="lt-LT"/>
        </w:rPr>
        <w:tab/>
      </w:r>
      <w:r w:rsidR="00DB082F" w:rsidRPr="00895C23">
        <w:rPr>
          <w:b/>
          <w:sz w:val="22"/>
          <w:szCs w:val="22"/>
          <w:lang w:val="lt-LT"/>
        </w:rPr>
        <w:t>GAMINTOJAS (-AI), ATSAKINGAS (-I) UŽ SERIJŲ IŠLEIDIMĄ</w:t>
      </w:r>
    </w:p>
    <w:p w14:paraId="4815E2FB" w14:textId="77777777" w:rsidR="00DB082F" w:rsidRPr="00B1025D" w:rsidRDefault="00DB082F" w:rsidP="008C6014">
      <w:pPr>
        <w:rPr>
          <w:b/>
          <w:sz w:val="22"/>
          <w:szCs w:val="22"/>
          <w:lang w:val="lt-LT"/>
        </w:rPr>
      </w:pPr>
    </w:p>
    <w:p w14:paraId="0AB19632" w14:textId="77777777" w:rsidR="00C05173" w:rsidRPr="008B1AE9" w:rsidRDefault="00C05173" w:rsidP="008C6014">
      <w:pPr>
        <w:rPr>
          <w:sz w:val="22"/>
          <w:szCs w:val="22"/>
          <w:lang w:val="lt-LT"/>
        </w:rPr>
      </w:pPr>
      <w:r w:rsidRPr="008B1AE9">
        <w:rPr>
          <w:sz w:val="22"/>
          <w:szCs w:val="22"/>
          <w:u w:val="single"/>
          <w:lang w:val="lt-LT"/>
        </w:rPr>
        <w:t>Gamintojo (-ų), atsakingo (-ų) už serijų išleidimą, pavadinimas (-ai) ir adresas (-ai)</w:t>
      </w:r>
    </w:p>
    <w:p w14:paraId="59DBBBED" w14:textId="77777777" w:rsidR="00C05173" w:rsidRPr="008B1AE9" w:rsidRDefault="00C05173" w:rsidP="008C6014">
      <w:pPr>
        <w:rPr>
          <w:sz w:val="22"/>
          <w:szCs w:val="22"/>
          <w:lang w:val="lt-LT"/>
        </w:rPr>
      </w:pPr>
    </w:p>
    <w:p w14:paraId="5DC5630A" w14:textId="77777777" w:rsidR="00D219F1" w:rsidRPr="008B1AE9" w:rsidRDefault="00D219F1" w:rsidP="008C6014">
      <w:pPr>
        <w:rPr>
          <w:sz w:val="22"/>
          <w:szCs w:val="22"/>
          <w:lang w:val="lt-LT"/>
        </w:rPr>
      </w:pPr>
      <w:bookmarkStart w:id="9" w:name="_Hlk117480"/>
      <w:r w:rsidRPr="008B1AE9">
        <w:rPr>
          <w:sz w:val="22"/>
          <w:szCs w:val="22"/>
          <w:lang w:val="lt-LT"/>
        </w:rPr>
        <w:t>UAB Norameda</w:t>
      </w:r>
    </w:p>
    <w:p w14:paraId="78755EB5" w14:textId="77777777" w:rsidR="008B1AE9" w:rsidRDefault="00D219F1" w:rsidP="008C6014">
      <w:pPr>
        <w:rPr>
          <w:sz w:val="22"/>
          <w:szCs w:val="22"/>
          <w:lang w:val="lt-LT"/>
        </w:rPr>
      </w:pPr>
      <w:r w:rsidRPr="008B1AE9">
        <w:rPr>
          <w:sz w:val="22"/>
          <w:szCs w:val="22"/>
          <w:lang w:val="lt-LT"/>
        </w:rPr>
        <w:t>Meistrų 8a</w:t>
      </w:r>
      <w:r w:rsidR="0056076A">
        <w:rPr>
          <w:sz w:val="22"/>
          <w:szCs w:val="22"/>
          <w:lang w:val="lt-LT"/>
        </w:rPr>
        <w:t xml:space="preserve"> Vilnius</w:t>
      </w:r>
    </w:p>
    <w:p w14:paraId="49BF2B0F" w14:textId="77777777" w:rsidR="00D219F1" w:rsidRPr="008B1AE9" w:rsidRDefault="00D219F1" w:rsidP="008C6014">
      <w:pPr>
        <w:rPr>
          <w:sz w:val="22"/>
          <w:szCs w:val="22"/>
          <w:lang w:val="lt-LT"/>
        </w:rPr>
      </w:pPr>
      <w:r w:rsidRPr="008B1AE9">
        <w:rPr>
          <w:sz w:val="22"/>
          <w:szCs w:val="22"/>
          <w:lang w:val="lt-LT"/>
        </w:rPr>
        <w:t>LT-02189</w:t>
      </w:r>
      <w:r w:rsidR="008B1AE9">
        <w:rPr>
          <w:sz w:val="22"/>
          <w:szCs w:val="22"/>
          <w:lang w:val="lt-LT"/>
        </w:rPr>
        <w:t>,</w:t>
      </w:r>
      <w:r w:rsidR="0056076A" w:rsidDel="0056076A">
        <w:rPr>
          <w:sz w:val="22"/>
          <w:szCs w:val="22"/>
          <w:lang w:val="lt-LT"/>
        </w:rPr>
        <w:t xml:space="preserve"> </w:t>
      </w:r>
      <w:r w:rsidRPr="008B1AE9">
        <w:rPr>
          <w:sz w:val="22"/>
          <w:szCs w:val="22"/>
          <w:lang w:val="lt-LT"/>
        </w:rPr>
        <w:t>Lietuva</w:t>
      </w:r>
    </w:p>
    <w:bookmarkEnd w:id="9"/>
    <w:p w14:paraId="45E3A81B" w14:textId="77777777" w:rsidR="00E93353" w:rsidRPr="005A3594" w:rsidRDefault="00E93353" w:rsidP="008C6014">
      <w:pPr>
        <w:rPr>
          <w:rFonts w:eastAsia="Times New Roman"/>
          <w:snapToGrid w:val="0"/>
          <w:sz w:val="22"/>
          <w:szCs w:val="22"/>
          <w:lang w:val="lt-LT"/>
        </w:rPr>
      </w:pPr>
    </w:p>
    <w:p w14:paraId="49B4DC7D" w14:textId="77777777" w:rsidR="00E93353" w:rsidRPr="00AE5BD5" w:rsidRDefault="00E93353" w:rsidP="008C6014">
      <w:pPr>
        <w:rPr>
          <w:rFonts w:eastAsia="Times New Roman"/>
          <w:snapToGrid w:val="0"/>
          <w:sz w:val="22"/>
          <w:szCs w:val="22"/>
          <w:lang w:val="lt-LT"/>
        </w:rPr>
      </w:pPr>
    </w:p>
    <w:p w14:paraId="3A7B8898" w14:textId="77777777" w:rsidR="00E93353" w:rsidRPr="003147F8" w:rsidRDefault="00E93353" w:rsidP="008C6014">
      <w:pPr>
        <w:rPr>
          <w:rFonts w:eastAsia="Times New Roman"/>
          <w:snapToGrid w:val="0"/>
          <w:sz w:val="22"/>
          <w:szCs w:val="22"/>
          <w:lang w:val="lt-LT"/>
        </w:rPr>
      </w:pPr>
      <w:r w:rsidRPr="008B1AE9">
        <w:rPr>
          <w:rFonts w:eastAsia="Times New Roman"/>
          <w:b/>
          <w:noProof/>
          <w:snapToGrid w:val="0"/>
          <w:sz w:val="22"/>
          <w:szCs w:val="22"/>
          <w:lang w:val="lt-LT"/>
        </w:rPr>
        <w:t>B.</w:t>
      </w:r>
      <w:r w:rsidRPr="0088142B">
        <w:rPr>
          <w:rFonts w:eastAsia="Times New Roman"/>
          <w:b/>
          <w:snapToGrid w:val="0"/>
          <w:sz w:val="22"/>
          <w:szCs w:val="22"/>
          <w:lang w:val="lt-LT"/>
        </w:rPr>
        <w:tab/>
      </w:r>
      <w:r w:rsidRPr="00393066">
        <w:rPr>
          <w:b/>
          <w:noProof/>
          <w:snapToGrid w:val="0"/>
          <w:sz w:val="22"/>
          <w:szCs w:val="22"/>
          <w:lang w:val="lt-LT"/>
        </w:rPr>
        <w:t>TIEKIMO IR VARTOJIMO SĄLYGOS AR APRIBOJIMAI</w:t>
      </w:r>
    </w:p>
    <w:p w14:paraId="3033F940" w14:textId="77777777" w:rsidR="00C05173" w:rsidRPr="008B1AE9" w:rsidRDefault="00C05173" w:rsidP="008C6014">
      <w:pPr>
        <w:rPr>
          <w:b/>
          <w:bCs/>
          <w:sz w:val="22"/>
          <w:szCs w:val="22"/>
          <w:lang w:val="lt-LT"/>
        </w:rPr>
      </w:pPr>
    </w:p>
    <w:p w14:paraId="54EDD168" w14:textId="77777777" w:rsidR="00C05173" w:rsidRPr="008B1AE9" w:rsidRDefault="00DB082F" w:rsidP="008C6014">
      <w:pPr>
        <w:rPr>
          <w:sz w:val="22"/>
          <w:szCs w:val="22"/>
          <w:lang w:val="lt-LT"/>
        </w:rPr>
      </w:pPr>
      <w:r w:rsidRPr="008B1AE9">
        <w:rPr>
          <w:sz w:val="22"/>
          <w:szCs w:val="22"/>
          <w:lang w:val="lt-LT"/>
        </w:rPr>
        <w:t>R</w:t>
      </w:r>
      <w:r w:rsidR="00C05173" w:rsidRPr="008B1AE9">
        <w:rPr>
          <w:sz w:val="22"/>
          <w:szCs w:val="22"/>
          <w:lang w:val="lt-LT"/>
        </w:rPr>
        <w:t>eceptinis vaistinis preparatas</w:t>
      </w:r>
      <w:r w:rsidR="00A03602">
        <w:rPr>
          <w:sz w:val="22"/>
          <w:szCs w:val="22"/>
          <w:lang w:val="lt-LT"/>
        </w:rPr>
        <w:t>.</w:t>
      </w:r>
      <w:r w:rsidR="00C05173" w:rsidRPr="008B1AE9">
        <w:rPr>
          <w:sz w:val="22"/>
          <w:szCs w:val="22"/>
          <w:lang w:val="lt-LT"/>
        </w:rPr>
        <w:t xml:space="preserve"> </w:t>
      </w:r>
    </w:p>
    <w:p w14:paraId="428775B9" w14:textId="77777777" w:rsidR="00C05173" w:rsidRPr="008B1AE9" w:rsidRDefault="00C05173" w:rsidP="008C6014">
      <w:pPr>
        <w:rPr>
          <w:sz w:val="22"/>
          <w:szCs w:val="22"/>
          <w:lang w:val="lt-LT"/>
        </w:rPr>
      </w:pPr>
    </w:p>
    <w:p w14:paraId="61BC061C" w14:textId="77777777" w:rsidR="00C05173" w:rsidRPr="008B1AE9" w:rsidRDefault="00C05173" w:rsidP="008C6014">
      <w:pPr>
        <w:rPr>
          <w:sz w:val="22"/>
          <w:szCs w:val="22"/>
          <w:lang w:val="lt-LT"/>
        </w:rPr>
      </w:pPr>
    </w:p>
    <w:p w14:paraId="05433A17" w14:textId="77777777" w:rsidR="00FF3244" w:rsidRPr="005A3594" w:rsidRDefault="008B1AE9" w:rsidP="000C463E">
      <w:pPr>
        <w:rPr>
          <w:rFonts w:eastAsia="Times New Roman"/>
          <w:snapToGrid w:val="0"/>
          <w:sz w:val="22"/>
          <w:szCs w:val="20"/>
          <w:lang w:val="lt-LT"/>
        </w:rPr>
      </w:pPr>
      <w:r>
        <w:rPr>
          <w:sz w:val="22"/>
          <w:szCs w:val="22"/>
          <w:lang w:val="lt-LT"/>
        </w:rPr>
        <w:br w:type="page"/>
      </w:r>
    </w:p>
    <w:p w14:paraId="7F1836A1" w14:textId="77777777" w:rsidR="00FF3244" w:rsidRPr="00AE5BD5" w:rsidRDefault="00FF3244" w:rsidP="00FF3244">
      <w:pPr>
        <w:widowControl/>
        <w:tabs>
          <w:tab w:val="left" w:pos="567"/>
        </w:tabs>
        <w:autoSpaceDE/>
        <w:autoSpaceDN/>
        <w:adjustRightInd/>
        <w:spacing w:line="260" w:lineRule="exact"/>
        <w:rPr>
          <w:rFonts w:eastAsia="Times New Roman"/>
          <w:snapToGrid w:val="0"/>
          <w:sz w:val="22"/>
          <w:szCs w:val="20"/>
          <w:lang w:val="lt-LT"/>
        </w:rPr>
      </w:pPr>
    </w:p>
    <w:p w14:paraId="5EF4BA1E" w14:textId="77777777" w:rsidR="00FF3244" w:rsidRPr="008B1AE9" w:rsidRDefault="00FF3244" w:rsidP="00FF3244">
      <w:pPr>
        <w:widowControl/>
        <w:tabs>
          <w:tab w:val="left" w:pos="567"/>
        </w:tabs>
        <w:autoSpaceDE/>
        <w:autoSpaceDN/>
        <w:adjustRightInd/>
        <w:spacing w:line="260" w:lineRule="exact"/>
        <w:rPr>
          <w:rFonts w:eastAsia="Times New Roman"/>
          <w:snapToGrid w:val="0"/>
          <w:sz w:val="22"/>
          <w:szCs w:val="20"/>
          <w:lang w:val="lt-LT"/>
        </w:rPr>
      </w:pPr>
    </w:p>
    <w:p w14:paraId="6D950602" w14:textId="77777777" w:rsidR="00FF3244" w:rsidRPr="008B1AE9" w:rsidRDefault="00FF3244" w:rsidP="00FF3244">
      <w:pPr>
        <w:widowControl/>
        <w:tabs>
          <w:tab w:val="left" w:pos="567"/>
        </w:tabs>
        <w:autoSpaceDE/>
        <w:autoSpaceDN/>
        <w:adjustRightInd/>
        <w:spacing w:line="260" w:lineRule="exact"/>
        <w:rPr>
          <w:rFonts w:eastAsia="Times New Roman"/>
          <w:snapToGrid w:val="0"/>
          <w:sz w:val="22"/>
          <w:szCs w:val="20"/>
          <w:lang w:val="lt-LT"/>
        </w:rPr>
      </w:pPr>
    </w:p>
    <w:p w14:paraId="09147743" w14:textId="77777777" w:rsidR="00FF3244" w:rsidRPr="008B1AE9" w:rsidRDefault="00FF3244" w:rsidP="00FF3244">
      <w:pPr>
        <w:widowControl/>
        <w:tabs>
          <w:tab w:val="left" w:pos="567"/>
        </w:tabs>
        <w:autoSpaceDE/>
        <w:autoSpaceDN/>
        <w:adjustRightInd/>
        <w:spacing w:line="260" w:lineRule="exact"/>
        <w:rPr>
          <w:rFonts w:eastAsia="Times New Roman"/>
          <w:snapToGrid w:val="0"/>
          <w:sz w:val="22"/>
          <w:szCs w:val="20"/>
          <w:lang w:val="lt-LT"/>
        </w:rPr>
      </w:pPr>
    </w:p>
    <w:p w14:paraId="712FF49E" w14:textId="77777777" w:rsidR="00FF3244" w:rsidRPr="008B1AE9" w:rsidRDefault="00FF3244" w:rsidP="00FF3244">
      <w:pPr>
        <w:widowControl/>
        <w:tabs>
          <w:tab w:val="left" w:pos="567"/>
        </w:tabs>
        <w:autoSpaceDE/>
        <w:autoSpaceDN/>
        <w:adjustRightInd/>
        <w:spacing w:line="260" w:lineRule="exact"/>
        <w:rPr>
          <w:rFonts w:eastAsia="Times New Roman"/>
          <w:snapToGrid w:val="0"/>
          <w:sz w:val="22"/>
          <w:szCs w:val="20"/>
          <w:lang w:val="lt-LT"/>
        </w:rPr>
      </w:pPr>
    </w:p>
    <w:p w14:paraId="57C842D7" w14:textId="77777777" w:rsidR="00FF3244" w:rsidRPr="00042B32" w:rsidRDefault="00FF3244" w:rsidP="00FF3244">
      <w:pPr>
        <w:widowControl/>
        <w:tabs>
          <w:tab w:val="left" w:pos="567"/>
        </w:tabs>
        <w:autoSpaceDE/>
        <w:autoSpaceDN/>
        <w:adjustRightInd/>
        <w:spacing w:line="260" w:lineRule="exact"/>
        <w:rPr>
          <w:rFonts w:eastAsia="Times New Roman"/>
          <w:snapToGrid w:val="0"/>
          <w:sz w:val="22"/>
          <w:szCs w:val="20"/>
          <w:lang w:val="lt-LT"/>
        </w:rPr>
      </w:pPr>
    </w:p>
    <w:p w14:paraId="38B90C3F" w14:textId="77777777" w:rsidR="00FF3244" w:rsidRPr="003E6E21" w:rsidRDefault="00FF3244" w:rsidP="00FF3244">
      <w:pPr>
        <w:widowControl/>
        <w:tabs>
          <w:tab w:val="left" w:pos="567"/>
        </w:tabs>
        <w:autoSpaceDE/>
        <w:autoSpaceDN/>
        <w:adjustRightInd/>
        <w:spacing w:line="260" w:lineRule="exact"/>
        <w:rPr>
          <w:rFonts w:eastAsia="Times New Roman"/>
          <w:snapToGrid w:val="0"/>
          <w:sz w:val="22"/>
          <w:szCs w:val="20"/>
          <w:lang w:val="lt-LT"/>
        </w:rPr>
      </w:pPr>
    </w:p>
    <w:p w14:paraId="2E179412" w14:textId="77777777" w:rsidR="00FF3244" w:rsidRPr="003E6E21" w:rsidRDefault="00FF3244" w:rsidP="00FF3244">
      <w:pPr>
        <w:widowControl/>
        <w:tabs>
          <w:tab w:val="left" w:pos="567"/>
        </w:tabs>
        <w:autoSpaceDE/>
        <w:autoSpaceDN/>
        <w:adjustRightInd/>
        <w:spacing w:line="260" w:lineRule="exact"/>
        <w:rPr>
          <w:rFonts w:eastAsia="Times New Roman"/>
          <w:snapToGrid w:val="0"/>
          <w:sz w:val="22"/>
          <w:szCs w:val="20"/>
          <w:lang w:val="lt-LT"/>
        </w:rPr>
      </w:pPr>
    </w:p>
    <w:p w14:paraId="59983F71" w14:textId="77777777" w:rsidR="00FF3244" w:rsidRPr="003E6E21" w:rsidRDefault="00FF3244" w:rsidP="00FF3244">
      <w:pPr>
        <w:widowControl/>
        <w:tabs>
          <w:tab w:val="left" w:pos="567"/>
        </w:tabs>
        <w:autoSpaceDE/>
        <w:autoSpaceDN/>
        <w:adjustRightInd/>
        <w:spacing w:line="260" w:lineRule="exact"/>
        <w:rPr>
          <w:rFonts w:eastAsia="Times New Roman"/>
          <w:snapToGrid w:val="0"/>
          <w:sz w:val="22"/>
          <w:szCs w:val="20"/>
          <w:lang w:val="lt-LT"/>
        </w:rPr>
      </w:pPr>
    </w:p>
    <w:p w14:paraId="40C6C823" w14:textId="77777777" w:rsidR="00FF3244" w:rsidRPr="00A03602" w:rsidRDefault="00FF3244" w:rsidP="00FF3244">
      <w:pPr>
        <w:widowControl/>
        <w:tabs>
          <w:tab w:val="left" w:pos="567"/>
        </w:tabs>
        <w:autoSpaceDE/>
        <w:autoSpaceDN/>
        <w:adjustRightInd/>
        <w:spacing w:line="260" w:lineRule="exact"/>
        <w:rPr>
          <w:rFonts w:eastAsia="Times New Roman"/>
          <w:snapToGrid w:val="0"/>
          <w:sz w:val="22"/>
          <w:szCs w:val="20"/>
          <w:lang w:val="lt-LT"/>
        </w:rPr>
      </w:pPr>
    </w:p>
    <w:p w14:paraId="24F8CABF" w14:textId="77777777" w:rsidR="00FF3244" w:rsidRPr="00A03602" w:rsidRDefault="00FF3244" w:rsidP="00FF3244">
      <w:pPr>
        <w:widowControl/>
        <w:tabs>
          <w:tab w:val="left" w:pos="567"/>
        </w:tabs>
        <w:autoSpaceDE/>
        <w:autoSpaceDN/>
        <w:adjustRightInd/>
        <w:spacing w:line="260" w:lineRule="exact"/>
        <w:rPr>
          <w:rFonts w:eastAsia="Times New Roman"/>
          <w:snapToGrid w:val="0"/>
          <w:sz w:val="22"/>
          <w:szCs w:val="20"/>
          <w:lang w:val="lt-LT"/>
        </w:rPr>
      </w:pPr>
    </w:p>
    <w:p w14:paraId="7786C7AB" w14:textId="77777777" w:rsidR="00FF3244" w:rsidRPr="0088142B" w:rsidRDefault="00FF3244" w:rsidP="00FF3244">
      <w:pPr>
        <w:widowControl/>
        <w:tabs>
          <w:tab w:val="left" w:pos="567"/>
        </w:tabs>
        <w:autoSpaceDE/>
        <w:autoSpaceDN/>
        <w:adjustRightInd/>
        <w:spacing w:line="260" w:lineRule="exact"/>
        <w:rPr>
          <w:rFonts w:eastAsia="Times New Roman"/>
          <w:snapToGrid w:val="0"/>
          <w:sz w:val="22"/>
          <w:szCs w:val="20"/>
          <w:lang w:val="lt-LT"/>
        </w:rPr>
      </w:pPr>
    </w:p>
    <w:p w14:paraId="08A6D380" w14:textId="77777777" w:rsidR="00FF3244" w:rsidRPr="00393066" w:rsidRDefault="00FF3244" w:rsidP="00FF3244">
      <w:pPr>
        <w:widowControl/>
        <w:tabs>
          <w:tab w:val="left" w:pos="567"/>
        </w:tabs>
        <w:autoSpaceDE/>
        <w:autoSpaceDN/>
        <w:adjustRightInd/>
        <w:spacing w:line="260" w:lineRule="exact"/>
        <w:rPr>
          <w:rFonts w:eastAsia="Times New Roman"/>
          <w:snapToGrid w:val="0"/>
          <w:sz w:val="22"/>
          <w:szCs w:val="20"/>
          <w:lang w:val="lt-LT"/>
        </w:rPr>
      </w:pPr>
    </w:p>
    <w:p w14:paraId="030C8A07" w14:textId="77777777" w:rsidR="00FF3244" w:rsidRPr="003147F8" w:rsidRDefault="00FF3244" w:rsidP="00FF3244">
      <w:pPr>
        <w:widowControl/>
        <w:tabs>
          <w:tab w:val="left" w:pos="567"/>
        </w:tabs>
        <w:autoSpaceDE/>
        <w:autoSpaceDN/>
        <w:adjustRightInd/>
        <w:spacing w:line="260" w:lineRule="exact"/>
        <w:rPr>
          <w:rFonts w:eastAsia="Times New Roman"/>
          <w:snapToGrid w:val="0"/>
          <w:sz w:val="22"/>
          <w:szCs w:val="20"/>
          <w:lang w:val="lt-LT"/>
        </w:rPr>
      </w:pPr>
    </w:p>
    <w:p w14:paraId="1317EEAF" w14:textId="77777777" w:rsidR="00FF3244" w:rsidRPr="00D42D4C" w:rsidRDefault="00FF3244" w:rsidP="00FF3244">
      <w:pPr>
        <w:widowControl/>
        <w:tabs>
          <w:tab w:val="left" w:pos="567"/>
        </w:tabs>
        <w:autoSpaceDE/>
        <w:autoSpaceDN/>
        <w:adjustRightInd/>
        <w:spacing w:line="260" w:lineRule="exact"/>
        <w:rPr>
          <w:rFonts w:eastAsia="Times New Roman"/>
          <w:snapToGrid w:val="0"/>
          <w:sz w:val="22"/>
          <w:szCs w:val="20"/>
          <w:lang w:val="lt-LT"/>
        </w:rPr>
      </w:pPr>
    </w:p>
    <w:p w14:paraId="182C75A3" w14:textId="77777777" w:rsidR="00FF3244" w:rsidRPr="00D42D4C" w:rsidRDefault="00FF3244" w:rsidP="00FF3244">
      <w:pPr>
        <w:widowControl/>
        <w:tabs>
          <w:tab w:val="left" w:pos="567"/>
        </w:tabs>
        <w:autoSpaceDE/>
        <w:autoSpaceDN/>
        <w:adjustRightInd/>
        <w:spacing w:line="260" w:lineRule="exact"/>
        <w:outlineLvl w:val="0"/>
        <w:rPr>
          <w:rFonts w:eastAsia="Times New Roman"/>
          <w:b/>
          <w:snapToGrid w:val="0"/>
          <w:sz w:val="22"/>
          <w:szCs w:val="20"/>
          <w:lang w:val="lt-LT"/>
        </w:rPr>
      </w:pPr>
    </w:p>
    <w:p w14:paraId="7CA9B252" w14:textId="77777777" w:rsidR="00FF3244" w:rsidRPr="00D42D4C" w:rsidRDefault="00FF3244" w:rsidP="00FF3244">
      <w:pPr>
        <w:widowControl/>
        <w:tabs>
          <w:tab w:val="left" w:pos="567"/>
        </w:tabs>
        <w:autoSpaceDE/>
        <w:autoSpaceDN/>
        <w:adjustRightInd/>
        <w:spacing w:line="260" w:lineRule="exact"/>
        <w:outlineLvl w:val="0"/>
        <w:rPr>
          <w:rFonts w:eastAsia="Times New Roman"/>
          <w:b/>
          <w:snapToGrid w:val="0"/>
          <w:sz w:val="22"/>
          <w:szCs w:val="20"/>
          <w:lang w:val="lt-LT"/>
        </w:rPr>
      </w:pPr>
    </w:p>
    <w:p w14:paraId="152AF844" w14:textId="77777777" w:rsidR="00FF3244" w:rsidRPr="00BB5D9F" w:rsidRDefault="00FF3244" w:rsidP="00FF3244">
      <w:pPr>
        <w:widowControl/>
        <w:tabs>
          <w:tab w:val="left" w:pos="567"/>
        </w:tabs>
        <w:autoSpaceDE/>
        <w:autoSpaceDN/>
        <w:adjustRightInd/>
        <w:spacing w:line="260" w:lineRule="exact"/>
        <w:outlineLvl w:val="0"/>
        <w:rPr>
          <w:rFonts w:eastAsia="Times New Roman"/>
          <w:b/>
          <w:snapToGrid w:val="0"/>
          <w:sz w:val="22"/>
          <w:szCs w:val="20"/>
          <w:lang w:val="lt-LT"/>
        </w:rPr>
      </w:pPr>
    </w:p>
    <w:p w14:paraId="2C830193" w14:textId="77777777" w:rsidR="00FF3244" w:rsidRPr="00BB5D9F" w:rsidRDefault="00FF3244" w:rsidP="00FF3244">
      <w:pPr>
        <w:widowControl/>
        <w:tabs>
          <w:tab w:val="left" w:pos="567"/>
        </w:tabs>
        <w:autoSpaceDE/>
        <w:autoSpaceDN/>
        <w:adjustRightInd/>
        <w:spacing w:line="260" w:lineRule="exact"/>
        <w:outlineLvl w:val="0"/>
        <w:rPr>
          <w:rFonts w:eastAsia="Times New Roman"/>
          <w:b/>
          <w:snapToGrid w:val="0"/>
          <w:sz w:val="22"/>
          <w:szCs w:val="20"/>
          <w:lang w:val="lt-LT"/>
        </w:rPr>
      </w:pPr>
    </w:p>
    <w:p w14:paraId="38E03912" w14:textId="77777777" w:rsidR="00FF3244" w:rsidRPr="00495F2D" w:rsidRDefault="00FF3244" w:rsidP="00FF3244">
      <w:pPr>
        <w:widowControl/>
        <w:tabs>
          <w:tab w:val="left" w:pos="567"/>
        </w:tabs>
        <w:autoSpaceDE/>
        <w:autoSpaceDN/>
        <w:adjustRightInd/>
        <w:spacing w:line="260" w:lineRule="exact"/>
        <w:outlineLvl w:val="0"/>
        <w:rPr>
          <w:rFonts w:eastAsia="Times New Roman"/>
          <w:b/>
          <w:snapToGrid w:val="0"/>
          <w:sz w:val="22"/>
          <w:szCs w:val="20"/>
          <w:lang w:val="lt-LT"/>
        </w:rPr>
      </w:pPr>
    </w:p>
    <w:p w14:paraId="0CFA4B1F" w14:textId="77777777" w:rsidR="00FF3244" w:rsidRPr="00C13CB7" w:rsidRDefault="00FF3244" w:rsidP="00FF3244">
      <w:pPr>
        <w:widowControl/>
        <w:tabs>
          <w:tab w:val="left" w:pos="567"/>
        </w:tabs>
        <w:autoSpaceDE/>
        <w:autoSpaceDN/>
        <w:adjustRightInd/>
        <w:spacing w:line="260" w:lineRule="exact"/>
        <w:outlineLvl w:val="0"/>
        <w:rPr>
          <w:rFonts w:eastAsia="Times New Roman"/>
          <w:b/>
          <w:snapToGrid w:val="0"/>
          <w:sz w:val="22"/>
          <w:szCs w:val="20"/>
          <w:lang w:val="lt-LT"/>
        </w:rPr>
      </w:pPr>
    </w:p>
    <w:p w14:paraId="7920A718" w14:textId="77777777" w:rsidR="005E5846" w:rsidRDefault="005E5846" w:rsidP="00FF3244">
      <w:pPr>
        <w:keepNext/>
        <w:widowControl/>
        <w:tabs>
          <w:tab w:val="left" w:pos="567"/>
        </w:tabs>
        <w:autoSpaceDE/>
        <w:autoSpaceDN/>
        <w:adjustRightInd/>
        <w:jc w:val="center"/>
        <w:outlineLvl w:val="1"/>
        <w:rPr>
          <w:rFonts w:eastAsia="Times New Roman"/>
          <w:b/>
          <w:bCs/>
          <w:iCs/>
          <w:snapToGrid w:val="0"/>
          <w:sz w:val="22"/>
          <w:szCs w:val="28"/>
          <w:lang w:val="lt-LT" w:eastAsia="x-none"/>
        </w:rPr>
      </w:pPr>
    </w:p>
    <w:p w14:paraId="74B744D1" w14:textId="77777777" w:rsidR="00FF3244" w:rsidRPr="005E5846" w:rsidRDefault="00FF3244" w:rsidP="00FF3244">
      <w:pPr>
        <w:keepNext/>
        <w:widowControl/>
        <w:tabs>
          <w:tab w:val="left" w:pos="567"/>
        </w:tabs>
        <w:autoSpaceDE/>
        <w:autoSpaceDN/>
        <w:adjustRightInd/>
        <w:jc w:val="center"/>
        <w:outlineLvl w:val="1"/>
        <w:rPr>
          <w:rFonts w:eastAsia="Times New Roman"/>
          <w:b/>
          <w:snapToGrid w:val="0"/>
          <w:sz w:val="22"/>
          <w:lang w:val="lt-LT" w:eastAsia="x-none"/>
        </w:rPr>
      </w:pPr>
      <w:r w:rsidRPr="005E5846">
        <w:rPr>
          <w:rFonts w:eastAsia="Times New Roman"/>
          <w:b/>
          <w:bCs/>
          <w:iCs/>
          <w:snapToGrid w:val="0"/>
          <w:sz w:val="22"/>
          <w:szCs w:val="28"/>
          <w:lang w:val="lt-LT" w:eastAsia="x-none"/>
        </w:rPr>
        <w:t>III PRIEDAS</w:t>
      </w:r>
    </w:p>
    <w:p w14:paraId="35D804EE" w14:textId="77777777" w:rsidR="00FF3244" w:rsidRPr="00A03602" w:rsidRDefault="00FF3244" w:rsidP="00FF3244">
      <w:pPr>
        <w:widowControl/>
        <w:tabs>
          <w:tab w:val="left" w:pos="567"/>
        </w:tabs>
        <w:autoSpaceDE/>
        <w:autoSpaceDN/>
        <w:adjustRightInd/>
        <w:spacing w:line="260" w:lineRule="exact"/>
        <w:rPr>
          <w:rFonts w:eastAsia="Times New Roman"/>
          <w:snapToGrid w:val="0"/>
          <w:sz w:val="22"/>
          <w:lang w:val="lt-LT"/>
        </w:rPr>
      </w:pPr>
    </w:p>
    <w:p w14:paraId="3B41F3CE" w14:textId="77777777" w:rsidR="00FF3244" w:rsidRPr="0088142B" w:rsidRDefault="00FF3244" w:rsidP="00FF3244">
      <w:pPr>
        <w:keepNext/>
        <w:widowControl/>
        <w:tabs>
          <w:tab w:val="left" w:pos="567"/>
        </w:tabs>
        <w:autoSpaceDE/>
        <w:autoSpaceDN/>
        <w:adjustRightInd/>
        <w:jc w:val="center"/>
        <w:outlineLvl w:val="1"/>
        <w:rPr>
          <w:rFonts w:eastAsia="Times New Roman"/>
          <w:b/>
          <w:snapToGrid w:val="0"/>
          <w:sz w:val="22"/>
          <w:lang w:val="lt-LT" w:eastAsia="x-none"/>
        </w:rPr>
      </w:pPr>
      <w:r w:rsidRPr="00A03602">
        <w:rPr>
          <w:b/>
          <w:bCs/>
          <w:iCs/>
          <w:snapToGrid w:val="0"/>
          <w:sz w:val="22"/>
          <w:szCs w:val="28"/>
          <w:lang w:val="lt-LT" w:eastAsia="x-none"/>
        </w:rPr>
        <w:t>ŽENKLINIMAS IR PAKUOTĖS LAPELIS</w:t>
      </w:r>
    </w:p>
    <w:p w14:paraId="6C32FB67" w14:textId="77777777" w:rsidR="00FF3244" w:rsidRPr="00393066" w:rsidRDefault="00FF3244" w:rsidP="00FF3244">
      <w:pPr>
        <w:rPr>
          <w:rFonts w:eastAsia="Times New Roman"/>
          <w:snapToGrid w:val="0"/>
          <w:sz w:val="22"/>
          <w:lang w:val="lt-LT"/>
        </w:rPr>
      </w:pPr>
      <w:r w:rsidRPr="00393066">
        <w:rPr>
          <w:rFonts w:eastAsia="Times New Roman"/>
          <w:snapToGrid w:val="0"/>
          <w:sz w:val="22"/>
          <w:lang w:val="lt-LT"/>
        </w:rPr>
        <w:br w:type="page"/>
      </w:r>
    </w:p>
    <w:p w14:paraId="7AE388E3" w14:textId="77777777" w:rsidR="00FF3244" w:rsidRPr="003147F8" w:rsidRDefault="00FF3244" w:rsidP="00FF3244">
      <w:pPr>
        <w:widowControl/>
        <w:tabs>
          <w:tab w:val="left" w:pos="567"/>
        </w:tabs>
        <w:autoSpaceDE/>
        <w:autoSpaceDN/>
        <w:adjustRightInd/>
        <w:spacing w:line="260" w:lineRule="exact"/>
        <w:rPr>
          <w:rFonts w:eastAsia="Times New Roman"/>
          <w:snapToGrid w:val="0"/>
          <w:sz w:val="22"/>
          <w:lang w:val="lt-LT"/>
        </w:rPr>
      </w:pPr>
    </w:p>
    <w:p w14:paraId="06077104" w14:textId="77777777" w:rsidR="00FF3244" w:rsidRPr="00D42D4C" w:rsidRDefault="00FF3244" w:rsidP="00FF3244">
      <w:pPr>
        <w:widowControl/>
        <w:tabs>
          <w:tab w:val="left" w:pos="567"/>
        </w:tabs>
        <w:autoSpaceDE/>
        <w:autoSpaceDN/>
        <w:adjustRightInd/>
        <w:spacing w:line="260" w:lineRule="exact"/>
        <w:rPr>
          <w:rFonts w:eastAsia="Times New Roman"/>
          <w:snapToGrid w:val="0"/>
          <w:sz w:val="22"/>
          <w:lang w:val="lt-LT"/>
        </w:rPr>
      </w:pPr>
    </w:p>
    <w:p w14:paraId="6687665D" w14:textId="77777777" w:rsidR="00FF3244" w:rsidRPr="00D42D4C" w:rsidRDefault="00FF3244" w:rsidP="00FF3244">
      <w:pPr>
        <w:widowControl/>
        <w:tabs>
          <w:tab w:val="left" w:pos="567"/>
        </w:tabs>
        <w:autoSpaceDE/>
        <w:autoSpaceDN/>
        <w:adjustRightInd/>
        <w:spacing w:line="260" w:lineRule="exact"/>
        <w:rPr>
          <w:rFonts w:eastAsia="Times New Roman"/>
          <w:snapToGrid w:val="0"/>
          <w:sz w:val="22"/>
          <w:lang w:val="lt-LT"/>
        </w:rPr>
      </w:pPr>
    </w:p>
    <w:p w14:paraId="736EFBA9" w14:textId="77777777" w:rsidR="00FF3244" w:rsidRPr="00D42D4C" w:rsidRDefault="00FF3244" w:rsidP="00FF3244">
      <w:pPr>
        <w:widowControl/>
        <w:tabs>
          <w:tab w:val="left" w:pos="567"/>
        </w:tabs>
        <w:autoSpaceDE/>
        <w:autoSpaceDN/>
        <w:adjustRightInd/>
        <w:spacing w:line="260" w:lineRule="exact"/>
        <w:rPr>
          <w:rFonts w:eastAsia="Times New Roman"/>
          <w:snapToGrid w:val="0"/>
          <w:sz w:val="22"/>
          <w:lang w:val="lt-LT"/>
        </w:rPr>
      </w:pPr>
    </w:p>
    <w:p w14:paraId="03B98898" w14:textId="77777777" w:rsidR="00FF3244" w:rsidRPr="00BB5D9F" w:rsidRDefault="00FF3244" w:rsidP="00FF3244">
      <w:pPr>
        <w:widowControl/>
        <w:tabs>
          <w:tab w:val="left" w:pos="567"/>
        </w:tabs>
        <w:autoSpaceDE/>
        <w:autoSpaceDN/>
        <w:adjustRightInd/>
        <w:spacing w:line="260" w:lineRule="exact"/>
        <w:rPr>
          <w:rFonts w:eastAsia="Times New Roman"/>
          <w:snapToGrid w:val="0"/>
          <w:sz w:val="22"/>
          <w:lang w:val="lt-LT"/>
        </w:rPr>
      </w:pPr>
    </w:p>
    <w:p w14:paraId="7FB9EEFB" w14:textId="77777777" w:rsidR="00FF3244" w:rsidRPr="00BB5D9F" w:rsidRDefault="00FF3244" w:rsidP="00FF3244">
      <w:pPr>
        <w:widowControl/>
        <w:tabs>
          <w:tab w:val="left" w:pos="567"/>
        </w:tabs>
        <w:autoSpaceDE/>
        <w:autoSpaceDN/>
        <w:adjustRightInd/>
        <w:spacing w:line="260" w:lineRule="exact"/>
        <w:rPr>
          <w:rFonts w:eastAsia="Times New Roman"/>
          <w:snapToGrid w:val="0"/>
          <w:sz w:val="22"/>
          <w:lang w:val="lt-LT"/>
        </w:rPr>
      </w:pPr>
    </w:p>
    <w:p w14:paraId="1B120321" w14:textId="77777777" w:rsidR="00FF3244" w:rsidRPr="00495F2D" w:rsidRDefault="00FF3244" w:rsidP="00FF3244">
      <w:pPr>
        <w:widowControl/>
        <w:tabs>
          <w:tab w:val="left" w:pos="567"/>
        </w:tabs>
        <w:autoSpaceDE/>
        <w:autoSpaceDN/>
        <w:adjustRightInd/>
        <w:spacing w:line="260" w:lineRule="exact"/>
        <w:rPr>
          <w:rFonts w:eastAsia="Times New Roman"/>
          <w:snapToGrid w:val="0"/>
          <w:sz w:val="22"/>
          <w:lang w:val="lt-LT"/>
        </w:rPr>
      </w:pPr>
    </w:p>
    <w:p w14:paraId="1D0ECADA" w14:textId="77777777" w:rsidR="00FF3244" w:rsidRPr="00C13CB7" w:rsidRDefault="00FF3244" w:rsidP="00FF3244">
      <w:pPr>
        <w:widowControl/>
        <w:tabs>
          <w:tab w:val="left" w:pos="567"/>
        </w:tabs>
        <w:autoSpaceDE/>
        <w:autoSpaceDN/>
        <w:adjustRightInd/>
        <w:spacing w:line="260" w:lineRule="exact"/>
        <w:rPr>
          <w:rFonts w:eastAsia="Times New Roman"/>
          <w:snapToGrid w:val="0"/>
          <w:sz w:val="22"/>
          <w:lang w:val="lt-LT"/>
        </w:rPr>
      </w:pPr>
    </w:p>
    <w:p w14:paraId="5B88DA12" w14:textId="77777777" w:rsidR="00FF3244" w:rsidRPr="0047471E" w:rsidRDefault="00FF3244" w:rsidP="00FF3244">
      <w:pPr>
        <w:widowControl/>
        <w:tabs>
          <w:tab w:val="left" w:pos="567"/>
        </w:tabs>
        <w:autoSpaceDE/>
        <w:autoSpaceDN/>
        <w:adjustRightInd/>
        <w:spacing w:line="260" w:lineRule="exact"/>
        <w:rPr>
          <w:rFonts w:eastAsia="Times New Roman"/>
          <w:snapToGrid w:val="0"/>
          <w:sz w:val="22"/>
          <w:lang w:val="lt-LT"/>
        </w:rPr>
      </w:pPr>
    </w:p>
    <w:p w14:paraId="2C22CC51" w14:textId="77777777" w:rsidR="00FF3244" w:rsidRPr="00757A8C" w:rsidRDefault="00FF3244" w:rsidP="00FF3244">
      <w:pPr>
        <w:widowControl/>
        <w:tabs>
          <w:tab w:val="left" w:pos="567"/>
        </w:tabs>
        <w:autoSpaceDE/>
        <w:autoSpaceDN/>
        <w:adjustRightInd/>
        <w:spacing w:line="260" w:lineRule="exact"/>
        <w:rPr>
          <w:rFonts w:eastAsia="Times New Roman"/>
          <w:snapToGrid w:val="0"/>
          <w:sz w:val="22"/>
          <w:lang w:val="lt-LT"/>
        </w:rPr>
      </w:pPr>
    </w:p>
    <w:p w14:paraId="4E0508DB" w14:textId="77777777" w:rsidR="00FF3244" w:rsidRPr="00953345" w:rsidRDefault="00FF3244" w:rsidP="00FF3244">
      <w:pPr>
        <w:widowControl/>
        <w:tabs>
          <w:tab w:val="left" w:pos="567"/>
        </w:tabs>
        <w:autoSpaceDE/>
        <w:autoSpaceDN/>
        <w:adjustRightInd/>
        <w:spacing w:line="260" w:lineRule="exact"/>
        <w:rPr>
          <w:rFonts w:eastAsia="Times New Roman"/>
          <w:snapToGrid w:val="0"/>
          <w:sz w:val="22"/>
          <w:lang w:val="lt-LT"/>
        </w:rPr>
      </w:pPr>
    </w:p>
    <w:p w14:paraId="323193B3" w14:textId="77777777" w:rsidR="00FF3244" w:rsidRPr="00895C23" w:rsidRDefault="00FF3244" w:rsidP="00FF3244">
      <w:pPr>
        <w:widowControl/>
        <w:tabs>
          <w:tab w:val="left" w:pos="567"/>
        </w:tabs>
        <w:autoSpaceDE/>
        <w:autoSpaceDN/>
        <w:adjustRightInd/>
        <w:spacing w:line="260" w:lineRule="exact"/>
        <w:rPr>
          <w:rFonts w:eastAsia="Times New Roman"/>
          <w:snapToGrid w:val="0"/>
          <w:sz w:val="22"/>
          <w:lang w:val="lt-LT"/>
        </w:rPr>
      </w:pPr>
    </w:p>
    <w:p w14:paraId="32FC0136" w14:textId="77777777" w:rsidR="00FF3244" w:rsidRPr="00B1025D" w:rsidRDefault="00FF3244" w:rsidP="00FF3244">
      <w:pPr>
        <w:widowControl/>
        <w:tabs>
          <w:tab w:val="left" w:pos="567"/>
        </w:tabs>
        <w:autoSpaceDE/>
        <w:autoSpaceDN/>
        <w:adjustRightInd/>
        <w:spacing w:line="260" w:lineRule="exact"/>
        <w:rPr>
          <w:rFonts w:eastAsia="Times New Roman"/>
          <w:snapToGrid w:val="0"/>
          <w:sz w:val="22"/>
          <w:lang w:val="lt-LT"/>
        </w:rPr>
      </w:pPr>
    </w:p>
    <w:p w14:paraId="08C73D87" w14:textId="77777777" w:rsidR="00FF3244" w:rsidRPr="00290F2E" w:rsidRDefault="00FF3244" w:rsidP="00FF3244">
      <w:pPr>
        <w:widowControl/>
        <w:tabs>
          <w:tab w:val="left" w:pos="567"/>
        </w:tabs>
        <w:autoSpaceDE/>
        <w:autoSpaceDN/>
        <w:adjustRightInd/>
        <w:spacing w:line="260" w:lineRule="exact"/>
        <w:rPr>
          <w:rFonts w:eastAsia="Times New Roman"/>
          <w:snapToGrid w:val="0"/>
          <w:sz w:val="22"/>
          <w:lang w:val="lt-LT"/>
        </w:rPr>
      </w:pPr>
    </w:p>
    <w:p w14:paraId="5E900D67" w14:textId="77777777" w:rsidR="00FF3244" w:rsidRPr="00005F71" w:rsidRDefault="00FF3244" w:rsidP="00FF3244">
      <w:pPr>
        <w:widowControl/>
        <w:tabs>
          <w:tab w:val="left" w:pos="567"/>
        </w:tabs>
        <w:autoSpaceDE/>
        <w:autoSpaceDN/>
        <w:adjustRightInd/>
        <w:spacing w:line="260" w:lineRule="exact"/>
        <w:rPr>
          <w:rFonts w:eastAsia="Times New Roman"/>
          <w:snapToGrid w:val="0"/>
          <w:sz w:val="22"/>
          <w:lang w:val="lt-LT"/>
        </w:rPr>
      </w:pPr>
    </w:p>
    <w:p w14:paraId="575F0C72" w14:textId="77777777" w:rsidR="00FF3244" w:rsidRPr="00005F71" w:rsidRDefault="00FF3244" w:rsidP="00FF3244">
      <w:pPr>
        <w:widowControl/>
        <w:tabs>
          <w:tab w:val="left" w:pos="567"/>
        </w:tabs>
        <w:autoSpaceDE/>
        <w:autoSpaceDN/>
        <w:adjustRightInd/>
        <w:spacing w:line="260" w:lineRule="exact"/>
        <w:rPr>
          <w:rFonts w:eastAsia="Times New Roman"/>
          <w:snapToGrid w:val="0"/>
          <w:sz w:val="22"/>
          <w:lang w:val="lt-LT"/>
        </w:rPr>
      </w:pPr>
    </w:p>
    <w:p w14:paraId="746D5E0F" w14:textId="77777777" w:rsidR="00FF3244" w:rsidRPr="00005F71" w:rsidRDefault="00FF3244" w:rsidP="00FF3244">
      <w:pPr>
        <w:widowControl/>
        <w:tabs>
          <w:tab w:val="left" w:pos="567"/>
        </w:tabs>
        <w:autoSpaceDE/>
        <w:autoSpaceDN/>
        <w:adjustRightInd/>
        <w:spacing w:line="260" w:lineRule="exact"/>
        <w:rPr>
          <w:rFonts w:eastAsia="Times New Roman"/>
          <w:snapToGrid w:val="0"/>
          <w:sz w:val="22"/>
          <w:lang w:val="lt-LT"/>
        </w:rPr>
      </w:pPr>
    </w:p>
    <w:p w14:paraId="22BE4DD4" w14:textId="77777777" w:rsidR="00FF3244" w:rsidRPr="00005F71" w:rsidRDefault="00FF3244" w:rsidP="00FF3244">
      <w:pPr>
        <w:widowControl/>
        <w:tabs>
          <w:tab w:val="left" w:pos="567"/>
        </w:tabs>
        <w:autoSpaceDE/>
        <w:autoSpaceDN/>
        <w:adjustRightInd/>
        <w:spacing w:line="260" w:lineRule="exact"/>
        <w:rPr>
          <w:rFonts w:eastAsia="Times New Roman"/>
          <w:snapToGrid w:val="0"/>
          <w:sz w:val="22"/>
          <w:lang w:val="lt-LT"/>
        </w:rPr>
      </w:pPr>
    </w:p>
    <w:p w14:paraId="79BC728A" w14:textId="77777777" w:rsidR="00FF3244" w:rsidRPr="00D84321" w:rsidRDefault="00FF3244" w:rsidP="00FF3244">
      <w:pPr>
        <w:widowControl/>
        <w:tabs>
          <w:tab w:val="left" w:pos="567"/>
        </w:tabs>
        <w:autoSpaceDE/>
        <w:autoSpaceDN/>
        <w:adjustRightInd/>
        <w:spacing w:line="260" w:lineRule="exact"/>
        <w:rPr>
          <w:rFonts w:eastAsia="Times New Roman"/>
          <w:snapToGrid w:val="0"/>
          <w:sz w:val="22"/>
          <w:lang w:val="lt-LT"/>
        </w:rPr>
      </w:pPr>
    </w:p>
    <w:p w14:paraId="4D82FEA2" w14:textId="77777777" w:rsidR="00FF3244" w:rsidRPr="00BA3EE6" w:rsidRDefault="00FF3244" w:rsidP="00FF3244">
      <w:pPr>
        <w:widowControl/>
        <w:tabs>
          <w:tab w:val="left" w:pos="567"/>
        </w:tabs>
        <w:autoSpaceDE/>
        <w:autoSpaceDN/>
        <w:adjustRightInd/>
        <w:spacing w:line="260" w:lineRule="exact"/>
        <w:rPr>
          <w:rFonts w:eastAsia="Times New Roman"/>
          <w:snapToGrid w:val="0"/>
          <w:sz w:val="22"/>
          <w:lang w:val="lt-LT"/>
        </w:rPr>
      </w:pPr>
    </w:p>
    <w:p w14:paraId="356F7946" w14:textId="77777777" w:rsidR="00FF3244" w:rsidRPr="00CA491E" w:rsidRDefault="00FF3244" w:rsidP="00FF3244">
      <w:pPr>
        <w:widowControl/>
        <w:tabs>
          <w:tab w:val="left" w:pos="567"/>
        </w:tabs>
        <w:autoSpaceDE/>
        <w:autoSpaceDN/>
        <w:adjustRightInd/>
        <w:spacing w:line="260" w:lineRule="exact"/>
        <w:rPr>
          <w:rFonts w:eastAsia="Times New Roman"/>
          <w:snapToGrid w:val="0"/>
          <w:sz w:val="22"/>
          <w:lang w:val="lt-LT"/>
        </w:rPr>
      </w:pPr>
    </w:p>
    <w:p w14:paraId="108C45E7" w14:textId="77777777" w:rsidR="00FF3244" w:rsidRPr="00105BCD" w:rsidRDefault="00FF3244" w:rsidP="00FF3244">
      <w:pPr>
        <w:widowControl/>
        <w:tabs>
          <w:tab w:val="left" w:pos="567"/>
        </w:tabs>
        <w:autoSpaceDE/>
        <w:autoSpaceDN/>
        <w:adjustRightInd/>
        <w:spacing w:line="260" w:lineRule="exact"/>
        <w:rPr>
          <w:rFonts w:eastAsia="Times New Roman"/>
          <w:snapToGrid w:val="0"/>
          <w:sz w:val="22"/>
          <w:lang w:val="lt-LT"/>
        </w:rPr>
      </w:pPr>
    </w:p>
    <w:p w14:paraId="70626FBA" w14:textId="77777777" w:rsidR="00FF3244" w:rsidRPr="006E4A9B" w:rsidRDefault="00FF3244" w:rsidP="00FF3244">
      <w:pPr>
        <w:keepNext/>
        <w:widowControl/>
        <w:tabs>
          <w:tab w:val="left" w:pos="567"/>
        </w:tabs>
        <w:autoSpaceDE/>
        <w:autoSpaceDN/>
        <w:adjustRightInd/>
        <w:jc w:val="center"/>
        <w:outlineLvl w:val="1"/>
        <w:rPr>
          <w:rFonts w:eastAsia="Times New Roman"/>
          <w:b/>
          <w:snapToGrid w:val="0"/>
          <w:sz w:val="22"/>
          <w:lang w:val="lt-LT" w:eastAsia="x-none"/>
        </w:rPr>
      </w:pPr>
      <w:r w:rsidRPr="007D6506">
        <w:rPr>
          <w:rFonts w:eastAsia="Times New Roman"/>
          <w:b/>
          <w:bCs/>
          <w:iCs/>
          <w:snapToGrid w:val="0"/>
          <w:sz w:val="22"/>
          <w:szCs w:val="28"/>
          <w:lang w:val="lt-LT" w:eastAsia="x-none"/>
        </w:rPr>
        <w:t>A. ŽENKLINIMAS</w:t>
      </w:r>
    </w:p>
    <w:p w14:paraId="0B653759" w14:textId="77777777" w:rsidR="00FF3244" w:rsidRPr="009911D6" w:rsidRDefault="00FF3244" w:rsidP="00FF3244">
      <w:pPr>
        <w:pBdr>
          <w:top w:val="single" w:sz="4" w:space="1" w:color="auto"/>
          <w:left w:val="single" w:sz="4" w:space="4" w:color="auto"/>
          <w:bottom w:val="single" w:sz="4" w:space="1" w:color="auto"/>
          <w:right w:val="single" w:sz="4" w:space="4" w:color="auto"/>
        </w:pBdr>
        <w:rPr>
          <w:rFonts w:eastAsia="Times New Roman"/>
          <w:b/>
          <w:snapToGrid w:val="0"/>
          <w:sz w:val="22"/>
          <w:lang w:val="lt-LT"/>
        </w:rPr>
      </w:pPr>
      <w:r w:rsidRPr="00C0201B">
        <w:rPr>
          <w:rFonts w:eastAsia="Times New Roman"/>
          <w:snapToGrid w:val="0"/>
          <w:sz w:val="22"/>
          <w:lang w:val="lt-LT"/>
        </w:rPr>
        <w:br w:type="page"/>
      </w:r>
      <w:r w:rsidRPr="00C0201B">
        <w:rPr>
          <w:rFonts w:eastAsia="Times New Roman"/>
          <w:b/>
          <w:noProof/>
          <w:snapToGrid w:val="0"/>
          <w:sz w:val="22"/>
          <w:lang w:val="lt-LT"/>
        </w:rPr>
        <w:lastRenderedPageBreak/>
        <w:t xml:space="preserve">INFORMACIJA ANT </w:t>
      </w:r>
      <w:r w:rsidRPr="00C0201B">
        <w:rPr>
          <w:b/>
          <w:noProof/>
          <w:snapToGrid w:val="0"/>
          <w:sz w:val="22"/>
          <w:lang w:val="lt-LT"/>
        </w:rPr>
        <w:t>IŠORINĖS</w:t>
      </w:r>
      <w:r w:rsidRPr="00C0201B">
        <w:rPr>
          <w:rFonts w:eastAsia="Times New Roman"/>
          <w:b/>
          <w:noProof/>
          <w:snapToGrid w:val="0"/>
          <w:sz w:val="22"/>
          <w:lang w:val="lt-LT"/>
        </w:rPr>
        <w:t xml:space="preserve"> </w:t>
      </w:r>
      <w:r w:rsidRPr="00C0201B">
        <w:rPr>
          <w:b/>
          <w:noProof/>
          <w:snapToGrid w:val="0"/>
          <w:sz w:val="22"/>
          <w:lang w:val="lt-LT"/>
        </w:rPr>
        <w:t>PAKUOTĖS</w:t>
      </w:r>
    </w:p>
    <w:p w14:paraId="4508FFB6" w14:textId="77777777" w:rsidR="00FF3244" w:rsidRPr="00DF292D" w:rsidRDefault="00FF3244" w:rsidP="00FF3244">
      <w:pPr>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rPr>
          <w:rFonts w:eastAsia="Times New Roman"/>
          <w:b/>
          <w:snapToGrid w:val="0"/>
          <w:sz w:val="22"/>
          <w:lang w:val="lt-LT"/>
        </w:rPr>
      </w:pPr>
    </w:p>
    <w:p w14:paraId="0546D3AB" w14:textId="77777777" w:rsidR="00FF3244" w:rsidRPr="00390E07" w:rsidRDefault="00FF3244" w:rsidP="00FF3244">
      <w:pPr>
        <w:widowControl/>
        <w:pBdr>
          <w:top w:val="single" w:sz="4" w:space="1" w:color="auto"/>
          <w:left w:val="single" w:sz="4" w:space="4" w:color="auto"/>
          <w:bottom w:val="single" w:sz="4" w:space="1" w:color="auto"/>
          <w:right w:val="single" w:sz="4" w:space="4" w:color="auto"/>
        </w:pBdr>
        <w:tabs>
          <w:tab w:val="left" w:pos="567"/>
        </w:tabs>
        <w:autoSpaceDE/>
        <w:autoSpaceDN/>
        <w:adjustRightInd/>
        <w:rPr>
          <w:rFonts w:eastAsia="Times New Roman"/>
          <w:b/>
          <w:snapToGrid w:val="0"/>
          <w:sz w:val="22"/>
          <w:lang w:val="lt-LT"/>
        </w:rPr>
      </w:pPr>
      <w:r w:rsidRPr="00A31754">
        <w:rPr>
          <w:rFonts w:eastAsia="Times New Roman"/>
          <w:b/>
          <w:noProof/>
          <w:snapToGrid w:val="0"/>
          <w:sz w:val="22"/>
          <w:lang w:val="lt-LT"/>
        </w:rPr>
        <w:t>KARTONO D</w:t>
      </w:r>
      <w:r w:rsidRPr="00A31754">
        <w:rPr>
          <w:b/>
          <w:noProof/>
          <w:snapToGrid w:val="0"/>
          <w:sz w:val="22"/>
          <w:lang w:val="lt-LT"/>
        </w:rPr>
        <w:t>ĖŽUTĖ</w:t>
      </w:r>
    </w:p>
    <w:p w14:paraId="093305D7" w14:textId="77777777" w:rsidR="00FF3244" w:rsidRPr="00A045C4" w:rsidRDefault="00FF3244" w:rsidP="00FF3244">
      <w:pPr>
        <w:widowControl/>
        <w:tabs>
          <w:tab w:val="left" w:pos="567"/>
        </w:tabs>
        <w:autoSpaceDE/>
        <w:autoSpaceDN/>
        <w:adjustRightInd/>
        <w:spacing w:line="260" w:lineRule="exact"/>
        <w:rPr>
          <w:rFonts w:eastAsia="Times New Roman"/>
          <w:snapToGrid w:val="0"/>
          <w:sz w:val="22"/>
          <w:lang w:val="lt-LT"/>
        </w:rPr>
      </w:pPr>
    </w:p>
    <w:p w14:paraId="0573BDDC" w14:textId="77777777" w:rsidR="00FF3244" w:rsidRPr="00A045C4" w:rsidRDefault="00FF3244" w:rsidP="00FF3244">
      <w:pPr>
        <w:widowControl/>
        <w:tabs>
          <w:tab w:val="left" w:pos="567"/>
        </w:tabs>
        <w:autoSpaceDE/>
        <w:autoSpaceDN/>
        <w:adjustRightInd/>
        <w:spacing w:line="260" w:lineRule="exact"/>
        <w:rPr>
          <w:rFonts w:eastAsia="Times New Roman"/>
          <w:snapToGrid w:val="0"/>
          <w:sz w:val="22"/>
          <w:lang w:val="lt-LT"/>
        </w:rPr>
      </w:pPr>
    </w:p>
    <w:p w14:paraId="44474F9A" w14:textId="77777777" w:rsidR="00FF3244" w:rsidRPr="00A31524" w:rsidRDefault="00FF3244" w:rsidP="00FF3244">
      <w:pPr>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outlineLvl w:val="0"/>
        <w:rPr>
          <w:rFonts w:eastAsia="Times New Roman"/>
          <w:snapToGrid w:val="0"/>
          <w:sz w:val="22"/>
          <w:lang w:val="lt-LT"/>
        </w:rPr>
      </w:pPr>
      <w:r w:rsidRPr="003A0127">
        <w:rPr>
          <w:rFonts w:eastAsia="Times New Roman"/>
          <w:b/>
          <w:snapToGrid w:val="0"/>
          <w:sz w:val="22"/>
          <w:lang w:val="lt-LT"/>
        </w:rPr>
        <w:t>1.</w:t>
      </w:r>
      <w:r w:rsidRPr="0059180B">
        <w:rPr>
          <w:rFonts w:eastAsia="Times New Roman"/>
          <w:b/>
          <w:snapToGrid w:val="0"/>
          <w:sz w:val="22"/>
          <w:lang w:val="lt-LT"/>
        </w:rPr>
        <w:tab/>
      </w:r>
      <w:r w:rsidRPr="0059180B">
        <w:rPr>
          <w:rFonts w:eastAsia="Times New Roman"/>
          <w:b/>
          <w:caps/>
          <w:noProof/>
          <w:snapToGrid w:val="0"/>
          <w:sz w:val="22"/>
          <w:lang w:val="lt-LT"/>
        </w:rPr>
        <w:t>VAISTINIO</w:t>
      </w:r>
      <w:r w:rsidRPr="00D4458C">
        <w:rPr>
          <w:rFonts w:eastAsia="Times New Roman"/>
          <w:b/>
          <w:noProof/>
          <w:snapToGrid w:val="0"/>
          <w:sz w:val="22"/>
          <w:lang w:val="lt-LT"/>
        </w:rPr>
        <w:t xml:space="preserve"> PREPARATO PAVADINIMAS</w:t>
      </w:r>
    </w:p>
    <w:p w14:paraId="7EC5A700" w14:textId="77777777" w:rsidR="000F2B97" w:rsidRPr="008B1AE9" w:rsidRDefault="000F2B97" w:rsidP="00FF3244">
      <w:pPr>
        <w:widowControl/>
        <w:tabs>
          <w:tab w:val="left" w:pos="567"/>
        </w:tabs>
        <w:autoSpaceDE/>
        <w:autoSpaceDN/>
        <w:adjustRightInd/>
        <w:spacing w:line="260" w:lineRule="exact"/>
        <w:rPr>
          <w:b/>
          <w:bCs/>
          <w:sz w:val="22"/>
          <w:szCs w:val="22"/>
          <w:lang w:val="lt-LT"/>
        </w:rPr>
      </w:pPr>
    </w:p>
    <w:p w14:paraId="7FA4A5F4" w14:textId="77777777" w:rsidR="002A09DE" w:rsidRPr="008B1AE9" w:rsidRDefault="00B61707" w:rsidP="008C6014">
      <w:pPr>
        <w:rPr>
          <w:sz w:val="22"/>
          <w:szCs w:val="22"/>
          <w:lang w:val="lt-LT"/>
        </w:rPr>
      </w:pPr>
      <w:r w:rsidRPr="008B1AE9">
        <w:rPr>
          <w:sz w:val="22"/>
          <w:szCs w:val="22"/>
          <w:lang w:val="lt-LT"/>
        </w:rPr>
        <w:t>Silungo</w:t>
      </w:r>
      <w:r w:rsidR="00C05173" w:rsidRPr="008B1AE9">
        <w:rPr>
          <w:sz w:val="22"/>
          <w:szCs w:val="22"/>
          <w:lang w:val="lt-LT"/>
        </w:rPr>
        <w:t xml:space="preserve"> 20</w:t>
      </w:r>
      <w:r w:rsidR="005E5846">
        <w:rPr>
          <w:sz w:val="22"/>
          <w:szCs w:val="22"/>
          <w:lang w:val="lt-LT"/>
        </w:rPr>
        <w:t> </w:t>
      </w:r>
      <w:r w:rsidR="00C05173" w:rsidRPr="008B1AE9">
        <w:rPr>
          <w:sz w:val="22"/>
          <w:szCs w:val="22"/>
          <w:lang w:val="lt-LT"/>
        </w:rPr>
        <w:t xml:space="preserve">mg plėvele dengtos tabletės </w:t>
      </w:r>
    </w:p>
    <w:p w14:paraId="6A7F84B0" w14:textId="37ED5A98" w:rsidR="00C05173" w:rsidRPr="008B1AE9" w:rsidRDefault="00191141" w:rsidP="008C6014">
      <w:pPr>
        <w:rPr>
          <w:b/>
          <w:bCs/>
          <w:sz w:val="22"/>
          <w:szCs w:val="22"/>
          <w:lang w:val="lt-LT"/>
        </w:rPr>
      </w:pPr>
      <w:r>
        <w:rPr>
          <w:sz w:val="22"/>
          <w:szCs w:val="22"/>
          <w:lang w:val="lt-LT"/>
        </w:rPr>
        <w:t>s</w:t>
      </w:r>
      <w:r w:rsidR="00C05173" w:rsidRPr="008B1AE9">
        <w:rPr>
          <w:sz w:val="22"/>
          <w:szCs w:val="22"/>
          <w:lang w:val="lt-LT"/>
        </w:rPr>
        <w:t>ildenafil</w:t>
      </w:r>
      <w:r w:rsidR="002A09DE" w:rsidRPr="008B1AE9">
        <w:rPr>
          <w:sz w:val="22"/>
          <w:szCs w:val="22"/>
          <w:lang w:val="lt-LT"/>
        </w:rPr>
        <w:t>um</w:t>
      </w:r>
    </w:p>
    <w:p w14:paraId="3912484D" w14:textId="77777777" w:rsidR="00C05173" w:rsidRPr="008B1AE9" w:rsidRDefault="00C05173" w:rsidP="008C6014">
      <w:pPr>
        <w:rPr>
          <w:sz w:val="22"/>
          <w:szCs w:val="22"/>
          <w:lang w:val="lt-LT"/>
        </w:rPr>
      </w:pPr>
    </w:p>
    <w:p w14:paraId="0D6C8F30" w14:textId="77777777" w:rsidR="00FF3244" w:rsidRPr="005A3594" w:rsidRDefault="00FF3244" w:rsidP="00FF3244">
      <w:pPr>
        <w:widowControl/>
        <w:tabs>
          <w:tab w:val="left" w:pos="567"/>
        </w:tabs>
        <w:autoSpaceDE/>
        <w:autoSpaceDN/>
        <w:adjustRightInd/>
        <w:spacing w:line="260" w:lineRule="exact"/>
        <w:rPr>
          <w:rFonts w:eastAsia="Times New Roman"/>
          <w:snapToGrid w:val="0"/>
          <w:sz w:val="22"/>
          <w:lang w:val="lt-LT"/>
        </w:rPr>
      </w:pPr>
    </w:p>
    <w:p w14:paraId="18BDD66B" w14:textId="77777777" w:rsidR="00FF3244" w:rsidRPr="00AE5BD5" w:rsidRDefault="00FF3244" w:rsidP="00FF3244">
      <w:pPr>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outlineLvl w:val="0"/>
        <w:rPr>
          <w:rFonts w:eastAsia="Times New Roman"/>
          <w:b/>
          <w:snapToGrid w:val="0"/>
          <w:sz w:val="22"/>
          <w:lang w:val="lt-LT"/>
        </w:rPr>
      </w:pPr>
      <w:r w:rsidRPr="00AE5BD5">
        <w:rPr>
          <w:rFonts w:eastAsia="Times New Roman"/>
          <w:b/>
          <w:snapToGrid w:val="0"/>
          <w:sz w:val="22"/>
          <w:lang w:val="lt-LT"/>
        </w:rPr>
        <w:t>2.</w:t>
      </w:r>
      <w:r w:rsidRPr="00AE5BD5">
        <w:rPr>
          <w:rFonts w:eastAsia="Times New Roman"/>
          <w:b/>
          <w:snapToGrid w:val="0"/>
          <w:sz w:val="22"/>
          <w:lang w:val="lt-LT"/>
        </w:rPr>
        <w:tab/>
      </w:r>
      <w:r w:rsidRPr="00AE5BD5">
        <w:rPr>
          <w:b/>
          <w:noProof/>
          <w:snapToGrid w:val="0"/>
          <w:sz w:val="22"/>
          <w:lang w:val="lt-LT"/>
        </w:rPr>
        <w:t>VEIKLIOJI (-IOS) MEDŽIAGA (-OS) IR JOS (-Ų) KIEKIS (-IAI)</w:t>
      </w:r>
    </w:p>
    <w:p w14:paraId="45D78044" w14:textId="77777777" w:rsidR="00FF3244" w:rsidRPr="008B1AE9" w:rsidRDefault="00FF3244" w:rsidP="00FF3244">
      <w:pPr>
        <w:widowControl/>
        <w:tabs>
          <w:tab w:val="left" w:pos="567"/>
        </w:tabs>
        <w:autoSpaceDE/>
        <w:autoSpaceDN/>
        <w:adjustRightInd/>
        <w:spacing w:line="260" w:lineRule="exact"/>
        <w:rPr>
          <w:rFonts w:eastAsia="Times New Roman"/>
          <w:snapToGrid w:val="0"/>
          <w:sz w:val="22"/>
          <w:lang w:val="lt-LT"/>
        </w:rPr>
      </w:pPr>
    </w:p>
    <w:p w14:paraId="77608FC9" w14:textId="77777777" w:rsidR="00C05173" w:rsidRPr="008B1AE9" w:rsidRDefault="00C05173" w:rsidP="008C6014">
      <w:pPr>
        <w:rPr>
          <w:sz w:val="22"/>
          <w:szCs w:val="22"/>
          <w:lang w:val="lt-LT"/>
        </w:rPr>
      </w:pPr>
      <w:r w:rsidRPr="008B1AE9">
        <w:rPr>
          <w:sz w:val="22"/>
          <w:szCs w:val="22"/>
          <w:lang w:val="lt-LT"/>
        </w:rPr>
        <w:t>Kiekvienoje tabletėje yra 20</w:t>
      </w:r>
      <w:r w:rsidR="005E5846">
        <w:rPr>
          <w:sz w:val="22"/>
          <w:szCs w:val="22"/>
          <w:lang w:val="lt-LT"/>
        </w:rPr>
        <w:t> </w:t>
      </w:r>
      <w:r w:rsidRPr="008B1AE9">
        <w:rPr>
          <w:sz w:val="22"/>
          <w:szCs w:val="22"/>
          <w:lang w:val="lt-LT"/>
        </w:rPr>
        <w:t>mg sildenafilio (citrato pavidal</w:t>
      </w:r>
      <w:r w:rsidR="00A03602">
        <w:rPr>
          <w:sz w:val="22"/>
          <w:szCs w:val="22"/>
          <w:lang w:val="lt-LT"/>
        </w:rPr>
        <w:t>u</w:t>
      </w:r>
      <w:r w:rsidRPr="008B1AE9">
        <w:rPr>
          <w:sz w:val="22"/>
          <w:szCs w:val="22"/>
          <w:lang w:val="lt-LT"/>
        </w:rPr>
        <w:t>).</w:t>
      </w:r>
    </w:p>
    <w:p w14:paraId="4E78FF1D" w14:textId="77777777" w:rsidR="00C05173" w:rsidRPr="008B1AE9" w:rsidRDefault="00C05173" w:rsidP="008C6014">
      <w:pPr>
        <w:rPr>
          <w:sz w:val="22"/>
          <w:szCs w:val="22"/>
          <w:lang w:val="lt-LT"/>
        </w:rPr>
      </w:pPr>
    </w:p>
    <w:p w14:paraId="12DFE75C" w14:textId="77777777" w:rsidR="00FF3244" w:rsidRPr="008B1AE9" w:rsidRDefault="00FF3244" w:rsidP="008C6014">
      <w:pPr>
        <w:rPr>
          <w:sz w:val="22"/>
          <w:szCs w:val="22"/>
          <w:lang w:val="lt-LT"/>
        </w:rPr>
      </w:pPr>
    </w:p>
    <w:p w14:paraId="32BB7683" w14:textId="77777777" w:rsidR="00FF3244" w:rsidRPr="00AE5BD5" w:rsidRDefault="00FF3244" w:rsidP="00FF3244">
      <w:pPr>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outlineLvl w:val="0"/>
        <w:rPr>
          <w:rFonts w:eastAsia="Times New Roman"/>
          <w:snapToGrid w:val="0"/>
          <w:sz w:val="22"/>
          <w:lang w:val="lt-LT"/>
        </w:rPr>
      </w:pPr>
      <w:r w:rsidRPr="005A3594">
        <w:rPr>
          <w:rFonts w:eastAsia="Times New Roman"/>
          <w:b/>
          <w:snapToGrid w:val="0"/>
          <w:sz w:val="22"/>
          <w:lang w:val="lt-LT"/>
        </w:rPr>
        <w:t>3.</w:t>
      </w:r>
      <w:r w:rsidRPr="005A3594">
        <w:rPr>
          <w:rFonts w:eastAsia="Times New Roman"/>
          <w:b/>
          <w:snapToGrid w:val="0"/>
          <w:sz w:val="22"/>
          <w:lang w:val="lt-LT"/>
        </w:rPr>
        <w:tab/>
      </w:r>
      <w:r w:rsidRPr="005A3594">
        <w:rPr>
          <w:b/>
          <w:noProof/>
          <w:snapToGrid w:val="0"/>
          <w:sz w:val="22"/>
          <w:lang w:val="lt-LT"/>
        </w:rPr>
        <w:t>PAGALBINIŲ MEDŽIAGŲ SĄRAŠAS</w:t>
      </w:r>
    </w:p>
    <w:p w14:paraId="5CBE3B02" w14:textId="77777777" w:rsidR="000F2B97" w:rsidRPr="008B1AE9" w:rsidRDefault="000F2B97" w:rsidP="008C6014">
      <w:pPr>
        <w:rPr>
          <w:sz w:val="22"/>
          <w:szCs w:val="22"/>
          <w:lang w:val="lt-LT"/>
        </w:rPr>
      </w:pPr>
    </w:p>
    <w:p w14:paraId="08EA9725" w14:textId="77777777" w:rsidR="00C05173" w:rsidRPr="008B1AE9" w:rsidRDefault="00C05173" w:rsidP="008C6014">
      <w:pPr>
        <w:rPr>
          <w:sz w:val="22"/>
          <w:szCs w:val="22"/>
          <w:lang w:val="lt-LT"/>
        </w:rPr>
      </w:pPr>
      <w:r w:rsidRPr="008B1AE9">
        <w:rPr>
          <w:sz w:val="22"/>
          <w:szCs w:val="22"/>
          <w:lang w:val="lt-LT"/>
        </w:rPr>
        <w:t>Sudėtyje yra laktozės monohidrato. Išsamią informaciją žr. pakuotės lapelyje.</w:t>
      </w:r>
    </w:p>
    <w:p w14:paraId="2AB50AA2" w14:textId="77777777" w:rsidR="00C05173" w:rsidRPr="008B1AE9" w:rsidRDefault="00C05173" w:rsidP="008C6014">
      <w:pPr>
        <w:rPr>
          <w:sz w:val="22"/>
          <w:szCs w:val="22"/>
          <w:lang w:val="lt-LT"/>
        </w:rPr>
      </w:pPr>
    </w:p>
    <w:p w14:paraId="7E65B86C" w14:textId="77777777" w:rsidR="00FF3244" w:rsidRPr="005A3594" w:rsidRDefault="00FF3244" w:rsidP="00FF3244">
      <w:pPr>
        <w:widowControl/>
        <w:tabs>
          <w:tab w:val="left" w:pos="567"/>
        </w:tabs>
        <w:autoSpaceDE/>
        <w:autoSpaceDN/>
        <w:adjustRightInd/>
        <w:spacing w:line="260" w:lineRule="exact"/>
        <w:rPr>
          <w:rFonts w:eastAsia="Times New Roman"/>
          <w:snapToGrid w:val="0"/>
          <w:sz w:val="22"/>
          <w:lang w:val="lt-LT"/>
        </w:rPr>
      </w:pPr>
    </w:p>
    <w:p w14:paraId="1F6103B1" w14:textId="77777777" w:rsidR="00FF3244" w:rsidRPr="008B1AE9" w:rsidRDefault="00FF3244" w:rsidP="00FF3244">
      <w:pPr>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outlineLvl w:val="0"/>
        <w:rPr>
          <w:rFonts w:eastAsia="Times New Roman"/>
          <w:snapToGrid w:val="0"/>
          <w:sz w:val="22"/>
          <w:lang w:val="lt-LT"/>
        </w:rPr>
      </w:pPr>
      <w:r w:rsidRPr="00AE5BD5">
        <w:rPr>
          <w:rFonts w:eastAsia="Times New Roman"/>
          <w:b/>
          <w:snapToGrid w:val="0"/>
          <w:sz w:val="22"/>
          <w:lang w:val="lt-LT"/>
        </w:rPr>
        <w:t>4.</w:t>
      </w:r>
      <w:r w:rsidRPr="00AE5BD5">
        <w:rPr>
          <w:rFonts w:eastAsia="Times New Roman"/>
          <w:b/>
          <w:snapToGrid w:val="0"/>
          <w:sz w:val="22"/>
          <w:lang w:val="lt-LT"/>
        </w:rPr>
        <w:tab/>
      </w:r>
      <w:r w:rsidRPr="00AE5BD5">
        <w:rPr>
          <w:rFonts w:eastAsia="Times New Roman"/>
          <w:b/>
          <w:noProof/>
          <w:snapToGrid w:val="0"/>
          <w:sz w:val="22"/>
          <w:lang w:val="lt-LT"/>
        </w:rPr>
        <w:t>FAR</w:t>
      </w:r>
      <w:r w:rsidRPr="00AE5BD5">
        <w:rPr>
          <w:b/>
          <w:noProof/>
          <w:snapToGrid w:val="0"/>
          <w:sz w:val="22"/>
          <w:lang w:val="lt-LT"/>
        </w:rPr>
        <w:t>MACINĖ FORMA IR KIEKIS PAKUOTĖJE</w:t>
      </w:r>
    </w:p>
    <w:p w14:paraId="67D76BE6" w14:textId="77777777" w:rsidR="00FF3244" w:rsidRPr="008B1AE9" w:rsidRDefault="00FF3244" w:rsidP="00FF3244">
      <w:pPr>
        <w:widowControl/>
        <w:tabs>
          <w:tab w:val="left" w:pos="567"/>
        </w:tabs>
        <w:autoSpaceDE/>
        <w:autoSpaceDN/>
        <w:adjustRightInd/>
        <w:spacing w:line="260" w:lineRule="exact"/>
        <w:rPr>
          <w:rFonts w:eastAsia="Times New Roman"/>
          <w:snapToGrid w:val="0"/>
          <w:sz w:val="22"/>
          <w:lang w:val="lt-LT"/>
        </w:rPr>
      </w:pPr>
    </w:p>
    <w:p w14:paraId="4E534526" w14:textId="77777777" w:rsidR="00C05173" w:rsidRPr="008B1AE9" w:rsidRDefault="00C05173" w:rsidP="008C6014">
      <w:pPr>
        <w:rPr>
          <w:sz w:val="22"/>
          <w:szCs w:val="22"/>
          <w:lang w:val="lt-LT"/>
        </w:rPr>
      </w:pPr>
      <w:r w:rsidRPr="008B1AE9">
        <w:rPr>
          <w:sz w:val="22"/>
          <w:szCs w:val="22"/>
          <w:lang w:val="lt-LT"/>
        </w:rPr>
        <w:t>90 plėvele dengtų tablečių</w:t>
      </w:r>
    </w:p>
    <w:p w14:paraId="6B90A08A" w14:textId="77777777" w:rsidR="00D219F1" w:rsidRPr="008B1AE9" w:rsidRDefault="00D219F1" w:rsidP="008C6014">
      <w:pPr>
        <w:rPr>
          <w:sz w:val="22"/>
          <w:szCs w:val="22"/>
          <w:lang w:val="lt-LT"/>
        </w:rPr>
      </w:pPr>
      <w:r w:rsidRPr="00581539">
        <w:rPr>
          <w:sz w:val="22"/>
          <w:highlight w:val="lightGray"/>
          <w:lang w:val="lt-LT"/>
        </w:rPr>
        <w:t xml:space="preserve">50 </w:t>
      </w:r>
      <w:r w:rsidR="00C05173" w:rsidRPr="00581539">
        <w:rPr>
          <w:sz w:val="22"/>
          <w:highlight w:val="lightGray"/>
          <w:lang w:val="lt-LT"/>
        </w:rPr>
        <w:t>plėvele dengtų tablečių</w:t>
      </w:r>
    </w:p>
    <w:p w14:paraId="266BB0E4" w14:textId="77777777" w:rsidR="00C05173" w:rsidRPr="008B1AE9" w:rsidRDefault="00C05173" w:rsidP="008C6014">
      <w:pPr>
        <w:rPr>
          <w:sz w:val="22"/>
          <w:szCs w:val="22"/>
          <w:lang w:val="lt-LT"/>
        </w:rPr>
      </w:pPr>
      <w:r w:rsidRPr="000C463E">
        <w:rPr>
          <w:sz w:val="22"/>
          <w:szCs w:val="22"/>
          <w:highlight w:val="lightGray"/>
          <w:lang w:val="lt-LT"/>
        </w:rPr>
        <w:t>300 plėvele dengtų tablečių</w:t>
      </w:r>
    </w:p>
    <w:p w14:paraId="0C6DDDE4" w14:textId="77777777" w:rsidR="00C05173" w:rsidRPr="008B1AE9" w:rsidRDefault="00C05173" w:rsidP="008C6014">
      <w:pPr>
        <w:rPr>
          <w:sz w:val="22"/>
          <w:szCs w:val="22"/>
          <w:lang w:val="lt-LT"/>
        </w:rPr>
      </w:pPr>
    </w:p>
    <w:p w14:paraId="6DE63D1B" w14:textId="77777777" w:rsidR="00FF3244" w:rsidRPr="005A3594" w:rsidRDefault="00FF3244" w:rsidP="00FF3244">
      <w:pPr>
        <w:widowControl/>
        <w:tabs>
          <w:tab w:val="left" w:pos="567"/>
        </w:tabs>
        <w:autoSpaceDE/>
        <w:autoSpaceDN/>
        <w:adjustRightInd/>
        <w:spacing w:line="260" w:lineRule="exact"/>
        <w:rPr>
          <w:rFonts w:eastAsia="Times New Roman"/>
          <w:snapToGrid w:val="0"/>
          <w:sz w:val="22"/>
          <w:lang w:val="lt-LT"/>
        </w:rPr>
      </w:pPr>
    </w:p>
    <w:p w14:paraId="34C32760" w14:textId="77777777" w:rsidR="00FF3244" w:rsidRPr="00AE5BD5" w:rsidRDefault="00FF3244" w:rsidP="00FF3244">
      <w:pPr>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outlineLvl w:val="0"/>
        <w:rPr>
          <w:rFonts w:eastAsia="Times New Roman"/>
          <w:snapToGrid w:val="0"/>
          <w:sz w:val="22"/>
          <w:lang w:val="lt-LT"/>
        </w:rPr>
      </w:pPr>
      <w:r w:rsidRPr="00AE5BD5">
        <w:rPr>
          <w:rFonts w:eastAsia="Times New Roman"/>
          <w:b/>
          <w:snapToGrid w:val="0"/>
          <w:sz w:val="22"/>
          <w:lang w:val="lt-LT"/>
        </w:rPr>
        <w:t>5.</w:t>
      </w:r>
      <w:r w:rsidRPr="00AE5BD5">
        <w:rPr>
          <w:rFonts w:eastAsia="Times New Roman"/>
          <w:b/>
          <w:snapToGrid w:val="0"/>
          <w:sz w:val="22"/>
          <w:lang w:val="lt-LT"/>
        </w:rPr>
        <w:tab/>
      </w:r>
      <w:r w:rsidRPr="00AE5BD5">
        <w:rPr>
          <w:b/>
          <w:noProof/>
          <w:snapToGrid w:val="0"/>
          <w:sz w:val="22"/>
          <w:lang w:val="lt-LT"/>
        </w:rPr>
        <w:t>VARTOJIMO METODAS IR BŪDAS (-AI)</w:t>
      </w:r>
    </w:p>
    <w:p w14:paraId="3DCA5D60" w14:textId="77777777" w:rsidR="00FF3244" w:rsidRPr="008B1AE9" w:rsidRDefault="00FF3244" w:rsidP="00FF3244">
      <w:pPr>
        <w:widowControl/>
        <w:tabs>
          <w:tab w:val="left" w:pos="567"/>
        </w:tabs>
        <w:autoSpaceDE/>
        <w:autoSpaceDN/>
        <w:adjustRightInd/>
        <w:spacing w:line="260" w:lineRule="exact"/>
        <w:rPr>
          <w:rFonts w:eastAsia="Times New Roman"/>
          <w:snapToGrid w:val="0"/>
          <w:sz w:val="22"/>
          <w:lang w:val="lt-LT"/>
        </w:rPr>
      </w:pPr>
    </w:p>
    <w:p w14:paraId="176CFB01" w14:textId="77777777" w:rsidR="005E5846" w:rsidRDefault="00C05173" w:rsidP="008C6014">
      <w:pPr>
        <w:rPr>
          <w:sz w:val="22"/>
          <w:szCs w:val="22"/>
          <w:lang w:val="lt-LT"/>
        </w:rPr>
      </w:pPr>
      <w:r w:rsidRPr="008B1AE9">
        <w:rPr>
          <w:sz w:val="22"/>
          <w:szCs w:val="22"/>
          <w:lang w:val="lt-LT"/>
        </w:rPr>
        <w:t xml:space="preserve">Prieš vartojimą perskaitykite pakuotės lapelį. </w:t>
      </w:r>
    </w:p>
    <w:p w14:paraId="4AE601A5" w14:textId="77777777" w:rsidR="00C05173" w:rsidRPr="008B1AE9" w:rsidRDefault="00C05173" w:rsidP="008C6014">
      <w:pPr>
        <w:rPr>
          <w:sz w:val="22"/>
          <w:szCs w:val="22"/>
          <w:lang w:val="lt-LT"/>
        </w:rPr>
      </w:pPr>
      <w:r w:rsidRPr="008B1AE9">
        <w:rPr>
          <w:sz w:val="22"/>
          <w:szCs w:val="22"/>
          <w:lang w:val="lt-LT"/>
        </w:rPr>
        <w:t>Vartoti per burną.</w:t>
      </w:r>
    </w:p>
    <w:p w14:paraId="74D9FE31" w14:textId="77777777" w:rsidR="00C05173" w:rsidRPr="008B1AE9" w:rsidRDefault="00C05173" w:rsidP="008C6014">
      <w:pPr>
        <w:rPr>
          <w:sz w:val="22"/>
          <w:szCs w:val="22"/>
          <w:lang w:val="lt-LT"/>
        </w:rPr>
      </w:pPr>
    </w:p>
    <w:p w14:paraId="69F9832D" w14:textId="77777777" w:rsidR="00FF3244" w:rsidRPr="005A3594" w:rsidRDefault="00FF3244" w:rsidP="00FF3244">
      <w:pPr>
        <w:widowControl/>
        <w:tabs>
          <w:tab w:val="left" w:pos="567"/>
        </w:tabs>
        <w:autoSpaceDE/>
        <w:autoSpaceDN/>
        <w:adjustRightInd/>
        <w:spacing w:line="260" w:lineRule="exact"/>
        <w:rPr>
          <w:rFonts w:eastAsia="Times New Roman"/>
          <w:snapToGrid w:val="0"/>
          <w:sz w:val="22"/>
          <w:lang w:val="lt-LT"/>
        </w:rPr>
      </w:pPr>
    </w:p>
    <w:p w14:paraId="242A4C69" w14:textId="77777777" w:rsidR="00FF3244" w:rsidRPr="00AE5BD5" w:rsidRDefault="00FF3244" w:rsidP="00FF3244">
      <w:pPr>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outlineLvl w:val="0"/>
        <w:rPr>
          <w:rFonts w:eastAsia="Times New Roman"/>
          <w:snapToGrid w:val="0"/>
          <w:sz w:val="22"/>
          <w:lang w:val="lt-LT"/>
        </w:rPr>
      </w:pPr>
      <w:r w:rsidRPr="00AE5BD5">
        <w:rPr>
          <w:rFonts w:eastAsia="Times New Roman"/>
          <w:b/>
          <w:snapToGrid w:val="0"/>
          <w:sz w:val="22"/>
          <w:lang w:val="lt-LT"/>
        </w:rPr>
        <w:t>6.</w:t>
      </w:r>
      <w:r w:rsidRPr="00AE5BD5">
        <w:rPr>
          <w:rFonts w:eastAsia="Times New Roman"/>
          <w:b/>
          <w:snapToGrid w:val="0"/>
          <w:sz w:val="22"/>
          <w:lang w:val="lt-LT"/>
        </w:rPr>
        <w:tab/>
      </w:r>
      <w:r w:rsidRPr="00AE5BD5">
        <w:rPr>
          <w:b/>
          <w:noProof/>
          <w:snapToGrid w:val="0"/>
          <w:sz w:val="22"/>
          <w:lang w:val="lt-LT"/>
        </w:rPr>
        <w:t>SPECIALUS ĮSPĖJIMAS, KAD VAISTINĮ PREPARATĄ BŪTINA LAIKYTI VAIKAMS NEPASTEBIMOJE IR  NEPASIEKIAMOJE VIETOJE</w:t>
      </w:r>
    </w:p>
    <w:p w14:paraId="05C223AD" w14:textId="77777777" w:rsidR="00FF3244" w:rsidRPr="008B1AE9" w:rsidRDefault="00FF3244" w:rsidP="00FF3244">
      <w:pPr>
        <w:widowControl/>
        <w:tabs>
          <w:tab w:val="left" w:pos="567"/>
        </w:tabs>
        <w:autoSpaceDE/>
        <w:autoSpaceDN/>
        <w:adjustRightInd/>
        <w:spacing w:line="260" w:lineRule="exact"/>
        <w:rPr>
          <w:rFonts w:eastAsia="Times New Roman"/>
          <w:snapToGrid w:val="0"/>
          <w:sz w:val="22"/>
          <w:lang w:val="lt-LT"/>
        </w:rPr>
      </w:pPr>
    </w:p>
    <w:p w14:paraId="03DF5AED" w14:textId="77777777" w:rsidR="00C05173" w:rsidRPr="008B1AE9" w:rsidRDefault="00C05173" w:rsidP="008C6014">
      <w:pPr>
        <w:rPr>
          <w:sz w:val="22"/>
          <w:szCs w:val="22"/>
          <w:lang w:val="lt-LT"/>
        </w:rPr>
      </w:pPr>
      <w:r w:rsidRPr="008B1AE9">
        <w:rPr>
          <w:sz w:val="22"/>
          <w:szCs w:val="22"/>
          <w:lang w:val="lt-LT"/>
        </w:rPr>
        <w:t>Laikyti vaikams nepastebimoje ir nepasiekiamoje vietoje.</w:t>
      </w:r>
    </w:p>
    <w:p w14:paraId="2AAFD69E" w14:textId="77777777" w:rsidR="00FF3244" w:rsidRPr="008B1AE9" w:rsidRDefault="00FF3244" w:rsidP="008C6014">
      <w:pPr>
        <w:rPr>
          <w:sz w:val="22"/>
          <w:szCs w:val="22"/>
          <w:lang w:val="lt-LT"/>
        </w:rPr>
      </w:pPr>
    </w:p>
    <w:p w14:paraId="36C93ECB" w14:textId="77777777" w:rsidR="00FF3244" w:rsidRPr="008B1AE9" w:rsidRDefault="00FF3244" w:rsidP="008C6014">
      <w:pPr>
        <w:rPr>
          <w:sz w:val="22"/>
          <w:szCs w:val="22"/>
          <w:lang w:val="lt-LT"/>
        </w:rPr>
      </w:pPr>
    </w:p>
    <w:p w14:paraId="617AD1F4" w14:textId="77777777" w:rsidR="00FF3244" w:rsidRPr="00AE5BD5" w:rsidRDefault="00FF3244" w:rsidP="00FF3244">
      <w:pPr>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outlineLvl w:val="0"/>
        <w:rPr>
          <w:rFonts w:eastAsia="Times New Roman"/>
          <w:snapToGrid w:val="0"/>
          <w:sz w:val="22"/>
          <w:lang w:val="lt-LT"/>
        </w:rPr>
      </w:pPr>
      <w:r w:rsidRPr="005A3594">
        <w:rPr>
          <w:rFonts w:eastAsia="Times New Roman"/>
          <w:b/>
          <w:snapToGrid w:val="0"/>
          <w:sz w:val="22"/>
          <w:lang w:val="lt-LT"/>
        </w:rPr>
        <w:t>7.</w:t>
      </w:r>
      <w:r w:rsidRPr="005A3594">
        <w:rPr>
          <w:rFonts w:eastAsia="Times New Roman"/>
          <w:b/>
          <w:snapToGrid w:val="0"/>
          <w:sz w:val="22"/>
          <w:lang w:val="lt-LT"/>
        </w:rPr>
        <w:tab/>
      </w:r>
      <w:r w:rsidRPr="005A3594">
        <w:rPr>
          <w:b/>
          <w:noProof/>
          <w:snapToGrid w:val="0"/>
          <w:sz w:val="22"/>
          <w:lang w:val="lt-LT"/>
        </w:rPr>
        <w:t>KITAS (-I) SPECIALUS (-ŪS) ĮSPĖJIMAS (-AI) (JEI REIKIA)</w:t>
      </w:r>
    </w:p>
    <w:p w14:paraId="3FD5602C" w14:textId="77777777" w:rsidR="00FF3244" w:rsidRPr="008B1AE9" w:rsidRDefault="00FF3244" w:rsidP="00FF3244">
      <w:pPr>
        <w:widowControl/>
        <w:tabs>
          <w:tab w:val="left" w:pos="567"/>
        </w:tabs>
        <w:autoSpaceDE/>
        <w:autoSpaceDN/>
        <w:adjustRightInd/>
        <w:spacing w:line="260" w:lineRule="exact"/>
        <w:rPr>
          <w:rFonts w:eastAsia="Times New Roman"/>
          <w:snapToGrid w:val="0"/>
          <w:sz w:val="22"/>
          <w:lang w:val="lt-LT"/>
        </w:rPr>
      </w:pPr>
    </w:p>
    <w:p w14:paraId="77D74C5A" w14:textId="77777777" w:rsidR="00FF3244" w:rsidRPr="00042B32" w:rsidRDefault="00FF3244" w:rsidP="00FF3244">
      <w:pPr>
        <w:widowControl/>
        <w:tabs>
          <w:tab w:val="left" w:pos="567"/>
        </w:tabs>
        <w:autoSpaceDE/>
        <w:autoSpaceDN/>
        <w:adjustRightInd/>
        <w:spacing w:line="260" w:lineRule="exact"/>
        <w:rPr>
          <w:rFonts w:eastAsia="Times New Roman"/>
          <w:snapToGrid w:val="0"/>
          <w:sz w:val="22"/>
          <w:lang w:val="lt-LT"/>
        </w:rPr>
      </w:pPr>
    </w:p>
    <w:p w14:paraId="199906C5" w14:textId="77777777" w:rsidR="00FF3244" w:rsidRPr="00D37093" w:rsidRDefault="00FF3244" w:rsidP="00FF3244">
      <w:pPr>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outlineLvl w:val="0"/>
        <w:rPr>
          <w:rFonts w:eastAsia="Times New Roman"/>
          <w:snapToGrid w:val="0"/>
          <w:sz w:val="22"/>
          <w:lang w:val="lt-LT"/>
        </w:rPr>
      </w:pPr>
      <w:r w:rsidRPr="00D37093">
        <w:rPr>
          <w:rFonts w:eastAsia="Times New Roman"/>
          <w:b/>
          <w:snapToGrid w:val="0"/>
          <w:sz w:val="22"/>
          <w:lang w:val="lt-LT"/>
        </w:rPr>
        <w:t>8.</w:t>
      </w:r>
      <w:r w:rsidRPr="00D37093">
        <w:rPr>
          <w:rFonts w:eastAsia="Times New Roman"/>
          <w:b/>
          <w:snapToGrid w:val="0"/>
          <w:sz w:val="22"/>
          <w:lang w:val="lt-LT"/>
        </w:rPr>
        <w:tab/>
      </w:r>
      <w:r w:rsidRPr="00D37093">
        <w:rPr>
          <w:rFonts w:eastAsia="Times New Roman"/>
          <w:b/>
          <w:noProof/>
          <w:snapToGrid w:val="0"/>
          <w:sz w:val="22"/>
          <w:lang w:val="lt-LT"/>
        </w:rPr>
        <w:t>TINKAMUMO LAIKAS</w:t>
      </w:r>
    </w:p>
    <w:p w14:paraId="1EA5609A" w14:textId="77777777" w:rsidR="00FF3244" w:rsidRPr="003E6E21" w:rsidRDefault="00FF3244" w:rsidP="00FF3244">
      <w:pPr>
        <w:widowControl/>
        <w:tabs>
          <w:tab w:val="left" w:pos="567"/>
        </w:tabs>
        <w:autoSpaceDE/>
        <w:autoSpaceDN/>
        <w:adjustRightInd/>
        <w:spacing w:line="260" w:lineRule="exact"/>
        <w:rPr>
          <w:rFonts w:eastAsia="Times New Roman"/>
          <w:snapToGrid w:val="0"/>
          <w:sz w:val="22"/>
          <w:lang w:val="lt-LT"/>
        </w:rPr>
      </w:pPr>
    </w:p>
    <w:p w14:paraId="4977ADCA" w14:textId="77777777" w:rsidR="00FF3244" w:rsidRPr="008B1AE9" w:rsidRDefault="00FF3244" w:rsidP="00FF3244">
      <w:pPr>
        <w:rPr>
          <w:sz w:val="22"/>
          <w:szCs w:val="22"/>
          <w:lang w:val="lt-LT"/>
        </w:rPr>
      </w:pPr>
      <w:r w:rsidRPr="008B1AE9">
        <w:rPr>
          <w:sz w:val="22"/>
          <w:szCs w:val="22"/>
          <w:lang w:val="lt-LT"/>
        </w:rPr>
        <w:t>EXP mm/MMMM</w:t>
      </w:r>
    </w:p>
    <w:p w14:paraId="0F5300EB" w14:textId="77777777" w:rsidR="00FF3244" w:rsidRPr="005A3594" w:rsidRDefault="00FF3244" w:rsidP="00FF3244">
      <w:pPr>
        <w:widowControl/>
        <w:tabs>
          <w:tab w:val="left" w:pos="567"/>
        </w:tabs>
        <w:autoSpaceDE/>
        <w:autoSpaceDN/>
        <w:adjustRightInd/>
        <w:spacing w:line="260" w:lineRule="exact"/>
        <w:rPr>
          <w:rFonts w:eastAsia="Times New Roman"/>
          <w:snapToGrid w:val="0"/>
          <w:sz w:val="22"/>
          <w:lang w:val="lt-LT"/>
        </w:rPr>
      </w:pPr>
    </w:p>
    <w:p w14:paraId="7E56E560" w14:textId="77777777" w:rsidR="00FF3244" w:rsidRPr="00AE5BD5" w:rsidRDefault="00FF3244" w:rsidP="00FF3244">
      <w:pPr>
        <w:widowControl/>
        <w:tabs>
          <w:tab w:val="left" w:pos="567"/>
        </w:tabs>
        <w:autoSpaceDE/>
        <w:autoSpaceDN/>
        <w:adjustRightInd/>
        <w:spacing w:line="260" w:lineRule="exact"/>
        <w:rPr>
          <w:rFonts w:eastAsia="Times New Roman"/>
          <w:snapToGrid w:val="0"/>
          <w:sz w:val="22"/>
          <w:lang w:val="lt-LT"/>
        </w:rPr>
      </w:pPr>
    </w:p>
    <w:p w14:paraId="66AA81F1" w14:textId="77777777" w:rsidR="00FF3244" w:rsidRPr="008B1AE9" w:rsidRDefault="00FF3244" w:rsidP="00FF3244">
      <w:pPr>
        <w:keepNext/>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outlineLvl w:val="0"/>
        <w:rPr>
          <w:rFonts w:eastAsia="Times New Roman"/>
          <w:snapToGrid w:val="0"/>
          <w:sz w:val="22"/>
          <w:lang w:val="lt-LT"/>
        </w:rPr>
      </w:pPr>
      <w:r w:rsidRPr="008B1AE9">
        <w:rPr>
          <w:rFonts w:eastAsia="Times New Roman"/>
          <w:b/>
          <w:snapToGrid w:val="0"/>
          <w:sz w:val="22"/>
          <w:lang w:val="lt-LT"/>
        </w:rPr>
        <w:t>9.</w:t>
      </w:r>
      <w:r w:rsidRPr="008B1AE9">
        <w:rPr>
          <w:rFonts w:eastAsia="Times New Roman"/>
          <w:b/>
          <w:snapToGrid w:val="0"/>
          <w:sz w:val="22"/>
          <w:lang w:val="lt-LT"/>
        </w:rPr>
        <w:tab/>
      </w:r>
      <w:r w:rsidRPr="008B1AE9">
        <w:rPr>
          <w:b/>
          <w:noProof/>
          <w:snapToGrid w:val="0"/>
          <w:sz w:val="22"/>
          <w:lang w:val="lt-LT"/>
        </w:rPr>
        <w:t>SPECIALIOS LAIKYMO SĄLYGOS</w:t>
      </w:r>
    </w:p>
    <w:p w14:paraId="3647F44F" w14:textId="77777777" w:rsidR="00FF3244" w:rsidRPr="00042B32" w:rsidRDefault="00FF3244" w:rsidP="00FF3244">
      <w:pPr>
        <w:widowControl/>
        <w:tabs>
          <w:tab w:val="left" w:pos="567"/>
        </w:tabs>
        <w:autoSpaceDE/>
        <w:autoSpaceDN/>
        <w:adjustRightInd/>
        <w:spacing w:line="260" w:lineRule="exact"/>
        <w:rPr>
          <w:rFonts w:eastAsia="Times New Roman"/>
          <w:snapToGrid w:val="0"/>
          <w:sz w:val="22"/>
          <w:lang w:val="lt-LT"/>
        </w:rPr>
      </w:pPr>
    </w:p>
    <w:p w14:paraId="01745AE9" w14:textId="77777777" w:rsidR="00FF3244" w:rsidRPr="00D37093" w:rsidRDefault="00FF3244" w:rsidP="00FF3244">
      <w:pPr>
        <w:widowControl/>
        <w:tabs>
          <w:tab w:val="left" w:pos="567"/>
        </w:tabs>
        <w:autoSpaceDE/>
        <w:autoSpaceDN/>
        <w:adjustRightInd/>
        <w:spacing w:line="260" w:lineRule="exact"/>
        <w:rPr>
          <w:rFonts w:eastAsia="Times New Roman"/>
          <w:snapToGrid w:val="0"/>
          <w:sz w:val="22"/>
          <w:lang w:val="lt-LT"/>
        </w:rPr>
      </w:pPr>
    </w:p>
    <w:p w14:paraId="67D058CF" w14:textId="77777777" w:rsidR="00FF3244" w:rsidRPr="003147F8" w:rsidRDefault="00FF3244" w:rsidP="00FF3244">
      <w:pPr>
        <w:widowControl/>
        <w:pBdr>
          <w:top w:val="single" w:sz="4" w:space="1" w:color="auto"/>
          <w:left w:val="single" w:sz="4" w:space="4" w:color="auto"/>
          <w:bottom w:val="single" w:sz="4" w:space="1" w:color="auto"/>
          <w:right w:val="single" w:sz="4" w:space="4" w:color="auto"/>
        </w:pBdr>
        <w:tabs>
          <w:tab w:val="left" w:pos="567"/>
        </w:tabs>
        <w:autoSpaceDE/>
        <w:autoSpaceDN/>
        <w:adjustRightInd/>
        <w:outlineLvl w:val="0"/>
        <w:rPr>
          <w:rFonts w:eastAsia="Times New Roman"/>
          <w:b/>
          <w:snapToGrid w:val="0"/>
          <w:sz w:val="22"/>
          <w:lang w:val="lt-LT"/>
        </w:rPr>
      </w:pPr>
      <w:r w:rsidRPr="003E6E21">
        <w:rPr>
          <w:rFonts w:eastAsia="Times New Roman"/>
          <w:b/>
          <w:snapToGrid w:val="0"/>
          <w:sz w:val="22"/>
          <w:lang w:val="lt-LT"/>
        </w:rPr>
        <w:t>10.</w:t>
      </w:r>
      <w:r w:rsidRPr="0088142B">
        <w:rPr>
          <w:rFonts w:eastAsia="Times New Roman"/>
          <w:b/>
          <w:snapToGrid w:val="0"/>
          <w:sz w:val="22"/>
          <w:lang w:val="lt-LT"/>
        </w:rPr>
        <w:tab/>
      </w:r>
      <w:r w:rsidRPr="00393066">
        <w:rPr>
          <w:b/>
          <w:noProof/>
          <w:snapToGrid w:val="0"/>
          <w:sz w:val="22"/>
          <w:lang w:val="lt-LT"/>
        </w:rPr>
        <w:t>SPECIALIOS ATSARGUMO PRIEMONĖS DĖL NESUVARTOTO VAISTINIO PREPARATO AR JO ATLIEKŲ TVARKYMO (JEI REIKIA)</w:t>
      </w:r>
    </w:p>
    <w:p w14:paraId="3EEBF7EF" w14:textId="77777777" w:rsidR="00FF3244" w:rsidRPr="003147F8" w:rsidRDefault="00FF3244" w:rsidP="00FF3244">
      <w:pPr>
        <w:widowControl/>
        <w:tabs>
          <w:tab w:val="left" w:pos="567"/>
        </w:tabs>
        <w:autoSpaceDE/>
        <w:autoSpaceDN/>
        <w:adjustRightInd/>
        <w:spacing w:line="260" w:lineRule="exact"/>
        <w:rPr>
          <w:rFonts w:eastAsia="Times New Roman"/>
          <w:snapToGrid w:val="0"/>
          <w:sz w:val="22"/>
          <w:lang w:val="lt-LT"/>
        </w:rPr>
      </w:pPr>
    </w:p>
    <w:p w14:paraId="7D935EFE" w14:textId="77777777" w:rsidR="00FF3244" w:rsidRPr="00D42D4C" w:rsidRDefault="00FF3244" w:rsidP="00FF3244">
      <w:pPr>
        <w:widowControl/>
        <w:tabs>
          <w:tab w:val="left" w:pos="567"/>
        </w:tabs>
        <w:autoSpaceDE/>
        <w:autoSpaceDN/>
        <w:adjustRightInd/>
        <w:spacing w:line="260" w:lineRule="exact"/>
        <w:rPr>
          <w:rFonts w:eastAsia="Times New Roman"/>
          <w:snapToGrid w:val="0"/>
          <w:sz w:val="22"/>
          <w:lang w:val="lt-LT"/>
        </w:rPr>
      </w:pPr>
    </w:p>
    <w:p w14:paraId="19B027F1" w14:textId="77777777" w:rsidR="00FF3244" w:rsidRPr="00BB5D9F" w:rsidRDefault="00FF3244" w:rsidP="00FF3244">
      <w:pPr>
        <w:widowControl/>
        <w:pBdr>
          <w:top w:val="single" w:sz="4" w:space="1" w:color="auto"/>
          <w:left w:val="single" w:sz="4" w:space="4" w:color="auto"/>
          <w:bottom w:val="single" w:sz="4" w:space="1" w:color="auto"/>
          <w:right w:val="single" w:sz="4" w:space="4" w:color="auto"/>
        </w:pBdr>
        <w:tabs>
          <w:tab w:val="left" w:pos="567"/>
        </w:tabs>
        <w:autoSpaceDE/>
        <w:autoSpaceDN/>
        <w:adjustRightInd/>
        <w:outlineLvl w:val="0"/>
        <w:rPr>
          <w:rFonts w:eastAsia="Times New Roman"/>
          <w:b/>
          <w:snapToGrid w:val="0"/>
          <w:sz w:val="22"/>
          <w:lang w:val="lt-LT"/>
        </w:rPr>
      </w:pPr>
      <w:r w:rsidRPr="00D42D4C">
        <w:rPr>
          <w:rFonts w:eastAsia="Times New Roman"/>
          <w:b/>
          <w:snapToGrid w:val="0"/>
          <w:sz w:val="22"/>
          <w:lang w:val="lt-LT"/>
        </w:rPr>
        <w:t>11.</w:t>
      </w:r>
      <w:r w:rsidRPr="00D42D4C">
        <w:rPr>
          <w:rFonts w:eastAsia="Times New Roman"/>
          <w:b/>
          <w:snapToGrid w:val="0"/>
          <w:sz w:val="22"/>
          <w:lang w:val="lt-LT"/>
        </w:rPr>
        <w:tab/>
      </w:r>
      <w:r w:rsidRPr="00BB5D9F">
        <w:rPr>
          <w:rFonts w:eastAsia="Times New Roman"/>
          <w:b/>
          <w:caps/>
          <w:noProof/>
          <w:snapToGrid w:val="0"/>
          <w:sz w:val="22"/>
          <w:lang w:val="lt-LT"/>
        </w:rPr>
        <w:t xml:space="preserve"> REGISTRUOTOJO PAVADINIMAS IR ADRESAS</w:t>
      </w:r>
    </w:p>
    <w:p w14:paraId="15F91129" w14:textId="77777777" w:rsidR="00FF3244" w:rsidRPr="00495F2D" w:rsidRDefault="00FF3244" w:rsidP="00FF3244">
      <w:pPr>
        <w:widowControl/>
        <w:tabs>
          <w:tab w:val="left" w:pos="567"/>
        </w:tabs>
        <w:autoSpaceDE/>
        <w:autoSpaceDN/>
        <w:adjustRightInd/>
        <w:spacing w:line="260" w:lineRule="exact"/>
        <w:rPr>
          <w:rFonts w:eastAsia="Times New Roman"/>
          <w:snapToGrid w:val="0"/>
          <w:sz w:val="22"/>
          <w:lang w:val="lt-LT"/>
        </w:rPr>
      </w:pPr>
    </w:p>
    <w:p w14:paraId="0F1405C0" w14:textId="77777777" w:rsidR="000F2B97" w:rsidRPr="008B1AE9" w:rsidRDefault="000F2B97" w:rsidP="008C6014">
      <w:pPr>
        <w:rPr>
          <w:sz w:val="22"/>
          <w:szCs w:val="22"/>
          <w:lang w:val="lt-LT"/>
        </w:rPr>
      </w:pPr>
      <w:r w:rsidRPr="008B1AE9">
        <w:rPr>
          <w:sz w:val="22"/>
          <w:szCs w:val="22"/>
          <w:lang w:val="lt-LT"/>
        </w:rPr>
        <w:t>UAB Norameda</w:t>
      </w:r>
    </w:p>
    <w:p w14:paraId="0E2D3E8A" w14:textId="77777777" w:rsidR="00396C9C" w:rsidRDefault="000F2B97" w:rsidP="008C6014">
      <w:pPr>
        <w:rPr>
          <w:sz w:val="22"/>
          <w:szCs w:val="22"/>
          <w:lang w:val="lt-LT"/>
        </w:rPr>
      </w:pPr>
      <w:r w:rsidRPr="008B1AE9">
        <w:rPr>
          <w:sz w:val="22"/>
          <w:szCs w:val="22"/>
          <w:lang w:val="lt-LT"/>
        </w:rPr>
        <w:t>Meistrų 8</w:t>
      </w:r>
      <w:r w:rsidR="0056076A">
        <w:rPr>
          <w:sz w:val="22"/>
          <w:szCs w:val="22"/>
          <w:lang w:val="lt-LT"/>
        </w:rPr>
        <w:t xml:space="preserve">, Vilnius </w:t>
      </w:r>
    </w:p>
    <w:p w14:paraId="78C4F8EA" w14:textId="77777777" w:rsidR="000F2B97" w:rsidRPr="008B1AE9" w:rsidRDefault="000F2B97" w:rsidP="008C6014">
      <w:pPr>
        <w:rPr>
          <w:sz w:val="22"/>
          <w:szCs w:val="22"/>
          <w:lang w:val="lt-LT"/>
        </w:rPr>
      </w:pPr>
      <w:r w:rsidRPr="008B1AE9">
        <w:rPr>
          <w:sz w:val="22"/>
          <w:szCs w:val="22"/>
          <w:lang w:val="lt-LT"/>
        </w:rPr>
        <w:t>LT-02189</w:t>
      </w:r>
    </w:p>
    <w:p w14:paraId="378E1F78" w14:textId="77777777" w:rsidR="000F2B97" w:rsidRPr="008B1AE9" w:rsidRDefault="000F2B97" w:rsidP="008C6014">
      <w:pPr>
        <w:rPr>
          <w:sz w:val="22"/>
          <w:szCs w:val="22"/>
          <w:lang w:val="lt-LT"/>
        </w:rPr>
      </w:pPr>
      <w:r w:rsidRPr="008B1AE9">
        <w:rPr>
          <w:sz w:val="22"/>
          <w:szCs w:val="22"/>
          <w:lang w:val="lt-LT"/>
        </w:rPr>
        <w:t>Lietuva</w:t>
      </w:r>
    </w:p>
    <w:p w14:paraId="625A1F2D" w14:textId="77777777" w:rsidR="00C05173" w:rsidRPr="008B1AE9" w:rsidRDefault="00C05173" w:rsidP="008C6014">
      <w:pPr>
        <w:rPr>
          <w:sz w:val="22"/>
          <w:szCs w:val="22"/>
          <w:lang w:val="lt-LT"/>
        </w:rPr>
      </w:pPr>
    </w:p>
    <w:p w14:paraId="366AE05C" w14:textId="77777777" w:rsidR="00FF3244" w:rsidRPr="005A3594" w:rsidRDefault="00FF3244" w:rsidP="00FF3244">
      <w:pPr>
        <w:widowControl/>
        <w:tabs>
          <w:tab w:val="left" w:pos="567"/>
        </w:tabs>
        <w:autoSpaceDE/>
        <w:autoSpaceDN/>
        <w:adjustRightInd/>
        <w:spacing w:line="260" w:lineRule="exact"/>
        <w:rPr>
          <w:rFonts w:eastAsia="Times New Roman"/>
          <w:snapToGrid w:val="0"/>
          <w:sz w:val="22"/>
          <w:lang w:val="lt-LT"/>
        </w:rPr>
      </w:pPr>
    </w:p>
    <w:p w14:paraId="3D2DE930" w14:textId="77777777" w:rsidR="00FF3244" w:rsidRPr="008B1AE9" w:rsidRDefault="00FF3244" w:rsidP="00FF3244">
      <w:pPr>
        <w:widowControl/>
        <w:pBdr>
          <w:top w:val="single" w:sz="4" w:space="1" w:color="auto"/>
          <w:left w:val="single" w:sz="4" w:space="4" w:color="auto"/>
          <w:bottom w:val="single" w:sz="4" w:space="1" w:color="auto"/>
          <w:right w:val="single" w:sz="4" w:space="4" w:color="auto"/>
        </w:pBdr>
        <w:tabs>
          <w:tab w:val="left" w:pos="567"/>
        </w:tabs>
        <w:autoSpaceDE/>
        <w:autoSpaceDN/>
        <w:adjustRightInd/>
        <w:outlineLvl w:val="0"/>
        <w:rPr>
          <w:rFonts w:eastAsia="Times New Roman"/>
          <w:snapToGrid w:val="0"/>
          <w:sz w:val="22"/>
          <w:lang w:val="lt-LT"/>
        </w:rPr>
      </w:pPr>
      <w:r w:rsidRPr="00AE5BD5">
        <w:rPr>
          <w:rFonts w:eastAsia="Times New Roman"/>
          <w:b/>
          <w:snapToGrid w:val="0"/>
          <w:sz w:val="22"/>
          <w:lang w:val="lt-LT"/>
        </w:rPr>
        <w:t>12.</w:t>
      </w:r>
      <w:r w:rsidRPr="00AE5BD5">
        <w:rPr>
          <w:rFonts w:eastAsia="Times New Roman"/>
          <w:b/>
          <w:snapToGrid w:val="0"/>
          <w:sz w:val="22"/>
          <w:lang w:val="lt-LT"/>
        </w:rPr>
        <w:tab/>
      </w:r>
      <w:r w:rsidRPr="00AE5BD5">
        <w:rPr>
          <w:rFonts w:eastAsia="Times New Roman"/>
          <w:b/>
          <w:noProof/>
          <w:snapToGrid w:val="0"/>
          <w:sz w:val="22"/>
          <w:lang w:val="lt-LT"/>
        </w:rPr>
        <w:t xml:space="preserve">REGISTRACIJOS </w:t>
      </w:r>
      <w:r w:rsidRPr="00AE5BD5">
        <w:rPr>
          <w:b/>
          <w:noProof/>
          <w:snapToGrid w:val="0"/>
          <w:sz w:val="22"/>
          <w:lang w:val="lt-LT"/>
        </w:rPr>
        <w:t>PAŽYMĖJIMO NUMERIS (-IAI)</w:t>
      </w:r>
      <w:r w:rsidRPr="008B1AE9">
        <w:rPr>
          <w:rFonts w:eastAsia="Times New Roman"/>
          <w:b/>
          <w:snapToGrid w:val="0"/>
          <w:sz w:val="22"/>
          <w:lang w:val="lt-LT"/>
        </w:rPr>
        <w:t xml:space="preserve"> </w:t>
      </w:r>
    </w:p>
    <w:p w14:paraId="2557A005" w14:textId="77777777" w:rsidR="00FF3244" w:rsidRDefault="00FF3244" w:rsidP="00FF3244">
      <w:pPr>
        <w:widowControl/>
        <w:tabs>
          <w:tab w:val="left" w:pos="567"/>
        </w:tabs>
        <w:autoSpaceDE/>
        <w:autoSpaceDN/>
        <w:adjustRightInd/>
        <w:spacing w:line="260" w:lineRule="exact"/>
        <w:rPr>
          <w:rFonts w:eastAsia="Times New Roman"/>
          <w:snapToGrid w:val="0"/>
          <w:sz w:val="22"/>
          <w:lang w:val="lt-LT"/>
        </w:rPr>
      </w:pPr>
    </w:p>
    <w:p w14:paraId="2DA2A188" w14:textId="77777777" w:rsidR="002D4160" w:rsidRPr="0041369C" w:rsidRDefault="002D4160" w:rsidP="002D4160">
      <w:pPr>
        <w:rPr>
          <w:bCs/>
          <w:sz w:val="22"/>
          <w:szCs w:val="22"/>
          <w:highlight w:val="lightGray"/>
          <w:lang w:val="lt-LT"/>
        </w:rPr>
      </w:pPr>
      <w:r w:rsidRPr="0041369C">
        <w:rPr>
          <w:sz w:val="22"/>
          <w:szCs w:val="22"/>
          <w:highlight w:val="lightGray"/>
          <w:lang w:val="lt-LT"/>
        </w:rPr>
        <w:t>LT/1/19/4358/001</w:t>
      </w:r>
      <w:r w:rsidRPr="0041369C">
        <w:rPr>
          <w:bCs/>
          <w:sz w:val="22"/>
          <w:szCs w:val="22"/>
          <w:highlight w:val="lightGray"/>
          <w:lang w:val="lt-LT"/>
        </w:rPr>
        <w:t xml:space="preserve"> – N50</w:t>
      </w:r>
    </w:p>
    <w:p w14:paraId="531B9D58" w14:textId="77777777" w:rsidR="002D4160" w:rsidRPr="002D4160" w:rsidRDefault="002D4160" w:rsidP="002D4160">
      <w:pPr>
        <w:rPr>
          <w:bCs/>
          <w:sz w:val="22"/>
          <w:szCs w:val="22"/>
          <w:highlight w:val="lightGray"/>
          <w:lang w:val="lt-LT"/>
        </w:rPr>
      </w:pPr>
      <w:r w:rsidRPr="002D4160">
        <w:rPr>
          <w:sz w:val="22"/>
          <w:szCs w:val="22"/>
          <w:highlight w:val="lightGray"/>
          <w:lang w:val="lt-LT"/>
        </w:rPr>
        <w:t>LT/1/19/4358/002</w:t>
      </w:r>
      <w:r w:rsidRPr="002D4160">
        <w:rPr>
          <w:bCs/>
          <w:sz w:val="22"/>
          <w:szCs w:val="22"/>
          <w:highlight w:val="lightGray"/>
          <w:lang w:val="lt-LT"/>
        </w:rPr>
        <w:t xml:space="preserve"> </w:t>
      </w:r>
      <w:r w:rsidRPr="0041369C">
        <w:rPr>
          <w:bCs/>
          <w:sz w:val="22"/>
          <w:szCs w:val="22"/>
          <w:lang w:val="lt-LT"/>
        </w:rPr>
        <w:t>– N90</w:t>
      </w:r>
    </w:p>
    <w:p w14:paraId="657028FC" w14:textId="77777777" w:rsidR="002D4160" w:rsidRDefault="002D4160" w:rsidP="002D4160">
      <w:pPr>
        <w:rPr>
          <w:bCs/>
          <w:sz w:val="22"/>
          <w:szCs w:val="22"/>
          <w:lang w:val="lt-LT"/>
        </w:rPr>
      </w:pPr>
      <w:r w:rsidRPr="002D4160">
        <w:rPr>
          <w:sz w:val="22"/>
          <w:szCs w:val="22"/>
          <w:highlight w:val="lightGray"/>
          <w:lang w:val="lt-LT"/>
        </w:rPr>
        <w:t>LT/1/19/4358/003</w:t>
      </w:r>
      <w:r w:rsidRPr="002D4160">
        <w:rPr>
          <w:bCs/>
          <w:sz w:val="22"/>
          <w:szCs w:val="22"/>
          <w:highlight w:val="lightGray"/>
          <w:lang w:val="lt-LT"/>
        </w:rPr>
        <w:t xml:space="preserve"> – N300 (sudėtinė pakuotė)</w:t>
      </w:r>
    </w:p>
    <w:p w14:paraId="1AE13A98" w14:textId="77777777" w:rsidR="002D4160" w:rsidRPr="008B1AE9" w:rsidRDefault="002D4160" w:rsidP="00FF3244">
      <w:pPr>
        <w:widowControl/>
        <w:tabs>
          <w:tab w:val="left" w:pos="567"/>
        </w:tabs>
        <w:autoSpaceDE/>
        <w:autoSpaceDN/>
        <w:adjustRightInd/>
        <w:spacing w:line="260" w:lineRule="exact"/>
        <w:rPr>
          <w:rFonts w:eastAsia="Times New Roman"/>
          <w:snapToGrid w:val="0"/>
          <w:sz w:val="22"/>
          <w:lang w:val="lt-LT"/>
        </w:rPr>
      </w:pPr>
    </w:p>
    <w:p w14:paraId="4D919409" w14:textId="77777777" w:rsidR="00637CFF" w:rsidRPr="00042B32" w:rsidRDefault="00637CFF" w:rsidP="00637CFF">
      <w:pPr>
        <w:widowControl/>
        <w:tabs>
          <w:tab w:val="left" w:pos="567"/>
        </w:tabs>
        <w:autoSpaceDE/>
        <w:autoSpaceDN/>
        <w:adjustRightInd/>
        <w:spacing w:line="260" w:lineRule="exact"/>
        <w:rPr>
          <w:rFonts w:eastAsia="Times New Roman"/>
          <w:snapToGrid w:val="0"/>
          <w:sz w:val="22"/>
          <w:lang w:val="lt-LT"/>
        </w:rPr>
      </w:pPr>
    </w:p>
    <w:p w14:paraId="64E90DA9" w14:textId="77777777" w:rsidR="00637CFF" w:rsidRPr="00D37093" w:rsidRDefault="00637CFF" w:rsidP="00637CFF">
      <w:pPr>
        <w:widowControl/>
        <w:pBdr>
          <w:top w:val="single" w:sz="4" w:space="1" w:color="auto"/>
          <w:left w:val="single" w:sz="4" w:space="4" w:color="auto"/>
          <w:bottom w:val="single" w:sz="4" w:space="1" w:color="auto"/>
          <w:right w:val="single" w:sz="4" w:space="4" w:color="auto"/>
        </w:pBdr>
        <w:tabs>
          <w:tab w:val="left" w:pos="567"/>
        </w:tabs>
        <w:autoSpaceDE/>
        <w:autoSpaceDN/>
        <w:adjustRightInd/>
        <w:outlineLvl w:val="0"/>
        <w:rPr>
          <w:rFonts w:eastAsia="Times New Roman"/>
          <w:snapToGrid w:val="0"/>
          <w:sz w:val="22"/>
          <w:lang w:val="lt-LT"/>
        </w:rPr>
      </w:pPr>
      <w:r w:rsidRPr="00D37093">
        <w:rPr>
          <w:rFonts w:eastAsia="Times New Roman"/>
          <w:b/>
          <w:snapToGrid w:val="0"/>
          <w:sz w:val="22"/>
          <w:lang w:val="lt-LT"/>
        </w:rPr>
        <w:t>13.</w:t>
      </w:r>
      <w:r w:rsidRPr="00D37093">
        <w:rPr>
          <w:rFonts w:eastAsia="Times New Roman"/>
          <w:b/>
          <w:snapToGrid w:val="0"/>
          <w:sz w:val="22"/>
          <w:lang w:val="lt-LT"/>
        </w:rPr>
        <w:tab/>
      </w:r>
      <w:r w:rsidRPr="00D37093">
        <w:rPr>
          <w:rFonts w:eastAsia="Times New Roman"/>
          <w:b/>
          <w:noProof/>
          <w:snapToGrid w:val="0"/>
          <w:sz w:val="22"/>
          <w:lang w:val="lt-LT"/>
        </w:rPr>
        <w:t xml:space="preserve">SERIJOS NUMERIS </w:t>
      </w:r>
    </w:p>
    <w:p w14:paraId="5BBDF7EA" w14:textId="77777777" w:rsidR="00637CFF" w:rsidRPr="003E6E21" w:rsidRDefault="00637CFF" w:rsidP="00637CFF">
      <w:pPr>
        <w:widowControl/>
        <w:tabs>
          <w:tab w:val="left" w:pos="567"/>
        </w:tabs>
        <w:autoSpaceDE/>
        <w:autoSpaceDN/>
        <w:adjustRightInd/>
        <w:spacing w:line="260" w:lineRule="exact"/>
        <w:rPr>
          <w:rFonts w:eastAsia="Times New Roman"/>
          <w:snapToGrid w:val="0"/>
          <w:sz w:val="22"/>
          <w:szCs w:val="20"/>
          <w:lang w:val="lt-LT"/>
        </w:rPr>
      </w:pPr>
    </w:p>
    <w:p w14:paraId="21DCBEF3" w14:textId="77777777" w:rsidR="00637CFF" w:rsidRPr="003E6E21" w:rsidRDefault="00637CFF" w:rsidP="00637CFF">
      <w:pPr>
        <w:widowControl/>
        <w:tabs>
          <w:tab w:val="left" w:pos="567"/>
        </w:tabs>
        <w:autoSpaceDE/>
        <w:autoSpaceDN/>
        <w:adjustRightInd/>
        <w:spacing w:line="260" w:lineRule="exact"/>
        <w:rPr>
          <w:rFonts w:eastAsia="Times New Roman"/>
          <w:snapToGrid w:val="0"/>
          <w:sz w:val="22"/>
          <w:szCs w:val="20"/>
          <w:lang w:val="lt-LT"/>
        </w:rPr>
      </w:pPr>
      <w:r w:rsidRPr="003E6E21">
        <w:rPr>
          <w:rFonts w:eastAsia="Times New Roman"/>
          <w:snapToGrid w:val="0"/>
          <w:sz w:val="22"/>
          <w:szCs w:val="20"/>
          <w:lang w:val="lt-LT"/>
        </w:rPr>
        <w:t>Lot</w:t>
      </w:r>
    </w:p>
    <w:p w14:paraId="2C963C2E" w14:textId="77777777" w:rsidR="00637CFF" w:rsidRPr="003E6E21" w:rsidRDefault="00637CFF" w:rsidP="00637CFF">
      <w:pPr>
        <w:widowControl/>
        <w:tabs>
          <w:tab w:val="left" w:pos="567"/>
        </w:tabs>
        <w:autoSpaceDE/>
        <w:autoSpaceDN/>
        <w:adjustRightInd/>
        <w:spacing w:line="260" w:lineRule="exact"/>
        <w:rPr>
          <w:rFonts w:eastAsia="Times New Roman"/>
          <w:snapToGrid w:val="0"/>
          <w:sz w:val="22"/>
          <w:lang w:val="lt-LT"/>
        </w:rPr>
      </w:pPr>
    </w:p>
    <w:p w14:paraId="1A8F8AA1" w14:textId="77777777" w:rsidR="00637CFF" w:rsidRPr="005E5846" w:rsidRDefault="00637CFF" w:rsidP="00637CFF">
      <w:pPr>
        <w:widowControl/>
        <w:tabs>
          <w:tab w:val="left" w:pos="567"/>
        </w:tabs>
        <w:autoSpaceDE/>
        <w:autoSpaceDN/>
        <w:adjustRightInd/>
        <w:spacing w:line="260" w:lineRule="exact"/>
        <w:rPr>
          <w:rFonts w:eastAsia="Times New Roman"/>
          <w:snapToGrid w:val="0"/>
          <w:sz w:val="22"/>
          <w:lang w:val="lt-LT"/>
        </w:rPr>
      </w:pPr>
    </w:p>
    <w:p w14:paraId="0FC5F4C5" w14:textId="77777777" w:rsidR="00637CFF" w:rsidRPr="00A03602" w:rsidRDefault="00637CFF" w:rsidP="00637CFF">
      <w:pPr>
        <w:widowControl/>
        <w:pBdr>
          <w:top w:val="single" w:sz="4" w:space="1" w:color="auto"/>
          <w:left w:val="single" w:sz="4" w:space="4" w:color="auto"/>
          <w:bottom w:val="single" w:sz="4" w:space="1" w:color="auto"/>
          <w:right w:val="single" w:sz="4" w:space="4" w:color="auto"/>
        </w:pBdr>
        <w:tabs>
          <w:tab w:val="left" w:pos="567"/>
        </w:tabs>
        <w:autoSpaceDE/>
        <w:autoSpaceDN/>
        <w:adjustRightInd/>
        <w:outlineLvl w:val="0"/>
        <w:rPr>
          <w:rFonts w:eastAsia="Times New Roman"/>
          <w:snapToGrid w:val="0"/>
          <w:sz w:val="22"/>
          <w:lang w:val="lt-LT"/>
        </w:rPr>
      </w:pPr>
      <w:r w:rsidRPr="00A03602">
        <w:rPr>
          <w:rFonts w:eastAsia="Times New Roman"/>
          <w:b/>
          <w:snapToGrid w:val="0"/>
          <w:sz w:val="22"/>
          <w:lang w:val="lt-LT"/>
        </w:rPr>
        <w:t>14.</w:t>
      </w:r>
      <w:r w:rsidRPr="00A03602">
        <w:rPr>
          <w:rFonts w:eastAsia="Times New Roman"/>
          <w:b/>
          <w:snapToGrid w:val="0"/>
          <w:sz w:val="22"/>
          <w:lang w:val="lt-LT"/>
        </w:rPr>
        <w:tab/>
      </w:r>
      <w:r w:rsidRPr="00A03602">
        <w:rPr>
          <w:rFonts w:eastAsia="Times New Roman"/>
          <w:b/>
          <w:noProof/>
          <w:snapToGrid w:val="0"/>
          <w:sz w:val="22"/>
          <w:lang w:val="lt-LT"/>
        </w:rPr>
        <w:t>PARDAVIMO (IŠDAVIMO) TVARKA</w:t>
      </w:r>
    </w:p>
    <w:p w14:paraId="384BD879" w14:textId="77777777" w:rsidR="00637CFF" w:rsidRPr="00A03602" w:rsidRDefault="00637CFF" w:rsidP="00637CFF">
      <w:pPr>
        <w:widowControl/>
        <w:tabs>
          <w:tab w:val="left" w:pos="567"/>
        </w:tabs>
        <w:autoSpaceDE/>
        <w:autoSpaceDN/>
        <w:adjustRightInd/>
        <w:spacing w:line="260" w:lineRule="exact"/>
        <w:rPr>
          <w:rFonts w:eastAsia="Times New Roman"/>
          <w:snapToGrid w:val="0"/>
          <w:sz w:val="22"/>
          <w:lang w:val="lt-LT"/>
        </w:rPr>
      </w:pPr>
    </w:p>
    <w:p w14:paraId="50BC688E" w14:textId="77777777" w:rsidR="00637CFF" w:rsidRPr="00393066" w:rsidRDefault="00637CFF" w:rsidP="00637CFF">
      <w:pPr>
        <w:widowControl/>
        <w:tabs>
          <w:tab w:val="left" w:pos="567"/>
        </w:tabs>
        <w:autoSpaceDE/>
        <w:autoSpaceDN/>
        <w:adjustRightInd/>
        <w:spacing w:line="260" w:lineRule="exact"/>
        <w:rPr>
          <w:rFonts w:eastAsia="Times New Roman"/>
          <w:snapToGrid w:val="0"/>
          <w:sz w:val="22"/>
          <w:lang w:val="lt-LT"/>
        </w:rPr>
      </w:pPr>
      <w:r w:rsidRPr="0088142B">
        <w:rPr>
          <w:rFonts w:eastAsia="Times New Roman"/>
          <w:snapToGrid w:val="0"/>
          <w:sz w:val="22"/>
          <w:szCs w:val="20"/>
          <w:lang w:val="lt-LT"/>
        </w:rPr>
        <w:t>Receptinis vaistas</w:t>
      </w:r>
    </w:p>
    <w:p w14:paraId="6703FE2E" w14:textId="77777777" w:rsidR="00637CFF" w:rsidRPr="003147F8" w:rsidRDefault="00637CFF" w:rsidP="00637CFF">
      <w:pPr>
        <w:widowControl/>
        <w:tabs>
          <w:tab w:val="left" w:pos="567"/>
        </w:tabs>
        <w:autoSpaceDE/>
        <w:autoSpaceDN/>
        <w:adjustRightInd/>
        <w:spacing w:line="260" w:lineRule="exact"/>
        <w:rPr>
          <w:rFonts w:eastAsia="Times New Roman"/>
          <w:snapToGrid w:val="0"/>
          <w:sz w:val="22"/>
          <w:lang w:val="lt-LT"/>
        </w:rPr>
      </w:pPr>
    </w:p>
    <w:p w14:paraId="1F3B0873" w14:textId="77777777" w:rsidR="00637CFF" w:rsidRPr="00D42D4C" w:rsidRDefault="00637CFF" w:rsidP="00637CFF">
      <w:pPr>
        <w:widowControl/>
        <w:tabs>
          <w:tab w:val="left" w:pos="567"/>
        </w:tabs>
        <w:autoSpaceDE/>
        <w:autoSpaceDN/>
        <w:adjustRightInd/>
        <w:spacing w:line="260" w:lineRule="exact"/>
        <w:rPr>
          <w:rFonts w:eastAsia="Times New Roman"/>
          <w:snapToGrid w:val="0"/>
          <w:sz w:val="22"/>
          <w:lang w:val="lt-LT"/>
        </w:rPr>
      </w:pPr>
    </w:p>
    <w:p w14:paraId="36BFE02C" w14:textId="77777777" w:rsidR="00637CFF" w:rsidRPr="00BB5D9F" w:rsidRDefault="00637CFF" w:rsidP="00637CFF">
      <w:pPr>
        <w:widowControl/>
        <w:pBdr>
          <w:top w:val="single" w:sz="4" w:space="2" w:color="auto"/>
          <w:left w:val="single" w:sz="4" w:space="4" w:color="auto"/>
          <w:bottom w:val="single" w:sz="4" w:space="1" w:color="auto"/>
          <w:right w:val="single" w:sz="4" w:space="4" w:color="auto"/>
        </w:pBdr>
        <w:tabs>
          <w:tab w:val="left" w:pos="567"/>
        </w:tabs>
        <w:autoSpaceDE/>
        <w:autoSpaceDN/>
        <w:adjustRightInd/>
        <w:outlineLvl w:val="0"/>
        <w:rPr>
          <w:rFonts w:eastAsia="Times New Roman"/>
          <w:snapToGrid w:val="0"/>
          <w:sz w:val="22"/>
          <w:lang w:val="lt-LT"/>
        </w:rPr>
      </w:pPr>
      <w:r w:rsidRPr="00D42D4C">
        <w:rPr>
          <w:rFonts w:eastAsia="Times New Roman"/>
          <w:b/>
          <w:snapToGrid w:val="0"/>
          <w:sz w:val="22"/>
          <w:lang w:val="lt-LT"/>
        </w:rPr>
        <w:t>15.</w:t>
      </w:r>
      <w:r w:rsidRPr="00D42D4C">
        <w:rPr>
          <w:rFonts w:eastAsia="Times New Roman"/>
          <w:b/>
          <w:snapToGrid w:val="0"/>
          <w:sz w:val="22"/>
          <w:lang w:val="lt-LT"/>
        </w:rPr>
        <w:tab/>
      </w:r>
      <w:r w:rsidRPr="00BB5D9F">
        <w:rPr>
          <w:rFonts w:eastAsia="Times New Roman"/>
          <w:b/>
          <w:noProof/>
          <w:snapToGrid w:val="0"/>
          <w:sz w:val="22"/>
          <w:lang w:val="lt-LT"/>
        </w:rPr>
        <w:t>VARTOJIMO INSTRUKCIJA</w:t>
      </w:r>
    </w:p>
    <w:p w14:paraId="7A07BAE4" w14:textId="77777777" w:rsidR="00637CFF" w:rsidRPr="00495F2D" w:rsidRDefault="00637CFF" w:rsidP="00637CFF">
      <w:pPr>
        <w:widowControl/>
        <w:tabs>
          <w:tab w:val="left" w:pos="567"/>
        </w:tabs>
        <w:autoSpaceDE/>
        <w:autoSpaceDN/>
        <w:adjustRightInd/>
        <w:spacing w:line="260" w:lineRule="exact"/>
        <w:rPr>
          <w:rFonts w:eastAsia="Times New Roman"/>
          <w:snapToGrid w:val="0"/>
          <w:sz w:val="22"/>
          <w:lang w:val="lt-LT"/>
        </w:rPr>
      </w:pPr>
    </w:p>
    <w:p w14:paraId="1599C4E7" w14:textId="77777777" w:rsidR="00637CFF" w:rsidRPr="00C13CB7" w:rsidRDefault="00637CFF" w:rsidP="00637CFF">
      <w:pPr>
        <w:widowControl/>
        <w:tabs>
          <w:tab w:val="left" w:pos="567"/>
        </w:tabs>
        <w:autoSpaceDE/>
        <w:autoSpaceDN/>
        <w:adjustRightInd/>
        <w:spacing w:line="260" w:lineRule="exact"/>
        <w:rPr>
          <w:rFonts w:eastAsia="Times New Roman"/>
          <w:snapToGrid w:val="0"/>
          <w:sz w:val="22"/>
          <w:lang w:val="lt-LT"/>
        </w:rPr>
      </w:pPr>
    </w:p>
    <w:p w14:paraId="47238000" w14:textId="77777777" w:rsidR="00637CFF" w:rsidRPr="00895C23" w:rsidRDefault="00637CFF" w:rsidP="00637CFF">
      <w:pPr>
        <w:widowControl/>
        <w:pBdr>
          <w:top w:val="single" w:sz="4" w:space="1" w:color="auto"/>
          <w:left w:val="single" w:sz="4" w:space="4" w:color="auto"/>
          <w:bottom w:val="single" w:sz="4" w:space="0" w:color="auto"/>
          <w:right w:val="single" w:sz="4" w:space="4" w:color="auto"/>
        </w:pBdr>
        <w:tabs>
          <w:tab w:val="left" w:pos="567"/>
        </w:tabs>
        <w:autoSpaceDE/>
        <w:autoSpaceDN/>
        <w:adjustRightInd/>
        <w:rPr>
          <w:rFonts w:eastAsia="Times New Roman"/>
          <w:snapToGrid w:val="0"/>
          <w:color w:val="008000"/>
          <w:sz w:val="22"/>
          <w:lang w:val="lt-LT"/>
        </w:rPr>
      </w:pPr>
      <w:r w:rsidRPr="0047471E">
        <w:rPr>
          <w:rFonts w:eastAsia="Times New Roman"/>
          <w:b/>
          <w:snapToGrid w:val="0"/>
          <w:sz w:val="22"/>
          <w:lang w:val="lt-LT"/>
        </w:rPr>
        <w:t>16.</w:t>
      </w:r>
      <w:r w:rsidRPr="00757A8C">
        <w:rPr>
          <w:rFonts w:eastAsia="Times New Roman"/>
          <w:b/>
          <w:snapToGrid w:val="0"/>
          <w:sz w:val="22"/>
          <w:lang w:val="lt-LT"/>
        </w:rPr>
        <w:tab/>
      </w:r>
      <w:r w:rsidRPr="00953345">
        <w:rPr>
          <w:rFonts w:eastAsia="Times New Roman"/>
          <w:b/>
          <w:noProof/>
          <w:snapToGrid w:val="0"/>
          <w:sz w:val="22"/>
          <w:lang w:val="lt-LT"/>
        </w:rPr>
        <w:t>INFORMACIJA BRAILIO RAŠTU</w:t>
      </w:r>
    </w:p>
    <w:p w14:paraId="37F24EAD" w14:textId="77777777" w:rsidR="00637CFF" w:rsidRPr="00B1025D" w:rsidRDefault="00637CFF" w:rsidP="00637CFF">
      <w:pPr>
        <w:widowControl/>
        <w:tabs>
          <w:tab w:val="left" w:pos="567"/>
        </w:tabs>
        <w:autoSpaceDE/>
        <w:autoSpaceDN/>
        <w:adjustRightInd/>
        <w:spacing w:line="260" w:lineRule="exact"/>
        <w:rPr>
          <w:rFonts w:eastAsia="Times New Roman"/>
          <w:snapToGrid w:val="0"/>
          <w:sz w:val="22"/>
          <w:lang w:val="lt-LT"/>
        </w:rPr>
      </w:pPr>
    </w:p>
    <w:p w14:paraId="65C1120B" w14:textId="77777777" w:rsidR="00637CFF" w:rsidRPr="008B1AE9" w:rsidRDefault="00637CFF" w:rsidP="00637CFF">
      <w:pPr>
        <w:widowControl/>
        <w:tabs>
          <w:tab w:val="left" w:pos="567"/>
        </w:tabs>
        <w:autoSpaceDE/>
        <w:autoSpaceDN/>
        <w:adjustRightInd/>
        <w:spacing w:line="260" w:lineRule="exact"/>
        <w:rPr>
          <w:rFonts w:eastAsia="Times New Roman"/>
          <w:snapToGrid w:val="0"/>
          <w:sz w:val="22"/>
          <w:lang w:val="lt-LT"/>
        </w:rPr>
      </w:pPr>
      <w:r w:rsidRPr="00290F2E">
        <w:rPr>
          <w:rFonts w:eastAsia="Times New Roman"/>
          <w:noProof/>
          <w:snapToGrid w:val="0"/>
          <w:sz w:val="22"/>
          <w:lang w:val="lt-LT"/>
        </w:rPr>
        <w:t>Silungo 20</w:t>
      </w:r>
      <w:r w:rsidRPr="00005F71">
        <w:rPr>
          <w:rFonts w:eastAsia="Times New Roman"/>
          <w:noProof/>
          <w:snapToGrid w:val="0"/>
          <w:sz w:val="22"/>
          <w:lang w:val="lt-LT"/>
        </w:rPr>
        <w:t> mg</w:t>
      </w:r>
    </w:p>
    <w:p w14:paraId="3ADE2FF9" w14:textId="77777777" w:rsidR="00637CFF" w:rsidRPr="00042B32" w:rsidRDefault="00637CFF" w:rsidP="00637CFF">
      <w:pPr>
        <w:widowControl/>
        <w:tabs>
          <w:tab w:val="left" w:pos="567"/>
        </w:tabs>
        <w:autoSpaceDE/>
        <w:autoSpaceDN/>
        <w:adjustRightInd/>
        <w:spacing w:line="260" w:lineRule="exact"/>
        <w:rPr>
          <w:rFonts w:eastAsia="Times New Roman"/>
          <w:snapToGrid w:val="0"/>
          <w:sz w:val="22"/>
          <w:lang w:val="lt-LT"/>
        </w:rPr>
      </w:pPr>
    </w:p>
    <w:p w14:paraId="78E34696" w14:textId="77777777" w:rsidR="00637CFF" w:rsidRPr="00D37093" w:rsidRDefault="00637CFF" w:rsidP="00637CFF">
      <w:pPr>
        <w:widowControl/>
        <w:tabs>
          <w:tab w:val="left" w:pos="567"/>
        </w:tabs>
        <w:autoSpaceDE/>
        <w:autoSpaceDN/>
        <w:adjustRightInd/>
        <w:spacing w:line="260" w:lineRule="exact"/>
        <w:rPr>
          <w:rFonts w:eastAsia="Times New Roman"/>
          <w:noProof/>
          <w:sz w:val="22"/>
          <w:szCs w:val="22"/>
          <w:shd w:val="clear" w:color="auto" w:fill="CCCCCC"/>
          <w:lang w:val="lt-LT"/>
        </w:rPr>
      </w:pPr>
    </w:p>
    <w:p w14:paraId="4217CE3F" w14:textId="77777777" w:rsidR="00637CFF" w:rsidRPr="008B1AE9" w:rsidRDefault="00637CFF" w:rsidP="00637CFF">
      <w:pPr>
        <w:keepNext/>
        <w:widowControl/>
        <w:pBdr>
          <w:top w:val="single" w:sz="4" w:space="1" w:color="auto"/>
          <w:left w:val="single" w:sz="4" w:space="4" w:color="auto"/>
          <w:bottom w:val="single" w:sz="4" w:space="1" w:color="auto"/>
          <w:right w:val="single" w:sz="4" w:space="4" w:color="auto"/>
        </w:pBdr>
        <w:tabs>
          <w:tab w:val="left" w:pos="0"/>
          <w:tab w:val="left" w:pos="567"/>
        </w:tabs>
        <w:autoSpaceDE/>
        <w:autoSpaceDN/>
        <w:adjustRightInd/>
        <w:spacing w:line="260" w:lineRule="exact"/>
        <w:outlineLvl w:val="0"/>
        <w:rPr>
          <w:rFonts w:eastAsia="Times New Roman"/>
          <w:i/>
          <w:noProof/>
          <w:snapToGrid w:val="0"/>
          <w:sz w:val="22"/>
          <w:lang w:val="lt-LT"/>
        </w:rPr>
      </w:pPr>
      <w:r w:rsidRPr="008B1AE9">
        <w:rPr>
          <w:b/>
          <w:noProof/>
          <w:snapToGrid w:val="0"/>
          <w:sz w:val="22"/>
          <w:szCs w:val="20"/>
          <w:lang w:val="lt-LT"/>
        </w:rPr>
        <w:t>17.</w:t>
      </w:r>
      <w:r w:rsidRPr="008B1AE9">
        <w:rPr>
          <w:b/>
          <w:noProof/>
          <w:snapToGrid w:val="0"/>
          <w:sz w:val="22"/>
          <w:szCs w:val="20"/>
          <w:lang w:val="lt-LT"/>
        </w:rPr>
        <w:tab/>
        <w:t>UNIKALUS IDENTIFIKATORIUS – 2D BRŪKŠNINIS KODAS</w:t>
      </w:r>
    </w:p>
    <w:p w14:paraId="26501424" w14:textId="77777777" w:rsidR="00637CFF" w:rsidRPr="008B1AE9" w:rsidRDefault="00637CFF" w:rsidP="00637CFF">
      <w:pPr>
        <w:widowControl/>
        <w:tabs>
          <w:tab w:val="left" w:pos="567"/>
        </w:tabs>
        <w:autoSpaceDE/>
        <w:autoSpaceDN/>
        <w:adjustRightInd/>
        <w:spacing w:line="260" w:lineRule="exact"/>
        <w:rPr>
          <w:rFonts w:eastAsia="Times New Roman"/>
          <w:noProof/>
          <w:snapToGrid w:val="0"/>
          <w:sz w:val="22"/>
          <w:szCs w:val="20"/>
          <w:lang w:val="lt-LT"/>
        </w:rPr>
      </w:pPr>
    </w:p>
    <w:p w14:paraId="692166F7" w14:textId="77777777" w:rsidR="00637CFF" w:rsidRPr="008B1AE9" w:rsidRDefault="00637CFF" w:rsidP="00637CFF">
      <w:pPr>
        <w:widowControl/>
        <w:tabs>
          <w:tab w:val="left" w:pos="567"/>
        </w:tabs>
        <w:autoSpaceDE/>
        <w:autoSpaceDN/>
        <w:adjustRightInd/>
        <w:spacing w:line="260" w:lineRule="exact"/>
        <w:rPr>
          <w:rFonts w:eastAsia="Times New Roman"/>
          <w:noProof/>
          <w:snapToGrid w:val="0"/>
          <w:sz w:val="22"/>
          <w:szCs w:val="22"/>
          <w:shd w:val="clear" w:color="auto" w:fill="CCCCCC"/>
          <w:lang w:val="lt-LT"/>
        </w:rPr>
      </w:pPr>
      <w:r w:rsidRPr="000C463E">
        <w:rPr>
          <w:noProof/>
          <w:snapToGrid w:val="0"/>
          <w:sz w:val="22"/>
          <w:szCs w:val="20"/>
          <w:highlight w:val="lightGray"/>
          <w:lang w:val="lt-LT"/>
        </w:rPr>
        <w:t>2D brūkšnini</w:t>
      </w:r>
      <w:r w:rsidRPr="000C463E">
        <w:rPr>
          <w:rFonts w:eastAsia="Times New Roman"/>
          <w:noProof/>
          <w:snapToGrid w:val="0"/>
          <w:sz w:val="22"/>
          <w:szCs w:val="20"/>
          <w:highlight w:val="lightGray"/>
          <w:lang w:val="lt-LT"/>
        </w:rPr>
        <w:t>s kodas su nurodytu unikaliu identifikatoriumi.</w:t>
      </w:r>
    </w:p>
    <w:p w14:paraId="41781348" w14:textId="77777777" w:rsidR="00637CFF" w:rsidRPr="008B1AE9" w:rsidRDefault="00637CFF" w:rsidP="00637CFF">
      <w:pPr>
        <w:widowControl/>
        <w:tabs>
          <w:tab w:val="left" w:pos="567"/>
        </w:tabs>
        <w:autoSpaceDE/>
        <w:autoSpaceDN/>
        <w:adjustRightInd/>
        <w:spacing w:line="260" w:lineRule="exact"/>
        <w:rPr>
          <w:rFonts w:eastAsia="Times New Roman"/>
          <w:noProof/>
          <w:snapToGrid w:val="0"/>
          <w:sz w:val="22"/>
          <w:szCs w:val="22"/>
          <w:shd w:val="clear" w:color="auto" w:fill="CCCCCC"/>
          <w:lang w:val="lt-LT"/>
        </w:rPr>
      </w:pPr>
    </w:p>
    <w:p w14:paraId="36888D2B" w14:textId="77777777" w:rsidR="00637CFF" w:rsidRPr="008B1AE9" w:rsidRDefault="00637CFF" w:rsidP="00637CFF">
      <w:pPr>
        <w:widowControl/>
        <w:tabs>
          <w:tab w:val="left" w:pos="567"/>
        </w:tabs>
        <w:autoSpaceDE/>
        <w:autoSpaceDN/>
        <w:adjustRightInd/>
        <w:spacing w:line="260" w:lineRule="exact"/>
        <w:rPr>
          <w:rFonts w:eastAsia="Times New Roman"/>
          <w:noProof/>
          <w:snapToGrid w:val="0"/>
          <w:sz w:val="22"/>
          <w:szCs w:val="20"/>
          <w:lang w:val="lt-LT"/>
        </w:rPr>
      </w:pPr>
    </w:p>
    <w:p w14:paraId="2F9C868F" w14:textId="77777777" w:rsidR="00637CFF" w:rsidRPr="008B1AE9" w:rsidRDefault="00637CFF" w:rsidP="00637CFF">
      <w:pPr>
        <w:keepNext/>
        <w:widowControl/>
        <w:pBdr>
          <w:top w:val="single" w:sz="4" w:space="1" w:color="auto"/>
          <w:left w:val="single" w:sz="4" w:space="4" w:color="auto"/>
          <w:bottom w:val="single" w:sz="4" w:space="1" w:color="auto"/>
          <w:right w:val="single" w:sz="4" w:space="4" w:color="auto"/>
        </w:pBdr>
        <w:tabs>
          <w:tab w:val="left" w:pos="0"/>
          <w:tab w:val="left" w:pos="567"/>
        </w:tabs>
        <w:autoSpaceDE/>
        <w:autoSpaceDN/>
        <w:adjustRightInd/>
        <w:spacing w:line="260" w:lineRule="exact"/>
        <w:outlineLvl w:val="0"/>
        <w:rPr>
          <w:rFonts w:eastAsia="Times New Roman"/>
          <w:i/>
          <w:noProof/>
          <w:snapToGrid w:val="0"/>
          <w:sz w:val="22"/>
          <w:szCs w:val="20"/>
          <w:lang w:val="lt-LT"/>
        </w:rPr>
      </w:pPr>
      <w:r w:rsidRPr="008B1AE9">
        <w:rPr>
          <w:b/>
          <w:noProof/>
          <w:snapToGrid w:val="0"/>
          <w:sz w:val="22"/>
          <w:szCs w:val="20"/>
          <w:lang w:val="lt-LT"/>
        </w:rPr>
        <w:t>18.</w:t>
      </w:r>
      <w:r w:rsidRPr="008B1AE9">
        <w:rPr>
          <w:b/>
          <w:noProof/>
          <w:snapToGrid w:val="0"/>
          <w:sz w:val="22"/>
          <w:szCs w:val="20"/>
          <w:lang w:val="lt-LT"/>
        </w:rPr>
        <w:tab/>
        <w:t>UNIKALUS IDENTIFIKATORIUS – ŽMONĖMS SUPRANTAMI DUOMENYS</w:t>
      </w:r>
    </w:p>
    <w:p w14:paraId="22E2F0EC" w14:textId="77777777" w:rsidR="00637CFF" w:rsidRPr="008B1AE9" w:rsidRDefault="00637CFF" w:rsidP="00637CFF">
      <w:pPr>
        <w:widowControl/>
        <w:tabs>
          <w:tab w:val="left" w:pos="567"/>
        </w:tabs>
        <w:autoSpaceDE/>
        <w:autoSpaceDN/>
        <w:adjustRightInd/>
        <w:spacing w:line="260" w:lineRule="exact"/>
        <w:rPr>
          <w:rFonts w:eastAsia="Times New Roman"/>
          <w:noProof/>
          <w:snapToGrid w:val="0"/>
          <w:sz w:val="22"/>
          <w:szCs w:val="20"/>
          <w:lang w:val="lt-LT"/>
        </w:rPr>
      </w:pPr>
    </w:p>
    <w:p w14:paraId="77414075" w14:textId="77777777" w:rsidR="00637CFF" w:rsidRPr="000C463E" w:rsidRDefault="00637CFF" w:rsidP="00637CFF">
      <w:pPr>
        <w:widowControl/>
        <w:tabs>
          <w:tab w:val="left" w:pos="567"/>
        </w:tabs>
        <w:autoSpaceDE/>
        <w:autoSpaceDN/>
        <w:adjustRightInd/>
        <w:spacing w:line="260" w:lineRule="exact"/>
        <w:rPr>
          <w:rFonts w:eastAsia="Times New Roman"/>
          <w:snapToGrid w:val="0"/>
          <w:sz w:val="22"/>
          <w:szCs w:val="22"/>
          <w:lang w:val="lt-LT"/>
        </w:rPr>
      </w:pPr>
      <w:r w:rsidRPr="00A03602">
        <w:rPr>
          <w:rFonts w:eastAsia="Times New Roman"/>
          <w:snapToGrid w:val="0"/>
          <w:sz w:val="22"/>
          <w:szCs w:val="20"/>
          <w:lang w:val="lt-LT"/>
        </w:rPr>
        <w:t>PC: {numeris}</w:t>
      </w:r>
    </w:p>
    <w:p w14:paraId="1D52C796" w14:textId="77777777" w:rsidR="00637CFF" w:rsidRPr="008B1AE9" w:rsidRDefault="00637CFF" w:rsidP="00637CFF">
      <w:pPr>
        <w:widowControl/>
        <w:tabs>
          <w:tab w:val="left" w:pos="567"/>
        </w:tabs>
        <w:autoSpaceDE/>
        <w:autoSpaceDN/>
        <w:adjustRightInd/>
        <w:spacing w:line="260" w:lineRule="exact"/>
        <w:rPr>
          <w:rFonts w:eastAsia="Times New Roman"/>
          <w:snapToGrid w:val="0"/>
          <w:sz w:val="22"/>
          <w:szCs w:val="22"/>
          <w:lang w:val="lt-LT"/>
        </w:rPr>
      </w:pPr>
      <w:r w:rsidRPr="008B1AE9">
        <w:rPr>
          <w:rFonts w:eastAsia="Times New Roman"/>
          <w:snapToGrid w:val="0"/>
          <w:sz w:val="22"/>
          <w:szCs w:val="20"/>
          <w:lang w:val="lt-LT"/>
        </w:rPr>
        <w:t>SN: {numeris}</w:t>
      </w:r>
    </w:p>
    <w:p w14:paraId="0BBF7B5F" w14:textId="77777777" w:rsidR="00637CFF" w:rsidRPr="008B1AE9" w:rsidRDefault="00637CFF" w:rsidP="00637CFF">
      <w:pPr>
        <w:widowControl/>
        <w:tabs>
          <w:tab w:val="left" w:pos="567"/>
        </w:tabs>
        <w:autoSpaceDE/>
        <w:autoSpaceDN/>
        <w:adjustRightInd/>
        <w:spacing w:line="260" w:lineRule="exact"/>
        <w:rPr>
          <w:rFonts w:eastAsia="Times New Roman"/>
          <w:snapToGrid w:val="0"/>
          <w:sz w:val="22"/>
          <w:szCs w:val="22"/>
          <w:lang w:val="lt-LT"/>
        </w:rPr>
      </w:pPr>
      <w:r w:rsidRPr="008B1AE9">
        <w:rPr>
          <w:rFonts w:eastAsia="Times New Roman"/>
          <w:snapToGrid w:val="0"/>
          <w:sz w:val="22"/>
          <w:szCs w:val="20"/>
          <w:highlight w:val="lightGray"/>
          <w:lang w:val="lt-LT"/>
        </w:rPr>
        <w:t>NN: {numeris}</w:t>
      </w:r>
    </w:p>
    <w:p w14:paraId="4BEC8FA0" w14:textId="77777777" w:rsidR="00637CFF" w:rsidRPr="008B1AE9" w:rsidRDefault="00637CFF" w:rsidP="00637CFF">
      <w:pPr>
        <w:widowControl/>
        <w:tabs>
          <w:tab w:val="left" w:pos="567"/>
        </w:tabs>
        <w:autoSpaceDE/>
        <w:autoSpaceDN/>
        <w:adjustRightInd/>
        <w:spacing w:line="260" w:lineRule="exact"/>
        <w:rPr>
          <w:rFonts w:eastAsia="Times New Roman"/>
          <w:noProof/>
          <w:snapToGrid w:val="0"/>
          <w:vanish/>
          <w:sz w:val="22"/>
          <w:szCs w:val="22"/>
          <w:lang w:val="lt-LT"/>
        </w:rPr>
      </w:pPr>
    </w:p>
    <w:p w14:paraId="4D4EDC18" w14:textId="77777777" w:rsidR="00637CFF" w:rsidRPr="005A3594" w:rsidRDefault="00637CFF" w:rsidP="00637CFF">
      <w:pPr>
        <w:widowControl/>
        <w:tabs>
          <w:tab w:val="left" w:pos="567"/>
        </w:tabs>
        <w:autoSpaceDE/>
        <w:autoSpaceDN/>
        <w:adjustRightInd/>
        <w:spacing w:line="260" w:lineRule="exact"/>
        <w:rPr>
          <w:rFonts w:eastAsia="Times New Roman"/>
          <w:snapToGrid w:val="0"/>
          <w:sz w:val="22"/>
          <w:lang w:val="lt-LT"/>
        </w:rPr>
      </w:pPr>
    </w:p>
    <w:p w14:paraId="655E5EEE" w14:textId="77777777" w:rsidR="00637CFF" w:rsidRPr="00D42D4C" w:rsidRDefault="00637CFF" w:rsidP="005E5846">
      <w:pPr>
        <w:pBdr>
          <w:top w:val="single" w:sz="4" w:space="1" w:color="auto"/>
          <w:left w:val="single" w:sz="4" w:space="4" w:color="auto"/>
          <w:bottom w:val="single" w:sz="4" w:space="1" w:color="auto"/>
          <w:right w:val="single" w:sz="4" w:space="22" w:color="auto"/>
        </w:pBdr>
        <w:rPr>
          <w:rFonts w:eastAsia="Times New Roman"/>
          <w:b/>
          <w:noProof/>
          <w:snapToGrid w:val="0"/>
          <w:sz w:val="22"/>
          <w:lang w:val="lt-LT"/>
        </w:rPr>
      </w:pPr>
      <w:r w:rsidRPr="0088142B">
        <w:rPr>
          <w:rFonts w:eastAsia="Times New Roman"/>
          <w:snapToGrid w:val="0"/>
          <w:sz w:val="22"/>
          <w:lang w:val="lt-LT"/>
        </w:rPr>
        <w:br w:type="page"/>
      </w:r>
      <w:r w:rsidRPr="0088142B">
        <w:rPr>
          <w:b/>
          <w:noProof/>
          <w:snapToGrid w:val="0"/>
          <w:sz w:val="22"/>
          <w:lang w:val="lt-LT"/>
        </w:rPr>
        <w:lastRenderedPageBreak/>
        <w:t>MINIMALI INFORMACIJA ANT LIZDINIŲ PLOKŠTELIŲ ARBA DVISLUOKSNIŲ</w:t>
      </w:r>
      <w:r w:rsidRPr="00393066">
        <w:rPr>
          <w:rFonts w:eastAsia="Times New Roman"/>
          <w:b/>
          <w:noProof/>
          <w:snapToGrid w:val="0"/>
          <w:sz w:val="22"/>
          <w:lang w:val="lt-LT"/>
        </w:rPr>
        <w:t xml:space="preserve"> </w:t>
      </w:r>
      <w:r w:rsidRPr="003147F8">
        <w:rPr>
          <w:b/>
          <w:noProof/>
          <w:snapToGrid w:val="0"/>
          <w:sz w:val="22"/>
          <w:lang w:val="lt-LT"/>
        </w:rPr>
        <w:t>JUOSTELIŲ</w:t>
      </w:r>
    </w:p>
    <w:p w14:paraId="706CC4F9" w14:textId="77777777" w:rsidR="00637CFF" w:rsidRPr="00D42D4C" w:rsidRDefault="00637CFF" w:rsidP="00637CFF">
      <w:pPr>
        <w:widowControl/>
        <w:pBdr>
          <w:top w:val="single" w:sz="4" w:space="1" w:color="auto"/>
          <w:left w:val="single" w:sz="4" w:space="4" w:color="auto"/>
          <w:bottom w:val="single" w:sz="4" w:space="1" w:color="auto"/>
          <w:right w:val="single" w:sz="4" w:space="22" w:color="auto"/>
        </w:pBdr>
        <w:tabs>
          <w:tab w:val="left" w:pos="567"/>
        </w:tabs>
        <w:autoSpaceDE/>
        <w:autoSpaceDN/>
        <w:adjustRightInd/>
        <w:spacing w:line="260" w:lineRule="exact"/>
        <w:ind w:left="567" w:hanging="567"/>
        <w:rPr>
          <w:rFonts w:eastAsia="Times New Roman"/>
          <w:b/>
          <w:noProof/>
          <w:snapToGrid w:val="0"/>
          <w:sz w:val="22"/>
          <w:lang w:val="lt-LT"/>
        </w:rPr>
      </w:pPr>
    </w:p>
    <w:p w14:paraId="17CD6F9B" w14:textId="77777777" w:rsidR="00637CFF" w:rsidRPr="00C13CB7" w:rsidRDefault="00637CFF" w:rsidP="00637CFF">
      <w:pPr>
        <w:widowControl/>
        <w:pBdr>
          <w:top w:val="single" w:sz="4" w:space="1" w:color="auto"/>
          <w:left w:val="single" w:sz="4" w:space="4" w:color="auto"/>
          <w:bottom w:val="single" w:sz="4" w:space="1" w:color="auto"/>
          <w:right w:val="single" w:sz="4" w:space="22" w:color="auto"/>
        </w:pBdr>
        <w:tabs>
          <w:tab w:val="left" w:pos="567"/>
        </w:tabs>
        <w:autoSpaceDE/>
        <w:autoSpaceDN/>
        <w:adjustRightInd/>
        <w:spacing w:line="260" w:lineRule="exact"/>
        <w:ind w:left="567" w:hanging="567"/>
        <w:rPr>
          <w:rFonts w:eastAsia="Times New Roman"/>
          <w:b/>
          <w:snapToGrid w:val="0"/>
          <w:sz w:val="22"/>
          <w:szCs w:val="20"/>
          <w:lang w:val="lt-LT"/>
        </w:rPr>
      </w:pPr>
      <w:r w:rsidRPr="00D42D4C">
        <w:rPr>
          <w:rFonts w:eastAsia="Times New Roman"/>
          <w:b/>
          <w:snapToGrid w:val="0"/>
          <w:sz w:val="22"/>
          <w:szCs w:val="20"/>
          <w:lang w:val="lt-LT"/>
        </w:rPr>
        <w:t>LIZDI</w:t>
      </w:r>
      <w:r w:rsidRPr="00BB5D9F">
        <w:rPr>
          <w:b/>
          <w:snapToGrid w:val="0"/>
          <w:sz w:val="22"/>
          <w:szCs w:val="20"/>
          <w:lang w:val="lt-LT"/>
        </w:rPr>
        <w:t>NĖ P</w:t>
      </w:r>
      <w:r w:rsidRPr="00BB5D9F">
        <w:rPr>
          <w:rFonts w:eastAsia="Times New Roman"/>
          <w:b/>
          <w:snapToGrid w:val="0"/>
          <w:sz w:val="22"/>
          <w:szCs w:val="20"/>
          <w:lang w:val="lt-LT"/>
        </w:rPr>
        <w:t>LO</w:t>
      </w:r>
      <w:r w:rsidRPr="00495F2D">
        <w:rPr>
          <w:b/>
          <w:snapToGrid w:val="0"/>
          <w:sz w:val="22"/>
          <w:szCs w:val="20"/>
          <w:lang w:val="lt-LT"/>
        </w:rPr>
        <w:t>KŠTELĖ</w:t>
      </w:r>
    </w:p>
    <w:p w14:paraId="3F3F5D8F" w14:textId="77777777" w:rsidR="00637CFF" w:rsidRPr="0047471E" w:rsidRDefault="00637CFF" w:rsidP="00637CFF">
      <w:pPr>
        <w:widowControl/>
        <w:tabs>
          <w:tab w:val="left" w:pos="567"/>
        </w:tabs>
        <w:autoSpaceDE/>
        <w:autoSpaceDN/>
        <w:adjustRightInd/>
        <w:spacing w:line="260" w:lineRule="exact"/>
        <w:rPr>
          <w:rFonts w:eastAsia="Times New Roman"/>
          <w:snapToGrid w:val="0"/>
          <w:sz w:val="22"/>
          <w:szCs w:val="20"/>
          <w:lang w:val="lt-LT"/>
        </w:rPr>
      </w:pPr>
    </w:p>
    <w:p w14:paraId="7CF4FF07" w14:textId="77777777" w:rsidR="00637CFF" w:rsidRPr="00757A8C" w:rsidRDefault="00637CFF" w:rsidP="00637CFF">
      <w:pPr>
        <w:widowControl/>
        <w:tabs>
          <w:tab w:val="left" w:pos="567"/>
        </w:tabs>
        <w:autoSpaceDE/>
        <w:autoSpaceDN/>
        <w:adjustRightInd/>
        <w:spacing w:line="260" w:lineRule="exact"/>
        <w:rPr>
          <w:rFonts w:eastAsia="Times New Roman"/>
          <w:snapToGrid w:val="0"/>
          <w:sz w:val="22"/>
          <w:lang w:val="lt-LT"/>
        </w:rPr>
      </w:pPr>
    </w:p>
    <w:p w14:paraId="5DE8A5B4" w14:textId="77777777" w:rsidR="00637CFF" w:rsidRPr="00005F71" w:rsidRDefault="00637CFF" w:rsidP="00637CFF">
      <w:pPr>
        <w:widowControl/>
        <w:pBdr>
          <w:top w:val="single" w:sz="4" w:space="1" w:color="auto"/>
          <w:left w:val="single" w:sz="4" w:space="4" w:color="auto"/>
          <w:bottom w:val="single" w:sz="4" w:space="1" w:color="auto"/>
          <w:right w:val="single" w:sz="4" w:space="4" w:color="auto"/>
        </w:pBdr>
        <w:tabs>
          <w:tab w:val="left" w:pos="567"/>
        </w:tabs>
        <w:autoSpaceDE/>
        <w:autoSpaceDN/>
        <w:adjustRightInd/>
        <w:outlineLvl w:val="0"/>
        <w:rPr>
          <w:rFonts w:eastAsia="Times New Roman"/>
          <w:b/>
          <w:snapToGrid w:val="0"/>
          <w:sz w:val="22"/>
          <w:lang w:val="lt-LT"/>
        </w:rPr>
      </w:pPr>
      <w:r w:rsidRPr="00953345">
        <w:rPr>
          <w:rFonts w:eastAsia="Times New Roman"/>
          <w:b/>
          <w:snapToGrid w:val="0"/>
          <w:sz w:val="22"/>
          <w:lang w:val="lt-LT"/>
        </w:rPr>
        <w:t>1.</w:t>
      </w:r>
      <w:r w:rsidRPr="00895C23">
        <w:rPr>
          <w:rFonts w:eastAsia="Times New Roman"/>
          <w:b/>
          <w:snapToGrid w:val="0"/>
          <w:sz w:val="22"/>
          <w:lang w:val="lt-LT"/>
        </w:rPr>
        <w:tab/>
      </w:r>
      <w:r w:rsidRPr="00B1025D">
        <w:rPr>
          <w:rFonts w:eastAsia="Times New Roman"/>
          <w:b/>
          <w:caps/>
          <w:noProof/>
          <w:snapToGrid w:val="0"/>
          <w:sz w:val="22"/>
          <w:lang w:val="lt-LT"/>
        </w:rPr>
        <w:t>VAISTINIO</w:t>
      </w:r>
      <w:r w:rsidRPr="00290F2E">
        <w:rPr>
          <w:rFonts w:eastAsia="Times New Roman"/>
          <w:b/>
          <w:noProof/>
          <w:snapToGrid w:val="0"/>
          <w:sz w:val="22"/>
          <w:lang w:val="lt-LT"/>
        </w:rPr>
        <w:t xml:space="preserve"> PREPARATO PAVADINIMAS</w:t>
      </w:r>
    </w:p>
    <w:p w14:paraId="4129D577" w14:textId="77777777" w:rsidR="00637CFF" w:rsidRPr="00005F71" w:rsidRDefault="00637CFF" w:rsidP="00637CFF">
      <w:pPr>
        <w:widowControl/>
        <w:tabs>
          <w:tab w:val="left" w:pos="567"/>
        </w:tabs>
        <w:autoSpaceDE/>
        <w:autoSpaceDN/>
        <w:adjustRightInd/>
        <w:spacing w:line="260" w:lineRule="exact"/>
        <w:rPr>
          <w:rFonts w:eastAsia="Times New Roman"/>
          <w:snapToGrid w:val="0"/>
          <w:sz w:val="22"/>
          <w:lang w:val="lt-LT"/>
        </w:rPr>
      </w:pPr>
    </w:p>
    <w:p w14:paraId="7CEEFF5B" w14:textId="77777777" w:rsidR="00637CFF" w:rsidRPr="008B1AE9" w:rsidRDefault="00637CFF" w:rsidP="00637CFF">
      <w:pPr>
        <w:rPr>
          <w:sz w:val="22"/>
          <w:szCs w:val="22"/>
          <w:lang w:val="lt-LT"/>
        </w:rPr>
      </w:pPr>
      <w:r w:rsidRPr="008B1AE9">
        <w:rPr>
          <w:sz w:val="22"/>
          <w:szCs w:val="22"/>
          <w:lang w:val="lt-LT"/>
        </w:rPr>
        <w:t xml:space="preserve">Silungo 20 mg plėvele dengtos tabletės </w:t>
      </w:r>
    </w:p>
    <w:p w14:paraId="77C7510C" w14:textId="27B954C8" w:rsidR="00637CFF" w:rsidRPr="008B1AE9" w:rsidRDefault="00641219" w:rsidP="00637CFF">
      <w:pPr>
        <w:rPr>
          <w:sz w:val="22"/>
          <w:szCs w:val="22"/>
          <w:lang w:val="lt-LT"/>
        </w:rPr>
      </w:pPr>
      <w:r>
        <w:rPr>
          <w:sz w:val="22"/>
          <w:szCs w:val="22"/>
          <w:lang w:val="lt-LT"/>
        </w:rPr>
        <w:t>s</w:t>
      </w:r>
      <w:r w:rsidR="00637CFF" w:rsidRPr="008B1AE9">
        <w:rPr>
          <w:sz w:val="22"/>
          <w:szCs w:val="22"/>
          <w:lang w:val="lt-LT"/>
        </w:rPr>
        <w:t>ildenafilum</w:t>
      </w:r>
    </w:p>
    <w:p w14:paraId="347D3777" w14:textId="77777777" w:rsidR="00637CFF" w:rsidRPr="005A3594" w:rsidRDefault="00637CFF" w:rsidP="00637CFF">
      <w:pPr>
        <w:widowControl/>
        <w:tabs>
          <w:tab w:val="left" w:pos="567"/>
        </w:tabs>
        <w:autoSpaceDE/>
        <w:autoSpaceDN/>
        <w:adjustRightInd/>
        <w:spacing w:line="260" w:lineRule="exact"/>
        <w:rPr>
          <w:rFonts w:eastAsia="Times New Roman"/>
          <w:snapToGrid w:val="0"/>
          <w:sz w:val="22"/>
          <w:lang w:val="lt-LT"/>
        </w:rPr>
      </w:pPr>
    </w:p>
    <w:p w14:paraId="42C59EAE" w14:textId="77777777" w:rsidR="00637CFF" w:rsidRPr="00AE5BD5" w:rsidRDefault="00637CFF" w:rsidP="00637CFF">
      <w:pPr>
        <w:widowControl/>
        <w:tabs>
          <w:tab w:val="left" w:pos="567"/>
        </w:tabs>
        <w:autoSpaceDE/>
        <w:autoSpaceDN/>
        <w:adjustRightInd/>
        <w:spacing w:line="260" w:lineRule="exact"/>
        <w:rPr>
          <w:rFonts w:eastAsia="Times New Roman"/>
          <w:snapToGrid w:val="0"/>
          <w:sz w:val="22"/>
          <w:lang w:val="lt-LT"/>
        </w:rPr>
      </w:pPr>
    </w:p>
    <w:p w14:paraId="326559DF" w14:textId="77777777" w:rsidR="00637CFF" w:rsidRPr="008B1AE9" w:rsidRDefault="00637CFF" w:rsidP="00637CFF">
      <w:pPr>
        <w:widowControl/>
        <w:pBdr>
          <w:top w:val="single" w:sz="4" w:space="1" w:color="auto"/>
          <w:left w:val="single" w:sz="4" w:space="4" w:color="auto"/>
          <w:bottom w:val="single" w:sz="4" w:space="1" w:color="auto"/>
          <w:right w:val="single" w:sz="4" w:space="4" w:color="auto"/>
        </w:pBdr>
        <w:tabs>
          <w:tab w:val="left" w:pos="567"/>
        </w:tabs>
        <w:autoSpaceDE/>
        <w:autoSpaceDN/>
        <w:adjustRightInd/>
        <w:outlineLvl w:val="0"/>
        <w:rPr>
          <w:rFonts w:eastAsia="Times New Roman"/>
          <w:b/>
          <w:snapToGrid w:val="0"/>
          <w:sz w:val="22"/>
          <w:lang w:val="lt-LT"/>
        </w:rPr>
      </w:pPr>
      <w:r w:rsidRPr="008B1AE9">
        <w:rPr>
          <w:rFonts w:eastAsia="Times New Roman"/>
          <w:b/>
          <w:snapToGrid w:val="0"/>
          <w:sz w:val="22"/>
          <w:lang w:val="lt-LT"/>
        </w:rPr>
        <w:t>2.</w:t>
      </w:r>
      <w:r w:rsidRPr="008B1AE9">
        <w:rPr>
          <w:rFonts w:eastAsia="Times New Roman"/>
          <w:b/>
          <w:snapToGrid w:val="0"/>
          <w:sz w:val="22"/>
          <w:lang w:val="lt-LT"/>
        </w:rPr>
        <w:tab/>
      </w:r>
      <w:r w:rsidRPr="008B1AE9">
        <w:rPr>
          <w:rFonts w:eastAsia="Times New Roman"/>
          <w:b/>
          <w:caps/>
          <w:noProof/>
          <w:snapToGrid w:val="0"/>
          <w:sz w:val="22"/>
          <w:lang w:val="lt-LT"/>
        </w:rPr>
        <w:t>REGISTRUOTOJO pavadinimas</w:t>
      </w:r>
    </w:p>
    <w:p w14:paraId="75357F9F" w14:textId="77777777" w:rsidR="00637CFF" w:rsidRPr="008B1AE9" w:rsidRDefault="00637CFF" w:rsidP="00637CFF">
      <w:pPr>
        <w:widowControl/>
        <w:tabs>
          <w:tab w:val="left" w:pos="567"/>
        </w:tabs>
        <w:autoSpaceDE/>
        <w:autoSpaceDN/>
        <w:adjustRightInd/>
        <w:spacing w:line="260" w:lineRule="exact"/>
        <w:rPr>
          <w:rFonts w:eastAsia="Times New Roman"/>
          <w:snapToGrid w:val="0"/>
          <w:sz w:val="22"/>
          <w:lang w:val="lt-LT"/>
        </w:rPr>
      </w:pPr>
    </w:p>
    <w:p w14:paraId="206DFF22" w14:textId="77777777" w:rsidR="00637CFF" w:rsidRPr="008B1AE9" w:rsidRDefault="00637CFF" w:rsidP="00637CFF">
      <w:pPr>
        <w:rPr>
          <w:rFonts w:eastAsia="Times New Roman"/>
          <w:snapToGrid w:val="0"/>
          <w:sz w:val="22"/>
          <w:szCs w:val="22"/>
          <w:lang w:val="lt-LT"/>
        </w:rPr>
      </w:pPr>
      <w:r w:rsidRPr="008B1AE9">
        <w:rPr>
          <w:rFonts w:eastAsia="Times New Roman"/>
          <w:noProof/>
          <w:snapToGrid w:val="0"/>
          <w:sz w:val="22"/>
          <w:szCs w:val="22"/>
          <w:lang w:val="lt-LT"/>
        </w:rPr>
        <w:t>UAB Norameda</w:t>
      </w:r>
    </w:p>
    <w:p w14:paraId="36E1854F" w14:textId="77777777" w:rsidR="00637CFF" w:rsidRPr="00042B32" w:rsidRDefault="00637CFF" w:rsidP="00637CFF">
      <w:pPr>
        <w:widowControl/>
        <w:tabs>
          <w:tab w:val="left" w:pos="567"/>
        </w:tabs>
        <w:autoSpaceDE/>
        <w:autoSpaceDN/>
        <w:adjustRightInd/>
        <w:spacing w:line="260" w:lineRule="exact"/>
        <w:rPr>
          <w:rFonts w:eastAsia="Times New Roman"/>
          <w:snapToGrid w:val="0"/>
          <w:sz w:val="22"/>
          <w:lang w:val="lt-LT"/>
        </w:rPr>
      </w:pPr>
    </w:p>
    <w:p w14:paraId="04C3E5E5" w14:textId="77777777" w:rsidR="00637CFF" w:rsidRPr="00D37093" w:rsidRDefault="00637CFF" w:rsidP="00637CFF">
      <w:pPr>
        <w:widowControl/>
        <w:tabs>
          <w:tab w:val="left" w:pos="567"/>
        </w:tabs>
        <w:autoSpaceDE/>
        <w:autoSpaceDN/>
        <w:adjustRightInd/>
        <w:spacing w:line="260" w:lineRule="exact"/>
        <w:rPr>
          <w:rFonts w:eastAsia="Times New Roman"/>
          <w:snapToGrid w:val="0"/>
          <w:sz w:val="22"/>
          <w:lang w:val="lt-LT"/>
        </w:rPr>
      </w:pPr>
    </w:p>
    <w:p w14:paraId="6A572C86" w14:textId="77777777" w:rsidR="00637CFF" w:rsidRPr="003147F8" w:rsidRDefault="00637CFF" w:rsidP="00637CFF">
      <w:pPr>
        <w:widowControl/>
        <w:pBdr>
          <w:top w:val="single" w:sz="4" w:space="1" w:color="auto"/>
          <w:left w:val="single" w:sz="4" w:space="4" w:color="auto"/>
          <w:bottom w:val="single" w:sz="4" w:space="2" w:color="auto"/>
          <w:right w:val="single" w:sz="4" w:space="4" w:color="auto"/>
        </w:pBdr>
        <w:tabs>
          <w:tab w:val="left" w:pos="567"/>
        </w:tabs>
        <w:autoSpaceDE/>
        <w:autoSpaceDN/>
        <w:adjustRightInd/>
        <w:outlineLvl w:val="0"/>
        <w:rPr>
          <w:rFonts w:eastAsia="Times New Roman"/>
          <w:b/>
          <w:snapToGrid w:val="0"/>
          <w:sz w:val="22"/>
          <w:lang w:val="lt-LT"/>
        </w:rPr>
      </w:pPr>
      <w:r w:rsidRPr="003E6E21">
        <w:rPr>
          <w:rFonts w:eastAsia="Times New Roman"/>
          <w:b/>
          <w:snapToGrid w:val="0"/>
          <w:sz w:val="22"/>
          <w:lang w:val="lt-LT"/>
        </w:rPr>
        <w:t>3.</w:t>
      </w:r>
      <w:r w:rsidRPr="0088142B">
        <w:rPr>
          <w:rFonts w:eastAsia="Times New Roman"/>
          <w:b/>
          <w:snapToGrid w:val="0"/>
          <w:sz w:val="22"/>
          <w:lang w:val="lt-LT"/>
        </w:rPr>
        <w:tab/>
      </w:r>
      <w:r w:rsidRPr="00393066">
        <w:rPr>
          <w:rFonts w:eastAsia="Times New Roman"/>
          <w:b/>
          <w:noProof/>
          <w:snapToGrid w:val="0"/>
          <w:sz w:val="22"/>
          <w:lang w:val="lt-LT"/>
        </w:rPr>
        <w:t>TINKAMUMO LAIKAS</w:t>
      </w:r>
    </w:p>
    <w:p w14:paraId="2D540292" w14:textId="77777777" w:rsidR="00637CFF" w:rsidRPr="00D42D4C" w:rsidRDefault="00637CFF" w:rsidP="00637CFF">
      <w:pPr>
        <w:widowControl/>
        <w:tabs>
          <w:tab w:val="left" w:pos="567"/>
        </w:tabs>
        <w:autoSpaceDE/>
        <w:autoSpaceDN/>
        <w:adjustRightInd/>
        <w:spacing w:line="260" w:lineRule="exact"/>
        <w:rPr>
          <w:rFonts w:eastAsia="Times New Roman"/>
          <w:snapToGrid w:val="0"/>
          <w:sz w:val="22"/>
          <w:lang w:val="lt-LT"/>
        </w:rPr>
      </w:pPr>
    </w:p>
    <w:p w14:paraId="0AF3787A" w14:textId="77777777" w:rsidR="00637CFF" w:rsidRPr="00D5161B" w:rsidRDefault="00637CFF" w:rsidP="00637CFF">
      <w:pPr>
        <w:widowControl/>
        <w:tabs>
          <w:tab w:val="left" w:pos="567"/>
        </w:tabs>
        <w:autoSpaceDE/>
        <w:autoSpaceDN/>
        <w:adjustRightInd/>
        <w:spacing w:line="260" w:lineRule="exact"/>
        <w:rPr>
          <w:rFonts w:eastAsia="Times New Roman"/>
          <w:snapToGrid w:val="0"/>
          <w:sz w:val="22"/>
          <w:szCs w:val="20"/>
          <w:lang w:val="lt-LT"/>
        </w:rPr>
      </w:pPr>
      <w:r w:rsidRPr="00D42D4C">
        <w:rPr>
          <w:rFonts w:eastAsia="Times New Roman"/>
          <w:snapToGrid w:val="0"/>
          <w:sz w:val="22"/>
          <w:szCs w:val="20"/>
          <w:lang w:val="lt-LT"/>
        </w:rPr>
        <w:t>EXP</w:t>
      </w:r>
      <w:r w:rsidR="000C463E">
        <w:rPr>
          <w:rFonts w:eastAsia="Times New Roman"/>
          <w:snapToGrid w:val="0"/>
          <w:sz w:val="22"/>
          <w:szCs w:val="20"/>
          <w:lang w:val="lt-LT"/>
        </w:rPr>
        <w:t>: mm/MMMM</w:t>
      </w:r>
    </w:p>
    <w:p w14:paraId="3961A734" w14:textId="77777777" w:rsidR="00637CFF" w:rsidRPr="00042B32" w:rsidRDefault="00637CFF" w:rsidP="00637CFF">
      <w:pPr>
        <w:widowControl/>
        <w:tabs>
          <w:tab w:val="left" w:pos="567"/>
        </w:tabs>
        <w:autoSpaceDE/>
        <w:autoSpaceDN/>
        <w:adjustRightInd/>
        <w:spacing w:line="260" w:lineRule="exact"/>
        <w:rPr>
          <w:rFonts w:eastAsia="Times New Roman"/>
          <w:snapToGrid w:val="0"/>
          <w:sz w:val="22"/>
          <w:szCs w:val="20"/>
          <w:lang w:val="lt-LT"/>
        </w:rPr>
      </w:pPr>
    </w:p>
    <w:p w14:paraId="72584948" w14:textId="77777777" w:rsidR="00637CFF" w:rsidRPr="00D37093" w:rsidRDefault="00637CFF" w:rsidP="00637CFF">
      <w:pPr>
        <w:widowControl/>
        <w:tabs>
          <w:tab w:val="left" w:pos="567"/>
        </w:tabs>
        <w:autoSpaceDE/>
        <w:autoSpaceDN/>
        <w:adjustRightInd/>
        <w:spacing w:line="260" w:lineRule="exact"/>
        <w:rPr>
          <w:rFonts w:eastAsia="Times New Roman"/>
          <w:snapToGrid w:val="0"/>
          <w:sz w:val="22"/>
          <w:szCs w:val="20"/>
          <w:lang w:val="lt-LT"/>
        </w:rPr>
      </w:pPr>
    </w:p>
    <w:p w14:paraId="400055BA" w14:textId="77777777" w:rsidR="00637CFF" w:rsidRPr="003147F8" w:rsidRDefault="00637CFF" w:rsidP="00637CFF">
      <w:pPr>
        <w:widowControl/>
        <w:suppressLineNumbers/>
        <w:pBdr>
          <w:top w:val="single" w:sz="4" w:space="1" w:color="auto"/>
          <w:left w:val="single" w:sz="4" w:space="4" w:color="auto"/>
          <w:bottom w:val="single" w:sz="4" w:space="1" w:color="auto"/>
          <w:right w:val="single" w:sz="4" w:space="4" w:color="auto"/>
        </w:pBdr>
        <w:tabs>
          <w:tab w:val="left" w:pos="567"/>
        </w:tabs>
        <w:autoSpaceDE/>
        <w:autoSpaceDN/>
        <w:adjustRightInd/>
        <w:outlineLvl w:val="0"/>
        <w:rPr>
          <w:rFonts w:eastAsia="Times New Roman"/>
          <w:b/>
          <w:snapToGrid w:val="0"/>
          <w:sz w:val="22"/>
          <w:lang w:val="lt-LT"/>
        </w:rPr>
      </w:pPr>
      <w:r w:rsidRPr="003E6E21">
        <w:rPr>
          <w:rFonts w:eastAsia="Times New Roman"/>
          <w:b/>
          <w:snapToGrid w:val="0"/>
          <w:sz w:val="22"/>
          <w:lang w:val="lt-LT"/>
        </w:rPr>
        <w:t>4.</w:t>
      </w:r>
      <w:r w:rsidRPr="0088142B">
        <w:rPr>
          <w:rFonts w:eastAsia="Times New Roman"/>
          <w:b/>
          <w:snapToGrid w:val="0"/>
          <w:sz w:val="22"/>
          <w:lang w:val="lt-LT"/>
        </w:rPr>
        <w:tab/>
      </w:r>
      <w:r w:rsidRPr="00393066">
        <w:rPr>
          <w:rFonts w:eastAsia="Times New Roman"/>
          <w:b/>
          <w:noProof/>
          <w:snapToGrid w:val="0"/>
          <w:sz w:val="22"/>
          <w:lang w:val="lt-LT"/>
        </w:rPr>
        <w:t>SERIJOS NUMERIS</w:t>
      </w:r>
    </w:p>
    <w:p w14:paraId="67E5A319" w14:textId="77777777" w:rsidR="00637CFF" w:rsidRPr="00D42D4C" w:rsidRDefault="00637CFF" w:rsidP="00637CFF">
      <w:pPr>
        <w:widowControl/>
        <w:tabs>
          <w:tab w:val="left" w:pos="567"/>
        </w:tabs>
        <w:autoSpaceDE/>
        <w:autoSpaceDN/>
        <w:adjustRightInd/>
        <w:spacing w:line="260" w:lineRule="exact"/>
        <w:rPr>
          <w:rFonts w:eastAsia="Times New Roman"/>
          <w:snapToGrid w:val="0"/>
          <w:sz w:val="22"/>
          <w:szCs w:val="20"/>
          <w:lang w:val="lt-LT"/>
        </w:rPr>
      </w:pPr>
    </w:p>
    <w:p w14:paraId="6FAEF0D0" w14:textId="77777777" w:rsidR="00637CFF" w:rsidRPr="00D42D4C" w:rsidRDefault="00637CFF" w:rsidP="00637CFF">
      <w:pPr>
        <w:widowControl/>
        <w:tabs>
          <w:tab w:val="left" w:pos="567"/>
        </w:tabs>
        <w:autoSpaceDE/>
        <w:autoSpaceDN/>
        <w:adjustRightInd/>
        <w:outlineLvl w:val="0"/>
        <w:rPr>
          <w:rFonts w:eastAsia="Times New Roman"/>
          <w:b/>
          <w:snapToGrid w:val="0"/>
          <w:sz w:val="22"/>
          <w:szCs w:val="20"/>
          <w:lang w:val="lt-LT"/>
        </w:rPr>
      </w:pPr>
      <w:r w:rsidRPr="00D42D4C">
        <w:rPr>
          <w:rFonts w:eastAsia="Times New Roman"/>
          <w:snapToGrid w:val="0"/>
          <w:sz w:val="22"/>
          <w:szCs w:val="20"/>
          <w:lang w:val="lt-LT"/>
        </w:rPr>
        <w:t>Lot</w:t>
      </w:r>
    </w:p>
    <w:p w14:paraId="255949A2" w14:textId="77777777" w:rsidR="00637CFF" w:rsidRPr="00BB5D9F" w:rsidRDefault="00637CFF" w:rsidP="00637CFF">
      <w:pPr>
        <w:widowControl/>
        <w:tabs>
          <w:tab w:val="left" w:pos="567"/>
        </w:tabs>
        <w:autoSpaceDE/>
        <w:autoSpaceDN/>
        <w:adjustRightInd/>
        <w:spacing w:line="260" w:lineRule="exact"/>
        <w:rPr>
          <w:rFonts w:eastAsia="Times New Roman"/>
          <w:snapToGrid w:val="0"/>
          <w:sz w:val="22"/>
          <w:lang w:val="lt-LT"/>
        </w:rPr>
      </w:pPr>
    </w:p>
    <w:p w14:paraId="6D6A9F3F" w14:textId="77777777" w:rsidR="00637CFF" w:rsidRPr="00BB5D9F" w:rsidRDefault="00637CFF" w:rsidP="00637CFF">
      <w:pPr>
        <w:widowControl/>
        <w:tabs>
          <w:tab w:val="left" w:pos="567"/>
        </w:tabs>
        <w:autoSpaceDE/>
        <w:autoSpaceDN/>
        <w:adjustRightInd/>
        <w:spacing w:line="260" w:lineRule="exact"/>
        <w:rPr>
          <w:rFonts w:eastAsia="Times New Roman"/>
          <w:snapToGrid w:val="0"/>
          <w:sz w:val="22"/>
          <w:lang w:val="lt-LT"/>
        </w:rPr>
      </w:pPr>
    </w:p>
    <w:p w14:paraId="2E6C1419" w14:textId="77777777" w:rsidR="00637CFF" w:rsidRPr="00757A8C" w:rsidRDefault="00637CFF" w:rsidP="00637CFF">
      <w:pPr>
        <w:widowControl/>
        <w:pBdr>
          <w:top w:val="single" w:sz="4" w:space="1" w:color="auto"/>
          <w:left w:val="single" w:sz="4" w:space="4" w:color="auto"/>
          <w:bottom w:val="single" w:sz="4" w:space="1" w:color="auto"/>
          <w:right w:val="single" w:sz="4" w:space="4" w:color="auto"/>
        </w:pBdr>
        <w:tabs>
          <w:tab w:val="left" w:pos="567"/>
        </w:tabs>
        <w:autoSpaceDE/>
        <w:autoSpaceDN/>
        <w:adjustRightInd/>
        <w:outlineLvl w:val="0"/>
        <w:rPr>
          <w:rFonts w:eastAsia="Times New Roman"/>
          <w:b/>
          <w:snapToGrid w:val="0"/>
          <w:sz w:val="22"/>
          <w:lang w:val="lt-LT"/>
        </w:rPr>
      </w:pPr>
      <w:r w:rsidRPr="00495F2D">
        <w:rPr>
          <w:rFonts w:eastAsia="Times New Roman"/>
          <w:b/>
          <w:snapToGrid w:val="0"/>
          <w:sz w:val="22"/>
          <w:lang w:val="lt-LT"/>
        </w:rPr>
        <w:t>5.</w:t>
      </w:r>
      <w:r w:rsidRPr="00C13CB7">
        <w:rPr>
          <w:rFonts w:eastAsia="Times New Roman"/>
          <w:b/>
          <w:snapToGrid w:val="0"/>
          <w:sz w:val="22"/>
          <w:lang w:val="lt-LT"/>
        </w:rPr>
        <w:tab/>
      </w:r>
      <w:r w:rsidRPr="0047471E">
        <w:rPr>
          <w:rFonts w:eastAsia="Times New Roman"/>
          <w:b/>
          <w:noProof/>
          <w:snapToGrid w:val="0"/>
          <w:sz w:val="22"/>
          <w:lang w:val="lt-LT"/>
        </w:rPr>
        <w:t>KITA</w:t>
      </w:r>
    </w:p>
    <w:p w14:paraId="034BBF41" w14:textId="77777777" w:rsidR="00637CFF" w:rsidRPr="00953345" w:rsidRDefault="00637CFF" w:rsidP="00637CFF">
      <w:pPr>
        <w:widowControl/>
        <w:tabs>
          <w:tab w:val="left" w:pos="567"/>
        </w:tabs>
        <w:autoSpaceDE/>
        <w:autoSpaceDN/>
        <w:adjustRightInd/>
        <w:spacing w:line="260" w:lineRule="exact"/>
        <w:rPr>
          <w:rFonts w:eastAsia="Times New Roman"/>
          <w:snapToGrid w:val="0"/>
          <w:sz w:val="22"/>
          <w:lang w:val="lt-LT"/>
        </w:rPr>
      </w:pPr>
    </w:p>
    <w:p w14:paraId="0BF4CE9F" w14:textId="77777777" w:rsidR="00637CFF" w:rsidRPr="00895C23" w:rsidRDefault="00637CFF" w:rsidP="00637CFF">
      <w:pPr>
        <w:widowControl/>
        <w:tabs>
          <w:tab w:val="left" w:pos="567"/>
        </w:tabs>
        <w:autoSpaceDE/>
        <w:autoSpaceDN/>
        <w:adjustRightInd/>
        <w:spacing w:line="260" w:lineRule="exact"/>
        <w:rPr>
          <w:rFonts w:eastAsia="Times New Roman"/>
          <w:snapToGrid w:val="0"/>
          <w:sz w:val="22"/>
          <w:lang w:val="lt-LT"/>
        </w:rPr>
      </w:pPr>
    </w:p>
    <w:p w14:paraId="49A77178" w14:textId="77777777" w:rsidR="00637CFF" w:rsidRPr="00B1025D" w:rsidRDefault="00637CFF" w:rsidP="00637CFF">
      <w:pPr>
        <w:outlineLvl w:val="0"/>
        <w:rPr>
          <w:rFonts w:eastAsia="Times New Roman"/>
          <w:snapToGrid w:val="0"/>
          <w:sz w:val="22"/>
          <w:szCs w:val="20"/>
          <w:lang w:val="lt-LT"/>
        </w:rPr>
      </w:pPr>
      <w:r w:rsidRPr="00B1025D">
        <w:rPr>
          <w:rFonts w:eastAsia="Times New Roman"/>
          <w:b/>
          <w:snapToGrid w:val="0"/>
          <w:sz w:val="22"/>
          <w:lang w:val="lt-LT"/>
        </w:rPr>
        <w:br w:type="page"/>
      </w:r>
    </w:p>
    <w:p w14:paraId="37B8F2E9" w14:textId="77777777" w:rsidR="00637CFF" w:rsidRPr="00290F2E" w:rsidRDefault="00637CFF" w:rsidP="00637CFF">
      <w:pPr>
        <w:widowControl/>
        <w:tabs>
          <w:tab w:val="left" w:pos="567"/>
        </w:tabs>
        <w:autoSpaceDE/>
        <w:autoSpaceDN/>
        <w:adjustRightInd/>
        <w:spacing w:line="260" w:lineRule="exact"/>
        <w:outlineLvl w:val="0"/>
        <w:rPr>
          <w:rFonts w:eastAsia="Times New Roman"/>
          <w:snapToGrid w:val="0"/>
          <w:sz w:val="22"/>
          <w:szCs w:val="20"/>
          <w:lang w:val="lt-LT"/>
        </w:rPr>
      </w:pPr>
    </w:p>
    <w:p w14:paraId="4D4B9588" w14:textId="77777777" w:rsidR="00637CFF" w:rsidRPr="00005F71" w:rsidRDefault="00637CFF" w:rsidP="00637CFF">
      <w:pPr>
        <w:widowControl/>
        <w:tabs>
          <w:tab w:val="left" w:pos="567"/>
        </w:tabs>
        <w:autoSpaceDE/>
        <w:autoSpaceDN/>
        <w:adjustRightInd/>
        <w:spacing w:line="260" w:lineRule="exact"/>
        <w:outlineLvl w:val="0"/>
        <w:rPr>
          <w:rFonts w:eastAsia="Times New Roman"/>
          <w:snapToGrid w:val="0"/>
          <w:sz w:val="22"/>
          <w:szCs w:val="20"/>
          <w:lang w:val="lt-LT"/>
        </w:rPr>
      </w:pPr>
    </w:p>
    <w:p w14:paraId="67B467C8" w14:textId="77777777" w:rsidR="00637CFF" w:rsidRPr="00005F71" w:rsidRDefault="00637CFF" w:rsidP="00637CFF">
      <w:pPr>
        <w:widowControl/>
        <w:tabs>
          <w:tab w:val="left" w:pos="567"/>
        </w:tabs>
        <w:autoSpaceDE/>
        <w:autoSpaceDN/>
        <w:adjustRightInd/>
        <w:spacing w:line="260" w:lineRule="exact"/>
        <w:outlineLvl w:val="0"/>
        <w:rPr>
          <w:rFonts w:eastAsia="Times New Roman"/>
          <w:snapToGrid w:val="0"/>
          <w:sz w:val="22"/>
          <w:szCs w:val="20"/>
          <w:lang w:val="lt-LT"/>
        </w:rPr>
      </w:pPr>
    </w:p>
    <w:p w14:paraId="0EFE5AA5" w14:textId="77777777" w:rsidR="00637CFF" w:rsidRPr="00005F71" w:rsidRDefault="00637CFF" w:rsidP="00637CFF">
      <w:pPr>
        <w:widowControl/>
        <w:tabs>
          <w:tab w:val="left" w:pos="567"/>
        </w:tabs>
        <w:autoSpaceDE/>
        <w:autoSpaceDN/>
        <w:adjustRightInd/>
        <w:spacing w:line="260" w:lineRule="exact"/>
        <w:outlineLvl w:val="0"/>
        <w:rPr>
          <w:rFonts w:eastAsia="Times New Roman"/>
          <w:snapToGrid w:val="0"/>
          <w:sz w:val="22"/>
          <w:szCs w:val="20"/>
          <w:lang w:val="lt-LT"/>
        </w:rPr>
      </w:pPr>
    </w:p>
    <w:p w14:paraId="4EE83080" w14:textId="77777777" w:rsidR="00637CFF" w:rsidRPr="00005F71" w:rsidRDefault="00637CFF" w:rsidP="00637CFF">
      <w:pPr>
        <w:widowControl/>
        <w:tabs>
          <w:tab w:val="left" w:pos="567"/>
        </w:tabs>
        <w:autoSpaceDE/>
        <w:autoSpaceDN/>
        <w:adjustRightInd/>
        <w:spacing w:line="260" w:lineRule="exact"/>
        <w:outlineLvl w:val="0"/>
        <w:rPr>
          <w:rFonts w:eastAsia="Times New Roman"/>
          <w:snapToGrid w:val="0"/>
          <w:sz w:val="22"/>
          <w:szCs w:val="20"/>
          <w:lang w:val="lt-LT"/>
        </w:rPr>
      </w:pPr>
    </w:p>
    <w:p w14:paraId="3C99800F" w14:textId="77777777" w:rsidR="00637CFF" w:rsidRPr="00D84321" w:rsidRDefault="00637CFF" w:rsidP="00637CFF">
      <w:pPr>
        <w:widowControl/>
        <w:tabs>
          <w:tab w:val="left" w:pos="567"/>
        </w:tabs>
        <w:autoSpaceDE/>
        <w:autoSpaceDN/>
        <w:adjustRightInd/>
        <w:spacing w:line="260" w:lineRule="exact"/>
        <w:outlineLvl w:val="0"/>
        <w:rPr>
          <w:rFonts w:eastAsia="Times New Roman"/>
          <w:snapToGrid w:val="0"/>
          <w:sz w:val="22"/>
          <w:szCs w:val="20"/>
          <w:lang w:val="lt-LT"/>
        </w:rPr>
      </w:pPr>
    </w:p>
    <w:p w14:paraId="67D285F4" w14:textId="77777777" w:rsidR="00637CFF" w:rsidRPr="00BA3EE6" w:rsidRDefault="00637CFF" w:rsidP="00637CFF">
      <w:pPr>
        <w:widowControl/>
        <w:tabs>
          <w:tab w:val="left" w:pos="567"/>
        </w:tabs>
        <w:autoSpaceDE/>
        <w:autoSpaceDN/>
        <w:adjustRightInd/>
        <w:spacing w:line="260" w:lineRule="exact"/>
        <w:outlineLvl w:val="0"/>
        <w:rPr>
          <w:rFonts w:eastAsia="Times New Roman"/>
          <w:snapToGrid w:val="0"/>
          <w:sz w:val="22"/>
          <w:szCs w:val="20"/>
          <w:lang w:val="lt-LT"/>
        </w:rPr>
      </w:pPr>
    </w:p>
    <w:p w14:paraId="1269DEED" w14:textId="77777777" w:rsidR="00637CFF" w:rsidRPr="00CA491E" w:rsidRDefault="00637CFF" w:rsidP="00637CFF">
      <w:pPr>
        <w:widowControl/>
        <w:tabs>
          <w:tab w:val="left" w:pos="567"/>
        </w:tabs>
        <w:autoSpaceDE/>
        <w:autoSpaceDN/>
        <w:adjustRightInd/>
        <w:spacing w:line="260" w:lineRule="exact"/>
        <w:outlineLvl w:val="0"/>
        <w:rPr>
          <w:rFonts w:eastAsia="Times New Roman"/>
          <w:snapToGrid w:val="0"/>
          <w:sz w:val="22"/>
          <w:szCs w:val="20"/>
          <w:lang w:val="lt-LT"/>
        </w:rPr>
      </w:pPr>
    </w:p>
    <w:p w14:paraId="0299D230" w14:textId="77777777" w:rsidR="00637CFF" w:rsidRPr="00105BCD" w:rsidRDefault="00637CFF" w:rsidP="00637CFF">
      <w:pPr>
        <w:widowControl/>
        <w:tabs>
          <w:tab w:val="left" w:pos="567"/>
        </w:tabs>
        <w:autoSpaceDE/>
        <w:autoSpaceDN/>
        <w:adjustRightInd/>
        <w:spacing w:line="260" w:lineRule="exact"/>
        <w:outlineLvl w:val="0"/>
        <w:rPr>
          <w:rFonts w:eastAsia="Times New Roman"/>
          <w:snapToGrid w:val="0"/>
          <w:sz w:val="22"/>
          <w:szCs w:val="20"/>
          <w:lang w:val="lt-LT"/>
        </w:rPr>
      </w:pPr>
    </w:p>
    <w:p w14:paraId="622135BB" w14:textId="77777777" w:rsidR="00637CFF" w:rsidRPr="007D6506" w:rsidRDefault="00637CFF" w:rsidP="00637CFF">
      <w:pPr>
        <w:widowControl/>
        <w:tabs>
          <w:tab w:val="left" w:pos="567"/>
        </w:tabs>
        <w:autoSpaceDE/>
        <w:autoSpaceDN/>
        <w:adjustRightInd/>
        <w:spacing w:line="260" w:lineRule="exact"/>
        <w:outlineLvl w:val="0"/>
        <w:rPr>
          <w:rFonts w:eastAsia="Times New Roman"/>
          <w:snapToGrid w:val="0"/>
          <w:sz w:val="22"/>
          <w:szCs w:val="20"/>
          <w:lang w:val="lt-LT"/>
        </w:rPr>
      </w:pPr>
    </w:p>
    <w:p w14:paraId="2F172CEA" w14:textId="77777777" w:rsidR="00637CFF" w:rsidRPr="006E4A9B" w:rsidRDefault="00637CFF" w:rsidP="00637CFF">
      <w:pPr>
        <w:widowControl/>
        <w:tabs>
          <w:tab w:val="left" w:pos="567"/>
        </w:tabs>
        <w:autoSpaceDE/>
        <w:autoSpaceDN/>
        <w:adjustRightInd/>
        <w:spacing w:line="260" w:lineRule="exact"/>
        <w:outlineLvl w:val="0"/>
        <w:rPr>
          <w:rFonts w:eastAsia="Times New Roman"/>
          <w:snapToGrid w:val="0"/>
          <w:sz w:val="22"/>
          <w:szCs w:val="20"/>
          <w:lang w:val="lt-LT"/>
        </w:rPr>
      </w:pPr>
    </w:p>
    <w:p w14:paraId="2722DFA8" w14:textId="77777777" w:rsidR="00637CFF" w:rsidRPr="00C0201B" w:rsidRDefault="00637CFF" w:rsidP="00637CFF">
      <w:pPr>
        <w:widowControl/>
        <w:tabs>
          <w:tab w:val="left" w:pos="567"/>
        </w:tabs>
        <w:autoSpaceDE/>
        <w:autoSpaceDN/>
        <w:adjustRightInd/>
        <w:spacing w:line="260" w:lineRule="exact"/>
        <w:outlineLvl w:val="0"/>
        <w:rPr>
          <w:rFonts w:eastAsia="Times New Roman"/>
          <w:snapToGrid w:val="0"/>
          <w:sz w:val="22"/>
          <w:szCs w:val="20"/>
          <w:lang w:val="lt-LT"/>
        </w:rPr>
      </w:pPr>
    </w:p>
    <w:p w14:paraId="7FEAF0EA" w14:textId="77777777" w:rsidR="00637CFF" w:rsidRPr="00C0201B" w:rsidRDefault="00637CFF" w:rsidP="00637CFF">
      <w:pPr>
        <w:widowControl/>
        <w:tabs>
          <w:tab w:val="left" w:pos="567"/>
        </w:tabs>
        <w:autoSpaceDE/>
        <w:autoSpaceDN/>
        <w:adjustRightInd/>
        <w:spacing w:line="260" w:lineRule="exact"/>
        <w:outlineLvl w:val="0"/>
        <w:rPr>
          <w:rFonts w:eastAsia="Times New Roman"/>
          <w:snapToGrid w:val="0"/>
          <w:sz w:val="22"/>
          <w:szCs w:val="20"/>
          <w:lang w:val="lt-LT"/>
        </w:rPr>
      </w:pPr>
    </w:p>
    <w:p w14:paraId="73294CBF" w14:textId="77777777" w:rsidR="00637CFF" w:rsidRPr="00C0201B" w:rsidRDefault="00637CFF" w:rsidP="00637CFF">
      <w:pPr>
        <w:widowControl/>
        <w:tabs>
          <w:tab w:val="left" w:pos="567"/>
        </w:tabs>
        <w:autoSpaceDE/>
        <w:autoSpaceDN/>
        <w:adjustRightInd/>
        <w:spacing w:line="260" w:lineRule="exact"/>
        <w:outlineLvl w:val="0"/>
        <w:rPr>
          <w:rFonts w:eastAsia="Times New Roman"/>
          <w:snapToGrid w:val="0"/>
          <w:sz w:val="22"/>
          <w:szCs w:val="20"/>
          <w:lang w:val="lt-LT"/>
        </w:rPr>
      </w:pPr>
    </w:p>
    <w:p w14:paraId="12723273" w14:textId="77777777" w:rsidR="00637CFF" w:rsidRPr="009911D6" w:rsidRDefault="00637CFF" w:rsidP="00637CFF">
      <w:pPr>
        <w:widowControl/>
        <w:tabs>
          <w:tab w:val="left" w:pos="567"/>
        </w:tabs>
        <w:autoSpaceDE/>
        <w:autoSpaceDN/>
        <w:adjustRightInd/>
        <w:spacing w:line="260" w:lineRule="exact"/>
        <w:outlineLvl w:val="0"/>
        <w:rPr>
          <w:rFonts w:eastAsia="Times New Roman"/>
          <w:snapToGrid w:val="0"/>
          <w:sz w:val="22"/>
          <w:szCs w:val="20"/>
          <w:lang w:val="lt-LT"/>
        </w:rPr>
      </w:pPr>
    </w:p>
    <w:p w14:paraId="42063161" w14:textId="77777777" w:rsidR="00637CFF" w:rsidRPr="00DF292D" w:rsidRDefault="00637CFF" w:rsidP="00637CFF">
      <w:pPr>
        <w:widowControl/>
        <w:tabs>
          <w:tab w:val="left" w:pos="567"/>
        </w:tabs>
        <w:autoSpaceDE/>
        <w:autoSpaceDN/>
        <w:adjustRightInd/>
        <w:spacing w:line="260" w:lineRule="exact"/>
        <w:outlineLvl w:val="0"/>
        <w:rPr>
          <w:rFonts w:eastAsia="Times New Roman"/>
          <w:snapToGrid w:val="0"/>
          <w:sz w:val="22"/>
          <w:szCs w:val="20"/>
          <w:lang w:val="lt-LT"/>
        </w:rPr>
      </w:pPr>
    </w:p>
    <w:p w14:paraId="02A13AA5" w14:textId="77777777" w:rsidR="00637CFF" w:rsidRPr="00A31754" w:rsidRDefault="00637CFF" w:rsidP="00637CFF">
      <w:pPr>
        <w:widowControl/>
        <w:tabs>
          <w:tab w:val="left" w:pos="567"/>
        </w:tabs>
        <w:autoSpaceDE/>
        <w:autoSpaceDN/>
        <w:adjustRightInd/>
        <w:spacing w:line="260" w:lineRule="exact"/>
        <w:outlineLvl w:val="0"/>
        <w:rPr>
          <w:rFonts w:eastAsia="Times New Roman"/>
          <w:snapToGrid w:val="0"/>
          <w:sz w:val="22"/>
          <w:szCs w:val="20"/>
          <w:lang w:val="lt-LT"/>
        </w:rPr>
      </w:pPr>
    </w:p>
    <w:p w14:paraId="7E538EB3" w14:textId="77777777" w:rsidR="00637CFF" w:rsidRPr="00A31754" w:rsidRDefault="00637CFF" w:rsidP="00637CFF">
      <w:pPr>
        <w:widowControl/>
        <w:tabs>
          <w:tab w:val="left" w:pos="567"/>
        </w:tabs>
        <w:autoSpaceDE/>
        <w:autoSpaceDN/>
        <w:adjustRightInd/>
        <w:spacing w:line="260" w:lineRule="exact"/>
        <w:outlineLvl w:val="0"/>
        <w:rPr>
          <w:rFonts w:eastAsia="Times New Roman"/>
          <w:snapToGrid w:val="0"/>
          <w:sz w:val="22"/>
          <w:szCs w:val="20"/>
          <w:lang w:val="lt-LT"/>
        </w:rPr>
      </w:pPr>
    </w:p>
    <w:p w14:paraId="66966329" w14:textId="77777777" w:rsidR="00637CFF" w:rsidRPr="00390E07" w:rsidRDefault="00637CFF" w:rsidP="00637CFF">
      <w:pPr>
        <w:widowControl/>
        <w:tabs>
          <w:tab w:val="left" w:pos="567"/>
        </w:tabs>
        <w:autoSpaceDE/>
        <w:autoSpaceDN/>
        <w:adjustRightInd/>
        <w:spacing w:line="260" w:lineRule="exact"/>
        <w:outlineLvl w:val="0"/>
        <w:rPr>
          <w:rFonts w:eastAsia="Times New Roman"/>
          <w:snapToGrid w:val="0"/>
          <w:sz w:val="22"/>
          <w:szCs w:val="20"/>
          <w:lang w:val="lt-LT"/>
        </w:rPr>
      </w:pPr>
    </w:p>
    <w:p w14:paraId="32670FA9" w14:textId="77777777" w:rsidR="00637CFF" w:rsidRPr="00A045C4" w:rsidRDefault="00637CFF" w:rsidP="00637CFF">
      <w:pPr>
        <w:widowControl/>
        <w:tabs>
          <w:tab w:val="left" w:pos="567"/>
        </w:tabs>
        <w:autoSpaceDE/>
        <w:autoSpaceDN/>
        <w:adjustRightInd/>
        <w:spacing w:line="260" w:lineRule="exact"/>
        <w:outlineLvl w:val="0"/>
        <w:rPr>
          <w:rFonts w:eastAsia="Times New Roman"/>
          <w:snapToGrid w:val="0"/>
          <w:sz w:val="22"/>
          <w:szCs w:val="20"/>
          <w:lang w:val="lt-LT"/>
        </w:rPr>
      </w:pPr>
    </w:p>
    <w:p w14:paraId="36D09239" w14:textId="77777777" w:rsidR="00637CFF" w:rsidRPr="00A045C4" w:rsidRDefault="00637CFF" w:rsidP="00637CFF">
      <w:pPr>
        <w:widowControl/>
        <w:tabs>
          <w:tab w:val="left" w:pos="567"/>
        </w:tabs>
        <w:autoSpaceDE/>
        <w:autoSpaceDN/>
        <w:adjustRightInd/>
        <w:spacing w:line="260" w:lineRule="exact"/>
        <w:outlineLvl w:val="0"/>
        <w:rPr>
          <w:rFonts w:eastAsia="Times New Roman"/>
          <w:snapToGrid w:val="0"/>
          <w:sz w:val="22"/>
          <w:szCs w:val="20"/>
          <w:lang w:val="lt-LT"/>
        </w:rPr>
      </w:pPr>
    </w:p>
    <w:p w14:paraId="7A8667A6" w14:textId="77777777" w:rsidR="00637CFF" w:rsidRPr="003A0127" w:rsidRDefault="00637CFF" w:rsidP="00637CFF">
      <w:pPr>
        <w:widowControl/>
        <w:tabs>
          <w:tab w:val="left" w:pos="567"/>
        </w:tabs>
        <w:autoSpaceDE/>
        <w:autoSpaceDN/>
        <w:adjustRightInd/>
        <w:spacing w:line="260" w:lineRule="exact"/>
        <w:outlineLvl w:val="0"/>
        <w:rPr>
          <w:rFonts w:eastAsia="Times New Roman"/>
          <w:snapToGrid w:val="0"/>
          <w:sz w:val="22"/>
          <w:szCs w:val="20"/>
          <w:lang w:val="lt-LT"/>
        </w:rPr>
      </w:pPr>
    </w:p>
    <w:p w14:paraId="11434E6F" w14:textId="77777777" w:rsidR="00637CFF" w:rsidRPr="0059180B" w:rsidRDefault="00637CFF" w:rsidP="00637CFF">
      <w:pPr>
        <w:widowControl/>
        <w:tabs>
          <w:tab w:val="left" w:pos="567"/>
        </w:tabs>
        <w:autoSpaceDE/>
        <w:autoSpaceDN/>
        <w:adjustRightInd/>
        <w:spacing w:line="260" w:lineRule="exact"/>
        <w:jc w:val="center"/>
        <w:outlineLvl w:val="0"/>
        <w:rPr>
          <w:rFonts w:eastAsia="Times New Roman"/>
          <w:b/>
          <w:snapToGrid w:val="0"/>
          <w:sz w:val="22"/>
          <w:szCs w:val="20"/>
          <w:lang w:val="lt-LT"/>
        </w:rPr>
      </w:pPr>
      <w:r w:rsidRPr="0059180B">
        <w:rPr>
          <w:b/>
          <w:snapToGrid w:val="0"/>
          <w:sz w:val="22"/>
          <w:szCs w:val="20"/>
          <w:lang w:val="lt-LT"/>
        </w:rPr>
        <w:t>B. PAKUOTĖS LAPELIS</w:t>
      </w:r>
    </w:p>
    <w:p w14:paraId="5E24A701" w14:textId="77777777" w:rsidR="00C05173" w:rsidRPr="00D5161B" w:rsidRDefault="00637CFF" w:rsidP="00637CFF">
      <w:pPr>
        <w:widowControl/>
        <w:tabs>
          <w:tab w:val="left" w:pos="567"/>
        </w:tabs>
        <w:autoSpaceDE/>
        <w:autoSpaceDN/>
        <w:adjustRightInd/>
        <w:spacing w:line="260" w:lineRule="exact"/>
        <w:jc w:val="center"/>
        <w:rPr>
          <w:b/>
          <w:bCs/>
          <w:sz w:val="22"/>
          <w:szCs w:val="22"/>
          <w:lang w:val="lt-LT"/>
        </w:rPr>
      </w:pPr>
      <w:r w:rsidRPr="000C463E">
        <w:rPr>
          <w:rFonts w:eastAsia="Times New Roman"/>
          <w:i/>
          <w:snapToGrid w:val="0"/>
          <w:sz w:val="22"/>
          <w:szCs w:val="20"/>
          <w:lang w:val="lt-LT"/>
        </w:rPr>
        <w:br w:type="page"/>
      </w:r>
      <w:r w:rsidR="00C05173" w:rsidRPr="00D5161B">
        <w:rPr>
          <w:b/>
          <w:bCs/>
          <w:sz w:val="22"/>
          <w:szCs w:val="22"/>
          <w:lang w:val="lt-LT"/>
        </w:rPr>
        <w:lastRenderedPageBreak/>
        <w:t>Pakuotės lapelis: informacija pacientui</w:t>
      </w:r>
    </w:p>
    <w:p w14:paraId="3F27B16C" w14:textId="77777777" w:rsidR="00C05173" w:rsidRPr="00D5161B" w:rsidRDefault="00C05173" w:rsidP="00637CFF">
      <w:pPr>
        <w:jc w:val="center"/>
        <w:rPr>
          <w:b/>
          <w:bCs/>
          <w:sz w:val="22"/>
          <w:szCs w:val="22"/>
          <w:lang w:val="lt-LT"/>
        </w:rPr>
      </w:pPr>
    </w:p>
    <w:p w14:paraId="70CE50D3" w14:textId="77777777" w:rsidR="00C05173" w:rsidRPr="00D5161B" w:rsidRDefault="00B61707" w:rsidP="00637CFF">
      <w:pPr>
        <w:jc w:val="center"/>
        <w:rPr>
          <w:b/>
          <w:bCs/>
          <w:sz w:val="22"/>
          <w:szCs w:val="22"/>
          <w:lang w:val="lt-LT"/>
        </w:rPr>
      </w:pPr>
      <w:r w:rsidRPr="00D5161B">
        <w:rPr>
          <w:b/>
          <w:bCs/>
          <w:sz w:val="22"/>
          <w:szCs w:val="22"/>
          <w:lang w:val="lt-LT"/>
        </w:rPr>
        <w:t>Silungo</w:t>
      </w:r>
      <w:r w:rsidR="00C05173" w:rsidRPr="00D5161B">
        <w:rPr>
          <w:b/>
          <w:bCs/>
          <w:sz w:val="22"/>
          <w:szCs w:val="22"/>
          <w:lang w:val="lt-LT"/>
        </w:rPr>
        <w:t xml:space="preserve"> 20</w:t>
      </w:r>
      <w:r w:rsidR="005E5846">
        <w:rPr>
          <w:b/>
          <w:bCs/>
          <w:sz w:val="22"/>
          <w:szCs w:val="22"/>
          <w:lang w:val="lt-LT"/>
        </w:rPr>
        <w:t> </w:t>
      </w:r>
      <w:r w:rsidR="00C05173" w:rsidRPr="00D5161B">
        <w:rPr>
          <w:b/>
          <w:bCs/>
          <w:sz w:val="22"/>
          <w:szCs w:val="22"/>
          <w:lang w:val="lt-LT"/>
        </w:rPr>
        <w:t>mg plėvele dengtos tabletės</w:t>
      </w:r>
    </w:p>
    <w:p w14:paraId="35FFB1A1" w14:textId="0BF65526" w:rsidR="00C05173" w:rsidRPr="00D5161B" w:rsidRDefault="001F1B0A" w:rsidP="00637CFF">
      <w:pPr>
        <w:jc w:val="center"/>
        <w:rPr>
          <w:sz w:val="22"/>
          <w:szCs w:val="22"/>
          <w:lang w:val="lt-LT"/>
        </w:rPr>
      </w:pPr>
      <w:r>
        <w:rPr>
          <w:sz w:val="22"/>
          <w:szCs w:val="22"/>
          <w:lang w:val="lt-LT"/>
        </w:rPr>
        <w:t>s</w:t>
      </w:r>
      <w:r w:rsidR="00C05173" w:rsidRPr="00D5161B">
        <w:rPr>
          <w:sz w:val="22"/>
          <w:szCs w:val="22"/>
          <w:lang w:val="lt-LT"/>
        </w:rPr>
        <w:t>ildenafilis</w:t>
      </w:r>
    </w:p>
    <w:p w14:paraId="2D4E3472" w14:textId="77777777" w:rsidR="00C05173" w:rsidRPr="00D5161B" w:rsidRDefault="00C05173" w:rsidP="008C6014">
      <w:pPr>
        <w:rPr>
          <w:sz w:val="22"/>
          <w:szCs w:val="22"/>
          <w:lang w:val="lt-LT"/>
        </w:rPr>
      </w:pPr>
    </w:p>
    <w:p w14:paraId="2C3ED3C7" w14:textId="77777777" w:rsidR="00C05173" w:rsidRPr="00D5161B" w:rsidRDefault="00C05173" w:rsidP="008C6014">
      <w:pPr>
        <w:rPr>
          <w:b/>
          <w:sz w:val="22"/>
          <w:szCs w:val="22"/>
          <w:lang w:val="lt-LT"/>
        </w:rPr>
      </w:pPr>
      <w:r w:rsidRPr="00D5161B">
        <w:rPr>
          <w:b/>
          <w:sz w:val="22"/>
          <w:szCs w:val="22"/>
          <w:lang w:val="lt-LT"/>
        </w:rPr>
        <w:t>Atidžiai perskaitykite visą šį lapelį, prieš pradėdami vartoti vaistą, nes jame pateikiama Jums svarbi informacija.</w:t>
      </w:r>
    </w:p>
    <w:p w14:paraId="014F5562" w14:textId="77777777" w:rsidR="00637CFF" w:rsidRPr="005A3594" w:rsidRDefault="00637CFF" w:rsidP="00637CFF">
      <w:pPr>
        <w:widowControl/>
        <w:suppressAutoHyphens/>
        <w:autoSpaceDE/>
        <w:autoSpaceDN/>
        <w:adjustRightInd/>
        <w:ind w:left="142" w:hanging="142"/>
        <w:rPr>
          <w:rFonts w:eastAsia="Times New Roman"/>
          <w:snapToGrid w:val="0"/>
          <w:sz w:val="22"/>
          <w:lang w:val="lt-LT"/>
        </w:rPr>
      </w:pPr>
    </w:p>
    <w:p w14:paraId="5B8B4D24" w14:textId="77777777" w:rsidR="00637CFF" w:rsidRPr="00AE5BD5" w:rsidRDefault="00637CFF" w:rsidP="00637CFF">
      <w:pPr>
        <w:widowControl/>
        <w:numPr>
          <w:ilvl w:val="0"/>
          <w:numId w:val="34"/>
        </w:numPr>
        <w:tabs>
          <w:tab w:val="left" w:pos="567"/>
        </w:tabs>
        <w:autoSpaceDE/>
        <w:autoSpaceDN/>
        <w:adjustRightInd/>
        <w:spacing w:line="260" w:lineRule="exact"/>
        <w:ind w:left="567" w:right="-2" w:hanging="567"/>
        <w:rPr>
          <w:rFonts w:eastAsia="Times New Roman"/>
          <w:snapToGrid w:val="0"/>
          <w:sz w:val="22"/>
          <w:lang w:val="lt-LT"/>
        </w:rPr>
      </w:pPr>
      <w:r w:rsidRPr="00AE5BD5">
        <w:rPr>
          <w:noProof/>
          <w:snapToGrid w:val="0"/>
          <w:sz w:val="22"/>
          <w:lang w:val="lt-LT"/>
        </w:rPr>
        <w:t>Neišmeskite šio lapelio, nes vėl gali prireikti jį perskaityti.</w:t>
      </w:r>
      <w:r w:rsidRPr="00AE5BD5">
        <w:rPr>
          <w:rFonts w:eastAsia="Times New Roman"/>
          <w:snapToGrid w:val="0"/>
          <w:sz w:val="22"/>
          <w:lang w:val="lt-LT"/>
        </w:rPr>
        <w:t xml:space="preserve"> </w:t>
      </w:r>
    </w:p>
    <w:p w14:paraId="0A1B554B" w14:textId="77777777" w:rsidR="00637CFF" w:rsidRPr="008B1AE9" w:rsidRDefault="00637CFF" w:rsidP="00637CFF">
      <w:pPr>
        <w:widowControl/>
        <w:numPr>
          <w:ilvl w:val="0"/>
          <w:numId w:val="34"/>
        </w:numPr>
        <w:tabs>
          <w:tab w:val="left" w:pos="567"/>
        </w:tabs>
        <w:autoSpaceDE/>
        <w:autoSpaceDN/>
        <w:adjustRightInd/>
        <w:spacing w:line="260" w:lineRule="exact"/>
        <w:ind w:left="567" w:right="-2" w:hanging="567"/>
        <w:rPr>
          <w:rFonts w:eastAsia="Times New Roman"/>
          <w:snapToGrid w:val="0"/>
          <w:sz w:val="22"/>
          <w:lang w:val="lt-LT"/>
        </w:rPr>
      </w:pPr>
      <w:r w:rsidRPr="008B1AE9">
        <w:rPr>
          <w:noProof/>
          <w:snapToGrid w:val="0"/>
          <w:sz w:val="22"/>
          <w:lang w:val="lt-LT"/>
        </w:rPr>
        <w:t>Jeigu kiltų daugiau klausimų, kreipkitės į gydytoją</w:t>
      </w:r>
      <w:r w:rsidRPr="008B1AE9">
        <w:rPr>
          <w:rFonts w:eastAsia="Times New Roman"/>
          <w:noProof/>
          <w:snapToGrid w:val="0"/>
          <w:sz w:val="22"/>
          <w:lang w:val="lt-LT"/>
        </w:rPr>
        <w:t xml:space="preserve"> arba </w:t>
      </w:r>
      <w:r w:rsidRPr="008B1AE9">
        <w:rPr>
          <w:noProof/>
          <w:snapToGrid w:val="0"/>
          <w:sz w:val="22"/>
          <w:lang w:val="lt-LT"/>
        </w:rPr>
        <w:t>vaistininką</w:t>
      </w:r>
      <w:r w:rsidRPr="008B1AE9">
        <w:rPr>
          <w:rFonts w:eastAsia="Times New Roman"/>
          <w:noProof/>
          <w:snapToGrid w:val="0"/>
          <w:sz w:val="22"/>
          <w:lang w:val="lt-LT"/>
        </w:rPr>
        <w:t>.</w:t>
      </w:r>
    </w:p>
    <w:p w14:paraId="55A3DCCF" w14:textId="77777777" w:rsidR="00637CFF" w:rsidRPr="00D5161B" w:rsidRDefault="00637CFF" w:rsidP="00637CFF">
      <w:pPr>
        <w:widowControl/>
        <w:tabs>
          <w:tab w:val="left" w:pos="567"/>
        </w:tabs>
        <w:autoSpaceDE/>
        <w:autoSpaceDN/>
        <w:adjustRightInd/>
        <w:ind w:left="567" w:right="-2" w:hanging="567"/>
        <w:rPr>
          <w:rFonts w:eastAsia="Times New Roman"/>
          <w:snapToGrid w:val="0"/>
          <w:sz w:val="22"/>
          <w:lang w:val="lt-LT"/>
        </w:rPr>
      </w:pPr>
      <w:r w:rsidRPr="00D5161B">
        <w:rPr>
          <w:rFonts w:eastAsia="Times New Roman"/>
          <w:snapToGrid w:val="0"/>
          <w:sz w:val="22"/>
          <w:lang w:val="lt-LT"/>
        </w:rPr>
        <w:t>-</w:t>
      </w:r>
      <w:r w:rsidRPr="00D5161B">
        <w:rPr>
          <w:rFonts w:eastAsia="Times New Roman"/>
          <w:snapToGrid w:val="0"/>
          <w:sz w:val="22"/>
          <w:lang w:val="lt-LT"/>
        </w:rPr>
        <w:tab/>
      </w:r>
      <w:r w:rsidRPr="00D5161B">
        <w:rPr>
          <w:noProof/>
          <w:snapToGrid w:val="0"/>
          <w:sz w:val="22"/>
          <w:lang w:val="lt-LT"/>
        </w:rPr>
        <w:t>Šis vaistas skirtas tik Jums, todėl kitiems žmonėms jo duoti negalima.</w:t>
      </w:r>
      <w:r w:rsidRPr="00D5161B">
        <w:rPr>
          <w:rFonts w:eastAsia="Times New Roman"/>
          <w:snapToGrid w:val="0"/>
          <w:sz w:val="22"/>
          <w:lang w:val="lt-LT"/>
        </w:rPr>
        <w:t xml:space="preserve"> </w:t>
      </w:r>
      <w:r w:rsidRPr="00D5161B">
        <w:rPr>
          <w:noProof/>
          <w:snapToGrid w:val="0"/>
          <w:sz w:val="22"/>
          <w:lang w:val="lt-LT"/>
        </w:rPr>
        <w:t>Vaistas gali jiems pakenkti (net tiems, kurių ligos požymiai yra tokie patys kaip Jūsų)</w:t>
      </w:r>
      <w:r w:rsidRPr="00D5161B">
        <w:rPr>
          <w:rFonts w:eastAsia="Times New Roman"/>
          <w:noProof/>
          <w:snapToGrid w:val="0"/>
          <w:sz w:val="22"/>
          <w:lang w:val="lt-LT"/>
        </w:rPr>
        <w:t>.</w:t>
      </w:r>
    </w:p>
    <w:p w14:paraId="0A5AE4BE" w14:textId="77777777" w:rsidR="00637CFF" w:rsidRPr="005E5846" w:rsidRDefault="00637CFF" w:rsidP="00637CFF">
      <w:pPr>
        <w:widowControl/>
        <w:numPr>
          <w:ilvl w:val="0"/>
          <w:numId w:val="34"/>
        </w:numPr>
        <w:tabs>
          <w:tab w:val="left" w:pos="567"/>
        </w:tabs>
        <w:autoSpaceDE/>
        <w:autoSpaceDN/>
        <w:adjustRightInd/>
        <w:spacing w:line="260" w:lineRule="exact"/>
        <w:ind w:left="567" w:hanging="567"/>
        <w:rPr>
          <w:rFonts w:eastAsia="Times New Roman"/>
          <w:snapToGrid w:val="0"/>
          <w:sz w:val="22"/>
          <w:lang w:val="lt-LT"/>
        </w:rPr>
      </w:pPr>
      <w:r w:rsidRPr="00042B32">
        <w:rPr>
          <w:noProof/>
          <w:snapToGrid w:val="0"/>
          <w:sz w:val="22"/>
          <w:lang w:val="lt-LT"/>
        </w:rPr>
        <w:t>Jeigu pasireiškė šalutinis poveikis (net jeigu jis š</w:t>
      </w:r>
      <w:r w:rsidRPr="00D37093">
        <w:rPr>
          <w:noProof/>
          <w:snapToGrid w:val="0"/>
          <w:sz w:val="22"/>
          <w:lang w:val="lt-LT"/>
        </w:rPr>
        <w:t>iame lapelyje nenurodytas), kreipkitės į gydytoją</w:t>
      </w:r>
      <w:r w:rsidRPr="00D37093">
        <w:rPr>
          <w:rFonts w:eastAsia="Times New Roman"/>
          <w:noProof/>
          <w:snapToGrid w:val="0"/>
          <w:sz w:val="22"/>
          <w:lang w:val="lt-LT"/>
        </w:rPr>
        <w:t xml:space="preserve"> arba </w:t>
      </w:r>
      <w:r w:rsidRPr="003E6E21">
        <w:rPr>
          <w:noProof/>
          <w:snapToGrid w:val="0"/>
          <w:sz w:val="22"/>
          <w:lang w:val="lt-LT"/>
        </w:rPr>
        <w:t>vaistininką</w:t>
      </w:r>
      <w:r w:rsidRPr="003E6E21">
        <w:rPr>
          <w:rFonts w:eastAsia="Times New Roman"/>
          <w:noProof/>
          <w:snapToGrid w:val="0"/>
          <w:sz w:val="22"/>
          <w:lang w:val="lt-LT"/>
        </w:rPr>
        <w:t>.</w:t>
      </w:r>
      <w:r w:rsidRPr="003E6E21">
        <w:rPr>
          <w:noProof/>
          <w:snapToGrid w:val="0"/>
          <w:sz w:val="22"/>
          <w:lang w:val="lt-LT"/>
        </w:rPr>
        <w:t>Žr. 4 skyrių.</w:t>
      </w:r>
    </w:p>
    <w:p w14:paraId="5C0603F2" w14:textId="77777777" w:rsidR="00637CFF" w:rsidRPr="00D5161B" w:rsidRDefault="00637CFF" w:rsidP="008C6014">
      <w:pPr>
        <w:rPr>
          <w:sz w:val="22"/>
          <w:szCs w:val="22"/>
          <w:lang w:val="lt-LT"/>
        </w:rPr>
      </w:pPr>
    </w:p>
    <w:p w14:paraId="6DD23A38" w14:textId="77777777" w:rsidR="00C05173" w:rsidRPr="00D5161B" w:rsidRDefault="00C05173" w:rsidP="008C6014">
      <w:pPr>
        <w:rPr>
          <w:b/>
          <w:sz w:val="22"/>
          <w:szCs w:val="22"/>
          <w:lang w:val="lt-LT"/>
        </w:rPr>
      </w:pPr>
      <w:r w:rsidRPr="00D5161B">
        <w:rPr>
          <w:b/>
          <w:sz w:val="22"/>
          <w:szCs w:val="22"/>
          <w:lang w:val="lt-LT"/>
        </w:rPr>
        <w:t>Apie ką rašoma šiame lapelyje?</w:t>
      </w:r>
    </w:p>
    <w:p w14:paraId="35107858" w14:textId="77777777" w:rsidR="00C05173" w:rsidRPr="00D5161B" w:rsidRDefault="00C05173" w:rsidP="008C6014">
      <w:pPr>
        <w:rPr>
          <w:b/>
          <w:bCs/>
          <w:sz w:val="22"/>
          <w:szCs w:val="22"/>
          <w:lang w:val="lt-LT"/>
        </w:rPr>
      </w:pPr>
    </w:p>
    <w:p w14:paraId="53E5A780" w14:textId="77777777" w:rsidR="00C05173" w:rsidRPr="00D5161B" w:rsidRDefault="00C05173" w:rsidP="008C6014">
      <w:pPr>
        <w:rPr>
          <w:sz w:val="22"/>
          <w:szCs w:val="22"/>
          <w:lang w:val="lt-LT"/>
        </w:rPr>
      </w:pPr>
      <w:r w:rsidRPr="00D5161B">
        <w:rPr>
          <w:sz w:val="22"/>
          <w:szCs w:val="22"/>
          <w:lang w:val="lt-LT"/>
        </w:rPr>
        <w:t xml:space="preserve">Kas yra </w:t>
      </w:r>
      <w:r w:rsidR="00B61707" w:rsidRPr="00D5161B">
        <w:rPr>
          <w:sz w:val="22"/>
          <w:szCs w:val="22"/>
          <w:lang w:val="lt-LT"/>
        </w:rPr>
        <w:t>Silungo</w:t>
      </w:r>
      <w:r w:rsidRPr="00D5161B">
        <w:rPr>
          <w:sz w:val="22"/>
          <w:szCs w:val="22"/>
          <w:lang w:val="lt-LT"/>
        </w:rPr>
        <w:t xml:space="preserve"> ir kam jis</w:t>
      </w:r>
      <w:r w:rsidRPr="00D5161B">
        <w:rPr>
          <w:spacing w:val="-7"/>
          <w:sz w:val="22"/>
          <w:szCs w:val="22"/>
          <w:lang w:val="lt-LT"/>
        </w:rPr>
        <w:t xml:space="preserve"> </w:t>
      </w:r>
      <w:r w:rsidRPr="00D5161B">
        <w:rPr>
          <w:sz w:val="22"/>
          <w:szCs w:val="22"/>
          <w:lang w:val="lt-LT"/>
        </w:rPr>
        <w:t>vartojamas</w:t>
      </w:r>
    </w:p>
    <w:p w14:paraId="2C57CA0B" w14:textId="77777777" w:rsidR="00C05173" w:rsidRPr="00D5161B" w:rsidRDefault="00C05173" w:rsidP="008C6014">
      <w:pPr>
        <w:rPr>
          <w:sz w:val="22"/>
          <w:szCs w:val="22"/>
          <w:lang w:val="lt-LT"/>
        </w:rPr>
      </w:pPr>
      <w:r w:rsidRPr="00D5161B">
        <w:rPr>
          <w:sz w:val="22"/>
          <w:szCs w:val="22"/>
          <w:lang w:val="lt-LT"/>
        </w:rPr>
        <w:t>Kas žinotina prieš vartojant</w:t>
      </w:r>
      <w:r w:rsidRPr="00D5161B">
        <w:rPr>
          <w:spacing w:val="-21"/>
          <w:sz w:val="22"/>
          <w:szCs w:val="22"/>
          <w:lang w:val="lt-LT"/>
        </w:rPr>
        <w:t xml:space="preserve"> </w:t>
      </w:r>
      <w:r w:rsidR="00B61707" w:rsidRPr="00D5161B">
        <w:rPr>
          <w:sz w:val="22"/>
          <w:szCs w:val="22"/>
          <w:lang w:val="lt-LT"/>
        </w:rPr>
        <w:t>Silungo</w:t>
      </w:r>
    </w:p>
    <w:p w14:paraId="3EEEDB18" w14:textId="77777777" w:rsidR="00C05173" w:rsidRPr="00D5161B" w:rsidRDefault="00C05173" w:rsidP="008C6014">
      <w:pPr>
        <w:rPr>
          <w:sz w:val="22"/>
          <w:szCs w:val="22"/>
          <w:lang w:val="lt-LT"/>
        </w:rPr>
      </w:pPr>
      <w:r w:rsidRPr="00D5161B">
        <w:rPr>
          <w:sz w:val="22"/>
          <w:szCs w:val="22"/>
          <w:lang w:val="lt-LT"/>
        </w:rPr>
        <w:t>Kaip vartoti</w:t>
      </w:r>
      <w:r w:rsidRPr="00D5161B">
        <w:rPr>
          <w:spacing w:val="-12"/>
          <w:sz w:val="22"/>
          <w:szCs w:val="22"/>
          <w:lang w:val="lt-LT"/>
        </w:rPr>
        <w:t xml:space="preserve"> </w:t>
      </w:r>
      <w:r w:rsidR="00B61707" w:rsidRPr="00D5161B">
        <w:rPr>
          <w:sz w:val="22"/>
          <w:szCs w:val="22"/>
          <w:lang w:val="lt-LT"/>
        </w:rPr>
        <w:t>Silungo</w:t>
      </w:r>
    </w:p>
    <w:p w14:paraId="6C57EC0D" w14:textId="77777777" w:rsidR="00C05173" w:rsidRPr="00D5161B" w:rsidRDefault="00C05173" w:rsidP="008C6014">
      <w:pPr>
        <w:rPr>
          <w:sz w:val="22"/>
          <w:szCs w:val="22"/>
          <w:lang w:val="lt-LT"/>
        </w:rPr>
      </w:pPr>
      <w:r w:rsidRPr="00D5161B">
        <w:rPr>
          <w:sz w:val="22"/>
          <w:szCs w:val="22"/>
          <w:lang w:val="lt-LT"/>
        </w:rPr>
        <w:t>Galimas šalutinis</w:t>
      </w:r>
      <w:r w:rsidRPr="00D5161B">
        <w:rPr>
          <w:spacing w:val="-16"/>
          <w:sz w:val="22"/>
          <w:szCs w:val="22"/>
          <w:lang w:val="lt-LT"/>
        </w:rPr>
        <w:t xml:space="preserve"> </w:t>
      </w:r>
      <w:r w:rsidRPr="00D5161B">
        <w:rPr>
          <w:sz w:val="22"/>
          <w:szCs w:val="22"/>
          <w:lang w:val="lt-LT"/>
        </w:rPr>
        <w:t>poveikis</w:t>
      </w:r>
    </w:p>
    <w:p w14:paraId="0407A1BE" w14:textId="77777777" w:rsidR="00C05173" w:rsidRPr="00D5161B" w:rsidRDefault="00C05173" w:rsidP="008C6014">
      <w:pPr>
        <w:rPr>
          <w:sz w:val="22"/>
          <w:szCs w:val="22"/>
          <w:lang w:val="lt-LT"/>
        </w:rPr>
      </w:pPr>
      <w:r w:rsidRPr="00D5161B">
        <w:rPr>
          <w:sz w:val="22"/>
          <w:szCs w:val="22"/>
          <w:lang w:val="lt-LT"/>
        </w:rPr>
        <w:t>Kaip laikyti</w:t>
      </w:r>
      <w:r w:rsidRPr="00D5161B">
        <w:rPr>
          <w:spacing w:val="-12"/>
          <w:sz w:val="22"/>
          <w:szCs w:val="22"/>
          <w:lang w:val="lt-LT"/>
        </w:rPr>
        <w:t xml:space="preserve"> </w:t>
      </w:r>
      <w:r w:rsidR="00B61707" w:rsidRPr="00D5161B">
        <w:rPr>
          <w:sz w:val="22"/>
          <w:szCs w:val="22"/>
          <w:lang w:val="lt-LT"/>
        </w:rPr>
        <w:t>Silungo</w:t>
      </w:r>
    </w:p>
    <w:p w14:paraId="33D4A29B" w14:textId="77777777" w:rsidR="00C05173" w:rsidRPr="00D5161B" w:rsidRDefault="00C05173" w:rsidP="008C6014">
      <w:pPr>
        <w:rPr>
          <w:sz w:val="22"/>
          <w:szCs w:val="22"/>
          <w:lang w:val="lt-LT"/>
        </w:rPr>
      </w:pPr>
      <w:r w:rsidRPr="00D5161B">
        <w:rPr>
          <w:sz w:val="22"/>
          <w:szCs w:val="22"/>
          <w:lang w:val="lt-LT"/>
        </w:rPr>
        <w:t>Pakuotės turinys ir kita</w:t>
      </w:r>
      <w:r w:rsidRPr="00D5161B">
        <w:rPr>
          <w:spacing w:val="-21"/>
          <w:sz w:val="22"/>
          <w:szCs w:val="22"/>
          <w:lang w:val="lt-LT"/>
        </w:rPr>
        <w:t xml:space="preserve"> </w:t>
      </w:r>
      <w:r w:rsidRPr="00D5161B">
        <w:rPr>
          <w:sz w:val="22"/>
          <w:szCs w:val="22"/>
          <w:lang w:val="lt-LT"/>
        </w:rPr>
        <w:t>informacija</w:t>
      </w:r>
    </w:p>
    <w:p w14:paraId="7F6EF111" w14:textId="77777777" w:rsidR="008C6014" w:rsidRPr="00D5161B" w:rsidRDefault="008C6014" w:rsidP="008C6014">
      <w:pPr>
        <w:widowControl/>
        <w:numPr>
          <w:ilvl w:val="12"/>
          <w:numId w:val="0"/>
        </w:numPr>
        <w:autoSpaceDE/>
        <w:autoSpaceDN/>
        <w:adjustRightInd/>
        <w:ind w:right="-2"/>
        <w:rPr>
          <w:sz w:val="22"/>
          <w:szCs w:val="22"/>
          <w:lang w:val="lt-LT"/>
        </w:rPr>
      </w:pPr>
    </w:p>
    <w:p w14:paraId="5E23146E" w14:textId="77777777" w:rsidR="008C6014" w:rsidRPr="005A3594" w:rsidRDefault="008C6014" w:rsidP="008C6014">
      <w:pPr>
        <w:widowControl/>
        <w:numPr>
          <w:ilvl w:val="12"/>
          <w:numId w:val="0"/>
        </w:numPr>
        <w:autoSpaceDE/>
        <w:autoSpaceDN/>
        <w:adjustRightInd/>
        <w:ind w:right="-2"/>
        <w:rPr>
          <w:rFonts w:eastAsia="Times New Roman"/>
          <w:snapToGrid w:val="0"/>
          <w:sz w:val="22"/>
          <w:szCs w:val="22"/>
          <w:lang w:val="lt-LT"/>
        </w:rPr>
      </w:pPr>
    </w:p>
    <w:p w14:paraId="02D3B886" w14:textId="77777777" w:rsidR="008C6014" w:rsidRPr="00AE5BD5" w:rsidRDefault="008C6014" w:rsidP="008C6014">
      <w:pPr>
        <w:keepNext/>
        <w:widowControl/>
        <w:tabs>
          <w:tab w:val="left" w:pos="567"/>
        </w:tabs>
        <w:autoSpaceDE/>
        <w:autoSpaceDN/>
        <w:adjustRightInd/>
        <w:spacing w:line="260" w:lineRule="exact"/>
        <w:jc w:val="both"/>
        <w:outlineLvl w:val="3"/>
        <w:rPr>
          <w:rFonts w:eastAsia="Times New Roman"/>
          <w:b/>
          <w:bCs/>
          <w:snapToGrid w:val="0"/>
          <w:sz w:val="22"/>
          <w:szCs w:val="22"/>
          <w:lang w:val="lt-LT" w:eastAsia="x-none"/>
        </w:rPr>
      </w:pPr>
      <w:r w:rsidRPr="00AE5BD5">
        <w:rPr>
          <w:rFonts w:eastAsia="Times New Roman"/>
          <w:b/>
          <w:bCs/>
          <w:snapToGrid w:val="0"/>
          <w:sz w:val="22"/>
          <w:szCs w:val="22"/>
          <w:lang w:val="lt-LT" w:eastAsia="x-none"/>
        </w:rPr>
        <w:t>1.</w:t>
      </w:r>
      <w:r w:rsidRPr="00AE5BD5">
        <w:rPr>
          <w:rFonts w:eastAsia="Times New Roman"/>
          <w:b/>
          <w:bCs/>
          <w:snapToGrid w:val="0"/>
          <w:sz w:val="22"/>
          <w:szCs w:val="22"/>
          <w:lang w:val="lt-LT" w:eastAsia="x-none"/>
        </w:rPr>
        <w:tab/>
        <w:t>Kas yra Silungo ir kam jis vartojamas</w:t>
      </w:r>
    </w:p>
    <w:p w14:paraId="0F5AAA20" w14:textId="77777777" w:rsidR="008C6014" w:rsidRPr="008B1AE9" w:rsidRDefault="008C6014" w:rsidP="008C6014">
      <w:pPr>
        <w:widowControl/>
        <w:numPr>
          <w:ilvl w:val="12"/>
          <w:numId w:val="0"/>
        </w:numPr>
        <w:autoSpaceDE/>
        <w:autoSpaceDN/>
        <w:adjustRightInd/>
        <w:ind w:right="-2"/>
        <w:rPr>
          <w:rFonts w:eastAsia="Times New Roman"/>
          <w:snapToGrid w:val="0"/>
          <w:sz w:val="22"/>
          <w:szCs w:val="22"/>
          <w:lang w:val="lt-LT"/>
        </w:rPr>
      </w:pPr>
    </w:p>
    <w:p w14:paraId="243D3F02" w14:textId="77777777" w:rsidR="00C05173" w:rsidRPr="00D5161B" w:rsidRDefault="00B61707" w:rsidP="008C6014">
      <w:pPr>
        <w:rPr>
          <w:sz w:val="22"/>
          <w:szCs w:val="22"/>
          <w:lang w:val="lt-LT"/>
        </w:rPr>
      </w:pPr>
      <w:r w:rsidRPr="00D5161B">
        <w:rPr>
          <w:sz w:val="22"/>
          <w:szCs w:val="22"/>
          <w:lang w:val="lt-LT"/>
        </w:rPr>
        <w:t>Silungo</w:t>
      </w:r>
      <w:r w:rsidR="00C05173" w:rsidRPr="00D5161B">
        <w:rPr>
          <w:sz w:val="22"/>
          <w:szCs w:val="22"/>
          <w:lang w:val="lt-LT"/>
        </w:rPr>
        <w:t xml:space="preserve"> sudėtyje yra veikliosios medžiagos sildenafilio, kuris priklauso vaistų, vadinamų 5 tipo fosfodiesterazės (FDE5) inhibitoriais, grupei.</w:t>
      </w:r>
    </w:p>
    <w:p w14:paraId="5CA6EEBD" w14:textId="77777777" w:rsidR="00C05173" w:rsidRPr="00D5161B" w:rsidRDefault="00C05173" w:rsidP="008C6014">
      <w:pPr>
        <w:rPr>
          <w:sz w:val="22"/>
          <w:szCs w:val="22"/>
          <w:lang w:val="lt-LT"/>
        </w:rPr>
      </w:pPr>
    </w:p>
    <w:p w14:paraId="0B21BFA6" w14:textId="77777777" w:rsidR="00C05173" w:rsidRPr="00D5161B" w:rsidRDefault="00B61707" w:rsidP="008C6014">
      <w:pPr>
        <w:rPr>
          <w:sz w:val="22"/>
          <w:szCs w:val="22"/>
          <w:lang w:val="lt-LT"/>
        </w:rPr>
      </w:pPr>
      <w:r w:rsidRPr="00D5161B">
        <w:rPr>
          <w:sz w:val="22"/>
          <w:szCs w:val="22"/>
          <w:lang w:val="lt-LT"/>
        </w:rPr>
        <w:t>Silungo</w:t>
      </w:r>
      <w:r w:rsidR="00C05173" w:rsidRPr="00D5161B">
        <w:rPr>
          <w:sz w:val="22"/>
          <w:szCs w:val="22"/>
          <w:lang w:val="lt-LT"/>
        </w:rPr>
        <w:t xml:space="preserve"> išplečia plaučių kraujagysles ir sumažina kraujospūdį plaučiuose.</w:t>
      </w:r>
    </w:p>
    <w:p w14:paraId="28C207DE" w14:textId="77777777" w:rsidR="00C05173" w:rsidRPr="00D5161B" w:rsidRDefault="00C05173" w:rsidP="008C6014">
      <w:pPr>
        <w:rPr>
          <w:sz w:val="22"/>
          <w:szCs w:val="22"/>
          <w:lang w:val="lt-LT"/>
        </w:rPr>
      </w:pPr>
    </w:p>
    <w:p w14:paraId="36B48AD8" w14:textId="77777777" w:rsidR="00C05173" w:rsidRPr="00D5161B" w:rsidRDefault="00B61707" w:rsidP="008C6014">
      <w:pPr>
        <w:rPr>
          <w:sz w:val="22"/>
          <w:szCs w:val="22"/>
          <w:lang w:val="lt-LT"/>
        </w:rPr>
      </w:pPr>
      <w:r w:rsidRPr="00D5161B">
        <w:rPr>
          <w:sz w:val="22"/>
          <w:szCs w:val="22"/>
          <w:lang w:val="lt-LT"/>
        </w:rPr>
        <w:t>Silungo</w:t>
      </w:r>
      <w:r w:rsidR="00C05173" w:rsidRPr="00D5161B">
        <w:rPr>
          <w:sz w:val="22"/>
          <w:szCs w:val="22"/>
          <w:lang w:val="lt-LT"/>
        </w:rPr>
        <w:t xml:space="preserve"> gydomi suaugusieji bei vaikai ir paaugliai nuo 1 iki 17 metų, kuriems diagnozuotas padidėjęs kraujospūdis plaučių kraujagyslėse (plautinė arterinė hipertenzija).</w:t>
      </w:r>
    </w:p>
    <w:p w14:paraId="473F46FA" w14:textId="77777777" w:rsidR="00C05173" w:rsidRPr="00D5161B" w:rsidRDefault="00C05173" w:rsidP="008C6014">
      <w:pPr>
        <w:rPr>
          <w:sz w:val="22"/>
          <w:szCs w:val="22"/>
          <w:lang w:val="lt-LT"/>
        </w:rPr>
      </w:pPr>
    </w:p>
    <w:p w14:paraId="6192BBBC" w14:textId="77777777" w:rsidR="00C05173" w:rsidRPr="00D5161B" w:rsidRDefault="00C05173" w:rsidP="008C6014">
      <w:pPr>
        <w:rPr>
          <w:sz w:val="22"/>
          <w:szCs w:val="22"/>
          <w:lang w:val="lt-LT"/>
        </w:rPr>
      </w:pPr>
    </w:p>
    <w:p w14:paraId="5539101C" w14:textId="77777777" w:rsidR="008C6014" w:rsidRPr="00D5161B" w:rsidRDefault="008C6014" w:rsidP="008C6014">
      <w:pPr>
        <w:rPr>
          <w:b/>
          <w:sz w:val="22"/>
          <w:szCs w:val="22"/>
          <w:lang w:val="lt-LT"/>
        </w:rPr>
      </w:pPr>
      <w:r w:rsidRPr="005A3594">
        <w:rPr>
          <w:b/>
          <w:sz w:val="22"/>
          <w:szCs w:val="22"/>
          <w:lang w:val="lt-LT"/>
        </w:rPr>
        <w:t>2.</w:t>
      </w:r>
      <w:r w:rsidRPr="005A3594">
        <w:rPr>
          <w:b/>
          <w:sz w:val="22"/>
          <w:szCs w:val="22"/>
          <w:lang w:val="lt-LT"/>
        </w:rPr>
        <w:tab/>
        <w:t>Kas žinotina prieš vartojant Silungo</w:t>
      </w:r>
    </w:p>
    <w:p w14:paraId="092BE2D5" w14:textId="77777777" w:rsidR="008C6014" w:rsidRPr="00D5161B" w:rsidRDefault="008C6014" w:rsidP="008C6014">
      <w:pPr>
        <w:rPr>
          <w:sz w:val="22"/>
          <w:szCs w:val="22"/>
          <w:lang w:val="lt-LT"/>
        </w:rPr>
      </w:pPr>
    </w:p>
    <w:p w14:paraId="73A9C4FD" w14:textId="77777777" w:rsidR="00C05173" w:rsidRPr="00D5161B" w:rsidRDefault="00B61707" w:rsidP="008C6014">
      <w:pPr>
        <w:rPr>
          <w:b/>
          <w:sz w:val="22"/>
          <w:szCs w:val="22"/>
          <w:lang w:val="lt-LT"/>
        </w:rPr>
      </w:pPr>
      <w:r w:rsidRPr="00D5161B">
        <w:rPr>
          <w:b/>
          <w:sz w:val="22"/>
          <w:szCs w:val="22"/>
          <w:lang w:val="lt-LT"/>
        </w:rPr>
        <w:t>Silungo</w:t>
      </w:r>
      <w:r w:rsidR="00C05173" w:rsidRPr="00D5161B">
        <w:rPr>
          <w:b/>
          <w:sz w:val="22"/>
          <w:szCs w:val="22"/>
          <w:lang w:val="lt-LT"/>
        </w:rPr>
        <w:t xml:space="preserve"> vartoti</w:t>
      </w:r>
      <w:r w:rsidR="00C05173" w:rsidRPr="00D5161B">
        <w:rPr>
          <w:b/>
          <w:spacing w:val="-14"/>
          <w:sz w:val="22"/>
          <w:szCs w:val="22"/>
          <w:lang w:val="lt-LT"/>
        </w:rPr>
        <w:t xml:space="preserve"> </w:t>
      </w:r>
      <w:r w:rsidR="00C05173" w:rsidRPr="00D5161B">
        <w:rPr>
          <w:b/>
          <w:sz w:val="22"/>
          <w:szCs w:val="22"/>
          <w:lang w:val="lt-LT"/>
        </w:rPr>
        <w:t>negalima:</w:t>
      </w:r>
    </w:p>
    <w:p w14:paraId="52F72647" w14:textId="77777777" w:rsidR="00C05173" w:rsidRPr="00D5161B" w:rsidRDefault="00C05173" w:rsidP="008C6014">
      <w:pPr>
        <w:rPr>
          <w:sz w:val="22"/>
          <w:szCs w:val="22"/>
          <w:lang w:val="lt-LT"/>
        </w:rPr>
      </w:pPr>
      <w:bookmarkStart w:id="10" w:name="_Hlk123703"/>
      <w:r w:rsidRPr="00D5161B">
        <w:rPr>
          <w:b/>
          <w:bCs/>
          <w:sz w:val="22"/>
          <w:szCs w:val="22"/>
          <w:lang w:val="lt-LT"/>
        </w:rPr>
        <w:t>-</w:t>
      </w:r>
      <w:r w:rsidRPr="00D5161B">
        <w:rPr>
          <w:b/>
          <w:bCs/>
          <w:sz w:val="22"/>
          <w:szCs w:val="22"/>
          <w:lang w:val="lt-LT"/>
        </w:rPr>
        <w:tab/>
      </w:r>
      <w:bookmarkEnd w:id="10"/>
      <w:r w:rsidRPr="00D5161B">
        <w:rPr>
          <w:sz w:val="22"/>
          <w:szCs w:val="22"/>
          <w:lang w:val="lt-LT"/>
        </w:rPr>
        <w:t>jeigu</w:t>
      </w:r>
      <w:r w:rsidRPr="00D5161B">
        <w:rPr>
          <w:spacing w:val="-5"/>
          <w:sz w:val="22"/>
          <w:szCs w:val="22"/>
          <w:lang w:val="lt-LT"/>
        </w:rPr>
        <w:t xml:space="preserve"> </w:t>
      </w:r>
      <w:r w:rsidRPr="00D5161B">
        <w:rPr>
          <w:sz w:val="22"/>
          <w:szCs w:val="22"/>
          <w:lang w:val="lt-LT"/>
        </w:rPr>
        <w:t>yra</w:t>
      </w:r>
      <w:r w:rsidRPr="00D5161B">
        <w:rPr>
          <w:spacing w:val="-5"/>
          <w:sz w:val="22"/>
          <w:szCs w:val="22"/>
          <w:lang w:val="lt-LT"/>
        </w:rPr>
        <w:t xml:space="preserve"> </w:t>
      </w:r>
      <w:r w:rsidRPr="00D5161B">
        <w:rPr>
          <w:sz w:val="22"/>
          <w:szCs w:val="22"/>
          <w:lang w:val="lt-LT"/>
        </w:rPr>
        <w:t>alergija</w:t>
      </w:r>
      <w:r w:rsidRPr="00D5161B">
        <w:rPr>
          <w:spacing w:val="-5"/>
          <w:sz w:val="22"/>
          <w:szCs w:val="22"/>
          <w:lang w:val="lt-LT"/>
        </w:rPr>
        <w:t xml:space="preserve"> </w:t>
      </w:r>
      <w:r w:rsidRPr="00D5161B">
        <w:rPr>
          <w:sz w:val="22"/>
          <w:szCs w:val="22"/>
          <w:lang w:val="lt-LT"/>
        </w:rPr>
        <w:t>sildenafiliui</w:t>
      </w:r>
      <w:r w:rsidRPr="00D5161B">
        <w:rPr>
          <w:spacing w:val="-5"/>
          <w:sz w:val="22"/>
          <w:szCs w:val="22"/>
          <w:lang w:val="lt-LT"/>
        </w:rPr>
        <w:t xml:space="preserve"> </w:t>
      </w:r>
      <w:r w:rsidRPr="00D5161B">
        <w:rPr>
          <w:sz w:val="22"/>
          <w:szCs w:val="22"/>
          <w:lang w:val="lt-LT"/>
        </w:rPr>
        <w:t>arba</w:t>
      </w:r>
      <w:r w:rsidRPr="00D5161B">
        <w:rPr>
          <w:spacing w:val="-5"/>
          <w:sz w:val="22"/>
          <w:szCs w:val="22"/>
          <w:lang w:val="lt-LT"/>
        </w:rPr>
        <w:t xml:space="preserve"> </w:t>
      </w:r>
      <w:r w:rsidRPr="00D5161B">
        <w:rPr>
          <w:sz w:val="22"/>
          <w:szCs w:val="22"/>
          <w:lang w:val="lt-LT"/>
        </w:rPr>
        <w:t>bet</w:t>
      </w:r>
      <w:r w:rsidRPr="00D5161B">
        <w:rPr>
          <w:spacing w:val="-5"/>
          <w:sz w:val="22"/>
          <w:szCs w:val="22"/>
          <w:lang w:val="lt-LT"/>
        </w:rPr>
        <w:t xml:space="preserve"> </w:t>
      </w:r>
      <w:r w:rsidRPr="00D5161B">
        <w:rPr>
          <w:sz w:val="22"/>
          <w:szCs w:val="22"/>
          <w:lang w:val="lt-LT"/>
        </w:rPr>
        <w:t>kuriai</w:t>
      </w:r>
      <w:r w:rsidRPr="00D5161B">
        <w:rPr>
          <w:spacing w:val="-5"/>
          <w:sz w:val="22"/>
          <w:szCs w:val="22"/>
          <w:lang w:val="lt-LT"/>
        </w:rPr>
        <w:t xml:space="preserve"> </w:t>
      </w:r>
      <w:r w:rsidRPr="00D5161B">
        <w:rPr>
          <w:sz w:val="22"/>
          <w:szCs w:val="22"/>
          <w:lang w:val="lt-LT"/>
        </w:rPr>
        <w:t>pagalbinei</w:t>
      </w:r>
      <w:r w:rsidRPr="00D5161B">
        <w:rPr>
          <w:spacing w:val="-5"/>
          <w:sz w:val="22"/>
          <w:szCs w:val="22"/>
          <w:lang w:val="lt-LT"/>
        </w:rPr>
        <w:t xml:space="preserve"> </w:t>
      </w:r>
      <w:r w:rsidRPr="00D5161B">
        <w:rPr>
          <w:sz w:val="22"/>
          <w:szCs w:val="22"/>
          <w:lang w:val="lt-LT"/>
        </w:rPr>
        <w:t>šio</w:t>
      </w:r>
      <w:r w:rsidRPr="00D5161B">
        <w:rPr>
          <w:spacing w:val="-5"/>
          <w:sz w:val="22"/>
          <w:szCs w:val="22"/>
          <w:lang w:val="lt-LT"/>
        </w:rPr>
        <w:t xml:space="preserve"> </w:t>
      </w:r>
      <w:r w:rsidRPr="00D5161B">
        <w:rPr>
          <w:sz w:val="22"/>
          <w:szCs w:val="22"/>
          <w:lang w:val="lt-LT"/>
        </w:rPr>
        <w:t>vaisto</w:t>
      </w:r>
      <w:r w:rsidRPr="00D5161B">
        <w:rPr>
          <w:spacing w:val="-5"/>
          <w:sz w:val="22"/>
          <w:szCs w:val="22"/>
          <w:lang w:val="lt-LT"/>
        </w:rPr>
        <w:t xml:space="preserve"> </w:t>
      </w:r>
      <w:r w:rsidRPr="00D5161B">
        <w:rPr>
          <w:sz w:val="22"/>
          <w:szCs w:val="22"/>
          <w:lang w:val="lt-LT"/>
        </w:rPr>
        <w:t>medžiagai</w:t>
      </w:r>
      <w:r w:rsidRPr="00D5161B">
        <w:rPr>
          <w:spacing w:val="-5"/>
          <w:sz w:val="22"/>
          <w:szCs w:val="22"/>
          <w:lang w:val="lt-LT"/>
        </w:rPr>
        <w:t xml:space="preserve"> </w:t>
      </w:r>
      <w:r w:rsidRPr="00D5161B">
        <w:rPr>
          <w:sz w:val="22"/>
          <w:szCs w:val="22"/>
          <w:lang w:val="lt-LT"/>
        </w:rPr>
        <w:t>(jos</w:t>
      </w:r>
      <w:r w:rsidRPr="00D5161B">
        <w:rPr>
          <w:spacing w:val="-5"/>
          <w:sz w:val="22"/>
          <w:szCs w:val="22"/>
          <w:lang w:val="lt-LT"/>
        </w:rPr>
        <w:t xml:space="preserve"> </w:t>
      </w:r>
      <w:r w:rsidRPr="00D5161B">
        <w:rPr>
          <w:sz w:val="22"/>
          <w:szCs w:val="22"/>
          <w:lang w:val="lt-LT"/>
        </w:rPr>
        <w:t>išvardytos</w:t>
      </w:r>
      <w:r w:rsidRPr="00D5161B">
        <w:rPr>
          <w:spacing w:val="-1"/>
          <w:sz w:val="22"/>
          <w:szCs w:val="22"/>
          <w:lang w:val="lt-LT"/>
        </w:rPr>
        <w:t xml:space="preserve"> </w:t>
      </w:r>
      <w:r w:rsidRPr="00D5161B">
        <w:rPr>
          <w:sz w:val="22"/>
          <w:szCs w:val="22"/>
          <w:lang w:val="lt-LT"/>
        </w:rPr>
        <w:t>6</w:t>
      </w:r>
      <w:r w:rsidRPr="00D5161B">
        <w:rPr>
          <w:spacing w:val="-7"/>
          <w:sz w:val="22"/>
          <w:szCs w:val="22"/>
          <w:lang w:val="lt-LT"/>
        </w:rPr>
        <w:t xml:space="preserve"> </w:t>
      </w:r>
      <w:r w:rsidRPr="00D5161B">
        <w:rPr>
          <w:sz w:val="22"/>
          <w:szCs w:val="22"/>
          <w:lang w:val="lt-LT"/>
        </w:rPr>
        <w:t>skyriuje);</w:t>
      </w:r>
    </w:p>
    <w:p w14:paraId="6E84621C" w14:textId="77777777" w:rsidR="00C05173" w:rsidRPr="00D5161B" w:rsidRDefault="00C05173" w:rsidP="008C6014">
      <w:pPr>
        <w:rPr>
          <w:sz w:val="22"/>
          <w:szCs w:val="22"/>
          <w:lang w:val="lt-LT"/>
        </w:rPr>
      </w:pPr>
    </w:p>
    <w:p w14:paraId="67B4B0B9" w14:textId="77777777" w:rsidR="00C05173" w:rsidRPr="00D5161B" w:rsidRDefault="008C6014" w:rsidP="008C6014">
      <w:pPr>
        <w:rPr>
          <w:sz w:val="22"/>
          <w:szCs w:val="22"/>
          <w:lang w:val="lt-LT"/>
        </w:rPr>
      </w:pPr>
      <w:r w:rsidRPr="00D5161B">
        <w:rPr>
          <w:b/>
          <w:bCs/>
          <w:sz w:val="22"/>
          <w:szCs w:val="22"/>
          <w:lang w:val="lt-LT"/>
        </w:rPr>
        <w:t>-</w:t>
      </w:r>
      <w:r w:rsidRPr="00D5161B">
        <w:rPr>
          <w:b/>
          <w:bCs/>
          <w:sz w:val="22"/>
          <w:szCs w:val="22"/>
          <w:lang w:val="lt-LT"/>
        </w:rPr>
        <w:tab/>
      </w:r>
      <w:r w:rsidR="00C05173" w:rsidRPr="00D5161B">
        <w:rPr>
          <w:sz w:val="22"/>
          <w:szCs w:val="22"/>
          <w:lang w:val="lt-LT"/>
        </w:rPr>
        <w:t xml:space="preserve">jeigu vartojate vaistų, kurių sudėtyje yra nitratų arba azoto oksido donorų, pavyzdžiui, amilo nitrato („pokšinčio“ preparato). Šie vaistai dažnai vartojami krūtinės skausmui (krūtinės anginos priepuoliams) šalinti. </w:t>
      </w:r>
      <w:r w:rsidR="00B61707" w:rsidRPr="00D5161B">
        <w:rPr>
          <w:sz w:val="22"/>
          <w:szCs w:val="22"/>
          <w:lang w:val="lt-LT"/>
        </w:rPr>
        <w:t>Silungo</w:t>
      </w:r>
      <w:r w:rsidR="00C05173" w:rsidRPr="00D5161B">
        <w:rPr>
          <w:sz w:val="22"/>
          <w:szCs w:val="22"/>
          <w:lang w:val="lt-LT"/>
        </w:rPr>
        <w:t xml:space="preserve"> gali labai sustiprinti jų poveikį. Jeigu vartojote minėtų vaistų, pasakykite</w:t>
      </w:r>
      <w:r w:rsidR="00C05173" w:rsidRPr="00D5161B">
        <w:rPr>
          <w:spacing w:val="-6"/>
          <w:sz w:val="22"/>
          <w:szCs w:val="22"/>
          <w:lang w:val="lt-LT"/>
        </w:rPr>
        <w:t xml:space="preserve"> </w:t>
      </w:r>
      <w:r w:rsidR="00C05173" w:rsidRPr="00D5161B">
        <w:rPr>
          <w:sz w:val="22"/>
          <w:szCs w:val="22"/>
          <w:lang w:val="lt-LT"/>
        </w:rPr>
        <w:t>gydytojui.</w:t>
      </w:r>
      <w:r w:rsidR="00C05173" w:rsidRPr="00D5161B">
        <w:rPr>
          <w:spacing w:val="-6"/>
          <w:sz w:val="22"/>
          <w:szCs w:val="22"/>
          <w:lang w:val="lt-LT"/>
        </w:rPr>
        <w:t xml:space="preserve"> </w:t>
      </w:r>
      <w:r w:rsidR="00C05173" w:rsidRPr="00D5161B">
        <w:rPr>
          <w:sz w:val="22"/>
          <w:szCs w:val="22"/>
          <w:lang w:val="lt-LT"/>
        </w:rPr>
        <w:t>Jei</w:t>
      </w:r>
      <w:r w:rsidR="00C05173" w:rsidRPr="00D5161B">
        <w:rPr>
          <w:spacing w:val="-6"/>
          <w:sz w:val="22"/>
          <w:szCs w:val="22"/>
          <w:lang w:val="lt-LT"/>
        </w:rPr>
        <w:t xml:space="preserve"> </w:t>
      </w:r>
      <w:r w:rsidR="00C05173" w:rsidRPr="00D5161B">
        <w:rPr>
          <w:sz w:val="22"/>
          <w:szCs w:val="22"/>
          <w:lang w:val="lt-LT"/>
        </w:rPr>
        <w:t>abejojate,</w:t>
      </w:r>
      <w:r w:rsidR="00C05173" w:rsidRPr="00D5161B">
        <w:rPr>
          <w:spacing w:val="-6"/>
          <w:sz w:val="22"/>
          <w:szCs w:val="22"/>
          <w:lang w:val="lt-LT"/>
        </w:rPr>
        <w:t xml:space="preserve"> </w:t>
      </w:r>
      <w:r w:rsidR="00C05173" w:rsidRPr="00D5161B">
        <w:rPr>
          <w:sz w:val="22"/>
          <w:szCs w:val="22"/>
          <w:lang w:val="lt-LT"/>
        </w:rPr>
        <w:t>kreipkitės</w:t>
      </w:r>
      <w:r w:rsidR="00C05173" w:rsidRPr="00D5161B">
        <w:rPr>
          <w:spacing w:val="-6"/>
          <w:sz w:val="22"/>
          <w:szCs w:val="22"/>
          <w:lang w:val="lt-LT"/>
        </w:rPr>
        <w:t xml:space="preserve"> </w:t>
      </w:r>
      <w:r w:rsidR="00C05173" w:rsidRPr="00D5161B">
        <w:rPr>
          <w:sz w:val="22"/>
          <w:szCs w:val="22"/>
          <w:lang w:val="lt-LT"/>
        </w:rPr>
        <w:t>patarimo</w:t>
      </w:r>
      <w:r w:rsidR="00C05173" w:rsidRPr="00D5161B">
        <w:rPr>
          <w:spacing w:val="-6"/>
          <w:sz w:val="22"/>
          <w:szCs w:val="22"/>
          <w:lang w:val="lt-LT"/>
        </w:rPr>
        <w:t xml:space="preserve"> </w:t>
      </w:r>
      <w:r w:rsidR="00C05173" w:rsidRPr="00D5161B">
        <w:rPr>
          <w:sz w:val="22"/>
          <w:szCs w:val="22"/>
          <w:lang w:val="lt-LT"/>
        </w:rPr>
        <w:t>į</w:t>
      </w:r>
      <w:r w:rsidR="00C05173" w:rsidRPr="00D5161B">
        <w:rPr>
          <w:spacing w:val="-6"/>
          <w:sz w:val="22"/>
          <w:szCs w:val="22"/>
          <w:lang w:val="lt-LT"/>
        </w:rPr>
        <w:t xml:space="preserve"> </w:t>
      </w:r>
      <w:r w:rsidR="00C05173" w:rsidRPr="00D5161B">
        <w:rPr>
          <w:sz w:val="22"/>
          <w:szCs w:val="22"/>
          <w:lang w:val="lt-LT"/>
        </w:rPr>
        <w:t>gydytoją</w:t>
      </w:r>
      <w:r w:rsidR="00C05173" w:rsidRPr="00D5161B">
        <w:rPr>
          <w:spacing w:val="-6"/>
          <w:sz w:val="22"/>
          <w:szCs w:val="22"/>
          <w:lang w:val="lt-LT"/>
        </w:rPr>
        <w:t xml:space="preserve"> </w:t>
      </w:r>
      <w:r w:rsidR="00C05173" w:rsidRPr="00D5161B">
        <w:rPr>
          <w:sz w:val="22"/>
          <w:szCs w:val="22"/>
          <w:lang w:val="lt-LT"/>
        </w:rPr>
        <w:t>arba</w:t>
      </w:r>
      <w:r w:rsidR="00C05173" w:rsidRPr="00D5161B">
        <w:rPr>
          <w:spacing w:val="-6"/>
          <w:sz w:val="22"/>
          <w:szCs w:val="22"/>
          <w:lang w:val="lt-LT"/>
        </w:rPr>
        <w:t xml:space="preserve"> </w:t>
      </w:r>
      <w:r w:rsidR="00C05173" w:rsidRPr="00D5161B">
        <w:rPr>
          <w:sz w:val="22"/>
          <w:szCs w:val="22"/>
          <w:lang w:val="lt-LT"/>
        </w:rPr>
        <w:t>vaistininką;</w:t>
      </w:r>
    </w:p>
    <w:p w14:paraId="19ECA06C" w14:textId="77777777" w:rsidR="00C05173" w:rsidRPr="00D5161B" w:rsidRDefault="00C05173" w:rsidP="008C6014">
      <w:pPr>
        <w:rPr>
          <w:sz w:val="22"/>
          <w:szCs w:val="22"/>
          <w:lang w:val="lt-LT"/>
        </w:rPr>
      </w:pPr>
    </w:p>
    <w:p w14:paraId="25D30256" w14:textId="77777777" w:rsidR="00C05173" w:rsidRPr="00D5161B" w:rsidRDefault="008C6014" w:rsidP="008C6014">
      <w:pPr>
        <w:rPr>
          <w:sz w:val="22"/>
          <w:szCs w:val="22"/>
          <w:lang w:val="lt-LT"/>
        </w:rPr>
      </w:pPr>
      <w:r w:rsidRPr="00D5161B">
        <w:rPr>
          <w:b/>
          <w:bCs/>
          <w:sz w:val="22"/>
          <w:szCs w:val="22"/>
          <w:lang w:val="lt-LT"/>
        </w:rPr>
        <w:t>-</w:t>
      </w:r>
      <w:r w:rsidRPr="00D5161B">
        <w:rPr>
          <w:b/>
          <w:bCs/>
          <w:sz w:val="22"/>
          <w:szCs w:val="22"/>
          <w:lang w:val="lt-LT"/>
        </w:rPr>
        <w:tab/>
      </w:r>
      <w:r w:rsidR="00C05173" w:rsidRPr="00D5161B">
        <w:rPr>
          <w:sz w:val="22"/>
          <w:szCs w:val="22"/>
          <w:lang w:val="lt-LT"/>
        </w:rPr>
        <w:t xml:space="preserve">jeigu Jūs vartojate riociguatą. Šiuo vaistu yra gydoma plautinė arterinė hipertenzija (t. y. kraujospūdžio plaučiuose padidėjimas) ir lėtinė tromboembolinė plautinė hipertenzija (t. y. kraujo krešulių sukeltas kraujospūdžio plaučiuose padidėjimas). Įrodyta, kad FDE5 inhibitoriai (pavyzdžiui, </w:t>
      </w:r>
      <w:r w:rsidR="00D90BAB" w:rsidRPr="00D5161B">
        <w:rPr>
          <w:sz w:val="22"/>
          <w:szCs w:val="22"/>
          <w:lang w:val="lt-LT"/>
        </w:rPr>
        <w:t>sildenafilį</w:t>
      </w:r>
      <w:r w:rsidR="00C05173" w:rsidRPr="00D5161B">
        <w:rPr>
          <w:sz w:val="22"/>
          <w:szCs w:val="22"/>
          <w:lang w:val="lt-LT"/>
        </w:rPr>
        <w:t>) padidina šio vaisto hipotenzinį poveikį. Jeigu vartojate riociguatą arba abejojate dėl to, pasakykite savo</w:t>
      </w:r>
      <w:r w:rsidR="00C05173" w:rsidRPr="00D5161B">
        <w:rPr>
          <w:spacing w:val="-26"/>
          <w:sz w:val="22"/>
          <w:szCs w:val="22"/>
          <w:lang w:val="lt-LT"/>
        </w:rPr>
        <w:t xml:space="preserve"> </w:t>
      </w:r>
      <w:r w:rsidR="00C05173" w:rsidRPr="00D5161B">
        <w:rPr>
          <w:sz w:val="22"/>
          <w:szCs w:val="22"/>
          <w:lang w:val="lt-LT"/>
        </w:rPr>
        <w:t>gydytojui;</w:t>
      </w:r>
    </w:p>
    <w:p w14:paraId="2B0D7270" w14:textId="77777777" w:rsidR="00C05173" w:rsidRPr="00D5161B" w:rsidRDefault="00C05173" w:rsidP="008C6014">
      <w:pPr>
        <w:rPr>
          <w:sz w:val="22"/>
          <w:szCs w:val="22"/>
          <w:lang w:val="lt-LT"/>
        </w:rPr>
      </w:pPr>
    </w:p>
    <w:p w14:paraId="3DEBFA52" w14:textId="77777777" w:rsidR="00C05173" w:rsidRPr="00D5161B" w:rsidRDefault="008C6014" w:rsidP="008C6014">
      <w:pPr>
        <w:pStyle w:val="Pagrindinistekstas"/>
        <w:rPr>
          <w:lang w:val="lt-LT"/>
        </w:rPr>
      </w:pPr>
      <w:r w:rsidRPr="00D5161B">
        <w:rPr>
          <w:b/>
          <w:bCs/>
          <w:lang w:val="lt-LT"/>
        </w:rPr>
        <w:t>-</w:t>
      </w:r>
      <w:r w:rsidRPr="00D5161B">
        <w:rPr>
          <w:b/>
          <w:bCs/>
          <w:lang w:val="lt-LT"/>
        </w:rPr>
        <w:tab/>
      </w:r>
      <w:r w:rsidR="00C05173" w:rsidRPr="00D5161B">
        <w:rPr>
          <w:lang w:val="lt-LT"/>
        </w:rPr>
        <w:t>jeigu neseniai Jums buvo insultas, širdies priepuolis arba sergate sunkia kepenų liga ar yra labai mažas kraujospūdis (&lt; 90/50</w:t>
      </w:r>
      <w:r w:rsidR="0056076A">
        <w:rPr>
          <w:lang w:val="lt-LT"/>
        </w:rPr>
        <w:t> </w:t>
      </w:r>
      <w:r w:rsidR="00C05173" w:rsidRPr="00D5161B">
        <w:rPr>
          <w:lang w:val="lt-LT"/>
        </w:rPr>
        <w:t>mm</w:t>
      </w:r>
      <w:r w:rsidR="00C05173" w:rsidRPr="00D5161B">
        <w:rPr>
          <w:spacing w:val="-24"/>
          <w:lang w:val="lt-LT"/>
        </w:rPr>
        <w:t xml:space="preserve"> </w:t>
      </w:r>
      <w:r w:rsidR="00C05173" w:rsidRPr="00D5161B">
        <w:rPr>
          <w:lang w:val="lt-LT"/>
        </w:rPr>
        <w:t>Hg);</w:t>
      </w:r>
    </w:p>
    <w:p w14:paraId="20EEE825" w14:textId="77777777" w:rsidR="00C05173" w:rsidRPr="00D5161B" w:rsidRDefault="00637CFF" w:rsidP="00637CFF">
      <w:pPr>
        <w:pStyle w:val="Pagrindinistekstas"/>
        <w:rPr>
          <w:lang w:val="lt-LT"/>
        </w:rPr>
      </w:pPr>
      <w:r w:rsidRPr="00D5161B">
        <w:rPr>
          <w:lang w:val="lt-LT"/>
        </w:rPr>
        <w:t>-</w:t>
      </w:r>
      <w:r w:rsidRPr="00D5161B">
        <w:rPr>
          <w:lang w:val="lt-LT"/>
        </w:rPr>
        <w:tab/>
        <w:t>jeigu vartojate vaistų grybelių sukeltoms infekcinėms ligoms gydyti, pavyzdžiui: ketokonazolą ar</w:t>
      </w:r>
      <w:r w:rsidRPr="00D5161B">
        <w:rPr>
          <w:spacing w:val="-5"/>
          <w:lang w:val="lt-LT"/>
        </w:rPr>
        <w:t xml:space="preserve"> </w:t>
      </w:r>
      <w:r w:rsidRPr="00D5161B">
        <w:rPr>
          <w:lang w:val="lt-LT"/>
        </w:rPr>
        <w:t>itrakonazolą</w:t>
      </w:r>
      <w:r w:rsidRPr="00D5161B">
        <w:rPr>
          <w:spacing w:val="-5"/>
          <w:lang w:val="lt-LT"/>
        </w:rPr>
        <w:t xml:space="preserve"> </w:t>
      </w:r>
      <w:r w:rsidRPr="00D5161B">
        <w:rPr>
          <w:lang w:val="lt-LT"/>
        </w:rPr>
        <w:t>arba</w:t>
      </w:r>
      <w:r w:rsidRPr="00D5161B">
        <w:rPr>
          <w:spacing w:val="-5"/>
          <w:lang w:val="lt-LT"/>
        </w:rPr>
        <w:t xml:space="preserve"> </w:t>
      </w:r>
      <w:r w:rsidRPr="00D5161B">
        <w:rPr>
          <w:lang w:val="lt-LT"/>
        </w:rPr>
        <w:t>vaistų,</w:t>
      </w:r>
      <w:r w:rsidRPr="00D5161B">
        <w:rPr>
          <w:spacing w:val="-5"/>
          <w:lang w:val="lt-LT"/>
        </w:rPr>
        <w:t xml:space="preserve"> </w:t>
      </w:r>
      <w:r w:rsidRPr="00D5161B">
        <w:rPr>
          <w:lang w:val="lt-LT"/>
        </w:rPr>
        <w:t>kurių</w:t>
      </w:r>
      <w:r w:rsidRPr="00D5161B">
        <w:rPr>
          <w:spacing w:val="-5"/>
          <w:lang w:val="lt-LT"/>
        </w:rPr>
        <w:t xml:space="preserve"> </w:t>
      </w:r>
      <w:r w:rsidRPr="00D5161B">
        <w:rPr>
          <w:lang w:val="lt-LT"/>
        </w:rPr>
        <w:t>sudėtyje</w:t>
      </w:r>
      <w:r w:rsidRPr="00D5161B">
        <w:rPr>
          <w:spacing w:val="-5"/>
          <w:lang w:val="lt-LT"/>
        </w:rPr>
        <w:t xml:space="preserve"> </w:t>
      </w:r>
      <w:r w:rsidRPr="00D5161B">
        <w:rPr>
          <w:lang w:val="lt-LT"/>
        </w:rPr>
        <w:t>yra</w:t>
      </w:r>
      <w:r w:rsidRPr="00D5161B">
        <w:rPr>
          <w:spacing w:val="-5"/>
          <w:lang w:val="lt-LT"/>
        </w:rPr>
        <w:t xml:space="preserve"> </w:t>
      </w:r>
      <w:r w:rsidRPr="00D5161B">
        <w:rPr>
          <w:lang w:val="lt-LT"/>
        </w:rPr>
        <w:t>ritonaviro</w:t>
      </w:r>
      <w:r w:rsidRPr="00D5161B">
        <w:rPr>
          <w:spacing w:val="-5"/>
          <w:lang w:val="lt-LT"/>
        </w:rPr>
        <w:t xml:space="preserve"> </w:t>
      </w:r>
      <w:r w:rsidRPr="00D5161B">
        <w:rPr>
          <w:lang w:val="lt-LT"/>
        </w:rPr>
        <w:t>(nuo</w:t>
      </w:r>
      <w:r w:rsidRPr="00D5161B">
        <w:rPr>
          <w:spacing w:val="-5"/>
          <w:lang w:val="lt-LT"/>
        </w:rPr>
        <w:t xml:space="preserve"> </w:t>
      </w:r>
      <w:r w:rsidRPr="00D5161B">
        <w:rPr>
          <w:lang w:val="lt-LT"/>
        </w:rPr>
        <w:t>ŽIV</w:t>
      </w:r>
      <w:r w:rsidRPr="00D5161B">
        <w:rPr>
          <w:spacing w:val="-5"/>
          <w:lang w:val="lt-LT"/>
        </w:rPr>
        <w:t xml:space="preserve"> </w:t>
      </w:r>
      <w:r w:rsidRPr="00D5161B">
        <w:rPr>
          <w:lang w:val="lt-LT"/>
        </w:rPr>
        <w:t>sukeltos</w:t>
      </w:r>
      <w:r w:rsidRPr="00D5161B">
        <w:rPr>
          <w:spacing w:val="-5"/>
          <w:lang w:val="lt-LT"/>
        </w:rPr>
        <w:t xml:space="preserve"> </w:t>
      </w:r>
      <w:r w:rsidRPr="00D5161B">
        <w:rPr>
          <w:lang w:val="lt-LT"/>
        </w:rPr>
        <w:t>ligos)</w:t>
      </w:r>
    </w:p>
    <w:p w14:paraId="084C8A71" w14:textId="77777777" w:rsidR="00C05173" w:rsidRPr="00D5161B" w:rsidRDefault="008C6014" w:rsidP="008C6014">
      <w:pPr>
        <w:rPr>
          <w:sz w:val="22"/>
          <w:szCs w:val="22"/>
          <w:lang w:val="lt-LT"/>
        </w:rPr>
      </w:pPr>
      <w:r w:rsidRPr="00D5161B">
        <w:rPr>
          <w:b/>
          <w:bCs/>
          <w:sz w:val="22"/>
          <w:szCs w:val="22"/>
          <w:lang w:val="lt-LT"/>
        </w:rPr>
        <w:lastRenderedPageBreak/>
        <w:t>-</w:t>
      </w:r>
      <w:r w:rsidRPr="00D5161B">
        <w:rPr>
          <w:b/>
          <w:bCs/>
          <w:sz w:val="22"/>
          <w:szCs w:val="22"/>
          <w:lang w:val="lt-LT"/>
        </w:rPr>
        <w:tab/>
      </w:r>
      <w:r w:rsidR="00C05173" w:rsidRPr="00D5161B">
        <w:rPr>
          <w:sz w:val="22"/>
          <w:szCs w:val="22"/>
          <w:lang w:val="lt-LT"/>
        </w:rPr>
        <w:t>jeigu praeityje buvote netekęs regėjimo dėl akies nervo aprūpinimo krauju sutrikimo, kuris vadinamas</w:t>
      </w:r>
      <w:r w:rsidR="00C05173" w:rsidRPr="00D5161B">
        <w:rPr>
          <w:spacing w:val="-6"/>
          <w:sz w:val="22"/>
          <w:szCs w:val="22"/>
          <w:lang w:val="lt-LT"/>
        </w:rPr>
        <w:t xml:space="preserve"> </w:t>
      </w:r>
      <w:r w:rsidR="00C05173" w:rsidRPr="00D5161B">
        <w:rPr>
          <w:sz w:val="22"/>
          <w:szCs w:val="22"/>
          <w:lang w:val="lt-LT"/>
        </w:rPr>
        <w:t>ne</w:t>
      </w:r>
      <w:r w:rsidR="00C05173" w:rsidRPr="00D5161B">
        <w:rPr>
          <w:spacing w:val="-6"/>
          <w:sz w:val="22"/>
          <w:szCs w:val="22"/>
          <w:lang w:val="lt-LT"/>
        </w:rPr>
        <w:t xml:space="preserve"> </w:t>
      </w:r>
      <w:r w:rsidR="00C05173" w:rsidRPr="00D5161B">
        <w:rPr>
          <w:sz w:val="22"/>
          <w:szCs w:val="22"/>
          <w:lang w:val="lt-LT"/>
        </w:rPr>
        <w:t>arterito</w:t>
      </w:r>
      <w:r w:rsidR="00C05173" w:rsidRPr="00D5161B">
        <w:rPr>
          <w:spacing w:val="-6"/>
          <w:sz w:val="22"/>
          <w:szCs w:val="22"/>
          <w:lang w:val="lt-LT"/>
        </w:rPr>
        <w:t xml:space="preserve"> </w:t>
      </w:r>
      <w:r w:rsidR="00C05173" w:rsidRPr="00D5161B">
        <w:rPr>
          <w:sz w:val="22"/>
          <w:szCs w:val="22"/>
          <w:lang w:val="lt-LT"/>
        </w:rPr>
        <w:t>sukelta</w:t>
      </w:r>
      <w:r w:rsidR="00C05173" w:rsidRPr="00D5161B">
        <w:rPr>
          <w:spacing w:val="-6"/>
          <w:sz w:val="22"/>
          <w:szCs w:val="22"/>
          <w:lang w:val="lt-LT"/>
        </w:rPr>
        <w:t xml:space="preserve"> </w:t>
      </w:r>
      <w:r w:rsidR="00C05173" w:rsidRPr="00D5161B">
        <w:rPr>
          <w:sz w:val="22"/>
          <w:szCs w:val="22"/>
          <w:lang w:val="lt-LT"/>
        </w:rPr>
        <w:t>priekine</w:t>
      </w:r>
      <w:r w:rsidR="00C05173" w:rsidRPr="00D5161B">
        <w:rPr>
          <w:spacing w:val="-6"/>
          <w:sz w:val="22"/>
          <w:szCs w:val="22"/>
          <w:lang w:val="lt-LT"/>
        </w:rPr>
        <w:t xml:space="preserve"> </w:t>
      </w:r>
      <w:r w:rsidR="00C05173" w:rsidRPr="00D5161B">
        <w:rPr>
          <w:sz w:val="22"/>
          <w:szCs w:val="22"/>
          <w:lang w:val="lt-LT"/>
        </w:rPr>
        <w:t>išemine</w:t>
      </w:r>
      <w:r w:rsidR="00C05173" w:rsidRPr="00D5161B">
        <w:rPr>
          <w:spacing w:val="-6"/>
          <w:sz w:val="22"/>
          <w:szCs w:val="22"/>
          <w:lang w:val="lt-LT"/>
        </w:rPr>
        <w:t xml:space="preserve"> </w:t>
      </w:r>
      <w:r w:rsidR="00C05173" w:rsidRPr="00D5161B">
        <w:rPr>
          <w:sz w:val="22"/>
          <w:szCs w:val="22"/>
          <w:lang w:val="lt-LT"/>
        </w:rPr>
        <w:t>regos</w:t>
      </w:r>
      <w:r w:rsidR="00C05173" w:rsidRPr="00D5161B">
        <w:rPr>
          <w:spacing w:val="-6"/>
          <w:sz w:val="22"/>
          <w:szCs w:val="22"/>
          <w:lang w:val="lt-LT"/>
        </w:rPr>
        <w:t xml:space="preserve"> </w:t>
      </w:r>
      <w:r w:rsidR="00C05173" w:rsidRPr="00D5161B">
        <w:rPr>
          <w:sz w:val="22"/>
          <w:szCs w:val="22"/>
          <w:lang w:val="lt-LT"/>
        </w:rPr>
        <w:t>nervo</w:t>
      </w:r>
      <w:r w:rsidR="00C05173" w:rsidRPr="00D5161B">
        <w:rPr>
          <w:spacing w:val="-6"/>
          <w:sz w:val="22"/>
          <w:szCs w:val="22"/>
          <w:lang w:val="lt-LT"/>
        </w:rPr>
        <w:t xml:space="preserve"> </w:t>
      </w:r>
      <w:r w:rsidR="00C05173" w:rsidRPr="00D5161B">
        <w:rPr>
          <w:sz w:val="22"/>
          <w:szCs w:val="22"/>
          <w:lang w:val="lt-LT"/>
        </w:rPr>
        <w:t>neuropatija.</w:t>
      </w:r>
    </w:p>
    <w:p w14:paraId="7B67D0F6" w14:textId="77777777" w:rsidR="00C05173" w:rsidRPr="00D5161B" w:rsidRDefault="00C05173" w:rsidP="008C6014">
      <w:pPr>
        <w:rPr>
          <w:sz w:val="22"/>
          <w:szCs w:val="22"/>
          <w:lang w:val="lt-LT"/>
        </w:rPr>
      </w:pPr>
    </w:p>
    <w:p w14:paraId="58C86B3F" w14:textId="77777777" w:rsidR="00C05173" w:rsidRPr="00D5161B" w:rsidRDefault="00C05173" w:rsidP="008C6014">
      <w:pPr>
        <w:rPr>
          <w:b/>
          <w:sz w:val="22"/>
          <w:szCs w:val="22"/>
          <w:lang w:val="lt-LT"/>
        </w:rPr>
      </w:pPr>
      <w:r w:rsidRPr="00D5161B">
        <w:rPr>
          <w:b/>
          <w:sz w:val="22"/>
          <w:szCs w:val="22"/>
          <w:lang w:val="lt-LT"/>
        </w:rPr>
        <w:t>Įspėjimai ir atsargumo priemonės</w:t>
      </w:r>
    </w:p>
    <w:p w14:paraId="1BC72FB9" w14:textId="77777777" w:rsidR="00C05173" w:rsidRPr="00D5161B" w:rsidRDefault="00C05173" w:rsidP="008C6014">
      <w:pPr>
        <w:rPr>
          <w:b/>
          <w:bCs/>
          <w:sz w:val="22"/>
          <w:szCs w:val="22"/>
          <w:lang w:val="lt-LT"/>
        </w:rPr>
      </w:pPr>
    </w:p>
    <w:p w14:paraId="437E8BE5" w14:textId="77777777" w:rsidR="00C05173" w:rsidRPr="00D5161B" w:rsidRDefault="00C05173" w:rsidP="008C6014">
      <w:pPr>
        <w:rPr>
          <w:sz w:val="22"/>
          <w:szCs w:val="22"/>
          <w:lang w:val="lt-LT"/>
        </w:rPr>
      </w:pPr>
      <w:r w:rsidRPr="00D5161B">
        <w:rPr>
          <w:sz w:val="22"/>
          <w:szCs w:val="22"/>
          <w:lang w:val="lt-LT"/>
        </w:rPr>
        <w:t xml:space="preserve">Pasitarkite su gydytoju arba vaistininku, prieš pradėdami vartoti </w:t>
      </w:r>
      <w:r w:rsidR="00B61707" w:rsidRPr="00D5161B">
        <w:rPr>
          <w:sz w:val="22"/>
          <w:szCs w:val="22"/>
          <w:lang w:val="lt-LT"/>
        </w:rPr>
        <w:t>Silungo</w:t>
      </w:r>
      <w:r w:rsidRPr="00D5161B">
        <w:rPr>
          <w:sz w:val="22"/>
          <w:szCs w:val="22"/>
          <w:lang w:val="lt-LT"/>
        </w:rPr>
        <w:t>, jeigu</w:t>
      </w:r>
    </w:p>
    <w:p w14:paraId="68C9B92A" w14:textId="77777777" w:rsidR="00C05173" w:rsidRPr="00D5161B" w:rsidRDefault="00C05173" w:rsidP="00CA4F80">
      <w:pPr>
        <w:numPr>
          <w:ilvl w:val="0"/>
          <w:numId w:val="34"/>
        </w:numPr>
        <w:rPr>
          <w:sz w:val="22"/>
          <w:szCs w:val="22"/>
          <w:lang w:val="lt-LT"/>
        </w:rPr>
      </w:pPr>
      <w:r w:rsidRPr="00D5161B">
        <w:rPr>
          <w:sz w:val="22"/>
          <w:szCs w:val="22"/>
          <w:lang w:val="lt-LT"/>
        </w:rPr>
        <w:t>ligą</w:t>
      </w:r>
      <w:r w:rsidRPr="00D5161B">
        <w:rPr>
          <w:spacing w:val="-5"/>
          <w:sz w:val="22"/>
          <w:szCs w:val="22"/>
          <w:lang w:val="lt-LT"/>
        </w:rPr>
        <w:t xml:space="preserve"> </w:t>
      </w:r>
      <w:r w:rsidRPr="00D5161B">
        <w:rPr>
          <w:sz w:val="22"/>
          <w:szCs w:val="22"/>
          <w:lang w:val="lt-LT"/>
        </w:rPr>
        <w:t>sukėlė</w:t>
      </w:r>
      <w:r w:rsidRPr="00D5161B">
        <w:rPr>
          <w:spacing w:val="-5"/>
          <w:sz w:val="22"/>
          <w:szCs w:val="22"/>
          <w:lang w:val="lt-LT"/>
        </w:rPr>
        <w:t xml:space="preserve"> </w:t>
      </w:r>
      <w:r w:rsidRPr="00D5161B">
        <w:rPr>
          <w:sz w:val="22"/>
          <w:szCs w:val="22"/>
          <w:lang w:val="lt-LT"/>
        </w:rPr>
        <w:t>labiau</w:t>
      </w:r>
      <w:r w:rsidRPr="00D5161B">
        <w:rPr>
          <w:spacing w:val="-5"/>
          <w:sz w:val="22"/>
          <w:szCs w:val="22"/>
          <w:lang w:val="lt-LT"/>
        </w:rPr>
        <w:t xml:space="preserve"> </w:t>
      </w:r>
      <w:r w:rsidRPr="00D5161B">
        <w:rPr>
          <w:sz w:val="22"/>
          <w:szCs w:val="22"/>
          <w:lang w:val="lt-LT"/>
        </w:rPr>
        <w:t>venų,</w:t>
      </w:r>
      <w:r w:rsidRPr="00D5161B">
        <w:rPr>
          <w:spacing w:val="-5"/>
          <w:sz w:val="22"/>
          <w:szCs w:val="22"/>
          <w:lang w:val="lt-LT"/>
        </w:rPr>
        <w:t xml:space="preserve"> </w:t>
      </w:r>
      <w:r w:rsidRPr="00D5161B">
        <w:rPr>
          <w:sz w:val="22"/>
          <w:szCs w:val="22"/>
          <w:lang w:val="lt-LT"/>
        </w:rPr>
        <w:t>o</w:t>
      </w:r>
      <w:r w:rsidRPr="00D5161B">
        <w:rPr>
          <w:spacing w:val="-5"/>
          <w:sz w:val="22"/>
          <w:szCs w:val="22"/>
          <w:lang w:val="lt-LT"/>
        </w:rPr>
        <w:t xml:space="preserve"> </w:t>
      </w:r>
      <w:r w:rsidRPr="00D5161B">
        <w:rPr>
          <w:sz w:val="22"/>
          <w:szCs w:val="22"/>
          <w:lang w:val="lt-LT"/>
        </w:rPr>
        <w:t>ne</w:t>
      </w:r>
      <w:r w:rsidRPr="00D5161B">
        <w:rPr>
          <w:spacing w:val="-5"/>
          <w:sz w:val="22"/>
          <w:szCs w:val="22"/>
          <w:lang w:val="lt-LT"/>
        </w:rPr>
        <w:t xml:space="preserve"> </w:t>
      </w:r>
      <w:r w:rsidRPr="00D5161B">
        <w:rPr>
          <w:sz w:val="22"/>
          <w:szCs w:val="22"/>
          <w:lang w:val="lt-LT"/>
        </w:rPr>
        <w:t>arterijų</w:t>
      </w:r>
      <w:r w:rsidRPr="00D5161B">
        <w:rPr>
          <w:spacing w:val="-5"/>
          <w:sz w:val="22"/>
          <w:szCs w:val="22"/>
          <w:lang w:val="lt-LT"/>
        </w:rPr>
        <w:t xml:space="preserve"> </w:t>
      </w:r>
      <w:r w:rsidRPr="00D5161B">
        <w:rPr>
          <w:sz w:val="22"/>
          <w:szCs w:val="22"/>
          <w:lang w:val="lt-LT"/>
        </w:rPr>
        <w:t>užsikimšimas</w:t>
      </w:r>
      <w:r w:rsidRPr="00D5161B">
        <w:rPr>
          <w:spacing w:val="-5"/>
          <w:sz w:val="22"/>
          <w:szCs w:val="22"/>
          <w:lang w:val="lt-LT"/>
        </w:rPr>
        <w:t xml:space="preserve"> </w:t>
      </w:r>
      <w:r w:rsidRPr="00D5161B">
        <w:rPr>
          <w:sz w:val="22"/>
          <w:szCs w:val="22"/>
          <w:lang w:val="lt-LT"/>
        </w:rPr>
        <w:t>arba</w:t>
      </w:r>
      <w:r w:rsidRPr="00D5161B">
        <w:rPr>
          <w:spacing w:val="-5"/>
          <w:sz w:val="22"/>
          <w:szCs w:val="22"/>
          <w:lang w:val="lt-LT"/>
        </w:rPr>
        <w:t xml:space="preserve"> </w:t>
      </w:r>
      <w:r w:rsidRPr="00D5161B">
        <w:rPr>
          <w:sz w:val="22"/>
          <w:szCs w:val="22"/>
          <w:lang w:val="lt-LT"/>
        </w:rPr>
        <w:t>susiaurėjimas</w:t>
      </w:r>
      <w:r w:rsidRPr="00D5161B">
        <w:rPr>
          <w:spacing w:val="-5"/>
          <w:sz w:val="22"/>
          <w:szCs w:val="22"/>
          <w:lang w:val="lt-LT"/>
        </w:rPr>
        <w:t xml:space="preserve"> </w:t>
      </w:r>
      <w:r w:rsidRPr="00D5161B">
        <w:rPr>
          <w:sz w:val="22"/>
          <w:szCs w:val="22"/>
          <w:lang w:val="lt-LT"/>
        </w:rPr>
        <w:t>plaučiuose;</w:t>
      </w:r>
    </w:p>
    <w:p w14:paraId="1DD16C75" w14:textId="77777777" w:rsidR="00C05173" w:rsidRPr="00D5161B" w:rsidRDefault="00C05173" w:rsidP="00F76B1E">
      <w:pPr>
        <w:numPr>
          <w:ilvl w:val="0"/>
          <w:numId w:val="34"/>
        </w:numPr>
        <w:rPr>
          <w:sz w:val="22"/>
          <w:szCs w:val="22"/>
          <w:lang w:val="lt-LT"/>
        </w:rPr>
      </w:pPr>
      <w:r w:rsidRPr="00D5161B">
        <w:rPr>
          <w:sz w:val="22"/>
          <w:szCs w:val="22"/>
          <w:lang w:val="lt-LT"/>
        </w:rPr>
        <w:t>sergate sunkia širdies</w:t>
      </w:r>
      <w:r w:rsidRPr="00D5161B">
        <w:rPr>
          <w:spacing w:val="-14"/>
          <w:sz w:val="22"/>
          <w:szCs w:val="22"/>
          <w:lang w:val="lt-LT"/>
        </w:rPr>
        <w:t xml:space="preserve"> </w:t>
      </w:r>
      <w:r w:rsidRPr="00D5161B">
        <w:rPr>
          <w:sz w:val="22"/>
          <w:szCs w:val="22"/>
          <w:lang w:val="lt-LT"/>
        </w:rPr>
        <w:t>liga;</w:t>
      </w:r>
    </w:p>
    <w:p w14:paraId="063A8313" w14:textId="77777777" w:rsidR="00C05173" w:rsidRPr="00D5161B" w:rsidRDefault="00C05173" w:rsidP="00F76B1E">
      <w:pPr>
        <w:numPr>
          <w:ilvl w:val="0"/>
          <w:numId w:val="34"/>
        </w:numPr>
        <w:rPr>
          <w:sz w:val="22"/>
          <w:szCs w:val="22"/>
          <w:lang w:val="lt-LT"/>
        </w:rPr>
      </w:pPr>
      <w:r w:rsidRPr="00D5161B">
        <w:rPr>
          <w:sz w:val="22"/>
          <w:szCs w:val="22"/>
          <w:lang w:val="lt-LT"/>
        </w:rPr>
        <w:t>yra sutrikusi Jūsų kraują išstumiančių širdies kamerų</w:t>
      </w:r>
      <w:r w:rsidRPr="00D5161B">
        <w:rPr>
          <w:spacing w:val="-37"/>
          <w:sz w:val="22"/>
          <w:szCs w:val="22"/>
          <w:lang w:val="lt-LT"/>
        </w:rPr>
        <w:t xml:space="preserve"> </w:t>
      </w:r>
      <w:r w:rsidRPr="00D5161B">
        <w:rPr>
          <w:sz w:val="22"/>
          <w:szCs w:val="22"/>
          <w:lang w:val="lt-LT"/>
        </w:rPr>
        <w:t>funkcija;</w:t>
      </w:r>
    </w:p>
    <w:p w14:paraId="0DC316B8" w14:textId="77777777" w:rsidR="00C05173" w:rsidRPr="00D5161B" w:rsidRDefault="00C05173" w:rsidP="00F76B1E">
      <w:pPr>
        <w:numPr>
          <w:ilvl w:val="0"/>
          <w:numId w:val="34"/>
        </w:numPr>
        <w:rPr>
          <w:sz w:val="22"/>
          <w:szCs w:val="22"/>
          <w:lang w:val="lt-LT"/>
        </w:rPr>
      </w:pPr>
      <w:r w:rsidRPr="00D5161B">
        <w:rPr>
          <w:sz w:val="22"/>
          <w:szCs w:val="22"/>
          <w:lang w:val="lt-LT"/>
        </w:rPr>
        <w:t>yra padidėjęs kraujospūdis plaučių</w:t>
      </w:r>
      <w:r w:rsidRPr="00D5161B">
        <w:rPr>
          <w:spacing w:val="-30"/>
          <w:sz w:val="22"/>
          <w:szCs w:val="22"/>
          <w:lang w:val="lt-LT"/>
        </w:rPr>
        <w:t xml:space="preserve"> </w:t>
      </w:r>
      <w:r w:rsidRPr="00D5161B">
        <w:rPr>
          <w:sz w:val="22"/>
          <w:szCs w:val="22"/>
          <w:lang w:val="lt-LT"/>
        </w:rPr>
        <w:t>kraujagyslėse;</w:t>
      </w:r>
    </w:p>
    <w:p w14:paraId="104B47C5" w14:textId="77777777" w:rsidR="00C05173" w:rsidRPr="00D5161B" w:rsidRDefault="00C05173" w:rsidP="00F76B1E">
      <w:pPr>
        <w:numPr>
          <w:ilvl w:val="0"/>
          <w:numId w:val="34"/>
        </w:numPr>
        <w:rPr>
          <w:sz w:val="22"/>
          <w:szCs w:val="22"/>
          <w:lang w:val="lt-LT"/>
        </w:rPr>
      </w:pPr>
      <w:r w:rsidRPr="00D5161B">
        <w:rPr>
          <w:sz w:val="22"/>
          <w:szCs w:val="22"/>
          <w:lang w:val="lt-LT"/>
        </w:rPr>
        <w:t>ramybėje yra mažas</w:t>
      </w:r>
      <w:r w:rsidRPr="00D5161B">
        <w:rPr>
          <w:spacing w:val="-19"/>
          <w:sz w:val="22"/>
          <w:szCs w:val="22"/>
          <w:lang w:val="lt-LT"/>
        </w:rPr>
        <w:t xml:space="preserve"> </w:t>
      </w:r>
      <w:r w:rsidRPr="00D5161B">
        <w:rPr>
          <w:sz w:val="22"/>
          <w:szCs w:val="22"/>
          <w:lang w:val="lt-LT"/>
        </w:rPr>
        <w:t>kraujospūdis;</w:t>
      </w:r>
    </w:p>
    <w:p w14:paraId="330D0983" w14:textId="77777777" w:rsidR="00C05173" w:rsidRPr="00D5161B" w:rsidRDefault="00C05173" w:rsidP="00F76B1E">
      <w:pPr>
        <w:numPr>
          <w:ilvl w:val="0"/>
          <w:numId w:val="34"/>
        </w:numPr>
        <w:rPr>
          <w:sz w:val="22"/>
          <w:szCs w:val="22"/>
          <w:lang w:val="lt-LT"/>
        </w:rPr>
      </w:pPr>
      <w:r w:rsidRPr="00D5161B">
        <w:rPr>
          <w:sz w:val="22"/>
          <w:szCs w:val="22"/>
          <w:lang w:val="lt-LT"/>
        </w:rPr>
        <w:t>netekote daug skysčių (dehidracija). Tai gali pasireikšti gausiai prakaituojant arba geriant per mažai</w:t>
      </w:r>
      <w:r w:rsidRPr="00D5161B">
        <w:rPr>
          <w:spacing w:val="-5"/>
          <w:sz w:val="22"/>
          <w:szCs w:val="22"/>
          <w:lang w:val="lt-LT"/>
        </w:rPr>
        <w:t xml:space="preserve"> </w:t>
      </w:r>
      <w:r w:rsidRPr="00D5161B">
        <w:rPr>
          <w:sz w:val="22"/>
          <w:szCs w:val="22"/>
          <w:lang w:val="lt-LT"/>
        </w:rPr>
        <w:t>skysčių.</w:t>
      </w:r>
      <w:r w:rsidRPr="00D5161B">
        <w:rPr>
          <w:spacing w:val="-5"/>
          <w:sz w:val="22"/>
          <w:szCs w:val="22"/>
          <w:lang w:val="lt-LT"/>
        </w:rPr>
        <w:t xml:space="preserve"> </w:t>
      </w:r>
      <w:r w:rsidRPr="00D5161B">
        <w:rPr>
          <w:sz w:val="22"/>
          <w:szCs w:val="22"/>
          <w:lang w:val="lt-LT"/>
        </w:rPr>
        <w:t>Taip</w:t>
      </w:r>
      <w:r w:rsidRPr="00D5161B">
        <w:rPr>
          <w:spacing w:val="-5"/>
          <w:sz w:val="22"/>
          <w:szCs w:val="22"/>
          <w:lang w:val="lt-LT"/>
        </w:rPr>
        <w:t xml:space="preserve"> </w:t>
      </w:r>
      <w:r w:rsidRPr="00D5161B">
        <w:rPr>
          <w:sz w:val="22"/>
          <w:szCs w:val="22"/>
          <w:lang w:val="lt-LT"/>
        </w:rPr>
        <w:t>gali</w:t>
      </w:r>
      <w:r w:rsidRPr="00D5161B">
        <w:rPr>
          <w:spacing w:val="-5"/>
          <w:sz w:val="22"/>
          <w:szCs w:val="22"/>
          <w:lang w:val="lt-LT"/>
        </w:rPr>
        <w:t xml:space="preserve"> </w:t>
      </w:r>
      <w:r w:rsidRPr="00D5161B">
        <w:rPr>
          <w:sz w:val="22"/>
          <w:szCs w:val="22"/>
          <w:lang w:val="lt-LT"/>
        </w:rPr>
        <w:t>atsitikti</w:t>
      </w:r>
      <w:r w:rsidRPr="00D5161B">
        <w:rPr>
          <w:spacing w:val="-5"/>
          <w:sz w:val="22"/>
          <w:szCs w:val="22"/>
          <w:lang w:val="lt-LT"/>
        </w:rPr>
        <w:t xml:space="preserve"> </w:t>
      </w:r>
      <w:r w:rsidRPr="00D5161B">
        <w:rPr>
          <w:sz w:val="22"/>
          <w:szCs w:val="22"/>
          <w:lang w:val="lt-LT"/>
        </w:rPr>
        <w:t>karščiuojant,</w:t>
      </w:r>
      <w:r w:rsidRPr="00D5161B">
        <w:rPr>
          <w:spacing w:val="-5"/>
          <w:sz w:val="22"/>
          <w:szCs w:val="22"/>
          <w:lang w:val="lt-LT"/>
        </w:rPr>
        <w:t xml:space="preserve"> </w:t>
      </w:r>
      <w:r w:rsidRPr="00D5161B">
        <w:rPr>
          <w:sz w:val="22"/>
          <w:szCs w:val="22"/>
          <w:lang w:val="lt-LT"/>
        </w:rPr>
        <w:t>vemiant</w:t>
      </w:r>
      <w:r w:rsidRPr="00D5161B">
        <w:rPr>
          <w:spacing w:val="-5"/>
          <w:sz w:val="22"/>
          <w:szCs w:val="22"/>
          <w:lang w:val="lt-LT"/>
        </w:rPr>
        <w:t xml:space="preserve"> </w:t>
      </w:r>
      <w:r w:rsidRPr="00D5161B">
        <w:rPr>
          <w:sz w:val="22"/>
          <w:szCs w:val="22"/>
          <w:lang w:val="lt-LT"/>
        </w:rPr>
        <w:t>arba</w:t>
      </w:r>
      <w:r w:rsidRPr="00D5161B">
        <w:rPr>
          <w:spacing w:val="-5"/>
          <w:sz w:val="22"/>
          <w:szCs w:val="22"/>
          <w:lang w:val="lt-LT"/>
        </w:rPr>
        <w:t xml:space="preserve"> </w:t>
      </w:r>
      <w:r w:rsidRPr="00D5161B">
        <w:rPr>
          <w:sz w:val="22"/>
          <w:szCs w:val="22"/>
          <w:lang w:val="lt-LT"/>
        </w:rPr>
        <w:t>viduriuojant</w:t>
      </w:r>
      <w:r w:rsidRPr="00D5161B">
        <w:rPr>
          <w:spacing w:val="-5"/>
          <w:sz w:val="22"/>
          <w:szCs w:val="22"/>
          <w:lang w:val="lt-LT"/>
        </w:rPr>
        <w:t xml:space="preserve"> </w:t>
      </w:r>
      <w:r w:rsidRPr="00D5161B">
        <w:rPr>
          <w:sz w:val="22"/>
          <w:szCs w:val="22"/>
          <w:lang w:val="lt-LT"/>
        </w:rPr>
        <w:t>dėl</w:t>
      </w:r>
      <w:r w:rsidRPr="00D5161B">
        <w:rPr>
          <w:spacing w:val="-5"/>
          <w:sz w:val="22"/>
          <w:szCs w:val="22"/>
          <w:lang w:val="lt-LT"/>
        </w:rPr>
        <w:t xml:space="preserve"> </w:t>
      </w:r>
      <w:r w:rsidRPr="00D5161B">
        <w:rPr>
          <w:sz w:val="22"/>
          <w:szCs w:val="22"/>
          <w:lang w:val="lt-LT"/>
        </w:rPr>
        <w:t>ligos;</w:t>
      </w:r>
    </w:p>
    <w:p w14:paraId="1632C23B" w14:textId="77777777" w:rsidR="00C05173" w:rsidRPr="00D5161B" w:rsidRDefault="00C05173" w:rsidP="00F76B1E">
      <w:pPr>
        <w:numPr>
          <w:ilvl w:val="0"/>
          <w:numId w:val="34"/>
        </w:numPr>
        <w:rPr>
          <w:sz w:val="22"/>
          <w:szCs w:val="22"/>
          <w:lang w:val="lt-LT"/>
        </w:rPr>
      </w:pPr>
      <w:r w:rsidRPr="00D5161B">
        <w:rPr>
          <w:sz w:val="22"/>
          <w:szCs w:val="22"/>
          <w:lang w:val="lt-LT"/>
        </w:rPr>
        <w:t>sergate reta paveldima akių liga (</w:t>
      </w:r>
      <w:r w:rsidRPr="00D5161B">
        <w:rPr>
          <w:i/>
          <w:iCs/>
          <w:sz w:val="22"/>
          <w:szCs w:val="22"/>
          <w:lang w:val="lt-LT"/>
        </w:rPr>
        <w:t>pigmentiniu</w:t>
      </w:r>
      <w:r w:rsidRPr="00D5161B">
        <w:rPr>
          <w:i/>
          <w:iCs/>
          <w:spacing w:val="-32"/>
          <w:sz w:val="22"/>
          <w:szCs w:val="22"/>
          <w:lang w:val="lt-LT"/>
        </w:rPr>
        <w:t xml:space="preserve"> </w:t>
      </w:r>
      <w:r w:rsidRPr="00D5161B">
        <w:rPr>
          <w:i/>
          <w:iCs/>
          <w:sz w:val="22"/>
          <w:szCs w:val="22"/>
          <w:lang w:val="lt-LT"/>
        </w:rPr>
        <w:t>retinitu</w:t>
      </w:r>
      <w:r w:rsidRPr="00D5161B">
        <w:rPr>
          <w:sz w:val="22"/>
          <w:szCs w:val="22"/>
          <w:lang w:val="lt-LT"/>
        </w:rPr>
        <w:t>);</w:t>
      </w:r>
    </w:p>
    <w:p w14:paraId="34520A88" w14:textId="77777777" w:rsidR="00C05173" w:rsidRPr="00D5161B" w:rsidRDefault="00C05173" w:rsidP="00F76B1E">
      <w:pPr>
        <w:numPr>
          <w:ilvl w:val="0"/>
          <w:numId w:val="34"/>
        </w:numPr>
        <w:rPr>
          <w:sz w:val="22"/>
          <w:szCs w:val="22"/>
          <w:lang w:val="lt-LT"/>
        </w:rPr>
      </w:pPr>
      <w:r w:rsidRPr="00D5161B">
        <w:rPr>
          <w:sz w:val="22"/>
          <w:szCs w:val="22"/>
          <w:lang w:val="lt-LT"/>
        </w:rPr>
        <w:t>yra raudonųjų kraujo ląstelių sutrikimas (</w:t>
      </w:r>
      <w:r w:rsidRPr="00D5161B">
        <w:rPr>
          <w:i/>
          <w:iCs/>
          <w:sz w:val="22"/>
          <w:szCs w:val="22"/>
          <w:lang w:val="lt-LT"/>
        </w:rPr>
        <w:t>pjautuvo pavidalo ląstelių anemija</w:t>
      </w:r>
      <w:r w:rsidRPr="00D5161B">
        <w:rPr>
          <w:sz w:val="22"/>
          <w:szCs w:val="22"/>
          <w:lang w:val="lt-LT"/>
        </w:rPr>
        <w:t>), kraujo ląstelių vėžys (</w:t>
      </w:r>
      <w:r w:rsidRPr="00D5161B">
        <w:rPr>
          <w:i/>
          <w:iCs/>
          <w:sz w:val="22"/>
          <w:szCs w:val="22"/>
          <w:lang w:val="lt-LT"/>
        </w:rPr>
        <w:t>leukemija</w:t>
      </w:r>
      <w:r w:rsidRPr="00D5161B">
        <w:rPr>
          <w:sz w:val="22"/>
          <w:szCs w:val="22"/>
          <w:lang w:val="lt-LT"/>
        </w:rPr>
        <w:t>), kaulų čiulpų vėžys (</w:t>
      </w:r>
      <w:r w:rsidRPr="00D5161B">
        <w:rPr>
          <w:i/>
          <w:iCs/>
          <w:sz w:val="22"/>
          <w:szCs w:val="22"/>
          <w:lang w:val="lt-LT"/>
        </w:rPr>
        <w:t>dauginė mieloma</w:t>
      </w:r>
      <w:r w:rsidRPr="00D5161B">
        <w:rPr>
          <w:sz w:val="22"/>
          <w:szCs w:val="22"/>
          <w:lang w:val="lt-LT"/>
        </w:rPr>
        <w:t>), kokia nors varpos liga arba deformacija;</w:t>
      </w:r>
    </w:p>
    <w:p w14:paraId="4A6AC69E" w14:textId="77777777" w:rsidR="00C05173" w:rsidRPr="00D5161B" w:rsidRDefault="00C05173" w:rsidP="00F76B1E">
      <w:pPr>
        <w:numPr>
          <w:ilvl w:val="0"/>
          <w:numId w:val="34"/>
        </w:numPr>
        <w:rPr>
          <w:sz w:val="22"/>
          <w:szCs w:val="22"/>
          <w:lang w:val="lt-LT"/>
        </w:rPr>
      </w:pPr>
      <w:r w:rsidRPr="00D5161B">
        <w:rPr>
          <w:sz w:val="22"/>
          <w:szCs w:val="22"/>
          <w:lang w:val="lt-LT"/>
        </w:rPr>
        <w:t>šiuo metu yra skrandžio opa, kraujo krešėjimo sutrikimas (pvz., hemofilija) arba būna kraujavimų iš</w:t>
      </w:r>
      <w:r w:rsidRPr="00D5161B">
        <w:rPr>
          <w:spacing w:val="-14"/>
          <w:sz w:val="22"/>
          <w:szCs w:val="22"/>
          <w:lang w:val="lt-LT"/>
        </w:rPr>
        <w:t xml:space="preserve"> </w:t>
      </w:r>
      <w:r w:rsidRPr="00D5161B">
        <w:rPr>
          <w:sz w:val="22"/>
          <w:szCs w:val="22"/>
          <w:lang w:val="lt-LT"/>
        </w:rPr>
        <w:t>nosies;</w:t>
      </w:r>
    </w:p>
    <w:p w14:paraId="7D52729D" w14:textId="77777777" w:rsidR="00C05173" w:rsidRPr="00D5161B" w:rsidRDefault="00C05173" w:rsidP="00F76B1E">
      <w:pPr>
        <w:numPr>
          <w:ilvl w:val="0"/>
          <w:numId w:val="34"/>
        </w:numPr>
        <w:rPr>
          <w:sz w:val="22"/>
          <w:szCs w:val="22"/>
          <w:lang w:val="lt-LT"/>
        </w:rPr>
      </w:pPr>
      <w:r w:rsidRPr="00D5161B">
        <w:rPr>
          <w:sz w:val="22"/>
          <w:szCs w:val="22"/>
          <w:lang w:val="lt-LT"/>
        </w:rPr>
        <w:t>vartojate vaistus nuo erekcijos</w:t>
      </w:r>
      <w:r w:rsidRPr="00D5161B">
        <w:rPr>
          <w:spacing w:val="-24"/>
          <w:sz w:val="22"/>
          <w:szCs w:val="22"/>
          <w:lang w:val="lt-LT"/>
        </w:rPr>
        <w:t xml:space="preserve"> </w:t>
      </w:r>
      <w:r w:rsidRPr="00D5161B">
        <w:rPr>
          <w:sz w:val="22"/>
          <w:szCs w:val="22"/>
          <w:lang w:val="lt-LT"/>
        </w:rPr>
        <w:t>sutrikimo.</w:t>
      </w:r>
    </w:p>
    <w:p w14:paraId="5F03DB5B" w14:textId="77777777" w:rsidR="00C05173" w:rsidRPr="00D5161B" w:rsidRDefault="00C05173" w:rsidP="008C6014">
      <w:pPr>
        <w:rPr>
          <w:sz w:val="22"/>
          <w:szCs w:val="22"/>
          <w:lang w:val="lt-LT"/>
        </w:rPr>
      </w:pPr>
    </w:p>
    <w:p w14:paraId="320328AC" w14:textId="77777777" w:rsidR="00C05173" w:rsidRPr="00D5161B" w:rsidRDefault="00C05173" w:rsidP="008C6014">
      <w:pPr>
        <w:rPr>
          <w:sz w:val="22"/>
          <w:szCs w:val="22"/>
          <w:lang w:val="lt-LT"/>
        </w:rPr>
      </w:pPr>
      <w:r w:rsidRPr="00D5161B">
        <w:rPr>
          <w:sz w:val="22"/>
          <w:szCs w:val="22"/>
          <w:lang w:val="lt-LT"/>
        </w:rPr>
        <w:t>Gydant vyrų erekcijos funkcijos sutrikimą (EFS), vartojant FDE5 inhibitorius, įskaitant sildenafilį, buvo pranešta apie tokį šalutinį poveikį regėjimui, kurio dažnis nežinomas: atsiradusį dalinį, staigų, laikiną ar nuolatinį regėjimo viena ar abiem akimis susilpnėjimą arba apakimą.</w:t>
      </w:r>
    </w:p>
    <w:p w14:paraId="3E3C1691" w14:textId="77777777" w:rsidR="00C05173" w:rsidRPr="00D5161B" w:rsidRDefault="00C05173" w:rsidP="008C6014">
      <w:pPr>
        <w:rPr>
          <w:sz w:val="22"/>
          <w:szCs w:val="22"/>
          <w:lang w:val="lt-LT"/>
        </w:rPr>
      </w:pPr>
    </w:p>
    <w:p w14:paraId="223A887A" w14:textId="77777777" w:rsidR="00C05173" w:rsidRPr="00D5161B" w:rsidRDefault="00C05173" w:rsidP="008C6014">
      <w:pPr>
        <w:rPr>
          <w:b/>
          <w:bCs/>
          <w:sz w:val="22"/>
          <w:szCs w:val="22"/>
          <w:lang w:val="lt-LT"/>
        </w:rPr>
      </w:pPr>
      <w:r w:rsidRPr="00D5161B">
        <w:rPr>
          <w:sz w:val="22"/>
          <w:szCs w:val="22"/>
          <w:lang w:val="lt-LT"/>
        </w:rPr>
        <w:t xml:space="preserve">Jeigu staiga susilpnėja regėjimas arba apankate, </w:t>
      </w:r>
      <w:r w:rsidRPr="00D5161B">
        <w:rPr>
          <w:b/>
          <w:bCs/>
          <w:sz w:val="22"/>
          <w:szCs w:val="22"/>
          <w:lang w:val="lt-LT"/>
        </w:rPr>
        <w:t xml:space="preserve">nutraukite </w:t>
      </w:r>
      <w:r w:rsidR="00B61707" w:rsidRPr="00D5161B">
        <w:rPr>
          <w:b/>
          <w:bCs/>
          <w:sz w:val="22"/>
          <w:szCs w:val="22"/>
          <w:lang w:val="lt-LT"/>
        </w:rPr>
        <w:t>Silungo</w:t>
      </w:r>
      <w:r w:rsidRPr="00D5161B">
        <w:rPr>
          <w:b/>
          <w:bCs/>
          <w:sz w:val="22"/>
          <w:szCs w:val="22"/>
          <w:lang w:val="lt-LT"/>
        </w:rPr>
        <w:t xml:space="preserve"> vartojimą ir nedelsdami kreipkitės į gydytoją </w:t>
      </w:r>
      <w:r w:rsidRPr="00D5161B">
        <w:rPr>
          <w:sz w:val="22"/>
          <w:szCs w:val="22"/>
          <w:lang w:val="lt-LT"/>
        </w:rPr>
        <w:t>(taip pat žr. 4 skyrių)</w:t>
      </w:r>
      <w:r w:rsidRPr="00D5161B">
        <w:rPr>
          <w:b/>
          <w:bCs/>
          <w:sz w:val="22"/>
          <w:szCs w:val="22"/>
          <w:lang w:val="lt-LT"/>
        </w:rPr>
        <w:t>.</w:t>
      </w:r>
    </w:p>
    <w:p w14:paraId="3A9274F5" w14:textId="77777777" w:rsidR="00C05173" w:rsidRPr="00D5161B" w:rsidRDefault="00C05173" w:rsidP="008C6014">
      <w:pPr>
        <w:rPr>
          <w:b/>
          <w:bCs/>
          <w:sz w:val="22"/>
          <w:szCs w:val="22"/>
          <w:lang w:val="lt-LT"/>
        </w:rPr>
      </w:pPr>
    </w:p>
    <w:p w14:paraId="1F9D9D2B" w14:textId="77777777" w:rsidR="00C05173" w:rsidRPr="00D5161B" w:rsidRDefault="00C05173" w:rsidP="008C6014">
      <w:pPr>
        <w:rPr>
          <w:b/>
          <w:bCs/>
          <w:sz w:val="22"/>
          <w:szCs w:val="22"/>
          <w:lang w:val="lt-LT"/>
        </w:rPr>
      </w:pPr>
      <w:r w:rsidRPr="00D5161B">
        <w:rPr>
          <w:sz w:val="22"/>
          <w:szCs w:val="22"/>
          <w:lang w:val="lt-LT"/>
        </w:rPr>
        <w:t xml:space="preserve">Buvo gauta pranešimų apie užsitęsusią ir kartais skausmingą erekciją vyrams, po sildenafilio vartojimo. Jeigu erekcija Jums tęsiasi ilgiau nei 4 valandas, </w:t>
      </w:r>
      <w:r w:rsidRPr="00D5161B">
        <w:rPr>
          <w:b/>
          <w:bCs/>
          <w:sz w:val="22"/>
          <w:szCs w:val="22"/>
          <w:lang w:val="lt-LT"/>
        </w:rPr>
        <w:t xml:space="preserve">nutraukite </w:t>
      </w:r>
      <w:r w:rsidR="00B61707" w:rsidRPr="00D5161B">
        <w:rPr>
          <w:b/>
          <w:bCs/>
          <w:sz w:val="22"/>
          <w:szCs w:val="22"/>
          <w:lang w:val="lt-LT"/>
        </w:rPr>
        <w:t>Silungo</w:t>
      </w:r>
      <w:r w:rsidRPr="00D5161B">
        <w:rPr>
          <w:b/>
          <w:bCs/>
          <w:sz w:val="22"/>
          <w:szCs w:val="22"/>
          <w:lang w:val="lt-LT"/>
        </w:rPr>
        <w:t xml:space="preserve"> vartojimą ir nedelsdami kreipkitės į gydytoją </w:t>
      </w:r>
      <w:r w:rsidRPr="00D5161B">
        <w:rPr>
          <w:sz w:val="22"/>
          <w:szCs w:val="22"/>
          <w:lang w:val="lt-LT"/>
        </w:rPr>
        <w:t>(taip pat žr. 4 skyrių)</w:t>
      </w:r>
      <w:r w:rsidRPr="00D5161B">
        <w:rPr>
          <w:b/>
          <w:bCs/>
          <w:sz w:val="22"/>
          <w:szCs w:val="22"/>
          <w:lang w:val="lt-LT"/>
        </w:rPr>
        <w:t>.</w:t>
      </w:r>
    </w:p>
    <w:p w14:paraId="7CA33D01" w14:textId="77777777" w:rsidR="00C05173" w:rsidRPr="00D5161B" w:rsidRDefault="00C05173" w:rsidP="008C6014">
      <w:pPr>
        <w:rPr>
          <w:b/>
          <w:bCs/>
          <w:sz w:val="22"/>
          <w:szCs w:val="22"/>
          <w:lang w:val="lt-LT"/>
        </w:rPr>
      </w:pPr>
    </w:p>
    <w:p w14:paraId="1D684D05" w14:textId="77777777" w:rsidR="00C05173" w:rsidRPr="00D5161B" w:rsidRDefault="00C05173" w:rsidP="008C6014">
      <w:pPr>
        <w:rPr>
          <w:i/>
          <w:iCs/>
          <w:sz w:val="22"/>
          <w:szCs w:val="22"/>
          <w:lang w:val="lt-LT"/>
        </w:rPr>
      </w:pPr>
      <w:r w:rsidRPr="00D5161B">
        <w:rPr>
          <w:i/>
          <w:iCs/>
          <w:sz w:val="22"/>
          <w:szCs w:val="22"/>
          <w:lang w:val="lt-LT"/>
        </w:rPr>
        <w:t>Specialūs nurodymai pacientams, sergantiems inkstų arba kepenų liga</w:t>
      </w:r>
    </w:p>
    <w:p w14:paraId="455F83D2" w14:textId="77777777" w:rsidR="00C05173" w:rsidRPr="00D5161B" w:rsidRDefault="00C05173" w:rsidP="008C6014">
      <w:pPr>
        <w:rPr>
          <w:sz w:val="22"/>
          <w:szCs w:val="22"/>
          <w:lang w:val="lt-LT"/>
        </w:rPr>
      </w:pPr>
      <w:r w:rsidRPr="00D5161B">
        <w:rPr>
          <w:sz w:val="22"/>
          <w:szCs w:val="22"/>
          <w:lang w:val="lt-LT"/>
        </w:rPr>
        <w:t>Jeigu yra sutrikusi inkstų arba kepenų veikla, turite pasakyti savo gydytojui, nes gydytojui gali tekti keisti vaisto dozę.</w:t>
      </w:r>
    </w:p>
    <w:p w14:paraId="7C50E24E" w14:textId="77777777" w:rsidR="00C05173" w:rsidRPr="00D5161B" w:rsidRDefault="00C05173" w:rsidP="008C6014">
      <w:pPr>
        <w:rPr>
          <w:b/>
          <w:sz w:val="22"/>
          <w:szCs w:val="22"/>
          <w:lang w:val="lt-LT"/>
        </w:rPr>
      </w:pPr>
    </w:p>
    <w:p w14:paraId="4606D46E" w14:textId="77777777" w:rsidR="00C05173" w:rsidRPr="00D5161B" w:rsidRDefault="00C05173" w:rsidP="008C6014">
      <w:pPr>
        <w:rPr>
          <w:b/>
          <w:sz w:val="22"/>
          <w:szCs w:val="22"/>
          <w:lang w:val="lt-LT"/>
        </w:rPr>
      </w:pPr>
      <w:r w:rsidRPr="00D5161B">
        <w:rPr>
          <w:b/>
          <w:sz w:val="22"/>
          <w:szCs w:val="22"/>
          <w:lang w:val="lt-LT"/>
        </w:rPr>
        <w:t>Vaikams</w:t>
      </w:r>
    </w:p>
    <w:p w14:paraId="0F1050D0" w14:textId="77777777" w:rsidR="00C05173" w:rsidRPr="00D5161B" w:rsidRDefault="00C05173" w:rsidP="008C6014">
      <w:pPr>
        <w:rPr>
          <w:b/>
          <w:bCs/>
          <w:sz w:val="22"/>
          <w:szCs w:val="22"/>
          <w:lang w:val="lt-LT"/>
        </w:rPr>
      </w:pPr>
    </w:p>
    <w:p w14:paraId="7FF8EEA9" w14:textId="77777777" w:rsidR="00C05173" w:rsidRPr="00D5161B" w:rsidRDefault="00B61707" w:rsidP="008C6014">
      <w:pPr>
        <w:rPr>
          <w:sz w:val="22"/>
          <w:szCs w:val="22"/>
          <w:lang w:val="lt-LT"/>
        </w:rPr>
      </w:pPr>
      <w:r w:rsidRPr="00D5161B">
        <w:rPr>
          <w:sz w:val="22"/>
          <w:szCs w:val="22"/>
          <w:lang w:val="lt-LT"/>
        </w:rPr>
        <w:t>Silungo</w:t>
      </w:r>
      <w:r w:rsidR="00C05173" w:rsidRPr="00D5161B">
        <w:rPr>
          <w:sz w:val="22"/>
          <w:szCs w:val="22"/>
          <w:lang w:val="lt-LT"/>
        </w:rPr>
        <w:t xml:space="preserve"> negalima vartoti jaunesniems kaip 1 metų kūdikiams.</w:t>
      </w:r>
    </w:p>
    <w:p w14:paraId="0BE8C4F4" w14:textId="77777777" w:rsidR="00C05173" w:rsidRPr="00D5161B" w:rsidRDefault="00C05173" w:rsidP="008C6014">
      <w:pPr>
        <w:rPr>
          <w:sz w:val="22"/>
          <w:szCs w:val="22"/>
          <w:lang w:val="lt-LT"/>
        </w:rPr>
      </w:pPr>
    </w:p>
    <w:p w14:paraId="7BD88C58" w14:textId="77777777" w:rsidR="00C05173" w:rsidRPr="00D5161B" w:rsidRDefault="00C05173" w:rsidP="008C6014">
      <w:pPr>
        <w:rPr>
          <w:b/>
          <w:sz w:val="22"/>
          <w:szCs w:val="22"/>
          <w:lang w:val="lt-LT"/>
        </w:rPr>
      </w:pPr>
      <w:r w:rsidRPr="00D5161B">
        <w:rPr>
          <w:b/>
          <w:sz w:val="22"/>
          <w:szCs w:val="22"/>
          <w:lang w:val="lt-LT"/>
        </w:rPr>
        <w:t xml:space="preserve">Kiti vaistai ir </w:t>
      </w:r>
      <w:r w:rsidR="00B61707" w:rsidRPr="00D5161B">
        <w:rPr>
          <w:b/>
          <w:sz w:val="22"/>
          <w:szCs w:val="22"/>
          <w:lang w:val="lt-LT"/>
        </w:rPr>
        <w:t>Silungo</w:t>
      </w:r>
    </w:p>
    <w:p w14:paraId="3D8D05A7" w14:textId="77777777" w:rsidR="00C05173" w:rsidRPr="00D5161B" w:rsidRDefault="00C05173" w:rsidP="008C6014">
      <w:pPr>
        <w:rPr>
          <w:b/>
          <w:bCs/>
          <w:sz w:val="22"/>
          <w:szCs w:val="22"/>
          <w:lang w:val="lt-LT"/>
        </w:rPr>
      </w:pPr>
    </w:p>
    <w:p w14:paraId="661EB0E8" w14:textId="77777777" w:rsidR="00C05173" w:rsidRPr="00D5161B" w:rsidRDefault="00C05173" w:rsidP="008C6014">
      <w:pPr>
        <w:rPr>
          <w:sz w:val="22"/>
          <w:szCs w:val="22"/>
          <w:lang w:val="lt-LT"/>
        </w:rPr>
      </w:pPr>
      <w:r w:rsidRPr="00D5161B">
        <w:rPr>
          <w:sz w:val="22"/>
          <w:szCs w:val="22"/>
          <w:lang w:val="lt-LT"/>
        </w:rPr>
        <w:t>Jeigu vartojate ar neseniai vartojote kitų vaistų arba dėl to nesate tikri, apie tai pasakykite gydytojui arba vaistininkui.</w:t>
      </w:r>
    </w:p>
    <w:p w14:paraId="42759AEF" w14:textId="77777777" w:rsidR="00C05173" w:rsidRPr="00D5161B" w:rsidRDefault="00C05173" w:rsidP="008C6014">
      <w:pPr>
        <w:rPr>
          <w:sz w:val="22"/>
          <w:szCs w:val="22"/>
          <w:lang w:val="lt-LT"/>
        </w:rPr>
      </w:pPr>
    </w:p>
    <w:p w14:paraId="34C596D2" w14:textId="77777777" w:rsidR="00C05173" w:rsidRPr="00D5161B" w:rsidRDefault="0094035C" w:rsidP="0094035C">
      <w:pPr>
        <w:rPr>
          <w:sz w:val="22"/>
          <w:szCs w:val="22"/>
          <w:lang w:val="lt-LT"/>
        </w:rPr>
      </w:pPr>
      <w:r w:rsidRPr="00D5161B">
        <w:rPr>
          <w:sz w:val="22"/>
          <w:szCs w:val="22"/>
          <w:lang w:val="lt-LT"/>
        </w:rPr>
        <w:t>-</w:t>
      </w:r>
      <w:r w:rsidR="00F76B1E" w:rsidRPr="00D5161B">
        <w:rPr>
          <w:sz w:val="22"/>
          <w:szCs w:val="22"/>
          <w:lang w:val="lt-LT"/>
        </w:rPr>
        <w:tab/>
      </w:r>
      <w:r w:rsidR="00C05173" w:rsidRPr="00D5161B">
        <w:rPr>
          <w:sz w:val="22"/>
          <w:szCs w:val="22"/>
          <w:lang w:val="lt-LT"/>
        </w:rPr>
        <w:t>Vaistai, kurių sudėtyje yra nitratų arba azoto oksido donorų, pavyzdžiui: amilo nitrato („pokšinčio“ preparato). Šie vaistai dažnai vartojami krūtinės anginos priepuoliams arba krūtinės</w:t>
      </w:r>
      <w:r w:rsidR="00C05173" w:rsidRPr="00D5161B">
        <w:rPr>
          <w:spacing w:val="-5"/>
          <w:sz w:val="22"/>
          <w:szCs w:val="22"/>
          <w:lang w:val="lt-LT"/>
        </w:rPr>
        <w:t xml:space="preserve"> </w:t>
      </w:r>
      <w:r w:rsidR="00C05173" w:rsidRPr="00D5161B">
        <w:rPr>
          <w:sz w:val="22"/>
          <w:szCs w:val="22"/>
          <w:lang w:val="lt-LT"/>
        </w:rPr>
        <w:t>skausmui</w:t>
      </w:r>
      <w:r w:rsidR="00C05173" w:rsidRPr="00D5161B">
        <w:rPr>
          <w:spacing w:val="-5"/>
          <w:sz w:val="22"/>
          <w:szCs w:val="22"/>
          <w:lang w:val="lt-LT"/>
        </w:rPr>
        <w:t xml:space="preserve"> </w:t>
      </w:r>
      <w:r w:rsidR="00C05173" w:rsidRPr="00D5161B">
        <w:rPr>
          <w:sz w:val="22"/>
          <w:szCs w:val="22"/>
          <w:lang w:val="lt-LT"/>
        </w:rPr>
        <w:t>šalinti</w:t>
      </w:r>
      <w:r w:rsidR="00C05173" w:rsidRPr="00D5161B">
        <w:rPr>
          <w:spacing w:val="-5"/>
          <w:sz w:val="22"/>
          <w:szCs w:val="22"/>
          <w:lang w:val="lt-LT"/>
        </w:rPr>
        <w:t xml:space="preserve"> </w:t>
      </w:r>
      <w:r w:rsidR="00C05173" w:rsidRPr="00D5161B">
        <w:rPr>
          <w:sz w:val="22"/>
          <w:szCs w:val="22"/>
          <w:lang w:val="lt-LT"/>
        </w:rPr>
        <w:t>(žr.</w:t>
      </w:r>
      <w:r w:rsidR="00C05173" w:rsidRPr="00D5161B">
        <w:rPr>
          <w:spacing w:val="-5"/>
          <w:sz w:val="22"/>
          <w:szCs w:val="22"/>
          <w:lang w:val="lt-LT"/>
        </w:rPr>
        <w:t xml:space="preserve"> </w:t>
      </w:r>
      <w:r w:rsidR="00C05173" w:rsidRPr="00D5161B">
        <w:rPr>
          <w:sz w:val="22"/>
          <w:szCs w:val="22"/>
          <w:lang w:val="lt-LT"/>
        </w:rPr>
        <w:t>2</w:t>
      </w:r>
      <w:r w:rsidR="00C05173" w:rsidRPr="00D5161B">
        <w:rPr>
          <w:spacing w:val="-5"/>
          <w:sz w:val="22"/>
          <w:szCs w:val="22"/>
          <w:lang w:val="lt-LT"/>
        </w:rPr>
        <w:t xml:space="preserve"> </w:t>
      </w:r>
      <w:r w:rsidR="00C05173" w:rsidRPr="00D5161B">
        <w:rPr>
          <w:sz w:val="22"/>
          <w:szCs w:val="22"/>
          <w:lang w:val="lt-LT"/>
        </w:rPr>
        <w:t>skyrių</w:t>
      </w:r>
      <w:r w:rsidR="00C05173" w:rsidRPr="00D5161B">
        <w:rPr>
          <w:spacing w:val="-5"/>
          <w:sz w:val="22"/>
          <w:szCs w:val="22"/>
          <w:lang w:val="lt-LT"/>
        </w:rPr>
        <w:t xml:space="preserve"> </w:t>
      </w:r>
      <w:r w:rsidR="00C05173" w:rsidRPr="00D5161B">
        <w:rPr>
          <w:sz w:val="22"/>
          <w:szCs w:val="22"/>
          <w:lang w:val="lt-LT"/>
        </w:rPr>
        <w:t>,,Kas</w:t>
      </w:r>
      <w:r w:rsidR="00C05173" w:rsidRPr="00D5161B">
        <w:rPr>
          <w:spacing w:val="-5"/>
          <w:sz w:val="22"/>
          <w:szCs w:val="22"/>
          <w:lang w:val="lt-LT"/>
        </w:rPr>
        <w:t xml:space="preserve"> </w:t>
      </w:r>
      <w:r w:rsidR="00C05173" w:rsidRPr="00D5161B">
        <w:rPr>
          <w:sz w:val="22"/>
          <w:szCs w:val="22"/>
          <w:lang w:val="lt-LT"/>
        </w:rPr>
        <w:t>žinotina</w:t>
      </w:r>
      <w:r w:rsidR="00C05173" w:rsidRPr="00D5161B">
        <w:rPr>
          <w:spacing w:val="-5"/>
          <w:sz w:val="22"/>
          <w:szCs w:val="22"/>
          <w:lang w:val="lt-LT"/>
        </w:rPr>
        <w:t xml:space="preserve"> </w:t>
      </w:r>
      <w:r w:rsidR="00C05173" w:rsidRPr="00D5161B">
        <w:rPr>
          <w:sz w:val="22"/>
          <w:szCs w:val="22"/>
          <w:lang w:val="lt-LT"/>
        </w:rPr>
        <w:t>prieš</w:t>
      </w:r>
      <w:r w:rsidR="00C05173" w:rsidRPr="00D5161B">
        <w:rPr>
          <w:spacing w:val="-5"/>
          <w:sz w:val="22"/>
          <w:szCs w:val="22"/>
          <w:lang w:val="lt-LT"/>
        </w:rPr>
        <w:t xml:space="preserve"> </w:t>
      </w:r>
      <w:r w:rsidR="00C05173" w:rsidRPr="00D5161B">
        <w:rPr>
          <w:sz w:val="22"/>
          <w:szCs w:val="22"/>
          <w:lang w:val="lt-LT"/>
        </w:rPr>
        <w:t>vartojant</w:t>
      </w:r>
      <w:r w:rsidR="00C05173" w:rsidRPr="00D5161B">
        <w:rPr>
          <w:spacing w:val="-5"/>
          <w:sz w:val="22"/>
          <w:szCs w:val="22"/>
          <w:lang w:val="lt-LT"/>
        </w:rPr>
        <w:t xml:space="preserve"> </w:t>
      </w:r>
      <w:r w:rsidR="00B61707" w:rsidRPr="00D5161B">
        <w:rPr>
          <w:sz w:val="22"/>
          <w:szCs w:val="22"/>
          <w:lang w:val="lt-LT"/>
        </w:rPr>
        <w:t>Silungo</w:t>
      </w:r>
      <w:r w:rsidR="00C05173" w:rsidRPr="00D5161B">
        <w:rPr>
          <w:sz w:val="22"/>
          <w:szCs w:val="22"/>
          <w:lang w:val="lt-LT"/>
        </w:rPr>
        <w:t>“).</w:t>
      </w:r>
    </w:p>
    <w:p w14:paraId="1B37C185" w14:textId="77777777" w:rsidR="00C05173" w:rsidRPr="00D5161B" w:rsidRDefault="0094035C" w:rsidP="008C6014">
      <w:pPr>
        <w:rPr>
          <w:sz w:val="22"/>
          <w:szCs w:val="22"/>
          <w:lang w:val="lt-LT"/>
        </w:rPr>
      </w:pPr>
      <w:r w:rsidRPr="00D5161B">
        <w:rPr>
          <w:sz w:val="22"/>
          <w:szCs w:val="22"/>
          <w:lang w:val="lt-LT"/>
        </w:rPr>
        <w:t>-</w:t>
      </w:r>
      <w:r w:rsidR="00F76B1E" w:rsidRPr="00D5161B">
        <w:rPr>
          <w:sz w:val="22"/>
          <w:szCs w:val="22"/>
          <w:lang w:val="lt-LT"/>
        </w:rPr>
        <w:tab/>
      </w:r>
      <w:r w:rsidR="00C05173" w:rsidRPr="00D5161B">
        <w:rPr>
          <w:sz w:val="22"/>
          <w:szCs w:val="22"/>
          <w:lang w:val="lt-LT"/>
        </w:rPr>
        <w:t>Pasakykite</w:t>
      </w:r>
      <w:r w:rsidR="00C05173" w:rsidRPr="00D5161B">
        <w:rPr>
          <w:spacing w:val="-6"/>
          <w:sz w:val="22"/>
          <w:szCs w:val="22"/>
          <w:lang w:val="lt-LT"/>
        </w:rPr>
        <w:t xml:space="preserve"> </w:t>
      </w:r>
      <w:r w:rsidR="00C05173" w:rsidRPr="00D5161B">
        <w:rPr>
          <w:sz w:val="22"/>
          <w:szCs w:val="22"/>
          <w:lang w:val="lt-LT"/>
        </w:rPr>
        <w:t>savo</w:t>
      </w:r>
      <w:r w:rsidR="00C05173" w:rsidRPr="00D5161B">
        <w:rPr>
          <w:spacing w:val="-6"/>
          <w:sz w:val="22"/>
          <w:szCs w:val="22"/>
          <w:lang w:val="lt-LT"/>
        </w:rPr>
        <w:t xml:space="preserve"> </w:t>
      </w:r>
      <w:r w:rsidR="00C05173" w:rsidRPr="00D5161B">
        <w:rPr>
          <w:sz w:val="22"/>
          <w:szCs w:val="22"/>
          <w:lang w:val="lt-LT"/>
        </w:rPr>
        <w:t>gydytojui</w:t>
      </w:r>
      <w:r w:rsidR="00C05173" w:rsidRPr="00D5161B">
        <w:rPr>
          <w:spacing w:val="-6"/>
          <w:sz w:val="22"/>
          <w:szCs w:val="22"/>
          <w:lang w:val="lt-LT"/>
        </w:rPr>
        <w:t xml:space="preserve"> </w:t>
      </w:r>
      <w:r w:rsidR="00C05173" w:rsidRPr="00D5161B">
        <w:rPr>
          <w:sz w:val="22"/>
          <w:szCs w:val="22"/>
          <w:lang w:val="lt-LT"/>
        </w:rPr>
        <w:t>ar</w:t>
      </w:r>
      <w:r w:rsidR="00C05173" w:rsidRPr="00D5161B">
        <w:rPr>
          <w:spacing w:val="-6"/>
          <w:sz w:val="22"/>
          <w:szCs w:val="22"/>
          <w:lang w:val="lt-LT"/>
        </w:rPr>
        <w:t xml:space="preserve"> </w:t>
      </w:r>
      <w:r w:rsidR="00C05173" w:rsidRPr="00D5161B">
        <w:rPr>
          <w:sz w:val="22"/>
          <w:szCs w:val="22"/>
          <w:lang w:val="lt-LT"/>
        </w:rPr>
        <w:t>vaistininkui,</w:t>
      </w:r>
      <w:r w:rsidR="00C05173" w:rsidRPr="00D5161B">
        <w:rPr>
          <w:spacing w:val="-6"/>
          <w:sz w:val="22"/>
          <w:szCs w:val="22"/>
          <w:lang w:val="lt-LT"/>
        </w:rPr>
        <w:t xml:space="preserve"> </w:t>
      </w:r>
      <w:r w:rsidR="00C05173" w:rsidRPr="00D5161B">
        <w:rPr>
          <w:sz w:val="22"/>
          <w:szCs w:val="22"/>
          <w:lang w:val="lt-LT"/>
        </w:rPr>
        <w:t>jeigu</w:t>
      </w:r>
      <w:r w:rsidR="00C05173" w:rsidRPr="00D5161B">
        <w:rPr>
          <w:spacing w:val="-6"/>
          <w:sz w:val="22"/>
          <w:szCs w:val="22"/>
          <w:lang w:val="lt-LT"/>
        </w:rPr>
        <w:t xml:space="preserve"> </w:t>
      </w:r>
      <w:r w:rsidR="00C05173" w:rsidRPr="00D5161B">
        <w:rPr>
          <w:sz w:val="22"/>
          <w:szCs w:val="22"/>
          <w:lang w:val="lt-LT"/>
        </w:rPr>
        <w:t>jau</w:t>
      </w:r>
      <w:r w:rsidR="00C05173" w:rsidRPr="00D5161B">
        <w:rPr>
          <w:spacing w:val="-6"/>
          <w:sz w:val="22"/>
          <w:szCs w:val="22"/>
          <w:lang w:val="lt-LT"/>
        </w:rPr>
        <w:t xml:space="preserve"> </w:t>
      </w:r>
      <w:r w:rsidR="00C05173" w:rsidRPr="00D5161B">
        <w:rPr>
          <w:sz w:val="22"/>
          <w:szCs w:val="22"/>
          <w:lang w:val="lt-LT"/>
        </w:rPr>
        <w:t>vartojate</w:t>
      </w:r>
      <w:r w:rsidR="00C05173" w:rsidRPr="00D5161B">
        <w:rPr>
          <w:spacing w:val="-6"/>
          <w:sz w:val="22"/>
          <w:szCs w:val="22"/>
          <w:lang w:val="lt-LT"/>
        </w:rPr>
        <w:t xml:space="preserve"> </w:t>
      </w:r>
      <w:r w:rsidR="00C05173" w:rsidRPr="00D5161B">
        <w:rPr>
          <w:sz w:val="22"/>
          <w:szCs w:val="22"/>
          <w:lang w:val="lt-LT"/>
        </w:rPr>
        <w:t>riociguatą.</w:t>
      </w:r>
    </w:p>
    <w:p w14:paraId="4507CCE1" w14:textId="77777777" w:rsidR="00C05173" w:rsidRPr="00D5161B" w:rsidRDefault="0094035C" w:rsidP="008C6014">
      <w:pPr>
        <w:rPr>
          <w:sz w:val="22"/>
          <w:szCs w:val="22"/>
          <w:lang w:val="lt-LT"/>
        </w:rPr>
      </w:pPr>
      <w:r w:rsidRPr="00D5161B">
        <w:rPr>
          <w:sz w:val="22"/>
          <w:szCs w:val="22"/>
          <w:lang w:val="lt-LT"/>
        </w:rPr>
        <w:t>-</w:t>
      </w:r>
      <w:r w:rsidR="00F76B1E" w:rsidRPr="00D5161B">
        <w:rPr>
          <w:sz w:val="22"/>
          <w:szCs w:val="22"/>
          <w:lang w:val="lt-LT"/>
        </w:rPr>
        <w:tab/>
      </w:r>
      <w:r w:rsidR="00C05173" w:rsidRPr="00D5161B">
        <w:rPr>
          <w:sz w:val="22"/>
          <w:szCs w:val="22"/>
          <w:lang w:val="lt-LT"/>
        </w:rPr>
        <w:t>Vaistai</w:t>
      </w:r>
      <w:r w:rsidR="00C05173" w:rsidRPr="00D5161B">
        <w:rPr>
          <w:spacing w:val="-8"/>
          <w:sz w:val="22"/>
          <w:szCs w:val="22"/>
          <w:lang w:val="lt-LT"/>
        </w:rPr>
        <w:t xml:space="preserve"> </w:t>
      </w:r>
      <w:r w:rsidR="00C05173" w:rsidRPr="00D5161B">
        <w:rPr>
          <w:sz w:val="22"/>
          <w:szCs w:val="22"/>
          <w:lang w:val="lt-LT"/>
        </w:rPr>
        <w:t>plautinei</w:t>
      </w:r>
      <w:r w:rsidR="00C05173" w:rsidRPr="00D5161B">
        <w:rPr>
          <w:spacing w:val="-8"/>
          <w:sz w:val="22"/>
          <w:szCs w:val="22"/>
          <w:lang w:val="lt-LT"/>
        </w:rPr>
        <w:t xml:space="preserve"> </w:t>
      </w:r>
      <w:r w:rsidR="00C05173" w:rsidRPr="00D5161B">
        <w:rPr>
          <w:sz w:val="22"/>
          <w:szCs w:val="22"/>
          <w:lang w:val="lt-LT"/>
        </w:rPr>
        <w:t>hipertenzijai</w:t>
      </w:r>
      <w:r w:rsidR="00C05173" w:rsidRPr="00D5161B">
        <w:rPr>
          <w:spacing w:val="-8"/>
          <w:sz w:val="22"/>
          <w:szCs w:val="22"/>
          <w:lang w:val="lt-LT"/>
        </w:rPr>
        <w:t xml:space="preserve"> </w:t>
      </w:r>
      <w:r w:rsidR="00C05173" w:rsidRPr="00D5161B">
        <w:rPr>
          <w:sz w:val="22"/>
          <w:szCs w:val="22"/>
          <w:lang w:val="lt-LT"/>
        </w:rPr>
        <w:t>gydyti</w:t>
      </w:r>
      <w:r w:rsidR="00C05173" w:rsidRPr="00D5161B">
        <w:rPr>
          <w:spacing w:val="-8"/>
          <w:sz w:val="22"/>
          <w:szCs w:val="22"/>
          <w:lang w:val="lt-LT"/>
        </w:rPr>
        <w:t xml:space="preserve"> </w:t>
      </w:r>
      <w:r w:rsidR="00C05173" w:rsidRPr="00D5161B">
        <w:rPr>
          <w:sz w:val="22"/>
          <w:szCs w:val="22"/>
          <w:lang w:val="lt-LT"/>
        </w:rPr>
        <w:t>(pvz.:</w:t>
      </w:r>
      <w:r w:rsidR="00C05173" w:rsidRPr="00D5161B">
        <w:rPr>
          <w:spacing w:val="-8"/>
          <w:sz w:val="22"/>
          <w:szCs w:val="22"/>
          <w:lang w:val="lt-LT"/>
        </w:rPr>
        <w:t xml:space="preserve"> </w:t>
      </w:r>
      <w:r w:rsidR="00C05173" w:rsidRPr="00D5161B">
        <w:rPr>
          <w:sz w:val="22"/>
          <w:szCs w:val="22"/>
          <w:lang w:val="lt-LT"/>
        </w:rPr>
        <w:t>bozentanas,</w:t>
      </w:r>
      <w:r w:rsidR="00C05173" w:rsidRPr="00D5161B">
        <w:rPr>
          <w:spacing w:val="-8"/>
          <w:sz w:val="22"/>
          <w:szCs w:val="22"/>
          <w:lang w:val="lt-LT"/>
        </w:rPr>
        <w:t xml:space="preserve"> </w:t>
      </w:r>
      <w:r w:rsidR="00C05173" w:rsidRPr="00D5161B">
        <w:rPr>
          <w:sz w:val="22"/>
          <w:szCs w:val="22"/>
          <w:lang w:val="lt-LT"/>
        </w:rPr>
        <w:t>iloprostas).</w:t>
      </w:r>
    </w:p>
    <w:p w14:paraId="574BAB1B" w14:textId="77777777" w:rsidR="00C05173" w:rsidRPr="00D5161B" w:rsidRDefault="0094035C" w:rsidP="008C6014">
      <w:pPr>
        <w:rPr>
          <w:sz w:val="22"/>
          <w:szCs w:val="22"/>
          <w:lang w:val="lt-LT"/>
        </w:rPr>
      </w:pPr>
      <w:r w:rsidRPr="00D5161B">
        <w:rPr>
          <w:sz w:val="22"/>
          <w:szCs w:val="22"/>
          <w:lang w:val="lt-LT"/>
        </w:rPr>
        <w:t>-</w:t>
      </w:r>
      <w:r w:rsidR="00F76B1E" w:rsidRPr="00D5161B">
        <w:rPr>
          <w:sz w:val="22"/>
          <w:szCs w:val="22"/>
          <w:lang w:val="lt-LT"/>
        </w:rPr>
        <w:tab/>
      </w:r>
      <w:r w:rsidR="00C05173" w:rsidRPr="00D5161B">
        <w:rPr>
          <w:sz w:val="22"/>
          <w:szCs w:val="22"/>
          <w:lang w:val="lt-LT"/>
        </w:rPr>
        <w:t>Vaistai, kurių sudėtyje yra jonažolės (vaistažolių preparatai), rifampicino (vartojamo bakterijų sukeltoms infekcijoms gydyti), karbamazepino, fenitoino ar fenobarbitalio (be kitų sutrikimų, vartojamų epilepsijai</w:t>
      </w:r>
      <w:r w:rsidR="00C05173" w:rsidRPr="00D5161B">
        <w:rPr>
          <w:spacing w:val="-19"/>
          <w:sz w:val="22"/>
          <w:szCs w:val="22"/>
          <w:lang w:val="lt-LT"/>
        </w:rPr>
        <w:t xml:space="preserve"> </w:t>
      </w:r>
      <w:r w:rsidR="00C05173" w:rsidRPr="00D5161B">
        <w:rPr>
          <w:sz w:val="22"/>
          <w:szCs w:val="22"/>
          <w:lang w:val="lt-LT"/>
        </w:rPr>
        <w:t>gydyti).</w:t>
      </w:r>
    </w:p>
    <w:p w14:paraId="0CEFFCB5" w14:textId="77777777" w:rsidR="00C05173" w:rsidRPr="00D5161B" w:rsidRDefault="0094035C" w:rsidP="008C6014">
      <w:pPr>
        <w:rPr>
          <w:sz w:val="22"/>
          <w:szCs w:val="22"/>
          <w:lang w:val="lt-LT"/>
        </w:rPr>
      </w:pPr>
      <w:r w:rsidRPr="00D5161B">
        <w:rPr>
          <w:sz w:val="22"/>
          <w:szCs w:val="22"/>
          <w:lang w:val="lt-LT"/>
        </w:rPr>
        <w:t>-</w:t>
      </w:r>
      <w:r w:rsidR="00F76B1E" w:rsidRPr="00D5161B">
        <w:rPr>
          <w:sz w:val="22"/>
          <w:szCs w:val="22"/>
          <w:lang w:val="lt-LT"/>
        </w:rPr>
        <w:tab/>
      </w:r>
      <w:r w:rsidR="00C05173" w:rsidRPr="00D5161B">
        <w:rPr>
          <w:sz w:val="22"/>
          <w:szCs w:val="22"/>
          <w:lang w:val="lt-LT"/>
        </w:rPr>
        <w:t>Vaistai, kurie mažina kraujo krešėjimą (pvz., varfarinas), nors jokio šalutinio poveikio nepasireiškė.</w:t>
      </w:r>
    </w:p>
    <w:p w14:paraId="6DBE73AF" w14:textId="77777777" w:rsidR="00C05173" w:rsidRPr="00D5161B" w:rsidRDefault="0094035C" w:rsidP="008C6014">
      <w:pPr>
        <w:rPr>
          <w:sz w:val="22"/>
          <w:szCs w:val="22"/>
          <w:lang w:val="lt-LT"/>
        </w:rPr>
      </w:pPr>
      <w:r w:rsidRPr="00D5161B">
        <w:rPr>
          <w:sz w:val="22"/>
          <w:szCs w:val="22"/>
          <w:lang w:val="lt-LT"/>
        </w:rPr>
        <w:t>-</w:t>
      </w:r>
      <w:r w:rsidR="00F76B1E" w:rsidRPr="00D5161B">
        <w:rPr>
          <w:sz w:val="22"/>
          <w:szCs w:val="22"/>
          <w:lang w:val="lt-LT"/>
        </w:rPr>
        <w:tab/>
      </w:r>
      <w:r w:rsidR="00C05173" w:rsidRPr="00D5161B">
        <w:rPr>
          <w:sz w:val="22"/>
          <w:szCs w:val="22"/>
          <w:lang w:val="lt-LT"/>
        </w:rPr>
        <w:t>Vaistai, kurių sudėtyje yra eritromicino, klaritromicino, telitromicino (šie antibiotikai vartojami kai kurių bakterijų sukeltoms infekcinėms ligoms gydyti), sakvinaviro (gydoma ŽIV sukelta liga) ar nefazodono (gydoma depresija), nes gali tekti keisti</w:t>
      </w:r>
      <w:r w:rsidR="00C05173" w:rsidRPr="00D5161B">
        <w:rPr>
          <w:spacing w:val="-38"/>
          <w:sz w:val="22"/>
          <w:szCs w:val="22"/>
          <w:lang w:val="lt-LT"/>
        </w:rPr>
        <w:t xml:space="preserve"> </w:t>
      </w:r>
      <w:r w:rsidR="00C05173" w:rsidRPr="00D5161B">
        <w:rPr>
          <w:sz w:val="22"/>
          <w:szCs w:val="22"/>
          <w:lang w:val="lt-LT"/>
        </w:rPr>
        <w:t>dozę.</w:t>
      </w:r>
    </w:p>
    <w:p w14:paraId="3E68E8CD" w14:textId="77777777" w:rsidR="00C05173" w:rsidRDefault="0094035C" w:rsidP="008C6014">
      <w:pPr>
        <w:rPr>
          <w:sz w:val="22"/>
          <w:szCs w:val="22"/>
          <w:lang w:val="lt-LT"/>
        </w:rPr>
      </w:pPr>
      <w:r w:rsidRPr="00D5161B">
        <w:rPr>
          <w:sz w:val="22"/>
          <w:szCs w:val="22"/>
          <w:lang w:val="lt-LT"/>
        </w:rPr>
        <w:lastRenderedPageBreak/>
        <w:t>-</w:t>
      </w:r>
      <w:r w:rsidR="00F76B1E" w:rsidRPr="00D5161B">
        <w:rPr>
          <w:sz w:val="22"/>
          <w:szCs w:val="22"/>
          <w:lang w:val="lt-LT"/>
        </w:rPr>
        <w:tab/>
      </w:r>
      <w:r w:rsidR="00C05173" w:rsidRPr="00D5161B">
        <w:rPr>
          <w:sz w:val="22"/>
          <w:szCs w:val="22"/>
          <w:lang w:val="lt-LT"/>
        </w:rPr>
        <w:t>Alfa adrenoreceptorių blokatoriai (pvz., doksazosinas) padidėjusiam kraujospūdžiui ir priešinės liaukos (prostatos) sutrikimams gydyti, nes šiuos du vaistus vartojant kartu, gali atsirasti kraujospūdžio</w:t>
      </w:r>
      <w:r w:rsidR="00C05173" w:rsidRPr="00D5161B">
        <w:rPr>
          <w:spacing w:val="-7"/>
          <w:sz w:val="22"/>
          <w:szCs w:val="22"/>
          <w:lang w:val="lt-LT"/>
        </w:rPr>
        <w:t xml:space="preserve"> </w:t>
      </w:r>
      <w:r w:rsidR="00C05173" w:rsidRPr="00D5161B">
        <w:rPr>
          <w:sz w:val="22"/>
          <w:szCs w:val="22"/>
          <w:lang w:val="lt-LT"/>
        </w:rPr>
        <w:t>sumažėjimo</w:t>
      </w:r>
      <w:r w:rsidR="00C05173" w:rsidRPr="00D5161B">
        <w:rPr>
          <w:spacing w:val="-7"/>
          <w:sz w:val="22"/>
          <w:szCs w:val="22"/>
          <w:lang w:val="lt-LT"/>
        </w:rPr>
        <w:t xml:space="preserve"> </w:t>
      </w:r>
      <w:r w:rsidR="00C05173" w:rsidRPr="00D5161B">
        <w:rPr>
          <w:sz w:val="22"/>
          <w:szCs w:val="22"/>
          <w:lang w:val="lt-LT"/>
        </w:rPr>
        <w:t>simptomų</w:t>
      </w:r>
      <w:r w:rsidR="00C05173" w:rsidRPr="00D5161B">
        <w:rPr>
          <w:spacing w:val="-7"/>
          <w:sz w:val="22"/>
          <w:szCs w:val="22"/>
          <w:lang w:val="lt-LT"/>
        </w:rPr>
        <w:t xml:space="preserve"> </w:t>
      </w:r>
      <w:r w:rsidR="00C05173" w:rsidRPr="00D5161B">
        <w:rPr>
          <w:sz w:val="22"/>
          <w:szCs w:val="22"/>
          <w:lang w:val="lt-LT"/>
        </w:rPr>
        <w:t>(pvz.,</w:t>
      </w:r>
      <w:r w:rsidR="00C05173" w:rsidRPr="00D5161B">
        <w:rPr>
          <w:spacing w:val="-7"/>
          <w:sz w:val="22"/>
          <w:szCs w:val="22"/>
          <w:lang w:val="lt-LT"/>
        </w:rPr>
        <w:t xml:space="preserve"> </w:t>
      </w:r>
      <w:r w:rsidR="00C05173" w:rsidRPr="00D5161B">
        <w:rPr>
          <w:sz w:val="22"/>
          <w:szCs w:val="22"/>
          <w:lang w:val="lt-LT"/>
        </w:rPr>
        <w:t>galvos</w:t>
      </w:r>
      <w:r w:rsidR="00C05173" w:rsidRPr="00D5161B">
        <w:rPr>
          <w:spacing w:val="-7"/>
          <w:sz w:val="22"/>
          <w:szCs w:val="22"/>
          <w:lang w:val="lt-LT"/>
        </w:rPr>
        <w:t xml:space="preserve"> </w:t>
      </w:r>
      <w:r w:rsidR="00C05173" w:rsidRPr="00D5161B">
        <w:rPr>
          <w:sz w:val="22"/>
          <w:szCs w:val="22"/>
          <w:lang w:val="lt-LT"/>
        </w:rPr>
        <w:t>svaigimas,</w:t>
      </w:r>
      <w:r w:rsidR="00C05173" w:rsidRPr="00D5161B">
        <w:rPr>
          <w:spacing w:val="-7"/>
          <w:sz w:val="22"/>
          <w:szCs w:val="22"/>
          <w:lang w:val="lt-LT"/>
        </w:rPr>
        <w:t xml:space="preserve"> </w:t>
      </w:r>
      <w:r w:rsidR="00C05173" w:rsidRPr="00D5161B">
        <w:rPr>
          <w:sz w:val="22"/>
          <w:szCs w:val="22"/>
          <w:lang w:val="lt-LT"/>
        </w:rPr>
        <w:t>svaigulys).</w:t>
      </w:r>
    </w:p>
    <w:p w14:paraId="2DF5C535" w14:textId="17CDEFBD" w:rsidR="006812F3" w:rsidRPr="00D5161B" w:rsidRDefault="00BC55CE" w:rsidP="008C6014">
      <w:pPr>
        <w:rPr>
          <w:sz w:val="22"/>
          <w:szCs w:val="22"/>
          <w:lang w:val="lt-LT"/>
        </w:rPr>
      </w:pPr>
      <w:r>
        <w:rPr>
          <w:sz w:val="22"/>
          <w:szCs w:val="22"/>
          <w:lang w:val="lt-LT"/>
        </w:rPr>
        <w:t>-</w:t>
      </w:r>
      <w:r>
        <w:rPr>
          <w:sz w:val="22"/>
          <w:szCs w:val="22"/>
          <w:lang w:val="lt-LT"/>
        </w:rPr>
        <w:tab/>
      </w:r>
      <w:r w:rsidRPr="00BC55CE">
        <w:rPr>
          <w:sz w:val="22"/>
          <w:szCs w:val="22"/>
          <w:lang w:val="lt-LT"/>
        </w:rPr>
        <w:t>Vaistai, kurių sudėtyje yra sakubitrilo/valsartano, vartojami širdies nepakankamumui gydyti.</w:t>
      </w:r>
    </w:p>
    <w:p w14:paraId="59B7CD6C" w14:textId="77777777" w:rsidR="00C05173" w:rsidRPr="00D5161B" w:rsidRDefault="00C05173" w:rsidP="008C6014">
      <w:pPr>
        <w:rPr>
          <w:sz w:val="22"/>
          <w:szCs w:val="22"/>
          <w:lang w:val="lt-LT"/>
        </w:rPr>
      </w:pPr>
    </w:p>
    <w:p w14:paraId="7B5096FA" w14:textId="77777777" w:rsidR="00D90BAB" w:rsidRPr="00D5161B" w:rsidRDefault="00B61707" w:rsidP="008C6014">
      <w:pPr>
        <w:rPr>
          <w:b/>
          <w:bCs/>
          <w:sz w:val="22"/>
          <w:szCs w:val="22"/>
          <w:lang w:val="lt-LT"/>
        </w:rPr>
      </w:pPr>
      <w:r w:rsidRPr="00D5161B">
        <w:rPr>
          <w:b/>
          <w:bCs/>
          <w:sz w:val="22"/>
          <w:szCs w:val="22"/>
          <w:lang w:val="lt-LT"/>
        </w:rPr>
        <w:t>Silungo</w:t>
      </w:r>
      <w:r w:rsidR="00C05173" w:rsidRPr="00D5161B">
        <w:rPr>
          <w:b/>
          <w:bCs/>
          <w:sz w:val="22"/>
          <w:szCs w:val="22"/>
          <w:lang w:val="lt-LT"/>
        </w:rPr>
        <w:t xml:space="preserve"> vartojimas su maistu ir gėrimais </w:t>
      </w:r>
    </w:p>
    <w:p w14:paraId="5DBCE07E" w14:textId="77777777" w:rsidR="00D90BAB" w:rsidRPr="00D5161B" w:rsidRDefault="00C05173" w:rsidP="008C6014">
      <w:pPr>
        <w:rPr>
          <w:sz w:val="22"/>
          <w:szCs w:val="22"/>
          <w:lang w:val="lt-LT"/>
        </w:rPr>
      </w:pPr>
      <w:r w:rsidRPr="00D5161B">
        <w:rPr>
          <w:sz w:val="22"/>
          <w:szCs w:val="22"/>
          <w:lang w:val="lt-LT"/>
        </w:rPr>
        <w:t xml:space="preserve">Gydantis </w:t>
      </w:r>
      <w:r w:rsidR="00B61707" w:rsidRPr="00D5161B">
        <w:rPr>
          <w:sz w:val="22"/>
          <w:szCs w:val="22"/>
          <w:lang w:val="lt-LT"/>
        </w:rPr>
        <w:t>Silungo</w:t>
      </w:r>
      <w:r w:rsidRPr="00D5161B">
        <w:rPr>
          <w:sz w:val="22"/>
          <w:szCs w:val="22"/>
          <w:lang w:val="lt-LT"/>
        </w:rPr>
        <w:t xml:space="preserve">, negalima gerti greipfrutų sulčių. </w:t>
      </w:r>
    </w:p>
    <w:p w14:paraId="31FD1C5D" w14:textId="77777777" w:rsidR="0094035C" w:rsidRPr="00D5161B" w:rsidRDefault="0094035C" w:rsidP="008C6014">
      <w:pPr>
        <w:rPr>
          <w:b/>
          <w:bCs/>
          <w:sz w:val="22"/>
          <w:szCs w:val="22"/>
          <w:lang w:val="lt-LT"/>
        </w:rPr>
      </w:pPr>
    </w:p>
    <w:p w14:paraId="5635E66A" w14:textId="77777777" w:rsidR="00C05173" w:rsidRPr="00D5161B" w:rsidRDefault="00C05173" w:rsidP="008C6014">
      <w:pPr>
        <w:rPr>
          <w:b/>
          <w:bCs/>
          <w:sz w:val="22"/>
          <w:szCs w:val="22"/>
          <w:lang w:val="lt-LT"/>
        </w:rPr>
      </w:pPr>
      <w:r w:rsidRPr="00D5161B">
        <w:rPr>
          <w:b/>
          <w:bCs/>
          <w:sz w:val="22"/>
          <w:szCs w:val="22"/>
          <w:lang w:val="lt-LT"/>
        </w:rPr>
        <w:t>Nėštumas ir žindymo laikotarpis</w:t>
      </w:r>
    </w:p>
    <w:p w14:paraId="6CD5470C" w14:textId="77777777" w:rsidR="00C05173" w:rsidRPr="00D5161B" w:rsidRDefault="00C05173" w:rsidP="008C6014">
      <w:pPr>
        <w:rPr>
          <w:sz w:val="22"/>
          <w:szCs w:val="22"/>
          <w:lang w:val="lt-LT"/>
        </w:rPr>
      </w:pPr>
      <w:r w:rsidRPr="00D5161B">
        <w:rPr>
          <w:sz w:val="22"/>
          <w:szCs w:val="22"/>
          <w:lang w:val="lt-LT"/>
        </w:rPr>
        <w:t xml:space="preserve">Jeigu esate nėščia, žindote kūdikį, manote, kad galbūt esate nėščia arba planuojate pastoti, tai prieš vartodama šį vaistą, pasitarkite su gydytoju arba vaistininku. </w:t>
      </w:r>
      <w:r w:rsidR="00B61707" w:rsidRPr="00D5161B">
        <w:rPr>
          <w:sz w:val="22"/>
          <w:szCs w:val="22"/>
          <w:lang w:val="lt-LT"/>
        </w:rPr>
        <w:t>Silungo</w:t>
      </w:r>
      <w:r w:rsidRPr="00D5161B">
        <w:rPr>
          <w:sz w:val="22"/>
          <w:szCs w:val="22"/>
          <w:lang w:val="lt-LT"/>
        </w:rPr>
        <w:t xml:space="preserve"> negalima vartoti nėštumo metu, išskyrus atvejus, kai tai neabejotinai būtina.</w:t>
      </w:r>
    </w:p>
    <w:p w14:paraId="4D138FB2" w14:textId="77777777" w:rsidR="00C05173" w:rsidRPr="00D5161B" w:rsidRDefault="00C05173" w:rsidP="008C6014">
      <w:pPr>
        <w:rPr>
          <w:sz w:val="22"/>
          <w:szCs w:val="22"/>
          <w:lang w:val="lt-LT"/>
        </w:rPr>
      </w:pPr>
    </w:p>
    <w:p w14:paraId="027C6EB8" w14:textId="77777777" w:rsidR="00C05173" w:rsidRPr="00D5161B" w:rsidRDefault="00B61707" w:rsidP="008C6014">
      <w:pPr>
        <w:rPr>
          <w:sz w:val="22"/>
          <w:szCs w:val="22"/>
          <w:lang w:val="lt-LT"/>
        </w:rPr>
      </w:pPr>
      <w:r w:rsidRPr="00D5161B">
        <w:rPr>
          <w:sz w:val="22"/>
          <w:szCs w:val="22"/>
          <w:lang w:val="lt-LT"/>
        </w:rPr>
        <w:t>Silungo</w:t>
      </w:r>
      <w:r w:rsidR="00C05173" w:rsidRPr="00D5161B">
        <w:rPr>
          <w:sz w:val="22"/>
          <w:szCs w:val="22"/>
          <w:lang w:val="lt-LT"/>
        </w:rPr>
        <w:t xml:space="preserve"> negalima vartoti vaisingo amžiaus moterims, išskyrus moteris, kurios naudoja veiksmingą kontracepcijos metodą.</w:t>
      </w:r>
    </w:p>
    <w:p w14:paraId="7AB02E28" w14:textId="77777777" w:rsidR="00C05173" w:rsidRPr="00D5161B" w:rsidRDefault="00C05173" w:rsidP="008C6014">
      <w:pPr>
        <w:rPr>
          <w:sz w:val="22"/>
          <w:szCs w:val="22"/>
          <w:lang w:val="lt-LT"/>
        </w:rPr>
      </w:pPr>
    </w:p>
    <w:p w14:paraId="7239C09C" w14:textId="293C59AC" w:rsidR="00B3238A" w:rsidRPr="00D5161B" w:rsidRDefault="00B3238A" w:rsidP="008C6014">
      <w:pPr>
        <w:rPr>
          <w:sz w:val="22"/>
          <w:szCs w:val="22"/>
          <w:lang w:val="lt-LT"/>
        </w:rPr>
      </w:pPr>
      <w:r w:rsidRPr="00B3238A">
        <w:rPr>
          <w:sz w:val="22"/>
          <w:szCs w:val="22"/>
          <w:lang w:val="lt-LT"/>
        </w:rPr>
        <w:t xml:space="preserve">Į motinos pieną prasiskverbia labai nedidelis </w:t>
      </w:r>
      <w:r>
        <w:rPr>
          <w:sz w:val="22"/>
          <w:szCs w:val="22"/>
          <w:lang w:val="lt-LT"/>
        </w:rPr>
        <w:t>Silungo</w:t>
      </w:r>
      <w:r w:rsidRPr="00B3238A">
        <w:rPr>
          <w:sz w:val="22"/>
          <w:szCs w:val="22"/>
          <w:lang w:val="lt-LT"/>
        </w:rPr>
        <w:t xml:space="preserve"> kiekis ir nesitikima, kad tai pakenktų Jūsų kūdikiui.</w:t>
      </w:r>
    </w:p>
    <w:p w14:paraId="77EE5CEC" w14:textId="77777777" w:rsidR="008C6014" w:rsidRPr="00D5161B" w:rsidRDefault="008C6014" w:rsidP="008C6014">
      <w:pPr>
        <w:rPr>
          <w:sz w:val="22"/>
          <w:szCs w:val="22"/>
          <w:lang w:val="lt-LT"/>
        </w:rPr>
      </w:pPr>
    </w:p>
    <w:p w14:paraId="0E6FBB2E" w14:textId="77777777" w:rsidR="00C05173" w:rsidRPr="00D5161B" w:rsidRDefault="00C05173" w:rsidP="008C6014">
      <w:pPr>
        <w:rPr>
          <w:b/>
          <w:sz w:val="22"/>
          <w:szCs w:val="22"/>
          <w:lang w:val="lt-LT"/>
        </w:rPr>
      </w:pPr>
      <w:r w:rsidRPr="00D5161B">
        <w:rPr>
          <w:b/>
          <w:sz w:val="22"/>
          <w:szCs w:val="22"/>
          <w:lang w:val="lt-LT"/>
        </w:rPr>
        <w:t>Vairavimas ir mechanizmų valdymas</w:t>
      </w:r>
    </w:p>
    <w:p w14:paraId="6F6C877C" w14:textId="77777777" w:rsidR="00C05173" w:rsidRPr="00D5161B" w:rsidRDefault="00C05173" w:rsidP="008C6014">
      <w:pPr>
        <w:rPr>
          <w:b/>
          <w:bCs/>
          <w:sz w:val="22"/>
          <w:szCs w:val="22"/>
          <w:lang w:val="lt-LT"/>
        </w:rPr>
      </w:pPr>
    </w:p>
    <w:p w14:paraId="31968D98" w14:textId="77777777" w:rsidR="00C05173" w:rsidRPr="00D5161B" w:rsidRDefault="00B61707" w:rsidP="008C6014">
      <w:pPr>
        <w:rPr>
          <w:sz w:val="22"/>
          <w:szCs w:val="22"/>
          <w:lang w:val="lt-LT"/>
        </w:rPr>
      </w:pPr>
      <w:r w:rsidRPr="00D5161B">
        <w:rPr>
          <w:sz w:val="22"/>
          <w:szCs w:val="22"/>
          <w:lang w:val="lt-LT"/>
        </w:rPr>
        <w:t>Silungo</w:t>
      </w:r>
      <w:r w:rsidR="00C05173" w:rsidRPr="00D5161B">
        <w:rPr>
          <w:sz w:val="22"/>
          <w:szCs w:val="22"/>
          <w:lang w:val="lt-LT"/>
        </w:rPr>
        <w:t xml:space="preserve"> gali sukelti </w:t>
      </w:r>
      <w:r w:rsidR="00426652">
        <w:rPr>
          <w:sz w:val="22"/>
          <w:szCs w:val="22"/>
          <w:lang w:val="lt-LT"/>
        </w:rPr>
        <w:t xml:space="preserve"> svaigulį </w:t>
      </w:r>
      <w:r w:rsidR="00C05173" w:rsidRPr="00D5161B">
        <w:rPr>
          <w:sz w:val="22"/>
          <w:szCs w:val="22"/>
          <w:lang w:val="lt-LT"/>
        </w:rPr>
        <w:t>ir gali pabloginti regėjimą. Prieš vairuodami ir valdydami mechanizmus, pasitikrinkite, ar vaistas nesukėlė tokio poveikio.</w:t>
      </w:r>
    </w:p>
    <w:p w14:paraId="77C2C945" w14:textId="77777777" w:rsidR="00C05173" w:rsidRPr="00D5161B" w:rsidRDefault="00C05173" w:rsidP="008C6014">
      <w:pPr>
        <w:rPr>
          <w:sz w:val="22"/>
          <w:szCs w:val="22"/>
          <w:lang w:val="lt-LT"/>
        </w:rPr>
      </w:pPr>
    </w:p>
    <w:p w14:paraId="06B06018" w14:textId="77777777" w:rsidR="00C05173" w:rsidRPr="000C463E" w:rsidRDefault="00B61707" w:rsidP="008C6014">
      <w:pPr>
        <w:rPr>
          <w:b/>
          <w:sz w:val="22"/>
          <w:szCs w:val="22"/>
          <w:lang w:val="lt-LT"/>
        </w:rPr>
      </w:pPr>
      <w:r w:rsidRPr="000C463E">
        <w:rPr>
          <w:b/>
          <w:sz w:val="22"/>
          <w:szCs w:val="22"/>
          <w:lang w:val="lt-LT"/>
        </w:rPr>
        <w:t>Silungo</w:t>
      </w:r>
      <w:r w:rsidR="00C05173" w:rsidRPr="000C463E">
        <w:rPr>
          <w:b/>
          <w:sz w:val="22"/>
          <w:szCs w:val="22"/>
          <w:lang w:val="lt-LT"/>
        </w:rPr>
        <w:t xml:space="preserve"> sudėtyje yra laktozės</w:t>
      </w:r>
    </w:p>
    <w:p w14:paraId="37632E4B" w14:textId="77777777" w:rsidR="00C05173" w:rsidRPr="00D5161B" w:rsidRDefault="00C05173" w:rsidP="008C6014">
      <w:pPr>
        <w:pStyle w:val="Pagrindinistekstas"/>
        <w:rPr>
          <w:lang w:val="lt-LT"/>
        </w:rPr>
      </w:pPr>
      <w:r w:rsidRPr="00D5161B">
        <w:rPr>
          <w:lang w:val="lt-LT"/>
        </w:rPr>
        <w:t xml:space="preserve">Jeigu gydytojas </w:t>
      </w:r>
      <w:r w:rsidR="005E5846">
        <w:rPr>
          <w:lang w:val="lt-LT"/>
        </w:rPr>
        <w:t xml:space="preserve">Jums </w:t>
      </w:r>
      <w:r w:rsidRPr="00D5161B">
        <w:rPr>
          <w:lang w:val="lt-LT"/>
        </w:rPr>
        <w:t xml:space="preserve">yra sakęs, kad netoleruojate </w:t>
      </w:r>
      <w:r w:rsidR="00D5161B">
        <w:rPr>
          <w:lang w:val="lt-LT"/>
        </w:rPr>
        <w:t>kokių nors angliavandenių</w:t>
      </w:r>
      <w:r w:rsidRPr="00D5161B">
        <w:rPr>
          <w:lang w:val="lt-LT"/>
        </w:rPr>
        <w:t xml:space="preserve">, </w:t>
      </w:r>
      <w:r w:rsidR="00D5161B">
        <w:rPr>
          <w:lang w:val="lt-LT"/>
        </w:rPr>
        <w:t>kreipkitės į jį prieš pradėdami vartoti šį vaistą.</w:t>
      </w:r>
    </w:p>
    <w:p w14:paraId="72F3C836" w14:textId="77777777" w:rsidR="00C05173" w:rsidRDefault="00C05173" w:rsidP="008C6014">
      <w:pPr>
        <w:rPr>
          <w:sz w:val="22"/>
          <w:szCs w:val="22"/>
          <w:lang w:val="lt-LT"/>
        </w:rPr>
      </w:pPr>
    </w:p>
    <w:p w14:paraId="513EBD15" w14:textId="2072F9E7" w:rsidR="00A76DBB" w:rsidRPr="00A76DBB" w:rsidRDefault="00A76DBB" w:rsidP="008C6014">
      <w:pPr>
        <w:rPr>
          <w:b/>
          <w:bCs/>
          <w:sz w:val="22"/>
          <w:szCs w:val="22"/>
          <w:lang w:val="lt-LT"/>
        </w:rPr>
      </w:pPr>
      <w:r w:rsidRPr="00A76DBB">
        <w:rPr>
          <w:b/>
          <w:bCs/>
          <w:sz w:val="22"/>
          <w:szCs w:val="22"/>
          <w:lang w:val="lt-LT"/>
        </w:rPr>
        <w:t>Silungo sudėtyje yra natrio</w:t>
      </w:r>
    </w:p>
    <w:p w14:paraId="4276E711" w14:textId="77777777" w:rsidR="003F1AAB" w:rsidRPr="00AE5BD5" w:rsidRDefault="003F1AAB" w:rsidP="003F1AAB">
      <w:pPr>
        <w:rPr>
          <w:sz w:val="22"/>
          <w:szCs w:val="22"/>
          <w:lang w:val="lt-LT"/>
        </w:rPr>
      </w:pPr>
      <w:r w:rsidRPr="00E10A93">
        <w:rPr>
          <w:sz w:val="22"/>
          <w:szCs w:val="22"/>
          <w:lang w:val="lt-LT"/>
        </w:rPr>
        <w:t>Šio vaistinio preparato vienoje plėvele dengtoje tabletėje yra mažiau kaip 1 mmol (23 mg) natrio, t. y. jis beveik neturi reikšmės.</w:t>
      </w:r>
    </w:p>
    <w:p w14:paraId="0D54BF13" w14:textId="77777777" w:rsidR="0094035C" w:rsidRDefault="0094035C" w:rsidP="0094035C">
      <w:pPr>
        <w:widowControl/>
        <w:numPr>
          <w:ilvl w:val="12"/>
          <w:numId w:val="0"/>
        </w:numPr>
        <w:autoSpaceDE/>
        <w:autoSpaceDN/>
        <w:adjustRightInd/>
        <w:ind w:right="-2"/>
        <w:rPr>
          <w:rFonts w:eastAsia="Times New Roman"/>
          <w:snapToGrid w:val="0"/>
          <w:sz w:val="22"/>
          <w:szCs w:val="22"/>
          <w:lang w:val="lt-LT"/>
        </w:rPr>
      </w:pPr>
    </w:p>
    <w:p w14:paraId="3543B850" w14:textId="77777777" w:rsidR="008E4E59" w:rsidRPr="005A3594" w:rsidRDefault="008E4E59" w:rsidP="0094035C">
      <w:pPr>
        <w:widowControl/>
        <w:numPr>
          <w:ilvl w:val="12"/>
          <w:numId w:val="0"/>
        </w:numPr>
        <w:autoSpaceDE/>
        <w:autoSpaceDN/>
        <w:adjustRightInd/>
        <w:ind w:right="-2"/>
        <w:rPr>
          <w:rFonts w:eastAsia="Times New Roman"/>
          <w:snapToGrid w:val="0"/>
          <w:sz w:val="22"/>
          <w:szCs w:val="22"/>
          <w:lang w:val="lt-LT"/>
        </w:rPr>
      </w:pPr>
    </w:p>
    <w:p w14:paraId="0732EE55" w14:textId="77777777" w:rsidR="0094035C" w:rsidRPr="00AE5BD5" w:rsidRDefault="0094035C" w:rsidP="0094035C">
      <w:pPr>
        <w:keepNext/>
        <w:keepLines/>
        <w:widowControl/>
        <w:tabs>
          <w:tab w:val="left" w:pos="567"/>
        </w:tabs>
        <w:autoSpaceDE/>
        <w:autoSpaceDN/>
        <w:adjustRightInd/>
        <w:outlineLvl w:val="2"/>
        <w:rPr>
          <w:rFonts w:eastAsia="Times New Roman"/>
          <w:b/>
          <w:bCs/>
          <w:snapToGrid w:val="0"/>
          <w:sz w:val="22"/>
          <w:szCs w:val="22"/>
          <w:lang w:val="lt-LT" w:eastAsia="x-none"/>
        </w:rPr>
      </w:pPr>
      <w:r w:rsidRPr="00AE5BD5">
        <w:rPr>
          <w:rFonts w:eastAsia="Times New Roman"/>
          <w:b/>
          <w:bCs/>
          <w:snapToGrid w:val="0"/>
          <w:sz w:val="22"/>
          <w:szCs w:val="22"/>
          <w:lang w:val="lt-LT" w:eastAsia="x-none"/>
        </w:rPr>
        <w:t>3.</w:t>
      </w:r>
      <w:r w:rsidRPr="00AE5BD5">
        <w:rPr>
          <w:rFonts w:eastAsia="Times New Roman"/>
          <w:b/>
          <w:bCs/>
          <w:snapToGrid w:val="0"/>
          <w:sz w:val="22"/>
          <w:szCs w:val="22"/>
          <w:lang w:val="lt-LT" w:eastAsia="x-none"/>
        </w:rPr>
        <w:tab/>
        <w:t>Kaip vartoti Silungo</w:t>
      </w:r>
    </w:p>
    <w:p w14:paraId="47EDEFB8" w14:textId="77777777" w:rsidR="00C05173" w:rsidRPr="00D5161B" w:rsidRDefault="00C05173" w:rsidP="008C6014">
      <w:pPr>
        <w:rPr>
          <w:b/>
          <w:bCs/>
          <w:sz w:val="22"/>
          <w:szCs w:val="22"/>
          <w:lang w:val="lt-LT"/>
        </w:rPr>
      </w:pPr>
    </w:p>
    <w:p w14:paraId="0E125291" w14:textId="77777777" w:rsidR="00C05173" w:rsidRPr="00D5161B" w:rsidRDefault="00C05173" w:rsidP="008C6014">
      <w:pPr>
        <w:rPr>
          <w:sz w:val="22"/>
          <w:szCs w:val="22"/>
          <w:lang w:val="lt-LT"/>
        </w:rPr>
      </w:pPr>
      <w:r w:rsidRPr="00D5161B">
        <w:rPr>
          <w:sz w:val="22"/>
          <w:szCs w:val="22"/>
          <w:lang w:val="lt-LT"/>
        </w:rPr>
        <w:t>Visada vartokite šį vaistą tiksliai kaip nurodė gydytojas. Jeigu abejojate, kreipkitės į gydytoją arba vaistininką.</w:t>
      </w:r>
    </w:p>
    <w:p w14:paraId="6FF64DA7" w14:textId="77777777" w:rsidR="00C05173" w:rsidRPr="00D5161B" w:rsidRDefault="00C05173" w:rsidP="008C6014">
      <w:pPr>
        <w:rPr>
          <w:sz w:val="22"/>
          <w:szCs w:val="22"/>
          <w:lang w:val="lt-LT"/>
        </w:rPr>
      </w:pPr>
    </w:p>
    <w:p w14:paraId="570DFCB9" w14:textId="77777777" w:rsidR="00C05173" w:rsidRPr="00D5161B" w:rsidRDefault="00C05173" w:rsidP="008C6014">
      <w:pPr>
        <w:rPr>
          <w:sz w:val="22"/>
          <w:szCs w:val="22"/>
          <w:lang w:val="lt-LT"/>
        </w:rPr>
      </w:pPr>
      <w:r w:rsidRPr="00D5161B">
        <w:rPr>
          <w:sz w:val="22"/>
          <w:szCs w:val="22"/>
          <w:lang w:val="lt-LT"/>
        </w:rPr>
        <w:t>Rekomenduojama dozė suaugusiesiems yra po 20</w:t>
      </w:r>
      <w:r w:rsidR="0056076A">
        <w:rPr>
          <w:sz w:val="22"/>
          <w:szCs w:val="22"/>
          <w:lang w:val="lt-LT"/>
        </w:rPr>
        <w:t> </w:t>
      </w:r>
      <w:r w:rsidRPr="00D5161B">
        <w:rPr>
          <w:sz w:val="22"/>
          <w:szCs w:val="22"/>
          <w:lang w:val="lt-LT"/>
        </w:rPr>
        <w:t>mg tris kartus per parą (kas 6-8 valandas); ją reikia išgerti valgant arba be maisto.</w:t>
      </w:r>
    </w:p>
    <w:p w14:paraId="4EA52531" w14:textId="77777777" w:rsidR="00C05173" w:rsidRPr="00D5161B" w:rsidRDefault="00C05173" w:rsidP="008C6014">
      <w:pPr>
        <w:rPr>
          <w:sz w:val="22"/>
          <w:szCs w:val="22"/>
          <w:lang w:val="lt-LT"/>
        </w:rPr>
      </w:pPr>
    </w:p>
    <w:p w14:paraId="3090966E" w14:textId="77777777" w:rsidR="00C05173" w:rsidRPr="00D5161B" w:rsidRDefault="00C05173" w:rsidP="008C6014">
      <w:pPr>
        <w:rPr>
          <w:b/>
          <w:sz w:val="22"/>
          <w:szCs w:val="22"/>
          <w:lang w:val="lt-LT"/>
        </w:rPr>
      </w:pPr>
      <w:r w:rsidRPr="00D5161B">
        <w:rPr>
          <w:b/>
          <w:sz w:val="22"/>
          <w:szCs w:val="22"/>
          <w:lang w:val="lt-LT"/>
        </w:rPr>
        <w:t>Vartojimas vaikams ir paaugliams</w:t>
      </w:r>
    </w:p>
    <w:p w14:paraId="35E7B455" w14:textId="77777777" w:rsidR="00C05173" w:rsidRPr="00D5161B" w:rsidRDefault="00C05173" w:rsidP="0056076A">
      <w:pPr>
        <w:rPr>
          <w:sz w:val="22"/>
          <w:szCs w:val="22"/>
          <w:lang w:val="lt-LT"/>
        </w:rPr>
      </w:pPr>
      <w:r w:rsidRPr="00D5161B">
        <w:rPr>
          <w:sz w:val="22"/>
          <w:szCs w:val="22"/>
          <w:lang w:val="lt-LT"/>
        </w:rPr>
        <w:t xml:space="preserve">Rekomenduojama dozė vaikams ir paaugliams nuo 1 iki 17 metų yra arba po 10 mg  tris kartus per parą vaikams ir paaugliams, kurių kūno </w:t>
      </w:r>
      <w:r w:rsidR="0059180B">
        <w:rPr>
          <w:sz w:val="22"/>
          <w:szCs w:val="22"/>
          <w:lang w:val="lt-LT"/>
        </w:rPr>
        <w:t xml:space="preserve"> svoris </w:t>
      </w:r>
      <w:r w:rsidRPr="00D5161B">
        <w:rPr>
          <w:sz w:val="22"/>
          <w:szCs w:val="22"/>
          <w:lang w:val="lt-LT"/>
        </w:rPr>
        <w:t>yra ≤ 20</w:t>
      </w:r>
      <w:r w:rsidR="0056076A">
        <w:rPr>
          <w:sz w:val="22"/>
          <w:szCs w:val="22"/>
          <w:lang w:val="lt-LT"/>
        </w:rPr>
        <w:t> </w:t>
      </w:r>
      <w:r w:rsidRPr="00D5161B">
        <w:rPr>
          <w:sz w:val="22"/>
          <w:szCs w:val="22"/>
          <w:lang w:val="lt-LT"/>
        </w:rPr>
        <w:t>kg, arba po 20</w:t>
      </w:r>
      <w:r w:rsidR="0056076A">
        <w:rPr>
          <w:sz w:val="22"/>
          <w:szCs w:val="22"/>
          <w:lang w:val="lt-LT"/>
        </w:rPr>
        <w:t> </w:t>
      </w:r>
      <w:r w:rsidRPr="00D5161B">
        <w:rPr>
          <w:sz w:val="22"/>
          <w:szCs w:val="22"/>
          <w:lang w:val="lt-LT"/>
        </w:rPr>
        <w:t xml:space="preserve">mg  tris kartus per parą vaikams ir paaugliams, kurių kūno </w:t>
      </w:r>
      <w:r w:rsidR="0059180B">
        <w:rPr>
          <w:sz w:val="22"/>
          <w:szCs w:val="22"/>
          <w:lang w:val="lt-LT"/>
        </w:rPr>
        <w:t xml:space="preserve"> svoris </w:t>
      </w:r>
      <w:r w:rsidRPr="00D5161B">
        <w:rPr>
          <w:sz w:val="22"/>
          <w:szCs w:val="22"/>
          <w:lang w:val="lt-LT"/>
        </w:rPr>
        <w:t>yra &gt; 20 kg. Dozę reikia išgerti valgant arba be maisto. Didesnių dozių vaikams vartoti negalima. Šį vaistą reikia vartoti tik tokiu atveju, jei skiriama dozė yra 20</w:t>
      </w:r>
      <w:r w:rsidR="0056076A">
        <w:rPr>
          <w:sz w:val="22"/>
          <w:szCs w:val="22"/>
          <w:lang w:val="lt-LT"/>
        </w:rPr>
        <w:t> </w:t>
      </w:r>
      <w:r w:rsidRPr="00D5161B">
        <w:rPr>
          <w:sz w:val="22"/>
          <w:szCs w:val="22"/>
          <w:lang w:val="lt-LT"/>
        </w:rPr>
        <w:t xml:space="preserve">mg tris kartus per parą. Pacientams, kurių kūno </w:t>
      </w:r>
      <w:r w:rsidR="0059180B">
        <w:rPr>
          <w:sz w:val="22"/>
          <w:szCs w:val="22"/>
          <w:lang w:val="lt-LT"/>
        </w:rPr>
        <w:t xml:space="preserve"> svoris </w:t>
      </w:r>
      <w:r w:rsidRPr="00D5161B">
        <w:rPr>
          <w:sz w:val="22"/>
          <w:szCs w:val="22"/>
          <w:lang w:val="lt-LT"/>
        </w:rPr>
        <w:t>≤ 20</w:t>
      </w:r>
      <w:r w:rsidR="0056076A">
        <w:rPr>
          <w:sz w:val="22"/>
          <w:szCs w:val="22"/>
          <w:lang w:val="lt-LT"/>
        </w:rPr>
        <w:t> </w:t>
      </w:r>
      <w:r w:rsidRPr="00D5161B">
        <w:rPr>
          <w:sz w:val="22"/>
          <w:szCs w:val="22"/>
          <w:lang w:val="lt-LT"/>
        </w:rPr>
        <w:t>kg ir tiems jaunesniems pacientams, kurie negali nuryti</w:t>
      </w:r>
      <w:r w:rsidRPr="00D5161B">
        <w:rPr>
          <w:spacing w:val="-5"/>
          <w:sz w:val="22"/>
          <w:szCs w:val="22"/>
          <w:lang w:val="lt-LT"/>
        </w:rPr>
        <w:t xml:space="preserve"> </w:t>
      </w:r>
      <w:r w:rsidRPr="00D5161B">
        <w:rPr>
          <w:sz w:val="22"/>
          <w:szCs w:val="22"/>
          <w:lang w:val="lt-LT"/>
        </w:rPr>
        <w:t>tablečių,</w:t>
      </w:r>
      <w:r w:rsidRPr="00D5161B">
        <w:rPr>
          <w:spacing w:val="-7"/>
          <w:sz w:val="22"/>
          <w:szCs w:val="22"/>
          <w:lang w:val="lt-LT"/>
        </w:rPr>
        <w:t xml:space="preserve"> </w:t>
      </w:r>
      <w:r w:rsidRPr="00D5161B">
        <w:rPr>
          <w:sz w:val="22"/>
          <w:szCs w:val="22"/>
          <w:lang w:val="lt-LT"/>
        </w:rPr>
        <w:t>labiau</w:t>
      </w:r>
      <w:r w:rsidRPr="00D5161B">
        <w:rPr>
          <w:spacing w:val="-5"/>
          <w:sz w:val="22"/>
          <w:szCs w:val="22"/>
          <w:lang w:val="lt-LT"/>
        </w:rPr>
        <w:t xml:space="preserve"> </w:t>
      </w:r>
      <w:r w:rsidRPr="00D5161B">
        <w:rPr>
          <w:sz w:val="22"/>
          <w:szCs w:val="22"/>
          <w:lang w:val="lt-LT"/>
        </w:rPr>
        <w:t>tinkamos</w:t>
      </w:r>
      <w:r w:rsidRPr="00D5161B">
        <w:rPr>
          <w:spacing w:val="-5"/>
          <w:sz w:val="22"/>
          <w:szCs w:val="22"/>
          <w:lang w:val="lt-LT"/>
        </w:rPr>
        <w:t xml:space="preserve"> </w:t>
      </w:r>
      <w:r w:rsidRPr="00D5161B">
        <w:rPr>
          <w:sz w:val="22"/>
          <w:szCs w:val="22"/>
          <w:lang w:val="lt-LT"/>
        </w:rPr>
        <w:t>gali</w:t>
      </w:r>
      <w:r w:rsidRPr="00D5161B">
        <w:rPr>
          <w:spacing w:val="-5"/>
          <w:sz w:val="22"/>
          <w:szCs w:val="22"/>
          <w:lang w:val="lt-LT"/>
        </w:rPr>
        <w:t xml:space="preserve"> </w:t>
      </w:r>
      <w:r w:rsidRPr="00D5161B">
        <w:rPr>
          <w:sz w:val="22"/>
          <w:szCs w:val="22"/>
          <w:lang w:val="lt-LT"/>
        </w:rPr>
        <w:t>būti</w:t>
      </w:r>
      <w:r w:rsidRPr="00D5161B">
        <w:rPr>
          <w:spacing w:val="-5"/>
          <w:sz w:val="22"/>
          <w:szCs w:val="22"/>
          <w:lang w:val="lt-LT"/>
        </w:rPr>
        <w:t xml:space="preserve"> </w:t>
      </w:r>
      <w:r w:rsidRPr="00D5161B">
        <w:rPr>
          <w:sz w:val="22"/>
          <w:szCs w:val="22"/>
          <w:lang w:val="lt-LT"/>
        </w:rPr>
        <w:t>kitos</w:t>
      </w:r>
      <w:r w:rsidRPr="00D5161B">
        <w:rPr>
          <w:spacing w:val="-5"/>
          <w:sz w:val="22"/>
          <w:szCs w:val="22"/>
          <w:lang w:val="lt-LT"/>
        </w:rPr>
        <w:t xml:space="preserve"> </w:t>
      </w:r>
      <w:r w:rsidRPr="00D5161B">
        <w:rPr>
          <w:sz w:val="22"/>
          <w:szCs w:val="22"/>
          <w:lang w:val="lt-LT"/>
        </w:rPr>
        <w:t>farmacinės</w:t>
      </w:r>
      <w:r w:rsidRPr="00D5161B">
        <w:rPr>
          <w:spacing w:val="-5"/>
          <w:sz w:val="22"/>
          <w:szCs w:val="22"/>
          <w:lang w:val="lt-LT"/>
        </w:rPr>
        <w:t xml:space="preserve"> </w:t>
      </w:r>
      <w:r w:rsidRPr="00D5161B">
        <w:rPr>
          <w:sz w:val="22"/>
          <w:szCs w:val="22"/>
          <w:lang w:val="lt-LT"/>
        </w:rPr>
        <w:t>formos.</w:t>
      </w:r>
    </w:p>
    <w:p w14:paraId="14FDE777" w14:textId="77777777" w:rsidR="00C05173" w:rsidRPr="00D5161B" w:rsidRDefault="00C05173" w:rsidP="008C6014">
      <w:pPr>
        <w:rPr>
          <w:sz w:val="22"/>
          <w:szCs w:val="22"/>
          <w:lang w:val="lt-LT"/>
        </w:rPr>
      </w:pPr>
    </w:p>
    <w:p w14:paraId="6BA577C0" w14:textId="77777777" w:rsidR="00C05173" w:rsidRPr="00D5161B" w:rsidRDefault="00C05173" w:rsidP="008C6014">
      <w:pPr>
        <w:rPr>
          <w:b/>
          <w:sz w:val="22"/>
          <w:szCs w:val="22"/>
          <w:lang w:val="lt-LT"/>
        </w:rPr>
      </w:pPr>
      <w:r w:rsidRPr="00D5161B">
        <w:rPr>
          <w:b/>
          <w:sz w:val="22"/>
          <w:szCs w:val="22"/>
          <w:lang w:val="lt-LT"/>
        </w:rPr>
        <w:t xml:space="preserve">Ką daryti pavartojus per didelę </w:t>
      </w:r>
      <w:r w:rsidR="00B61707" w:rsidRPr="00D5161B">
        <w:rPr>
          <w:b/>
          <w:sz w:val="22"/>
          <w:szCs w:val="22"/>
          <w:lang w:val="lt-LT"/>
        </w:rPr>
        <w:t>Silungo</w:t>
      </w:r>
      <w:r w:rsidRPr="00D5161B">
        <w:rPr>
          <w:b/>
          <w:sz w:val="22"/>
          <w:szCs w:val="22"/>
          <w:lang w:val="lt-LT"/>
        </w:rPr>
        <w:t xml:space="preserve"> dozę?</w:t>
      </w:r>
    </w:p>
    <w:p w14:paraId="45EFF171" w14:textId="77777777" w:rsidR="00C05173" w:rsidRPr="00D5161B" w:rsidRDefault="00C05173" w:rsidP="008C6014">
      <w:pPr>
        <w:rPr>
          <w:sz w:val="22"/>
          <w:szCs w:val="22"/>
          <w:lang w:val="lt-LT"/>
        </w:rPr>
      </w:pPr>
      <w:r w:rsidRPr="00D5161B">
        <w:rPr>
          <w:sz w:val="22"/>
          <w:szCs w:val="22"/>
          <w:lang w:val="lt-LT"/>
        </w:rPr>
        <w:t>Negalima gerti daugiau vaisto negu skyrė gydytojas.</w:t>
      </w:r>
    </w:p>
    <w:p w14:paraId="210E5D16" w14:textId="77777777" w:rsidR="00C05173" w:rsidRPr="00D5161B" w:rsidRDefault="00C05173" w:rsidP="008C6014">
      <w:pPr>
        <w:rPr>
          <w:sz w:val="22"/>
          <w:szCs w:val="22"/>
          <w:lang w:val="lt-LT"/>
        </w:rPr>
      </w:pPr>
    </w:p>
    <w:p w14:paraId="3F15D116" w14:textId="77777777" w:rsidR="00C05173" w:rsidRPr="00D5161B" w:rsidRDefault="00C05173" w:rsidP="00F76B1E">
      <w:pPr>
        <w:rPr>
          <w:sz w:val="22"/>
          <w:szCs w:val="22"/>
          <w:lang w:val="lt-LT"/>
        </w:rPr>
      </w:pPr>
      <w:r w:rsidRPr="00D5161B">
        <w:rPr>
          <w:sz w:val="22"/>
          <w:szCs w:val="22"/>
          <w:lang w:val="lt-LT"/>
        </w:rPr>
        <w:t xml:space="preserve">Jeigu išgėrėte per daug vaisto, nedelsdami kreipkitės į gydytoją. Pavartojus per daug </w:t>
      </w:r>
      <w:r w:rsidR="00B61707" w:rsidRPr="00D5161B">
        <w:rPr>
          <w:sz w:val="22"/>
          <w:szCs w:val="22"/>
          <w:lang w:val="lt-LT"/>
        </w:rPr>
        <w:t>Silungo</w:t>
      </w:r>
      <w:r w:rsidRPr="00D5161B">
        <w:rPr>
          <w:sz w:val="22"/>
          <w:szCs w:val="22"/>
          <w:lang w:val="lt-LT"/>
        </w:rPr>
        <w:t>, gali padidėti žinomo šalutinio poveikio pasireiškimo pavojus.</w:t>
      </w:r>
    </w:p>
    <w:p w14:paraId="43030665" w14:textId="77777777" w:rsidR="00F76B1E" w:rsidRPr="00D5161B" w:rsidRDefault="00F76B1E" w:rsidP="008C6014">
      <w:pPr>
        <w:rPr>
          <w:b/>
          <w:sz w:val="22"/>
          <w:szCs w:val="22"/>
          <w:lang w:val="lt-LT"/>
        </w:rPr>
      </w:pPr>
    </w:p>
    <w:p w14:paraId="66191C84" w14:textId="77777777" w:rsidR="00C05173" w:rsidRPr="00D5161B" w:rsidRDefault="00C05173" w:rsidP="008C6014">
      <w:pPr>
        <w:rPr>
          <w:b/>
          <w:sz w:val="22"/>
          <w:szCs w:val="22"/>
          <w:lang w:val="lt-LT"/>
        </w:rPr>
      </w:pPr>
      <w:r w:rsidRPr="00D5161B">
        <w:rPr>
          <w:b/>
          <w:sz w:val="22"/>
          <w:szCs w:val="22"/>
          <w:lang w:val="lt-LT"/>
        </w:rPr>
        <w:t xml:space="preserve">Pamiršus pavartoti </w:t>
      </w:r>
      <w:r w:rsidR="00B61707" w:rsidRPr="00D5161B">
        <w:rPr>
          <w:b/>
          <w:sz w:val="22"/>
          <w:szCs w:val="22"/>
          <w:lang w:val="lt-LT"/>
        </w:rPr>
        <w:t>Silungo</w:t>
      </w:r>
    </w:p>
    <w:p w14:paraId="6C67ED42" w14:textId="77777777" w:rsidR="00C05173" w:rsidRPr="00D5161B" w:rsidRDefault="00C05173" w:rsidP="008C6014">
      <w:pPr>
        <w:rPr>
          <w:sz w:val="22"/>
          <w:szCs w:val="22"/>
          <w:lang w:val="lt-LT"/>
        </w:rPr>
      </w:pPr>
      <w:r w:rsidRPr="00D5161B">
        <w:rPr>
          <w:sz w:val="22"/>
          <w:szCs w:val="22"/>
          <w:lang w:val="lt-LT"/>
        </w:rPr>
        <w:t xml:space="preserve">Jeigu pamiršote išgerti </w:t>
      </w:r>
      <w:r w:rsidR="00B61707" w:rsidRPr="00D5161B">
        <w:rPr>
          <w:sz w:val="22"/>
          <w:szCs w:val="22"/>
          <w:lang w:val="lt-LT"/>
        </w:rPr>
        <w:t>Silungo</w:t>
      </w:r>
      <w:r w:rsidRPr="00D5161B">
        <w:rPr>
          <w:sz w:val="22"/>
          <w:szCs w:val="22"/>
          <w:lang w:val="lt-LT"/>
        </w:rPr>
        <w:t xml:space="preserve">, padarykite tai, kai tik prisiminsite. Toliau vaistą vartokite taip, kaip </w:t>
      </w:r>
      <w:r w:rsidRPr="00D5161B">
        <w:rPr>
          <w:sz w:val="22"/>
          <w:szCs w:val="22"/>
          <w:lang w:val="lt-LT"/>
        </w:rPr>
        <w:lastRenderedPageBreak/>
        <w:t>paskirta. Negalima vartoti dvigubos dozės norint kompensuoti praleistą dozę.</w:t>
      </w:r>
    </w:p>
    <w:p w14:paraId="6A060019" w14:textId="77777777" w:rsidR="00C05173" w:rsidRPr="00D5161B" w:rsidRDefault="00C05173" w:rsidP="008C6014">
      <w:pPr>
        <w:rPr>
          <w:sz w:val="22"/>
          <w:szCs w:val="22"/>
          <w:lang w:val="lt-LT"/>
        </w:rPr>
      </w:pPr>
    </w:p>
    <w:p w14:paraId="033EBA7E" w14:textId="77777777" w:rsidR="00C05173" w:rsidRPr="00D5161B" w:rsidRDefault="00C05173" w:rsidP="008C6014">
      <w:pPr>
        <w:rPr>
          <w:b/>
          <w:sz w:val="22"/>
          <w:szCs w:val="22"/>
          <w:lang w:val="lt-LT"/>
        </w:rPr>
      </w:pPr>
      <w:r w:rsidRPr="00D5161B">
        <w:rPr>
          <w:b/>
          <w:sz w:val="22"/>
          <w:szCs w:val="22"/>
          <w:lang w:val="lt-LT"/>
        </w:rPr>
        <w:t xml:space="preserve">Nustojus vartoti </w:t>
      </w:r>
      <w:r w:rsidR="00B61707" w:rsidRPr="00D5161B">
        <w:rPr>
          <w:b/>
          <w:sz w:val="22"/>
          <w:szCs w:val="22"/>
          <w:lang w:val="lt-LT"/>
        </w:rPr>
        <w:t>Silungo</w:t>
      </w:r>
    </w:p>
    <w:p w14:paraId="18852D79" w14:textId="77777777" w:rsidR="00C05173" w:rsidRPr="00D5161B" w:rsidRDefault="00C05173" w:rsidP="008C6014">
      <w:pPr>
        <w:rPr>
          <w:sz w:val="22"/>
          <w:szCs w:val="22"/>
          <w:lang w:val="lt-LT"/>
        </w:rPr>
      </w:pPr>
      <w:r w:rsidRPr="00D5161B">
        <w:rPr>
          <w:sz w:val="22"/>
          <w:szCs w:val="22"/>
          <w:lang w:val="lt-LT"/>
        </w:rPr>
        <w:t xml:space="preserve">Staiga nutraukus gydymą </w:t>
      </w:r>
      <w:r w:rsidR="00B61707" w:rsidRPr="00D5161B">
        <w:rPr>
          <w:sz w:val="22"/>
          <w:szCs w:val="22"/>
          <w:lang w:val="lt-LT"/>
        </w:rPr>
        <w:t>Silungo</w:t>
      </w:r>
      <w:r w:rsidRPr="00D5161B">
        <w:rPr>
          <w:sz w:val="22"/>
          <w:szCs w:val="22"/>
          <w:lang w:val="lt-LT"/>
        </w:rPr>
        <w:t xml:space="preserve">, ligos simptomai gali pablogėti. Vartokite </w:t>
      </w:r>
      <w:r w:rsidR="00B61707" w:rsidRPr="00D5161B">
        <w:rPr>
          <w:sz w:val="22"/>
          <w:szCs w:val="22"/>
          <w:lang w:val="lt-LT"/>
        </w:rPr>
        <w:t>Silungo</w:t>
      </w:r>
      <w:r w:rsidRPr="00D5161B">
        <w:rPr>
          <w:sz w:val="22"/>
          <w:szCs w:val="22"/>
          <w:lang w:val="lt-LT"/>
        </w:rPr>
        <w:t xml:space="preserve"> tiek laiko, kiek liepė gydytojas. Iki gydymo </w:t>
      </w:r>
      <w:r w:rsidR="00B61707" w:rsidRPr="00D5161B">
        <w:rPr>
          <w:sz w:val="22"/>
          <w:szCs w:val="22"/>
          <w:lang w:val="lt-LT"/>
        </w:rPr>
        <w:t>Silungo</w:t>
      </w:r>
      <w:r w:rsidRPr="00D5161B">
        <w:rPr>
          <w:sz w:val="22"/>
          <w:szCs w:val="22"/>
          <w:lang w:val="lt-LT"/>
        </w:rPr>
        <w:t xml:space="preserve"> pabaigos likus kelioms dienoms, gydytojas lieps vartoti mažesnę dozę.</w:t>
      </w:r>
    </w:p>
    <w:p w14:paraId="482E2931" w14:textId="77777777" w:rsidR="00C05173" w:rsidRPr="00D5161B" w:rsidRDefault="00C05173" w:rsidP="008C6014">
      <w:pPr>
        <w:rPr>
          <w:sz w:val="22"/>
          <w:szCs w:val="22"/>
          <w:lang w:val="lt-LT"/>
        </w:rPr>
      </w:pPr>
    </w:p>
    <w:p w14:paraId="2DEF0A0E" w14:textId="77777777" w:rsidR="00C05173" w:rsidRPr="00D5161B" w:rsidRDefault="00C05173" w:rsidP="008C6014">
      <w:pPr>
        <w:rPr>
          <w:sz w:val="22"/>
          <w:szCs w:val="22"/>
          <w:lang w:val="lt-LT"/>
        </w:rPr>
      </w:pPr>
      <w:r w:rsidRPr="00D5161B">
        <w:rPr>
          <w:sz w:val="22"/>
          <w:szCs w:val="22"/>
          <w:lang w:val="lt-LT"/>
        </w:rPr>
        <w:t>Jeigu kiltų daugiau klausimų dėl šio vaisto vartojimo, kreipkitės į gydytoją arba vaistininką.</w:t>
      </w:r>
    </w:p>
    <w:p w14:paraId="466178FA" w14:textId="77777777" w:rsidR="0094035C" w:rsidRPr="005A3594" w:rsidRDefault="0094035C" w:rsidP="0094035C">
      <w:pPr>
        <w:widowControl/>
        <w:numPr>
          <w:ilvl w:val="12"/>
          <w:numId w:val="0"/>
        </w:numPr>
        <w:autoSpaceDE/>
        <w:autoSpaceDN/>
        <w:adjustRightInd/>
        <w:rPr>
          <w:rFonts w:eastAsia="Times New Roman"/>
          <w:snapToGrid w:val="0"/>
          <w:sz w:val="22"/>
          <w:szCs w:val="22"/>
          <w:lang w:val="lt-LT"/>
        </w:rPr>
      </w:pPr>
    </w:p>
    <w:p w14:paraId="246AEA03" w14:textId="77777777" w:rsidR="0094035C" w:rsidRPr="00AE5BD5" w:rsidRDefault="0094035C" w:rsidP="0094035C">
      <w:pPr>
        <w:widowControl/>
        <w:numPr>
          <w:ilvl w:val="12"/>
          <w:numId w:val="0"/>
        </w:numPr>
        <w:autoSpaceDE/>
        <w:autoSpaceDN/>
        <w:adjustRightInd/>
        <w:rPr>
          <w:rFonts w:eastAsia="Times New Roman"/>
          <w:snapToGrid w:val="0"/>
          <w:sz w:val="22"/>
          <w:szCs w:val="22"/>
          <w:lang w:val="lt-LT"/>
        </w:rPr>
      </w:pPr>
    </w:p>
    <w:p w14:paraId="34A02ABD" w14:textId="77777777" w:rsidR="0094035C" w:rsidRPr="008B1AE9" w:rsidRDefault="0094035C" w:rsidP="0094035C">
      <w:pPr>
        <w:keepNext/>
        <w:keepLines/>
        <w:widowControl/>
        <w:tabs>
          <w:tab w:val="left" w:pos="567"/>
        </w:tabs>
        <w:autoSpaceDE/>
        <w:autoSpaceDN/>
        <w:adjustRightInd/>
        <w:outlineLvl w:val="2"/>
        <w:rPr>
          <w:rFonts w:eastAsia="Times New Roman"/>
          <w:b/>
          <w:bCs/>
          <w:snapToGrid w:val="0"/>
          <w:sz w:val="22"/>
          <w:szCs w:val="22"/>
          <w:lang w:val="lt-LT" w:eastAsia="x-none"/>
        </w:rPr>
      </w:pPr>
      <w:r w:rsidRPr="008B1AE9">
        <w:rPr>
          <w:rFonts w:eastAsia="Times New Roman"/>
          <w:b/>
          <w:bCs/>
          <w:snapToGrid w:val="0"/>
          <w:sz w:val="22"/>
          <w:szCs w:val="22"/>
          <w:lang w:val="lt-LT" w:eastAsia="x-none"/>
        </w:rPr>
        <w:t>4.</w:t>
      </w:r>
      <w:r w:rsidRPr="008B1AE9">
        <w:rPr>
          <w:rFonts w:eastAsia="Times New Roman"/>
          <w:b/>
          <w:bCs/>
          <w:snapToGrid w:val="0"/>
          <w:sz w:val="22"/>
          <w:szCs w:val="22"/>
          <w:lang w:val="lt-LT" w:eastAsia="x-none"/>
        </w:rPr>
        <w:tab/>
        <w:t>Galimas šalutinis poveikis</w:t>
      </w:r>
    </w:p>
    <w:p w14:paraId="7F947098" w14:textId="77777777" w:rsidR="00C05173" w:rsidRPr="00D5161B" w:rsidRDefault="00C05173" w:rsidP="008C6014">
      <w:pPr>
        <w:rPr>
          <w:b/>
          <w:bCs/>
          <w:sz w:val="22"/>
          <w:szCs w:val="22"/>
          <w:lang w:val="lt-LT"/>
        </w:rPr>
      </w:pPr>
    </w:p>
    <w:p w14:paraId="7CB0728C" w14:textId="77777777" w:rsidR="00C05173" w:rsidRPr="00D5161B" w:rsidRDefault="00C05173" w:rsidP="008C6014">
      <w:pPr>
        <w:rPr>
          <w:sz w:val="22"/>
          <w:szCs w:val="22"/>
          <w:lang w:val="lt-LT"/>
        </w:rPr>
      </w:pPr>
      <w:r w:rsidRPr="00D5161B">
        <w:rPr>
          <w:sz w:val="22"/>
          <w:szCs w:val="22"/>
          <w:lang w:val="lt-LT"/>
        </w:rPr>
        <w:t>Šis vaistas, kaip ir visi kiti, gali sukelti šalutinį poveikį, nors jis pasireiškia ne visiems žmonėms.</w:t>
      </w:r>
    </w:p>
    <w:p w14:paraId="18276477" w14:textId="77777777" w:rsidR="00C05173" w:rsidRPr="00D5161B" w:rsidRDefault="00C05173" w:rsidP="008C6014">
      <w:pPr>
        <w:rPr>
          <w:sz w:val="22"/>
          <w:szCs w:val="22"/>
          <w:lang w:val="lt-LT"/>
        </w:rPr>
      </w:pPr>
    </w:p>
    <w:p w14:paraId="3A45E998" w14:textId="77777777" w:rsidR="00C05173" w:rsidRPr="00D5161B" w:rsidRDefault="00C05173" w:rsidP="008C6014">
      <w:pPr>
        <w:rPr>
          <w:sz w:val="22"/>
          <w:szCs w:val="22"/>
          <w:lang w:val="lt-LT"/>
        </w:rPr>
      </w:pPr>
      <w:r w:rsidRPr="00D5161B">
        <w:rPr>
          <w:sz w:val="22"/>
          <w:szCs w:val="22"/>
          <w:lang w:val="lt-LT"/>
        </w:rPr>
        <w:t xml:space="preserve">Jeigu pasireiškia kuris nors toliau išvardytas šalutinis poveikis, turite nutraukti </w:t>
      </w:r>
      <w:r w:rsidR="00B61707" w:rsidRPr="00D5161B">
        <w:rPr>
          <w:sz w:val="22"/>
          <w:szCs w:val="22"/>
          <w:lang w:val="lt-LT"/>
        </w:rPr>
        <w:t>Silungo</w:t>
      </w:r>
      <w:r w:rsidRPr="00D5161B">
        <w:rPr>
          <w:sz w:val="22"/>
          <w:szCs w:val="22"/>
          <w:lang w:val="lt-LT"/>
        </w:rPr>
        <w:t xml:space="preserve"> vartojimą ir nedelsdami kreiptis į gydytoją (taip pat žr. 2 skyrių):</w:t>
      </w:r>
    </w:p>
    <w:p w14:paraId="271F472F" w14:textId="77777777" w:rsidR="00C05173" w:rsidRPr="00D5161B" w:rsidRDefault="00C05173" w:rsidP="008C6014">
      <w:pPr>
        <w:rPr>
          <w:sz w:val="22"/>
          <w:szCs w:val="22"/>
          <w:lang w:val="lt-LT"/>
        </w:rPr>
      </w:pPr>
      <w:r w:rsidRPr="00D5161B">
        <w:rPr>
          <w:sz w:val="22"/>
          <w:szCs w:val="22"/>
          <w:lang w:val="lt-LT"/>
        </w:rPr>
        <w:t>jeigu</w:t>
      </w:r>
      <w:r w:rsidRPr="00D5161B">
        <w:rPr>
          <w:spacing w:val="-6"/>
          <w:sz w:val="22"/>
          <w:szCs w:val="22"/>
          <w:lang w:val="lt-LT"/>
        </w:rPr>
        <w:t xml:space="preserve"> </w:t>
      </w:r>
      <w:r w:rsidRPr="00D5161B">
        <w:rPr>
          <w:sz w:val="22"/>
          <w:szCs w:val="22"/>
          <w:lang w:val="lt-LT"/>
        </w:rPr>
        <w:t>pasireiškia</w:t>
      </w:r>
      <w:r w:rsidRPr="00D5161B">
        <w:rPr>
          <w:spacing w:val="-6"/>
          <w:sz w:val="22"/>
          <w:szCs w:val="22"/>
          <w:lang w:val="lt-LT"/>
        </w:rPr>
        <w:t xml:space="preserve"> </w:t>
      </w:r>
      <w:r w:rsidRPr="00D5161B">
        <w:rPr>
          <w:sz w:val="22"/>
          <w:szCs w:val="22"/>
          <w:lang w:val="lt-LT"/>
        </w:rPr>
        <w:t>staigus</w:t>
      </w:r>
      <w:r w:rsidRPr="00D5161B">
        <w:rPr>
          <w:spacing w:val="-6"/>
          <w:sz w:val="22"/>
          <w:szCs w:val="22"/>
          <w:lang w:val="lt-LT"/>
        </w:rPr>
        <w:t xml:space="preserve"> </w:t>
      </w:r>
      <w:r w:rsidRPr="00D5161B">
        <w:rPr>
          <w:sz w:val="22"/>
          <w:szCs w:val="22"/>
          <w:lang w:val="lt-LT"/>
        </w:rPr>
        <w:t>regėjimo</w:t>
      </w:r>
      <w:r w:rsidRPr="00D5161B">
        <w:rPr>
          <w:spacing w:val="-6"/>
          <w:sz w:val="22"/>
          <w:szCs w:val="22"/>
          <w:lang w:val="lt-LT"/>
        </w:rPr>
        <w:t xml:space="preserve"> </w:t>
      </w:r>
      <w:r w:rsidRPr="00D5161B">
        <w:rPr>
          <w:sz w:val="22"/>
          <w:szCs w:val="22"/>
          <w:lang w:val="lt-LT"/>
        </w:rPr>
        <w:t>susilpnėjimas</w:t>
      </w:r>
      <w:r w:rsidRPr="00D5161B">
        <w:rPr>
          <w:spacing w:val="-6"/>
          <w:sz w:val="22"/>
          <w:szCs w:val="22"/>
          <w:lang w:val="lt-LT"/>
        </w:rPr>
        <w:t xml:space="preserve"> </w:t>
      </w:r>
      <w:r w:rsidRPr="00D5161B">
        <w:rPr>
          <w:sz w:val="22"/>
          <w:szCs w:val="22"/>
          <w:lang w:val="lt-LT"/>
        </w:rPr>
        <w:t>arba</w:t>
      </w:r>
      <w:r w:rsidRPr="00D5161B">
        <w:rPr>
          <w:spacing w:val="-6"/>
          <w:sz w:val="22"/>
          <w:szCs w:val="22"/>
          <w:lang w:val="lt-LT"/>
        </w:rPr>
        <w:t xml:space="preserve"> </w:t>
      </w:r>
      <w:r w:rsidRPr="00D5161B">
        <w:rPr>
          <w:sz w:val="22"/>
          <w:szCs w:val="22"/>
          <w:lang w:val="lt-LT"/>
        </w:rPr>
        <w:t>apakimas</w:t>
      </w:r>
      <w:r w:rsidRPr="00D5161B">
        <w:rPr>
          <w:spacing w:val="-6"/>
          <w:sz w:val="22"/>
          <w:szCs w:val="22"/>
          <w:lang w:val="lt-LT"/>
        </w:rPr>
        <w:t xml:space="preserve"> </w:t>
      </w:r>
      <w:r w:rsidRPr="00D5161B">
        <w:rPr>
          <w:sz w:val="22"/>
          <w:szCs w:val="22"/>
          <w:lang w:val="lt-LT"/>
        </w:rPr>
        <w:t>(dažnis</w:t>
      </w:r>
      <w:r w:rsidRPr="00D5161B">
        <w:rPr>
          <w:spacing w:val="-6"/>
          <w:sz w:val="22"/>
          <w:szCs w:val="22"/>
          <w:lang w:val="lt-LT"/>
        </w:rPr>
        <w:t xml:space="preserve"> </w:t>
      </w:r>
      <w:r w:rsidRPr="00D5161B">
        <w:rPr>
          <w:sz w:val="22"/>
          <w:szCs w:val="22"/>
          <w:lang w:val="lt-LT"/>
        </w:rPr>
        <w:t>nežinomas);</w:t>
      </w:r>
    </w:p>
    <w:p w14:paraId="75FA9D2E" w14:textId="77777777" w:rsidR="00C05173" w:rsidRPr="00D5161B" w:rsidRDefault="00C05173" w:rsidP="008C6014">
      <w:pPr>
        <w:rPr>
          <w:sz w:val="22"/>
          <w:szCs w:val="22"/>
          <w:lang w:val="lt-LT"/>
        </w:rPr>
      </w:pPr>
      <w:r w:rsidRPr="00D5161B">
        <w:rPr>
          <w:sz w:val="22"/>
          <w:szCs w:val="22"/>
          <w:lang w:val="lt-LT"/>
        </w:rPr>
        <w:t>jeigu pasireiškia erekcija, kuri trunka ilgiau kaip 4 valandas. Buvo pranešta, kad sildenafilį vartojantiems</w:t>
      </w:r>
      <w:r w:rsidRPr="00D5161B">
        <w:rPr>
          <w:spacing w:val="-7"/>
          <w:sz w:val="22"/>
          <w:szCs w:val="22"/>
          <w:lang w:val="lt-LT"/>
        </w:rPr>
        <w:t xml:space="preserve"> </w:t>
      </w:r>
      <w:r w:rsidRPr="00D5161B">
        <w:rPr>
          <w:sz w:val="22"/>
          <w:szCs w:val="22"/>
          <w:lang w:val="lt-LT"/>
        </w:rPr>
        <w:t>vyrams</w:t>
      </w:r>
      <w:r w:rsidRPr="00D5161B">
        <w:rPr>
          <w:spacing w:val="-7"/>
          <w:sz w:val="22"/>
          <w:szCs w:val="22"/>
          <w:lang w:val="lt-LT"/>
        </w:rPr>
        <w:t xml:space="preserve"> </w:t>
      </w:r>
      <w:r w:rsidRPr="00D5161B">
        <w:rPr>
          <w:sz w:val="22"/>
          <w:szCs w:val="22"/>
          <w:lang w:val="lt-LT"/>
        </w:rPr>
        <w:t>pasireiškė</w:t>
      </w:r>
      <w:r w:rsidRPr="00D5161B">
        <w:rPr>
          <w:spacing w:val="-7"/>
          <w:sz w:val="22"/>
          <w:szCs w:val="22"/>
          <w:lang w:val="lt-LT"/>
        </w:rPr>
        <w:t xml:space="preserve"> </w:t>
      </w:r>
      <w:r w:rsidRPr="00D5161B">
        <w:rPr>
          <w:sz w:val="22"/>
          <w:szCs w:val="22"/>
          <w:lang w:val="lt-LT"/>
        </w:rPr>
        <w:t>ilgalaikė</w:t>
      </w:r>
      <w:r w:rsidRPr="00D5161B">
        <w:rPr>
          <w:spacing w:val="-7"/>
          <w:sz w:val="22"/>
          <w:szCs w:val="22"/>
          <w:lang w:val="lt-LT"/>
        </w:rPr>
        <w:t xml:space="preserve"> </w:t>
      </w:r>
      <w:r w:rsidRPr="00D5161B">
        <w:rPr>
          <w:sz w:val="22"/>
          <w:szCs w:val="22"/>
          <w:lang w:val="lt-LT"/>
        </w:rPr>
        <w:t>skausminga</w:t>
      </w:r>
      <w:r w:rsidRPr="00D5161B">
        <w:rPr>
          <w:spacing w:val="-7"/>
          <w:sz w:val="22"/>
          <w:szCs w:val="22"/>
          <w:lang w:val="lt-LT"/>
        </w:rPr>
        <w:t xml:space="preserve"> </w:t>
      </w:r>
      <w:r w:rsidRPr="00D5161B">
        <w:rPr>
          <w:sz w:val="22"/>
          <w:szCs w:val="22"/>
          <w:lang w:val="lt-LT"/>
        </w:rPr>
        <w:t>erekcija</w:t>
      </w:r>
      <w:r w:rsidRPr="00D5161B">
        <w:rPr>
          <w:spacing w:val="-7"/>
          <w:sz w:val="22"/>
          <w:szCs w:val="22"/>
          <w:lang w:val="lt-LT"/>
        </w:rPr>
        <w:t xml:space="preserve"> </w:t>
      </w:r>
      <w:r w:rsidRPr="00D5161B">
        <w:rPr>
          <w:sz w:val="22"/>
          <w:szCs w:val="22"/>
          <w:lang w:val="lt-LT"/>
        </w:rPr>
        <w:t>(dažnis</w:t>
      </w:r>
      <w:r w:rsidRPr="00D5161B">
        <w:rPr>
          <w:spacing w:val="-7"/>
          <w:sz w:val="22"/>
          <w:szCs w:val="22"/>
          <w:lang w:val="lt-LT"/>
        </w:rPr>
        <w:t xml:space="preserve"> </w:t>
      </w:r>
      <w:r w:rsidRPr="00D5161B">
        <w:rPr>
          <w:sz w:val="22"/>
          <w:szCs w:val="22"/>
          <w:lang w:val="lt-LT"/>
        </w:rPr>
        <w:t>nežinomas).</w:t>
      </w:r>
    </w:p>
    <w:p w14:paraId="2A6CD603" w14:textId="77777777" w:rsidR="00C05173" w:rsidRPr="00D5161B" w:rsidRDefault="00C05173" w:rsidP="008C6014">
      <w:pPr>
        <w:rPr>
          <w:sz w:val="22"/>
          <w:szCs w:val="22"/>
          <w:lang w:val="lt-LT"/>
        </w:rPr>
      </w:pPr>
    </w:p>
    <w:p w14:paraId="2C5B04F0" w14:textId="77777777" w:rsidR="00C05173" w:rsidRPr="00D5161B" w:rsidRDefault="00C05173" w:rsidP="008C6014">
      <w:pPr>
        <w:rPr>
          <w:sz w:val="22"/>
          <w:szCs w:val="22"/>
          <w:lang w:val="lt-LT"/>
        </w:rPr>
      </w:pPr>
      <w:r w:rsidRPr="00D5161B">
        <w:rPr>
          <w:sz w:val="22"/>
          <w:szCs w:val="22"/>
          <w:u w:val="single"/>
          <w:lang w:val="lt-LT"/>
        </w:rPr>
        <w:t>Suaugusiesiems</w:t>
      </w:r>
    </w:p>
    <w:p w14:paraId="3AD9287B" w14:textId="77777777" w:rsidR="00C05173" w:rsidRPr="00D5161B" w:rsidRDefault="00C05173" w:rsidP="008C6014">
      <w:pPr>
        <w:rPr>
          <w:sz w:val="22"/>
          <w:szCs w:val="22"/>
          <w:lang w:val="lt-LT"/>
        </w:rPr>
      </w:pPr>
    </w:p>
    <w:p w14:paraId="37F2C07D" w14:textId="77777777" w:rsidR="00C05173" w:rsidRPr="00D5161B" w:rsidRDefault="00C05173" w:rsidP="008C6014">
      <w:pPr>
        <w:rPr>
          <w:sz w:val="22"/>
          <w:szCs w:val="22"/>
          <w:lang w:val="lt-LT"/>
        </w:rPr>
      </w:pPr>
      <w:r w:rsidRPr="00D5161B">
        <w:rPr>
          <w:sz w:val="22"/>
          <w:szCs w:val="22"/>
          <w:lang w:val="lt-LT"/>
        </w:rPr>
        <w:t>Labai dažnas (gali pasireikšti dažniau kaip 1 iš 10 žmonių) šalutinis poveikis buvo galvos skausmas, veido paraudimas, virškinimo sutrikimas, viduriavimas ir rankų ar kojų skausmas.</w:t>
      </w:r>
    </w:p>
    <w:p w14:paraId="76CF5206" w14:textId="77777777" w:rsidR="00C05173" w:rsidRPr="00D5161B" w:rsidRDefault="00C05173" w:rsidP="008C6014">
      <w:pPr>
        <w:rPr>
          <w:sz w:val="22"/>
          <w:szCs w:val="22"/>
          <w:lang w:val="lt-LT"/>
        </w:rPr>
      </w:pPr>
    </w:p>
    <w:p w14:paraId="0A8AAF7D" w14:textId="77777777" w:rsidR="00C05173" w:rsidRPr="00D5161B" w:rsidRDefault="00C05173" w:rsidP="008C6014">
      <w:pPr>
        <w:rPr>
          <w:sz w:val="22"/>
          <w:szCs w:val="22"/>
          <w:lang w:val="lt-LT"/>
        </w:rPr>
      </w:pPr>
      <w:r w:rsidRPr="00D5161B">
        <w:rPr>
          <w:sz w:val="22"/>
          <w:szCs w:val="22"/>
          <w:lang w:val="lt-LT"/>
        </w:rPr>
        <w:t xml:space="preserve">Dažnai pasireiškęs (gali pasireikšti </w:t>
      </w:r>
      <w:r w:rsidR="009911D6">
        <w:rPr>
          <w:sz w:val="22"/>
          <w:szCs w:val="22"/>
          <w:lang w:val="lt-LT"/>
        </w:rPr>
        <w:t xml:space="preserve">rečiau </w:t>
      </w:r>
      <w:r w:rsidRPr="00D5161B">
        <w:rPr>
          <w:sz w:val="22"/>
          <w:szCs w:val="22"/>
          <w:lang w:val="lt-LT"/>
        </w:rPr>
        <w:t>kaip 1 iš 10 žmonių) šalutinis poveikis: poodinio audinio infekcija, panašūs į gripo simptomai, prienosinių ančių uždegimas, raudonųjų kraujo ląstelių kiekio sumažėjimas (anemija), skysčių susikaupimas organizme, miego sutrikimas, nerimas, migrena, drebulys, į dilgčiojimą panašus jutimas, deginimo pojūtis, lytėjimo jutimo susilpnėjimas, kraujavimas į akies dugną, poveikis regėjimui, miglotas matymas, padidėjęs akių jautrumas šviesai, poveikis spalvų matymui, akies dirginimas, akių pasruvimas krauju ar akių paraudimas, galvos sukimasis, bronchitas, kraujavimas iš nosies, skystos išskyros iš nosies, kosulys, nosies užgulimas, skrandžio uždegimas, skrandžio ir žarnyno uždegimas (gastroenteritas), rėmuo, hemorojus, pilvo išsipūtimas, burnos džiūvimas, plaukų slinkimas, odos paraudimas, prakaitavimas naktį, raumenų skausmas, nugaros skausmas, kūno temperatūros padidėjimas.</w:t>
      </w:r>
    </w:p>
    <w:p w14:paraId="057AF2E7" w14:textId="77777777" w:rsidR="00C05173" w:rsidRPr="00D5161B" w:rsidRDefault="00C05173" w:rsidP="008C6014">
      <w:pPr>
        <w:rPr>
          <w:sz w:val="22"/>
          <w:szCs w:val="22"/>
          <w:lang w:val="lt-LT"/>
        </w:rPr>
      </w:pPr>
    </w:p>
    <w:p w14:paraId="58C54D00" w14:textId="77777777" w:rsidR="00C05173" w:rsidRPr="00D5161B" w:rsidRDefault="00C05173" w:rsidP="008C6014">
      <w:pPr>
        <w:rPr>
          <w:sz w:val="22"/>
          <w:szCs w:val="22"/>
          <w:lang w:val="lt-LT"/>
        </w:rPr>
      </w:pPr>
      <w:r w:rsidRPr="00D5161B">
        <w:rPr>
          <w:sz w:val="22"/>
          <w:szCs w:val="22"/>
          <w:lang w:val="lt-LT"/>
        </w:rPr>
        <w:t>Nedažnai pasireiškęs (gali pasireikšti 1 iš 100 žmonių) šalutinis poveikis: regėjimo aštrumo sumažėjimas, dvejinimasis, nenormalūs pojūčiai akyse, varpos kraujavimas, kraujas spermoje ir/ar šlapime, ir vyrų krūtų padidėjimas.</w:t>
      </w:r>
    </w:p>
    <w:p w14:paraId="2427E4F9" w14:textId="77777777" w:rsidR="00C05173" w:rsidRPr="00D5161B" w:rsidRDefault="00C05173" w:rsidP="008C6014">
      <w:pPr>
        <w:rPr>
          <w:sz w:val="22"/>
          <w:szCs w:val="22"/>
          <w:lang w:val="lt-LT"/>
        </w:rPr>
      </w:pPr>
    </w:p>
    <w:p w14:paraId="2987F47B" w14:textId="77777777" w:rsidR="00C05173" w:rsidRPr="00D5161B" w:rsidRDefault="00C05173" w:rsidP="008C6014">
      <w:pPr>
        <w:rPr>
          <w:sz w:val="22"/>
          <w:szCs w:val="22"/>
          <w:lang w:val="lt-LT"/>
        </w:rPr>
      </w:pPr>
      <w:r w:rsidRPr="00D5161B">
        <w:rPr>
          <w:sz w:val="22"/>
          <w:szCs w:val="22"/>
          <w:lang w:val="lt-LT"/>
        </w:rPr>
        <w:t>Be to, nežinomu dažnumu buvo pranešta apie odos išbėrimo, staigaus klausos susilpnėjimo ar prikurtimo ir kraujospūdžio sumažėjimo atvejus (dažnio negalima nustatyti pagal turimus duomenis).</w:t>
      </w:r>
    </w:p>
    <w:p w14:paraId="5FBAEC39" w14:textId="77777777" w:rsidR="00C05173" w:rsidRPr="00D5161B" w:rsidRDefault="00C05173" w:rsidP="008C6014">
      <w:pPr>
        <w:rPr>
          <w:sz w:val="22"/>
          <w:szCs w:val="22"/>
          <w:lang w:val="lt-LT"/>
        </w:rPr>
      </w:pPr>
    </w:p>
    <w:p w14:paraId="210522DF" w14:textId="77777777" w:rsidR="00C05173" w:rsidRPr="00D5161B" w:rsidRDefault="00C05173" w:rsidP="008C6014">
      <w:pPr>
        <w:rPr>
          <w:sz w:val="22"/>
          <w:szCs w:val="22"/>
          <w:lang w:val="lt-LT"/>
        </w:rPr>
      </w:pPr>
      <w:r w:rsidRPr="00D5161B">
        <w:rPr>
          <w:sz w:val="22"/>
          <w:szCs w:val="22"/>
          <w:u w:val="single"/>
          <w:lang w:val="lt-LT"/>
        </w:rPr>
        <w:t>Vaikams ir paaugliams</w:t>
      </w:r>
    </w:p>
    <w:p w14:paraId="5D178885" w14:textId="77777777" w:rsidR="00C05173" w:rsidRPr="00D5161B" w:rsidRDefault="00C05173" w:rsidP="008C6014">
      <w:pPr>
        <w:rPr>
          <w:sz w:val="22"/>
          <w:szCs w:val="22"/>
          <w:lang w:val="lt-LT"/>
        </w:rPr>
      </w:pPr>
    </w:p>
    <w:p w14:paraId="6ADD4967" w14:textId="77777777" w:rsidR="00F76B1E" w:rsidRPr="00D5161B" w:rsidRDefault="00C05173" w:rsidP="00F76B1E">
      <w:pPr>
        <w:rPr>
          <w:sz w:val="22"/>
          <w:szCs w:val="22"/>
          <w:lang w:val="lt-LT"/>
        </w:rPr>
      </w:pPr>
      <w:r w:rsidRPr="00D5161B">
        <w:rPr>
          <w:sz w:val="22"/>
          <w:szCs w:val="22"/>
          <w:lang w:val="lt-LT"/>
        </w:rPr>
        <w:t xml:space="preserve">Dažnai pasireiškęs (galintis paveikti </w:t>
      </w:r>
      <w:r w:rsidR="009911D6">
        <w:rPr>
          <w:sz w:val="22"/>
          <w:szCs w:val="22"/>
          <w:lang w:val="lt-LT"/>
        </w:rPr>
        <w:t xml:space="preserve">rečiau </w:t>
      </w:r>
      <w:r w:rsidRPr="00D5161B">
        <w:rPr>
          <w:sz w:val="22"/>
          <w:szCs w:val="22"/>
          <w:lang w:val="lt-LT"/>
        </w:rPr>
        <w:t>kaip 1 iš 10 žmonių) sunkus šalutinis poveikis buvo plaučių uždegimas, širdies nepakankamumas, dešiniojo širdies skilvelio nepakankamumas, su širdies veikla susijęs šokas, aukštas kraujospūdis plaučiuose, krūtinės skausmas, apalpimas, kvėpavimo takų infekcija, bronchitas, skrandžio ir plonosios žarnos virusinis uždegimas, šlapimo takų infekcija ir dantų skylutės.</w:t>
      </w:r>
      <w:r w:rsidR="00F76B1E" w:rsidRPr="00D5161B">
        <w:rPr>
          <w:sz w:val="22"/>
          <w:szCs w:val="22"/>
          <w:lang w:val="lt-LT"/>
        </w:rPr>
        <w:t xml:space="preserve">; </w:t>
      </w:r>
    </w:p>
    <w:p w14:paraId="4655F49F" w14:textId="77777777" w:rsidR="00F76B1E" w:rsidRPr="00D5161B" w:rsidRDefault="00C05173" w:rsidP="008C6014">
      <w:pPr>
        <w:rPr>
          <w:sz w:val="22"/>
          <w:szCs w:val="22"/>
          <w:lang w:val="lt-LT"/>
        </w:rPr>
      </w:pPr>
      <w:r w:rsidRPr="00D5161B">
        <w:rPr>
          <w:sz w:val="22"/>
          <w:szCs w:val="22"/>
          <w:lang w:val="lt-LT"/>
        </w:rPr>
        <w:t xml:space="preserve">Nedažnai pasireiškęs (galintis paveikti </w:t>
      </w:r>
      <w:r w:rsidR="009911D6">
        <w:rPr>
          <w:sz w:val="22"/>
          <w:szCs w:val="22"/>
          <w:lang w:val="lt-LT"/>
        </w:rPr>
        <w:t xml:space="preserve">rečiau </w:t>
      </w:r>
      <w:r w:rsidRPr="00D5161B">
        <w:rPr>
          <w:sz w:val="22"/>
          <w:szCs w:val="22"/>
          <w:lang w:val="lt-LT"/>
        </w:rPr>
        <w:t xml:space="preserve">kaip 1 iš 100 žmonių) su gydymu susijęs sunkus </w:t>
      </w:r>
    </w:p>
    <w:p w14:paraId="6A964982" w14:textId="77777777" w:rsidR="00C05173" w:rsidRPr="00D5161B" w:rsidRDefault="00C05173" w:rsidP="008C6014">
      <w:pPr>
        <w:rPr>
          <w:sz w:val="22"/>
          <w:szCs w:val="22"/>
          <w:lang w:val="lt-LT"/>
        </w:rPr>
      </w:pPr>
      <w:r w:rsidRPr="00D5161B">
        <w:rPr>
          <w:sz w:val="22"/>
          <w:szCs w:val="22"/>
          <w:lang w:val="lt-LT"/>
        </w:rPr>
        <w:t>šalutinis poveikis buvo alerginė reakcija (pvz., odos bėrimas, veido, lūpų ir liežuvio tinimas, gargimas, pasunkėjęs kvėpavimas arba rijimas), traukuliai, netvarkingas širdies plakimas, klausos pablogėjimas, dusulys, virškinimo trakto uždegimas, gargimas dėl sutrikusio oro patekimo.</w:t>
      </w:r>
    </w:p>
    <w:p w14:paraId="228EE096" w14:textId="77777777" w:rsidR="00C05173" w:rsidRPr="00D5161B" w:rsidRDefault="00C05173" w:rsidP="008C6014">
      <w:pPr>
        <w:rPr>
          <w:sz w:val="22"/>
          <w:szCs w:val="22"/>
          <w:lang w:val="lt-LT"/>
        </w:rPr>
      </w:pPr>
    </w:p>
    <w:p w14:paraId="5E4AA498" w14:textId="77777777" w:rsidR="00C05173" w:rsidRPr="00D5161B" w:rsidRDefault="00C05173" w:rsidP="008C6014">
      <w:pPr>
        <w:rPr>
          <w:sz w:val="22"/>
          <w:szCs w:val="22"/>
          <w:lang w:val="lt-LT"/>
        </w:rPr>
      </w:pPr>
      <w:r w:rsidRPr="00D5161B">
        <w:rPr>
          <w:sz w:val="22"/>
          <w:szCs w:val="22"/>
          <w:lang w:val="lt-LT"/>
        </w:rPr>
        <w:t>Labai dažnai pasireiškęs (galintis paveikti daugiau kaip 1 iš 10 žmonių) šalutinis poveikis buvo galvos skausmas, vėmimas, gerklės infekcija, karščiavimas, viduriavimas, gripas ir kraujavimas iš nosies.</w:t>
      </w:r>
    </w:p>
    <w:p w14:paraId="70994DB5" w14:textId="77777777" w:rsidR="00F76B1E" w:rsidRPr="00D5161B" w:rsidRDefault="00F76B1E" w:rsidP="008C6014">
      <w:pPr>
        <w:rPr>
          <w:sz w:val="22"/>
          <w:szCs w:val="22"/>
          <w:lang w:val="lt-LT"/>
        </w:rPr>
      </w:pPr>
    </w:p>
    <w:p w14:paraId="44470793" w14:textId="77777777" w:rsidR="00C05173" w:rsidRPr="00D5161B" w:rsidRDefault="00C05173" w:rsidP="008C6014">
      <w:pPr>
        <w:rPr>
          <w:sz w:val="22"/>
          <w:szCs w:val="22"/>
          <w:lang w:val="lt-LT"/>
        </w:rPr>
      </w:pPr>
      <w:r w:rsidRPr="00D5161B">
        <w:rPr>
          <w:sz w:val="22"/>
          <w:szCs w:val="22"/>
          <w:lang w:val="lt-LT"/>
        </w:rPr>
        <w:lastRenderedPageBreak/>
        <w:t xml:space="preserve">Dažnai pasireiškęs (galintis paveikti </w:t>
      </w:r>
      <w:r w:rsidR="009911D6">
        <w:rPr>
          <w:sz w:val="22"/>
          <w:szCs w:val="22"/>
          <w:lang w:val="lt-LT"/>
        </w:rPr>
        <w:t xml:space="preserve">rečiau </w:t>
      </w:r>
      <w:r w:rsidRPr="00D5161B">
        <w:rPr>
          <w:sz w:val="22"/>
          <w:szCs w:val="22"/>
          <w:lang w:val="lt-LT"/>
        </w:rPr>
        <w:t>kaip 1 iš 10 žmonių) šalutinis poveikis buvo pykinimas, erekcijos sustiprėjimas, plaučių uždegimas ir sloga.</w:t>
      </w:r>
    </w:p>
    <w:p w14:paraId="73FA5EC0" w14:textId="77777777" w:rsidR="00C05173" w:rsidRPr="00D5161B" w:rsidRDefault="00C05173" w:rsidP="008C6014">
      <w:pPr>
        <w:pStyle w:val="Pagrindinistekstas"/>
        <w:rPr>
          <w:lang w:val="lt-LT"/>
        </w:rPr>
      </w:pPr>
    </w:p>
    <w:p w14:paraId="6711EF79" w14:textId="77777777" w:rsidR="00C05173" w:rsidRPr="00D5161B" w:rsidRDefault="00C05173" w:rsidP="008C6014">
      <w:pPr>
        <w:pStyle w:val="Pagrindinistekstas"/>
        <w:rPr>
          <w:b/>
          <w:lang w:val="lt-LT"/>
        </w:rPr>
      </w:pPr>
      <w:r w:rsidRPr="00D5161B">
        <w:rPr>
          <w:b/>
          <w:lang w:val="lt-LT"/>
        </w:rPr>
        <w:t>Pranešimas apie šalutinį poveikį</w:t>
      </w:r>
    </w:p>
    <w:p w14:paraId="361CDB63" w14:textId="0211FCD2" w:rsidR="008C6014" w:rsidRPr="008B1AE9" w:rsidRDefault="00B2251D" w:rsidP="008C6014">
      <w:pPr>
        <w:pStyle w:val="Pagrindinistekstas"/>
        <w:rPr>
          <w:rFonts w:eastAsia="Times New Roman"/>
          <w:noProof/>
          <w:snapToGrid w:val="0"/>
          <w:lang w:val="lt-LT"/>
        </w:rPr>
      </w:pPr>
      <w:r w:rsidRPr="008248B1">
        <w:t xml:space="preserve">Jeigu pasireiškė šalutinis poveikis, įskaitant šiame lapelyje nenurodytą, pasakykite gydytojui arba vaistininkui. </w:t>
      </w:r>
      <w:r w:rsidRPr="00430E42">
        <w:rPr>
          <w:snapToGrid w:val="0"/>
        </w:rPr>
        <w:t>Pranešimą apie</w:t>
      </w:r>
      <w:r w:rsidRPr="008248B1">
        <w:t xml:space="preserve"> šalutinį poveikį galite pateikti </w:t>
      </w:r>
      <w:r w:rsidRPr="00430E42">
        <w:rPr>
          <w:snapToGrid w:val="0"/>
        </w:rPr>
        <w:t>šiais būdais: tiesiogiai užpildant formą internetu</w:t>
      </w:r>
      <w:r w:rsidRPr="008248B1">
        <w:t xml:space="preserve"> Valstybinės vaistų kontrolės tarnybos prie Lietuvos Respublikos sveikatos apsaugos ministerijos </w:t>
      </w:r>
      <w:r w:rsidRPr="00430E42">
        <w:rPr>
          <w:snapToGrid w:val="0"/>
        </w:rPr>
        <w:t xml:space="preserve">Vaistinių preparatų informacinėje sistemoje </w:t>
      </w:r>
      <w:hyperlink r:id="rId13" w:history="1">
        <w:r w:rsidRPr="00430E42">
          <w:rPr>
            <w:snapToGrid w:val="0"/>
            <w:color w:val="0000FF"/>
            <w:u w:val="single"/>
          </w:rPr>
          <w:t>https://vapris.vvkt.lt/vvkt-web/public/nrv</w:t>
        </w:r>
      </w:hyperlink>
      <w:r w:rsidRPr="00430E42">
        <w:rPr>
          <w:snapToGrid w:val="0"/>
        </w:rPr>
        <w:t xml:space="preserve"> arba užpildant Paciento pranešimo apie įtariamą nepageidaujamą reakciją (ĮNR) formą, kuri skelbiama </w:t>
      </w:r>
      <w:hyperlink r:id="rId14" w:history="1">
        <w:r w:rsidRPr="00430E42">
          <w:rPr>
            <w:snapToGrid w:val="0"/>
            <w:color w:val="0000FF"/>
            <w:u w:val="single"/>
          </w:rPr>
          <w:t>https://www.vvkt.lt/index.php?4004286486</w:t>
        </w:r>
      </w:hyperlink>
      <w:r w:rsidRPr="00430E42">
        <w:rPr>
          <w:snapToGrid w:val="0"/>
        </w:rPr>
        <w:t xml:space="preserve">, ir atsiunčiant elektroniniu paštu (adresu </w:t>
      </w:r>
      <w:hyperlink r:id="rId15" w:history="1">
        <w:r w:rsidRPr="00430E42">
          <w:rPr>
            <w:snapToGrid w:val="0"/>
            <w:color w:val="0000FF"/>
            <w:u w:val="single"/>
          </w:rPr>
          <w:t>NepageidaujamaR@vvkt.lt</w:t>
        </w:r>
      </w:hyperlink>
      <w:r w:rsidRPr="00430E42">
        <w:rPr>
          <w:snapToGrid w:val="0"/>
        </w:rPr>
        <w:t>) arba nemokamu telefonu 8 800 73 568.</w:t>
      </w:r>
      <w:r w:rsidRPr="008248B1">
        <w:t xml:space="preserve"> Pranešdami apie šalutinį poveikį galite mums padėti gauti daugiau informacijos apie šio vaisto saugumą.</w:t>
      </w:r>
    </w:p>
    <w:p w14:paraId="0C19240F" w14:textId="77777777" w:rsidR="0094035C" w:rsidRPr="008B1AE9" w:rsidRDefault="0094035C" w:rsidP="0094035C">
      <w:pPr>
        <w:widowControl/>
        <w:tabs>
          <w:tab w:val="left" w:pos="567"/>
        </w:tabs>
        <w:autoSpaceDE/>
        <w:autoSpaceDN/>
        <w:adjustRightInd/>
        <w:spacing w:line="260" w:lineRule="exact"/>
        <w:ind w:right="-449"/>
        <w:rPr>
          <w:rFonts w:eastAsia="Times New Roman"/>
          <w:noProof/>
          <w:snapToGrid w:val="0"/>
          <w:sz w:val="22"/>
          <w:szCs w:val="22"/>
          <w:lang w:val="lt-LT"/>
        </w:rPr>
      </w:pPr>
    </w:p>
    <w:p w14:paraId="3B8904AD" w14:textId="77777777" w:rsidR="00FC6D54" w:rsidRPr="008B1AE9" w:rsidRDefault="00FC6D54" w:rsidP="0094035C">
      <w:pPr>
        <w:widowControl/>
        <w:tabs>
          <w:tab w:val="left" w:pos="567"/>
        </w:tabs>
        <w:autoSpaceDE/>
        <w:autoSpaceDN/>
        <w:adjustRightInd/>
        <w:spacing w:line="260" w:lineRule="exact"/>
        <w:ind w:right="-449"/>
        <w:rPr>
          <w:rFonts w:eastAsia="Times New Roman"/>
          <w:noProof/>
          <w:snapToGrid w:val="0"/>
          <w:sz w:val="22"/>
          <w:szCs w:val="22"/>
          <w:lang w:val="lt-LT"/>
        </w:rPr>
      </w:pPr>
    </w:p>
    <w:p w14:paraId="128547A7" w14:textId="77777777" w:rsidR="0094035C" w:rsidRPr="00D5161B" w:rsidRDefault="0094035C" w:rsidP="0094035C">
      <w:pPr>
        <w:keepNext/>
        <w:keepLines/>
        <w:widowControl/>
        <w:tabs>
          <w:tab w:val="left" w:pos="567"/>
        </w:tabs>
        <w:autoSpaceDE/>
        <w:autoSpaceDN/>
        <w:adjustRightInd/>
        <w:outlineLvl w:val="2"/>
        <w:rPr>
          <w:rFonts w:eastAsia="Times New Roman"/>
          <w:b/>
          <w:bCs/>
          <w:snapToGrid w:val="0"/>
          <w:sz w:val="22"/>
          <w:szCs w:val="22"/>
          <w:lang w:val="lt-LT" w:eastAsia="x-none"/>
        </w:rPr>
      </w:pPr>
      <w:r w:rsidRPr="00D5161B">
        <w:rPr>
          <w:rFonts w:eastAsia="Times New Roman"/>
          <w:b/>
          <w:bCs/>
          <w:snapToGrid w:val="0"/>
          <w:sz w:val="22"/>
          <w:szCs w:val="22"/>
          <w:lang w:val="lt-LT" w:eastAsia="x-none"/>
        </w:rPr>
        <w:t>5.</w:t>
      </w:r>
      <w:r w:rsidRPr="00D5161B">
        <w:rPr>
          <w:rFonts w:eastAsia="Times New Roman"/>
          <w:b/>
          <w:bCs/>
          <w:snapToGrid w:val="0"/>
          <w:sz w:val="22"/>
          <w:szCs w:val="22"/>
          <w:lang w:val="lt-LT" w:eastAsia="x-none"/>
        </w:rPr>
        <w:tab/>
        <w:t>Kaip laikyti Silungo</w:t>
      </w:r>
    </w:p>
    <w:p w14:paraId="1E1A8D3D" w14:textId="77777777" w:rsidR="0094035C" w:rsidRPr="00D5161B" w:rsidRDefault="0094035C" w:rsidP="0094035C">
      <w:pPr>
        <w:widowControl/>
        <w:numPr>
          <w:ilvl w:val="12"/>
          <w:numId w:val="0"/>
        </w:numPr>
        <w:autoSpaceDE/>
        <w:autoSpaceDN/>
        <w:adjustRightInd/>
        <w:ind w:right="-2"/>
        <w:rPr>
          <w:rFonts w:eastAsia="Times New Roman"/>
          <w:snapToGrid w:val="0"/>
          <w:sz w:val="22"/>
          <w:szCs w:val="22"/>
          <w:lang w:val="lt-LT"/>
        </w:rPr>
      </w:pPr>
    </w:p>
    <w:p w14:paraId="7BA92025" w14:textId="77777777" w:rsidR="00C05173" w:rsidRPr="00D5161B" w:rsidRDefault="00C05173" w:rsidP="008C6014">
      <w:pPr>
        <w:rPr>
          <w:sz w:val="22"/>
          <w:szCs w:val="22"/>
          <w:lang w:val="lt-LT"/>
        </w:rPr>
      </w:pPr>
      <w:r w:rsidRPr="00D5161B">
        <w:rPr>
          <w:sz w:val="22"/>
          <w:szCs w:val="22"/>
          <w:lang w:val="lt-LT"/>
        </w:rPr>
        <w:t>Šį vaistą laikykite vaikams nepastebimoje ir nepasiekiamoje vietoje.</w:t>
      </w:r>
    </w:p>
    <w:p w14:paraId="2243141E" w14:textId="77777777" w:rsidR="00C05173" w:rsidRPr="00D5161B" w:rsidRDefault="00C05173" w:rsidP="008C6014">
      <w:pPr>
        <w:rPr>
          <w:sz w:val="22"/>
          <w:szCs w:val="22"/>
          <w:lang w:val="lt-LT"/>
        </w:rPr>
      </w:pPr>
    </w:p>
    <w:p w14:paraId="0267934D" w14:textId="77777777" w:rsidR="00C05173" w:rsidRPr="00D5161B" w:rsidRDefault="00C05173" w:rsidP="008C6014">
      <w:pPr>
        <w:rPr>
          <w:sz w:val="22"/>
          <w:szCs w:val="22"/>
          <w:lang w:val="lt-LT"/>
        </w:rPr>
      </w:pPr>
      <w:r w:rsidRPr="00D5161B">
        <w:rPr>
          <w:sz w:val="22"/>
          <w:szCs w:val="22"/>
          <w:lang w:val="lt-LT"/>
        </w:rPr>
        <w:t>Ant kartono dėžutės po ,,</w:t>
      </w:r>
      <w:r w:rsidR="0094035C" w:rsidRPr="00D5161B">
        <w:rPr>
          <w:sz w:val="22"/>
          <w:szCs w:val="22"/>
          <w:lang w:val="lt-LT"/>
        </w:rPr>
        <w:t>EXP</w:t>
      </w:r>
      <w:r w:rsidRPr="00D5161B">
        <w:rPr>
          <w:sz w:val="22"/>
          <w:szCs w:val="22"/>
          <w:lang w:val="lt-LT"/>
        </w:rPr>
        <w:t>“ nurodytam tinkamumo laikui pasibaigus, šio vaisto vartoti negalima. Vaistas tinkamas vartoti iki paskutinės nurodyto mėnesio dienos.</w:t>
      </w:r>
    </w:p>
    <w:p w14:paraId="5A8AA0A0" w14:textId="77777777" w:rsidR="00C05173" w:rsidRPr="00D5161B" w:rsidRDefault="00C05173" w:rsidP="008C6014">
      <w:pPr>
        <w:rPr>
          <w:sz w:val="22"/>
          <w:szCs w:val="22"/>
          <w:lang w:val="lt-LT"/>
        </w:rPr>
      </w:pPr>
    </w:p>
    <w:p w14:paraId="1341080D" w14:textId="77777777" w:rsidR="004D0EB2" w:rsidRPr="00D5161B" w:rsidRDefault="004D0EB2" w:rsidP="004D0EB2">
      <w:pPr>
        <w:rPr>
          <w:sz w:val="22"/>
          <w:szCs w:val="22"/>
          <w:lang w:val="lt-LT"/>
        </w:rPr>
      </w:pPr>
      <w:r w:rsidRPr="00D5161B">
        <w:rPr>
          <w:sz w:val="22"/>
          <w:szCs w:val="22"/>
          <w:lang w:val="lt-LT"/>
        </w:rPr>
        <w:t xml:space="preserve">Šiam </w:t>
      </w:r>
      <w:r w:rsidR="00D5161B">
        <w:rPr>
          <w:sz w:val="22"/>
          <w:szCs w:val="22"/>
          <w:lang w:val="lt-LT"/>
        </w:rPr>
        <w:t>vaistui</w:t>
      </w:r>
      <w:r w:rsidRPr="00D5161B">
        <w:rPr>
          <w:sz w:val="22"/>
          <w:szCs w:val="22"/>
          <w:lang w:val="lt-LT"/>
        </w:rPr>
        <w:t xml:space="preserve"> specialių laikymo s</w:t>
      </w:r>
      <w:r w:rsidRPr="005A3594">
        <w:rPr>
          <w:sz w:val="22"/>
          <w:szCs w:val="22"/>
          <w:lang w:val="lt-LT"/>
        </w:rPr>
        <w:t xml:space="preserve">ąlygų </w:t>
      </w:r>
      <w:r w:rsidR="00D5161B">
        <w:rPr>
          <w:sz w:val="22"/>
          <w:szCs w:val="22"/>
          <w:lang w:val="lt-LT"/>
        </w:rPr>
        <w:t>nereikia</w:t>
      </w:r>
      <w:r w:rsidRPr="005A3594">
        <w:rPr>
          <w:sz w:val="22"/>
          <w:szCs w:val="22"/>
          <w:lang w:val="lt-LT"/>
        </w:rPr>
        <w:t>.</w:t>
      </w:r>
    </w:p>
    <w:p w14:paraId="40DE90BF" w14:textId="77777777" w:rsidR="00C05173" w:rsidRPr="00D5161B" w:rsidRDefault="00C05173" w:rsidP="008C6014">
      <w:pPr>
        <w:rPr>
          <w:sz w:val="22"/>
          <w:szCs w:val="22"/>
          <w:lang w:val="lt-LT"/>
        </w:rPr>
      </w:pPr>
    </w:p>
    <w:p w14:paraId="3563C7CE" w14:textId="77777777" w:rsidR="00C05173" w:rsidRPr="00D5161B" w:rsidRDefault="00C05173" w:rsidP="008C6014">
      <w:pPr>
        <w:rPr>
          <w:sz w:val="22"/>
          <w:szCs w:val="22"/>
          <w:lang w:val="lt-LT"/>
        </w:rPr>
      </w:pPr>
      <w:r w:rsidRPr="00D5161B">
        <w:rPr>
          <w:sz w:val="22"/>
          <w:szCs w:val="22"/>
          <w:lang w:val="lt-LT"/>
        </w:rPr>
        <w:t>Vaistų negalima išmesti į kanalizaciją arba su buitinėmis atliekomis. Kaip išmesti nereikalingus vaistus, klauskite vaistininko. Šios priemonės padės apsaugoti aplinką.</w:t>
      </w:r>
    </w:p>
    <w:p w14:paraId="4FF4EA33" w14:textId="77777777" w:rsidR="00C05173" w:rsidRPr="00D5161B" w:rsidRDefault="00C05173" w:rsidP="008C6014">
      <w:pPr>
        <w:rPr>
          <w:sz w:val="22"/>
          <w:szCs w:val="22"/>
          <w:lang w:val="lt-LT"/>
        </w:rPr>
      </w:pPr>
    </w:p>
    <w:p w14:paraId="01C9817F" w14:textId="77777777" w:rsidR="00444334" w:rsidRPr="005A3594" w:rsidRDefault="00444334" w:rsidP="00444334">
      <w:pPr>
        <w:widowControl/>
        <w:numPr>
          <w:ilvl w:val="12"/>
          <w:numId w:val="0"/>
        </w:numPr>
        <w:autoSpaceDE/>
        <w:autoSpaceDN/>
        <w:adjustRightInd/>
        <w:ind w:right="-2"/>
        <w:rPr>
          <w:rFonts w:eastAsia="Times New Roman"/>
          <w:noProof/>
          <w:snapToGrid w:val="0"/>
          <w:sz w:val="22"/>
          <w:szCs w:val="22"/>
          <w:lang w:val="lt-LT"/>
        </w:rPr>
      </w:pPr>
    </w:p>
    <w:p w14:paraId="2A7985E2" w14:textId="77777777" w:rsidR="00444334" w:rsidRPr="008B1AE9" w:rsidRDefault="00444334" w:rsidP="00444334">
      <w:pPr>
        <w:keepNext/>
        <w:keepLines/>
        <w:widowControl/>
        <w:tabs>
          <w:tab w:val="left" w:pos="567"/>
        </w:tabs>
        <w:autoSpaceDE/>
        <w:autoSpaceDN/>
        <w:adjustRightInd/>
        <w:outlineLvl w:val="2"/>
        <w:rPr>
          <w:rFonts w:eastAsia="Times New Roman"/>
          <w:b/>
          <w:bCs/>
          <w:snapToGrid w:val="0"/>
          <w:sz w:val="22"/>
          <w:szCs w:val="22"/>
          <w:lang w:val="lt-LT" w:eastAsia="x-none"/>
        </w:rPr>
      </w:pPr>
      <w:r w:rsidRPr="00AE5BD5">
        <w:rPr>
          <w:rFonts w:eastAsia="Times New Roman"/>
          <w:b/>
          <w:bCs/>
          <w:snapToGrid w:val="0"/>
          <w:sz w:val="22"/>
          <w:szCs w:val="22"/>
          <w:lang w:val="lt-LT" w:eastAsia="x-none"/>
        </w:rPr>
        <w:t>6.</w:t>
      </w:r>
      <w:r w:rsidRPr="008B1AE9">
        <w:rPr>
          <w:rFonts w:eastAsia="Times New Roman"/>
          <w:bCs/>
          <w:snapToGrid w:val="0"/>
          <w:sz w:val="22"/>
          <w:szCs w:val="22"/>
          <w:lang w:val="lt-LT" w:eastAsia="x-none"/>
        </w:rPr>
        <w:tab/>
      </w:r>
      <w:r w:rsidRPr="008B1AE9">
        <w:rPr>
          <w:b/>
          <w:bCs/>
          <w:snapToGrid w:val="0"/>
          <w:sz w:val="22"/>
          <w:szCs w:val="22"/>
          <w:lang w:val="lt-LT" w:eastAsia="x-none"/>
        </w:rPr>
        <w:t>Pakuotės turinys ir kita informacija</w:t>
      </w:r>
    </w:p>
    <w:p w14:paraId="1311F10B" w14:textId="77777777" w:rsidR="00444334" w:rsidRPr="008B1AE9" w:rsidRDefault="00444334" w:rsidP="00444334">
      <w:pPr>
        <w:widowControl/>
        <w:numPr>
          <w:ilvl w:val="12"/>
          <w:numId w:val="0"/>
        </w:numPr>
        <w:autoSpaceDE/>
        <w:autoSpaceDN/>
        <w:adjustRightInd/>
        <w:rPr>
          <w:rFonts w:eastAsia="Times New Roman"/>
          <w:snapToGrid w:val="0"/>
          <w:sz w:val="22"/>
          <w:szCs w:val="22"/>
          <w:lang w:val="lt-LT"/>
        </w:rPr>
      </w:pPr>
    </w:p>
    <w:p w14:paraId="3258F77B" w14:textId="77777777" w:rsidR="00444334" w:rsidRPr="00AE5BD5" w:rsidRDefault="00444334" w:rsidP="00444334">
      <w:pPr>
        <w:keepNext/>
        <w:widowControl/>
        <w:tabs>
          <w:tab w:val="left" w:pos="567"/>
        </w:tabs>
        <w:autoSpaceDE/>
        <w:autoSpaceDN/>
        <w:adjustRightInd/>
        <w:spacing w:line="260" w:lineRule="exact"/>
        <w:jc w:val="both"/>
        <w:outlineLvl w:val="3"/>
        <w:rPr>
          <w:rFonts w:eastAsia="Times New Roman"/>
          <w:b/>
          <w:bCs/>
          <w:snapToGrid w:val="0"/>
          <w:sz w:val="22"/>
          <w:szCs w:val="22"/>
          <w:lang w:val="lt-LT" w:eastAsia="x-none"/>
        </w:rPr>
      </w:pPr>
      <w:r w:rsidRPr="00D5161B">
        <w:rPr>
          <w:b/>
          <w:sz w:val="22"/>
          <w:szCs w:val="22"/>
          <w:lang w:val="lt-LT"/>
        </w:rPr>
        <w:t>Silungo</w:t>
      </w:r>
      <w:r w:rsidRPr="005A3594">
        <w:rPr>
          <w:b/>
          <w:bCs/>
          <w:snapToGrid w:val="0"/>
          <w:sz w:val="22"/>
          <w:szCs w:val="22"/>
          <w:lang w:val="lt-LT" w:eastAsia="x-none"/>
        </w:rPr>
        <w:t xml:space="preserve"> sudėtis </w:t>
      </w:r>
    </w:p>
    <w:p w14:paraId="1A1B0446" w14:textId="77777777" w:rsidR="00444334" w:rsidRPr="005A3594" w:rsidRDefault="00444334" w:rsidP="00444334">
      <w:pPr>
        <w:widowControl/>
        <w:numPr>
          <w:ilvl w:val="0"/>
          <w:numId w:val="34"/>
        </w:numPr>
        <w:tabs>
          <w:tab w:val="left" w:pos="567"/>
        </w:tabs>
        <w:autoSpaceDE/>
        <w:autoSpaceDN/>
        <w:adjustRightInd/>
        <w:spacing w:line="260" w:lineRule="exact"/>
        <w:ind w:left="567" w:right="-2" w:hanging="567"/>
        <w:rPr>
          <w:rFonts w:eastAsia="Times New Roman"/>
          <w:snapToGrid w:val="0"/>
          <w:sz w:val="22"/>
          <w:szCs w:val="22"/>
          <w:lang w:val="lt-LT"/>
        </w:rPr>
      </w:pPr>
      <w:r w:rsidRPr="008B1AE9">
        <w:rPr>
          <w:rFonts w:eastAsia="Times New Roman"/>
          <w:noProof/>
          <w:snapToGrid w:val="0"/>
          <w:sz w:val="22"/>
          <w:szCs w:val="22"/>
          <w:lang w:val="lt-LT"/>
        </w:rPr>
        <w:t xml:space="preserve">Veiklioji medžiaga </w:t>
      </w:r>
      <w:r w:rsidR="005E5846">
        <w:rPr>
          <w:sz w:val="22"/>
          <w:szCs w:val="22"/>
          <w:lang w:val="lt-LT"/>
        </w:rPr>
        <w:t>yra</w:t>
      </w:r>
      <w:r w:rsidRPr="00D5161B">
        <w:rPr>
          <w:spacing w:val="-4"/>
          <w:sz w:val="22"/>
          <w:szCs w:val="22"/>
          <w:lang w:val="lt-LT"/>
        </w:rPr>
        <w:t xml:space="preserve"> </w:t>
      </w:r>
      <w:r w:rsidRPr="00D5161B">
        <w:rPr>
          <w:sz w:val="22"/>
          <w:szCs w:val="22"/>
          <w:lang w:val="lt-LT"/>
        </w:rPr>
        <w:t>sildenafilis.</w:t>
      </w:r>
      <w:r w:rsidR="005E5846">
        <w:rPr>
          <w:sz w:val="22"/>
          <w:szCs w:val="22"/>
          <w:lang w:val="lt-LT"/>
        </w:rPr>
        <w:t xml:space="preserve"> Kiekvienoje tabletėje yra 20 mg sildenafilio (citrato pavidalu).</w:t>
      </w:r>
    </w:p>
    <w:p w14:paraId="197FBC10" w14:textId="77777777" w:rsidR="00444334" w:rsidRPr="008B1AE9" w:rsidRDefault="00444334" w:rsidP="00444334">
      <w:pPr>
        <w:widowControl/>
        <w:numPr>
          <w:ilvl w:val="0"/>
          <w:numId w:val="34"/>
        </w:numPr>
        <w:tabs>
          <w:tab w:val="left" w:pos="567"/>
        </w:tabs>
        <w:autoSpaceDE/>
        <w:autoSpaceDN/>
        <w:adjustRightInd/>
        <w:spacing w:line="260" w:lineRule="exact"/>
        <w:ind w:left="567" w:right="-2" w:hanging="567"/>
        <w:rPr>
          <w:rFonts w:eastAsia="Times New Roman"/>
          <w:snapToGrid w:val="0"/>
          <w:sz w:val="22"/>
          <w:szCs w:val="22"/>
          <w:lang w:val="lt-LT"/>
        </w:rPr>
      </w:pPr>
      <w:r w:rsidRPr="00AE5BD5">
        <w:rPr>
          <w:noProof/>
          <w:snapToGrid w:val="0"/>
          <w:sz w:val="22"/>
          <w:szCs w:val="22"/>
          <w:lang w:val="lt-LT"/>
        </w:rPr>
        <w:t>Pagalbinė</w:t>
      </w:r>
      <w:r w:rsidRPr="008B1AE9">
        <w:rPr>
          <w:rFonts w:eastAsia="Times New Roman"/>
          <w:noProof/>
          <w:snapToGrid w:val="0"/>
          <w:sz w:val="22"/>
          <w:szCs w:val="22"/>
          <w:lang w:val="lt-LT"/>
        </w:rPr>
        <w:t>s medžiagos:</w:t>
      </w:r>
    </w:p>
    <w:p w14:paraId="545E61FE" w14:textId="77777777" w:rsidR="00444334" w:rsidRPr="00D5161B" w:rsidRDefault="00444334" w:rsidP="000C463E">
      <w:pPr>
        <w:ind w:left="567"/>
        <w:rPr>
          <w:sz w:val="22"/>
          <w:szCs w:val="22"/>
          <w:lang w:val="lt-LT"/>
        </w:rPr>
      </w:pPr>
      <w:r w:rsidRPr="00D5161B">
        <w:rPr>
          <w:sz w:val="22"/>
          <w:szCs w:val="22"/>
          <w:lang w:val="lt-LT"/>
        </w:rPr>
        <w:t>Tabletės branduolys: mikrokristalinė celiuliozė, kalcio</w:t>
      </w:r>
      <w:r w:rsidR="005E5846">
        <w:rPr>
          <w:sz w:val="22"/>
          <w:szCs w:val="22"/>
          <w:lang w:val="lt-LT"/>
        </w:rPr>
        <w:t>-</w:t>
      </w:r>
      <w:r w:rsidRPr="00D5161B">
        <w:rPr>
          <w:sz w:val="22"/>
          <w:szCs w:val="22"/>
          <w:lang w:val="lt-LT"/>
        </w:rPr>
        <w:t xml:space="preserve">vandenilio fosfatas, kroskarmeliozės natrio druska, </w:t>
      </w:r>
      <w:r w:rsidR="003060D9" w:rsidRPr="00D5161B">
        <w:rPr>
          <w:sz w:val="22"/>
          <w:szCs w:val="22"/>
          <w:lang w:val="lt-LT"/>
        </w:rPr>
        <w:t>hip</w:t>
      </w:r>
      <w:r w:rsidR="003060D9" w:rsidRPr="00D5161B">
        <w:rPr>
          <w:rFonts w:eastAsia="Times New Roman"/>
          <w:sz w:val="22"/>
          <w:szCs w:val="22"/>
          <w:lang w:val="lt-LT"/>
        </w:rPr>
        <w:t>romel</w:t>
      </w:r>
      <w:r w:rsidR="00D26268">
        <w:rPr>
          <w:rFonts w:eastAsia="Times New Roman"/>
          <w:sz w:val="22"/>
          <w:szCs w:val="22"/>
          <w:lang w:val="lt-LT"/>
        </w:rPr>
        <w:t>i</w:t>
      </w:r>
      <w:r w:rsidR="003060D9" w:rsidRPr="00D5161B">
        <w:rPr>
          <w:rFonts w:eastAsia="Times New Roman"/>
          <w:sz w:val="22"/>
          <w:szCs w:val="22"/>
          <w:lang w:val="lt-LT"/>
        </w:rPr>
        <w:t>o</w:t>
      </w:r>
      <w:r w:rsidR="00D26268">
        <w:rPr>
          <w:sz w:val="22"/>
          <w:szCs w:val="22"/>
          <w:lang w:val="lt-LT"/>
        </w:rPr>
        <w:t>zė</w:t>
      </w:r>
      <w:r w:rsidR="003060D9" w:rsidRPr="00D5161B">
        <w:rPr>
          <w:rFonts w:eastAsia="Times New Roman"/>
          <w:sz w:val="22"/>
          <w:szCs w:val="22"/>
          <w:lang w:val="lt-LT"/>
        </w:rPr>
        <w:t xml:space="preserve"> 5cp ( E464)</w:t>
      </w:r>
      <w:r w:rsidR="003060D9" w:rsidRPr="00D5161B">
        <w:rPr>
          <w:sz w:val="22"/>
          <w:szCs w:val="22"/>
          <w:lang w:val="lt-LT"/>
        </w:rPr>
        <w:t xml:space="preserve">, </w:t>
      </w:r>
      <w:r w:rsidRPr="00D5161B">
        <w:rPr>
          <w:sz w:val="22"/>
          <w:szCs w:val="22"/>
          <w:lang w:val="lt-LT"/>
        </w:rPr>
        <w:t>magnio stearatas.</w:t>
      </w:r>
    </w:p>
    <w:p w14:paraId="43E21F3F" w14:textId="77777777" w:rsidR="00444334" w:rsidRPr="00D5161B" w:rsidRDefault="00444334" w:rsidP="000C463E">
      <w:pPr>
        <w:ind w:left="567"/>
        <w:rPr>
          <w:sz w:val="22"/>
          <w:szCs w:val="22"/>
          <w:lang w:val="lt-LT"/>
        </w:rPr>
      </w:pPr>
      <w:r w:rsidRPr="00D5161B">
        <w:rPr>
          <w:sz w:val="22"/>
          <w:szCs w:val="22"/>
          <w:lang w:val="lt-LT"/>
        </w:rPr>
        <w:t>Tabletės plėvelė: hipromeliozė</w:t>
      </w:r>
      <w:r w:rsidR="003060D9" w:rsidRPr="00D5161B">
        <w:rPr>
          <w:sz w:val="22"/>
          <w:szCs w:val="22"/>
          <w:lang w:val="lt-LT"/>
        </w:rPr>
        <w:t xml:space="preserve"> </w:t>
      </w:r>
      <w:r w:rsidR="003060D9" w:rsidRPr="00D5161B">
        <w:rPr>
          <w:rFonts w:eastAsia="Times New Roman"/>
          <w:sz w:val="22"/>
          <w:szCs w:val="22"/>
          <w:lang w:val="lt-LT"/>
        </w:rPr>
        <w:t>5cp (E464)</w:t>
      </w:r>
      <w:r w:rsidR="003060D9" w:rsidRPr="00D5161B">
        <w:rPr>
          <w:sz w:val="22"/>
          <w:szCs w:val="22"/>
          <w:lang w:val="lt-LT"/>
        </w:rPr>
        <w:t xml:space="preserve">, </w:t>
      </w:r>
      <w:r w:rsidRPr="00D5161B">
        <w:rPr>
          <w:sz w:val="22"/>
          <w:szCs w:val="22"/>
          <w:lang w:val="lt-LT"/>
        </w:rPr>
        <w:t xml:space="preserve">titano dioksidas (E171), laktozė monohidratas, </w:t>
      </w:r>
      <w:r w:rsidR="003060D9" w:rsidRPr="00D5161B">
        <w:rPr>
          <w:sz w:val="22"/>
          <w:szCs w:val="22"/>
          <w:lang w:val="lt-LT"/>
        </w:rPr>
        <w:t>triacetinas</w:t>
      </w:r>
      <w:r w:rsidRPr="00D5161B">
        <w:rPr>
          <w:sz w:val="22"/>
          <w:szCs w:val="22"/>
          <w:lang w:val="lt-LT"/>
        </w:rPr>
        <w:t>.</w:t>
      </w:r>
    </w:p>
    <w:p w14:paraId="54D582C9" w14:textId="77777777" w:rsidR="00444334" w:rsidRPr="005A3594" w:rsidRDefault="00444334" w:rsidP="00444334">
      <w:pPr>
        <w:widowControl/>
        <w:tabs>
          <w:tab w:val="left" w:pos="567"/>
        </w:tabs>
        <w:autoSpaceDE/>
        <w:autoSpaceDN/>
        <w:adjustRightInd/>
        <w:spacing w:line="260" w:lineRule="exact"/>
        <w:ind w:left="567" w:right="-2"/>
        <w:rPr>
          <w:rFonts w:eastAsia="Times New Roman"/>
          <w:snapToGrid w:val="0"/>
          <w:sz w:val="22"/>
          <w:szCs w:val="22"/>
          <w:lang w:val="lt-LT"/>
        </w:rPr>
      </w:pPr>
    </w:p>
    <w:p w14:paraId="1E073D20" w14:textId="77777777" w:rsidR="00C05173" w:rsidRPr="00D5161B" w:rsidRDefault="00B61707" w:rsidP="008C6014">
      <w:pPr>
        <w:rPr>
          <w:b/>
          <w:sz w:val="22"/>
          <w:szCs w:val="22"/>
          <w:lang w:val="lt-LT"/>
        </w:rPr>
      </w:pPr>
      <w:r w:rsidRPr="00D5161B">
        <w:rPr>
          <w:b/>
          <w:sz w:val="22"/>
          <w:szCs w:val="22"/>
          <w:lang w:val="lt-LT"/>
        </w:rPr>
        <w:t>Silungo</w:t>
      </w:r>
      <w:r w:rsidR="00C05173" w:rsidRPr="00D5161B">
        <w:rPr>
          <w:b/>
          <w:sz w:val="22"/>
          <w:szCs w:val="22"/>
          <w:lang w:val="lt-LT"/>
        </w:rPr>
        <w:t xml:space="preserve"> išvaizda ir kiekis pakuotėje</w:t>
      </w:r>
    </w:p>
    <w:p w14:paraId="16C0C1E1" w14:textId="77777777" w:rsidR="00C05173" w:rsidRPr="00D5161B" w:rsidRDefault="00C05173" w:rsidP="008C6014">
      <w:pPr>
        <w:rPr>
          <w:b/>
          <w:bCs/>
          <w:sz w:val="22"/>
          <w:szCs w:val="22"/>
          <w:lang w:val="lt-LT"/>
        </w:rPr>
      </w:pPr>
    </w:p>
    <w:p w14:paraId="7BDA92A0" w14:textId="77777777" w:rsidR="00F76B1E" w:rsidRPr="00D5161B" w:rsidRDefault="00F76B1E" w:rsidP="00F76B1E">
      <w:pPr>
        <w:rPr>
          <w:sz w:val="22"/>
          <w:szCs w:val="22"/>
          <w:lang w:val="lt-LT"/>
        </w:rPr>
      </w:pPr>
      <w:r w:rsidRPr="00D5161B">
        <w:rPr>
          <w:sz w:val="22"/>
          <w:szCs w:val="22"/>
          <w:lang w:val="lt-LT"/>
        </w:rPr>
        <w:t xml:space="preserve">Silungo yra baltos arba beveik baltos, apvalios formos, abipus išgaubtos, plėvele dengtos tabletės su </w:t>
      </w:r>
      <w:r w:rsidRPr="005A3594">
        <w:rPr>
          <w:sz w:val="22"/>
          <w:szCs w:val="22"/>
          <w:lang w:val="lt-LT"/>
        </w:rPr>
        <w:t>įspaudu „20“ vienoje pusėje ir vientisos kitoje.</w:t>
      </w:r>
      <w:r w:rsidRPr="00D5161B">
        <w:rPr>
          <w:sz w:val="22"/>
          <w:szCs w:val="22"/>
          <w:lang w:val="lt-LT"/>
        </w:rPr>
        <w:t xml:space="preserve"> </w:t>
      </w:r>
    </w:p>
    <w:p w14:paraId="0B3805AE" w14:textId="77777777" w:rsidR="00F76B1E" w:rsidRPr="00D5161B" w:rsidRDefault="00F76B1E" w:rsidP="00F76B1E">
      <w:pPr>
        <w:rPr>
          <w:sz w:val="22"/>
          <w:szCs w:val="22"/>
          <w:lang w:val="lt-LT"/>
        </w:rPr>
      </w:pPr>
      <w:r w:rsidRPr="00D5161B">
        <w:rPr>
          <w:sz w:val="22"/>
          <w:szCs w:val="22"/>
          <w:lang w:val="lt-LT"/>
        </w:rPr>
        <w:t>Tiekiam</w:t>
      </w:r>
      <w:r w:rsidR="005E5846">
        <w:rPr>
          <w:sz w:val="22"/>
          <w:szCs w:val="22"/>
          <w:lang w:val="lt-LT"/>
        </w:rPr>
        <w:t>a</w:t>
      </w:r>
      <w:r w:rsidRPr="00D5161B">
        <w:rPr>
          <w:sz w:val="22"/>
          <w:szCs w:val="22"/>
          <w:lang w:val="lt-LT"/>
        </w:rPr>
        <w:t>s 90 tablečių lizdini</w:t>
      </w:r>
      <w:r w:rsidRPr="005A3594">
        <w:rPr>
          <w:sz w:val="22"/>
          <w:szCs w:val="22"/>
          <w:lang w:val="lt-LT"/>
        </w:rPr>
        <w:t>ų</w:t>
      </w:r>
      <w:r w:rsidRPr="00D5161B">
        <w:rPr>
          <w:sz w:val="22"/>
          <w:szCs w:val="22"/>
          <w:lang w:val="lt-LT"/>
        </w:rPr>
        <w:t xml:space="preserve"> plokštelių pakuotėse</w:t>
      </w:r>
      <w:r w:rsidR="005158E2" w:rsidRPr="00D5161B">
        <w:rPr>
          <w:sz w:val="22"/>
          <w:szCs w:val="22"/>
          <w:lang w:val="lt-LT"/>
        </w:rPr>
        <w:t>, 5</w:t>
      </w:r>
      <w:r w:rsidRPr="00D5161B">
        <w:rPr>
          <w:sz w:val="22"/>
          <w:szCs w:val="22"/>
          <w:lang w:val="lt-LT"/>
        </w:rPr>
        <w:t xml:space="preserve">0 </w:t>
      </w:r>
      <w:r w:rsidR="005158E2" w:rsidRPr="00D5161B">
        <w:rPr>
          <w:sz w:val="22"/>
          <w:szCs w:val="22"/>
          <w:lang w:val="lt-LT"/>
        </w:rPr>
        <w:t>tablečių lizdini</w:t>
      </w:r>
      <w:r w:rsidR="005158E2" w:rsidRPr="005A3594">
        <w:rPr>
          <w:sz w:val="22"/>
          <w:szCs w:val="22"/>
          <w:lang w:val="lt-LT"/>
        </w:rPr>
        <w:t>ų</w:t>
      </w:r>
      <w:r w:rsidR="005158E2" w:rsidRPr="00D5161B">
        <w:rPr>
          <w:sz w:val="22"/>
          <w:szCs w:val="22"/>
          <w:lang w:val="lt-LT"/>
        </w:rPr>
        <w:t xml:space="preserve"> plokštelių pakuotėse</w:t>
      </w:r>
      <w:r w:rsidR="005E5846">
        <w:rPr>
          <w:sz w:val="22"/>
          <w:szCs w:val="22"/>
          <w:lang w:val="lt-LT"/>
        </w:rPr>
        <w:t xml:space="preserve"> ir</w:t>
      </w:r>
      <w:r w:rsidR="005158E2" w:rsidRPr="00D5161B">
        <w:rPr>
          <w:sz w:val="22"/>
          <w:szCs w:val="22"/>
          <w:lang w:val="lt-LT"/>
        </w:rPr>
        <w:t xml:space="preserve"> 300 tablečių</w:t>
      </w:r>
      <w:r w:rsidR="005E5846">
        <w:rPr>
          <w:sz w:val="22"/>
          <w:szCs w:val="22"/>
          <w:lang w:val="lt-LT"/>
        </w:rPr>
        <w:t xml:space="preserve"> lizdinių plokštelių pakuotėse</w:t>
      </w:r>
      <w:r w:rsidR="005158E2" w:rsidRPr="00D5161B">
        <w:rPr>
          <w:sz w:val="22"/>
          <w:szCs w:val="22"/>
          <w:lang w:val="lt-LT"/>
        </w:rPr>
        <w:t>.</w:t>
      </w:r>
    </w:p>
    <w:p w14:paraId="7F3E99EE" w14:textId="77777777" w:rsidR="005158E2" w:rsidRPr="00D5161B" w:rsidRDefault="005158E2" w:rsidP="008C6014">
      <w:pPr>
        <w:rPr>
          <w:sz w:val="22"/>
          <w:szCs w:val="22"/>
          <w:lang w:val="lt-LT"/>
        </w:rPr>
      </w:pPr>
    </w:p>
    <w:p w14:paraId="1FA448BB" w14:textId="77777777" w:rsidR="00C05173" w:rsidRPr="00D5161B" w:rsidRDefault="00C05173" w:rsidP="008C6014">
      <w:pPr>
        <w:rPr>
          <w:sz w:val="22"/>
          <w:szCs w:val="22"/>
          <w:lang w:val="lt-LT"/>
        </w:rPr>
      </w:pPr>
      <w:r w:rsidRPr="00D5161B">
        <w:rPr>
          <w:sz w:val="22"/>
          <w:szCs w:val="22"/>
          <w:lang w:val="lt-LT"/>
        </w:rPr>
        <w:t>Gali būti tiekiamos ne visų dydžių pakuotės.</w:t>
      </w:r>
    </w:p>
    <w:p w14:paraId="7C86FEC7" w14:textId="77777777" w:rsidR="00C05173" w:rsidRPr="00D5161B" w:rsidRDefault="00C05173" w:rsidP="008C6014">
      <w:pPr>
        <w:rPr>
          <w:sz w:val="22"/>
          <w:szCs w:val="22"/>
          <w:lang w:val="lt-LT"/>
        </w:rPr>
      </w:pPr>
    </w:p>
    <w:p w14:paraId="61E9181E" w14:textId="77777777" w:rsidR="00C05173" w:rsidRPr="00D5161B" w:rsidRDefault="00C05173" w:rsidP="008C6014">
      <w:pPr>
        <w:rPr>
          <w:b/>
          <w:sz w:val="22"/>
          <w:szCs w:val="22"/>
          <w:lang w:val="lt-LT"/>
        </w:rPr>
      </w:pPr>
      <w:r w:rsidRPr="00D5161B">
        <w:rPr>
          <w:b/>
          <w:sz w:val="22"/>
          <w:szCs w:val="22"/>
          <w:lang w:val="lt-LT"/>
        </w:rPr>
        <w:t>Registruotojas ir gamintojas</w:t>
      </w:r>
    </w:p>
    <w:p w14:paraId="464F329B" w14:textId="77777777" w:rsidR="003060D9" w:rsidRPr="00D5161B" w:rsidRDefault="003060D9" w:rsidP="003060D9">
      <w:pPr>
        <w:rPr>
          <w:sz w:val="22"/>
          <w:szCs w:val="22"/>
          <w:lang w:val="lt-LT"/>
        </w:rPr>
      </w:pPr>
    </w:p>
    <w:p w14:paraId="675539E0" w14:textId="77777777" w:rsidR="003060D9" w:rsidRPr="00D5161B" w:rsidRDefault="003060D9" w:rsidP="003060D9">
      <w:pPr>
        <w:rPr>
          <w:sz w:val="22"/>
          <w:szCs w:val="22"/>
          <w:lang w:val="lt-LT"/>
        </w:rPr>
      </w:pPr>
      <w:r w:rsidRPr="00D5161B">
        <w:rPr>
          <w:sz w:val="22"/>
          <w:szCs w:val="22"/>
          <w:lang w:val="lt-LT"/>
        </w:rPr>
        <w:t>UAB Norameda</w:t>
      </w:r>
    </w:p>
    <w:p w14:paraId="4B9A30D9" w14:textId="77777777" w:rsidR="00D26268" w:rsidRDefault="003060D9" w:rsidP="003060D9">
      <w:pPr>
        <w:rPr>
          <w:sz w:val="22"/>
          <w:szCs w:val="22"/>
          <w:lang w:val="lt-LT"/>
        </w:rPr>
      </w:pPr>
      <w:r w:rsidRPr="00D5161B">
        <w:rPr>
          <w:sz w:val="22"/>
          <w:szCs w:val="22"/>
          <w:lang w:val="lt-LT"/>
        </w:rPr>
        <w:t>Meistrų 8a</w:t>
      </w:r>
      <w:r w:rsidR="0056076A">
        <w:rPr>
          <w:sz w:val="22"/>
          <w:szCs w:val="22"/>
          <w:lang w:val="lt-LT"/>
        </w:rPr>
        <w:t>, Vilnius</w:t>
      </w:r>
    </w:p>
    <w:p w14:paraId="7550D2F0" w14:textId="77777777" w:rsidR="003060D9" w:rsidRPr="00D5161B" w:rsidRDefault="003060D9" w:rsidP="003060D9">
      <w:pPr>
        <w:rPr>
          <w:sz w:val="22"/>
          <w:szCs w:val="22"/>
          <w:lang w:val="lt-LT"/>
        </w:rPr>
      </w:pPr>
      <w:r w:rsidRPr="00D5161B">
        <w:rPr>
          <w:sz w:val="22"/>
          <w:szCs w:val="22"/>
          <w:lang w:val="lt-LT"/>
        </w:rPr>
        <w:t>LT-02189</w:t>
      </w:r>
    </w:p>
    <w:p w14:paraId="38B946C9" w14:textId="77777777" w:rsidR="003060D9" w:rsidRPr="00D5161B" w:rsidRDefault="003060D9" w:rsidP="003060D9">
      <w:pPr>
        <w:rPr>
          <w:sz w:val="22"/>
          <w:szCs w:val="22"/>
          <w:lang w:val="lt-LT"/>
        </w:rPr>
      </w:pPr>
      <w:r w:rsidRPr="00D5161B">
        <w:rPr>
          <w:sz w:val="22"/>
          <w:szCs w:val="22"/>
          <w:lang w:val="lt-LT"/>
        </w:rPr>
        <w:t>Lietuva</w:t>
      </w:r>
    </w:p>
    <w:p w14:paraId="36DD61C4" w14:textId="77777777" w:rsidR="003060D9" w:rsidRPr="00D26268" w:rsidRDefault="003060D9" w:rsidP="003060D9">
      <w:pPr>
        <w:widowControl/>
        <w:autoSpaceDE/>
        <w:autoSpaceDN/>
        <w:adjustRightInd/>
        <w:rPr>
          <w:rFonts w:eastAsia="Times New Roman"/>
          <w:snapToGrid w:val="0"/>
          <w:sz w:val="22"/>
          <w:szCs w:val="22"/>
          <w:lang w:val="lt-LT"/>
        </w:rPr>
      </w:pPr>
      <w:r w:rsidRPr="005A3594">
        <w:rPr>
          <w:rFonts w:eastAsia="Times New Roman"/>
          <w:noProof/>
          <w:snapToGrid w:val="0"/>
          <w:sz w:val="22"/>
          <w:szCs w:val="22"/>
          <w:lang w:val="lt-LT"/>
        </w:rPr>
        <w:t xml:space="preserve">Tel. </w:t>
      </w:r>
      <w:r w:rsidRPr="00D26268">
        <w:rPr>
          <w:rFonts w:eastAsia="Times New Roman"/>
          <w:noProof/>
          <w:snapToGrid w:val="0"/>
          <w:sz w:val="22"/>
          <w:szCs w:val="22"/>
          <w:lang w:val="lt-LT"/>
        </w:rPr>
        <w:t>+370 5 230 6499</w:t>
      </w:r>
    </w:p>
    <w:p w14:paraId="65FC6063" w14:textId="0B48F63A" w:rsidR="003060D9" w:rsidRPr="005A3594" w:rsidRDefault="003060D9" w:rsidP="003060D9">
      <w:pPr>
        <w:widowControl/>
        <w:numPr>
          <w:ilvl w:val="12"/>
          <w:numId w:val="0"/>
        </w:numPr>
        <w:autoSpaceDE/>
        <w:autoSpaceDN/>
        <w:adjustRightInd/>
        <w:ind w:right="-2"/>
        <w:rPr>
          <w:rFonts w:eastAsia="Times New Roman"/>
          <w:noProof/>
          <w:snapToGrid w:val="0"/>
          <w:sz w:val="22"/>
          <w:szCs w:val="22"/>
          <w:lang w:val="lt-LT"/>
        </w:rPr>
      </w:pPr>
      <w:r w:rsidRPr="005A3594">
        <w:rPr>
          <w:rFonts w:eastAsia="Times New Roman"/>
          <w:noProof/>
          <w:snapToGrid w:val="0"/>
          <w:sz w:val="22"/>
          <w:szCs w:val="22"/>
          <w:lang w:val="lt-LT"/>
        </w:rPr>
        <w:t xml:space="preserve">El. paštas </w:t>
      </w:r>
      <w:r w:rsidR="00DC7AD9">
        <w:rPr>
          <w:rStyle w:val="Hipersaitas"/>
          <w:rFonts w:eastAsia="Times New Roman"/>
          <w:noProof/>
          <w:snapToGrid w:val="0"/>
          <w:sz w:val="22"/>
          <w:szCs w:val="22"/>
          <w:lang w:val="lt-LT"/>
        </w:rPr>
        <w:t>info@norameda.com</w:t>
      </w:r>
    </w:p>
    <w:p w14:paraId="1E0A9B0C" w14:textId="77777777" w:rsidR="003060D9" w:rsidRPr="00AE5BD5" w:rsidRDefault="003060D9" w:rsidP="003060D9">
      <w:pPr>
        <w:widowControl/>
        <w:numPr>
          <w:ilvl w:val="12"/>
          <w:numId w:val="0"/>
        </w:numPr>
        <w:autoSpaceDE/>
        <w:autoSpaceDN/>
        <w:adjustRightInd/>
        <w:ind w:right="-2"/>
        <w:rPr>
          <w:rFonts w:eastAsia="Times New Roman"/>
          <w:snapToGrid w:val="0"/>
          <w:sz w:val="22"/>
          <w:szCs w:val="22"/>
          <w:lang w:val="lt-LT"/>
        </w:rPr>
      </w:pPr>
    </w:p>
    <w:p w14:paraId="17EAD01D" w14:textId="6D4EC816" w:rsidR="003060D9" w:rsidRPr="008B1AE9" w:rsidRDefault="003060D9" w:rsidP="003060D9">
      <w:pPr>
        <w:widowControl/>
        <w:numPr>
          <w:ilvl w:val="12"/>
          <w:numId w:val="0"/>
        </w:numPr>
        <w:autoSpaceDE/>
        <w:autoSpaceDN/>
        <w:adjustRightInd/>
        <w:ind w:right="-2"/>
        <w:rPr>
          <w:b/>
          <w:sz w:val="22"/>
          <w:szCs w:val="22"/>
          <w:lang w:val="lt-LT"/>
        </w:rPr>
      </w:pPr>
      <w:r w:rsidRPr="008B1AE9">
        <w:rPr>
          <w:b/>
          <w:sz w:val="22"/>
          <w:szCs w:val="22"/>
          <w:lang w:val="lt-LT"/>
        </w:rPr>
        <w:t>Šis vai</w:t>
      </w:r>
      <w:r w:rsidRPr="005935E0">
        <w:rPr>
          <w:b/>
          <w:sz w:val="22"/>
          <w:szCs w:val="22"/>
          <w:lang w:val="lt-LT"/>
        </w:rPr>
        <w:t>stas E</w:t>
      </w:r>
      <w:r w:rsidR="005935E0" w:rsidRPr="005935E0">
        <w:rPr>
          <w:rFonts w:eastAsia="Times New Roman"/>
          <w:b/>
          <w:snapToGrid w:val="0"/>
          <w:sz w:val="22"/>
          <w:szCs w:val="22"/>
        </w:rPr>
        <w:t>uropos ekonominės erdvės</w:t>
      </w:r>
      <w:r w:rsidRPr="005935E0">
        <w:rPr>
          <w:b/>
          <w:sz w:val="22"/>
          <w:szCs w:val="22"/>
          <w:lang w:val="lt-LT"/>
        </w:rPr>
        <w:t xml:space="preserve"> vals</w:t>
      </w:r>
      <w:r w:rsidRPr="008B1AE9">
        <w:rPr>
          <w:b/>
          <w:sz w:val="22"/>
          <w:szCs w:val="22"/>
          <w:lang w:val="lt-LT"/>
        </w:rPr>
        <w:t>tybėse narėse registruotas tokiais pavadinimais</w:t>
      </w:r>
    </w:p>
    <w:p w14:paraId="263E9738" w14:textId="77777777" w:rsidR="003060D9" w:rsidRPr="008B1AE9" w:rsidRDefault="003060D9" w:rsidP="003060D9">
      <w:pPr>
        <w:widowControl/>
        <w:numPr>
          <w:ilvl w:val="12"/>
          <w:numId w:val="0"/>
        </w:numPr>
        <w:autoSpaceDE/>
        <w:autoSpaceDN/>
        <w:adjustRightInd/>
        <w:ind w:right="-2"/>
        <w:rPr>
          <w:sz w:val="22"/>
          <w:szCs w:val="22"/>
          <w:lang w:val="lt-LT"/>
        </w:rPr>
      </w:pPr>
    </w:p>
    <w:p w14:paraId="4A3BF90A" w14:textId="77777777" w:rsidR="003060D9" w:rsidRPr="00D5161B" w:rsidRDefault="003060D9" w:rsidP="003060D9">
      <w:pPr>
        <w:widowControl/>
        <w:numPr>
          <w:ilvl w:val="12"/>
          <w:numId w:val="0"/>
        </w:numPr>
        <w:autoSpaceDE/>
        <w:autoSpaceDN/>
        <w:adjustRightInd/>
        <w:ind w:right="-2"/>
        <w:rPr>
          <w:sz w:val="22"/>
          <w:szCs w:val="22"/>
          <w:lang w:val="lt-LT"/>
        </w:rPr>
      </w:pPr>
      <w:r w:rsidRPr="008B1AE9">
        <w:rPr>
          <w:sz w:val="22"/>
          <w:szCs w:val="22"/>
          <w:lang w:val="lt-LT"/>
        </w:rPr>
        <w:t>Estija</w:t>
      </w:r>
      <w:r w:rsidRPr="008B1AE9">
        <w:rPr>
          <w:sz w:val="22"/>
          <w:szCs w:val="22"/>
          <w:lang w:val="lt-LT"/>
        </w:rPr>
        <w:tab/>
      </w:r>
      <w:r w:rsidRPr="008B1AE9">
        <w:rPr>
          <w:sz w:val="22"/>
          <w:szCs w:val="22"/>
          <w:lang w:val="lt-LT"/>
        </w:rPr>
        <w:tab/>
      </w:r>
      <w:r w:rsidRPr="008B1AE9">
        <w:rPr>
          <w:sz w:val="22"/>
          <w:szCs w:val="22"/>
          <w:lang w:val="lt-LT"/>
        </w:rPr>
        <w:tab/>
      </w:r>
      <w:r w:rsidR="00FC6D54" w:rsidRPr="00D5161B">
        <w:rPr>
          <w:sz w:val="22"/>
          <w:szCs w:val="22"/>
          <w:lang w:val="lt-LT"/>
        </w:rPr>
        <w:t>Silungo</w:t>
      </w:r>
    </w:p>
    <w:p w14:paraId="79CDC939" w14:textId="77777777" w:rsidR="003060D9" w:rsidRPr="00D5161B" w:rsidRDefault="003060D9" w:rsidP="003060D9">
      <w:pPr>
        <w:widowControl/>
        <w:numPr>
          <w:ilvl w:val="12"/>
          <w:numId w:val="0"/>
        </w:numPr>
        <w:autoSpaceDE/>
        <w:autoSpaceDN/>
        <w:adjustRightInd/>
        <w:ind w:right="-2"/>
        <w:rPr>
          <w:sz w:val="22"/>
          <w:szCs w:val="22"/>
          <w:lang w:val="lt-LT"/>
        </w:rPr>
      </w:pPr>
      <w:r w:rsidRPr="00D5161B">
        <w:rPr>
          <w:sz w:val="22"/>
          <w:szCs w:val="22"/>
          <w:lang w:val="lt-LT"/>
        </w:rPr>
        <w:t>Latvija</w:t>
      </w:r>
      <w:r w:rsidR="00FC6D54" w:rsidRPr="00D5161B">
        <w:rPr>
          <w:sz w:val="22"/>
          <w:szCs w:val="22"/>
          <w:lang w:val="lt-LT"/>
        </w:rPr>
        <w:tab/>
      </w:r>
      <w:r w:rsidR="00FC6D54" w:rsidRPr="00D5161B">
        <w:rPr>
          <w:sz w:val="22"/>
          <w:szCs w:val="22"/>
          <w:lang w:val="lt-LT"/>
        </w:rPr>
        <w:tab/>
      </w:r>
      <w:r w:rsidR="00FC6D54" w:rsidRPr="00D5161B">
        <w:rPr>
          <w:sz w:val="22"/>
          <w:szCs w:val="22"/>
          <w:lang w:val="lt-LT"/>
        </w:rPr>
        <w:tab/>
        <w:t>Silungo</w:t>
      </w:r>
      <w:r w:rsidR="00225B43">
        <w:rPr>
          <w:sz w:val="22"/>
          <w:szCs w:val="22"/>
          <w:lang w:val="lt-LT"/>
        </w:rPr>
        <w:t xml:space="preserve"> 2</w:t>
      </w:r>
      <w:r w:rsidR="00225B43" w:rsidRPr="00D5161B">
        <w:rPr>
          <w:sz w:val="22"/>
          <w:szCs w:val="22"/>
          <w:lang w:val="lt-LT"/>
        </w:rPr>
        <w:t xml:space="preserve">0 mg </w:t>
      </w:r>
      <w:r w:rsidR="00225B43" w:rsidRPr="00D5161B">
        <w:rPr>
          <w:sz w:val="22"/>
          <w:szCs w:val="22"/>
          <w:lang w:val="lt-LT" w:eastAsia="lt-LT"/>
        </w:rPr>
        <w:t>apvalkotās taletes</w:t>
      </w:r>
    </w:p>
    <w:p w14:paraId="66AD92AE" w14:textId="77777777" w:rsidR="003060D9" w:rsidRPr="003147F8" w:rsidRDefault="003060D9" w:rsidP="003060D9">
      <w:pPr>
        <w:widowControl/>
        <w:numPr>
          <w:ilvl w:val="12"/>
          <w:numId w:val="0"/>
        </w:numPr>
        <w:autoSpaceDE/>
        <w:autoSpaceDN/>
        <w:adjustRightInd/>
        <w:ind w:right="-2"/>
        <w:rPr>
          <w:sz w:val="22"/>
          <w:szCs w:val="22"/>
          <w:lang w:val="lt-LT"/>
        </w:rPr>
      </w:pPr>
      <w:r w:rsidRPr="00D5161B">
        <w:rPr>
          <w:sz w:val="22"/>
          <w:szCs w:val="22"/>
          <w:lang w:val="lt-LT"/>
        </w:rPr>
        <w:t>Lenkija</w:t>
      </w:r>
      <w:r w:rsidR="00FC6D54" w:rsidRPr="0088142B">
        <w:rPr>
          <w:sz w:val="22"/>
          <w:szCs w:val="22"/>
          <w:lang w:val="lt-LT"/>
        </w:rPr>
        <w:tab/>
      </w:r>
      <w:r w:rsidR="00FC6D54" w:rsidRPr="0088142B">
        <w:rPr>
          <w:sz w:val="22"/>
          <w:szCs w:val="22"/>
          <w:lang w:val="lt-LT"/>
        </w:rPr>
        <w:tab/>
      </w:r>
      <w:r w:rsidR="00FC6D54" w:rsidRPr="0088142B">
        <w:rPr>
          <w:sz w:val="22"/>
          <w:szCs w:val="22"/>
          <w:lang w:val="lt-LT"/>
        </w:rPr>
        <w:tab/>
      </w:r>
      <w:r w:rsidR="00FC6D54" w:rsidRPr="00393066">
        <w:rPr>
          <w:sz w:val="22"/>
          <w:szCs w:val="22"/>
          <w:lang w:val="lt-LT"/>
        </w:rPr>
        <w:t>Silungo</w:t>
      </w:r>
    </w:p>
    <w:p w14:paraId="2BE10A88" w14:textId="77777777" w:rsidR="003060D9" w:rsidRPr="00D26268" w:rsidRDefault="003060D9" w:rsidP="003060D9">
      <w:pPr>
        <w:widowControl/>
        <w:numPr>
          <w:ilvl w:val="12"/>
          <w:numId w:val="0"/>
        </w:numPr>
        <w:autoSpaceDE/>
        <w:autoSpaceDN/>
        <w:adjustRightInd/>
        <w:ind w:right="-2"/>
        <w:rPr>
          <w:sz w:val="22"/>
          <w:szCs w:val="22"/>
          <w:lang w:val="lt-LT"/>
        </w:rPr>
      </w:pPr>
      <w:r w:rsidRPr="00D42D4C">
        <w:rPr>
          <w:sz w:val="22"/>
          <w:szCs w:val="22"/>
          <w:lang w:val="lt-LT"/>
        </w:rPr>
        <w:t>Lietuva</w:t>
      </w:r>
      <w:r w:rsidR="00FC6D54" w:rsidRPr="00D42D4C">
        <w:rPr>
          <w:sz w:val="22"/>
          <w:szCs w:val="22"/>
          <w:lang w:val="lt-LT"/>
        </w:rPr>
        <w:tab/>
      </w:r>
      <w:r w:rsidR="00FC6D54" w:rsidRPr="00D42D4C">
        <w:rPr>
          <w:sz w:val="22"/>
          <w:szCs w:val="22"/>
          <w:lang w:val="lt-LT"/>
        </w:rPr>
        <w:tab/>
      </w:r>
      <w:r w:rsidR="00FC6D54" w:rsidRPr="00D42D4C">
        <w:rPr>
          <w:sz w:val="22"/>
          <w:szCs w:val="22"/>
          <w:lang w:val="lt-LT"/>
        </w:rPr>
        <w:tab/>
        <w:t>Silungo 20</w:t>
      </w:r>
      <w:r w:rsidR="00FC6D54" w:rsidRPr="00BB5D9F">
        <w:rPr>
          <w:sz w:val="22"/>
          <w:szCs w:val="22"/>
          <w:lang w:val="lt-LT"/>
        </w:rPr>
        <w:t xml:space="preserve"> mg </w:t>
      </w:r>
      <w:r w:rsidR="00FC6D54" w:rsidRPr="00D26268">
        <w:rPr>
          <w:sz w:val="22"/>
          <w:szCs w:val="22"/>
          <w:lang w:val="lt-LT" w:eastAsia="lt-LT"/>
        </w:rPr>
        <w:t>plėvele dengtos ta</w:t>
      </w:r>
      <w:r w:rsidR="00A03602">
        <w:rPr>
          <w:sz w:val="22"/>
          <w:szCs w:val="22"/>
          <w:lang w:val="lt-LT" w:eastAsia="lt-LT"/>
        </w:rPr>
        <w:t>b</w:t>
      </w:r>
      <w:r w:rsidR="00FC6D54" w:rsidRPr="00D26268">
        <w:rPr>
          <w:sz w:val="22"/>
          <w:szCs w:val="22"/>
          <w:lang w:val="lt-LT" w:eastAsia="lt-LT"/>
        </w:rPr>
        <w:t>let</w:t>
      </w:r>
      <w:r w:rsidR="005E5846">
        <w:rPr>
          <w:sz w:val="22"/>
          <w:szCs w:val="22"/>
          <w:lang w:val="lt-LT" w:eastAsia="lt-LT"/>
        </w:rPr>
        <w:t>ė</w:t>
      </w:r>
      <w:r w:rsidR="00FC6D54" w:rsidRPr="00D26268">
        <w:rPr>
          <w:sz w:val="22"/>
          <w:szCs w:val="22"/>
          <w:lang w:val="lt-LT" w:eastAsia="lt-LT"/>
        </w:rPr>
        <w:t>s</w:t>
      </w:r>
    </w:p>
    <w:p w14:paraId="735DDDC4" w14:textId="77777777" w:rsidR="003060D9" w:rsidRPr="00D26268" w:rsidRDefault="003060D9" w:rsidP="003060D9">
      <w:pPr>
        <w:widowControl/>
        <w:numPr>
          <w:ilvl w:val="12"/>
          <w:numId w:val="0"/>
        </w:numPr>
        <w:autoSpaceDE/>
        <w:autoSpaceDN/>
        <w:adjustRightInd/>
        <w:ind w:right="-2"/>
        <w:rPr>
          <w:rFonts w:eastAsia="Times New Roman"/>
          <w:snapToGrid w:val="0"/>
          <w:sz w:val="22"/>
          <w:szCs w:val="22"/>
          <w:lang w:val="lt-LT"/>
        </w:rPr>
      </w:pPr>
    </w:p>
    <w:p w14:paraId="7311AAA7" w14:textId="091AC147" w:rsidR="00A03602" w:rsidRPr="00A03602" w:rsidRDefault="00A03602" w:rsidP="00A03602">
      <w:pPr>
        <w:widowControl/>
        <w:numPr>
          <w:ilvl w:val="12"/>
          <w:numId w:val="0"/>
        </w:numPr>
        <w:autoSpaceDE/>
        <w:autoSpaceDN/>
        <w:adjustRightInd/>
        <w:ind w:right="-2"/>
        <w:rPr>
          <w:rFonts w:eastAsia="Times New Roman"/>
          <w:b/>
          <w:snapToGrid w:val="0"/>
          <w:sz w:val="22"/>
          <w:szCs w:val="20"/>
          <w:lang w:val="lt-LT"/>
        </w:rPr>
      </w:pPr>
      <w:r w:rsidRPr="00A03602">
        <w:rPr>
          <w:b/>
          <w:snapToGrid w:val="0"/>
          <w:sz w:val="22"/>
          <w:szCs w:val="20"/>
          <w:lang w:val="lt-LT"/>
        </w:rPr>
        <w:t>Šis pakuotės lapelis paskutinį kartą peržiūrėtas</w:t>
      </w:r>
      <w:r w:rsidR="00B45546">
        <w:rPr>
          <w:b/>
          <w:snapToGrid w:val="0"/>
          <w:sz w:val="22"/>
          <w:szCs w:val="20"/>
          <w:lang w:val="lt-LT"/>
        </w:rPr>
        <w:t xml:space="preserve"> 2023-0</w:t>
      </w:r>
      <w:r w:rsidR="00A343D2">
        <w:rPr>
          <w:b/>
          <w:snapToGrid w:val="0"/>
          <w:sz w:val="22"/>
          <w:szCs w:val="20"/>
          <w:lang w:val="lt-LT"/>
        </w:rPr>
        <w:t>9-25</w:t>
      </w:r>
      <w:r w:rsidR="00AA29AB">
        <w:rPr>
          <w:b/>
          <w:snapToGrid w:val="0"/>
          <w:sz w:val="22"/>
          <w:szCs w:val="20"/>
          <w:lang w:val="lt-LT"/>
        </w:rPr>
        <w:t>.</w:t>
      </w:r>
    </w:p>
    <w:p w14:paraId="07CCABA7" w14:textId="77777777" w:rsidR="00A03602" w:rsidRDefault="00A03602" w:rsidP="00FC6D54">
      <w:pPr>
        <w:rPr>
          <w:snapToGrid w:val="0"/>
          <w:sz w:val="22"/>
          <w:szCs w:val="22"/>
          <w:lang w:val="lt-LT"/>
        </w:rPr>
      </w:pPr>
    </w:p>
    <w:p w14:paraId="51E1D732" w14:textId="1A77AC23" w:rsidR="00C05173" w:rsidRDefault="00FC6D54" w:rsidP="00FC6D54">
      <w:pPr>
        <w:rPr>
          <w:rFonts w:eastAsia="Times New Roman"/>
          <w:snapToGrid w:val="0"/>
          <w:sz w:val="22"/>
          <w:szCs w:val="22"/>
          <w:lang w:val="lt-LT"/>
        </w:rPr>
      </w:pPr>
      <w:r w:rsidRPr="00042B32">
        <w:rPr>
          <w:snapToGrid w:val="0"/>
          <w:sz w:val="22"/>
          <w:szCs w:val="22"/>
          <w:lang w:val="lt-LT"/>
        </w:rPr>
        <w:t>Išsami informacija apie šį vaistą pateikiama Valstybinės vaistų kontrolės tarnybos prie Lietuvos Respublikos sveikatos apsaugos ministerijos tinklalapyje</w:t>
      </w:r>
      <w:r w:rsidRPr="00042B32">
        <w:rPr>
          <w:rFonts w:eastAsia="Times New Roman"/>
          <w:i/>
          <w:snapToGrid w:val="0"/>
          <w:sz w:val="22"/>
          <w:szCs w:val="22"/>
          <w:lang w:val="lt-LT"/>
        </w:rPr>
        <w:t xml:space="preserve"> </w:t>
      </w:r>
      <w:hyperlink r:id="rId16" w:history="1">
        <w:r w:rsidRPr="00AE5BD5">
          <w:rPr>
            <w:rFonts w:eastAsia="SimSun"/>
            <w:snapToGrid w:val="0"/>
            <w:color w:val="0000FF"/>
            <w:sz w:val="22"/>
            <w:szCs w:val="22"/>
            <w:u w:val="single"/>
            <w:lang w:val="lt-LT"/>
          </w:rPr>
          <w:t>http://www.vvkt.lt/</w:t>
        </w:r>
      </w:hyperlink>
      <w:r w:rsidR="00A03602">
        <w:rPr>
          <w:rFonts w:eastAsia="Times New Roman"/>
          <w:snapToGrid w:val="0"/>
          <w:sz w:val="22"/>
          <w:szCs w:val="22"/>
          <w:lang w:val="lt-LT"/>
        </w:rPr>
        <w:t>.</w:t>
      </w:r>
    </w:p>
    <w:p w14:paraId="7C136E56" w14:textId="77777777" w:rsidR="006F0D03" w:rsidRPr="00D26268" w:rsidRDefault="006F0D03" w:rsidP="00FC6D54">
      <w:pPr>
        <w:rPr>
          <w:sz w:val="22"/>
          <w:szCs w:val="22"/>
          <w:lang w:val="lt-LT"/>
        </w:rPr>
      </w:pPr>
      <w:bookmarkStart w:id="11" w:name="_GoBack"/>
      <w:bookmarkEnd w:id="11"/>
    </w:p>
    <w:sectPr w:rsidR="006F0D03" w:rsidRPr="00D26268" w:rsidSect="002D4160">
      <w:footerReference w:type="default" r:id="rId17"/>
      <w:type w:val="continuous"/>
      <w:pgSz w:w="11910" w:h="16840"/>
      <w:pgMar w:top="1134" w:right="1418" w:bottom="1134" w:left="1418" w:header="567" w:footer="567" w:gutter="0"/>
      <w:cols w:space="1296" w:equalWidth="0">
        <w:col w:w="9192"/>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C68EA" w14:textId="77777777" w:rsidR="00D72B43" w:rsidRDefault="00D72B43">
      <w:r>
        <w:separator/>
      </w:r>
    </w:p>
  </w:endnote>
  <w:endnote w:type="continuationSeparator" w:id="0">
    <w:p w14:paraId="019DCDE3" w14:textId="77777777" w:rsidR="00D72B43" w:rsidRDefault="00D72B43">
      <w:r>
        <w:continuationSeparator/>
      </w:r>
    </w:p>
  </w:endnote>
  <w:endnote w:type="continuationNotice" w:id="1">
    <w:p w14:paraId="22EB7B37" w14:textId="77777777" w:rsidR="00D72B43" w:rsidRDefault="00D72B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F75F6" w14:textId="77777777" w:rsidR="002D4160" w:rsidRPr="000C463E" w:rsidRDefault="002D4160" w:rsidP="000C463E">
    <w:pPr>
      <w:pStyle w:val="Pagrindinistekstas"/>
      <w:kinsoku w:val="0"/>
      <w:overflowPunct w:val="0"/>
      <w:spacing w:line="14" w:lineRule="auto"/>
      <w:rPr>
        <w:sz w:val="20"/>
      </w:rPr>
    </w:pPr>
    <w:r>
      <w:rPr>
        <w:noProof/>
        <w:lang w:val="lt-LT" w:eastAsia="lt-LT"/>
      </w:rPr>
      <mc:AlternateContent>
        <mc:Choice Requires="wps">
          <w:drawing>
            <wp:anchor distT="0" distB="0" distL="114300" distR="114300" simplePos="0" relativeHeight="251658240" behindDoc="1" locked="0" layoutInCell="0" allowOverlap="1" wp14:anchorId="77FEC2CA" wp14:editId="0383A5BD">
              <wp:simplePos x="0" y="0"/>
              <wp:positionH relativeFrom="page">
                <wp:posOffset>3699510</wp:posOffset>
              </wp:positionH>
              <wp:positionV relativeFrom="page">
                <wp:posOffset>10097770</wp:posOffset>
              </wp:positionV>
              <wp:extent cx="163830"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3E782" w14:textId="77777777" w:rsidR="002D4160" w:rsidRDefault="002D4160" w:rsidP="000C463E">
                          <w:pPr>
                            <w:pStyle w:val="Pagrindinistekstas"/>
                            <w:kinsoku w:val="0"/>
                            <w:overflowPunct w:val="0"/>
                            <w:spacing w:before="15"/>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7FEC2CA" id="_x0000_t202" coordsize="21600,21600" o:spt="202" path="m,l,21600r21600,l21600,xe">
              <v:stroke joinstyle="miter"/>
              <v:path gradientshapeok="t" o:connecttype="rect"/>
            </v:shapetype>
            <v:shape id="Text Box 1" o:spid="_x0000_s1026" type="#_x0000_t202" style="position:absolute;margin-left:291.3pt;margin-top:795.1pt;width:12.9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" o:allowincell="f" filled="f" stroked="f">
              <v:textbox inset="0,0,0,0">
                <w:txbxContent>
                  <w:p w14:paraId="30C3E782" w14:textId="77777777" w:rsidR="002D4160" w:rsidRDefault="002D4160" w:rsidP="000C463E">
                    <w:pPr>
                      <w:pStyle w:val="BodyText"/>
                      <w:kinsoku w:val="0"/>
                      <w:overflowPunct w:val="0"/>
                      <w:spacing w:before="15"/>
                      <w:rPr>
                        <w:rFonts w:ascii="Arial" w:hAnsi="Arial" w:cs="Arial"/>
                        <w:sz w:val="16"/>
                        <w:szCs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41CFE" w14:textId="77777777" w:rsidR="002D4160" w:rsidRDefault="002D4160">
    <w:pPr>
      <w:pStyle w:val="Pagrindinistekstas"/>
      <w:kinsoku w:val="0"/>
      <w:overflowPunct w:val="0"/>
      <w:spacing w:line="14" w:lineRule="auto"/>
      <w:rPr>
        <w:sz w:val="20"/>
        <w:szCs w:val="20"/>
      </w:rPr>
    </w:pPr>
    <w:r>
      <w:rPr>
        <w:noProof/>
        <w:lang w:val="lt-LT" w:eastAsia="lt-LT"/>
      </w:rPr>
      <mc:AlternateContent>
        <mc:Choice Requires="wps">
          <w:drawing>
            <wp:anchor distT="0" distB="0" distL="114300" distR="114300" simplePos="0" relativeHeight="251660288" behindDoc="1" locked="0" layoutInCell="0" allowOverlap="1" wp14:anchorId="6C79FBEE" wp14:editId="1EC2C31D">
              <wp:simplePos x="0" y="0"/>
              <wp:positionH relativeFrom="page">
                <wp:posOffset>3670300</wp:posOffset>
              </wp:positionH>
              <wp:positionV relativeFrom="page">
                <wp:posOffset>10097770</wp:posOffset>
              </wp:positionV>
              <wp:extent cx="220345" cy="139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8D2AC" w14:textId="3D502E7E" w:rsidR="002D4160" w:rsidRDefault="002D4160">
                          <w:pPr>
                            <w:pStyle w:val="Pagrindinistekstas"/>
                            <w:kinsoku w:val="0"/>
                            <w:overflowPunct w:val="0"/>
                            <w:spacing w:before="15"/>
                            <w:ind w:left="4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6F0D03">
                            <w:rPr>
                              <w:rFonts w:ascii="Arial" w:hAnsi="Arial" w:cs="Arial"/>
                              <w:noProof/>
                              <w:sz w:val="16"/>
                              <w:szCs w:val="16"/>
                            </w:rPr>
                            <w:t>35</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79FBEE" id="_x0000_t202" coordsize="21600,21600" o:spt="202" path="m,l,21600r21600,l21600,xe">
              <v:stroke joinstyle="miter"/>
              <v:path gradientshapeok="t" o:connecttype="rect"/>
            </v:shapetype>
            <v:shape id="Text Box 2" o:spid="_x0000_s1027" type="#_x0000_t202" style="position:absolute;margin-left:289pt;margin-top:795.1pt;width:17.35pt;height: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rxYsAIAAK8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" o:allowincell="f" filled="f" stroked="f">
              <v:textbox inset="0,0,0,0">
                <w:txbxContent>
                  <w:p w14:paraId="04F8D2AC" w14:textId="3D502E7E" w:rsidR="002D4160" w:rsidRDefault="002D4160">
                    <w:pPr>
                      <w:pStyle w:val="Pagrindinistekstas"/>
                      <w:kinsoku w:val="0"/>
                      <w:overflowPunct w:val="0"/>
                      <w:spacing w:before="15"/>
                      <w:ind w:left="4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6F0D03">
                      <w:rPr>
                        <w:rFonts w:ascii="Arial" w:hAnsi="Arial" w:cs="Arial"/>
                        <w:noProof/>
                        <w:sz w:val="16"/>
                        <w:szCs w:val="16"/>
                      </w:rPr>
                      <w:t>35</w:t>
                    </w:r>
                    <w:r>
                      <w:rPr>
                        <w:rFonts w:ascii="Arial" w:hAnsi="Arial" w:cs="Arial"/>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9089B" w14:textId="77777777" w:rsidR="00D72B43" w:rsidRDefault="00D72B43">
      <w:r>
        <w:separator/>
      </w:r>
    </w:p>
  </w:footnote>
  <w:footnote w:type="continuationSeparator" w:id="0">
    <w:p w14:paraId="46CE1B10" w14:textId="77777777" w:rsidR="00D72B43" w:rsidRDefault="00D72B43">
      <w:r>
        <w:continuationSeparator/>
      </w:r>
    </w:p>
  </w:footnote>
  <w:footnote w:type="continuationNotice" w:id="1">
    <w:p w14:paraId="1B5B7C5E" w14:textId="77777777" w:rsidR="00D72B43" w:rsidRDefault="00D72B4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CB38D" w14:textId="77777777" w:rsidR="008248B1" w:rsidRDefault="008248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402"/>
    <w:multiLevelType w:val="multilevel"/>
    <w:tmpl w:val="00000885"/>
    <w:lvl w:ilvl="0">
      <w:start w:val="1"/>
      <w:numFmt w:val="decimal"/>
      <w:lvlText w:val="%1."/>
      <w:lvlJc w:val="left"/>
      <w:pPr>
        <w:ind w:left="567" w:hanging="567"/>
      </w:pPr>
      <w:rPr>
        <w:rFonts w:ascii="Times New Roman" w:hAnsi="Times New Roman" w:cs="Times New Roman"/>
        <w:b/>
        <w:bCs/>
        <w:w w:val="100"/>
        <w:sz w:val="22"/>
        <w:szCs w:val="22"/>
      </w:rPr>
    </w:lvl>
    <w:lvl w:ilvl="1">
      <w:start w:val="1"/>
      <w:numFmt w:val="decimal"/>
      <w:lvlText w:val="%1.%2"/>
      <w:lvlJc w:val="left"/>
      <w:pPr>
        <w:ind w:left="682" w:hanging="540"/>
      </w:pPr>
      <w:rPr>
        <w:rFonts w:ascii="Times New Roman" w:hAnsi="Times New Roman" w:cs="Times New Roman"/>
        <w:b/>
        <w:bCs/>
        <w:w w:val="100"/>
        <w:sz w:val="22"/>
        <w:szCs w:val="22"/>
      </w:rPr>
    </w:lvl>
    <w:lvl w:ilvl="2">
      <w:numFmt w:val="bullet"/>
      <w:lvlText w:val="•"/>
      <w:lvlJc w:val="left"/>
      <w:pPr>
        <w:ind w:left="1284" w:hanging="540"/>
      </w:pPr>
    </w:lvl>
    <w:lvl w:ilvl="3">
      <w:numFmt w:val="bullet"/>
      <w:lvlText w:val="•"/>
      <w:lvlJc w:val="left"/>
      <w:pPr>
        <w:ind w:left="2240" w:hanging="540"/>
      </w:pPr>
    </w:lvl>
    <w:lvl w:ilvl="4">
      <w:numFmt w:val="bullet"/>
      <w:lvlText w:val="•"/>
      <w:lvlJc w:val="left"/>
      <w:pPr>
        <w:ind w:left="3196" w:hanging="540"/>
      </w:pPr>
    </w:lvl>
    <w:lvl w:ilvl="5">
      <w:numFmt w:val="bullet"/>
      <w:lvlText w:val="•"/>
      <w:lvlJc w:val="left"/>
      <w:pPr>
        <w:ind w:left="4152" w:hanging="540"/>
      </w:pPr>
    </w:lvl>
    <w:lvl w:ilvl="6">
      <w:numFmt w:val="bullet"/>
      <w:lvlText w:val="•"/>
      <w:lvlJc w:val="left"/>
      <w:pPr>
        <w:ind w:left="5108" w:hanging="540"/>
      </w:pPr>
    </w:lvl>
    <w:lvl w:ilvl="7">
      <w:numFmt w:val="bullet"/>
      <w:lvlText w:val="•"/>
      <w:lvlJc w:val="left"/>
      <w:pPr>
        <w:ind w:left="6064" w:hanging="540"/>
      </w:pPr>
    </w:lvl>
    <w:lvl w:ilvl="8">
      <w:numFmt w:val="bullet"/>
      <w:lvlText w:val="•"/>
      <w:lvlJc w:val="left"/>
      <w:pPr>
        <w:ind w:left="7021" w:hanging="540"/>
      </w:pPr>
    </w:lvl>
  </w:abstractNum>
  <w:abstractNum w:abstractNumId="2" w15:restartNumberingAfterBreak="0">
    <w:nsid w:val="00000403"/>
    <w:multiLevelType w:val="multilevel"/>
    <w:tmpl w:val="00000886"/>
    <w:lvl w:ilvl="0">
      <w:start w:val="4"/>
      <w:numFmt w:val="decimal"/>
      <w:lvlText w:val="%1"/>
      <w:lvlJc w:val="left"/>
      <w:pPr>
        <w:ind w:left="658" w:hanging="540"/>
      </w:pPr>
      <w:rPr>
        <w:rFonts w:cs="Times New Roman"/>
      </w:rPr>
    </w:lvl>
    <w:lvl w:ilvl="1">
      <w:start w:val="7"/>
      <w:numFmt w:val="decimal"/>
      <w:lvlText w:val="%1.%2"/>
      <w:lvlJc w:val="left"/>
      <w:pPr>
        <w:ind w:left="658" w:hanging="540"/>
      </w:pPr>
      <w:rPr>
        <w:rFonts w:ascii="Times New Roman" w:hAnsi="Times New Roman" w:cs="Times New Roman"/>
        <w:b/>
        <w:bCs/>
        <w:w w:val="100"/>
        <w:sz w:val="22"/>
        <w:szCs w:val="22"/>
      </w:rPr>
    </w:lvl>
    <w:lvl w:ilvl="2">
      <w:numFmt w:val="bullet"/>
      <w:lvlText w:val="•"/>
      <w:lvlJc w:val="left"/>
      <w:pPr>
        <w:ind w:left="2385" w:hanging="540"/>
      </w:pPr>
    </w:lvl>
    <w:lvl w:ilvl="3">
      <w:numFmt w:val="bullet"/>
      <w:lvlText w:val="•"/>
      <w:lvlJc w:val="left"/>
      <w:pPr>
        <w:ind w:left="3247" w:hanging="540"/>
      </w:pPr>
    </w:lvl>
    <w:lvl w:ilvl="4">
      <w:numFmt w:val="bullet"/>
      <w:lvlText w:val="•"/>
      <w:lvlJc w:val="left"/>
      <w:pPr>
        <w:ind w:left="4110" w:hanging="540"/>
      </w:pPr>
    </w:lvl>
    <w:lvl w:ilvl="5">
      <w:numFmt w:val="bullet"/>
      <w:lvlText w:val="•"/>
      <w:lvlJc w:val="left"/>
      <w:pPr>
        <w:ind w:left="4972" w:hanging="540"/>
      </w:pPr>
    </w:lvl>
    <w:lvl w:ilvl="6">
      <w:numFmt w:val="bullet"/>
      <w:lvlText w:val="•"/>
      <w:lvlJc w:val="left"/>
      <w:pPr>
        <w:ind w:left="5835" w:hanging="540"/>
      </w:pPr>
    </w:lvl>
    <w:lvl w:ilvl="7">
      <w:numFmt w:val="bullet"/>
      <w:lvlText w:val="•"/>
      <w:lvlJc w:val="left"/>
      <w:pPr>
        <w:ind w:left="6697" w:hanging="540"/>
      </w:pPr>
    </w:lvl>
    <w:lvl w:ilvl="8">
      <w:numFmt w:val="bullet"/>
      <w:lvlText w:val="•"/>
      <w:lvlJc w:val="left"/>
      <w:pPr>
        <w:ind w:left="7560" w:hanging="540"/>
      </w:pPr>
    </w:lvl>
  </w:abstractNum>
  <w:abstractNum w:abstractNumId="3" w15:restartNumberingAfterBreak="0">
    <w:nsid w:val="00000404"/>
    <w:multiLevelType w:val="multilevel"/>
    <w:tmpl w:val="00000887"/>
    <w:lvl w:ilvl="0">
      <w:start w:val="1"/>
      <w:numFmt w:val="decimal"/>
      <w:lvlText w:val="%1."/>
      <w:lvlJc w:val="left"/>
      <w:pPr>
        <w:ind w:left="540" w:hanging="540"/>
      </w:pPr>
      <w:rPr>
        <w:rFonts w:ascii="Times New Roman" w:hAnsi="Times New Roman" w:cs="Times New Roman"/>
        <w:b/>
        <w:bCs/>
        <w:w w:val="100"/>
        <w:sz w:val="22"/>
        <w:szCs w:val="22"/>
      </w:rPr>
    </w:lvl>
    <w:lvl w:ilvl="1">
      <w:start w:val="1"/>
      <w:numFmt w:val="decimal"/>
      <w:lvlText w:val="%1.%2"/>
      <w:lvlJc w:val="left"/>
      <w:pPr>
        <w:ind w:left="540" w:hanging="540"/>
      </w:pPr>
      <w:rPr>
        <w:rFonts w:ascii="Times New Roman" w:hAnsi="Times New Roman" w:cs="Times New Roman"/>
        <w:b/>
        <w:bCs/>
        <w:w w:val="100"/>
        <w:sz w:val="22"/>
        <w:szCs w:val="22"/>
      </w:rPr>
    </w:lvl>
    <w:lvl w:ilvl="2">
      <w:numFmt w:val="bullet"/>
      <w:lvlText w:val="•"/>
      <w:lvlJc w:val="left"/>
      <w:pPr>
        <w:ind w:left="2263" w:hanging="540"/>
      </w:pPr>
    </w:lvl>
    <w:lvl w:ilvl="3">
      <w:numFmt w:val="bullet"/>
      <w:lvlText w:val="•"/>
      <w:lvlJc w:val="left"/>
      <w:pPr>
        <w:ind w:left="3123" w:hanging="540"/>
      </w:pPr>
    </w:lvl>
    <w:lvl w:ilvl="4">
      <w:numFmt w:val="bullet"/>
      <w:lvlText w:val="•"/>
      <w:lvlJc w:val="left"/>
      <w:pPr>
        <w:ind w:left="3984" w:hanging="540"/>
      </w:pPr>
    </w:lvl>
    <w:lvl w:ilvl="5">
      <w:numFmt w:val="bullet"/>
      <w:lvlText w:val="•"/>
      <w:lvlJc w:val="left"/>
      <w:pPr>
        <w:ind w:left="4844" w:hanging="540"/>
      </w:pPr>
    </w:lvl>
    <w:lvl w:ilvl="6">
      <w:numFmt w:val="bullet"/>
      <w:lvlText w:val="•"/>
      <w:lvlJc w:val="left"/>
      <w:pPr>
        <w:ind w:left="5705" w:hanging="540"/>
      </w:pPr>
    </w:lvl>
    <w:lvl w:ilvl="7">
      <w:numFmt w:val="bullet"/>
      <w:lvlText w:val="•"/>
      <w:lvlJc w:val="left"/>
      <w:pPr>
        <w:ind w:left="6565" w:hanging="540"/>
      </w:pPr>
    </w:lvl>
    <w:lvl w:ilvl="8">
      <w:numFmt w:val="bullet"/>
      <w:lvlText w:val="•"/>
      <w:lvlJc w:val="left"/>
      <w:pPr>
        <w:ind w:left="7426" w:hanging="540"/>
      </w:pPr>
    </w:lvl>
  </w:abstractNum>
  <w:abstractNum w:abstractNumId="4" w15:restartNumberingAfterBreak="0">
    <w:nsid w:val="00000405"/>
    <w:multiLevelType w:val="multilevel"/>
    <w:tmpl w:val="00000888"/>
    <w:lvl w:ilvl="0">
      <w:start w:val="4"/>
      <w:numFmt w:val="decimal"/>
      <w:lvlText w:val="%1"/>
      <w:lvlJc w:val="left"/>
      <w:pPr>
        <w:ind w:left="684" w:hanging="567"/>
      </w:pPr>
      <w:rPr>
        <w:rFonts w:cs="Times New Roman"/>
      </w:rPr>
    </w:lvl>
    <w:lvl w:ilvl="1">
      <w:start w:val="7"/>
      <w:numFmt w:val="decimal"/>
      <w:lvlText w:val="%1.%2"/>
      <w:lvlJc w:val="left"/>
      <w:pPr>
        <w:ind w:left="684" w:hanging="567"/>
      </w:pPr>
      <w:rPr>
        <w:rFonts w:ascii="Times New Roman" w:hAnsi="Times New Roman" w:cs="Times New Roman"/>
        <w:b/>
        <w:bCs/>
        <w:w w:val="100"/>
        <w:sz w:val="22"/>
        <w:szCs w:val="22"/>
      </w:rPr>
    </w:lvl>
    <w:lvl w:ilvl="2">
      <w:numFmt w:val="bullet"/>
      <w:lvlText w:val="•"/>
      <w:lvlJc w:val="left"/>
      <w:pPr>
        <w:ind w:left="2405" w:hanging="567"/>
      </w:pPr>
    </w:lvl>
    <w:lvl w:ilvl="3">
      <w:numFmt w:val="bullet"/>
      <w:lvlText w:val="•"/>
      <w:lvlJc w:val="left"/>
      <w:pPr>
        <w:ind w:left="3267" w:hanging="567"/>
      </w:pPr>
    </w:lvl>
    <w:lvl w:ilvl="4">
      <w:numFmt w:val="bullet"/>
      <w:lvlText w:val="•"/>
      <w:lvlJc w:val="left"/>
      <w:pPr>
        <w:ind w:left="4130" w:hanging="567"/>
      </w:pPr>
    </w:lvl>
    <w:lvl w:ilvl="5">
      <w:numFmt w:val="bullet"/>
      <w:lvlText w:val="•"/>
      <w:lvlJc w:val="left"/>
      <w:pPr>
        <w:ind w:left="4992" w:hanging="567"/>
      </w:pPr>
    </w:lvl>
    <w:lvl w:ilvl="6">
      <w:numFmt w:val="bullet"/>
      <w:lvlText w:val="•"/>
      <w:lvlJc w:val="left"/>
      <w:pPr>
        <w:ind w:left="5855" w:hanging="567"/>
      </w:pPr>
    </w:lvl>
    <w:lvl w:ilvl="7">
      <w:numFmt w:val="bullet"/>
      <w:lvlText w:val="•"/>
      <w:lvlJc w:val="left"/>
      <w:pPr>
        <w:ind w:left="6717" w:hanging="567"/>
      </w:pPr>
    </w:lvl>
    <w:lvl w:ilvl="8">
      <w:numFmt w:val="bullet"/>
      <w:lvlText w:val="•"/>
      <w:lvlJc w:val="left"/>
      <w:pPr>
        <w:ind w:left="7580" w:hanging="567"/>
      </w:pPr>
    </w:lvl>
  </w:abstractNum>
  <w:abstractNum w:abstractNumId="5" w15:restartNumberingAfterBreak="0">
    <w:nsid w:val="00000406"/>
    <w:multiLevelType w:val="multilevel"/>
    <w:tmpl w:val="00000889"/>
    <w:lvl w:ilvl="0">
      <w:start w:val="1"/>
      <w:numFmt w:val="decimal"/>
      <w:lvlText w:val="%1."/>
      <w:lvlJc w:val="left"/>
      <w:pPr>
        <w:ind w:left="118" w:hanging="540"/>
      </w:pPr>
      <w:rPr>
        <w:rFonts w:ascii="Times New Roman" w:hAnsi="Times New Roman" w:cs="Times New Roman"/>
        <w:b/>
        <w:bCs/>
        <w:w w:val="100"/>
        <w:sz w:val="22"/>
        <w:szCs w:val="22"/>
      </w:rPr>
    </w:lvl>
    <w:lvl w:ilvl="1">
      <w:start w:val="1"/>
      <w:numFmt w:val="decimal"/>
      <w:lvlText w:val="%1.%2"/>
      <w:lvlJc w:val="left"/>
      <w:pPr>
        <w:ind w:left="658" w:hanging="540"/>
      </w:pPr>
      <w:rPr>
        <w:rFonts w:ascii="Times New Roman" w:hAnsi="Times New Roman" w:cs="Times New Roman"/>
        <w:b/>
        <w:bCs/>
        <w:w w:val="100"/>
        <w:sz w:val="22"/>
        <w:szCs w:val="22"/>
      </w:rPr>
    </w:lvl>
    <w:lvl w:ilvl="2">
      <w:numFmt w:val="bullet"/>
      <w:lvlText w:val="•"/>
      <w:lvlJc w:val="left"/>
      <w:pPr>
        <w:ind w:left="1609" w:hanging="540"/>
      </w:pPr>
    </w:lvl>
    <w:lvl w:ilvl="3">
      <w:numFmt w:val="bullet"/>
      <w:lvlText w:val="•"/>
      <w:lvlJc w:val="left"/>
      <w:pPr>
        <w:ind w:left="2559" w:hanging="540"/>
      </w:pPr>
    </w:lvl>
    <w:lvl w:ilvl="4">
      <w:numFmt w:val="bullet"/>
      <w:lvlText w:val="•"/>
      <w:lvlJc w:val="left"/>
      <w:pPr>
        <w:ind w:left="3508" w:hanging="540"/>
      </w:pPr>
    </w:lvl>
    <w:lvl w:ilvl="5">
      <w:numFmt w:val="bullet"/>
      <w:lvlText w:val="•"/>
      <w:lvlJc w:val="left"/>
      <w:pPr>
        <w:ind w:left="4458" w:hanging="540"/>
      </w:pPr>
    </w:lvl>
    <w:lvl w:ilvl="6">
      <w:numFmt w:val="bullet"/>
      <w:lvlText w:val="•"/>
      <w:lvlJc w:val="left"/>
      <w:pPr>
        <w:ind w:left="5407" w:hanging="540"/>
      </w:pPr>
    </w:lvl>
    <w:lvl w:ilvl="7">
      <w:numFmt w:val="bullet"/>
      <w:lvlText w:val="•"/>
      <w:lvlJc w:val="left"/>
      <w:pPr>
        <w:ind w:left="6356" w:hanging="540"/>
      </w:pPr>
    </w:lvl>
    <w:lvl w:ilvl="8">
      <w:numFmt w:val="bullet"/>
      <w:lvlText w:val="•"/>
      <w:lvlJc w:val="left"/>
      <w:pPr>
        <w:ind w:left="7306" w:hanging="540"/>
      </w:pPr>
    </w:lvl>
  </w:abstractNum>
  <w:abstractNum w:abstractNumId="6" w15:restartNumberingAfterBreak="0">
    <w:nsid w:val="00000407"/>
    <w:multiLevelType w:val="multilevel"/>
    <w:tmpl w:val="0000088A"/>
    <w:lvl w:ilvl="0">
      <w:start w:val="4"/>
      <w:numFmt w:val="decimal"/>
      <w:lvlText w:val="%1"/>
      <w:lvlJc w:val="left"/>
      <w:pPr>
        <w:ind w:left="658" w:hanging="540"/>
      </w:pPr>
      <w:rPr>
        <w:rFonts w:cs="Times New Roman"/>
      </w:rPr>
    </w:lvl>
    <w:lvl w:ilvl="1">
      <w:start w:val="7"/>
      <w:numFmt w:val="decimal"/>
      <w:lvlText w:val="%1.%2"/>
      <w:lvlJc w:val="left"/>
      <w:pPr>
        <w:ind w:left="658" w:hanging="540"/>
      </w:pPr>
      <w:rPr>
        <w:rFonts w:ascii="Times New Roman" w:hAnsi="Times New Roman" w:cs="Times New Roman"/>
        <w:b/>
        <w:bCs/>
        <w:w w:val="100"/>
        <w:sz w:val="22"/>
        <w:szCs w:val="22"/>
      </w:rPr>
    </w:lvl>
    <w:lvl w:ilvl="2">
      <w:numFmt w:val="bullet"/>
      <w:lvlText w:val="•"/>
      <w:lvlJc w:val="left"/>
      <w:pPr>
        <w:ind w:left="2389" w:hanging="540"/>
      </w:pPr>
    </w:lvl>
    <w:lvl w:ilvl="3">
      <w:numFmt w:val="bullet"/>
      <w:lvlText w:val="•"/>
      <w:lvlJc w:val="left"/>
      <w:pPr>
        <w:ind w:left="3253" w:hanging="540"/>
      </w:pPr>
    </w:lvl>
    <w:lvl w:ilvl="4">
      <w:numFmt w:val="bullet"/>
      <w:lvlText w:val="•"/>
      <w:lvlJc w:val="left"/>
      <w:pPr>
        <w:ind w:left="4118" w:hanging="540"/>
      </w:pPr>
    </w:lvl>
    <w:lvl w:ilvl="5">
      <w:numFmt w:val="bullet"/>
      <w:lvlText w:val="•"/>
      <w:lvlJc w:val="left"/>
      <w:pPr>
        <w:ind w:left="4982" w:hanging="540"/>
      </w:pPr>
    </w:lvl>
    <w:lvl w:ilvl="6">
      <w:numFmt w:val="bullet"/>
      <w:lvlText w:val="•"/>
      <w:lvlJc w:val="left"/>
      <w:pPr>
        <w:ind w:left="5847" w:hanging="540"/>
      </w:pPr>
    </w:lvl>
    <w:lvl w:ilvl="7">
      <w:numFmt w:val="bullet"/>
      <w:lvlText w:val="•"/>
      <w:lvlJc w:val="left"/>
      <w:pPr>
        <w:ind w:left="6711" w:hanging="540"/>
      </w:pPr>
    </w:lvl>
    <w:lvl w:ilvl="8">
      <w:numFmt w:val="bullet"/>
      <w:lvlText w:val="•"/>
      <w:lvlJc w:val="left"/>
      <w:pPr>
        <w:ind w:left="7576" w:hanging="540"/>
      </w:pPr>
    </w:lvl>
  </w:abstractNum>
  <w:abstractNum w:abstractNumId="7" w15:restartNumberingAfterBreak="0">
    <w:nsid w:val="00000408"/>
    <w:multiLevelType w:val="multilevel"/>
    <w:tmpl w:val="0000088B"/>
    <w:lvl w:ilvl="0">
      <w:start w:val="1"/>
      <w:numFmt w:val="decimal"/>
      <w:lvlText w:val="%1."/>
      <w:lvlJc w:val="left"/>
      <w:pPr>
        <w:ind w:left="684" w:hanging="540"/>
      </w:pPr>
      <w:rPr>
        <w:rFonts w:ascii="Times New Roman" w:hAnsi="Times New Roman" w:cs="Times New Roman"/>
        <w:b w:val="0"/>
        <w:bCs w:val="0"/>
        <w:w w:val="100"/>
        <w:sz w:val="22"/>
        <w:szCs w:val="22"/>
      </w:rPr>
    </w:lvl>
    <w:lvl w:ilvl="1">
      <w:numFmt w:val="bullet"/>
      <w:lvlText w:val="•"/>
      <w:lvlJc w:val="left"/>
      <w:pPr>
        <w:ind w:left="4220" w:hanging="540"/>
      </w:pPr>
    </w:lvl>
    <w:lvl w:ilvl="2">
      <w:numFmt w:val="bullet"/>
      <w:lvlText w:val="•"/>
      <w:lvlJc w:val="left"/>
      <w:pPr>
        <w:ind w:left="4753" w:hanging="540"/>
      </w:pPr>
    </w:lvl>
    <w:lvl w:ilvl="3">
      <w:numFmt w:val="bullet"/>
      <w:lvlText w:val="•"/>
      <w:lvlJc w:val="left"/>
      <w:pPr>
        <w:ind w:left="5287" w:hanging="540"/>
      </w:pPr>
    </w:lvl>
    <w:lvl w:ilvl="4">
      <w:numFmt w:val="bullet"/>
      <w:lvlText w:val="•"/>
      <w:lvlJc w:val="left"/>
      <w:pPr>
        <w:ind w:left="5821" w:hanging="540"/>
      </w:pPr>
    </w:lvl>
    <w:lvl w:ilvl="5">
      <w:numFmt w:val="bullet"/>
      <w:lvlText w:val="•"/>
      <w:lvlJc w:val="left"/>
      <w:pPr>
        <w:ind w:left="6355" w:hanging="540"/>
      </w:pPr>
    </w:lvl>
    <w:lvl w:ilvl="6">
      <w:numFmt w:val="bullet"/>
      <w:lvlText w:val="•"/>
      <w:lvlJc w:val="left"/>
      <w:pPr>
        <w:ind w:left="6889" w:hanging="540"/>
      </w:pPr>
    </w:lvl>
    <w:lvl w:ilvl="7">
      <w:numFmt w:val="bullet"/>
      <w:lvlText w:val="•"/>
      <w:lvlJc w:val="left"/>
      <w:pPr>
        <w:ind w:left="7423" w:hanging="540"/>
      </w:pPr>
    </w:lvl>
    <w:lvl w:ilvl="8">
      <w:numFmt w:val="bullet"/>
      <w:lvlText w:val="•"/>
      <w:lvlJc w:val="left"/>
      <w:pPr>
        <w:ind w:left="7957" w:hanging="540"/>
      </w:pPr>
    </w:lvl>
  </w:abstractNum>
  <w:abstractNum w:abstractNumId="8" w15:restartNumberingAfterBreak="0">
    <w:nsid w:val="00000409"/>
    <w:multiLevelType w:val="multilevel"/>
    <w:tmpl w:val="0000088C"/>
    <w:lvl w:ilvl="0">
      <w:start w:val="1"/>
      <w:numFmt w:val="decimal"/>
      <w:lvlText w:val="%1."/>
      <w:lvlJc w:val="left"/>
      <w:pPr>
        <w:ind w:left="658" w:hanging="540"/>
      </w:pPr>
      <w:rPr>
        <w:rFonts w:ascii="Times New Roman" w:hAnsi="Times New Roman" w:cs="Times New Roman"/>
        <w:b w:val="0"/>
        <w:bCs w:val="0"/>
        <w:w w:val="100"/>
        <w:sz w:val="22"/>
        <w:szCs w:val="22"/>
      </w:rPr>
    </w:lvl>
    <w:lvl w:ilvl="1">
      <w:numFmt w:val="bullet"/>
      <w:lvlText w:val="•"/>
      <w:lvlJc w:val="left"/>
      <w:pPr>
        <w:ind w:left="1514" w:hanging="540"/>
      </w:pPr>
    </w:lvl>
    <w:lvl w:ilvl="2">
      <w:numFmt w:val="bullet"/>
      <w:lvlText w:val="•"/>
      <w:lvlJc w:val="left"/>
      <w:pPr>
        <w:ind w:left="2369" w:hanging="540"/>
      </w:pPr>
    </w:lvl>
    <w:lvl w:ilvl="3">
      <w:numFmt w:val="bullet"/>
      <w:lvlText w:val="•"/>
      <w:lvlJc w:val="left"/>
      <w:pPr>
        <w:ind w:left="3223" w:hanging="540"/>
      </w:pPr>
    </w:lvl>
    <w:lvl w:ilvl="4">
      <w:numFmt w:val="bullet"/>
      <w:lvlText w:val="•"/>
      <w:lvlJc w:val="left"/>
      <w:pPr>
        <w:ind w:left="4078" w:hanging="540"/>
      </w:pPr>
    </w:lvl>
    <w:lvl w:ilvl="5">
      <w:numFmt w:val="bullet"/>
      <w:lvlText w:val="•"/>
      <w:lvlJc w:val="left"/>
      <w:pPr>
        <w:ind w:left="4932" w:hanging="540"/>
      </w:pPr>
    </w:lvl>
    <w:lvl w:ilvl="6">
      <w:numFmt w:val="bullet"/>
      <w:lvlText w:val="•"/>
      <w:lvlJc w:val="left"/>
      <w:pPr>
        <w:ind w:left="5787" w:hanging="540"/>
      </w:pPr>
    </w:lvl>
    <w:lvl w:ilvl="7">
      <w:numFmt w:val="bullet"/>
      <w:lvlText w:val="•"/>
      <w:lvlJc w:val="left"/>
      <w:pPr>
        <w:ind w:left="6641" w:hanging="540"/>
      </w:pPr>
    </w:lvl>
    <w:lvl w:ilvl="8">
      <w:numFmt w:val="bullet"/>
      <w:lvlText w:val="•"/>
      <w:lvlJc w:val="left"/>
      <w:pPr>
        <w:ind w:left="7496" w:hanging="540"/>
      </w:pPr>
    </w:lvl>
  </w:abstractNum>
  <w:abstractNum w:abstractNumId="9" w15:restartNumberingAfterBreak="0">
    <w:nsid w:val="0000040A"/>
    <w:multiLevelType w:val="multilevel"/>
    <w:tmpl w:val="0000088D"/>
    <w:lvl w:ilvl="0">
      <w:start w:val="1"/>
      <w:numFmt w:val="decimal"/>
      <w:lvlText w:val="%1."/>
      <w:lvlJc w:val="left"/>
      <w:pPr>
        <w:ind w:left="658" w:hanging="540"/>
      </w:pPr>
      <w:rPr>
        <w:rFonts w:ascii="Times New Roman" w:hAnsi="Times New Roman" w:cs="Times New Roman"/>
        <w:b w:val="0"/>
        <w:bCs w:val="0"/>
        <w:w w:val="100"/>
        <w:sz w:val="22"/>
        <w:szCs w:val="22"/>
      </w:rPr>
    </w:lvl>
    <w:lvl w:ilvl="1">
      <w:numFmt w:val="bullet"/>
      <w:lvlText w:val="•"/>
      <w:lvlJc w:val="left"/>
      <w:pPr>
        <w:ind w:left="1510" w:hanging="540"/>
      </w:pPr>
    </w:lvl>
    <w:lvl w:ilvl="2">
      <w:numFmt w:val="bullet"/>
      <w:lvlText w:val="•"/>
      <w:lvlJc w:val="left"/>
      <w:pPr>
        <w:ind w:left="2361" w:hanging="540"/>
      </w:pPr>
    </w:lvl>
    <w:lvl w:ilvl="3">
      <w:numFmt w:val="bullet"/>
      <w:lvlText w:val="•"/>
      <w:lvlJc w:val="left"/>
      <w:pPr>
        <w:ind w:left="3211" w:hanging="540"/>
      </w:pPr>
    </w:lvl>
    <w:lvl w:ilvl="4">
      <w:numFmt w:val="bullet"/>
      <w:lvlText w:val="•"/>
      <w:lvlJc w:val="left"/>
      <w:pPr>
        <w:ind w:left="4062" w:hanging="540"/>
      </w:pPr>
    </w:lvl>
    <w:lvl w:ilvl="5">
      <w:numFmt w:val="bullet"/>
      <w:lvlText w:val="•"/>
      <w:lvlJc w:val="left"/>
      <w:pPr>
        <w:ind w:left="4912" w:hanging="540"/>
      </w:pPr>
    </w:lvl>
    <w:lvl w:ilvl="6">
      <w:numFmt w:val="bullet"/>
      <w:lvlText w:val="•"/>
      <w:lvlJc w:val="left"/>
      <w:pPr>
        <w:ind w:left="5763" w:hanging="540"/>
      </w:pPr>
    </w:lvl>
    <w:lvl w:ilvl="7">
      <w:numFmt w:val="bullet"/>
      <w:lvlText w:val="•"/>
      <w:lvlJc w:val="left"/>
      <w:pPr>
        <w:ind w:left="6613" w:hanging="540"/>
      </w:pPr>
    </w:lvl>
    <w:lvl w:ilvl="8">
      <w:numFmt w:val="bullet"/>
      <w:lvlText w:val="•"/>
      <w:lvlJc w:val="left"/>
      <w:pPr>
        <w:ind w:left="7464" w:hanging="540"/>
      </w:pPr>
    </w:lvl>
  </w:abstractNum>
  <w:abstractNum w:abstractNumId="10" w15:restartNumberingAfterBreak="0">
    <w:nsid w:val="0000040B"/>
    <w:multiLevelType w:val="multilevel"/>
    <w:tmpl w:val="0000088E"/>
    <w:lvl w:ilvl="0">
      <w:start w:val="7"/>
      <w:numFmt w:val="decimal"/>
      <w:lvlText w:val="%1."/>
      <w:lvlJc w:val="left"/>
      <w:pPr>
        <w:ind w:left="658" w:hanging="540"/>
      </w:pPr>
      <w:rPr>
        <w:rFonts w:ascii="Times New Roman" w:hAnsi="Times New Roman" w:cs="Times New Roman"/>
        <w:b/>
        <w:bCs/>
        <w:w w:val="100"/>
        <w:sz w:val="22"/>
        <w:szCs w:val="22"/>
      </w:rPr>
    </w:lvl>
    <w:lvl w:ilvl="1">
      <w:start w:val="1"/>
      <w:numFmt w:val="upperLetter"/>
      <w:lvlText w:val="%2."/>
      <w:lvlJc w:val="left"/>
      <w:pPr>
        <w:ind w:left="1298" w:hanging="569"/>
      </w:pPr>
      <w:rPr>
        <w:rFonts w:ascii="Times New Roman" w:hAnsi="Times New Roman" w:cs="Times New Roman"/>
        <w:b/>
        <w:bCs/>
        <w:spacing w:val="-2"/>
        <w:w w:val="100"/>
        <w:sz w:val="22"/>
        <w:szCs w:val="22"/>
      </w:rPr>
    </w:lvl>
    <w:lvl w:ilvl="2">
      <w:numFmt w:val="bullet"/>
      <w:lvlText w:val="•"/>
      <w:lvlJc w:val="left"/>
      <w:pPr>
        <w:ind w:left="2105" w:hanging="569"/>
      </w:pPr>
    </w:lvl>
    <w:lvl w:ilvl="3">
      <w:numFmt w:val="bullet"/>
      <w:lvlText w:val="•"/>
      <w:lvlJc w:val="left"/>
      <w:pPr>
        <w:ind w:left="2910" w:hanging="569"/>
      </w:pPr>
    </w:lvl>
    <w:lvl w:ilvl="4">
      <w:numFmt w:val="bullet"/>
      <w:lvlText w:val="•"/>
      <w:lvlJc w:val="left"/>
      <w:pPr>
        <w:ind w:left="3715" w:hanging="569"/>
      </w:pPr>
    </w:lvl>
    <w:lvl w:ilvl="5">
      <w:numFmt w:val="bullet"/>
      <w:lvlText w:val="•"/>
      <w:lvlJc w:val="left"/>
      <w:pPr>
        <w:ind w:left="4520" w:hanging="569"/>
      </w:pPr>
    </w:lvl>
    <w:lvl w:ilvl="6">
      <w:numFmt w:val="bullet"/>
      <w:lvlText w:val="•"/>
      <w:lvlJc w:val="left"/>
      <w:pPr>
        <w:ind w:left="5325" w:hanging="569"/>
      </w:pPr>
    </w:lvl>
    <w:lvl w:ilvl="7">
      <w:numFmt w:val="bullet"/>
      <w:lvlText w:val="•"/>
      <w:lvlJc w:val="left"/>
      <w:pPr>
        <w:ind w:left="6130" w:hanging="569"/>
      </w:pPr>
    </w:lvl>
    <w:lvl w:ilvl="8">
      <w:numFmt w:val="bullet"/>
      <w:lvlText w:val="•"/>
      <w:lvlJc w:val="left"/>
      <w:pPr>
        <w:ind w:left="6935" w:hanging="569"/>
      </w:pPr>
    </w:lvl>
  </w:abstractNum>
  <w:abstractNum w:abstractNumId="11" w15:restartNumberingAfterBreak="0">
    <w:nsid w:val="0000040C"/>
    <w:multiLevelType w:val="multilevel"/>
    <w:tmpl w:val="0000088F"/>
    <w:lvl w:ilvl="0">
      <w:start w:val="2"/>
      <w:numFmt w:val="upperRoman"/>
      <w:lvlText w:val="%1"/>
      <w:lvlJc w:val="left"/>
      <w:pPr>
        <w:ind w:left="2198" w:hanging="226"/>
      </w:pPr>
      <w:rPr>
        <w:rFonts w:ascii="Times New Roman" w:hAnsi="Times New Roman" w:cs="Times New Roman"/>
        <w:b/>
        <w:bCs/>
        <w:spacing w:val="-1"/>
        <w:w w:val="100"/>
        <w:sz w:val="22"/>
        <w:szCs w:val="22"/>
      </w:rPr>
    </w:lvl>
    <w:lvl w:ilvl="1">
      <w:numFmt w:val="bullet"/>
      <w:lvlText w:val="•"/>
      <w:lvlJc w:val="left"/>
      <w:pPr>
        <w:ind w:left="2834" w:hanging="226"/>
      </w:pPr>
    </w:lvl>
    <w:lvl w:ilvl="2">
      <w:numFmt w:val="bullet"/>
      <w:lvlText w:val="•"/>
      <w:lvlJc w:val="left"/>
      <w:pPr>
        <w:ind w:left="3469" w:hanging="226"/>
      </w:pPr>
    </w:lvl>
    <w:lvl w:ilvl="3">
      <w:numFmt w:val="bullet"/>
      <w:lvlText w:val="•"/>
      <w:lvlJc w:val="left"/>
      <w:pPr>
        <w:ind w:left="4103" w:hanging="226"/>
      </w:pPr>
    </w:lvl>
    <w:lvl w:ilvl="4">
      <w:numFmt w:val="bullet"/>
      <w:lvlText w:val="•"/>
      <w:lvlJc w:val="left"/>
      <w:pPr>
        <w:ind w:left="4738" w:hanging="226"/>
      </w:pPr>
    </w:lvl>
    <w:lvl w:ilvl="5">
      <w:numFmt w:val="bullet"/>
      <w:lvlText w:val="•"/>
      <w:lvlJc w:val="left"/>
      <w:pPr>
        <w:ind w:left="5372" w:hanging="226"/>
      </w:pPr>
    </w:lvl>
    <w:lvl w:ilvl="6">
      <w:numFmt w:val="bullet"/>
      <w:lvlText w:val="•"/>
      <w:lvlJc w:val="left"/>
      <w:pPr>
        <w:ind w:left="6007" w:hanging="226"/>
      </w:pPr>
    </w:lvl>
    <w:lvl w:ilvl="7">
      <w:numFmt w:val="bullet"/>
      <w:lvlText w:val="•"/>
      <w:lvlJc w:val="left"/>
      <w:pPr>
        <w:ind w:left="6641" w:hanging="226"/>
      </w:pPr>
    </w:lvl>
    <w:lvl w:ilvl="8">
      <w:numFmt w:val="bullet"/>
      <w:lvlText w:val="•"/>
      <w:lvlJc w:val="left"/>
      <w:pPr>
        <w:ind w:left="7276" w:hanging="226"/>
      </w:pPr>
    </w:lvl>
  </w:abstractNum>
  <w:abstractNum w:abstractNumId="12" w15:restartNumberingAfterBreak="0">
    <w:nsid w:val="0000040D"/>
    <w:multiLevelType w:val="multilevel"/>
    <w:tmpl w:val="00000890"/>
    <w:lvl w:ilvl="0">
      <w:start w:val="1"/>
      <w:numFmt w:val="upperLetter"/>
      <w:lvlText w:val="%1."/>
      <w:lvlJc w:val="left"/>
      <w:pPr>
        <w:ind w:left="684" w:hanging="567"/>
      </w:pPr>
      <w:rPr>
        <w:rFonts w:ascii="Times New Roman" w:hAnsi="Times New Roman" w:cs="Times New Roman"/>
        <w:b/>
        <w:bCs/>
        <w:spacing w:val="-2"/>
        <w:w w:val="100"/>
        <w:sz w:val="22"/>
        <w:szCs w:val="22"/>
      </w:rPr>
    </w:lvl>
    <w:lvl w:ilvl="1">
      <w:start w:val="1"/>
      <w:numFmt w:val="upperLetter"/>
      <w:lvlText w:val="%2."/>
      <w:lvlJc w:val="left"/>
      <w:pPr>
        <w:ind w:left="3614" w:hanging="269"/>
      </w:pPr>
      <w:rPr>
        <w:rFonts w:ascii="Times New Roman" w:hAnsi="Times New Roman" w:cs="Times New Roman"/>
        <w:b/>
        <w:bCs/>
        <w:spacing w:val="-1"/>
        <w:w w:val="100"/>
        <w:sz w:val="22"/>
        <w:szCs w:val="22"/>
      </w:rPr>
    </w:lvl>
    <w:lvl w:ilvl="2">
      <w:numFmt w:val="bullet"/>
      <w:lvlText w:val="•"/>
      <w:lvlJc w:val="left"/>
      <w:pPr>
        <w:ind w:left="4167" w:hanging="269"/>
      </w:pPr>
    </w:lvl>
    <w:lvl w:ilvl="3">
      <w:numFmt w:val="bullet"/>
      <w:lvlText w:val="•"/>
      <w:lvlJc w:val="left"/>
      <w:pPr>
        <w:ind w:left="4714" w:hanging="269"/>
      </w:pPr>
    </w:lvl>
    <w:lvl w:ilvl="4">
      <w:numFmt w:val="bullet"/>
      <w:lvlText w:val="•"/>
      <w:lvlJc w:val="left"/>
      <w:pPr>
        <w:ind w:left="5261" w:hanging="269"/>
      </w:pPr>
    </w:lvl>
    <w:lvl w:ilvl="5">
      <w:numFmt w:val="bullet"/>
      <w:lvlText w:val="•"/>
      <w:lvlJc w:val="left"/>
      <w:pPr>
        <w:ind w:left="5809" w:hanging="269"/>
      </w:pPr>
    </w:lvl>
    <w:lvl w:ilvl="6">
      <w:numFmt w:val="bullet"/>
      <w:lvlText w:val="•"/>
      <w:lvlJc w:val="left"/>
      <w:pPr>
        <w:ind w:left="6356" w:hanging="269"/>
      </w:pPr>
    </w:lvl>
    <w:lvl w:ilvl="7">
      <w:numFmt w:val="bullet"/>
      <w:lvlText w:val="•"/>
      <w:lvlJc w:val="left"/>
      <w:pPr>
        <w:ind w:left="6903" w:hanging="269"/>
      </w:pPr>
    </w:lvl>
    <w:lvl w:ilvl="8">
      <w:numFmt w:val="bullet"/>
      <w:lvlText w:val="•"/>
      <w:lvlJc w:val="left"/>
      <w:pPr>
        <w:ind w:left="7450" w:hanging="269"/>
      </w:pPr>
    </w:lvl>
  </w:abstractNum>
  <w:abstractNum w:abstractNumId="13" w15:restartNumberingAfterBreak="0">
    <w:nsid w:val="0000040E"/>
    <w:multiLevelType w:val="multilevel"/>
    <w:tmpl w:val="00000891"/>
    <w:lvl w:ilvl="0">
      <w:numFmt w:val="bullet"/>
      <w:lvlText w:val=""/>
      <w:lvlJc w:val="left"/>
      <w:pPr>
        <w:ind w:left="684" w:hanging="567"/>
      </w:pPr>
      <w:rPr>
        <w:rFonts w:ascii="Symbol" w:hAnsi="Symbol"/>
        <w:b w:val="0"/>
        <w:w w:val="100"/>
        <w:sz w:val="22"/>
      </w:rPr>
    </w:lvl>
    <w:lvl w:ilvl="1">
      <w:numFmt w:val="bullet"/>
      <w:lvlText w:val="•"/>
      <w:lvlJc w:val="left"/>
      <w:pPr>
        <w:ind w:left="1538" w:hanging="567"/>
      </w:pPr>
    </w:lvl>
    <w:lvl w:ilvl="2">
      <w:numFmt w:val="bullet"/>
      <w:lvlText w:val="•"/>
      <w:lvlJc w:val="left"/>
      <w:pPr>
        <w:ind w:left="2397" w:hanging="567"/>
      </w:pPr>
    </w:lvl>
    <w:lvl w:ilvl="3">
      <w:numFmt w:val="bullet"/>
      <w:lvlText w:val="•"/>
      <w:lvlJc w:val="left"/>
      <w:pPr>
        <w:ind w:left="3255" w:hanging="567"/>
      </w:pPr>
    </w:lvl>
    <w:lvl w:ilvl="4">
      <w:numFmt w:val="bullet"/>
      <w:lvlText w:val="•"/>
      <w:lvlJc w:val="left"/>
      <w:pPr>
        <w:ind w:left="4114" w:hanging="567"/>
      </w:pPr>
    </w:lvl>
    <w:lvl w:ilvl="5">
      <w:numFmt w:val="bullet"/>
      <w:lvlText w:val="•"/>
      <w:lvlJc w:val="left"/>
      <w:pPr>
        <w:ind w:left="4972" w:hanging="567"/>
      </w:pPr>
    </w:lvl>
    <w:lvl w:ilvl="6">
      <w:numFmt w:val="bullet"/>
      <w:lvlText w:val="•"/>
      <w:lvlJc w:val="left"/>
      <w:pPr>
        <w:ind w:left="5831" w:hanging="567"/>
      </w:pPr>
    </w:lvl>
    <w:lvl w:ilvl="7">
      <w:numFmt w:val="bullet"/>
      <w:lvlText w:val="•"/>
      <w:lvlJc w:val="left"/>
      <w:pPr>
        <w:ind w:left="6689" w:hanging="567"/>
      </w:pPr>
    </w:lvl>
    <w:lvl w:ilvl="8">
      <w:numFmt w:val="bullet"/>
      <w:lvlText w:val="•"/>
      <w:lvlJc w:val="left"/>
      <w:pPr>
        <w:ind w:left="7548" w:hanging="567"/>
      </w:pPr>
    </w:lvl>
  </w:abstractNum>
  <w:abstractNum w:abstractNumId="14" w15:restartNumberingAfterBreak="0">
    <w:nsid w:val="0000040F"/>
    <w:multiLevelType w:val="multilevel"/>
    <w:tmpl w:val="00000892"/>
    <w:lvl w:ilvl="0">
      <w:numFmt w:val="bullet"/>
      <w:lvlText w:val="-"/>
      <w:lvlJc w:val="left"/>
      <w:pPr>
        <w:ind w:left="684" w:hanging="567"/>
      </w:pPr>
      <w:rPr>
        <w:rFonts w:ascii="Times New Roman" w:hAnsi="Times New Roman"/>
        <w:b w:val="0"/>
        <w:w w:val="100"/>
        <w:sz w:val="22"/>
      </w:rPr>
    </w:lvl>
    <w:lvl w:ilvl="1">
      <w:numFmt w:val="bullet"/>
      <w:lvlText w:val="•"/>
      <w:lvlJc w:val="left"/>
      <w:pPr>
        <w:ind w:left="1538" w:hanging="567"/>
      </w:pPr>
    </w:lvl>
    <w:lvl w:ilvl="2">
      <w:numFmt w:val="bullet"/>
      <w:lvlText w:val="•"/>
      <w:lvlJc w:val="left"/>
      <w:pPr>
        <w:ind w:left="2397" w:hanging="567"/>
      </w:pPr>
    </w:lvl>
    <w:lvl w:ilvl="3">
      <w:numFmt w:val="bullet"/>
      <w:lvlText w:val="•"/>
      <w:lvlJc w:val="left"/>
      <w:pPr>
        <w:ind w:left="3255" w:hanging="567"/>
      </w:pPr>
    </w:lvl>
    <w:lvl w:ilvl="4">
      <w:numFmt w:val="bullet"/>
      <w:lvlText w:val="•"/>
      <w:lvlJc w:val="left"/>
      <w:pPr>
        <w:ind w:left="4114" w:hanging="567"/>
      </w:pPr>
    </w:lvl>
    <w:lvl w:ilvl="5">
      <w:numFmt w:val="bullet"/>
      <w:lvlText w:val="•"/>
      <w:lvlJc w:val="left"/>
      <w:pPr>
        <w:ind w:left="4972" w:hanging="567"/>
      </w:pPr>
    </w:lvl>
    <w:lvl w:ilvl="6">
      <w:numFmt w:val="bullet"/>
      <w:lvlText w:val="•"/>
      <w:lvlJc w:val="left"/>
      <w:pPr>
        <w:ind w:left="5831" w:hanging="567"/>
      </w:pPr>
    </w:lvl>
    <w:lvl w:ilvl="7">
      <w:numFmt w:val="bullet"/>
      <w:lvlText w:val="•"/>
      <w:lvlJc w:val="left"/>
      <w:pPr>
        <w:ind w:left="6689" w:hanging="567"/>
      </w:pPr>
    </w:lvl>
    <w:lvl w:ilvl="8">
      <w:numFmt w:val="bullet"/>
      <w:lvlText w:val="•"/>
      <w:lvlJc w:val="left"/>
      <w:pPr>
        <w:ind w:left="7548" w:hanging="567"/>
      </w:pPr>
    </w:lvl>
  </w:abstractNum>
  <w:abstractNum w:abstractNumId="15" w15:restartNumberingAfterBreak="0">
    <w:nsid w:val="00000410"/>
    <w:multiLevelType w:val="multilevel"/>
    <w:tmpl w:val="00000893"/>
    <w:lvl w:ilvl="0">
      <w:start w:val="1"/>
      <w:numFmt w:val="decimal"/>
      <w:lvlText w:val="%1."/>
      <w:lvlJc w:val="left"/>
      <w:pPr>
        <w:ind w:left="658" w:hanging="540"/>
      </w:pPr>
      <w:rPr>
        <w:rFonts w:ascii="Times New Roman" w:hAnsi="Times New Roman" w:cs="Times New Roman"/>
        <w:b w:val="0"/>
        <w:bCs w:val="0"/>
        <w:w w:val="100"/>
        <w:sz w:val="22"/>
        <w:szCs w:val="22"/>
      </w:rPr>
    </w:lvl>
    <w:lvl w:ilvl="1">
      <w:numFmt w:val="bullet"/>
      <w:lvlText w:val="•"/>
      <w:lvlJc w:val="left"/>
      <w:pPr>
        <w:ind w:left="1520" w:hanging="540"/>
      </w:pPr>
    </w:lvl>
    <w:lvl w:ilvl="2">
      <w:numFmt w:val="bullet"/>
      <w:lvlText w:val="•"/>
      <w:lvlJc w:val="left"/>
      <w:pPr>
        <w:ind w:left="2381" w:hanging="540"/>
      </w:pPr>
    </w:lvl>
    <w:lvl w:ilvl="3">
      <w:numFmt w:val="bullet"/>
      <w:lvlText w:val="•"/>
      <w:lvlJc w:val="left"/>
      <w:pPr>
        <w:ind w:left="3241" w:hanging="540"/>
      </w:pPr>
    </w:lvl>
    <w:lvl w:ilvl="4">
      <w:numFmt w:val="bullet"/>
      <w:lvlText w:val="•"/>
      <w:lvlJc w:val="left"/>
      <w:pPr>
        <w:ind w:left="4102" w:hanging="540"/>
      </w:pPr>
    </w:lvl>
    <w:lvl w:ilvl="5">
      <w:numFmt w:val="bullet"/>
      <w:lvlText w:val="•"/>
      <w:lvlJc w:val="left"/>
      <w:pPr>
        <w:ind w:left="4962" w:hanging="540"/>
      </w:pPr>
    </w:lvl>
    <w:lvl w:ilvl="6">
      <w:numFmt w:val="bullet"/>
      <w:lvlText w:val="•"/>
      <w:lvlJc w:val="left"/>
      <w:pPr>
        <w:ind w:left="5823" w:hanging="540"/>
      </w:pPr>
    </w:lvl>
    <w:lvl w:ilvl="7">
      <w:numFmt w:val="bullet"/>
      <w:lvlText w:val="•"/>
      <w:lvlJc w:val="left"/>
      <w:pPr>
        <w:ind w:left="6683" w:hanging="540"/>
      </w:pPr>
    </w:lvl>
    <w:lvl w:ilvl="8">
      <w:numFmt w:val="bullet"/>
      <w:lvlText w:val="•"/>
      <w:lvlJc w:val="left"/>
      <w:pPr>
        <w:ind w:left="7544" w:hanging="540"/>
      </w:pPr>
    </w:lvl>
  </w:abstractNum>
  <w:abstractNum w:abstractNumId="16" w15:restartNumberingAfterBreak="0">
    <w:nsid w:val="00000411"/>
    <w:multiLevelType w:val="multilevel"/>
    <w:tmpl w:val="00000894"/>
    <w:lvl w:ilvl="0">
      <w:start w:val="1"/>
      <w:numFmt w:val="decimal"/>
      <w:lvlText w:val="%1."/>
      <w:lvlJc w:val="left"/>
      <w:pPr>
        <w:ind w:left="118" w:hanging="540"/>
      </w:pPr>
      <w:rPr>
        <w:rFonts w:ascii="Times New Roman" w:hAnsi="Times New Roman" w:cs="Times New Roman"/>
        <w:b/>
        <w:bCs/>
        <w:w w:val="100"/>
        <w:sz w:val="22"/>
        <w:szCs w:val="22"/>
      </w:rPr>
    </w:lvl>
    <w:lvl w:ilvl="1">
      <w:numFmt w:val="bullet"/>
      <w:lvlText w:val="•"/>
      <w:lvlJc w:val="left"/>
      <w:pPr>
        <w:ind w:left="1034" w:hanging="540"/>
      </w:pPr>
    </w:lvl>
    <w:lvl w:ilvl="2">
      <w:numFmt w:val="bullet"/>
      <w:lvlText w:val="•"/>
      <w:lvlJc w:val="left"/>
      <w:pPr>
        <w:ind w:left="1949" w:hanging="540"/>
      </w:pPr>
    </w:lvl>
    <w:lvl w:ilvl="3">
      <w:numFmt w:val="bullet"/>
      <w:lvlText w:val="•"/>
      <w:lvlJc w:val="left"/>
      <w:pPr>
        <w:ind w:left="2863" w:hanging="540"/>
      </w:pPr>
    </w:lvl>
    <w:lvl w:ilvl="4">
      <w:numFmt w:val="bullet"/>
      <w:lvlText w:val="•"/>
      <w:lvlJc w:val="left"/>
      <w:pPr>
        <w:ind w:left="3778" w:hanging="540"/>
      </w:pPr>
    </w:lvl>
    <w:lvl w:ilvl="5">
      <w:numFmt w:val="bullet"/>
      <w:lvlText w:val="•"/>
      <w:lvlJc w:val="left"/>
      <w:pPr>
        <w:ind w:left="4692" w:hanging="540"/>
      </w:pPr>
    </w:lvl>
    <w:lvl w:ilvl="6">
      <w:numFmt w:val="bullet"/>
      <w:lvlText w:val="•"/>
      <w:lvlJc w:val="left"/>
      <w:pPr>
        <w:ind w:left="5607" w:hanging="540"/>
      </w:pPr>
    </w:lvl>
    <w:lvl w:ilvl="7">
      <w:numFmt w:val="bullet"/>
      <w:lvlText w:val="•"/>
      <w:lvlJc w:val="left"/>
      <w:pPr>
        <w:ind w:left="6521" w:hanging="540"/>
      </w:pPr>
    </w:lvl>
    <w:lvl w:ilvl="8">
      <w:numFmt w:val="bullet"/>
      <w:lvlText w:val="•"/>
      <w:lvlJc w:val="left"/>
      <w:pPr>
        <w:ind w:left="7436" w:hanging="540"/>
      </w:pPr>
    </w:lvl>
  </w:abstractNum>
  <w:abstractNum w:abstractNumId="17" w15:restartNumberingAfterBreak="0">
    <w:nsid w:val="00000412"/>
    <w:multiLevelType w:val="multilevel"/>
    <w:tmpl w:val="00000895"/>
    <w:lvl w:ilvl="0">
      <w:numFmt w:val="bullet"/>
      <w:lvlText w:val="-"/>
      <w:lvlJc w:val="left"/>
      <w:pPr>
        <w:ind w:left="658" w:hanging="540"/>
      </w:pPr>
      <w:rPr>
        <w:rFonts w:ascii="Times New Roman" w:hAnsi="Times New Roman"/>
        <w:b w:val="0"/>
        <w:w w:val="100"/>
        <w:sz w:val="22"/>
      </w:rPr>
    </w:lvl>
    <w:lvl w:ilvl="1">
      <w:numFmt w:val="bullet"/>
      <w:lvlText w:val="•"/>
      <w:lvlJc w:val="left"/>
      <w:pPr>
        <w:ind w:left="1520" w:hanging="540"/>
      </w:pPr>
    </w:lvl>
    <w:lvl w:ilvl="2">
      <w:numFmt w:val="bullet"/>
      <w:lvlText w:val="•"/>
      <w:lvlJc w:val="left"/>
      <w:pPr>
        <w:ind w:left="2381" w:hanging="540"/>
      </w:pPr>
    </w:lvl>
    <w:lvl w:ilvl="3">
      <w:numFmt w:val="bullet"/>
      <w:lvlText w:val="•"/>
      <w:lvlJc w:val="left"/>
      <w:pPr>
        <w:ind w:left="3241" w:hanging="540"/>
      </w:pPr>
    </w:lvl>
    <w:lvl w:ilvl="4">
      <w:numFmt w:val="bullet"/>
      <w:lvlText w:val="•"/>
      <w:lvlJc w:val="left"/>
      <w:pPr>
        <w:ind w:left="4102" w:hanging="540"/>
      </w:pPr>
    </w:lvl>
    <w:lvl w:ilvl="5">
      <w:numFmt w:val="bullet"/>
      <w:lvlText w:val="•"/>
      <w:lvlJc w:val="left"/>
      <w:pPr>
        <w:ind w:left="4962" w:hanging="540"/>
      </w:pPr>
    </w:lvl>
    <w:lvl w:ilvl="6">
      <w:numFmt w:val="bullet"/>
      <w:lvlText w:val="•"/>
      <w:lvlJc w:val="left"/>
      <w:pPr>
        <w:ind w:left="5823" w:hanging="540"/>
      </w:pPr>
    </w:lvl>
    <w:lvl w:ilvl="7">
      <w:numFmt w:val="bullet"/>
      <w:lvlText w:val="•"/>
      <w:lvlJc w:val="left"/>
      <w:pPr>
        <w:ind w:left="6683" w:hanging="540"/>
      </w:pPr>
    </w:lvl>
    <w:lvl w:ilvl="8">
      <w:numFmt w:val="bullet"/>
      <w:lvlText w:val="•"/>
      <w:lvlJc w:val="left"/>
      <w:pPr>
        <w:ind w:left="7544" w:hanging="540"/>
      </w:pPr>
    </w:lvl>
  </w:abstractNum>
  <w:abstractNum w:abstractNumId="18" w15:restartNumberingAfterBreak="0">
    <w:nsid w:val="00000413"/>
    <w:multiLevelType w:val="multilevel"/>
    <w:tmpl w:val="00000896"/>
    <w:lvl w:ilvl="0">
      <w:start w:val="1"/>
      <w:numFmt w:val="decimal"/>
      <w:lvlText w:val="%1."/>
      <w:lvlJc w:val="left"/>
      <w:pPr>
        <w:ind w:left="658" w:hanging="540"/>
      </w:pPr>
      <w:rPr>
        <w:rFonts w:ascii="Times New Roman" w:hAnsi="Times New Roman" w:cs="Times New Roman"/>
        <w:b w:val="0"/>
        <w:bCs w:val="0"/>
        <w:w w:val="100"/>
        <w:sz w:val="22"/>
        <w:szCs w:val="22"/>
      </w:rPr>
    </w:lvl>
    <w:lvl w:ilvl="1">
      <w:numFmt w:val="bullet"/>
      <w:lvlText w:val="•"/>
      <w:lvlJc w:val="left"/>
      <w:pPr>
        <w:ind w:left="1520" w:hanging="540"/>
      </w:pPr>
    </w:lvl>
    <w:lvl w:ilvl="2">
      <w:numFmt w:val="bullet"/>
      <w:lvlText w:val="•"/>
      <w:lvlJc w:val="left"/>
      <w:pPr>
        <w:ind w:left="2381" w:hanging="540"/>
      </w:pPr>
    </w:lvl>
    <w:lvl w:ilvl="3">
      <w:numFmt w:val="bullet"/>
      <w:lvlText w:val="•"/>
      <w:lvlJc w:val="left"/>
      <w:pPr>
        <w:ind w:left="3241" w:hanging="540"/>
      </w:pPr>
    </w:lvl>
    <w:lvl w:ilvl="4">
      <w:numFmt w:val="bullet"/>
      <w:lvlText w:val="•"/>
      <w:lvlJc w:val="left"/>
      <w:pPr>
        <w:ind w:left="4102" w:hanging="540"/>
      </w:pPr>
    </w:lvl>
    <w:lvl w:ilvl="5">
      <w:numFmt w:val="bullet"/>
      <w:lvlText w:val="•"/>
      <w:lvlJc w:val="left"/>
      <w:pPr>
        <w:ind w:left="4962" w:hanging="540"/>
      </w:pPr>
    </w:lvl>
    <w:lvl w:ilvl="6">
      <w:numFmt w:val="bullet"/>
      <w:lvlText w:val="•"/>
      <w:lvlJc w:val="left"/>
      <w:pPr>
        <w:ind w:left="5823" w:hanging="540"/>
      </w:pPr>
    </w:lvl>
    <w:lvl w:ilvl="7">
      <w:numFmt w:val="bullet"/>
      <w:lvlText w:val="•"/>
      <w:lvlJc w:val="left"/>
      <w:pPr>
        <w:ind w:left="6683" w:hanging="540"/>
      </w:pPr>
    </w:lvl>
    <w:lvl w:ilvl="8">
      <w:numFmt w:val="bullet"/>
      <w:lvlText w:val="•"/>
      <w:lvlJc w:val="left"/>
      <w:pPr>
        <w:ind w:left="7544" w:hanging="540"/>
      </w:pPr>
    </w:lvl>
  </w:abstractNum>
  <w:abstractNum w:abstractNumId="19" w15:restartNumberingAfterBreak="0">
    <w:nsid w:val="00000414"/>
    <w:multiLevelType w:val="multilevel"/>
    <w:tmpl w:val="00000897"/>
    <w:lvl w:ilvl="0">
      <w:start w:val="1"/>
      <w:numFmt w:val="decimal"/>
      <w:lvlText w:val="%1."/>
      <w:lvlJc w:val="left"/>
      <w:pPr>
        <w:ind w:left="118" w:hanging="540"/>
      </w:pPr>
      <w:rPr>
        <w:rFonts w:ascii="Times New Roman" w:hAnsi="Times New Roman" w:cs="Times New Roman"/>
        <w:b/>
        <w:bCs/>
        <w:w w:val="100"/>
        <w:sz w:val="22"/>
        <w:szCs w:val="22"/>
      </w:rPr>
    </w:lvl>
    <w:lvl w:ilvl="1">
      <w:numFmt w:val="bullet"/>
      <w:lvlText w:val="•"/>
      <w:lvlJc w:val="left"/>
      <w:pPr>
        <w:ind w:left="1034" w:hanging="540"/>
      </w:pPr>
    </w:lvl>
    <w:lvl w:ilvl="2">
      <w:numFmt w:val="bullet"/>
      <w:lvlText w:val="•"/>
      <w:lvlJc w:val="left"/>
      <w:pPr>
        <w:ind w:left="1949" w:hanging="540"/>
      </w:pPr>
    </w:lvl>
    <w:lvl w:ilvl="3">
      <w:numFmt w:val="bullet"/>
      <w:lvlText w:val="•"/>
      <w:lvlJc w:val="left"/>
      <w:pPr>
        <w:ind w:left="2863" w:hanging="540"/>
      </w:pPr>
    </w:lvl>
    <w:lvl w:ilvl="4">
      <w:numFmt w:val="bullet"/>
      <w:lvlText w:val="•"/>
      <w:lvlJc w:val="left"/>
      <w:pPr>
        <w:ind w:left="3778" w:hanging="540"/>
      </w:pPr>
    </w:lvl>
    <w:lvl w:ilvl="5">
      <w:numFmt w:val="bullet"/>
      <w:lvlText w:val="•"/>
      <w:lvlJc w:val="left"/>
      <w:pPr>
        <w:ind w:left="4692" w:hanging="540"/>
      </w:pPr>
    </w:lvl>
    <w:lvl w:ilvl="6">
      <w:numFmt w:val="bullet"/>
      <w:lvlText w:val="•"/>
      <w:lvlJc w:val="left"/>
      <w:pPr>
        <w:ind w:left="5607" w:hanging="540"/>
      </w:pPr>
    </w:lvl>
    <w:lvl w:ilvl="7">
      <w:numFmt w:val="bullet"/>
      <w:lvlText w:val="•"/>
      <w:lvlJc w:val="left"/>
      <w:pPr>
        <w:ind w:left="6521" w:hanging="540"/>
      </w:pPr>
    </w:lvl>
    <w:lvl w:ilvl="8">
      <w:numFmt w:val="bullet"/>
      <w:lvlText w:val="•"/>
      <w:lvlJc w:val="left"/>
      <w:pPr>
        <w:ind w:left="7436" w:hanging="540"/>
      </w:pPr>
    </w:lvl>
  </w:abstractNum>
  <w:abstractNum w:abstractNumId="20" w15:restartNumberingAfterBreak="0">
    <w:nsid w:val="00000415"/>
    <w:multiLevelType w:val="multilevel"/>
    <w:tmpl w:val="00000898"/>
    <w:lvl w:ilvl="0">
      <w:numFmt w:val="bullet"/>
      <w:lvlText w:val="-"/>
      <w:lvlJc w:val="left"/>
      <w:pPr>
        <w:ind w:left="658" w:hanging="540"/>
      </w:pPr>
      <w:rPr>
        <w:rFonts w:ascii="Times New Roman" w:hAnsi="Times New Roman"/>
        <w:b w:val="0"/>
        <w:w w:val="100"/>
        <w:sz w:val="22"/>
      </w:rPr>
    </w:lvl>
    <w:lvl w:ilvl="1">
      <w:numFmt w:val="bullet"/>
      <w:lvlText w:val="•"/>
      <w:lvlJc w:val="left"/>
      <w:pPr>
        <w:ind w:left="1520" w:hanging="540"/>
      </w:pPr>
    </w:lvl>
    <w:lvl w:ilvl="2">
      <w:numFmt w:val="bullet"/>
      <w:lvlText w:val="•"/>
      <w:lvlJc w:val="left"/>
      <w:pPr>
        <w:ind w:left="2381" w:hanging="540"/>
      </w:pPr>
    </w:lvl>
    <w:lvl w:ilvl="3">
      <w:numFmt w:val="bullet"/>
      <w:lvlText w:val="•"/>
      <w:lvlJc w:val="left"/>
      <w:pPr>
        <w:ind w:left="3241" w:hanging="540"/>
      </w:pPr>
    </w:lvl>
    <w:lvl w:ilvl="4">
      <w:numFmt w:val="bullet"/>
      <w:lvlText w:val="•"/>
      <w:lvlJc w:val="left"/>
      <w:pPr>
        <w:ind w:left="4102" w:hanging="540"/>
      </w:pPr>
    </w:lvl>
    <w:lvl w:ilvl="5">
      <w:numFmt w:val="bullet"/>
      <w:lvlText w:val="•"/>
      <w:lvlJc w:val="left"/>
      <w:pPr>
        <w:ind w:left="4962" w:hanging="540"/>
      </w:pPr>
    </w:lvl>
    <w:lvl w:ilvl="6">
      <w:numFmt w:val="bullet"/>
      <w:lvlText w:val="•"/>
      <w:lvlJc w:val="left"/>
      <w:pPr>
        <w:ind w:left="5823" w:hanging="540"/>
      </w:pPr>
    </w:lvl>
    <w:lvl w:ilvl="7">
      <w:numFmt w:val="bullet"/>
      <w:lvlText w:val="•"/>
      <w:lvlJc w:val="left"/>
      <w:pPr>
        <w:ind w:left="6683" w:hanging="540"/>
      </w:pPr>
    </w:lvl>
    <w:lvl w:ilvl="8">
      <w:numFmt w:val="bullet"/>
      <w:lvlText w:val="•"/>
      <w:lvlJc w:val="left"/>
      <w:pPr>
        <w:ind w:left="7544" w:hanging="540"/>
      </w:pPr>
    </w:lvl>
  </w:abstractNum>
  <w:abstractNum w:abstractNumId="21" w15:restartNumberingAfterBreak="0">
    <w:nsid w:val="00000416"/>
    <w:multiLevelType w:val="multilevel"/>
    <w:tmpl w:val="00000899"/>
    <w:lvl w:ilvl="0">
      <w:numFmt w:val="bullet"/>
      <w:lvlText w:val=""/>
      <w:lvlJc w:val="left"/>
      <w:pPr>
        <w:ind w:left="684" w:hanging="567"/>
      </w:pPr>
      <w:rPr>
        <w:rFonts w:ascii="Symbol" w:hAnsi="Symbol"/>
        <w:b w:val="0"/>
        <w:w w:val="100"/>
        <w:sz w:val="16"/>
      </w:rPr>
    </w:lvl>
    <w:lvl w:ilvl="1">
      <w:numFmt w:val="bullet"/>
      <w:lvlText w:val="•"/>
      <w:lvlJc w:val="left"/>
      <w:pPr>
        <w:ind w:left="1528" w:hanging="567"/>
      </w:pPr>
    </w:lvl>
    <w:lvl w:ilvl="2">
      <w:numFmt w:val="bullet"/>
      <w:lvlText w:val="•"/>
      <w:lvlJc w:val="left"/>
      <w:pPr>
        <w:ind w:left="2377" w:hanging="567"/>
      </w:pPr>
    </w:lvl>
    <w:lvl w:ilvl="3">
      <w:numFmt w:val="bullet"/>
      <w:lvlText w:val="•"/>
      <w:lvlJc w:val="left"/>
      <w:pPr>
        <w:ind w:left="3225" w:hanging="567"/>
      </w:pPr>
    </w:lvl>
    <w:lvl w:ilvl="4">
      <w:numFmt w:val="bullet"/>
      <w:lvlText w:val="•"/>
      <w:lvlJc w:val="left"/>
      <w:pPr>
        <w:ind w:left="4074" w:hanging="567"/>
      </w:pPr>
    </w:lvl>
    <w:lvl w:ilvl="5">
      <w:numFmt w:val="bullet"/>
      <w:lvlText w:val="•"/>
      <w:lvlJc w:val="left"/>
      <w:pPr>
        <w:ind w:left="4922" w:hanging="567"/>
      </w:pPr>
    </w:lvl>
    <w:lvl w:ilvl="6">
      <w:numFmt w:val="bullet"/>
      <w:lvlText w:val="•"/>
      <w:lvlJc w:val="left"/>
      <w:pPr>
        <w:ind w:left="5771" w:hanging="567"/>
      </w:pPr>
    </w:lvl>
    <w:lvl w:ilvl="7">
      <w:numFmt w:val="bullet"/>
      <w:lvlText w:val="•"/>
      <w:lvlJc w:val="left"/>
      <w:pPr>
        <w:ind w:left="6619" w:hanging="567"/>
      </w:pPr>
    </w:lvl>
    <w:lvl w:ilvl="8">
      <w:numFmt w:val="bullet"/>
      <w:lvlText w:val="•"/>
      <w:lvlJc w:val="left"/>
      <w:pPr>
        <w:ind w:left="7468" w:hanging="567"/>
      </w:pPr>
    </w:lvl>
  </w:abstractNum>
  <w:abstractNum w:abstractNumId="22" w15:restartNumberingAfterBreak="0">
    <w:nsid w:val="00000417"/>
    <w:multiLevelType w:val="multilevel"/>
    <w:tmpl w:val="0000089A"/>
    <w:lvl w:ilvl="0">
      <w:start w:val="1"/>
      <w:numFmt w:val="decimal"/>
      <w:lvlText w:val="%1."/>
      <w:lvlJc w:val="left"/>
      <w:pPr>
        <w:ind w:left="658" w:hanging="540"/>
      </w:pPr>
      <w:rPr>
        <w:rFonts w:ascii="Times New Roman" w:hAnsi="Times New Roman" w:cs="Times New Roman"/>
        <w:b w:val="0"/>
        <w:bCs w:val="0"/>
        <w:w w:val="100"/>
        <w:sz w:val="22"/>
        <w:szCs w:val="22"/>
      </w:rPr>
    </w:lvl>
    <w:lvl w:ilvl="1">
      <w:numFmt w:val="bullet"/>
      <w:lvlText w:val="•"/>
      <w:lvlJc w:val="left"/>
      <w:pPr>
        <w:ind w:left="1520" w:hanging="540"/>
      </w:pPr>
    </w:lvl>
    <w:lvl w:ilvl="2">
      <w:numFmt w:val="bullet"/>
      <w:lvlText w:val="•"/>
      <w:lvlJc w:val="left"/>
      <w:pPr>
        <w:ind w:left="2381" w:hanging="540"/>
      </w:pPr>
    </w:lvl>
    <w:lvl w:ilvl="3">
      <w:numFmt w:val="bullet"/>
      <w:lvlText w:val="•"/>
      <w:lvlJc w:val="left"/>
      <w:pPr>
        <w:ind w:left="3241" w:hanging="540"/>
      </w:pPr>
    </w:lvl>
    <w:lvl w:ilvl="4">
      <w:numFmt w:val="bullet"/>
      <w:lvlText w:val="•"/>
      <w:lvlJc w:val="left"/>
      <w:pPr>
        <w:ind w:left="4102" w:hanging="540"/>
      </w:pPr>
    </w:lvl>
    <w:lvl w:ilvl="5">
      <w:numFmt w:val="bullet"/>
      <w:lvlText w:val="•"/>
      <w:lvlJc w:val="left"/>
      <w:pPr>
        <w:ind w:left="4962" w:hanging="540"/>
      </w:pPr>
    </w:lvl>
    <w:lvl w:ilvl="6">
      <w:numFmt w:val="bullet"/>
      <w:lvlText w:val="•"/>
      <w:lvlJc w:val="left"/>
      <w:pPr>
        <w:ind w:left="5823" w:hanging="540"/>
      </w:pPr>
    </w:lvl>
    <w:lvl w:ilvl="7">
      <w:numFmt w:val="bullet"/>
      <w:lvlText w:val="•"/>
      <w:lvlJc w:val="left"/>
      <w:pPr>
        <w:ind w:left="6683" w:hanging="540"/>
      </w:pPr>
    </w:lvl>
    <w:lvl w:ilvl="8">
      <w:numFmt w:val="bullet"/>
      <w:lvlText w:val="•"/>
      <w:lvlJc w:val="left"/>
      <w:pPr>
        <w:ind w:left="7544" w:hanging="540"/>
      </w:pPr>
    </w:lvl>
  </w:abstractNum>
  <w:abstractNum w:abstractNumId="23" w15:restartNumberingAfterBreak="0">
    <w:nsid w:val="00000418"/>
    <w:multiLevelType w:val="multilevel"/>
    <w:tmpl w:val="0000089B"/>
    <w:lvl w:ilvl="0">
      <w:start w:val="1"/>
      <w:numFmt w:val="decimal"/>
      <w:lvlText w:val="%1."/>
      <w:lvlJc w:val="left"/>
      <w:pPr>
        <w:ind w:left="118" w:hanging="540"/>
      </w:pPr>
      <w:rPr>
        <w:rFonts w:ascii="Times New Roman" w:hAnsi="Times New Roman" w:cs="Times New Roman"/>
        <w:b/>
        <w:bCs/>
        <w:w w:val="100"/>
        <w:sz w:val="22"/>
        <w:szCs w:val="22"/>
      </w:rPr>
    </w:lvl>
    <w:lvl w:ilvl="1">
      <w:numFmt w:val="bullet"/>
      <w:lvlText w:val="•"/>
      <w:lvlJc w:val="left"/>
      <w:pPr>
        <w:ind w:left="1034" w:hanging="540"/>
      </w:pPr>
    </w:lvl>
    <w:lvl w:ilvl="2">
      <w:numFmt w:val="bullet"/>
      <w:lvlText w:val="•"/>
      <w:lvlJc w:val="left"/>
      <w:pPr>
        <w:ind w:left="1949" w:hanging="540"/>
      </w:pPr>
    </w:lvl>
    <w:lvl w:ilvl="3">
      <w:numFmt w:val="bullet"/>
      <w:lvlText w:val="•"/>
      <w:lvlJc w:val="left"/>
      <w:pPr>
        <w:ind w:left="2863" w:hanging="540"/>
      </w:pPr>
    </w:lvl>
    <w:lvl w:ilvl="4">
      <w:numFmt w:val="bullet"/>
      <w:lvlText w:val="•"/>
      <w:lvlJc w:val="left"/>
      <w:pPr>
        <w:ind w:left="3778" w:hanging="540"/>
      </w:pPr>
    </w:lvl>
    <w:lvl w:ilvl="5">
      <w:numFmt w:val="bullet"/>
      <w:lvlText w:val="•"/>
      <w:lvlJc w:val="left"/>
      <w:pPr>
        <w:ind w:left="4692" w:hanging="540"/>
      </w:pPr>
    </w:lvl>
    <w:lvl w:ilvl="6">
      <w:numFmt w:val="bullet"/>
      <w:lvlText w:val="•"/>
      <w:lvlJc w:val="left"/>
      <w:pPr>
        <w:ind w:left="5607" w:hanging="540"/>
      </w:pPr>
    </w:lvl>
    <w:lvl w:ilvl="7">
      <w:numFmt w:val="bullet"/>
      <w:lvlText w:val="•"/>
      <w:lvlJc w:val="left"/>
      <w:pPr>
        <w:ind w:left="6521" w:hanging="540"/>
      </w:pPr>
    </w:lvl>
    <w:lvl w:ilvl="8">
      <w:numFmt w:val="bullet"/>
      <w:lvlText w:val="•"/>
      <w:lvlJc w:val="left"/>
      <w:pPr>
        <w:ind w:left="7436" w:hanging="540"/>
      </w:pPr>
    </w:lvl>
  </w:abstractNum>
  <w:abstractNum w:abstractNumId="24" w15:restartNumberingAfterBreak="0">
    <w:nsid w:val="00000419"/>
    <w:multiLevelType w:val="multilevel"/>
    <w:tmpl w:val="0000089C"/>
    <w:lvl w:ilvl="0">
      <w:numFmt w:val="bullet"/>
      <w:lvlText w:val="-"/>
      <w:lvlJc w:val="left"/>
      <w:pPr>
        <w:ind w:left="658" w:hanging="540"/>
      </w:pPr>
      <w:rPr>
        <w:rFonts w:ascii="Times New Roman" w:hAnsi="Times New Roman"/>
        <w:b w:val="0"/>
        <w:w w:val="100"/>
        <w:sz w:val="22"/>
      </w:rPr>
    </w:lvl>
    <w:lvl w:ilvl="1">
      <w:numFmt w:val="bullet"/>
      <w:lvlText w:val="•"/>
      <w:lvlJc w:val="left"/>
      <w:pPr>
        <w:ind w:left="1520" w:hanging="540"/>
      </w:pPr>
    </w:lvl>
    <w:lvl w:ilvl="2">
      <w:numFmt w:val="bullet"/>
      <w:lvlText w:val="•"/>
      <w:lvlJc w:val="left"/>
      <w:pPr>
        <w:ind w:left="2381" w:hanging="540"/>
      </w:pPr>
    </w:lvl>
    <w:lvl w:ilvl="3">
      <w:numFmt w:val="bullet"/>
      <w:lvlText w:val="•"/>
      <w:lvlJc w:val="left"/>
      <w:pPr>
        <w:ind w:left="3241" w:hanging="540"/>
      </w:pPr>
    </w:lvl>
    <w:lvl w:ilvl="4">
      <w:numFmt w:val="bullet"/>
      <w:lvlText w:val="•"/>
      <w:lvlJc w:val="left"/>
      <w:pPr>
        <w:ind w:left="4102" w:hanging="540"/>
      </w:pPr>
    </w:lvl>
    <w:lvl w:ilvl="5">
      <w:numFmt w:val="bullet"/>
      <w:lvlText w:val="•"/>
      <w:lvlJc w:val="left"/>
      <w:pPr>
        <w:ind w:left="4962" w:hanging="540"/>
      </w:pPr>
    </w:lvl>
    <w:lvl w:ilvl="6">
      <w:numFmt w:val="bullet"/>
      <w:lvlText w:val="•"/>
      <w:lvlJc w:val="left"/>
      <w:pPr>
        <w:ind w:left="5823" w:hanging="540"/>
      </w:pPr>
    </w:lvl>
    <w:lvl w:ilvl="7">
      <w:numFmt w:val="bullet"/>
      <w:lvlText w:val="•"/>
      <w:lvlJc w:val="left"/>
      <w:pPr>
        <w:ind w:left="6683" w:hanging="540"/>
      </w:pPr>
    </w:lvl>
    <w:lvl w:ilvl="8">
      <w:numFmt w:val="bullet"/>
      <w:lvlText w:val="•"/>
      <w:lvlJc w:val="left"/>
      <w:pPr>
        <w:ind w:left="7544" w:hanging="540"/>
      </w:pPr>
    </w:lvl>
  </w:abstractNum>
  <w:abstractNum w:abstractNumId="25" w15:restartNumberingAfterBreak="0">
    <w:nsid w:val="0000041A"/>
    <w:multiLevelType w:val="multilevel"/>
    <w:tmpl w:val="0000089D"/>
    <w:lvl w:ilvl="0">
      <w:start w:val="1"/>
      <w:numFmt w:val="decimal"/>
      <w:lvlText w:val="%1."/>
      <w:lvlJc w:val="left"/>
      <w:pPr>
        <w:ind w:left="658" w:hanging="540"/>
      </w:pPr>
      <w:rPr>
        <w:rFonts w:ascii="Times New Roman" w:hAnsi="Times New Roman" w:cs="Times New Roman"/>
        <w:b w:val="0"/>
        <w:bCs w:val="0"/>
        <w:w w:val="100"/>
        <w:sz w:val="22"/>
        <w:szCs w:val="22"/>
      </w:rPr>
    </w:lvl>
    <w:lvl w:ilvl="1">
      <w:numFmt w:val="bullet"/>
      <w:lvlText w:val="•"/>
      <w:lvlJc w:val="left"/>
      <w:pPr>
        <w:ind w:left="4220" w:hanging="540"/>
      </w:pPr>
    </w:lvl>
    <w:lvl w:ilvl="2">
      <w:numFmt w:val="bullet"/>
      <w:lvlText w:val="•"/>
      <w:lvlJc w:val="left"/>
      <w:pPr>
        <w:ind w:left="4760" w:hanging="540"/>
      </w:pPr>
    </w:lvl>
    <w:lvl w:ilvl="3">
      <w:numFmt w:val="bullet"/>
      <w:lvlText w:val="•"/>
      <w:lvlJc w:val="left"/>
      <w:pPr>
        <w:ind w:left="5301" w:hanging="540"/>
      </w:pPr>
    </w:lvl>
    <w:lvl w:ilvl="4">
      <w:numFmt w:val="bullet"/>
      <w:lvlText w:val="•"/>
      <w:lvlJc w:val="left"/>
      <w:pPr>
        <w:ind w:left="5841" w:hanging="540"/>
      </w:pPr>
    </w:lvl>
    <w:lvl w:ilvl="5">
      <w:numFmt w:val="bullet"/>
      <w:lvlText w:val="•"/>
      <w:lvlJc w:val="left"/>
      <w:pPr>
        <w:ind w:left="6382" w:hanging="540"/>
      </w:pPr>
    </w:lvl>
    <w:lvl w:ilvl="6">
      <w:numFmt w:val="bullet"/>
      <w:lvlText w:val="•"/>
      <w:lvlJc w:val="left"/>
      <w:pPr>
        <w:ind w:left="6923" w:hanging="540"/>
      </w:pPr>
    </w:lvl>
    <w:lvl w:ilvl="7">
      <w:numFmt w:val="bullet"/>
      <w:lvlText w:val="•"/>
      <w:lvlJc w:val="left"/>
      <w:pPr>
        <w:ind w:left="7463" w:hanging="540"/>
      </w:pPr>
    </w:lvl>
    <w:lvl w:ilvl="8">
      <w:numFmt w:val="bullet"/>
      <w:lvlText w:val="•"/>
      <w:lvlJc w:val="left"/>
      <w:pPr>
        <w:ind w:left="8004" w:hanging="540"/>
      </w:pPr>
    </w:lvl>
  </w:abstractNum>
  <w:abstractNum w:abstractNumId="26" w15:restartNumberingAfterBreak="0">
    <w:nsid w:val="0000041B"/>
    <w:multiLevelType w:val="multilevel"/>
    <w:tmpl w:val="0000089E"/>
    <w:lvl w:ilvl="0">
      <w:start w:val="1"/>
      <w:numFmt w:val="decimal"/>
      <w:lvlText w:val="%1."/>
      <w:lvlJc w:val="left"/>
      <w:pPr>
        <w:ind w:left="658" w:hanging="540"/>
      </w:pPr>
      <w:rPr>
        <w:rFonts w:ascii="Times New Roman" w:hAnsi="Times New Roman" w:cs="Times New Roman"/>
        <w:b w:val="0"/>
        <w:bCs w:val="0"/>
        <w:w w:val="100"/>
        <w:sz w:val="22"/>
        <w:szCs w:val="22"/>
      </w:rPr>
    </w:lvl>
    <w:lvl w:ilvl="1">
      <w:numFmt w:val="bullet"/>
      <w:lvlText w:val="•"/>
      <w:lvlJc w:val="left"/>
      <w:pPr>
        <w:ind w:left="1514" w:hanging="540"/>
      </w:pPr>
    </w:lvl>
    <w:lvl w:ilvl="2">
      <w:numFmt w:val="bullet"/>
      <w:lvlText w:val="•"/>
      <w:lvlJc w:val="left"/>
      <w:pPr>
        <w:ind w:left="2369" w:hanging="540"/>
      </w:pPr>
    </w:lvl>
    <w:lvl w:ilvl="3">
      <w:numFmt w:val="bullet"/>
      <w:lvlText w:val="•"/>
      <w:lvlJc w:val="left"/>
      <w:pPr>
        <w:ind w:left="3223" w:hanging="540"/>
      </w:pPr>
    </w:lvl>
    <w:lvl w:ilvl="4">
      <w:numFmt w:val="bullet"/>
      <w:lvlText w:val="•"/>
      <w:lvlJc w:val="left"/>
      <w:pPr>
        <w:ind w:left="4078" w:hanging="540"/>
      </w:pPr>
    </w:lvl>
    <w:lvl w:ilvl="5">
      <w:numFmt w:val="bullet"/>
      <w:lvlText w:val="•"/>
      <w:lvlJc w:val="left"/>
      <w:pPr>
        <w:ind w:left="4932" w:hanging="540"/>
      </w:pPr>
    </w:lvl>
    <w:lvl w:ilvl="6">
      <w:numFmt w:val="bullet"/>
      <w:lvlText w:val="•"/>
      <w:lvlJc w:val="left"/>
      <w:pPr>
        <w:ind w:left="5787" w:hanging="540"/>
      </w:pPr>
    </w:lvl>
    <w:lvl w:ilvl="7">
      <w:numFmt w:val="bullet"/>
      <w:lvlText w:val="•"/>
      <w:lvlJc w:val="left"/>
      <w:pPr>
        <w:ind w:left="6641" w:hanging="540"/>
      </w:pPr>
    </w:lvl>
    <w:lvl w:ilvl="8">
      <w:numFmt w:val="bullet"/>
      <w:lvlText w:val="•"/>
      <w:lvlJc w:val="left"/>
      <w:pPr>
        <w:ind w:left="7496" w:hanging="540"/>
      </w:pPr>
    </w:lvl>
  </w:abstractNum>
  <w:abstractNum w:abstractNumId="27" w15:restartNumberingAfterBreak="0">
    <w:nsid w:val="0000041C"/>
    <w:multiLevelType w:val="multilevel"/>
    <w:tmpl w:val="0000089F"/>
    <w:lvl w:ilvl="0">
      <w:start w:val="1"/>
      <w:numFmt w:val="decimal"/>
      <w:lvlText w:val="%1."/>
      <w:lvlJc w:val="left"/>
      <w:pPr>
        <w:ind w:left="658" w:hanging="540"/>
      </w:pPr>
      <w:rPr>
        <w:rFonts w:ascii="Times New Roman" w:hAnsi="Times New Roman" w:cs="Times New Roman"/>
        <w:b w:val="0"/>
        <w:bCs w:val="0"/>
        <w:w w:val="100"/>
        <w:sz w:val="22"/>
        <w:szCs w:val="22"/>
      </w:rPr>
    </w:lvl>
    <w:lvl w:ilvl="1">
      <w:numFmt w:val="bullet"/>
      <w:lvlText w:val="•"/>
      <w:lvlJc w:val="left"/>
      <w:pPr>
        <w:ind w:left="1514" w:hanging="540"/>
      </w:pPr>
    </w:lvl>
    <w:lvl w:ilvl="2">
      <w:numFmt w:val="bullet"/>
      <w:lvlText w:val="•"/>
      <w:lvlJc w:val="left"/>
      <w:pPr>
        <w:ind w:left="2369" w:hanging="540"/>
      </w:pPr>
    </w:lvl>
    <w:lvl w:ilvl="3">
      <w:numFmt w:val="bullet"/>
      <w:lvlText w:val="•"/>
      <w:lvlJc w:val="left"/>
      <w:pPr>
        <w:ind w:left="3223" w:hanging="540"/>
      </w:pPr>
    </w:lvl>
    <w:lvl w:ilvl="4">
      <w:numFmt w:val="bullet"/>
      <w:lvlText w:val="•"/>
      <w:lvlJc w:val="left"/>
      <w:pPr>
        <w:ind w:left="4078" w:hanging="540"/>
      </w:pPr>
    </w:lvl>
    <w:lvl w:ilvl="5">
      <w:numFmt w:val="bullet"/>
      <w:lvlText w:val="•"/>
      <w:lvlJc w:val="left"/>
      <w:pPr>
        <w:ind w:left="4932" w:hanging="540"/>
      </w:pPr>
    </w:lvl>
    <w:lvl w:ilvl="6">
      <w:numFmt w:val="bullet"/>
      <w:lvlText w:val="•"/>
      <w:lvlJc w:val="left"/>
      <w:pPr>
        <w:ind w:left="5787" w:hanging="540"/>
      </w:pPr>
    </w:lvl>
    <w:lvl w:ilvl="7">
      <w:numFmt w:val="bullet"/>
      <w:lvlText w:val="•"/>
      <w:lvlJc w:val="left"/>
      <w:pPr>
        <w:ind w:left="6641" w:hanging="540"/>
      </w:pPr>
    </w:lvl>
    <w:lvl w:ilvl="8">
      <w:numFmt w:val="bullet"/>
      <w:lvlText w:val="•"/>
      <w:lvlJc w:val="left"/>
      <w:pPr>
        <w:ind w:left="7496" w:hanging="540"/>
      </w:pPr>
    </w:lvl>
  </w:abstractNum>
  <w:abstractNum w:abstractNumId="28" w15:restartNumberingAfterBreak="0">
    <w:nsid w:val="0000041D"/>
    <w:multiLevelType w:val="multilevel"/>
    <w:tmpl w:val="000008A0"/>
    <w:lvl w:ilvl="0">
      <w:start w:val="4"/>
      <w:numFmt w:val="decimal"/>
      <w:lvlText w:val="%1."/>
      <w:lvlJc w:val="left"/>
      <w:pPr>
        <w:ind w:left="118" w:hanging="540"/>
      </w:pPr>
      <w:rPr>
        <w:rFonts w:ascii="Times New Roman" w:hAnsi="Times New Roman" w:cs="Times New Roman"/>
        <w:b/>
        <w:bCs/>
        <w:w w:val="100"/>
        <w:sz w:val="22"/>
        <w:szCs w:val="22"/>
      </w:rPr>
    </w:lvl>
    <w:lvl w:ilvl="1">
      <w:numFmt w:val="bullet"/>
      <w:lvlText w:val="•"/>
      <w:lvlJc w:val="left"/>
      <w:pPr>
        <w:ind w:left="1034" w:hanging="540"/>
      </w:pPr>
    </w:lvl>
    <w:lvl w:ilvl="2">
      <w:numFmt w:val="bullet"/>
      <w:lvlText w:val="•"/>
      <w:lvlJc w:val="left"/>
      <w:pPr>
        <w:ind w:left="1949" w:hanging="540"/>
      </w:pPr>
    </w:lvl>
    <w:lvl w:ilvl="3">
      <w:numFmt w:val="bullet"/>
      <w:lvlText w:val="•"/>
      <w:lvlJc w:val="left"/>
      <w:pPr>
        <w:ind w:left="2863" w:hanging="540"/>
      </w:pPr>
    </w:lvl>
    <w:lvl w:ilvl="4">
      <w:numFmt w:val="bullet"/>
      <w:lvlText w:val="•"/>
      <w:lvlJc w:val="left"/>
      <w:pPr>
        <w:ind w:left="3778" w:hanging="540"/>
      </w:pPr>
    </w:lvl>
    <w:lvl w:ilvl="5">
      <w:numFmt w:val="bullet"/>
      <w:lvlText w:val="•"/>
      <w:lvlJc w:val="left"/>
      <w:pPr>
        <w:ind w:left="4692" w:hanging="540"/>
      </w:pPr>
    </w:lvl>
    <w:lvl w:ilvl="6">
      <w:numFmt w:val="bullet"/>
      <w:lvlText w:val="•"/>
      <w:lvlJc w:val="left"/>
      <w:pPr>
        <w:ind w:left="5607" w:hanging="540"/>
      </w:pPr>
    </w:lvl>
    <w:lvl w:ilvl="7">
      <w:numFmt w:val="bullet"/>
      <w:lvlText w:val="•"/>
      <w:lvlJc w:val="left"/>
      <w:pPr>
        <w:ind w:left="6521" w:hanging="540"/>
      </w:pPr>
    </w:lvl>
    <w:lvl w:ilvl="8">
      <w:numFmt w:val="bullet"/>
      <w:lvlText w:val="•"/>
      <w:lvlJc w:val="left"/>
      <w:pPr>
        <w:ind w:left="7436" w:hanging="540"/>
      </w:pPr>
    </w:lvl>
  </w:abstractNum>
  <w:abstractNum w:abstractNumId="29" w15:restartNumberingAfterBreak="0">
    <w:nsid w:val="0000041E"/>
    <w:multiLevelType w:val="multilevel"/>
    <w:tmpl w:val="000008A1"/>
    <w:lvl w:ilvl="0">
      <w:start w:val="3"/>
      <w:numFmt w:val="decimal"/>
      <w:lvlText w:val="%1"/>
      <w:lvlJc w:val="left"/>
      <w:pPr>
        <w:ind w:left="658" w:hanging="166"/>
      </w:pPr>
      <w:rPr>
        <w:rFonts w:ascii="Times New Roman" w:hAnsi="Times New Roman" w:cs="Times New Roman"/>
        <w:b w:val="0"/>
        <w:bCs w:val="0"/>
        <w:w w:val="100"/>
        <w:sz w:val="22"/>
        <w:szCs w:val="22"/>
      </w:rPr>
    </w:lvl>
    <w:lvl w:ilvl="1">
      <w:start w:val="5"/>
      <w:numFmt w:val="decimal"/>
      <w:lvlText w:val="%2"/>
      <w:lvlJc w:val="left"/>
      <w:pPr>
        <w:ind w:left="4217" w:hanging="166"/>
      </w:pPr>
      <w:rPr>
        <w:rFonts w:ascii="Times New Roman" w:hAnsi="Times New Roman" w:cs="Times New Roman"/>
        <w:b w:val="0"/>
        <w:bCs w:val="0"/>
        <w:w w:val="100"/>
        <w:sz w:val="22"/>
        <w:szCs w:val="22"/>
      </w:rPr>
    </w:lvl>
    <w:lvl w:ilvl="2">
      <w:numFmt w:val="bullet"/>
      <w:lvlText w:val="•"/>
      <w:lvlJc w:val="left"/>
      <w:pPr>
        <w:ind w:left="4773" w:hanging="166"/>
      </w:pPr>
    </w:lvl>
    <w:lvl w:ilvl="3">
      <w:numFmt w:val="bullet"/>
      <w:lvlText w:val="•"/>
      <w:lvlJc w:val="left"/>
      <w:pPr>
        <w:ind w:left="5327" w:hanging="166"/>
      </w:pPr>
    </w:lvl>
    <w:lvl w:ilvl="4">
      <w:numFmt w:val="bullet"/>
      <w:lvlText w:val="•"/>
      <w:lvlJc w:val="left"/>
      <w:pPr>
        <w:ind w:left="5881" w:hanging="166"/>
      </w:pPr>
    </w:lvl>
    <w:lvl w:ilvl="5">
      <w:numFmt w:val="bullet"/>
      <w:lvlText w:val="•"/>
      <w:lvlJc w:val="left"/>
      <w:pPr>
        <w:ind w:left="6435" w:hanging="166"/>
      </w:pPr>
    </w:lvl>
    <w:lvl w:ilvl="6">
      <w:numFmt w:val="bullet"/>
      <w:lvlText w:val="•"/>
      <w:lvlJc w:val="left"/>
      <w:pPr>
        <w:ind w:left="6989" w:hanging="166"/>
      </w:pPr>
    </w:lvl>
    <w:lvl w:ilvl="7">
      <w:numFmt w:val="bullet"/>
      <w:lvlText w:val="•"/>
      <w:lvlJc w:val="left"/>
      <w:pPr>
        <w:ind w:left="7543" w:hanging="166"/>
      </w:pPr>
    </w:lvl>
    <w:lvl w:ilvl="8">
      <w:numFmt w:val="bullet"/>
      <w:lvlText w:val="•"/>
      <w:lvlJc w:val="left"/>
      <w:pPr>
        <w:ind w:left="8097" w:hanging="166"/>
      </w:pPr>
    </w:lvl>
  </w:abstractNum>
  <w:abstractNum w:abstractNumId="30" w15:restartNumberingAfterBreak="0">
    <w:nsid w:val="0000041F"/>
    <w:multiLevelType w:val="multilevel"/>
    <w:tmpl w:val="000008A2"/>
    <w:lvl w:ilvl="0">
      <w:start w:val="3"/>
      <w:numFmt w:val="decimal"/>
      <w:lvlText w:val="%1"/>
      <w:lvlJc w:val="left"/>
      <w:pPr>
        <w:ind w:left="658" w:hanging="166"/>
      </w:pPr>
      <w:rPr>
        <w:rFonts w:ascii="Times New Roman" w:hAnsi="Times New Roman" w:cs="Times New Roman"/>
        <w:b w:val="0"/>
        <w:bCs w:val="0"/>
        <w:w w:val="100"/>
        <w:sz w:val="22"/>
        <w:szCs w:val="22"/>
      </w:rPr>
    </w:lvl>
    <w:lvl w:ilvl="1">
      <w:start w:val="5"/>
      <w:numFmt w:val="decimal"/>
      <w:lvlText w:val="%2"/>
      <w:lvlJc w:val="left"/>
      <w:pPr>
        <w:ind w:left="4217" w:hanging="166"/>
      </w:pPr>
      <w:rPr>
        <w:rFonts w:ascii="Times New Roman" w:hAnsi="Times New Roman" w:cs="Times New Roman"/>
        <w:b w:val="0"/>
        <w:bCs w:val="0"/>
        <w:w w:val="100"/>
        <w:sz w:val="22"/>
        <w:szCs w:val="22"/>
      </w:rPr>
    </w:lvl>
    <w:lvl w:ilvl="2">
      <w:numFmt w:val="bullet"/>
      <w:lvlText w:val="•"/>
      <w:lvlJc w:val="left"/>
      <w:pPr>
        <w:ind w:left="4773" w:hanging="166"/>
      </w:pPr>
    </w:lvl>
    <w:lvl w:ilvl="3">
      <w:numFmt w:val="bullet"/>
      <w:lvlText w:val="•"/>
      <w:lvlJc w:val="left"/>
      <w:pPr>
        <w:ind w:left="5327" w:hanging="166"/>
      </w:pPr>
    </w:lvl>
    <w:lvl w:ilvl="4">
      <w:numFmt w:val="bullet"/>
      <w:lvlText w:val="•"/>
      <w:lvlJc w:val="left"/>
      <w:pPr>
        <w:ind w:left="5881" w:hanging="166"/>
      </w:pPr>
    </w:lvl>
    <w:lvl w:ilvl="5">
      <w:numFmt w:val="bullet"/>
      <w:lvlText w:val="•"/>
      <w:lvlJc w:val="left"/>
      <w:pPr>
        <w:ind w:left="6435" w:hanging="166"/>
      </w:pPr>
    </w:lvl>
    <w:lvl w:ilvl="6">
      <w:numFmt w:val="bullet"/>
      <w:lvlText w:val="•"/>
      <w:lvlJc w:val="left"/>
      <w:pPr>
        <w:ind w:left="6989" w:hanging="166"/>
      </w:pPr>
    </w:lvl>
    <w:lvl w:ilvl="7">
      <w:numFmt w:val="bullet"/>
      <w:lvlText w:val="•"/>
      <w:lvlJc w:val="left"/>
      <w:pPr>
        <w:ind w:left="7543" w:hanging="166"/>
      </w:pPr>
    </w:lvl>
    <w:lvl w:ilvl="8">
      <w:numFmt w:val="bullet"/>
      <w:lvlText w:val="•"/>
      <w:lvlJc w:val="left"/>
      <w:pPr>
        <w:ind w:left="8097" w:hanging="166"/>
      </w:pPr>
    </w:lvl>
  </w:abstractNum>
  <w:abstractNum w:abstractNumId="31" w15:restartNumberingAfterBreak="0">
    <w:nsid w:val="028963CA"/>
    <w:multiLevelType w:val="hybridMultilevel"/>
    <w:tmpl w:val="9F088C50"/>
    <w:lvl w:ilvl="0" w:tplc="CF34B3D0">
      <w:numFmt w:val="bullet"/>
      <w:lvlText w:val=""/>
      <w:lvlJc w:val="left"/>
      <w:pPr>
        <w:ind w:left="720" w:hanging="360"/>
      </w:pPr>
      <w:rPr>
        <w:rFonts w:ascii="Symbol" w:eastAsiaTheme="minorEastAsia"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040F39"/>
    <w:multiLevelType w:val="hybridMultilevel"/>
    <w:tmpl w:val="F7C4C1A8"/>
    <w:lvl w:ilvl="0" w:tplc="3B9C19FA">
      <w:start w:val="2"/>
      <w:numFmt w:val="bullet"/>
      <w:lvlText w:val="-"/>
      <w:lvlJc w:val="left"/>
      <w:pPr>
        <w:ind w:left="72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5615DF"/>
    <w:multiLevelType w:val="hybridMultilevel"/>
    <w:tmpl w:val="14BAA1C0"/>
    <w:lvl w:ilvl="0" w:tplc="B9C67056">
      <w:numFmt w:val="bullet"/>
      <w:lvlText w:val=""/>
      <w:lvlJc w:val="left"/>
      <w:pPr>
        <w:ind w:left="720" w:hanging="360"/>
      </w:pPr>
      <w:rPr>
        <w:rFonts w:ascii="Symbol" w:eastAsiaTheme="minorEastAsia"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4E7AF7"/>
    <w:multiLevelType w:val="hybridMultilevel"/>
    <w:tmpl w:val="F49ED83C"/>
    <w:lvl w:ilvl="0" w:tplc="0409000F">
      <w:start w:val="1"/>
      <w:numFmt w:val="decimal"/>
      <w:lvlText w:val="%1."/>
      <w:lvlJc w:val="left"/>
      <w:pPr>
        <w:ind w:left="720" w:hanging="360"/>
      </w:pPr>
      <w:rPr>
        <w:rFonts w:eastAsia="Times New Roman"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0"/>
  </w:num>
  <w:num w:numId="2">
    <w:abstractNumId w:val="29"/>
  </w:num>
  <w:num w:numId="3">
    <w:abstractNumId w:val="28"/>
  </w:num>
  <w:num w:numId="4">
    <w:abstractNumId w:val="27"/>
  </w:num>
  <w:num w:numId="5">
    <w:abstractNumId w:val="26"/>
  </w:num>
  <w:num w:numId="6">
    <w:abstractNumId w:val="25"/>
  </w:num>
  <w:num w:numId="7">
    <w:abstractNumId w:val="24"/>
  </w:num>
  <w:num w:numId="8">
    <w:abstractNumId w:val="23"/>
  </w:num>
  <w:num w:numId="9">
    <w:abstractNumId w:val="22"/>
  </w:num>
  <w:num w:numId="10">
    <w:abstractNumId w:val="21"/>
  </w:num>
  <w:num w:numId="11">
    <w:abstractNumId w:val="20"/>
  </w:num>
  <w:num w:numId="12">
    <w:abstractNumId w:val="19"/>
  </w:num>
  <w:num w:numId="13">
    <w:abstractNumId w:val="18"/>
  </w:num>
  <w:num w:numId="14">
    <w:abstractNumId w:val="17"/>
  </w:num>
  <w:num w:numId="15">
    <w:abstractNumId w:val="16"/>
  </w:num>
  <w:num w:numId="16">
    <w:abstractNumId w:val="15"/>
  </w:num>
  <w:num w:numId="17">
    <w:abstractNumId w:val="14"/>
  </w:num>
  <w:num w:numId="18">
    <w:abstractNumId w:val="13"/>
  </w:num>
  <w:num w:numId="19">
    <w:abstractNumId w:val="12"/>
  </w:num>
  <w:num w:numId="20">
    <w:abstractNumId w:val="11"/>
  </w:num>
  <w:num w:numId="21">
    <w:abstractNumId w:val="10"/>
  </w:num>
  <w:num w:numId="22">
    <w:abstractNumId w:val="9"/>
  </w:num>
  <w:num w:numId="23">
    <w:abstractNumId w:val="8"/>
  </w:num>
  <w:num w:numId="24">
    <w:abstractNumId w:val="7"/>
  </w:num>
  <w:num w:numId="25">
    <w:abstractNumId w:val="6"/>
  </w:num>
  <w:num w:numId="26">
    <w:abstractNumId w:val="5"/>
  </w:num>
  <w:num w:numId="27">
    <w:abstractNumId w:val="4"/>
  </w:num>
  <w:num w:numId="28">
    <w:abstractNumId w:val="3"/>
  </w:num>
  <w:num w:numId="29">
    <w:abstractNumId w:val="2"/>
  </w:num>
  <w:num w:numId="30">
    <w:abstractNumId w:val="1"/>
  </w:num>
  <w:num w:numId="31">
    <w:abstractNumId w:val="31"/>
  </w:num>
  <w:num w:numId="32">
    <w:abstractNumId w:val="33"/>
  </w:num>
  <w:num w:numId="33">
    <w:abstractNumId w:val="32"/>
  </w:num>
  <w:num w:numId="34">
    <w:abstractNumId w:val="0"/>
    <w:lvlOverride w:ilvl="0">
      <w:lvl w:ilvl="0">
        <w:start w:val="1"/>
        <w:numFmt w:val="bullet"/>
        <w:lvlText w:val="-"/>
        <w:lvlJc w:val="left"/>
        <w:pPr>
          <w:ind w:left="360" w:hanging="360"/>
        </w:pPr>
      </w:lvl>
    </w:lvlOverride>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707"/>
    <w:rsid w:val="00002E8D"/>
    <w:rsid w:val="00005F71"/>
    <w:rsid w:val="000257C5"/>
    <w:rsid w:val="00042B32"/>
    <w:rsid w:val="00062E73"/>
    <w:rsid w:val="00064E8A"/>
    <w:rsid w:val="0007529A"/>
    <w:rsid w:val="00095740"/>
    <w:rsid w:val="000A79DC"/>
    <w:rsid w:val="000C463E"/>
    <w:rsid w:val="000D1C7C"/>
    <w:rsid w:val="000D21D8"/>
    <w:rsid w:val="000D491A"/>
    <w:rsid w:val="000D5714"/>
    <w:rsid w:val="000F1657"/>
    <w:rsid w:val="000F2B97"/>
    <w:rsid w:val="00103D6A"/>
    <w:rsid w:val="00105BCD"/>
    <w:rsid w:val="00126F6D"/>
    <w:rsid w:val="00144962"/>
    <w:rsid w:val="00157881"/>
    <w:rsid w:val="001719B8"/>
    <w:rsid w:val="00173D6B"/>
    <w:rsid w:val="0018651C"/>
    <w:rsid w:val="00191141"/>
    <w:rsid w:val="001C7696"/>
    <w:rsid w:val="001F1B0A"/>
    <w:rsid w:val="00207A2A"/>
    <w:rsid w:val="00221CD2"/>
    <w:rsid w:val="00225B43"/>
    <w:rsid w:val="0024789A"/>
    <w:rsid w:val="00290F2E"/>
    <w:rsid w:val="002A02A3"/>
    <w:rsid w:val="002A09DE"/>
    <w:rsid w:val="002A25B4"/>
    <w:rsid w:val="002D0A7C"/>
    <w:rsid w:val="002D4160"/>
    <w:rsid w:val="003060D9"/>
    <w:rsid w:val="00310A20"/>
    <w:rsid w:val="003147F8"/>
    <w:rsid w:val="00324035"/>
    <w:rsid w:val="00346C94"/>
    <w:rsid w:val="00367235"/>
    <w:rsid w:val="00390E07"/>
    <w:rsid w:val="00393066"/>
    <w:rsid w:val="00396C9C"/>
    <w:rsid w:val="003A0127"/>
    <w:rsid w:val="003E2EBF"/>
    <w:rsid w:val="003E6E21"/>
    <w:rsid w:val="003F1AAB"/>
    <w:rsid w:val="003F6968"/>
    <w:rsid w:val="0041369C"/>
    <w:rsid w:val="004238BC"/>
    <w:rsid w:val="00426652"/>
    <w:rsid w:val="00432743"/>
    <w:rsid w:val="00444334"/>
    <w:rsid w:val="004716EC"/>
    <w:rsid w:val="00472FCD"/>
    <w:rsid w:val="0047471E"/>
    <w:rsid w:val="00483EB6"/>
    <w:rsid w:val="00495F2D"/>
    <w:rsid w:val="004A1452"/>
    <w:rsid w:val="004B3276"/>
    <w:rsid w:val="004D0EB2"/>
    <w:rsid w:val="005158E2"/>
    <w:rsid w:val="00524399"/>
    <w:rsid w:val="00550FAF"/>
    <w:rsid w:val="0056076A"/>
    <w:rsid w:val="00581539"/>
    <w:rsid w:val="0059180B"/>
    <w:rsid w:val="005935E0"/>
    <w:rsid w:val="005A3594"/>
    <w:rsid w:val="005A57C8"/>
    <w:rsid w:val="005B1910"/>
    <w:rsid w:val="005B4EA4"/>
    <w:rsid w:val="005D0FF0"/>
    <w:rsid w:val="005D3666"/>
    <w:rsid w:val="005E5846"/>
    <w:rsid w:val="00600D27"/>
    <w:rsid w:val="00611AD7"/>
    <w:rsid w:val="00630F37"/>
    <w:rsid w:val="006332FB"/>
    <w:rsid w:val="00637CFF"/>
    <w:rsid w:val="00641219"/>
    <w:rsid w:val="00641446"/>
    <w:rsid w:val="006812F3"/>
    <w:rsid w:val="006E30CC"/>
    <w:rsid w:val="006E358B"/>
    <w:rsid w:val="006E4A9B"/>
    <w:rsid w:val="006F0D03"/>
    <w:rsid w:val="006F2D33"/>
    <w:rsid w:val="00710AD3"/>
    <w:rsid w:val="00710D1E"/>
    <w:rsid w:val="00711890"/>
    <w:rsid w:val="00714B41"/>
    <w:rsid w:val="00726990"/>
    <w:rsid w:val="00737448"/>
    <w:rsid w:val="00751B7E"/>
    <w:rsid w:val="00757A8C"/>
    <w:rsid w:val="007838FB"/>
    <w:rsid w:val="0078391B"/>
    <w:rsid w:val="00795337"/>
    <w:rsid w:val="007B1671"/>
    <w:rsid w:val="007B31FE"/>
    <w:rsid w:val="007D6506"/>
    <w:rsid w:val="007F17A9"/>
    <w:rsid w:val="008240AB"/>
    <w:rsid w:val="008248B1"/>
    <w:rsid w:val="00826B98"/>
    <w:rsid w:val="00851FFA"/>
    <w:rsid w:val="0088142B"/>
    <w:rsid w:val="00895C23"/>
    <w:rsid w:val="00897F13"/>
    <w:rsid w:val="008B1AE9"/>
    <w:rsid w:val="008C6014"/>
    <w:rsid w:val="008D4A33"/>
    <w:rsid w:val="008E4E59"/>
    <w:rsid w:val="008E6C27"/>
    <w:rsid w:val="00935B64"/>
    <w:rsid w:val="0094035C"/>
    <w:rsid w:val="00950C22"/>
    <w:rsid w:val="00953345"/>
    <w:rsid w:val="00953479"/>
    <w:rsid w:val="00962B89"/>
    <w:rsid w:val="00967CA2"/>
    <w:rsid w:val="009711C9"/>
    <w:rsid w:val="0097569B"/>
    <w:rsid w:val="009911D6"/>
    <w:rsid w:val="009E2DC5"/>
    <w:rsid w:val="009E3FC3"/>
    <w:rsid w:val="009F0D12"/>
    <w:rsid w:val="00A00099"/>
    <w:rsid w:val="00A03602"/>
    <w:rsid w:val="00A045C4"/>
    <w:rsid w:val="00A170A0"/>
    <w:rsid w:val="00A31524"/>
    <w:rsid w:val="00A31754"/>
    <w:rsid w:val="00A343D2"/>
    <w:rsid w:val="00A76DBB"/>
    <w:rsid w:val="00AA29AB"/>
    <w:rsid w:val="00AB2458"/>
    <w:rsid w:val="00AC4307"/>
    <w:rsid w:val="00AE5BD5"/>
    <w:rsid w:val="00B1005F"/>
    <w:rsid w:val="00B1025D"/>
    <w:rsid w:val="00B2251D"/>
    <w:rsid w:val="00B312F7"/>
    <w:rsid w:val="00B3238A"/>
    <w:rsid w:val="00B34FA1"/>
    <w:rsid w:val="00B45546"/>
    <w:rsid w:val="00B53191"/>
    <w:rsid w:val="00B61707"/>
    <w:rsid w:val="00B97C72"/>
    <w:rsid w:val="00BA3EE6"/>
    <w:rsid w:val="00BA75D8"/>
    <w:rsid w:val="00BA7705"/>
    <w:rsid w:val="00BB5D9F"/>
    <w:rsid w:val="00BC55CE"/>
    <w:rsid w:val="00BF56BB"/>
    <w:rsid w:val="00BF6439"/>
    <w:rsid w:val="00C0201B"/>
    <w:rsid w:val="00C02F27"/>
    <w:rsid w:val="00C0347C"/>
    <w:rsid w:val="00C05173"/>
    <w:rsid w:val="00C13CB7"/>
    <w:rsid w:val="00C15DEC"/>
    <w:rsid w:val="00C2202C"/>
    <w:rsid w:val="00C23129"/>
    <w:rsid w:val="00C458F4"/>
    <w:rsid w:val="00C61DDF"/>
    <w:rsid w:val="00C94DC7"/>
    <w:rsid w:val="00C95A19"/>
    <w:rsid w:val="00CA491E"/>
    <w:rsid w:val="00CA4F80"/>
    <w:rsid w:val="00CB2088"/>
    <w:rsid w:val="00CC0A33"/>
    <w:rsid w:val="00CC792F"/>
    <w:rsid w:val="00CD3B36"/>
    <w:rsid w:val="00CF65D5"/>
    <w:rsid w:val="00D219F1"/>
    <w:rsid w:val="00D24DDA"/>
    <w:rsid w:val="00D26268"/>
    <w:rsid w:val="00D37093"/>
    <w:rsid w:val="00D42D4C"/>
    <w:rsid w:val="00D4458C"/>
    <w:rsid w:val="00D5161B"/>
    <w:rsid w:val="00D66AB6"/>
    <w:rsid w:val="00D67B76"/>
    <w:rsid w:val="00D72B43"/>
    <w:rsid w:val="00D84321"/>
    <w:rsid w:val="00D90BAB"/>
    <w:rsid w:val="00DA6FC5"/>
    <w:rsid w:val="00DB082F"/>
    <w:rsid w:val="00DC7AD9"/>
    <w:rsid w:val="00DF292D"/>
    <w:rsid w:val="00E03477"/>
    <w:rsid w:val="00E10A93"/>
    <w:rsid w:val="00E82766"/>
    <w:rsid w:val="00E93353"/>
    <w:rsid w:val="00ED555F"/>
    <w:rsid w:val="00F21A09"/>
    <w:rsid w:val="00F47C39"/>
    <w:rsid w:val="00F76B1E"/>
    <w:rsid w:val="00FC6683"/>
    <w:rsid w:val="00FC6D54"/>
    <w:rsid w:val="00FF3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D2ACF5"/>
  <w14:defaultImageDpi w14:val="0"/>
  <w15:docId w15:val="{F536F7CD-9781-49AD-81E1-E6D3FDE8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0F2B97"/>
    <w:pPr>
      <w:widowControl w:val="0"/>
      <w:autoSpaceDE w:val="0"/>
      <w:autoSpaceDN w:val="0"/>
      <w:adjustRightInd w:val="0"/>
      <w:spacing w:after="0" w:line="240" w:lineRule="auto"/>
    </w:pPr>
    <w:rPr>
      <w:rFonts w:ascii="Times New Roman" w:hAnsi="Times New Roman"/>
      <w:sz w:val="24"/>
      <w:szCs w:val="24"/>
      <w:lang w:val="en-US" w:eastAsia="en-US"/>
    </w:rPr>
  </w:style>
  <w:style w:type="paragraph" w:styleId="Antrat1">
    <w:name w:val="heading 1"/>
    <w:basedOn w:val="prastasis"/>
    <w:next w:val="prastasis"/>
    <w:link w:val="Antrat1Diagrama"/>
    <w:uiPriority w:val="1"/>
    <w:qFormat/>
    <w:pPr>
      <w:ind w:left="118"/>
      <w:outlineLvl w:val="0"/>
    </w:pPr>
    <w:rPr>
      <w:b/>
      <w:bCs/>
      <w:sz w:val="22"/>
      <w:szCs w:val="22"/>
    </w:rPr>
  </w:style>
  <w:style w:type="paragraph" w:styleId="Antrat3">
    <w:name w:val="heading 3"/>
    <w:basedOn w:val="prastasis"/>
    <w:next w:val="prastasis"/>
    <w:link w:val="Antrat3Diagrama"/>
    <w:uiPriority w:val="9"/>
    <w:semiHidden/>
    <w:unhideWhenUsed/>
    <w:qFormat/>
    <w:rsid w:val="006F2D33"/>
    <w:pPr>
      <w:keepNext/>
      <w:spacing w:before="240" w:after="60"/>
      <w:outlineLvl w:val="2"/>
    </w:pPr>
    <w:rPr>
      <w:rFonts w:asciiTheme="majorHAnsi" w:eastAsiaTheme="majorEastAsia" w:hAnsiTheme="majorHAnsi"/>
      <w:b/>
      <w:bCs/>
      <w:sz w:val="26"/>
      <w:szCs w:val="26"/>
    </w:rPr>
  </w:style>
  <w:style w:type="paragraph" w:styleId="Antrat4">
    <w:name w:val="heading 4"/>
    <w:basedOn w:val="prastasis"/>
    <w:next w:val="prastasis"/>
    <w:link w:val="Antrat4Diagrama"/>
    <w:uiPriority w:val="9"/>
    <w:semiHidden/>
    <w:unhideWhenUsed/>
    <w:qFormat/>
    <w:rsid w:val="006F2D33"/>
    <w:pPr>
      <w:keepNext/>
      <w:spacing w:before="240" w:after="60"/>
      <w:outlineLvl w:val="3"/>
    </w:pPr>
    <w:rPr>
      <w:rFonts w:asciiTheme="minorHAnsi" w:hAnsiTheme="minorHAns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uiPriority w:val="99"/>
    <w:semiHidden/>
    <w:locked/>
    <w:rPr>
      <w:rFonts w:ascii="Times New Roman" w:hAnsi="Times New Roman" w:cs="Times New Roman"/>
      <w:sz w:val="24"/>
      <w:szCs w:val="24"/>
    </w:rPr>
  </w:style>
  <w:style w:type="paragraph" w:customStyle="1" w:styleId="TableParagraph">
    <w:name w:val="Table Paragraph"/>
    <w:basedOn w:val="prastasis"/>
    <w:uiPriority w:val="1"/>
    <w:qFormat/>
    <w:pPr>
      <w:ind w:left="103"/>
    </w:pPr>
  </w:style>
  <w:style w:type="paragraph" w:styleId="Pagrindinistekstas">
    <w:name w:val="Body Text"/>
    <w:basedOn w:val="prastasis"/>
    <w:link w:val="PagrindinistekstasDiagrama"/>
    <w:uiPriority w:val="1"/>
    <w:qFormat/>
    <w:rPr>
      <w:sz w:val="22"/>
      <w:szCs w:val="22"/>
    </w:rPr>
  </w:style>
  <w:style w:type="paragraph" w:styleId="Sraopastraipa">
    <w:name w:val="List Paragraph"/>
    <w:basedOn w:val="prastasis"/>
    <w:uiPriority w:val="1"/>
    <w:qFormat/>
    <w:pPr>
      <w:ind w:left="658" w:hanging="540"/>
    </w:pPr>
  </w:style>
  <w:style w:type="character" w:customStyle="1" w:styleId="Antrat4Diagrama">
    <w:name w:val="Antraštė 4 Diagrama"/>
    <w:basedOn w:val="Numatytasispastraiposriftas"/>
    <w:link w:val="Antrat4"/>
    <w:uiPriority w:val="99"/>
    <w:locked/>
    <w:rsid w:val="006F2D33"/>
    <w:rPr>
      <w:rFonts w:cs="Times New Roman"/>
      <w:b/>
      <w:bCs/>
      <w:sz w:val="28"/>
      <w:szCs w:val="28"/>
    </w:rPr>
  </w:style>
  <w:style w:type="paragraph" w:styleId="Antrats">
    <w:name w:val="header"/>
    <w:basedOn w:val="prastasis"/>
    <w:link w:val="AntratsDiagrama"/>
    <w:uiPriority w:val="99"/>
    <w:unhideWhenUsed/>
    <w:rsid w:val="00C05173"/>
    <w:pPr>
      <w:tabs>
        <w:tab w:val="center" w:pos="4680"/>
        <w:tab w:val="right" w:pos="9360"/>
      </w:tabs>
    </w:pPr>
  </w:style>
  <w:style w:type="character" w:customStyle="1" w:styleId="Antrat3Diagrama">
    <w:name w:val="Antraštė 3 Diagrama"/>
    <w:basedOn w:val="Numatytasispastraiposriftas"/>
    <w:link w:val="Antrat3"/>
    <w:uiPriority w:val="9"/>
    <w:semiHidden/>
    <w:locked/>
    <w:rsid w:val="006F2D33"/>
    <w:rPr>
      <w:rFonts w:asciiTheme="majorHAnsi" w:eastAsiaTheme="majorEastAsia" w:hAnsiTheme="majorHAnsi" w:cs="Times New Roman"/>
      <w:b/>
      <w:bCs/>
      <w:sz w:val="26"/>
      <w:szCs w:val="26"/>
    </w:rPr>
  </w:style>
  <w:style w:type="character" w:customStyle="1" w:styleId="Antrat1Diagrama">
    <w:name w:val="Antraštė 1 Diagrama"/>
    <w:basedOn w:val="Numatytasispastraiposriftas"/>
    <w:link w:val="Antrat1"/>
    <w:uiPriority w:val="9"/>
    <w:locked/>
    <w:rPr>
      <w:rFonts w:asciiTheme="majorHAnsi" w:eastAsiaTheme="majorEastAsia" w:hAnsiTheme="majorHAnsi" w:cs="Times New Roman"/>
      <w:b/>
      <w:bCs/>
      <w:kern w:val="32"/>
      <w:sz w:val="32"/>
      <w:szCs w:val="32"/>
    </w:rPr>
  </w:style>
  <w:style w:type="character" w:customStyle="1" w:styleId="UnresolvedMention1">
    <w:name w:val="Unresolved Mention1"/>
    <w:basedOn w:val="Numatytasispastraiposriftas"/>
    <w:uiPriority w:val="99"/>
    <w:semiHidden/>
    <w:unhideWhenUsed/>
    <w:rsid w:val="003060D9"/>
    <w:rPr>
      <w:rFonts w:cs="Times New Roman"/>
      <w:color w:val="605E5C"/>
      <w:shd w:val="clear" w:color="auto" w:fill="E1DFDD"/>
    </w:rPr>
  </w:style>
  <w:style w:type="paragraph" w:styleId="Debesliotekstas">
    <w:name w:val="Balloon Text"/>
    <w:basedOn w:val="prastasis"/>
    <w:link w:val="DebesliotekstasDiagrama"/>
    <w:uiPriority w:val="99"/>
    <w:semiHidden/>
    <w:unhideWhenUsed/>
    <w:rsid w:val="00B97C72"/>
    <w:rPr>
      <w:rFonts w:ascii="Segoe UI" w:hAnsi="Segoe UI" w:cs="Segoe UI"/>
      <w:sz w:val="18"/>
      <w:szCs w:val="18"/>
    </w:rPr>
  </w:style>
  <w:style w:type="character" w:styleId="Komentaronuoroda">
    <w:name w:val="annotation reference"/>
    <w:basedOn w:val="Numatytasispastraiposriftas"/>
    <w:uiPriority w:val="99"/>
    <w:semiHidden/>
    <w:unhideWhenUsed/>
    <w:rsid w:val="005A3594"/>
    <w:rPr>
      <w:rFonts w:cs="Times New Roman"/>
      <w:sz w:val="16"/>
      <w:szCs w:val="16"/>
    </w:rPr>
  </w:style>
  <w:style w:type="paragraph" w:styleId="Porat">
    <w:name w:val="footer"/>
    <w:basedOn w:val="prastasis"/>
    <w:link w:val="PoratDiagrama"/>
    <w:uiPriority w:val="99"/>
    <w:unhideWhenUsed/>
    <w:rsid w:val="00C05173"/>
    <w:pPr>
      <w:tabs>
        <w:tab w:val="center" w:pos="4680"/>
        <w:tab w:val="right" w:pos="9360"/>
      </w:tabs>
    </w:pPr>
  </w:style>
  <w:style w:type="character" w:customStyle="1" w:styleId="DebesliotekstasDiagrama">
    <w:name w:val="Debesėlio tekstas Diagrama"/>
    <w:basedOn w:val="Numatytasispastraiposriftas"/>
    <w:link w:val="Debesliotekstas"/>
    <w:uiPriority w:val="99"/>
    <w:semiHidden/>
    <w:locked/>
    <w:rsid w:val="00B97C72"/>
    <w:rPr>
      <w:rFonts w:ascii="Segoe UI" w:hAnsi="Segoe UI" w:cs="Segoe UI"/>
      <w:sz w:val="18"/>
      <w:szCs w:val="18"/>
    </w:rPr>
  </w:style>
  <w:style w:type="character" w:styleId="Hipersaitas">
    <w:name w:val="Hyperlink"/>
    <w:basedOn w:val="Numatytasispastraiposriftas"/>
    <w:uiPriority w:val="99"/>
    <w:rsid w:val="00B97C72"/>
    <w:rPr>
      <w:rFonts w:cs="Times New Roman"/>
      <w:color w:val="0000FF"/>
      <w:u w:val="single"/>
    </w:rPr>
  </w:style>
  <w:style w:type="character" w:customStyle="1" w:styleId="AntratsDiagrama">
    <w:name w:val="Antraštės Diagrama"/>
    <w:basedOn w:val="Numatytasispastraiposriftas"/>
    <w:link w:val="Antrats"/>
    <w:uiPriority w:val="99"/>
    <w:locked/>
    <w:rsid w:val="00C05173"/>
    <w:rPr>
      <w:rFonts w:ascii="Times New Roman" w:hAnsi="Times New Roman" w:cs="Times New Roman"/>
      <w:sz w:val="24"/>
      <w:szCs w:val="24"/>
    </w:rPr>
  </w:style>
  <w:style w:type="character" w:customStyle="1" w:styleId="PoratDiagrama">
    <w:name w:val="Poraštė Diagrama"/>
    <w:basedOn w:val="Numatytasispastraiposriftas"/>
    <w:link w:val="Porat"/>
    <w:uiPriority w:val="99"/>
    <w:locked/>
    <w:rsid w:val="00C05173"/>
    <w:rPr>
      <w:rFonts w:ascii="Times New Roman" w:hAnsi="Times New Roman" w:cs="Times New Roman"/>
      <w:sz w:val="24"/>
      <w:szCs w:val="24"/>
    </w:rPr>
  </w:style>
  <w:style w:type="paragraph" w:styleId="Komentarotekstas">
    <w:name w:val="annotation text"/>
    <w:basedOn w:val="prastasis"/>
    <w:link w:val="KomentarotekstasDiagrama"/>
    <w:uiPriority w:val="99"/>
    <w:semiHidden/>
    <w:unhideWhenUsed/>
    <w:rsid w:val="005A3594"/>
    <w:rPr>
      <w:sz w:val="20"/>
      <w:szCs w:val="20"/>
    </w:rPr>
  </w:style>
  <w:style w:type="character" w:customStyle="1" w:styleId="KomentarotemaDiagrama1">
    <w:name w:val="Komentaro tema Diagrama1"/>
    <w:basedOn w:val="KomentarotekstasDiagrama"/>
    <w:link w:val="Komentarotema"/>
    <w:uiPriority w:val="99"/>
    <w:semiHidden/>
    <w:locked/>
    <w:rsid w:val="005A3594"/>
    <w:rPr>
      <w:rFonts w:ascii="Times New Roman" w:hAnsi="Times New Roman" w:cs="Times New Roman"/>
      <w:b/>
      <w:bCs/>
      <w:sz w:val="20"/>
      <w:szCs w:val="20"/>
      <w:lang w:val="en-US" w:eastAsia="en-US"/>
    </w:rPr>
  </w:style>
  <w:style w:type="paragraph" w:styleId="Komentarotema">
    <w:name w:val="annotation subject"/>
    <w:basedOn w:val="Komentarotekstas"/>
    <w:next w:val="Komentarotekstas"/>
    <w:link w:val="KomentarotemaDiagrama1"/>
    <w:uiPriority w:val="99"/>
    <w:semiHidden/>
    <w:unhideWhenUsed/>
    <w:rsid w:val="005A3594"/>
    <w:rPr>
      <w:b/>
      <w:bCs/>
    </w:rPr>
  </w:style>
  <w:style w:type="character" w:customStyle="1" w:styleId="KomentarotemaDiagrama">
    <w:name w:val="Komentaro tema Diagrama"/>
    <w:basedOn w:val="Numatytasispastraiposriftas"/>
    <w:uiPriority w:val="99"/>
    <w:semiHidden/>
    <w:rsid w:val="000C463E"/>
    <w:rPr>
      <w:rFonts w:ascii="Times New Roman" w:hAnsi="Times New Roman"/>
      <w:b/>
      <w:bCs/>
      <w:sz w:val="20"/>
      <w:szCs w:val="20"/>
      <w:lang w:val="en-US" w:eastAsia="en-US"/>
    </w:rPr>
  </w:style>
  <w:style w:type="character" w:customStyle="1" w:styleId="KomentarotekstasDiagrama">
    <w:name w:val="Komentaro tekstas Diagrama"/>
    <w:basedOn w:val="Numatytasispastraiposriftas"/>
    <w:link w:val="Komentarotekstas"/>
    <w:uiPriority w:val="99"/>
    <w:semiHidden/>
    <w:locked/>
    <w:rsid w:val="005A3594"/>
    <w:rPr>
      <w:rFonts w:ascii="Times New Roman" w:hAnsi="Times New Roman" w:cs="Times New Roman"/>
      <w:sz w:val="20"/>
      <w:szCs w:val="20"/>
      <w:lang w:val="en-US" w:eastAsia="en-US"/>
    </w:rPr>
  </w:style>
  <w:style w:type="character" w:customStyle="1" w:styleId="UnresolvedMention2">
    <w:name w:val="Unresolved Mention2"/>
    <w:basedOn w:val="Numatytasispastraiposriftas"/>
    <w:uiPriority w:val="99"/>
    <w:semiHidden/>
    <w:unhideWhenUsed/>
    <w:rsid w:val="00581539"/>
    <w:rPr>
      <w:rFonts w:cs="Times New Roman"/>
      <w:color w:val="605E5C"/>
      <w:shd w:val="clear" w:color="auto" w:fill="E1DFDD"/>
    </w:rPr>
  </w:style>
  <w:style w:type="table" w:styleId="Lentelstinklelis">
    <w:name w:val="Table Grid"/>
    <w:basedOn w:val="prastojilentel"/>
    <w:uiPriority w:val="39"/>
    <w:rsid w:val="00095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170A0"/>
    <w:pPr>
      <w:spacing w:after="0" w:line="240" w:lineRule="auto"/>
    </w:pPr>
    <w:rPr>
      <w:rFonts w:ascii="Times New Roman" w:hAnsi="Times New Roman"/>
      <w:sz w:val="24"/>
      <w:szCs w:val="24"/>
      <w:lang w:val="en-US" w:eastAsia="en-US"/>
    </w:rPr>
  </w:style>
  <w:style w:type="character" w:customStyle="1" w:styleId="UnresolvedMention3">
    <w:name w:val="Unresolved Mention3"/>
    <w:basedOn w:val="Numatytasispastraiposriftas"/>
    <w:uiPriority w:val="99"/>
    <w:semiHidden/>
    <w:unhideWhenUsed/>
    <w:rsid w:val="008248B1"/>
    <w:rPr>
      <w:rFonts w:cs="Times New Roman"/>
      <w:color w:val="605E5C"/>
      <w:shd w:val="clear" w:color="auto" w:fill="E1DFDD"/>
    </w:rPr>
  </w:style>
  <w:style w:type="character" w:customStyle="1" w:styleId="UnresolvedMention">
    <w:name w:val="Unresolved Mention"/>
    <w:basedOn w:val="Numatytasispastraiposriftas"/>
    <w:uiPriority w:val="99"/>
    <w:semiHidden/>
    <w:unhideWhenUsed/>
    <w:rsid w:val="00826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vapris.vvkt.lt/vvkt-web/public/nr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vkt.lt/index.php?1399030386" TargetMode="External"/><Relationship Id="rId5" Type="http://schemas.openxmlformats.org/officeDocument/2006/relationships/webSettings" Target="webSettings.xml"/><Relationship Id="rId15" Type="http://schemas.openxmlformats.org/officeDocument/2006/relationships/hyperlink" Target="mailto:NepageidaujamaR@vvkt.lt" TargetMode="External"/><Relationship Id="rId10" Type="http://schemas.openxmlformats.org/officeDocument/2006/relationships/hyperlink" Target="https://vapris.vvkt.lt/vvkt-web/public/nrvSpecialis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36514-6B95-4AC7-A364-4797BABBB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56261</Words>
  <Characters>32069</Characters>
  <Application>Microsoft Office Word</Application>
  <DocSecurity>0</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Revatio, INN-sildenafil citrate</vt:lpstr>
      <vt:lpstr>Revatio, INN-sildenafil citrate</vt:lpstr>
    </vt:vector>
  </TitlesOfParts>
  <Company/>
  <LinksUpToDate>false</LinksUpToDate>
  <CharactersWithSpaces>88154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Revatio, INN-sildenafil citrate</dc:title>
  <dc:subject>EPAR</dc:subject>
  <dc:creator>CHMP</dc:creator>
  <cp:keywords>Revatio, INN-sildenafil citrate</cp:keywords>
  <dc:description/>
  <cp:lastModifiedBy>Albina Burkauskaitė</cp:lastModifiedBy>
  <cp:revision>3</cp:revision>
  <dcterms:created xsi:type="dcterms:W3CDTF">2023-11-13T13:54:00Z</dcterms:created>
  <dcterms:modified xsi:type="dcterms:W3CDTF">2023-11-13T13:56:00Z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ToolBox</vt:lpwstr>
  </property>
</Properties>
</file>