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F2698D" w:rsidRPr="00520174" w:rsidRDefault="00F2698D" w:rsidP="00520174">
      <w:pPr>
        <w:pStyle w:val="TTEMEASMCA"/>
        <w:rPr>
          <w:lang w:val="lt-LT" w:eastAsia="ko-KR"/>
        </w:rPr>
      </w:pPr>
      <w:r w:rsidRPr="00520174">
        <w:rPr>
          <w:lang w:val="lt-LT" w:eastAsia="ko-KR"/>
        </w:rPr>
        <w:t>PRIEDAS</w:t>
      </w:r>
    </w:p>
    <w:p w:rsidR="00F2698D" w:rsidRPr="00520174" w:rsidRDefault="00F2698D" w:rsidP="00520174">
      <w:pPr>
        <w:pStyle w:val="BTEMEASMCA"/>
        <w:rPr>
          <w:lang w:eastAsia="ko-KR"/>
        </w:rPr>
      </w:pPr>
    </w:p>
    <w:p w:rsidR="00F2698D" w:rsidRPr="00520174" w:rsidRDefault="00F2698D" w:rsidP="00520174">
      <w:pPr>
        <w:pStyle w:val="TTEMEASMCA"/>
        <w:rPr>
          <w:lang w:val="lt-LT" w:eastAsia="ko-KR"/>
        </w:rPr>
      </w:pPr>
      <w:bookmarkStart w:id="0" w:name="_Toc129243135"/>
      <w:bookmarkStart w:id="1" w:name="_Toc129243260"/>
      <w:r w:rsidRPr="00520174">
        <w:rPr>
          <w:lang w:val="lt-LT" w:eastAsia="ko-KR"/>
        </w:rPr>
        <w:t>ŽENKLINIMAS IR PAKUOTĖS LAPELIS</w:t>
      </w:r>
      <w:bookmarkEnd w:id="0"/>
      <w:bookmarkEnd w:id="1"/>
    </w:p>
    <w:p w:rsidR="00F2698D" w:rsidRPr="00520174" w:rsidRDefault="00F2698D" w:rsidP="00520174">
      <w:pPr>
        <w:pStyle w:val="BTEMEASMCA"/>
        <w:rPr>
          <w:lang w:eastAsia="ko-KR"/>
        </w:rPr>
      </w:pPr>
      <w:r w:rsidRPr="00520174">
        <w:rPr>
          <w:lang w:eastAsia="ko-KR"/>
        </w:rPr>
        <w:br w:type="page"/>
      </w:r>
    </w:p>
    <w:p w:rsidR="009122B3" w:rsidRPr="00520174" w:rsidRDefault="009122B3" w:rsidP="00520174">
      <w:pPr>
        <w:pStyle w:val="TTEMEASMCA"/>
        <w:rPr>
          <w:lang w:val="lt-LT" w:eastAsia="ko-KR"/>
        </w:rPr>
      </w:pPr>
      <w:bookmarkStart w:id="2" w:name="_Toc129243136"/>
      <w:bookmarkStart w:id="3" w:name="_Toc129243261"/>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9122B3" w:rsidRPr="00520174" w:rsidRDefault="009122B3" w:rsidP="00520174">
      <w:pPr>
        <w:pStyle w:val="TTEMEASMCA"/>
        <w:rPr>
          <w:lang w:val="lt-LT" w:eastAsia="ko-KR"/>
        </w:rPr>
      </w:pPr>
    </w:p>
    <w:p w:rsidR="00F2698D" w:rsidRPr="00520174" w:rsidRDefault="00F2698D" w:rsidP="00520174">
      <w:pPr>
        <w:pStyle w:val="TTEMEASMCA"/>
        <w:rPr>
          <w:lang w:val="lt-LT" w:eastAsia="ko-KR"/>
        </w:rPr>
      </w:pPr>
      <w:r w:rsidRPr="00520174">
        <w:rPr>
          <w:lang w:val="lt-LT" w:eastAsia="ko-KR"/>
        </w:rPr>
        <w:t>A. ŽENKLINIMAS</w:t>
      </w:r>
      <w:bookmarkEnd w:id="2"/>
      <w:bookmarkEnd w:id="3"/>
    </w:p>
    <w:p w:rsidR="00F2698D" w:rsidRPr="00520174" w:rsidRDefault="00F2698D" w:rsidP="00520174">
      <w:pPr>
        <w:rPr>
          <w:lang w:eastAsia="ko-KR"/>
        </w:rPr>
      </w:pPr>
    </w:p>
    <w:p w:rsidR="00F2698D" w:rsidRPr="00520174" w:rsidRDefault="00F2698D" w:rsidP="00520174">
      <w:pPr>
        <w:rPr>
          <w:lang w:eastAsia="ko-KR"/>
        </w:rPr>
      </w:pPr>
    </w:p>
    <w:p w:rsidR="00F2698D" w:rsidRPr="00520174" w:rsidRDefault="00F2698D" w:rsidP="00520174">
      <w:pPr>
        <w:rPr>
          <w:lang w:eastAsia="ko-KR"/>
        </w:rPr>
      </w:pPr>
    </w:p>
    <w:p w:rsidR="00610ED7" w:rsidRPr="00520174" w:rsidRDefault="00610ED7" w:rsidP="00520174">
      <w:pPr>
        <w:rPr>
          <w:lang w:eastAsia="ko-KR"/>
        </w:rPr>
      </w:pPr>
    </w:p>
    <w:p w:rsidR="00610ED7" w:rsidRPr="00520174" w:rsidRDefault="00610ED7" w:rsidP="00520174">
      <w:pPr>
        <w:rPr>
          <w:lang w:eastAsia="ko-KR"/>
        </w:rPr>
      </w:pPr>
    </w:p>
    <w:p w:rsidR="00610ED7" w:rsidRPr="00520174" w:rsidRDefault="00610ED7" w:rsidP="00520174">
      <w:pPr>
        <w:rPr>
          <w:lang w:eastAsia="ko-KR"/>
        </w:rPr>
      </w:pPr>
    </w:p>
    <w:p w:rsidR="00610ED7" w:rsidRPr="00520174" w:rsidRDefault="00610ED7" w:rsidP="00520174">
      <w:pPr>
        <w:rPr>
          <w:lang w:eastAsia="ko-KR"/>
        </w:rPr>
      </w:pPr>
    </w:p>
    <w:p w:rsidR="00610ED7" w:rsidRPr="00520174" w:rsidRDefault="00610ED7" w:rsidP="00520174">
      <w:pPr>
        <w:rPr>
          <w:lang w:eastAsia="ko-KR"/>
        </w:rPr>
      </w:pPr>
    </w:p>
    <w:p w:rsidR="00610ED7" w:rsidRPr="00520174" w:rsidRDefault="00610ED7" w:rsidP="00520174">
      <w:pPr>
        <w:rPr>
          <w:lang w:eastAsia="ko-KR"/>
        </w:rPr>
      </w:pPr>
    </w:p>
    <w:p w:rsidR="00610ED7" w:rsidRPr="00520174" w:rsidRDefault="00610ED7" w:rsidP="00520174">
      <w:pPr>
        <w:rPr>
          <w:lang w:eastAsia="ko-KR"/>
        </w:rPr>
      </w:pPr>
    </w:p>
    <w:p w:rsidR="00610ED7" w:rsidRPr="00520174" w:rsidRDefault="00610ED7" w:rsidP="00520174">
      <w:pPr>
        <w:rPr>
          <w:lang w:eastAsia="ko-KR"/>
        </w:rPr>
      </w:pPr>
    </w:p>
    <w:p w:rsidR="00610ED7" w:rsidRPr="00520174" w:rsidRDefault="00610ED7" w:rsidP="00520174">
      <w:pPr>
        <w:rPr>
          <w:lang w:eastAsia="ko-KR"/>
        </w:rPr>
      </w:pPr>
    </w:p>
    <w:p w:rsidR="00610ED7" w:rsidRPr="00520174" w:rsidRDefault="00610ED7" w:rsidP="00520174">
      <w:pPr>
        <w:rPr>
          <w:lang w:eastAsia="ko-KR"/>
        </w:rPr>
      </w:pPr>
    </w:p>
    <w:p w:rsidR="00610ED7" w:rsidRPr="00520174" w:rsidRDefault="00610ED7" w:rsidP="00520174">
      <w:pPr>
        <w:rPr>
          <w:lang w:eastAsia="ko-KR"/>
        </w:rPr>
      </w:pPr>
    </w:p>
    <w:p w:rsidR="00610ED7" w:rsidRPr="00520174" w:rsidRDefault="00610ED7" w:rsidP="00520174">
      <w:pPr>
        <w:rPr>
          <w:lang w:eastAsia="ko-KR"/>
        </w:rPr>
      </w:pPr>
    </w:p>
    <w:p w:rsidR="00610ED7" w:rsidRPr="00520174" w:rsidRDefault="00610ED7" w:rsidP="00520174">
      <w:pPr>
        <w:rPr>
          <w:lang w:eastAsia="ko-KR"/>
        </w:rPr>
      </w:pPr>
    </w:p>
    <w:p w:rsidR="00F2698D" w:rsidRPr="00520174" w:rsidRDefault="00F2698D" w:rsidP="00520174">
      <w:pPr>
        <w:rPr>
          <w:lang w:eastAsia="ko-KR"/>
        </w:rPr>
      </w:pPr>
    </w:p>
    <w:p w:rsidR="00F2698D" w:rsidRPr="00520174" w:rsidRDefault="00F2698D" w:rsidP="00520174">
      <w:pPr>
        <w:rPr>
          <w:lang w:eastAsia="ko-KR"/>
        </w:rPr>
      </w:pPr>
    </w:p>
    <w:p w:rsidR="00F2698D" w:rsidRPr="00520174" w:rsidRDefault="00F2698D" w:rsidP="00520174">
      <w:pPr>
        <w:rPr>
          <w:lang w:eastAsia="ko-KR"/>
        </w:rPr>
      </w:pPr>
    </w:p>
    <w:p w:rsidR="00F2698D" w:rsidRPr="00520174" w:rsidRDefault="00F2698D" w:rsidP="00520174">
      <w:pPr>
        <w:rPr>
          <w:lang w:eastAsia="ko-KR"/>
        </w:rPr>
      </w:pPr>
    </w:p>
    <w:p w:rsidR="00F2698D" w:rsidRPr="00520174" w:rsidRDefault="00F2698D" w:rsidP="00520174">
      <w:pPr>
        <w:rPr>
          <w:lang w:eastAsia="ko-KR"/>
        </w:rPr>
      </w:pPr>
    </w:p>
    <w:p w:rsidR="00F2698D" w:rsidRPr="00520174" w:rsidRDefault="00F2698D" w:rsidP="00520174">
      <w:pPr>
        <w:rPr>
          <w:lang w:eastAsia="ko-KR"/>
        </w:rPr>
      </w:pPr>
    </w:p>
    <w:p w:rsidR="00F2698D" w:rsidRPr="00520174" w:rsidRDefault="00F2698D" w:rsidP="00520174">
      <w:pPr>
        <w:rPr>
          <w:lang w:eastAsia="ko-KR"/>
        </w:rPr>
      </w:pPr>
    </w:p>
    <w:p w:rsidR="00F2698D" w:rsidRPr="00520174" w:rsidRDefault="00F2698D" w:rsidP="00520174">
      <w:pPr>
        <w:rPr>
          <w:lang w:eastAsia="ko-KR"/>
        </w:rPr>
      </w:pPr>
    </w:p>
    <w:p w:rsidR="00F2698D" w:rsidRPr="00520174" w:rsidRDefault="00F2698D" w:rsidP="00520174">
      <w:pPr>
        <w:rPr>
          <w:lang w:eastAsia="ko-KR"/>
        </w:rPr>
      </w:pPr>
    </w:p>
    <w:p w:rsidR="00F2698D" w:rsidRPr="00520174" w:rsidRDefault="00F2698D" w:rsidP="00520174">
      <w:pPr>
        <w:rPr>
          <w:lang w:eastAsia="ko-KR"/>
        </w:rPr>
      </w:pPr>
    </w:p>
    <w:p w:rsidR="00F2698D" w:rsidRPr="00520174" w:rsidRDefault="00F2698D" w:rsidP="00520174">
      <w:pPr>
        <w:rPr>
          <w:lang w:eastAsia="ko-KR"/>
        </w:rPr>
      </w:pPr>
    </w:p>
    <w:p w:rsidR="000E0AC2" w:rsidRPr="00520174" w:rsidRDefault="000E0AC2" w:rsidP="00520174">
      <w:pPr>
        <w:rPr>
          <w:lang w:eastAsia="ko-KR"/>
        </w:rPr>
      </w:pPr>
    </w:p>
    <w:p w:rsidR="00501C9B" w:rsidRPr="00520174" w:rsidRDefault="00F2698D" w:rsidP="00520174">
      <w:pPr>
        <w:pStyle w:val="PI-1labEMEASMCA"/>
        <w:rPr>
          <w:lang w:eastAsia="ko-KR"/>
        </w:rPr>
      </w:pPr>
      <w:r w:rsidRPr="00520174">
        <w:rPr>
          <w:lang w:eastAsia="ko-KR"/>
        </w:rPr>
        <w:lastRenderedPageBreak/>
        <w:t>INFORMACI</w:t>
      </w:r>
      <w:r w:rsidR="00501C9B" w:rsidRPr="00520174">
        <w:rPr>
          <w:lang w:eastAsia="ko-KR"/>
        </w:rPr>
        <w:t>JA ANT IŠORINĖS PAKUOTĖS</w:t>
      </w:r>
    </w:p>
    <w:p w:rsidR="00501C9B" w:rsidRPr="00520174" w:rsidRDefault="00501C9B" w:rsidP="00520174">
      <w:pPr>
        <w:pStyle w:val="PI-1labEMEASMCA"/>
        <w:rPr>
          <w:lang w:eastAsia="ko-KR"/>
        </w:rPr>
      </w:pPr>
    </w:p>
    <w:p w:rsidR="00501C9B" w:rsidRPr="00520174" w:rsidRDefault="00501C9B" w:rsidP="00520174">
      <w:pPr>
        <w:pStyle w:val="PI-1labEMEASMCA"/>
        <w:rPr>
          <w:lang w:eastAsia="ko-KR"/>
        </w:rPr>
      </w:pPr>
      <w:r w:rsidRPr="00520174">
        <w:rPr>
          <w:lang w:eastAsia="ko-KR"/>
        </w:rPr>
        <w:t>KARTONO DĖŽUTĖ</w:t>
      </w:r>
    </w:p>
    <w:p w:rsidR="00501C9B" w:rsidRPr="00520174" w:rsidRDefault="00501C9B" w:rsidP="00520174">
      <w:pPr>
        <w:pStyle w:val="BTEMEASMCA"/>
        <w:rPr>
          <w:lang w:eastAsia="ko-KR"/>
        </w:rPr>
      </w:pPr>
    </w:p>
    <w:p w:rsidR="00501C9B" w:rsidRPr="00520174" w:rsidRDefault="00501C9B" w:rsidP="00520174">
      <w:pPr>
        <w:pStyle w:val="BTEMEASMCA"/>
        <w:rPr>
          <w:lang w:eastAsia="ko-KR"/>
        </w:rPr>
      </w:pPr>
    </w:p>
    <w:p w:rsidR="00501C9B" w:rsidRPr="00520174" w:rsidRDefault="00501C9B" w:rsidP="00520174">
      <w:pPr>
        <w:pStyle w:val="PI-1labEMEASMCA"/>
        <w:rPr>
          <w:lang w:eastAsia="ko-KR"/>
        </w:rPr>
      </w:pPr>
      <w:r w:rsidRPr="00520174">
        <w:rPr>
          <w:lang w:eastAsia="ko-KR"/>
        </w:rPr>
        <w:t>1.</w:t>
      </w:r>
      <w:r w:rsidRPr="00520174">
        <w:rPr>
          <w:lang w:eastAsia="ko-KR"/>
        </w:rPr>
        <w:tab/>
        <w:t>VAISTINIO PREPARATO PAVADINIMAS</w:t>
      </w:r>
    </w:p>
    <w:p w:rsidR="00956A52" w:rsidRPr="00520174" w:rsidRDefault="00956A52" w:rsidP="00520174">
      <w:pPr>
        <w:pStyle w:val="BTEMEASMCA"/>
        <w:rPr>
          <w:lang w:eastAsia="ko-KR"/>
        </w:rPr>
      </w:pPr>
    </w:p>
    <w:p w:rsidR="00956A52" w:rsidRPr="00520174" w:rsidRDefault="00956A52" w:rsidP="00520174">
      <w:pPr>
        <w:pStyle w:val="BTEMEASMCA"/>
        <w:rPr>
          <w:lang w:eastAsia="ko-KR"/>
        </w:rPr>
      </w:pPr>
      <w:proofErr w:type="spellStart"/>
      <w:r w:rsidRPr="00520174">
        <w:rPr>
          <w:lang w:eastAsia="ko-KR"/>
        </w:rPr>
        <w:t>Guttalax</w:t>
      </w:r>
      <w:proofErr w:type="spellEnd"/>
      <w:r w:rsidRPr="00520174">
        <w:rPr>
          <w:lang w:eastAsia="ko-KR"/>
        </w:rPr>
        <w:t xml:space="preserve"> 7,5 mg/ml geriamieji lašai (tirpalas)</w:t>
      </w:r>
    </w:p>
    <w:p w:rsidR="0044233A" w:rsidRPr="00520174" w:rsidRDefault="00956A52" w:rsidP="00520174">
      <w:pPr>
        <w:pStyle w:val="BTEMEASMCA"/>
        <w:rPr>
          <w:lang w:eastAsia="ko-KR"/>
        </w:rPr>
      </w:pPr>
      <w:r w:rsidRPr="00520174">
        <w:rPr>
          <w:lang w:eastAsia="ko-KR"/>
        </w:rPr>
        <w:t xml:space="preserve">Natrio </w:t>
      </w:r>
      <w:proofErr w:type="spellStart"/>
      <w:r w:rsidRPr="00520174">
        <w:rPr>
          <w:lang w:eastAsia="ko-KR"/>
        </w:rPr>
        <w:t>pikosulfatas</w:t>
      </w:r>
      <w:proofErr w:type="spellEnd"/>
    </w:p>
    <w:p w:rsidR="00956A52" w:rsidRPr="00520174" w:rsidRDefault="00956A52" w:rsidP="00520174">
      <w:pPr>
        <w:pStyle w:val="BTEMEASMCA"/>
        <w:rPr>
          <w:lang w:eastAsia="ko-KR"/>
        </w:rPr>
      </w:pPr>
    </w:p>
    <w:p w:rsidR="004B799B" w:rsidRPr="00520174" w:rsidRDefault="004B799B" w:rsidP="00520174">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520174">
        <w:rPr>
          <w:b/>
          <w:lang w:eastAsia="ko-KR"/>
        </w:rPr>
        <w:t>2.</w:t>
      </w:r>
      <w:r w:rsidRPr="00520174">
        <w:rPr>
          <w:b/>
          <w:lang w:eastAsia="ko-KR"/>
        </w:rPr>
        <w:tab/>
      </w:r>
      <w:r w:rsidRPr="00520174">
        <w:rPr>
          <w:b/>
          <w:bCs/>
          <w:lang w:eastAsia="ko-KR" w:bidi="lo-LA"/>
        </w:rPr>
        <w:t>VEIKLIOJI (-IOS) MEDŽIAGA (-OS) IR JOS (-Ų) KIEKIS (-IAI)</w:t>
      </w:r>
    </w:p>
    <w:p w:rsidR="00501C9B" w:rsidRPr="00520174" w:rsidRDefault="00501C9B" w:rsidP="00520174">
      <w:pPr>
        <w:pStyle w:val="BTEMEASMCA"/>
        <w:rPr>
          <w:lang w:eastAsia="ko-KR"/>
        </w:rPr>
      </w:pPr>
    </w:p>
    <w:p w:rsidR="0044233A" w:rsidRPr="00520174" w:rsidRDefault="00956A52" w:rsidP="00520174">
      <w:pPr>
        <w:pStyle w:val="BTEMEASMCA"/>
        <w:rPr>
          <w:rFonts w:eastAsia="Times New Roman"/>
          <w:iCs/>
        </w:rPr>
      </w:pPr>
      <w:r w:rsidRPr="00520174">
        <w:rPr>
          <w:rFonts w:eastAsia="Times New Roman"/>
          <w:iCs/>
        </w:rPr>
        <w:t xml:space="preserve">1 ml tirpalo (15 lašų) yra 7,5 mg natrio </w:t>
      </w:r>
      <w:proofErr w:type="spellStart"/>
      <w:r w:rsidRPr="00520174">
        <w:rPr>
          <w:rFonts w:eastAsia="Times New Roman"/>
          <w:iCs/>
        </w:rPr>
        <w:t>pikosulfato</w:t>
      </w:r>
      <w:proofErr w:type="spellEnd"/>
      <w:r w:rsidRPr="00520174">
        <w:rPr>
          <w:rFonts w:eastAsia="Times New Roman"/>
          <w:iCs/>
        </w:rPr>
        <w:t>.</w:t>
      </w:r>
    </w:p>
    <w:p w:rsidR="00956A52" w:rsidRPr="00520174" w:rsidRDefault="00956A52" w:rsidP="00520174">
      <w:pPr>
        <w:pStyle w:val="BTEMEASMCA"/>
        <w:rPr>
          <w:lang w:eastAsia="ko-KR"/>
        </w:rPr>
      </w:pPr>
    </w:p>
    <w:p w:rsidR="00501C9B" w:rsidRPr="00520174" w:rsidRDefault="00501C9B" w:rsidP="00520174">
      <w:pPr>
        <w:pStyle w:val="PI-1labEMEASMCA"/>
        <w:rPr>
          <w:highlight w:val="lightGray"/>
          <w:lang w:eastAsia="ko-KR"/>
        </w:rPr>
      </w:pPr>
      <w:r w:rsidRPr="00520174">
        <w:rPr>
          <w:lang w:eastAsia="ko-KR"/>
        </w:rPr>
        <w:t>3.</w:t>
      </w:r>
      <w:r w:rsidRPr="00520174">
        <w:rPr>
          <w:lang w:eastAsia="ko-KR"/>
        </w:rPr>
        <w:tab/>
        <w:t>PAGALBINIŲ MEDŽIAGŲ SĄRAŠAS</w:t>
      </w:r>
    </w:p>
    <w:p w:rsidR="00501C9B" w:rsidRPr="00520174" w:rsidRDefault="00501C9B" w:rsidP="00520174">
      <w:pPr>
        <w:pStyle w:val="BTEMEASMCA"/>
        <w:rPr>
          <w:lang w:eastAsia="ko-KR"/>
        </w:rPr>
      </w:pPr>
    </w:p>
    <w:p w:rsidR="0044233A" w:rsidRPr="00520174" w:rsidRDefault="00956A52" w:rsidP="00520174">
      <w:pPr>
        <w:pStyle w:val="BTEMEASMCA"/>
        <w:rPr>
          <w:rFonts w:eastAsia="Times New Roman"/>
          <w:iCs/>
        </w:rPr>
      </w:pPr>
      <w:r w:rsidRPr="00520174">
        <w:rPr>
          <w:rFonts w:eastAsia="Times New Roman"/>
          <w:iCs/>
        </w:rPr>
        <w:t xml:space="preserve">Sudėtyje yra skystojo </w:t>
      </w:r>
      <w:proofErr w:type="spellStart"/>
      <w:r w:rsidRPr="00520174">
        <w:rPr>
          <w:rFonts w:eastAsia="Times New Roman"/>
          <w:iCs/>
        </w:rPr>
        <w:t>sorbitolio</w:t>
      </w:r>
      <w:proofErr w:type="spellEnd"/>
      <w:r w:rsidRPr="00520174">
        <w:rPr>
          <w:rFonts w:eastAsia="Times New Roman"/>
          <w:iCs/>
        </w:rPr>
        <w:t xml:space="preserve"> (nesikristalizuojančio).</w:t>
      </w:r>
    </w:p>
    <w:p w:rsidR="00956A52" w:rsidRPr="00520174" w:rsidRDefault="00956A52" w:rsidP="00520174">
      <w:pPr>
        <w:pStyle w:val="BTEMEASMCA"/>
        <w:rPr>
          <w:lang w:eastAsia="ko-KR"/>
        </w:rPr>
      </w:pPr>
    </w:p>
    <w:p w:rsidR="00501C9B" w:rsidRPr="00520174" w:rsidRDefault="00501C9B" w:rsidP="00520174">
      <w:pPr>
        <w:pStyle w:val="PI-1labEMEASMCA"/>
        <w:rPr>
          <w:lang w:eastAsia="ko-KR"/>
        </w:rPr>
      </w:pPr>
      <w:r w:rsidRPr="00520174">
        <w:rPr>
          <w:lang w:eastAsia="ko-KR"/>
        </w:rPr>
        <w:t>4.</w:t>
      </w:r>
      <w:r w:rsidRPr="00520174">
        <w:rPr>
          <w:lang w:eastAsia="ko-KR"/>
        </w:rPr>
        <w:tab/>
        <w:t>FARMACINĖ FORMA IR KIEKIS PAKUOTĖJE</w:t>
      </w:r>
    </w:p>
    <w:p w:rsidR="0058382B" w:rsidRPr="00520174" w:rsidRDefault="0058382B" w:rsidP="00520174">
      <w:pPr>
        <w:pStyle w:val="Pagrindinistekstas"/>
        <w:tabs>
          <w:tab w:val="left" w:pos="567"/>
        </w:tabs>
        <w:spacing w:after="0"/>
        <w:rPr>
          <w:lang w:eastAsia="ko-KR"/>
        </w:rPr>
      </w:pPr>
    </w:p>
    <w:p w:rsidR="00956A52" w:rsidRPr="00520174" w:rsidRDefault="00956A52" w:rsidP="00520174">
      <w:pPr>
        <w:pStyle w:val="Pagrindinistekstas"/>
        <w:tabs>
          <w:tab w:val="left" w:pos="567"/>
        </w:tabs>
        <w:spacing w:after="0"/>
        <w:rPr>
          <w:iCs/>
        </w:rPr>
      </w:pPr>
      <w:r w:rsidRPr="00520174">
        <w:rPr>
          <w:iCs/>
          <w:highlight w:val="lightGray"/>
        </w:rPr>
        <w:t>Geriamieji lašai (tirpalas)</w:t>
      </w:r>
    </w:p>
    <w:p w:rsidR="0044233A" w:rsidRPr="00520174" w:rsidRDefault="00956A52" w:rsidP="00520174">
      <w:pPr>
        <w:pStyle w:val="Pagrindinistekstas"/>
        <w:tabs>
          <w:tab w:val="left" w:pos="567"/>
        </w:tabs>
        <w:spacing w:after="0"/>
        <w:rPr>
          <w:iCs/>
        </w:rPr>
      </w:pPr>
      <w:r w:rsidRPr="00520174">
        <w:rPr>
          <w:iCs/>
        </w:rPr>
        <w:t>15 ml</w:t>
      </w:r>
    </w:p>
    <w:p w:rsidR="00956A52" w:rsidRPr="00520174" w:rsidRDefault="00956A52" w:rsidP="00520174">
      <w:pPr>
        <w:pStyle w:val="Pagrindinistekstas"/>
        <w:tabs>
          <w:tab w:val="left" w:pos="567"/>
        </w:tabs>
        <w:spacing w:after="0"/>
        <w:rPr>
          <w:lang w:eastAsia="ko-KR"/>
        </w:rPr>
      </w:pPr>
    </w:p>
    <w:p w:rsidR="004B799B" w:rsidRPr="00520174" w:rsidRDefault="004B799B" w:rsidP="00520174">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520174">
        <w:rPr>
          <w:b/>
          <w:lang w:eastAsia="ko-KR"/>
        </w:rPr>
        <w:t>5.</w:t>
      </w:r>
      <w:r w:rsidRPr="00520174">
        <w:rPr>
          <w:b/>
          <w:lang w:eastAsia="ko-KR"/>
        </w:rPr>
        <w:tab/>
      </w:r>
      <w:r w:rsidRPr="00520174">
        <w:rPr>
          <w:b/>
          <w:bCs/>
          <w:lang w:eastAsia="ko-KR" w:bidi="lo-LA"/>
        </w:rPr>
        <w:t>VARTOJIMO METODAS IR BŪDAS (-AI)</w:t>
      </w:r>
    </w:p>
    <w:p w:rsidR="00501C9B" w:rsidRPr="00520174" w:rsidRDefault="00501C9B" w:rsidP="00520174">
      <w:pPr>
        <w:pStyle w:val="BTEMEASMCA"/>
        <w:rPr>
          <w:lang w:eastAsia="ko-KR"/>
        </w:rPr>
      </w:pPr>
    </w:p>
    <w:p w:rsidR="00956A52" w:rsidRPr="00520174" w:rsidRDefault="00956A52" w:rsidP="00520174">
      <w:pPr>
        <w:pStyle w:val="BTEMEASMCA"/>
        <w:rPr>
          <w:rFonts w:eastAsia="Times New Roman"/>
          <w:lang w:eastAsia="ko-KR"/>
        </w:rPr>
      </w:pPr>
      <w:r w:rsidRPr="00520174">
        <w:rPr>
          <w:rFonts w:eastAsia="Times New Roman"/>
          <w:lang w:eastAsia="ko-KR"/>
        </w:rPr>
        <w:t>Vartoti per burną.</w:t>
      </w:r>
    </w:p>
    <w:p w:rsidR="00501C9B" w:rsidRPr="00520174" w:rsidRDefault="00956A52" w:rsidP="00520174">
      <w:pPr>
        <w:pStyle w:val="BTEMEASMCA"/>
        <w:rPr>
          <w:rFonts w:eastAsia="Times New Roman"/>
          <w:lang w:eastAsia="ko-KR"/>
        </w:rPr>
      </w:pPr>
      <w:r w:rsidRPr="00520174">
        <w:rPr>
          <w:rFonts w:eastAsia="Times New Roman"/>
          <w:lang w:eastAsia="ko-KR"/>
        </w:rPr>
        <w:t>Prieš vartojimą perskaitykite pakuotės lapelį.</w:t>
      </w:r>
    </w:p>
    <w:p w:rsidR="00956A52" w:rsidRPr="00520174" w:rsidRDefault="00956A52" w:rsidP="00520174">
      <w:pPr>
        <w:pStyle w:val="BTEMEASMCA"/>
        <w:rPr>
          <w:lang w:eastAsia="ko-KR"/>
        </w:rPr>
      </w:pPr>
    </w:p>
    <w:p w:rsidR="00501C9B" w:rsidRPr="00520174" w:rsidRDefault="00501C9B" w:rsidP="00520174">
      <w:pPr>
        <w:pStyle w:val="PI-1labEMEASMCA"/>
        <w:rPr>
          <w:lang w:eastAsia="ko-KR"/>
        </w:rPr>
      </w:pPr>
      <w:r w:rsidRPr="00520174">
        <w:rPr>
          <w:lang w:eastAsia="ko-KR"/>
        </w:rPr>
        <w:t>6.</w:t>
      </w:r>
      <w:r w:rsidRPr="00520174">
        <w:rPr>
          <w:lang w:eastAsia="ko-KR"/>
        </w:rPr>
        <w:tab/>
        <w:t>SPECIALUS ĮSPĖJIMAS, KAD VAISTINĮ PREPARATĄ BŪTINA LAIKYTI VAIKAMS NEPASTEBIMOJE IR NEPASIEKIAMOJE VIETOJE</w:t>
      </w:r>
    </w:p>
    <w:p w:rsidR="00501C9B" w:rsidRPr="00520174" w:rsidRDefault="00501C9B" w:rsidP="00520174">
      <w:pPr>
        <w:pStyle w:val="BTEMEASMCA"/>
        <w:rPr>
          <w:lang w:eastAsia="ko-KR"/>
        </w:rPr>
      </w:pPr>
    </w:p>
    <w:p w:rsidR="00BF3F99" w:rsidRPr="00520174" w:rsidRDefault="00BF3F99" w:rsidP="00520174">
      <w:pPr>
        <w:pStyle w:val="BTEMEASMCA"/>
        <w:rPr>
          <w:lang w:eastAsia="ko-KR"/>
        </w:rPr>
      </w:pPr>
      <w:r w:rsidRPr="00520174">
        <w:rPr>
          <w:lang w:eastAsia="ko-KR"/>
        </w:rPr>
        <w:t xml:space="preserve">Laikyti vaikams nepastebimoje ir nepasiekiamoje vietoje. </w:t>
      </w:r>
    </w:p>
    <w:p w:rsidR="00501C9B" w:rsidRPr="00520174" w:rsidRDefault="00501C9B" w:rsidP="00520174">
      <w:pPr>
        <w:pStyle w:val="BTEMEASMCA"/>
        <w:rPr>
          <w:lang w:eastAsia="ko-KR"/>
        </w:rPr>
      </w:pPr>
    </w:p>
    <w:p w:rsidR="004B799B" w:rsidRPr="00520174" w:rsidRDefault="004B799B" w:rsidP="00520174">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520174">
        <w:rPr>
          <w:b/>
          <w:lang w:eastAsia="ko-KR"/>
        </w:rPr>
        <w:t>7.</w:t>
      </w:r>
      <w:r w:rsidRPr="00520174">
        <w:rPr>
          <w:b/>
          <w:lang w:eastAsia="ko-KR"/>
        </w:rPr>
        <w:tab/>
        <w:t>K</w:t>
      </w:r>
      <w:r w:rsidRPr="00520174">
        <w:rPr>
          <w:b/>
          <w:bCs/>
          <w:lang w:eastAsia="ko-KR" w:bidi="lo-LA"/>
        </w:rPr>
        <w:t>ITAS (-I) SPECIALUS (-ŪS) ĮSPĖJIMAS (-AI) (JEI REIKIA)</w:t>
      </w:r>
    </w:p>
    <w:p w:rsidR="00501C9B" w:rsidRPr="00520174" w:rsidRDefault="00501C9B" w:rsidP="00520174">
      <w:pPr>
        <w:pStyle w:val="BTEMEASMCA"/>
        <w:rPr>
          <w:lang w:eastAsia="ko-KR"/>
        </w:rPr>
      </w:pPr>
    </w:p>
    <w:p w:rsidR="00501C9B" w:rsidRPr="00520174" w:rsidRDefault="00501C9B" w:rsidP="00520174">
      <w:pPr>
        <w:pStyle w:val="BTEMEASMCA"/>
        <w:rPr>
          <w:lang w:eastAsia="ko-KR"/>
        </w:rPr>
      </w:pPr>
    </w:p>
    <w:p w:rsidR="00501C9B" w:rsidRPr="00520174" w:rsidRDefault="00501C9B" w:rsidP="00520174">
      <w:pPr>
        <w:pStyle w:val="PI-1labEMEASMCA"/>
        <w:rPr>
          <w:highlight w:val="lightGray"/>
          <w:lang w:eastAsia="ko-KR"/>
        </w:rPr>
      </w:pPr>
      <w:r w:rsidRPr="00520174">
        <w:rPr>
          <w:lang w:eastAsia="ko-KR"/>
        </w:rPr>
        <w:t>8.</w:t>
      </w:r>
      <w:r w:rsidRPr="00520174">
        <w:rPr>
          <w:lang w:eastAsia="ko-KR"/>
        </w:rPr>
        <w:tab/>
        <w:t>TINKAMUMO LAIKAS</w:t>
      </w:r>
    </w:p>
    <w:p w:rsidR="00501C9B" w:rsidRPr="00520174" w:rsidRDefault="00501C9B" w:rsidP="00520174">
      <w:pPr>
        <w:pStyle w:val="BTEMEASMCA"/>
        <w:rPr>
          <w:lang w:eastAsia="ko-KR"/>
        </w:rPr>
      </w:pPr>
    </w:p>
    <w:p w:rsidR="00BF0B82" w:rsidRPr="00520174" w:rsidRDefault="0030653B" w:rsidP="00520174">
      <w:pPr>
        <w:rPr>
          <w:lang w:eastAsia="ko-KR"/>
        </w:rPr>
      </w:pPr>
      <w:r w:rsidRPr="00520174">
        <w:rPr>
          <w:lang w:eastAsia="ko-KR"/>
        </w:rPr>
        <w:t>Tinka iki: MMMM/mm.</w:t>
      </w:r>
    </w:p>
    <w:p w:rsidR="00501C9B" w:rsidRPr="00520174" w:rsidRDefault="00501C9B" w:rsidP="00520174">
      <w:pPr>
        <w:pStyle w:val="BTEMEASMCA"/>
        <w:rPr>
          <w:lang w:eastAsia="ko-KR"/>
        </w:rPr>
      </w:pPr>
    </w:p>
    <w:p w:rsidR="00501C9B" w:rsidRPr="00520174" w:rsidRDefault="00501C9B" w:rsidP="00520174">
      <w:pPr>
        <w:pStyle w:val="PI-1labEMEASMCA"/>
        <w:rPr>
          <w:lang w:eastAsia="ko-KR"/>
        </w:rPr>
      </w:pPr>
      <w:r w:rsidRPr="00520174">
        <w:rPr>
          <w:lang w:eastAsia="ko-KR"/>
        </w:rPr>
        <w:t>9.</w:t>
      </w:r>
      <w:r w:rsidRPr="00520174">
        <w:rPr>
          <w:lang w:eastAsia="ko-KR"/>
        </w:rPr>
        <w:tab/>
        <w:t>SPECIALIOS LAIKYMO SĄLYGOS</w:t>
      </w:r>
    </w:p>
    <w:p w:rsidR="00C52697" w:rsidRPr="00520174" w:rsidRDefault="00C52697" w:rsidP="00520174">
      <w:pPr>
        <w:tabs>
          <w:tab w:val="left" w:pos="540"/>
        </w:tabs>
        <w:rPr>
          <w:rFonts w:eastAsia="Calibri"/>
        </w:rPr>
      </w:pPr>
    </w:p>
    <w:p w:rsidR="008F4406" w:rsidRPr="00520174" w:rsidRDefault="008F4406" w:rsidP="00520174">
      <w:r w:rsidRPr="00520174">
        <w:t xml:space="preserve">Šiam vaistiniam preparatui specialių laikymo sąlygų nereikia. </w:t>
      </w:r>
    </w:p>
    <w:p w:rsidR="00883A05" w:rsidRPr="00520174" w:rsidRDefault="00883A05" w:rsidP="00520174">
      <w:pPr>
        <w:pStyle w:val="BTEMEASMCA"/>
        <w:rPr>
          <w:lang w:eastAsia="ko-KR"/>
        </w:rPr>
      </w:pPr>
    </w:p>
    <w:p w:rsidR="00501C9B" w:rsidRPr="00520174" w:rsidRDefault="00501C9B" w:rsidP="00520174">
      <w:pPr>
        <w:pStyle w:val="PI-1labEMEASMCA"/>
        <w:rPr>
          <w:lang w:eastAsia="ko-KR"/>
        </w:rPr>
      </w:pPr>
      <w:r w:rsidRPr="00520174">
        <w:rPr>
          <w:lang w:eastAsia="ko-KR"/>
        </w:rPr>
        <w:t>10.</w:t>
      </w:r>
      <w:r w:rsidRPr="00520174">
        <w:rPr>
          <w:lang w:eastAsia="ko-KR"/>
        </w:rPr>
        <w:tab/>
        <w:t>SPECIALIOS ATSARGUMO PRIEMONĖS DĖL NESUVARTOTO VAISTINIO PREPARATO AR JO ATLIEKŲ TVARKYMO (JEI REIKIA)</w:t>
      </w:r>
    </w:p>
    <w:p w:rsidR="00501C9B" w:rsidRPr="00520174" w:rsidRDefault="00501C9B" w:rsidP="00520174">
      <w:pPr>
        <w:pStyle w:val="BTEMEASMCA"/>
        <w:rPr>
          <w:lang w:eastAsia="ko-KR"/>
        </w:rPr>
      </w:pPr>
    </w:p>
    <w:p w:rsidR="00501C9B" w:rsidRPr="00520174" w:rsidRDefault="00501C9B" w:rsidP="00520174">
      <w:pPr>
        <w:pStyle w:val="BTEMEASMCA"/>
        <w:rPr>
          <w:lang w:eastAsia="ko-KR"/>
        </w:rPr>
      </w:pPr>
    </w:p>
    <w:p w:rsidR="00501C9B" w:rsidRPr="00520174" w:rsidRDefault="00501C9B" w:rsidP="00520174">
      <w:pPr>
        <w:pStyle w:val="PI-1labEMEASMCA"/>
        <w:rPr>
          <w:lang w:eastAsia="ko-KR"/>
        </w:rPr>
      </w:pPr>
      <w:r w:rsidRPr="00520174">
        <w:rPr>
          <w:lang w:eastAsia="ko-KR"/>
        </w:rPr>
        <w:t>11.</w:t>
      </w:r>
      <w:r w:rsidRPr="00520174">
        <w:rPr>
          <w:lang w:eastAsia="ko-KR"/>
        </w:rPr>
        <w:tab/>
        <w:t>LYGIAGRETUS IMPORTUOTOJAS</w:t>
      </w:r>
    </w:p>
    <w:p w:rsidR="00501C9B" w:rsidRPr="00520174" w:rsidRDefault="00501C9B" w:rsidP="00520174">
      <w:pPr>
        <w:pStyle w:val="BTEMEASMCA"/>
        <w:rPr>
          <w:lang w:eastAsia="ko-KR"/>
        </w:rPr>
      </w:pPr>
    </w:p>
    <w:p w:rsidR="00501C9B" w:rsidRPr="00520174" w:rsidRDefault="00501C9B" w:rsidP="00520174">
      <w:pPr>
        <w:pStyle w:val="BTEMEASMCA"/>
        <w:rPr>
          <w:lang w:eastAsia="ko-KR"/>
        </w:rPr>
      </w:pPr>
      <w:r w:rsidRPr="00520174">
        <w:rPr>
          <w:lang w:eastAsia="ko-KR"/>
        </w:rPr>
        <w:lastRenderedPageBreak/>
        <w:t>Lygiag</w:t>
      </w:r>
      <w:r w:rsidR="004A45EB" w:rsidRPr="00520174">
        <w:rPr>
          <w:lang w:eastAsia="ko-KR"/>
        </w:rPr>
        <w:t>retus importuotojas UAB „Limedika</w:t>
      </w:r>
      <w:r w:rsidRPr="00520174">
        <w:rPr>
          <w:lang w:eastAsia="ko-KR"/>
        </w:rPr>
        <w:t>“</w:t>
      </w:r>
      <w:r w:rsidR="00831996" w:rsidRPr="00520174">
        <w:rPr>
          <w:lang w:eastAsia="ko-KR"/>
        </w:rPr>
        <w:t>.</w:t>
      </w:r>
    </w:p>
    <w:p w:rsidR="00501C9B" w:rsidRPr="00520174" w:rsidRDefault="00501C9B" w:rsidP="00520174">
      <w:pPr>
        <w:pStyle w:val="BTEMEASMCA"/>
        <w:rPr>
          <w:lang w:eastAsia="ko-KR"/>
        </w:rPr>
      </w:pPr>
    </w:p>
    <w:p w:rsidR="00501C9B" w:rsidRPr="00520174" w:rsidRDefault="00501C9B" w:rsidP="00520174">
      <w:pPr>
        <w:pStyle w:val="PI-1labEMEASMCA"/>
        <w:rPr>
          <w:lang w:eastAsia="ko-KR"/>
        </w:rPr>
      </w:pPr>
      <w:r w:rsidRPr="00520174">
        <w:rPr>
          <w:lang w:eastAsia="ko-KR"/>
        </w:rPr>
        <w:t>12.</w:t>
      </w:r>
      <w:r w:rsidRPr="00520174">
        <w:rPr>
          <w:lang w:eastAsia="ko-KR"/>
        </w:rPr>
        <w:tab/>
        <w:t xml:space="preserve">LYGIAGRETAUS IMPORTO LEIDIMO NUMERIS </w:t>
      </w:r>
    </w:p>
    <w:p w:rsidR="00501C9B" w:rsidRPr="00520174" w:rsidRDefault="00501C9B" w:rsidP="00520174">
      <w:pPr>
        <w:rPr>
          <w:u w:val="single"/>
          <w:lang w:eastAsia="ko-KR"/>
        </w:rPr>
      </w:pPr>
    </w:p>
    <w:p w:rsidR="00501C9B" w:rsidRPr="00520174" w:rsidRDefault="00501C9B" w:rsidP="00520174">
      <w:pPr>
        <w:rPr>
          <w:lang w:eastAsia="ko-KR"/>
        </w:rPr>
      </w:pPr>
      <w:proofErr w:type="spellStart"/>
      <w:r w:rsidRPr="00520174">
        <w:rPr>
          <w:lang w:eastAsia="ko-KR"/>
        </w:rPr>
        <w:t>Lyg.imp.Nr</w:t>
      </w:r>
      <w:proofErr w:type="spellEnd"/>
      <w:r w:rsidRPr="00520174">
        <w:rPr>
          <w:lang w:eastAsia="ko-KR"/>
        </w:rPr>
        <w:t xml:space="preserve">.:  </w:t>
      </w:r>
      <w:r w:rsidR="00071782">
        <w:rPr>
          <w:lang w:eastAsia="ko-KR"/>
        </w:rPr>
        <w:t>LT/L/18/</w:t>
      </w:r>
      <w:r w:rsidR="00CA2373">
        <w:rPr>
          <w:lang w:eastAsia="ko-KR"/>
        </w:rPr>
        <w:t>0680/001</w:t>
      </w:r>
    </w:p>
    <w:p w:rsidR="00501C9B" w:rsidRPr="00520174" w:rsidRDefault="00501C9B" w:rsidP="00520174">
      <w:pPr>
        <w:pStyle w:val="BTEMEASMCA"/>
        <w:rPr>
          <w:lang w:eastAsia="ko-KR"/>
        </w:rPr>
      </w:pPr>
    </w:p>
    <w:p w:rsidR="00501C9B" w:rsidRPr="00520174" w:rsidRDefault="00501C9B" w:rsidP="00520174">
      <w:pPr>
        <w:pStyle w:val="PI-1labEMEASMCA"/>
        <w:rPr>
          <w:lang w:eastAsia="ko-KR"/>
        </w:rPr>
      </w:pPr>
      <w:r w:rsidRPr="00520174">
        <w:rPr>
          <w:lang w:eastAsia="ko-KR"/>
        </w:rPr>
        <w:t>13.</w:t>
      </w:r>
      <w:r w:rsidRPr="00520174">
        <w:rPr>
          <w:lang w:eastAsia="ko-KR"/>
        </w:rPr>
        <w:tab/>
        <w:t>SERIJOS NUMERIS</w:t>
      </w:r>
    </w:p>
    <w:p w:rsidR="00501C9B" w:rsidRPr="00520174" w:rsidRDefault="00501C9B" w:rsidP="00520174">
      <w:pPr>
        <w:pStyle w:val="BTEMEASMCA"/>
        <w:rPr>
          <w:lang w:eastAsia="ko-KR"/>
        </w:rPr>
      </w:pPr>
    </w:p>
    <w:p w:rsidR="00501C9B" w:rsidRPr="00520174" w:rsidRDefault="00501C9B" w:rsidP="00520174">
      <w:pPr>
        <w:rPr>
          <w:lang w:eastAsia="ko-KR"/>
        </w:rPr>
      </w:pPr>
      <w:r w:rsidRPr="00520174">
        <w:rPr>
          <w:lang w:eastAsia="ko-KR"/>
        </w:rPr>
        <w:t xml:space="preserve">Serija: </w:t>
      </w:r>
      <w:r w:rsidR="00831996" w:rsidRPr="00520174">
        <w:rPr>
          <w:lang w:eastAsia="ko-KR"/>
        </w:rPr>
        <w:t xml:space="preserve">{ </w:t>
      </w:r>
      <w:r w:rsidR="00D2509B" w:rsidRPr="00520174">
        <w:rPr>
          <w:lang w:eastAsia="ko-KR"/>
        </w:rPr>
        <w:t xml:space="preserve">  </w:t>
      </w:r>
      <w:r w:rsidR="00EB395C">
        <w:rPr>
          <w:lang w:eastAsia="ko-KR"/>
        </w:rPr>
        <w:t xml:space="preserve">  </w:t>
      </w:r>
      <w:r w:rsidR="00831996" w:rsidRPr="00520174">
        <w:rPr>
          <w:lang w:eastAsia="ko-KR"/>
        </w:rPr>
        <w:t>}</w:t>
      </w:r>
      <w:r w:rsidR="00D2509B" w:rsidRPr="00520174">
        <w:rPr>
          <w:lang w:eastAsia="ko-KR"/>
        </w:rPr>
        <w:t>.</w:t>
      </w:r>
    </w:p>
    <w:p w:rsidR="00501C9B" w:rsidRPr="00520174" w:rsidRDefault="00501C9B" w:rsidP="00520174">
      <w:pPr>
        <w:pStyle w:val="BTEMEASMCA"/>
        <w:rPr>
          <w:lang w:eastAsia="ko-KR"/>
        </w:rPr>
      </w:pPr>
    </w:p>
    <w:p w:rsidR="00501C9B" w:rsidRPr="00520174" w:rsidRDefault="00501C9B" w:rsidP="00520174">
      <w:pPr>
        <w:pStyle w:val="PI-1labEMEASMCA"/>
        <w:rPr>
          <w:lang w:eastAsia="ko-KR"/>
        </w:rPr>
      </w:pPr>
      <w:r w:rsidRPr="00520174">
        <w:rPr>
          <w:lang w:eastAsia="ko-KR"/>
        </w:rPr>
        <w:t>14.</w:t>
      </w:r>
      <w:r w:rsidRPr="00520174">
        <w:rPr>
          <w:lang w:eastAsia="ko-KR"/>
        </w:rPr>
        <w:tab/>
        <w:t>PARDAVIMO (IŠDAVIMO) TVARKA</w:t>
      </w:r>
    </w:p>
    <w:p w:rsidR="00E55D6E" w:rsidRPr="00520174" w:rsidRDefault="00E55D6E" w:rsidP="00520174">
      <w:pPr>
        <w:rPr>
          <w:lang w:eastAsia="ko-KR"/>
        </w:rPr>
      </w:pPr>
    </w:p>
    <w:p w:rsidR="00501C9B" w:rsidRPr="00520174" w:rsidRDefault="00C560EE" w:rsidP="00520174">
      <w:pPr>
        <w:pStyle w:val="BTEMEASMCA"/>
        <w:rPr>
          <w:rFonts w:eastAsia="Times New Roman"/>
          <w:noProof/>
          <w:lang w:eastAsia="ko-KR"/>
        </w:rPr>
      </w:pPr>
      <w:r w:rsidRPr="00520174">
        <w:rPr>
          <w:rFonts w:eastAsia="Times New Roman"/>
          <w:noProof/>
          <w:lang w:eastAsia="ko-KR"/>
        </w:rPr>
        <w:t>Nereceptinis vaistas.</w:t>
      </w:r>
    </w:p>
    <w:p w:rsidR="00C560EE" w:rsidRPr="00520174" w:rsidRDefault="00C560EE" w:rsidP="00520174">
      <w:pPr>
        <w:pStyle w:val="BTEMEASMCA"/>
        <w:rPr>
          <w:lang w:eastAsia="ko-KR"/>
        </w:rPr>
      </w:pPr>
    </w:p>
    <w:p w:rsidR="00501C9B" w:rsidRPr="00520174" w:rsidRDefault="00501C9B" w:rsidP="00520174">
      <w:pPr>
        <w:pStyle w:val="PI-1labEMEASMCA"/>
        <w:rPr>
          <w:lang w:eastAsia="ko-KR"/>
        </w:rPr>
      </w:pPr>
      <w:r w:rsidRPr="00520174">
        <w:rPr>
          <w:lang w:eastAsia="ko-KR"/>
        </w:rPr>
        <w:t>15.</w:t>
      </w:r>
      <w:r w:rsidRPr="00520174">
        <w:rPr>
          <w:lang w:eastAsia="ko-KR"/>
        </w:rPr>
        <w:tab/>
        <w:t>VARTOJIMO INSTRUKCIJA</w:t>
      </w:r>
    </w:p>
    <w:p w:rsidR="00501C9B" w:rsidRPr="00520174" w:rsidRDefault="00501C9B" w:rsidP="00520174">
      <w:pPr>
        <w:pStyle w:val="BTEMEASMCA"/>
        <w:rPr>
          <w:lang w:eastAsia="ko-KR"/>
        </w:rPr>
      </w:pPr>
    </w:p>
    <w:p w:rsidR="00583496" w:rsidRPr="00520174" w:rsidRDefault="00583496" w:rsidP="00520174">
      <w:pPr>
        <w:pStyle w:val="BTEMEASMCA"/>
        <w:rPr>
          <w:lang w:eastAsia="ko-KR"/>
        </w:rPr>
      </w:pPr>
    </w:p>
    <w:p w:rsidR="00501C9B" w:rsidRPr="00520174" w:rsidRDefault="00501C9B" w:rsidP="00520174">
      <w:pPr>
        <w:pStyle w:val="PI-1labEMEASMCA"/>
        <w:rPr>
          <w:lang w:eastAsia="ko-KR"/>
        </w:rPr>
      </w:pPr>
      <w:r w:rsidRPr="00520174">
        <w:rPr>
          <w:lang w:eastAsia="ko-KR"/>
        </w:rPr>
        <w:t>16.</w:t>
      </w:r>
      <w:r w:rsidRPr="00520174">
        <w:rPr>
          <w:lang w:eastAsia="ko-KR"/>
        </w:rPr>
        <w:tab/>
        <w:t>INFORMACIJA BRAILIO RAŠTU</w:t>
      </w:r>
    </w:p>
    <w:p w:rsidR="00D06C5C" w:rsidRPr="00520174" w:rsidRDefault="00D06C5C" w:rsidP="00520174">
      <w:pPr>
        <w:pStyle w:val="BTEMEASMCA"/>
        <w:rPr>
          <w:lang w:eastAsia="ko-KR"/>
        </w:rPr>
      </w:pPr>
    </w:p>
    <w:p w:rsidR="00BF2AB3" w:rsidRPr="00520174" w:rsidRDefault="00C560EE" w:rsidP="00520174">
      <w:proofErr w:type="spellStart"/>
      <w:r w:rsidRPr="00520174">
        <w:t>Guttalax</w:t>
      </w:r>
      <w:proofErr w:type="spellEnd"/>
    </w:p>
    <w:p w:rsidR="00C560EE" w:rsidRPr="00520174" w:rsidRDefault="00C560EE" w:rsidP="00520174"/>
    <w:p w:rsidR="008B3A0E" w:rsidRPr="00520174" w:rsidRDefault="008B3A0E" w:rsidP="00520174">
      <w:pPr>
        <w:pStyle w:val="PI-1labEMEASMCA"/>
        <w:rPr>
          <w:lang w:eastAsia="ko-KR"/>
        </w:rPr>
      </w:pPr>
      <w:r w:rsidRPr="00520174">
        <w:rPr>
          <w:lang w:eastAsia="ko-KR"/>
        </w:rPr>
        <w:t>17.</w:t>
      </w:r>
      <w:r w:rsidRPr="00520174">
        <w:rPr>
          <w:lang w:eastAsia="ko-KR"/>
        </w:rPr>
        <w:tab/>
        <w:t>UNIKALUS IDENTIFIKATORIUS – 2D BRŪKŠNINIS KODAS</w:t>
      </w:r>
    </w:p>
    <w:p w:rsidR="008B3A0E" w:rsidRPr="00520174" w:rsidRDefault="008B3A0E" w:rsidP="00520174"/>
    <w:p w:rsidR="008B3A0E" w:rsidRPr="00520174" w:rsidRDefault="008B3A0E" w:rsidP="00520174"/>
    <w:p w:rsidR="008B3A0E" w:rsidRPr="00520174" w:rsidRDefault="008B3A0E" w:rsidP="00520174">
      <w:pPr>
        <w:pStyle w:val="PI-1labEMEASMCA"/>
        <w:pBdr>
          <w:top w:val="single" w:sz="4" w:space="0" w:color="auto"/>
        </w:pBdr>
        <w:rPr>
          <w:lang w:eastAsia="ko-KR"/>
        </w:rPr>
      </w:pPr>
      <w:r w:rsidRPr="00520174">
        <w:rPr>
          <w:lang w:eastAsia="ko-KR"/>
        </w:rPr>
        <w:t>18.</w:t>
      </w:r>
      <w:r w:rsidRPr="00520174">
        <w:rPr>
          <w:lang w:eastAsia="ko-KR"/>
        </w:rPr>
        <w:tab/>
        <w:t>UNIKALUS IDENTIFIKATORIUS – ŽMONĖMS SUPRANTAMI DUOMENYS</w:t>
      </w:r>
    </w:p>
    <w:p w:rsidR="008B3A0E" w:rsidRPr="00520174" w:rsidRDefault="008B3A0E" w:rsidP="00520174"/>
    <w:p w:rsidR="00501C9B" w:rsidRPr="00520174" w:rsidRDefault="00501C9B" w:rsidP="00520174">
      <w:pPr>
        <w:rPr>
          <w:lang w:eastAsia="ko-KR"/>
        </w:rPr>
      </w:pPr>
      <w:r w:rsidRPr="00520174">
        <w:rPr>
          <w:noProof/>
        </w:rPr>
        <mc:AlternateContent>
          <mc:Choice Requires="wps">
            <w:drawing>
              <wp:anchor distT="0" distB="0" distL="114300" distR="114300" simplePos="0" relativeHeight="251659264" behindDoc="0" locked="0" layoutInCell="1" allowOverlap="1" wp14:anchorId="770C6ECF" wp14:editId="3304024C">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4949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rsidR="00501C9B" w:rsidRPr="00520174" w:rsidRDefault="00501C9B" w:rsidP="00520174">
      <w:pPr>
        <w:pStyle w:val="BTEMEASMCA"/>
        <w:rPr>
          <w:lang w:eastAsia="ko-KR"/>
        </w:rPr>
      </w:pPr>
    </w:p>
    <w:p w:rsidR="00C560EE" w:rsidRPr="00520174" w:rsidRDefault="00501C9B" w:rsidP="00520174">
      <w:pPr>
        <w:keepNext/>
        <w:widowControl w:val="0"/>
        <w:outlineLvl w:val="5"/>
        <w:rPr>
          <w:lang w:eastAsia="ko-KR"/>
        </w:rPr>
      </w:pPr>
      <w:r w:rsidRPr="00520174">
        <w:rPr>
          <w:lang w:eastAsia="ko-KR"/>
        </w:rPr>
        <w:t xml:space="preserve">Gamintojas: </w:t>
      </w:r>
      <w:proofErr w:type="spellStart"/>
      <w:r w:rsidR="00C560EE" w:rsidRPr="00520174">
        <w:rPr>
          <w:lang w:eastAsia="ko-KR"/>
        </w:rPr>
        <w:t>Ist</w:t>
      </w:r>
      <w:r w:rsidR="009A45AF" w:rsidRPr="00520174">
        <w:rPr>
          <w:lang w:eastAsia="ko-KR"/>
        </w:rPr>
        <w:t>ituto</w:t>
      </w:r>
      <w:proofErr w:type="spellEnd"/>
      <w:r w:rsidR="009A45AF" w:rsidRPr="00520174">
        <w:rPr>
          <w:lang w:eastAsia="ko-KR"/>
        </w:rPr>
        <w:t xml:space="preserve"> De </w:t>
      </w:r>
      <w:proofErr w:type="spellStart"/>
      <w:r w:rsidR="009A45AF" w:rsidRPr="00520174">
        <w:rPr>
          <w:lang w:eastAsia="ko-KR"/>
        </w:rPr>
        <w:t>Angeli</w:t>
      </w:r>
      <w:proofErr w:type="spellEnd"/>
      <w:r w:rsidR="009A45AF" w:rsidRPr="00520174">
        <w:rPr>
          <w:lang w:eastAsia="ko-KR"/>
        </w:rPr>
        <w:t xml:space="preserve"> S. r. l., </w:t>
      </w:r>
      <w:proofErr w:type="spellStart"/>
      <w:r w:rsidR="009A45AF" w:rsidRPr="00520174">
        <w:rPr>
          <w:lang w:eastAsia="ko-KR"/>
        </w:rPr>
        <w:t>Loc</w:t>
      </w:r>
      <w:proofErr w:type="spellEnd"/>
      <w:r w:rsidR="009A45AF" w:rsidRPr="00520174">
        <w:rPr>
          <w:lang w:eastAsia="ko-KR"/>
        </w:rPr>
        <w:t xml:space="preserve">. </w:t>
      </w:r>
      <w:proofErr w:type="spellStart"/>
      <w:r w:rsidR="00C560EE" w:rsidRPr="00520174">
        <w:rPr>
          <w:lang w:eastAsia="ko-KR"/>
        </w:rPr>
        <w:t>P</w:t>
      </w:r>
      <w:r w:rsidR="009A45AF" w:rsidRPr="00520174">
        <w:rPr>
          <w:lang w:eastAsia="ko-KR"/>
        </w:rPr>
        <w:t>rulli</w:t>
      </w:r>
      <w:proofErr w:type="spellEnd"/>
      <w:r w:rsidR="009A45AF" w:rsidRPr="00520174">
        <w:rPr>
          <w:lang w:eastAsia="ko-KR"/>
        </w:rPr>
        <w:t xml:space="preserve"> 103/C, I - 50066 </w:t>
      </w:r>
      <w:proofErr w:type="spellStart"/>
      <w:r w:rsidR="009A45AF" w:rsidRPr="00520174">
        <w:rPr>
          <w:lang w:eastAsia="ko-KR"/>
        </w:rPr>
        <w:t>Regello</w:t>
      </w:r>
      <w:proofErr w:type="spellEnd"/>
      <w:r w:rsidR="009A45AF" w:rsidRPr="00520174">
        <w:rPr>
          <w:lang w:eastAsia="ko-KR"/>
        </w:rPr>
        <w:t xml:space="preserve"> (</w:t>
      </w:r>
      <w:r w:rsidR="00C560EE" w:rsidRPr="00520174">
        <w:rPr>
          <w:lang w:eastAsia="ko-KR"/>
        </w:rPr>
        <w:t>FI), Italija</w:t>
      </w:r>
      <w:r w:rsidR="009A45AF" w:rsidRPr="00520174">
        <w:rPr>
          <w:lang w:eastAsia="ko-KR"/>
        </w:rPr>
        <w:t>.</w:t>
      </w:r>
    </w:p>
    <w:p w:rsidR="00DA3C10" w:rsidRPr="00520174" w:rsidRDefault="00501C9B" w:rsidP="00520174">
      <w:pPr>
        <w:rPr>
          <w:lang w:eastAsia="ko-KR"/>
        </w:rPr>
      </w:pPr>
      <w:r w:rsidRPr="00520174">
        <w:rPr>
          <w:lang w:eastAsia="ko-KR"/>
        </w:rPr>
        <w:t xml:space="preserve">Perpakavo </w:t>
      </w:r>
      <w:r w:rsidR="005D7C74" w:rsidRPr="00520174">
        <w:rPr>
          <w:lang w:eastAsia="ko-KR"/>
        </w:rPr>
        <w:t xml:space="preserve">: </w:t>
      </w:r>
      <w:r w:rsidRPr="00520174">
        <w:rPr>
          <w:lang w:eastAsia="ko-KR"/>
        </w:rPr>
        <w:t>BĮ UAB „</w:t>
      </w:r>
      <w:proofErr w:type="spellStart"/>
      <w:r w:rsidRPr="00520174">
        <w:rPr>
          <w:lang w:eastAsia="ko-KR"/>
        </w:rPr>
        <w:t>Norfachema</w:t>
      </w:r>
      <w:proofErr w:type="spellEnd"/>
      <w:r w:rsidRPr="00520174">
        <w:rPr>
          <w:lang w:eastAsia="ko-KR"/>
        </w:rPr>
        <w:t>“</w:t>
      </w:r>
      <w:r w:rsidR="0043362A" w:rsidRPr="00520174">
        <w:rPr>
          <w:lang w:eastAsia="ko-KR"/>
        </w:rPr>
        <w:t>.</w:t>
      </w:r>
    </w:p>
    <w:p w:rsidR="00501C9B" w:rsidRPr="00520174" w:rsidRDefault="0043362A" w:rsidP="00520174">
      <w:pPr>
        <w:pStyle w:val="BTEMEASMCA"/>
        <w:rPr>
          <w:lang w:eastAsia="ko-KR"/>
        </w:rPr>
      </w:pPr>
      <w:proofErr w:type="spellStart"/>
      <w:r w:rsidRPr="00520174">
        <w:rPr>
          <w:lang w:eastAsia="ko-KR"/>
        </w:rPr>
        <w:t>Perpak</w:t>
      </w:r>
      <w:proofErr w:type="spellEnd"/>
      <w:r w:rsidRPr="00520174">
        <w:rPr>
          <w:lang w:eastAsia="ko-KR"/>
        </w:rPr>
        <w:t>. s</w:t>
      </w:r>
      <w:r w:rsidR="00501C9B" w:rsidRPr="00520174">
        <w:rPr>
          <w:lang w:eastAsia="ko-KR"/>
        </w:rPr>
        <w:t>erija</w:t>
      </w:r>
      <w:r w:rsidR="00831996" w:rsidRPr="00520174">
        <w:rPr>
          <w:lang w:eastAsia="ko-KR"/>
        </w:rPr>
        <w:t>:</w:t>
      </w:r>
      <w:r w:rsidRPr="00520174">
        <w:rPr>
          <w:lang w:eastAsia="ko-KR"/>
        </w:rPr>
        <w:t xml:space="preserve"> { </w:t>
      </w:r>
      <w:r w:rsidR="00D2509B" w:rsidRPr="00520174">
        <w:rPr>
          <w:lang w:eastAsia="ko-KR"/>
        </w:rPr>
        <w:t xml:space="preserve">   </w:t>
      </w:r>
      <w:r w:rsidRPr="00520174">
        <w:rPr>
          <w:lang w:eastAsia="ko-KR"/>
        </w:rPr>
        <w:t>}</w:t>
      </w:r>
      <w:r w:rsidR="00831996" w:rsidRPr="00520174">
        <w:rPr>
          <w:lang w:eastAsia="ko-KR"/>
        </w:rPr>
        <w:t>.</w:t>
      </w:r>
    </w:p>
    <w:p w:rsidR="009A45AF" w:rsidRPr="00520174" w:rsidRDefault="009A45AF" w:rsidP="00520174">
      <w:pPr>
        <w:rPr>
          <w:i/>
          <w:lang w:eastAsia="ko-KR"/>
        </w:rPr>
      </w:pPr>
    </w:p>
    <w:p w:rsidR="009A45AF" w:rsidRPr="00520174" w:rsidRDefault="009A45AF" w:rsidP="00520174">
      <w:pPr>
        <w:rPr>
          <w:i/>
          <w:lang w:eastAsia="ko-KR"/>
        </w:rPr>
      </w:pPr>
      <w:r w:rsidRPr="00520174">
        <w:rPr>
          <w:i/>
          <w:lang w:eastAsia="ko-KR"/>
        </w:rPr>
        <w:t xml:space="preserve">Lygiagrečiai importuojamas vaistinis preparatas skiriasi nuo referencinio vaistinio preparato pagalbinėmis medžiagomis, laikymo sąlygomis bei tinkamumo laiku: referencinio vaistinio preparato sudėtyje yra natrio </w:t>
      </w:r>
      <w:proofErr w:type="spellStart"/>
      <w:r w:rsidRPr="00520174">
        <w:rPr>
          <w:i/>
          <w:lang w:eastAsia="ko-KR"/>
        </w:rPr>
        <w:t>benzoato</w:t>
      </w:r>
      <w:proofErr w:type="spellEnd"/>
      <w:r w:rsidRPr="00520174">
        <w:rPr>
          <w:i/>
          <w:lang w:eastAsia="ko-KR"/>
        </w:rPr>
        <w:t xml:space="preserve"> (E211), natrio citrato, citrinų rūgšties </w:t>
      </w:r>
      <w:proofErr w:type="spellStart"/>
      <w:r w:rsidRPr="00520174">
        <w:rPr>
          <w:i/>
          <w:lang w:eastAsia="ko-KR"/>
        </w:rPr>
        <w:t>monohidrato</w:t>
      </w:r>
      <w:proofErr w:type="spellEnd"/>
      <w:r w:rsidRPr="00520174">
        <w:rPr>
          <w:i/>
          <w:lang w:eastAsia="ko-KR"/>
        </w:rPr>
        <w:t>, laikyti ne aukštesnėje kaip 30 °C temperatūroje, tinkamumo laikas 3 metai,</w:t>
      </w:r>
      <w:r w:rsidRPr="00520174">
        <w:rPr>
          <w:i/>
        </w:rPr>
        <w:t xml:space="preserve"> </w:t>
      </w:r>
      <w:r w:rsidRPr="00520174">
        <w:rPr>
          <w:i/>
          <w:lang w:eastAsia="ko-KR"/>
        </w:rPr>
        <w:t xml:space="preserve">buteliuką pirmą kartą atidarius, geriamieji lašai (tirpalas) tinkamas vartoti 12 mėn. Lygiagrečiai importuojamo vaistinio preparato sudėtyje yra </w:t>
      </w:r>
      <w:proofErr w:type="spellStart"/>
      <w:r w:rsidRPr="00520174">
        <w:rPr>
          <w:i/>
          <w:lang w:eastAsia="ko-KR"/>
        </w:rPr>
        <w:t>metilparabeno</w:t>
      </w:r>
      <w:proofErr w:type="spellEnd"/>
      <w:r w:rsidRPr="00520174">
        <w:rPr>
          <w:i/>
          <w:lang w:eastAsia="ko-KR"/>
        </w:rPr>
        <w:t xml:space="preserve"> E-218,</w:t>
      </w:r>
      <w:r w:rsidR="00071782">
        <w:rPr>
          <w:i/>
          <w:lang w:eastAsia="ko-KR"/>
        </w:rPr>
        <w:t xml:space="preserve"> nėra natrio </w:t>
      </w:r>
      <w:proofErr w:type="spellStart"/>
      <w:r w:rsidR="00071782">
        <w:rPr>
          <w:i/>
          <w:lang w:eastAsia="ko-KR"/>
        </w:rPr>
        <w:t>benzoato</w:t>
      </w:r>
      <w:proofErr w:type="spellEnd"/>
      <w:r w:rsidR="00071782">
        <w:rPr>
          <w:i/>
          <w:lang w:eastAsia="ko-KR"/>
        </w:rPr>
        <w:t xml:space="preserve"> E211, natrio citrato, citrinų rūgšties </w:t>
      </w:r>
      <w:proofErr w:type="spellStart"/>
      <w:r w:rsidR="00071782">
        <w:rPr>
          <w:i/>
          <w:lang w:eastAsia="ko-KR"/>
        </w:rPr>
        <w:t>monohidrato</w:t>
      </w:r>
      <w:proofErr w:type="spellEnd"/>
      <w:r w:rsidR="00071782">
        <w:rPr>
          <w:i/>
          <w:lang w:eastAsia="ko-KR"/>
        </w:rPr>
        <w:t>,</w:t>
      </w:r>
      <w:r w:rsidRPr="00520174">
        <w:rPr>
          <w:i/>
          <w:lang w:eastAsia="ko-KR"/>
        </w:rPr>
        <w:t xml:space="preserve"> preparatui nereikia specialių laikymo sąlygų, tinkamumo laikas 5 metai.</w:t>
      </w:r>
    </w:p>
    <w:p w:rsidR="009A45AF" w:rsidRPr="00520174" w:rsidRDefault="009A45AF" w:rsidP="00520174">
      <w:pPr>
        <w:rPr>
          <w:lang w:eastAsia="ko-KR"/>
        </w:rPr>
      </w:pPr>
    </w:p>
    <w:p w:rsidR="00501C9B" w:rsidRPr="00520174" w:rsidRDefault="00501C9B" w:rsidP="00520174">
      <w:pPr>
        <w:rPr>
          <w:lang w:eastAsia="ko-KR"/>
        </w:rPr>
      </w:pPr>
    </w:p>
    <w:p w:rsidR="009122B3" w:rsidRPr="00520174" w:rsidRDefault="009122B3" w:rsidP="00520174">
      <w:pPr>
        <w:keepNext/>
        <w:outlineLvl w:val="2"/>
        <w:rPr>
          <w:b/>
          <w:lang w:eastAsia="ko-KR"/>
        </w:rPr>
      </w:pPr>
    </w:p>
    <w:p w:rsidR="009122B3" w:rsidRPr="00520174" w:rsidRDefault="009122B3" w:rsidP="00520174">
      <w:pPr>
        <w:keepNext/>
        <w:outlineLvl w:val="2"/>
        <w:rPr>
          <w:b/>
          <w:lang w:eastAsia="ko-KR"/>
        </w:rPr>
      </w:pPr>
    </w:p>
    <w:p w:rsidR="009122B3" w:rsidRPr="00520174" w:rsidRDefault="009122B3" w:rsidP="00520174">
      <w:pPr>
        <w:keepNext/>
        <w:outlineLvl w:val="2"/>
        <w:rPr>
          <w:b/>
          <w:lang w:eastAsia="ko-KR"/>
        </w:rPr>
      </w:pPr>
    </w:p>
    <w:p w:rsidR="009122B3" w:rsidRPr="00520174" w:rsidRDefault="009122B3" w:rsidP="00520174">
      <w:pPr>
        <w:keepNext/>
        <w:outlineLvl w:val="2"/>
        <w:rPr>
          <w:b/>
          <w:lang w:eastAsia="ko-KR"/>
        </w:rPr>
      </w:pPr>
    </w:p>
    <w:p w:rsidR="009122B3" w:rsidRPr="00520174" w:rsidRDefault="009122B3" w:rsidP="00520174">
      <w:pPr>
        <w:keepNext/>
        <w:outlineLvl w:val="2"/>
        <w:rPr>
          <w:b/>
          <w:lang w:eastAsia="ko-KR"/>
        </w:rPr>
      </w:pPr>
    </w:p>
    <w:p w:rsidR="009122B3" w:rsidRPr="00520174" w:rsidRDefault="009122B3" w:rsidP="00520174">
      <w:pPr>
        <w:keepNext/>
        <w:outlineLvl w:val="2"/>
        <w:rPr>
          <w:b/>
          <w:lang w:eastAsia="ko-KR"/>
        </w:rPr>
      </w:pPr>
    </w:p>
    <w:p w:rsidR="009122B3" w:rsidRPr="00520174" w:rsidRDefault="009122B3" w:rsidP="00520174">
      <w:pPr>
        <w:keepNext/>
        <w:outlineLvl w:val="2"/>
        <w:rPr>
          <w:b/>
          <w:lang w:eastAsia="ko-KR"/>
        </w:rPr>
      </w:pPr>
    </w:p>
    <w:p w:rsidR="009122B3" w:rsidRPr="00520174" w:rsidRDefault="009122B3" w:rsidP="00520174">
      <w:pPr>
        <w:keepNext/>
        <w:outlineLvl w:val="2"/>
        <w:rPr>
          <w:b/>
          <w:lang w:eastAsia="ko-KR"/>
        </w:rPr>
      </w:pPr>
    </w:p>
    <w:p w:rsidR="009122B3" w:rsidRPr="00520174" w:rsidRDefault="009122B3" w:rsidP="00520174">
      <w:pPr>
        <w:keepNext/>
        <w:outlineLvl w:val="2"/>
        <w:rPr>
          <w:b/>
          <w:lang w:eastAsia="ko-KR"/>
        </w:rPr>
      </w:pPr>
    </w:p>
    <w:p w:rsidR="009122B3" w:rsidRPr="00520174" w:rsidRDefault="009122B3" w:rsidP="00520174">
      <w:pPr>
        <w:keepNext/>
        <w:outlineLvl w:val="2"/>
        <w:rPr>
          <w:b/>
          <w:lang w:eastAsia="ko-KR"/>
        </w:rPr>
      </w:pPr>
    </w:p>
    <w:p w:rsidR="009122B3" w:rsidRPr="00520174" w:rsidRDefault="009122B3" w:rsidP="00520174">
      <w:pPr>
        <w:keepNext/>
        <w:outlineLvl w:val="2"/>
        <w:rPr>
          <w:b/>
          <w:lang w:eastAsia="ko-KR"/>
        </w:rPr>
      </w:pPr>
    </w:p>
    <w:p w:rsidR="009122B3" w:rsidRPr="00520174" w:rsidRDefault="009122B3" w:rsidP="00520174">
      <w:pPr>
        <w:keepNext/>
        <w:outlineLvl w:val="2"/>
        <w:rPr>
          <w:b/>
          <w:lang w:eastAsia="ko-KR"/>
        </w:rPr>
      </w:pPr>
    </w:p>
    <w:p w:rsidR="009122B3" w:rsidRPr="00520174" w:rsidRDefault="009122B3" w:rsidP="00520174">
      <w:pPr>
        <w:keepNext/>
        <w:outlineLvl w:val="2"/>
        <w:rPr>
          <w:b/>
          <w:lang w:eastAsia="ko-KR"/>
        </w:rPr>
      </w:pPr>
    </w:p>
    <w:p w:rsidR="009122B3" w:rsidRPr="00520174" w:rsidRDefault="009122B3" w:rsidP="00520174">
      <w:pPr>
        <w:keepNext/>
        <w:outlineLvl w:val="2"/>
        <w:rPr>
          <w:b/>
          <w:lang w:eastAsia="ko-KR"/>
        </w:rPr>
      </w:pPr>
    </w:p>
    <w:p w:rsidR="009122B3" w:rsidRPr="00520174" w:rsidRDefault="009122B3" w:rsidP="00520174">
      <w:pPr>
        <w:keepNext/>
        <w:outlineLvl w:val="2"/>
        <w:rPr>
          <w:b/>
          <w:lang w:eastAsia="ko-KR"/>
        </w:rPr>
      </w:pPr>
    </w:p>
    <w:p w:rsidR="009122B3" w:rsidRPr="00520174" w:rsidRDefault="009122B3" w:rsidP="00520174">
      <w:pPr>
        <w:keepNext/>
        <w:outlineLvl w:val="2"/>
        <w:rPr>
          <w:b/>
          <w:lang w:eastAsia="ko-KR"/>
        </w:rPr>
      </w:pPr>
    </w:p>
    <w:p w:rsidR="009122B3" w:rsidRPr="00520174" w:rsidRDefault="009122B3" w:rsidP="00520174">
      <w:pPr>
        <w:keepNext/>
        <w:outlineLvl w:val="2"/>
        <w:rPr>
          <w:b/>
          <w:lang w:eastAsia="ko-KR"/>
        </w:rPr>
      </w:pPr>
    </w:p>
    <w:p w:rsidR="009122B3" w:rsidRPr="00520174" w:rsidRDefault="009122B3" w:rsidP="00520174">
      <w:pPr>
        <w:keepNext/>
        <w:outlineLvl w:val="2"/>
        <w:rPr>
          <w:b/>
          <w:lang w:eastAsia="ko-KR"/>
        </w:rPr>
      </w:pPr>
    </w:p>
    <w:p w:rsidR="009122B3" w:rsidRPr="00520174" w:rsidRDefault="009122B3" w:rsidP="00520174">
      <w:pPr>
        <w:keepNext/>
        <w:outlineLvl w:val="2"/>
        <w:rPr>
          <w:b/>
          <w:lang w:eastAsia="ko-KR"/>
        </w:rPr>
      </w:pPr>
    </w:p>
    <w:p w:rsidR="009122B3" w:rsidRPr="00520174" w:rsidRDefault="009122B3" w:rsidP="00520174">
      <w:pPr>
        <w:keepNext/>
        <w:outlineLvl w:val="2"/>
        <w:rPr>
          <w:b/>
          <w:lang w:eastAsia="ko-KR"/>
        </w:rPr>
      </w:pPr>
    </w:p>
    <w:p w:rsidR="009122B3" w:rsidRPr="00520174" w:rsidRDefault="009122B3" w:rsidP="00520174">
      <w:pPr>
        <w:keepNext/>
        <w:outlineLvl w:val="2"/>
        <w:rPr>
          <w:b/>
          <w:lang w:eastAsia="ko-KR"/>
        </w:rPr>
      </w:pPr>
    </w:p>
    <w:p w:rsidR="009122B3" w:rsidRPr="00520174" w:rsidRDefault="009122B3" w:rsidP="00520174">
      <w:pPr>
        <w:keepNext/>
        <w:outlineLvl w:val="2"/>
        <w:rPr>
          <w:b/>
          <w:lang w:eastAsia="ko-KR"/>
        </w:rPr>
      </w:pPr>
    </w:p>
    <w:p w:rsidR="009122B3" w:rsidRPr="00520174" w:rsidRDefault="009122B3" w:rsidP="00520174">
      <w:pPr>
        <w:keepNext/>
        <w:outlineLvl w:val="2"/>
        <w:rPr>
          <w:b/>
          <w:lang w:eastAsia="ko-KR"/>
        </w:rPr>
      </w:pPr>
    </w:p>
    <w:p w:rsidR="009122B3" w:rsidRPr="00520174" w:rsidRDefault="009122B3" w:rsidP="00520174">
      <w:pPr>
        <w:keepNext/>
        <w:outlineLvl w:val="2"/>
        <w:rPr>
          <w:b/>
          <w:lang w:eastAsia="ko-KR"/>
        </w:rPr>
      </w:pPr>
    </w:p>
    <w:p w:rsidR="00DA3C10" w:rsidRPr="00520174" w:rsidRDefault="009122B3" w:rsidP="00520174">
      <w:pPr>
        <w:keepNext/>
        <w:jc w:val="center"/>
        <w:outlineLvl w:val="2"/>
        <w:rPr>
          <w:b/>
          <w:lang w:eastAsia="ko-KR"/>
        </w:rPr>
      </w:pPr>
      <w:r w:rsidRPr="00520174">
        <w:rPr>
          <w:b/>
          <w:lang w:eastAsia="ko-KR"/>
        </w:rPr>
        <w:t>B</w:t>
      </w:r>
      <w:r w:rsidR="00DA3C10" w:rsidRPr="00520174">
        <w:rPr>
          <w:b/>
          <w:lang w:eastAsia="ko-KR"/>
        </w:rPr>
        <w:t xml:space="preserve">. </w:t>
      </w:r>
      <w:r w:rsidR="00DA3C10" w:rsidRPr="00520174">
        <w:rPr>
          <w:b/>
          <w:bCs/>
          <w:lang w:eastAsia="ko-KR"/>
        </w:rPr>
        <w:t>PAKUOTĖS</w:t>
      </w:r>
      <w:r w:rsidR="00DA3C10" w:rsidRPr="00520174">
        <w:rPr>
          <w:b/>
          <w:bCs/>
          <w:i/>
          <w:lang w:eastAsia="ko-KR"/>
        </w:rPr>
        <w:t xml:space="preserve"> </w:t>
      </w:r>
      <w:r w:rsidR="00DA3C10" w:rsidRPr="00520174">
        <w:rPr>
          <w:b/>
          <w:bCs/>
          <w:lang w:eastAsia="ko-KR"/>
        </w:rPr>
        <w:t>LAPELIS</w:t>
      </w:r>
    </w:p>
    <w:p w:rsidR="00501C9B" w:rsidRPr="00520174" w:rsidRDefault="00501C9B" w:rsidP="00520174">
      <w:pPr>
        <w:rPr>
          <w:lang w:eastAsia="ko-KR"/>
        </w:rPr>
      </w:pPr>
    </w:p>
    <w:p w:rsidR="00501C9B" w:rsidRPr="00520174" w:rsidRDefault="00501C9B" w:rsidP="00520174">
      <w:pPr>
        <w:rPr>
          <w:lang w:eastAsia="ko-KR"/>
        </w:rPr>
      </w:pPr>
    </w:p>
    <w:p w:rsidR="00501C9B" w:rsidRPr="00520174" w:rsidRDefault="00501C9B" w:rsidP="00520174">
      <w:pPr>
        <w:rPr>
          <w:lang w:eastAsia="ko-KR"/>
        </w:rPr>
      </w:pPr>
    </w:p>
    <w:p w:rsidR="00501C9B" w:rsidRPr="00520174" w:rsidRDefault="00501C9B" w:rsidP="00520174">
      <w:pPr>
        <w:rPr>
          <w:lang w:eastAsia="ko-KR"/>
        </w:rPr>
      </w:pPr>
    </w:p>
    <w:p w:rsidR="00501C9B" w:rsidRPr="00520174" w:rsidRDefault="00501C9B" w:rsidP="00520174">
      <w:pPr>
        <w:rPr>
          <w:lang w:eastAsia="ko-KR"/>
        </w:rPr>
      </w:pPr>
    </w:p>
    <w:p w:rsidR="00501C9B" w:rsidRPr="00520174" w:rsidRDefault="00501C9B" w:rsidP="00520174">
      <w:pPr>
        <w:rPr>
          <w:lang w:eastAsia="ko-KR"/>
        </w:rPr>
      </w:pPr>
    </w:p>
    <w:p w:rsidR="00501C9B" w:rsidRPr="00520174" w:rsidRDefault="00501C9B" w:rsidP="00520174">
      <w:pPr>
        <w:rPr>
          <w:lang w:eastAsia="ko-KR"/>
        </w:rPr>
      </w:pPr>
    </w:p>
    <w:p w:rsidR="00501C9B" w:rsidRPr="00520174" w:rsidRDefault="00501C9B" w:rsidP="00520174">
      <w:pPr>
        <w:rPr>
          <w:lang w:eastAsia="ko-KR"/>
        </w:rPr>
      </w:pPr>
    </w:p>
    <w:p w:rsidR="00501C9B" w:rsidRPr="00520174" w:rsidRDefault="00501C9B" w:rsidP="00520174">
      <w:pPr>
        <w:rPr>
          <w:lang w:eastAsia="ko-KR"/>
        </w:rPr>
      </w:pPr>
    </w:p>
    <w:p w:rsidR="00501C9B" w:rsidRPr="00520174" w:rsidRDefault="00501C9B" w:rsidP="00520174">
      <w:pPr>
        <w:rPr>
          <w:lang w:eastAsia="ko-KR"/>
        </w:rPr>
      </w:pPr>
    </w:p>
    <w:p w:rsidR="00501C9B" w:rsidRPr="00520174" w:rsidRDefault="00501C9B" w:rsidP="00520174">
      <w:pPr>
        <w:rPr>
          <w:lang w:eastAsia="ko-KR"/>
        </w:rPr>
      </w:pPr>
    </w:p>
    <w:p w:rsidR="00501C9B" w:rsidRPr="00520174" w:rsidRDefault="00501C9B" w:rsidP="00520174">
      <w:pPr>
        <w:rPr>
          <w:lang w:eastAsia="ko-KR"/>
        </w:rPr>
      </w:pPr>
    </w:p>
    <w:p w:rsidR="00501C9B" w:rsidRPr="00520174" w:rsidRDefault="00501C9B" w:rsidP="00520174">
      <w:pPr>
        <w:rPr>
          <w:lang w:eastAsia="ko-KR"/>
        </w:rPr>
      </w:pPr>
    </w:p>
    <w:p w:rsidR="00501C9B" w:rsidRPr="00520174" w:rsidRDefault="00501C9B" w:rsidP="00520174">
      <w:pPr>
        <w:rPr>
          <w:lang w:eastAsia="ko-KR"/>
        </w:rPr>
      </w:pPr>
    </w:p>
    <w:p w:rsidR="00501C9B" w:rsidRPr="00520174" w:rsidRDefault="00501C9B" w:rsidP="00520174">
      <w:pPr>
        <w:rPr>
          <w:lang w:eastAsia="ko-KR"/>
        </w:rPr>
      </w:pPr>
    </w:p>
    <w:p w:rsidR="00501C9B" w:rsidRPr="00520174" w:rsidRDefault="00501C9B" w:rsidP="00520174">
      <w:pPr>
        <w:rPr>
          <w:lang w:eastAsia="ko-KR"/>
        </w:rPr>
      </w:pPr>
    </w:p>
    <w:p w:rsidR="00501C9B" w:rsidRPr="00520174" w:rsidRDefault="00501C9B" w:rsidP="00520174">
      <w:pPr>
        <w:rPr>
          <w:lang w:eastAsia="ko-KR"/>
        </w:rPr>
      </w:pPr>
    </w:p>
    <w:p w:rsidR="00501C9B" w:rsidRPr="00520174" w:rsidRDefault="00501C9B" w:rsidP="00520174">
      <w:pPr>
        <w:rPr>
          <w:lang w:eastAsia="ko-KR"/>
        </w:rPr>
      </w:pPr>
    </w:p>
    <w:p w:rsidR="00501C9B" w:rsidRPr="00520174" w:rsidRDefault="00501C9B" w:rsidP="00520174">
      <w:pPr>
        <w:rPr>
          <w:lang w:eastAsia="ko-KR"/>
        </w:rPr>
      </w:pPr>
    </w:p>
    <w:p w:rsidR="005D6E20" w:rsidRPr="00520174" w:rsidRDefault="005D6E20" w:rsidP="00520174">
      <w:pPr>
        <w:pStyle w:val="Pagrindinistekstas"/>
        <w:spacing w:after="0"/>
        <w:rPr>
          <w:b/>
          <w:bCs/>
          <w:iCs/>
          <w:lang w:eastAsia="ko-KR"/>
        </w:rPr>
      </w:pPr>
    </w:p>
    <w:p w:rsidR="005D6E20" w:rsidRPr="00520174" w:rsidRDefault="005D6E20" w:rsidP="00520174">
      <w:pPr>
        <w:pStyle w:val="Pagrindinistekstas"/>
        <w:spacing w:after="0"/>
        <w:rPr>
          <w:b/>
          <w:bCs/>
          <w:iCs/>
          <w:lang w:eastAsia="ko-KR"/>
        </w:rPr>
      </w:pPr>
    </w:p>
    <w:p w:rsidR="005D6E20" w:rsidRPr="00520174" w:rsidRDefault="005D6E20" w:rsidP="00520174">
      <w:pPr>
        <w:pStyle w:val="Pagrindinistekstas"/>
        <w:spacing w:after="0"/>
        <w:rPr>
          <w:b/>
          <w:bCs/>
          <w:iCs/>
          <w:lang w:eastAsia="ko-KR"/>
        </w:rPr>
      </w:pPr>
    </w:p>
    <w:p w:rsidR="000E0AC2" w:rsidRPr="00520174" w:rsidRDefault="000E0AC2" w:rsidP="00520174">
      <w:pPr>
        <w:pStyle w:val="Pagrindinistekstas"/>
        <w:spacing w:after="0"/>
        <w:rPr>
          <w:b/>
          <w:bCs/>
          <w:iCs/>
          <w:lang w:eastAsia="ko-KR"/>
        </w:rPr>
      </w:pPr>
    </w:p>
    <w:p w:rsidR="000E0AC2" w:rsidRPr="00520174" w:rsidRDefault="000E0AC2" w:rsidP="00520174">
      <w:pPr>
        <w:pStyle w:val="Pagrindinistekstas"/>
        <w:spacing w:after="0"/>
        <w:rPr>
          <w:b/>
          <w:bCs/>
          <w:iCs/>
          <w:lang w:eastAsia="ko-KR"/>
        </w:rPr>
      </w:pPr>
    </w:p>
    <w:p w:rsidR="000E0AC2" w:rsidRPr="00520174" w:rsidRDefault="000E0AC2" w:rsidP="00520174">
      <w:pPr>
        <w:pStyle w:val="Pagrindinistekstas"/>
        <w:spacing w:after="0"/>
        <w:rPr>
          <w:b/>
          <w:bCs/>
          <w:iCs/>
          <w:lang w:eastAsia="ko-KR"/>
        </w:rPr>
      </w:pPr>
    </w:p>
    <w:p w:rsidR="000E0AC2" w:rsidRPr="00520174" w:rsidRDefault="000E0AC2" w:rsidP="00520174">
      <w:pPr>
        <w:pStyle w:val="Pagrindinistekstas"/>
        <w:spacing w:after="0"/>
        <w:rPr>
          <w:b/>
          <w:bCs/>
          <w:iCs/>
          <w:lang w:eastAsia="ko-KR"/>
        </w:rPr>
      </w:pPr>
    </w:p>
    <w:p w:rsidR="0074111F" w:rsidRPr="00520174" w:rsidRDefault="0074111F" w:rsidP="00520174">
      <w:pPr>
        <w:pStyle w:val="Pagrindinistekstas"/>
        <w:spacing w:after="0"/>
        <w:rPr>
          <w:b/>
          <w:bCs/>
          <w:iCs/>
          <w:lang w:eastAsia="ko-KR"/>
        </w:rPr>
      </w:pPr>
    </w:p>
    <w:p w:rsidR="000E0AC2" w:rsidRPr="00520174" w:rsidRDefault="000E0AC2" w:rsidP="00520174">
      <w:pPr>
        <w:pStyle w:val="Pagrindinistekstas"/>
        <w:spacing w:after="0"/>
        <w:rPr>
          <w:b/>
          <w:bCs/>
          <w:iCs/>
          <w:lang w:eastAsia="ko-KR"/>
        </w:rPr>
      </w:pPr>
    </w:p>
    <w:p w:rsidR="007B096F" w:rsidRPr="00520174" w:rsidRDefault="007B096F" w:rsidP="00520174">
      <w:pPr>
        <w:tabs>
          <w:tab w:val="left" w:pos="567"/>
        </w:tabs>
        <w:jc w:val="center"/>
        <w:rPr>
          <w:b/>
          <w:iCs/>
          <w:lang w:eastAsia="ko-KR"/>
        </w:rPr>
      </w:pPr>
      <w:r w:rsidRPr="00520174">
        <w:rPr>
          <w:b/>
          <w:iCs/>
          <w:lang w:eastAsia="ko-KR"/>
        </w:rPr>
        <w:lastRenderedPageBreak/>
        <w:t>Pakuotės lapelis: informacija vartotojui</w:t>
      </w:r>
    </w:p>
    <w:p w:rsidR="00A03D7B" w:rsidRPr="00520174" w:rsidRDefault="00A03D7B" w:rsidP="00520174">
      <w:pPr>
        <w:tabs>
          <w:tab w:val="left" w:pos="567"/>
        </w:tabs>
        <w:jc w:val="center"/>
        <w:rPr>
          <w:b/>
          <w:lang w:eastAsia="ko-KR"/>
        </w:rPr>
      </w:pPr>
    </w:p>
    <w:p w:rsidR="00FB1822" w:rsidRPr="00520174" w:rsidRDefault="00FB1822" w:rsidP="00520174">
      <w:pPr>
        <w:widowControl w:val="0"/>
        <w:jc w:val="center"/>
        <w:rPr>
          <w:b/>
          <w:iCs/>
        </w:rPr>
      </w:pPr>
      <w:bookmarkStart w:id="4" w:name="_Toc129243139"/>
      <w:bookmarkStart w:id="5" w:name="_Toc129243264"/>
      <w:proofErr w:type="spellStart"/>
      <w:r w:rsidRPr="00520174">
        <w:rPr>
          <w:b/>
          <w:iCs/>
        </w:rPr>
        <w:t>Guttalax</w:t>
      </w:r>
      <w:proofErr w:type="spellEnd"/>
      <w:r w:rsidRPr="00520174">
        <w:rPr>
          <w:b/>
          <w:iCs/>
        </w:rPr>
        <w:t xml:space="preserve"> 7,5 mg/ml geriamieji lašai (tirpalas) </w:t>
      </w:r>
    </w:p>
    <w:p w:rsidR="002213E9" w:rsidRPr="00C83B45" w:rsidRDefault="00C83B45" w:rsidP="00520174">
      <w:pPr>
        <w:widowControl w:val="0"/>
        <w:jc w:val="center"/>
        <w:rPr>
          <w:b/>
          <w:bCs/>
          <w:iCs/>
        </w:rPr>
      </w:pPr>
      <w:bookmarkStart w:id="6" w:name="_GoBack"/>
      <w:bookmarkEnd w:id="6"/>
      <w:r w:rsidRPr="00C83B45">
        <w:rPr>
          <w:bCs/>
          <w:iCs/>
        </w:rPr>
        <w:t xml:space="preserve">Natrio </w:t>
      </w:r>
      <w:proofErr w:type="spellStart"/>
      <w:r w:rsidRPr="00C83B45">
        <w:rPr>
          <w:bCs/>
          <w:iCs/>
        </w:rPr>
        <w:t>pikosulfatas</w:t>
      </w:r>
      <w:proofErr w:type="spellEnd"/>
    </w:p>
    <w:p w:rsidR="00783F7C" w:rsidRPr="00520174" w:rsidRDefault="00783F7C" w:rsidP="00520174">
      <w:pPr>
        <w:jc w:val="center"/>
        <w:rPr>
          <w:lang w:eastAsia="en-US"/>
        </w:rPr>
      </w:pPr>
    </w:p>
    <w:p w:rsidR="00FB1822" w:rsidRPr="00520174" w:rsidRDefault="00FB1822" w:rsidP="00520174">
      <w:pPr>
        <w:tabs>
          <w:tab w:val="left" w:pos="567"/>
        </w:tabs>
        <w:rPr>
          <w:b/>
          <w:noProof/>
        </w:rPr>
      </w:pPr>
      <w:r w:rsidRPr="00520174">
        <w:rPr>
          <w:b/>
          <w:noProof/>
        </w:rPr>
        <w:t>Atidžiai perskaitykite visą šį lapelį, prieš pradėdami vartoti šį vaistą, nes jame pateikiama Jums svarbi informacija.</w:t>
      </w:r>
    </w:p>
    <w:p w:rsidR="00FB1822" w:rsidRPr="00520174" w:rsidRDefault="00FB1822" w:rsidP="00520174">
      <w:pPr>
        <w:tabs>
          <w:tab w:val="left" w:pos="567"/>
        </w:tabs>
        <w:rPr>
          <w:noProof/>
        </w:rPr>
      </w:pPr>
      <w:r w:rsidRPr="00520174">
        <w:rPr>
          <w:noProof/>
        </w:rPr>
        <w:t>Visada vartokite šį vaistą tiksliai kaip aprašyta šiame lapelyje arba kaip nurodė gydytojas, vaistininkas arba slaugytojas.</w:t>
      </w:r>
    </w:p>
    <w:p w:rsidR="00FB1822" w:rsidRPr="00520174" w:rsidRDefault="00FB1822" w:rsidP="00520174">
      <w:pPr>
        <w:pStyle w:val="Sraopastraipa"/>
        <w:numPr>
          <w:ilvl w:val="0"/>
          <w:numId w:val="21"/>
        </w:numPr>
        <w:tabs>
          <w:tab w:val="left" w:pos="567"/>
        </w:tabs>
        <w:rPr>
          <w:noProof/>
        </w:rPr>
      </w:pPr>
      <w:r w:rsidRPr="00520174">
        <w:rPr>
          <w:noProof/>
        </w:rPr>
        <w:t xml:space="preserve">Neišmeskite šio </w:t>
      </w:r>
      <w:smartTag w:uri="schemas-tilde-lt/tildestengine" w:element="templates">
        <w:smartTagPr>
          <w:attr w:name="baseform" w:val="lapel|is"/>
          <w:attr w:name="id" w:val="-1"/>
          <w:attr w:name="text" w:val="lapelio"/>
        </w:smartTagPr>
        <w:r w:rsidRPr="00520174">
          <w:rPr>
            <w:noProof/>
          </w:rPr>
          <w:t>lapelio</w:t>
        </w:r>
      </w:smartTag>
      <w:r w:rsidRPr="00520174">
        <w:rPr>
          <w:noProof/>
        </w:rPr>
        <w:t>, nes vėl gali prireikti jį perskaityti.</w:t>
      </w:r>
    </w:p>
    <w:p w:rsidR="00FB1822" w:rsidRPr="00520174" w:rsidRDefault="00FB1822" w:rsidP="00520174">
      <w:pPr>
        <w:pStyle w:val="Sraopastraipa"/>
        <w:numPr>
          <w:ilvl w:val="0"/>
          <w:numId w:val="21"/>
        </w:numPr>
        <w:tabs>
          <w:tab w:val="left" w:pos="567"/>
        </w:tabs>
        <w:rPr>
          <w:noProof/>
        </w:rPr>
      </w:pPr>
      <w:r w:rsidRPr="00520174">
        <w:rPr>
          <w:noProof/>
        </w:rPr>
        <w:t>Jeigu norite sužinoti daugiau arba pasitarti, kreipkitės į vaistininką.</w:t>
      </w:r>
    </w:p>
    <w:p w:rsidR="00FB1822" w:rsidRPr="00520174" w:rsidRDefault="00FB1822" w:rsidP="00520174">
      <w:pPr>
        <w:pStyle w:val="Sraopastraipa"/>
        <w:numPr>
          <w:ilvl w:val="0"/>
          <w:numId w:val="21"/>
        </w:numPr>
        <w:tabs>
          <w:tab w:val="left" w:pos="567"/>
        </w:tabs>
        <w:rPr>
          <w:noProof/>
        </w:rPr>
      </w:pPr>
      <w:r w:rsidRPr="00520174">
        <w:rPr>
          <w:noProof/>
        </w:rPr>
        <w:t>Jeigu pasireiškė šalutinis poveikis (net jeigu jis šiame lapelyje nenurodytas), kreipkitės į gydytoją, vaistininką, arba slaugytoją. Žr. 4 skyrių.</w:t>
      </w:r>
    </w:p>
    <w:p w:rsidR="00FB1822" w:rsidRPr="00520174" w:rsidRDefault="00FB1822" w:rsidP="00520174">
      <w:pPr>
        <w:pStyle w:val="Sraopastraipa"/>
        <w:numPr>
          <w:ilvl w:val="0"/>
          <w:numId w:val="21"/>
        </w:numPr>
        <w:tabs>
          <w:tab w:val="left" w:pos="567"/>
        </w:tabs>
        <w:rPr>
          <w:noProof/>
        </w:rPr>
      </w:pPr>
      <w:r w:rsidRPr="00520174">
        <w:rPr>
          <w:noProof/>
        </w:rPr>
        <w:t>Jeigu per kelias dienas Jūsų savijauta nepagerėjo arba net pablogėjo, kreipkitės į gydytoją.</w:t>
      </w:r>
    </w:p>
    <w:p w:rsidR="00783F7C" w:rsidRPr="00520174" w:rsidRDefault="00783F7C" w:rsidP="00520174">
      <w:pPr>
        <w:numPr>
          <w:ilvl w:val="12"/>
          <w:numId w:val="0"/>
        </w:numPr>
        <w:ind w:right="-2"/>
        <w:outlineLvl w:val="0"/>
        <w:rPr>
          <w:b/>
          <w:lang w:eastAsia="en-US"/>
        </w:rPr>
      </w:pPr>
    </w:p>
    <w:p w:rsidR="00783F7C" w:rsidRPr="00520174" w:rsidRDefault="00783F7C" w:rsidP="00520174">
      <w:pPr>
        <w:ind w:left="567" w:hanging="567"/>
        <w:rPr>
          <w:b/>
          <w:lang w:eastAsia="en-US"/>
        </w:rPr>
      </w:pPr>
      <w:r w:rsidRPr="00520174">
        <w:rPr>
          <w:b/>
          <w:lang w:eastAsia="en-US"/>
        </w:rPr>
        <w:t>Apie ką rašoma šiame lapelyje?</w:t>
      </w:r>
    </w:p>
    <w:p w:rsidR="00783F7C" w:rsidRPr="00520174" w:rsidRDefault="00783F7C" w:rsidP="00520174">
      <w:pPr>
        <w:rPr>
          <w:b/>
          <w:lang w:eastAsia="en-US"/>
        </w:rPr>
      </w:pPr>
    </w:p>
    <w:p w:rsidR="00783F7C" w:rsidRPr="00520174" w:rsidRDefault="00783F7C" w:rsidP="00520174">
      <w:pPr>
        <w:ind w:left="567" w:hanging="567"/>
        <w:rPr>
          <w:lang w:eastAsia="en-US"/>
        </w:rPr>
      </w:pPr>
      <w:r w:rsidRPr="00520174">
        <w:rPr>
          <w:lang w:eastAsia="en-US"/>
        </w:rPr>
        <w:t>1.</w:t>
      </w:r>
      <w:r w:rsidRPr="00520174">
        <w:rPr>
          <w:lang w:eastAsia="en-US"/>
        </w:rPr>
        <w:tab/>
        <w:t xml:space="preserve">Kas yra </w:t>
      </w:r>
      <w:r w:rsidR="00FB1822" w:rsidRPr="00520174">
        <w:rPr>
          <w:noProof/>
        </w:rPr>
        <w:t>Guttalax</w:t>
      </w:r>
      <w:r w:rsidR="002213E9" w:rsidRPr="00520174">
        <w:rPr>
          <w:lang w:eastAsia="en-US"/>
        </w:rPr>
        <w:t xml:space="preserve"> </w:t>
      </w:r>
      <w:r w:rsidRPr="00520174">
        <w:rPr>
          <w:lang w:eastAsia="en-US"/>
        </w:rPr>
        <w:t>ir kam jis vartojamas</w:t>
      </w:r>
    </w:p>
    <w:p w:rsidR="00783F7C" w:rsidRPr="00520174" w:rsidRDefault="00783F7C" w:rsidP="00520174">
      <w:pPr>
        <w:ind w:left="567" w:hanging="567"/>
        <w:rPr>
          <w:lang w:eastAsia="en-US"/>
        </w:rPr>
      </w:pPr>
      <w:r w:rsidRPr="00520174">
        <w:rPr>
          <w:lang w:eastAsia="en-US"/>
        </w:rPr>
        <w:t>2.</w:t>
      </w:r>
      <w:r w:rsidRPr="00520174">
        <w:rPr>
          <w:lang w:eastAsia="en-US"/>
        </w:rPr>
        <w:tab/>
        <w:t xml:space="preserve">Kas žinotina prieš vartojant </w:t>
      </w:r>
      <w:r w:rsidR="00FB1822" w:rsidRPr="00520174">
        <w:rPr>
          <w:noProof/>
        </w:rPr>
        <w:t>Guttalax</w:t>
      </w:r>
    </w:p>
    <w:p w:rsidR="00783F7C" w:rsidRPr="00520174" w:rsidRDefault="00783F7C" w:rsidP="00520174">
      <w:pPr>
        <w:ind w:left="567" w:hanging="567"/>
        <w:rPr>
          <w:lang w:eastAsia="en-US"/>
        </w:rPr>
      </w:pPr>
      <w:r w:rsidRPr="00520174">
        <w:rPr>
          <w:lang w:eastAsia="en-US"/>
        </w:rPr>
        <w:t>3.</w:t>
      </w:r>
      <w:r w:rsidRPr="00520174">
        <w:rPr>
          <w:lang w:eastAsia="en-US"/>
        </w:rPr>
        <w:tab/>
        <w:t xml:space="preserve">Kaip vartoti </w:t>
      </w:r>
      <w:r w:rsidR="00FB1822" w:rsidRPr="00520174">
        <w:rPr>
          <w:noProof/>
        </w:rPr>
        <w:t>Guttalax</w:t>
      </w:r>
    </w:p>
    <w:p w:rsidR="00783F7C" w:rsidRPr="00520174" w:rsidRDefault="00783F7C" w:rsidP="00520174">
      <w:pPr>
        <w:ind w:left="567" w:hanging="567"/>
        <w:rPr>
          <w:lang w:eastAsia="en-US"/>
        </w:rPr>
      </w:pPr>
      <w:r w:rsidRPr="00520174">
        <w:rPr>
          <w:lang w:eastAsia="en-US"/>
        </w:rPr>
        <w:t>4.</w:t>
      </w:r>
      <w:r w:rsidRPr="00520174">
        <w:rPr>
          <w:lang w:eastAsia="en-US"/>
        </w:rPr>
        <w:tab/>
        <w:t>Galimas šalutinis poveikis</w:t>
      </w:r>
    </w:p>
    <w:p w:rsidR="00783F7C" w:rsidRPr="00520174" w:rsidRDefault="00783F7C" w:rsidP="00520174">
      <w:pPr>
        <w:ind w:left="567" w:hanging="567"/>
        <w:rPr>
          <w:lang w:eastAsia="en-US"/>
        </w:rPr>
      </w:pPr>
      <w:r w:rsidRPr="00520174">
        <w:rPr>
          <w:lang w:eastAsia="en-US"/>
        </w:rPr>
        <w:t>5.</w:t>
      </w:r>
      <w:r w:rsidRPr="00520174">
        <w:rPr>
          <w:lang w:eastAsia="en-US"/>
        </w:rPr>
        <w:tab/>
        <w:t xml:space="preserve">Kaip laikyti </w:t>
      </w:r>
      <w:r w:rsidR="00FB1822" w:rsidRPr="00520174">
        <w:rPr>
          <w:noProof/>
        </w:rPr>
        <w:t>Guttalax</w:t>
      </w:r>
    </w:p>
    <w:p w:rsidR="00783F7C" w:rsidRPr="00520174" w:rsidRDefault="00783F7C" w:rsidP="00520174">
      <w:pPr>
        <w:ind w:left="567" w:hanging="567"/>
        <w:rPr>
          <w:lang w:eastAsia="en-US"/>
        </w:rPr>
      </w:pPr>
      <w:r w:rsidRPr="00520174">
        <w:rPr>
          <w:lang w:eastAsia="en-US"/>
        </w:rPr>
        <w:t>6.</w:t>
      </w:r>
      <w:r w:rsidRPr="00520174">
        <w:rPr>
          <w:lang w:eastAsia="en-US"/>
        </w:rPr>
        <w:tab/>
        <w:t>Pakuotės turinys ir kita informacija</w:t>
      </w:r>
    </w:p>
    <w:p w:rsidR="006E66AE" w:rsidRPr="00520174" w:rsidRDefault="006E66AE" w:rsidP="00520174">
      <w:pPr>
        <w:pStyle w:val="PI-1EMEASMCA"/>
        <w:rPr>
          <w:lang w:eastAsia="ko-KR"/>
        </w:rPr>
      </w:pPr>
    </w:p>
    <w:p w:rsidR="006E66AE" w:rsidRPr="00520174" w:rsidRDefault="006E66AE" w:rsidP="00520174">
      <w:pPr>
        <w:pStyle w:val="PI-1EMEASMCA"/>
        <w:rPr>
          <w:lang w:eastAsia="ko-KR"/>
        </w:rPr>
      </w:pPr>
    </w:p>
    <w:p w:rsidR="00D06C5C" w:rsidRPr="00520174" w:rsidRDefault="00D06C5C" w:rsidP="00520174">
      <w:pPr>
        <w:pStyle w:val="PI-1EMEASMCA"/>
        <w:rPr>
          <w:lang w:eastAsia="ko-KR"/>
        </w:rPr>
      </w:pPr>
      <w:r w:rsidRPr="00520174">
        <w:rPr>
          <w:lang w:eastAsia="ko-KR"/>
        </w:rPr>
        <w:t>1.</w:t>
      </w:r>
      <w:r w:rsidRPr="00520174">
        <w:rPr>
          <w:lang w:eastAsia="ko-KR"/>
        </w:rPr>
        <w:tab/>
      </w:r>
      <w:bookmarkEnd w:id="4"/>
      <w:bookmarkEnd w:id="5"/>
      <w:r w:rsidR="00DB6ABF" w:rsidRPr="00520174">
        <w:rPr>
          <w:lang w:eastAsia="ko-KR"/>
        </w:rPr>
        <w:t xml:space="preserve">Kas yra </w:t>
      </w:r>
      <w:proofErr w:type="spellStart"/>
      <w:r w:rsidR="00FB1822" w:rsidRPr="00520174">
        <w:rPr>
          <w:iCs/>
        </w:rPr>
        <w:t>Guttalax</w:t>
      </w:r>
      <w:proofErr w:type="spellEnd"/>
      <w:r w:rsidR="00783F7C" w:rsidRPr="00520174">
        <w:rPr>
          <w:rFonts w:eastAsia="Calibri"/>
        </w:rPr>
        <w:t xml:space="preserve"> </w:t>
      </w:r>
      <w:r w:rsidR="00DB6ABF" w:rsidRPr="00520174">
        <w:rPr>
          <w:lang w:eastAsia="ko-KR"/>
        </w:rPr>
        <w:t>ir kam jis vartojamas</w:t>
      </w:r>
    </w:p>
    <w:p w:rsidR="00D06C5C" w:rsidRPr="00520174" w:rsidRDefault="00D06C5C" w:rsidP="00520174">
      <w:pPr>
        <w:pStyle w:val="BTEMEASMCA"/>
        <w:rPr>
          <w:lang w:eastAsia="ko-KR"/>
        </w:rPr>
      </w:pPr>
    </w:p>
    <w:p w:rsidR="00FB1822" w:rsidRPr="00520174" w:rsidRDefault="00FB1822" w:rsidP="00520174">
      <w:pPr>
        <w:tabs>
          <w:tab w:val="left" w:pos="240"/>
        </w:tabs>
        <w:rPr>
          <w:noProof/>
        </w:rPr>
      </w:pPr>
      <w:bookmarkStart w:id="7" w:name="_Toc129243140"/>
      <w:bookmarkStart w:id="8" w:name="_Toc129243265"/>
      <w:r w:rsidRPr="00520174">
        <w:rPr>
          <w:noProof/>
        </w:rPr>
        <w:t>Guttalax sudėtyje yra lokalaus poveikio vidurių laisvinamoji medžiaga, kuri skatina storosios žarnos peristaltiką ir minkština išmatas.</w:t>
      </w:r>
    </w:p>
    <w:p w:rsidR="00FB1822" w:rsidRPr="00520174" w:rsidRDefault="00FB1822" w:rsidP="00520174">
      <w:pPr>
        <w:tabs>
          <w:tab w:val="left" w:pos="567"/>
        </w:tabs>
      </w:pPr>
    </w:p>
    <w:p w:rsidR="00FB1822" w:rsidRPr="00520174" w:rsidRDefault="00FB1822" w:rsidP="00520174">
      <w:pPr>
        <w:tabs>
          <w:tab w:val="left" w:pos="567"/>
        </w:tabs>
      </w:pPr>
      <w:r w:rsidRPr="00520174">
        <w:t xml:space="preserve">Kaip ir vidurių laisvinamieji vaistiniai preparatai, kurių poveikis pasireiškia storojoje žarnoje, </w:t>
      </w:r>
      <w:proofErr w:type="spellStart"/>
      <w:r w:rsidRPr="00520174">
        <w:t>Guttalax</w:t>
      </w:r>
      <w:proofErr w:type="spellEnd"/>
      <w:r w:rsidRPr="00520174">
        <w:t xml:space="preserve"> specifiškai stimuliuoja natūralų evakuacijos procesą galutinėje virškinimo trakto dalyje.</w:t>
      </w:r>
    </w:p>
    <w:p w:rsidR="00FB1822" w:rsidRPr="00520174" w:rsidRDefault="00FB1822" w:rsidP="00520174">
      <w:pPr>
        <w:tabs>
          <w:tab w:val="left" w:pos="567"/>
        </w:tabs>
      </w:pPr>
      <w:r w:rsidRPr="00520174">
        <w:t xml:space="preserve">Vadinasi, plonojoje žarnoje </w:t>
      </w:r>
      <w:proofErr w:type="spellStart"/>
      <w:r w:rsidRPr="00520174">
        <w:t>Guttalax</w:t>
      </w:r>
      <w:proofErr w:type="spellEnd"/>
      <w:r w:rsidRPr="00520174">
        <w:t xml:space="preserve"> nekeičia nei virškinimo, nei kaloringo ar kitokio maisto absorbcijos (patekimo į organizmą).</w:t>
      </w:r>
    </w:p>
    <w:p w:rsidR="00FB1822" w:rsidRPr="00520174" w:rsidRDefault="00FB1822" w:rsidP="00520174">
      <w:pPr>
        <w:tabs>
          <w:tab w:val="left" w:pos="0"/>
          <w:tab w:val="left" w:pos="567"/>
        </w:tabs>
        <w:jc w:val="both"/>
        <w:rPr>
          <w:noProof/>
        </w:rPr>
      </w:pPr>
    </w:p>
    <w:p w:rsidR="00FB1822" w:rsidRPr="00520174" w:rsidRDefault="00FB1822" w:rsidP="00520174">
      <w:pPr>
        <w:tabs>
          <w:tab w:val="left" w:pos="0"/>
          <w:tab w:val="left" w:pos="567"/>
        </w:tabs>
        <w:jc w:val="both"/>
        <w:rPr>
          <w:noProof/>
        </w:rPr>
      </w:pPr>
      <w:r w:rsidRPr="00520174">
        <w:rPr>
          <w:noProof/>
        </w:rPr>
        <w:t>Guttalax vartojama, jei:</w:t>
      </w:r>
    </w:p>
    <w:p w:rsidR="00FB1822" w:rsidRPr="00520174" w:rsidRDefault="00FB1822" w:rsidP="00520174">
      <w:pPr>
        <w:tabs>
          <w:tab w:val="left" w:pos="0"/>
          <w:tab w:val="left" w:pos="567"/>
        </w:tabs>
        <w:ind w:left="360" w:hanging="360"/>
        <w:jc w:val="both"/>
        <w:rPr>
          <w:noProof/>
        </w:rPr>
      </w:pPr>
      <w:r w:rsidRPr="00520174">
        <w:rPr>
          <w:noProof/>
        </w:rPr>
        <w:t>-</w:t>
      </w:r>
      <w:r w:rsidRPr="00520174">
        <w:rPr>
          <w:noProof/>
        </w:rPr>
        <w:tab/>
        <w:t>pacientas kenčia nuo vidurių užkietėjimo;</w:t>
      </w:r>
    </w:p>
    <w:p w:rsidR="00FB1822" w:rsidRPr="00520174" w:rsidRDefault="00FB1822" w:rsidP="00520174">
      <w:pPr>
        <w:tabs>
          <w:tab w:val="left" w:pos="0"/>
          <w:tab w:val="left" w:pos="567"/>
        </w:tabs>
        <w:ind w:left="360" w:hanging="360"/>
        <w:jc w:val="both"/>
        <w:rPr>
          <w:noProof/>
        </w:rPr>
      </w:pPr>
      <w:r w:rsidRPr="00520174">
        <w:rPr>
          <w:noProof/>
        </w:rPr>
        <w:t>-</w:t>
      </w:r>
      <w:r w:rsidRPr="00520174">
        <w:rPr>
          <w:noProof/>
        </w:rPr>
        <w:tab/>
        <w:t>yra būklė, kai reikia palengvinti tuštinimąsi.</w:t>
      </w:r>
    </w:p>
    <w:p w:rsidR="00956C1D" w:rsidRPr="00520174" w:rsidRDefault="00956C1D" w:rsidP="00520174">
      <w:pPr>
        <w:pStyle w:val="PI-1EMEASMCA"/>
        <w:rPr>
          <w:lang w:eastAsia="ko-KR"/>
        </w:rPr>
      </w:pPr>
    </w:p>
    <w:p w:rsidR="0058688E" w:rsidRPr="00520174" w:rsidRDefault="0058688E" w:rsidP="00520174">
      <w:pPr>
        <w:pStyle w:val="PI-1EMEASMCA"/>
        <w:rPr>
          <w:lang w:eastAsia="ko-KR"/>
        </w:rPr>
      </w:pPr>
    </w:p>
    <w:p w:rsidR="00D06C5C" w:rsidRPr="00520174" w:rsidRDefault="00D06C5C" w:rsidP="00520174">
      <w:pPr>
        <w:pStyle w:val="PI-1EMEASMCA"/>
        <w:rPr>
          <w:noProof/>
          <w:lang w:eastAsia="ko-KR"/>
        </w:rPr>
      </w:pPr>
      <w:r w:rsidRPr="00520174">
        <w:rPr>
          <w:lang w:eastAsia="ko-KR"/>
        </w:rPr>
        <w:t>2.</w:t>
      </w:r>
      <w:r w:rsidRPr="00520174">
        <w:rPr>
          <w:lang w:eastAsia="ko-KR"/>
        </w:rPr>
        <w:tab/>
        <w:t xml:space="preserve">Kas žinotina prieš vartojant </w:t>
      </w:r>
      <w:bookmarkEnd w:id="7"/>
      <w:bookmarkEnd w:id="8"/>
      <w:r w:rsidR="00FB1822" w:rsidRPr="00520174">
        <w:rPr>
          <w:noProof/>
        </w:rPr>
        <w:t>Guttalax</w:t>
      </w:r>
    </w:p>
    <w:p w:rsidR="00D2509B" w:rsidRPr="00520174" w:rsidRDefault="00D2509B" w:rsidP="00520174">
      <w:pPr>
        <w:pStyle w:val="PI-1EMEASMCA"/>
        <w:rPr>
          <w:noProof/>
          <w:lang w:eastAsia="ko-KR"/>
        </w:rPr>
      </w:pPr>
    </w:p>
    <w:p w:rsidR="00FB1822" w:rsidRPr="00520174" w:rsidRDefault="00FB1822" w:rsidP="00520174">
      <w:pPr>
        <w:tabs>
          <w:tab w:val="left" w:pos="567"/>
        </w:tabs>
        <w:ind w:left="567" w:hanging="567"/>
        <w:rPr>
          <w:b/>
          <w:caps/>
          <w:noProof/>
        </w:rPr>
      </w:pPr>
      <w:r w:rsidRPr="00520174">
        <w:rPr>
          <w:b/>
          <w:noProof/>
        </w:rPr>
        <w:t>Guttalax vartoti negalima</w:t>
      </w:r>
    </w:p>
    <w:p w:rsidR="00FB1822" w:rsidRPr="00520174" w:rsidRDefault="00FB1822" w:rsidP="00520174">
      <w:pPr>
        <w:tabs>
          <w:tab w:val="left" w:pos="567"/>
        </w:tabs>
        <w:ind w:left="567" w:hanging="567"/>
        <w:rPr>
          <w:noProof/>
        </w:rPr>
      </w:pPr>
      <w:r w:rsidRPr="00520174">
        <w:rPr>
          <w:noProof/>
        </w:rPr>
        <w:t>-</w:t>
      </w:r>
      <w:r w:rsidRPr="00520174">
        <w:rPr>
          <w:noProof/>
        </w:rPr>
        <w:tab/>
        <w:t>jeigu yra alergija (padidėjęs jautrumas) veiklajai medžiagai arba bet kuriai pagalbinei šio vaisto medžiagai (jos išvardytos 6 skyriuje);</w:t>
      </w:r>
    </w:p>
    <w:p w:rsidR="00FB1822" w:rsidRPr="00520174" w:rsidRDefault="00FB1822" w:rsidP="00520174">
      <w:pPr>
        <w:numPr>
          <w:ilvl w:val="0"/>
          <w:numId w:val="31"/>
        </w:numPr>
        <w:tabs>
          <w:tab w:val="clear" w:pos="720"/>
        </w:tabs>
        <w:ind w:left="600" w:hanging="600"/>
        <w:rPr>
          <w:noProof/>
        </w:rPr>
      </w:pPr>
      <w:r w:rsidRPr="00520174">
        <w:rPr>
          <w:noProof/>
        </w:rPr>
        <w:t>jeigu yra žarnų nepraeinamumas arba žarnų užsikimšimas;</w:t>
      </w:r>
    </w:p>
    <w:p w:rsidR="00FB1822" w:rsidRPr="00520174" w:rsidRDefault="00FB1822" w:rsidP="00520174">
      <w:pPr>
        <w:numPr>
          <w:ilvl w:val="0"/>
          <w:numId w:val="31"/>
        </w:numPr>
        <w:tabs>
          <w:tab w:val="clear" w:pos="720"/>
          <w:tab w:val="num" w:pos="567"/>
        </w:tabs>
        <w:ind w:left="567" w:hanging="567"/>
        <w:rPr>
          <w:noProof/>
        </w:rPr>
      </w:pPr>
      <w:r w:rsidRPr="00520174">
        <w:rPr>
          <w:noProof/>
        </w:rPr>
        <w:t xml:space="preserve">jeigu pasireiškė stiprus pilvo skausmas ir (arba) karščiavimas, atsiradęs dėl ūminės pilvo būklės (pvz., apendicito), galimai susijusios su pykinimu ir vėmimu; </w:t>
      </w:r>
    </w:p>
    <w:p w:rsidR="00FB1822" w:rsidRPr="00520174" w:rsidRDefault="00FB1822" w:rsidP="00520174">
      <w:pPr>
        <w:tabs>
          <w:tab w:val="left" w:pos="567"/>
        </w:tabs>
        <w:ind w:left="360" w:hanging="360"/>
        <w:rPr>
          <w:noProof/>
        </w:rPr>
      </w:pPr>
      <w:r w:rsidRPr="00520174">
        <w:rPr>
          <w:noProof/>
        </w:rPr>
        <w:t>-</w:t>
      </w:r>
      <w:r w:rsidRPr="00520174">
        <w:rPr>
          <w:noProof/>
        </w:rPr>
        <w:tab/>
      </w:r>
      <w:r w:rsidRPr="00520174">
        <w:rPr>
          <w:noProof/>
        </w:rPr>
        <w:tab/>
        <w:t>jeigu yra ūminis žarnų uždegimas;</w:t>
      </w:r>
    </w:p>
    <w:p w:rsidR="00FB1822" w:rsidRPr="00520174" w:rsidRDefault="00FB1822" w:rsidP="00520174">
      <w:pPr>
        <w:tabs>
          <w:tab w:val="left" w:pos="567"/>
        </w:tabs>
        <w:ind w:left="360" w:hanging="360"/>
        <w:rPr>
          <w:noProof/>
        </w:rPr>
      </w:pPr>
      <w:r w:rsidRPr="00520174">
        <w:rPr>
          <w:noProof/>
        </w:rPr>
        <w:t>-</w:t>
      </w:r>
      <w:r w:rsidRPr="00520174">
        <w:rPr>
          <w:noProof/>
        </w:rPr>
        <w:tab/>
      </w:r>
      <w:r w:rsidRPr="00520174">
        <w:rPr>
          <w:noProof/>
        </w:rPr>
        <w:tab/>
        <w:t>jeigu Jūsų organizmas neteko daug vandens;</w:t>
      </w:r>
    </w:p>
    <w:p w:rsidR="00FB1822" w:rsidRPr="00520174" w:rsidRDefault="00FB1822" w:rsidP="00520174">
      <w:pPr>
        <w:tabs>
          <w:tab w:val="left" w:pos="567"/>
        </w:tabs>
        <w:ind w:left="360" w:hanging="360"/>
        <w:rPr>
          <w:noProof/>
        </w:rPr>
      </w:pPr>
      <w:r w:rsidRPr="00520174">
        <w:rPr>
          <w:noProof/>
        </w:rPr>
        <w:t>-</w:t>
      </w:r>
      <w:r w:rsidRPr="00520174">
        <w:rPr>
          <w:noProof/>
        </w:rPr>
        <w:tab/>
      </w:r>
      <w:r w:rsidRPr="00520174">
        <w:rPr>
          <w:noProof/>
        </w:rPr>
        <w:tab/>
        <w:t>jaunesniems kaip 4 metų vaikams;</w:t>
      </w:r>
    </w:p>
    <w:p w:rsidR="00FB1822" w:rsidRPr="00520174" w:rsidRDefault="00FB1822" w:rsidP="00520174">
      <w:pPr>
        <w:numPr>
          <w:ilvl w:val="0"/>
          <w:numId w:val="32"/>
        </w:numPr>
        <w:rPr>
          <w:noProof/>
        </w:rPr>
      </w:pPr>
      <w:r w:rsidRPr="00520174">
        <w:rPr>
          <w:noProof/>
        </w:rPr>
        <w:t>jeigu sergate reta paveldima liga, kuri gali būti nesuderinama su vaisto pagalbine medžiaga (žr. skyrių „Guttalax sudėtyje yra pagalbinės medžiagos sorbitolio”).</w:t>
      </w:r>
    </w:p>
    <w:p w:rsidR="00FB1822" w:rsidRPr="00520174" w:rsidRDefault="00FB1822" w:rsidP="00520174">
      <w:pPr>
        <w:tabs>
          <w:tab w:val="left" w:pos="567"/>
        </w:tabs>
        <w:jc w:val="both"/>
        <w:rPr>
          <w:noProof/>
        </w:rPr>
      </w:pPr>
    </w:p>
    <w:p w:rsidR="00FB1822" w:rsidRPr="00520174" w:rsidRDefault="00FB1822" w:rsidP="00520174">
      <w:pPr>
        <w:tabs>
          <w:tab w:val="left" w:pos="567"/>
        </w:tabs>
        <w:jc w:val="both"/>
        <w:rPr>
          <w:b/>
          <w:noProof/>
        </w:rPr>
      </w:pPr>
      <w:r w:rsidRPr="00520174">
        <w:rPr>
          <w:b/>
          <w:noProof/>
        </w:rPr>
        <w:t>Įspėjimai ir atsargumo priemonės</w:t>
      </w:r>
    </w:p>
    <w:p w:rsidR="00FB1822" w:rsidRPr="00520174" w:rsidRDefault="00FB1822" w:rsidP="00520174">
      <w:pPr>
        <w:tabs>
          <w:tab w:val="left" w:pos="0"/>
        </w:tabs>
        <w:rPr>
          <w:noProof/>
        </w:rPr>
      </w:pPr>
      <w:r w:rsidRPr="00520174">
        <w:rPr>
          <w:noProof/>
        </w:rPr>
        <w:t>Pasitarkite su gydytoju arba vaistininku, arba slaugytoju, prieš pradėdami vartoti Guttalax:</w:t>
      </w:r>
    </w:p>
    <w:p w:rsidR="00FB1822" w:rsidRPr="00520174" w:rsidRDefault="00FB1822" w:rsidP="00520174">
      <w:pPr>
        <w:numPr>
          <w:ilvl w:val="0"/>
          <w:numId w:val="32"/>
        </w:numPr>
        <w:tabs>
          <w:tab w:val="left" w:pos="0"/>
        </w:tabs>
        <w:rPr>
          <w:noProof/>
        </w:rPr>
      </w:pPr>
      <w:r w:rsidRPr="00520174">
        <w:rPr>
          <w:noProof/>
        </w:rPr>
        <w:t>jeigu vidurių laisvinamųjų preparatų Jums reikia vartoti kasdien arba ilgai, tokiu atveju turite kreiptis į savo gydytoją, kad jis ištirtų vidurių užkietėjimo priežastį, kadangi ilgalaikis besaikis jų vartojimas gali sąlygoti skysčių ir elektrolitų pusiausvyros sutrikimą ir mažą kalio kiekį kraujyje (hipokalemiją).</w:t>
      </w:r>
    </w:p>
    <w:p w:rsidR="00FB1822" w:rsidRPr="00520174" w:rsidRDefault="00FB1822" w:rsidP="00520174">
      <w:pPr>
        <w:numPr>
          <w:ilvl w:val="0"/>
          <w:numId w:val="32"/>
        </w:numPr>
        <w:tabs>
          <w:tab w:val="left" w:pos="0"/>
        </w:tabs>
        <w:rPr>
          <w:noProof/>
        </w:rPr>
      </w:pPr>
      <w:proofErr w:type="spellStart"/>
      <w:r w:rsidRPr="00520174">
        <w:t>Guttalax</w:t>
      </w:r>
      <w:proofErr w:type="spellEnd"/>
      <w:r w:rsidRPr="00520174">
        <w:t xml:space="preserve"> pavartojusiems žmonėms buvo galvos svaigimo ir (arba) apalpimo atvejų. Šie reiškiniai gali būti susiję su vidurių užkietėjimu (jėgų įtempimu tuštinimosi metu, pilvo skausmu) ir nebūtinai priklausyti nuo </w:t>
      </w:r>
      <w:proofErr w:type="spellStart"/>
      <w:r w:rsidRPr="00520174">
        <w:t>Guttalax</w:t>
      </w:r>
      <w:proofErr w:type="spellEnd"/>
      <w:r w:rsidRPr="00520174">
        <w:t xml:space="preserve"> vartojimo.</w:t>
      </w:r>
    </w:p>
    <w:p w:rsidR="00FB1822" w:rsidRPr="00520174" w:rsidRDefault="00FB1822" w:rsidP="00520174">
      <w:pPr>
        <w:tabs>
          <w:tab w:val="left" w:pos="0"/>
          <w:tab w:val="left" w:pos="567"/>
        </w:tabs>
        <w:jc w:val="both"/>
        <w:rPr>
          <w:noProof/>
        </w:rPr>
      </w:pPr>
    </w:p>
    <w:p w:rsidR="00FB1822" w:rsidRPr="00520174" w:rsidRDefault="00FB1822" w:rsidP="00520174">
      <w:pPr>
        <w:tabs>
          <w:tab w:val="left" w:pos="0"/>
          <w:tab w:val="left" w:pos="567"/>
        </w:tabs>
        <w:jc w:val="both"/>
        <w:rPr>
          <w:b/>
          <w:noProof/>
        </w:rPr>
      </w:pPr>
      <w:r w:rsidRPr="00520174">
        <w:rPr>
          <w:b/>
          <w:noProof/>
        </w:rPr>
        <w:t>Vaikams ir paugliams</w:t>
      </w:r>
    </w:p>
    <w:p w:rsidR="00FB1822" w:rsidRPr="00520174" w:rsidRDefault="00FB1822" w:rsidP="00520174">
      <w:pPr>
        <w:tabs>
          <w:tab w:val="left" w:pos="0"/>
          <w:tab w:val="left" w:pos="567"/>
        </w:tabs>
        <w:jc w:val="both"/>
        <w:rPr>
          <w:noProof/>
        </w:rPr>
      </w:pPr>
      <w:r w:rsidRPr="00520174">
        <w:rPr>
          <w:noProof/>
        </w:rPr>
        <w:t>Vaikams be gydytojo leidimo vidurių laisvinamųjų vaistų vartoti negalima.</w:t>
      </w:r>
    </w:p>
    <w:p w:rsidR="00FB1822" w:rsidRPr="00520174" w:rsidRDefault="00FB1822" w:rsidP="00520174">
      <w:pPr>
        <w:tabs>
          <w:tab w:val="left" w:pos="567"/>
        </w:tabs>
        <w:ind w:left="567" w:hanging="567"/>
        <w:rPr>
          <w:b/>
          <w:noProof/>
        </w:rPr>
      </w:pPr>
    </w:p>
    <w:p w:rsidR="00FB1822" w:rsidRPr="00520174" w:rsidRDefault="00FB1822" w:rsidP="00520174">
      <w:pPr>
        <w:tabs>
          <w:tab w:val="left" w:pos="567"/>
        </w:tabs>
        <w:ind w:left="567" w:hanging="567"/>
        <w:rPr>
          <w:b/>
          <w:noProof/>
        </w:rPr>
      </w:pPr>
      <w:r w:rsidRPr="00520174">
        <w:rPr>
          <w:b/>
          <w:noProof/>
        </w:rPr>
        <w:t>Kiti vaistai ir Guttalax</w:t>
      </w:r>
    </w:p>
    <w:p w:rsidR="00FB1822" w:rsidRPr="00520174" w:rsidRDefault="00FB1822" w:rsidP="00520174">
      <w:pPr>
        <w:tabs>
          <w:tab w:val="left" w:pos="567"/>
        </w:tabs>
        <w:rPr>
          <w:noProof/>
        </w:rPr>
      </w:pPr>
      <w:r w:rsidRPr="00520174">
        <w:rPr>
          <w:noProof/>
        </w:rPr>
        <w:t>Jeigu vartojate arba neseniai vartojote kitų vaistų arba dėl to nesate tikri, apie tai pasakykite gydytojui arba vaistininkui.</w:t>
      </w:r>
    </w:p>
    <w:p w:rsidR="00FB1822" w:rsidRPr="00520174" w:rsidRDefault="00FB1822" w:rsidP="00520174">
      <w:pPr>
        <w:tabs>
          <w:tab w:val="left" w:pos="0"/>
          <w:tab w:val="left" w:pos="567"/>
        </w:tabs>
        <w:rPr>
          <w:noProof/>
        </w:rPr>
      </w:pPr>
    </w:p>
    <w:p w:rsidR="00FB1822" w:rsidRPr="00520174" w:rsidRDefault="00FB1822" w:rsidP="00520174">
      <w:pPr>
        <w:tabs>
          <w:tab w:val="left" w:pos="0"/>
          <w:tab w:val="left" w:pos="567"/>
        </w:tabs>
        <w:rPr>
          <w:noProof/>
        </w:rPr>
      </w:pPr>
      <w:r w:rsidRPr="00520174">
        <w:rPr>
          <w:noProof/>
        </w:rPr>
        <w:t>Kartu su didele Guttalax doze vartojant diuretikų (šlapimo išsiskyrimą skatinančių preparatų) arba adrenokortikosteroidų (hormonų), gali didėti elektrolitų pusiausvyros sutrikimo rizika. Jeigu elektrolitų pusiausvyra sutrinka, gali padidėti jautrumas širdies glikozidams (širdies nepakankamumui ir ritmo sutrikimui gydyti vartojamiems vaistams, pvz., digoksinui).</w:t>
      </w:r>
    </w:p>
    <w:p w:rsidR="00FB1822" w:rsidRPr="00520174" w:rsidRDefault="00FB1822" w:rsidP="00520174">
      <w:pPr>
        <w:tabs>
          <w:tab w:val="left" w:pos="567"/>
        </w:tabs>
        <w:ind w:left="567" w:hanging="567"/>
      </w:pPr>
    </w:p>
    <w:p w:rsidR="00FB1822" w:rsidRPr="00520174" w:rsidRDefault="00FB1822" w:rsidP="00520174">
      <w:r w:rsidRPr="00520174">
        <w:t xml:space="preserve">Kartu vartojami antibiotikai (vaistai bakterijų sukeltoms infekcinėms ligoms gydyti) gali silpninti </w:t>
      </w:r>
      <w:proofErr w:type="spellStart"/>
      <w:r w:rsidRPr="00520174">
        <w:t>Guttalax</w:t>
      </w:r>
      <w:proofErr w:type="spellEnd"/>
      <w:r w:rsidRPr="00520174">
        <w:t xml:space="preserve"> sukeliamą vidurių laisvinamąjį poveikį.</w:t>
      </w:r>
    </w:p>
    <w:p w:rsidR="00FB1822" w:rsidRPr="00520174" w:rsidRDefault="00FB1822" w:rsidP="00520174">
      <w:pPr>
        <w:tabs>
          <w:tab w:val="left" w:pos="567"/>
        </w:tabs>
        <w:ind w:left="567" w:hanging="567"/>
        <w:rPr>
          <w:noProof/>
        </w:rPr>
      </w:pPr>
    </w:p>
    <w:p w:rsidR="00FB1822" w:rsidRPr="00520174" w:rsidRDefault="00FB1822" w:rsidP="00520174">
      <w:pPr>
        <w:tabs>
          <w:tab w:val="left" w:pos="567"/>
        </w:tabs>
        <w:ind w:left="567" w:hanging="567"/>
        <w:rPr>
          <w:b/>
          <w:noProof/>
        </w:rPr>
      </w:pPr>
      <w:r w:rsidRPr="00520174">
        <w:rPr>
          <w:b/>
          <w:noProof/>
        </w:rPr>
        <w:t>Nėštumas, žindymo laikotarpis ir vaisingumas</w:t>
      </w:r>
    </w:p>
    <w:p w:rsidR="00FB1822" w:rsidRPr="00520174" w:rsidRDefault="00FB1822" w:rsidP="00520174">
      <w:pPr>
        <w:rPr>
          <w:noProof/>
        </w:rPr>
      </w:pPr>
      <w:r w:rsidRPr="00520174">
        <w:rPr>
          <w:noProof/>
        </w:rPr>
        <w:t>Jeigu esate nėščia, žindote kūdikį, manote, kad galbūt esate nėščia arba planuojate pastoti, tai prieš vartodama šį vaistą, pasitarkite su gydytoju arba vaistininku.</w:t>
      </w:r>
    </w:p>
    <w:p w:rsidR="00FB1822" w:rsidRPr="00520174" w:rsidRDefault="00FB1822" w:rsidP="00520174">
      <w:pPr>
        <w:tabs>
          <w:tab w:val="left" w:pos="0"/>
          <w:tab w:val="left" w:pos="567"/>
        </w:tabs>
        <w:rPr>
          <w:noProof/>
        </w:rPr>
      </w:pPr>
    </w:p>
    <w:p w:rsidR="00FB1822" w:rsidRPr="00520174" w:rsidRDefault="00FB1822" w:rsidP="00520174">
      <w:pPr>
        <w:tabs>
          <w:tab w:val="left" w:pos="0"/>
          <w:tab w:val="left" w:pos="567"/>
        </w:tabs>
        <w:rPr>
          <w:noProof/>
        </w:rPr>
      </w:pPr>
      <w:r w:rsidRPr="00520174">
        <w:rPr>
          <w:noProof/>
        </w:rPr>
        <w:t>Guttalax, kaip ir kitų vaistų, nėštumo laikotarpiu galima vartoti tik gydytojui leidus.</w:t>
      </w:r>
    </w:p>
    <w:p w:rsidR="00FB1822" w:rsidRPr="00520174" w:rsidRDefault="00FB1822" w:rsidP="00520174">
      <w:pPr>
        <w:tabs>
          <w:tab w:val="left" w:pos="567"/>
        </w:tabs>
        <w:jc w:val="both"/>
      </w:pPr>
    </w:p>
    <w:p w:rsidR="00FB1822" w:rsidRPr="00520174" w:rsidRDefault="00FB1822" w:rsidP="00520174">
      <w:pPr>
        <w:tabs>
          <w:tab w:val="left" w:pos="567"/>
        </w:tabs>
        <w:jc w:val="both"/>
      </w:pPr>
      <w:r w:rsidRPr="00520174">
        <w:t xml:space="preserve">Žindymo laikotarpiu </w:t>
      </w:r>
      <w:proofErr w:type="spellStart"/>
      <w:r w:rsidRPr="00520174">
        <w:t>Guttalax</w:t>
      </w:r>
      <w:proofErr w:type="spellEnd"/>
      <w:r w:rsidRPr="00520174">
        <w:t xml:space="preserve"> vartoti galima.</w:t>
      </w:r>
    </w:p>
    <w:p w:rsidR="00FB1822" w:rsidRPr="00520174" w:rsidRDefault="00FB1822" w:rsidP="00520174">
      <w:pPr>
        <w:tabs>
          <w:tab w:val="left" w:pos="567"/>
        </w:tabs>
        <w:jc w:val="both"/>
        <w:rPr>
          <w:noProof/>
        </w:rPr>
      </w:pPr>
    </w:p>
    <w:p w:rsidR="00FB1822" w:rsidRPr="00520174" w:rsidRDefault="00FB1822" w:rsidP="00520174">
      <w:pPr>
        <w:tabs>
          <w:tab w:val="left" w:pos="567"/>
        </w:tabs>
        <w:ind w:left="567" w:hanging="567"/>
        <w:rPr>
          <w:b/>
          <w:noProof/>
        </w:rPr>
      </w:pPr>
      <w:r w:rsidRPr="00520174">
        <w:rPr>
          <w:b/>
          <w:noProof/>
        </w:rPr>
        <w:t>Vairavimas ir mechanizmų valdymas</w:t>
      </w:r>
    </w:p>
    <w:p w:rsidR="00FB1822" w:rsidRPr="00520174" w:rsidRDefault="00FB1822" w:rsidP="00520174">
      <w:pPr>
        <w:tabs>
          <w:tab w:val="left" w:pos="567"/>
        </w:tabs>
        <w:ind w:left="567" w:hanging="567"/>
        <w:rPr>
          <w:noProof/>
        </w:rPr>
      </w:pPr>
      <w:r w:rsidRPr="00520174">
        <w:rPr>
          <w:noProof/>
        </w:rPr>
        <w:t>Guttalax poveikis gebėjimui vairuoti ir valdyti mechanizmus netirtas.</w:t>
      </w:r>
    </w:p>
    <w:p w:rsidR="00FB1822" w:rsidRPr="00520174" w:rsidRDefault="00FB1822" w:rsidP="00520174">
      <w:pPr>
        <w:tabs>
          <w:tab w:val="left" w:pos="567"/>
        </w:tabs>
        <w:ind w:left="567" w:hanging="567"/>
        <w:rPr>
          <w:noProof/>
        </w:rPr>
      </w:pPr>
    </w:p>
    <w:p w:rsidR="00FB1822" w:rsidRPr="00520174" w:rsidRDefault="00FB1822" w:rsidP="00520174">
      <w:r w:rsidRPr="00520174">
        <w:t>Tačiau, esant vidurių užkietėjimui gali atsirasti pilvo diegliai, dėl kurių gali pasireikšti galvos svaigimas ir (arba) apalpimas</w:t>
      </w:r>
      <w:r w:rsidRPr="00520174">
        <w:rPr>
          <w:b/>
        </w:rPr>
        <w:t>.</w:t>
      </w:r>
      <w:r w:rsidRPr="00520174">
        <w:t xml:space="preserve"> Todėl, jei atsiranda pilvo diegliai, turite vengti galimai pavojingos veiklos, tokios kaip vairavimas ar mechanizmų valdymas.</w:t>
      </w:r>
    </w:p>
    <w:p w:rsidR="00FB1822" w:rsidRPr="00520174" w:rsidRDefault="00FB1822" w:rsidP="00520174">
      <w:pPr>
        <w:tabs>
          <w:tab w:val="left" w:pos="567"/>
        </w:tabs>
        <w:ind w:left="567" w:hanging="567"/>
        <w:rPr>
          <w:noProof/>
        </w:rPr>
      </w:pPr>
    </w:p>
    <w:p w:rsidR="00FB1822" w:rsidRPr="00520174" w:rsidRDefault="00FB1822" w:rsidP="00520174">
      <w:pPr>
        <w:tabs>
          <w:tab w:val="left" w:pos="567"/>
        </w:tabs>
        <w:ind w:left="567" w:hanging="567"/>
        <w:rPr>
          <w:b/>
          <w:noProof/>
        </w:rPr>
      </w:pPr>
      <w:r w:rsidRPr="00520174">
        <w:rPr>
          <w:b/>
          <w:noProof/>
        </w:rPr>
        <w:t>Guttalax sudėtyje yra sorbitolio</w:t>
      </w:r>
    </w:p>
    <w:p w:rsidR="00FB1822" w:rsidRPr="00520174" w:rsidRDefault="00FB1822" w:rsidP="00520174">
      <w:pPr>
        <w:tabs>
          <w:tab w:val="left" w:pos="0"/>
        </w:tabs>
      </w:pPr>
      <w:r w:rsidRPr="00520174">
        <w:t xml:space="preserve">1 ml </w:t>
      </w:r>
      <w:proofErr w:type="spellStart"/>
      <w:r w:rsidRPr="00520174">
        <w:t>Guttalax</w:t>
      </w:r>
      <w:proofErr w:type="spellEnd"/>
      <w:r w:rsidRPr="00520174">
        <w:t xml:space="preserve"> geriamųjų lašų yra 0,45 g </w:t>
      </w:r>
      <w:proofErr w:type="spellStart"/>
      <w:r w:rsidRPr="00520174">
        <w:t>sorbitolio</w:t>
      </w:r>
      <w:proofErr w:type="spellEnd"/>
      <w:r w:rsidRPr="00520174">
        <w:t xml:space="preserve">, taigi didžiausioje rekomenduojamoje dozėje suaugusiems žmonėms ir vyresniems negu 10 metų vaikams yra 0,6 g </w:t>
      </w:r>
      <w:proofErr w:type="spellStart"/>
      <w:r w:rsidRPr="00520174">
        <w:t>sorbitolio</w:t>
      </w:r>
      <w:proofErr w:type="spellEnd"/>
      <w:r w:rsidRPr="00520174">
        <w:t>. Jeigu gydytojas Jums yra sakęs, kad netoleruojate kokių nors angliavandenių, kreipkitės į jį prieš pradėdami vartoti šį vaistą.</w:t>
      </w:r>
    </w:p>
    <w:p w:rsidR="00072EB2" w:rsidRPr="00520174" w:rsidRDefault="00072EB2" w:rsidP="00520174">
      <w:pPr>
        <w:numPr>
          <w:ilvl w:val="12"/>
          <w:numId w:val="0"/>
        </w:numPr>
        <w:outlineLvl w:val="0"/>
      </w:pPr>
    </w:p>
    <w:p w:rsidR="00072EB2" w:rsidRPr="00520174" w:rsidRDefault="00072EB2" w:rsidP="00520174">
      <w:pPr>
        <w:numPr>
          <w:ilvl w:val="12"/>
          <w:numId w:val="0"/>
        </w:numPr>
        <w:outlineLvl w:val="0"/>
        <w:rPr>
          <w:lang w:eastAsia="ko-KR"/>
        </w:rPr>
      </w:pPr>
    </w:p>
    <w:p w:rsidR="00D06C5C" w:rsidRPr="00520174" w:rsidRDefault="00D06C5C" w:rsidP="00520174">
      <w:pPr>
        <w:pStyle w:val="PI-1EMEASMCA"/>
      </w:pPr>
      <w:bookmarkStart w:id="9" w:name="_Toc129243141"/>
      <w:bookmarkStart w:id="10" w:name="_Toc129243266"/>
      <w:r w:rsidRPr="00520174">
        <w:rPr>
          <w:lang w:eastAsia="ko-KR"/>
        </w:rPr>
        <w:t>3.</w:t>
      </w:r>
      <w:r w:rsidRPr="00520174">
        <w:rPr>
          <w:lang w:eastAsia="ko-KR"/>
        </w:rPr>
        <w:tab/>
        <w:t xml:space="preserve">Kaip vartoti </w:t>
      </w:r>
      <w:bookmarkEnd w:id="9"/>
      <w:bookmarkEnd w:id="10"/>
      <w:r w:rsidR="00FB1822" w:rsidRPr="00520174">
        <w:rPr>
          <w:noProof/>
        </w:rPr>
        <w:t>Guttalax</w:t>
      </w:r>
    </w:p>
    <w:p w:rsidR="00A1315F" w:rsidRPr="00520174" w:rsidRDefault="00A1315F" w:rsidP="00520174">
      <w:pPr>
        <w:pStyle w:val="PI-1EMEASMCA"/>
      </w:pPr>
    </w:p>
    <w:p w:rsidR="00FB1822" w:rsidRPr="00520174" w:rsidRDefault="00FB1822" w:rsidP="00520174">
      <w:pPr>
        <w:tabs>
          <w:tab w:val="left" w:pos="567"/>
        </w:tabs>
        <w:rPr>
          <w:noProof/>
        </w:rPr>
      </w:pPr>
      <w:bookmarkStart w:id="11" w:name="_Toc129243142"/>
      <w:bookmarkStart w:id="12" w:name="_Toc129243267"/>
      <w:r w:rsidRPr="00520174">
        <w:rPr>
          <w:noProof/>
        </w:rPr>
        <w:t>Visada vartokite šį vaistą tiksliai kaip aprašyta šiame lapelyje arba kaip nurodė gydytojas arba vaistininkas. Jeigu abejojate, kreipkitės į gydytoją arba vaistininką.</w:t>
      </w:r>
    </w:p>
    <w:p w:rsidR="00FB1822" w:rsidRPr="00520174" w:rsidRDefault="00FB1822" w:rsidP="00520174">
      <w:pPr>
        <w:pStyle w:val="Pagrindinistekstas"/>
        <w:tabs>
          <w:tab w:val="left" w:pos="0"/>
          <w:tab w:val="left" w:pos="567"/>
        </w:tabs>
        <w:spacing w:after="0"/>
        <w:rPr>
          <w:noProof/>
        </w:rPr>
      </w:pPr>
    </w:p>
    <w:p w:rsidR="00FB1822" w:rsidRPr="00520174" w:rsidRDefault="00FB1822" w:rsidP="00520174">
      <w:pPr>
        <w:pStyle w:val="Pagrindinistekstas"/>
        <w:tabs>
          <w:tab w:val="left" w:pos="0"/>
          <w:tab w:val="left" w:pos="567"/>
        </w:tabs>
        <w:spacing w:after="0"/>
        <w:rPr>
          <w:noProof/>
          <w:u w:val="single"/>
        </w:rPr>
      </w:pPr>
      <w:r w:rsidRPr="00520174">
        <w:rPr>
          <w:noProof/>
          <w:u w:val="single"/>
        </w:rPr>
        <w:t>Rekomenduojamos</w:t>
      </w:r>
      <w:r w:rsidRPr="00520174">
        <w:rPr>
          <w:u w:val="single"/>
        </w:rPr>
        <w:t xml:space="preserve"> </w:t>
      </w:r>
      <w:r w:rsidRPr="00520174">
        <w:rPr>
          <w:noProof/>
          <w:u w:val="single"/>
        </w:rPr>
        <w:t>preparato dozės</w:t>
      </w:r>
    </w:p>
    <w:p w:rsidR="00FB1822" w:rsidRPr="00520174" w:rsidRDefault="00FB1822" w:rsidP="00520174">
      <w:pPr>
        <w:pStyle w:val="Pagrindinistekstas"/>
        <w:tabs>
          <w:tab w:val="left" w:pos="0"/>
        </w:tabs>
        <w:spacing w:after="0"/>
        <w:rPr>
          <w:i/>
          <w:noProof/>
        </w:rPr>
      </w:pPr>
    </w:p>
    <w:p w:rsidR="00FB1822" w:rsidRPr="00520174" w:rsidRDefault="00FB1822" w:rsidP="00520174">
      <w:pPr>
        <w:pStyle w:val="Pagrindinistekstas"/>
        <w:tabs>
          <w:tab w:val="left" w:pos="0"/>
        </w:tabs>
        <w:spacing w:after="0"/>
        <w:rPr>
          <w:i/>
          <w:noProof/>
        </w:rPr>
      </w:pPr>
      <w:r w:rsidRPr="00520174">
        <w:rPr>
          <w:i/>
          <w:noProof/>
        </w:rPr>
        <w:t>Suaugusiems</w:t>
      </w:r>
      <w:r w:rsidRPr="00520174">
        <w:rPr>
          <w:i/>
        </w:rPr>
        <w:t xml:space="preserve"> žmonėms </w:t>
      </w:r>
    </w:p>
    <w:p w:rsidR="00FB1822" w:rsidRPr="00520174" w:rsidRDefault="00FB1822" w:rsidP="00520174">
      <w:pPr>
        <w:pStyle w:val="Pagrindinistekstas"/>
        <w:tabs>
          <w:tab w:val="left" w:pos="0"/>
        </w:tabs>
        <w:spacing w:after="0"/>
        <w:rPr>
          <w:noProof/>
        </w:rPr>
      </w:pPr>
      <w:r w:rsidRPr="00520174">
        <w:rPr>
          <w:noProof/>
        </w:rPr>
        <w:t>Paros</w:t>
      </w:r>
      <w:r w:rsidRPr="00520174">
        <w:t xml:space="preserve"> </w:t>
      </w:r>
      <w:r w:rsidRPr="00520174">
        <w:rPr>
          <w:noProof/>
        </w:rPr>
        <w:t>dozė yra 10 - 20 lašų (5 –10 mg), gydymą pradedant nuo 10 lašų. Dozę galima koreguoti iki didžiausios, t. y. 20 lašų. Didžiausios paros dozės , t.y. 20 lašų, viršyti negalima.</w:t>
      </w:r>
    </w:p>
    <w:p w:rsidR="00FB1822" w:rsidRPr="00520174" w:rsidRDefault="00FB1822" w:rsidP="00520174">
      <w:pPr>
        <w:pStyle w:val="Pagrindinistekstas"/>
        <w:tabs>
          <w:tab w:val="left" w:pos="0"/>
        </w:tabs>
        <w:spacing w:after="0"/>
        <w:rPr>
          <w:noProof/>
        </w:rPr>
      </w:pPr>
    </w:p>
    <w:p w:rsidR="00FB1822" w:rsidRPr="00520174" w:rsidRDefault="00FB1822" w:rsidP="00520174">
      <w:pPr>
        <w:pStyle w:val="Pagrindinistekstas"/>
        <w:keepNext/>
        <w:tabs>
          <w:tab w:val="left" w:pos="0"/>
        </w:tabs>
        <w:spacing w:after="0"/>
        <w:rPr>
          <w:i/>
          <w:noProof/>
          <w:u w:val="single"/>
        </w:rPr>
      </w:pPr>
      <w:r w:rsidRPr="00520174">
        <w:rPr>
          <w:b/>
        </w:rPr>
        <w:t>Vartojimas vaikams ir paaugliams</w:t>
      </w:r>
    </w:p>
    <w:p w:rsidR="00FB1822" w:rsidRPr="00520174" w:rsidRDefault="00FB1822" w:rsidP="00520174">
      <w:pPr>
        <w:pStyle w:val="Pagrindinistekstas"/>
        <w:keepNext/>
        <w:tabs>
          <w:tab w:val="left" w:pos="0"/>
        </w:tabs>
        <w:spacing w:after="0"/>
        <w:rPr>
          <w:noProof/>
        </w:rPr>
      </w:pPr>
      <w:r w:rsidRPr="00520174">
        <w:rPr>
          <w:i/>
          <w:noProof/>
        </w:rPr>
        <w:t>Vyresniems, kaip 10 metų vaikams</w:t>
      </w:r>
      <w:r w:rsidRPr="00520174">
        <w:rPr>
          <w:noProof/>
        </w:rPr>
        <w:t xml:space="preserve"> skiriama 10-20 lašų (5-10 mg) paros dozė. Gydymas pradedamas nuo 10 lašų. Dozę galima didinti iki didžiausios, t.y. 20 lašų. Didžiausios paros dozės , t.y. 20 lašų, viršyti negalima.</w:t>
      </w:r>
    </w:p>
    <w:p w:rsidR="00FB1822" w:rsidRPr="00520174" w:rsidRDefault="00FB1822" w:rsidP="00520174">
      <w:pPr>
        <w:pStyle w:val="Pagrindinistekstas"/>
        <w:tabs>
          <w:tab w:val="left" w:pos="0"/>
        </w:tabs>
        <w:spacing w:after="0"/>
        <w:rPr>
          <w:noProof/>
        </w:rPr>
      </w:pPr>
    </w:p>
    <w:p w:rsidR="00FB1822" w:rsidRPr="00520174" w:rsidRDefault="00FB1822" w:rsidP="00520174">
      <w:pPr>
        <w:pStyle w:val="Pagrindinistekstas"/>
        <w:tabs>
          <w:tab w:val="left" w:pos="0"/>
        </w:tabs>
        <w:spacing w:after="0"/>
        <w:rPr>
          <w:i/>
          <w:noProof/>
        </w:rPr>
      </w:pPr>
      <w:r w:rsidRPr="00520174">
        <w:rPr>
          <w:i/>
        </w:rPr>
        <w:t>4 - 10 metų vaikams</w:t>
      </w:r>
    </w:p>
    <w:p w:rsidR="00FB1822" w:rsidRPr="00520174" w:rsidRDefault="00FB1822" w:rsidP="00520174">
      <w:pPr>
        <w:pStyle w:val="Pagrindinistekstas"/>
        <w:tabs>
          <w:tab w:val="left" w:pos="0"/>
        </w:tabs>
        <w:spacing w:after="0"/>
      </w:pPr>
      <w:r w:rsidRPr="00520174">
        <w:rPr>
          <w:noProof/>
        </w:rPr>
        <w:t>Paros</w:t>
      </w:r>
      <w:r w:rsidRPr="00520174">
        <w:t xml:space="preserve"> dozė yra 5</w:t>
      </w:r>
      <w:r w:rsidRPr="00520174">
        <w:rPr>
          <w:noProof/>
        </w:rPr>
        <w:t>-</w:t>
      </w:r>
      <w:r w:rsidRPr="00520174">
        <w:t>10 lašų (2,5</w:t>
      </w:r>
      <w:r w:rsidRPr="00520174">
        <w:rPr>
          <w:noProof/>
        </w:rPr>
        <w:t>-5 mg) . Gydymas pradedamas nuo 5 lašų. Dozę galima didinti iki didžiausios, t.y. 10 lašų. Didžiausios paros dozės, t.y. 10 lašų, viršyti negalima.</w:t>
      </w:r>
    </w:p>
    <w:p w:rsidR="00FB1822" w:rsidRPr="00520174" w:rsidRDefault="00FB1822" w:rsidP="00520174">
      <w:pPr>
        <w:pStyle w:val="Pagrindinistekstas"/>
        <w:tabs>
          <w:tab w:val="left" w:pos="0"/>
        </w:tabs>
        <w:spacing w:after="0"/>
        <w:rPr>
          <w:noProof/>
        </w:rPr>
      </w:pPr>
    </w:p>
    <w:p w:rsidR="00FB1822" w:rsidRPr="00520174" w:rsidRDefault="00FB1822" w:rsidP="00520174">
      <w:pPr>
        <w:pStyle w:val="Pagrindinistekstas"/>
        <w:tabs>
          <w:tab w:val="left" w:pos="0"/>
        </w:tabs>
        <w:spacing w:after="0"/>
        <w:rPr>
          <w:i/>
          <w:noProof/>
        </w:rPr>
      </w:pPr>
      <w:r w:rsidRPr="00520174">
        <w:rPr>
          <w:i/>
          <w:noProof/>
        </w:rPr>
        <w:t>Jaunesniems kaip 4 metų vaikams Guttalax vartoti negalima.</w:t>
      </w:r>
    </w:p>
    <w:p w:rsidR="00FB1822" w:rsidRPr="00520174" w:rsidRDefault="00FB1822" w:rsidP="00520174">
      <w:pPr>
        <w:tabs>
          <w:tab w:val="left" w:pos="0"/>
          <w:tab w:val="left" w:pos="567"/>
        </w:tabs>
        <w:rPr>
          <w:noProof/>
        </w:rPr>
      </w:pPr>
    </w:p>
    <w:p w:rsidR="00FB1822" w:rsidRPr="00520174" w:rsidRDefault="00FB1822" w:rsidP="00520174">
      <w:pPr>
        <w:tabs>
          <w:tab w:val="left" w:pos="0"/>
          <w:tab w:val="left" w:pos="567"/>
        </w:tabs>
        <w:rPr>
          <w:i/>
          <w:noProof/>
        </w:rPr>
      </w:pPr>
      <w:r w:rsidRPr="00520174">
        <w:rPr>
          <w:i/>
          <w:noProof/>
        </w:rPr>
        <w:t>Vartojimo metodas</w:t>
      </w:r>
    </w:p>
    <w:p w:rsidR="00FB1822" w:rsidRPr="00520174" w:rsidRDefault="00FB1822" w:rsidP="00520174">
      <w:pPr>
        <w:tabs>
          <w:tab w:val="left" w:pos="0"/>
          <w:tab w:val="left" w:pos="567"/>
        </w:tabs>
      </w:pPr>
      <w:r w:rsidRPr="00520174">
        <w:rPr>
          <w:noProof/>
        </w:rPr>
        <w:t>Guttalax lašus gerkite vakare, kad ryte galėtumėte pasituštinti.</w:t>
      </w:r>
      <w:r w:rsidRPr="00520174">
        <w:t xml:space="preserve"> Paprastai vaisto poveikis pasireiškia praėjus 6-12 valandų po pavartojimo.</w:t>
      </w:r>
    </w:p>
    <w:p w:rsidR="00FB1822" w:rsidRPr="00520174" w:rsidRDefault="00FB1822" w:rsidP="00520174">
      <w:pPr>
        <w:tabs>
          <w:tab w:val="left" w:pos="0"/>
          <w:tab w:val="left" w:pos="567"/>
        </w:tabs>
      </w:pPr>
    </w:p>
    <w:p w:rsidR="00FB1822" w:rsidRPr="00520174" w:rsidRDefault="00FB1822" w:rsidP="00520174">
      <w:pPr>
        <w:tabs>
          <w:tab w:val="left" w:pos="0"/>
        </w:tabs>
      </w:pPr>
      <w:r w:rsidRPr="00520174">
        <w:t>Gydytojui nenustačius tikslios diagnozės, vidurių laisvinamuosius vaistus vartoti galima tik labai trumpai. Jei vidurių užkietėjimas trunka ilgai, prieš pradėdami vartoti šį vaistą būtinai kreipkitės į gydytoją, kuris nustatys vidurių užkietėjimo priežastis.</w:t>
      </w:r>
    </w:p>
    <w:p w:rsidR="00FB1822" w:rsidRPr="00520174" w:rsidRDefault="00FB1822" w:rsidP="00520174">
      <w:pPr>
        <w:tabs>
          <w:tab w:val="left" w:pos="0"/>
          <w:tab w:val="left" w:pos="567"/>
        </w:tabs>
        <w:rPr>
          <w:b/>
        </w:rPr>
      </w:pPr>
    </w:p>
    <w:p w:rsidR="00FB1822" w:rsidRPr="00520174" w:rsidRDefault="00FB1822" w:rsidP="00520174">
      <w:pPr>
        <w:tabs>
          <w:tab w:val="left" w:pos="0"/>
          <w:tab w:val="left" w:pos="567"/>
        </w:tabs>
        <w:rPr>
          <w:b/>
        </w:rPr>
      </w:pPr>
      <w:r w:rsidRPr="00520174">
        <w:rPr>
          <w:b/>
        </w:rPr>
        <w:t xml:space="preserve">Ką daryti pavartojus per didelę </w:t>
      </w:r>
      <w:proofErr w:type="spellStart"/>
      <w:r w:rsidRPr="00520174">
        <w:rPr>
          <w:b/>
        </w:rPr>
        <w:t>Guttalax</w:t>
      </w:r>
      <w:proofErr w:type="spellEnd"/>
      <w:r w:rsidRPr="00520174">
        <w:rPr>
          <w:b/>
        </w:rPr>
        <w:t xml:space="preserve"> dozę</w:t>
      </w:r>
    </w:p>
    <w:p w:rsidR="00FB1822" w:rsidRPr="00520174" w:rsidRDefault="00FB1822" w:rsidP="00520174">
      <w:pPr>
        <w:tabs>
          <w:tab w:val="left" w:pos="0"/>
          <w:tab w:val="left" w:pos="567"/>
        </w:tabs>
      </w:pPr>
      <w:r w:rsidRPr="00520174">
        <w:t xml:space="preserve">Jei </w:t>
      </w:r>
      <w:proofErr w:type="spellStart"/>
      <w:r w:rsidRPr="00520174">
        <w:t>Guttalax</w:t>
      </w:r>
      <w:proofErr w:type="spellEnd"/>
      <w:r w:rsidRPr="00520174">
        <w:t xml:space="preserve"> lašų išgėrėte daugiau negu turėtumėte, pasakykite gydytojui arba vaistininkui.</w:t>
      </w:r>
    </w:p>
    <w:p w:rsidR="00FB1822" w:rsidRPr="00520174" w:rsidRDefault="00FB1822" w:rsidP="00520174">
      <w:pPr>
        <w:tabs>
          <w:tab w:val="left" w:pos="0"/>
          <w:tab w:val="left" w:pos="567"/>
        </w:tabs>
      </w:pPr>
    </w:p>
    <w:p w:rsidR="00FB1822" w:rsidRPr="00520174" w:rsidRDefault="00FB1822" w:rsidP="00520174">
      <w:pPr>
        <w:tabs>
          <w:tab w:val="left" w:pos="0"/>
          <w:tab w:val="left" w:pos="567"/>
        </w:tabs>
      </w:pPr>
      <w:r w:rsidRPr="00520174">
        <w:t>Išgėrus per didelę dozę, gali pasireikšti viduriavimas vandeningomis išmatomis, pilvo diegliai, skysčių, kalio bei kitų elektrolitų kiekio sumažėjimas.</w:t>
      </w:r>
    </w:p>
    <w:p w:rsidR="00FB1822" w:rsidRPr="00520174" w:rsidRDefault="00FB1822" w:rsidP="00520174">
      <w:pPr>
        <w:tabs>
          <w:tab w:val="left" w:pos="0"/>
          <w:tab w:val="left" w:pos="567"/>
        </w:tabs>
      </w:pPr>
    </w:p>
    <w:p w:rsidR="00FB1822" w:rsidRPr="00520174" w:rsidRDefault="00FB1822" w:rsidP="00520174">
      <w:pPr>
        <w:tabs>
          <w:tab w:val="left" w:pos="0"/>
          <w:tab w:val="left" w:pos="567"/>
        </w:tabs>
      </w:pPr>
      <w:r w:rsidRPr="00520174">
        <w:t xml:space="preserve">Pastebėta, kad įprastiniam vidurių užkietėjimui gydyti pavartojus daug didesnę už rekomenduojamą </w:t>
      </w:r>
      <w:proofErr w:type="spellStart"/>
      <w:r w:rsidRPr="00520174">
        <w:t>Guttalax</w:t>
      </w:r>
      <w:proofErr w:type="spellEnd"/>
      <w:r w:rsidRPr="00520174">
        <w:t xml:space="preserve"> dozę, atsiranda storosios žarnos gleivinės pažeidimo (gaubtinės žarnos gleivinės išemijos) atvejų.</w:t>
      </w:r>
    </w:p>
    <w:p w:rsidR="00FB1822" w:rsidRPr="00520174" w:rsidRDefault="00FB1822" w:rsidP="00520174">
      <w:pPr>
        <w:tabs>
          <w:tab w:val="left" w:pos="0"/>
          <w:tab w:val="left" w:pos="567"/>
        </w:tabs>
      </w:pPr>
    </w:p>
    <w:p w:rsidR="00FB1822" w:rsidRPr="00520174" w:rsidRDefault="00FB1822" w:rsidP="00520174">
      <w:pPr>
        <w:pStyle w:val="Pagrindinistekstas"/>
        <w:tabs>
          <w:tab w:val="left" w:pos="567"/>
        </w:tabs>
        <w:spacing w:after="0"/>
      </w:pPr>
      <w:proofErr w:type="spellStart"/>
      <w:r w:rsidRPr="00520174">
        <w:t>Guttalax</w:t>
      </w:r>
      <w:proofErr w:type="spellEnd"/>
      <w:r w:rsidRPr="00520174">
        <w:t xml:space="preserve">, kaip ir kitokių vidurių laisvinamųjų preparatų, lėtinio perdozavimo atveju gali pasireikšti nuolatinis viduriavimas, pilvo skausmas, mažas kalio kiekis kraujyje, antrinis </w:t>
      </w:r>
      <w:proofErr w:type="spellStart"/>
      <w:r w:rsidRPr="00520174">
        <w:t>hiperaldosteronizmas</w:t>
      </w:r>
      <w:proofErr w:type="spellEnd"/>
      <w:r w:rsidRPr="00520174">
        <w:t xml:space="preserve"> (padidėja hormono </w:t>
      </w:r>
      <w:proofErr w:type="spellStart"/>
      <w:r w:rsidRPr="00520174">
        <w:t>aldosterono</w:t>
      </w:r>
      <w:proofErr w:type="spellEnd"/>
      <w:r w:rsidRPr="00520174">
        <w:t xml:space="preserve">, reguliuojančio natrio ir kalio koncentraciją kraujyje, gamyba), inkstuose gali atsirasti akmenų. Buvo inkstų kanalėlių pažeidimo (inkstų pažeidimo rūšis), </w:t>
      </w:r>
      <w:proofErr w:type="spellStart"/>
      <w:r w:rsidRPr="00520174">
        <w:t>metabolinės</w:t>
      </w:r>
      <w:proofErr w:type="spellEnd"/>
      <w:r w:rsidRPr="00520174">
        <w:t xml:space="preserve"> </w:t>
      </w:r>
      <w:proofErr w:type="spellStart"/>
      <w:r w:rsidRPr="00520174">
        <w:t>alkalozės</w:t>
      </w:r>
      <w:proofErr w:type="spellEnd"/>
      <w:r w:rsidRPr="00520174">
        <w:t xml:space="preserve"> (būklė, kai organizme atsiranda daugiau šarminių negu rūgštinių medžiagų) bei dėl </w:t>
      </w:r>
      <w:proofErr w:type="spellStart"/>
      <w:r w:rsidRPr="00520174">
        <w:t>hipokalemijos</w:t>
      </w:r>
      <w:proofErr w:type="spellEnd"/>
      <w:r w:rsidRPr="00520174">
        <w:t xml:space="preserve"> atsiradusio raumenų silpnumo atvejų, susijusių su nuolatiniu piktnaudžiavimu vidurių laisvinamaisiais preparatais.</w:t>
      </w:r>
    </w:p>
    <w:p w:rsidR="00FB1822" w:rsidRPr="00520174" w:rsidRDefault="00FB1822" w:rsidP="00520174">
      <w:pPr>
        <w:pStyle w:val="Pagrindinistekstas"/>
        <w:spacing w:after="0"/>
      </w:pPr>
    </w:p>
    <w:p w:rsidR="00FB1822" w:rsidRPr="00520174" w:rsidRDefault="00FB1822" w:rsidP="00520174">
      <w:pPr>
        <w:tabs>
          <w:tab w:val="left" w:pos="0"/>
          <w:tab w:val="left" w:pos="567"/>
        </w:tabs>
        <w:rPr>
          <w:b/>
        </w:rPr>
      </w:pPr>
      <w:r w:rsidRPr="00520174">
        <w:rPr>
          <w:b/>
        </w:rPr>
        <w:t xml:space="preserve">Pamiršus pavartoti </w:t>
      </w:r>
      <w:proofErr w:type="spellStart"/>
      <w:r w:rsidRPr="00520174">
        <w:rPr>
          <w:b/>
        </w:rPr>
        <w:t>Guttalax</w:t>
      </w:r>
      <w:proofErr w:type="spellEnd"/>
    </w:p>
    <w:p w:rsidR="00FB1822" w:rsidRPr="00520174" w:rsidRDefault="00FB1822" w:rsidP="00520174">
      <w:pPr>
        <w:tabs>
          <w:tab w:val="left" w:pos="0"/>
          <w:tab w:val="left" w:pos="567"/>
        </w:tabs>
      </w:pPr>
      <w:r w:rsidRPr="00520174">
        <w:t>Jei įprastiniu laiku dozę išgerti pamiršote, gerkite ją tuoj pat, kai tik prisiminsite. Negalima vartoti dvigubos dozės norint kompensuoti praleistą dozę.</w:t>
      </w:r>
    </w:p>
    <w:p w:rsidR="00FB1822" w:rsidRPr="00520174" w:rsidRDefault="00FB1822" w:rsidP="00520174">
      <w:pPr>
        <w:tabs>
          <w:tab w:val="left" w:pos="0"/>
          <w:tab w:val="left" w:pos="567"/>
        </w:tabs>
      </w:pPr>
    </w:p>
    <w:p w:rsidR="00FB1822" w:rsidRPr="00520174" w:rsidRDefault="00FB1822" w:rsidP="00520174">
      <w:pPr>
        <w:tabs>
          <w:tab w:val="left" w:pos="0"/>
          <w:tab w:val="left" w:pos="567"/>
        </w:tabs>
        <w:rPr>
          <w:b/>
        </w:rPr>
      </w:pPr>
      <w:r w:rsidRPr="00520174">
        <w:rPr>
          <w:b/>
        </w:rPr>
        <w:t xml:space="preserve">Nustojus vartoti </w:t>
      </w:r>
      <w:proofErr w:type="spellStart"/>
      <w:r w:rsidRPr="00520174">
        <w:rPr>
          <w:b/>
        </w:rPr>
        <w:t>Guttalax</w:t>
      </w:r>
      <w:proofErr w:type="spellEnd"/>
      <w:r w:rsidRPr="00520174">
        <w:rPr>
          <w:b/>
        </w:rPr>
        <w:t xml:space="preserve"> </w:t>
      </w:r>
    </w:p>
    <w:p w:rsidR="00FB1822" w:rsidRPr="00520174" w:rsidRDefault="00FB1822" w:rsidP="00520174">
      <w:pPr>
        <w:tabs>
          <w:tab w:val="left" w:pos="0"/>
          <w:tab w:val="left" w:pos="567"/>
        </w:tabs>
      </w:pPr>
      <w:proofErr w:type="spellStart"/>
      <w:r w:rsidRPr="00520174">
        <w:t>Guttalax</w:t>
      </w:r>
      <w:proofErr w:type="spellEnd"/>
      <w:r w:rsidRPr="00520174">
        <w:t xml:space="preserve"> reikia vartoti tik tuo atveju, jei būtina, o būklei pagerėjus vartojimą reikia nutraukti.</w:t>
      </w:r>
    </w:p>
    <w:p w:rsidR="00FB1822" w:rsidRPr="00520174" w:rsidRDefault="00FB1822" w:rsidP="00520174">
      <w:pPr>
        <w:tabs>
          <w:tab w:val="left" w:pos="0"/>
          <w:tab w:val="left" w:pos="567"/>
        </w:tabs>
      </w:pPr>
    </w:p>
    <w:p w:rsidR="00FB1822" w:rsidRPr="00520174" w:rsidRDefault="00FB1822" w:rsidP="00520174">
      <w:pPr>
        <w:tabs>
          <w:tab w:val="left" w:pos="0"/>
          <w:tab w:val="left" w:pos="567"/>
        </w:tabs>
      </w:pPr>
      <w:r w:rsidRPr="00520174">
        <w:t>Jeigu kiltų daugiau klausimų dėl šio vaisto vartojimo, kreipkitės į gydytoją arba vaistininką.</w:t>
      </w:r>
    </w:p>
    <w:p w:rsidR="00FB1822" w:rsidRPr="00520174" w:rsidRDefault="00FB1822" w:rsidP="00520174">
      <w:pPr>
        <w:tabs>
          <w:tab w:val="left" w:pos="567"/>
        </w:tabs>
        <w:ind w:left="567" w:hanging="567"/>
        <w:rPr>
          <w:noProof/>
        </w:rPr>
      </w:pPr>
    </w:p>
    <w:p w:rsidR="005524FE" w:rsidRPr="00520174" w:rsidRDefault="005524FE" w:rsidP="00520174">
      <w:pPr>
        <w:pStyle w:val="PI-1EMEASMCA"/>
        <w:rPr>
          <w:lang w:eastAsia="ko-KR"/>
        </w:rPr>
      </w:pPr>
    </w:p>
    <w:p w:rsidR="00A1315F" w:rsidRPr="00520174" w:rsidRDefault="00A1315F" w:rsidP="00520174">
      <w:pPr>
        <w:pStyle w:val="PI-1EMEASMCA"/>
        <w:rPr>
          <w:lang w:eastAsia="ko-KR"/>
        </w:rPr>
      </w:pPr>
    </w:p>
    <w:p w:rsidR="00D06C5C" w:rsidRPr="00520174" w:rsidRDefault="00D06C5C" w:rsidP="00520174">
      <w:pPr>
        <w:pStyle w:val="PI-1EMEASMCA"/>
        <w:rPr>
          <w:lang w:eastAsia="ko-KR"/>
        </w:rPr>
      </w:pPr>
      <w:r w:rsidRPr="00520174">
        <w:rPr>
          <w:lang w:eastAsia="ko-KR"/>
        </w:rPr>
        <w:t>4.</w:t>
      </w:r>
      <w:r w:rsidRPr="00520174">
        <w:rPr>
          <w:lang w:eastAsia="ko-KR"/>
        </w:rPr>
        <w:tab/>
      </w:r>
      <w:bookmarkEnd w:id="11"/>
      <w:bookmarkEnd w:id="12"/>
      <w:r w:rsidRPr="00520174">
        <w:rPr>
          <w:lang w:eastAsia="ko-KR"/>
        </w:rPr>
        <w:t>Galimas šalutinis poveikis</w:t>
      </w:r>
    </w:p>
    <w:p w:rsidR="00F75AD7" w:rsidRPr="00520174" w:rsidRDefault="00F75AD7" w:rsidP="00520174">
      <w:pPr>
        <w:pStyle w:val="PI-1EMEASMCA"/>
        <w:rPr>
          <w:lang w:eastAsia="ko-KR"/>
        </w:rPr>
      </w:pPr>
    </w:p>
    <w:p w:rsidR="00FB1822" w:rsidRPr="00520174" w:rsidRDefault="00FB1822" w:rsidP="00520174">
      <w:pPr>
        <w:tabs>
          <w:tab w:val="left" w:pos="567"/>
        </w:tabs>
        <w:ind w:left="567" w:hanging="567"/>
        <w:rPr>
          <w:noProof/>
        </w:rPr>
      </w:pPr>
      <w:bookmarkStart w:id="13" w:name="_Toc129243143"/>
      <w:bookmarkStart w:id="14" w:name="_Toc129243268"/>
      <w:r w:rsidRPr="00520174">
        <w:rPr>
          <w:noProof/>
        </w:rPr>
        <w:t>Šis vaistas, kaip ir kiti, gali sukelti šalutinį poveikį, nors jis pasireiškia ne visiems žmonėms.</w:t>
      </w:r>
    </w:p>
    <w:p w:rsidR="00FB1822" w:rsidRPr="00520174" w:rsidRDefault="00FB1822" w:rsidP="00520174">
      <w:r w:rsidRPr="00520174">
        <w:t>Toliau nurodyti šalutinio poveikio reiškiniai.</w:t>
      </w:r>
    </w:p>
    <w:p w:rsidR="00FB1822" w:rsidRPr="00520174" w:rsidRDefault="00FB1822" w:rsidP="00520174"/>
    <w:p w:rsidR="00FB1822" w:rsidRPr="00520174" w:rsidRDefault="00FB1822" w:rsidP="00520174">
      <w:pPr>
        <w:tabs>
          <w:tab w:val="left" w:pos="567"/>
        </w:tabs>
        <w:rPr>
          <w:i/>
        </w:rPr>
      </w:pPr>
      <w:r w:rsidRPr="00520174">
        <w:rPr>
          <w:i/>
        </w:rPr>
        <w:t>Labai dažni (pasireiškia daugiau negu 1 iš 10 žmonių)</w:t>
      </w:r>
    </w:p>
    <w:p w:rsidR="00FB1822" w:rsidRPr="00520174" w:rsidRDefault="00FB1822" w:rsidP="00520174">
      <w:pPr>
        <w:tabs>
          <w:tab w:val="left" w:pos="0"/>
          <w:tab w:val="left" w:pos="567"/>
        </w:tabs>
        <w:rPr>
          <w:i/>
        </w:rPr>
      </w:pPr>
      <w:r w:rsidRPr="00520174">
        <w:t>●</w:t>
      </w:r>
      <w:r w:rsidRPr="00520174">
        <w:tab/>
        <w:t>viduriavimas</w:t>
      </w:r>
      <w:r w:rsidRPr="00520174">
        <w:rPr>
          <w:i/>
        </w:rPr>
        <w:t>.</w:t>
      </w:r>
    </w:p>
    <w:p w:rsidR="00FB1822" w:rsidRPr="00520174" w:rsidRDefault="00FB1822" w:rsidP="00520174">
      <w:pPr>
        <w:tabs>
          <w:tab w:val="left" w:pos="0"/>
          <w:tab w:val="left" w:pos="567"/>
        </w:tabs>
      </w:pPr>
    </w:p>
    <w:p w:rsidR="00FB1822" w:rsidRPr="00520174" w:rsidRDefault="00FB1822" w:rsidP="00520174">
      <w:pPr>
        <w:tabs>
          <w:tab w:val="left" w:pos="0"/>
          <w:tab w:val="left" w:pos="567"/>
        </w:tabs>
      </w:pPr>
      <w:r w:rsidRPr="00520174">
        <w:rPr>
          <w:i/>
        </w:rPr>
        <w:t>Dažni (pasireiškia ne daugiau, kaip 1 iš 10</w:t>
      </w:r>
      <w:r w:rsidRPr="00520174">
        <w:rPr>
          <w:i/>
        </w:rPr>
        <w:tab/>
        <w:t>žmonių)</w:t>
      </w:r>
    </w:p>
    <w:p w:rsidR="00FB1822" w:rsidRPr="00520174" w:rsidRDefault="00FB1822" w:rsidP="00520174">
      <w:pPr>
        <w:tabs>
          <w:tab w:val="left" w:pos="0"/>
          <w:tab w:val="left" w:pos="567"/>
        </w:tabs>
      </w:pPr>
      <w:r w:rsidRPr="00520174">
        <w:t>●</w:t>
      </w:r>
      <w:r w:rsidRPr="00520174">
        <w:tab/>
        <w:t>pilvo diegliai,</w:t>
      </w:r>
    </w:p>
    <w:p w:rsidR="00FB1822" w:rsidRPr="00520174" w:rsidRDefault="00FB1822" w:rsidP="00520174">
      <w:pPr>
        <w:tabs>
          <w:tab w:val="left" w:pos="0"/>
          <w:tab w:val="left" w:pos="567"/>
        </w:tabs>
      </w:pPr>
      <w:r w:rsidRPr="00520174">
        <w:t>●</w:t>
      </w:r>
      <w:r w:rsidRPr="00520174">
        <w:tab/>
        <w:t>pilvo skausmas,</w:t>
      </w:r>
    </w:p>
    <w:p w:rsidR="00FB1822" w:rsidRPr="00520174" w:rsidRDefault="00FB1822" w:rsidP="00520174">
      <w:pPr>
        <w:tabs>
          <w:tab w:val="left" w:pos="0"/>
          <w:tab w:val="left" w:pos="567"/>
        </w:tabs>
        <w:rPr>
          <w:highlight w:val="yellow"/>
        </w:rPr>
      </w:pPr>
      <w:r w:rsidRPr="00520174">
        <w:t>●</w:t>
      </w:r>
      <w:r w:rsidRPr="00520174">
        <w:tab/>
        <w:t>nemalonus pojūtis pilve.</w:t>
      </w:r>
    </w:p>
    <w:p w:rsidR="00FB1822" w:rsidRPr="00520174" w:rsidRDefault="00FB1822" w:rsidP="00520174">
      <w:pPr>
        <w:tabs>
          <w:tab w:val="left" w:pos="567"/>
        </w:tabs>
      </w:pPr>
    </w:p>
    <w:p w:rsidR="00FB1822" w:rsidRPr="00520174" w:rsidRDefault="00FB1822" w:rsidP="00520174">
      <w:pPr>
        <w:tabs>
          <w:tab w:val="left" w:pos="567"/>
        </w:tabs>
        <w:rPr>
          <w:i/>
        </w:rPr>
      </w:pPr>
      <w:r w:rsidRPr="00520174">
        <w:rPr>
          <w:i/>
        </w:rPr>
        <w:t>Nedažni (pasireiškia ne daugiau, kaip 1 iš 100 žmonių)</w:t>
      </w:r>
    </w:p>
    <w:p w:rsidR="00FB1822" w:rsidRPr="00520174" w:rsidRDefault="00FB1822" w:rsidP="00520174">
      <w:pPr>
        <w:tabs>
          <w:tab w:val="left" w:pos="567"/>
        </w:tabs>
      </w:pPr>
      <w:r w:rsidRPr="00520174">
        <w:t>●</w:t>
      </w:r>
      <w:r w:rsidRPr="00520174">
        <w:tab/>
        <w:t>vėmimas,</w:t>
      </w:r>
    </w:p>
    <w:p w:rsidR="00FB1822" w:rsidRPr="00520174" w:rsidRDefault="00FB1822" w:rsidP="00520174">
      <w:pPr>
        <w:tabs>
          <w:tab w:val="left" w:pos="567"/>
        </w:tabs>
      </w:pPr>
      <w:r w:rsidRPr="00520174">
        <w:t>●</w:t>
      </w:r>
      <w:r w:rsidRPr="00520174">
        <w:tab/>
        <w:t xml:space="preserve"> pykinimas,</w:t>
      </w:r>
    </w:p>
    <w:p w:rsidR="00FB1822" w:rsidRPr="00520174" w:rsidRDefault="00FB1822" w:rsidP="00520174">
      <w:pPr>
        <w:tabs>
          <w:tab w:val="left" w:pos="567"/>
        </w:tabs>
      </w:pPr>
      <w:r w:rsidRPr="00520174">
        <w:t>●</w:t>
      </w:r>
      <w:r w:rsidRPr="00520174">
        <w:tab/>
        <w:t>galvos svaigimas.</w:t>
      </w:r>
    </w:p>
    <w:p w:rsidR="00FB1822" w:rsidRPr="00520174" w:rsidRDefault="00FB1822" w:rsidP="00520174">
      <w:pPr>
        <w:tabs>
          <w:tab w:val="left" w:pos="567"/>
        </w:tabs>
      </w:pPr>
    </w:p>
    <w:p w:rsidR="00FB1822" w:rsidRPr="00520174" w:rsidRDefault="00FB1822" w:rsidP="00520174">
      <w:pPr>
        <w:rPr>
          <w:i/>
        </w:rPr>
      </w:pPr>
      <w:r w:rsidRPr="00520174">
        <w:rPr>
          <w:i/>
        </w:rPr>
        <w:t>Dažnis nežinomas (negali būti įvertintas pagal turimus duomenis)</w:t>
      </w:r>
    </w:p>
    <w:p w:rsidR="00FB1822" w:rsidRPr="00520174" w:rsidRDefault="00FB1822" w:rsidP="00520174">
      <w:pPr>
        <w:tabs>
          <w:tab w:val="left" w:pos="567"/>
        </w:tabs>
      </w:pPr>
      <w:r w:rsidRPr="00520174">
        <w:t>●</w:t>
      </w:r>
      <w:r w:rsidRPr="00520174">
        <w:tab/>
        <w:t>odos reakcijos:</w:t>
      </w:r>
    </w:p>
    <w:p w:rsidR="00FB1822" w:rsidRPr="00520174" w:rsidRDefault="00FB1822" w:rsidP="00520174">
      <w:pPr>
        <w:tabs>
          <w:tab w:val="left" w:pos="567"/>
        </w:tabs>
        <w:ind w:left="851" w:hanging="851"/>
      </w:pPr>
      <w:r w:rsidRPr="00520174">
        <w:tab/>
        <w:t>-</w:t>
      </w:r>
      <w:r w:rsidRPr="00520174">
        <w:tab/>
        <w:t>greitas odos arba gleivinių paburkimas, sukeliantis kvėpavimo pasunkėjimą (</w:t>
      </w:r>
      <w:proofErr w:type="spellStart"/>
      <w:r w:rsidRPr="00520174">
        <w:t>angioedemą</w:t>
      </w:r>
      <w:proofErr w:type="spellEnd"/>
      <w:r w:rsidRPr="00520174">
        <w:t>);</w:t>
      </w:r>
    </w:p>
    <w:p w:rsidR="00FB1822" w:rsidRPr="00520174" w:rsidRDefault="00FB1822" w:rsidP="00520174">
      <w:pPr>
        <w:tabs>
          <w:tab w:val="left" w:pos="567"/>
          <w:tab w:val="left" w:pos="851"/>
        </w:tabs>
      </w:pPr>
      <w:r w:rsidRPr="00520174">
        <w:tab/>
        <w:t>-</w:t>
      </w:r>
      <w:r w:rsidRPr="00520174">
        <w:tab/>
        <w:t xml:space="preserve">vaistų sukeltas odos išbėrimas arba </w:t>
      </w:r>
      <w:proofErr w:type="spellStart"/>
      <w:r w:rsidRPr="00520174">
        <w:t>dėmėtumas</w:t>
      </w:r>
      <w:proofErr w:type="spellEnd"/>
      <w:r w:rsidRPr="00520174">
        <w:t>;</w:t>
      </w:r>
    </w:p>
    <w:p w:rsidR="00FB1822" w:rsidRPr="00520174" w:rsidRDefault="00FB1822" w:rsidP="00520174">
      <w:pPr>
        <w:tabs>
          <w:tab w:val="left" w:pos="567"/>
          <w:tab w:val="left" w:pos="851"/>
        </w:tabs>
      </w:pPr>
      <w:r w:rsidRPr="00520174">
        <w:tab/>
        <w:t>-</w:t>
      </w:r>
      <w:r w:rsidRPr="00520174">
        <w:tab/>
        <w:t>išbėrimas;</w:t>
      </w:r>
    </w:p>
    <w:p w:rsidR="00FB1822" w:rsidRPr="00520174" w:rsidRDefault="00FB1822" w:rsidP="00520174">
      <w:pPr>
        <w:tabs>
          <w:tab w:val="left" w:pos="567"/>
          <w:tab w:val="left" w:pos="851"/>
        </w:tabs>
      </w:pPr>
      <w:r w:rsidRPr="00520174">
        <w:tab/>
        <w:t>-</w:t>
      </w:r>
      <w:r w:rsidRPr="00520174">
        <w:tab/>
        <w:t>niežulys.</w:t>
      </w:r>
    </w:p>
    <w:p w:rsidR="00FB1822" w:rsidRPr="00520174" w:rsidRDefault="00FB1822" w:rsidP="00520174">
      <w:pPr>
        <w:tabs>
          <w:tab w:val="left" w:pos="567"/>
        </w:tabs>
      </w:pPr>
      <w:r w:rsidRPr="00520174">
        <w:t>●</w:t>
      </w:r>
      <w:r w:rsidRPr="00520174">
        <w:tab/>
        <w:t>apalpimas.</w:t>
      </w:r>
    </w:p>
    <w:p w:rsidR="00FB1822" w:rsidRPr="00520174" w:rsidRDefault="00FB1822" w:rsidP="00520174">
      <w:pPr>
        <w:tabs>
          <w:tab w:val="left" w:pos="567"/>
        </w:tabs>
      </w:pPr>
      <w:r w:rsidRPr="00520174">
        <w:t xml:space="preserve"> </w:t>
      </w:r>
    </w:p>
    <w:p w:rsidR="00FB1822" w:rsidRPr="00520174" w:rsidRDefault="00FB1822" w:rsidP="00520174">
      <w:pPr>
        <w:tabs>
          <w:tab w:val="left" w:pos="567"/>
        </w:tabs>
      </w:pPr>
      <w:r w:rsidRPr="00520174">
        <w:t xml:space="preserve">Po </w:t>
      </w:r>
      <w:proofErr w:type="spellStart"/>
      <w:r w:rsidRPr="00520174">
        <w:t>Guttalax</w:t>
      </w:r>
      <w:proofErr w:type="spellEnd"/>
      <w:r w:rsidRPr="00520174">
        <w:t xml:space="preserve"> pavartojimo pasireiškiantis galvos svaigimas ir apalpimas siejamas su </w:t>
      </w:r>
      <w:proofErr w:type="spellStart"/>
      <w:r w:rsidRPr="00520174">
        <w:t>obstipacija</w:t>
      </w:r>
      <w:proofErr w:type="spellEnd"/>
      <w:r w:rsidRPr="00520174">
        <w:t xml:space="preserve"> (jėgų įtempimu tuštinimosi metu, pilvo skausmu).</w:t>
      </w:r>
    </w:p>
    <w:p w:rsidR="00E80CD4" w:rsidRPr="00520174" w:rsidRDefault="00E80CD4" w:rsidP="00520174">
      <w:pPr>
        <w:numPr>
          <w:ilvl w:val="12"/>
          <w:numId w:val="0"/>
        </w:numPr>
        <w:ind w:left="567" w:right="-2" w:hanging="567"/>
        <w:rPr>
          <w:lang w:eastAsia="en-US"/>
        </w:rPr>
      </w:pPr>
    </w:p>
    <w:p w:rsidR="007E0CC4" w:rsidRPr="00520174" w:rsidRDefault="007E0CC4" w:rsidP="00520174">
      <w:pPr>
        <w:tabs>
          <w:tab w:val="left" w:pos="567"/>
        </w:tabs>
        <w:rPr>
          <w:b/>
          <w:snapToGrid w:val="0"/>
        </w:rPr>
      </w:pPr>
      <w:r w:rsidRPr="00520174">
        <w:rPr>
          <w:b/>
          <w:noProof/>
          <w:snapToGrid w:val="0"/>
        </w:rPr>
        <w:t>Pranešimas apie šalutinį poveikį</w:t>
      </w:r>
    </w:p>
    <w:p w:rsidR="007E0CC4" w:rsidRPr="00520174" w:rsidRDefault="007E0CC4" w:rsidP="00520174">
      <w:pPr>
        <w:rPr>
          <w:noProof/>
          <w:snapToGrid w:val="0"/>
        </w:rPr>
      </w:pPr>
      <w:r w:rsidRPr="00520174">
        <w:rPr>
          <w:noProof/>
          <w:snapToGrid w:val="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w:t>
      </w:r>
      <w:r w:rsidR="00072EB2" w:rsidRPr="00520174">
        <w:rPr>
          <w:noProof/>
          <w:snapToGrid w:val="0"/>
        </w:rPr>
        <w:t xml:space="preserve"> interneto svetainėje </w:t>
      </w:r>
      <w:hyperlink r:id="rId8" w:history="1">
        <w:r w:rsidR="00E80CD4" w:rsidRPr="00520174">
          <w:rPr>
            <w:rStyle w:val="Hipersaitas"/>
            <w:noProof/>
            <w:snapToGrid w:val="0"/>
          </w:rPr>
          <w:t>www.vvkt.lt</w:t>
        </w:r>
      </w:hyperlink>
      <w:r w:rsidR="00E80CD4" w:rsidRPr="00520174">
        <w:rPr>
          <w:noProof/>
          <w:snapToGrid w:val="0"/>
        </w:rPr>
        <w:t xml:space="preserve"> </w:t>
      </w:r>
      <w:r w:rsidRPr="00520174">
        <w:rPr>
          <w:noProof/>
          <w:snapToGrid w:val="0"/>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00E80CD4" w:rsidRPr="00520174">
          <w:rPr>
            <w:rStyle w:val="Hipersaitas"/>
            <w:noProof/>
            <w:snapToGrid w:val="0"/>
          </w:rPr>
          <w:t>NepageidaujamaR@vvkt.lt</w:t>
        </w:r>
      </w:hyperlink>
      <w:r w:rsidRPr="00520174">
        <w:rPr>
          <w:noProof/>
          <w:snapToGrid w:val="0"/>
        </w:rPr>
        <w:t xml:space="preserve">, taip pat per Valstybinės vaistų kontrolės tarnybos prie Lietuvos Respublikos sveikatos apsaugos ministerijos interneto svetainę (adresu </w:t>
      </w:r>
      <w:hyperlink r:id="rId10" w:history="1">
        <w:r w:rsidR="00E80CD4" w:rsidRPr="00520174">
          <w:rPr>
            <w:rStyle w:val="Hipersaitas"/>
            <w:noProof/>
            <w:snapToGrid w:val="0"/>
          </w:rPr>
          <w:t>http://www.vvkt.lt</w:t>
        </w:r>
      </w:hyperlink>
      <w:r w:rsidR="00E80CD4" w:rsidRPr="00520174">
        <w:rPr>
          <w:noProof/>
          <w:snapToGrid w:val="0"/>
        </w:rPr>
        <w:t xml:space="preserve"> )</w:t>
      </w:r>
      <w:r w:rsidRPr="00520174">
        <w:rPr>
          <w:noProof/>
          <w:snapToGrid w:val="0"/>
        </w:rPr>
        <w:t>. Pranešdami apie šalutinį poveikį galite mums padėti gauti daugiau informacijos apie šio vaisto saugumą.</w:t>
      </w:r>
    </w:p>
    <w:p w:rsidR="007E0CC4" w:rsidRPr="00520174" w:rsidRDefault="007E0CC4" w:rsidP="00520174">
      <w:pPr>
        <w:pStyle w:val="PI-1EMEASMCA"/>
        <w:rPr>
          <w:lang w:eastAsia="ko-KR"/>
        </w:rPr>
      </w:pPr>
    </w:p>
    <w:p w:rsidR="007E0CC4" w:rsidRPr="00520174" w:rsidRDefault="007E0CC4" w:rsidP="00520174">
      <w:pPr>
        <w:pStyle w:val="PI-1EMEASMCA"/>
        <w:rPr>
          <w:lang w:eastAsia="ko-KR"/>
        </w:rPr>
      </w:pPr>
    </w:p>
    <w:p w:rsidR="00FB1822" w:rsidRPr="00520174" w:rsidRDefault="00D06C5C" w:rsidP="00520174">
      <w:pPr>
        <w:tabs>
          <w:tab w:val="left" w:pos="567"/>
        </w:tabs>
        <w:ind w:left="567" w:hanging="567"/>
        <w:rPr>
          <w:b/>
        </w:rPr>
      </w:pPr>
      <w:r w:rsidRPr="00520174">
        <w:rPr>
          <w:b/>
          <w:lang w:eastAsia="ko-KR"/>
        </w:rPr>
        <w:t>5.</w:t>
      </w:r>
      <w:r w:rsidRPr="00520174">
        <w:rPr>
          <w:b/>
          <w:lang w:eastAsia="ko-KR"/>
        </w:rPr>
        <w:tab/>
        <w:t xml:space="preserve">Kaip laikyti </w:t>
      </w:r>
      <w:bookmarkEnd w:id="13"/>
      <w:bookmarkEnd w:id="14"/>
      <w:r w:rsidR="00FB1822" w:rsidRPr="00520174">
        <w:rPr>
          <w:b/>
          <w:noProof/>
        </w:rPr>
        <w:t>Guttalax</w:t>
      </w:r>
    </w:p>
    <w:p w:rsidR="00D06C5C" w:rsidRPr="00520174" w:rsidRDefault="00D06C5C" w:rsidP="00520174">
      <w:pPr>
        <w:pStyle w:val="BTEMEASMCA"/>
        <w:rPr>
          <w:lang w:eastAsia="ko-KR"/>
        </w:rPr>
      </w:pPr>
    </w:p>
    <w:p w:rsidR="00072EB2" w:rsidRPr="00520174" w:rsidRDefault="00072EB2" w:rsidP="00520174">
      <w:pPr>
        <w:numPr>
          <w:ilvl w:val="12"/>
          <w:numId w:val="0"/>
        </w:numPr>
        <w:ind w:right="-2"/>
      </w:pPr>
      <w:r w:rsidRPr="00520174">
        <w:rPr>
          <w:noProof/>
          <w:snapToGrid w:val="0"/>
        </w:rPr>
        <w:t>Šį vaistą laikykite</w:t>
      </w:r>
      <w:r w:rsidRPr="00520174">
        <w:t xml:space="preserve"> vaikams </w:t>
      </w:r>
      <w:r w:rsidRPr="00520174">
        <w:rPr>
          <w:noProof/>
          <w:snapToGrid w:val="0"/>
        </w:rPr>
        <w:t xml:space="preserve">nepastebimoje ir </w:t>
      </w:r>
      <w:r w:rsidRPr="00520174">
        <w:t>nepasiekiamoje vietoje.</w:t>
      </w:r>
    </w:p>
    <w:p w:rsidR="00072EB2" w:rsidRPr="00520174" w:rsidRDefault="00072EB2" w:rsidP="00520174"/>
    <w:p w:rsidR="00FB1822" w:rsidRPr="00520174" w:rsidRDefault="00FB1822" w:rsidP="00520174">
      <w:r w:rsidRPr="00520174">
        <w:t>Šiam vaistiniam preparatui specialių laikymo sąlygų nereikia.</w:t>
      </w:r>
    </w:p>
    <w:p w:rsidR="00FB1822" w:rsidRPr="00520174" w:rsidRDefault="00FB1822" w:rsidP="00520174">
      <w:r w:rsidRPr="00520174">
        <w:t xml:space="preserve"> </w:t>
      </w:r>
    </w:p>
    <w:p w:rsidR="00FB1822" w:rsidRPr="00520174" w:rsidRDefault="00FB1822" w:rsidP="00520174">
      <w:pPr>
        <w:tabs>
          <w:tab w:val="left" w:pos="567"/>
        </w:tabs>
        <w:rPr>
          <w:noProof/>
        </w:rPr>
      </w:pPr>
      <w:r w:rsidRPr="00520174">
        <w:rPr>
          <w:noProof/>
        </w:rPr>
        <w:t>Ant buteliuko etiketės ar dėžutės, dėžutės etiketės po „EXP/Tinka iki“ nurodytam tinkamumo laikui pasibaigus, šio vaisto vartoti negalima. Vaistas tinkamas vartoti iki paskutinės nurodyto mėnesio dienos.</w:t>
      </w:r>
    </w:p>
    <w:p w:rsidR="00105A1C" w:rsidRPr="00520174" w:rsidRDefault="00105A1C" w:rsidP="00520174"/>
    <w:p w:rsidR="00072EB2" w:rsidRPr="00520174" w:rsidRDefault="00072EB2" w:rsidP="00520174">
      <w:pPr>
        <w:numPr>
          <w:ilvl w:val="12"/>
          <w:numId w:val="0"/>
        </w:numPr>
      </w:pPr>
      <w:r w:rsidRPr="00520174">
        <w:lastRenderedPageBreak/>
        <w:t xml:space="preserve">Vaistų negalima </w:t>
      </w:r>
      <w:r w:rsidRPr="00520174">
        <w:rPr>
          <w:noProof/>
        </w:rPr>
        <w:t>išmesti</w:t>
      </w:r>
      <w:r w:rsidRPr="00520174">
        <w:t xml:space="preserve"> į kanalizaciją arba su buitinėmis atliekomis. Kaip </w:t>
      </w:r>
      <w:r w:rsidRPr="00520174">
        <w:rPr>
          <w:noProof/>
        </w:rPr>
        <w:t>išmesti</w:t>
      </w:r>
      <w:r w:rsidRPr="00520174">
        <w:t xml:space="preserve"> nereikalingus vaistus, klauskite vaistininko. Šios priemonės padės apsaugoti aplinką.</w:t>
      </w:r>
    </w:p>
    <w:p w:rsidR="007B096F" w:rsidRPr="00520174" w:rsidRDefault="007B096F" w:rsidP="00520174">
      <w:pPr>
        <w:tabs>
          <w:tab w:val="left" w:pos="567"/>
        </w:tabs>
        <w:rPr>
          <w:lang w:eastAsia="ko-KR"/>
        </w:rPr>
      </w:pPr>
    </w:p>
    <w:p w:rsidR="003835B5" w:rsidRPr="00520174" w:rsidRDefault="003835B5" w:rsidP="00520174">
      <w:pPr>
        <w:tabs>
          <w:tab w:val="left" w:pos="567"/>
        </w:tabs>
        <w:rPr>
          <w:lang w:eastAsia="ko-KR"/>
        </w:rPr>
      </w:pPr>
    </w:p>
    <w:p w:rsidR="00C152C8" w:rsidRPr="00520174" w:rsidRDefault="00C152C8" w:rsidP="00520174">
      <w:pPr>
        <w:pStyle w:val="PI-1EMEASMCA"/>
        <w:rPr>
          <w:lang w:eastAsia="ko-KR"/>
        </w:rPr>
      </w:pPr>
      <w:bookmarkStart w:id="15" w:name="_Toc129243144"/>
      <w:bookmarkStart w:id="16" w:name="_Toc129243269"/>
      <w:r w:rsidRPr="00520174">
        <w:rPr>
          <w:lang w:eastAsia="ko-KR"/>
        </w:rPr>
        <w:t>6.</w:t>
      </w:r>
      <w:r w:rsidRPr="00520174">
        <w:rPr>
          <w:lang w:eastAsia="ko-KR"/>
        </w:rPr>
        <w:tab/>
      </w:r>
      <w:bookmarkEnd w:id="15"/>
      <w:bookmarkEnd w:id="16"/>
      <w:r w:rsidRPr="00520174">
        <w:rPr>
          <w:lang w:eastAsia="ko-KR"/>
        </w:rPr>
        <w:t>Pakuotės turinys ir kita informacija</w:t>
      </w:r>
    </w:p>
    <w:p w:rsidR="003A5F45" w:rsidRPr="00520174" w:rsidRDefault="003A5F45" w:rsidP="00520174">
      <w:pPr>
        <w:pStyle w:val="PI-1EMEASMCA"/>
        <w:rPr>
          <w:lang w:eastAsia="ko-KR"/>
        </w:rPr>
      </w:pPr>
    </w:p>
    <w:p w:rsidR="00665016" w:rsidRPr="00520174" w:rsidRDefault="00FB1822" w:rsidP="00520174">
      <w:pPr>
        <w:widowControl w:val="0"/>
        <w:rPr>
          <w:iCs/>
        </w:rPr>
      </w:pPr>
      <w:r w:rsidRPr="00520174">
        <w:rPr>
          <w:b/>
          <w:noProof/>
        </w:rPr>
        <w:t>Guttalax</w:t>
      </w:r>
      <w:r w:rsidR="00665016" w:rsidRPr="00520174">
        <w:rPr>
          <w:b/>
          <w:iCs/>
        </w:rPr>
        <w:t xml:space="preserve"> sudėtis</w:t>
      </w:r>
    </w:p>
    <w:p w:rsidR="00FB1822" w:rsidRPr="00520174" w:rsidRDefault="00665016" w:rsidP="00520174">
      <w:pPr>
        <w:keepNext/>
        <w:keepLines/>
        <w:tabs>
          <w:tab w:val="left" w:pos="0"/>
          <w:tab w:val="left" w:pos="567"/>
        </w:tabs>
        <w:rPr>
          <w:noProof/>
        </w:rPr>
      </w:pPr>
      <w:r w:rsidRPr="00520174">
        <w:rPr>
          <w:iCs/>
        </w:rPr>
        <w:t>-</w:t>
      </w:r>
      <w:r w:rsidRPr="00520174">
        <w:rPr>
          <w:iCs/>
        </w:rPr>
        <w:tab/>
      </w:r>
      <w:r w:rsidR="00FB1822" w:rsidRPr="00520174">
        <w:rPr>
          <w:noProof/>
        </w:rPr>
        <w:t>Veiklioji medžiaga yra natrio pikosulfatas. 1 ml tirpalo (15 lašų) yra 7,5 mg natrio pikosulfato.</w:t>
      </w:r>
    </w:p>
    <w:p w:rsidR="003A5F45" w:rsidRPr="00520174" w:rsidRDefault="00FB1822" w:rsidP="00520174">
      <w:pPr>
        <w:pStyle w:val="Sraopastraipa"/>
        <w:numPr>
          <w:ilvl w:val="0"/>
          <w:numId w:val="35"/>
        </w:numPr>
        <w:ind w:left="567" w:hanging="567"/>
        <w:rPr>
          <w:rFonts w:eastAsia="Calibri"/>
        </w:rPr>
      </w:pPr>
      <w:r w:rsidRPr="00520174">
        <w:rPr>
          <w:noProof/>
        </w:rPr>
        <w:t xml:space="preserve">Pagalbinės medžiagos yra </w:t>
      </w:r>
      <w:proofErr w:type="spellStart"/>
      <w:r w:rsidRPr="00520174">
        <w:t>metilparabenas</w:t>
      </w:r>
      <w:proofErr w:type="spellEnd"/>
      <w:r w:rsidRPr="00520174">
        <w:t xml:space="preserve"> E-218, </w:t>
      </w:r>
      <w:r w:rsidRPr="00520174">
        <w:rPr>
          <w:noProof/>
        </w:rPr>
        <w:t xml:space="preserve">skystasis sorbitolis (nesikristalizuojantis), </w:t>
      </w:r>
      <w:r w:rsidRPr="00520174">
        <w:t>išgrynintas vanduo.</w:t>
      </w:r>
      <w:r w:rsidR="003A5F45" w:rsidRPr="00520174">
        <w:rPr>
          <w:rFonts w:eastAsia="Calibri"/>
        </w:rPr>
        <w:t xml:space="preserve"> </w:t>
      </w:r>
    </w:p>
    <w:p w:rsidR="00FB1822" w:rsidRPr="00520174" w:rsidRDefault="00FB1822" w:rsidP="00520174">
      <w:pPr>
        <w:pStyle w:val="Sraopastraipa"/>
        <w:ind w:left="567"/>
        <w:rPr>
          <w:rFonts w:eastAsia="Calibri"/>
        </w:rPr>
      </w:pPr>
    </w:p>
    <w:p w:rsidR="00FB1822" w:rsidRPr="00520174" w:rsidRDefault="00FB1822" w:rsidP="00520174">
      <w:pPr>
        <w:tabs>
          <w:tab w:val="left" w:pos="567"/>
        </w:tabs>
        <w:ind w:left="567" w:hanging="567"/>
        <w:jc w:val="both"/>
        <w:rPr>
          <w:rFonts w:ascii="Arial" w:hAnsi="Arial"/>
        </w:rPr>
      </w:pPr>
      <w:r w:rsidRPr="00520174">
        <w:rPr>
          <w:b/>
          <w:noProof/>
        </w:rPr>
        <w:t>Guttalax išvaizda ir kiekis pakuotėje</w:t>
      </w:r>
    </w:p>
    <w:p w:rsidR="00FB1822" w:rsidRPr="00520174" w:rsidRDefault="00FB1822" w:rsidP="00520174">
      <w:pPr>
        <w:tabs>
          <w:tab w:val="left" w:pos="567"/>
        </w:tabs>
      </w:pPr>
      <w:r w:rsidRPr="00520174">
        <w:t>Skaidrus, bespalvis ar gelsvas, arba šiek tiek gelsvai rudas, truputį klampus tirpalas.</w:t>
      </w:r>
    </w:p>
    <w:p w:rsidR="0083208C" w:rsidRPr="00520174" w:rsidRDefault="00FB1822" w:rsidP="00520174">
      <w:r w:rsidRPr="00520174">
        <w:t>Viename buteliuke yra 15 ml tirpalo</w:t>
      </w:r>
    </w:p>
    <w:p w:rsidR="00FB1822" w:rsidRPr="00520174" w:rsidRDefault="00FB1822" w:rsidP="00520174">
      <w:pPr>
        <w:rPr>
          <w:lang w:eastAsia="ko-KR"/>
        </w:rPr>
      </w:pPr>
    </w:p>
    <w:p w:rsidR="00737F9E" w:rsidRPr="00520174" w:rsidRDefault="00035129" w:rsidP="00520174">
      <w:pPr>
        <w:rPr>
          <w:b/>
          <w:bCs/>
          <w:lang w:eastAsia="ko-KR"/>
        </w:rPr>
      </w:pPr>
      <w:r w:rsidRPr="00520174">
        <w:rPr>
          <w:b/>
          <w:lang w:eastAsia="ko-KR"/>
        </w:rPr>
        <w:t>Registruotojas ir gamintojas</w:t>
      </w:r>
    </w:p>
    <w:p w:rsidR="00737F9E" w:rsidRPr="00520174" w:rsidRDefault="00737F9E" w:rsidP="00520174">
      <w:pPr>
        <w:rPr>
          <w:lang w:eastAsia="ko-KR"/>
        </w:rPr>
      </w:pPr>
    </w:p>
    <w:p w:rsidR="00B8196E" w:rsidRPr="00520174" w:rsidRDefault="00DA2E18" w:rsidP="00520174">
      <w:pPr>
        <w:rPr>
          <w:b/>
          <w:lang w:eastAsia="ko-KR"/>
        </w:rPr>
      </w:pPr>
      <w:r w:rsidRPr="00520174">
        <w:rPr>
          <w:b/>
          <w:lang w:eastAsia="ko-KR"/>
        </w:rPr>
        <w:t xml:space="preserve">Registruotojas </w:t>
      </w:r>
      <w:r w:rsidR="00B60A92" w:rsidRPr="00520174">
        <w:rPr>
          <w:b/>
          <w:lang w:eastAsia="ko-KR"/>
        </w:rPr>
        <w:t>eksportuojančioje valstybėje</w:t>
      </w:r>
    </w:p>
    <w:p w:rsidR="00DF29B3" w:rsidRPr="00520174" w:rsidRDefault="00BD48B0" w:rsidP="00520174">
      <w:pPr>
        <w:ind w:right="284"/>
        <w:jc w:val="both"/>
        <w:rPr>
          <w:spacing w:val="3"/>
        </w:rPr>
      </w:pPr>
      <w:proofErr w:type="spellStart"/>
      <w:r>
        <w:rPr>
          <w:spacing w:val="3"/>
        </w:rPr>
        <w:t>Sanofi</w:t>
      </w:r>
      <w:proofErr w:type="spellEnd"/>
      <w:r>
        <w:rPr>
          <w:spacing w:val="3"/>
        </w:rPr>
        <w:t xml:space="preserve"> </w:t>
      </w:r>
      <w:proofErr w:type="spellStart"/>
      <w:r>
        <w:rPr>
          <w:spacing w:val="3"/>
        </w:rPr>
        <w:t>Aventis</w:t>
      </w:r>
      <w:proofErr w:type="spellEnd"/>
      <w:r>
        <w:rPr>
          <w:spacing w:val="3"/>
        </w:rPr>
        <w:t xml:space="preserve"> AEBE</w:t>
      </w:r>
    </w:p>
    <w:p w:rsidR="00BD48B0" w:rsidRPr="00BD48B0" w:rsidRDefault="00BD48B0" w:rsidP="00520174">
      <w:pPr>
        <w:tabs>
          <w:tab w:val="left" w:pos="567"/>
        </w:tabs>
        <w:rPr>
          <w:lang w:eastAsia="ko-KR"/>
        </w:rPr>
      </w:pPr>
      <w:proofErr w:type="spellStart"/>
      <w:r w:rsidRPr="00BD48B0">
        <w:rPr>
          <w:lang w:eastAsia="ko-KR"/>
        </w:rPr>
        <w:t>Andrea</w:t>
      </w:r>
      <w:proofErr w:type="spellEnd"/>
      <w:r w:rsidRPr="00BD48B0">
        <w:rPr>
          <w:lang w:eastAsia="ko-KR"/>
        </w:rPr>
        <w:t xml:space="preserve"> </w:t>
      </w:r>
      <w:proofErr w:type="spellStart"/>
      <w:r w:rsidRPr="00BD48B0">
        <w:rPr>
          <w:lang w:eastAsia="ko-KR"/>
        </w:rPr>
        <w:t>Syngrou</w:t>
      </w:r>
      <w:proofErr w:type="spellEnd"/>
      <w:r w:rsidRPr="00BD48B0">
        <w:rPr>
          <w:lang w:eastAsia="ko-KR"/>
        </w:rPr>
        <w:t xml:space="preserve"> </w:t>
      </w:r>
      <w:proofErr w:type="spellStart"/>
      <w:r w:rsidRPr="00BD48B0">
        <w:rPr>
          <w:lang w:eastAsia="ko-KR"/>
        </w:rPr>
        <w:t>Avenue</w:t>
      </w:r>
      <w:proofErr w:type="spellEnd"/>
      <w:r w:rsidRPr="00BD48B0">
        <w:rPr>
          <w:lang w:eastAsia="ko-KR"/>
        </w:rPr>
        <w:t xml:space="preserve"> 348, 176 74 </w:t>
      </w:r>
      <w:proofErr w:type="spellStart"/>
      <w:r w:rsidRPr="00BD48B0">
        <w:rPr>
          <w:lang w:eastAsia="ko-KR"/>
        </w:rPr>
        <w:t>Kalitėja</w:t>
      </w:r>
      <w:proofErr w:type="spellEnd"/>
    </w:p>
    <w:p w:rsidR="00E80CD4" w:rsidRPr="00BD48B0" w:rsidRDefault="00BD48B0" w:rsidP="00520174">
      <w:pPr>
        <w:tabs>
          <w:tab w:val="left" w:pos="567"/>
        </w:tabs>
        <w:rPr>
          <w:lang w:eastAsia="ko-KR"/>
        </w:rPr>
      </w:pPr>
      <w:r w:rsidRPr="00BD48B0">
        <w:rPr>
          <w:lang w:eastAsia="ko-KR"/>
        </w:rPr>
        <w:t>Graikija</w:t>
      </w:r>
    </w:p>
    <w:p w:rsidR="00BD48B0" w:rsidRPr="00520174" w:rsidRDefault="00BD48B0" w:rsidP="00520174">
      <w:pPr>
        <w:tabs>
          <w:tab w:val="left" w:pos="567"/>
        </w:tabs>
        <w:rPr>
          <w:color w:val="FF0000"/>
          <w:lang w:eastAsia="ko-KR"/>
        </w:rPr>
      </w:pPr>
    </w:p>
    <w:p w:rsidR="007B096F" w:rsidRPr="00520174" w:rsidRDefault="007B096F" w:rsidP="00520174">
      <w:pPr>
        <w:tabs>
          <w:tab w:val="left" w:pos="567"/>
        </w:tabs>
        <w:rPr>
          <w:b/>
          <w:lang w:eastAsia="ko-KR"/>
        </w:rPr>
      </w:pPr>
      <w:r w:rsidRPr="00520174">
        <w:rPr>
          <w:b/>
          <w:lang w:eastAsia="ko-KR"/>
        </w:rPr>
        <w:t>Gamintojas</w:t>
      </w:r>
      <w:r w:rsidR="00F10E7B" w:rsidRPr="00520174">
        <w:rPr>
          <w:b/>
          <w:lang w:eastAsia="ko-KR"/>
        </w:rPr>
        <w:t xml:space="preserve"> </w:t>
      </w:r>
    </w:p>
    <w:p w:rsidR="00DF29B3" w:rsidRPr="00520174" w:rsidRDefault="00DF29B3" w:rsidP="00520174">
      <w:pPr>
        <w:keepNext/>
        <w:widowControl w:val="0"/>
        <w:outlineLvl w:val="5"/>
        <w:rPr>
          <w:lang w:eastAsia="ko-KR"/>
        </w:rPr>
      </w:pPr>
      <w:proofErr w:type="spellStart"/>
      <w:r w:rsidRPr="00520174">
        <w:rPr>
          <w:lang w:eastAsia="ko-KR"/>
        </w:rPr>
        <w:t>Istituto</w:t>
      </w:r>
      <w:proofErr w:type="spellEnd"/>
      <w:r w:rsidRPr="00520174">
        <w:rPr>
          <w:lang w:eastAsia="ko-KR"/>
        </w:rPr>
        <w:t xml:space="preserve"> De </w:t>
      </w:r>
      <w:proofErr w:type="spellStart"/>
      <w:r w:rsidRPr="00520174">
        <w:rPr>
          <w:lang w:eastAsia="ko-KR"/>
        </w:rPr>
        <w:t>Angeli</w:t>
      </w:r>
      <w:proofErr w:type="spellEnd"/>
      <w:r w:rsidRPr="00520174">
        <w:rPr>
          <w:lang w:eastAsia="ko-KR"/>
        </w:rPr>
        <w:t xml:space="preserve"> S. r. l.</w:t>
      </w:r>
    </w:p>
    <w:p w:rsidR="00DF29B3" w:rsidRPr="00520174" w:rsidRDefault="00DF29B3" w:rsidP="00520174">
      <w:pPr>
        <w:keepNext/>
        <w:widowControl w:val="0"/>
        <w:outlineLvl w:val="5"/>
        <w:rPr>
          <w:lang w:eastAsia="ko-KR"/>
        </w:rPr>
      </w:pPr>
      <w:proofErr w:type="spellStart"/>
      <w:r w:rsidRPr="00520174">
        <w:rPr>
          <w:lang w:eastAsia="ko-KR"/>
        </w:rPr>
        <w:t>Loc</w:t>
      </w:r>
      <w:proofErr w:type="spellEnd"/>
      <w:r w:rsidRPr="00520174">
        <w:rPr>
          <w:lang w:eastAsia="ko-KR"/>
        </w:rPr>
        <w:t xml:space="preserve">. </w:t>
      </w:r>
      <w:proofErr w:type="spellStart"/>
      <w:r w:rsidRPr="00520174">
        <w:rPr>
          <w:lang w:eastAsia="ko-KR"/>
        </w:rPr>
        <w:t>Prulli</w:t>
      </w:r>
      <w:proofErr w:type="spellEnd"/>
      <w:r w:rsidRPr="00520174">
        <w:rPr>
          <w:lang w:eastAsia="ko-KR"/>
        </w:rPr>
        <w:t xml:space="preserve"> 103/C, I - 50066 </w:t>
      </w:r>
      <w:proofErr w:type="spellStart"/>
      <w:r w:rsidRPr="00520174">
        <w:rPr>
          <w:lang w:eastAsia="ko-KR"/>
        </w:rPr>
        <w:t>Regello</w:t>
      </w:r>
      <w:proofErr w:type="spellEnd"/>
      <w:r w:rsidRPr="00520174">
        <w:rPr>
          <w:lang w:eastAsia="ko-KR"/>
        </w:rPr>
        <w:t xml:space="preserve"> (FI)</w:t>
      </w:r>
    </w:p>
    <w:p w:rsidR="00DF29B3" w:rsidRPr="00520174" w:rsidRDefault="00DF29B3" w:rsidP="00520174">
      <w:pPr>
        <w:keepNext/>
        <w:widowControl w:val="0"/>
        <w:outlineLvl w:val="5"/>
        <w:rPr>
          <w:lang w:eastAsia="ko-KR"/>
        </w:rPr>
      </w:pPr>
      <w:r w:rsidRPr="00520174">
        <w:rPr>
          <w:lang w:eastAsia="ko-KR"/>
        </w:rPr>
        <w:t>Italija</w:t>
      </w:r>
    </w:p>
    <w:p w:rsidR="001640A4" w:rsidRPr="00520174" w:rsidRDefault="001640A4" w:rsidP="00520174">
      <w:pPr>
        <w:tabs>
          <w:tab w:val="left" w:pos="567"/>
        </w:tabs>
        <w:rPr>
          <w:color w:val="000000"/>
        </w:rPr>
      </w:pPr>
    </w:p>
    <w:p w:rsidR="007B096F" w:rsidRPr="00520174" w:rsidRDefault="007B096F" w:rsidP="00520174">
      <w:pPr>
        <w:tabs>
          <w:tab w:val="left" w:pos="567"/>
        </w:tabs>
        <w:ind w:left="567" w:hanging="567"/>
        <w:rPr>
          <w:b/>
          <w:lang w:eastAsia="ko-KR"/>
        </w:rPr>
      </w:pPr>
      <w:r w:rsidRPr="00520174">
        <w:rPr>
          <w:b/>
          <w:lang w:eastAsia="ko-KR"/>
        </w:rPr>
        <w:t xml:space="preserve">Lygiagretus importuotojas </w:t>
      </w:r>
    </w:p>
    <w:p w:rsidR="00FC7EEE" w:rsidRPr="00520174" w:rsidRDefault="00FC7EEE" w:rsidP="00520174">
      <w:pPr>
        <w:ind w:left="567" w:hanging="567"/>
        <w:rPr>
          <w:lang w:eastAsia="ko-KR"/>
        </w:rPr>
      </w:pPr>
      <w:r w:rsidRPr="00520174">
        <w:rPr>
          <w:lang w:eastAsia="ko-KR"/>
        </w:rPr>
        <w:t>UAB „Limedika“</w:t>
      </w:r>
    </w:p>
    <w:p w:rsidR="00FC7EEE" w:rsidRPr="00520174" w:rsidRDefault="00FC7EEE" w:rsidP="00520174">
      <w:pPr>
        <w:ind w:left="567" w:hanging="567"/>
        <w:rPr>
          <w:lang w:eastAsia="ko-KR"/>
        </w:rPr>
      </w:pPr>
      <w:r w:rsidRPr="00520174">
        <w:rPr>
          <w:lang w:eastAsia="ko-KR"/>
        </w:rPr>
        <w:t>Gedimino g. 13, LT-44318 Kaunas</w:t>
      </w:r>
    </w:p>
    <w:p w:rsidR="00FC7EEE" w:rsidRPr="00520174" w:rsidRDefault="00FC7EEE" w:rsidP="00520174">
      <w:pPr>
        <w:keepNext/>
        <w:tabs>
          <w:tab w:val="left" w:pos="567"/>
        </w:tabs>
        <w:rPr>
          <w:lang w:eastAsia="ko-KR"/>
        </w:rPr>
      </w:pPr>
      <w:r w:rsidRPr="00520174">
        <w:rPr>
          <w:lang w:eastAsia="ko-KR"/>
        </w:rPr>
        <w:t>Lietuva</w:t>
      </w:r>
    </w:p>
    <w:p w:rsidR="007B096F" w:rsidRPr="00520174" w:rsidRDefault="007B096F" w:rsidP="00520174">
      <w:pPr>
        <w:tabs>
          <w:tab w:val="left" w:pos="567"/>
        </w:tabs>
        <w:ind w:left="567" w:hanging="567"/>
        <w:rPr>
          <w:lang w:eastAsia="ko-KR"/>
        </w:rPr>
      </w:pPr>
    </w:p>
    <w:p w:rsidR="007B096F" w:rsidRPr="00520174" w:rsidRDefault="007B096F" w:rsidP="00520174">
      <w:pPr>
        <w:tabs>
          <w:tab w:val="left" w:pos="567"/>
        </w:tabs>
        <w:ind w:left="567" w:hanging="567"/>
        <w:rPr>
          <w:b/>
          <w:lang w:eastAsia="ko-KR"/>
        </w:rPr>
      </w:pPr>
      <w:r w:rsidRPr="00520174">
        <w:rPr>
          <w:b/>
          <w:lang w:eastAsia="ko-KR"/>
        </w:rPr>
        <w:t xml:space="preserve">Perpakavo </w:t>
      </w:r>
    </w:p>
    <w:p w:rsidR="007B096F" w:rsidRPr="00520174" w:rsidRDefault="007B096F" w:rsidP="00520174">
      <w:pPr>
        <w:tabs>
          <w:tab w:val="left" w:pos="567"/>
        </w:tabs>
        <w:ind w:left="567" w:hanging="567"/>
        <w:rPr>
          <w:lang w:eastAsia="ko-KR"/>
        </w:rPr>
      </w:pPr>
      <w:r w:rsidRPr="00520174">
        <w:rPr>
          <w:lang w:eastAsia="ko-KR"/>
        </w:rPr>
        <w:t xml:space="preserve">BĮ UAB </w:t>
      </w:r>
      <w:r w:rsidRPr="00520174">
        <w:rPr>
          <w:bCs/>
          <w:iCs/>
          <w:lang w:eastAsia="ko-KR"/>
        </w:rPr>
        <w:t>„</w:t>
      </w:r>
      <w:proofErr w:type="spellStart"/>
      <w:r w:rsidRPr="00520174">
        <w:rPr>
          <w:lang w:eastAsia="ko-KR"/>
        </w:rPr>
        <w:t>Norfachema</w:t>
      </w:r>
      <w:proofErr w:type="spellEnd"/>
      <w:r w:rsidRPr="00520174">
        <w:rPr>
          <w:bCs/>
          <w:iCs/>
          <w:lang w:eastAsia="ko-KR"/>
        </w:rPr>
        <w:t>“</w:t>
      </w:r>
    </w:p>
    <w:p w:rsidR="007B096F" w:rsidRPr="00520174" w:rsidRDefault="007B096F" w:rsidP="00520174">
      <w:pPr>
        <w:tabs>
          <w:tab w:val="left" w:pos="567"/>
        </w:tabs>
        <w:ind w:left="567" w:hanging="567"/>
        <w:rPr>
          <w:lang w:eastAsia="ko-KR"/>
        </w:rPr>
      </w:pPr>
      <w:r w:rsidRPr="00520174">
        <w:rPr>
          <w:lang w:eastAsia="ko-KR"/>
        </w:rPr>
        <w:t>Vytauto g. 6, Jonava</w:t>
      </w:r>
    </w:p>
    <w:p w:rsidR="007B096F" w:rsidRPr="00520174" w:rsidRDefault="007B096F" w:rsidP="00520174">
      <w:pPr>
        <w:tabs>
          <w:tab w:val="left" w:pos="567"/>
        </w:tabs>
        <w:ind w:left="567" w:hanging="567"/>
        <w:rPr>
          <w:lang w:eastAsia="ko-KR"/>
        </w:rPr>
      </w:pPr>
      <w:r w:rsidRPr="00520174">
        <w:rPr>
          <w:lang w:eastAsia="ko-KR"/>
        </w:rPr>
        <w:t>Lietuva</w:t>
      </w:r>
    </w:p>
    <w:p w:rsidR="00E80CD4" w:rsidRPr="00520174" w:rsidRDefault="00E80CD4" w:rsidP="00520174">
      <w:pPr>
        <w:tabs>
          <w:tab w:val="left" w:pos="567"/>
        </w:tabs>
        <w:ind w:left="567" w:hanging="567"/>
        <w:rPr>
          <w:lang w:eastAsia="ko-KR"/>
        </w:rPr>
      </w:pPr>
    </w:p>
    <w:p w:rsidR="007B096F" w:rsidRPr="00520174" w:rsidRDefault="007B096F" w:rsidP="00520174">
      <w:pPr>
        <w:tabs>
          <w:tab w:val="left" w:pos="567"/>
        </w:tabs>
        <w:rPr>
          <w:lang w:eastAsia="ko-KR"/>
        </w:rPr>
      </w:pPr>
      <w:r w:rsidRPr="00520174">
        <w:rPr>
          <w:b/>
          <w:lang w:eastAsia="ko-KR"/>
        </w:rPr>
        <w:t xml:space="preserve">Šis pakuotės lapelis paskutinį kartą peržiūrėtas </w:t>
      </w:r>
      <w:r w:rsidR="00071782">
        <w:rPr>
          <w:b/>
          <w:lang w:eastAsia="ko-KR"/>
        </w:rPr>
        <w:t>2018-0</w:t>
      </w:r>
      <w:r w:rsidR="006A347D">
        <w:rPr>
          <w:b/>
          <w:lang w:eastAsia="ko-KR"/>
        </w:rPr>
        <w:t>7-02</w:t>
      </w:r>
    </w:p>
    <w:p w:rsidR="007B096F" w:rsidRPr="00520174" w:rsidRDefault="007B096F" w:rsidP="00520174">
      <w:pPr>
        <w:tabs>
          <w:tab w:val="left" w:pos="567"/>
        </w:tabs>
        <w:rPr>
          <w:lang w:eastAsia="ko-KR"/>
        </w:rPr>
      </w:pPr>
    </w:p>
    <w:p w:rsidR="007B096F" w:rsidRPr="00520174" w:rsidRDefault="007B096F" w:rsidP="00520174">
      <w:pPr>
        <w:numPr>
          <w:ilvl w:val="12"/>
          <w:numId w:val="0"/>
        </w:numPr>
        <w:tabs>
          <w:tab w:val="left" w:pos="567"/>
        </w:tabs>
        <w:ind w:right="-2"/>
        <w:rPr>
          <w:lang w:eastAsia="ko-KR"/>
        </w:rPr>
      </w:pPr>
      <w:r w:rsidRPr="00520174">
        <w:rPr>
          <w:lang w:eastAsia="ko-KR"/>
        </w:rPr>
        <w:t>Išsami informacija apie šį vaistą pateikiama Valstybinės vaistų kontrolės tarnybos prie Lietuvos Respublikos sveikatos apsaugos ministerijos tinklalapyje</w:t>
      </w:r>
      <w:r w:rsidRPr="00520174">
        <w:rPr>
          <w:i/>
          <w:lang w:eastAsia="ko-KR"/>
        </w:rPr>
        <w:t xml:space="preserve"> </w:t>
      </w:r>
      <w:hyperlink r:id="rId11" w:history="1">
        <w:r w:rsidRPr="00520174">
          <w:rPr>
            <w:rFonts w:eastAsia="SimSun"/>
            <w:color w:val="0070C0"/>
            <w:u w:val="single"/>
            <w:lang w:eastAsia="ko-KR"/>
          </w:rPr>
          <w:t>http://www.vvkt.lt/</w:t>
        </w:r>
      </w:hyperlink>
      <w:r w:rsidRPr="00520174">
        <w:rPr>
          <w:lang w:eastAsia="ko-KR"/>
        </w:rPr>
        <w:t>.</w:t>
      </w:r>
    </w:p>
    <w:p w:rsidR="00501C9B" w:rsidRPr="00520174" w:rsidRDefault="00501C9B" w:rsidP="00520174">
      <w:pPr>
        <w:rPr>
          <w:lang w:eastAsia="ko-KR"/>
        </w:rPr>
      </w:pPr>
    </w:p>
    <w:p w:rsidR="00DF29B3" w:rsidRPr="00520174" w:rsidRDefault="00DF29B3" w:rsidP="00520174">
      <w:pPr>
        <w:rPr>
          <w:i/>
          <w:lang w:eastAsia="ko-KR"/>
        </w:rPr>
      </w:pPr>
      <w:r w:rsidRPr="00520174">
        <w:rPr>
          <w:i/>
          <w:lang w:eastAsia="ko-KR"/>
        </w:rPr>
        <w:t xml:space="preserve">Lygiagrečiai importuojamas vaistinis preparatas skiriasi nuo referencinio vaistinio preparato pagalbinėmis medžiagomis, laikymo sąlygomis bei tinkamumo laiku: referencinio vaistinio preparato sudėtyje yra natrio </w:t>
      </w:r>
      <w:proofErr w:type="spellStart"/>
      <w:r w:rsidRPr="00520174">
        <w:rPr>
          <w:i/>
          <w:lang w:eastAsia="ko-KR"/>
        </w:rPr>
        <w:t>benzoato</w:t>
      </w:r>
      <w:proofErr w:type="spellEnd"/>
      <w:r w:rsidRPr="00520174">
        <w:rPr>
          <w:i/>
          <w:lang w:eastAsia="ko-KR"/>
        </w:rPr>
        <w:t xml:space="preserve"> (E211), natrio citrato, citrinų rūgšties </w:t>
      </w:r>
      <w:proofErr w:type="spellStart"/>
      <w:r w:rsidRPr="00520174">
        <w:rPr>
          <w:i/>
          <w:lang w:eastAsia="ko-KR"/>
        </w:rPr>
        <w:t>monohidrato</w:t>
      </w:r>
      <w:proofErr w:type="spellEnd"/>
      <w:r w:rsidRPr="00520174">
        <w:rPr>
          <w:i/>
          <w:lang w:eastAsia="ko-KR"/>
        </w:rPr>
        <w:t>, laikyti ne aukštesnėje kaip 30 °C temperatūroje, tinkamumo laikas 3 metai,</w:t>
      </w:r>
      <w:r w:rsidRPr="00520174">
        <w:rPr>
          <w:i/>
        </w:rPr>
        <w:t xml:space="preserve"> </w:t>
      </w:r>
      <w:r w:rsidRPr="00520174">
        <w:rPr>
          <w:i/>
          <w:lang w:eastAsia="ko-KR"/>
        </w:rPr>
        <w:t xml:space="preserve">buteliuką pirmą kartą atidarius, geriamieji lašai (tirpalas) tinkamas vartoti 12 mėn. Lygiagrečiai importuojamo vaistinio preparato sudėtyje yra </w:t>
      </w:r>
      <w:proofErr w:type="spellStart"/>
      <w:r w:rsidRPr="00520174">
        <w:rPr>
          <w:i/>
          <w:lang w:eastAsia="ko-KR"/>
        </w:rPr>
        <w:t>metilparabeno</w:t>
      </w:r>
      <w:proofErr w:type="spellEnd"/>
      <w:r w:rsidRPr="00520174">
        <w:rPr>
          <w:i/>
          <w:lang w:eastAsia="ko-KR"/>
        </w:rPr>
        <w:t xml:space="preserve"> E-218, </w:t>
      </w:r>
      <w:r w:rsidR="00071782">
        <w:rPr>
          <w:i/>
          <w:lang w:eastAsia="ko-KR"/>
        </w:rPr>
        <w:t xml:space="preserve">nėra natrio </w:t>
      </w:r>
      <w:proofErr w:type="spellStart"/>
      <w:r w:rsidR="00071782">
        <w:rPr>
          <w:i/>
          <w:lang w:eastAsia="ko-KR"/>
        </w:rPr>
        <w:t>benzoato</w:t>
      </w:r>
      <w:proofErr w:type="spellEnd"/>
      <w:r w:rsidR="00071782">
        <w:rPr>
          <w:i/>
          <w:lang w:eastAsia="ko-KR"/>
        </w:rPr>
        <w:t xml:space="preserve"> E211, natrio citrato, citrinų rūgšties </w:t>
      </w:r>
      <w:proofErr w:type="spellStart"/>
      <w:r w:rsidR="00071782">
        <w:rPr>
          <w:i/>
          <w:lang w:eastAsia="ko-KR"/>
        </w:rPr>
        <w:t>monohidrato</w:t>
      </w:r>
      <w:proofErr w:type="spellEnd"/>
      <w:r w:rsidR="00071782">
        <w:rPr>
          <w:i/>
          <w:lang w:eastAsia="ko-KR"/>
        </w:rPr>
        <w:t>,</w:t>
      </w:r>
      <w:r w:rsidR="00071782" w:rsidRPr="00520174">
        <w:rPr>
          <w:i/>
          <w:lang w:eastAsia="ko-KR"/>
        </w:rPr>
        <w:t xml:space="preserve"> </w:t>
      </w:r>
      <w:r w:rsidRPr="00520174">
        <w:rPr>
          <w:i/>
          <w:lang w:eastAsia="ko-KR"/>
        </w:rPr>
        <w:t>preparatui nereikia specialių laikymo sąlygų, tinkamumo laikas 5 metai.</w:t>
      </w:r>
    </w:p>
    <w:p w:rsidR="00501C9B" w:rsidRPr="00520174" w:rsidRDefault="00501C9B" w:rsidP="00520174">
      <w:pPr>
        <w:rPr>
          <w:lang w:eastAsia="ko-KR"/>
        </w:rPr>
      </w:pPr>
    </w:p>
    <w:p w:rsidR="00AD5B1E" w:rsidRPr="00F563A6" w:rsidRDefault="00AD5B1E" w:rsidP="00AD5B1E">
      <w:pPr>
        <w:tabs>
          <w:tab w:val="left" w:pos="567"/>
        </w:tabs>
      </w:pPr>
    </w:p>
    <w:p w:rsidR="00AD5B1E" w:rsidRPr="00F563A6" w:rsidRDefault="00AD5B1E" w:rsidP="00AD5B1E">
      <w:pPr>
        <w:tabs>
          <w:tab w:val="left" w:pos="567"/>
        </w:tabs>
      </w:pPr>
      <w:r w:rsidRPr="00F563A6">
        <w:t>Toliau pateikta informacija skirta tik sveikatos priežiūros specialistams</w:t>
      </w:r>
    </w:p>
    <w:p w:rsidR="00AD5B1E" w:rsidRPr="00F563A6" w:rsidRDefault="00AD5B1E" w:rsidP="00AD5B1E">
      <w:pPr>
        <w:tabs>
          <w:tab w:val="left" w:pos="567"/>
        </w:tabs>
      </w:pPr>
    </w:p>
    <w:p w:rsidR="00AD5B1E" w:rsidRPr="00F563A6" w:rsidRDefault="00AD5B1E" w:rsidP="00AD5B1E">
      <w:pPr>
        <w:tabs>
          <w:tab w:val="left" w:pos="567"/>
        </w:tabs>
        <w:rPr>
          <w:u w:val="single"/>
        </w:rPr>
      </w:pPr>
      <w:r w:rsidRPr="00F563A6">
        <w:rPr>
          <w:u w:val="single"/>
        </w:rPr>
        <w:lastRenderedPageBreak/>
        <w:t>Perdozavimo gydymas</w:t>
      </w:r>
    </w:p>
    <w:p w:rsidR="00AD5B1E" w:rsidRPr="00F563A6" w:rsidRDefault="00AD5B1E" w:rsidP="00AD5B1E">
      <w:pPr>
        <w:tabs>
          <w:tab w:val="left" w:pos="0"/>
        </w:tabs>
      </w:pPr>
      <w:r w:rsidRPr="00F563A6">
        <w:t xml:space="preserve">Išgerto </w:t>
      </w:r>
      <w:proofErr w:type="spellStart"/>
      <w:r w:rsidRPr="00F563A6">
        <w:t>Guttalax</w:t>
      </w:r>
      <w:proofErr w:type="spellEnd"/>
      <w:r w:rsidRPr="00F563A6">
        <w:t xml:space="preserve"> absorbciją galima iki minimumo sumažinti arba sustabdyti išplovus skrandį arba pacientą pravimdžius. Gali prireikti </w:t>
      </w:r>
      <w:proofErr w:type="spellStart"/>
      <w:r w:rsidRPr="00F563A6">
        <w:t>injekuoti</w:t>
      </w:r>
      <w:proofErr w:type="spellEnd"/>
      <w:r w:rsidRPr="00F563A6">
        <w:t xml:space="preserve"> skysčių ir sureguliuoti elektrolitų pusiausvyrą. Tai labai svarbu senyviems ir jauniems žmonėms. Šiek tiek gali padėti lygiųjų raumenų spazmus atpalaiduojantys vaistai.</w:t>
      </w:r>
    </w:p>
    <w:p w:rsidR="00B63E9D" w:rsidRPr="00520174" w:rsidRDefault="00B63E9D" w:rsidP="00520174">
      <w:pPr>
        <w:rPr>
          <w:lang w:eastAsia="ko-KR"/>
        </w:rPr>
      </w:pPr>
    </w:p>
    <w:p w:rsidR="000E0AC2" w:rsidRPr="00520174" w:rsidRDefault="000E0AC2" w:rsidP="00520174">
      <w:pPr>
        <w:rPr>
          <w:lang w:eastAsia="ko-KR"/>
        </w:rPr>
      </w:pPr>
    </w:p>
    <w:p w:rsidR="00084625" w:rsidRPr="00520174" w:rsidRDefault="00084625" w:rsidP="00520174">
      <w:pPr>
        <w:rPr>
          <w:lang w:eastAsia="ko-KR"/>
        </w:rPr>
      </w:pPr>
    </w:p>
    <w:sectPr w:rsidR="00084625" w:rsidRPr="00520174" w:rsidSect="00520174">
      <w:footerReference w:type="default" r:id="rId12"/>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978" w:rsidRDefault="00A34978" w:rsidP="009A5A8A">
      <w:r>
        <w:separator/>
      </w:r>
    </w:p>
  </w:endnote>
  <w:endnote w:type="continuationSeparator" w:id="0">
    <w:p w:rsidR="00A34978" w:rsidRDefault="00A34978"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082730"/>
      <w:docPartObj>
        <w:docPartGallery w:val="Page Numbers (Bottom of Page)"/>
        <w:docPartUnique/>
      </w:docPartObj>
    </w:sdtPr>
    <w:sdtEndPr>
      <w:rPr>
        <w:noProof/>
      </w:rPr>
    </w:sdtEndPr>
    <w:sdtContent>
      <w:p w:rsidR="00D07BF4" w:rsidRDefault="00D07BF4">
        <w:pPr>
          <w:pStyle w:val="Porat"/>
          <w:jc w:val="center"/>
        </w:pPr>
        <w:r>
          <w:fldChar w:fldCharType="begin"/>
        </w:r>
        <w:r>
          <w:instrText xml:space="preserve"> PAGE   \* MERGEFORMAT </w:instrText>
        </w:r>
        <w:r>
          <w:fldChar w:fldCharType="separate"/>
        </w:r>
        <w:r w:rsidR="00A71D74">
          <w:rPr>
            <w:noProof/>
          </w:rPr>
          <w:t>11</w:t>
        </w:r>
        <w:r>
          <w:rPr>
            <w:noProof/>
          </w:rPr>
          <w:fldChar w:fldCharType="end"/>
        </w:r>
      </w:p>
    </w:sdtContent>
  </w:sdt>
  <w:p w:rsidR="00D07BF4" w:rsidRDefault="00D07BF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978" w:rsidRDefault="00A34978" w:rsidP="009A5A8A">
      <w:r>
        <w:separator/>
      </w:r>
    </w:p>
  </w:footnote>
  <w:footnote w:type="continuationSeparator" w:id="0">
    <w:p w:rsidR="00A34978" w:rsidRDefault="00A34978" w:rsidP="009A5A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C2429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01AB5"/>
    <w:multiLevelType w:val="hybridMultilevel"/>
    <w:tmpl w:val="8D4AC49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341F24"/>
    <w:multiLevelType w:val="singleLevel"/>
    <w:tmpl w:val="BE009D84"/>
    <w:lvl w:ilvl="0">
      <w:start w:val="4"/>
      <w:numFmt w:val="bullet"/>
      <w:lvlText w:val="-"/>
      <w:lvlJc w:val="left"/>
      <w:pPr>
        <w:tabs>
          <w:tab w:val="num" w:pos="720"/>
        </w:tabs>
        <w:ind w:left="720" w:hanging="720"/>
      </w:pPr>
    </w:lvl>
  </w:abstractNum>
  <w:abstractNum w:abstractNumId="4" w15:restartNumberingAfterBreak="0">
    <w:nsid w:val="09E3786A"/>
    <w:multiLevelType w:val="hybridMultilevel"/>
    <w:tmpl w:val="FE14D2DC"/>
    <w:lvl w:ilvl="0" w:tplc="C08C68C4">
      <w:start w:val="6"/>
      <w:numFmt w:val="bullet"/>
      <w:lvlText w:val="-"/>
      <w:lvlJc w:val="left"/>
      <w:pPr>
        <w:tabs>
          <w:tab w:val="num" w:pos="720"/>
        </w:tabs>
        <w:ind w:left="720" w:hanging="720"/>
      </w:pPr>
      <w:rPr>
        <w:rFonts w:ascii="Times New Roman" w:eastAsia="Times New Roman" w:hAnsi="Times New Roman" w:cs="Times New Roman" w:hint="default"/>
      </w:rPr>
    </w:lvl>
    <w:lvl w:ilvl="1" w:tplc="A00C5B2E">
      <w:start w:val="1"/>
      <w:numFmt w:val="bullet"/>
      <w:lvlText w:val="o"/>
      <w:lvlJc w:val="left"/>
      <w:pPr>
        <w:tabs>
          <w:tab w:val="num" w:pos="1440"/>
        </w:tabs>
        <w:ind w:left="1440" w:hanging="360"/>
      </w:pPr>
      <w:rPr>
        <w:rFonts w:ascii="Courier New" w:hAnsi="Courier New" w:hint="default"/>
      </w:rPr>
    </w:lvl>
    <w:lvl w:ilvl="2" w:tplc="5F36187E" w:tentative="1">
      <w:start w:val="1"/>
      <w:numFmt w:val="bullet"/>
      <w:lvlText w:val=""/>
      <w:lvlJc w:val="left"/>
      <w:pPr>
        <w:tabs>
          <w:tab w:val="num" w:pos="2160"/>
        </w:tabs>
        <w:ind w:left="2160" w:hanging="360"/>
      </w:pPr>
      <w:rPr>
        <w:rFonts w:ascii="Wingdings" w:hAnsi="Wingdings" w:hint="default"/>
      </w:rPr>
    </w:lvl>
    <w:lvl w:ilvl="3" w:tplc="053653F6" w:tentative="1">
      <w:start w:val="1"/>
      <w:numFmt w:val="bullet"/>
      <w:lvlText w:val=""/>
      <w:lvlJc w:val="left"/>
      <w:pPr>
        <w:tabs>
          <w:tab w:val="num" w:pos="2880"/>
        </w:tabs>
        <w:ind w:left="2880" w:hanging="360"/>
      </w:pPr>
      <w:rPr>
        <w:rFonts w:ascii="Symbol" w:hAnsi="Symbol" w:hint="default"/>
      </w:rPr>
    </w:lvl>
    <w:lvl w:ilvl="4" w:tplc="6DE08A8A" w:tentative="1">
      <w:start w:val="1"/>
      <w:numFmt w:val="bullet"/>
      <w:lvlText w:val="o"/>
      <w:lvlJc w:val="left"/>
      <w:pPr>
        <w:tabs>
          <w:tab w:val="num" w:pos="3600"/>
        </w:tabs>
        <w:ind w:left="3600" w:hanging="360"/>
      </w:pPr>
      <w:rPr>
        <w:rFonts w:ascii="Courier New" w:hAnsi="Courier New" w:hint="default"/>
      </w:rPr>
    </w:lvl>
    <w:lvl w:ilvl="5" w:tplc="5942C456" w:tentative="1">
      <w:start w:val="1"/>
      <w:numFmt w:val="bullet"/>
      <w:lvlText w:val=""/>
      <w:lvlJc w:val="left"/>
      <w:pPr>
        <w:tabs>
          <w:tab w:val="num" w:pos="4320"/>
        </w:tabs>
        <w:ind w:left="4320" w:hanging="360"/>
      </w:pPr>
      <w:rPr>
        <w:rFonts w:ascii="Wingdings" w:hAnsi="Wingdings" w:hint="default"/>
      </w:rPr>
    </w:lvl>
    <w:lvl w:ilvl="6" w:tplc="8A26702C" w:tentative="1">
      <w:start w:val="1"/>
      <w:numFmt w:val="bullet"/>
      <w:lvlText w:val=""/>
      <w:lvlJc w:val="left"/>
      <w:pPr>
        <w:tabs>
          <w:tab w:val="num" w:pos="5040"/>
        </w:tabs>
        <w:ind w:left="5040" w:hanging="360"/>
      </w:pPr>
      <w:rPr>
        <w:rFonts w:ascii="Symbol" w:hAnsi="Symbol" w:hint="default"/>
      </w:rPr>
    </w:lvl>
    <w:lvl w:ilvl="7" w:tplc="C26AFFB2" w:tentative="1">
      <w:start w:val="1"/>
      <w:numFmt w:val="bullet"/>
      <w:lvlText w:val="o"/>
      <w:lvlJc w:val="left"/>
      <w:pPr>
        <w:tabs>
          <w:tab w:val="num" w:pos="5760"/>
        </w:tabs>
        <w:ind w:left="5760" w:hanging="360"/>
      </w:pPr>
      <w:rPr>
        <w:rFonts w:ascii="Courier New" w:hAnsi="Courier New" w:hint="default"/>
      </w:rPr>
    </w:lvl>
    <w:lvl w:ilvl="8" w:tplc="ED9E75A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0A6A13"/>
    <w:multiLevelType w:val="hybridMultilevel"/>
    <w:tmpl w:val="6FFA5ECA"/>
    <w:lvl w:ilvl="0" w:tplc="42E4B0F8">
      <w:start w:val="2"/>
      <w:numFmt w:val="bullet"/>
      <w:lvlText w:val=""/>
      <w:lvlJc w:val="left"/>
      <w:pPr>
        <w:tabs>
          <w:tab w:val="num" w:pos="924"/>
        </w:tabs>
        <w:ind w:left="92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E74613"/>
    <w:multiLevelType w:val="hybridMultilevel"/>
    <w:tmpl w:val="2B88596A"/>
    <w:lvl w:ilvl="0" w:tplc="DA3A7878">
      <w:start w:val="1"/>
      <w:numFmt w:val="bullet"/>
      <w:lvlText w:val="-"/>
      <w:lvlJc w:val="left"/>
      <w:pPr>
        <w:tabs>
          <w:tab w:val="num" w:pos="720"/>
        </w:tabs>
        <w:ind w:left="720" w:hanging="720"/>
      </w:pPr>
      <w:rPr>
        <w:rFonts w:ascii="Times New Roman" w:hAnsi="Times New Roman" w:hint="default"/>
        <w:sz w:val="24"/>
      </w:rPr>
    </w:lvl>
    <w:lvl w:ilvl="1" w:tplc="178E0274">
      <w:numFmt w:val="bullet"/>
      <w:lvlText w:val="-"/>
      <w:lvlJc w:val="left"/>
      <w:pPr>
        <w:tabs>
          <w:tab w:val="num" w:pos="567"/>
        </w:tabs>
        <w:ind w:left="567" w:hanging="567"/>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A74BC5"/>
    <w:multiLevelType w:val="hybridMultilevel"/>
    <w:tmpl w:val="D402CFC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D70634"/>
    <w:multiLevelType w:val="hybridMultilevel"/>
    <w:tmpl w:val="5F12AFF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1D2121"/>
    <w:multiLevelType w:val="hybridMultilevel"/>
    <w:tmpl w:val="EA3EFE6E"/>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85129B"/>
    <w:multiLevelType w:val="hybridMultilevel"/>
    <w:tmpl w:val="D43EFC7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6494DEC"/>
    <w:multiLevelType w:val="hybridMultilevel"/>
    <w:tmpl w:val="16B8F4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6A0503"/>
    <w:multiLevelType w:val="hybridMultilevel"/>
    <w:tmpl w:val="E906537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34646E"/>
    <w:multiLevelType w:val="hybridMultilevel"/>
    <w:tmpl w:val="18FE31F6"/>
    <w:lvl w:ilvl="0" w:tplc="E5D6C9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B15E48"/>
    <w:multiLevelType w:val="hybridMultilevel"/>
    <w:tmpl w:val="98440C3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291AB0"/>
    <w:multiLevelType w:val="hybridMultilevel"/>
    <w:tmpl w:val="EA8EEF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7C1F1F"/>
    <w:multiLevelType w:val="hybridMultilevel"/>
    <w:tmpl w:val="674AD836"/>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9444605"/>
    <w:multiLevelType w:val="hybridMultilevel"/>
    <w:tmpl w:val="32BA8C42"/>
    <w:lvl w:ilvl="0" w:tplc="0922C92E">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9D51857"/>
    <w:multiLevelType w:val="hybridMultilevel"/>
    <w:tmpl w:val="B4F80BB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1B177F"/>
    <w:multiLevelType w:val="hybridMultilevel"/>
    <w:tmpl w:val="45EE2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A217ACB"/>
    <w:multiLevelType w:val="hybridMultilevel"/>
    <w:tmpl w:val="1C60F7A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71893"/>
    <w:multiLevelType w:val="hybridMultilevel"/>
    <w:tmpl w:val="E69EF9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23277B"/>
    <w:multiLevelType w:val="hybridMultilevel"/>
    <w:tmpl w:val="C690279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6E5D25"/>
    <w:multiLevelType w:val="hybridMultilevel"/>
    <w:tmpl w:val="3868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3064BD"/>
    <w:multiLevelType w:val="hybridMultilevel"/>
    <w:tmpl w:val="EC6472C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5B71DD"/>
    <w:multiLevelType w:val="hybridMultilevel"/>
    <w:tmpl w:val="081A4F4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382711"/>
    <w:multiLevelType w:val="hybridMultilevel"/>
    <w:tmpl w:val="8A96FDC4"/>
    <w:lvl w:ilvl="0" w:tplc="04090005">
      <w:start w:val="1"/>
      <w:numFmt w:val="bullet"/>
      <w:lvlText w:val=""/>
      <w:lvlJc w:val="left"/>
      <w:pPr>
        <w:tabs>
          <w:tab w:val="num" w:pos="720"/>
        </w:tabs>
        <w:ind w:left="720" w:hanging="360"/>
      </w:pPr>
      <w:rPr>
        <w:rFonts w:ascii="Wingdings" w:hAnsi="Wingdings" w:hint="default"/>
      </w:rPr>
    </w:lvl>
    <w:lvl w:ilvl="1" w:tplc="77EAD2A2">
      <w:start w:val="1"/>
      <w:numFmt w:val="bullet"/>
      <w:lvlText w:val="o"/>
      <w:lvlJc w:val="left"/>
      <w:pPr>
        <w:tabs>
          <w:tab w:val="num" w:pos="1440"/>
        </w:tabs>
        <w:ind w:left="1440" w:hanging="360"/>
      </w:pPr>
      <w:rPr>
        <w:rFonts w:ascii="Courier New" w:hAnsi="Courier New" w:hint="default"/>
      </w:rPr>
    </w:lvl>
    <w:lvl w:ilvl="2" w:tplc="EBFA78E6">
      <w:start w:val="5"/>
      <w:numFmt w:val="bullet"/>
      <w:lvlText w:val="-"/>
      <w:lvlJc w:val="left"/>
      <w:pPr>
        <w:tabs>
          <w:tab w:val="num" w:pos="2160"/>
        </w:tabs>
        <w:ind w:left="2160" w:hanging="360"/>
      </w:pPr>
      <w:rPr>
        <w:rFonts w:ascii="Times New Roman" w:eastAsia="Times New Roman" w:hAnsi="Times New Roman" w:cs="Times New Roman" w:hint="default"/>
      </w:rPr>
    </w:lvl>
    <w:lvl w:ilvl="3" w:tplc="0C185E36" w:tentative="1">
      <w:start w:val="1"/>
      <w:numFmt w:val="bullet"/>
      <w:lvlText w:val=""/>
      <w:lvlJc w:val="left"/>
      <w:pPr>
        <w:tabs>
          <w:tab w:val="num" w:pos="2880"/>
        </w:tabs>
        <w:ind w:left="2880" w:hanging="360"/>
      </w:pPr>
      <w:rPr>
        <w:rFonts w:ascii="Symbol" w:hAnsi="Symbol" w:hint="default"/>
      </w:rPr>
    </w:lvl>
    <w:lvl w:ilvl="4" w:tplc="BBAC6058" w:tentative="1">
      <w:start w:val="1"/>
      <w:numFmt w:val="bullet"/>
      <w:lvlText w:val="o"/>
      <w:lvlJc w:val="left"/>
      <w:pPr>
        <w:tabs>
          <w:tab w:val="num" w:pos="3600"/>
        </w:tabs>
        <w:ind w:left="3600" w:hanging="360"/>
      </w:pPr>
      <w:rPr>
        <w:rFonts w:ascii="Courier New" w:hAnsi="Courier New" w:hint="default"/>
      </w:rPr>
    </w:lvl>
    <w:lvl w:ilvl="5" w:tplc="84EE26F0" w:tentative="1">
      <w:start w:val="1"/>
      <w:numFmt w:val="bullet"/>
      <w:lvlText w:val=""/>
      <w:lvlJc w:val="left"/>
      <w:pPr>
        <w:tabs>
          <w:tab w:val="num" w:pos="4320"/>
        </w:tabs>
        <w:ind w:left="4320" w:hanging="360"/>
      </w:pPr>
      <w:rPr>
        <w:rFonts w:ascii="Wingdings" w:hAnsi="Wingdings" w:hint="default"/>
      </w:rPr>
    </w:lvl>
    <w:lvl w:ilvl="6" w:tplc="1A1625FE" w:tentative="1">
      <w:start w:val="1"/>
      <w:numFmt w:val="bullet"/>
      <w:lvlText w:val=""/>
      <w:lvlJc w:val="left"/>
      <w:pPr>
        <w:tabs>
          <w:tab w:val="num" w:pos="5040"/>
        </w:tabs>
        <w:ind w:left="5040" w:hanging="360"/>
      </w:pPr>
      <w:rPr>
        <w:rFonts w:ascii="Symbol" w:hAnsi="Symbol" w:hint="default"/>
      </w:rPr>
    </w:lvl>
    <w:lvl w:ilvl="7" w:tplc="D382C57A" w:tentative="1">
      <w:start w:val="1"/>
      <w:numFmt w:val="bullet"/>
      <w:lvlText w:val="o"/>
      <w:lvlJc w:val="left"/>
      <w:pPr>
        <w:tabs>
          <w:tab w:val="num" w:pos="5760"/>
        </w:tabs>
        <w:ind w:left="5760" w:hanging="360"/>
      </w:pPr>
      <w:rPr>
        <w:rFonts w:ascii="Courier New" w:hAnsi="Courier New" w:hint="default"/>
      </w:rPr>
    </w:lvl>
    <w:lvl w:ilvl="8" w:tplc="76DC34B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B26910"/>
    <w:multiLevelType w:val="hybridMultilevel"/>
    <w:tmpl w:val="5F244A42"/>
    <w:lvl w:ilvl="0" w:tplc="E5D6C96A">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70476F"/>
    <w:multiLevelType w:val="hybridMultilevel"/>
    <w:tmpl w:val="CEF2C1BA"/>
    <w:lvl w:ilvl="0" w:tplc="C08C68C4">
      <w:start w:val="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536B54"/>
    <w:multiLevelType w:val="hybridMultilevel"/>
    <w:tmpl w:val="770C77DA"/>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A6554E7"/>
    <w:multiLevelType w:val="hybridMultilevel"/>
    <w:tmpl w:val="D632B888"/>
    <w:lvl w:ilvl="0" w:tplc="AF7256AE">
      <w:start w:val="1"/>
      <w:numFmt w:val="bullet"/>
      <w:lvlText w:val="-"/>
      <w:lvlJc w:val="left"/>
      <w:pPr>
        <w:tabs>
          <w:tab w:val="num" w:pos="567"/>
        </w:tabs>
        <w:ind w:left="567" w:hanging="567"/>
      </w:pPr>
      <w:rPr>
        <w:rFonts w:ascii="Times New Roman" w:hAnsi="Times New Roman" w:cs="Times New Roman" w:hint="default"/>
        <w:sz w:val="22"/>
        <w:szCs w:val="22"/>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2" w15:restartNumberingAfterBreak="0">
    <w:nsid w:val="7AC51F93"/>
    <w:multiLevelType w:val="hybridMultilevel"/>
    <w:tmpl w:val="EE40A060"/>
    <w:lvl w:ilvl="0" w:tplc="42E4B0F8">
      <w:start w:val="2"/>
      <w:numFmt w:val="bullet"/>
      <w:lvlText w:val=""/>
      <w:lvlJc w:val="left"/>
      <w:pPr>
        <w:tabs>
          <w:tab w:val="num" w:pos="924"/>
        </w:tabs>
        <w:ind w:left="92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FC4CB3"/>
    <w:multiLevelType w:val="hybridMultilevel"/>
    <w:tmpl w:val="53E4E6CC"/>
    <w:lvl w:ilvl="0" w:tplc="DA3A7878">
      <w:start w:val="1"/>
      <w:numFmt w:val="bullet"/>
      <w:lvlText w:val="-"/>
      <w:lvlJc w:val="left"/>
      <w:pPr>
        <w:ind w:left="720" w:hanging="360"/>
      </w:pPr>
      <w:rPr>
        <w:rFonts w:ascii="Times New Roman" w:hAnsi="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6"/>
  </w:num>
  <w:num w:numId="4">
    <w:abstractNumId w:val="19"/>
  </w:num>
  <w:num w:numId="5">
    <w:abstractNumId w:val="3"/>
  </w:num>
  <w:num w:numId="6">
    <w:abstractNumId w:val="7"/>
  </w:num>
  <w:num w:numId="7">
    <w:abstractNumId w:val="11"/>
  </w:num>
  <w:num w:numId="8">
    <w:abstractNumId w:val="8"/>
  </w:num>
  <w:num w:numId="9">
    <w:abstractNumId w:val="15"/>
  </w:num>
  <w:num w:numId="10">
    <w:abstractNumId w:val="12"/>
  </w:num>
  <w:num w:numId="11">
    <w:abstractNumId w:val="25"/>
  </w:num>
  <w:num w:numId="12">
    <w:abstractNumId w:val="2"/>
  </w:num>
  <w:num w:numId="13">
    <w:abstractNumId w:val="21"/>
  </w:num>
  <w:num w:numId="14">
    <w:abstractNumId w:val="13"/>
  </w:num>
  <w:num w:numId="15">
    <w:abstractNumId w:val="23"/>
  </w:num>
  <w:num w:numId="16">
    <w:abstractNumId w:val="22"/>
  </w:num>
  <w:num w:numId="17">
    <w:abstractNumId w:val="16"/>
  </w:num>
  <w:num w:numId="18">
    <w:abstractNumId w:val="26"/>
  </w:num>
  <w:num w:numId="19">
    <w:abstractNumId w:val="24"/>
  </w:num>
  <w:num w:numId="20">
    <w:abstractNumId w:val="20"/>
  </w:num>
  <w:num w:numId="21">
    <w:abstractNumId w:val="1"/>
    <w:lvlOverride w:ilvl="0">
      <w:lvl w:ilvl="0">
        <w:start w:val="1"/>
        <w:numFmt w:val="bullet"/>
        <w:lvlText w:val="-"/>
        <w:legacy w:legacy="1" w:legacySpace="0" w:legacyIndent="360"/>
        <w:lvlJc w:val="left"/>
        <w:pPr>
          <w:ind w:left="360" w:hanging="360"/>
        </w:pPr>
      </w:lvl>
    </w:lvlOverride>
  </w:num>
  <w:num w:numId="22">
    <w:abstractNumId w:val="17"/>
  </w:num>
  <w:num w:numId="23">
    <w:abstractNumId w:val="18"/>
  </w:num>
  <w:num w:numId="24">
    <w:abstractNumId w:val="30"/>
  </w:num>
  <w:num w:numId="25">
    <w:abstractNumId w:val="9"/>
  </w:num>
  <w:num w:numId="26">
    <w:abstractNumId w:val="4"/>
  </w:num>
  <w:num w:numId="27">
    <w:abstractNumId w:val="29"/>
  </w:num>
  <w:num w:numId="28">
    <w:abstractNumId w:val="5"/>
  </w:num>
  <w:num w:numId="29">
    <w:abstractNumId w:val="32"/>
  </w:num>
  <w:num w:numId="30">
    <w:abstractNumId w:val="27"/>
  </w:num>
  <w:num w:numId="3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14"/>
  </w:num>
  <w:num w:numId="35">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9B"/>
    <w:rsid w:val="00004B5F"/>
    <w:rsid w:val="00006FF8"/>
    <w:rsid w:val="000076EF"/>
    <w:rsid w:val="0001198D"/>
    <w:rsid w:val="00023C6E"/>
    <w:rsid w:val="00025B80"/>
    <w:rsid w:val="00027FFE"/>
    <w:rsid w:val="00035129"/>
    <w:rsid w:val="0003552A"/>
    <w:rsid w:val="0006533A"/>
    <w:rsid w:val="00071782"/>
    <w:rsid w:val="00071DC7"/>
    <w:rsid w:val="00072EB2"/>
    <w:rsid w:val="00084625"/>
    <w:rsid w:val="00094FF8"/>
    <w:rsid w:val="000A0D1A"/>
    <w:rsid w:val="000A0DD9"/>
    <w:rsid w:val="000C1B6E"/>
    <w:rsid w:val="000E0AC2"/>
    <w:rsid w:val="00105A1C"/>
    <w:rsid w:val="00105CE5"/>
    <w:rsid w:val="00111092"/>
    <w:rsid w:val="001139AE"/>
    <w:rsid w:val="00124C1B"/>
    <w:rsid w:val="001258C8"/>
    <w:rsid w:val="00125BCD"/>
    <w:rsid w:val="00131542"/>
    <w:rsid w:val="0016259D"/>
    <w:rsid w:val="001640A4"/>
    <w:rsid w:val="00171298"/>
    <w:rsid w:val="0018147E"/>
    <w:rsid w:val="00183C00"/>
    <w:rsid w:val="001A2656"/>
    <w:rsid w:val="001A7943"/>
    <w:rsid w:val="001B686F"/>
    <w:rsid w:val="001E04CF"/>
    <w:rsid w:val="001F105C"/>
    <w:rsid w:val="00212BD3"/>
    <w:rsid w:val="002213E9"/>
    <w:rsid w:val="00223AA3"/>
    <w:rsid w:val="00250010"/>
    <w:rsid w:val="00255BD3"/>
    <w:rsid w:val="00256DFF"/>
    <w:rsid w:val="002576E3"/>
    <w:rsid w:val="00257E24"/>
    <w:rsid w:val="0026180F"/>
    <w:rsid w:val="0027207C"/>
    <w:rsid w:val="00274991"/>
    <w:rsid w:val="002802CA"/>
    <w:rsid w:val="00283B9A"/>
    <w:rsid w:val="00297623"/>
    <w:rsid w:val="002B50A2"/>
    <w:rsid w:val="002E0532"/>
    <w:rsid w:val="0030653B"/>
    <w:rsid w:val="00326F05"/>
    <w:rsid w:val="003552EC"/>
    <w:rsid w:val="0036372E"/>
    <w:rsid w:val="003775D4"/>
    <w:rsid w:val="003835B5"/>
    <w:rsid w:val="00390BED"/>
    <w:rsid w:val="003A5F45"/>
    <w:rsid w:val="003B0444"/>
    <w:rsid w:val="003B3677"/>
    <w:rsid w:val="003B5A2D"/>
    <w:rsid w:val="0043362A"/>
    <w:rsid w:val="0044233A"/>
    <w:rsid w:val="004500F0"/>
    <w:rsid w:val="00454CF9"/>
    <w:rsid w:val="00456416"/>
    <w:rsid w:val="00463588"/>
    <w:rsid w:val="00470578"/>
    <w:rsid w:val="00470A23"/>
    <w:rsid w:val="0048194D"/>
    <w:rsid w:val="00481FB3"/>
    <w:rsid w:val="00483A04"/>
    <w:rsid w:val="004A2056"/>
    <w:rsid w:val="004A45EB"/>
    <w:rsid w:val="004A6385"/>
    <w:rsid w:val="004B799B"/>
    <w:rsid w:val="004E5875"/>
    <w:rsid w:val="004F205D"/>
    <w:rsid w:val="004F5FDB"/>
    <w:rsid w:val="00501C9B"/>
    <w:rsid w:val="005032F8"/>
    <w:rsid w:val="0050531A"/>
    <w:rsid w:val="00513848"/>
    <w:rsid w:val="00520174"/>
    <w:rsid w:val="005223AE"/>
    <w:rsid w:val="005510D4"/>
    <w:rsid w:val="005524FE"/>
    <w:rsid w:val="00552BB2"/>
    <w:rsid w:val="0055361D"/>
    <w:rsid w:val="00567906"/>
    <w:rsid w:val="00583496"/>
    <w:rsid w:val="0058382B"/>
    <w:rsid w:val="0058688E"/>
    <w:rsid w:val="005A1F49"/>
    <w:rsid w:val="005B3680"/>
    <w:rsid w:val="005D6E20"/>
    <w:rsid w:val="005D7C74"/>
    <w:rsid w:val="005F1DE6"/>
    <w:rsid w:val="00600937"/>
    <w:rsid w:val="00602BAA"/>
    <w:rsid w:val="00610ED7"/>
    <w:rsid w:val="0061571F"/>
    <w:rsid w:val="00620EEC"/>
    <w:rsid w:val="0063763B"/>
    <w:rsid w:val="00637640"/>
    <w:rsid w:val="006408C2"/>
    <w:rsid w:val="0064457B"/>
    <w:rsid w:val="00656545"/>
    <w:rsid w:val="00665016"/>
    <w:rsid w:val="00686688"/>
    <w:rsid w:val="0069513E"/>
    <w:rsid w:val="00696B5C"/>
    <w:rsid w:val="006975D6"/>
    <w:rsid w:val="006A347D"/>
    <w:rsid w:val="006C00AD"/>
    <w:rsid w:val="006C2B0E"/>
    <w:rsid w:val="006D3F7C"/>
    <w:rsid w:val="006D5777"/>
    <w:rsid w:val="006E66AE"/>
    <w:rsid w:val="006E7754"/>
    <w:rsid w:val="006F5DB7"/>
    <w:rsid w:val="00714C4B"/>
    <w:rsid w:val="00717FEC"/>
    <w:rsid w:val="00737F9E"/>
    <w:rsid w:val="0074111F"/>
    <w:rsid w:val="00741809"/>
    <w:rsid w:val="00746EBB"/>
    <w:rsid w:val="00783F7C"/>
    <w:rsid w:val="007927FD"/>
    <w:rsid w:val="00793497"/>
    <w:rsid w:val="007B096F"/>
    <w:rsid w:val="007B4122"/>
    <w:rsid w:val="007C6EBC"/>
    <w:rsid w:val="007C7847"/>
    <w:rsid w:val="007D0187"/>
    <w:rsid w:val="007D20E2"/>
    <w:rsid w:val="007E0CC4"/>
    <w:rsid w:val="007E5F5C"/>
    <w:rsid w:val="007F3810"/>
    <w:rsid w:val="007F7EF9"/>
    <w:rsid w:val="008163B7"/>
    <w:rsid w:val="00816514"/>
    <w:rsid w:val="00831996"/>
    <w:rsid w:val="0083208C"/>
    <w:rsid w:val="00835615"/>
    <w:rsid w:val="0084286E"/>
    <w:rsid w:val="00842FF6"/>
    <w:rsid w:val="00863A0B"/>
    <w:rsid w:val="008656E1"/>
    <w:rsid w:val="00875B65"/>
    <w:rsid w:val="00883A05"/>
    <w:rsid w:val="00890F7A"/>
    <w:rsid w:val="00891BBE"/>
    <w:rsid w:val="00896C96"/>
    <w:rsid w:val="00897E7E"/>
    <w:rsid w:val="008B3A0E"/>
    <w:rsid w:val="008B4C76"/>
    <w:rsid w:val="008D4B97"/>
    <w:rsid w:val="008D5042"/>
    <w:rsid w:val="008E2691"/>
    <w:rsid w:val="008E49E4"/>
    <w:rsid w:val="008F4406"/>
    <w:rsid w:val="009122B3"/>
    <w:rsid w:val="00941562"/>
    <w:rsid w:val="00953E31"/>
    <w:rsid w:val="00956A52"/>
    <w:rsid w:val="00956C1D"/>
    <w:rsid w:val="009A45AF"/>
    <w:rsid w:val="009A5A8A"/>
    <w:rsid w:val="009B7FF0"/>
    <w:rsid w:val="009C41B5"/>
    <w:rsid w:val="009E6DF2"/>
    <w:rsid w:val="009F127E"/>
    <w:rsid w:val="009F3662"/>
    <w:rsid w:val="00A03D7B"/>
    <w:rsid w:val="00A1315F"/>
    <w:rsid w:val="00A2699B"/>
    <w:rsid w:val="00A34978"/>
    <w:rsid w:val="00A44DD9"/>
    <w:rsid w:val="00A47AC3"/>
    <w:rsid w:val="00A71D74"/>
    <w:rsid w:val="00A956FE"/>
    <w:rsid w:val="00AD2E54"/>
    <w:rsid w:val="00AD5B1E"/>
    <w:rsid w:val="00AD5D94"/>
    <w:rsid w:val="00B34A82"/>
    <w:rsid w:val="00B37FFC"/>
    <w:rsid w:val="00B57F89"/>
    <w:rsid w:val="00B60A92"/>
    <w:rsid w:val="00B63E9D"/>
    <w:rsid w:val="00B6505B"/>
    <w:rsid w:val="00B659BA"/>
    <w:rsid w:val="00B77081"/>
    <w:rsid w:val="00B8196E"/>
    <w:rsid w:val="00B83BFA"/>
    <w:rsid w:val="00B92DD0"/>
    <w:rsid w:val="00BD48B0"/>
    <w:rsid w:val="00BD7E9E"/>
    <w:rsid w:val="00BF0B82"/>
    <w:rsid w:val="00BF2AB3"/>
    <w:rsid w:val="00BF3F99"/>
    <w:rsid w:val="00C1224D"/>
    <w:rsid w:val="00C152C8"/>
    <w:rsid w:val="00C20833"/>
    <w:rsid w:val="00C208EC"/>
    <w:rsid w:val="00C21471"/>
    <w:rsid w:val="00C21F3F"/>
    <w:rsid w:val="00C268C5"/>
    <w:rsid w:val="00C36F96"/>
    <w:rsid w:val="00C52697"/>
    <w:rsid w:val="00C560EE"/>
    <w:rsid w:val="00C62D9B"/>
    <w:rsid w:val="00C76D0B"/>
    <w:rsid w:val="00C83B45"/>
    <w:rsid w:val="00C9495D"/>
    <w:rsid w:val="00CA2373"/>
    <w:rsid w:val="00CC15A3"/>
    <w:rsid w:val="00CC3083"/>
    <w:rsid w:val="00CD14E7"/>
    <w:rsid w:val="00CD1DB1"/>
    <w:rsid w:val="00CF50BB"/>
    <w:rsid w:val="00CF7A1B"/>
    <w:rsid w:val="00D06C5C"/>
    <w:rsid w:val="00D07BF4"/>
    <w:rsid w:val="00D2509B"/>
    <w:rsid w:val="00D32644"/>
    <w:rsid w:val="00D44543"/>
    <w:rsid w:val="00D44BFB"/>
    <w:rsid w:val="00D517A0"/>
    <w:rsid w:val="00D7258E"/>
    <w:rsid w:val="00D92DDF"/>
    <w:rsid w:val="00DA2E18"/>
    <w:rsid w:val="00DA3C10"/>
    <w:rsid w:val="00DB6ABF"/>
    <w:rsid w:val="00DC1117"/>
    <w:rsid w:val="00DF29B3"/>
    <w:rsid w:val="00DF7114"/>
    <w:rsid w:val="00E13955"/>
    <w:rsid w:val="00E2082A"/>
    <w:rsid w:val="00E21F76"/>
    <w:rsid w:val="00E55D6E"/>
    <w:rsid w:val="00E80CD4"/>
    <w:rsid w:val="00E851EF"/>
    <w:rsid w:val="00E932E3"/>
    <w:rsid w:val="00EB000E"/>
    <w:rsid w:val="00EB395C"/>
    <w:rsid w:val="00EB74B9"/>
    <w:rsid w:val="00EC79FD"/>
    <w:rsid w:val="00EE040C"/>
    <w:rsid w:val="00F10A70"/>
    <w:rsid w:val="00F10E7B"/>
    <w:rsid w:val="00F17F3D"/>
    <w:rsid w:val="00F2698D"/>
    <w:rsid w:val="00F549C3"/>
    <w:rsid w:val="00F624A8"/>
    <w:rsid w:val="00F72F86"/>
    <w:rsid w:val="00F75AD7"/>
    <w:rsid w:val="00F842D3"/>
    <w:rsid w:val="00F854E6"/>
    <w:rsid w:val="00F85796"/>
    <w:rsid w:val="00FB1822"/>
    <w:rsid w:val="00FC0BB0"/>
    <w:rsid w:val="00FC7E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5:docId w15:val="{1F405B29-6F27-4324-A308-0CFAB2FA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883A05"/>
    <w:pPr>
      <w:adjustRightInd w:val="0"/>
    </w:pPr>
    <w:rPr>
      <w:rFonts w:eastAsia="Calibri"/>
    </w:rPr>
  </w:style>
  <w:style w:type="character" w:customStyle="1" w:styleId="BTEMEASMCAChar">
    <w:name w:val="BT EMEA_SMCA Char"/>
    <w:link w:val="BTEMEASMCA"/>
    <w:locked/>
    <w:rsid w:val="00883A05"/>
    <w:rPr>
      <w:rFonts w:ascii="Times New Roman" w:eastAsia="Calibri" w:hAnsi="Times New Roman" w:cs="Times New Roman"/>
      <w:lang w:eastAsia="lt-LT"/>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326F05"/>
    <w:pPr>
      <w:numPr>
        <w:numId w:val="2"/>
      </w:numPr>
    </w:pPr>
    <w:rPr>
      <w:noProof/>
      <w:lang w:eastAsia="en-US"/>
    </w:rPr>
  </w:style>
  <w:style w:type="paragraph" w:customStyle="1" w:styleId="PI-3EMEASMCA">
    <w:name w:val="PI-3 EMEA_SMCA"/>
    <w:basedOn w:val="prastasis"/>
    <w:autoRedefine/>
    <w:uiPriority w:val="99"/>
    <w:rsid w:val="00250010"/>
    <w:pPr>
      <w:spacing w:line="220" w:lineRule="exact"/>
    </w:pPr>
    <w:rPr>
      <w:b/>
      <w:bCs/>
      <w:lang w:eastAsia="en-US"/>
    </w:rPr>
  </w:style>
  <w:style w:type="paragraph" w:customStyle="1" w:styleId="BTbEMEASMCA">
    <w:name w:val="BT(b) EMEA_SMCA"/>
    <w:basedOn w:val="BTEMEASMCA"/>
    <w:autoRedefine/>
    <w:uiPriority w:val="99"/>
    <w:rsid w:val="00501C9B"/>
    <w:rPr>
      <w:b/>
      <w:bCs/>
    </w:rPr>
  </w:style>
  <w:style w:type="paragraph" w:customStyle="1" w:styleId="PI-1EMEASMCA">
    <w:name w:val="PI-1 EMEA_SMCA"/>
    <w:basedOn w:val="Antrat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610ED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610ED7"/>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uiPriority w:val="99"/>
    <w:semiHidden/>
    <w:unhideWhenUsed/>
    <w:rsid w:val="005223AE"/>
    <w:rPr>
      <w:sz w:val="16"/>
      <w:szCs w:val="16"/>
    </w:rPr>
  </w:style>
  <w:style w:type="paragraph" w:styleId="Komentarotekstas">
    <w:name w:val="annotation text"/>
    <w:basedOn w:val="prastasis"/>
    <w:link w:val="KomentarotekstasDiagrama"/>
    <w:uiPriority w:val="99"/>
    <w:semiHidden/>
    <w:unhideWhenUsed/>
    <w:rsid w:val="005223AE"/>
    <w:rPr>
      <w:sz w:val="20"/>
      <w:szCs w:val="20"/>
    </w:rPr>
  </w:style>
  <w:style w:type="character" w:customStyle="1" w:styleId="KomentarotekstasDiagrama">
    <w:name w:val="Komentaro tekstas Diagrama"/>
    <w:basedOn w:val="Numatytasispastraiposriftas"/>
    <w:link w:val="Komentarotekstas"/>
    <w:uiPriority w:val="99"/>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Antrats">
    <w:name w:val="header"/>
    <w:basedOn w:val="prastasis"/>
    <w:link w:val="AntratsDiagrama"/>
    <w:unhideWhenUsed/>
    <w:rsid w:val="0016259D"/>
    <w:pPr>
      <w:tabs>
        <w:tab w:val="center" w:pos="4819"/>
        <w:tab w:val="right" w:pos="9638"/>
      </w:tabs>
    </w:pPr>
    <w:rPr>
      <w:rFonts w:ascii="Verdana" w:hAnsi="Verdana"/>
      <w:sz w:val="20"/>
      <w:szCs w:val="24"/>
      <w:lang w:val="en-GB" w:eastAsia="en-US"/>
    </w:rPr>
  </w:style>
  <w:style w:type="character" w:customStyle="1" w:styleId="AntratsDiagrama">
    <w:name w:val="Antraštės Diagrama"/>
    <w:basedOn w:val="Numatytasispastraiposriftas"/>
    <w:link w:val="Antrats"/>
    <w:rsid w:val="0016259D"/>
    <w:rPr>
      <w:rFonts w:ascii="Verdana" w:eastAsia="Times New Roman" w:hAnsi="Verdana" w:cs="Times New Roman"/>
      <w:sz w:val="20"/>
      <w:szCs w:val="24"/>
      <w:lang w:val="en-GB"/>
    </w:rPr>
  </w:style>
  <w:style w:type="paragraph" w:customStyle="1" w:styleId="CharChar2">
    <w:name w:val="Char Char2"/>
    <w:basedOn w:val="prastasis"/>
    <w:rsid w:val="00250010"/>
    <w:pPr>
      <w:tabs>
        <w:tab w:val="num" w:pos="4614"/>
      </w:tabs>
      <w:ind w:left="4614" w:hanging="363"/>
    </w:pPr>
    <w:rPr>
      <w:rFonts w:ascii="Verdana" w:hAnsi="Verdana"/>
      <w:sz w:val="20"/>
      <w:szCs w:val="24"/>
      <w:lang w:val="en-GB" w:eastAsia="en-US"/>
    </w:rPr>
  </w:style>
  <w:style w:type="paragraph" w:styleId="Pagrindinistekstas2">
    <w:name w:val="Body Text 2"/>
    <w:basedOn w:val="prastasis"/>
    <w:link w:val="Pagrindinistekstas2Diagrama"/>
    <w:unhideWhenUsed/>
    <w:rsid w:val="006D3F7C"/>
    <w:pPr>
      <w:spacing w:after="120" w:line="480" w:lineRule="auto"/>
    </w:pPr>
    <w:rPr>
      <w:rFonts w:ascii="Verdana" w:hAnsi="Verdana"/>
      <w:sz w:val="20"/>
      <w:szCs w:val="24"/>
      <w:lang w:val="en-GB" w:eastAsia="en-US"/>
    </w:rPr>
  </w:style>
  <w:style w:type="character" w:customStyle="1" w:styleId="Pagrindinistekstas2Diagrama">
    <w:name w:val="Pagrindinis tekstas 2 Diagrama"/>
    <w:basedOn w:val="Numatytasispastraiposriftas"/>
    <w:link w:val="Pagrindinistekstas2"/>
    <w:rsid w:val="006D3F7C"/>
    <w:rPr>
      <w:rFonts w:ascii="Verdana" w:eastAsia="Times New Roman" w:hAnsi="Verdana" w:cs="Times New Roman"/>
      <w:sz w:val="20"/>
      <w:szCs w:val="24"/>
      <w:lang w:val="en-GB"/>
    </w:rPr>
  </w:style>
  <w:style w:type="paragraph" w:customStyle="1" w:styleId="prastasiniatinklio1">
    <w:name w:val="Įprastas (žiniatinklio)1"/>
    <w:basedOn w:val="prastasis"/>
    <w:semiHidden/>
    <w:unhideWhenUsed/>
    <w:rsid w:val="006D3F7C"/>
    <w:pPr>
      <w:snapToGrid w:val="0"/>
      <w:spacing w:before="100" w:beforeAutospacing="1" w:after="100" w:afterAutospacing="1"/>
    </w:pPr>
    <w:rPr>
      <w:sz w:val="24"/>
      <w:szCs w:val="24"/>
      <w:lang w:val="en-GB"/>
    </w:rPr>
  </w:style>
  <w:style w:type="paragraph" w:styleId="Sraassuenkleliais">
    <w:name w:val="List Bullet"/>
    <w:basedOn w:val="prastasis"/>
    <w:uiPriority w:val="99"/>
    <w:rsid w:val="007E5F5C"/>
    <w:pPr>
      <w:numPr>
        <w:numId w:val="1"/>
      </w:numPr>
      <w:tabs>
        <w:tab w:val="clear" w:pos="360"/>
        <w:tab w:val="num" w:pos="720"/>
      </w:tabs>
    </w:pPr>
    <w:rPr>
      <w:sz w:val="24"/>
      <w:szCs w:val="24"/>
      <w:lang w:eastAsia="en-US"/>
    </w:rPr>
  </w:style>
  <w:style w:type="character" w:customStyle="1" w:styleId="Antrat8Diagrama">
    <w:name w:val="Antraštė 8 Diagrama"/>
    <w:basedOn w:val="Numatytasispastraiposriftas"/>
    <w:link w:val="Antrat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Antrat5Diagrama">
    <w:name w:val="Antraštė 5 Diagrama"/>
    <w:basedOn w:val="Numatytasispastraiposriftas"/>
    <w:link w:val="Antrat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Antrat9Diagrama">
    <w:name w:val="Antraštė 9 Diagrama"/>
    <w:basedOn w:val="Numatytasispastraiposriftas"/>
    <w:link w:val="Antrat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Porat">
    <w:name w:val="footer"/>
    <w:basedOn w:val="prastasis"/>
    <w:link w:val="PoratDiagrama"/>
    <w:uiPriority w:val="99"/>
    <w:unhideWhenUsed/>
    <w:rsid w:val="009A5A8A"/>
    <w:pPr>
      <w:tabs>
        <w:tab w:val="center" w:pos="4819"/>
        <w:tab w:val="right" w:pos="9638"/>
      </w:tabs>
    </w:pPr>
  </w:style>
  <w:style w:type="character" w:customStyle="1" w:styleId="PoratDiagrama">
    <w:name w:val="Poraštė Diagrama"/>
    <w:basedOn w:val="Numatytasispastraiposriftas"/>
    <w:link w:val="Porat"/>
    <w:uiPriority w:val="99"/>
    <w:rsid w:val="009A5A8A"/>
    <w:rPr>
      <w:rFonts w:ascii="Times New Roman" w:eastAsia="Times New Roman" w:hAnsi="Times New Roman" w:cs="Times New Roman"/>
      <w:lang w:eastAsia="lt-LT"/>
    </w:rPr>
  </w:style>
  <w:style w:type="paragraph" w:styleId="Sraopastraipa">
    <w:name w:val="List Paragraph"/>
    <w:basedOn w:val="prastasis"/>
    <w:uiPriority w:val="34"/>
    <w:qFormat/>
    <w:rsid w:val="005510D4"/>
    <w:pPr>
      <w:ind w:left="720"/>
      <w:contextualSpacing/>
    </w:pPr>
  </w:style>
  <w:style w:type="character" w:customStyle="1" w:styleId="xbe">
    <w:name w:val="_xbe"/>
    <w:basedOn w:val="Numatytasispastraiposriftas"/>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B6383-FC1A-4D25-8055-153B6E177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9390</Words>
  <Characters>5353</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Karolina Žigaitė</cp:lastModifiedBy>
  <cp:revision>16</cp:revision>
  <cp:lastPrinted>2016-11-16T12:06:00Z</cp:lastPrinted>
  <dcterms:created xsi:type="dcterms:W3CDTF">2017-11-24T11:42:00Z</dcterms:created>
  <dcterms:modified xsi:type="dcterms:W3CDTF">2018-08-08T08:33:00Z</dcterms:modified>
</cp:coreProperties>
</file>