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63D3" w14:textId="39092D63" w:rsidR="00601C8B" w:rsidRPr="006A2591" w:rsidRDefault="00601C8B" w:rsidP="00601C8B">
      <w:pPr>
        <w:pStyle w:val="Pagrindinistekstas"/>
        <w:spacing w:after="0"/>
        <w:rPr>
          <w:szCs w:val="22"/>
        </w:rPr>
      </w:pPr>
    </w:p>
    <w:p w14:paraId="154C5AD0" w14:textId="79D82A42" w:rsidR="00601C8B" w:rsidRPr="006A2591" w:rsidRDefault="00C05042" w:rsidP="00601C8B">
      <w:pPr>
        <w:pStyle w:val="Pagrindinistekstas"/>
        <w:spacing w:after="0"/>
        <w:rPr>
          <w:szCs w:val="22"/>
        </w:rPr>
      </w:pPr>
      <w:r>
        <w:rPr>
          <w:szCs w:val="22"/>
        </w:rPr>
        <w:t xml:space="preserve"> </w:t>
      </w:r>
    </w:p>
    <w:p w14:paraId="2D44AA24" w14:textId="77777777" w:rsidR="00601C8B" w:rsidRPr="006A2591" w:rsidRDefault="00601C8B" w:rsidP="00601C8B">
      <w:pPr>
        <w:pStyle w:val="Pagrindinistekstas"/>
        <w:spacing w:after="0"/>
        <w:rPr>
          <w:szCs w:val="22"/>
        </w:rPr>
      </w:pPr>
    </w:p>
    <w:p w14:paraId="3E3FF2FB" w14:textId="77777777" w:rsidR="00601C8B" w:rsidRPr="006A2591" w:rsidRDefault="00601C8B" w:rsidP="00601C8B">
      <w:pPr>
        <w:pStyle w:val="Pagrindinistekstas"/>
        <w:spacing w:after="0"/>
        <w:rPr>
          <w:szCs w:val="22"/>
        </w:rPr>
      </w:pPr>
    </w:p>
    <w:p w14:paraId="36596119" w14:textId="77777777" w:rsidR="00601C8B" w:rsidRPr="006A2591" w:rsidRDefault="00601C8B" w:rsidP="00601C8B">
      <w:pPr>
        <w:pStyle w:val="Pagrindinistekstas"/>
        <w:spacing w:after="0"/>
        <w:rPr>
          <w:szCs w:val="22"/>
        </w:rPr>
      </w:pPr>
    </w:p>
    <w:p w14:paraId="1DEED4B9" w14:textId="77777777" w:rsidR="00601C8B" w:rsidRPr="006A2591" w:rsidRDefault="00601C8B" w:rsidP="00601C8B">
      <w:pPr>
        <w:pStyle w:val="Pagrindinistekstas"/>
        <w:spacing w:after="0"/>
        <w:rPr>
          <w:szCs w:val="22"/>
        </w:rPr>
      </w:pPr>
    </w:p>
    <w:p w14:paraId="6E639279" w14:textId="77777777" w:rsidR="00601C8B" w:rsidRPr="006A2591" w:rsidRDefault="00601C8B" w:rsidP="00601C8B">
      <w:pPr>
        <w:pStyle w:val="Pagrindinistekstas"/>
        <w:spacing w:after="0"/>
        <w:rPr>
          <w:szCs w:val="22"/>
        </w:rPr>
      </w:pPr>
    </w:p>
    <w:p w14:paraId="7CF720EB" w14:textId="77777777" w:rsidR="00601C8B" w:rsidRPr="006A2591" w:rsidRDefault="00601C8B" w:rsidP="00601C8B">
      <w:pPr>
        <w:pStyle w:val="Pagrindinistekstas"/>
        <w:spacing w:after="0"/>
        <w:rPr>
          <w:szCs w:val="22"/>
        </w:rPr>
      </w:pPr>
    </w:p>
    <w:p w14:paraId="2FB6C60B" w14:textId="77777777" w:rsidR="00601C8B" w:rsidRPr="006A2591" w:rsidRDefault="00601C8B" w:rsidP="00601C8B">
      <w:pPr>
        <w:pStyle w:val="Pagrindinistekstas"/>
        <w:spacing w:after="0"/>
        <w:rPr>
          <w:szCs w:val="22"/>
        </w:rPr>
      </w:pPr>
    </w:p>
    <w:p w14:paraId="11D8526A" w14:textId="77777777" w:rsidR="00601C8B" w:rsidRPr="006A2591" w:rsidRDefault="00601C8B" w:rsidP="00601C8B">
      <w:pPr>
        <w:pStyle w:val="Pagrindinistekstas"/>
        <w:spacing w:after="0"/>
        <w:rPr>
          <w:szCs w:val="22"/>
        </w:rPr>
      </w:pPr>
    </w:p>
    <w:p w14:paraId="32DE6BC0" w14:textId="77777777" w:rsidR="00601C8B" w:rsidRPr="006A2591" w:rsidRDefault="00601C8B" w:rsidP="00601C8B">
      <w:pPr>
        <w:pStyle w:val="Pagrindinistekstas"/>
        <w:spacing w:after="0"/>
        <w:rPr>
          <w:szCs w:val="22"/>
        </w:rPr>
      </w:pPr>
    </w:p>
    <w:p w14:paraId="19D863EB" w14:textId="77777777" w:rsidR="00601C8B" w:rsidRPr="006A2591" w:rsidRDefault="00601C8B" w:rsidP="00601C8B">
      <w:pPr>
        <w:pStyle w:val="Pagrindinistekstas"/>
        <w:spacing w:after="0"/>
        <w:rPr>
          <w:szCs w:val="22"/>
        </w:rPr>
      </w:pPr>
    </w:p>
    <w:p w14:paraId="1D7DE692" w14:textId="77777777" w:rsidR="00601C8B" w:rsidRPr="006A2591" w:rsidRDefault="00601C8B" w:rsidP="00601C8B">
      <w:pPr>
        <w:pStyle w:val="Pagrindinistekstas"/>
        <w:spacing w:after="0"/>
        <w:rPr>
          <w:szCs w:val="22"/>
        </w:rPr>
      </w:pPr>
    </w:p>
    <w:p w14:paraId="02032B5C" w14:textId="77777777" w:rsidR="00601C8B" w:rsidRPr="006A2591" w:rsidRDefault="00601C8B" w:rsidP="00601C8B">
      <w:pPr>
        <w:pStyle w:val="Pagrindinistekstas"/>
        <w:spacing w:after="0"/>
        <w:rPr>
          <w:szCs w:val="22"/>
        </w:rPr>
      </w:pPr>
    </w:p>
    <w:p w14:paraId="4EA3245D" w14:textId="77777777" w:rsidR="00601C8B" w:rsidRPr="006A2591" w:rsidRDefault="00601C8B" w:rsidP="00601C8B">
      <w:pPr>
        <w:pStyle w:val="Pagrindinistekstas"/>
        <w:spacing w:after="0"/>
        <w:rPr>
          <w:szCs w:val="22"/>
        </w:rPr>
      </w:pPr>
    </w:p>
    <w:p w14:paraId="63B6E99D" w14:textId="77777777" w:rsidR="00601C8B" w:rsidRPr="006A2591" w:rsidRDefault="00601C8B" w:rsidP="00601C8B">
      <w:pPr>
        <w:pStyle w:val="Pagrindinistekstas"/>
        <w:spacing w:after="0"/>
        <w:rPr>
          <w:szCs w:val="22"/>
        </w:rPr>
      </w:pPr>
    </w:p>
    <w:p w14:paraId="7B2D171B" w14:textId="77777777" w:rsidR="00601C8B" w:rsidRPr="006A2591" w:rsidRDefault="00601C8B" w:rsidP="00601C8B">
      <w:pPr>
        <w:pStyle w:val="Pagrindinistekstas"/>
        <w:spacing w:after="0"/>
        <w:rPr>
          <w:szCs w:val="22"/>
        </w:rPr>
      </w:pPr>
    </w:p>
    <w:p w14:paraId="0BDC564E" w14:textId="77777777" w:rsidR="00601C8B" w:rsidRPr="006A2591" w:rsidRDefault="00601C8B" w:rsidP="00601C8B">
      <w:pPr>
        <w:pStyle w:val="Pagrindinistekstas"/>
        <w:spacing w:after="0"/>
        <w:rPr>
          <w:szCs w:val="22"/>
        </w:rPr>
      </w:pPr>
    </w:p>
    <w:p w14:paraId="1EE7AC9B" w14:textId="77777777" w:rsidR="00601C8B" w:rsidRPr="006A2591" w:rsidRDefault="00601C8B" w:rsidP="00601C8B">
      <w:pPr>
        <w:pStyle w:val="Pagrindinistekstas"/>
        <w:spacing w:after="0"/>
        <w:rPr>
          <w:szCs w:val="22"/>
        </w:rPr>
      </w:pPr>
    </w:p>
    <w:p w14:paraId="38D5679D" w14:textId="77777777" w:rsidR="00601C8B" w:rsidRPr="006A2591" w:rsidRDefault="00601C8B" w:rsidP="00601C8B">
      <w:pPr>
        <w:pStyle w:val="Pagrindinistekstas"/>
        <w:spacing w:after="0"/>
        <w:rPr>
          <w:szCs w:val="22"/>
        </w:rPr>
      </w:pPr>
    </w:p>
    <w:p w14:paraId="6DF4B970" w14:textId="77777777" w:rsidR="00601C8B" w:rsidRPr="006A2591" w:rsidRDefault="00601C8B" w:rsidP="00601C8B">
      <w:pPr>
        <w:pStyle w:val="Pagrindinistekstas"/>
        <w:spacing w:after="0"/>
        <w:rPr>
          <w:szCs w:val="22"/>
        </w:rPr>
      </w:pPr>
    </w:p>
    <w:p w14:paraId="607B01DC" w14:textId="77777777" w:rsidR="00601C8B" w:rsidRPr="006A2591" w:rsidRDefault="00601C8B" w:rsidP="00601C8B">
      <w:pPr>
        <w:pStyle w:val="Pagrindinistekstas"/>
        <w:spacing w:after="0"/>
        <w:rPr>
          <w:szCs w:val="22"/>
        </w:rPr>
      </w:pPr>
    </w:p>
    <w:p w14:paraId="6A033EA5" w14:textId="77777777" w:rsidR="00601C8B" w:rsidRPr="006A2591" w:rsidRDefault="00601C8B" w:rsidP="00601C8B">
      <w:pPr>
        <w:pStyle w:val="Pagrindinistekstas"/>
        <w:spacing w:after="0"/>
        <w:rPr>
          <w:szCs w:val="22"/>
        </w:rPr>
      </w:pPr>
    </w:p>
    <w:p w14:paraId="19872519" w14:textId="77777777" w:rsidR="00601C8B" w:rsidRPr="006A2591" w:rsidRDefault="00601C8B" w:rsidP="00601C8B">
      <w:pPr>
        <w:pStyle w:val="TTEMEASMCA"/>
        <w:rPr>
          <w:b/>
          <w:lang w:val="lt-LT"/>
        </w:rPr>
      </w:pPr>
      <w:r w:rsidRPr="006A2591">
        <w:rPr>
          <w:b/>
          <w:lang w:val="lt-LT"/>
        </w:rPr>
        <w:t>I PRIEDAS</w:t>
      </w:r>
    </w:p>
    <w:p w14:paraId="70A6EBCC" w14:textId="77777777" w:rsidR="00601C8B" w:rsidRPr="006A2591" w:rsidRDefault="00601C8B" w:rsidP="00601C8B">
      <w:pPr>
        <w:pStyle w:val="TTEMEASMCA"/>
        <w:rPr>
          <w:b/>
          <w:lang w:val="lt-LT"/>
        </w:rPr>
      </w:pPr>
    </w:p>
    <w:p w14:paraId="4EB0E865" w14:textId="77777777" w:rsidR="00601C8B" w:rsidRPr="006A2591" w:rsidRDefault="00601C8B" w:rsidP="00601C8B">
      <w:pPr>
        <w:pStyle w:val="TTEMEASMCA"/>
        <w:rPr>
          <w:b/>
          <w:lang w:val="lt-LT"/>
        </w:rPr>
      </w:pPr>
      <w:r w:rsidRPr="006A2591">
        <w:rPr>
          <w:b/>
          <w:lang w:val="lt-LT"/>
        </w:rPr>
        <w:t xml:space="preserve">PREPARATO CHARAKTERISTIKŲ SANTRAUKA  </w:t>
      </w:r>
    </w:p>
    <w:p w14:paraId="73D04B1F" w14:textId="77777777" w:rsidR="00601C8B" w:rsidRPr="006A2591" w:rsidRDefault="00601C8B" w:rsidP="00601C8B">
      <w:pPr>
        <w:pStyle w:val="TTEMEASMCA"/>
        <w:rPr>
          <w:b/>
          <w:lang w:val="lt-LT"/>
        </w:rPr>
      </w:pPr>
    </w:p>
    <w:p w14:paraId="18DEDBB3" w14:textId="77777777" w:rsidR="00601C8B" w:rsidRPr="006A2591" w:rsidRDefault="00601C8B" w:rsidP="00601C8B">
      <w:pPr>
        <w:pStyle w:val="PI-1EMEASMCA"/>
      </w:pPr>
      <w:r w:rsidRPr="006A2591">
        <w:br w:type="page"/>
      </w:r>
      <w:r w:rsidRPr="006A2591">
        <w:lastRenderedPageBreak/>
        <w:t>1.</w:t>
      </w:r>
      <w:r w:rsidRPr="006A2591">
        <w:tab/>
        <w:t>VAISTINIO PREPARATO PAVADINIMAS</w:t>
      </w:r>
    </w:p>
    <w:p w14:paraId="389F2A2F" w14:textId="77777777" w:rsidR="00601C8B" w:rsidRPr="006A2591" w:rsidRDefault="00601C8B" w:rsidP="00601C8B">
      <w:pPr>
        <w:pStyle w:val="Pagrindinistekstas"/>
        <w:spacing w:after="0"/>
        <w:rPr>
          <w:szCs w:val="22"/>
        </w:rPr>
      </w:pPr>
    </w:p>
    <w:p w14:paraId="4D2223D7" w14:textId="15590C65" w:rsidR="00601C8B" w:rsidRPr="006A2591" w:rsidRDefault="00601C8B" w:rsidP="00E85904">
      <w:pPr>
        <w:pStyle w:val="BTEMEASMCA"/>
      </w:pPr>
      <w:proofErr w:type="spellStart"/>
      <w:r>
        <w:t>Tivulin</w:t>
      </w:r>
      <w:proofErr w:type="spellEnd"/>
      <w:r w:rsidRPr="006A2591">
        <w:t xml:space="preserve"> </w:t>
      </w:r>
      <w:r>
        <w:t>1</w:t>
      </w:r>
      <w:r w:rsidR="00174CEE">
        <w:t> </w:t>
      </w:r>
      <w:r>
        <w:t>000 </w:t>
      </w:r>
      <w:r w:rsidRPr="006A2591">
        <w:t>mg pailginto atpalaidavimo tabletės</w:t>
      </w:r>
    </w:p>
    <w:p w14:paraId="31C5D5FC" w14:textId="77777777" w:rsidR="00601C8B" w:rsidRPr="006A2591" w:rsidRDefault="00601C8B" w:rsidP="00E85904">
      <w:pPr>
        <w:pStyle w:val="BTEMEASMCA"/>
      </w:pPr>
    </w:p>
    <w:p w14:paraId="0DAEE716" w14:textId="77777777" w:rsidR="00601C8B" w:rsidRPr="006A2591" w:rsidRDefault="00601C8B" w:rsidP="00E85904">
      <w:pPr>
        <w:pStyle w:val="BTEMEASMCA"/>
      </w:pPr>
    </w:p>
    <w:p w14:paraId="09E3F5DC" w14:textId="77777777" w:rsidR="00601C8B" w:rsidRPr="006A2591" w:rsidRDefault="00601C8B" w:rsidP="00601C8B">
      <w:pPr>
        <w:pStyle w:val="PI-1EMEASMCA"/>
        <w:outlineLvl w:val="9"/>
      </w:pPr>
      <w:r w:rsidRPr="006A2591">
        <w:t>2.</w:t>
      </w:r>
      <w:r w:rsidRPr="006A2591">
        <w:tab/>
        <w:t>KOKYBINĖ IR KIEKYBINĖ SUDĖTIS</w:t>
      </w:r>
    </w:p>
    <w:p w14:paraId="095BBB9D" w14:textId="77777777" w:rsidR="00601C8B" w:rsidRPr="006A2591" w:rsidRDefault="00601C8B" w:rsidP="00E85904">
      <w:pPr>
        <w:pStyle w:val="BTEMEASMCA"/>
      </w:pPr>
    </w:p>
    <w:p w14:paraId="1F391C7A" w14:textId="616093DB" w:rsidR="00601C8B" w:rsidRPr="006A2591" w:rsidRDefault="00601C8B" w:rsidP="00601C8B">
      <w:pPr>
        <w:pStyle w:val="Betarp"/>
        <w:rPr>
          <w:rFonts w:ascii="Times New Roman" w:hAnsi="Times New Roman"/>
        </w:rPr>
      </w:pPr>
      <w:r w:rsidRPr="006A2591">
        <w:rPr>
          <w:rFonts w:ascii="Times New Roman" w:hAnsi="Times New Roman"/>
        </w:rPr>
        <w:t xml:space="preserve">Kiekvienoje pailginto atpalaidavimo tabletėje yra </w:t>
      </w:r>
      <w:r>
        <w:rPr>
          <w:rFonts w:ascii="Times New Roman" w:hAnsi="Times New Roman"/>
        </w:rPr>
        <w:t>1</w:t>
      </w:r>
      <w:r w:rsidR="00174CEE">
        <w:rPr>
          <w:rFonts w:ascii="Times New Roman" w:hAnsi="Times New Roman"/>
        </w:rPr>
        <w:t> </w:t>
      </w:r>
      <w:r>
        <w:rPr>
          <w:rFonts w:ascii="Times New Roman" w:hAnsi="Times New Roman"/>
        </w:rPr>
        <w:t>000</w:t>
      </w:r>
      <w: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w:t>
      </w:r>
      <w:r>
        <w:rPr>
          <w:rFonts w:ascii="Times New Roman" w:hAnsi="Times New Roman"/>
        </w:rPr>
        <w:t>780</w:t>
      </w:r>
      <w: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bazės.</w:t>
      </w:r>
    </w:p>
    <w:p w14:paraId="6D062EC3" w14:textId="77777777" w:rsidR="00601C8B" w:rsidRPr="006A2591" w:rsidRDefault="00601C8B" w:rsidP="00601C8B">
      <w:pPr>
        <w:pStyle w:val="Betarp"/>
        <w:rPr>
          <w:rFonts w:ascii="Times New Roman" w:hAnsi="Times New Roman"/>
        </w:rPr>
      </w:pPr>
    </w:p>
    <w:p w14:paraId="213CE2C2" w14:textId="1932CE0E" w:rsidR="00601C8B" w:rsidRPr="006A2591" w:rsidRDefault="00601C8B" w:rsidP="00E85904">
      <w:pPr>
        <w:pStyle w:val="BTEMEASMCA"/>
      </w:pPr>
      <w:r w:rsidRPr="006A2591">
        <w:t>Visos pagalbinės medžiagos išvardytos 6.1</w:t>
      </w:r>
      <w:r w:rsidR="00174CEE">
        <w:t> </w:t>
      </w:r>
      <w:r w:rsidRPr="006A2591">
        <w:t>skyriuje.</w:t>
      </w:r>
    </w:p>
    <w:p w14:paraId="37D3DFF4" w14:textId="77777777" w:rsidR="00601C8B" w:rsidRPr="006A2591" w:rsidRDefault="00601C8B" w:rsidP="00E85904">
      <w:pPr>
        <w:pStyle w:val="BTEMEASMCA"/>
      </w:pPr>
    </w:p>
    <w:p w14:paraId="56436550" w14:textId="77777777" w:rsidR="00601C8B" w:rsidRPr="006A2591" w:rsidRDefault="00601C8B" w:rsidP="00E85904">
      <w:pPr>
        <w:pStyle w:val="BTEMEASMCA"/>
      </w:pPr>
    </w:p>
    <w:p w14:paraId="72928773" w14:textId="77777777" w:rsidR="00601C8B" w:rsidRPr="006A2591" w:rsidRDefault="00601C8B" w:rsidP="00601C8B">
      <w:pPr>
        <w:pStyle w:val="PI-1EMEASMCA"/>
        <w:outlineLvl w:val="9"/>
      </w:pPr>
      <w:r w:rsidRPr="006A2591">
        <w:t>3.</w:t>
      </w:r>
      <w:r w:rsidRPr="006A2591">
        <w:tab/>
        <w:t>FARMACINĖ FORMA</w:t>
      </w:r>
    </w:p>
    <w:p w14:paraId="7A633B5D" w14:textId="77777777" w:rsidR="00601C8B" w:rsidRPr="006A2591" w:rsidRDefault="00601C8B" w:rsidP="00601C8B">
      <w:pPr>
        <w:pStyle w:val="Pagrindinistekstas"/>
        <w:spacing w:after="0"/>
        <w:rPr>
          <w:szCs w:val="22"/>
        </w:rPr>
      </w:pPr>
    </w:p>
    <w:p w14:paraId="4BE950E7" w14:textId="77777777" w:rsidR="00601C8B" w:rsidRPr="006A2591" w:rsidRDefault="00601C8B" w:rsidP="00601C8B">
      <w:pPr>
        <w:pStyle w:val="Betarp"/>
        <w:rPr>
          <w:rFonts w:ascii="Times New Roman" w:hAnsi="Times New Roman"/>
        </w:rPr>
      </w:pPr>
      <w:r w:rsidRPr="006A2591">
        <w:rPr>
          <w:rFonts w:ascii="Times New Roman" w:hAnsi="Times New Roman"/>
        </w:rPr>
        <w:t>Pailginto atpalaidavimo tabletė.</w:t>
      </w:r>
    </w:p>
    <w:p w14:paraId="50D179F8" w14:textId="77777777" w:rsidR="00601C8B" w:rsidRDefault="00601C8B" w:rsidP="00601C8B">
      <w:pPr>
        <w:pStyle w:val="Betarp"/>
        <w:rPr>
          <w:rFonts w:ascii="Times New Roman" w:hAnsi="Times New Roman"/>
        </w:rPr>
      </w:pPr>
    </w:p>
    <w:p w14:paraId="0F4106F3"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Balta ar beveik balta, kapsulės formos tabletė, kurios vienoje pusėje įspaustas užrašas „SR </w:t>
      </w:r>
      <w:r>
        <w:rPr>
          <w:rFonts w:ascii="Times New Roman" w:hAnsi="Times New Roman"/>
        </w:rPr>
        <w:t>1000</w:t>
      </w:r>
      <w:r w:rsidRPr="006A2591">
        <w:rPr>
          <w:rFonts w:ascii="Times New Roman" w:hAnsi="Times New Roman"/>
        </w:rPr>
        <w:t xml:space="preserve">“, o kita pusė lygi. </w:t>
      </w:r>
    </w:p>
    <w:p w14:paraId="4CB44250" w14:textId="77777777" w:rsidR="00601C8B" w:rsidRPr="006A2591" w:rsidRDefault="00601C8B" w:rsidP="00E85904">
      <w:pPr>
        <w:pStyle w:val="BTEMEASMCA"/>
      </w:pPr>
      <w:r w:rsidRPr="006A2591">
        <w:t xml:space="preserve">Tabletės matmenys: ilgis – </w:t>
      </w:r>
      <w:r>
        <w:t>22</w:t>
      </w:r>
      <w:r w:rsidRPr="006A2591">
        <w:t>,</w:t>
      </w:r>
      <w:r>
        <w:t>0</w:t>
      </w:r>
      <w:r w:rsidRPr="006A2591">
        <w:t>0</w:t>
      </w:r>
      <w:r>
        <w:t> </w:t>
      </w:r>
      <w:r w:rsidRPr="006A2591">
        <w:t xml:space="preserve">mm, plotis – </w:t>
      </w:r>
      <w:r>
        <w:t>10</w:t>
      </w:r>
      <w:r w:rsidRPr="006A2591">
        <w:t>,</w:t>
      </w:r>
      <w:r>
        <w:t>5</w:t>
      </w:r>
      <w:r w:rsidRPr="006A2591">
        <w:t>0</w:t>
      </w:r>
      <w:r>
        <w:t> </w:t>
      </w:r>
      <w:r w:rsidRPr="006A2591">
        <w:t xml:space="preserve">mm, storis – </w:t>
      </w:r>
      <w:r>
        <w:t>8</w:t>
      </w:r>
      <w:r w:rsidRPr="006A2591">
        <w:t>,</w:t>
      </w:r>
      <w:r>
        <w:t>9</w:t>
      </w:r>
      <w:r w:rsidRPr="006A2591">
        <w:t>0</w:t>
      </w:r>
      <w:r>
        <w:t> </w:t>
      </w:r>
      <w:r w:rsidRPr="006A2591">
        <w:t>mm.</w:t>
      </w:r>
    </w:p>
    <w:p w14:paraId="3A60CD15" w14:textId="77777777" w:rsidR="00601C8B" w:rsidRPr="006A2591" w:rsidRDefault="00601C8B" w:rsidP="00E85904">
      <w:pPr>
        <w:pStyle w:val="BTEMEASMCA"/>
      </w:pPr>
    </w:p>
    <w:p w14:paraId="2EA86630" w14:textId="77777777" w:rsidR="00601C8B" w:rsidRPr="006A2591" w:rsidRDefault="00601C8B" w:rsidP="00601C8B">
      <w:pPr>
        <w:pStyle w:val="Pagrindinistekstas"/>
        <w:spacing w:after="0"/>
        <w:rPr>
          <w:szCs w:val="22"/>
        </w:rPr>
      </w:pPr>
    </w:p>
    <w:p w14:paraId="0D6504D3" w14:textId="77777777" w:rsidR="00601C8B" w:rsidRPr="006A2591" w:rsidRDefault="00601C8B" w:rsidP="00601C8B">
      <w:pPr>
        <w:pStyle w:val="PI-1EMEASMCA"/>
        <w:outlineLvl w:val="9"/>
      </w:pPr>
      <w:r w:rsidRPr="006A2591">
        <w:rPr>
          <w:caps/>
        </w:rPr>
        <w:t>4.</w:t>
      </w:r>
      <w:r w:rsidRPr="006A2591">
        <w:rPr>
          <w:caps/>
        </w:rPr>
        <w:tab/>
      </w:r>
      <w:r w:rsidRPr="006A2591">
        <w:t>KLINIKINĖ INFORMACIJA</w:t>
      </w:r>
    </w:p>
    <w:p w14:paraId="7776CDC5" w14:textId="77777777" w:rsidR="00601C8B" w:rsidRPr="006A2591" w:rsidRDefault="00601C8B" w:rsidP="00601C8B">
      <w:pPr>
        <w:pStyle w:val="Pagrindinistekstas"/>
        <w:spacing w:after="0"/>
        <w:rPr>
          <w:szCs w:val="22"/>
        </w:rPr>
      </w:pPr>
    </w:p>
    <w:p w14:paraId="23C0E479" w14:textId="77777777" w:rsidR="00601C8B" w:rsidRPr="006A2591" w:rsidRDefault="00601C8B" w:rsidP="00601C8B">
      <w:pPr>
        <w:pStyle w:val="PI-2EMEASMCA"/>
        <w:outlineLvl w:val="9"/>
      </w:pPr>
      <w:bookmarkStart w:id="0" w:name="_Toc129243102"/>
      <w:bookmarkStart w:id="1" w:name="_Toc129243227"/>
      <w:r w:rsidRPr="006A2591">
        <w:t>4.1</w:t>
      </w:r>
      <w:r w:rsidRPr="006A2591">
        <w:tab/>
        <w:t>Terapinės indikacijos</w:t>
      </w:r>
      <w:bookmarkEnd w:id="0"/>
      <w:bookmarkEnd w:id="1"/>
    </w:p>
    <w:p w14:paraId="3A09AAA2" w14:textId="4ACDDBC1" w:rsidR="00601C8B" w:rsidRDefault="00601C8B" w:rsidP="00601C8B">
      <w:pPr>
        <w:rPr>
          <w:bCs/>
          <w:szCs w:val="22"/>
        </w:rPr>
      </w:pPr>
    </w:p>
    <w:p w14:paraId="26CA744C" w14:textId="77777777" w:rsidR="0008454F" w:rsidRPr="006A2591" w:rsidRDefault="0008454F" w:rsidP="00EE0B84">
      <w:pPr>
        <w:ind w:left="22" w:hanging="1440"/>
        <w:jc w:val="both"/>
        <w:rPr>
          <w:bCs/>
          <w:szCs w:val="22"/>
        </w:rPr>
      </w:pPr>
    </w:p>
    <w:p w14:paraId="3FDC5A1B" w14:textId="77777777" w:rsidR="0008454F" w:rsidRPr="00134938" w:rsidRDefault="0008454F" w:rsidP="00EE0B84">
      <w:pPr>
        <w:pStyle w:val="Sraopastraipa"/>
        <w:numPr>
          <w:ilvl w:val="0"/>
          <w:numId w:val="14"/>
        </w:numPr>
        <w:ind w:left="426" w:hanging="426"/>
        <w:rPr>
          <w:szCs w:val="22"/>
        </w:rPr>
      </w:pPr>
      <w:r w:rsidRPr="009367D1">
        <w:rPr>
          <w:szCs w:val="22"/>
        </w:rPr>
        <w:t>2 tipo cukriniu diabetu sergančių suaugusiųjų, ypač turinčių antsvorio, gydymas, kai vien tin</w:t>
      </w:r>
      <w:r w:rsidRPr="00134938">
        <w:rPr>
          <w:szCs w:val="22"/>
        </w:rPr>
        <w:t xml:space="preserve">kama dieta bei fiziniu aktyvumu neįmanoma palaikyti reikiamos gliukozės koncentracijos kraujyje. Suaugusiuosius galima gydyti vien </w:t>
      </w:r>
      <w:proofErr w:type="spellStart"/>
      <w:r>
        <w:t>Tivulin</w:t>
      </w:r>
      <w:proofErr w:type="spellEnd"/>
      <w:r w:rsidRPr="006A2591">
        <w:t xml:space="preserve"> pailginto atpalaidavimo tabletė</w:t>
      </w:r>
      <w:r>
        <w:t>mis</w:t>
      </w:r>
      <w:r w:rsidRPr="009367D1">
        <w:rPr>
          <w:szCs w:val="22"/>
        </w:rPr>
        <w:t xml:space="preserve"> arba šį vaistinį preparatą vartoti derinyje su kitais geriamaisiais vaistiniais preparatais nuo cukrinio diabeto ar su insulinu.</w:t>
      </w:r>
    </w:p>
    <w:p w14:paraId="02B92648" w14:textId="6AA76DE1" w:rsidR="00601C8B" w:rsidRPr="006A2591" w:rsidRDefault="00601C8B" w:rsidP="00601C8B">
      <w:pPr>
        <w:pStyle w:val="Pagrindinistekstas"/>
        <w:spacing w:after="0"/>
        <w:rPr>
          <w:szCs w:val="22"/>
        </w:rPr>
      </w:pPr>
    </w:p>
    <w:p w14:paraId="13FE4604" w14:textId="77777777" w:rsidR="00601C8B" w:rsidRPr="006A2591" w:rsidRDefault="00601C8B" w:rsidP="00601C8B">
      <w:pPr>
        <w:pStyle w:val="PI-2EMEASMCA"/>
        <w:outlineLvl w:val="9"/>
      </w:pPr>
      <w:r w:rsidRPr="006A2591">
        <w:t>4.2</w:t>
      </w:r>
      <w:r w:rsidRPr="006A2591">
        <w:tab/>
        <w:t>Dozavimas ir vartojimo metodas</w:t>
      </w:r>
    </w:p>
    <w:p w14:paraId="1CD0C13A" w14:textId="77777777" w:rsidR="00601C8B" w:rsidRPr="006A2591" w:rsidRDefault="00601C8B" w:rsidP="00601C8B">
      <w:pPr>
        <w:rPr>
          <w:i/>
          <w:szCs w:val="22"/>
          <w:u w:val="single"/>
        </w:rPr>
      </w:pPr>
    </w:p>
    <w:p w14:paraId="0F919A47"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Dozavimas</w:t>
      </w:r>
    </w:p>
    <w:p w14:paraId="5FD83EDA" w14:textId="77777777" w:rsidR="00601C8B" w:rsidRPr="006A2591" w:rsidRDefault="00601C8B" w:rsidP="00601C8B">
      <w:pPr>
        <w:pStyle w:val="Betarp"/>
        <w:rPr>
          <w:rFonts w:ascii="Times New Roman" w:hAnsi="Times New Roman"/>
        </w:rPr>
      </w:pPr>
    </w:p>
    <w:p w14:paraId="05F01FB8" w14:textId="77777777" w:rsidR="00601C8B" w:rsidRPr="006A2591" w:rsidRDefault="00601C8B" w:rsidP="00601C8B">
      <w:pPr>
        <w:pStyle w:val="Betarp"/>
        <w:rPr>
          <w:rFonts w:ascii="Times New Roman" w:hAnsi="Times New Roman"/>
          <w:i/>
        </w:rPr>
      </w:pPr>
      <w:r w:rsidRPr="006A2591">
        <w:rPr>
          <w:rFonts w:ascii="Times New Roman" w:hAnsi="Times New Roman"/>
          <w:i/>
        </w:rPr>
        <w:t>Suaugusiesiems, kurių inkstų funkcija yra normali (</w:t>
      </w:r>
      <w:proofErr w:type="spellStart"/>
      <w:r>
        <w:rPr>
          <w:rFonts w:ascii="Times New Roman" w:hAnsi="Times New Roman"/>
          <w:i/>
        </w:rPr>
        <w:t>glomerulų</w:t>
      </w:r>
      <w:proofErr w:type="spellEnd"/>
      <w:r>
        <w:rPr>
          <w:rFonts w:ascii="Times New Roman" w:hAnsi="Times New Roman"/>
          <w:i/>
        </w:rPr>
        <w:t xml:space="preserve"> filtracijos greitis, </w:t>
      </w:r>
      <w:r w:rsidRPr="006A2591">
        <w:rPr>
          <w:rFonts w:ascii="Times New Roman" w:hAnsi="Times New Roman"/>
          <w:i/>
        </w:rPr>
        <w:t xml:space="preserve">GFG </w:t>
      </w:r>
      <w:r w:rsidRPr="006A2591">
        <w:rPr>
          <w:rFonts w:ascii="Times New Roman" w:hAnsi="Times New Roman"/>
          <w:i/>
        </w:rPr>
        <w:sym w:font="Symbol" w:char="F0B3"/>
      </w:r>
      <w:r w:rsidRPr="006A2591">
        <w:rPr>
          <w:rFonts w:ascii="Times New Roman" w:hAnsi="Times New Roman"/>
          <w:i/>
        </w:rPr>
        <w:t xml:space="preserve"> 90</w:t>
      </w:r>
      <w:r>
        <w:t> </w:t>
      </w:r>
      <w:r w:rsidRPr="006A2591">
        <w:rPr>
          <w:rFonts w:ascii="Times New Roman" w:hAnsi="Times New Roman"/>
          <w:i/>
        </w:rPr>
        <w:t>ml/min.)</w:t>
      </w:r>
    </w:p>
    <w:p w14:paraId="0DF2FACC" w14:textId="222E6F74" w:rsidR="0008454F" w:rsidRPr="00EE0B84" w:rsidRDefault="0008454F" w:rsidP="00EE0B84">
      <w:pPr>
        <w:pStyle w:val="Betarp"/>
        <w:numPr>
          <w:ilvl w:val="0"/>
          <w:numId w:val="14"/>
        </w:numPr>
        <w:ind w:left="567" w:hanging="567"/>
        <w:rPr>
          <w:rFonts w:ascii="Times New Roman" w:hAnsi="Times New Roman"/>
        </w:rPr>
      </w:pPr>
    </w:p>
    <w:p w14:paraId="15867BAE" w14:textId="77777777" w:rsidR="0008454F" w:rsidRPr="006A2591" w:rsidRDefault="0008454F" w:rsidP="00601C8B">
      <w:pPr>
        <w:pStyle w:val="Betarp"/>
        <w:rPr>
          <w:rFonts w:ascii="Times New Roman" w:hAnsi="Times New Roman"/>
        </w:rPr>
      </w:pPr>
    </w:p>
    <w:p w14:paraId="041405C4" w14:textId="7655164A" w:rsidR="00601C8B" w:rsidRPr="00EE0B84" w:rsidRDefault="00601C8B" w:rsidP="00601C8B">
      <w:pPr>
        <w:pStyle w:val="Betarp"/>
        <w:rPr>
          <w:rFonts w:ascii="Times New Roman" w:hAnsi="Times New Roman"/>
          <w:b/>
          <w:bCs/>
          <w:iCs/>
        </w:rPr>
      </w:pPr>
      <w:proofErr w:type="spellStart"/>
      <w:r w:rsidRPr="00EE0B84">
        <w:rPr>
          <w:rFonts w:ascii="Times New Roman" w:hAnsi="Times New Roman"/>
          <w:b/>
          <w:bCs/>
          <w:iCs/>
        </w:rPr>
        <w:t>Monoterapija</w:t>
      </w:r>
      <w:proofErr w:type="spellEnd"/>
      <w:r w:rsidRPr="00EE0B84">
        <w:rPr>
          <w:rFonts w:ascii="Times New Roman" w:hAnsi="Times New Roman"/>
          <w:b/>
          <w:bCs/>
          <w:iCs/>
        </w:rPr>
        <w:t xml:space="preserve"> </w:t>
      </w:r>
      <w:r w:rsidR="00174CEE">
        <w:rPr>
          <w:rFonts w:ascii="Times New Roman" w:hAnsi="Times New Roman"/>
          <w:b/>
          <w:bCs/>
          <w:iCs/>
        </w:rPr>
        <w:t xml:space="preserve">gydant </w:t>
      </w:r>
      <w:r w:rsidR="00174CEE" w:rsidRPr="00D36877">
        <w:rPr>
          <w:rFonts w:ascii="Times New Roman" w:hAnsi="Times New Roman"/>
          <w:b/>
          <w:bCs/>
          <w:iCs/>
        </w:rPr>
        <w:t>2</w:t>
      </w:r>
      <w:r w:rsidR="00174CEE">
        <w:rPr>
          <w:rFonts w:ascii="Times New Roman" w:hAnsi="Times New Roman"/>
          <w:b/>
          <w:bCs/>
          <w:iCs/>
        </w:rPr>
        <w:t xml:space="preserve"> tipo cukrinį diabetą </w:t>
      </w:r>
      <w:r w:rsidRPr="00EE0B84">
        <w:rPr>
          <w:rFonts w:ascii="Times New Roman" w:hAnsi="Times New Roman"/>
          <w:b/>
          <w:bCs/>
          <w:iCs/>
        </w:rPr>
        <w:t>ir derinimas su kitais geriamaisiais vaist</w:t>
      </w:r>
      <w:r w:rsidR="00C924A6">
        <w:rPr>
          <w:rFonts w:ascii="Times New Roman" w:hAnsi="Times New Roman"/>
          <w:b/>
          <w:bCs/>
          <w:iCs/>
        </w:rPr>
        <w:t>ini</w:t>
      </w:r>
      <w:r w:rsidRPr="00EE0B84">
        <w:rPr>
          <w:rFonts w:ascii="Times New Roman" w:hAnsi="Times New Roman"/>
          <w:b/>
          <w:bCs/>
          <w:iCs/>
        </w:rPr>
        <w:t>ais</w:t>
      </w:r>
      <w:r w:rsidR="00C924A6">
        <w:rPr>
          <w:rFonts w:ascii="Times New Roman" w:hAnsi="Times New Roman"/>
          <w:b/>
          <w:bCs/>
          <w:iCs/>
        </w:rPr>
        <w:t xml:space="preserve"> preparatais</w:t>
      </w:r>
      <w:r w:rsidRPr="00EE0B84">
        <w:rPr>
          <w:rFonts w:ascii="Times New Roman" w:hAnsi="Times New Roman"/>
          <w:b/>
          <w:bCs/>
          <w:iCs/>
        </w:rPr>
        <w:t xml:space="preserve"> nuo cukrinio diabeto</w:t>
      </w:r>
    </w:p>
    <w:p w14:paraId="0F2DF2BE" w14:textId="77777777" w:rsidR="00601C8B" w:rsidRPr="00E80984" w:rsidRDefault="00601C8B" w:rsidP="00601C8B">
      <w:pPr>
        <w:pStyle w:val="Betarp"/>
        <w:rPr>
          <w:rFonts w:ascii="Times New Roman" w:hAnsi="Times New Roman"/>
        </w:rPr>
      </w:pPr>
    </w:p>
    <w:p w14:paraId="64273CED" w14:textId="36416792" w:rsidR="00174CEE" w:rsidRDefault="00174CEE" w:rsidP="00174CEE">
      <w:pPr>
        <w:pStyle w:val="Betarp"/>
        <w:numPr>
          <w:ilvl w:val="0"/>
          <w:numId w:val="9"/>
        </w:numPr>
        <w:ind w:left="567" w:hanging="567"/>
        <w:rPr>
          <w:rFonts w:ascii="Times New Roman" w:hAnsi="Times New Roman"/>
        </w:rPr>
      </w:pPr>
      <w:r w:rsidRPr="00174CEE">
        <w:rPr>
          <w:rFonts w:ascii="Times New Roman" w:hAnsi="Times New Roman"/>
        </w:rPr>
        <w:t>Prad</w:t>
      </w:r>
      <w:r>
        <w:rPr>
          <w:rFonts w:ascii="Times New Roman" w:hAnsi="Times New Roman"/>
        </w:rPr>
        <w:t>edant</w:t>
      </w:r>
      <w:r w:rsidRPr="00174CEE">
        <w:rPr>
          <w:rFonts w:ascii="Times New Roman" w:hAnsi="Times New Roman"/>
        </w:rPr>
        <w:t xml:space="preserve"> gydymą</w:t>
      </w:r>
      <w:r>
        <w:rPr>
          <w:rFonts w:ascii="Times New Roman" w:hAnsi="Times New Roman"/>
        </w:rPr>
        <w:t>, iš pradžių</w:t>
      </w:r>
      <w:r w:rsidRPr="00174CEE">
        <w:rPr>
          <w:rFonts w:ascii="Times New Roman" w:hAnsi="Times New Roman"/>
        </w:rPr>
        <w:t xml:space="preserve"> reikia varto</w:t>
      </w:r>
      <w:r>
        <w:rPr>
          <w:rFonts w:ascii="Times New Roman" w:hAnsi="Times New Roman"/>
        </w:rPr>
        <w:t>ti po</w:t>
      </w:r>
      <w:r w:rsidRPr="00174CEE">
        <w:rPr>
          <w:rFonts w:ascii="Times New Roman" w:hAnsi="Times New Roman"/>
        </w:rPr>
        <w:t xml:space="preserve"> vieną </w:t>
      </w:r>
      <w:proofErr w:type="spellStart"/>
      <w:r>
        <w:rPr>
          <w:rFonts w:ascii="Times New Roman" w:hAnsi="Times New Roman"/>
        </w:rPr>
        <w:t>Tivulin</w:t>
      </w:r>
      <w:proofErr w:type="spellEnd"/>
      <w:r w:rsidRPr="00174CEE">
        <w:rPr>
          <w:rFonts w:ascii="Times New Roman" w:hAnsi="Times New Roman"/>
        </w:rPr>
        <w:t xml:space="preserve"> 500</w:t>
      </w:r>
      <w:r>
        <w:rPr>
          <w:rFonts w:ascii="Times New Roman" w:hAnsi="Times New Roman"/>
        </w:rPr>
        <w:t> </w:t>
      </w:r>
      <w:r w:rsidRPr="00174CEE">
        <w:rPr>
          <w:rFonts w:ascii="Times New Roman" w:hAnsi="Times New Roman"/>
        </w:rPr>
        <w:t xml:space="preserve">mg </w:t>
      </w:r>
      <w:r w:rsidRPr="00E80984">
        <w:rPr>
          <w:rFonts w:ascii="Times New Roman" w:hAnsi="Times New Roman"/>
        </w:rPr>
        <w:t xml:space="preserve">pailginto atpalaidavimo </w:t>
      </w:r>
      <w:r w:rsidRPr="00174CEE">
        <w:rPr>
          <w:rFonts w:ascii="Times New Roman" w:hAnsi="Times New Roman"/>
        </w:rPr>
        <w:t>tabletę vieną kartą per parą vakari</w:t>
      </w:r>
      <w:r>
        <w:rPr>
          <w:rFonts w:ascii="Times New Roman" w:hAnsi="Times New Roman"/>
        </w:rPr>
        <w:t xml:space="preserve">enės </w:t>
      </w:r>
      <w:r w:rsidRPr="00174CEE">
        <w:rPr>
          <w:rFonts w:ascii="Times New Roman" w:hAnsi="Times New Roman"/>
        </w:rPr>
        <w:t>metu. Po 10-15</w:t>
      </w:r>
      <w:r>
        <w:rPr>
          <w:rFonts w:ascii="Times New Roman" w:hAnsi="Times New Roman"/>
        </w:rPr>
        <w:t> </w:t>
      </w:r>
      <w:r w:rsidRPr="00174CEE">
        <w:rPr>
          <w:rFonts w:ascii="Times New Roman" w:hAnsi="Times New Roman"/>
        </w:rPr>
        <w:t>dienų dozę rekomenduojama koreguoti</w:t>
      </w:r>
      <w:r>
        <w:rPr>
          <w:rFonts w:ascii="Times New Roman" w:hAnsi="Times New Roman"/>
        </w:rPr>
        <w:t>,</w:t>
      </w:r>
      <w:r w:rsidRPr="00174CEE">
        <w:rPr>
          <w:rFonts w:ascii="Times New Roman" w:hAnsi="Times New Roman"/>
        </w:rPr>
        <w:t xml:space="preserve"> atsižvelgiant į gliukozės k</w:t>
      </w:r>
      <w:r>
        <w:rPr>
          <w:rFonts w:ascii="Times New Roman" w:hAnsi="Times New Roman"/>
        </w:rPr>
        <w:t>oncentracijos</w:t>
      </w:r>
      <w:r w:rsidRPr="00174CEE">
        <w:rPr>
          <w:rFonts w:ascii="Times New Roman" w:hAnsi="Times New Roman"/>
        </w:rPr>
        <w:t xml:space="preserve"> kraujyje </w:t>
      </w:r>
      <w:r>
        <w:rPr>
          <w:rFonts w:ascii="Times New Roman" w:hAnsi="Times New Roman"/>
        </w:rPr>
        <w:t>rodmeni</w:t>
      </w:r>
      <w:r w:rsidRPr="00174CEE">
        <w:rPr>
          <w:rFonts w:ascii="Times New Roman" w:hAnsi="Times New Roman"/>
        </w:rPr>
        <w:t xml:space="preserve">s. </w:t>
      </w:r>
      <w:r w:rsidR="00FD0AE7">
        <w:rPr>
          <w:rFonts w:ascii="Times New Roman" w:hAnsi="Times New Roman"/>
        </w:rPr>
        <w:t xml:space="preserve">Virškinimo trakte vaistinis preparatas toleruojamas geriau, jei dozė didinama </w:t>
      </w:r>
      <w:r w:rsidR="00CB6DD8">
        <w:rPr>
          <w:rFonts w:ascii="Times New Roman" w:hAnsi="Times New Roman"/>
        </w:rPr>
        <w:t>pamažu</w:t>
      </w:r>
      <w:r>
        <w:rPr>
          <w:rFonts w:ascii="Times New Roman" w:hAnsi="Times New Roman"/>
        </w:rPr>
        <w:t>.</w:t>
      </w:r>
    </w:p>
    <w:p w14:paraId="70C621E3" w14:textId="6A768084" w:rsidR="00601C8B" w:rsidRPr="00E80984" w:rsidRDefault="00601C8B" w:rsidP="00EE0B84">
      <w:pPr>
        <w:pStyle w:val="Betarp"/>
        <w:numPr>
          <w:ilvl w:val="0"/>
          <w:numId w:val="9"/>
        </w:numPr>
        <w:ind w:left="567" w:hanging="567"/>
        <w:rPr>
          <w:rFonts w:ascii="Times New Roman" w:hAnsi="Times New Roman"/>
        </w:rPr>
      </w:pPr>
      <w:proofErr w:type="spellStart"/>
      <w:r>
        <w:rPr>
          <w:rFonts w:ascii="Times New Roman" w:hAnsi="Times New Roman"/>
        </w:rPr>
        <w:t>Tivulin</w:t>
      </w:r>
      <w:proofErr w:type="spellEnd"/>
      <w:r w:rsidRPr="00E80984">
        <w:rPr>
          <w:rFonts w:ascii="Times New Roman" w:hAnsi="Times New Roman"/>
        </w:rPr>
        <w:t xml:space="preserve"> 1</w:t>
      </w:r>
      <w:r w:rsidR="001834E2">
        <w:rPr>
          <w:rFonts w:ascii="Times New Roman" w:hAnsi="Times New Roman"/>
        </w:rPr>
        <w:t> </w:t>
      </w:r>
      <w:r w:rsidRPr="00E80984">
        <w:rPr>
          <w:rFonts w:ascii="Times New Roman" w:hAnsi="Times New Roman"/>
        </w:rPr>
        <w:t>000</w:t>
      </w:r>
      <w:r>
        <w:t> </w:t>
      </w:r>
      <w:r w:rsidRPr="00E80984">
        <w:rPr>
          <w:rFonts w:ascii="Times New Roman" w:hAnsi="Times New Roman"/>
        </w:rPr>
        <w:t xml:space="preserve">mg pailginto atpalaidavimo tabletės turėtų būti geriamos </w:t>
      </w:r>
      <w:r w:rsidR="001834E2">
        <w:rPr>
          <w:rFonts w:ascii="Times New Roman" w:hAnsi="Times New Roman"/>
        </w:rPr>
        <w:t xml:space="preserve">vieną </w:t>
      </w:r>
      <w:r w:rsidRPr="00E80984">
        <w:rPr>
          <w:rFonts w:ascii="Times New Roman" w:hAnsi="Times New Roman"/>
        </w:rPr>
        <w:t xml:space="preserve">kartą per </w:t>
      </w:r>
      <w:r w:rsidR="00C924A6">
        <w:rPr>
          <w:rFonts w:ascii="Times New Roman" w:hAnsi="Times New Roman"/>
        </w:rPr>
        <w:t>parą</w:t>
      </w:r>
      <w:r w:rsidR="00C924A6" w:rsidRPr="00E80984">
        <w:rPr>
          <w:rFonts w:ascii="Times New Roman" w:hAnsi="Times New Roman"/>
        </w:rPr>
        <w:t xml:space="preserve"> </w:t>
      </w:r>
      <w:r w:rsidRPr="00E80984">
        <w:rPr>
          <w:rFonts w:ascii="Times New Roman" w:hAnsi="Times New Roman"/>
        </w:rPr>
        <w:t>vakarienės metu (didžiausia rekomenduojama paros dozė yra 2 tabletės).</w:t>
      </w:r>
    </w:p>
    <w:p w14:paraId="634796E7" w14:textId="675510F2" w:rsidR="00601C8B" w:rsidRPr="00523329" w:rsidRDefault="00601C8B" w:rsidP="00EE0B84">
      <w:pPr>
        <w:pStyle w:val="Betarp"/>
        <w:numPr>
          <w:ilvl w:val="0"/>
          <w:numId w:val="9"/>
        </w:numPr>
        <w:ind w:left="567" w:hanging="567"/>
        <w:rPr>
          <w:rFonts w:ascii="Times New Roman" w:hAnsi="Times New Roman"/>
        </w:rPr>
      </w:pPr>
      <w:proofErr w:type="spellStart"/>
      <w:r>
        <w:rPr>
          <w:rFonts w:ascii="Times New Roman" w:hAnsi="Times New Roman"/>
        </w:rPr>
        <w:t>Tivulin</w:t>
      </w:r>
      <w:proofErr w:type="spellEnd"/>
      <w:r w:rsidRPr="00E80984">
        <w:rPr>
          <w:rFonts w:ascii="Times New Roman" w:hAnsi="Times New Roman"/>
        </w:rPr>
        <w:t xml:space="preserve"> 1</w:t>
      </w:r>
      <w:r w:rsidR="001834E2">
        <w:rPr>
          <w:rFonts w:ascii="Times New Roman" w:hAnsi="Times New Roman"/>
        </w:rPr>
        <w:t> </w:t>
      </w:r>
      <w:r w:rsidRPr="00E80984">
        <w:rPr>
          <w:rFonts w:ascii="Times New Roman" w:hAnsi="Times New Roman"/>
        </w:rPr>
        <w:t>000</w:t>
      </w:r>
      <w:r>
        <w:t> </w:t>
      </w:r>
      <w:r w:rsidRPr="00E80984">
        <w:rPr>
          <w:rFonts w:ascii="Times New Roman" w:hAnsi="Times New Roman"/>
        </w:rPr>
        <w:t>mg pailginto atpalaidavimo tabletės yra skirtos palaikomajam gydymui pacient</w:t>
      </w:r>
      <w:r>
        <w:rPr>
          <w:rFonts w:ascii="Times New Roman" w:hAnsi="Times New Roman"/>
        </w:rPr>
        <w:t>ams</w:t>
      </w:r>
      <w:r w:rsidRPr="00E80984">
        <w:rPr>
          <w:rFonts w:ascii="Times New Roman" w:hAnsi="Times New Roman"/>
        </w:rPr>
        <w:t xml:space="preserve">, kurie jau </w:t>
      </w:r>
      <w:r>
        <w:rPr>
          <w:rFonts w:ascii="Times New Roman" w:hAnsi="Times New Roman"/>
        </w:rPr>
        <w:t xml:space="preserve">gydomi </w:t>
      </w:r>
      <w:proofErr w:type="spellStart"/>
      <w:r w:rsidRPr="00E80984">
        <w:rPr>
          <w:rFonts w:ascii="Times New Roman" w:hAnsi="Times New Roman"/>
        </w:rPr>
        <w:t>metformino</w:t>
      </w:r>
      <w:proofErr w:type="spellEnd"/>
      <w:r w:rsidRPr="00E80984">
        <w:rPr>
          <w:rFonts w:ascii="Times New Roman" w:hAnsi="Times New Roman"/>
        </w:rPr>
        <w:t xml:space="preserve"> </w:t>
      </w:r>
      <w:r w:rsidR="001834E2">
        <w:rPr>
          <w:rFonts w:ascii="Times New Roman" w:hAnsi="Times New Roman"/>
        </w:rPr>
        <w:t xml:space="preserve">chlorido </w:t>
      </w:r>
      <w:r w:rsidRPr="00E80984">
        <w:rPr>
          <w:rFonts w:ascii="Times New Roman" w:hAnsi="Times New Roman"/>
        </w:rPr>
        <w:t>(1</w:t>
      </w:r>
      <w:r w:rsidR="001834E2">
        <w:rPr>
          <w:rFonts w:ascii="Times New Roman" w:hAnsi="Times New Roman"/>
        </w:rPr>
        <w:t> </w:t>
      </w:r>
      <w:r w:rsidRPr="00E80984">
        <w:rPr>
          <w:rFonts w:ascii="Times New Roman" w:hAnsi="Times New Roman"/>
        </w:rPr>
        <w:t>000</w:t>
      </w:r>
      <w:r>
        <w:t> </w:t>
      </w:r>
      <w:r w:rsidRPr="00E80984">
        <w:rPr>
          <w:rFonts w:ascii="Times New Roman" w:hAnsi="Times New Roman"/>
        </w:rPr>
        <w:t>mg arba 2</w:t>
      </w:r>
      <w:r w:rsidR="001834E2">
        <w:rPr>
          <w:rFonts w:ascii="Times New Roman" w:hAnsi="Times New Roman"/>
        </w:rPr>
        <w:t> </w:t>
      </w:r>
      <w:r w:rsidRPr="00E80984">
        <w:rPr>
          <w:rFonts w:ascii="Times New Roman" w:hAnsi="Times New Roman"/>
        </w:rPr>
        <w:t>000</w:t>
      </w:r>
      <w:r>
        <w:t> </w:t>
      </w:r>
      <w:r w:rsidRPr="00E80984">
        <w:rPr>
          <w:rFonts w:ascii="Times New Roman" w:hAnsi="Times New Roman"/>
        </w:rPr>
        <w:t>mg) tablet</w:t>
      </w:r>
      <w:r>
        <w:rPr>
          <w:rFonts w:ascii="Times New Roman" w:hAnsi="Times New Roman"/>
        </w:rPr>
        <w:t>ėmis</w:t>
      </w:r>
      <w:r w:rsidRPr="00E80984">
        <w:rPr>
          <w:rFonts w:ascii="Times New Roman" w:hAnsi="Times New Roman"/>
        </w:rPr>
        <w:t>.</w:t>
      </w:r>
      <w:r w:rsidR="001834E2" w:rsidRPr="001834E2">
        <w:rPr>
          <w:rFonts w:ascii="Times New Roman" w:hAnsi="Times New Roman"/>
        </w:rPr>
        <w:t xml:space="preserve"> </w:t>
      </w:r>
      <w:r w:rsidR="001834E2">
        <w:rPr>
          <w:rFonts w:ascii="Times New Roman" w:hAnsi="Times New Roman"/>
        </w:rPr>
        <w:t xml:space="preserve">Keičiant vaistinį preparatą, </w:t>
      </w:r>
      <w:proofErr w:type="spellStart"/>
      <w:r w:rsidRPr="00523329">
        <w:rPr>
          <w:rFonts w:ascii="Times New Roman" w:hAnsi="Times New Roman"/>
        </w:rPr>
        <w:t>Tivulin</w:t>
      </w:r>
      <w:proofErr w:type="spellEnd"/>
      <w:r w:rsidRPr="00523329">
        <w:rPr>
          <w:rFonts w:ascii="Times New Roman" w:hAnsi="Times New Roman"/>
        </w:rPr>
        <w:t xml:space="preserve"> pailginto atpalaidavimo </w:t>
      </w:r>
      <w:r w:rsidR="001834E2" w:rsidRPr="00F151A8">
        <w:rPr>
          <w:rFonts w:ascii="Times New Roman" w:hAnsi="Times New Roman"/>
        </w:rPr>
        <w:t xml:space="preserve">tablečių </w:t>
      </w:r>
      <w:r w:rsidRPr="00F151A8">
        <w:rPr>
          <w:rFonts w:ascii="Times New Roman" w:hAnsi="Times New Roman"/>
        </w:rPr>
        <w:t xml:space="preserve">paros dozė turi būti ekvivalentiška </w:t>
      </w:r>
      <w:r w:rsidR="001834E2" w:rsidRPr="00F151A8">
        <w:rPr>
          <w:rFonts w:ascii="Times New Roman" w:hAnsi="Times New Roman"/>
        </w:rPr>
        <w:t xml:space="preserve">tuo metu </w:t>
      </w:r>
      <w:r w:rsidRPr="00523329">
        <w:rPr>
          <w:rFonts w:ascii="Times New Roman" w:hAnsi="Times New Roman"/>
        </w:rPr>
        <w:t>vartojam</w:t>
      </w:r>
      <w:r w:rsidR="001834E2" w:rsidRPr="00523329">
        <w:rPr>
          <w:rFonts w:ascii="Times New Roman" w:hAnsi="Times New Roman"/>
        </w:rPr>
        <w:t>ai</w:t>
      </w:r>
      <w:r w:rsidRPr="00523329">
        <w:rPr>
          <w:rFonts w:ascii="Times New Roman" w:hAnsi="Times New Roman"/>
        </w:rPr>
        <w:t xml:space="preserve"> </w:t>
      </w:r>
      <w:proofErr w:type="spellStart"/>
      <w:r w:rsidRPr="00523329">
        <w:rPr>
          <w:rFonts w:ascii="Times New Roman" w:hAnsi="Times New Roman"/>
        </w:rPr>
        <w:t>metformino</w:t>
      </w:r>
      <w:proofErr w:type="spellEnd"/>
      <w:r w:rsidRPr="00523329">
        <w:rPr>
          <w:rFonts w:ascii="Times New Roman" w:hAnsi="Times New Roman"/>
        </w:rPr>
        <w:t xml:space="preserve"> hidrochlorido </w:t>
      </w:r>
      <w:r w:rsidR="001834E2" w:rsidRPr="00523329">
        <w:rPr>
          <w:rFonts w:ascii="Times New Roman" w:hAnsi="Times New Roman"/>
        </w:rPr>
        <w:t xml:space="preserve">paros </w:t>
      </w:r>
      <w:r w:rsidRPr="00523329">
        <w:rPr>
          <w:rFonts w:ascii="Times New Roman" w:hAnsi="Times New Roman"/>
        </w:rPr>
        <w:t xml:space="preserve">dozei. </w:t>
      </w:r>
    </w:p>
    <w:p w14:paraId="4C750ABD" w14:textId="6A885F08" w:rsidR="00601C8B" w:rsidRPr="00E80984" w:rsidRDefault="00601C8B" w:rsidP="00EE0B84">
      <w:pPr>
        <w:pStyle w:val="Betarp"/>
        <w:numPr>
          <w:ilvl w:val="0"/>
          <w:numId w:val="10"/>
        </w:numPr>
        <w:ind w:left="567" w:hanging="567"/>
        <w:rPr>
          <w:rFonts w:ascii="Times New Roman" w:hAnsi="Times New Roman"/>
        </w:rPr>
      </w:pPr>
      <w:r w:rsidRPr="00E80984">
        <w:rPr>
          <w:rFonts w:ascii="Times New Roman" w:hAnsi="Times New Roman"/>
        </w:rPr>
        <w:t xml:space="preserve">Jei </w:t>
      </w:r>
      <w:proofErr w:type="spellStart"/>
      <w:r w:rsidRPr="00E80984">
        <w:rPr>
          <w:rFonts w:ascii="Times New Roman" w:hAnsi="Times New Roman"/>
        </w:rPr>
        <w:t>metforminu</w:t>
      </w:r>
      <w:proofErr w:type="spellEnd"/>
      <w:r w:rsidRPr="00E80984">
        <w:rPr>
          <w:rFonts w:ascii="Times New Roman" w:hAnsi="Times New Roman"/>
        </w:rPr>
        <w:t xml:space="preserve"> gydomiems pacientams vaist</w:t>
      </w:r>
      <w:r>
        <w:rPr>
          <w:rFonts w:ascii="Times New Roman" w:hAnsi="Times New Roman"/>
        </w:rPr>
        <w:t>ini</w:t>
      </w:r>
      <w:r w:rsidRPr="00E80984">
        <w:rPr>
          <w:rFonts w:ascii="Times New Roman" w:hAnsi="Times New Roman"/>
        </w:rPr>
        <w:t>o</w:t>
      </w:r>
      <w:r>
        <w:rPr>
          <w:rFonts w:ascii="Times New Roman" w:hAnsi="Times New Roman"/>
        </w:rPr>
        <w:t xml:space="preserve"> preparato</w:t>
      </w:r>
      <w:r w:rsidRPr="00E80984">
        <w:rPr>
          <w:rFonts w:ascii="Times New Roman" w:hAnsi="Times New Roman"/>
        </w:rPr>
        <w:t xml:space="preserve"> paros dozė yra didesnė kaip 2</w:t>
      </w:r>
      <w:r w:rsidR="00BA7899">
        <w:rPr>
          <w:rFonts w:ascii="Times New Roman" w:hAnsi="Times New Roman"/>
        </w:rPr>
        <w:t> </w:t>
      </w:r>
      <w:r w:rsidRPr="00E80984">
        <w:rPr>
          <w:rFonts w:ascii="Times New Roman" w:hAnsi="Times New Roman"/>
        </w:rPr>
        <w:t>000</w:t>
      </w:r>
      <w:r>
        <w:t> </w:t>
      </w:r>
      <w:r w:rsidRPr="00E80984">
        <w:rPr>
          <w:rFonts w:ascii="Times New Roman" w:hAnsi="Times New Roman"/>
        </w:rPr>
        <w:t xml:space="preserve">mg, vartojamą </w:t>
      </w:r>
      <w:proofErr w:type="spellStart"/>
      <w:r w:rsidRPr="00E80984">
        <w:rPr>
          <w:rFonts w:ascii="Times New Roman" w:hAnsi="Times New Roman"/>
        </w:rPr>
        <w:t>metforminą</w:t>
      </w:r>
      <w:proofErr w:type="spellEnd"/>
      <w:r w:rsidRPr="00E80984">
        <w:rPr>
          <w:rFonts w:ascii="Times New Roman" w:hAnsi="Times New Roman"/>
        </w:rPr>
        <w:t xml:space="preserve"> keisti </w:t>
      </w:r>
      <w:proofErr w:type="spellStart"/>
      <w:r>
        <w:rPr>
          <w:rFonts w:ascii="Times New Roman" w:hAnsi="Times New Roman"/>
        </w:rPr>
        <w:t>Tivulin</w:t>
      </w:r>
      <w:proofErr w:type="spellEnd"/>
      <w:r w:rsidRPr="00E80984">
        <w:rPr>
          <w:rFonts w:ascii="Times New Roman" w:hAnsi="Times New Roman"/>
        </w:rPr>
        <w:t xml:space="preserve"> pailginto atsipalaidavimo tabletėmis nerekomenduojama.</w:t>
      </w:r>
    </w:p>
    <w:p w14:paraId="79DB8D94" w14:textId="2778394D" w:rsidR="00601C8B" w:rsidRPr="00BA7899" w:rsidRDefault="00601C8B" w:rsidP="00EE0B84">
      <w:pPr>
        <w:pStyle w:val="Betarp"/>
        <w:ind w:left="567"/>
        <w:rPr>
          <w:rFonts w:ascii="Times New Roman" w:hAnsi="Times New Roman"/>
        </w:rPr>
      </w:pPr>
      <w:r w:rsidRPr="006A2591">
        <w:rPr>
          <w:rFonts w:ascii="Times New Roman" w:hAnsi="Times New Roman"/>
        </w:rPr>
        <w:lastRenderedPageBreak/>
        <w:t xml:space="preserve">Jeigu vartojant </w:t>
      </w:r>
      <w:proofErr w:type="spellStart"/>
      <w:r>
        <w:rPr>
          <w:rFonts w:ascii="Times New Roman" w:hAnsi="Times New Roman"/>
        </w:rPr>
        <w:t>Tivulin</w:t>
      </w:r>
      <w:proofErr w:type="spellEnd"/>
      <w:r>
        <w:rPr>
          <w:rFonts w:ascii="Times New Roman" w:hAnsi="Times New Roman"/>
        </w:rPr>
        <w:t xml:space="preserve"> 2</w:t>
      </w:r>
      <w:r w:rsidR="00BA7899">
        <w:rPr>
          <w:rFonts w:ascii="Times New Roman" w:hAnsi="Times New Roman"/>
        </w:rPr>
        <w:t> </w:t>
      </w:r>
      <w:r>
        <w:rPr>
          <w:rFonts w:ascii="Times New Roman" w:hAnsi="Times New Roman"/>
        </w:rPr>
        <w:t>000</w:t>
      </w:r>
      <w:r>
        <w:t> </w:t>
      </w:r>
      <w:r>
        <w:rPr>
          <w:rFonts w:ascii="Times New Roman" w:hAnsi="Times New Roman"/>
        </w:rPr>
        <w:t>mg</w:t>
      </w:r>
      <w:r w:rsidRPr="006A2591">
        <w:rPr>
          <w:rFonts w:ascii="Times New Roman" w:hAnsi="Times New Roman"/>
        </w:rPr>
        <w:t xml:space="preserve"> pailginto atpalaidavimo tablečių dozę</w:t>
      </w:r>
      <w:r>
        <w:rPr>
          <w:rFonts w:ascii="Times New Roman" w:hAnsi="Times New Roman"/>
        </w:rPr>
        <w:t xml:space="preserve"> </w:t>
      </w:r>
      <w:r w:rsidR="00BA7899">
        <w:rPr>
          <w:rFonts w:ascii="Times New Roman" w:hAnsi="Times New Roman"/>
        </w:rPr>
        <w:t xml:space="preserve">vieną </w:t>
      </w:r>
      <w:r w:rsidRPr="006A2591">
        <w:rPr>
          <w:rFonts w:ascii="Times New Roman" w:hAnsi="Times New Roman"/>
        </w:rPr>
        <w:t xml:space="preserve">kartą per parą </w:t>
      </w:r>
      <w:proofErr w:type="spellStart"/>
      <w:r w:rsidRPr="006A2591">
        <w:rPr>
          <w:rFonts w:ascii="Times New Roman" w:hAnsi="Times New Roman"/>
        </w:rPr>
        <w:t>glikemijos</w:t>
      </w:r>
      <w:proofErr w:type="spellEnd"/>
      <w:r w:rsidRPr="006A2591">
        <w:rPr>
          <w:rFonts w:ascii="Times New Roman" w:hAnsi="Times New Roman"/>
        </w:rPr>
        <w:t xml:space="preserve"> kontrolė nepasiekiama</w:t>
      </w:r>
      <w:r w:rsidR="00BA7899">
        <w:rPr>
          <w:rFonts w:ascii="Times New Roman" w:hAnsi="Times New Roman"/>
        </w:rPr>
        <w:t>,</w:t>
      </w:r>
      <w:r w:rsidRPr="00FE7A9E">
        <w:rPr>
          <w:rFonts w:ascii="Times New Roman" w:hAnsi="Times New Roman"/>
        </w:rPr>
        <w:t xml:space="preserve"> </w:t>
      </w:r>
      <w:r>
        <w:rPr>
          <w:rFonts w:ascii="Times New Roman" w:hAnsi="Times New Roman"/>
        </w:rPr>
        <w:t xml:space="preserve">reikia įvertinti galimybę skirti </w:t>
      </w:r>
      <w:proofErr w:type="spellStart"/>
      <w:r>
        <w:rPr>
          <w:rFonts w:ascii="Times New Roman" w:hAnsi="Times New Roman"/>
        </w:rPr>
        <w:t>Tivulin</w:t>
      </w:r>
      <w:proofErr w:type="spellEnd"/>
      <w:r w:rsidRPr="006A2591">
        <w:rPr>
          <w:rFonts w:ascii="Times New Roman" w:hAnsi="Times New Roman"/>
        </w:rPr>
        <w:t xml:space="preserve"> 1</w:t>
      </w:r>
      <w:r w:rsidR="00BA7899">
        <w:rPr>
          <w:rFonts w:ascii="Times New Roman" w:hAnsi="Times New Roman"/>
        </w:rPr>
        <w:t> </w:t>
      </w:r>
      <w:r w:rsidRPr="006A2591">
        <w:rPr>
          <w:rFonts w:ascii="Times New Roman" w:hAnsi="Times New Roman"/>
        </w:rPr>
        <w:t>000</w:t>
      </w:r>
      <w:r>
        <w:t> </w:t>
      </w:r>
      <w:r w:rsidRPr="006A2591">
        <w:rPr>
          <w:rFonts w:ascii="Times New Roman" w:hAnsi="Times New Roman"/>
        </w:rPr>
        <w:t xml:space="preserve">mg pailginto atpalaidavimo tablečių du kartus per parą, abu kartus </w:t>
      </w:r>
      <w:r>
        <w:rPr>
          <w:rFonts w:ascii="Times New Roman" w:hAnsi="Times New Roman"/>
        </w:rPr>
        <w:t xml:space="preserve">vaistinį </w:t>
      </w:r>
      <w:r w:rsidRPr="006A2591">
        <w:rPr>
          <w:rFonts w:ascii="Times New Roman" w:hAnsi="Times New Roman"/>
        </w:rPr>
        <w:t>preparatą vartojant valgio metu.</w:t>
      </w:r>
      <w:r>
        <w:rPr>
          <w:rFonts w:ascii="Times New Roman" w:hAnsi="Times New Roman"/>
        </w:rPr>
        <w:t xml:space="preserve"> Jei taip dozuojant </w:t>
      </w:r>
      <w:proofErr w:type="spellStart"/>
      <w:r>
        <w:rPr>
          <w:rFonts w:ascii="Times New Roman" w:hAnsi="Times New Roman"/>
        </w:rPr>
        <w:t>glikemijos</w:t>
      </w:r>
      <w:proofErr w:type="spellEnd"/>
      <w:r>
        <w:rPr>
          <w:rFonts w:ascii="Times New Roman" w:hAnsi="Times New Roman"/>
        </w:rPr>
        <w:t xml:space="preserve"> kontrolė nepasiekiama, galima keisti gydymą į paprasto (greito) atpalaidavimo </w:t>
      </w:r>
      <w:proofErr w:type="spellStart"/>
      <w:r>
        <w:rPr>
          <w:rFonts w:ascii="Times New Roman" w:hAnsi="Times New Roman"/>
        </w:rPr>
        <w:t>metformino</w:t>
      </w:r>
      <w:proofErr w:type="spellEnd"/>
      <w:r>
        <w:rPr>
          <w:rFonts w:ascii="Times New Roman" w:hAnsi="Times New Roman"/>
        </w:rPr>
        <w:t xml:space="preserve"> tabletes, kurių didžiausia rekomenduojama paros dozė yra 3</w:t>
      </w:r>
      <w:r w:rsidR="00BA7899">
        <w:rPr>
          <w:rFonts w:ascii="Times New Roman" w:hAnsi="Times New Roman"/>
        </w:rPr>
        <w:t> </w:t>
      </w:r>
      <w:r>
        <w:rPr>
          <w:rFonts w:ascii="Times New Roman" w:hAnsi="Times New Roman"/>
        </w:rPr>
        <w:t>000</w:t>
      </w:r>
      <w:r>
        <w:t> </w:t>
      </w:r>
      <w:r>
        <w:rPr>
          <w:rFonts w:ascii="Times New Roman" w:hAnsi="Times New Roman"/>
        </w:rPr>
        <w:t>mg.</w:t>
      </w:r>
    </w:p>
    <w:p w14:paraId="76D35129" w14:textId="750B8548" w:rsidR="00601C8B" w:rsidRPr="00E80984" w:rsidRDefault="00601C8B" w:rsidP="00450449">
      <w:pPr>
        <w:pStyle w:val="Betarp"/>
        <w:numPr>
          <w:ilvl w:val="0"/>
          <w:numId w:val="10"/>
        </w:numPr>
        <w:ind w:left="567" w:hanging="567"/>
        <w:rPr>
          <w:rFonts w:ascii="Times New Roman" w:hAnsi="Times New Roman"/>
        </w:rPr>
      </w:pPr>
      <w:r w:rsidRPr="006A2591">
        <w:rPr>
          <w:rFonts w:ascii="Times New Roman" w:hAnsi="Times New Roman"/>
        </w:rPr>
        <w:t>Jei numatoma pakeisti anksčiau vartotą geriamąjį vaist</w:t>
      </w:r>
      <w:r>
        <w:rPr>
          <w:rFonts w:ascii="Times New Roman" w:hAnsi="Times New Roman"/>
        </w:rPr>
        <w:t>inį preparatą</w:t>
      </w:r>
      <w:r w:rsidRPr="006A2591">
        <w:rPr>
          <w:rFonts w:ascii="Times New Roman" w:hAnsi="Times New Roman"/>
        </w:rPr>
        <w:t xml:space="preserve"> nuo cukrinio diabeto </w:t>
      </w:r>
      <w:proofErr w:type="spellStart"/>
      <w:r w:rsidRPr="006A2591">
        <w:rPr>
          <w:rFonts w:ascii="Times New Roman" w:hAnsi="Times New Roman"/>
        </w:rPr>
        <w:t>metforminu</w:t>
      </w:r>
      <w:proofErr w:type="spellEnd"/>
      <w:r w:rsidRPr="00E80984">
        <w:rPr>
          <w:rFonts w:ascii="Times New Roman" w:hAnsi="Times New Roman"/>
        </w:rPr>
        <w:t xml:space="preserve">, prieš skiriant </w:t>
      </w:r>
      <w:proofErr w:type="spellStart"/>
      <w:r>
        <w:rPr>
          <w:rFonts w:ascii="Times New Roman" w:hAnsi="Times New Roman"/>
        </w:rPr>
        <w:t>Tivulin</w:t>
      </w:r>
      <w:proofErr w:type="spellEnd"/>
      <w:r w:rsidRPr="00E80984">
        <w:rPr>
          <w:rFonts w:ascii="Times New Roman" w:hAnsi="Times New Roman"/>
        </w:rPr>
        <w:t xml:space="preserve"> 1</w:t>
      </w:r>
      <w:r w:rsidR="00BA7899">
        <w:rPr>
          <w:rFonts w:ascii="Times New Roman" w:hAnsi="Times New Roman"/>
        </w:rPr>
        <w:t> </w:t>
      </w:r>
      <w:r w:rsidRPr="00E80984">
        <w:rPr>
          <w:rFonts w:ascii="Times New Roman" w:hAnsi="Times New Roman"/>
        </w:rPr>
        <w:t>000</w:t>
      </w:r>
      <w:r>
        <w:t> </w:t>
      </w:r>
      <w:r w:rsidRPr="00E80984">
        <w:rPr>
          <w:rFonts w:ascii="Times New Roman" w:hAnsi="Times New Roman"/>
        </w:rPr>
        <w:t>mg pailginto atpalaidavimo tablečių</w:t>
      </w:r>
      <w:r w:rsidR="00BA7899">
        <w:rPr>
          <w:rFonts w:ascii="Times New Roman" w:hAnsi="Times New Roman"/>
        </w:rPr>
        <w:t>,</w:t>
      </w:r>
      <w:r w:rsidRPr="00E80984">
        <w:rPr>
          <w:rFonts w:ascii="Times New Roman" w:hAnsi="Times New Roman"/>
        </w:rPr>
        <w:t xml:space="preserve"> rekomenduojama pradėti nuo </w:t>
      </w:r>
      <w:proofErr w:type="spellStart"/>
      <w:r>
        <w:rPr>
          <w:rFonts w:ascii="Times New Roman" w:hAnsi="Times New Roman"/>
        </w:rPr>
        <w:t>Tivulin</w:t>
      </w:r>
      <w:proofErr w:type="spellEnd"/>
      <w:r w:rsidRPr="00E80984">
        <w:rPr>
          <w:rFonts w:ascii="Times New Roman" w:hAnsi="Times New Roman"/>
        </w:rPr>
        <w:t xml:space="preserve"> 500</w:t>
      </w:r>
      <w:r>
        <w:t> </w:t>
      </w:r>
      <w:r w:rsidRPr="00E80984">
        <w:rPr>
          <w:rFonts w:ascii="Times New Roman" w:hAnsi="Times New Roman"/>
        </w:rPr>
        <w:t>mg pailginto atpalaidavimo dozės</w:t>
      </w:r>
      <w:r w:rsidR="00BA7899">
        <w:rPr>
          <w:rFonts w:ascii="Times New Roman" w:hAnsi="Times New Roman"/>
        </w:rPr>
        <w:t xml:space="preserve"> taip, kaip nurodyta pirmiau</w:t>
      </w:r>
      <w:r w:rsidRPr="00E80984">
        <w:rPr>
          <w:rFonts w:ascii="Times New Roman" w:hAnsi="Times New Roman"/>
        </w:rPr>
        <w:t>.</w:t>
      </w:r>
    </w:p>
    <w:p w14:paraId="23DD8F67" w14:textId="77777777" w:rsidR="00601C8B" w:rsidRPr="00E80984" w:rsidRDefault="00601C8B" w:rsidP="00601C8B">
      <w:pPr>
        <w:pStyle w:val="Betarp"/>
        <w:rPr>
          <w:rFonts w:ascii="Times New Roman" w:hAnsi="Times New Roman"/>
        </w:rPr>
      </w:pPr>
    </w:p>
    <w:p w14:paraId="05D31F7D" w14:textId="77777777" w:rsidR="00601C8B" w:rsidRPr="00EE0B84" w:rsidRDefault="00601C8B" w:rsidP="00601C8B">
      <w:pPr>
        <w:pStyle w:val="Betarp"/>
        <w:rPr>
          <w:rFonts w:ascii="Times New Roman" w:hAnsi="Times New Roman"/>
          <w:b/>
          <w:bCs/>
          <w:iCs/>
        </w:rPr>
      </w:pPr>
      <w:r w:rsidRPr="00EE0B84">
        <w:rPr>
          <w:rFonts w:ascii="Times New Roman" w:hAnsi="Times New Roman"/>
          <w:b/>
          <w:bCs/>
          <w:iCs/>
        </w:rPr>
        <w:t>Vartojimas derinyje su insulinu</w:t>
      </w:r>
    </w:p>
    <w:p w14:paraId="76C1F2AE" w14:textId="77777777" w:rsidR="000768BC" w:rsidRDefault="000768BC" w:rsidP="00601C8B">
      <w:pPr>
        <w:pStyle w:val="Betarp"/>
        <w:rPr>
          <w:rFonts w:ascii="Times New Roman" w:hAnsi="Times New Roman"/>
        </w:rPr>
      </w:pPr>
    </w:p>
    <w:p w14:paraId="1ACB153F" w14:textId="0416B8F3" w:rsidR="000768BC" w:rsidRDefault="00601C8B" w:rsidP="00601C8B">
      <w:pPr>
        <w:pStyle w:val="Betarp"/>
        <w:rPr>
          <w:rFonts w:ascii="Times New Roman" w:hAnsi="Times New Roman"/>
        </w:rPr>
      </w:pPr>
      <w:r w:rsidRPr="006A2591">
        <w:rPr>
          <w:rFonts w:ascii="Times New Roman" w:hAnsi="Times New Roman"/>
        </w:rPr>
        <w:t xml:space="preserve">Norint geriau kontroliuoti gliukozės kiekį kraujyje, </w:t>
      </w:r>
      <w:proofErr w:type="spellStart"/>
      <w:r w:rsidRPr="006A2591">
        <w:rPr>
          <w:rFonts w:ascii="Times New Roman" w:hAnsi="Times New Roman"/>
        </w:rPr>
        <w:t>metformino</w:t>
      </w:r>
      <w:proofErr w:type="spellEnd"/>
      <w:r w:rsidRPr="006A2591">
        <w:rPr>
          <w:rFonts w:ascii="Times New Roman" w:hAnsi="Times New Roman"/>
        </w:rPr>
        <w:t xml:space="preserve"> hidrochloridą ir insuliną galima vartoti kartu. </w:t>
      </w:r>
    </w:p>
    <w:p w14:paraId="04C3CCAA" w14:textId="71713196" w:rsidR="00A35240" w:rsidRDefault="00A35240" w:rsidP="00601C8B">
      <w:pPr>
        <w:pStyle w:val="Betarp"/>
        <w:rPr>
          <w:rFonts w:ascii="Times New Roman" w:hAnsi="Times New Roman"/>
        </w:rPr>
      </w:pPr>
      <w:r>
        <w:rPr>
          <w:rFonts w:ascii="Times New Roman" w:hAnsi="Times New Roman"/>
        </w:rPr>
        <w:t xml:space="preserve">Įprasta pradinė dozė yra viena </w:t>
      </w:r>
      <w:proofErr w:type="spellStart"/>
      <w:r>
        <w:rPr>
          <w:rFonts w:ascii="Times New Roman" w:hAnsi="Times New Roman"/>
        </w:rPr>
        <w:t>Tivulin</w:t>
      </w:r>
      <w:proofErr w:type="spellEnd"/>
      <w:r w:rsidRPr="006A2591">
        <w:rPr>
          <w:rFonts w:ascii="Times New Roman" w:hAnsi="Times New Roman"/>
        </w:rPr>
        <w:t xml:space="preserve"> </w:t>
      </w:r>
      <w:r>
        <w:rPr>
          <w:rFonts w:ascii="Times New Roman" w:hAnsi="Times New Roman"/>
        </w:rPr>
        <w:t xml:space="preserve">500 mg </w:t>
      </w:r>
      <w:r w:rsidRPr="006A2591">
        <w:rPr>
          <w:rFonts w:ascii="Times New Roman" w:hAnsi="Times New Roman"/>
        </w:rPr>
        <w:t>pailginto atpalaidavimo</w:t>
      </w:r>
      <w:r>
        <w:rPr>
          <w:rFonts w:ascii="Times New Roman" w:hAnsi="Times New Roman"/>
        </w:rPr>
        <w:t xml:space="preserve"> tabletė vieną kartą per parą, o insulino</w:t>
      </w:r>
      <w:r w:rsidRPr="00874C73">
        <w:rPr>
          <w:rFonts w:ascii="Times New Roman" w:hAnsi="Times New Roman"/>
        </w:rPr>
        <w:t xml:space="preserve"> </w:t>
      </w:r>
      <w:r>
        <w:rPr>
          <w:rFonts w:ascii="Times New Roman" w:hAnsi="Times New Roman"/>
        </w:rPr>
        <w:t>dozavimas koreguojamas</w:t>
      </w:r>
      <w:r w:rsidR="00872425">
        <w:rPr>
          <w:rFonts w:ascii="Times New Roman" w:hAnsi="Times New Roman"/>
        </w:rPr>
        <w:t>,</w:t>
      </w:r>
      <w:r>
        <w:rPr>
          <w:rFonts w:ascii="Times New Roman" w:hAnsi="Times New Roman"/>
        </w:rPr>
        <w:t xml:space="preserve"> atsižvelgiant į gliukozės koncentracijos kraujyje rodmenis. </w:t>
      </w:r>
    </w:p>
    <w:p w14:paraId="2CC77B78" w14:textId="7941FB82" w:rsidR="00A35240" w:rsidRDefault="00A35240" w:rsidP="00601C8B">
      <w:pPr>
        <w:pStyle w:val="Betarp"/>
        <w:rPr>
          <w:rFonts w:ascii="Times New Roman" w:hAnsi="Times New Roman"/>
        </w:rPr>
      </w:pPr>
      <w:r>
        <w:rPr>
          <w:rFonts w:ascii="Times New Roman" w:hAnsi="Times New Roman"/>
        </w:rPr>
        <w:t xml:space="preserve">Palaipsniui nustačius dozę, apsvarsčius, gydymą galima keisti į gydymą </w:t>
      </w:r>
      <w:proofErr w:type="spellStart"/>
      <w:r>
        <w:rPr>
          <w:rFonts w:ascii="Times New Roman" w:hAnsi="Times New Roman"/>
        </w:rPr>
        <w:t>Tivulin</w:t>
      </w:r>
      <w:proofErr w:type="spellEnd"/>
      <w:r>
        <w:rPr>
          <w:rFonts w:ascii="Times New Roman" w:hAnsi="Times New Roman"/>
        </w:rPr>
        <w:t xml:space="preserve"> </w:t>
      </w:r>
      <w:r w:rsidRPr="00874C73">
        <w:rPr>
          <w:rFonts w:ascii="Times New Roman" w:hAnsi="Times New Roman"/>
        </w:rPr>
        <w:t>1</w:t>
      </w:r>
      <w:r>
        <w:rPr>
          <w:rFonts w:ascii="Times New Roman" w:hAnsi="Times New Roman"/>
        </w:rPr>
        <w:t> </w:t>
      </w:r>
      <w:r w:rsidRPr="00874C73">
        <w:rPr>
          <w:rFonts w:ascii="Times New Roman" w:hAnsi="Times New Roman"/>
        </w:rPr>
        <w:t>000</w:t>
      </w:r>
      <w:r>
        <w:t> </w:t>
      </w:r>
      <w:r w:rsidRPr="00874C73">
        <w:rPr>
          <w:rFonts w:ascii="Times New Roman" w:hAnsi="Times New Roman"/>
        </w:rPr>
        <w:t>mg pailginto atpalaidavimo</w:t>
      </w:r>
      <w:r>
        <w:rPr>
          <w:rFonts w:ascii="Times New Roman" w:hAnsi="Times New Roman"/>
        </w:rPr>
        <w:t xml:space="preserve"> tabletėmis.</w:t>
      </w:r>
    </w:p>
    <w:p w14:paraId="0F6BB350" w14:textId="4616DAD4" w:rsidR="00601C8B" w:rsidRPr="006A2591" w:rsidRDefault="00601C8B" w:rsidP="00601C8B">
      <w:pPr>
        <w:pStyle w:val="Betarp"/>
        <w:rPr>
          <w:rFonts w:ascii="Times New Roman" w:hAnsi="Times New Roman"/>
        </w:rPr>
      </w:pPr>
      <w:r w:rsidRPr="00874C73">
        <w:rPr>
          <w:rFonts w:ascii="Times New Roman" w:hAnsi="Times New Roman"/>
        </w:rPr>
        <w:t xml:space="preserve">Pacientams, kurie jau yra gydomi </w:t>
      </w:r>
      <w:proofErr w:type="spellStart"/>
      <w:r w:rsidRPr="00874C73">
        <w:rPr>
          <w:rFonts w:ascii="Times New Roman" w:hAnsi="Times New Roman"/>
        </w:rPr>
        <w:t>metforminu</w:t>
      </w:r>
      <w:proofErr w:type="spellEnd"/>
      <w:r w:rsidRPr="00874C73">
        <w:rPr>
          <w:rFonts w:ascii="Times New Roman" w:hAnsi="Times New Roman"/>
        </w:rPr>
        <w:t xml:space="preserve"> ir insulinu, </w:t>
      </w:r>
      <w:proofErr w:type="spellStart"/>
      <w:r>
        <w:rPr>
          <w:rFonts w:ascii="Times New Roman" w:hAnsi="Times New Roman"/>
        </w:rPr>
        <w:t>Tivulin</w:t>
      </w:r>
      <w:proofErr w:type="spellEnd"/>
      <w:r>
        <w:rPr>
          <w:rFonts w:ascii="Times New Roman" w:hAnsi="Times New Roman"/>
        </w:rPr>
        <w:t xml:space="preserve"> </w:t>
      </w:r>
      <w:r w:rsidRPr="00874C73">
        <w:rPr>
          <w:rFonts w:ascii="Times New Roman" w:hAnsi="Times New Roman"/>
        </w:rPr>
        <w:t>1000</w:t>
      </w:r>
      <w:r>
        <w:t> </w:t>
      </w:r>
      <w:r w:rsidRPr="00874C73">
        <w:rPr>
          <w:rFonts w:ascii="Times New Roman" w:hAnsi="Times New Roman"/>
        </w:rPr>
        <w:t xml:space="preserve">mg pailginto atpalaidavimo dozė turi būti ekvivalentiška jau vartojamo </w:t>
      </w:r>
      <w:proofErr w:type="spellStart"/>
      <w:r w:rsidRPr="00874C73">
        <w:rPr>
          <w:rFonts w:ascii="Times New Roman" w:hAnsi="Times New Roman"/>
        </w:rPr>
        <w:t>metformino</w:t>
      </w:r>
      <w:proofErr w:type="spellEnd"/>
      <w:r w:rsidRPr="00874C73">
        <w:rPr>
          <w:rFonts w:ascii="Times New Roman" w:hAnsi="Times New Roman"/>
        </w:rPr>
        <w:t xml:space="preserve"> tablečių paros dozei; didžiausia dozė yra 2000</w:t>
      </w:r>
      <w:r>
        <w:t> </w:t>
      </w:r>
      <w:r w:rsidRPr="00874C73">
        <w:rPr>
          <w:rFonts w:ascii="Times New Roman" w:hAnsi="Times New Roman"/>
        </w:rPr>
        <w:t xml:space="preserve">mg, kuri vartojama vakarienės metu, </w:t>
      </w:r>
      <w:r>
        <w:rPr>
          <w:rFonts w:ascii="Times New Roman" w:hAnsi="Times New Roman"/>
        </w:rPr>
        <w:t>o</w:t>
      </w:r>
      <w:r w:rsidRPr="00874C73">
        <w:rPr>
          <w:rFonts w:ascii="Times New Roman" w:hAnsi="Times New Roman"/>
        </w:rPr>
        <w:t xml:space="preserve"> insulino dozė nustatoma atsižvelgiant į gliukozės koncentraciją kraujyje</w:t>
      </w:r>
      <w:r>
        <w:rPr>
          <w:rFonts w:ascii="Arial" w:hAnsi="Arial" w:cs="Arial"/>
          <w:sz w:val="24"/>
          <w:szCs w:val="24"/>
        </w:rPr>
        <w:t>.</w:t>
      </w:r>
    </w:p>
    <w:p w14:paraId="31CAC0AE" w14:textId="6203B65D" w:rsidR="00601C8B" w:rsidRPr="006A2591" w:rsidRDefault="00601C8B" w:rsidP="00601C8B">
      <w:pPr>
        <w:pStyle w:val="Betarp"/>
        <w:rPr>
          <w:rFonts w:ascii="Times New Roman" w:hAnsi="Times New Roman"/>
        </w:rPr>
      </w:pPr>
    </w:p>
    <w:p w14:paraId="4A4EAB07" w14:textId="77777777" w:rsidR="00601C8B" w:rsidRPr="006A2591" w:rsidRDefault="00601C8B" w:rsidP="00601C8B">
      <w:pPr>
        <w:pStyle w:val="Betarp"/>
        <w:rPr>
          <w:rFonts w:ascii="Times New Roman" w:hAnsi="Times New Roman"/>
          <w:i/>
        </w:rPr>
      </w:pPr>
      <w:r w:rsidRPr="006A2591">
        <w:rPr>
          <w:rFonts w:ascii="Times New Roman" w:hAnsi="Times New Roman"/>
          <w:i/>
        </w:rPr>
        <w:t>Senyvi pacientai</w:t>
      </w:r>
    </w:p>
    <w:p w14:paraId="470400E3" w14:textId="77777777" w:rsidR="00601C8B" w:rsidRPr="006A2591" w:rsidRDefault="00601C8B" w:rsidP="00601C8B">
      <w:pPr>
        <w:pStyle w:val="Betarp"/>
        <w:rPr>
          <w:rFonts w:ascii="Times New Roman" w:hAnsi="Times New Roman"/>
        </w:rPr>
      </w:pPr>
      <w:r>
        <w:rPr>
          <w:rFonts w:ascii="Times New Roman" w:hAnsi="Times New Roman"/>
        </w:rPr>
        <w:t>Senyvų pacientų inkstų funkcija gali būti sutrikusi, todėl</w:t>
      </w:r>
      <w:r w:rsidRPr="006A2591">
        <w:rPr>
          <w:rFonts w:ascii="Times New Roman" w:hAnsi="Times New Roman"/>
        </w:rPr>
        <w:t xml:space="preserve"> </w:t>
      </w:r>
      <w:proofErr w:type="spellStart"/>
      <w:r w:rsidRPr="006A2591">
        <w:rPr>
          <w:rFonts w:ascii="Times New Roman" w:hAnsi="Times New Roman"/>
        </w:rPr>
        <w:t>metformino</w:t>
      </w:r>
      <w:proofErr w:type="spellEnd"/>
      <w:r w:rsidRPr="006A2591">
        <w:rPr>
          <w:rFonts w:ascii="Times New Roman" w:hAnsi="Times New Roman"/>
        </w:rPr>
        <w:t xml:space="preserve"> dozė turi būti nustatoma atsižvelgiant į inkstų funkciją. Būtina reguliariai tirti inkstų funkciją (žr. 4.4 skyrių).</w:t>
      </w:r>
    </w:p>
    <w:p w14:paraId="0292B818" w14:textId="329B3FB5" w:rsidR="00634DA6" w:rsidRPr="006A2591" w:rsidRDefault="00634DA6" w:rsidP="00634DA6">
      <w:pPr>
        <w:pStyle w:val="Betarp"/>
        <w:rPr>
          <w:rFonts w:ascii="Times New Roman" w:hAnsi="Times New Roman"/>
        </w:rPr>
      </w:pPr>
    </w:p>
    <w:p w14:paraId="7FA2DA08" w14:textId="77777777" w:rsidR="00601C8B" w:rsidRPr="006A2591" w:rsidRDefault="00601C8B" w:rsidP="00601C8B">
      <w:pPr>
        <w:pStyle w:val="Betarp"/>
        <w:rPr>
          <w:rFonts w:ascii="Times New Roman" w:hAnsi="Times New Roman"/>
        </w:rPr>
      </w:pPr>
    </w:p>
    <w:p w14:paraId="25934F62" w14:textId="77777777" w:rsidR="00601C8B" w:rsidRPr="006A2591" w:rsidRDefault="00601C8B" w:rsidP="00601C8B">
      <w:pPr>
        <w:pStyle w:val="Betarp"/>
        <w:rPr>
          <w:rFonts w:ascii="Times New Roman" w:hAnsi="Times New Roman"/>
          <w:i/>
        </w:rPr>
      </w:pPr>
      <w:r w:rsidRPr="006A2591">
        <w:rPr>
          <w:rFonts w:ascii="Times New Roman" w:hAnsi="Times New Roman"/>
          <w:i/>
        </w:rPr>
        <w:t>Inkstų funkcijos nepakankamumas</w:t>
      </w:r>
    </w:p>
    <w:p w14:paraId="1F591A6D" w14:textId="08E7CCB6" w:rsidR="00601C8B" w:rsidRPr="006A2591" w:rsidRDefault="00601C8B" w:rsidP="00601C8B">
      <w:pPr>
        <w:pStyle w:val="Betarp"/>
        <w:rPr>
          <w:rFonts w:ascii="Times New Roman" w:hAnsi="Times New Roman"/>
        </w:rPr>
      </w:pPr>
      <w:proofErr w:type="spellStart"/>
      <w:r w:rsidRPr="006A2591">
        <w:rPr>
          <w:rFonts w:ascii="Times New Roman" w:hAnsi="Times New Roman"/>
        </w:rPr>
        <w:t>Glomerulų</w:t>
      </w:r>
      <w:proofErr w:type="spellEnd"/>
      <w:r w:rsidRPr="006A2591">
        <w:rPr>
          <w:rFonts w:ascii="Times New Roman" w:hAnsi="Times New Roman"/>
        </w:rPr>
        <w:t xml:space="preserve"> filtracijos greitis (GF</w:t>
      </w:r>
      <w:r>
        <w:rPr>
          <w:rFonts w:ascii="Times New Roman" w:hAnsi="Times New Roman"/>
        </w:rPr>
        <w:t>G</w:t>
      </w:r>
      <w:r w:rsidRPr="006A2591">
        <w:rPr>
          <w:rFonts w:ascii="Times New Roman" w:hAnsi="Times New Roman"/>
        </w:rPr>
        <w:t xml:space="preserve">) turi būti nustatomas prieš pradedant gydyti </w:t>
      </w:r>
      <w:proofErr w:type="spellStart"/>
      <w:r w:rsidRPr="006A2591">
        <w:rPr>
          <w:rFonts w:ascii="Times New Roman" w:hAnsi="Times New Roman"/>
        </w:rPr>
        <w:t>metformino</w:t>
      </w:r>
      <w:proofErr w:type="spellEnd"/>
      <w:r w:rsidRPr="006A2591">
        <w:rPr>
          <w:rFonts w:ascii="Times New Roman" w:hAnsi="Times New Roman"/>
        </w:rPr>
        <w:t xml:space="preserve"> turinčiais preparatais ir po to bent kartą per metus. Jeigu paciento inkstų funkcija blogėja</w:t>
      </w:r>
      <w:r w:rsidRPr="00702A59">
        <w:rPr>
          <w:rFonts w:ascii="Times New Roman" w:hAnsi="Times New Roman"/>
        </w:rPr>
        <w:t xml:space="preserve"> </w:t>
      </w:r>
      <w:r>
        <w:rPr>
          <w:rFonts w:ascii="Times New Roman" w:hAnsi="Times New Roman"/>
        </w:rPr>
        <w:t>ar yra padidėjusi inkstų funkcijos sutrikimo progresavimo rizika</w:t>
      </w:r>
      <w:r w:rsidRPr="006A2591">
        <w:rPr>
          <w:rFonts w:ascii="Times New Roman" w:hAnsi="Times New Roman"/>
        </w:rPr>
        <w:t>, o taip pat senyviems pacientams, inkstų funkciją reikia tirti dažniau, pvz., kas 3-6</w:t>
      </w:r>
      <w:r w:rsidR="00872425">
        <w:rPr>
          <w:rFonts w:ascii="Times New Roman" w:hAnsi="Times New Roman"/>
        </w:rPr>
        <w:t> </w:t>
      </w:r>
      <w:r w:rsidRPr="006A2591">
        <w:rPr>
          <w:rFonts w:ascii="Times New Roman" w:hAnsi="Times New Roman"/>
        </w:rPr>
        <w:t>mėnesius.</w:t>
      </w:r>
    </w:p>
    <w:p w14:paraId="38578770" w14:textId="77777777" w:rsidR="00601C8B" w:rsidRPr="006A2591" w:rsidRDefault="00601C8B" w:rsidP="00601C8B">
      <w:pPr>
        <w:pStyle w:val="Betarp"/>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089"/>
        <w:gridCol w:w="4019"/>
      </w:tblGrid>
      <w:tr w:rsidR="00B962BE" w:rsidRPr="00BB50A6" w14:paraId="4BCF3E2B" w14:textId="77777777" w:rsidTr="00B962BE">
        <w:tc>
          <w:tcPr>
            <w:tcW w:w="2093" w:type="dxa"/>
            <w:shd w:val="clear" w:color="auto" w:fill="auto"/>
          </w:tcPr>
          <w:p w14:paraId="10F3A43D" w14:textId="77777777" w:rsidR="00601C8B" w:rsidRPr="00BB50A6" w:rsidRDefault="00601C8B" w:rsidP="0008454F">
            <w:pPr>
              <w:pStyle w:val="Betarp"/>
              <w:rPr>
                <w:rFonts w:ascii="Times New Roman" w:hAnsi="Times New Roman"/>
              </w:rPr>
            </w:pPr>
            <w:r w:rsidRPr="00BB50A6">
              <w:rPr>
                <w:rFonts w:ascii="Times New Roman" w:hAnsi="Times New Roman"/>
              </w:rPr>
              <w:t xml:space="preserve">GFG (ml/min.) </w:t>
            </w:r>
          </w:p>
        </w:tc>
        <w:tc>
          <w:tcPr>
            <w:tcW w:w="3402" w:type="dxa"/>
            <w:shd w:val="clear" w:color="auto" w:fill="auto"/>
          </w:tcPr>
          <w:p w14:paraId="6DF075C0" w14:textId="77777777" w:rsidR="00601C8B" w:rsidRPr="00BB50A6" w:rsidRDefault="00601C8B" w:rsidP="0008454F">
            <w:pPr>
              <w:pStyle w:val="Betarp"/>
              <w:rPr>
                <w:rFonts w:ascii="Times New Roman" w:hAnsi="Times New Roman"/>
              </w:rPr>
            </w:pPr>
            <w:r w:rsidRPr="00BB50A6">
              <w:rPr>
                <w:rFonts w:ascii="Times New Roman" w:hAnsi="Times New Roman"/>
              </w:rPr>
              <w:t>Bendra didžiausia paros dozė</w:t>
            </w:r>
          </w:p>
        </w:tc>
        <w:tc>
          <w:tcPr>
            <w:tcW w:w="4359" w:type="dxa"/>
            <w:shd w:val="clear" w:color="auto" w:fill="auto"/>
          </w:tcPr>
          <w:p w14:paraId="3CE22C6E" w14:textId="77777777" w:rsidR="00601C8B" w:rsidRPr="00BB50A6" w:rsidRDefault="00601C8B" w:rsidP="0008454F">
            <w:pPr>
              <w:pStyle w:val="Betarp"/>
              <w:rPr>
                <w:rFonts w:ascii="Times New Roman" w:hAnsi="Times New Roman"/>
              </w:rPr>
            </w:pPr>
            <w:r w:rsidRPr="00BB50A6">
              <w:rPr>
                <w:rFonts w:ascii="Times New Roman" w:hAnsi="Times New Roman"/>
              </w:rPr>
              <w:t>Pastabos</w:t>
            </w:r>
          </w:p>
        </w:tc>
      </w:tr>
      <w:tr w:rsidR="00B962BE" w:rsidRPr="00BB50A6" w14:paraId="7E032761" w14:textId="77777777" w:rsidTr="00B962BE">
        <w:tc>
          <w:tcPr>
            <w:tcW w:w="2093" w:type="dxa"/>
            <w:shd w:val="clear" w:color="auto" w:fill="auto"/>
          </w:tcPr>
          <w:p w14:paraId="6890D907" w14:textId="3FA5204F" w:rsidR="00601C8B" w:rsidRPr="00BB50A6" w:rsidRDefault="00601C8B" w:rsidP="0008454F">
            <w:pPr>
              <w:pStyle w:val="Betarp"/>
              <w:rPr>
                <w:rFonts w:ascii="Times New Roman" w:hAnsi="Times New Roman"/>
              </w:rPr>
            </w:pPr>
            <w:r w:rsidRPr="00BB50A6">
              <w:rPr>
                <w:rFonts w:ascii="Times New Roman" w:hAnsi="Times New Roman"/>
              </w:rPr>
              <w:t>60-89</w:t>
            </w:r>
          </w:p>
        </w:tc>
        <w:tc>
          <w:tcPr>
            <w:tcW w:w="3402" w:type="dxa"/>
            <w:shd w:val="clear" w:color="auto" w:fill="auto"/>
          </w:tcPr>
          <w:p w14:paraId="17E2C07B" w14:textId="7061D898" w:rsidR="00601C8B" w:rsidRPr="00BB50A6" w:rsidRDefault="00601C8B" w:rsidP="0008454F">
            <w:pPr>
              <w:pStyle w:val="Betarp"/>
              <w:rPr>
                <w:rFonts w:ascii="Times New Roman" w:hAnsi="Times New Roman"/>
              </w:rPr>
            </w:pPr>
            <w:r w:rsidRPr="00BB50A6">
              <w:rPr>
                <w:rFonts w:ascii="Times New Roman" w:hAnsi="Times New Roman"/>
              </w:rPr>
              <w:t>2</w:t>
            </w:r>
            <w:r w:rsidR="00ED76DE">
              <w:rPr>
                <w:rFonts w:ascii="Times New Roman" w:hAnsi="Times New Roman"/>
              </w:rPr>
              <w:t> </w:t>
            </w:r>
            <w:r w:rsidRPr="00BB50A6">
              <w:rPr>
                <w:rFonts w:ascii="Times New Roman" w:hAnsi="Times New Roman"/>
              </w:rPr>
              <w:t>000</w:t>
            </w:r>
            <w:r>
              <w:t> </w:t>
            </w:r>
            <w:r w:rsidRPr="00BB50A6">
              <w:rPr>
                <w:rFonts w:ascii="Times New Roman" w:hAnsi="Times New Roman"/>
              </w:rPr>
              <w:t>mg</w:t>
            </w:r>
          </w:p>
        </w:tc>
        <w:tc>
          <w:tcPr>
            <w:tcW w:w="4359" w:type="dxa"/>
            <w:shd w:val="clear" w:color="auto" w:fill="auto"/>
          </w:tcPr>
          <w:p w14:paraId="70FEE77A" w14:textId="77777777" w:rsidR="00601C8B" w:rsidRPr="00BB50A6" w:rsidRDefault="00601C8B" w:rsidP="0008454F">
            <w:pPr>
              <w:pStyle w:val="Betarp"/>
              <w:rPr>
                <w:rFonts w:ascii="Times New Roman" w:hAnsi="Times New Roman"/>
              </w:rPr>
            </w:pPr>
            <w:r w:rsidRPr="00BB50A6">
              <w:rPr>
                <w:rFonts w:ascii="Times New Roman" w:hAnsi="Times New Roman"/>
              </w:rPr>
              <w:t>Atsižvelgiant į blogėjančią inkstų funkciją, dozę gali tekti koreguoti</w:t>
            </w:r>
          </w:p>
        </w:tc>
      </w:tr>
      <w:tr w:rsidR="00B962BE" w:rsidRPr="00BB50A6" w14:paraId="2473E0CA" w14:textId="77777777" w:rsidTr="00B962BE">
        <w:tc>
          <w:tcPr>
            <w:tcW w:w="2093" w:type="dxa"/>
            <w:shd w:val="clear" w:color="auto" w:fill="auto"/>
          </w:tcPr>
          <w:p w14:paraId="5A0AC260" w14:textId="77777777" w:rsidR="00601C8B" w:rsidRPr="00BB50A6" w:rsidRDefault="00601C8B" w:rsidP="0008454F">
            <w:pPr>
              <w:pStyle w:val="Betarp"/>
              <w:rPr>
                <w:rFonts w:ascii="Times New Roman" w:hAnsi="Times New Roman"/>
              </w:rPr>
            </w:pPr>
            <w:r w:rsidRPr="00BB50A6">
              <w:rPr>
                <w:rFonts w:ascii="Times New Roman" w:hAnsi="Times New Roman"/>
              </w:rPr>
              <w:t>45-59</w:t>
            </w:r>
          </w:p>
        </w:tc>
        <w:tc>
          <w:tcPr>
            <w:tcW w:w="3402" w:type="dxa"/>
            <w:shd w:val="clear" w:color="auto" w:fill="auto"/>
          </w:tcPr>
          <w:p w14:paraId="69CFCCBE" w14:textId="411A50DB" w:rsidR="00601C8B" w:rsidRPr="00BB50A6" w:rsidRDefault="00601C8B" w:rsidP="0008454F">
            <w:pPr>
              <w:pStyle w:val="Betarp"/>
              <w:rPr>
                <w:rFonts w:ascii="Times New Roman" w:hAnsi="Times New Roman"/>
              </w:rPr>
            </w:pPr>
            <w:r w:rsidRPr="00BB50A6">
              <w:rPr>
                <w:rFonts w:ascii="Times New Roman" w:hAnsi="Times New Roman"/>
              </w:rPr>
              <w:t>2</w:t>
            </w:r>
            <w:r w:rsidR="00ED76DE">
              <w:rPr>
                <w:rFonts w:ascii="Times New Roman" w:hAnsi="Times New Roman"/>
              </w:rPr>
              <w:t> </w:t>
            </w:r>
            <w:r w:rsidRPr="00BB50A6">
              <w:rPr>
                <w:rFonts w:ascii="Times New Roman" w:hAnsi="Times New Roman"/>
              </w:rPr>
              <w:t>000</w:t>
            </w:r>
            <w:r>
              <w:t> </w:t>
            </w:r>
            <w:r w:rsidRPr="00BB50A6">
              <w:rPr>
                <w:rFonts w:ascii="Times New Roman" w:hAnsi="Times New Roman"/>
              </w:rPr>
              <w:t>mg</w:t>
            </w:r>
          </w:p>
        </w:tc>
        <w:tc>
          <w:tcPr>
            <w:tcW w:w="4359" w:type="dxa"/>
            <w:vMerge w:val="restart"/>
            <w:shd w:val="clear" w:color="auto" w:fill="auto"/>
          </w:tcPr>
          <w:p w14:paraId="63EE7621" w14:textId="3CD54766" w:rsidR="00601C8B" w:rsidRPr="00BB50A6" w:rsidRDefault="00601C8B" w:rsidP="0008454F">
            <w:pPr>
              <w:pStyle w:val="Betarp"/>
              <w:rPr>
                <w:rFonts w:ascii="Times New Roman" w:hAnsi="Times New Roman"/>
              </w:rPr>
            </w:pPr>
            <w:r w:rsidRPr="00BB50A6">
              <w:rPr>
                <w:rFonts w:ascii="Times New Roman" w:hAnsi="Times New Roman"/>
              </w:rPr>
              <w:t xml:space="preserve">Prieš pradedant gydyti </w:t>
            </w:r>
            <w:proofErr w:type="spellStart"/>
            <w:r w:rsidRPr="00BB50A6">
              <w:rPr>
                <w:rFonts w:ascii="Times New Roman" w:hAnsi="Times New Roman"/>
              </w:rPr>
              <w:t>metforminu</w:t>
            </w:r>
            <w:proofErr w:type="spellEnd"/>
            <w:r w:rsidRPr="00BB50A6">
              <w:rPr>
                <w:rFonts w:ascii="Times New Roman" w:hAnsi="Times New Roman"/>
              </w:rPr>
              <w:t xml:space="preserve">, būtina aptarti </w:t>
            </w:r>
            <w:proofErr w:type="spellStart"/>
            <w:r w:rsidRPr="00BB50A6">
              <w:rPr>
                <w:rFonts w:ascii="Times New Roman" w:hAnsi="Times New Roman"/>
              </w:rPr>
              <w:t>laktatacidozės</w:t>
            </w:r>
            <w:proofErr w:type="spellEnd"/>
            <w:r w:rsidRPr="00BB50A6">
              <w:rPr>
                <w:rFonts w:ascii="Times New Roman" w:hAnsi="Times New Roman"/>
              </w:rPr>
              <w:t xml:space="preserve"> riziką (žr. 4.4</w:t>
            </w:r>
            <w:r w:rsidR="00ED76DE">
              <w:rPr>
                <w:rFonts w:ascii="Times New Roman" w:hAnsi="Times New Roman"/>
              </w:rPr>
              <w:t> </w:t>
            </w:r>
            <w:r w:rsidRPr="00BB50A6">
              <w:rPr>
                <w:rFonts w:ascii="Times New Roman" w:hAnsi="Times New Roman"/>
              </w:rPr>
              <w:t xml:space="preserve">skyrių). </w:t>
            </w:r>
          </w:p>
          <w:p w14:paraId="4E36B969" w14:textId="77777777" w:rsidR="00601C8B" w:rsidRPr="00BB50A6" w:rsidRDefault="00601C8B" w:rsidP="0008454F">
            <w:pPr>
              <w:pStyle w:val="Betarp"/>
              <w:rPr>
                <w:rFonts w:ascii="Times New Roman" w:hAnsi="Times New Roman"/>
              </w:rPr>
            </w:pPr>
            <w:r w:rsidRPr="00BB50A6">
              <w:rPr>
                <w:rFonts w:ascii="Times New Roman" w:hAnsi="Times New Roman"/>
              </w:rPr>
              <w:t xml:space="preserve">Pradinė dozė </w:t>
            </w:r>
            <w:r>
              <w:rPr>
                <w:rFonts w:ascii="Times New Roman" w:hAnsi="Times New Roman"/>
              </w:rPr>
              <w:t>yra ne daugiau</w:t>
            </w:r>
            <w:r w:rsidRPr="00BB50A6">
              <w:rPr>
                <w:rFonts w:ascii="Times New Roman" w:hAnsi="Times New Roman"/>
              </w:rPr>
              <w:t xml:space="preserve"> kaip pusė maksimalios dozės.</w:t>
            </w:r>
          </w:p>
        </w:tc>
      </w:tr>
      <w:tr w:rsidR="00B962BE" w:rsidRPr="00BB50A6" w14:paraId="7FDD3ACE" w14:textId="77777777" w:rsidTr="00B962BE">
        <w:tc>
          <w:tcPr>
            <w:tcW w:w="2093" w:type="dxa"/>
            <w:shd w:val="clear" w:color="auto" w:fill="auto"/>
          </w:tcPr>
          <w:p w14:paraId="0C837197" w14:textId="77777777" w:rsidR="00601C8B" w:rsidRPr="00BB50A6" w:rsidRDefault="00601C8B" w:rsidP="0008454F">
            <w:pPr>
              <w:pStyle w:val="Betarp"/>
              <w:rPr>
                <w:rFonts w:ascii="Times New Roman" w:hAnsi="Times New Roman"/>
              </w:rPr>
            </w:pPr>
            <w:r w:rsidRPr="00BB50A6">
              <w:rPr>
                <w:rFonts w:ascii="Times New Roman" w:hAnsi="Times New Roman"/>
              </w:rPr>
              <w:t>30-44</w:t>
            </w:r>
          </w:p>
        </w:tc>
        <w:tc>
          <w:tcPr>
            <w:tcW w:w="3402" w:type="dxa"/>
            <w:shd w:val="clear" w:color="auto" w:fill="auto"/>
          </w:tcPr>
          <w:p w14:paraId="29A956EB" w14:textId="6BFF594C" w:rsidR="00601C8B" w:rsidRPr="00BB50A6" w:rsidRDefault="00601C8B" w:rsidP="0008454F">
            <w:pPr>
              <w:pStyle w:val="Betarp"/>
              <w:rPr>
                <w:rFonts w:ascii="Times New Roman" w:hAnsi="Times New Roman"/>
              </w:rPr>
            </w:pPr>
            <w:r w:rsidRPr="00BB50A6">
              <w:rPr>
                <w:rFonts w:ascii="Times New Roman" w:hAnsi="Times New Roman"/>
              </w:rPr>
              <w:t>1</w:t>
            </w:r>
            <w:r w:rsidR="00ED76DE">
              <w:rPr>
                <w:rFonts w:ascii="Times New Roman" w:hAnsi="Times New Roman"/>
              </w:rPr>
              <w:t> </w:t>
            </w:r>
            <w:r w:rsidRPr="00BB50A6">
              <w:rPr>
                <w:rFonts w:ascii="Times New Roman" w:hAnsi="Times New Roman"/>
              </w:rPr>
              <w:t>000</w:t>
            </w:r>
            <w:r>
              <w:t> </w:t>
            </w:r>
            <w:r w:rsidRPr="00BB50A6">
              <w:rPr>
                <w:rFonts w:ascii="Times New Roman" w:hAnsi="Times New Roman"/>
              </w:rPr>
              <w:t>mg</w:t>
            </w:r>
          </w:p>
        </w:tc>
        <w:tc>
          <w:tcPr>
            <w:tcW w:w="4359" w:type="dxa"/>
            <w:vMerge/>
            <w:shd w:val="clear" w:color="auto" w:fill="auto"/>
          </w:tcPr>
          <w:p w14:paraId="60783D86" w14:textId="77777777" w:rsidR="00601C8B" w:rsidRPr="00BB50A6" w:rsidRDefault="00601C8B" w:rsidP="0008454F">
            <w:pPr>
              <w:pStyle w:val="Betarp"/>
              <w:rPr>
                <w:rFonts w:ascii="Times New Roman" w:hAnsi="Times New Roman"/>
              </w:rPr>
            </w:pPr>
          </w:p>
        </w:tc>
      </w:tr>
      <w:tr w:rsidR="00B962BE" w:rsidRPr="00BB50A6" w14:paraId="439DADF8" w14:textId="77777777" w:rsidTr="00B962BE">
        <w:tc>
          <w:tcPr>
            <w:tcW w:w="2093" w:type="dxa"/>
            <w:shd w:val="clear" w:color="auto" w:fill="auto"/>
          </w:tcPr>
          <w:p w14:paraId="6525FE13" w14:textId="628019F5" w:rsidR="00601C8B" w:rsidRPr="00BB50A6" w:rsidRDefault="00601C8B" w:rsidP="0008454F">
            <w:pPr>
              <w:pStyle w:val="Betarp"/>
              <w:rPr>
                <w:rFonts w:ascii="Times New Roman" w:hAnsi="Times New Roman"/>
              </w:rPr>
            </w:pPr>
            <w:r w:rsidRPr="00BB50A6">
              <w:rPr>
                <w:rFonts w:ascii="Times New Roman" w:hAnsi="Times New Roman"/>
              </w:rPr>
              <w:t>&lt;</w:t>
            </w:r>
            <w:r w:rsidR="00872425">
              <w:rPr>
                <w:rFonts w:ascii="Times New Roman" w:hAnsi="Times New Roman"/>
              </w:rPr>
              <w:t> </w:t>
            </w:r>
            <w:r w:rsidRPr="00BB50A6">
              <w:rPr>
                <w:rFonts w:ascii="Times New Roman" w:hAnsi="Times New Roman"/>
              </w:rPr>
              <w:t>30</w:t>
            </w:r>
          </w:p>
        </w:tc>
        <w:tc>
          <w:tcPr>
            <w:tcW w:w="3402" w:type="dxa"/>
            <w:shd w:val="clear" w:color="auto" w:fill="auto"/>
          </w:tcPr>
          <w:p w14:paraId="7D9107E0" w14:textId="77777777" w:rsidR="00601C8B" w:rsidRPr="00BB50A6" w:rsidRDefault="00601C8B" w:rsidP="0008454F">
            <w:pPr>
              <w:pStyle w:val="Betarp"/>
              <w:rPr>
                <w:rFonts w:ascii="Times New Roman" w:hAnsi="Times New Roman"/>
              </w:rPr>
            </w:pPr>
            <w:r w:rsidRPr="00BB50A6">
              <w:rPr>
                <w:rFonts w:ascii="Times New Roman" w:hAnsi="Times New Roman"/>
              </w:rPr>
              <w:t>-</w:t>
            </w:r>
          </w:p>
        </w:tc>
        <w:tc>
          <w:tcPr>
            <w:tcW w:w="4359" w:type="dxa"/>
            <w:shd w:val="clear" w:color="auto" w:fill="auto"/>
          </w:tcPr>
          <w:p w14:paraId="3FE80892" w14:textId="77777777" w:rsidR="00601C8B" w:rsidRPr="00BB50A6" w:rsidRDefault="00601C8B" w:rsidP="0008454F">
            <w:pPr>
              <w:pStyle w:val="Betarp"/>
              <w:rPr>
                <w:rFonts w:ascii="Times New Roman" w:hAnsi="Times New Roman"/>
              </w:rPr>
            </w:pPr>
            <w:proofErr w:type="spellStart"/>
            <w:r w:rsidRPr="00BB50A6">
              <w:rPr>
                <w:rFonts w:ascii="Times New Roman" w:hAnsi="Times New Roman"/>
              </w:rPr>
              <w:t>Metforminas</w:t>
            </w:r>
            <w:proofErr w:type="spellEnd"/>
            <w:r w:rsidRPr="00BB50A6">
              <w:rPr>
                <w:rFonts w:ascii="Times New Roman" w:hAnsi="Times New Roman"/>
              </w:rPr>
              <w:t xml:space="preserve"> </w:t>
            </w:r>
            <w:proofErr w:type="spellStart"/>
            <w:r w:rsidRPr="00BB50A6">
              <w:rPr>
                <w:rFonts w:ascii="Times New Roman" w:hAnsi="Times New Roman"/>
              </w:rPr>
              <w:t>kontraindikuotinas</w:t>
            </w:r>
            <w:proofErr w:type="spellEnd"/>
          </w:p>
        </w:tc>
      </w:tr>
    </w:tbl>
    <w:p w14:paraId="1327D046" w14:textId="77777777" w:rsidR="00601C8B" w:rsidRPr="006A2591" w:rsidRDefault="00601C8B" w:rsidP="00601C8B">
      <w:pPr>
        <w:pStyle w:val="Betarp"/>
        <w:rPr>
          <w:rFonts w:ascii="Times New Roman" w:hAnsi="Times New Roman"/>
        </w:rPr>
      </w:pPr>
    </w:p>
    <w:p w14:paraId="796DC459" w14:textId="77777777" w:rsidR="00601C8B" w:rsidRPr="006A2591" w:rsidRDefault="00601C8B" w:rsidP="00601C8B">
      <w:pPr>
        <w:pStyle w:val="Betarp"/>
        <w:rPr>
          <w:rFonts w:ascii="Times New Roman" w:hAnsi="Times New Roman"/>
          <w:i/>
        </w:rPr>
      </w:pPr>
      <w:r w:rsidRPr="006A2591">
        <w:rPr>
          <w:rFonts w:ascii="Times New Roman" w:hAnsi="Times New Roman"/>
          <w:i/>
        </w:rPr>
        <w:t>Vaikų populiacija</w:t>
      </w:r>
    </w:p>
    <w:p w14:paraId="03129002" w14:textId="512E3490" w:rsidR="00601C8B" w:rsidRDefault="00ED76DE" w:rsidP="00601C8B">
      <w:pPr>
        <w:pStyle w:val="Betarp"/>
        <w:rPr>
          <w:rFonts w:ascii="Times New Roman" w:hAnsi="Times New Roman"/>
        </w:rPr>
      </w:pPr>
      <w:proofErr w:type="spellStart"/>
      <w:r>
        <w:rPr>
          <w:rFonts w:ascii="Times New Roman" w:hAnsi="Times New Roman"/>
        </w:rPr>
        <w:t>Tivulin</w:t>
      </w:r>
      <w:proofErr w:type="spellEnd"/>
      <w:r w:rsidR="00601C8B">
        <w:rPr>
          <w:rFonts w:ascii="Times New Roman" w:hAnsi="Times New Roman"/>
        </w:rPr>
        <w:t xml:space="preserve"> pailginto atpalaidavimo tablečių negalima vartoti vaikams, </w:t>
      </w:r>
      <w:r w:rsidR="00166B3F">
        <w:rPr>
          <w:rFonts w:ascii="Times New Roman" w:hAnsi="Times New Roman"/>
        </w:rPr>
        <w:t>nes duomenų nėra</w:t>
      </w:r>
      <w:r w:rsidR="00601C8B">
        <w:rPr>
          <w:rFonts w:ascii="Times New Roman" w:hAnsi="Times New Roman"/>
        </w:rPr>
        <w:t>.</w:t>
      </w:r>
      <w:r w:rsidR="00601C8B" w:rsidRPr="006A2591" w:rsidDel="00702A59">
        <w:rPr>
          <w:rFonts w:ascii="Times New Roman" w:hAnsi="Times New Roman"/>
        </w:rPr>
        <w:t xml:space="preserve"> </w:t>
      </w:r>
    </w:p>
    <w:p w14:paraId="2B6C58F7" w14:textId="77777777" w:rsidR="00450449" w:rsidRPr="006A2591" w:rsidRDefault="00450449" w:rsidP="00601C8B">
      <w:pPr>
        <w:pStyle w:val="Betarp"/>
        <w:rPr>
          <w:rFonts w:ascii="Times New Roman" w:hAnsi="Times New Roman"/>
        </w:rPr>
      </w:pPr>
    </w:p>
    <w:p w14:paraId="7A2B51FF"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Vartojimo metodas</w:t>
      </w:r>
    </w:p>
    <w:p w14:paraId="6AF5A975" w14:textId="77777777" w:rsidR="00601C8B" w:rsidRPr="006A2591" w:rsidRDefault="00601C8B" w:rsidP="00E85904">
      <w:pPr>
        <w:pStyle w:val="BTEMEASMCA"/>
      </w:pPr>
      <w:r w:rsidRPr="006A2591">
        <w:t xml:space="preserve">Tabletę reikia praryti </w:t>
      </w:r>
      <w:r>
        <w:t xml:space="preserve">nesmulkintą </w:t>
      </w:r>
      <w:r w:rsidRPr="006A2591">
        <w:t>ir užsigerti vandeniu. Jų negalima čiulpti ar kramtyti.</w:t>
      </w:r>
    </w:p>
    <w:p w14:paraId="6D72EE27" w14:textId="77777777" w:rsidR="00601C8B" w:rsidRPr="006A2591" w:rsidRDefault="00601C8B" w:rsidP="00E85904">
      <w:pPr>
        <w:pStyle w:val="BTEMEASMCA"/>
      </w:pPr>
    </w:p>
    <w:p w14:paraId="6D2749B9" w14:textId="77777777" w:rsidR="00601C8B" w:rsidRPr="006A2591" w:rsidRDefault="00601C8B" w:rsidP="00601C8B">
      <w:pPr>
        <w:pStyle w:val="PI-2EMEASMCA"/>
        <w:outlineLvl w:val="9"/>
      </w:pPr>
      <w:r w:rsidRPr="006A2591">
        <w:t>4.3</w:t>
      </w:r>
      <w:r w:rsidRPr="006A2591">
        <w:tab/>
        <w:t>Kontraindikacijos</w:t>
      </w:r>
    </w:p>
    <w:p w14:paraId="17442C48" w14:textId="77777777" w:rsidR="00601C8B" w:rsidRPr="006A2591" w:rsidRDefault="00601C8B" w:rsidP="00601C8B">
      <w:pPr>
        <w:pStyle w:val="Pagrindinistekstas"/>
        <w:spacing w:after="0"/>
        <w:rPr>
          <w:szCs w:val="22"/>
        </w:rPr>
      </w:pPr>
    </w:p>
    <w:p w14:paraId="2D637331" w14:textId="74A3658E" w:rsidR="00601C8B" w:rsidRPr="006A2591" w:rsidRDefault="00601C8B" w:rsidP="00EE0B84">
      <w:pPr>
        <w:pStyle w:val="Betarp"/>
        <w:numPr>
          <w:ilvl w:val="0"/>
          <w:numId w:val="13"/>
        </w:numPr>
        <w:ind w:left="567" w:hanging="567"/>
        <w:rPr>
          <w:rFonts w:ascii="Times New Roman" w:hAnsi="Times New Roman"/>
        </w:rPr>
      </w:pPr>
      <w:r w:rsidRPr="006A2591">
        <w:rPr>
          <w:rFonts w:ascii="Times New Roman" w:hAnsi="Times New Roman"/>
        </w:rPr>
        <w:t xml:space="preserve">Padidėjęs jautrumas </w:t>
      </w:r>
      <w:proofErr w:type="spellStart"/>
      <w:r w:rsidRPr="006A2591">
        <w:rPr>
          <w:rFonts w:ascii="Times New Roman" w:hAnsi="Times New Roman"/>
        </w:rPr>
        <w:t>metforminui</w:t>
      </w:r>
      <w:proofErr w:type="spellEnd"/>
      <w:r w:rsidRPr="006A2591">
        <w:rPr>
          <w:rFonts w:ascii="Times New Roman" w:hAnsi="Times New Roman"/>
        </w:rPr>
        <w:t xml:space="preserve"> ar bet kuriai pagalbinei medžiagai, nurodytai 6.1</w:t>
      </w:r>
      <w:r w:rsidR="00450449">
        <w:rPr>
          <w:rFonts w:ascii="Times New Roman" w:hAnsi="Times New Roman"/>
        </w:rPr>
        <w:t> </w:t>
      </w:r>
      <w:r w:rsidRPr="006A2591">
        <w:rPr>
          <w:rFonts w:ascii="Times New Roman" w:hAnsi="Times New Roman"/>
        </w:rPr>
        <w:t>skyriuje.</w:t>
      </w:r>
    </w:p>
    <w:p w14:paraId="5B46D8A5" w14:textId="77777777" w:rsidR="00601C8B" w:rsidRPr="006A2591" w:rsidRDefault="00601C8B" w:rsidP="00EE0B84">
      <w:pPr>
        <w:pStyle w:val="Betarp"/>
        <w:numPr>
          <w:ilvl w:val="0"/>
          <w:numId w:val="13"/>
        </w:numPr>
        <w:ind w:left="567" w:hanging="567"/>
        <w:rPr>
          <w:rFonts w:ascii="Times New Roman" w:hAnsi="Times New Roman"/>
        </w:rPr>
      </w:pPr>
      <w:r w:rsidRPr="006A2591">
        <w:rPr>
          <w:rFonts w:ascii="Times New Roman" w:hAnsi="Times New Roman"/>
        </w:rPr>
        <w:t xml:space="preserve">Bet kokios rūšies </w:t>
      </w:r>
      <w:proofErr w:type="spellStart"/>
      <w:r w:rsidRPr="006A2591">
        <w:rPr>
          <w:rFonts w:ascii="Times New Roman" w:hAnsi="Times New Roman"/>
        </w:rPr>
        <w:t>metabolinė</w:t>
      </w:r>
      <w:proofErr w:type="spellEnd"/>
      <w:r w:rsidRPr="006A2591">
        <w:rPr>
          <w:rFonts w:ascii="Times New Roman" w:hAnsi="Times New Roman"/>
        </w:rPr>
        <w:t xml:space="preserve"> </w:t>
      </w:r>
      <w:proofErr w:type="spellStart"/>
      <w:r w:rsidRPr="006A2591">
        <w:rPr>
          <w:rFonts w:ascii="Times New Roman" w:hAnsi="Times New Roman"/>
        </w:rPr>
        <w:t>acidozė</w:t>
      </w:r>
      <w:proofErr w:type="spellEnd"/>
      <w:r w:rsidRPr="006A2591">
        <w:rPr>
          <w:rFonts w:ascii="Times New Roman" w:hAnsi="Times New Roman"/>
        </w:rPr>
        <w:t xml:space="preserve"> (pvz., </w:t>
      </w:r>
      <w:proofErr w:type="spellStart"/>
      <w:r w:rsidRPr="006A2591">
        <w:rPr>
          <w:rFonts w:ascii="Times New Roman" w:hAnsi="Times New Roman"/>
        </w:rPr>
        <w:t>laktatacidozė</w:t>
      </w:r>
      <w:proofErr w:type="spellEnd"/>
      <w:r w:rsidRPr="006A2591">
        <w:rPr>
          <w:rFonts w:ascii="Times New Roman" w:hAnsi="Times New Roman"/>
        </w:rPr>
        <w:t xml:space="preserve">, diabetinė </w:t>
      </w:r>
      <w:proofErr w:type="spellStart"/>
      <w:r w:rsidRPr="006A2591">
        <w:rPr>
          <w:rFonts w:ascii="Times New Roman" w:hAnsi="Times New Roman"/>
        </w:rPr>
        <w:t>ketoacidozė</w:t>
      </w:r>
      <w:proofErr w:type="spellEnd"/>
      <w:r w:rsidRPr="006A2591">
        <w:rPr>
          <w:rFonts w:ascii="Times New Roman" w:hAnsi="Times New Roman"/>
        </w:rPr>
        <w:t>).</w:t>
      </w:r>
    </w:p>
    <w:p w14:paraId="47F21479" w14:textId="77777777" w:rsidR="00601C8B" w:rsidRPr="006A2591" w:rsidRDefault="00601C8B" w:rsidP="00EE0B84">
      <w:pPr>
        <w:pStyle w:val="Betarp"/>
        <w:numPr>
          <w:ilvl w:val="0"/>
          <w:numId w:val="13"/>
        </w:numPr>
        <w:ind w:left="567" w:hanging="567"/>
        <w:rPr>
          <w:rFonts w:ascii="Times New Roman" w:hAnsi="Times New Roman"/>
        </w:rPr>
      </w:pPr>
      <w:r w:rsidRPr="006A2591">
        <w:rPr>
          <w:rFonts w:ascii="Times New Roman" w:hAnsi="Times New Roman"/>
        </w:rPr>
        <w:t xml:space="preserve">Diabetinė </w:t>
      </w:r>
      <w:proofErr w:type="spellStart"/>
      <w:r w:rsidRPr="006A2591">
        <w:rPr>
          <w:rFonts w:ascii="Times New Roman" w:hAnsi="Times New Roman"/>
        </w:rPr>
        <w:t>prekoma</w:t>
      </w:r>
      <w:proofErr w:type="spellEnd"/>
      <w:r w:rsidRPr="006A2591">
        <w:rPr>
          <w:rFonts w:ascii="Times New Roman" w:hAnsi="Times New Roman"/>
        </w:rPr>
        <w:t>.</w:t>
      </w:r>
    </w:p>
    <w:p w14:paraId="2D083A54" w14:textId="3B7BF258" w:rsidR="00601C8B" w:rsidRPr="006A2591" w:rsidRDefault="00601C8B" w:rsidP="00EE0B84">
      <w:pPr>
        <w:pStyle w:val="Betarp"/>
        <w:numPr>
          <w:ilvl w:val="0"/>
          <w:numId w:val="13"/>
        </w:numPr>
        <w:ind w:left="567" w:hanging="567"/>
        <w:rPr>
          <w:rFonts w:ascii="Times New Roman" w:hAnsi="Times New Roman"/>
        </w:rPr>
      </w:pPr>
      <w:r w:rsidRPr="006A2591">
        <w:rPr>
          <w:rFonts w:ascii="Times New Roman" w:hAnsi="Times New Roman"/>
        </w:rPr>
        <w:t>Sunkus inkstų nepakankamumas (GFG &lt;</w:t>
      </w:r>
      <w:r w:rsidR="00450449">
        <w:rPr>
          <w:rFonts w:ascii="Times New Roman" w:hAnsi="Times New Roman"/>
        </w:rPr>
        <w:t> </w:t>
      </w:r>
      <w:r w:rsidRPr="0078470E">
        <w:rPr>
          <w:rFonts w:ascii="Times New Roman" w:hAnsi="Times New Roman"/>
        </w:rPr>
        <w:t>30 ml/min</w:t>
      </w:r>
      <w:r w:rsidR="00872425">
        <w:rPr>
          <w:rFonts w:ascii="Times New Roman" w:hAnsi="Times New Roman"/>
        </w:rPr>
        <w:t>.</w:t>
      </w:r>
      <w:r w:rsidRPr="006A2591">
        <w:rPr>
          <w:rFonts w:ascii="Times New Roman" w:hAnsi="Times New Roman"/>
        </w:rPr>
        <w:t>).</w:t>
      </w:r>
    </w:p>
    <w:p w14:paraId="2FB27039" w14:textId="77777777" w:rsidR="00601C8B" w:rsidRPr="006A2591" w:rsidRDefault="00601C8B" w:rsidP="00EE0B84">
      <w:pPr>
        <w:pStyle w:val="Betarp"/>
        <w:numPr>
          <w:ilvl w:val="0"/>
          <w:numId w:val="13"/>
        </w:numPr>
        <w:ind w:left="567" w:hanging="567"/>
        <w:rPr>
          <w:rFonts w:ascii="Times New Roman" w:hAnsi="Times New Roman"/>
        </w:rPr>
      </w:pPr>
      <w:r w:rsidRPr="006A2591">
        <w:rPr>
          <w:rFonts w:ascii="Times New Roman" w:hAnsi="Times New Roman"/>
        </w:rPr>
        <w:t>Ūminės būklės, galinčios pakeisti inkstų funkciją:</w:t>
      </w:r>
    </w:p>
    <w:p w14:paraId="6B880E06" w14:textId="1D0CFA41" w:rsidR="00601C8B" w:rsidRPr="006A2591" w:rsidRDefault="00601C8B" w:rsidP="00EE0B84">
      <w:pPr>
        <w:pStyle w:val="Betarp"/>
        <w:numPr>
          <w:ilvl w:val="0"/>
          <w:numId w:val="4"/>
        </w:numPr>
        <w:ind w:left="1134" w:hanging="567"/>
        <w:rPr>
          <w:rFonts w:ascii="Times New Roman" w:hAnsi="Times New Roman"/>
        </w:rPr>
      </w:pPr>
      <w:r w:rsidRPr="006A2591">
        <w:rPr>
          <w:rFonts w:ascii="Times New Roman" w:hAnsi="Times New Roman"/>
        </w:rPr>
        <w:lastRenderedPageBreak/>
        <w:t xml:space="preserve">dehidratacija, </w:t>
      </w:r>
    </w:p>
    <w:p w14:paraId="5D8EFBC8" w14:textId="77777777" w:rsidR="00601C8B" w:rsidRPr="006A2591" w:rsidRDefault="00601C8B" w:rsidP="00EE0B84">
      <w:pPr>
        <w:pStyle w:val="Betarp"/>
        <w:numPr>
          <w:ilvl w:val="0"/>
          <w:numId w:val="4"/>
        </w:numPr>
        <w:ind w:left="1134" w:hanging="567"/>
        <w:rPr>
          <w:rFonts w:ascii="Times New Roman" w:hAnsi="Times New Roman"/>
        </w:rPr>
      </w:pPr>
      <w:r w:rsidRPr="006A2591">
        <w:rPr>
          <w:rFonts w:ascii="Times New Roman" w:hAnsi="Times New Roman"/>
        </w:rPr>
        <w:t xml:space="preserve">sunki infekcija, </w:t>
      </w:r>
    </w:p>
    <w:p w14:paraId="515E0E62" w14:textId="77777777" w:rsidR="00601C8B" w:rsidRPr="006A2591" w:rsidRDefault="00601C8B" w:rsidP="00EE0B84">
      <w:pPr>
        <w:pStyle w:val="Betarp"/>
        <w:numPr>
          <w:ilvl w:val="0"/>
          <w:numId w:val="4"/>
        </w:numPr>
        <w:ind w:left="1134" w:hanging="567"/>
        <w:rPr>
          <w:rFonts w:ascii="Times New Roman" w:hAnsi="Times New Roman"/>
        </w:rPr>
      </w:pPr>
      <w:r w:rsidRPr="006A2591">
        <w:rPr>
          <w:rFonts w:ascii="Times New Roman" w:hAnsi="Times New Roman"/>
        </w:rPr>
        <w:t xml:space="preserve">šokas. </w:t>
      </w:r>
    </w:p>
    <w:p w14:paraId="205AA091" w14:textId="77777777" w:rsidR="00601C8B" w:rsidRPr="006A2591" w:rsidRDefault="00601C8B" w:rsidP="00EE0B84">
      <w:pPr>
        <w:pStyle w:val="Betarp"/>
        <w:numPr>
          <w:ilvl w:val="0"/>
          <w:numId w:val="13"/>
        </w:numPr>
        <w:ind w:left="567" w:hanging="567"/>
        <w:rPr>
          <w:rFonts w:ascii="Times New Roman" w:hAnsi="Times New Roman"/>
        </w:rPr>
      </w:pPr>
      <w:r w:rsidRPr="006A2591">
        <w:rPr>
          <w:rFonts w:ascii="Times New Roman" w:hAnsi="Times New Roman"/>
        </w:rPr>
        <w:t xml:space="preserve">Ligos, kurios gali sukelti audinių hipoksiją (ypač ūminės ligos ar lėtinės ligos paūmėjimas): </w:t>
      </w:r>
    </w:p>
    <w:p w14:paraId="4FCEA1C8" w14:textId="77777777" w:rsidR="00601C8B" w:rsidRPr="006A2591" w:rsidRDefault="00601C8B" w:rsidP="00EE0B84">
      <w:pPr>
        <w:pStyle w:val="Betarp"/>
        <w:numPr>
          <w:ilvl w:val="0"/>
          <w:numId w:val="4"/>
        </w:numPr>
        <w:ind w:left="1134" w:hanging="567"/>
        <w:rPr>
          <w:rFonts w:ascii="Times New Roman" w:hAnsi="Times New Roman"/>
        </w:rPr>
      </w:pPr>
      <w:proofErr w:type="spellStart"/>
      <w:r w:rsidRPr="006A2591">
        <w:rPr>
          <w:rFonts w:ascii="Times New Roman" w:hAnsi="Times New Roman"/>
        </w:rPr>
        <w:t>dekompensuotas</w:t>
      </w:r>
      <w:proofErr w:type="spellEnd"/>
      <w:r w:rsidRPr="006A2591">
        <w:rPr>
          <w:rFonts w:ascii="Times New Roman" w:hAnsi="Times New Roman"/>
        </w:rPr>
        <w:t xml:space="preserve"> širdies nepakankamumas,</w:t>
      </w:r>
    </w:p>
    <w:p w14:paraId="45215DF5" w14:textId="77777777" w:rsidR="00601C8B" w:rsidRPr="006A2591" w:rsidRDefault="00601C8B" w:rsidP="00EE0B84">
      <w:pPr>
        <w:pStyle w:val="Betarp"/>
        <w:numPr>
          <w:ilvl w:val="0"/>
          <w:numId w:val="4"/>
        </w:numPr>
        <w:ind w:left="1134" w:hanging="567"/>
        <w:rPr>
          <w:rFonts w:ascii="Times New Roman" w:hAnsi="Times New Roman"/>
        </w:rPr>
      </w:pPr>
      <w:r w:rsidRPr="006A2591">
        <w:rPr>
          <w:rFonts w:ascii="Times New Roman" w:hAnsi="Times New Roman"/>
        </w:rPr>
        <w:t xml:space="preserve">kvėpavimo nepakankamumas, </w:t>
      </w:r>
    </w:p>
    <w:p w14:paraId="2C1E53DA" w14:textId="77777777" w:rsidR="00601C8B" w:rsidRPr="006A2591" w:rsidRDefault="00601C8B" w:rsidP="00EE0B84">
      <w:pPr>
        <w:pStyle w:val="Betarp"/>
        <w:numPr>
          <w:ilvl w:val="0"/>
          <w:numId w:val="4"/>
        </w:numPr>
        <w:ind w:left="1134" w:hanging="567"/>
        <w:rPr>
          <w:rFonts w:ascii="Times New Roman" w:hAnsi="Times New Roman"/>
        </w:rPr>
      </w:pPr>
      <w:r w:rsidRPr="006A2591">
        <w:rPr>
          <w:rFonts w:ascii="Times New Roman" w:hAnsi="Times New Roman"/>
        </w:rPr>
        <w:t xml:space="preserve">neseniai įvykęs miokardo infarktas, </w:t>
      </w:r>
    </w:p>
    <w:p w14:paraId="22838F7D" w14:textId="77777777" w:rsidR="00601C8B" w:rsidRPr="006A2591" w:rsidRDefault="00601C8B" w:rsidP="00EE0B84">
      <w:pPr>
        <w:pStyle w:val="Betarp"/>
        <w:numPr>
          <w:ilvl w:val="0"/>
          <w:numId w:val="4"/>
        </w:numPr>
        <w:ind w:left="1134" w:hanging="567"/>
        <w:rPr>
          <w:rFonts w:ascii="Times New Roman" w:hAnsi="Times New Roman"/>
        </w:rPr>
      </w:pPr>
      <w:r w:rsidRPr="006A2591">
        <w:rPr>
          <w:rFonts w:ascii="Times New Roman" w:hAnsi="Times New Roman"/>
        </w:rPr>
        <w:t>šokas.</w:t>
      </w:r>
    </w:p>
    <w:p w14:paraId="2C247837" w14:textId="77777777" w:rsidR="00601C8B" w:rsidRPr="0008454F" w:rsidRDefault="00601C8B" w:rsidP="00EE0B84">
      <w:pPr>
        <w:pStyle w:val="Betarp"/>
        <w:numPr>
          <w:ilvl w:val="0"/>
          <w:numId w:val="13"/>
        </w:numPr>
        <w:ind w:left="567" w:hanging="567"/>
      </w:pPr>
      <w:r w:rsidRPr="00EE0B84">
        <w:rPr>
          <w:rFonts w:ascii="Times New Roman" w:hAnsi="Times New Roman"/>
        </w:rPr>
        <w:t>Kepenų nepakankamumas, ūminė intoksikacija alkoholiu, lėtinis alkoholizmas.</w:t>
      </w:r>
    </w:p>
    <w:p w14:paraId="0E24AC9A" w14:textId="77777777" w:rsidR="00601C8B" w:rsidRPr="006A2591" w:rsidRDefault="00601C8B" w:rsidP="00E85904">
      <w:pPr>
        <w:pStyle w:val="BTEMEASMCA"/>
      </w:pPr>
    </w:p>
    <w:p w14:paraId="2FFE4286" w14:textId="77777777" w:rsidR="00601C8B" w:rsidRPr="006A2591" w:rsidRDefault="00601C8B" w:rsidP="00601C8B">
      <w:pPr>
        <w:pStyle w:val="PI-2EMEASMCA"/>
        <w:outlineLvl w:val="9"/>
      </w:pPr>
      <w:r w:rsidRPr="006A2591">
        <w:t>4.4</w:t>
      </w:r>
      <w:r w:rsidRPr="006A2591">
        <w:tab/>
        <w:t>Specialūs įspėjimai ir atsargumo priemonės</w:t>
      </w:r>
    </w:p>
    <w:p w14:paraId="484AD975" w14:textId="77777777" w:rsidR="00601C8B" w:rsidRPr="006A2591" w:rsidRDefault="00601C8B" w:rsidP="00601C8B">
      <w:pPr>
        <w:pStyle w:val="Betarp"/>
        <w:rPr>
          <w:rFonts w:ascii="Times New Roman" w:hAnsi="Times New Roman"/>
        </w:rPr>
      </w:pPr>
    </w:p>
    <w:p w14:paraId="7A8541FB" w14:textId="77777777" w:rsidR="00601C8B" w:rsidRPr="00EE0B84" w:rsidRDefault="00601C8B" w:rsidP="00601C8B">
      <w:pPr>
        <w:pStyle w:val="Betarp"/>
        <w:rPr>
          <w:rFonts w:ascii="Times New Roman" w:hAnsi="Times New Roman"/>
          <w:iCs/>
          <w:u w:val="single"/>
        </w:rPr>
      </w:pPr>
      <w:proofErr w:type="spellStart"/>
      <w:r w:rsidRPr="00EE0B84">
        <w:rPr>
          <w:rFonts w:ascii="Times New Roman" w:hAnsi="Times New Roman"/>
          <w:iCs/>
          <w:u w:val="single"/>
        </w:rPr>
        <w:t>Laktatacidozė</w:t>
      </w:r>
      <w:proofErr w:type="spellEnd"/>
      <w:r w:rsidRPr="00EE0B84">
        <w:rPr>
          <w:rFonts w:ascii="Times New Roman" w:hAnsi="Times New Roman"/>
          <w:iCs/>
          <w:u w:val="single"/>
        </w:rPr>
        <w:t xml:space="preserve"> </w:t>
      </w:r>
    </w:p>
    <w:p w14:paraId="65412A46" w14:textId="77777777" w:rsidR="00601C8B" w:rsidRPr="006A2591" w:rsidRDefault="00601C8B" w:rsidP="00601C8B">
      <w:pPr>
        <w:pStyle w:val="Betarp"/>
        <w:rPr>
          <w:rFonts w:ascii="Times New Roman" w:hAnsi="Times New Roman"/>
          <w:b/>
        </w:rPr>
      </w:pPr>
    </w:p>
    <w:p w14:paraId="0FFFB572" w14:textId="77777777" w:rsidR="00601C8B" w:rsidRDefault="00601C8B" w:rsidP="00601C8B">
      <w:pPr>
        <w:pStyle w:val="Betarp"/>
        <w:rPr>
          <w:rFonts w:ascii="Times New Roman" w:hAnsi="Times New Roman"/>
        </w:rPr>
      </w:pPr>
      <w:proofErr w:type="spellStart"/>
      <w:r w:rsidRPr="006A2591">
        <w:rPr>
          <w:rFonts w:ascii="Times New Roman" w:hAnsi="Times New Roman"/>
        </w:rPr>
        <w:t>Laktatacidozė</w:t>
      </w:r>
      <w:proofErr w:type="spellEnd"/>
      <w:r w:rsidRPr="006A2591">
        <w:rPr>
          <w:rFonts w:ascii="Times New Roman" w:hAnsi="Times New Roman"/>
        </w:rPr>
        <w:t xml:space="preserve"> yra labai reta, bet sunki </w:t>
      </w:r>
      <w:proofErr w:type="spellStart"/>
      <w:r w:rsidRPr="006A2591">
        <w:rPr>
          <w:rFonts w:ascii="Times New Roman" w:hAnsi="Times New Roman"/>
        </w:rPr>
        <w:t>metabolinė</w:t>
      </w:r>
      <w:proofErr w:type="spellEnd"/>
      <w:r w:rsidRPr="006A2591">
        <w:rPr>
          <w:rFonts w:ascii="Times New Roman" w:hAnsi="Times New Roman"/>
        </w:rPr>
        <w:t xml:space="preserve"> komplikacija, kuri dažniausiai vystosi ūmiai pablogėjus inkstų funkcijai arba išsivysčius širdies ir kvėpavimo organų ligai, arba sepsiui. Ūmiai pablogėjus inkstų funkcijai, </w:t>
      </w:r>
      <w:proofErr w:type="spellStart"/>
      <w:r w:rsidRPr="006A2591">
        <w:rPr>
          <w:rFonts w:ascii="Times New Roman" w:hAnsi="Times New Roman"/>
        </w:rPr>
        <w:t>metforminas</w:t>
      </w:r>
      <w:proofErr w:type="spellEnd"/>
      <w:r w:rsidRPr="006A2591">
        <w:rPr>
          <w:rFonts w:ascii="Times New Roman" w:hAnsi="Times New Roman"/>
        </w:rPr>
        <w:t xml:space="preserve"> ima kauptis ir tai didina </w:t>
      </w:r>
      <w:proofErr w:type="spellStart"/>
      <w:r w:rsidRPr="006A2591">
        <w:rPr>
          <w:rFonts w:ascii="Times New Roman" w:hAnsi="Times New Roman"/>
        </w:rPr>
        <w:t>laktatacidozės</w:t>
      </w:r>
      <w:proofErr w:type="spellEnd"/>
      <w:r w:rsidRPr="006A2591">
        <w:rPr>
          <w:rFonts w:ascii="Times New Roman" w:hAnsi="Times New Roman"/>
        </w:rPr>
        <w:t xml:space="preserve"> riziką.</w:t>
      </w:r>
    </w:p>
    <w:p w14:paraId="69723EA6" w14:textId="77777777" w:rsidR="00EA5D19" w:rsidRPr="006A2591" w:rsidRDefault="00EA5D19" w:rsidP="00601C8B">
      <w:pPr>
        <w:pStyle w:val="Betarp"/>
        <w:rPr>
          <w:rFonts w:ascii="Times New Roman" w:hAnsi="Times New Roman"/>
        </w:rPr>
      </w:pPr>
    </w:p>
    <w:p w14:paraId="5FE08D1C" w14:textId="77777777" w:rsidR="00601C8B" w:rsidRDefault="00601C8B" w:rsidP="00601C8B">
      <w:pPr>
        <w:pStyle w:val="Betarp"/>
        <w:rPr>
          <w:rFonts w:ascii="Times New Roman" w:hAnsi="Times New Roman"/>
        </w:rPr>
      </w:pPr>
      <w:r w:rsidRPr="006A2591">
        <w:rPr>
          <w:rFonts w:ascii="Times New Roman" w:hAnsi="Times New Roman"/>
        </w:rPr>
        <w:t xml:space="preserve">Atsiradus dehidratacijai dėl, pvz., sunkaus viduriavimo ar vėmimo, karščiavimo ar geriant per mažai skysčių, rekomenduojama </w:t>
      </w:r>
      <w:proofErr w:type="spellStart"/>
      <w:r w:rsidRPr="006A2591">
        <w:rPr>
          <w:rFonts w:ascii="Times New Roman" w:hAnsi="Times New Roman"/>
        </w:rPr>
        <w:t>metformino</w:t>
      </w:r>
      <w:proofErr w:type="spellEnd"/>
      <w:r w:rsidRPr="006A2591">
        <w:rPr>
          <w:rFonts w:ascii="Times New Roman" w:hAnsi="Times New Roman"/>
        </w:rPr>
        <w:t xml:space="preserve"> vartojimą laikinai nutraukti ir kreiptis į sveikatos priežiūros specialistą.</w:t>
      </w:r>
    </w:p>
    <w:p w14:paraId="1BFEC3FA" w14:textId="77777777" w:rsidR="00961181" w:rsidRPr="006A2591" w:rsidRDefault="00961181" w:rsidP="00601C8B">
      <w:pPr>
        <w:pStyle w:val="Betarp"/>
        <w:rPr>
          <w:rFonts w:ascii="Times New Roman" w:hAnsi="Times New Roman"/>
        </w:rPr>
      </w:pPr>
    </w:p>
    <w:p w14:paraId="44925BF0" w14:textId="33186000" w:rsidR="00601C8B" w:rsidRDefault="00601C8B" w:rsidP="00601C8B">
      <w:pPr>
        <w:pStyle w:val="Betarp"/>
        <w:rPr>
          <w:rFonts w:ascii="Times New Roman" w:hAnsi="Times New Roman"/>
        </w:rPr>
      </w:pPr>
      <w:proofErr w:type="spellStart"/>
      <w:r w:rsidRPr="006A2591">
        <w:rPr>
          <w:rFonts w:ascii="Times New Roman" w:hAnsi="Times New Roman"/>
        </w:rPr>
        <w:t>Metforminą</w:t>
      </w:r>
      <w:proofErr w:type="spellEnd"/>
      <w:r w:rsidRPr="006A2591">
        <w:rPr>
          <w:rFonts w:ascii="Times New Roman" w:hAnsi="Times New Roman"/>
        </w:rPr>
        <w:t xml:space="preserve"> vartojantiems pacientams skirti vaistų, kurie gali greitai pabloginti inkstų funkciją (pvz., </w:t>
      </w:r>
      <w:proofErr w:type="spellStart"/>
      <w:r w:rsidRPr="006A2591">
        <w:rPr>
          <w:rFonts w:ascii="Times New Roman" w:hAnsi="Times New Roman"/>
        </w:rPr>
        <w:t>antihipertenzinių</w:t>
      </w:r>
      <w:proofErr w:type="spellEnd"/>
      <w:r w:rsidRPr="006A2591">
        <w:rPr>
          <w:rFonts w:ascii="Times New Roman" w:hAnsi="Times New Roman"/>
        </w:rPr>
        <w:t xml:space="preserve">, šlapimą varančių ar nesteroidinių vaistų nuo uždegimo) reikia atsargiai. Kiti </w:t>
      </w:r>
      <w:proofErr w:type="spellStart"/>
      <w:r w:rsidRPr="006A2591">
        <w:rPr>
          <w:rFonts w:ascii="Times New Roman" w:hAnsi="Times New Roman"/>
        </w:rPr>
        <w:t>laktatacidozės</w:t>
      </w:r>
      <w:proofErr w:type="spellEnd"/>
      <w:r w:rsidRPr="006A2591">
        <w:rPr>
          <w:rFonts w:ascii="Times New Roman" w:hAnsi="Times New Roman"/>
        </w:rPr>
        <w:t xml:space="preserve"> rizikos veiksniai yra gausus alkoholio vartojimas, kepenų nepakankamumas, nepakankamai kontroliuojamas diabetas, ketozė, ilgas badavimas ir bet kokios hipoksiją sukeliančios būklės, taip pat kitų vaistų, galinčių sukelti </w:t>
      </w:r>
      <w:proofErr w:type="spellStart"/>
      <w:r w:rsidRPr="006A2591">
        <w:rPr>
          <w:rFonts w:ascii="Times New Roman" w:hAnsi="Times New Roman"/>
        </w:rPr>
        <w:t>laktatacidozę</w:t>
      </w:r>
      <w:proofErr w:type="spellEnd"/>
      <w:r w:rsidRPr="006A2591">
        <w:rPr>
          <w:rFonts w:ascii="Times New Roman" w:hAnsi="Times New Roman"/>
        </w:rPr>
        <w:t xml:space="preserve">, vartojimas kartu su </w:t>
      </w:r>
      <w:proofErr w:type="spellStart"/>
      <w:r w:rsidRPr="006A2591">
        <w:rPr>
          <w:rFonts w:ascii="Times New Roman" w:hAnsi="Times New Roman"/>
        </w:rPr>
        <w:t>metforminu</w:t>
      </w:r>
      <w:proofErr w:type="spellEnd"/>
      <w:r w:rsidRPr="006A2591">
        <w:rPr>
          <w:rFonts w:ascii="Times New Roman" w:hAnsi="Times New Roman"/>
        </w:rPr>
        <w:t xml:space="preserve"> (žr. 4.3 ir 4.5</w:t>
      </w:r>
      <w:r w:rsidR="00872425">
        <w:rPr>
          <w:rFonts w:ascii="Times New Roman" w:hAnsi="Times New Roman"/>
        </w:rPr>
        <w:t> s</w:t>
      </w:r>
      <w:r w:rsidRPr="006A2591">
        <w:rPr>
          <w:rFonts w:ascii="Times New Roman" w:hAnsi="Times New Roman"/>
        </w:rPr>
        <w:t>kyrius).</w:t>
      </w:r>
    </w:p>
    <w:p w14:paraId="666A9773" w14:textId="77777777" w:rsidR="00961181" w:rsidRPr="006A2591" w:rsidRDefault="00961181" w:rsidP="00601C8B">
      <w:pPr>
        <w:pStyle w:val="Betarp"/>
        <w:rPr>
          <w:rFonts w:ascii="Times New Roman" w:hAnsi="Times New Roman"/>
        </w:rPr>
      </w:pPr>
    </w:p>
    <w:p w14:paraId="4BA44A0F" w14:textId="5D722998" w:rsidR="00601C8B" w:rsidRDefault="00601C8B" w:rsidP="00601C8B">
      <w:pPr>
        <w:pStyle w:val="Betarp"/>
        <w:rPr>
          <w:rFonts w:ascii="Times New Roman" w:hAnsi="Times New Roman"/>
        </w:rPr>
      </w:pPr>
      <w:r w:rsidRPr="006A2591">
        <w:rPr>
          <w:rFonts w:ascii="Times New Roman" w:hAnsi="Times New Roman"/>
        </w:rPr>
        <w:t xml:space="preserve">Pacientus ir </w:t>
      </w:r>
      <w:r>
        <w:rPr>
          <w:rFonts w:ascii="Times New Roman" w:hAnsi="Times New Roman"/>
        </w:rPr>
        <w:t xml:space="preserve">(arba) globėjus </w:t>
      </w:r>
      <w:r w:rsidRPr="006A2591">
        <w:rPr>
          <w:rFonts w:ascii="Times New Roman" w:hAnsi="Times New Roman"/>
        </w:rPr>
        <w:t xml:space="preserve">būtina informuoti apie </w:t>
      </w:r>
      <w:proofErr w:type="spellStart"/>
      <w:r w:rsidRPr="006A2591">
        <w:rPr>
          <w:rFonts w:ascii="Times New Roman" w:hAnsi="Times New Roman"/>
        </w:rPr>
        <w:t>laktatacidozės</w:t>
      </w:r>
      <w:proofErr w:type="spellEnd"/>
      <w:r w:rsidRPr="006A2591">
        <w:rPr>
          <w:rFonts w:ascii="Times New Roman" w:hAnsi="Times New Roman"/>
        </w:rPr>
        <w:t xml:space="preserve"> pavojų.</w:t>
      </w:r>
      <w:r w:rsidR="00961181">
        <w:rPr>
          <w:rFonts w:ascii="Times New Roman" w:hAnsi="Times New Roman"/>
        </w:rPr>
        <w:t xml:space="preserve"> </w:t>
      </w:r>
      <w:proofErr w:type="spellStart"/>
      <w:r w:rsidRPr="006A2591">
        <w:rPr>
          <w:rFonts w:ascii="Times New Roman" w:hAnsi="Times New Roman"/>
        </w:rPr>
        <w:t>Laktatacidozė</w:t>
      </w:r>
      <w:proofErr w:type="spellEnd"/>
      <w:r w:rsidRPr="006A2591">
        <w:rPr>
          <w:rFonts w:ascii="Times New Roman" w:hAnsi="Times New Roman"/>
        </w:rPr>
        <w:t xml:space="preserve"> pasireiškia </w:t>
      </w:r>
      <w:proofErr w:type="spellStart"/>
      <w:r w:rsidRPr="006A2591">
        <w:rPr>
          <w:rFonts w:ascii="Times New Roman" w:hAnsi="Times New Roman"/>
        </w:rPr>
        <w:t>acidoziniu</w:t>
      </w:r>
      <w:proofErr w:type="spellEnd"/>
      <w:r w:rsidRPr="006A2591">
        <w:rPr>
          <w:rFonts w:ascii="Times New Roman" w:hAnsi="Times New Roman"/>
        </w:rPr>
        <w:t xml:space="preserve"> dusuliu, pilvo skausmais, raumenų mėšlungiu, </w:t>
      </w:r>
      <w:proofErr w:type="spellStart"/>
      <w:r w:rsidRPr="006A2591">
        <w:rPr>
          <w:rFonts w:ascii="Times New Roman" w:hAnsi="Times New Roman"/>
        </w:rPr>
        <w:t>astenija</w:t>
      </w:r>
      <w:proofErr w:type="spellEnd"/>
      <w:r w:rsidRPr="006A2591">
        <w:rPr>
          <w:rFonts w:ascii="Times New Roman" w:hAnsi="Times New Roman"/>
        </w:rPr>
        <w:t xml:space="preserve"> ir hipotermija, po </w:t>
      </w:r>
      <w:r>
        <w:rPr>
          <w:rFonts w:ascii="Times New Roman" w:hAnsi="Times New Roman"/>
        </w:rPr>
        <w:t>kurių</w:t>
      </w:r>
      <w:r w:rsidRPr="006A2591">
        <w:rPr>
          <w:rFonts w:ascii="Times New Roman" w:hAnsi="Times New Roman"/>
        </w:rPr>
        <w:t xml:space="preserve"> vystosi koma. Atsiradus minėtiems požymiams, reikia nutraukti </w:t>
      </w:r>
      <w:proofErr w:type="spellStart"/>
      <w:r w:rsidRPr="006A2591">
        <w:rPr>
          <w:rFonts w:ascii="Times New Roman" w:hAnsi="Times New Roman"/>
        </w:rPr>
        <w:t>metformino</w:t>
      </w:r>
      <w:proofErr w:type="spellEnd"/>
      <w:r w:rsidRPr="006A2591">
        <w:rPr>
          <w:rFonts w:ascii="Times New Roman" w:hAnsi="Times New Roman"/>
        </w:rPr>
        <w:t xml:space="preserve"> vartojimą ir nedelsiant kreiptis į medicinos įstaigą.</w:t>
      </w:r>
      <w:r w:rsidR="00961181">
        <w:rPr>
          <w:rFonts w:ascii="Times New Roman" w:hAnsi="Times New Roman"/>
        </w:rPr>
        <w:t xml:space="preserve"> </w:t>
      </w:r>
      <w:r w:rsidRPr="006A2591">
        <w:rPr>
          <w:rFonts w:ascii="Times New Roman" w:hAnsi="Times New Roman"/>
        </w:rPr>
        <w:t>Diagnostiniai laboratoriniai kriterijai yra tokie: sumažėjęs kraujo pH (&lt;</w:t>
      </w:r>
      <w:r w:rsidR="00961181">
        <w:rPr>
          <w:rFonts w:ascii="Times New Roman" w:hAnsi="Times New Roman"/>
        </w:rPr>
        <w:t> </w:t>
      </w:r>
      <w:r w:rsidRPr="006A2591">
        <w:rPr>
          <w:rFonts w:ascii="Times New Roman" w:hAnsi="Times New Roman"/>
        </w:rPr>
        <w:t>7,35), padidėjusi (&gt;</w:t>
      </w:r>
      <w:r w:rsidR="00961181">
        <w:rPr>
          <w:rFonts w:ascii="Times New Roman" w:hAnsi="Times New Roman"/>
        </w:rPr>
        <w:t> </w:t>
      </w:r>
      <w:r w:rsidRPr="006A2591">
        <w:rPr>
          <w:rFonts w:ascii="Times New Roman" w:hAnsi="Times New Roman"/>
        </w:rPr>
        <w:t>5</w:t>
      </w:r>
      <w:r w:rsidRPr="0078470E">
        <w:rPr>
          <w:rFonts w:ascii="Times New Roman" w:hAnsi="Times New Roman"/>
        </w:rPr>
        <w:t> </w:t>
      </w:r>
      <w:proofErr w:type="spellStart"/>
      <w:r w:rsidRPr="006A2591">
        <w:rPr>
          <w:rFonts w:ascii="Times New Roman" w:hAnsi="Times New Roman"/>
        </w:rPr>
        <w:t>mmol</w:t>
      </w:r>
      <w:proofErr w:type="spellEnd"/>
      <w:r w:rsidRPr="006A2591">
        <w:rPr>
          <w:rFonts w:ascii="Times New Roman" w:hAnsi="Times New Roman"/>
        </w:rPr>
        <w:t xml:space="preserve">/l) laktatų koncentracija kraujo plazmoje, padidėjęs anijoninis tarpas bei laktatų ir </w:t>
      </w:r>
      <w:proofErr w:type="spellStart"/>
      <w:r w:rsidRPr="006A2591">
        <w:rPr>
          <w:rFonts w:ascii="Times New Roman" w:hAnsi="Times New Roman"/>
        </w:rPr>
        <w:t>piruvatų</w:t>
      </w:r>
      <w:proofErr w:type="spellEnd"/>
      <w:r w:rsidRPr="006A2591">
        <w:rPr>
          <w:rFonts w:ascii="Times New Roman" w:hAnsi="Times New Roman"/>
        </w:rPr>
        <w:t xml:space="preserve"> santykis. </w:t>
      </w:r>
    </w:p>
    <w:p w14:paraId="260000B5" w14:textId="77777777" w:rsidR="00961181" w:rsidRPr="006A2591" w:rsidRDefault="00961181" w:rsidP="00601C8B">
      <w:pPr>
        <w:pStyle w:val="Betarp"/>
        <w:rPr>
          <w:rFonts w:ascii="Times New Roman" w:hAnsi="Times New Roman"/>
        </w:rPr>
      </w:pPr>
    </w:p>
    <w:p w14:paraId="341A7F7A" w14:textId="509F8459" w:rsidR="00B12C10" w:rsidRDefault="00601C8B" w:rsidP="00601C8B">
      <w:pPr>
        <w:pStyle w:val="Betarp"/>
        <w:rPr>
          <w:rFonts w:ascii="Times New Roman" w:hAnsi="Times New Roman"/>
        </w:rPr>
      </w:pPr>
      <w:r w:rsidRPr="006A2591">
        <w:rPr>
          <w:rFonts w:ascii="Times New Roman" w:hAnsi="Times New Roman"/>
        </w:rPr>
        <w:t xml:space="preserve">Gydytojai turėtų įspėti pacientus apie </w:t>
      </w:r>
      <w:proofErr w:type="spellStart"/>
      <w:r w:rsidRPr="006A2591">
        <w:rPr>
          <w:rFonts w:ascii="Times New Roman" w:hAnsi="Times New Roman"/>
        </w:rPr>
        <w:t>laktatacidozės</w:t>
      </w:r>
      <w:proofErr w:type="spellEnd"/>
      <w:r w:rsidRPr="006A2591">
        <w:rPr>
          <w:rFonts w:ascii="Times New Roman" w:hAnsi="Times New Roman"/>
        </w:rPr>
        <w:t xml:space="preserve"> riziką ir supažindinti su jos požymiais.</w:t>
      </w:r>
    </w:p>
    <w:p w14:paraId="12A51EC8" w14:textId="639A86F7" w:rsidR="00B12C10" w:rsidRDefault="00B12C10" w:rsidP="00601C8B">
      <w:pPr>
        <w:pStyle w:val="Betarp"/>
        <w:rPr>
          <w:rFonts w:ascii="Times New Roman" w:hAnsi="Times New Roman"/>
        </w:rPr>
      </w:pPr>
    </w:p>
    <w:p w14:paraId="67FF18BA" w14:textId="77777777" w:rsidR="00B12C10" w:rsidRPr="00725698" w:rsidRDefault="00B12C10" w:rsidP="00B12C10">
      <w:pPr>
        <w:autoSpaceDE w:val="0"/>
        <w:autoSpaceDN w:val="0"/>
        <w:adjustRightInd w:val="0"/>
        <w:rPr>
          <w:rFonts w:eastAsiaTheme="minorHAnsi"/>
          <w:bCs/>
          <w:iCs/>
          <w:color w:val="000000"/>
          <w:szCs w:val="22"/>
          <w:u w:val="single"/>
          <w:lang w:eastAsia="en-US"/>
        </w:rPr>
      </w:pPr>
      <w:bookmarkStart w:id="2" w:name="_Hlk189574110"/>
      <w:r w:rsidRPr="00725698">
        <w:rPr>
          <w:rFonts w:eastAsiaTheme="minorHAnsi"/>
          <w:bCs/>
          <w:iCs/>
          <w:color w:val="000000"/>
          <w:szCs w:val="22"/>
          <w:u w:val="single"/>
          <w:lang w:eastAsia="en-US"/>
        </w:rPr>
        <w:t xml:space="preserve">Pacientai, kuriems diagnozuotos arba įtariamos </w:t>
      </w:r>
      <w:proofErr w:type="spellStart"/>
      <w:r w:rsidRPr="00725698">
        <w:rPr>
          <w:rFonts w:eastAsiaTheme="minorHAnsi"/>
          <w:bCs/>
          <w:iCs/>
          <w:color w:val="000000"/>
          <w:szCs w:val="22"/>
          <w:u w:val="single"/>
          <w:lang w:eastAsia="en-US"/>
        </w:rPr>
        <w:t>mitochondrinės</w:t>
      </w:r>
      <w:proofErr w:type="spellEnd"/>
      <w:r w:rsidRPr="00725698">
        <w:rPr>
          <w:rFonts w:eastAsiaTheme="minorHAnsi"/>
          <w:bCs/>
          <w:iCs/>
          <w:color w:val="000000"/>
          <w:szCs w:val="22"/>
          <w:u w:val="single"/>
          <w:lang w:eastAsia="en-US"/>
        </w:rPr>
        <w:t xml:space="preserve"> ligos </w:t>
      </w:r>
    </w:p>
    <w:p w14:paraId="4064941A" w14:textId="77777777" w:rsidR="00B12C10" w:rsidRPr="00725698" w:rsidRDefault="00B12C10" w:rsidP="00B12C10">
      <w:pPr>
        <w:autoSpaceDE w:val="0"/>
        <w:autoSpaceDN w:val="0"/>
        <w:adjustRightInd w:val="0"/>
        <w:rPr>
          <w:rFonts w:eastAsiaTheme="minorHAnsi"/>
          <w:color w:val="000000"/>
          <w:szCs w:val="22"/>
          <w:lang w:eastAsia="en-US"/>
        </w:rPr>
      </w:pPr>
    </w:p>
    <w:p w14:paraId="6D927EF0" w14:textId="0414F53E" w:rsidR="00B12C10" w:rsidRPr="00725698" w:rsidRDefault="00B12C10" w:rsidP="00B12C10">
      <w:pPr>
        <w:autoSpaceDE w:val="0"/>
        <w:autoSpaceDN w:val="0"/>
        <w:adjustRightInd w:val="0"/>
        <w:rPr>
          <w:rFonts w:eastAsiaTheme="minorHAnsi"/>
          <w:color w:val="000000"/>
          <w:szCs w:val="22"/>
          <w:lang w:eastAsia="en-US"/>
        </w:rPr>
      </w:pPr>
      <w:r w:rsidRPr="00725698">
        <w:rPr>
          <w:rFonts w:eastAsiaTheme="minorHAnsi"/>
          <w:bCs/>
          <w:color w:val="000000"/>
          <w:szCs w:val="22"/>
          <w:lang w:eastAsia="en-US"/>
        </w:rPr>
        <w:t xml:space="preserve">Pacientams, kuriems diagnozuotos </w:t>
      </w:r>
      <w:proofErr w:type="spellStart"/>
      <w:r w:rsidRPr="00725698">
        <w:rPr>
          <w:rFonts w:eastAsiaTheme="minorHAnsi"/>
          <w:bCs/>
          <w:color w:val="000000"/>
          <w:szCs w:val="22"/>
          <w:lang w:eastAsia="en-US"/>
        </w:rPr>
        <w:t>mitochondrinės</w:t>
      </w:r>
      <w:proofErr w:type="spellEnd"/>
      <w:r w:rsidRPr="00725698">
        <w:rPr>
          <w:rFonts w:eastAsiaTheme="minorHAnsi"/>
          <w:bCs/>
          <w:color w:val="000000"/>
          <w:szCs w:val="22"/>
          <w:lang w:eastAsia="en-US"/>
        </w:rPr>
        <w:t xml:space="preserve"> ligos, pvz., </w:t>
      </w:r>
      <w:proofErr w:type="spellStart"/>
      <w:r w:rsidRPr="00725698">
        <w:rPr>
          <w:rFonts w:eastAsiaTheme="minorHAnsi"/>
          <w:bCs/>
          <w:color w:val="000000"/>
          <w:szCs w:val="22"/>
          <w:lang w:eastAsia="en-US"/>
        </w:rPr>
        <w:t>mitochondrinės</w:t>
      </w:r>
      <w:proofErr w:type="spellEnd"/>
      <w:r w:rsidRPr="00725698">
        <w:rPr>
          <w:rFonts w:eastAsiaTheme="minorHAnsi"/>
          <w:bCs/>
          <w:color w:val="000000"/>
          <w:szCs w:val="22"/>
          <w:lang w:eastAsia="en-US"/>
        </w:rPr>
        <w:t xml:space="preserve"> </w:t>
      </w:r>
      <w:proofErr w:type="spellStart"/>
      <w:r w:rsidRPr="00725698">
        <w:rPr>
          <w:rFonts w:eastAsiaTheme="minorHAnsi"/>
          <w:bCs/>
          <w:color w:val="000000"/>
          <w:szCs w:val="22"/>
          <w:lang w:eastAsia="en-US"/>
        </w:rPr>
        <w:t>encefalopatijos</w:t>
      </w:r>
      <w:proofErr w:type="spellEnd"/>
      <w:r w:rsidRPr="00725698">
        <w:rPr>
          <w:rFonts w:eastAsiaTheme="minorHAnsi"/>
          <w:bCs/>
          <w:color w:val="000000"/>
          <w:szCs w:val="22"/>
          <w:lang w:eastAsia="en-US"/>
        </w:rPr>
        <w:t xml:space="preserve"> su pieno rūgšties </w:t>
      </w:r>
      <w:proofErr w:type="spellStart"/>
      <w:r w:rsidRPr="00725698">
        <w:rPr>
          <w:rFonts w:eastAsiaTheme="minorHAnsi"/>
          <w:bCs/>
          <w:color w:val="000000"/>
          <w:szCs w:val="22"/>
          <w:lang w:eastAsia="en-US"/>
        </w:rPr>
        <w:t>acidoze</w:t>
      </w:r>
      <w:proofErr w:type="spellEnd"/>
      <w:r w:rsidRPr="00725698">
        <w:rPr>
          <w:rFonts w:eastAsiaTheme="minorHAnsi"/>
          <w:bCs/>
          <w:color w:val="000000"/>
          <w:szCs w:val="22"/>
          <w:lang w:eastAsia="en-US"/>
        </w:rPr>
        <w:t xml:space="preserve"> ir į insultą panašiais epizodais (angl. </w:t>
      </w:r>
      <w:proofErr w:type="spellStart"/>
      <w:r w:rsidRPr="00725698">
        <w:rPr>
          <w:rFonts w:eastAsiaTheme="minorHAnsi"/>
          <w:bCs/>
          <w:i/>
          <w:iCs/>
          <w:color w:val="000000"/>
          <w:szCs w:val="22"/>
          <w:lang w:eastAsia="en-US"/>
        </w:rPr>
        <w:t>Mitochondrial</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encephalomyopathy</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with</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lactic</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acidosis</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and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stroke-like</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episodes</w:t>
      </w:r>
      <w:proofErr w:type="spellEnd"/>
      <w:r w:rsidRPr="00725698">
        <w:rPr>
          <w:rFonts w:eastAsiaTheme="minorHAnsi"/>
          <w:bCs/>
          <w:color w:val="000000"/>
          <w:szCs w:val="22"/>
          <w:lang w:eastAsia="en-US"/>
        </w:rPr>
        <w:t xml:space="preserve">, </w:t>
      </w:r>
      <w:r w:rsidRPr="00725698">
        <w:rPr>
          <w:rFonts w:eastAsiaTheme="minorHAnsi"/>
          <w:bCs/>
          <w:i/>
          <w:iCs/>
          <w:color w:val="000000"/>
          <w:szCs w:val="22"/>
          <w:lang w:eastAsia="en-US"/>
        </w:rPr>
        <w:t>MELAS</w:t>
      </w:r>
      <w:r w:rsidRPr="00725698">
        <w:rPr>
          <w:rFonts w:eastAsiaTheme="minorHAnsi"/>
          <w:bCs/>
          <w:color w:val="000000"/>
          <w:szCs w:val="22"/>
          <w:lang w:eastAsia="en-US"/>
        </w:rPr>
        <w:t>) sindromas</w:t>
      </w:r>
      <w:r w:rsidR="00330A2C">
        <w:rPr>
          <w:rFonts w:eastAsiaTheme="minorHAnsi"/>
          <w:bCs/>
          <w:color w:val="000000"/>
          <w:szCs w:val="22"/>
          <w:lang w:eastAsia="en-US"/>
        </w:rPr>
        <w:t>,</w:t>
      </w:r>
      <w:r w:rsidRPr="00725698">
        <w:rPr>
          <w:rFonts w:eastAsiaTheme="minorHAnsi"/>
          <w:bCs/>
          <w:color w:val="000000"/>
          <w:szCs w:val="22"/>
          <w:lang w:eastAsia="en-US"/>
        </w:rPr>
        <w:t xml:space="preserve"> ir iš motinos paveldėtas diabetas bei kurtumas (angl. </w:t>
      </w:r>
      <w:proofErr w:type="spellStart"/>
      <w:r w:rsidRPr="00725698">
        <w:rPr>
          <w:rFonts w:eastAsiaTheme="minorHAnsi"/>
          <w:bCs/>
          <w:i/>
          <w:iCs/>
          <w:color w:val="000000"/>
          <w:szCs w:val="22"/>
          <w:lang w:eastAsia="en-US"/>
        </w:rPr>
        <w:t>Maternal</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inherited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diabetes</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and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deafness</w:t>
      </w:r>
      <w:proofErr w:type="spellEnd"/>
      <w:r w:rsidRPr="00725698">
        <w:rPr>
          <w:rFonts w:eastAsiaTheme="minorHAnsi"/>
          <w:bCs/>
          <w:color w:val="000000"/>
          <w:szCs w:val="22"/>
          <w:lang w:eastAsia="en-US"/>
        </w:rPr>
        <w:t xml:space="preserve">, </w:t>
      </w:r>
      <w:r w:rsidRPr="00725698">
        <w:rPr>
          <w:rFonts w:eastAsiaTheme="minorHAnsi"/>
          <w:bCs/>
          <w:i/>
          <w:iCs/>
          <w:color w:val="000000"/>
          <w:szCs w:val="22"/>
          <w:lang w:eastAsia="en-US"/>
        </w:rPr>
        <w:t>MIDD</w:t>
      </w:r>
      <w:r w:rsidRPr="00725698">
        <w:rPr>
          <w:rFonts w:eastAsiaTheme="minorHAnsi"/>
          <w:bCs/>
          <w:color w:val="000000"/>
          <w:szCs w:val="22"/>
          <w:lang w:eastAsia="en-US"/>
        </w:rPr>
        <w:t xml:space="preserve">), </w:t>
      </w:r>
      <w:proofErr w:type="spellStart"/>
      <w:r w:rsidRPr="00725698">
        <w:rPr>
          <w:rFonts w:eastAsiaTheme="minorHAnsi"/>
          <w:bCs/>
          <w:color w:val="000000"/>
          <w:szCs w:val="22"/>
          <w:lang w:eastAsia="en-US"/>
        </w:rPr>
        <w:t>metformino</w:t>
      </w:r>
      <w:proofErr w:type="spellEnd"/>
      <w:r w:rsidRPr="00725698">
        <w:rPr>
          <w:rFonts w:eastAsiaTheme="minorHAnsi"/>
          <w:bCs/>
          <w:color w:val="000000"/>
          <w:szCs w:val="22"/>
          <w:lang w:eastAsia="en-US"/>
        </w:rPr>
        <w:t xml:space="preserve"> vartoti nerekomenduojama dėl pieno rūgšties </w:t>
      </w:r>
      <w:proofErr w:type="spellStart"/>
      <w:r w:rsidRPr="00725698">
        <w:rPr>
          <w:rFonts w:eastAsiaTheme="minorHAnsi"/>
          <w:bCs/>
          <w:color w:val="000000"/>
          <w:szCs w:val="22"/>
          <w:lang w:eastAsia="en-US"/>
        </w:rPr>
        <w:t>acidozės</w:t>
      </w:r>
      <w:proofErr w:type="spellEnd"/>
      <w:r w:rsidRPr="00725698">
        <w:rPr>
          <w:rFonts w:eastAsiaTheme="minorHAnsi"/>
          <w:bCs/>
          <w:color w:val="000000"/>
          <w:szCs w:val="22"/>
          <w:lang w:eastAsia="en-US"/>
        </w:rPr>
        <w:t xml:space="preserve"> paūmėjimo ir neurologinių komplikacijų, dėl kurių gali pasunkėti liga, rizikos. </w:t>
      </w:r>
    </w:p>
    <w:p w14:paraId="3A38A74B" w14:textId="281CA0B2" w:rsidR="00B12C10" w:rsidRPr="006A2591" w:rsidRDefault="00B12C10" w:rsidP="00B12C10">
      <w:pPr>
        <w:pStyle w:val="Betarp"/>
        <w:rPr>
          <w:rFonts w:ascii="Times New Roman" w:hAnsi="Times New Roman"/>
        </w:rPr>
      </w:pPr>
      <w:r w:rsidRPr="00725698">
        <w:rPr>
          <w:rFonts w:ascii="Times New Roman" w:eastAsiaTheme="minorHAnsi" w:hAnsi="Times New Roman"/>
          <w:bCs/>
          <w:color w:val="000000"/>
        </w:rPr>
        <w:t xml:space="preserve">Jei pavartojus </w:t>
      </w:r>
      <w:proofErr w:type="spellStart"/>
      <w:r w:rsidRPr="00725698">
        <w:rPr>
          <w:rFonts w:ascii="Times New Roman" w:eastAsiaTheme="minorHAnsi" w:hAnsi="Times New Roman"/>
          <w:bCs/>
          <w:color w:val="000000"/>
        </w:rPr>
        <w:t>metformino</w:t>
      </w:r>
      <w:proofErr w:type="spellEnd"/>
      <w:r w:rsidRPr="00725698">
        <w:rPr>
          <w:rFonts w:ascii="Times New Roman" w:eastAsiaTheme="minorHAnsi" w:hAnsi="Times New Roman"/>
          <w:bCs/>
          <w:color w:val="000000"/>
        </w:rPr>
        <w:t xml:space="preserve"> atsiranda požymių ir simptomų, būdingų </w:t>
      </w:r>
      <w:r w:rsidRPr="00725698">
        <w:rPr>
          <w:rFonts w:ascii="Times New Roman" w:eastAsiaTheme="minorHAnsi" w:hAnsi="Times New Roman"/>
          <w:bCs/>
          <w:i/>
          <w:iCs/>
          <w:color w:val="000000"/>
        </w:rPr>
        <w:t xml:space="preserve">MELAS </w:t>
      </w:r>
      <w:r w:rsidRPr="00725698">
        <w:rPr>
          <w:rFonts w:ascii="Times New Roman" w:eastAsiaTheme="minorHAnsi" w:hAnsi="Times New Roman"/>
          <w:bCs/>
          <w:color w:val="000000"/>
        </w:rPr>
        <w:t xml:space="preserve">sindromui arba </w:t>
      </w:r>
      <w:r w:rsidRPr="00725698">
        <w:rPr>
          <w:rFonts w:ascii="Times New Roman" w:eastAsiaTheme="minorHAnsi" w:hAnsi="Times New Roman"/>
          <w:bCs/>
          <w:i/>
          <w:iCs/>
          <w:color w:val="000000"/>
        </w:rPr>
        <w:t>MIDD</w:t>
      </w:r>
      <w:r w:rsidRPr="00725698">
        <w:rPr>
          <w:rFonts w:ascii="Times New Roman" w:eastAsiaTheme="minorHAnsi" w:hAnsi="Times New Roman"/>
          <w:bCs/>
          <w:color w:val="000000"/>
        </w:rPr>
        <w:t xml:space="preserve">, reikia nedelsiant nutraukti gydymą </w:t>
      </w:r>
      <w:proofErr w:type="spellStart"/>
      <w:r w:rsidRPr="00725698">
        <w:rPr>
          <w:rFonts w:ascii="Times New Roman" w:eastAsiaTheme="minorHAnsi" w:hAnsi="Times New Roman"/>
          <w:bCs/>
          <w:color w:val="000000"/>
        </w:rPr>
        <w:t>metforminu</w:t>
      </w:r>
      <w:proofErr w:type="spellEnd"/>
      <w:r w:rsidRPr="00725698">
        <w:rPr>
          <w:rFonts w:ascii="Times New Roman" w:eastAsiaTheme="minorHAnsi" w:hAnsi="Times New Roman"/>
          <w:bCs/>
          <w:color w:val="000000"/>
        </w:rPr>
        <w:t xml:space="preserve"> ir greitai atlikti diagnostinį įvertinimą.</w:t>
      </w:r>
      <w:bookmarkEnd w:id="2"/>
    </w:p>
    <w:p w14:paraId="138AE4CE" w14:textId="77777777" w:rsidR="00601C8B" w:rsidRPr="006A2591" w:rsidRDefault="00601C8B" w:rsidP="00601C8B">
      <w:pPr>
        <w:pStyle w:val="Betarp"/>
        <w:rPr>
          <w:rFonts w:ascii="Times New Roman" w:hAnsi="Times New Roman"/>
        </w:rPr>
      </w:pPr>
    </w:p>
    <w:p w14:paraId="52787632"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Inkstų funkcija</w:t>
      </w:r>
    </w:p>
    <w:p w14:paraId="725B4151" w14:textId="77777777" w:rsidR="00601C8B" w:rsidRPr="006A2591" w:rsidRDefault="00601C8B" w:rsidP="00601C8B">
      <w:pPr>
        <w:pStyle w:val="Betarp"/>
        <w:rPr>
          <w:rFonts w:ascii="Times New Roman" w:hAnsi="Times New Roman"/>
          <w:u w:val="single"/>
        </w:rPr>
      </w:pPr>
    </w:p>
    <w:p w14:paraId="31E5A282" w14:textId="010125C7" w:rsidR="00601C8B" w:rsidRPr="006A2591" w:rsidRDefault="00601C8B" w:rsidP="00601C8B">
      <w:pPr>
        <w:pStyle w:val="Betarp"/>
        <w:rPr>
          <w:rFonts w:ascii="Times New Roman" w:hAnsi="Times New Roman"/>
        </w:rPr>
      </w:pPr>
      <w:r w:rsidRPr="006A2591">
        <w:rPr>
          <w:rFonts w:ascii="Times New Roman" w:hAnsi="Times New Roman"/>
        </w:rPr>
        <w:t xml:space="preserve">Prieš pradedant gydyti </w:t>
      </w:r>
      <w:proofErr w:type="spellStart"/>
      <w:r w:rsidRPr="006A2591">
        <w:rPr>
          <w:rFonts w:ascii="Times New Roman" w:hAnsi="Times New Roman"/>
        </w:rPr>
        <w:t>metforminu</w:t>
      </w:r>
      <w:proofErr w:type="spellEnd"/>
      <w:r w:rsidRPr="006A2591">
        <w:rPr>
          <w:rFonts w:ascii="Times New Roman" w:hAnsi="Times New Roman"/>
        </w:rPr>
        <w:t xml:space="preserve"> ir periodiškai po to būtina nustatyti GFG, žr. 4.2</w:t>
      </w:r>
      <w:r w:rsidR="00961181">
        <w:rPr>
          <w:rFonts w:ascii="Times New Roman" w:hAnsi="Times New Roman"/>
        </w:rPr>
        <w:t> </w:t>
      </w:r>
      <w:r w:rsidRPr="006A2591">
        <w:rPr>
          <w:rFonts w:ascii="Times New Roman" w:hAnsi="Times New Roman"/>
        </w:rPr>
        <w:t xml:space="preserve">skyrių. </w:t>
      </w:r>
      <w:proofErr w:type="spellStart"/>
      <w:r w:rsidRPr="006A2591">
        <w:rPr>
          <w:rFonts w:ascii="Times New Roman" w:hAnsi="Times New Roman"/>
        </w:rPr>
        <w:t>Metformino</w:t>
      </w:r>
      <w:proofErr w:type="spellEnd"/>
      <w:r w:rsidRPr="006A2591">
        <w:rPr>
          <w:rFonts w:ascii="Times New Roman" w:hAnsi="Times New Roman"/>
        </w:rPr>
        <w:t xml:space="preserve"> draudžiama skirti pacientams, kurių GF</w:t>
      </w:r>
      <w:r>
        <w:rPr>
          <w:rFonts w:ascii="Times New Roman" w:hAnsi="Times New Roman"/>
        </w:rPr>
        <w:t>G</w:t>
      </w:r>
      <w:r w:rsidRPr="006A2591">
        <w:rPr>
          <w:rFonts w:ascii="Times New Roman" w:hAnsi="Times New Roman"/>
        </w:rPr>
        <w:t xml:space="preserve"> yra mažesnis kaip 30</w:t>
      </w:r>
      <w:r w:rsidRPr="0078470E">
        <w:rPr>
          <w:rFonts w:ascii="Times New Roman" w:hAnsi="Times New Roman"/>
        </w:rPr>
        <w:t> </w:t>
      </w:r>
      <w:r w:rsidRPr="006A2591">
        <w:rPr>
          <w:rFonts w:ascii="Times New Roman" w:hAnsi="Times New Roman"/>
        </w:rPr>
        <w:t xml:space="preserve">ml/min. </w:t>
      </w:r>
      <w:proofErr w:type="spellStart"/>
      <w:r w:rsidRPr="006A2591">
        <w:rPr>
          <w:rFonts w:ascii="Times New Roman" w:hAnsi="Times New Roman"/>
        </w:rPr>
        <w:t>Metformino</w:t>
      </w:r>
      <w:proofErr w:type="spellEnd"/>
      <w:r w:rsidRPr="006A2591">
        <w:rPr>
          <w:rFonts w:ascii="Times New Roman" w:hAnsi="Times New Roman"/>
        </w:rPr>
        <w:t xml:space="preserve"> vartojimą reikia laikinai nutraukti, </w:t>
      </w:r>
      <w:r w:rsidRPr="00CA40E9">
        <w:rPr>
          <w:rFonts w:ascii="Times New Roman" w:hAnsi="Times New Roman"/>
        </w:rPr>
        <w:t xml:space="preserve">esant būklėms, kurios sutrikdo inkstų funkciją </w:t>
      </w:r>
      <w:r>
        <w:rPr>
          <w:rFonts w:ascii="Times New Roman" w:hAnsi="Times New Roman"/>
        </w:rPr>
        <w:t xml:space="preserve">(žr. </w:t>
      </w:r>
      <w:r w:rsidRPr="006A2591">
        <w:rPr>
          <w:rFonts w:ascii="Times New Roman" w:hAnsi="Times New Roman"/>
        </w:rPr>
        <w:t>4.3</w:t>
      </w:r>
      <w:r w:rsidR="00961181">
        <w:rPr>
          <w:rFonts w:ascii="Times New Roman" w:hAnsi="Times New Roman"/>
        </w:rPr>
        <w:t> </w:t>
      </w:r>
      <w:r w:rsidRPr="006A2591">
        <w:rPr>
          <w:rFonts w:ascii="Times New Roman" w:hAnsi="Times New Roman"/>
        </w:rPr>
        <w:t>skyri</w:t>
      </w:r>
      <w:r>
        <w:rPr>
          <w:rFonts w:ascii="Times New Roman" w:hAnsi="Times New Roman"/>
        </w:rPr>
        <w:t>ų)</w:t>
      </w:r>
      <w:r w:rsidRPr="006A2591">
        <w:rPr>
          <w:rFonts w:ascii="Times New Roman" w:hAnsi="Times New Roman"/>
        </w:rPr>
        <w:t>.</w:t>
      </w:r>
    </w:p>
    <w:p w14:paraId="51982639" w14:textId="77777777" w:rsidR="00601C8B" w:rsidRPr="006A2591" w:rsidRDefault="00601C8B" w:rsidP="00601C8B">
      <w:pPr>
        <w:pStyle w:val="Betarp"/>
        <w:rPr>
          <w:rFonts w:ascii="Times New Roman" w:hAnsi="Times New Roman"/>
        </w:rPr>
      </w:pPr>
    </w:p>
    <w:p w14:paraId="54FF401B"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Širdies funkcija</w:t>
      </w:r>
    </w:p>
    <w:p w14:paraId="5F4B3F1F" w14:textId="77777777" w:rsidR="00601C8B" w:rsidRPr="006A2591" w:rsidRDefault="00601C8B" w:rsidP="00601C8B">
      <w:pPr>
        <w:pStyle w:val="Betarp"/>
        <w:rPr>
          <w:rFonts w:ascii="Times New Roman" w:hAnsi="Times New Roman"/>
          <w:u w:val="single"/>
        </w:rPr>
      </w:pPr>
    </w:p>
    <w:p w14:paraId="64C17701" w14:textId="77777777" w:rsidR="00601C8B" w:rsidRPr="006A2591" w:rsidRDefault="00601C8B" w:rsidP="00601C8B">
      <w:pPr>
        <w:pStyle w:val="Betarp"/>
        <w:rPr>
          <w:rFonts w:ascii="Times New Roman" w:hAnsi="Times New Roman"/>
        </w:rPr>
      </w:pPr>
      <w:r w:rsidRPr="006A2591">
        <w:rPr>
          <w:rFonts w:ascii="Times New Roman" w:hAnsi="Times New Roman"/>
        </w:rPr>
        <w:lastRenderedPageBreak/>
        <w:t xml:space="preserve">Širdies nepakankamumu sergantys pacientai turi didesnę hipoksijos ir inkstų funkcijos nepakankamumo išsivystymo riziką. Lėtiniu stabiliu širdies nepakankamumu sergantiems pacientams, kurie gydomi </w:t>
      </w:r>
      <w:proofErr w:type="spellStart"/>
      <w:r w:rsidRPr="006A2591">
        <w:rPr>
          <w:rFonts w:ascii="Times New Roman" w:hAnsi="Times New Roman"/>
        </w:rPr>
        <w:t>metforminu</w:t>
      </w:r>
      <w:proofErr w:type="spellEnd"/>
      <w:r w:rsidRPr="006A2591">
        <w:rPr>
          <w:rFonts w:ascii="Times New Roman" w:hAnsi="Times New Roman"/>
        </w:rPr>
        <w:t xml:space="preserve">, būtina reguliariai </w:t>
      </w:r>
      <w:r>
        <w:rPr>
          <w:rFonts w:ascii="Times New Roman" w:hAnsi="Times New Roman"/>
        </w:rPr>
        <w:t>tirti</w:t>
      </w:r>
      <w:r w:rsidRPr="006A2591">
        <w:rPr>
          <w:rFonts w:ascii="Times New Roman" w:hAnsi="Times New Roman"/>
        </w:rPr>
        <w:t xml:space="preserve"> širdies ir inkstų funkciją.</w:t>
      </w:r>
    </w:p>
    <w:p w14:paraId="6CFF4D08" w14:textId="77777777" w:rsidR="00601C8B" w:rsidRPr="006A2591" w:rsidRDefault="00601C8B" w:rsidP="00601C8B">
      <w:pPr>
        <w:pStyle w:val="Betarp"/>
        <w:rPr>
          <w:rFonts w:ascii="Times New Roman" w:hAnsi="Times New Roman"/>
        </w:rPr>
      </w:pPr>
    </w:p>
    <w:p w14:paraId="193B2CC9" w14:textId="2412F45F" w:rsidR="00601C8B" w:rsidRPr="006A2591" w:rsidRDefault="00601C8B" w:rsidP="00601C8B">
      <w:pPr>
        <w:pStyle w:val="Betarp"/>
        <w:rPr>
          <w:rFonts w:ascii="Times New Roman" w:hAnsi="Times New Roman"/>
        </w:rPr>
      </w:pPr>
      <w:r w:rsidRPr="006A2591">
        <w:rPr>
          <w:rFonts w:ascii="Times New Roman" w:hAnsi="Times New Roman"/>
        </w:rPr>
        <w:t xml:space="preserve">Pacientams, kurie serga ūminiu ir nestabiliu širdies funkcijos nepakankamumu, </w:t>
      </w:r>
      <w:proofErr w:type="spellStart"/>
      <w:r w:rsidRPr="006A2591">
        <w:rPr>
          <w:rFonts w:ascii="Times New Roman" w:hAnsi="Times New Roman"/>
        </w:rPr>
        <w:t>metforminas</w:t>
      </w:r>
      <w:proofErr w:type="spellEnd"/>
      <w:r w:rsidRPr="006A2591">
        <w:rPr>
          <w:rFonts w:ascii="Times New Roman" w:hAnsi="Times New Roman"/>
        </w:rPr>
        <w:t xml:space="preserve"> yra </w:t>
      </w:r>
      <w:proofErr w:type="spellStart"/>
      <w:r w:rsidRPr="006A2591">
        <w:rPr>
          <w:rFonts w:ascii="Times New Roman" w:hAnsi="Times New Roman"/>
        </w:rPr>
        <w:t>kontraindikuotinas</w:t>
      </w:r>
      <w:proofErr w:type="spellEnd"/>
      <w:r w:rsidRPr="006A2591">
        <w:rPr>
          <w:rFonts w:ascii="Times New Roman" w:hAnsi="Times New Roman"/>
        </w:rPr>
        <w:t xml:space="preserve"> (žr. 4.3</w:t>
      </w:r>
      <w:r w:rsidR="00961181">
        <w:rPr>
          <w:rFonts w:ascii="Times New Roman" w:hAnsi="Times New Roman"/>
        </w:rPr>
        <w:t> </w:t>
      </w:r>
      <w:r w:rsidRPr="006A2591">
        <w:rPr>
          <w:rFonts w:ascii="Times New Roman" w:hAnsi="Times New Roman"/>
        </w:rPr>
        <w:t>skyrių).</w:t>
      </w:r>
    </w:p>
    <w:p w14:paraId="604F5A43" w14:textId="33569AE7" w:rsidR="00634DA6" w:rsidRDefault="00634DA6" w:rsidP="00634DA6">
      <w:pPr>
        <w:pStyle w:val="Betarp"/>
        <w:rPr>
          <w:rFonts w:ascii="Times New Roman" w:hAnsi="Times New Roman"/>
        </w:rPr>
      </w:pPr>
    </w:p>
    <w:p w14:paraId="79BCE19E" w14:textId="77777777" w:rsidR="00634DA6" w:rsidRPr="006A2591" w:rsidRDefault="00634DA6" w:rsidP="00601C8B">
      <w:pPr>
        <w:pStyle w:val="Betarp"/>
        <w:rPr>
          <w:rFonts w:ascii="Times New Roman" w:hAnsi="Times New Roman"/>
        </w:rPr>
      </w:pPr>
    </w:p>
    <w:p w14:paraId="2A3893E0"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Jodo turinčių kontrastinių medžiagų vartojimas</w:t>
      </w:r>
    </w:p>
    <w:p w14:paraId="578DC9F9" w14:textId="77777777" w:rsidR="00601C8B" w:rsidRPr="006A2591" w:rsidRDefault="00601C8B" w:rsidP="00601C8B">
      <w:pPr>
        <w:pStyle w:val="Betarp"/>
        <w:rPr>
          <w:rFonts w:ascii="Times New Roman" w:hAnsi="Times New Roman"/>
        </w:rPr>
      </w:pPr>
    </w:p>
    <w:p w14:paraId="758A27E0" w14:textId="1C815F92" w:rsidR="00601C8B" w:rsidRPr="006A2591" w:rsidRDefault="00601C8B" w:rsidP="00601C8B">
      <w:pPr>
        <w:pStyle w:val="Betarp"/>
        <w:rPr>
          <w:rFonts w:ascii="Times New Roman" w:hAnsi="Times New Roman"/>
        </w:rPr>
      </w:pPr>
      <w:r w:rsidRPr="006A2591">
        <w:rPr>
          <w:rFonts w:ascii="Times New Roman" w:hAnsi="Times New Roman"/>
        </w:rPr>
        <w:t xml:space="preserve">Švirkščiant į kraujagysles kontrastinių medžiagų, kurių sudėtyje yra jodo, jos gali provokuoti </w:t>
      </w:r>
      <w:r>
        <w:rPr>
          <w:rFonts w:ascii="Times New Roman" w:hAnsi="Times New Roman"/>
        </w:rPr>
        <w:t xml:space="preserve">kontrastinės medžiagos sukeliamą </w:t>
      </w:r>
      <w:proofErr w:type="spellStart"/>
      <w:r w:rsidRPr="006A2591">
        <w:rPr>
          <w:rFonts w:ascii="Times New Roman" w:hAnsi="Times New Roman"/>
        </w:rPr>
        <w:t>nefropatiją</w:t>
      </w:r>
      <w:proofErr w:type="spellEnd"/>
      <w:r w:rsidRPr="006A2591">
        <w:rPr>
          <w:rFonts w:ascii="Times New Roman" w:hAnsi="Times New Roman"/>
        </w:rPr>
        <w:t xml:space="preserve">, dėl kurios gali kauptis </w:t>
      </w:r>
      <w:proofErr w:type="spellStart"/>
      <w:r w:rsidRPr="006A2591">
        <w:rPr>
          <w:rFonts w:ascii="Times New Roman" w:hAnsi="Times New Roman"/>
        </w:rPr>
        <w:t>metforminas</w:t>
      </w:r>
      <w:proofErr w:type="spellEnd"/>
      <w:r w:rsidRPr="006A2591">
        <w:rPr>
          <w:rFonts w:ascii="Times New Roman" w:hAnsi="Times New Roman"/>
        </w:rPr>
        <w:t xml:space="preserve"> ir atsirasti </w:t>
      </w:r>
      <w:proofErr w:type="spellStart"/>
      <w:r w:rsidRPr="006A2591">
        <w:rPr>
          <w:rFonts w:ascii="Times New Roman" w:hAnsi="Times New Roman"/>
        </w:rPr>
        <w:t>laktatacidozės</w:t>
      </w:r>
      <w:proofErr w:type="spellEnd"/>
      <w:r w:rsidRPr="006A2591">
        <w:rPr>
          <w:rFonts w:ascii="Times New Roman" w:hAnsi="Times New Roman"/>
        </w:rPr>
        <w:t xml:space="preserve"> pavojus.</w:t>
      </w:r>
      <w:r w:rsidR="005906D9">
        <w:rPr>
          <w:rFonts w:ascii="Times New Roman" w:hAnsi="Times New Roman"/>
        </w:rPr>
        <w:t xml:space="preserve"> </w:t>
      </w:r>
      <w:r w:rsidRPr="006A2591">
        <w:rPr>
          <w:rFonts w:ascii="Times New Roman" w:hAnsi="Times New Roman"/>
        </w:rPr>
        <w:t xml:space="preserve">Todėl prieš tokius tyrimus reikia nutraukti </w:t>
      </w:r>
      <w:proofErr w:type="spellStart"/>
      <w:r w:rsidRPr="006A2591">
        <w:rPr>
          <w:rFonts w:ascii="Times New Roman" w:hAnsi="Times New Roman"/>
        </w:rPr>
        <w:t>metformino</w:t>
      </w:r>
      <w:proofErr w:type="spellEnd"/>
      <w:r w:rsidRPr="006A2591">
        <w:rPr>
          <w:rFonts w:ascii="Times New Roman" w:hAnsi="Times New Roman"/>
        </w:rPr>
        <w:t xml:space="preserve"> vartojimą ir atnaujinti gydymą tik praėjus </w:t>
      </w:r>
      <w:r>
        <w:rPr>
          <w:rFonts w:ascii="Times New Roman" w:hAnsi="Times New Roman"/>
        </w:rPr>
        <w:t xml:space="preserve">ne mažiau kaip </w:t>
      </w:r>
      <w:r w:rsidRPr="006A2591">
        <w:rPr>
          <w:rFonts w:ascii="Times New Roman" w:hAnsi="Times New Roman"/>
        </w:rPr>
        <w:t>48</w:t>
      </w:r>
      <w:r w:rsidR="00961181">
        <w:rPr>
          <w:rFonts w:ascii="Times New Roman" w:hAnsi="Times New Roman"/>
        </w:rPr>
        <w:t> </w:t>
      </w:r>
      <w:r w:rsidRPr="006A2591">
        <w:rPr>
          <w:rFonts w:ascii="Times New Roman" w:hAnsi="Times New Roman"/>
        </w:rPr>
        <w:t xml:space="preserve">valandoms po tyrimo, kai pakartotinai ištiriama inkstų </w:t>
      </w:r>
    </w:p>
    <w:p w14:paraId="5028B515" w14:textId="2A3C1ABD" w:rsidR="00601C8B" w:rsidRPr="006A2591" w:rsidRDefault="00601C8B" w:rsidP="00601C8B">
      <w:pPr>
        <w:pStyle w:val="Betarp"/>
        <w:rPr>
          <w:rFonts w:ascii="Times New Roman" w:hAnsi="Times New Roman"/>
        </w:rPr>
      </w:pPr>
      <w:r w:rsidRPr="006A2591">
        <w:rPr>
          <w:rFonts w:ascii="Times New Roman" w:hAnsi="Times New Roman"/>
        </w:rPr>
        <w:t>funkcija ir įsitikinama, kad ji yra stabili, žr. 4.2 ir 4.5</w:t>
      </w:r>
      <w:r w:rsidR="00961181">
        <w:rPr>
          <w:rFonts w:ascii="Times New Roman" w:hAnsi="Times New Roman"/>
        </w:rPr>
        <w:t> </w:t>
      </w:r>
      <w:r w:rsidRPr="006A2591">
        <w:rPr>
          <w:rFonts w:ascii="Times New Roman" w:hAnsi="Times New Roman"/>
        </w:rPr>
        <w:t>skyrius.</w:t>
      </w:r>
    </w:p>
    <w:p w14:paraId="44B7D872" w14:textId="77777777" w:rsidR="00601C8B" w:rsidRPr="006A2591" w:rsidRDefault="00601C8B" w:rsidP="00601C8B">
      <w:pPr>
        <w:pStyle w:val="Betarp"/>
        <w:rPr>
          <w:rFonts w:ascii="Times New Roman" w:hAnsi="Times New Roman"/>
        </w:rPr>
      </w:pPr>
    </w:p>
    <w:p w14:paraId="5BF763E1"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Operacinis gydymas</w:t>
      </w:r>
    </w:p>
    <w:p w14:paraId="3CBFA01B" w14:textId="77777777" w:rsidR="00601C8B" w:rsidRPr="006A2591" w:rsidRDefault="00601C8B" w:rsidP="00601C8B">
      <w:pPr>
        <w:pStyle w:val="Betarp"/>
        <w:rPr>
          <w:rFonts w:ascii="Times New Roman" w:hAnsi="Times New Roman"/>
        </w:rPr>
      </w:pPr>
    </w:p>
    <w:p w14:paraId="1E6DFED5" w14:textId="5EDA8F10"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vartojimą reikia nutraukti chirurginių operacijų, kai taikoma bendroji, </w:t>
      </w:r>
      <w:proofErr w:type="spellStart"/>
      <w:r w:rsidRPr="006A2591">
        <w:rPr>
          <w:rFonts w:ascii="Times New Roman" w:hAnsi="Times New Roman"/>
        </w:rPr>
        <w:t>spinalinė</w:t>
      </w:r>
      <w:proofErr w:type="spellEnd"/>
      <w:r w:rsidRPr="006A2591">
        <w:rPr>
          <w:rFonts w:ascii="Times New Roman" w:hAnsi="Times New Roman"/>
        </w:rPr>
        <w:t xml:space="preserve"> ar </w:t>
      </w:r>
      <w:proofErr w:type="spellStart"/>
      <w:r>
        <w:rPr>
          <w:rFonts w:ascii="Times New Roman" w:hAnsi="Times New Roman"/>
        </w:rPr>
        <w:t>epi</w:t>
      </w:r>
      <w:r w:rsidRPr="006A2591">
        <w:rPr>
          <w:rFonts w:ascii="Times New Roman" w:hAnsi="Times New Roman"/>
        </w:rPr>
        <w:t>durinė</w:t>
      </w:r>
      <w:proofErr w:type="spellEnd"/>
      <w:r w:rsidRPr="006A2591">
        <w:rPr>
          <w:rFonts w:ascii="Times New Roman" w:hAnsi="Times New Roman"/>
        </w:rPr>
        <w:t xml:space="preserve"> anestezija, metu. Vaisto vartojimą galima vėl pradėti praėjus </w:t>
      </w:r>
      <w:r>
        <w:rPr>
          <w:rFonts w:ascii="Times New Roman" w:hAnsi="Times New Roman"/>
        </w:rPr>
        <w:t xml:space="preserve">ne mažiau kaip </w:t>
      </w:r>
      <w:r w:rsidRPr="006A2591">
        <w:rPr>
          <w:rFonts w:ascii="Times New Roman" w:hAnsi="Times New Roman"/>
        </w:rPr>
        <w:t>48</w:t>
      </w:r>
      <w:r w:rsidR="007B5E67">
        <w:rPr>
          <w:rFonts w:ascii="Times New Roman" w:hAnsi="Times New Roman"/>
        </w:rPr>
        <w:t> </w:t>
      </w:r>
      <w:r w:rsidRPr="006A2591">
        <w:rPr>
          <w:rFonts w:ascii="Times New Roman" w:hAnsi="Times New Roman"/>
        </w:rPr>
        <w:t>valandoms po operacijos arba pradėjus normaliai maitintis ir tik nustačius, kad inkstų funkcija normali.</w:t>
      </w:r>
    </w:p>
    <w:p w14:paraId="7CD5EEBE" w14:textId="77777777" w:rsidR="00601C8B" w:rsidRPr="006A2591" w:rsidRDefault="00601C8B" w:rsidP="00601C8B">
      <w:pPr>
        <w:pStyle w:val="Betarp"/>
        <w:rPr>
          <w:rFonts w:ascii="Times New Roman" w:hAnsi="Times New Roman"/>
        </w:rPr>
      </w:pPr>
    </w:p>
    <w:p w14:paraId="3634E629"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Kiti įspėjimai</w:t>
      </w:r>
    </w:p>
    <w:p w14:paraId="266E858B" w14:textId="77777777" w:rsidR="00601C8B" w:rsidRPr="006A2591" w:rsidRDefault="00601C8B" w:rsidP="00601C8B">
      <w:pPr>
        <w:pStyle w:val="Betarp"/>
        <w:rPr>
          <w:rFonts w:ascii="Times New Roman" w:hAnsi="Times New Roman"/>
        </w:rPr>
      </w:pPr>
    </w:p>
    <w:p w14:paraId="7905E661"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Visi pacientai turi laikytis jiems nustatytos dietos, kuomet angliavandenių vartojimas tolygiai paskirstomas visai parai. </w:t>
      </w:r>
      <w:r>
        <w:rPr>
          <w:rFonts w:ascii="Times New Roman" w:hAnsi="Times New Roman"/>
        </w:rPr>
        <w:t>Antsvorio turintys</w:t>
      </w:r>
      <w:r w:rsidRPr="006A2591">
        <w:rPr>
          <w:rFonts w:ascii="Times New Roman" w:hAnsi="Times New Roman"/>
        </w:rPr>
        <w:t xml:space="preserve"> pacientai privalo laikytis mažai kaloringos dietos.</w:t>
      </w:r>
    </w:p>
    <w:p w14:paraId="726422FA" w14:textId="77777777" w:rsidR="00601C8B" w:rsidRPr="006A2591" w:rsidRDefault="00601C8B" w:rsidP="00601C8B">
      <w:pPr>
        <w:pStyle w:val="Betarp"/>
        <w:rPr>
          <w:rFonts w:ascii="Times New Roman" w:hAnsi="Times New Roman"/>
        </w:rPr>
      </w:pPr>
    </w:p>
    <w:p w14:paraId="069EC7E3"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Būtina reguliariai atlikti laboratorinius tyrimus, kurie privalomi sergantiesiems cukriniu diabetu. </w:t>
      </w:r>
    </w:p>
    <w:p w14:paraId="1466F4B5" w14:textId="77777777" w:rsidR="00601C8B" w:rsidRPr="006A2591" w:rsidRDefault="00601C8B" w:rsidP="00601C8B">
      <w:pPr>
        <w:pStyle w:val="Betarp"/>
        <w:rPr>
          <w:rFonts w:ascii="Times New Roman" w:hAnsi="Times New Roman"/>
        </w:rPr>
      </w:pPr>
    </w:p>
    <w:p w14:paraId="135B7638" w14:textId="77777777" w:rsidR="007B5E67" w:rsidRPr="006A2591" w:rsidRDefault="007B5E67" w:rsidP="007B5E67">
      <w:pPr>
        <w:pStyle w:val="Betarp"/>
        <w:rPr>
          <w:rFonts w:ascii="Times New Roman" w:hAnsi="Times New Roman"/>
        </w:rPr>
      </w:pPr>
      <w:proofErr w:type="spellStart"/>
      <w:r>
        <w:rPr>
          <w:rFonts w:ascii="Times New Roman" w:hAnsi="Times New Roman"/>
        </w:rPr>
        <w:t>Metforminas</w:t>
      </w:r>
      <w:proofErr w:type="spellEnd"/>
      <w:r>
        <w:rPr>
          <w:rFonts w:ascii="Times New Roman" w:hAnsi="Times New Roman"/>
        </w:rPr>
        <w:t xml:space="preserve"> gali mažinti vitamino B</w:t>
      </w:r>
      <w:r w:rsidRPr="00D36877">
        <w:rPr>
          <w:rFonts w:ascii="Times New Roman" w:hAnsi="Times New Roman"/>
          <w:lang w:val="it-IT"/>
        </w:rPr>
        <w:t>12</w:t>
      </w:r>
      <w:r>
        <w:rPr>
          <w:rFonts w:ascii="Times New Roman" w:hAnsi="Times New Roman"/>
        </w:rPr>
        <w:t xml:space="preserve"> kiekį serume. Mažo vitamino B</w:t>
      </w:r>
      <w:r w:rsidRPr="00D36877">
        <w:rPr>
          <w:rFonts w:ascii="Times New Roman" w:hAnsi="Times New Roman"/>
        </w:rPr>
        <w:t>12</w:t>
      </w:r>
      <w:r>
        <w:rPr>
          <w:rFonts w:ascii="Times New Roman" w:hAnsi="Times New Roman"/>
        </w:rPr>
        <w:t xml:space="preserve"> kiekio rizika yra didesnė, didėjant </w:t>
      </w:r>
      <w:proofErr w:type="spellStart"/>
      <w:r>
        <w:rPr>
          <w:rFonts w:ascii="Times New Roman" w:hAnsi="Times New Roman"/>
        </w:rPr>
        <w:t>metformino</w:t>
      </w:r>
      <w:proofErr w:type="spellEnd"/>
      <w:r>
        <w:rPr>
          <w:rFonts w:ascii="Times New Roman" w:hAnsi="Times New Roman"/>
        </w:rPr>
        <w:t xml:space="preserve"> dozei, gydymo trukmei ir (arba) pacientams, turintiems rizikos veiksnių, dėl </w:t>
      </w:r>
      <w:r w:rsidRPr="009D0475">
        <w:rPr>
          <w:rFonts w:ascii="Times New Roman" w:hAnsi="Times New Roman"/>
        </w:rPr>
        <w:t>kuri</w:t>
      </w:r>
      <w:r>
        <w:rPr>
          <w:rFonts w:ascii="Times New Roman" w:hAnsi="Times New Roman"/>
        </w:rPr>
        <w:t>ų</w:t>
      </w:r>
      <w:r w:rsidRPr="009D0475">
        <w:rPr>
          <w:rFonts w:ascii="Times New Roman" w:hAnsi="Times New Roman"/>
        </w:rPr>
        <w:t xml:space="preserve">, kaip žinoma, </w:t>
      </w:r>
      <w:r>
        <w:rPr>
          <w:rFonts w:ascii="Times New Roman" w:hAnsi="Times New Roman"/>
        </w:rPr>
        <w:t>atsirand</w:t>
      </w:r>
      <w:r w:rsidRPr="009D0475">
        <w:rPr>
          <w:rFonts w:ascii="Times New Roman" w:hAnsi="Times New Roman"/>
        </w:rPr>
        <w:t xml:space="preserve">a vitamino B12 </w:t>
      </w:r>
      <w:r>
        <w:rPr>
          <w:rFonts w:ascii="Times New Roman" w:hAnsi="Times New Roman"/>
        </w:rPr>
        <w:t>stoka.</w:t>
      </w:r>
      <w:r w:rsidRPr="009D0475">
        <w:t xml:space="preserve"> </w:t>
      </w:r>
      <w:r w:rsidRPr="009D0475">
        <w:rPr>
          <w:rFonts w:ascii="Times New Roman" w:hAnsi="Times New Roman"/>
        </w:rPr>
        <w:t xml:space="preserve">Įtarus vitamino B12 </w:t>
      </w:r>
      <w:r>
        <w:rPr>
          <w:rFonts w:ascii="Times New Roman" w:hAnsi="Times New Roman"/>
        </w:rPr>
        <w:t>stok</w:t>
      </w:r>
      <w:r w:rsidRPr="009D0475">
        <w:rPr>
          <w:rFonts w:ascii="Times New Roman" w:hAnsi="Times New Roman"/>
        </w:rPr>
        <w:t>ą (pvz.,</w:t>
      </w:r>
      <w:r>
        <w:rPr>
          <w:rFonts w:ascii="Times New Roman" w:hAnsi="Times New Roman"/>
        </w:rPr>
        <w:t xml:space="preserve"> </w:t>
      </w:r>
      <w:r w:rsidRPr="009D0475">
        <w:rPr>
          <w:rFonts w:ascii="Times New Roman" w:hAnsi="Times New Roman"/>
        </w:rPr>
        <w:t>anemij</w:t>
      </w:r>
      <w:r>
        <w:rPr>
          <w:rFonts w:ascii="Times New Roman" w:hAnsi="Times New Roman"/>
        </w:rPr>
        <w:t>a</w:t>
      </w:r>
      <w:r w:rsidRPr="009D0475">
        <w:rPr>
          <w:rFonts w:ascii="Times New Roman" w:hAnsi="Times New Roman"/>
        </w:rPr>
        <w:t xml:space="preserve"> ar neuropatij</w:t>
      </w:r>
      <w:r>
        <w:rPr>
          <w:rFonts w:ascii="Times New Roman" w:hAnsi="Times New Roman"/>
        </w:rPr>
        <w:t>a</w:t>
      </w:r>
      <w:r w:rsidRPr="009D0475">
        <w:rPr>
          <w:rFonts w:ascii="Times New Roman" w:hAnsi="Times New Roman"/>
        </w:rPr>
        <w:t xml:space="preserve">), reikia </w:t>
      </w:r>
      <w:r>
        <w:rPr>
          <w:rFonts w:ascii="Times New Roman" w:hAnsi="Times New Roman"/>
        </w:rPr>
        <w:t>matuo</w:t>
      </w:r>
      <w:r w:rsidRPr="009D0475">
        <w:rPr>
          <w:rFonts w:ascii="Times New Roman" w:hAnsi="Times New Roman"/>
        </w:rPr>
        <w:t xml:space="preserve">ti vitamino B12 koncentraciją serume. Pacientams, turintiems vitamino B12 </w:t>
      </w:r>
      <w:r>
        <w:rPr>
          <w:rFonts w:ascii="Times New Roman" w:hAnsi="Times New Roman"/>
        </w:rPr>
        <w:t>stokos</w:t>
      </w:r>
      <w:r w:rsidRPr="009D0475">
        <w:rPr>
          <w:rFonts w:ascii="Times New Roman" w:hAnsi="Times New Roman"/>
        </w:rPr>
        <w:t xml:space="preserve"> rizikos veiksnių, gali prireikti periodiškai </w:t>
      </w:r>
      <w:r>
        <w:rPr>
          <w:rFonts w:ascii="Times New Roman" w:hAnsi="Times New Roman"/>
        </w:rPr>
        <w:t>matuo</w:t>
      </w:r>
      <w:r w:rsidRPr="009D0475">
        <w:rPr>
          <w:rFonts w:ascii="Times New Roman" w:hAnsi="Times New Roman"/>
        </w:rPr>
        <w:t>ti vitamin</w:t>
      </w:r>
      <w:r>
        <w:rPr>
          <w:rFonts w:ascii="Times New Roman" w:hAnsi="Times New Roman"/>
        </w:rPr>
        <w:t>o</w:t>
      </w:r>
      <w:r w:rsidRPr="009D0475">
        <w:rPr>
          <w:rFonts w:ascii="Times New Roman" w:hAnsi="Times New Roman"/>
        </w:rPr>
        <w:t xml:space="preserve"> B12</w:t>
      </w:r>
      <w:r>
        <w:rPr>
          <w:rFonts w:ascii="Times New Roman" w:hAnsi="Times New Roman"/>
        </w:rPr>
        <w:t xml:space="preserve"> koncentraciją</w:t>
      </w:r>
      <w:r w:rsidRPr="009D0475">
        <w:rPr>
          <w:rFonts w:ascii="Times New Roman" w:hAnsi="Times New Roman"/>
        </w:rPr>
        <w:t xml:space="preserve">. Gydymas </w:t>
      </w:r>
      <w:proofErr w:type="spellStart"/>
      <w:r w:rsidRPr="009D0475">
        <w:rPr>
          <w:rFonts w:ascii="Times New Roman" w:hAnsi="Times New Roman"/>
        </w:rPr>
        <w:t>metforminu</w:t>
      </w:r>
      <w:proofErr w:type="spellEnd"/>
      <w:r w:rsidRPr="009D0475">
        <w:rPr>
          <w:rFonts w:ascii="Times New Roman" w:hAnsi="Times New Roman"/>
        </w:rPr>
        <w:t xml:space="preserve"> turi būti tęsiamas tol, kol yra toleruojamas ir nėra kontraindik</w:t>
      </w:r>
      <w:r>
        <w:rPr>
          <w:rFonts w:ascii="Times New Roman" w:hAnsi="Times New Roman"/>
        </w:rPr>
        <w:t>acijų,</w:t>
      </w:r>
      <w:r w:rsidRPr="009D0475">
        <w:rPr>
          <w:rFonts w:ascii="Times New Roman" w:hAnsi="Times New Roman"/>
        </w:rPr>
        <w:t xml:space="preserve"> tinkama</w:t>
      </w:r>
      <w:r>
        <w:rPr>
          <w:rFonts w:ascii="Times New Roman" w:hAnsi="Times New Roman"/>
        </w:rPr>
        <w:t>i</w:t>
      </w:r>
      <w:r w:rsidRPr="009D0475">
        <w:rPr>
          <w:rFonts w:ascii="Times New Roman" w:hAnsi="Times New Roman"/>
        </w:rPr>
        <w:t xml:space="preserve"> kore</w:t>
      </w:r>
      <w:r>
        <w:rPr>
          <w:rFonts w:ascii="Times New Roman" w:hAnsi="Times New Roman"/>
        </w:rPr>
        <w:t>guojant</w:t>
      </w:r>
      <w:r w:rsidRPr="009D0475">
        <w:rPr>
          <w:rFonts w:ascii="Times New Roman" w:hAnsi="Times New Roman"/>
        </w:rPr>
        <w:t xml:space="preserve"> vitamino B12 </w:t>
      </w:r>
      <w:r>
        <w:rPr>
          <w:rFonts w:ascii="Times New Roman" w:hAnsi="Times New Roman"/>
        </w:rPr>
        <w:t>stoką</w:t>
      </w:r>
      <w:r w:rsidRPr="009D0475">
        <w:rPr>
          <w:rFonts w:ascii="Times New Roman" w:hAnsi="Times New Roman"/>
        </w:rPr>
        <w:t>, atsižvelgiant į galiojančias klinikines rekomendacijas.</w:t>
      </w:r>
    </w:p>
    <w:p w14:paraId="44BC3A2B" w14:textId="77777777" w:rsidR="007B5E67" w:rsidRDefault="007B5E67" w:rsidP="00601C8B">
      <w:pPr>
        <w:pStyle w:val="Betarp"/>
        <w:rPr>
          <w:rFonts w:ascii="Times New Roman" w:hAnsi="Times New Roman"/>
        </w:rPr>
      </w:pPr>
    </w:p>
    <w:p w14:paraId="4CC681CB" w14:textId="48B0E133" w:rsidR="00601C8B" w:rsidRPr="006A2591" w:rsidRDefault="00601C8B" w:rsidP="00601C8B">
      <w:pPr>
        <w:pStyle w:val="Betarp"/>
        <w:rPr>
          <w:rFonts w:ascii="Times New Roman" w:hAnsi="Times New Roman"/>
        </w:rPr>
      </w:pPr>
      <w:r>
        <w:rPr>
          <w:rFonts w:ascii="Times New Roman" w:hAnsi="Times New Roman"/>
        </w:rPr>
        <w:t>Vienas</w:t>
      </w:r>
      <w:r w:rsidRPr="006A2591">
        <w:rPr>
          <w:rFonts w:ascii="Times New Roman" w:hAnsi="Times New Roman"/>
        </w:rPr>
        <w:t xml:space="preserve"> </w:t>
      </w:r>
      <w:proofErr w:type="spellStart"/>
      <w:r w:rsidRPr="006A2591">
        <w:rPr>
          <w:rFonts w:ascii="Times New Roman" w:hAnsi="Times New Roman"/>
        </w:rPr>
        <w:t>metforminas</w:t>
      </w:r>
      <w:proofErr w:type="spellEnd"/>
      <w:r w:rsidRPr="006A2591">
        <w:rPr>
          <w:rFonts w:ascii="Times New Roman" w:hAnsi="Times New Roman"/>
        </w:rPr>
        <w:t xml:space="preserve"> niekada nesukelia hipoglikemijos, tačiau reikia laikytis atsargumo, kai jis vartojamas kartu su insulinu arba kitais geriamaisiais vaist</w:t>
      </w:r>
      <w:r>
        <w:rPr>
          <w:rFonts w:ascii="Times New Roman" w:hAnsi="Times New Roman"/>
        </w:rPr>
        <w:t>iniais preparatais cukriniam diabetui gydyti</w:t>
      </w:r>
      <w:r w:rsidRPr="006A2591">
        <w:rPr>
          <w:rFonts w:ascii="Times New Roman" w:hAnsi="Times New Roman"/>
        </w:rPr>
        <w:t xml:space="preserve"> (pvz., </w:t>
      </w:r>
      <w:proofErr w:type="spellStart"/>
      <w:r w:rsidRPr="002C0DDF">
        <w:rPr>
          <w:rFonts w:ascii="Times New Roman" w:hAnsi="Times New Roman"/>
        </w:rPr>
        <w:t>sulfonilurėjos</w:t>
      </w:r>
      <w:proofErr w:type="spellEnd"/>
      <w:r w:rsidRPr="002C0DDF">
        <w:rPr>
          <w:rFonts w:ascii="Times New Roman" w:hAnsi="Times New Roman"/>
        </w:rPr>
        <w:t xml:space="preserve"> dariniais ar </w:t>
      </w:r>
      <w:proofErr w:type="spellStart"/>
      <w:r w:rsidRPr="002C0DDF">
        <w:rPr>
          <w:rFonts w:ascii="Times New Roman" w:hAnsi="Times New Roman"/>
        </w:rPr>
        <w:t>meglitinidais</w:t>
      </w:r>
      <w:proofErr w:type="spellEnd"/>
      <w:r w:rsidRPr="006A2591">
        <w:rPr>
          <w:rFonts w:ascii="Times New Roman" w:hAnsi="Times New Roman"/>
        </w:rPr>
        <w:t>).</w:t>
      </w:r>
    </w:p>
    <w:p w14:paraId="766E31DE" w14:textId="77777777" w:rsidR="00601C8B" w:rsidRPr="006A2591" w:rsidRDefault="00601C8B" w:rsidP="00601C8B">
      <w:pPr>
        <w:pStyle w:val="Betarp"/>
        <w:rPr>
          <w:rFonts w:ascii="Times New Roman" w:hAnsi="Times New Roman"/>
        </w:rPr>
      </w:pPr>
    </w:p>
    <w:p w14:paraId="7C7C0BC7"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Išmatose gali būti aptinkami tablečių apvalkalo likučiai. Pacientus reikia įspėti, kad tai yra normalus </w:t>
      </w:r>
      <w:r>
        <w:rPr>
          <w:rFonts w:ascii="Times New Roman" w:hAnsi="Times New Roman"/>
        </w:rPr>
        <w:t>radinys</w:t>
      </w:r>
      <w:r w:rsidRPr="006A2591">
        <w:rPr>
          <w:rFonts w:ascii="Times New Roman" w:hAnsi="Times New Roman"/>
        </w:rPr>
        <w:t>.</w:t>
      </w:r>
    </w:p>
    <w:p w14:paraId="3DDCD47E" w14:textId="77777777" w:rsidR="00601C8B" w:rsidRPr="006A2591" w:rsidRDefault="00601C8B" w:rsidP="00601C8B">
      <w:pPr>
        <w:pStyle w:val="Betarp"/>
        <w:rPr>
          <w:rFonts w:ascii="Times New Roman" w:hAnsi="Times New Roman"/>
        </w:rPr>
      </w:pPr>
    </w:p>
    <w:p w14:paraId="5BD0C1B6" w14:textId="76FC2CF6" w:rsidR="00601C8B" w:rsidRDefault="00601C8B" w:rsidP="00E85904">
      <w:pPr>
        <w:pStyle w:val="BTEMEASMCA"/>
      </w:pPr>
      <w:r>
        <w:t>Šio vaistinio preparato</w:t>
      </w:r>
      <w:r w:rsidRPr="009B258E">
        <w:t xml:space="preserve"> vienoje tabletėje yra mažiau kaip 1</w:t>
      </w:r>
      <w:r>
        <w:t> </w:t>
      </w:r>
      <w:proofErr w:type="spellStart"/>
      <w:r w:rsidRPr="009B258E">
        <w:t>mmol</w:t>
      </w:r>
      <w:proofErr w:type="spellEnd"/>
      <w:r w:rsidRPr="009B258E">
        <w:t xml:space="preserve"> (23</w:t>
      </w:r>
      <w:r w:rsidRPr="0078470E">
        <w:t> </w:t>
      </w:r>
      <w:r w:rsidRPr="009B258E">
        <w:t>mg) natrio, t</w:t>
      </w:r>
      <w:r>
        <w:t>.</w:t>
      </w:r>
      <w:r w:rsidR="00F8715A">
        <w:t xml:space="preserve"> </w:t>
      </w:r>
      <w:r>
        <w:t>y. jis beveik neturi reikšmės.</w:t>
      </w:r>
    </w:p>
    <w:p w14:paraId="72A43815" w14:textId="77777777" w:rsidR="00601C8B" w:rsidRPr="006A2591" w:rsidRDefault="00601C8B" w:rsidP="00E85904">
      <w:pPr>
        <w:pStyle w:val="BTEMEASMCA"/>
      </w:pPr>
    </w:p>
    <w:p w14:paraId="21087D16" w14:textId="77777777" w:rsidR="00601C8B" w:rsidRPr="006A2591" w:rsidRDefault="00601C8B" w:rsidP="00601C8B">
      <w:pPr>
        <w:pStyle w:val="PI-2EMEASMCA"/>
        <w:outlineLvl w:val="9"/>
      </w:pPr>
      <w:r w:rsidRPr="006A2591">
        <w:t>4.5</w:t>
      </w:r>
      <w:r w:rsidRPr="006A2591">
        <w:tab/>
        <w:t>Sąveika su kitais vaistiniais preparatais ir kitokia sąveika</w:t>
      </w:r>
    </w:p>
    <w:p w14:paraId="5DB3676B" w14:textId="77777777" w:rsidR="00601C8B" w:rsidRPr="006A2591" w:rsidRDefault="00601C8B" w:rsidP="00E85904">
      <w:pPr>
        <w:pStyle w:val="BTEMEASMCA"/>
      </w:pPr>
    </w:p>
    <w:p w14:paraId="46935713"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Nerekomenduojami deriniai</w:t>
      </w:r>
    </w:p>
    <w:p w14:paraId="1D8060A0" w14:textId="77777777" w:rsidR="00601C8B" w:rsidRPr="006A2591" w:rsidRDefault="00601C8B" w:rsidP="00601C8B">
      <w:pPr>
        <w:pStyle w:val="Betarp"/>
        <w:rPr>
          <w:rFonts w:ascii="Times New Roman" w:hAnsi="Times New Roman"/>
        </w:rPr>
      </w:pPr>
    </w:p>
    <w:p w14:paraId="6107A31A" w14:textId="77777777" w:rsidR="00601C8B" w:rsidRPr="006A2591" w:rsidRDefault="00601C8B" w:rsidP="00601C8B">
      <w:pPr>
        <w:pStyle w:val="Betarp"/>
        <w:rPr>
          <w:rFonts w:ascii="Times New Roman" w:hAnsi="Times New Roman"/>
          <w:i/>
        </w:rPr>
      </w:pPr>
      <w:r w:rsidRPr="006A2591">
        <w:rPr>
          <w:rFonts w:ascii="Times New Roman" w:hAnsi="Times New Roman"/>
          <w:i/>
        </w:rPr>
        <w:t>Alkoholis</w:t>
      </w:r>
    </w:p>
    <w:p w14:paraId="7D09197F" w14:textId="77777777" w:rsidR="00601C8B" w:rsidRPr="006A2591" w:rsidRDefault="00601C8B" w:rsidP="00601C8B">
      <w:pPr>
        <w:pStyle w:val="Betarp"/>
        <w:rPr>
          <w:rFonts w:ascii="Times New Roman" w:hAnsi="Times New Roman"/>
        </w:rPr>
      </w:pPr>
    </w:p>
    <w:p w14:paraId="426F39CD" w14:textId="01AF40D1" w:rsidR="00601C8B" w:rsidRPr="006A2591" w:rsidRDefault="00601C8B" w:rsidP="00601C8B">
      <w:pPr>
        <w:pStyle w:val="Betarp"/>
        <w:rPr>
          <w:rFonts w:ascii="Times New Roman" w:hAnsi="Times New Roman"/>
        </w:rPr>
      </w:pPr>
      <w:r w:rsidRPr="006A2591">
        <w:rPr>
          <w:rFonts w:ascii="Times New Roman" w:hAnsi="Times New Roman"/>
        </w:rPr>
        <w:t xml:space="preserve">Ūminio apsinuodijimo alkoholiu metu padidėja </w:t>
      </w:r>
      <w:proofErr w:type="spellStart"/>
      <w:r w:rsidRPr="006A2591">
        <w:rPr>
          <w:rFonts w:ascii="Times New Roman" w:hAnsi="Times New Roman"/>
        </w:rPr>
        <w:t>laktatacidozės</w:t>
      </w:r>
      <w:proofErr w:type="spellEnd"/>
      <w:r w:rsidRPr="006A2591">
        <w:rPr>
          <w:rFonts w:ascii="Times New Roman" w:hAnsi="Times New Roman"/>
        </w:rPr>
        <w:t xml:space="preserve"> pavojus, ypač tuomet, kai</w:t>
      </w:r>
      <w:r w:rsidR="00E85904">
        <w:rPr>
          <w:rFonts w:ascii="Times New Roman" w:hAnsi="Times New Roman"/>
        </w:rPr>
        <w:t xml:space="preserve"> </w:t>
      </w:r>
      <w:r w:rsidRPr="006A2591">
        <w:rPr>
          <w:rFonts w:ascii="Times New Roman" w:hAnsi="Times New Roman"/>
        </w:rPr>
        <w:t>badaujama arba valgoma nepakankamai, arba yra kepenų veiklos nepakankamumas.</w:t>
      </w:r>
    </w:p>
    <w:p w14:paraId="40095254" w14:textId="77777777" w:rsidR="00601C8B" w:rsidRPr="006A2591" w:rsidRDefault="00601C8B" w:rsidP="00601C8B">
      <w:pPr>
        <w:pStyle w:val="Betarp"/>
        <w:rPr>
          <w:rFonts w:ascii="Times New Roman" w:hAnsi="Times New Roman"/>
        </w:rPr>
      </w:pPr>
    </w:p>
    <w:p w14:paraId="40A826B9" w14:textId="77777777" w:rsidR="00601C8B" w:rsidRPr="006A2591" w:rsidRDefault="00601C8B" w:rsidP="00601C8B">
      <w:pPr>
        <w:pStyle w:val="Betarp"/>
        <w:rPr>
          <w:rFonts w:ascii="Times New Roman" w:hAnsi="Times New Roman"/>
          <w:i/>
        </w:rPr>
      </w:pPr>
      <w:r w:rsidRPr="006A2591">
        <w:rPr>
          <w:rFonts w:ascii="Times New Roman" w:hAnsi="Times New Roman"/>
          <w:i/>
        </w:rPr>
        <w:t>Kontrastinės medžiagos su jodu</w:t>
      </w:r>
    </w:p>
    <w:p w14:paraId="0DE2689E" w14:textId="77777777" w:rsidR="00601C8B" w:rsidRPr="006A2591" w:rsidRDefault="00601C8B" w:rsidP="00601C8B">
      <w:pPr>
        <w:pStyle w:val="Betarp"/>
        <w:rPr>
          <w:rFonts w:ascii="Times New Roman" w:hAnsi="Times New Roman"/>
        </w:rPr>
      </w:pPr>
    </w:p>
    <w:p w14:paraId="41D42DF8" w14:textId="4127FE30"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vartojimą reikia nutraukti prieš kontrastinį tyrimą ar tyrimo metu ir </w:t>
      </w:r>
      <w:r>
        <w:rPr>
          <w:rFonts w:ascii="Times New Roman" w:hAnsi="Times New Roman"/>
        </w:rPr>
        <w:t>vėl</w:t>
      </w:r>
      <w:r w:rsidRPr="006A2591">
        <w:rPr>
          <w:rFonts w:ascii="Times New Roman" w:hAnsi="Times New Roman"/>
        </w:rPr>
        <w:t xml:space="preserve"> vartoti </w:t>
      </w:r>
      <w:r>
        <w:rPr>
          <w:rFonts w:ascii="Times New Roman" w:hAnsi="Times New Roman"/>
        </w:rPr>
        <w:t xml:space="preserve">galima pradėti tik praėjus ne mažiau kaip </w:t>
      </w:r>
      <w:r w:rsidRPr="006A2591">
        <w:rPr>
          <w:rFonts w:ascii="Times New Roman" w:hAnsi="Times New Roman"/>
        </w:rPr>
        <w:t>48</w:t>
      </w:r>
      <w:r w:rsidR="00E85904">
        <w:rPr>
          <w:rFonts w:ascii="Times New Roman" w:hAnsi="Times New Roman"/>
        </w:rPr>
        <w:t> </w:t>
      </w:r>
      <w:r w:rsidRPr="006A2591">
        <w:rPr>
          <w:rFonts w:ascii="Times New Roman" w:hAnsi="Times New Roman"/>
        </w:rPr>
        <w:t>val. Tik ištyrus inkstų funkciją bei neradus jokių pakitimų</w:t>
      </w:r>
      <w:r w:rsidR="005D6742">
        <w:rPr>
          <w:rFonts w:ascii="Times New Roman" w:hAnsi="Times New Roman"/>
        </w:rPr>
        <w:t>,</w:t>
      </w:r>
      <w:r>
        <w:rPr>
          <w:rFonts w:ascii="Times New Roman" w:hAnsi="Times New Roman"/>
        </w:rPr>
        <w:t xml:space="preserve"> vaistinio preparato</w:t>
      </w:r>
      <w:r w:rsidRPr="006A2591">
        <w:rPr>
          <w:rFonts w:ascii="Times New Roman" w:hAnsi="Times New Roman"/>
        </w:rPr>
        <w:t xml:space="preserve"> galima vartoti toliau </w:t>
      </w:r>
      <w:r>
        <w:rPr>
          <w:rFonts w:ascii="Times New Roman" w:hAnsi="Times New Roman"/>
        </w:rPr>
        <w:t>(</w:t>
      </w:r>
      <w:r w:rsidRPr="006A2591">
        <w:rPr>
          <w:rFonts w:ascii="Times New Roman" w:hAnsi="Times New Roman"/>
        </w:rPr>
        <w:t>žr. 4.2 ir 4.4</w:t>
      </w:r>
      <w:r w:rsidR="00E85904">
        <w:rPr>
          <w:rFonts w:ascii="Times New Roman" w:hAnsi="Times New Roman"/>
        </w:rPr>
        <w:t> </w:t>
      </w:r>
      <w:r w:rsidRPr="006A2591">
        <w:rPr>
          <w:rFonts w:ascii="Times New Roman" w:hAnsi="Times New Roman"/>
        </w:rPr>
        <w:t>skyrius</w:t>
      </w:r>
      <w:r>
        <w:rPr>
          <w:rFonts w:ascii="Times New Roman" w:hAnsi="Times New Roman"/>
        </w:rPr>
        <w:t>).</w:t>
      </w:r>
    </w:p>
    <w:p w14:paraId="03F46242" w14:textId="77777777" w:rsidR="00601C8B" w:rsidRPr="006A2591" w:rsidRDefault="00601C8B" w:rsidP="00601C8B">
      <w:pPr>
        <w:pStyle w:val="Betarp"/>
        <w:rPr>
          <w:rFonts w:ascii="Times New Roman" w:hAnsi="Times New Roman"/>
        </w:rPr>
      </w:pPr>
    </w:p>
    <w:p w14:paraId="516A2550"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 xml:space="preserve">Deriniai, kuriuos galima vartoti tik laikantis atsargumo </w:t>
      </w:r>
    </w:p>
    <w:p w14:paraId="702655C3" w14:textId="77777777" w:rsidR="00601C8B" w:rsidRPr="006A2591" w:rsidRDefault="00601C8B" w:rsidP="00601C8B">
      <w:pPr>
        <w:pStyle w:val="Betarp"/>
        <w:rPr>
          <w:rFonts w:ascii="Times New Roman" w:hAnsi="Times New Roman"/>
        </w:rPr>
      </w:pPr>
    </w:p>
    <w:p w14:paraId="09B502AB"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Kai kurie vaistai </w:t>
      </w:r>
      <w:r>
        <w:rPr>
          <w:rFonts w:ascii="Times New Roman" w:hAnsi="Times New Roman"/>
        </w:rPr>
        <w:t xml:space="preserve">gali </w:t>
      </w:r>
      <w:r w:rsidRPr="006A2591">
        <w:rPr>
          <w:rFonts w:ascii="Times New Roman" w:hAnsi="Times New Roman"/>
        </w:rPr>
        <w:t xml:space="preserve">neigiamai paveikti inkstų funkciją, dėl </w:t>
      </w:r>
      <w:r>
        <w:rPr>
          <w:rFonts w:ascii="Times New Roman" w:hAnsi="Times New Roman"/>
        </w:rPr>
        <w:t>to</w:t>
      </w:r>
      <w:r w:rsidRPr="006A2591">
        <w:rPr>
          <w:rFonts w:ascii="Times New Roman" w:hAnsi="Times New Roman"/>
        </w:rPr>
        <w:t xml:space="preserve"> didėja </w:t>
      </w:r>
      <w:proofErr w:type="spellStart"/>
      <w:r w:rsidRPr="006A2591">
        <w:rPr>
          <w:rFonts w:ascii="Times New Roman" w:hAnsi="Times New Roman"/>
        </w:rPr>
        <w:t>laktatacidozės</w:t>
      </w:r>
      <w:proofErr w:type="spellEnd"/>
      <w:r w:rsidRPr="006A2591">
        <w:rPr>
          <w:rFonts w:ascii="Times New Roman" w:hAnsi="Times New Roman"/>
        </w:rPr>
        <w:t xml:space="preserve"> pavojus. Tokiems vaistams galima priskirti NVNU, įskaitant selektyviuosius </w:t>
      </w:r>
      <w:proofErr w:type="spellStart"/>
      <w:r w:rsidRPr="006A2591">
        <w:rPr>
          <w:rFonts w:ascii="Times New Roman" w:hAnsi="Times New Roman"/>
        </w:rPr>
        <w:t>ciklooksigenazės</w:t>
      </w:r>
      <w:proofErr w:type="spellEnd"/>
      <w:r w:rsidRPr="006A2591">
        <w:rPr>
          <w:rFonts w:ascii="Times New Roman" w:hAnsi="Times New Roman"/>
        </w:rPr>
        <w:t xml:space="preserve"> (COX-2) inhibitorius, AKF inhibitorius, </w:t>
      </w:r>
      <w:proofErr w:type="spellStart"/>
      <w:r w:rsidRPr="006A2591">
        <w:rPr>
          <w:rFonts w:ascii="Times New Roman" w:hAnsi="Times New Roman"/>
        </w:rPr>
        <w:t>angiotenzino</w:t>
      </w:r>
      <w:proofErr w:type="spellEnd"/>
      <w:r w:rsidRPr="006A2591">
        <w:rPr>
          <w:rFonts w:ascii="Times New Roman" w:hAnsi="Times New Roman"/>
        </w:rPr>
        <w:t xml:space="preserve"> II receptorių blokatorius (ARB) ir </w:t>
      </w:r>
      <w:r>
        <w:rPr>
          <w:rFonts w:ascii="Times New Roman" w:hAnsi="Times New Roman"/>
        </w:rPr>
        <w:t>diuretikus</w:t>
      </w:r>
      <w:r w:rsidRPr="006A2591">
        <w:rPr>
          <w:rFonts w:ascii="Times New Roman" w:hAnsi="Times New Roman"/>
        </w:rPr>
        <w:t xml:space="preserve">, ypač kilpinius diuretikus. Jeigu </w:t>
      </w:r>
      <w:proofErr w:type="spellStart"/>
      <w:r w:rsidRPr="006A2591">
        <w:rPr>
          <w:rFonts w:ascii="Times New Roman" w:hAnsi="Times New Roman"/>
        </w:rPr>
        <w:t>metforminu</w:t>
      </w:r>
      <w:proofErr w:type="spellEnd"/>
      <w:r w:rsidRPr="006A2591">
        <w:rPr>
          <w:rFonts w:ascii="Times New Roman" w:hAnsi="Times New Roman"/>
        </w:rPr>
        <w:t xml:space="preserve"> gydomam pacientui yra skiriam</w:t>
      </w:r>
      <w:r>
        <w:rPr>
          <w:rFonts w:ascii="Times New Roman" w:hAnsi="Times New Roman"/>
        </w:rPr>
        <w:t>a</w:t>
      </w:r>
      <w:r w:rsidRPr="006A2591">
        <w:rPr>
          <w:rFonts w:ascii="Times New Roman" w:hAnsi="Times New Roman"/>
        </w:rPr>
        <w:t xml:space="preserve"> toki</w:t>
      </w:r>
      <w:r>
        <w:rPr>
          <w:rFonts w:ascii="Times New Roman" w:hAnsi="Times New Roman"/>
        </w:rPr>
        <w:t>ų</w:t>
      </w:r>
      <w:r w:rsidRPr="006A2591">
        <w:rPr>
          <w:rFonts w:ascii="Times New Roman" w:hAnsi="Times New Roman"/>
        </w:rPr>
        <w:t xml:space="preserve"> vaist</w:t>
      </w:r>
      <w:r>
        <w:rPr>
          <w:rFonts w:ascii="Times New Roman" w:hAnsi="Times New Roman"/>
        </w:rPr>
        <w:t>inių preparatų</w:t>
      </w:r>
      <w:r w:rsidRPr="006A2591">
        <w:rPr>
          <w:rFonts w:ascii="Times New Roman" w:hAnsi="Times New Roman"/>
        </w:rPr>
        <w:t xml:space="preserve"> (arba jis j</w:t>
      </w:r>
      <w:r>
        <w:rPr>
          <w:rFonts w:ascii="Times New Roman" w:hAnsi="Times New Roman"/>
        </w:rPr>
        <w:t>ų</w:t>
      </w:r>
      <w:r w:rsidRPr="006A2591">
        <w:rPr>
          <w:rFonts w:ascii="Times New Roman" w:hAnsi="Times New Roman"/>
        </w:rPr>
        <w:t xml:space="preserve"> jau vartoja), būtina atidžiai stebėti inkstų funkciją.</w:t>
      </w:r>
    </w:p>
    <w:p w14:paraId="00341219" w14:textId="77777777" w:rsidR="00601C8B" w:rsidRPr="006A2591" w:rsidRDefault="00601C8B" w:rsidP="00601C8B">
      <w:pPr>
        <w:pStyle w:val="Betarp"/>
        <w:rPr>
          <w:rFonts w:ascii="Times New Roman" w:hAnsi="Times New Roman"/>
        </w:rPr>
      </w:pPr>
    </w:p>
    <w:p w14:paraId="68A6F07E" w14:textId="77777777" w:rsidR="00601C8B" w:rsidRPr="006A2591" w:rsidRDefault="00601C8B" w:rsidP="00EE0B84">
      <w:pPr>
        <w:pStyle w:val="Betarp"/>
        <w:keepNext/>
        <w:rPr>
          <w:rFonts w:ascii="Times New Roman" w:hAnsi="Times New Roman"/>
          <w:i/>
        </w:rPr>
      </w:pPr>
      <w:r>
        <w:rPr>
          <w:rFonts w:ascii="Times New Roman" w:hAnsi="Times New Roman"/>
          <w:i/>
        </w:rPr>
        <w:t>Vaistiniai</w:t>
      </w:r>
      <w:r w:rsidRPr="006A2591">
        <w:rPr>
          <w:rFonts w:ascii="Times New Roman" w:hAnsi="Times New Roman"/>
          <w:i/>
        </w:rPr>
        <w:t xml:space="preserve"> preparatai su </w:t>
      </w:r>
      <w:r>
        <w:rPr>
          <w:rFonts w:ascii="Times New Roman" w:hAnsi="Times New Roman"/>
          <w:i/>
        </w:rPr>
        <w:t>būdingu</w:t>
      </w:r>
      <w:r w:rsidRPr="006A2591">
        <w:rPr>
          <w:rFonts w:ascii="Times New Roman" w:hAnsi="Times New Roman"/>
          <w:i/>
        </w:rPr>
        <w:t xml:space="preserve"> </w:t>
      </w:r>
      <w:proofErr w:type="spellStart"/>
      <w:r w:rsidRPr="006A2591">
        <w:rPr>
          <w:rFonts w:ascii="Times New Roman" w:hAnsi="Times New Roman"/>
          <w:i/>
        </w:rPr>
        <w:t>hiperglikeminiu</w:t>
      </w:r>
      <w:proofErr w:type="spellEnd"/>
      <w:r w:rsidRPr="006A2591">
        <w:rPr>
          <w:rFonts w:ascii="Times New Roman" w:hAnsi="Times New Roman"/>
          <w:i/>
        </w:rPr>
        <w:t xml:space="preserve"> aktyvumu (pvz., vietinio ir sisteminio poveikio </w:t>
      </w:r>
      <w:proofErr w:type="spellStart"/>
      <w:r w:rsidRPr="006A2591">
        <w:rPr>
          <w:rFonts w:ascii="Times New Roman" w:hAnsi="Times New Roman"/>
          <w:i/>
        </w:rPr>
        <w:t>gliukokortikoidai</w:t>
      </w:r>
      <w:proofErr w:type="spellEnd"/>
      <w:r w:rsidRPr="006A2591">
        <w:rPr>
          <w:rFonts w:ascii="Times New Roman" w:hAnsi="Times New Roman"/>
          <w:i/>
        </w:rPr>
        <w:t xml:space="preserve"> ir </w:t>
      </w:r>
      <w:proofErr w:type="spellStart"/>
      <w:r w:rsidRPr="006A2591">
        <w:rPr>
          <w:rFonts w:ascii="Times New Roman" w:hAnsi="Times New Roman"/>
          <w:i/>
        </w:rPr>
        <w:t>simpatomimetikai</w:t>
      </w:r>
      <w:proofErr w:type="spellEnd"/>
      <w:r w:rsidRPr="006A2591">
        <w:rPr>
          <w:rFonts w:ascii="Times New Roman" w:hAnsi="Times New Roman"/>
          <w:i/>
        </w:rPr>
        <w:t>)</w:t>
      </w:r>
    </w:p>
    <w:p w14:paraId="67650071" w14:textId="77777777" w:rsidR="00601C8B" w:rsidRPr="006A2591" w:rsidRDefault="00601C8B" w:rsidP="00601C8B">
      <w:pPr>
        <w:pStyle w:val="Betarp"/>
        <w:rPr>
          <w:rFonts w:ascii="Times New Roman" w:hAnsi="Times New Roman"/>
        </w:rPr>
      </w:pPr>
    </w:p>
    <w:p w14:paraId="28CEE224" w14:textId="77777777" w:rsidR="00601C8B" w:rsidRPr="006A2591" w:rsidRDefault="00601C8B" w:rsidP="00601C8B">
      <w:pPr>
        <w:pStyle w:val="Betarp"/>
        <w:rPr>
          <w:rFonts w:ascii="Times New Roman" w:hAnsi="Times New Roman"/>
        </w:rPr>
      </w:pPr>
      <w:r>
        <w:rPr>
          <w:rFonts w:ascii="Times New Roman" w:hAnsi="Times New Roman"/>
        </w:rPr>
        <w:t>B</w:t>
      </w:r>
      <w:r w:rsidRPr="006A2591">
        <w:rPr>
          <w:rFonts w:ascii="Times New Roman" w:hAnsi="Times New Roman"/>
        </w:rPr>
        <w:t xml:space="preserve">ūtina dažniau tirti gliukozės kiekį kraujyje, ypač pradėjus gydyti. </w:t>
      </w:r>
      <w:r w:rsidRPr="00EC03E8">
        <w:rPr>
          <w:rFonts w:ascii="Times New Roman" w:hAnsi="Times New Roman"/>
        </w:rPr>
        <w:t xml:space="preserve">Jeigu reikia, gydymo </w:t>
      </w:r>
      <w:r>
        <w:rPr>
          <w:rFonts w:ascii="Times New Roman" w:hAnsi="Times New Roman"/>
        </w:rPr>
        <w:t>minėtais</w:t>
      </w:r>
      <w:r w:rsidRPr="00EC03E8">
        <w:rPr>
          <w:rFonts w:ascii="Times New Roman" w:hAnsi="Times New Roman"/>
        </w:rPr>
        <w:t xml:space="preserve"> vaist</w:t>
      </w:r>
      <w:r>
        <w:rPr>
          <w:rFonts w:ascii="Times New Roman" w:hAnsi="Times New Roman"/>
        </w:rPr>
        <w:t>ini</w:t>
      </w:r>
      <w:r w:rsidRPr="00EC03E8">
        <w:rPr>
          <w:rFonts w:ascii="Times New Roman" w:hAnsi="Times New Roman"/>
        </w:rPr>
        <w:t>ais</w:t>
      </w:r>
      <w:r>
        <w:rPr>
          <w:rFonts w:ascii="Times New Roman" w:hAnsi="Times New Roman"/>
        </w:rPr>
        <w:t xml:space="preserve"> preparatais</w:t>
      </w:r>
      <w:r w:rsidRPr="00EC03E8">
        <w:rPr>
          <w:rFonts w:ascii="Times New Roman" w:hAnsi="Times New Roman"/>
        </w:rPr>
        <w:t xml:space="preserve"> metu ir nutraukus jų vartojimą, </w:t>
      </w:r>
      <w:r>
        <w:rPr>
          <w:rFonts w:ascii="Times New Roman" w:hAnsi="Times New Roman"/>
        </w:rPr>
        <w:t xml:space="preserve">gydytojas turi koreguoti </w:t>
      </w:r>
      <w:proofErr w:type="spellStart"/>
      <w:r w:rsidRPr="00EC03E8">
        <w:rPr>
          <w:rFonts w:ascii="Times New Roman" w:hAnsi="Times New Roman"/>
        </w:rPr>
        <w:t>metformino</w:t>
      </w:r>
      <w:proofErr w:type="spellEnd"/>
      <w:r w:rsidRPr="00EC03E8">
        <w:rPr>
          <w:rFonts w:ascii="Times New Roman" w:hAnsi="Times New Roman"/>
        </w:rPr>
        <w:t xml:space="preserve"> dozę.</w:t>
      </w:r>
    </w:p>
    <w:p w14:paraId="23C658EB" w14:textId="77777777" w:rsidR="00601C8B" w:rsidRPr="006A2591" w:rsidRDefault="00601C8B" w:rsidP="00601C8B">
      <w:pPr>
        <w:pStyle w:val="Betarp"/>
        <w:rPr>
          <w:rFonts w:ascii="Times New Roman" w:hAnsi="Times New Roman"/>
        </w:rPr>
      </w:pPr>
    </w:p>
    <w:p w14:paraId="0B4E010C" w14:textId="77777777" w:rsidR="00601C8B" w:rsidRPr="006A2591" w:rsidRDefault="00601C8B" w:rsidP="00601C8B">
      <w:pPr>
        <w:pStyle w:val="Betarp"/>
        <w:rPr>
          <w:rFonts w:ascii="Times New Roman" w:hAnsi="Times New Roman"/>
          <w:i/>
        </w:rPr>
      </w:pPr>
      <w:r w:rsidRPr="006A2591">
        <w:rPr>
          <w:rFonts w:ascii="Times New Roman" w:hAnsi="Times New Roman"/>
          <w:i/>
        </w:rPr>
        <w:t xml:space="preserve">Organiniai </w:t>
      </w:r>
      <w:proofErr w:type="spellStart"/>
      <w:r w:rsidRPr="006A2591">
        <w:rPr>
          <w:rFonts w:ascii="Times New Roman" w:hAnsi="Times New Roman"/>
          <w:i/>
        </w:rPr>
        <w:t>katijoniniai</w:t>
      </w:r>
      <w:proofErr w:type="spellEnd"/>
      <w:r w:rsidRPr="006A2591">
        <w:rPr>
          <w:rFonts w:ascii="Times New Roman" w:hAnsi="Times New Roman"/>
          <w:i/>
        </w:rPr>
        <w:t xml:space="preserve"> transporteriai arba nešikliai (OKT)</w:t>
      </w:r>
    </w:p>
    <w:p w14:paraId="4A8ADC63" w14:textId="77777777" w:rsidR="00601C8B" w:rsidRPr="006A2591" w:rsidRDefault="00601C8B" w:rsidP="00601C8B">
      <w:pPr>
        <w:pStyle w:val="Betarp"/>
        <w:rPr>
          <w:rFonts w:ascii="Times New Roman" w:hAnsi="Times New Roman"/>
        </w:rPr>
      </w:pPr>
    </w:p>
    <w:p w14:paraId="4C359031" w14:textId="28A2B56F"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yra abiejų organinių </w:t>
      </w:r>
      <w:proofErr w:type="spellStart"/>
      <w:r w:rsidRPr="006A2591">
        <w:rPr>
          <w:rFonts w:ascii="Times New Roman" w:hAnsi="Times New Roman"/>
        </w:rPr>
        <w:t>katijoninių</w:t>
      </w:r>
      <w:proofErr w:type="spellEnd"/>
      <w:r w:rsidRPr="006A2591">
        <w:rPr>
          <w:rFonts w:ascii="Times New Roman" w:hAnsi="Times New Roman"/>
        </w:rPr>
        <w:t xml:space="preserve"> transporter</w:t>
      </w:r>
      <w:r w:rsidR="00064011">
        <w:rPr>
          <w:rFonts w:ascii="Times New Roman" w:hAnsi="Times New Roman"/>
        </w:rPr>
        <w:t>i</w:t>
      </w:r>
      <w:r w:rsidRPr="006A2591">
        <w:rPr>
          <w:rFonts w:ascii="Times New Roman" w:hAnsi="Times New Roman"/>
        </w:rPr>
        <w:t>ų OKT1 ir OKT2 substratas</w:t>
      </w:r>
      <w:r w:rsidR="00064011">
        <w:rPr>
          <w:rFonts w:ascii="Times New Roman" w:hAnsi="Times New Roman"/>
        </w:rPr>
        <w:t>.</w:t>
      </w:r>
    </w:p>
    <w:p w14:paraId="3DE9738E" w14:textId="77777777" w:rsidR="00601C8B" w:rsidRPr="006A2591" w:rsidRDefault="00601C8B" w:rsidP="00601C8B">
      <w:pPr>
        <w:pStyle w:val="Betarp"/>
        <w:rPr>
          <w:rFonts w:ascii="Times New Roman" w:hAnsi="Times New Roman"/>
        </w:rPr>
      </w:pPr>
    </w:p>
    <w:p w14:paraId="4002DA90"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Jeigu </w:t>
      </w:r>
      <w:proofErr w:type="spellStart"/>
      <w:r w:rsidRPr="006A2591">
        <w:rPr>
          <w:rFonts w:ascii="Times New Roman" w:hAnsi="Times New Roman"/>
        </w:rPr>
        <w:t>metforminas</w:t>
      </w:r>
      <w:proofErr w:type="spellEnd"/>
      <w:r w:rsidRPr="006A2591">
        <w:rPr>
          <w:rFonts w:ascii="Times New Roman" w:hAnsi="Times New Roman"/>
        </w:rPr>
        <w:t xml:space="preserve"> yra vartojamas kartu su</w:t>
      </w:r>
    </w:p>
    <w:p w14:paraId="4887A732" w14:textId="77777777" w:rsidR="00601C8B" w:rsidRPr="006A2591" w:rsidRDefault="00601C8B" w:rsidP="00EE0B84">
      <w:pPr>
        <w:pStyle w:val="Betarp"/>
        <w:numPr>
          <w:ilvl w:val="0"/>
          <w:numId w:val="5"/>
        </w:numPr>
        <w:ind w:left="567" w:hanging="567"/>
        <w:rPr>
          <w:rFonts w:ascii="Times New Roman" w:hAnsi="Times New Roman"/>
        </w:rPr>
      </w:pPr>
      <w:r w:rsidRPr="006A2591">
        <w:rPr>
          <w:rFonts w:ascii="Times New Roman" w:hAnsi="Times New Roman"/>
        </w:rPr>
        <w:t xml:space="preserve">OKT1 inhibitoriais (pvz., </w:t>
      </w:r>
      <w:proofErr w:type="spellStart"/>
      <w:r w:rsidRPr="006A2591">
        <w:rPr>
          <w:rFonts w:ascii="Times New Roman" w:hAnsi="Times New Roman"/>
        </w:rPr>
        <w:t>verapamiliu</w:t>
      </w:r>
      <w:proofErr w:type="spellEnd"/>
      <w:r w:rsidRPr="006A2591">
        <w:rPr>
          <w:rFonts w:ascii="Times New Roman" w:hAnsi="Times New Roman"/>
        </w:rPr>
        <w:t xml:space="preserve">), jie gali mažinti </w:t>
      </w:r>
      <w:proofErr w:type="spellStart"/>
      <w:r w:rsidRPr="006A2591">
        <w:rPr>
          <w:rFonts w:ascii="Times New Roman" w:hAnsi="Times New Roman"/>
        </w:rPr>
        <w:t>metformino</w:t>
      </w:r>
      <w:proofErr w:type="spellEnd"/>
      <w:r w:rsidRPr="006A2591">
        <w:rPr>
          <w:rFonts w:ascii="Times New Roman" w:hAnsi="Times New Roman"/>
        </w:rPr>
        <w:t xml:space="preserve"> poveikį.</w:t>
      </w:r>
    </w:p>
    <w:p w14:paraId="1725FDB0" w14:textId="77777777" w:rsidR="00601C8B" w:rsidRPr="006A2591" w:rsidRDefault="00601C8B" w:rsidP="00EE0B84">
      <w:pPr>
        <w:pStyle w:val="Betarp"/>
        <w:numPr>
          <w:ilvl w:val="0"/>
          <w:numId w:val="5"/>
        </w:numPr>
        <w:ind w:left="567" w:hanging="567"/>
        <w:rPr>
          <w:rFonts w:ascii="Times New Roman" w:hAnsi="Times New Roman"/>
        </w:rPr>
      </w:pPr>
      <w:r w:rsidRPr="006A2591">
        <w:rPr>
          <w:rFonts w:ascii="Times New Roman" w:hAnsi="Times New Roman"/>
        </w:rPr>
        <w:t xml:space="preserve">OKT1 </w:t>
      </w:r>
      <w:proofErr w:type="spellStart"/>
      <w:r w:rsidRPr="006A2591">
        <w:rPr>
          <w:rFonts w:ascii="Times New Roman" w:hAnsi="Times New Roman"/>
        </w:rPr>
        <w:t>induktoriais</w:t>
      </w:r>
      <w:proofErr w:type="spellEnd"/>
      <w:r w:rsidRPr="006A2591">
        <w:rPr>
          <w:rFonts w:ascii="Times New Roman" w:hAnsi="Times New Roman"/>
        </w:rPr>
        <w:t xml:space="preserve"> (pvz., </w:t>
      </w:r>
      <w:proofErr w:type="spellStart"/>
      <w:r w:rsidRPr="006A2591">
        <w:rPr>
          <w:rFonts w:ascii="Times New Roman" w:hAnsi="Times New Roman"/>
        </w:rPr>
        <w:t>rifampicinu</w:t>
      </w:r>
      <w:proofErr w:type="spellEnd"/>
      <w:r w:rsidRPr="006A2591">
        <w:rPr>
          <w:rFonts w:ascii="Times New Roman" w:hAnsi="Times New Roman"/>
        </w:rPr>
        <w:t xml:space="preserve">), jie gali didinti </w:t>
      </w:r>
      <w:proofErr w:type="spellStart"/>
      <w:r w:rsidRPr="006A2591">
        <w:rPr>
          <w:rFonts w:ascii="Times New Roman" w:hAnsi="Times New Roman"/>
        </w:rPr>
        <w:t>metformino</w:t>
      </w:r>
      <w:proofErr w:type="spellEnd"/>
      <w:r w:rsidRPr="006A2591">
        <w:rPr>
          <w:rFonts w:ascii="Times New Roman" w:hAnsi="Times New Roman"/>
        </w:rPr>
        <w:t xml:space="preserve"> </w:t>
      </w:r>
      <w:proofErr w:type="spellStart"/>
      <w:r w:rsidRPr="006A2591">
        <w:rPr>
          <w:rFonts w:ascii="Times New Roman" w:hAnsi="Times New Roman"/>
        </w:rPr>
        <w:t>rezorbciją</w:t>
      </w:r>
      <w:proofErr w:type="spellEnd"/>
      <w:r w:rsidRPr="006A2591">
        <w:rPr>
          <w:rFonts w:ascii="Times New Roman" w:hAnsi="Times New Roman"/>
        </w:rPr>
        <w:t xml:space="preserve"> virškinimo trakte ir jo poveikį.</w:t>
      </w:r>
    </w:p>
    <w:p w14:paraId="2781F838" w14:textId="364F5313" w:rsidR="00601C8B" w:rsidRPr="006A2591" w:rsidRDefault="00601C8B" w:rsidP="00EE0B84">
      <w:pPr>
        <w:pStyle w:val="Betarp"/>
        <w:numPr>
          <w:ilvl w:val="0"/>
          <w:numId w:val="5"/>
        </w:numPr>
        <w:ind w:left="567" w:hanging="567"/>
        <w:rPr>
          <w:rFonts w:ascii="Times New Roman" w:hAnsi="Times New Roman"/>
        </w:rPr>
      </w:pPr>
      <w:r w:rsidRPr="006A2591">
        <w:rPr>
          <w:rFonts w:ascii="Times New Roman" w:hAnsi="Times New Roman"/>
        </w:rPr>
        <w:t>OKT2 inhibitoriais (pvz.</w:t>
      </w:r>
      <w:r w:rsidR="00D30157">
        <w:rPr>
          <w:rFonts w:ascii="Times New Roman" w:hAnsi="Times New Roman"/>
        </w:rPr>
        <w:t>:</w:t>
      </w:r>
      <w:r w:rsidRPr="006A2591">
        <w:rPr>
          <w:rFonts w:ascii="Times New Roman" w:hAnsi="Times New Roman"/>
        </w:rPr>
        <w:t xml:space="preserve"> </w:t>
      </w:r>
      <w:proofErr w:type="spellStart"/>
      <w:r w:rsidRPr="006A2591">
        <w:rPr>
          <w:rFonts w:ascii="Times New Roman" w:hAnsi="Times New Roman"/>
        </w:rPr>
        <w:t>cimetidinu</w:t>
      </w:r>
      <w:proofErr w:type="spellEnd"/>
      <w:r w:rsidRPr="006A2591">
        <w:rPr>
          <w:rFonts w:ascii="Times New Roman" w:hAnsi="Times New Roman"/>
        </w:rPr>
        <w:t xml:space="preserve">, </w:t>
      </w:r>
      <w:proofErr w:type="spellStart"/>
      <w:r w:rsidRPr="006A2591">
        <w:rPr>
          <w:rFonts w:ascii="Times New Roman" w:hAnsi="Times New Roman"/>
        </w:rPr>
        <w:t>dolutegraviru</w:t>
      </w:r>
      <w:proofErr w:type="spellEnd"/>
      <w:r w:rsidRPr="006A2591">
        <w:rPr>
          <w:rFonts w:ascii="Times New Roman" w:hAnsi="Times New Roman"/>
        </w:rPr>
        <w:t xml:space="preserve">, </w:t>
      </w:r>
      <w:proofErr w:type="spellStart"/>
      <w:r w:rsidRPr="006A2591">
        <w:rPr>
          <w:rFonts w:ascii="Times New Roman" w:hAnsi="Times New Roman"/>
        </w:rPr>
        <w:t>ranolazinu</w:t>
      </w:r>
      <w:proofErr w:type="spellEnd"/>
      <w:r w:rsidRPr="006A2591">
        <w:rPr>
          <w:rFonts w:ascii="Times New Roman" w:hAnsi="Times New Roman"/>
        </w:rPr>
        <w:t xml:space="preserve">, </w:t>
      </w:r>
      <w:proofErr w:type="spellStart"/>
      <w:r w:rsidRPr="006A2591">
        <w:rPr>
          <w:rFonts w:ascii="Times New Roman" w:hAnsi="Times New Roman"/>
        </w:rPr>
        <w:t>trimetoprimu</w:t>
      </w:r>
      <w:proofErr w:type="spellEnd"/>
      <w:r w:rsidRPr="006A2591">
        <w:rPr>
          <w:rFonts w:ascii="Times New Roman" w:hAnsi="Times New Roman"/>
        </w:rPr>
        <w:t xml:space="preserve">, </w:t>
      </w:r>
      <w:proofErr w:type="spellStart"/>
      <w:r w:rsidRPr="006A2591">
        <w:rPr>
          <w:rFonts w:ascii="Times New Roman" w:hAnsi="Times New Roman"/>
        </w:rPr>
        <w:t>vandetanibu</w:t>
      </w:r>
      <w:proofErr w:type="spellEnd"/>
      <w:r w:rsidRPr="006A2591">
        <w:rPr>
          <w:rFonts w:ascii="Times New Roman" w:hAnsi="Times New Roman"/>
        </w:rPr>
        <w:t xml:space="preserve">, </w:t>
      </w:r>
      <w:proofErr w:type="spellStart"/>
      <w:r w:rsidRPr="006A2591">
        <w:rPr>
          <w:rFonts w:ascii="Times New Roman" w:hAnsi="Times New Roman"/>
        </w:rPr>
        <w:t>izavukonazolu</w:t>
      </w:r>
      <w:proofErr w:type="spellEnd"/>
      <w:r w:rsidRPr="006A2591">
        <w:rPr>
          <w:rFonts w:ascii="Times New Roman" w:hAnsi="Times New Roman"/>
        </w:rPr>
        <w:t xml:space="preserve">), jie gali lėtinti </w:t>
      </w:r>
      <w:proofErr w:type="spellStart"/>
      <w:r w:rsidRPr="006A2591">
        <w:rPr>
          <w:rFonts w:ascii="Times New Roman" w:hAnsi="Times New Roman"/>
        </w:rPr>
        <w:t>metformino</w:t>
      </w:r>
      <w:proofErr w:type="spellEnd"/>
      <w:r w:rsidRPr="006A2591">
        <w:rPr>
          <w:rFonts w:ascii="Times New Roman" w:hAnsi="Times New Roman"/>
        </w:rPr>
        <w:t xml:space="preserve"> išskyrimą per inkstus ir taip didinti jo koncentraciją kraujo plazmoje.</w:t>
      </w:r>
    </w:p>
    <w:p w14:paraId="401C476C" w14:textId="1C32DF5D" w:rsidR="00601C8B" w:rsidRPr="006A2591" w:rsidRDefault="00601C8B" w:rsidP="00EE0B84">
      <w:pPr>
        <w:pStyle w:val="Betarp"/>
        <w:numPr>
          <w:ilvl w:val="0"/>
          <w:numId w:val="5"/>
        </w:numPr>
        <w:ind w:left="567" w:hanging="567"/>
        <w:rPr>
          <w:rFonts w:ascii="Times New Roman" w:hAnsi="Times New Roman"/>
        </w:rPr>
      </w:pPr>
      <w:r w:rsidRPr="006A2591">
        <w:rPr>
          <w:rFonts w:ascii="Times New Roman" w:hAnsi="Times New Roman"/>
        </w:rPr>
        <w:t>Bendraisiais OKT1 ir OKT2 inhibitoriais (pv</w:t>
      </w:r>
      <w:r w:rsidR="00D30157">
        <w:rPr>
          <w:rFonts w:ascii="Times New Roman" w:hAnsi="Times New Roman"/>
        </w:rPr>
        <w:t>z</w:t>
      </w:r>
      <w:r w:rsidRPr="006A2591">
        <w:rPr>
          <w:rFonts w:ascii="Times New Roman" w:hAnsi="Times New Roman"/>
        </w:rPr>
        <w:t>.</w:t>
      </w:r>
      <w:r w:rsidR="00D30157">
        <w:rPr>
          <w:rFonts w:ascii="Times New Roman" w:hAnsi="Times New Roman"/>
        </w:rPr>
        <w:t>:</w:t>
      </w:r>
      <w:r w:rsidRPr="006A2591">
        <w:rPr>
          <w:rFonts w:ascii="Times New Roman" w:hAnsi="Times New Roman"/>
        </w:rPr>
        <w:t xml:space="preserve"> </w:t>
      </w:r>
      <w:proofErr w:type="spellStart"/>
      <w:r>
        <w:rPr>
          <w:rFonts w:ascii="Times New Roman" w:hAnsi="Times New Roman"/>
        </w:rPr>
        <w:t>k</w:t>
      </w:r>
      <w:r w:rsidRPr="006A2591">
        <w:rPr>
          <w:rFonts w:ascii="Times New Roman" w:hAnsi="Times New Roman"/>
        </w:rPr>
        <w:t>rizotinibu</w:t>
      </w:r>
      <w:proofErr w:type="spellEnd"/>
      <w:r w:rsidRPr="006A2591">
        <w:rPr>
          <w:rFonts w:ascii="Times New Roman" w:hAnsi="Times New Roman"/>
        </w:rPr>
        <w:t xml:space="preserve">, </w:t>
      </w:r>
      <w:proofErr w:type="spellStart"/>
      <w:r w:rsidRPr="006A2591">
        <w:rPr>
          <w:rFonts w:ascii="Times New Roman" w:hAnsi="Times New Roman"/>
        </w:rPr>
        <w:t>olaparidu</w:t>
      </w:r>
      <w:proofErr w:type="spellEnd"/>
      <w:r w:rsidRPr="006A2591">
        <w:rPr>
          <w:rFonts w:ascii="Times New Roman" w:hAnsi="Times New Roman"/>
        </w:rPr>
        <w:t xml:space="preserve">), jie gali sutrikdyti </w:t>
      </w:r>
      <w:proofErr w:type="spellStart"/>
      <w:r w:rsidRPr="006A2591">
        <w:rPr>
          <w:rFonts w:ascii="Times New Roman" w:hAnsi="Times New Roman"/>
        </w:rPr>
        <w:t>metformino</w:t>
      </w:r>
      <w:proofErr w:type="spellEnd"/>
      <w:r w:rsidRPr="006A2591">
        <w:rPr>
          <w:rFonts w:ascii="Times New Roman" w:hAnsi="Times New Roman"/>
        </w:rPr>
        <w:t xml:space="preserve"> išskyrimą per inkstus ir </w:t>
      </w:r>
      <w:r>
        <w:rPr>
          <w:rFonts w:ascii="Times New Roman" w:hAnsi="Times New Roman"/>
        </w:rPr>
        <w:t>keisti</w:t>
      </w:r>
      <w:r w:rsidRPr="006A2591">
        <w:rPr>
          <w:rFonts w:ascii="Times New Roman" w:hAnsi="Times New Roman"/>
        </w:rPr>
        <w:t xml:space="preserve"> jo veiksmingumą.</w:t>
      </w:r>
    </w:p>
    <w:p w14:paraId="17ECD43A" w14:textId="77777777" w:rsidR="00601C8B" w:rsidRPr="006A2591" w:rsidRDefault="00601C8B" w:rsidP="00601C8B">
      <w:pPr>
        <w:pStyle w:val="Betarp"/>
        <w:rPr>
          <w:rFonts w:ascii="Times New Roman" w:hAnsi="Times New Roman"/>
        </w:rPr>
      </w:pPr>
    </w:p>
    <w:p w14:paraId="73966E50" w14:textId="77777777" w:rsidR="00601C8B" w:rsidRPr="006A2591" w:rsidRDefault="00601C8B" w:rsidP="00E85904">
      <w:pPr>
        <w:pStyle w:val="BTEMEASMCA"/>
      </w:pPr>
      <w:r w:rsidRPr="006A2591">
        <w:t xml:space="preserve">Todėl tokiais atvejais (jeigu </w:t>
      </w:r>
      <w:proofErr w:type="spellStart"/>
      <w:r w:rsidRPr="006A2591">
        <w:t>metforminas</w:t>
      </w:r>
      <w:proofErr w:type="spellEnd"/>
      <w:r w:rsidRPr="006A2591">
        <w:t xml:space="preserve"> vartojamas su aukščiau išvardintais vaistais, ypač esant inkstų funkcijos nepakankamumui) būtina laikytis atsargumo priemonių, nes </w:t>
      </w:r>
      <w:proofErr w:type="spellStart"/>
      <w:r w:rsidRPr="006A2591">
        <w:t>metformino</w:t>
      </w:r>
      <w:proofErr w:type="spellEnd"/>
      <w:r w:rsidRPr="006A2591">
        <w:t xml:space="preserve"> koncentracija kraujo plazmoje gali didėti. </w:t>
      </w:r>
      <w:r>
        <w:t>G</w:t>
      </w:r>
      <w:r w:rsidRPr="006A2591">
        <w:t xml:space="preserve">ali tekti peržiūrėti </w:t>
      </w:r>
      <w:proofErr w:type="spellStart"/>
      <w:r w:rsidRPr="006A2591">
        <w:t>metformino</w:t>
      </w:r>
      <w:proofErr w:type="spellEnd"/>
      <w:r w:rsidRPr="006A2591">
        <w:t xml:space="preserve"> dozę, kadangi OKT inhibitoriai arba </w:t>
      </w:r>
      <w:proofErr w:type="spellStart"/>
      <w:r w:rsidRPr="006A2591">
        <w:t>induktoriai</w:t>
      </w:r>
      <w:proofErr w:type="spellEnd"/>
      <w:r w:rsidRPr="006A2591">
        <w:t xml:space="preserve"> gali paveikti </w:t>
      </w:r>
      <w:proofErr w:type="spellStart"/>
      <w:r w:rsidRPr="006A2591">
        <w:t>metformino</w:t>
      </w:r>
      <w:proofErr w:type="spellEnd"/>
      <w:r w:rsidRPr="006A2591">
        <w:t xml:space="preserve"> veiksmingumą.</w:t>
      </w:r>
    </w:p>
    <w:p w14:paraId="6D12EA92" w14:textId="77777777" w:rsidR="00601C8B" w:rsidRPr="006A2591" w:rsidRDefault="00601C8B" w:rsidP="00E85904">
      <w:pPr>
        <w:pStyle w:val="BTEMEASMCA"/>
      </w:pPr>
    </w:p>
    <w:p w14:paraId="09BDD875" w14:textId="77777777" w:rsidR="00601C8B" w:rsidRPr="006A2591" w:rsidRDefault="00601C8B" w:rsidP="00601C8B">
      <w:pPr>
        <w:pStyle w:val="PI-2EMEASMCA"/>
        <w:outlineLvl w:val="9"/>
      </w:pPr>
      <w:r w:rsidRPr="006A2591">
        <w:t>4.6</w:t>
      </w:r>
      <w:r w:rsidRPr="006A2591">
        <w:tab/>
        <w:t>Vaisingumas, nėštumo ir žindymo laikotarpis</w:t>
      </w:r>
    </w:p>
    <w:p w14:paraId="5325A5E4" w14:textId="77777777" w:rsidR="00601C8B" w:rsidRPr="006A2591" w:rsidRDefault="00601C8B" w:rsidP="00E85904">
      <w:pPr>
        <w:pStyle w:val="BTEMEASMCA"/>
      </w:pPr>
    </w:p>
    <w:p w14:paraId="665A0E2B"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Nėštumas</w:t>
      </w:r>
    </w:p>
    <w:p w14:paraId="27DE6881" w14:textId="77777777" w:rsidR="00601C8B" w:rsidRPr="006A2591" w:rsidRDefault="00601C8B" w:rsidP="00601C8B">
      <w:pPr>
        <w:pStyle w:val="Betarp"/>
        <w:rPr>
          <w:rFonts w:ascii="Times New Roman" w:hAnsi="Times New Roman"/>
          <w:u w:val="single"/>
        </w:rPr>
      </w:pPr>
    </w:p>
    <w:p w14:paraId="12A68ED9" w14:textId="1AF4C333" w:rsidR="00DC2B0A" w:rsidRDefault="00DC2B0A" w:rsidP="00DC2B0A">
      <w:pPr>
        <w:pStyle w:val="Betarp"/>
        <w:rPr>
          <w:rFonts w:ascii="Times New Roman" w:hAnsi="Times New Roman"/>
        </w:rPr>
      </w:pPr>
      <w:r w:rsidRPr="006A2591">
        <w:rPr>
          <w:rFonts w:ascii="Times New Roman" w:hAnsi="Times New Roman"/>
        </w:rPr>
        <w:t xml:space="preserve">Nekontroliuojama </w:t>
      </w:r>
      <w:r w:rsidRPr="00A13C92">
        <w:rPr>
          <w:rFonts w:ascii="Times New Roman" w:hAnsi="Times New Roman"/>
        </w:rPr>
        <w:t>hiperglikemija</w:t>
      </w:r>
      <w:r w:rsidRPr="006A2591">
        <w:rPr>
          <w:rFonts w:ascii="Times New Roman" w:hAnsi="Times New Roman"/>
        </w:rPr>
        <w:t xml:space="preserve"> </w:t>
      </w:r>
      <w:r>
        <w:rPr>
          <w:rFonts w:ascii="Times New Roman" w:hAnsi="Times New Roman"/>
        </w:rPr>
        <w:t>pastojimo ir</w:t>
      </w:r>
      <w:r w:rsidRPr="006A2591">
        <w:rPr>
          <w:rFonts w:ascii="Times New Roman" w:hAnsi="Times New Roman"/>
        </w:rPr>
        <w:t xml:space="preserve"> nėštumo metu yra susij</w:t>
      </w:r>
      <w:r>
        <w:rPr>
          <w:rFonts w:ascii="Times New Roman" w:hAnsi="Times New Roman"/>
        </w:rPr>
        <w:t>usi</w:t>
      </w:r>
      <w:r w:rsidRPr="006A2591">
        <w:rPr>
          <w:rFonts w:ascii="Times New Roman" w:hAnsi="Times New Roman"/>
        </w:rPr>
        <w:t xml:space="preserve"> su </w:t>
      </w:r>
      <w:r>
        <w:rPr>
          <w:rFonts w:ascii="Times New Roman" w:hAnsi="Times New Roman"/>
        </w:rPr>
        <w:t xml:space="preserve">padidėjusia </w:t>
      </w:r>
      <w:r w:rsidR="00385746">
        <w:rPr>
          <w:rFonts w:ascii="Times New Roman" w:hAnsi="Times New Roman"/>
        </w:rPr>
        <w:t>įgimtų formavimosi ydų</w:t>
      </w:r>
      <w:r>
        <w:rPr>
          <w:rFonts w:ascii="Times New Roman" w:hAnsi="Times New Roman"/>
        </w:rPr>
        <w:t>,</w:t>
      </w:r>
      <w:r w:rsidRPr="006A2591">
        <w:rPr>
          <w:rFonts w:ascii="Times New Roman" w:hAnsi="Times New Roman"/>
        </w:rPr>
        <w:t xml:space="preserve"> </w:t>
      </w:r>
      <w:r w:rsidRPr="00A13C92">
        <w:rPr>
          <w:rFonts w:ascii="Times New Roman" w:hAnsi="Times New Roman"/>
        </w:rPr>
        <w:t xml:space="preserve">nėštumo </w:t>
      </w:r>
      <w:r>
        <w:rPr>
          <w:rFonts w:ascii="Times New Roman" w:hAnsi="Times New Roman"/>
        </w:rPr>
        <w:t>nutrūkim</w:t>
      </w:r>
      <w:r w:rsidRPr="00A13C92">
        <w:rPr>
          <w:rFonts w:ascii="Times New Roman" w:hAnsi="Times New Roman"/>
        </w:rPr>
        <w:t xml:space="preserve">o, nėštumo sukeltos hipertenzijos, </w:t>
      </w:r>
      <w:proofErr w:type="spellStart"/>
      <w:r w:rsidRPr="00A13C92">
        <w:rPr>
          <w:rFonts w:ascii="Times New Roman" w:hAnsi="Times New Roman"/>
        </w:rPr>
        <w:t>preeklampsijos</w:t>
      </w:r>
      <w:proofErr w:type="spellEnd"/>
      <w:r w:rsidRPr="00A13C92">
        <w:rPr>
          <w:rFonts w:ascii="Times New Roman" w:hAnsi="Times New Roman"/>
        </w:rPr>
        <w:t xml:space="preserve"> ir perinatalinio mirtingumo</w:t>
      </w:r>
      <w:r w:rsidRPr="006A2591">
        <w:rPr>
          <w:rFonts w:ascii="Times New Roman" w:hAnsi="Times New Roman"/>
        </w:rPr>
        <w:t xml:space="preserve"> rizika.</w:t>
      </w:r>
      <w:r w:rsidRPr="009C5EDD">
        <w:rPr>
          <w:rFonts w:ascii="Times New Roman" w:hAnsi="Times New Roman"/>
        </w:rPr>
        <w:t xml:space="preserve"> </w:t>
      </w:r>
      <w:r w:rsidRPr="00A13C92">
        <w:rPr>
          <w:rFonts w:ascii="Times New Roman" w:hAnsi="Times New Roman"/>
        </w:rPr>
        <w:t>Siekiant sumažinti nepageidaujamų su hiperglikemija susijusių pasekmių riziką motinai ir jos vai</w:t>
      </w:r>
      <w:r>
        <w:rPr>
          <w:rFonts w:ascii="Times New Roman" w:hAnsi="Times New Roman"/>
        </w:rPr>
        <w:t>si</w:t>
      </w:r>
      <w:r w:rsidRPr="00A13C92">
        <w:rPr>
          <w:rFonts w:ascii="Times New Roman" w:hAnsi="Times New Roman"/>
        </w:rPr>
        <w:t xml:space="preserve">ui, nėštumo metu </w:t>
      </w:r>
      <w:r>
        <w:rPr>
          <w:rFonts w:ascii="Times New Roman" w:hAnsi="Times New Roman"/>
        </w:rPr>
        <w:t xml:space="preserve">gliukozės koncentraciją </w:t>
      </w:r>
      <w:r w:rsidRPr="00A13C92">
        <w:rPr>
          <w:rFonts w:ascii="Times New Roman" w:hAnsi="Times New Roman"/>
        </w:rPr>
        <w:t>svarbu palaikyti kiek įmanoma artimesn</w:t>
      </w:r>
      <w:r>
        <w:rPr>
          <w:rFonts w:ascii="Times New Roman" w:hAnsi="Times New Roman"/>
        </w:rPr>
        <w:t>ę</w:t>
      </w:r>
      <w:r w:rsidRPr="00A13C92">
        <w:rPr>
          <w:rFonts w:ascii="Times New Roman" w:hAnsi="Times New Roman"/>
        </w:rPr>
        <w:t xml:space="preserve"> </w:t>
      </w:r>
      <w:r>
        <w:rPr>
          <w:rFonts w:ascii="Times New Roman" w:hAnsi="Times New Roman"/>
        </w:rPr>
        <w:t>normaliai</w:t>
      </w:r>
      <w:r w:rsidRPr="00A13C92">
        <w:rPr>
          <w:rFonts w:ascii="Times New Roman" w:hAnsi="Times New Roman"/>
        </w:rPr>
        <w:t>.</w:t>
      </w:r>
    </w:p>
    <w:p w14:paraId="1AC2C625" w14:textId="77777777" w:rsidR="00DC2B0A" w:rsidRDefault="00DC2B0A" w:rsidP="00DC2B0A">
      <w:pPr>
        <w:pStyle w:val="Betarp"/>
        <w:rPr>
          <w:rFonts w:ascii="Times New Roman" w:hAnsi="Times New Roman"/>
        </w:rPr>
      </w:pPr>
    </w:p>
    <w:p w14:paraId="3D382C78" w14:textId="77777777" w:rsidR="00DC2B0A" w:rsidRDefault="00DC2B0A" w:rsidP="00DC2B0A">
      <w:pPr>
        <w:pStyle w:val="Betarp"/>
        <w:rPr>
          <w:rFonts w:ascii="Times New Roman" w:hAnsi="Times New Roman"/>
        </w:rPr>
      </w:pPr>
      <w:r>
        <w:rPr>
          <w:rFonts w:ascii="Times New Roman" w:hAnsi="Times New Roman"/>
        </w:rPr>
        <w:t>P</w:t>
      </w:r>
      <w:r w:rsidRPr="00A13C92">
        <w:rPr>
          <w:rFonts w:ascii="Times New Roman" w:hAnsi="Times New Roman"/>
        </w:rPr>
        <w:t>er placentą</w:t>
      </w:r>
      <w:r>
        <w:rPr>
          <w:rFonts w:ascii="Times New Roman" w:hAnsi="Times New Roman"/>
        </w:rPr>
        <w:t xml:space="preserve"> </w:t>
      </w:r>
      <w:r w:rsidRPr="00A13C92">
        <w:rPr>
          <w:rFonts w:ascii="Times New Roman" w:hAnsi="Times New Roman"/>
        </w:rPr>
        <w:t>prasiskverbia</w:t>
      </w:r>
      <w:r>
        <w:rPr>
          <w:rFonts w:ascii="Times New Roman" w:hAnsi="Times New Roman"/>
        </w:rPr>
        <w:t xml:space="preserve"> toks </w:t>
      </w:r>
      <w:proofErr w:type="spellStart"/>
      <w:r>
        <w:rPr>
          <w:rFonts w:ascii="Times New Roman" w:hAnsi="Times New Roman"/>
        </w:rPr>
        <w:t>m</w:t>
      </w:r>
      <w:r w:rsidRPr="00A13C92">
        <w:rPr>
          <w:rFonts w:ascii="Times New Roman" w:hAnsi="Times New Roman"/>
        </w:rPr>
        <w:t>etformin</w:t>
      </w:r>
      <w:r>
        <w:rPr>
          <w:rFonts w:ascii="Times New Roman" w:hAnsi="Times New Roman"/>
        </w:rPr>
        <w:t>o</w:t>
      </w:r>
      <w:proofErr w:type="spellEnd"/>
      <w:r>
        <w:rPr>
          <w:rFonts w:ascii="Times New Roman" w:hAnsi="Times New Roman"/>
        </w:rPr>
        <w:t xml:space="preserve"> kieki</w:t>
      </w:r>
      <w:r w:rsidRPr="00A13C92">
        <w:rPr>
          <w:rFonts w:ascii="Times New Roman" w:hAnsi="Times New Roman"/>
        </w:rPr>
        <w:t>s</w:t>
      </w:r>
      <w:r>
        <w:rPr>
          <w:rFonts w:ascii="Times New Roman" w:hAnsi="Times New Roman"/>
        </w:rPr>
        <w:t>, kad</w:t>
      </w:r>
      <w:r w:rsidRPr="00A13C92">
        <w:rPr>
          <w:rFonts w:ascii="Times New Roman" w:hAnsi="Times New Roman"/>
        </w:rPr>
        <w:t xml:space="preserve"> koncentracija gali būti tokia pat, kaip ir motinos</w:t>
      </w:r>
      <w:r>
        <w:rPr>
          <w:rFonts w:ascii="Times New Roman" w:hAnsi="Times New Roman"/>
        </w:rPr>
        <w:t xml:space="preserve"> organizme</w:t>
      </w:r>
      <w:r w:rsidRPr="00A13C92">
        <w:rPr>
          <w:rFonts w:ascii="Times New Roman" w:hAnsi="Times New Roman"/>
        </w:rPr>
        <w:t>.</w:t>
      </w:r>
    </w:p>
    <w:p w14:paraId="2F0EC5D2" w14:textId="77777777" w:rsidR="00DC2B0A" w:rsidRPr="00A13C92" w:rsidRDefault="00DC2B0A" w:rsidP="00DC2B0A">
      <w:pPr>
        <w:pStyle w:val="Betarp"/>
        <w:rPr>
          <w:rFonts w:ascii="Times New Roman" w:hAnsi="Times New Roman"/>
        </w:rPr>
      </w:pPr>
    </w:p>
    <w:p w14:paraId="64C7D50A" w14:textId="0349C169" w:rsidR="00DC2B0A" w:rsidRDefault="00DC2B0A" w:rsidP="00DC2B0A">
      <w:pPr>
        <w:autoSpaceDE w:val="0"/>
        <w:autoSpaceDN w:val="0"/>
        <w:adjustRightInd w:val="0"/>
        <w:rPr>
          <w:rFonts w:eastAsia="SimSun"/>
          <w:szCs w:val="22"/>
          <w:lang w:eastAsia="zh-CN"/>
        </w:rPr>
      </w:pPr>
      <w:r w:rsidRPr="00A13C92">
        <w:t xml:space="preserve">Daug </w:t>
      </w:r>
      <w:r w:rsidRPr="00D25C49">
        <w:rPr>
          <w:rFonts w:eastAsia="SimSun"/>
          <w:bCs/>
          <w:iCs/>
          <w:szCs w:val="22"/>
          <w:lang w:eastAsia="zh-CN"/>
        </w:rPr>
        <w:t>nėščių moterų tyrimų duomenų (daugiau nei 1</w:t>
      </w:r>
      <w:r>
        <w:rPr>
          <w:rFonts w:eastAsia="SimSun"/>
          <w:bCs/>
          <w:iCs/>
          <w:szCs w:val="22"/>
          <w:lang w:eastAsia="zh-CN"/>
        </w:rPr>
        <w:t> </w:t>
      </w:r>
      <w:r w:rsidRPr="00D25C49">
        <w:rPr>
          <w:rFonts w:eastAsia="SimSun"/>
          <w:bCs/>
          <w:iCs/>
          <w:szCs w:val="22"/>
          <w:lang w:eastAsia="zh-CN"/>
        </w:rPr>
        <w:t xml:space="preserve">000 nėštumų baigčių) </w:t>
      </w:r>
      <w:r>
        <w:rPr>
          <w:rFonts w:eastAsia="SimSun"/>
          <w:bCs/>
          <w:iCs/>
          <w:szCs w:val="22"/>
          <w:lang w:eastAsia="zh-CN"/>
        </w:rPr>
        <w:t xml:space="preserve">iš </w:t>
      </w:r>
      <w:r w:rsidRPr="005E551C">
        <w:rPr>
          <w:rFonts w:eastAsia="SimSun"/>
          <w:bCs/>
          <w:iCs/>
          <w:szCs w:val="22"/>
          <w:lang w:eastAsia="zh-CN"/>
        </w:rPr>
        <w:t>registrų pagrindu atlikt</w:t>
      </w:r>
      <w:r>
        <w:rPr>
          <w:rFonts w:eastAsia="SimSun"/>
          <w:bCs/>
          <w:iCs/>
          <w:szCs w:val="22"/>
          <w:lang w:eastAsia="zh-CN"/>
        </w:rPr>
        <w:t>o</w:t>
      </w:r>
      <w:r w:rsidRPr="005E551C">
        <w:rPr>
          <w:rFonts w:eastAsia="SimSun"/>
          <w:bCs/>
          <w:iCs/>
          <w:szCs w:val="22"/>
          <w:lang w:eastAsia="zh-CN"/>
        </w:rPr>
        <w:t xml:space="preserve"> kohortos tyrim</w:t>
      </w:r>
      <w:r>
        <w:rPr>
          <w:rFonts w:eastAsia="SimSun"/>
          <w:bCs/>
          <w:iCs/>
          <w:szCs w:val="22"/>
          <w:lang w:eastAsia="zh-CN"/>
        </w:rPr>
        <w:t xml:space="preserve">o ir publikuotų duomenų (meta-analizės, klinikiniai tyrimai ir registrų duomenys) </w:t>
      </w:r>
      <w:r w:rsidRPr="00D25C49">
        <w:rPr>
          <w:rFonts w:eastAsia="SimSun"/>
          <w:bCs/>
          <w:iCs/>
          <w:szCs w:val="22"/>
          <w:lang w:eastAsia="zh-CN"/>
        </w:rPr>
        <w:t xml:space="preserve">nerodo </w:t>
      </w:r>
      <w:r>
        <w:rPr>
          <w:rFonts w:eastAsia="SimSun"/>
          <w:bCs/>
          <w:iCs/>
          <w:szCs w:val="22"/>
          <w:lang w:eastAsia="zh-CN"/>
        </w:rPr>
        <w:t>nei</w:t>
      </w:r>
      <w:r w:rsidR="00062820">
        <w:rPr>
          <w:rFonts w:eastAsia="SimSun"/>
          <w:bCs/>
          <w:iCs/>
          <w:szCs w:val="22"/>
          <w:lang w:eastAsia="zh-CN"/>
        </w:rPr>
        <w:t xml:space="preserve"> </w:t>
      </w:r>
      <w:r w:rsidR="00062820" w:rsidRPr="00062820">
        <w:rPr>
          <w:rFonts w:eastAsia="SimSun"/>
          <w:bCs/>
          <w:iCs/>
          <w:szCs w:val="22"/>
          <w:lang w:eastAsia="zh-CN"/>
        </w:rPr>
        <w:t xml:space="preserve"> </w:t>
      </w:r>
      <w:r w:rsidR="00062820" w:rsidRPr="00D25C49">
        <w:rPr>
          <w:rFonts w:eastAsia="SimSun"/>
          <w:bCs/>
          <w:iCs/>
          <w:szCs w:val="22"/>
          <w:lang w:eastAsia="zh-CN"/>
        </w:rPr>
        <w:t>poveikio įgimtoms formavimosi ydoms</w:t>
      </w:r>
      <w:r>
        <w:rPr>
          <w:rFonts w:eastAsia="SimSun"/>
          <w:bCs/>
          <w:iCs/>
          <w:szCs w:val="22"/>
          <w:lang w:eastAsia="zh-CN"/>
        </w:rPr>
        <w:t xml:space="preserve">, nei toksinio </w:t>
      </w:r>
      <w:r w:rsidRPr="00D25C49">
        <w:rPr>
          <w:rFonts w:eastAsia="SimSun"/>
          <w:bCs/>
          <w:iCs/>
          <w:szCs w:val="22"/>
          <w:lang w:eastAsia="zh-CN"/>
        </w:rPr>
        <w:t>poveikio vaisiui (ar) naujagimiui</w:t>
      </w:r>
      <w:r>
        <w:rPr>
          <w:rFonts w:eastAsia="SimSun"/>
          <w:bCs/>
          <w:iCs/>
          <w:szCs w:val="22"/>
          <w:lang w:eastAsia="zh-CN"/>
        </w:rPr>
        <w:t xml:space="preserve"> rizikos padidėjimo po </w:t>
      </w:r>
      <w:proofErr w:type="spellStart"/>
      <w:r>
        <w:rPr>
          <w:rFonts w:eastAsia="SimSun"/>
          <w:bCs/>
          <w:iCs/>
          <w:szCs w:val="22"/>
          <w:lang w:eastAsia="zh-CN"/>
        </w:rPr>
        <w:t>metformino</w:t>
      </w:r>
      <w:proofErr w:type="spellEnd"/>
      <w:r>
        <w:rPr>
          <w:rFonts w:eastAsia="SimSun"/>
          <w:bCs/>
          <w:iCs/>
          <w:szCs w:val="22"/>
          <w:lang w:eastAsia="zh-CN"/>
        </w:rPr>
        <w:t xml:space="preserve"> ekspozicijos </w:t>
      </w:r>
      <w:r>
        <w:t>pastojimo ir</w:t>
      </w:r>
      <w:r w:rsidRPr="006A2591">
        <w:t xml:space="preserve"> </w:t>
      </w:r>
      <w:r>
        <w:t xml:space="preserve">(ar) </w:t>
      </w:r>
      <w:r w:rsidRPr="006A2591">
        <w:t>nėštumo metu</w:t>
      </w:r>
      <w:r w:rsidRPr="00D25C49">
        <w:rPr>
          <w:rFonts w:eastAsia="SimSun"/>
          <w:szCs w:val="22"/>
          <w:lang w:eastAsia="zh-CN"/>
        </w:rPr>
        <w:t>.</w:t>
      </w:r>
    </w:p>
    <w:p w14:paraId="5B14E1F0" w14:textId="77777777" w:rsidR="00DC2B0A" w:rsidRPr="006A2591" w:rsidRDefault="00DC2B0A" w:rsidP="00DC2B0A">
      <w:pPr>
        <w:pStyle w:val="Betarp"/>
        <w:rPr>
          <w:rFonts w:ascii="Times New Roman" w:hAnsi="Times New Roman"/>
        </w:rPr>
      </w:pPr>
    </w:p>
    <w:p w14:paraId="4B2C8B41" w14:textId="77777777" w:rsidR="00DC2B0A" w:rsidRDefault="00DC2B0A" w:rsidP="00DC2B0A">
      <w:pPr>
        <w:pStyle w:val="Betarp"/>
        <w:rPr>
          <w:rFonts w:ascii="Times New Roman" w:hAnsi="Times New Roman"/>
        </w:rPr>
      </w:pPr>
      <w:r w:rsidRPr="005E551C">
        <w:rPr>
          <w:rFonts w:ascii="Times New Roman" w:hAnsi="Times New Roman"/>
        </w:rPr>
        <w:lastRenderedPageBreak/>
        <w:t xml:space="preserve">Duomenų apie </w:t>
      </w:r>
      <w:r>
        <w:rPr>
          <w:rFonts w:ascii="Times New Roman" w:hAnsi="Times New Roman"/>
        </w:rPr>
        <w:t xml:space="preserve">ilgalaikį </w:t>
      </w:r>
      <w:proofErr w:type="spellStart"/>
      <w:r w:rsidRPr="005E551C">
        <w:rPr>
          <w:rFonts w:ascii="Times New Roman" w:hAnsi="Times New Roman"/>
        </w:rPr>
        <w:t>metformino</w:t>
      </w:r>
      <w:proofErr w:type="spellEnd"/>
      <w:r w:rsidRPr="005E551C">
        <w:rPr>
          <w:rFonts w:ascii="Times New Roman" w:hAnsi="Times New Roman"/>
        </w:rPr>
        <w:t xml:space="preserve"> poveikį vaikų</w:t>
      </w:r>
      <w:r>
        <w:rPr>
          <w:rFonts w:ascii="Times New Roman" w:hAnsi="Times New Roman"/>
        </w:rPr>
        <w:t>, patyrusių</w:t>
      </w:r>
      <w:r w:rsidRPr="005E551C">
        <w:rPr>
          <w:rFonts w:ascii="Times New Roman" w:hAnsi="Times New Roman"/>
        </w:rPr>
        <w:t xml:space="preserve"> </w:t>
      </w:r>
      <w:proofErr w:type="spellStart"/>
      <w:r>
        <w:rPr>
          <w:rFonts w:ascii="Times New Roman" w:hAnsi="Times New Roman"/>
        </w:rPr>
        <w:t>metformino</w:t>
      </w:r>
      <w:proofErr w:type="spellEnd"/>
      <w:r>
        <w:rPr>
          <w:rFonts w:ascii="Times New Roman" w:hAnsi="Times New Roman"/>
        </w:rPr>
        <w:t xml:space="preserve"> ekspoziciją </w:t>
      </w:r>
      <w:proofErr w:type="spellStart"/>
      <w:r w:rsidRPr="002B48FD">
        <w:rPr>
          <w:rFonts w:ascii="Times New Roman" w:hAnsi="Times New Roman"/>
          <w:i/>
          <w:iCs/>
        </w:rPr>
        <w:t>in</w:t>
      </w:r>
      <w:proofErr w:type="spellEnd"/>
      <w:r w:rsidRPr="002B48FD">
        <w:rPr>
          <w:rFonts w:ascii="Times New Roman" w:hAnsi="Times New Roman"/>
          <w:i/>
          <w:iCs/>
        </w:rPr>
        <w:t xml:space="preserve"> </w:t>
      </w:r>
      <w:proofErr w:type="spellStart"/>
      <w:r w:rsidRPr="002B48FD">
        <w:rPr>
          <w:rFonts w:ascii="Times New Roman" w:hAnsi="Times New Roman"/>
          <w:i/>
          <w:iCs/>
        </w:rPr>
        <w:t>utero</w:t>
      </w:r>
      <w:proofErr w:type="spellEnd"/>
      <w:r>
        <w:rPr>
          <w:rFonts w:ascii="Times New Roman" w:hAnsi="Times New Roman"/>
        </w:rPr>
        <w:t>,</w:t>
      </w:r>
      <w:r w:rsidRPr="005E551C">
        <w:rPr>
          <w:rFonts w:ascii="Times New Roman" w:hAnsi="Times New Roman"/>
        </w:rPr>
        <w:t xml:space="preserve"> </w:t>
      </w:r>
      <w:r>
        <w:rPr>
          <w:rFonts w:ascii="Times New Roman" w:hAnsi="Times New Roman"/>
        </w:rPr>
        <w:t xml:space="preserve">kūno masės rodmenims </w:t>
      </w:r>
      <w:r w:rsidRPr="005E551C">
        <w:rPr>
          <w:rFonts w:ascii="Times New Roman" w:hAnsi="Times New Roman"/>
        </w:rPr>
        <w:t xml:space="preserve">yra nedaug ir jie nėra įtikinami. Atrodo, kad </w:t>
      </w:r>
      <w:proofErr w:type="spellStart"/>
      <w:r w:rsidRPr="005E551C">
        <w:rPr>
          <w:rFonts w:ascii="Times New Roman" w:hAnsi="Times New Roman"/>
        </w:rPr>
        <w:t>metforminas</w:t>
      </w:r>
      <w:proofErr w:type="spellEnd"/>
      <w:r w:rsidRPr="005E551C">
        <w:rPr>
          <w:rFonts w:ascii="Times New Roman" w:hAnsi="Times New Roman"/>
        </w:rPr>
        <w:t xml:space="preserve"> neturi įtakos nėštumo metu </w:t>
      </w:r>
      <w:r>
        <w:rPr>
          <w:rFonts w:ascii="Times New Roman" w:hAnsi="Times New Roman"/>
        </w:rPr>
        <w:t xml:space="preserve">paveiktų </w:t>
      </w:r>
      <w:r w:rsidRPr="005E551C">
        <w:rPr>
          <w:rFonts w:ascii="Times New Roman" w:hAnsi="Times New Roman"/>
        </w:rPr>
        <w:t>vaikų</w:t>
      </w:r>
      <w:r>
        <w:rPr>
          <w:rFonts w:ascii="Times New Roman" w:hAnsi="Times New Roman"/>
        </w:rPr>
        <w:t xml:space="preserve"> </w:t>
      </w:r>
      <w:r w:rsidRPr="005E551C">
        <w:rPr>
          <w:rFonts w:ascii="Times New Roman" w:hAnsi="Times New Roman"/>
        </w:rPr>
        <w:t>motoriniam ir socialiniam vystymuisi iki 4</w:t>
      </w:r>
      <w:r>
        <w:rPr>
          <w:rFonts w:ascii="Times New Roman" w:hAnsi="Times New Roman"/>
        </w:rPr>
        <w:t> </w:t>
      </w:r>
      <w:r w:rsidRPr="005E551C">
        <w:rPr>
          <w:rFonts w:ascii="Times New Roman" w:hAnsi="Times New Roman"/>
        </w:rPr>
        <w:t>metų, nors duomenų apie ilgalaik</w:t>
      </w:r>
      <w:r>
        <w:rPr>
          <w:rFonts w:ascii="Times New Roman" w:hAnsi="Times New Roman"/>
        </w:rPr>
        <w:t>e</w:t>
      </w:r>
      <w:r w:rsidRPr="005E551C">
        <w:rPr>
          <w:rFonts w:ascii="Times New Roman" w:hAnsi="Times New Roman"/>
        </w:rPr>
        <w:t xml:space="preserve">s </w:t>
      </w:r>
      <w:r>
        <w:rPr>
          <w:rFonts w:ascii="Times New Roman" w:hAnsi="Times New Roman"/>
        </w:rPr>
        <w:t>baigti</w:t>
      </w:r>
      <w:r w:rsidRPr="005E551C">
        <w:rPr>
          <w:rFonts w:ascii="Times New Roman" w:hAnsi="Times New Roman"/>
        </w:rPr>
        <w:t>s yra nedaug.</w:t>
      </w:r>
    </w:p>
    <w:p w14:paraId="06E71901" w14:textId="77777777" w:rsidR="00DC2B0A" w:rsidRPr="005E551C" w:rsidRDefault="00DC2B0A" w:rsidP="00DC2B0A">
      <w:pPr>
        <w:pStyle w:val="Betarp"/>
        <w:rPr>
          <w:rFonts w:ascii="Times New Roman" w:hAnsi="Times New Roman"/>
        </w:rPr>
      </w:pPr>
    </w:p>
    <w:p w14:paraId="2203C531" w14:textId="41969C82" w:rsidR="00DC2B0A" w:rsidRPr="00EE0B84" w:rsidRDefault="00DC2B0A" w:rsidP="00EE0B84">
      <w:pPr>
        <w:pStyle w:val="Betarp"/>
      </w:pPr>
      <w:r w:rsidRPr="005E551C">
        <w:rPr>
          <w:rFonts w:ascii="Times New Roman" w:hAnsi="Times New Roman"/>
        </w:rPr>
        <w:t>Esant klinikiniam poreikiui, gali</w:t>
      </w:r>
      <w:r>
        <w:rPr>
          <w:rFonts w:ascii="Times New Roman" w:hAnsi="Times New Roman"/>
        </w:rPr>
        <w:t>ma</w:t>
      </w:r>
      <w:r w:rsidRPr="005E551C">
        <w:rPr>
          <w:rFonts w:ascii="Times New Roman" w:hAnsi="Times New Roman"/>
        </w:rPr>
        <w:t xml:space="preserve"> </w:t>
      </w:r>
      <w:r>
        <w:rPr>
          <w:rFonts w:ascii="Times New Roman" w:hAnsi="Times New Roman"/>
        </w:rPr>
        <w:t>ap</w:t>
      </w:r>
      <w:r w:rsidRPr="005E551C">
        <w:rPr>
          <w:rFonts w:ascii="Times New Roman" w:hAnsi="Times New Roman"/>
        </w:rPr>
        <w:t>svarst</w:t>
      </w:r>
      <w:r>
        <w:rPr>
          <w:rFonts w:ascii="Times New Roman" w:hAnsi="Times New Roman"/>
        </w:rPr>
        <w:t>yti</w:t>
      </w:r>
      <w:r w:rsidRPr="005E551C">
        <w:rPr>
          <w:rFonts w:ascii="Times New Roman" w:hAnsi="Times New Roman"/>
        </w:rPr>
        <w:t xml:space="preserve"> </w:t>
      </w:r>
      <w:proofErr w:type="spellStart"/>
      <w:r w:rsidRPr="005E551C">
        <w:rPr>
          <w:rFonts w:ascii="Times New Roman" w:hAnsi="Times New Roman"/>
        </w:rPr>
        <w:t>metformino</w:t>
      </w:r>
      <w:proofErr w:type="spellEnd"/>
      <w:r w:rsidRPr="005E551C">
        <w:rPr>
          <w:rFonts w:ascii="Times New Roman" w:hAnsi="Times New Roman"/>
        </w:rPr>
        <w:t xml:space="preserve"> vartojim</w:t>
      </w:r>
      <w:r>
        <w:rPr>
          <w:rFonts w:ascii="Times New Roman" w:hAnsi="Times New Roman"/>
        </w:rPr>
        <w:t>ą</w:t>
      </w:r>
      <w:r w:rsidRPr="005E551C">
        <w:rPr>
          <w:rFonts w:ascii="Times New Roman" w:hAnsi="Times New Roman"/>
        </w:rPr>
        <w:t xml:space="preserve"> nėštumo </w:t>
      </w:r>
      <w:r>
        <w:rPr>
          <w:rFonts w:ascii="Times New Roman" w:hAnsi="Times New Roman"/>
        </w:rPr>
        <w:t xml:space="preserve">metu ir pastojimo </w:t>
      </w:r>
      <w:r w:rsidRPr="005E551C">
        <w:rPr>
          <w:rFonts w:ascii="Times New Roman" w:hAnsi="Times New Roman"/>
        </w:rPr>
        <w:t>laikotarpiu</w:t>
      </w:r>
      <w:r>
        <w:rPr>
          <w:rFonts w:ascii="Times New Roman" w:hAnsi="Times New Roman"/>
        </w:rPr>
        <w:t>, skiriant vartoti papildomai kartu su</w:t>
      </w:r>
      <w:r w:rsidRPr="005E551C">
        <w:rPr>
          <w:rFonts w:ascii="Times New Roman" w:hAnsi="Times New Roman"/>
        </w:rPr>
        <w:t xml:space="preserve"> insulin</w:t>
      </w:r>
      <w:r>
        <w:rPr>
          <w:rFonts w:ascii="Times New Roman" w:hAnsi="Times New Roman"/>
        </w:rPr>
        <w:t>u</w:t>
      </w:r>
      <w:r w:rsidRPr="005E551C">
        <w:rPr>
          <w:rFonts w:ascii="Times New Roman" w:hAnsi="Times New Roman"/>
        </w:rPr>
        <w:t>.</w:t>
      </w:r>
    </w:p>
    <w:p w14:paraId="0EE76EB9" w14:textId="77777777" w:rsidR="00601C8B" w:rsidRPr="006A2591" w:rsidRDefault="00601C8B" w:rsidP="00601C8B">
      <w:pPr>
        <w:pStyle w:val="Betarp"/>
        <w:rPr>
          <w:rFonts w:ascii="Times New Roman" w:hAnsi="Times New Roman"/>
        </w:rPr>
      </w:pPr>
    </w:p>
    <w:p w14:paraId="5F8F6887"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Žindymo laikotarpis</w:t>
      </w:r>
    </w:p>
    <w:p w14:paraId="1BA9DB29" w14:textId="77777777" w:rsidR="00601C8B" w:rsidRPr="006A2591" w:rsidRDefault="00601C8B" w:rsidP="00601C8B">
      <w:pPr>
        <w:pStyle w:val="Betarp"/>
        <w:rPr>
          <w:rFonts w:ascii="Times New Roman" w:hAnsi="Times New Roman"/>
        </w:rPr>
      </w:pPr>
    </w:p>
    <w:p w14:paraId="5E497EBF"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Nustatyta, kad </w:t>
      </w:r>
      <w:proofErr w:type="spellStart"/>
      <w:r w:rsidRPr="006A2591">
        <w:rPr>
          <w:rFonts w:ascii="Times New Roman" w:hAnsi="Times New Roman"/>
        </w:rPr>
        <w:t>metformino</w:t>
      </w:r>
      <w:proofErr w:type="spellEnd"/>
      <w:r w:rsidRPr="006A2591">
        <w:rPr>
          <w:rFonts w:ascii="Times New Roman" w:hAnsi="Times New Roman"/>
        </w:rPr>
        <w:t xml:space="preserve"> išskiriama su motinos pienu. Žindomiems naujagimiams ir kūdikiams, kurių motinos vartojo </w:t>
      </w:r>
      <w:proofErr w:type="spellStart"/>
      <w:r w:rsidRPr="006A2591">
        <w:rPr>
          <w:rFonts w:ascii="Times New Roman" w:hAnsi="Times New Roman"/>
        </w:rPr>
        <w:t>metformino</w:t>
      </w:r>
      <w:proofErr w:type="spellEnd"/>
      <w:r w:rsidRPr="006A2591">
        <w:rPr>
          <w:rFonts w:ascii="Times New Roman" w:hAnsi="Times New Roman"/>
        </w:rPr>
        <w:t xml:space="preserve">, šalutinių reiškinių nestebėta. Kadangi esanti patirtis yra ribota, gydomoms </w:t>
      </w:r>
      <w:proofErr w:type="spellStart"/>
      <w:r w:rsidRPr="006A2591">
        <w:rPr>
          <w:rFonts w:ascii="Times New Roman" w:hAnsi="Times New Roman"/>
        </w:rPr>
        <w:t>metforminu</w:t>
      </w:r>
      <w:proofErr w:type="spellEnd"/>
      <w:r w:rsidRPr="006A2591">
        <w:rPr>
          <w:rFonts w:ascii="Times New Roman" w:hAnsi="Times New Roman"/>
        </w:rPr>
        <w:t xml:space="preserve"> moterims maitinti krūtimi nerekomenduojama. Sprendimą apie </w:t>
      </w:r>
      <w:proofErr w:type="spellStart"/>
      <w:r w:rsidRPr="006A2591">
        <w:rPr>
          <w:rFonts w:ascii="Times New Roman" w:hAnsi="Times New Roman"/>
        </w:rPr>
        <w:t>metformino</w:t>
      </w:r>
      <w:proofErr w:type="spellEnd"/>
      <w:r w:rsidRPr="006A2591">
        <w:rPr>
          <w:rFonts w:ascii="Times New Roman" w:hAnsi="Times New Roman"/>
        </w:rPr>
        <w:t xml:space="preserve"> vartojimo reikalingumą žindančiai moteriai reikia priimti įvertinus maitinimo krūtimi privalumus ir galimą pavojų kūdikiui. </w:t>
      </w:r>
    </w:p>
    <w:p w14:paraId="449050D5" w14:textId="77777777" w:rsidR="00601C8B" w:rsidRPr="006A2591" w:rsidRDefault="00601C8B" w:rsidP="00601C8B">
      <w:pPr>
        <w:pStyle w:val="Betarp"/>
        <w:rPr>
          <w:rFonts w:ascii="Times New Roman" w:hAnsi="Times New Roman"/>
        </w:rPr>
      </w:pPr>
    </w:p>
    <w:p w14:paraId="6F79E759"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Vaisingumas</w:t>
      </w:r>
    </w:p>
    <w:p w14:paraId="32AD37B8" w14:textId="77777777" w:rsidR="00601C8B" w:rsidRPr="006A2591" w:rsidRDefault="00601C8B" w:rsidP="00601C8B">
      <w:pPr>
        <w:pStyle w:val="Betarp"/>
        <w:rPr>
          <w:rFonts w:ascii="Times New Roman" w:hAnsi="Times New Roman"/>
        </w:rPr>
      </w:pPr>
    </w:p>
    <w:p w14:paraId="3A3F6762" w14:textId="77777777" w:rsidR="00601C8B" w:rsidRPr="006A2591" w:rsidRDefault="00601C8B" w:rsidP="00E85904">
      <w:pPr>
        <w:pStyle w:val="BTEMEASMCA"/>
      </w:pPr>
      <w:r w:rsidRPr="006A2591">
        <w:t xml:space="preserve">Žiurkių patinams ir patelėms, kurioms buvo skiriama </w:t>
      </w:r>
      <w:proofErr w:type="spellStart"/>
      <w:r w:rsidRPr="006A2591">
        <w:t>metformino</w:t>
      </w:r>
      <w:proofErr w:type="spellEnd"/>
      <w:r w:rsidRPr="006A2591">
        <w:t xml:space="preserve"> 600</w:t>
      </w:r>
      <w:r w:rsidRPr="0078470E">
        <w:t> </w:t>
      </w:r>
      <w:r w:rsidRPr="006A2591">
        <w:t>mg/kg kūno svorio dozė (kuri yra apytikriai tris kartus didesnė negu didžiausia žmogaus dozė, skaičiuojant kūno paviršiaus plotui), vaisingumo sutrikimų nenustatyta.</w:t>
      </w:r>
    </w:p>
    <w:p w14:paraId="2D6DF6C4" w14:textId="77777777" w:rsidR="00601C8B" w:rsidRPr="006A2591" w:rsidRDefault="00601C8B" w:rsidP="00E85904">
      <w:pPr>
        <w:pStyle w:val="BTEMEASMCA"/>
      </w:pPr>
    </w:p>
    <w:p w14:paraId="6EA080B6" w14:textId="77777777" w:rsidR="00601C8B" w:rsidRPr="006A2591" w:rsidRDefault="00601C8B" w:rsidP="00601C8B">
      <w:pPr>
        <w:pStyle w:val="PI-2EMEASMCA"/>
        <w:outlineLvl w:val="9"/>
      </w:pPr>
      <w:r w:rsidRPr="006A2591">
        <w:t>4.7</w:t>
      </w:r>
      <w:r w:rsidRPr="006A2591">
        <w:tab/>
        <w:t>Poveikis gebėjimui vairuoti ir valdyti mechanizmus</w:t>
      </w:r>
    </w:p>
    <w:p w14:paraId="1E76B936" w14:textId="77777777" w:rsidR="00601C8B" w:rsidRPr="006A2591" w:rsidRDefault="00601C8B" w:rsidP="00601C8B">
      <w:pPr>
        <w:rPr>
          <w:szCs w:val="22"/>
        </w:rPr>
      </w:pPr>
    </w:p>
    <w:p w14:paraId="4BAC0018" w14:textId="3F8D99BC" w:rsidR="00601C8B" w:rsidRDefault="00601C8B" w:rsidP="00601C8B">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w:t>
      </w:r>
      <w:proofErr w:type="spellStart"/>
      <w:r w:rsidRPr="006A2591">
        <w:rPr>
          <w:rFonts w:ascii="Times New Roman" w:hAnsi="Times New Roman"/>
        </w:rPr>
        <w:t>monoterapija</w:t>
      </w:r>
      <w:proofErr w:type="spellEnd"/>
      <w:r w:rsidRPr="006A2591">
        <w:rPr>
          <w:rFonts w:ascii="Times New Roman" w:hAnsi="Times New Roman"/>
        </w:rPr>
        <w:t xml:space="preserve"> hipoglikemijos nesukelia ir todėl </w:t>
      </w:r>
      <w:r>
        <w:rPr>
          <w:rFonts w:ascii="Times New Roman" w:hAnsi="Times New Roman"/>
        </w:rPr>
        <w:t xml:space="preserve">gebėjimo vairuoti ir valdyti mechanizmus neveikia. </w:t>
      </w:r>
    </w:p>
    <w:p w14:paraId="6DD1065C" w14:textId="77777777" w:rsidR="000C5B22" w:rsidRPr="006A2591" w:rsidRDefault="000C5B22" w:rsidP="00601C8B">
      <w:pPr>
        <w:pStyle w:val="Betarp"/>
        <w:rPr>
          <w:rFonts w:ascii="Times New Roman" w:hAnsi="Times New Roman"/>
        </w:rPr>
      </w:pPr>
    </w:p>
    <w:p w14:paraId="45DA57B8" w14:textId="364F8ACE" w:rsidR="00601C8B" w:rsidRPr="006A2591" w:rsidRDefault="00601C8B" w:rsidP="00EE0B84">
      <w:pPr>
        <w:pStyle w:val="Betarp"/>
      </w:pPr>
      <w:r w:rsidRPr="006A2591">
        <w:rPr>
          <w:rFonts w:ascii="Times New Roman" w:hAnsi="Times New Roman"/>
        </w:rPr>
        <w:t xml:space="preserve">Tačiau reikia atkreipti pacientų dėmesį į galimą hipoglikemijos pavojų, kai </w:t>
      </w:r>
      <w:proofErr w:type="spellStart"/>
      <w:r w:rsidRPr="006A2591">
        <w:rPr>
          <w:rFonts w:ascii="Times New Roman" w:hAnsi="Times New Roman"/>
        </w:rPr>
        <w:t>metformino</w:t>
      </w:r>
      <w:proofErr w:type="spellEnd"/>
      <w:r w:rsidRPr="006A2591">
        <w:rPr>
          <w:rFonts w:ascii="Times New Roman" w:hAnsi="Times New Roman"/>
        </w:rPr>
        <w:t xml:space="preserve"> vartojama kartu su kitais vaistais nuo cukrinio diabeto (</w:t>
      </w:r>
      <w:proofErr w:type="spellStart"/>
      <w:r>
        <w:rPr>
          <w:rFonts w:ascii="Times New Roman" w:hAnsi="Times New Roman"/>
        </w:rPr>
        <w:t>sulfonilurėjos</w:t>
      </w:r>
      <w:proofErr w:type="spellEnd"/>
      <w:r>
        <w:rPr>
          <w:rFonts w:ascii="Times New Roman" w:hAnsi="Times New Roman"/>
        </w:rPr>
        <w:t xml:space="preserve"> dariniais</w:t>
      </w:r>
      <w:r w:rsidRPr="006A2591">
        <w:rPr>
          <w:rFonts w:ascii="Times New Roman" w:hAnsi="Times New Roman"/>
        </w:rPr>
        <w:t xml:space="preserve">, </w:t>
      </w:r>
      <w:r w:rsidRPr="00EE0B84">
        <w:rPr>
          <w:rFonts w:ascii="Times New Roman" w:hAnsi="Times New Roman"/>
        </w:rPr>
        <w:t xml:space="preserve">insulinu, </w:t>
      </w:r>
      <w:proofErr w:type="spellStart"/>
      <w:r w:rsidRPr="00EE0B84">
        <w:rPr>
          <w:rFonts w:ascii="Times New Roman" w:hAnsi="Times New Roman"/>
        </w:rPr>
        <w:t>meglitinidais</w:t>
      </w:r>
      <w:proofErr w:type="spellEnd"/>
      <w:r w:rsidRPr="006A2591">
        <w:t>).</w:t>
      </w:r>
    </w:p>
    <w:p w14:paraId="6463FC11" w14:textId="77777777" w:rsidR="00601C8B" w:rsidRPr="006A2591" w:rsidRDefault="00601C8B" w:rsidP="00601C8B">
      <w:pPr>
        <w:pStyle w:val="Pagrindinistekstas"/>
        <w:spacing w:after="0"/>
        <w:rPr>
          <w:szCs w:val="22"/>
        </w:rPr>
      </w:pPr>
    </w:p>
    <w:p w14:paraId="6ACA0A4A" w14:textId="77777777" w:rsidR="00601C8B" w:rsidRPr="006A2591" w:rsidRDefault="00601C8B" w:rsidP="00601C8B">
      <w:pPr>
        <w:pStyle w:val="PI-2EMEASMCA"/>
        <w:outlineLvl w:val="9"/>
      </w:pPr>
      <w:r w:rsidRPr="006A2591">
        <w:t>4.8</w:t>
      </w:r>
      <w:r w:rsidRPr="006A2591">
        <w:tab/>
        <w:t>Nepageidaujamas poveikis</w:t>
      </w:r>
    </w:p>
    <w:p w14:paraId="63F9AB39" w14:textId="77777777" w:rsidR="00601C8B" w:rsidRPr="006A2591" w:rsidRDefault="00601C8B" w:rsidP="00601C8B">
      <w:pPr>
        <w:rPr>
          <w:szCs w:val="22"/>
        </w:rPr>
      </w:pPr>
    </w:p>
    <w:p w14:paraId="7C2A8ABC" w14:textId="0A31917A" w:rsidR="00601C8B" w:rsidRDefault="00601C8B" w:rsidP="00601C8B">
      <w:pPr>
        <w:pStyle w:val="Betarp"/>
        <w:rPr>
          <w:rFonts w:ascii="Times New Roman" w:hAnsi="Times New Roman"/>
        </w:rPr>
      </w:pPr>
      <w:r w:rsidRPr="00D60D82">
        <w:rPr>
          <w:rFonts w:ascii="Times New Roman" w:hAnsi="Times New Roman"/>
        </w:rPr>
        <w:t xml:space="preserve">Remiantis kontroliuojamais klinikiniais tyrimais ir rinkoje jau esančių vaistinių preparatų saugumo stebėjimo duomenimis nustatyta, kad pacientams gydytiems pailginto atpalaidavimo </w:t>
      </w:r>
      <w:proofErr w:type="spellStart"/>
      <w:r w:rsidRPr="00D60D82">
        <w:rPr>
          <w:rFonts w:ascii="Times New Roman" w:hAnsi="Times New Roman"/>
        </w:rPr>
        <w:t>metforminu</w:t>
      </w:r>
      <w:proofErr w:type="spellEnd"/>
      <w:r w:rsidRPr="00D60D82">
        <w:rPr>
          <w:rFonts w:ascii="Times New Roman" w:hAnsi="Times New Roman"/>
        </w:rPr>
        <w:t xml:space="preserve"> nepageidaujamų reiškinių pobūdis ir sunkumas buvo panašus kaip ir vartojusiems greito atpalaidavimo </w:t>
      </w:r>
      <w:proofErr w:type="spellStart"/>
      <w:r w:rsidRPr="00D60D82">
        <w:rPr>
          <w:rFonts w:ascii="Times New Roman" w:hAnsi="Times New Roman"/>
        </w:rPr>
        <w:t>metformino</w:t>
      </w:r>
      <w:proofErr w:type="spellEnd"/>
      <w:r w:rsidRPr="00D60D82">
        <w:rPr>
          <w:rFonts w:ascii="Times New Roman" w:hAnsi="Times New Roman"/>
        </w:rPr>
        <w:t>.</w:t>
      </w:r>
    </w:p>
    <w:p w14:paraId="2CDDAE73" w14:textId="77777777" w:rsidR="002C43BF" w:rsidRPr="006A2591" w:rsidRDefault="002C43BF" w:rsidP="00601C8B">
      <w:pPr>
        <w:pStyle w:val="Betarp"/>
        <w:rPr>
          <w:rFonts w:ascii="Times New Roman" w:hAnsi="Times New Roman"/>
        </w:rPr>
      </w:pPr>
    </w:p>
    <w:p w14:paraId="0719571F"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Pradėjus gydyti, dažniausi </w:t>
      </w:r>
      <w:r>
        <w:rPr>
          <w:rFonts w:ascii="Times New Roman" w:hAnsi="Times New Roman"/>
        </w:rPr>
        <w:t>nepageidaujami</w:t>
      </w:r>
      <w:r w:rsidRPr="006A2591">
        <w:rPr>
          <w:rFonts w:ascii="Times New Roman" w:hAnsi="Times New Roman"/>
        </w:rPr>
        <w:t xml:space="preserve"> reiškiniai buvo pykinimas, vėmimas, viduriavimas, pilvo skausmas ir apetito stoka; daugelyje atvejų šie reiškiniai praeidavo savaime.</w:t>
      </w:r>
    </w:p>
    <w:p w14:paraId="722FE772" w14:textId="77777777" w:rsidR="00601C8B" w:rsidRPr="006A2591" w:rsidRDefault="00601C8B" w:rsidP="00601C8B">
      <w:pPr>
        <w:pStyle w:val="Betarp"/>
        <w:rPr>
          <w:rFonts w:ascii="Times New Roman" w:hAnsi="Times New Roman"/>
        </w:rPr>
      </w:pPr>
    </w:p>
    <w:p w14:paraId="32CF008B" w14:textId="083C4B85" w:rsidR="00601C8B" w:rsidRPr="006A2591" w:rsidRDefault="00601C8B" w:rsidP="00601C8B">
      <w:pPr>
        <w:pStyle w:val="Betarp"/>
        <w:rPr>
          <w:rFonts w:ascii="Times New Roman" w:hAnsi="Times New Roman"/>
        </w:rPr>
      </w:pPr>
      <w:r w:rsidRPr="0074207C">
        <w:rPr>
          <w:rFonts w:ascii="Times New Roman" w:hAnsi="Times New Roman"/>
        </w:rPr>
        <w:t xml:space="preserve">Vartojant </w:t>
      </w:r>
      <w:proofErr w:type="spellStart"/>
      <w:r w:rsidR="002C43BF">
        <w:rPr>
          <w:rFonts w:ascii="Times New Roman" w:hAnsi="Times New Roman"/>
        </w:rPr>
        <w:t>Tivulin</w:t>
      </w:r>
      <w:proofErr w:type="spellEnd"/>
      <w:r w:rsidR="002C43BF">
        <w:rPr>
          <w:rFonts w:ascii="Times New Roman" w:hAnsi="Times New Roman"/>
        </w:rPr>
        <w:t>,</w:t>
      </w:r>
      <w:r>
        <w:rPr>
          <w:rFonts w:ascii="Times New Roman" w:hAnsi="Times New Roman"/>
        </w:rPr>
        <w:t xml:space="preserve"> gali pasireikšti </w:t>
      </w:r>
      <w:r w:rsidR="002C43BF">
        <w:rPr>
          <w:rFonts w:ascii="Times New Roman" w:hAnsi="Times New Roman"/>
        </w:rPr>
        <w:t>toliau išvardytos</w:t>
      </w:r>
      <w:r w:rsidRPr="0074207C">
        <w:rPr>
          <w:rFonts w:ascii="Times New Roman" w:hAnsi="Times New Roman"/>
        </w:rPr>
        <w:t xml:space="preserve"> nepageidaujam</w:t>
      </w:r>
      <w:r w:rsidR="002C43BF">
        <w:rPr>
          <w:rFonts w:ascii="Times New Roman" w:hAnsi="Times New Roman"/>
        </w:rPr>
        <w:t>os reakcijos</w:t>
      </w:r>
      <w:r w:rsidRPr="0074207C">
        <w:rPr>
          <w:rFonts w:ascii="Times New Roman" w:hAnsi="Times New Roman"/>
        </w:rPr>
        <w:t>.</w:t>
      </w:r>
    </w:p>
    <w:p w14:paraId="4A549F59" w14:textId="77777777" w:rsidR="00601C8B" w:rsidRPr="006A2591" w:rsidRDefault="00601C8B" w:rsidP="00601C8B">
      <w:pPr>
        <w:pStyle w:val="Betarp"/>
        <w:rPr>
          <w:rFonts w:ascii="Times New Roman" w:hAnsi="Times New Roman"/>
        </w:rPr>
      </w:pPr>
    </w:p>
    <w:p w14:paraId="6CD7B9C6" w14:textId="77777777" w:rsidR="007A2C13" w:rsidRDefault="00601C8B" w:rsidP="00601C8B">
      <w:pPr>
        <w:pStyle w:val="Betarp"/>
        <w:rPr>
          <w:rFonts w:ascii="Times New Roman" w:hAnsi="Times New Roman"/>
        </w:rPr>
      </w:pPr>
      <w:r w:rsidRPr="006A2591">
        <w:rPr>
          <w:rFonts w:ascii="Times New Roman" w:hAnsi="Times New Roman"/>
        </w:rPr>
        <w:t xml:space="preserve">Nepageidaujamo poveikio dažnis apibūdinamas taip: </w:t>
      </w:r>
    </w:p>
    <w:p w14:paraId="2B74CE4A" w14:textId="0C29D315" w:rsidR="007A2C13" w:rsidRDefault="00601C8B" w:rsidP="00601C8B">
      <w:pPr>
        <w:pStyle w:val="Betarp"/>
        <w:rPr>
          <w:rFonts w:ascii="Times New Roman" w:hAnsi="Times New Roman"/>
        </w:rPr>
      </w:pPr>
      <w:r w:rsidRPr="006A2591">
        <w:rPr>
          <w:rFonts w:ascii="Times New Roman" w:hAnsi="Times New Roman"/>
        </w:rPr>
        <w:t>labai dažnas (≥</w:t>
      </w:r>
      <w:r w:rsidR="007A2C13">
        <w:rPr>
          <w:rFonts w:ascii="Times New Roman" w:hAnsi="Times New Roman"/>
        </w:rPr>
        <w:t> </w:t>
      </w:r>
      <w:r w:rsidRPr="006A2591">
        <w:rPr>
          <w:rFonts w:ascii="Times New Roman" w:hAnsi="Times New Roman"/>
        </w:rPr>
        <w:t xml:space="preserve">1/10), </w:t>
      </w:r>
    </w:p>
    <w:p w14:paraId="6CAA2AC9" w14:textId="27CB3945" w:rsidR="007A2C13" w:rsidRDefault="00601C8B" w:rsidP="00601C8B">
      <w:pPr>
        <w:pStyle w:val="Betarp"/>
        <w:rPr>
          <w:rFonts w:ascii="Times New Roman" w:hAnsi="Times New Roman"/>
        </w:rPr>
      </w:pPr>
      <w:r w:rsidRPr="006A2591">
        <w:rPr>
          <w:rFonts w:ascii="Times New Roman" w:hAnsi="Times New Roman"/>
        </w:rPr>
        <w:t>dažnas (nuo ≥</w:t>
      </w:r>
      <w:r w:rsidR="007A2C13">
        <w:rPr>
          <w:rFonts w:ascii="Times New Roman" w:hAnsi="Times New Roman"/>
        </w:rPr>
        <w:t> </w:t>
      </w:r>
      <w:r w:rsidRPr="006A2591">
        <w:rPr>
          <w:rFonts w:ascii="Times New Roman" w:hAnsi="Times New Roman"/>
        </w:rPr>
        <w:t>1/100 iki &lt;</w:t>
      </w:r>
      <w:r w:rsidR="007A2C13">
        <w:rPr>
          <w:rFonts w:ascii="Times New Roman" w:hAnsi="Times New Roman"/>
        </w:rPr>
        <w:t xml:space="preserve"> </w:t>
      </w:r>
      <w:r w:rsidRPr="006A2591">
        <w:rPr>
          <w:rFonts w:ascii="Times New Roman" w:hAnsi="Times New Roman"/>
        </w:rPr>
        <w:t xml:space="preserve">1/10), </w:t>
      </w:r>
    </w:p>
    <w:p w14:paraId="1E6EBAAD" w14:textId="31DC8CE7" w:rsidR="007A2C13" w:rsidRDefault="00601C8B" w:rsidP="00601C8B">
      <w:pPr>
        <w:pStyle w:val="Betarp"/>
        <w:rPr>
          <w:rFonts w:ascii="Times New Roman" w:hAnsi="Times New Roman"/>
        </w:rPr>
      </w:pPr>
      <w:r w:rsidRPr="006A2591">
        <w:rPr>
          <w:rFonts w:ascii="Times New Roman" w:hAnsi="Times New Roman"/>
        </w:rPr>
        <w:t>nedažnas (nuo ≥</w:t>
      </w:r>
      <w:r w:rsidR="007A2C13">
        <w:rPr>
          <w:rFonts w:ascii="Times New Roman" w:hAnsi="Times New Roman"/>
        </w:rPr>
        <w:t> </w:t>
      </w:r>
      <w:r w:rsidRPr="006A2591">
        <w:rPr>
          <w:rFonts w:ascii="Times New Roman" w:hAnsi="Times New Roman"/>
        </w:rPr>
        <w:t>1/1</w:t>
      </w:r>
      <w:r w:rsidR="00FE3681" w:rsidRPr="005D554B">
        <w:rPr>
          <w:snapToGrid w:val="0"/>
        </w:rPr>
        <w:t> </w:t>
      </w:r>
      <w:r w:rsidRPr="006A2591">
        <w:rPr>
          <w:rFonts w:ascii="Times New Roman" w:hAnsi="Times New Roman"/>
        </w:rPr>
        <w:t>000 iki &lt;</w:t>
      </w:r>
      <w:r w:rsidR="007A2C13">
        <w:rPr>
          <w:rFonts w:ascii="Times New Roman" w:hAnsi="Times New Roman"/>
        </w:rPr>
        <w:t xml:space="preserve"> </w:t>
      </w:r>
      <w:r w:rsidRPr="006A2591">
        <w:rPr>
          <w:rFonts w:ascii="Times New Roman" w:hAnsi="Times New Roman"/>
        </w:rPr>
        <w:t xml:space="preserve">1/100), </w:t>
      </w:r>
    </w:p>
    <w:p w14:paraId="37AA8682" w14:textId="74308FCD" w:rsidR="007A2C13" w:rsidRDefault="00601C8B" w:rsidP="00601C8B">
      <w:pPr>
        <w:pStyle w:val="Betarp"/>
        <w:rPr>
          <w:rFonts w:ascii="Times New Roman" w:hAnsi="Times New Roman"/>
        </w:rPr>
      </w:pPr>
      <w:r w:rsidRPr="006A2591">
        <w:rPr>
          <w:rFonts w:ascii="Times New Roman" w:hAnsi="Times New Roman"/>
        </w:rPr>
        <w:t>retas (nuo ≥</w:t>
      </w:r>
      <w:r w:rsidR="007A2C13">
        <w:rPr>
          <w:rFonts w:ascii="Times New Roman" w:hAnsi="Times New Roman"/>
        </w:rPr>
        <w:t> </w:t>
      </w:r>
      <w:r w:rsidRPr="006A2591">
        <w:rPr>
          <w:rFonts w:ascii="Times New Roman" w:hAnsi="Times New Roman"/>
        </w:rPr>
        <w:t>1/10</w:t>
      </w:r>
      <w:r w:rsidR="00FE3681" w:rsidRPr="00B962BE">
        <w:t> </w:t>
      </w:r>
      <w:r w:rsidRPr="006A2591">
        <w:rPr>
          <w:rFonts w:ascii="Times New Roman" w:hAnsi="Times New Roman"/>
        </w:rPr>
        <w:t>000 iki &lt;</w:t>
      </w:r>
      <w:r w:rsidR="007A2C13">
        <w:rPr>
          <w:rFonts w:ascii="Times New Roman" w:hAnsi="Times New Roman"/>
        </w:rPr>
        <w:t> </w:t>
      </w:r>
      <w:r w:rsidRPr="006A2591">
        <w:rPr>
          <w:rFonts w:ascii="Times New Roman" w:hAnsi="Times New Roman"/>
        </w:rPr>
        <w:t>1/1</w:t>
      </w:r>
      <w:r w:rsidR="00FE3681" w:rsidRPr="005D554B">
        <w:rPr>
          <w:snapToGrid w:val="0"/>
        </w:rPr>
        <w:t> </w:t>
      </w:r>
      <w:r w:rsidRPr="006A2591">
        <w:rPr>
          <w:rFonts w:ascii="Times New Roman" w:hAnsi="Times New Roman"/>
        </w:rPr>
        <w:t xml:space="preserve">000), </w:t>
      </w:r>
    </w:p>
    <w:p w14:paraId="767653C2" w14:textId="0609A649" w:rsidR="007A2C13" w:rsidRDefault="00601C8B" w:rsidP="00601C8B">
      <w:pPr>
        <w:pStyle w:val="Betarp"/>
        <w:rPr>
          <w:rFonts w:ascii="Times New Roman" w:hAnsi="Times New Roman"/>
        </w:rPr>
      </w:pPr>
      <w:r w:rsidRPr="006A2591">
        <w:rPr>
          <w:rFonts w:ascii="Times New Roman" w:hAnsi="Times New Roman"/>
        </w:rPr>
        <w:t>labai retas (&lt;</w:t>
      </w:r>
      <w:r w:rsidR="007A2C13">
        <w:rPr>
          <w:rFonts w:ascii="Times New Roman" w:hAnsi="Times New Roman"/>
        </w:rPr>
        <w:t> </w:t>
      </w:r>
      <w:r w:rsidRPr="006A2591">
        <w:rPr>
          <w:rFonts w:ascii="Times New Roman" w:hAnsi="Times New Roman"/>
        </w:rPr>
        <w:t>1/10</w:t>
      </w:r>
      <w:r w:rsidR="00FE3681" w:rsidRPr="00B962BE">
        <w:t> </w:t>
      </w:r>
      <w:r w:rsidRPr="006A2591">
        <w:rPr>
          <w:rFonts w:ascii="Times New Roman" w:hAnsi="Times New Roman"/>
        </w:rPr>
        <w:t>000)</w:t>
      </w:r>
      <w:r w:rsidR="007A2C13">
        <w:rPr>
          <w:rFonts w:ascii="Times New Roman" w:hAnsi="Times New Roman"/>
        </w:rPr>
        <w:t>;</w:t>
      </w:r>
    </w:p>
    <w:p w14:paraId="2B7204C8" w14:textId="3B3CE6E8" w:rsidR="00601C8B" w:rsidRPr="006A2591" w:rsidRDefault="007A2C13" w:rsidP="00601C8B">
      <w:pPr>
        <w:pStyle w:val="Betarp"/>
        <w:rPr>
          <w:rFonts w:ascii="Times New Roman" w:hAnsi="Times New Roman"/>
        </w:rPr>
      </w:pPr>
      <w:r>
        <w:rPr>
          <w:rFonts w:ascii="Times New Roman" w:hAnsi="Times New Roman"/>
        </w:rPr>
        <w:t>dažnis</w:t>
      </w:r>
      <w:r w:rsidR="00601C8B" w:rsidRPr="006A2591">
        <w:rPr>
          <w:rFonts w:ascii="Times New Roman" w:hAnsi="Times New Roman"/>
        </w:rPr>
        <w:t xml:space="preserve"> nežinomas (negali būti apskaičiuotas pagal turimus duomenis).</w:t>
      </w:r>
    </w:p>
    <w:p w14:paraId="502E3244" w14:textId="77777777" w:rsidR="00601C8B" w:rsidRPr="006A2591" w:rsidRDefault="00601C8B" w:rsidP="00601C8B">
      <w:pPr>
        <w:pStyle w:val="Betarp"/>
        <w:rPr>
          <w:rFonts w:ascii="Times New Roman" w:hAnsi="Times New Roman"/>
        </w:rPr>
      </w:pPr>
    </w:p>
    <w:p w14:paraId="174B2ABB" w14:textId="77777777" w:rsidR="00601C8B" w:rsidRPr="006A2591" w:rsidRDefault="00601C8B" w:rsidP="00601C8B">
      <w:pPr>
        <w:pStyle w:val="Betarp"/>
        <w:rPr>
          <w:rFonts w:ascii="Times New Roman" w:hAnsi="Times New Roman"/>
        </w:rPr>
      </w:pPr>
      <w:r w:rsidRPr="006A2591">
        <w:rPr>
          <w:rFonts w:ascii="Times New Roman" w:hAnsi="Times New Roman"/>
        </w:rPr>
        <w:t>Kiekvienoje dažnio grupėje nepageidaujamos reakcijos pateikiamos mažėjančio sunkumo tvarka.</w:t>
      </w:r>
    </w:p>
    <w:p w14:paraId="39B2FB1C" w14:textId="77777777" w:rsidR="00601C8B" w:rsidRPr="006A2591" w:rsidRDefault="00601C8B" w:rsidP="00601C8B">
      <w:pPr>
        <w:pStyle w:val="Betarp"/>
        <w:rPr>
          <w:rFonts w:ascii="Times New Roman" w:hAnsi="Times New Roman"/>
        </w:rPr>
      </w:pPr>
    </w:p>
    <w:p w14:paraId="22583D56"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Medžiagų apykaitos ir mitybos sutrikimai</w:t>
      </w:r>
    </w:p>
    <w:p w14:paraId="0B448CCB" w14:textId="77777777" w:rsidR="00A9798E" w:rsidRPr="006A2591" w:rsidRDefault="00A9798E" w:rsidP="00A9798E">
      <w:pPr>
        <w:pStyle w:val="Betarp"/>
        <w:rPr>
          <w:rFonts w:ascii="Times New Roman" w:hAnsi="Times New Roman"/>
        </w:rPr>
      </w:pPr>
    </w:p>
    <w:p w14:paraId="5FD9FA2C" w14:textId="77777777" w:rsidR="00A9798E" w:rsidRDefault="00A9798E" w:rsidP="00A9798E">
      <w:pPr>
        <w:pStyle w:val="Betarp"/>
        <w:rPr>
          <w:rFonts w:ascii="Times New Roman" w:hAnsi="Times New Roman"/>
          <w:i/>
        </w:rPr>
      </w:pPr>
      <w:r>
        <w:rPr>
          <w:rFonts w:ascii="Times New Roman" w:hAnsi="Times New Roman"/>
          <w:i/>
        </w:rPr>
        <w:t>Dažnas</w:t>
      </w:r>
    </w:p>
    <w:p w14:paraId="485F4D30" w14:textId="77777777" w:rsidR="00A9798E" w:rsidRDefault="00A9798E" w:rsidP="00A9798E">
      <w:pPr>
        <w:pStyle w:val="Betarp"/>
        <w:numPr>
          <w:ilvl w:val="0"/>
          <w:numId w:val="6"/>
        </w:numPr>
        <w:ind w:left="567" w:hanging="567"/>
        <w:rPr>
          <w:rFonts w:ascii="Times New Roman" w:hAnsi="Times New Roman"/>
          <w:i/>
        </w:rPr>
      </w:pPr>
      <w:r>
        <w:rPr>
          <w:rFonts w:ascii="Times New Roman" w:hAnsi="Times New Roman"/>
          <w:iCs/>
        </w:rPr>
        <w:t>Vitamino B</w:t>
      </w:r>
      <w:r w:rsidRPr="00D36877">
        <w:rPr>
          <w:rFonts w:ascii="Times New Roman" w:hAnsi="Times New Roman"/>
          <w:iCs/>
        </w:rPr>
        <w:t xml:space="preserve">12 </w:t>
      </w:r>
      <w:r w:rsidRPr="002B48FD">
        <w:rPr>
          <w:rFonts w:ascii="Times New Roman" w:hAnsi="Times New Roman"/>
          <w:iCs/>
        </w:rPr>
        <w:t>kiekio sumažėjimas / stoka</w:t>
      </w:r>
      <w:r w:rsidRPr="00D36877">
        <w:rPr>
          <w:rFonts w:ascii="Times New Roman" w:hAnsi="Times New Roman"/>
          <w:iCs/>
        </w:rPr>
        <w:t xml:space="preserve"> (</w:t>
      </w:r>
      <w:r w:rsidRPr="00FC682A">
        <w:rPr>
          <w:rFonts w:ascii="Times New Roman" w:hAnsi="Times New Roman"/>
          <w:iCs/>
        </w:rPr>
        <w:t>žr. 4.4</w:t>
      </w:r>
      <w:r>
        <w:rPr>
          <w:rFonts w:ascii="Times New Roman" w:hAnsi="Times New Roman"/>
          <w:iCs/>
        </w:rPr>
        <w:t> </w:t>
      </w:r>
      <w:r w:rsidRPr="00FC682A">
        <w:rPr>
          <w:rFonts w:ascii="Times New Roman" w:hAnsi="Times New Roman"/>
          <w:iCs/>
        </w:rPr>
        <w:t>skyrių</w:t>
      </w:r>
      <w:r w:rsidRPr="00D36877">
        <w:rPr>
          <w:rFonts w:ascii="Times New Roman" w:hAnsi="Times New Roman"/>
          <w:iCs/>
        </w:rPr>
        <w:t>).</w:t>
      </w:r>
    </w:p>
    <w:p w14:paraId="2E35CFC1" w14:textId="77777777" w:rsidR="00601C8B" w:rsidRPr="006A2591" w:rsidRDefault="00601C8B" w:rsidP="00601C8B">
      <w:pPr>
        <w:pStyle w:val="Betarp"/>
        <w:rPr>
          <w:rFonts w:ascii="Times New Roman" w:hAnsi="Times New Roman"/>
        </w:rPr>
      </w:pPr>
    </w:p>
    <w:p w14:paraId="616FEBD7" w14:textId="2A732873" w:rsidR="00601C8B" w:rsidRPr="006A2591" w:rsidRDefault="00601C8B" w:rsidP="00601C8B">
      <w:pPr>
        <w:pStyle w:val="Betarp"/>
        <w:rPr>
          <w:rFonts w:ascii="Times New Roman" w:hAnsi="Times New Roman"/>
          <w:i/>
        </w:rPr>
      </w:pPr>
      <w:r w:rsidRPr="006A2591">
        <w:rPr>
          <w:rFonts w:ascii="Times New Roman" w:hAnsi="Times New Roman"/>
          <w:i/>
        </w:rPr>
        <w:lastRenderedPageBreak/>
        <w:t>Labai ret</w:t>
      </w:r>
      <w:r w:rsidR="00A9798E">
        <w:rPr>
          <w:rFonts w:ascii="Times New Roman" w:hAnsi="Times New Roman"/>
          <w:i/>
        </w:rPr>
        <w:t>as</w:t>
      </w:r>
    </w:p>
    <w:p w14:paraId="1DB770F2" w14:textId="3EE1C34A" w:rsidR="00601C8B" w:rsidRPr="006A2591" w:rsidRDefault="00601C8B" w:rsidP="00EE0B84">
      <w:pPr>
        <w:pStyle w:val="Betarp"/>
        <w:numPr>
          <w:ilvl w:val="0"/>
          <w:numId w:val="6"/>
        </w:numPr>
        <w:ind w:left="567" w:hanging="567"/>
        <w:rPr>
          <w:rFonts w:ascii="Times New Roman" w:hAnsi="Times New Roman"/>
        </w:rPr>
      </w:pPr>
      <w:proofErr w:type="spellStart"/>
      <w:r w:rsidRPr="006A2591">
        <w:rPr>
          <w:rFonts w:ascii="Times New Roman" w:hAnsi="Times New Roman"/>
        </w:rPr>
        <w:t>Laktatacidozė</w:t>
      </w:r>
      <w:proofErr w:type="spellEnd"/>
      <w:r w:rsidRPr="006A2591">
        <w:rPr>
          <w:rFonts w:ascii="Times New Roman" w:hAnsi="Times New Roman"/>
        </w:rPr>
        <w:t xml:space="preserve"> (žr. 4.4</w:t>
      </w:r>
      <w:r w:rsidR="00A9798E">
        <w:rPr>
          <w:rFonts w:ascii="Times New Roman" w:hAnsi="Times New Roman"/>
        </w:rPr>
        <w:t> </w:t>
      </w:r>
      <w:r w:rsidRPr="006A2591">
        <w:rPr>
          <w:rFonts w:ascii="Times New Roman" w:hAnsi="Times New Roman"/>
        </w:rPr>
        <w:t>skyrių).</w:t>
      </w:r>
    </w:p>
    <w:p w14:paraId="17CCE4E2" w14:textId="77777777" w:rsidR="00601C8B" w:rsidRPr="006A2591" w:rsidRDefault="00601C8B" w:rsidP="00601C8B">
      <w:pPr>
        <w:pStyle w:val="Betarp"/>
        <w:rPr>
          <w:rFonts w:ascii="Times New Roman" w:hAnsi="Times New Roman"/>
        </w:rPr>
      </w:pPr>
    </w:p>
    <w:p w14:paraId="2A758054"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Nervų sistemos sutrikimai</w:t>
      </w:r>
    </w:p>
    <w:p w14:paraId="78C8E244" w14:textId="77777777" w:rsidR="00601C8B" w:rsidRPr="006A2591" w:rsidRDefault="00601C8B" w:rsidP="00601C8B">
      <w:pPr>
        <w:pStyle w:val="Betarp"/>
        <w:rPr>
          <w:rFonts w:ascii="Times New Roman" w:hAnsi="Times New Roman"/>
        </w:rPr>
      </w:pPr>
    </w:p>
    <w:p w14:paraId="4D9D3D0B" w14:textId="619C3124" w:rsidR="00601C8B" w:rsidRPr="006A2591" w:rsidRDefault="00601C8B" w:rsidP="00601C8B">
      <w:pPr>
        <w:pStyle w:val="Betarp"/>
        <w:rPr>
          <w:rFonts w:ascii="Times New Roman" w:hAnsi="Times New Roman"/>
          <w:i/>
        </w:rPr>
      </w:pPr>
      <w:r w:rsidRPr="006A2591">
        <w:rPr>
          <w:rFonts w:ascii="Times New Roman" w:hAnsi="Times New Roman"/>
          <w:i/>
        </w:rPr>
        <w:t>Dažn</w:t>
      </w:r>
      <w:r w:rsidR="00A9798E">
        <w:rPr>
          <w:rFonts w:ascii="Times New Roman" w:hAnsi="Times New Roman"/>
          <w:i/>
        </w:rPr>
        <w:t>as</w:t>
      </w:r>
    </w:p>
    <w:p w14:paraId="243BB008" w14:textId="77777777" w:rsidR="00601C8B" w:rsidRPr="006A2591" w:rsidRDefault="00601C8B" w:rsidP="00EE0B84">
      <w:pPr>
        <w:pStyle w:val="Betarp"/>
        <w:numPr>
          <w:ilvl w:val="0"/>
          <w:numId w:val="7"/>
        </w:numPr>
        <w:ind w:left="567" w:hanging="567"/>
        <w:rPr>
          <w:rFonts w:ascii="Times New Roman" w:hAnsi="Times New Roman"/>
        </w:rPr>
      </w:pPr>
      <w:r w:rsidRPr="006A2591">
        <w:rPr>
          <w:rFonts w:ascii="Times New Roman" w:hAnsi="Times New Roman"/>
        </w:rPr>
        <w:t>Skonio sutrikimai.</w:t>
      </w:r>
    </w:p>
    <w:p w14:paraId="20DCDF00" w14:textId="77777777" w:rsidR="00601C8B" w:rsidRPr="006A2591" w:rsidRDefault="00601C8B" w:rsidP="00601C8B">
      <w:pPr>
        <w:pStyle w:val="Betarp"/>
        <w:rPr>
          <w:rFonts w:ascii="Times New Roman" w:hAnsi="Times New Roman"/>
        </w:rPr>
      </w:pPr>
    </w:p>
    <w:p w14:paraId="5463D066"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Virškinimo trakto sutrikimai</w:t>
      </w:r>
    </w:p>
    <w:p w14:paraId="143ECB40" w14:textId="77777777" w:rsidR="00601C8B" w:rsidRPr="006A2591" w:rsidRDefault="00601C8B" w:rsidP="00601C8B">
      <w:pPr>
        <w:pStyle w:val="Betarp"/>
        <w:rPr>
          <w:rFonts w:ascii="Times New Roman" w:hAnsi="Times New Roman"/>
        </w:rPr>
      </w:pPr>
    </w:p>
    <w:p w14:paraId="480802D5" w14:textId="4016107D" w:rsidR="00601C8B" w:rsidRPr="006A2591" w:rsidRDefault="00601C8B" w:rsidP="00601C8B">
      <w:pPr>
        <w:pStyle w:val="Betarp"/>
        <w:rPr>
          <w:rFonts w:ascii="Times New Roman" w:hAnsi="Times New Roman"/>
          <w:i/>
        </w:rPr>
      </w:pPr>
      <w:r w:rsidRPr="006A2591">
        <w:rPr>
          <w:rFonts w:ascii="Times New Roman" w:hAnsi="Times New Roman"/>
          <w:i/>
        </w:rPr>
        <w:t>Labai dažn</w:t>
      </w:r>
      <w:r w:rsidR="00A9798E">
        <w:rPr>
          <w:rFonts w:ascii="Times New Roman" w:hAnsi="Times New Roman"/>
          <w:i/>
        </w:rPr>
        <w:t>as</w:t>
      </w:r>
    </w:p>
    <w:p w14:paraId="76618223" w14:textId="29836028" w:rsidR="00601C8B" w:rsidRPr="006A2591" w:rsidRDefault="00601C8B" w:rsidP="00EE0B84">
      <w:pPr>
        <w:pStyle w:val="Betarp"/>
        <w:numPr>
          <w:ilvl w:val="0"/>
          <w:numId w:val="7"/>
        </w:numPr>
        <w:ind w:left="567" w:hanging="567"/>
        <w:rPr>
          <w:rFonts w:ascii="Times New Roman" w:hAnsi="Times New Roman"/>
        </w:rPr>
      </w:pPr>
      <w:r>
        <w:rPr>
          <w:rFonts w:ascii="Times New Roman" w:hAnsi="Times New Roman"/>
        </w:rPr>
        <w:t>Virškinimo trakto</w:t>
      </w:r>
      <w:r w:rsidRPr="006A2591">
        <w:rPr>
          <w:rFonts w:ascii="Times New Roman" w:hAnsi="Times New Roman"/>
        </w:rPr>
        <w:t xml:space="preserve"> sutrikimai </w:t>
      </w:r>
      <w:r w:rsidR="00DE1188">
        <w:rPr>
          <w:rFonts w:ascii="Times New Roman" w:hAnsi="Times New Roman"/>
        </w:rPr>
        <w:t>–</w:t>
      </w:r>
      <w:r w:rsidRPr="006A2591">
        <w:rPr>
          <w:rFonts w:ascii="Times New Roman" w:hAnsi="Times New Roman"/>
        </w:rPr>
        <w:t xml:space="preserve"> pykinimas, vėmimas, viduriavimas, pilvo skausmas, apetito stoka. Jie dažnesni pradėjus gydy</w:t>
      </w:r>
      <w:r>
        <w:rPr>
          <w:rFonts w:ascii="Times New Roman" w:hAnsi="Times New Roman"/>
        </w:rPr>
        <w:t>mą</w:t>
      </w:r>
      <w:r w:rsidRPr="006A2591">
        <w:rPr>
          <w:rFonts w:ascii="Times New Roman" w:hAnsi="Times New Roman"/>
        </w:rPr>
        <w:t xml:space="preserve"> ir </w:t>
      </w:r>
      <w:r>
        <w:rPr>
          <w:rFonts w:ascii="Times New Roman" w:hAnsi="Times New Roman"/>
        </w:rPr>
        <w:t xml:space="preserve">dažniausiai </w:t>
      </w:r>
      <w:r w:rsidRPr="006A2591">
        <w:rPr>
          <w:rFonts w:ascii="Times New Roman" w:hAnsi="Times New Roman"/>
        </w:rPr>
        <w:t xml:space="preserve">išnyksta savaime. Kai dozė didinama iš lėto ir pamažu, tai gali pagerinti </w:t>
      </w:r>
      <w:proofErr w:type="spellStart"/>
      <w:r w:rsidRPr="006A2591">
        <w:rPr>
          <w:rFonts w:ascii="Times New Roman" w:hAnsi="Times New Roman"/>
        </w:rPr>
        <w:t>metformino</w:t>
      </w:r>
      <w:proofErr w:type="spellEnd"/>
      <w:r w:rsidRPr="006A2591">
        <w:rPr>
          <w:rFonts w:ascii="Times New Roman" w:hAnsi="Times New Roman"/>
        </w:rPr>
        <w:t xml:space="preserve"> toleravimą</w:t>
      </w:r>
      <w:r>
        <w:rPr>
          <w:rFonts w:ascii="Times New Roman" w:hAnsi="Times New Roman"/>
        </w:rPr>
        <w:t xml:space="preserve"> virškinimo trakte</w:t>
      </w:r>
      <w:r w:rsidRPr="006A2591">
        <w:rPr>
          <w:rFonts w:ascii="Times New Roman" w:hAnsi="Times New Roman"/>
        </w:rPr>
        <w:t xml:space="preserve">. </w:t>
      </w:r>
    </w:p>
    <w:p w14:paraId="15CA73FA" w14:textId="77777777" w:rsidR="00601C8B" w:rsidRPr="006A2591" w:rsidRDefault="00601C8B" w:rsidP="00601C8B">
      <w:pPr>
        <w:pStyle w:val="Betarp"/>
        <w:rPr>
          <w:rFonts w:ascii="Times New Roman" w:hAnsi="Times New Roman"/>
        </w:rPr>
      </w:pPr>
    </w:p>
    <w:p w14:paraId="12CFE9A8"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Kepenų, tulžies pūslės ir latakų sutrikimai</w:t>
      </w:r>
    </w:p>
    <w:p w14:paraId="4D438F79" w14:textId="77777777" w:rsidR="00601C8B" w:rsidRPr="006A2591" w:rsidRDefault="00601C8B" w:rsidP="00601C8B">
      <w:pPr>
        <w:pStyle w:val="Betarp"/>
        <w:rPr>
          <w:rFonts w:ascii="Times New Roman" w:hAnsi="Times New Roman"/>
        </w:rPr>
      </w:pPr>
    </w:p>
    <w:p w14:paraId="33E3ECB3" w14:textId="300CA2B8" w:rsidR="00601C8B" w:rsidRPr="006A2591" w:rsidRDefault="00601C8B" w:rsidP="00601C8B">
      <w:pPr>
        <w:pStyle w:val="Betarp"/>
        <w:rPr>
          <w:rFonts w:ascii="Times New Roman" w:hAnsi="Times New Roman"/>
          <w:i/>
        </w:rPr>
      </w:pPr>
      <w:r w:rsidRPr="006A2591">
        <w:rPr>
          <w:rFonts w:ascii="Times New Roman" w:hAnsi="Times New Roman"/>
          <w:i/>
        </w:rPr>
        <w:t>Labai ret</w:t>
      </w:r>
      <w:r w:rsidR="00DE1188">
        <w:rPr>
          <w:rFonts w:ascii="Times New Roman" w:hAnsi="Times New Roman"/>
          <w:i/>
        </w:rPr>
        <w:t>as</w:t>
      </w:r>
    </w:p>
    <w:p w14:paraId="49FC5D67" w14:textId="77777777" w:rsidR="00601C8B" w:rsidRPr="006A2591" w:rsidRDefault="00601C8B" w:rsidP="00EE0B84">
      <w:pPr>
        <w:pStyle w:val="Betarp"/>
        <w:numPr>
          <w:ilvl w:val="0"/>
          <w:numId w:val="7"/>
        </w:numPr>
        <w:ind w:left="567" w:hanging="567"/>
        <w:rPr>
          <w:rFonts w:ascii="Times New Roman" w:hAnsi="Times New Roman"/>
        </w:rPr>
      </w:pPr>
      <w:r>
        <w:rPr>
          <w:rFonts w:ascii="Times New Roman" w:hAnsi="Times New Roman"/>
        </w:rPr>
        <w:t>Pavieniai</w:t>
      </w:r>
      <w:r w:rsidRPr="006A2591">
        <w:rPr>
          <w:rFonts w:ascii="Times New Roman" w:hAnsi="Times New Roman"/>
        </w:rPr>
        <w:t xml:space="preserve"> pranešimai apie kepenų funkcijos </w:t>
      </w:r>
      <w:r>
        <w:rPr>
          <w:rFonts w:ascii="Times New Roman" w:hAnsi="Times New Roman"/>
        </w:rPr>
        <w:t>tyrimų</w:t>
      </w:r>
      <w:r w:rsidRPr="006A2591">
        <w:rPr>
          <w:rFonts w:ascii="Times New Roman" w:hAnsi="Times New Roman"/>
        </w:rPr>
        <w:t xml:space="preserve"> pokyčius arba hepatitą, kurie </w:t>
      </w:r>
      <w:r>
        <w:rPr>
          <w:rFonts w:ascii="Times New Roman" w:hAnsi="Times New Roman"/>
        </w:rPr>
        <w:t>išnyksta</w:t>
      </w:r>
      <w:r w:rsidRPr="006A2591">
        <w:rPr>
          <w:rFonts w:ascii="Times New Roman" w:hAnsi="Times New Roman"/>
        </w:rPr>
        <w:t xml:space="preserve"> nutraukus gydymą </w:t>
      </w:r>
      <w:proofErr w:type="spellStart"/>
      <w:r w:rsidRPr="006A2591">
        <w:rPr>
          <w:rFonts w:ascii="Times New Roman" w:hAnsi="Times New Roman"/>
        </w:rPr>
        <w:t>metforminu</w:t>
      </w:r>
      <w:proofErr w:type="spellEnd"/>
      <w:r w:rsidRPr="006A2591">
        <w:rPr>
          <w:rFonts w:ascii="Times New Roman" w:hAnsi="Times New Roman"/>
        </w:rPr>
        <w:t>.</w:t>
      </w:r>
    </w:p>
    <w:p w14:paraId="7198121B" w14:textId="77777777" w:rsidR="00601C8B" w:rsidRPr="006A2591" w:rsidRDefault="00601C8B" w:rsidP="00601C8B">
      <w:pPr>
        <w:pStyle w:val="Betarp"/>
        <w:rPr>
          <w:rFonts w:ascii="Times New Roman" w:hAnsi="Times New Roman"/>
        </w:rPr>
      </w:pPr>
    </w:p>
    <w:p w14:paraId="71FB7FE8"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Odos ir poodinio audinio sutrikimai</w:t>
      </w:r>
    </w:p>
    <w:p w14:paraId="5866C8E9" w14:textId="77777777" w:rsidR="00601C8B" w:rsidRPr="006A2591" w:rsidRDefault="00601C8B" w:rsidP="00601C8B">
      <w:pPr>
        <w:pStyle w:val="Betarp"/>
        <w:rPr>
          <w:rFonts w:ascii="Times New Roman" w:hAnsi="Times New Roman"/>
        </w:rPr>
      </w:pPr>
    </w:p>
    <w:p w14:paraId="7A36868E" w14:textId="6FCB2B8E" w:rsidR="00601C8B" w:rsidRPr="006A2591" w:rsidRDefault="00601C8B" w:rsidP="00601C8B">
      <w:pPr>
        <w:pStyle w:val="Betarp"/>
        <w:rPr>
          <w:rFonts w:ascii="Times New Roman" w:hAnsi="Times New Roman"/>
          <w:i/>
        </w:rPr>
      </w:pPr>
      <w:r w:rsidRPr="006A2591">
        <w:rPr>
          <w:rFonts w:ascii="Times New Roman" w:hAnsi="Times New Roman"/>
          <w:i/>
        </w:rPr>
        <w:t>Labai ret</w:t>
      </w:r>
      <w:r w:rsidR="00DE1188">
        <w:rPr>
          <w:rFonts w:ascii="Times New Roman" w:hAnsi="Times New Roman"/>
          <w:i/>
        </w:rPr>
        <w:t>as</w:t>
      </w:r>
    </w:p>
    <w:p w14:paraId="18D4F5B7" w14:textId="77777777" w:rsidR="00601C8B" w:rsidRPr="006A2591" w:rsidRDefault="00601C8B" w:rsidP="00EE0B84">
      <w:pPr>
        <w:pStyle w:val="Betarp"/>
        <w:numPr>
          <w:ilvl w:val="0"/>
          <w:numId w:val="7"/>
        </w:numPr>
        <w:ind w:left="567" w:hanging="567"/>
        <w:rPr>
          <w:rFonts w:ascii="Times New Roman" w:hAnsi="Times New Roman"/>
        </w:rPr>
      </w:pPr>
      <w:r w:rsidRPr="006A2591">
        <w:rPr>
          <w:rFonts w:ascii="Times New Roman" w:hAnsi="Times New Roman"/>
        </w:rPr>
        <w:t xml:space="preserve">Odos reakcijos, pvz., </w:t>
      </w:r>
      <w:proofErr w:type="spellStart"/>
      <w:r w:rsidRPr="006A2591">
        <w:rPr>
          <w:rFonts w:ascii="Times New Roman" w:hAnsi="Times New Roman"/>
        </w:rPr>
        <w:t>eritema</w:t>
      </w:r>
      <w:proofErr w:type="spellEnd"/>
      <w:r w:rsidRPr="006A2591">
        <w:rPr>
          <w:rFonts w:ascii="Times New Roman" w:hAnsi="Times New Roman"/>
        </w:rPr>
        <w:t>, niež</w:t>
      </w:r>
      <w:r>
        <w:rPr>
          <w:rFonts w:ascii="Times New Roman" w:hAnsi="Times New Roman"/>
        </w:rPr>
        <w:t>ėjimas</w:t>
      </w:r>
      <w:r w:rsidRPr="006A2591">
        <w:rPr>
          <w:rFonts w:ascii="Times New Roman" w:hAnsi="Times New Roman"/>
        </w:rPr>
        <w:t>, dilgėlinė.</w:t>
      </w:r>
    </w:p>
    <w:p w14:paraId="3CE33856" w14:textId="77777777" w:rsidR="00601C8B" w:rsidRPr="006A2591" w:rsidRDefault="00601C8B" w:rsidP="00601C8B">
      <w:pPr>
        <w:pStyle w:val="Betarp"/>
        <w:rPr>
          <w:rFonts w:ascii="Times New Roman" w:hAnsi="Times New Roman"/>
        </w:rPr>
      </w:pPr>
    </w:p>
    <w:p w14:paraId="73F50053"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Pranešimas apie įtariamas nepageidaujamas reakcijas</w:t>
      </w:r>
    </w:p>
    <w:p w14:paraId="191A5C20" w14:textId="5F086529" w:rsidR="00601C8B" w:rsidRPr="006A2591" w:rsidRDefault="00330A2C" w:rsidP="00E85904">
      <w:pPr>
        <w:pStyle w:val="BTEMEASMCA"/>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rPr>
        <w:t>https://vvkt.lrv.lt/lt/</w:t>
      </w:r>
      <w:r>
        <w:t xml:space="preserve"> nurodytais būdais</w:t>
      </w:r>
      <w:r w:rsidR="00FE3681" w:rsidRPr="00B81A7F">
        <w:t>.</w:t>
      </w:r>
    </w:p>
    <w:p w14:paraId="234D07BA" w14:textId="77777777" w:rsidR="00601C8B" w:rsidRPr="006A2591" w:rsidRDefault="00601C8B" w:rsidP="00601C8B">
      <w:pPr>
        <w:pStyle w:val="Pagrindinistekstas"/>
        <w:spacing w:after="0"/>
        <w:rPr>
          <w:szCs w:val="22"/>
        </w:rPr>
      </w:pPr>
    </w:p>
    <w:p w14:paraId="5D2E24B7" w14:textId="77777777" w:rsidR="00601C8B" w:rsidRPr="006A2591" w:rsidRDefault="00601C8B" w:rsidP="00601C8B">
      <w:pPr>
        <w:pStyle w:val="PI-2EMEASMCA"/>
        <w:outlineLvl w:val="9"/>
      </w:pPr>
      <w:r w:rsidRPr="006A2591">
        <w:t>4.9</w:t>
      </w:r>
      <w:r w:rsidRPr="006A2591">
        <w:tab/>
        <w:t>Perdozavimas</w:t>
      </w:r>
    </w:p>
    <w:p w14:paraId="4E435885" w14:textId="77777777" w:rsidR="00601C8B" w:rsidRPr="006A2591" w:rsidRDefault="00601C8B" w:rsidP="00E85904">
      <w:pPr>
        <w:pStyle w:val="BTEMEASMCA"/>
      </w:pPr>
    </w:p>
    <w:p w14:paraId="08A7D092" w14:textId="77777777" w:rsidR="00601C8B" w:rsidRPr="006A2591" w:rsidRDefault="00601C8B" w:rsidP="00E85904">
      <w:pPr>
        <w:pStyle w:val="BTEMEASMCA"/>
      </w:pPr>
      <w:r w:rsidRPr="006A2591">
        <w:t xml:space="preserve">Hipoglikemijos požymių nebūna </w:t>
      </w:r>
      <w:r>
        <w:t>vartojant</w:t>
      </w:r>
      <w:r w:rsidRPr="006A2591">
        <w:t xml:space="preserve"> </w:t>
      </w:r>
      <w:proofErr w:type="spellStart"/>
      <w:r w:rsidRPr="006A2591">
        <w:t>metformino</w:t>
      </w:r>
      <w:proofErr w:type="spellEnd"/>
      <w:r w:rsidRPr="006A2591">
        <w:t xml:space="preserve"> iki 85</w:t>
      </w:r>
      <w:r w:rsidRPr="0078470E">
        <w:t> </w:t>
      </w:r>
      <w:r w:rsidRPr="006A2591">
        <w:t>g, nors tokiais atvejais</w:t>
      </w:r>
      <w:r>
        <w:t xml:space="preserve"> gali pasireikšti</w:t>
      </w:r>
      <w:r w:rsidRPr="006A2591">
        <w:t xml:space="preserve"> </w:t>
      </w:r>
      <w:proofErr w:type="spellStart"/>
      <w:r w:rsidRPr="006A2591">
        <w:t>laktatacidozė</w:t>
      </w:r>
      <w:proofErr w:type="spellEnd"/>
      <w:r w:rsidRPr="006A2591">
        <w:t xml:space="preserve">. Didelė dozė ar papildomi rizikos </w:t>
      </w:r>
      <w:r>
        <w:t>veiksniai</w:t>
      </w:r>
      <w:r w:rsidRPr="006A2591">
        <w:t xml:space="preserve"> gali sukelti </w:t>
      </w:r>
      <w:proofErr w:type="spellStart"/>
      <w:r w:rsidRPr="006A2591">
        <w:t>laktatacidozę</w:t>
      </w:r>
      <w:proofErr w:type="spellEnd"/>
      <w:r w:rsidRPr="006A2591">
        <w:t xml:space="preserve">. </w:t>
      </w:r>
      <w:proofErr w:type="spellStart"/>
      <w:r w:rsidRPr="006A2591">
        <w:t>Laktatacidozė</w:t>
      </w:r>
      <w:proofErr w:type="spellEnd"/>
      <w:r w:rsidRPr="006A2591">
        <w:t xml:space="preserve"> yra neatidėliotinos pagalbos reikalaujanti </w:t>
      </w:r>
      <w:proofErr w:type="spellStart"/>
      <w:r w:rsidRPr="006A2591">
        <w:t>urgentinė</w:t>
      </w:r>
      <w:proofErr w:type="spellEnd"/>
      <w:r w:rsidRPr="006A2591">
        <w:t xml:space="preserve"> būklė, kuri turi būti gydoma ligoninėje. Veiksmingiausia priemone, kuri pašalina laktatus ir </w:t>
      </w:r>
      <w:proofErr w:type="spellStart"/>
      <w:r w:rsidRPr="006A2591">
        <w:t>metforminą</w:t>
      </w:r>
      <w:proofErr w:type="spellEnd"/>
      <w:r w:rsidRPr="006A2591">
        <w:t xml:space="preserve"> iš organizmo, laikoma hemodializė.</w:t>
      </w:r>
    </w:p>
    <w:p w14:paraId="28F913E2" w14:textId="77777777" w:rsidR="00601C8B" w:rsidRPr="006A2591" w:rsidRDefault="00601C8B" w:rsidP="00E85904">
      <w:pPr>
        <w:pStyle w:val="BTEMEASMCA"/>
      </w:pPr>
    </w:p>
    <w:p w14:paraId="767C8A55" w14:textId="77777777" w:rsidR="00601C8B" w:rsidRPr="006A2591" w:rsidRDefault="00601C8B" w:rsidP="00E85904">
      <w:pPr>
        <w:pStyle w:val="BTEMEASMCA"/>
      </w:pPr>
    </w:p>
    <w:p w14:paraId="22D3D8CA" w14:textId="77777777" w:rsidR="00601C8B" w:rsidRPr="006A2591" w:rsidRDefault="00601C8B" w:rsidP="00601C8B">
      <w:pPr>
        <w:pStyle w:val="PI-1EMEASMCA"/>
        <w:outlineLvl w:val="9"/>
      </w:pPr>
      <w:r w:rsidRPr="006A2591">
        <w:t>5.</w:t>
      </w:r>
      <w:r w:rsidRPr="006A2591">
        <w:tab/>
        <w:t>FARMAKOLOGINĖS SAVYBĖS</w:t>
      </w:r>
    </w:p>
    <w:p w14:paraId="3430853D" w14:textId="77777777" w:rsidR="00601C8B" w:rsidRPr="006A2591" w:rsidRDefault="00601C8B" w:rsidP="00601C8B">
      <w:pPr>
        <w:pStyle w:val="Pagrindinistekstas"/>
        <w:spacing w:after="0"/>
        <w:rPr>
          <w:b/>
          <w:szCs w:val="22"/>
        </w:rPr>
      </w:pPr>
    </w:p>
    <w:p w14:paraId="4474566B" w14:textId="77777777" w:rsidR="00601C8B" w:rsidRPr="006A2591" w:rsidRDefault="00601C8B" w:rsidP="00601C8B">
      <w:pPr>
        <w:pStyle w:val="PI-2EMEASMCA"/>
        <w:outlineLvl w:val="9"/>
      </w:pPr>
      <w:r w:rsidRPr="006A2591">
        <w:t>5.1</w:t>
      </w:r>
      <w:r w:rsidRPr="006A2591">
        <w:tab/>
      </w:r>
      <w:proofErr w:type="spellStart"/>
      <w:r w:rsidRPr="006A2591">
        <w:t>Farmakodinaminės</w:t>
      </w:r>
      <w:proofErr w:type="spellEnd"/>
      <w:r w:rsidRPr="006A2591">
        <w:t xml:space="preserve"> savybės</w:t>
      </w:r>
    </w:p>
    <w:p w14:paraId="3E2417DE" w14:textId="77777777" w:rsidR="00601C8B" w:rsidRPr="006A2591" w:rsidRDefault="00601C8B" w:rsidP="00E85904">
      <w:pPr>
        <w:pStyle w:val="BTEMEASMCA"/>
      </w:pPr>
    </w:p>
    <w:p w14:paraId="09B4870E" w14:textId="77777777" w:rsidR="00601C8B" w:rsidRPr="006A2591" w:rsidRDefault="00601C8B" w:rsidP="00601C8B">
      <w:pPr>
        <w:pStyle w:val="Betarp"/>
        <w:rPr>
          <w:rFonts w:ascii="Times New Roman" w:hAnsi="Times New Roman"/>
        </w:rPr>
      </w:pPr>
      <w:proofErr w:type="spellStart"/>
      <w:r w:rsidRPr="006A2591">
        <w:rPr>
          <w:rFonts w:ascii="Times New Roman" w:hAnsi="Times New Roman"/>
        </w:rPr>
        <w:t>Farmakoterapinė</w:t>
      </w:r>
      <w:proofErr w:type="spellEnd"/>
      <w:r w:rsidRPr="006A2591">
        <w:rPr>
          <w:rFonts w:ascii="Times New Roman" w:hAnsi="Times New Roman"/>
        </w:rPr>
        <w:t xml:space="preserve"> grupė: </w:t>
      </w:r>
      <w:r>
        <w:rPr>
          <w:rFonts w:ascii="Times New Roman" w:hAnsi="Times New Roman"/>
        </w:rPr>
        <w:t>geriamieji</w:t>
      </w:r>
      <w:r w:rsidRPr="006A2591">
        <w:rPr>
          <w:rFonts w:ascii="Times New Roman" w:hAnsi="Times New Roman"/>
        </w:rPr>
        <w:t xml:space="preserve"> gliukozės kiekį kraujyje</w:t>
      </w:r>
      <w:r>
        <w:rPr>
          <w:rFonts w:ascii="Times New Roman" w:hAnsi="Times New Roman"/>
        </w:rPr>
        <w:t xml:space="preserve"> mažinantys vaistiniai preparatai</w:t>
      </w:r>
      <w:r w:rsidRPr="006A2591">
        <w:rPr>
          <w:rFonts w:ascii="Times New Roman" w:hAnsi="Times New Roman"/>
        </w:rPr>
        <w:t xml:space="preserve">, </w:t>
      </w:r>
      <w:proofErr w:type="spellStart"/>
      <w:r w:rsidRPr="006A2591">
        <w:rPr>
          <w:rFonts w:ascii="Times New Roman" w:hAnsi="Times New Roman"/>
        </w:rPr>
        <w:t>biguanidai</w:t>
      </w:r>
      <w:proofErr w:type="spellEnd"/>
      <w:r w:rsidRPr="006A2591">
        <w:rPr>
          <w:rFonts w:ascii="Times New Roman" w:hAnsi="Times New Roman"/>
        </w:rPr>
        <w:t>, ATC kodas: A10BA02.</w:t>
      </w:r>
    </w:p>
    <w:p w14:paraId="6DADCAAC" w14:textId="77777777" w:rsidR="00601C8B" w:rsidRPr="006A2591" w:rsidRDefault="00601C8B" w:rsidP="00601C8B">
      <w:pPr>
        <w:pStyle w:val="Betarp"/>
        <w:rPr>
          <w:rFonts w:ascii="Times New Roman" w:hAnsi="Times New Roman"/>
        </w:rPr>
      </w:pPr>
    </w:p>
    <w:p w14:paraId="3F45173B" w14:textId="77777777"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yra </w:t>
      </w:r>
      <w:proofErr w:type="spellStart"/>
      <w:r w:rsidRPr="006A2591">
        <w:rPr>
          <w:rFonts w:ascii="Times New Roman" w:hAnsi="Times New Roman"/>
        </w:rPr>
        <w:t>biguanidų</w:t>
      </w:r>
      <w:proofErr w:type="spellEnd"/>
      <w:r w:rsidRPr="006A2591">
        <w:rPr>
          <w:rFonts w:ascii="Times New Roman" w:hAnsi="Times New Roman"/>
        </w:rPr>
        <w:t xml:space="preserve"> grupės vaistas, pasižymintis </w:t>
      </w:r>
      <w:r>
        <w:rPr>
          <w:rFonts w:ascii="Times New Roman" w:hAnsi="Times New Roman"/>
        </w:rPr>
        <w:t>gliukozės kiekį kraujyje mažinančiu</w:t>
      </w:r>
      <w:r w:rsidRPr="006A2591">
        <w:rPr>
          <w:rFonts w:ascii="Times New Roman" w:hAnsi="Times New Roman"/>
        </w:rPr>
        <w:t xml:space="preserve"> poveikiu: jis mažina tiek bazinę (alkio)</w:t>
      </w:r>
      <w:r w:rsidRPr="00D60D82">
        <w:rPr>
          <w:rFonts w:ascii="Times New Roman" w:hAnsi="Times New Roman"/>
        </w:rPr>
        <w:t xml:space="preserve"> </w:t>
      </w:r>
      <w:r w:rsidRPr="006A2591">
        <w:rPr>
          <w:rFonts w:ascii="Times New Roman" w:hAnsi="Times New Roman"/>
        </w:rPr>
        <w:t>gliukozės koncentraciją, tiek ir gliukozės koncentraciją</w:t>
      </w:r>
      <w:r>
        <w:rPr>
          <w:rFonts w:ascii="Times New Roman" w:hAnsi="Times New Roman"/>
        </w:rPr>
        <w:t xml:space="preserve"> po valgio</w:t>
      </w:r>
      <w:r w:rsidRPr="006A2591">
        <w:rPr>
          <w:rFonts w:ascii="Times New Roman" w:hAnsi="Times New Roman"/>
        </w:rPr>
        <w:t>. Jis nestimuliuoja insulino sekrecijos</w:t>
      </w:r>
      <w:r>
        <w:rPr>
          <w:rFonts w:ascii="Times New Roman" w:hAnsi="Times New Roman"/>
        </w:rPr>
        <w:t>,</w:t>
      </w:r>
      <w:r w:rsidRPr="006A2591">
        <w:rPr>
          <w:rFonts w:ascii="Times New Roman" w:hAnsi="Times New Roman"/>
        </w:rPr>
        <w:t xml:space="preserve"> todėl nesukelia hipoglikemijos.</w:t>
      </w:r>
    </w:p>
    <w:p w14:paraId="5898F7E4" w14:textId="77777777" w:rsidR="00601C8B" w:rsidRPr="006A2591" w:rsidRDefault="00601C8B" w:rsidP="00601C8B">
      <w:pPr>
        <w:pStyle w:val="Betarp"/>
        <w:rPr>
          <w:rFonts w:ascii="Times New Roman" w:hAnsi="Times New Roman"/>
        </w:rPr>
      </w:pPr>
    </w:p>
    <w:p w14:paraId="7F6ACE46"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Veikimo mechanizmas</w:t>
      </w:r>
    </w:p>
    <w:p w14:paraId="3F785B93" w14:textId="77777777" w:rsidR="00601C8B" w:rsidRPr="006A2591" w:rsidRDefault="00601C8B" w:rsidP="00601C8B">
      <w:pPr>
        <w:pStyle w:val="Betarp"/>
        <w:rPr>
          <w:rFonts w:ascii="Times New Roman" w:hAnsi="Times New Roman"/>
        </w:rPr>
      </w:pPr>
    </w:p>
    <w:p w14:paraId="075DF1E5" w14:textId="77777777"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gali veikti trimis būdais:</w:t>
      </w:r>
    </w:p>
    <w:p w14:paraId="3A15895A" w14:textId="77777777" w:rsidR="00601C8B" w:rsidRPr="006A2591" w:rsidRDefault="00601C8B" w:rsidP="00601C8B">
      <w:pPr>
        <w:pStyle w:val="Betarp"/>
        <w:rPr>
          <w:rFonts w:ascii="Times New Roman" w:hAnsi="Times New Roman"/>
        </w:rPr>
      </w:pPr>
      <w:r w:rsidRPr="006A2591">
        <w:rPr>
          <w:rFonts w:ascii="Times New Roman" w:hAnsi="Times New Roman"/>
        </w:rPr>
        <w:t>1) mažin</w:t>
      </w:r>
      <w:r>
        <w:rPr>
          <w:rFonts w:ascii="Times New Roman" w:hAnsi="Times New Roman"/>
        </w:rPr>
        <w:t>a</w:t>
      </w:r>
      <w:r w:rsidRPr="006A2591">
        <w:rPr>
          <w:rFonts w:ascii="Times New Roman" w:hAnsi="Times New Roman"/>
        </w:rPr>
        <w:t xml:space="preserve"> gliukozės susidarymą kepenyse, slopindamas </w:t>
      </w:r>
      <w:proofErr w:type="spellStart"/>
      <w:r w:rsidRPr="006A2591">
        <w:rPr>
          <w:rFonts w:ascii="Times New Roman" w:hAnsi="Times New Roman"/>
        </w:rPr>
        <w:t>gliukoneogenezę</w:t>
      </w:r>
      <w:proofErr w:type="spellEnd"/>
      <w:r w:rsidRPr="006A2591">
        <w:rPr>
          <w:rFonts w:ascii="Times New Roman" w:hAnsi="Times New Roman"/>
        </w:rPr>
        <w:t xml:space="preserve"> ir </w:t>
      </w:r>
      <w:proofErr w:type="spellStart"/>
      <w:r w:rsidRPr="006A2591">
        <w:rPr>
          <w:rFonts w:ascii="Times New Roman" w:hAnsi="Times New Roman"/>
        </w:rPr>
        <w:t>glikogenolizę</w:t>
      </w:r>
      <w:proofErr w:type="spellEnd"/>
      <w:r w:rsidRPr="006A2591">
        <w:rPr>
          <w:rFonts w:ascii="Times New Roman" w:hAnsi="Times New Roman"/>
        </w:rPr>
        <w:t>,</w:t>
      </w:r>
    </w:p>
    <w:p w14:paraId="67430D25" w14:textId="77777777" w:rsidR="00601C8B" w:rsidRPr="006A2591" w:rsidRDefault="00601C8B" w:rsidP="00601C8B">
      <w:pPr>
        <w:pStyle w:val="Betarp"/>
        <w:rPr>
          <w:rFonts w:ascii="Times New Roman" w:hAnsi="Times New Roman"/>
        </w:rPr>
      </w:pPr>
      <w:r w:rsidRPr="006A2591">
        <w:rPr>
          <w:rFonts w:ascii="Times New Roman" w:hAnsi="Times New Roman"/>
        </w:rPr>
        <w:t>2) raumenyse didindamas jautrumą insulinui gerin</w:t>
      </w:r>
      <w:r>
        <w:rPr>
          <w:rFonts w:ascii="Times New Roman" w:hAnsi="Times New Roman"/>
        </w:rPr>
        <w:t>a</w:t>
      </w:r>
      <w:r w:rsidRPr="006A2591">
        <w:rPr>
          <w:rFonts w:ascii="Times New Roman" w:hAnsi="Times New Roman"/>
        </w:rPr>
        <w:t xml:space="preserve"> periferinį gliukozės įsisavinimą ir </w:t>
      </w:r>
      <w:r>
        <w:rPr>
          <w:rFonts w:ascii="Times New Roman" w:hAnsi="Times New Roman"/>
        </w:rPr>
        <w:t>panaudojimą</w:t>
      </w:r>
      <w:r w:rsidRPr="006A2591">
        <w:rPr>
          <w:rFonts w:ascii="Times New Roman" w:hAnsi="Times New Roman"/>
        </w:rPr>
        <w:t>,</w:t>
      </w:r>
    </w:p>
    <w:p w14:paraId="125C4146" w14:textId="77777777" w:rsidR="00601C8B" w:rsidRPr="006A2591" w:rsidRDefault="00601C8B" w:rsidP="00601C8B">
      <w:pPr>
        <w:pStyle w:val="Betarp"/>
        <w:rPr>
          <w:rFonts w:ascii="Times New Roman" w:hAnsi="Times New Roman"/>
        </w:rPr>
      </w:pPr>
      <w:r w:rsidRPr="006A2591">
        <w:rPr>
          <w:rFonts w:ascii="Times New Roman" w:hAnsi="Times New Roman"/>
        </w:rPr>
        <w:lastRenderedPageBreak/>
        <w:t>3) lėtin</w:t>
      </w:r>
      <w:r>
        <w:rPr>
          <w:rFonts w:ascii="Times New Roman" w:hAnsi="Times New Roman"/>
        </w:rPr>
        <w:t>a</w:t>
      </w:r>
      <w:r w:rsidRPr="006A2591">
        <w:rPr>
          <w:rFonts w:ascii="Times New Roman" w:hAnsi="Times New Roman"/>
        </w:rPr>
        <w:t xml:space="preserve"> gliukozės </w:t>
      </w:r>
      <w:r>
        <w:rPr>
          <w:rFonts w:ascii="Times New Roman" w:hAnsi="Times New Roman"/>
        </w:rPr>
        <w:t>absorbciją iš</w:t>
      </w:r>
      <w:r w:rsidRPr="006A2591">
        <w:rPr>
          <w:rFonts w:ascii="Times New Roman" w:hAnsi="Times New Roman"/>
        </w:rPr>
        <w:t xml:space="preserve"> žarnyn</w:t>
      </w:r>
      <w:r>
        <w:rPr>
          <w:rFonts w:ascii="Times New Roman" w:hAnsi="Times New Roman"/>
        </w:rPr>
        <w:t>o</w:t>
      </w:r>
      <w:r w:rsidRPr="006A2591">
        <w:rPr>
          <w:rFonts w:ascii="Times New Roman" w:hAnsi="Times New Roman"/>
        </w:rPr>
        <w:t>.</w:t>
      </w:r>
    </w:p>
    <w:p w14:paraId="7840E56E" w14:textId="77777777" w:rsidR="00601C8B" w:rsidRPr="006A2591" w:rsidRDefault="00601C8B" w:rsidP="00601C8B">
      <w:pPr>
        <w:pStyle w:val="Betarp"/>
        <w:rPr>
          <w:rFonts w:ascii="Times New Roman" w:hAnsi="Times New Roman"/>
        </w:rPr>
      </w:pPr>
    </w:p>
    <w:p w14:paraId="6CAEA658" w14:textId="77777777"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stimuliuoja glikogeno sintezę ląstelėje aktyvindamas glikogeno </w:t>
      </w:r>
      <w:proofErr w:type="spellStart"/>
      <w:r w:rsidRPr="006A2591">
        <w:rPr>
          <w:rFonts w:ascii="Times New Roman" w:hAnsi="Times New Roman"/>
        </w:rPr>
        <w:t>sintetazę</w:t>
      </w:r>
      <w:proofErr w:type="spellEnd"/>
      <w:r w:rsidRPr="006A2591">
        <w:rPr>
          <w:rFonts w:ascii="Times New Roman" w:hAnsi="Times New Roman"/>
        </w:rPr>
        <w:t xml:space="preserve">. Preparatas didina visų tipų membraninių gliukozės </w:t>
      </w:r>
      <w:r>
        <w:rPr>
          <w:rFonts w:ascii="Times New Roman" w:hAnsi="Times New Roman"/>
        </w:rPr>
        <w:t>nešiklių</w:t>
      </w:r>
      <w:r w:rsidRPr="006A2591">
        <w:rPr>
          <w:rFonts w:ascii="Times New Roman" w:hAnsi="Times New Roman"/>
        </w:rPr>
        <w:t>(</w:t>
      </w:r>
      <w:r w:rsidRPr="00D60D82">
        <w:rPr>
          <w:rFonts w:ascii="Times New Roman" w:hAnsi="Times New Roman"/>
        </w:rPr>
        <w:t xml:space="preserve"> </w:t>
      </w:r>
      <w:r>
        <w:rPr>
          <w:rFonts w:ascii="Times New Roman" w:hAnsi="Times New Roman"/>
        </w:rPr>
        <w:t xml:space="preserve">angl. </w:t>
      </w:r>
      <w:proofErr w:type="spellStart"/>
      <w:r w:rsidRPr="009527EB">
        <w:rPr>
          <w:rFonts w:ascii="Times New Roman" w:hAnsi="Times New Roman"/>
          <w:i/>
        </w:rPr>
        <w:t>glucose</w:t>
      </w:r>
      <w:proofErr w:type="spellEnd"/>
      <w:r w:rsidRPr="009527EB">
        <w:rPr>
          <w:rFonts w:ascii="Times New Roman" w:hAnsi="Times New Roman"/>
          <w:i/>
        </w:rPr>
        <w:t xml:space="preserve"> </w:t>
      </w:r>
      <w:proofErr w:type="spellStart"/>
      <w:r w:rsidRPr="009527EB">
        <w:rPr>
          <w:rFonts w:ascii="Times New Roman" w:hAnsi="Times New Roman"/>
          <w:i/>
        </w:rPr>
        <w:t>transporters</w:t>
      </w:r>
      <w:proofErr w:type="spellEnd"/>
      <w:r w:rsidRPr="009527EB">
        <w:rPr>
          <w:rFonts w:ascii="Times New Roman" w:hAnsi="Times New Roman"/>
        </w:rPr>
        <w:t>,</w:t>
      </w:r>
      <w:r w:rsidRPr="006A2591">
        <w:rPr>
          <w:rFonts w:ascii="Times New Roman" w:hAnsi="Times New Roman"/>
        </w:rPr>
        <w:t xml:space="preserve"> </w:t>
      </w:r>
      <w:r w:rsidRPr="00EE0B84">
        <w:rPr>
          <w:rFonts w:ascii="Times New Roman" w:hAnsi="Times New Roman"/>
          <w:i/>
          <w:iCs/>
        </w:rPr>
        <w:t>GLUT</w:t>
      </w:r>
      <w:r w:rsidRPr="006A2591">
        <w:rPr>
          <w:rFonts w:ascii="Times New Roman" w:hAnsi="Times New Roman"/>
        </w:rPr>
        <w:t>) pajėgumą.</w:t>
      </w:r>
    </w:p>
    <w:p w14:paraId="033061B4" w14:textId="77777777" w:rsidR="00601C8B" w:rsidRPr="006A2591" w:rsidRDefault="00601C8B" w:rsidP="00601C8B">
      <w:pPr>
        <w:pStyle w:val="Betarp"/>
        <w:rPr>
          <w:rFonts w:ascii="Times New Roman" w:hAnsi="Times New Roman"/>
        </w:rPr>
      </w:pPr>
    </w:p>
    <w:p w14:paraId="7220E0DF" w14:textId="77777777" w:rsidR="00601C8B" w:rsidRPr="006A2591" w:rsidRDefault="00601C8B" w:rsidP="00601C8B">
      <w:pPr>
        <w:pStyle w:val="Betarp"/>
        <w:rPr>
          <w:rFonts w:ascii="Times New Roman" w:hAnsi="Times New Roman"/>
          <w:u w:val="single"/>
        </w:rPr>
      </w:pPr>
      <w:proofErr w:type="spellStart"/>
      <w:r w:rsidRPr="006A2591">
        <w:rPr>
          <w:rFonts w:ascii="Times New Roman" w:hAnsi="Times New Roman"/>
          <w:u w:val="single"/>
        </w:rPr>
        <w:t>Farmakodinamini</w:t>
      </w:r>
      <w:r>
        <w:rPr>
          <w:rFonts w:ascii="Times New Roman" w:hAnsi="Times New Roman"/>
          <w:u w:val="single"/>
        </w:rPr>
        <w:t>s</w:t>
      </w:r>
      <w:proofErr w:type="spellEnd"/>
      <w:r>
        <w:rPr>
          <w:rFonts w:ascii="Times New Roman" w:hAnsi="Times New Roman"/>
          <w:u w:val="single"/>
        </w:rPr>
        <w:t xml:space="preserve"> poveikis</w:t>
      </w:r>
    </w:p>
    <w:p w14:paraId="725FCAD7" w14:textId="77777777" w:rsidR="00601C8B" w:rsidRPr="006A2591" w:rsidRDefault="00601C8B" w:rsidP="00601C8B">
      <w:pPr>
        <w:pStyle w:val="Betarp"/>
        <w:rPr>
          <w:rFonts w:ascii="Times New Roman" w:hAnsi="Times New Roman"/>
          <w:u w:val="single"/>
        </w:rPr>
      </w:pPr>
    </w:p>
    <w:p w14:paraId="5FF58660" w14:textId="77777777" w:rsidR="00601C8B" w:rsidRPr="006A2591" w:rsidRDefault="00601C8B" w:rsidP="00601C8B">
      <w:pPr>
        <w:pStyle w:val="Betarp"/>
        <w:rPr>
          <w:rFonts w:ascii="Times New Roman" w:hAnsi="Times New Roman"/>
        </w:rPr>
      </w:pPr>
      <w:r>
        <w:rPr>
          <w:rFonts w:ascii="Times New Roman" w:hAnsi="Times New Roman"/>
        </w:rPr>
        <w:t xml:space="preserve">Klinikinių tyrimų metu vartojant </w:t>
      </w:r>
      <w:proofErr w:type="spellStart"/>
      <w:r>
        <w:rPr>
          <w:rFonts w:ascii="Times New Roman" w:hAnsi="Times New Roman"/>
        </w:rPr>
        <w:t>metformino</w:t>
      </w:r>
      <w:proofErr w:type="spellEnd"/>
      <w:r>
        <w:rPr>
          <w:rFonts w:ascii="Times New Roman" w:hAnsi="Times New Roman"/>
        </w:rPr>
        <w:t xml:space="preserve"> kūno masė nekito arba nedaug sumažėjo.</w:t>
      </w:r>
    </w:p>
    <w:p w14:paraId="6930FCD8" w14:textId="77777777" w:rsidR="00601C8B" w:rsidRPr="006A2591" w:rsidRDefault="00601C8B" w:rsidP="00601C8B">
      <w:pPr>
        <w:pStyle w:val="Betarp"/>
        <w:rPr>
          <w:rFonts w:ascii="Times New Roman" w:hAnsi="Times New Roman"/>
        </w:rPr>
      </w:pPr>
    </w:p>
    <w:p w14:paraId="1760E0DC" w14:textId="6AB0A4EF" w:rsidR="00601C8B" w:rsidRPr="006A2591" w:rsidRDefault="00601C8B" w:rsidP="00601C8B">
      <w:pPr>
        <w:pStyle w:val="Betarp"/>
        <w:rPr>
          <w:rFonts w:ascii="Times New Roman" w:hAnsi="Times New Roman"/>
        </w:rPr>
      </w:pPr>
      <w:r w:rsidRPr="006A2591">
        <w:rPr>
          <w:rFonts w:ascii="Times New Roman" w:hAnsi="Times New Roman"/>
        </w:rPr>
        <w:t xml:space="preserve">Žmogaus organizme, </w:t>
      </w:r>
      <w:proofErr w:type="spellStart"/>
      <w:r w:rsidRPr="006A2591">
        <w:rPr>
          <w:rFonts w:ascii="Times New Roman" w:hAnsi="Times New Roman"/>
        </w:rPr>
        <w:t>metforminas</w:t>
      </w:r>
      <w:proofErr w:type="spellEnd"/>
      <w:r w:rsidRPr="006A2591">
        <w:rPr>
          <w:rFonts w:ascii="Times New Roman" w:hAnsi="Times New Roman"/>
        </w:rPr>
        <w:t xml:space="preserve"> nepriklausomai nuo jo poveikio </w:t>
      </w:r>
      <w:proofErr w:type="spellStart"/>
      <w:r w:rsidRPr="006A2591">
        <w:rPr>
          <w:rFonts w:ascii="Times New Roman" w:hAnsi="Times New Roman"/>
        </w:rPr>
        <w:t>glikemijai</w:t>
      </w:r>
      <w:proofErr w:type="spellEnd"/>
      <w:r w:rsidRPr="006A2591">
        <w:rPr>
          <w:rFonts w:ascii="Times New Roman" w:hAnsi="Times New Roman"/>
        </w:rPr>
        <w:t>, pasižymi palankiu poveikiu lipidų apykaitai. Kontroliuojamais vidutinės ir ilgos trukmės klinikiniais tyrimais įrodyta, kad,</w:t>
      </w:r>
      <w:r w:rsidRPr="006D4279">
        <w:rPr>
          <w:rFonts w:ascii="Times New Roman" w:hAnsi="Times New Roman"/>
        </w:rPr>
        <w:t xml:space="preserve"> </w:t>
      </w:r>
      <w:r>
        <w:rPr>
          <w:rFonts w:ascii="Times New Roman" w:hAnsi="Times New Roman"/>
        </w:rPr>
        <w:t>greito atp</w:t>
      </w:r>
      <w:r w:rsidR="009C6E4E">
        <w:rPr>
          <w:rFonts w:ascii="Times New Roman" w:hAnsi="Times New Roman"/>
        </w:rPr>
        <w:t>a</w:t>
      </w:r>
      <w:r>
        <w:rPr>
          <w:rFonts w:ascii="Times New Roman" w:hAnsi="Times New Roman"/>
        </w:rPr>
        <w:t>laidavimo</w:t>
      </w:r>
      <w:r w:rsidRPr="006A2591">
        <w:rPr>
          <w:rFonts w:ascii="Times New Roman" w:hAnsi="Times New Roman"/>
        </w:rPr>
        <w:t xml:space="preserve"> </w:t>
      </w:r>
      <w:proofErr w:type="spellStart"/>
      <w:r w:rsidRPr="006A2591">
        <w:rPr>
          <w:rFonts w:ascii="Times New Roman" w:hAnsi="Times New Roman"/>
        </w:rPr>
        <w:t>metformino</w:t>
      </w:r>
      <w:proofErr w:type="spellEnd"/>
      <w:r w:rsidRPr="006A2591">
        <w:rPr>
          <w:rFonts w:ascii="Times New Roman" w:hAnsi="Times New Roman"/>
        </w:rPr>
        <w:t xml:space="preserve"> terapinės dozės mažina bendrojo cholesterolio, mažo tankio lipoproteinų cholesterolio (MTL) ir trigliceridų kiekį kraujo plazmoje.</w:t>
      </w:r>
      <w:r w:rsidRPr="006D4279">
        <w:rPr>
          <w:rFonts w:ascii="Times New Roman" w:hAnsi="Times New Roman"/>
        </w:rPr>
        <w:t xml:space="preserve"> </w:t>
      </w:r>
      <w:r>
        <w:rPr>
          <w:rFonts w:ascii="Times New Roman" w:hAnsi="Times New Roman"/>
        </w:rPr>
        <w:t>Panašus</w:t>
      </w:r>
      <w:r w:rsidRPr="006A2591">
        <w:rPr>
          <w:rFonts w:ascii="Times New Roman" w:hAnsi="Times New Roman"/>
        </w:rPr>
        <w:t xml:space="preserve"> poveikis pailginto atpalaidavimo </w:t>
      </w:r>
      <w:proofErr w:type="spellStart"/>
      <w:r w:rsidRPr="006A2591">
        <w:rPr>
          <w:rFonts w:ascii="Times New Roman" w:hAnsi="Times New Roman"/>
        </w:rPr>
        <w:t>metforminui</w:t>
      </w:r>
      <w:proofErr w:type="spellEnd"/>
      <w:r w:rsidRPr="006A2591">
        <w:rPr>
          <w:rFonts w:ascii="Times New Roman" w:hAnsi="Times New Roman"/>
        </w:rPr>
        <w:t xml:space="preserve"> nebuvo </w:t>
      </w:r>
      <w:r>
        <w:rPr>
          <w:rFonts w:ascii="Times New Roman" w:hAnsi="Times New Roman"/>
        </w:rPr>
        <w:t>įrodytas</w:t>
      </w:r>
      <w:r w:rsidRPr="006A2591">
        <w:rPr>
          <w:rFonts w:ascii="Times New Roman" w:hAnsi="Times New Roman"/>
        </w:rPr>
        <w:t>, greičiausia</w:t>
      </w:r>
      <w:r>
        <w:rPr>
          <w:rFonts w:ascii="Times New Roman" w:hAnsi="Times New Roman"/>
        </w:rPr>
        <w:t>i</w:t>
      </w:r>
      <w:r w:rsidRPr="006A2591">
        <w:rPr>
          <w:rFonts w:ascii="Times New Roman" w:hAnsi="Times New Roman"/>
        </w:rPr>
        <w:t>, dėl vartojimo vakare; trigliceridų koncentracija gali padidėti.</w:t>
      </w:r>
    </w:p>
    <w:p w14:paraId="7A9F0B18" w14:textId="77777777" w:rsidR="00601C8B" w:rsidRPr="006A2591" w:rsidRDefault="00601C8B" w:rsidP="00601C8B">
      <w:pPr>
        <w:pStyle w:val="Betarp"/>
        <w:rPr>
          <w:rFonts w:ascii="Times New Roman" w:hAnsi="Times New Roman"/>
        </w:rPr>
      </w:pPr>
    </w:p>
    <w:p w14:paraId="42799A3E"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Klinikinis veiksmingumas</w:t>
      </w:r>
    </w:p>
    <w:p w14:paraId="275BFB5E" w14:textId="0E7F427A" w:rsidR="00634DA6" w:rsidRPr="00EE0B84" w:rsidRDefault="00634DA6" w:rsidP="00EE0B84">
      <w:pPr>
        <w:pStyle w:val="Betarp"/>
        <w:keepNext/>
        <w:rPr>
          <w:rFonts w:ascii="Times New Roman" w:hAnsi="Times New Roman"/>
          <w:i/>
        </w:rPr>
      </w:pPr>
    </w:p>
    <w:p w14:paraId="03718071" w14:textId="77777777" w:rsidR="00634DA6" w:rsidRPr="006A2591" w:rsidRDefault="00634DA6" w:rsidP="00601C8B">
      <w:pPr>
        <w:pStyle w:val="Betarp"/>
        <w:rPr>
          <w:rFonts w:ascii="Times New Roman" w:hAnsi="Times New Roman"/>
        </w:rPr>
      </w:pPr>
    </w:p>
    <w:p w14:paraId="1C16A386" w14:textId="1040C751" w:rsidR="00601C8B" w:rsidRDefault="00601C8B" w:rsidP="00601C8B">
      <w:pPr>
        <w:pStyle w:val="Betarp"/>
        <w:rPr>
          <w:rFonts w:ascii="Times New Roman" w:hAnsi="Times New Roman"/>
        </w:rPr>
      </w:pPr>
      <w:r w:rsidRPr="006A2591">
        <w:rPr>
          <w:rFonts w:ascii="Times New Roman" w:hAnsi="Times New Roman"/>
        </w:rPr>
        <w:t>P</w:t>
      </w:r>
      <w:r w:rsidR="0031493B">
        <w:rPr>
          <w:rFonts w:ascii="Times New Roman" w:hAnsi="Times New Roman"/>
        </w:rPr>
        <w:t>e</w:t>
      </w:r>
      <w:r w:rsidRPr="006A2591">
        <w:rPr>
          <w:rFonts w:ascii="Times New Roman" w:hAnsi="Times New Roman"/>
        </w:rPr>
        <w:t>rspektyv</w:t>
      </w:r>
      <w:r w:rsidR="0031493B">
        <w:rPr>
          <w:rFonts w:ascii="Times New Roman" w:hAnsi="Times New Roman"/>
        </w:rPr>
        <w:t>usis</w:t>
      </w:r>
      <w:r w:rsidRPr="006A2591">
        <w:rPr>
          <w:rFonts w:ascii="Times New Roman" w:hAnsi="Times New Roman"/>
        </w:rPr>
        <w:t xml:space="preserve"> atsitiktinių imčių tyrimas (UKPDS) nustatė ilgalaikį </w:t>
      </w:r>
      <w:r w:rsidR="002B36A2">
        <w:rPr>
          <w:rFonts w:ascii="Times New Roman" w:hAnsi="Times New Roman"/>
        </w:rPr>
        <w:t>palankų</w:t>
      </w:r>
      <w:r w:rsidR="002B36A2" w:rsidRPr="006A2591">
        <w:rPr>
          <w:rFonts w:ascii="Times New Roman" w:hAnsi="Times New Roman"/>
        </w:rPr>
        <w:t xml:space="preserve"> </w:t>
      </w:r>
      <w:r w:rsidRPr="006A2591">
        <w:rPr>
          <w:rFonts w:ascii="Times New Roman" w:hAnsi="Times New Roman"/>
        </w:rPr>
        <w:t xml:space="preserve">greito atpalaidavimo </w:t>
      </w:r>
      <w:proofErr w:type="spellStart"/>
      <w:r w:rsidRPr="006A2591">
        <w:rPr>
          <w:rFonts w:ascii="Times New Roman" w:hAnsi="Times New Roman"/>
        </w:rPr>
        <w:t>metformino</w:t>
      </w:r>
      <w:proofErr w:type="spellEnd"/>
      <w:r w:rsidRPr="006A2591">
        <w:rPr>
          <w:rFonts w:ascii="Times New Roman" w:hAnsi="Times New Roman"/>
        </w:rPr>
        <w:t xml:space="preserve"> poveikį gliukozės kiekiui kraujyje antsvor</w:t>
      </w:r>
      <w:r w:rsidR="002B36A2">
        <w:rPr>
          <w:rFonts w:ascii="Times New Roman" w:hAnsi="Times New Roman"/>
        </w:rPr>
        <w:t>io</w:t>
      </w:r>
      <w:r w:rsidRPr="006A2591">
        <w:rPr>
          <w:rFonts w:ascii="Times New Roman" w:hAnsi="Times New Roman"/>
        </w:rPr>
        <w:t xml:space="preserve"> </w:t>
      </w:r>
      <w:r w:rsidR="002B36A2" w:rsidRPr="006A2591">
        <w:rPr>
          <w:rFonts w:ascii="Times New Roman" w:hAnsi="Times New Roman"/>
        </w:rPr>
        <w:t xml:space="preserve">turintiems sergantiesiems </w:t>
      </w:r>
      <w:r w:rsidRPr="006A2591">
        <w:rPr>
          <w:rFonts w:ascii="Times New Roman" w:hAnsi="Times New Roman"/>
        </w:rPr>
        <w:t>II tipo cukriniu diabetu, kai gydymas tik dieta buvo neveiksmingas</w:t>
      </w:r>
      <w:r w:rsidR="000549C2">
        <w:rPr>
          <w:rFonts w:ascii="Times New Roman" w:hAnsi="Times New Roman"/>
        </w:rPr>
        <w:t>.</w:t>
      </w:r>
    </w:p>
    <w:p w14:paraId="387B2D17" w14:textId="77777777" w:rsidR="000549C2" w:rsidRPr="006A2591" w:rsidRDefault="000549C2" w:rsidP="00601C8B">
      <w:pPr>
        <w:pStyle w:val="Betarp"/>
        <w:rPr>
          <w:rFonts w:ascii="Times New Roman" w:hAnsi="Times New Roman"/>
        </w:rPr>
      </w:pPr>
    </w:p>
    <w:p w14:paraId="2B8C1D47" w14:textId="33DFB426" w:rsidR="00601C8B" w:rsidRPr="006A2591" w:rsidRDefault="000549C2" w:rsidP="00EE0B84">
      <w:pPr>
        <w:pStyle w:val="Betarp"/>
        <w:numPr>
          <w:ilvl w:val="0"/>
          <w:numId w:val="7"/>
        </w:numPr>
        <w:ind w:left="567" w:hanging="567"/>
        <w:rPr>
          <w:rFonts w:ascii="Times New Roman" w:hAnsi="Times New Roman"/>
        </w:rPr>
      </w:pPr>
      <w:proofErr w:type="spellStart"/>
      <w:r>
        <w:rPr>
          <w:rFonts w:ascii="Times New Roman" w:hAnsi="Times New Roman"/>
        </w:rPr>
        <w:t>M</w:t>
      </w:r>
      <w:r w:rsidR="00601C8B" w:rsidRPr="006A2591">
        <w:rPr>
          <w:rFonts w:ascii="Times New Roman" w:hAnsi="Times New Roman"/>
        </w:rPr>
        <w:t>etforminą</w:t>
      </w:r>
      <w:proofErr w:type="spellEnd"/>
      <w:r w:rsidR="00601C8B" w:rsidRPr="006A2591">
        <w:rPr>
          <w:rFonts w:ascii="Times New Roman" w:hAnsi="Times New Roman"/>
        </w:rPr>
        <w:t xml:space="preserve"> vartojusių pacientų grupėje reikšmingai sumažėjo bet kokių su cukriniu diabetu susijusių komplikacijų absoliuti rizika (29,8 atvejo</w:t>
      </w:r>
      <w:r>
        <w:rPr>
          <w:rFonts w:ascii="Times New Roman" w:hAnsi="Times New Roman"/>
        </w:rPr>
        <w:t xml:space="preserve"> </w:t>
      </w:r>
      <w:r w:rsidR="00601C8B" w:rsidRPr="006A2591">
        <w:rPr>
          <w:rFonts w:ascii="Times New Roman" w:hAnsi="Times New Roman"/>
        </w:rPr>
        <w:t>/</w:t>
      </w:r>
      <w:r>
        <w:rPr>
          <w:rFonts w:ascii="Times New Roman" w:hAnsi="Times New Roman"/>
        </w:rPr>
        <w:t xml:space="preserve"> </w:t>
      </w:r>
      <w:r w:rsidR="00601C8B" w:rsidRPr="006A2591">
        <w:rPr>
          <w:rFonts w:ascii="Times New Roman" w:hAnsi="Times New Roman"/>
        </w:rPr>
        <w:t>1</w:t>
      </w:r>
      <w:r>
        <w:rPr>
          <w:rFonts w:ascii="Times New Roman" w:hAnsi="Times New Roman"/>
        </w:rPr>
        <w:t> </w:t>
      </w:r>
      <w:r w:rsidR="00601C8B" w:rsidRPr="006A2591">
        <w:rPr>
          <w:rFonts w:ascii="Times New Roman" w:hAnsi="Times New Roman"/>
        </w:rPr>
        <w:t>000 pacientų metų), palyginti su gydytų tik dieta pacientų grupe (43,3 atvejo</w:t>
      </w:r>
      <w:r>
        <w:rPr>
          <w:rFonts w:ascii="Times New Roman" w:hAnsi="Times New Roman"/>
        </w:rPr>
        <w:t xml:space="preserve"> </w:t>
      </w:r>
      <w:r w:rsidR="00601C8B" w:rsidRPr="006A2591">
        <w:rPr>
          <w:rFonts w:ascii="Times New Roman" w:hAnsi="Times New Roman"/>
        </w:rPr>
        <w:t>/</w:t>
      </w:r>
      <w:r>
        <w:rPr>
          <w:rFonts w:ascii="Times New Roman" w:hAnsi="Times New Roman"/>
        </w:rPr>
        <w:t xml:space="preserve"> </w:t>
      </w:r>
      <w:r w:rsidR="00601C8B" w:rsidRPr="006A2591">
        <w:rPr>
          <w:rFonts w:ascii="Times New Roman" w:hAnsi="Times New Roman"/>
        </w:rPr>
        <w:t>1</w:t>
      </w:r>
      <w:r>
        <w:rPr>
          <w:rFonts w:ascii="Times New Roman" w:hAnsi="Times New Roman"/>
        </w:rPr>
        <w:t> </w:t>
      </w:r>
      <w:r w:rsidR="00601C8B" w:rsidRPr="006A2591">
        <w:rPr>
          <w:rFonts w:ascii="Times New Roman" w:hAnsi="Times New Roman"/>
        </w:rPr>
        <w:t>000 pacientų met</w:t>
      </w:r>
      <w:r w:rsidR="00601C8B">
        <w:rPr>
          <w:rFonts w:ascii="Times New Roman" w:hAnsi="Times New Roman"/>
        </w:rPr>
        <w:t>ų),</w:t>
      </w:r>
      <w:r w:rsidR="00601C8B" w:rsidRPr="006A2591">
        <w:rPr>
          <w:rFonts w:ascii="Times New Roman" w:hAnsi="Times New Roman"/>
        </w:rPr>
        <w:t xml:space="preserve"> p</w:t>
      </w:r>
      <w:r>
        <w:rPr>
          <w:rFonts w:ascii="Times New Roman" w:hAnsi="Times New Roman"/>
        </w:rPr>
        <w:t> </w:t>
      </w:r>
      <w:r w:rsidR="00601C8B" w:rsidRPr="006A2591">
        <w:rPr>
          <w:rFonts w:ascii="Times New Roman" w:hAnsi="Times New Roman"/>
        </w:rPr>
        <w:t>=</w:t>
      </w:r>
      <w:r>
        <w:rPr>
          <w:rFonts w:ascii="Times New Roman" w:hAnsi="Times New Roman"/>
        </w:rPr>
        <w:t> </w:t>
      </w:r>
      <w:r w:rsidR="00601C8B" w:rsidRPr="006A2591">
        <w:rPr>
          <w:rFonts w:ascii="Times New Roman" w:hAnsi="Times New Roman"/>
        </w:rPr>
        <w:t xml:space="preserve">0,0023 arba su gydytų </w:t>
      </w:r>
      <w:proofErr w:type="spellStart"/>
      <w:r w:rsidR="00601C8B">
        <w:rPr>
          <w:rFonts w:ascii="Times New Roman" w:hAnsi="Times New Roman"/>
        </w:rPr>
        <w:t>sulfonilurėjos</w:t>
      </w:r>
      <w:proofErr w:type="spellEnd"/>
      <w:r w:rsidR="00601C8B" w:rsidRPr="006A2591">
        <w:rPr>
          <w:rFonts w:ascii="Times New Roman" w:hAnsi="Times New Roman"/>
        </w:rPr>
        <w:t xml:space="preserve"> preparatais ar </w:t>
      </w:r>
      <w:r w:rsidR="00601C8B">
        <w:rPr>
          <w:rFonts w:ascii="Times New Roman" w:hAnsi="Times New Roman"/>
        </w:rPr>
        <w:t xml:space="preserve">tik </w:t>
      </w:r>
      <w:r w:rsidR="00601C8B" w:rsidRPr="006A2591">
        <w:rPr>
          <w:rFonts w:ascii="Times New Roman" w:hAnsi="Times New Roman"/>
        </w:rPr>
        <w:t>insulinu pacientų grupėmis (40,1 atvejo</w:t>
      </w:r>
      <w:r>
        <w:rPr>
          <w:rFonts w:ascii="Times New Roman" w:hAnsi="Times New Roman"/>
        </w:rPr>
        <w:t xml:space="preserve"> </w:t>
      </w:r>
      <w:r w:rsidR="00601C8B" w:rsidRPr="006A2591">
        <w:rPr>
          <w:rFonts w:ascii="Times New Roman" w:hAnsi="Times New Roman"/>
        </w:rPr>
        <w:t>/</w:t>
      </w:r>
      <w:r>
        <w:rPr>
          <w:rFonts w:ascii="Times New Roman" w:hAnsi="Times New Roman"/>
        </w:rPr>
        <w:t xml:space="preserve"> </w:t>
      </w:r>
      <w:r w:rsidR="00601C8B" w:rsidRPr="006A2591">
        <w:rPr>
          <w:rFonts w:ascii="Times New Roman" w:hAnsi="Times New Roman"/>
        </w:rPr>
        <w:t>1</w:t>
      </w:r>
      <w:r>
        <w:rPr>
          <w:rFonts w:ascii="Times New Roman" w:hAnsi="Times New Roman"/>
        </w:rPr>
        <w:t> </w:t>
      </w:r>
      <w:r w:rsidR="00601C8B" w:rsidRPr="006A2591">
        <w:rPr>
          <w:rFonts w:ascii="Times New Roman" w:hAnsi="Times New Roman"/>
        </w:rPr>
        <w:t>000 pacientų metų</w:t>
      </w:r>
      <w:r w:rsidR="00601C8B">
        <w:rPr>
          <w:rFonts w:ascii="Times New Roman" w:hAnsi="Times New Roman"/>
        </w:rPr>
        <w:t>)</w:t>
      </w:r>
      <w:r w:rsidR="00601C8B" w:rsidRPr="006A2591">
        <w:rPr>
          <w:rFonts w:ascii="Times New Roman" w:hAnsi="Times New Roman"/>
        </w:rPr>
        <w:t>, p</w:t>
      </w:r>
      <w:r>
        <w:rPr>
          <w:rFonts w:ascii="Times New Roman" w:hAnsi="Times New Roman"/>
        </w:rPr>
        <w:t> </w:t>
      </w:r>
      <w:r w:rsidR="00601C8B" w:rsidRPr="006A2591">
        <w:rPr>
          <w:rFonts w:ascii="Times New Roman" w:hAnsi="Times New Roman"/>
        </w:rPr>
        <w:t>=</w:t>
      </w:r>
      <w:r>
        <w:rPr>
          <w:rFonts w:ascii="Times New Roman" w:hAnsi="Times New Roman"/>
        </w:rPr>
        <w:t> </w:t>
      </w:r>
      <w:r w:rsidR="00601C8B" w:rsidRPr="006A2591">
        <w:rPr>
          <w:rFonts w:ascii="Times New Roman" w:hAnsi="Times New Roman"/>
        </w:rPr>
        <w:t>0,0034</w:t>
      </w:r>
      <w:r>
        <w:rPr>
          <w:rFonts w:ascii="Times New Roman" w:hAnsi="Times New Roman"/>
        </w:rPr>
        <w:t>.</w:t>
      </w:r>
    </w:p>
    <w:p w14:paraId="394BFF37" w14:textId="5E3D936F" w:rsidR="00601C8B" w:rsidRPr="006A2591" w:rsidRDefault="000549C2" w:rsidP="00EE0B84">
      <w:pPr>
        <w:pStyle w:val="Betarp"/>
        <w:numPr>
          <w:ilvl w:val="0"/>
          <w:numId w:val="7"/>
        </w:numPr>
        <w:ind w:left="567" w:hanging="567"/>
        <w:rPr>
          <w:rFonts w:ascii="Times New Roman" w:hAnsi="Times New Roman"/>
        </w:rPr>
      </w:pPr>
      <w:r>
        <w:rPr>
          <w:rFonts w:ascii="Times New Roman" w:hAnsi="Times New Roman"/>
        </w:rPr>
        <w:t>R</w:t>
      </w:r>
      <w:r w:rsidR="00601C8B" w:rsidRPr="006A2591">
        <w:rPr>
          <w:rFonts w:ascii="Times New Roman" w:hAnsi="Times New Roman"/>
        </w:rPr>
        <w:t xml:space="preserve">eikšmingai sumažėjo su diabetu susijusio mirtingumo absoliuti rizika: gydytų </w:t>
      </w:r>
      <w:proofErr w:type="spellStart"/>
      <w:r w:rsidR="00601C8B" w:rsidRPr="006A2591">
        <w:rPr>
          <w:rFonts w:ascii="Times New Roman" w:hAnsi="Times New Roman"/>
        </w:rPr>
        <w:t>metforminu</w:t>
      </w:r>
      <w:proofErr w:type="spellEnd"/>
      <w:r w:rsidR="00601C8B" w:rsidRPr="006A2591">
        <w:rPr>
          <w:rFonts w:ascii="Times New Roman" w:hAnsi="Times New Roman"/>
        </w:rPr>
        <w:t xml:space="preserve"> ji buvo 7,5 atvejo</w:t>
      </w:r>
      <w:r>
        <w:rPr>
          <w:rFonts w:ascii="Times New Roman" w:hAnsi="Times New Roman"/>
        </w:rPr>
        <w:t xml:space="preserve"> </w:t>
      </w:r>
      <w:r w:rsidR="00601C8B" w:rsidRPr="006A2591">
        <w:rPr>
          <w:rFonts w:ascii="Times New Roman" w:hAnsi="Times New Roman"/>
        </w:rPr>
        <w:t>/</w:t>
      </w:r>
      <w:r>
        <w:rPr>
          <w:rFonts w:ascii="Times New Roman" w:hAnsi="Times New Roman"/>
        </w:rPr>
        <w:t xml:space="preserve"> </w:t>
      </w:r>
      <w:r w:rsidR="00601C8B" w:rsidRPr="006A2591">
        <w:rPr>
          <w:rFonts w:ascii="Times New Roman" w:hAnsi="Times New Roman"/>
        </w:rPr>
        <w:t>1</w:t>
      </w:r>
      <w:r>
        <w:rPr>
          <w:rFonts w:ascii="Times New Roman" w:hAnsi="Times New Roman"/>
        </w:rPr>
        <w:t> </w:t>
      </w:r>
      <w:r w:rsidR="00601C8B" w:rsidRPr="006A2591">
        <w:rPr>
          <w:rFonts w:ascii="Times New Roman" w:hAnsi="Times New Roman"/>
        </w:rPr>
        <w:t>000 pacientų met</w:t>
      </w:r>
      <w:r w:rsidR="00601C8B">
        <w:rPr>
          <w:rFonts w:ascii="Times New Roman" w:hAnsi="Times New Roman"/>
        </w:rPr>
        <w:t>ų</w:t>
      </w:r>
      <w:r w:rsidR="00601C8B" w:rsidRPr="006A2591">
        <w:rPr>
          <w:rFonts w:ascii="Times New Roman" w:hAnsi="Times New Roman"/>
        </w:rPr>
        <w:t>, o gydytų tik dieta – 12,7 atvejo</w:t>
      </w:r>
      <w:r>
        <w:rPr>
          <w:rFonts w:ascii="Times New Roman" w:hAnsi="Times New Roman"/>
        </w:rPr>
        <w:t xml:space="preserve"> </w:t>
      </w:r>
      <w:r w:rsidR="00601C8B" w:rsidRPr="006A2591">
        <w:rPr>
          <w:rFonts w:ascii="Times New Roman" w:hAnsi="Times New Roman"/>
        </w:rPr>
        <w:t>/</w:t>
      </w:r>
      <w:r>
        <w:rPr>
          <w:rFonts w:ascii="Times New Roman" w:hAnsi="Times New Roman"/>
        </w:rPr>
        <w:t xml:space="preserve"> </w:t>
      </w:r>
      <w:r w:rsidR="00601C8B" w:rsidRPr="006A2591">
        <w:rPr>
          <w:rFonts w:ascii="Times New Roman" w:hAnsi="Times New Roman"/>
        </w:rPr>
        <w:t>1</w:t>
      </w:r>
      <w:r>
        <w:rPr>
          <w:rFonts w:ascii="Times New Roman" w:hAnsi="Times New Roman"/>
        </w:rPr>
        <w:t> </w:t>
      </w:r>
      <w:r w:rsidR="00601C8B" w:rsidRPr="006A2591">
        <w:rPr>
          <w:rFonts w:ascii="Times New Roman" w:hAnsi="Times New Roman"/>
        </w:rPr>
        <w:t>000 pacientų met</w:t>
      </w:r>
      <w:r w:rsidR="00601C8B">
        <w:rPr>
          <w:rFonts w:ascii="Times New Roman" w:hAnsi="Times New Roman"/>
        </w:rPr>
        <w:t>ų</w:t>
      </w:r>
      <w:r w:rsidR="00601C8B" w:rsidRPr="006A2591">
        <w:rPr>
          <w:rFonts w:ascii="Times New Roman" w:hAnsi="Times New Roman"/>
        </w:rPr>
        <w:t>, p</w:t>
      </w:r>
      <w:r>
        <w:rPr>
          <w:rFonts w:ascii="Times New Roman" w:hAnsi="Times New Roman"/>
        </w:rPr>
        <w:t> </w:t>
      </w:r>
      <w:r w:rsidR="00601C8B" w:rsidRPr="006A2591">
        <w:rPr>
          <w:rFonts w:ascii="Times New Roman" w:hAnsi="Times New Roman"/>
        </w:rPr>
        <w:t>=</w:t>
      </w:r>
      <w:r>
        <w:rPr>
          <w:rFonts w:ascii="Times New Roman" w:hAnsi="Times New Roman"/>
        </w:rPr>
        <w:t> </w:t>
      </w:r>
      <w:r w:rsidR="00601C8B" w:rsidRPr="006A2591">
        <w:rPr>
          <w:rFonts w:ascii="Times New Roman" w:hAnsi="Times New Roman"/>
        </w:rPr>
        <w:t>0,017</w:t>
      </w:r>
      <w:r>
        <w:rPr>
          <w:rFonts w:ascii="Times New Roman" w:hAnsi="Times New Roman"/>
        </w:rPr>
        <w:t>.</w:t>
      </w:r>
    </w:p>
    <w:p w14:paraId="338AB354" w14:textId="77B1612D" w:rsidR="00601C8B" w:rsidRPr="006A2591" w:rsidRDefault="000549C2" w:rsidP="00EE0B84">
      <w:pPr>
        <w:pStyle w:val="Betarp"/>
        <w:numPr>
          <w:ilvl w:val="0"/>
          <w:numId w:val="7"/>
        </w:numPr>
        <w:ind w:left="567" w:hanging="567"/>
        <w:rPr>
          <w:rFonts w:ascii="Times New Roman" w:hAnsi="Times New Roman"/>
        </w:rPr>
      </w:pPr>
      <w:r>
        <w:rPr>
          <w:rFonts w:ascii="Times New Roman" w:hAnsi="Times New Roman"/>
        </w:rPr>
        <w:t>R</w:t>
      </w:r>
      <w:r w:rsidR="00601C8B" w:rsidRPr="006A2591">
        <w:rPr>
          <w:rFonts w:ascii="Times New Roman" w:hAnsi="Times New Roman"/>
        </w:rPr>
        <w:t xml:space="preserve">eikšmingai sumažėjo bendro mirtingumo absoliuti rizika: gydytų </w:t>
      </w:r>
      <w:proofErr w:type="spellStart"/>
      <w:r w:rsidR="00601C8B" w:rsidRPr="006A2591">
        <w:rPr>
          <w:rFonts w:ascii="Times New Roman" w:hAnsi="Times New Roman"/>
        </w:rPr>
        <w:t>metforminu</w:t>
      </w:r>
      <w:proofErr w:type="spellEnd"/>
      <w:r w:rsidR="00601C8B" w:rsidRPr="006A2591">
        <w:rPr>
          <w:rFonts w:ascii="Times New Roman" w:hAnsi="Times New Roman"/>
        </w:rPr>
        <w:t xml:space="preserve"> grupėje jis buvo 13,5 atvejo</w:t>
      </w:r>
      <w:r>
        <w:rPr>
          <w:rFonts w:ascii="Times New Roman" w:hAnsi="Times New Roman"/>
        </w:rPr>
        <w:t xml:space="preserve"> </w:t>
      </w:r>
      <w:r w:rsidR="00601C8B" w:rsidRPr="006A2591">
        <w:rPr>
          <w:rFonts w:ascii="Times New Roman" w:hAnsi="Times New Roman"/>
        </w:rPr>
        <w:t>/</w:t>
      </w:r>
      <w:r>
        <w:rPr>
          <w:rFonts w:ascii="Times New Roman" w:hAnsi="Times New Roman"/>
        </w:rPr>
        <w:t xml:space="preserve"> </w:t>
      </w:r>
      <w:r w:rsidR="00601C8B" w:rsidRPr="006A2591">
        <w:rPr>
          <w:rFonts w:ascii="Times New Roman" w:hAnsi="Times New Roman"/>
        </w:rPr>
        <w:t>1</w:t>
      </w:r>
      <w:r>
        <w:rPr>
          <w:rFonts w:ascii="Times New Roman" w:hAnsi="Times New Roman"/>
        </w:rPr>
        <w:t> </w:t>
      </w:r>
      <w:r w:rsidR="00601C8B" w:rsidRPr="006A2591">
        <w:rPr>
          <w:rFonts w:ascii="Times New Roman" w:hAnsi="Times New Roman"/>
        </w:rPr>
        <w:t>000 pacientų metų, gydytų tik dieta grupėje – 20,6 atvejo</w:t>
      </w:r>
      <w:r>
        <w:rPr>
          <w:rFonts w:ascii="Times New Roman" w:hAnsi="Times New Roman"/>
        </w:rPr>
        <w:t xml:space="preserve"> </w:t>
      </w:r>
      <w:r w:rsidR="00601C8B" w:rsidRPr="006A2591">
        <w:rPr>
          <w:rFonts w:ascii="Times New Roman" w:hAnsi="Times New Roman"/>
        </w:rPr>
        <w:t>/</w:t>
      </w:r>
      <w:r>
        <w:rPr>
          <w:rFonts w:ascii="Times New Roman" w:hAnsi="Times New Roman"/>
        </w:rPr>
        <w:t xml:space="preserve"> </w:t>
      </w:r>
      <w:r w:rsidR="00601C8B" w:rsidRPr="006A2591">
        <w:rPr>
          <w:rFonts w:ascii="Times New Roman" w:hAnsi="Times New Roman"/>
        </w:rPr>
        <w:t>1</w:t>
      </w:r>
      <w:r>
        <w:rPr>
          <w:rFonts w:ascii="Times New Roman" w:hAnsi="Times New Roman"/>
        </w:rPr>
        <w:t> </w:t>
      </w:r>
      <w:r w:rsidR="00601C8B" w:rsidRPr="006A2591">
        <w:rPr>
          <w:rFonts w:ascii="Times New Roman" w:hAnsi="Times New Roman"/>
        </w:rPr>
        <w:t xml:space="preserve">000 pacientų metų, o </w:t>
      </w:r>
      <w:proofErr w:type="spellStart"/>
      <w:r w:rsidR="00601C8B">
        <w:rPr>
          <w:rFonts w:ascii="Times New Roman" w:hAnsi="Times New Roman"/>
        </w:rPr>
        <w:t>sulfonilurėjos</w:t>
      </w:r>
      <w:proofErr w:type="spellEnd"/>
      <w:r w:rsidR="00601C8B" w:rsidRPr="006A2591">
        <w:rPr>
          <w:rFonts w:ascii="Times New Roman" w:hAnsi="Times New Roman"/>
        </w:rPr>
        <w:t xml:space="preserve"> preparatais ar insulinu – 18,9 atvejo</w:t>
      </w:r>
      <w:r>
        <w:rPr>
          <w:rFonts w:ascii="Times New Roman" w:hAnsi="Times New Roman"/>
        </w:rPr>
        <w:t xml:space="preserve"> </w:t>
      </w:r>
      <w:r w:rsidR="00601C8B" w:rsidRPr="006A2591">
        <w:rPr>
          <w:rFonts w:ascii="Times New Roman" w:hAnsi="Times New Roman"/>
        </w:rPr>
        <w:t>/</w:t>
      </w:r>
      <w:r>
        <w:rPr>
          <w:rFonts w:ascii="Times New Roman" w:hAnsi="Times New Roman"/>
        </w:rPr>
        <w:t xml:space="preserve"> </w:t>
      </w:r>
      <w:r w:rsidR="00601C8B" w:rsidRPr="006A2591">
        <w:rPr>
          <w:rFonts w:ascii="Times New Roman" w:hAnsi="Times New Roman"/>
        </w:rPr>
        <w:t>1</w:t>
      </w:r>
      <w:r>
        <w:rPr>
          <w:rFonts w:ascii="Times New Roman" w:hAnsi="Times New Roman"/>
        </w:rPr>
        <w:t> </w:t>
      </w:r>
      <w:r w:rsidR="00601C8B" w:rsidRPr="006A2591">
        <w:rPr>
          <w:rFonts w:ascii="Times New Roman" w:hAnsi="Times New Roman"/>
        </w:rPr>
        <w:t>000 pacientų metų</w:t>
      </w:r>
      <w:r w:rsidR="00601C8B">
        <w:rPr>
          <w:rFonts w:ascii="Times New Roman" w:hAnsi="Times New Roman"/>
        </w:rPr>
        <w:t>,</w:t>
      </w:r>
      <w:r w:rsidR="00601C8B" w:rsidRPr="006A2591">
        <w:rPr>
          <w:rFonts w:ascii="Times New Roman" w:hAnsi="Times New Roman"/>
        </w:rPr>
        <w:t xml:space="preserve"> p</w:t>
      </w:r>
      <w:r>
        <w:rPr>
          <w:rFonts w:ascii="Times New Roman" w:hAnsi="Times New Roman"/>
        </w:rPr>
        <w:t> </w:t>
      </w:r>
      <w:r w:rsidR="00601C8B" w:rsidRPr="006A2591">
        <w:rPr>
          <w:rFonts w:ascii="Times New Roman" w:hAnsi="Times New Roman"/>
        </w:rPr>
        <w:t>=</w:t>
      </w:r>
      <w:r>
        <w:rPr>
          <w:rFonts w:ascii="Times New Roman" w:hAnsi="Times New Roman"/>
        </w:rPr>
        <w:t> </w:t>
      </w:r>
      <w:r w:rsidR="00601C8B" w:rsidRPr="006A2591">
        <w:rPr>
          <w:rFonts w:ascii="Times New Roman" w:hAnsi="Times New Roman"/>
        </w:rPr>
        <w:t>0,021</w:t>
      </w:r>
      <w:r>
        <w:rPr>
          <w:rFonts w:ascii="Times New Roman" w:hAnsi="Times New Roman"/>
        </w:rPr>
        <w:t>.</w:t>
      </w:r>
    </w:p>
    <w:p w14:paraId="6B0E68E4" w14:textId="0012B661" w:rsidR="00601C8B" w:rsidRPr="006A2591" w:rsidRDefault="00601C8B" w:rsidP="00EE0B84">
      <w:pPr>
        <w:pStyle w:val="Betarp"/>
        <w:numPr>
          <w:ilvl w:val="0"/>
          <w:numId w:val="7"/>
        </w:numPr>
        <w:ind w:left="567" w:hanging="567"/>
        <w:rPr>
          <w:rFonts w:ascii="Times New Roman" w:hAnsi="Times New Roman"/>
        </w:rPr>
      </w:pPr>
      <w:r w:rsidRPr="006A2591">
        <w:rPr>
          <w:rFonts w:ascii="Times New Roman" w:hAnsi="Times New Roman"/>
        </w:rPr>
        <w:t xml:space="preserve">reikšmingai sumažėjo miokardo infarkto absoliuti rizika: gydant </w:t>
      </w:r>
      <w:proofErr w:type="spellStart"/>
      <w:r w:rsidRPr="006A2591">
        <w:rPr>
          <w:rFonts w:ascii="Times New Roman" w:hAnsi="Times New Roman"/>
        </w:rPr>
        <w:t>metforminu</w:t>
      </w:r>
      <w:proofErr w:type="spellEnd"/>
      <w:r w:rsidRPr="006A2591">
        <w:rPr>
          <w:rFonts w:ascii="Times New Roman" w:hAnsi="Times New Roman"/>
        </w:rPr>
        <w:t xml:space="preserve"> ji sudarė 11 atvejų/</w:t>
      </w:r>
      <w:r w:rsidR="000549C2">
        <w:rPr>
          <w:rFonts w:ascii="Times New Roman" w:hAnsi="Times New Roman"/>
        </w:rPr>
        <w:t xml:space="preserve">  </w:t>
      </w:r>
      <w:r w:rsidRPr="006A2591">
        <w:rPr>
          <w:rFonts w:ascii="Times New Roman" w:hAnsi="Times New Roman"/>
        </w:rPr>
        <w:t>1</w:t>
      </w:r>
      <w:r w:rsidR="000549C2">
        <w:rPr>
          <w:rFonts w:ascii="Times New Roman" w:hAnsi="Times New Roman"/>
        </w:rPr>
        <w:t> </w:t>
      </w:r>
      <w:r w:rsidRPr="006A2591">
        <w:rPr>
          <w:rFonts w:ascii="Times New Roman" w:hAnsi="Times New Roman"/>
        </w:rPr>
        <w:t>000 pacientų metų, gydant tik dieta – 18 atvejų</w:t>
      </w:r>
      <w:r w:rsidR="000549C2">
        <w:rPr>
          <w:rFonts w:ascii="Times New Roman" w:hAnsi="Times New Roman"/>
        </w:rPr>
        <w:t xml:space="preserve"> </w:t>
      </w:r>
      <w:r w:rsidRPr="006A2591">
        <w:rPr>
          <w:rFonts w:ascii="Times New Roman" w:hAnsi="Times New Roman"/>
        </w:rPr>
        <w:t>/</w:t>
      </w:r>
      <w:r w:rsidR="000549C2">
        <w:rPr>
          <w:rFonts w:ascii="Times New Roman" w:hAnsi="Times New Roman"/>
        </w:rPr>
        <w:t xml:space="preserve"> </w:t>
      </w:r>
      <w:r w:rsidRPr="006A2591">
        <w:rPr>
          <w:rFonts w:ascii="Times New Roman" w:hAnsi="Times New Roman"/>
        </w:rPr>
        <w:t>1</w:t>
      </w:r>
      <w:r w:rsidR="000549C2">
        <w:rPr>
          <w:rFonts w:ascii="Times New Roman" w:hAnsi="Times New Roman"/>
        </w:rPr>
        <w:t> </w:t>
      </w:r>
      <w:r w:rsidRPr="006A2591">
        <w:rPr>
          <w:rFonts w:ascii="Times New Roman" w:hAnsi="Times New Roman"/>
        </w:rPr>
        <w:t>000 pacientų metų</w:t>
      </w:r>
      <w:r>
        <w:rPr>
          <w:rFonts w:ascii="Times New Roman" w:hAnsi="Times New Roman"/>
        </w:rPr>
        <w:t>,</w:t>
      </w:r>
      <w:r w:rsidRPr="006A2591">
        <w:rPr>
          <w:rFonts w:ascii="Times New Roman" w:hAnsi="Times New Roman"/>
        </w:rPr>
        <w:t xml:space="preserve"> p</w:t>
      </w:r>
      <w:r w:rsidR="000549C2">
        <w:rPr>
          <w:rFonts w:ascii="Times New Roman" w:hAnsi="Times New Roman"/>
        </w:rPr>
        <w:t> </w:t>
      </w:r>
      <w:r w:rsidRPr="006A2591">
        <w:rPr>
          <w:rFonts w:ascii="Times New Roman" w:hAnsi="Times New Roman"/>
        </w:rPr>
        <w:t>=</w:t>
      </w:r>
      <w:r w:rsidR="000549C2">
        <w:rPr>
          <w:rFonts w:ascii="Times New Roman" w:hAnsi="Times New Roman"/>
        </w:rPr>
        <w:t> </w:t>
      </w:r>
      <w:r w:rsidRPr="006A2591">
        <w:rPr>
          <w:rFonts w:ascii="Times New Roman" w:hAnsi="Times New Roman"/>
        </w:rPr>
        <w:t>0,01.</w:t>
      </w:r>
    </w:p>
    <w:p w14:paraId="22DAE8B1" w14:textId="77777777" w:rsidR="00601C8B" w:rsidRPr="006A2591" w:rsidRDefault="00601C8B" w:rsidP="00601C8B">
      <w:pPr>
        <w:pStyle w:val="Betarp"/>
        <w:ind w:left="720"/>
        <w:rPr>
          <w:rFonts w:ascii="Times New Roman" w:hAnsi="Times New Roman"/>
        </w:rPr>
      </w:pPr>
    </w:p>
    <w:p w14:paraId="431D9D80"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Kai </w:t>
      </w:r>
      <w:proofErr w:type="spellStart"/>
      <w:r w:rsidRPr="006A2591">
        <w:rPr>
          <w:rFonts w:ascii="Times New Roman" w:hAnsi="Times New Roman"/>
        </w:rPr>
        <w:t>metforminas</w:t>
      </w:r>
      <w:proofErr w:type="spellEnd"/>
      <w:r w:rsidRPr="006A2591">
        <w:rPr>
          <w:rFonts w:ascii="Times New Roman" w:hAnsi="Times New Roman"/>
        </w:rPr>
        <w:t xml:space="preserve"> buvo vartojamas kaip antrojo pasirinkimo preparatas kartu su </w:t>
      </w:r>
      <w:proofErr w:type="spellStart"/>
      <w:r>
        <w:rPr>
          <w:rFonts w:ascii="Times New Roman" w:hAnsi="Times New Roman"/>
        </w:rPr>
        <w:t>sulfonilurėjos</w:t>
      </w:r>
      <w:proofErr w:type="spellEnd"/>
      <w:r>
        <w:rPr>
          <w:rFonts w:ascii="Times New Roman" w:hAnsi="Times New Roman"/>
        </w:rPr>
        <w:t xml:space="preserve"> preparatais</w:t>
      </w:r>
      <w:r w:rsidRPr="006A2591">
        <w:rPr>
          <w:rFonts w:ascii="Times New Roman" w:hAnsi="Times New Roman"/>
        </w:rPr>
        <w:t>, jo privalumų ligos klinikinių išeičių požiūriu nenustatyta.</w:t>
      </w:r>
    </w:p>
    <w:p w14:paraId="6230111D" w14:textId="77777777" w:rsidR="00601C8B" w:rsidRPr="006A2591" w:rsidRDefault="00601C8B" w:rsidP="00601C8B">
      <w:pPr>
        <w:pStyle w:val="Betarp"/>
        <w:rPr>
          <w:rFonts w:ascii="Times New Roman" w:hAnsi="Times New Roman"/>
        </w:rPr>
      </w:pPr>
    </w:p>
    <w:p w14:paraId="690D68AA" w14:textId="77777777" w:rsidR="00601C8B" w:rsidRPr="006A2591" w:rsidRDefault="00601C8B" w:rsidP="00E85904">
      <w:pPr>
        <w:pStyle w:val="BTEMEASMCA"/>
      </w:pPr>
      <w:r w:rsidRPr="006A2591">
        <w:t xml:space="preserve">Kai kuriems pacientams, sergantiems I tipo cukriniu diabetu, gydyti buvo vartojamas </w:t>
      </w:r>
      <w:proofErr w:type="spellStart"/>
      <w:r w:rsidRPr="006A2591">
        <w:t>metformino</w:t>
      </w:r>
      <w:proofErr w:type="spellEnd"/>
      <w:r w:rsidRPr="006A2591">
        <w:t xml:space="preserve"> ir insulino derinys, bet jo klinikinė nauda nenustatyta.</w:t>
      </w:r>
    </w:p>
    <w:p w14:paraId="42752783" w14:textId="77777777" w:rsidR="00601C8B" w:rsidRPr="006A2591" w:rsidRDefault="00601C8B" w:rsidP="00E85904">
      <w:pPr>
        <w:pStyle w:val="BTEMEASMCA"/>
      </w:pPr>
    </w:p>
    <w:p w14:paraId="237999B1" w14:textId="77777777" w:rsidR="00601C8B" w:rsidRPr="006A2591" w:rsidRDefault="00601C8B" w:rsidP="00601C8B">
      <w:pPr>
        <w:pStyle w:val="PI-2EMEASMCA"/>
        <w:outlineLvl w:val="9"/>
      </w:pPr>
      <w:r w:rsidRPr="006A2591">
        <w:t>5.2</w:t>
      </w:r>
      <w:r w:rsidRPr="006A2591">
        <w:tab/>
      </w:r>
      <w:proofErr w:type="spellStart"/>
      <w:r w:rsidRPr="006A2591">
        <w:t>Farmakokinetinės</w:t>
      </w:r>
      <w:proofErr w:type="spellEnd"/>
      <w:r w:rsidRPr="006A2591">
        <w:t xml:space="preserve"> savybės</w:t>
      </w:r>
    </w:p>
    <w:p w14:paraId="0B09F19F" w14:textId="77777777" w:rsidR="00601C8B" w:rsidRPr="006A2591" w:rsidRDefault="00601C8B" w:rsidP="00E85904">
      <w:pPr>
        <w:pStyle w:val="BTEMEASMCA"/>
      </w:pPr>
    </w:p>
    <w:p w14:paraId="17871DD5" w14:textId="77777777" w:rsidR="00601C8B" w:rsidRPr="006A2591" w:rsidRDefault="00601C8B" w:rsidP="00601C8B">
      <w:pPr>
        <w:pStyle w:val="Betarp"/>
        <w:rPr>
          <w:rFonts w:ascii="Times New Roman" w:hAnsi="Times New Roman"/>
          <w:u w:val="single"/>
        </w:rPr>
      </w:pPr>
      <w:r>
        <w:rPr>
          <w:rFonts w:ascii="Times New Roman" w:hAnsi="Times New Roman"/>
          <w:u w:val="single"/>
        </w:rPr>
        <w:t>Abs</w:t>
      </w:r>
      <w:r w:rsidRPr="006A2591">
        <w:rPr>
          <w:rFonts w:ascii="Times New Roman" w:hAnsi="Times New Roman"/>
          <w:u w:val="single"/>
        </w:rPr>
        <w:t>orbcija</w:t>
      </w:r>
    </w:p>
    <w:p w14:paraId="35902947" w14:textId="77777777" w:rsidR="00601C8B" w:rsidRPr="00431250" w:rsidRDefault="00601C8B" w:rsidP="00601C8B">
      <w:pPr>
        <w:pStyle w:val="Betarp"/>
        <w:rPr>
          <w:rFonts w:ascii="Times New Roman" w:hAnsi="Times New Roman"/>
        </w:rPr>
      </w:pPr>
    </w:p>
    <w:p w14:paraId="768C6BC5" w14:textId="450746CE" w:rsidR="00601C8B" w:rsidRPr="00431250" w:rsidRDefault="00A93753" w:rsidP="00601C8B">
      <w:pPr>
        <w:pStyle w:val="Betarp"/>
        <w:rPr>
          <w:rFonts w:ascii="Times New Roman" w:hAnsi="Times New Roman"/>
        </w:rPr>
      </w:pPr>
      <w:r>
        <w:rPr>
          <w:rFonts w:ascii="Times New Roman" w:hAnsi="Times New Roman"/>
        </w:rPr>
        <w:t xml:space="preserve">Susidarius </w:t>
      </w:r>
      <w:proofErr w:type="spellStart"/>
      <w:r>
        <w:rPr>
          <w:rFonts w:ascii="Times New Roman" w:hAnsi="Times New Roman"/>
        </w:rPr>
        <w:t>pusiausvyrinei</w:t>
      </w:r>
      <w:proofErr w:type="spellEnd"/>
      <w:r>
        <w:rPr>
          <w:rFonts w:ascii="Times New Roman" w:hAnsi="Times New Roman"/>
        </w:rPr>
        <w:t xml:space="preserve"> koncentracijai</w:t>
      </w:r>
      <w:r w:rsidR="00836124">
        <w:rPr>
          <w:rFonts w:ascii="Times New Roman" w:hAnsi="Times New Roman"/>
        </w:rPr>
        <w:t xml:space="preserve"> i</w:t>
      </w:r>
      <w:r w:rsidR="00601C8B" w:rsidRPr="00431250">
        <w:rPr>
          <w:rFonts w:ascii="Times New Roman" w:hAnsi="Times New Roman"/>
        </w:rPr>
        <w:t xml:space="preserve">šgėrus </w:t>
      </w:r>
      <w:r w:rsidR="002F7A19">
        <w:rPr>
          <w:rFonts w:ascii="Times New Roman" w:hAnsi="Times New Roman"/>
        </w:rPr>
        <w:t xml:space="preserve">vieną </w:t>
      </w:r>
      <w:r w:rsidR="00601C8B" w:rsidRPr="00431250">
        <w:rPr>
          <w:rFonts w:ascii="Times New Roman" w:hAnsi="Times New Roman"/>
        </w:rPr>
        <w:t>1</w:t>
      </w:r>
      <w:r w:rsidR="002F7A19">
        <w:rPr>
          <w:rFonts w:ascii="Times New Roman" w:hAnsi="Times New Roman"/>
        </w:rPr>
        <w:t> </w:t>
      </w:r>
      <w:r w:rsidR="00601C8B">
        <w:rPr>
          <w:rFonts w:ascii="Times New Roman" w:hAnsi="Times New Roman"/>
        </w:rPr>
        <w:t>0</w:t>
      </w:r>
      <w:r w:rsidR="00601C8B" w:rsidRPr="00431250">
        <w:rPr>
          <w:rFonts w:ascii="Times New Roman" w:hAnsi="Times New Roman"/>
        </w:rPr>
        <w:t>00</w:t>
      </w:r>
      <w:r w:rsidR="00601C8B" w:rsidRPr="0078470E">
        <w:rPr>
          <w:rFonts w:ascii="Times New Roman" w:hAnsi="Times New Roman"/>
        </w:rPr>
        <w:t> </w:t>
      </w:r>
      <w:r w:rsidR="00601C8B" w:rsidRPr="00431250">
        <w:rPr>
          <w:rFonts w:ascii="Times New Roman" w:hAnsi="Times New Roman"/>
        </w:rPr>
        <w:t xml:space="preserve">mg </w:t>
      </w:r>
      <w:proofErr w:type="spellStart"/>
      <w:r w:rsidR="00601C8B" w:rsidRPr="00431250">
        <w:rPr>
          <w:rFonts w:ascii="Times New Roman" w:hAnsi="Times New Roman"/>
        </w:rPr>
        <w:t>metformino</w:t>
      </w:r>
      <w:proofErr w:type="spellEnd"/>
      <w:r w:rsidR="00601C8B">
        <w:rPr>
          <w:rFonts w:ascii="Times New Roman" w:hAnsi="Times New Roman"/>
        </w:rPr>
        <w:t xml:space="preserve"> </w:t>
      </w:r>
      <w:r w:rsidR="00836124" w:rsidRPr="00431250">
        <w:rPr>
          <w:rFonts w:ascii="Times New Roman" w:hAnsi="Times New Roman"/>
        </w:rPr>
        <w:t xml:space="preserve">pailginto atpalaidavimo </w:t>
      </w:r>
      <w:r w:rsidR="00601C8B">
        <w:rPr>
          <w:rFonts w:ascii="Times New Roman" w:hAnsi="Times New Roman"/>
        </w:rPr>
        <w:t>tablet</w:t>
      </w:r>
      <w:r w:rsidR="00836124">
        <w:rPr>
          <w:rFonts w:ascii="Times New Roman" w:hAnsi="Times New Roman"/>
        </w:rPr>
        <w:t>ę</w:t>
      </w:r>
      <w:r w:rsidR="00601C8B" w:rsidRPr="00431250">
        <w:rPr>
          <w:rFonts w:ascii="Times New Roman" w:hAnsi="Times New Roman"/>
        </w:rPr>
        <w:t xml:space="preserve">, jo vidutinė didžiausia koncentracija </w:t>
      </w:r>
      <w:r w:rsidR="00836124">
        <w:rPr>
          <w:rFonts w:ascii="Times New Roman" w:hAnsi="Times New Roman"/>
        </w:rPr>
        <w:t xml:space="preserve">plazmoje </w:t>
      </w:r>
      <w:r w:rsidR="00601C8B" w:rsidRPr="00431250">
        <w:rPr>
          <w:rFonts w:ascii="Times New Roman" w:hAnsi="Times New Roman"/>
        </w:rPr>
        <w:t>(1</w:t>
      </w:r>
      <w:r w:rsidR="002F7A19">
        <w:rPr>
          <w:rFonts w:ascii="Times New Roman" w:hAnsi="Times New Roman"/>
        </w:rPr>
        <w:t> </w:t>
      </w:r>
      <w:r w:rsidR="00601C8B">
        <w:rPr>
          <w:rFonts w:ascii="Times New Roman" w:hAnsi="Times New Roman"/>
        </w:rPr>
        <w:t>214</w:t>
      </w:r>
      <w:r w:rsidR="00601C8B" w:rsidRPr="0078470E">
        <w:rPr>
          <w:rFonts w:ascii="Times New Roman" w:hAnsi="Times New Roman"/>
        </w:rPr>
        <w:t> </w:t>
      </w:r>
      <w:proofErr w:type="spellStart"/>
      <w:r w:rsidR="00601C8B" w:rsidRPr="00431250">
        <w:rPr>
          <w:rFonts w:ascii="Times New Roman" w:hAnsi="Times New Roman"/>
        </w:rPr>
        <w:t>ng</w:t>
      </w:r>
      <w:proofErr w:type="spellEnd"/>
      <w:r w:rsidR="00601C8B" w:rsidRPr="00431250">
        <w:rPr>
          <w:rFonts w:ascii="Times New Roman" w:hAnsi="Times New Roman"/>
        </w:rPr>
        <w:t xml:space="preserve">/ml) </w:t>
      </w:r>
      <w:r w:rsidR="00836124">
        <w:rPr>
          <w:rFonts w:ascii="Times New Roman" w:hAnsi="Times New Roman"/>
        </w:rPr>
        <w:t>buvo pasiekta</w:t>
      </w:r>
      <w:r w:rsidR="00601C8B" w:rsidRPr="00431250">
        <w:rPr>
          <w:rFonts w:ascii="Times New Roman" w:hAnsi="Times New Roman"/>
        </w:rPr>
        <w:t xml:space="preserve"> po </w:t>
      </w:r>
      <w:r w:rsidR="00836124">
        <w:rPr>
          <w:rFonts w:ascii="Times New Roman" w:hAnsi="Times New Roman"/>
        </w:rPr>
        <w:t xml:space="preserve">laikotarpio, kurio mediana – </w:t>
      </w:r>
      <w:r w:rsidR="00601C8B" w:rsidRPr="00431250">
        <w:rPr>
          <w:rFonts w:ascii="Times New Roman" w:hAnsi="Times New Roman"/>
        </w:rPr>
        <w:t>5</w:t>
      </w:r>
      <w:r w:rsidR="002F7A19">
        <w:rPr>
          <w:rFonts w:ascii="Times New Roman" w:hAnsi="Times New Roman"/>
        </w:rPr>
        <w:t> </w:t>
      </w:r>
      <w:r w:rsidR="00601C8B" w:rsidRPr="00431250">
        <w:rPr>
          <w:rFonts w:ascii="Times New Roman" w:hAnsi="Times New Roman"/>
        </w:rPr>
        <w:t>val.</w:t>
      </w:r>
      <w:r w:rsidR="00836124">
        <w:rPr>
          <w:rFonts w:ascii="Times New Roman" w:hAnsi="Times New Roman"/>
        </w:rPr>
        <w:t xml:space="preserve"> (kitimo sritis – </w:t>
      </w:r>
      <w:r w:rsidR="00836124" w:rsidRPr="00431250">
        <w:rPr>
          <w:rFonts w:ascii="Times New Roman" w:hAnsi="Times New Roman"/>
        </w:rPr>
        <w:t>4-1</w:t>
      </w:r>
      <w:r w:rsidR="00836124">
        <w:rPr>
          <w:rFonts w:ascii="Times New Roman" w:hAnsi="Times New Roman"/>
        </w:rPr>
        <w:t>0 </w:t>
      </w:r>
      <w:r w:rsidR="00836124" w:rsidRPr="00431250">
        <w:rPr>
          <w:rFonts w:ascii="Times New Roman" w:hAnsi="Times New Roman"/>
        </w:rPr>
        <w:t>val.</w:t>
      </w:r>
      <w:r w:rsidR="00601C8B" w:rsidRPr="00431250">
        <w:rPr>
          <w:rFonts w:ascii="Times New Roman" w:hAnsi="Times New Roman"/>
        </w:rPr>
        <w:t>).</w:t>
      </w:r>
    </w:p>
    <w:p w14:paraId="040F62C0" w14:textId="77777777" w:rsidR="00601C8B" w:rsidRPr="00431250" w:rsidRDefault="00601C8B" w:rsidP="00601C8B">
      <w:pPr>
        <w:pStyle w:val="Betarp"/>
        <w:rPr>
          <w:rFonts w:ascii="Times New Roman" w:hAnsi="Times New Roman"/>
        </w:rPr>
      </w:pPr>
    </w:p>
    <w:p w14:paraId="5D4C0EBB" w14:textId="0512F8EB" w:rsidR="00601C8B" w:rsidRPr="00431250" w:rsidRDefault="00601C8B" w:rsidP="00601C8B">
      <w:pPr>
        <w:pStyle w:val="Betarp"/>
        <w:rPr>
          <w:rFonts w:ascii="Times New Roman" w:hAnsi="Times New Roman"/>
        </w:rPr>
      </w:pPr>
      <w:r w:rsidRPr="00431250">
        <w:rPr>
          <w:rFonts w:ascii="Times New Roman" w:hAnsi="Times New Roman"/>
        </w:rPr>
        <w:t>Nustatant didžiausią koncentraciją (</w:t>
      </w:r>
      <w:proofErr w:type="spellStart"/>
      <w:r w:rsidRPr="00EE0B84">
        <w:rPr>
          <w:rFonts w:ascii="Times New Roman" w:hAnsi="Times New Roman"/>
          <w:i/>
          <w:iCs/>
        </w:rPr>
        <w:t>C</w:t>
      </w:r>
      <w:r w:rsidRPr="00EE0B84">
        <w:rPr>
          <w:rFonts w:ascii="Times New Roman" w:hAnsi="Times New Roman"/>
          <w:i/>
          <w:iCs/>
          <w:vertAlign w:val="subscript"/>
        </w:rPr>
        <w:t>max</w:t>
      </w:r>
      <w:proofErr w:type="spellEnd"/>
      <w:r w:rsidRPr="00431250">
        <w:rPr>
          <w:rFonts w:ascii="Times New Roman" w:hAnsi="Times New Roman"/>
        </w:rPr>
        <w:t>) ir plotą po</w:t>
      </w:r>
      <w:r w:rsidR="002F7A19">
        <w:rPr>
          <w:rFonts w:ascii="Times New Roman" w:hAnsi="Times New Roman"/>
        </w:rPr>
        <w:t xml:space="preserve"> </w:t>
      </w:r>
      <w:r w:rsidRPr="00431250">
        <w:rPr>
          <w:rFonts w:ascii="Times New Roman" w:hAnsi="Times New Roman"/>
        </w:rPr>
        <w:t>kreive (</w:t>
      </w:r>
      <w:r w:rsidRPr="00EE0B84">
        <w:rPr>
          <w:rFonts w:ascii="Times New Roman" w:hAnsi="Times New Roman"/>
          <w:i/>
          <w:iCs/>
        </w:rPr>
        <w:t>AUC</w:t>
      </w:r>
      <w:r w:rsidRPr="00431250">
        <w:rPr>
          <w:rFonts w:ascii="Times New Roman" w:hAnsi="Times New Roman"/>
        </w:rPr>
        <w:t xml:space="preserve">) sveikiems asmenims (tiek nevalgius, tiek ir po valgio), pailginto atpalaidavimo </w:t>
      </w:r>
      <w:proofErr w:type="spellStart"/>
      <w:r w:rsidRPr="00431250">
        <w:rPr>
          <w:rFonts w:ascii="Times New Roman" w:hAnsi="Times New Roman"/>
        </w:rPr>
        <w:t>metformino</w:t>
      </w:r>
      <w:proofErr w:type="spellEnd"/>
      <w:r w:rsidRPr="00431250">
        <w:rPr>
          <w:rFonts w:ascii="Times New Roman" w:hAnsi="Times New Roman"/>
        </w:rPr>
        <w:t xml:space="preserve"> </w:t>
      </w:r>
      <w:r>
        <w:rPr>
          <w:rFonts w:ascii="Times New Roman" w:hAnsi="Times New Roman"/>
        </w:rPr>
        <w:t>1</w:t>
      </w:r>
      <w:r w:rsidR="002F7A19">
        <w:rPr>
          <w:rFonts w:ascii="Times New Roman" w:hAnsi="Times New Roman"/>
        </w:rPr>
        <w:t> </w:t>
      </w:r>
      <w:r>
        <w:rPr>
          <w:rFonts w:ascii="Times New Roman" w:hAnsi="Times New Roman"/>
        </w:rPr>
        <w:t>000</w:t>
      </w:r>
      <w:r w:rsidRPr="0078470E">
        <w:rPr>
          <w:rFonts w:ascii="Times New Roman" w:hAnsi="Times New Roman"/>
        </w:rPr>
        <w:t> </w:t>
      </w:r>
      <w:r w:rsidRPr="00431250">
        <w:rPr>
          <w:rFonts w:ascii="Times New Roman" w:hAnsi="Times New Roman"/>
        </w:rPr>
        <w:t xml:space="preserve">mg dozė buvo </w:t>
      </w:r>
      <w:proofErr w:type="spellStart"/>
      <w:r w:rsidRPr="00431250">
        <w:rPr>
          <w:rFonts w:ascii="Times New Roman" w:hAnsi="Times New Roman"/>
        </w:rPr>
        <w:t>bioekvivalentiška</w:t>
      </w:r>
      <w:proofErr w:type="spellEnd"/>
      <w:r w:rsidRPr="00431250">
        <w:rPr>
          <w:rFonts w:ascii="Times New Roman" w:hAnsi="Times New Roman"/>
        </w:rPr>
        <w:t xml:space="preserve"> pailginto atpalaidavimo </w:t>
      </w:r>
      <w:proofErr w:type="spellStart"/>
      <w:r w:rsidRPr="00431250">
        <w:rPr>
          <w:rFonts w:ascii="Times New Roman" w:hAnsi="Times New Roman"/>
        </w:rPr>
        <w:t>metformino</w:t>
      </w:r>
      <w:proofErr w:type="spellEnd"/>
      <w:r w:rsidRPr="00431250">
        <w:rPr>
          <w:rFonts w:ascii="Times New Roman" w:hAnsi="Times New Roman"/>
        </w:rPr>
        <w:t xml:space="preserve"> 500</w:t>
      </w:r>
      <w:r w:rsidRPr="0078470E">
        <w:rPr>
          <w:rFonts w:ascii="Times New Roman" w:hAnsi="Times New Roman"/>
        </w:rPr>
        <w:t> </w:t>
      </w:r>
      <w:r w:rsidRPr="00431250">
        <w:rPr>
          <w:rFonts w:ascii="Times New Roman" w:hAnsi="Times New Roman"/>
        </w:rPr>
        <w:t>mg dozei (vartojant 1</w:t>
      </w:r>
      <w:r w:rsidR="002F7A19">
        <w:rPr>
          <w:rFonts w:ascii="Times New Roman" w:hAnsi="Times New Roman"/>
        </w:rPr>
        <w:t> </w:t>
      </w:r>
      <w:r>
        <w:rPr>
          <w:rFonts w:ascii="Times New Roman" w:hAnsi="Times New Roman"/>
        </w:rPr>
        <w:t>0</w:t>
      </w:r>
      <w:r w:rsidRPr="00431250">
        <w:rPr>
          <w:rFonts w:ascii="Times New Roman" w:hAnsi="Times New Roman"/>
        </w:rPr>
        <w:t>00</w:t>
      </w:r>
      <w:r w:rsidRPr="0078470E">
        <w:rPr>
          <w:rFonts w:ascii="Times New Roman" w:hAnsi="Times New Roman"/>
        </w:rPr>
        <w:t> </w:t>
      </w:r>
      <w:r w:rsidRPr="00431250">
        <w:rPr>
          <w:rFonts w:ascii="Times New Roman" w:hAnsi="Times New Roman"/>
        </w:rPr>
        <w:t>mg dozę).</w:t>
      </w:r>
    </w:p>
    <w:p w14:paraId="49DDF180" w14:textId="77777777" w:rsidR="00601C8B" w:rsidRPr="00431250" w:rsidRDefault="00601C8B" w:rsidP="00601C8B">
      <w:pPr>
        <w:pStyle w:val="Betarp"/>
        <w:rPr>
          <w:rFonts w:ascii="Times New Roman" w:hAnsi="Times New Roman"/>
        </w:rPr>
      </w:pPr>
    </w:p>
    <w:p w14:paraId="6286A5F9" w14:textId="03E4F78D" w:rsidR="00601C8B" w:rsidRPr="006A2591" w:rsidRDefault="00601C8B" w:rsidP="00601C8B">
      <w:pPr>
        <w:pStyle w:val="Betarp"/>
        <w:rPr>
          <w:rFonts w:ascii="Times New Roman" w:hAnsi="Times New Roman"/>
        </w:rPr>
      </w:pPr>
      <w:r w:rsidRPr="006A2591">
        <w:rPr>
          <w:rFonts w:ascii="Times New Roman" w:hAnsi="Times New Roman"/>
        </w:rPr>
        <w:t xml:space="preserve">Kaip ir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susidarius </w:t>
      </w:r>
      <w:proofErr w:type="spellStart"/>
      <w:r w:rsidRPr="006A2591">
        <w:rPr>
          <w:rFonts w:ascii="Times New Roman" w:hAnsi="Times New Roman"/>
        </w:rPr>
        <w:t>pusiausvyrinei</w:t>
      </w:r>
      <w:proofErr w:type="spellEnd"/>
      <w:r w:rsidRPr="006A2591">
        <w:rPr>
          <w:rFonts w:ascii="Times New Roman" w:hAnsi="Times New Roman"/>
        </w:rPr>
        <w:t xml:space="preserve"> koncentracijai, </w:t>
      </w:r>
      <w:proofErr w:type="spellStart"/>
      <w:r w:rsidRPr="00EE0B84">
        <w:rPr>
          <w:rFonts w:ascii="Times New Roman" w:hAnsi="Times New Roman"/>
          <w:i/>
          <w:iCs/>
        </w:rPr>
        <w:t>C</w:t>
      </w:r>
      <w:r w:rsidRPr="00EE0B84">
        <w:rPr>
          <w:rFonts w:ascii="Times New Roman" w:hAnsi="Times New Roman"/>
          <w:i/>
          <w:iCs/>
          <w:vertAlign w:val="subscript"/>
        </w:rPr>
        <w:t>max</w:t>
      </w:r>
      <w:proofErr w:type="spellEnd"/>
      <w:r w:rsidRPr="006A2591">
        <w:rPr>
          <w:rFonts w:ascii="Times New Roman" w:hAnsi="Times New Roman"/>
        </w:rPr>
        <w:t xml:space="preserve"> ir plotas po kreive (</w:t>
      </w:r>
      <w:r w:rsidRPr="00EE0B84">
        <w:rPr>
          <w:rFonts w:ascii="Times New Roman" w:hAnsi="Times New Roman"/>
          <w:i/>
          <w:iCs/>
        </w:rPr>
        <w:t>AUC</w:t>
      </w:r>
      <w:r w:rsidRPr="006A2591">
        <w:rPr>
          <w:rFonts w:ascii="Times New Roman" w:hAnsi="Times New Roman"/>
        </w:rPr>
        <w:t xml:space="preserve">) didėjo neproporcingai pavartotai dozei. Išgėrus </w:t>
      </w:r>
      <w:proofErr w:type="spellStart"/>
      <w:r w:rsidRPr="006A2591">
        <w:rPr>
          <w:rFonts w:ascii="Times New Roman" w:hAnsi="Times New Roman"/>
        </w:rPr>
        <w:t>vienkartinai</w:t>
      </w:r>
      <w:proofErr w:type="spellEnd"/>
      <w:r w:rsidRPr="006A2591">
        <w:rPr>
          <w:rFonts w:ascii="Times New Roman" w:hAnsi="Times New Roman"/>
        </w:rPr>
        <w:t xml:space="preserve"> 2</w:t>
      </w:r>
      <w:r w:rsidR="00C84D23">
        <w:rPr>
          <w:rFonts w:ascii="Times New Roman" w:hAnsi="Times New Roman"/>
        </w:rPr>
        <w:t> </w:t>
      </w:r>
      <w:r w:rsidRPr="006A2591">
        <w:rPr>
          <w:rFonts w:ascii="Times New Roman" w:hAnsi="Times New Roman"/>
        </w:rPr>
        <w:t>000</w:t>
      </w:r>
      <w:r w:rsidRPr="0078470E">
        <w:rPr>
          <w:rFonts w:ascii="Times New Roman" w:hAnsi="Times New Roman"/>
        </w:rPr>
        <w:t> </w:t>
      </w:r>
      <w:r w:rsidRPr="006A2591">
        <w:rPr>
          <w:rFonts w:ascii="Times New Roman" w:hAnsi="Times New Roman"/>
        </w:rPr>
        <w:t xml:space="preserve">mg pailginto </w:t>
      </w:r>
      <w:r w:rsidRPr="006A2591">
        <w:rPr>
          <w:rFonts w:ascii="Times New Roman" w:hAnsi="Times New Roman"/>
        </w:rPr>
        <w:lastRenderedPageBreak/>
        <w:t xml:space="preserve">atpalaidavimo </w:t>
      </w:r>
      <w:proofErr w:type="spellStart"/>
      <w:r w:rsidRPr="006A2591">
        <w:rPr>
          <w:rFonts w:ascii="Times New Roman" w:hAnsi="Times New Roman"/>
        </w:rPr>
        <w:t>metformino</w:t>
      </w:r>
      <w:proofErr w:type="spellEnd"/>
      <w:r w:rsidRPr="006A2591">
        <w:rPr>
          <w:rFonts w:ascii="Times New Roman" w:hAnsi="Times New Roman"/>
        </w:rPr>
        <w:t xml:space="preserve"> tabletę, plotas po kreive (</w:t>
      </w:r>
      <w:r w:rsidRPr="00EE0B84">
        <w:rPr>
          <w:rFonts w:ascii="Times New Roman" w:hAnsi="Times New Roman"/>
          <w:i/>
          <w:iCs/>
        </w:rPr>
        <w:t>AUC</w:t>
      </w:r>
      <w:r w:rsidRPr="006A2591">
        <w:rPr>
          <w:rFonts w:ascii="Times New Roman" w:hAnsi="Times New Roman"/>
        </w:rPr>
        <w:t>) buvo panašus kaip ir geriant 1</w:t>
      </w:r>
      <w:r w:rsidR="00C84D23">
        <w:rPr>
          <w:rFonts w:ascii="Times New Roman" w:hAnsi="Times New Roman"/>
        </w:rPr>
        <w:t> </w:t>
      </w:r>
      <w:r w:rsidRPr="006A2591">
        <w:rPr>
          <w:rFonts w:ascii="Times New Roman" w:hAnsi="Times New Roman"/>
        </w:rPr>
        <w:t>000</w:t>
      </w:r>
      <w:r w:rsidRPr="0078470E">
        <w:rPr>
          <w:rFonts w:ascii="Times New Roman" w:hAnsi="Times New Roman"/>
        </w:rPr>
        <w:t> </w:t>
      </w:r>
      <w:r w:rsidRPr="006A2591">
        <w:rPr>
          <w:rFonts w:ascii="Times New Roman" w:hAnsi="Times New Roman"/>
        </w:rPr>
        <w:t xml:space="preserve">mg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tabletę du kartus per parą.</w:t>
      </w:r>
    </w:p>
    <w:p w14:paraId="629A1F91" w14:textId="77777777" w:rsidR="00601C8B" w:rsidRPr="006A2591" w:rsidRDefault="00601C8B" w:rsidP="00601C8B">
      <w:pPr>
        <w:pStyle w:val="Betarp"/>
        <w:rPr>
          <w:rFonts w:ascii="Times New Roman" w:hAnsi="Times New Roman"/>
        </w:rPr>
      </w:pPr>
    </w:p>
    <w:p w14:paraId="4DB9DCE9" w14:textId="77777777" w:rsidR="00601C8B" w:rsidRPr="006A2591" w:rsidRDefault="00601C8B" w:rsidP="00601C8B">
      <w:pPr>
        <w:pStyle w:val="Betarp"/>
        <w:rPr>
          <w:rFonts w:ascii="Times New Roman" w:hAnsi="Times New Roman"/>
        </w:rPr>
      </w:pPr>
      <w:r w:rsidRPr="006A2591">
        <w:rPr>
          <w:rFonts w:ascii="Times New Roman" w:hAnsi="Times New Roman"/>
        </w:rPr>
        <w:t>Didžiausios plazmos koncentracijos (</w:t>
      </w:r>
      <w:proofErr w:type="spellStart"/>
      <w:r w:rsidRPr="00EE0B84">
        <w:rPr>
          <w:rFonts w:ascii="Times New Roman" w:hAnsi="Times New Roman"/>
          <w:i/>
          <w:iCs/>
        </w:rPr>
        <w:t>C</w:t>
      </w:r>
      <w:r w:rsidRPr="00EE0B84">
        <w:rPr>
          <w:rFonts w:ascii="Times New Roman" w:hAnsi="Times New Roman"/>
          <w:i/>
          <w:iCs/>
          <w:vertAlign w:val="subscript"/>
        </w:rPr>
        <w:t>max</w:t>
      </w:r>
      <w:proofErr w:type="spellEnd"/>
      <w:r w:rsidRPr="006A2591">
        <w:rPr>
          <w:rFonts w:ascii="Times New Roman" w:hAnsi="Times New Roman"/>
        </w:rPr>
        <w:t>) ir ploto po kreive (</w:t>
      </w:r>
      <w:r w:rsidRPr="00EE0B84">
        <w:rPr>
          <w:rFonts w:ascii="Times New Roman" w:hAnsi="Times New Roman"/>
          <w:i/>
          <w:iCs/>
        </w:rPr>
        <w:t>AUC</w:t>
      </w:r>
      <w:r w:rsidRPr="006A2591">
        <w:rPr>
          <w:rFonts w:ascii="Times New Roman" w:hAnsi="Times New Roman"/>
        </w:rPr>
        <w:t xml:space="preserve">) svyravimai įvairių pacientų kraujyje buvo panašūs tiek pailginto atpalaidavimo, tiek ir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grupėse.</w:t>
      </w:r>
    </w:p>
    <w:p w14:paraId="6E5CAB50" w14:textId="77777777" w:rsidR="00601C8B" w:rsidRPr="006A2591" w:rsidRDefault="00601C8B" w:rsidP="00601C8B">
      <w:pPr>
        <w:pStyle w:val="Betarp"/>
        <w:rPr>
          <w:rFonts w:ascii="Times New Roman" w:hAnsi="Times New Roman"/>
        </w:rPr>
      </w:pPr>
    </w:p>
    <w:p w14:paraId="7424FFA4" w14:textId="665972DB" w:rsidR="00601C8B" w:rsidRPr="006A2591" w:rsidRDefault="00601C8B" w:rsidP="00601C8B">
      <w:pPr>
        <w:pStyle w:val="Betarp"/>
        <w:rPr>
          <w:rFonts w:ascii="Times New Roman" w:hAnsi="Times New Roman"/>
        </w:rPr>
      </w:pPr>
      <w:r w:rsidRPr="006A2591">
        <w:rPr>
          <w:rFonts w:ascii="Times New Roman" w:hAnsi="Times New Roman"/>
        </w:rPr>
        <w:t xml:space="preserve">Kai </w:t>
      </w:r>
      <w:r>
        <w:rPr>
          <w:rFonts w:ascii="Times New Roman" w:hAnsi="Times New Roman"/>
        </w:rPr>
        <w:t>1</w:t>
      </w:r>
      <w:r w:rsidR="003D2166">
        <w:rPr>
          <w:rFonts w:ascii="Times New Roman" w:hAnsi="Times New Roman"/>
        </w:rPr>
        <w:t> </w:t>
      </w:r>
      <w:r>
        <w:rPr>
          <w:rFonts w:ascii="Times New Roman" w:hAnsi="Times New Roman"/>
        </w:rPr>
        <w:t xml:space="preserve">000 mg </w:t>
      </w:r>
      <w:r w:rsidRPr="006A2591">
        <w:rPr>
          <w:rFonts w:ascii="Times New Roman" w:hAnsi="Times New Roman"/>
        </w:rPr>
        <w:t xml:space="preserve">pailginto atpalaidavimo tablečių buvo skiriama </w:t>
      </w:r>
      <w:r>
        <w:rPr>
          <w:rFonts w:ascii="Times New Roman" w:hAnsi="Times New Roman"/>
        </w:rPr>
        <w:t>su maistu</w:t>
      </w:r>
      <w:r w:rsidRPr="006A2591">
        <w:rPr>
          <w:rFonts w:ascii="Times New Roman" w:hAnsi="Times New Roman"/>
        </w:rPr>
        <w:t>, plotas po kreive (</w:t>
      </w:r>
      <w:r w:rsidRPr="00EE0B84">
        <w:rPr>
          <w:rFonts w:ascii="Times New Roman" w:hAnsi="Times New Roman"/>
          <w:i/>
          <w:iCs/>
        </w:rPr>
        <w:t>AUC</w:t>
      </w:r>
      <w:r w:rsidRPr="006A2591">
        <w:rPr>
          <w:rFonts w:ascii="Times New Roman" w:hAnsi="Times New Roman"/>
        </w:rPr>
        <w:t xml:space="preserve">) </w:t>
      </w:r>
      <w:r>
        <w:rPr>
          <w:rFonts w:ascii="Times New Roman" w:hAnsi="Times New Roman"/>
        </w:rPr>
        <w:t>padidėjo</w:t>
      </w:r>
      <w:r w:rsidRPr="006A2591">
        <w:rPr>
          <w:rFonts w:ascii="Times New Roman" w:hAnsi="Times New Roman"/>
        </w:rPr>
        <w:t xml:space="preserve"> </w:t>
      </w:r>
      <w:r>
        <w:rPr>
          <w:rFonts w:ascii="Times New Roman" w:hAnsi="Times New Roman"/>
        </w:rPr>
        <w:t>77</w:t>
      </w:r>
      <w:r w:rsidR="003D2166">
        <w:rPr>
          <w:rFonts w:ascii="Times New Roman" w:hAnsi="Times New Roman"/>
        </w:rPr>
        <w:t> </w:t>
      </w:r>
      <w:r w:rsidRPr="006A2591">
        <w:rPr>
          <w:rFonts w:ascii="Times New Roman" w:hAnsi="Times New Roman"/>
        </w:rPr>
        <w:t>proc. (</w:t>
      </w:r>
      <w:proofErr w:type="spellStart"/>
      <w:r w:rsidRPr="00EE0B84">
        <w:rPr>
          <w:rFonts w:ascii="Times New Roman" w:hAnsi="Times New Roman"/>
          <w:i/>
          <w:iCs/>
        </w:rPr>
        <w:t>C</w:t>
      </w:r>
      <w:r w:rsidRPr="00EE0B84">
        <w:rPr>
          <w:rFonts w:ascii="Times New Roman" w:hAnsi="Times New Roman"/>
          <w:i/>
          <w:iCs/>
          <w:vertAlign w:val="subscript"/>
        </w:rPr>
        <w:t>max</w:t>
      </w:r>
      <w:proofErr w:type="spellEnd"/>
      <w:r w:rsidRPr="00EE0B84">
        <w:rPr>
          <w:rFonts w:ascii="Times New Roman" w:hAnsi="Times New Roman"/>
          <w:i/>
          <w:iCs/>
        </w:rPr>
        <w:t xml:space="preserve"> </w:t>
      </w:r>
      <w:r>
        <w:rPr>
          <w:rFonts w:ascii="Times New Roman" w:hAnsi="Times New Roman"/>
        </w:rPr>
        <w:t>padidėjo 26</w:t>
      </w:r>
      <w:r w:rsidR="00E54847">
        <w:rPr>
          <w:rFonts w:ascii="Times New Roman" w:hAnsi="Times New Roman"/>
        </w:rPr>
        <w:t> </w:t>
      </w:r>
      <w:r>
        <w:rPr>
          <w:rFonts w:ascii="Times New Roman" w:hAnsi="Times New Roman"/>
        </w:rPr>
        <w:t>proc.</w:t>
      </w:r>
      <w:r w:rsidRPr="006A2591">
        <w:rPr>
          <w:rFonts w:ascii="Times New Roman" w:hAnsi="Times New Roman"/>
        </w:rPr>
        <w:t xml:space="preserve">, </w:t>
      </w:r>
      <w:r>
        <w:rPr>
          <w:rFonts w:ascii="Times New Roman" w:hAnsi="Times New Roman"/>
        </w:rPr>
        <w:t>o</w:t>
      </w:r>
      <w:r w:rsidRPr="006A2591">
        <w:rPr>
          <w:rFonts w:ascii="Times New Roman" w:hAnsi="Times New Roman"/>
        </w:rPr>
        <w:t xml:space="preserve"> </w:t>
      </w:r>
      <w:proofErr w:type="spellStart"/>
      <w:r w:rsidRPr="00EE0B84">
        <w:rPr>
          <w:rFonts w:ascii="Times New Roman" w:hAnsi="Times New Roman"/>
          <w:i/>
          <w:iCs/>
        </w:rPr>
        <w:t>T</w:t>
      </w:r>
      <w:r w:rsidRPr="00EE0B84">
        <w:rPr>
          <w:rFonts w:ascii="Times New Roman" w:hAnsi="Times New Roman"/>
          <w:i/>
          <w:iCs/>
          <w:vertAlign w:val="subscript"/>
        </w:rPr>
        <w:t>max</w:t>
      </w:r>
      <w:proofErr w:type="spellEnd"/>
      <w:r w:rsidRPr="006A2591">
        <w:rPr>
          <w:rFonts w:ascii="Times New Roman" w:hAnsi="Times New Roman"/>
        </w:rPr>
        <w:t xml:space="preserve"> </w:t>
      </w:r>
      <w:r>
        <w:rPr>
          <w:rFonts w:ascii="Times New Roman" w:hAnsi="Times New Roman"/>
        </w:rPr>
        <w:t xml:space="preserve">pailgėjo </w:t>
      </w:r>
      <w:r w:rsidR="003D2166">
        <w:rPr>
          <w:rFonts w:ascii="Times New Roman" w:hAnsi="Times New Roman"/>
        </w:rPr>
        <w:t xml:space="preserve">maždaug </w:t>
      </w:r>
      <w:r>
        <w:rPr>
          <w:rFonts w:ascii="Times New Roman" w:hAnsi="Times New Roman"/>
        </w:rPr>
        <w:t>1</w:t>
      </w:r>
      <w:r w:rsidR="003D2166">
        <w:rPr>
          <w:rFonts w:ascii="Times New Roman" w:hAnsi="Times New Roman"/>
        </w:rPr>
        <w:t> </w:t>
      </w:r>
      <w:r>
        <w:rPr>
          <w:rFonts w:ascii="Times New Roman" w:hAnsi="Times New Roman"/>
        </w:rPr>
        <w:t>val.</w:t>
      </w:r>
      <w:r w:rsidRPr="006A2591">
        <w:rPr>
          <w:rFonts w:ascii="Times New Roman" w:hAnsi="Times New Roman"/>
        </w:rPr>
        <w:t>).</w:t>
      </w:r>
    </w:p>
    <w:p w14:paraId="4A701FDA" w14:textId="77777777" w:rsidR="00601C8B" w:rsidRPr="006A2591" w:rsidRDefault="00601C8B" w:rsidP="00601C8B">
      <w:pPr>
        <w:pStyle w:val="Betarp"/>
        <w:rPr>
          <w:rFonts w:ascii="Times New Roman" w:hAnsi="Times New Roman"/>
        </w:rPr>
      </w:pPr>
    </w:p>
    <w:p w14:paraId="4A82CFFA"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Maisto sudėtis pailginto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tablečių vidutin</w:t>
      </w:r>
      <w:r>
        <w:rPr>
          <w:rFonts w:ascii="Times New Roman" w:hAnsi="Times New Roman"/>
        </w:rPr>
        <w:t>ės</w:t>
      </w:r>
      <w:r w:rsidRPr="006A2591">
        <w:rPr>
          <w:rFonts w:ascii="Times New Roman" w:hAnsi="Times New Roman"/>
        </w:rPr>
        <w:t xml:space="preserve"> </w:t>
      </w:r>
      <w:r>
        <w:rPr>
          <w:rFonts w:ascii="Times New Roman" w:hAnsi="Times New Roman"/>
        </w:rPr>
        <w:t>abs</w:t>
      </w:r>
      <w:r w:rsidRPr="006A2591">
        <w:rPr>
          <w:rFonts w:ascii="Times New Roman" w:hAnsi="Times New Roman"/>
        </w:rPr>
        <w:t>orbcij</w:t>
      </w:r>
      <w:r>
        <w:rPr>
          <w:rFonts w:ascii="Times New Roman" w:hAnsi="Times New Roman"/>
        </w:rPr>
        <w:t>os</w:t>
      </w:r>
      <w:r w:rsidRPr="006A2591">
        <w:rPr>
          <w:rFonts w:ascii="Times New Roman" w:hAnsi="Times New Roman"/>
        </w:rPr>
        <w:t xml:space="preserve"> beveik </w:t>
      </w:r>
      <w:r>
        <w:rPr>
          <w:rFonts w:ascii="Times New Roman" w:hAnsi="Times New Roman"/>
        </w:rPr>
        <w:t>nekeitė</w:t>
      </w:r>
      <w:r w:rsidRPr="006A2591">
        <w:rPr>
          <w:rFonts w:ascii="Times New Roman" w:hAnsi="Times New Roman"/>
        </w:rPr>
        <w:t xml:space="preserve">. </w:t>
      </w:r>
    </w:p>
    <w:p w14:paraId="1771853C" w14:textId="77777777" w:rsidR="00601C8B" w:rsidRPr="006A2591" w:rsidRDefault="00601C8B" w:rsidP="00601C8B">
      <w:pPr>
        <w:pStyle w:val="Betarp"/>
        <w:rPr>
          <w:rFonts w:ascii="Times New Roman" w:hAnsi="Times New Roman"/>
        </w:rPr>
      </w:pPr>
    </w:p>
    <w:p w14:paraId="79111959" w14:textId="04F3CF64" w:rsidR="00601C8B" w:rsidRPr="006A2591" w:rsidRDefault="00601C8B" w:rsidP="00601C8B">
      <w:pPr>
        <w:pStyle w:val="Betarp"/>
        <w:rPr>
          <w:rFonts w:ascii="Times New Roman" w:hAnsi="Times New Roman"/>
        </w:rPr>
      </w:pPr>
      <w:r w:rsidRPr="006A2591">
        <w:rPr>
          <w:rFonts w:ascii="Times New Roman" w:hAnsi="Times New Roman"/>
        </w:rPr>
        <w:t xml:space="preserve">Vartojant </w:t>
      </w:r>
      <w:r w:rsidR="000F5CC9">
        <w:rPr>
          <w:rFonts w:ascii="Times New Roman" w:hAnsi="Times New Roman"/>
        </w:rPr>
        <w:t xml:space="preserve">kartotines </w:t>
      </w:r>
      <w:r w:rsidR="000F5CC9" w:rsidRPr="006A2591">
        <w:rPr>
          <w:rFonts w:ascii="Times New Roman" w:hAnsi="Times New Roman"/>
        </w:rPr>
        <w:t>iki 2</w:t>
      </w:r>
      <w:r w:rsidR="000F5CC9">
        <w:rPr>
          <w:rFonts w:ascii="Times New Roman" w:hAnsi="Times New Roman"/>
        </w:rPr>
        <w:t> </w:t>
      </w:r>
      <w:r w:rsidR="000F5CC9" w:rsidRPr="006A2591">
        <w:rPr>
          <w:rFonts w:ascii="Times New Roman" w:hAnsi="Times New Roman"/>
        </w:rPr>
        <w:t>000</w:t>
      </w:r>
      <w:r w:rsidR="000F5CC9">
        <w:rPr>
          <w:rFonts w:ascii="Times New Roman" w:hAnsi="Times New Roman"/>
        </w:rPr>
        <w:t> </w:t>
      </w:r>
      <w:r w:rsidR="000F5CC9" w:rsidRPr="006A2591">
        <w:rPr>
          <w:rFonts w:ascii="Times New Roman" w:hAnsi="Times New Roman"/>
        </w:rPr>
        <w:t xml:space="preserve">mg </w:t>
      </w:r>
      <w:proofErr w:type="spellStart"/>
      <w:r w:rsidR="000F5CC9" w:rsidRPr="006A2591">
        <w:rPr>
          <w:rFonts w:ascii="Times New Roman" w:hAnsi="Times New Roman"/>
        </w:rPr>
        <w:t>metformino</w:t>
      </w:r>
      <w:proofErr w:type="spellEnd"/>
      <w:r w:rsidR="000F5CC9" w:rsidRPr="006A2591">
        <w:rPr>
          <w:rFonts w:ascii="Times New Roman" w:hAnsi="Times New Roman"/>
        </w:rPr>
        <w:t xml:space="preserve"> </w:t>
      </w:r>
      <w:r w:rsidRPr="006A2591">
        <w:rPr>
          <w:rFonts w:ascii="Times New Roman" w:hAnsi="Times New Roman"/>
        </w:rPr>
        <w:t>pailginto atpalaidavimo table</w:t>
      </w:r>
      <w:r w:rsidR="000F5CC9">
        <w:rPr>
          <w:rFonts w:ascii="Times New Roman" w:hAnsi="Times New Roman"/>
        </w:rPr>
        <w:t>čių doz</w:t>
      </w:r>
      <w:r w:rsidRPr="006A2591">
        <w:rPr>
          <w:rFonts w:ascii="Times New Roman" w:hAnsi="Times New Roman"/>
        </w:rPr>
        <w:t>es</w:t>
      </w:r>
      <w:r w:rsidR="000F5CC9">
        <w:rPr>
          <w:rFonts w:ascii="Times New Roman" w:hAnsi="Times New Roman"/>
        </w:rPr>
        <w:t>,</w:t>
      </w:r>
      <w:r w:rsidRPr="006A2591">
        <w:rPr>
          <w:rFonts w:ascii="Times New Roman" w:hAnsi="Times New Roman"/>
        </w:rPr>
        <w:t xml:space="preserve"> </w:t>
      </w:r>
      <w:proofErr w:type="spellStart"/>
      <w:r>
        <w:rPr>
          <w:rFonts w:ascii="Times New Roman" w:hAnsi="Times New Roman"/>
        </w:rPr>
        <w:t>metformino</w:t>
      </w:r>
      <w:proofErr w:type="spellEnd"/>
      <w:r w:rsidRPr="006A2591">
        <w:rPr>
          <w:rFonts w:ascii="Times New Roman" w:hAnsi="Times New Roman"/>
        </w:rPr>
        <w:t xml:space="preserve"> </w:t>
      </w:r>
      <w:r w:rsidR="000F5CC9">
        <w:rPr>
          <w:rFonts w:ascii="Times New Roman" w:hAnsi="Times New Roman"/>
        </w:rPr>
        <w:t>kaupimosi</w:t>
      </w:r>
      <w:r w:rsidRPr="006A2591">
        <w:rPr>
          <w:rFonts w:ascii="Times New Roman" w:hAnsi="Times New Roman"/>
        </w:rPr>
        <w:t xml:space="preserve"> nestebėta.</w:t>
      </w:r>
    </w:p>
    <w:p w14:paraId="20066145" w14:textId="77777777" w:rsidR="00601C8B" w:rsidRPr="006A2591" w:rsidRDefault="00601C8B" w:rsidP="00601C8B">
      <w:pPr>
        <w:pStyle w:val="Betarp"/>
        <w:rPr>
          <w:rFonts w:ascii="Times New Roman" w:hAnsi="Times New Roman"/>
        </w:rPr>
      </w:pPr>
    </w:p>
    <w:p w14:paraId="2FCE6A4F"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Pasiskirstymas</w:t>
      </w:r>
    </w:p>
    <w:p w14:paraId="1CD1352A" w14:textId="77777777" w:rsidR="00601C8B" w:rsidRPr="006A2591" w:rsidRDefault="00601C8B" w:rsidP="00601C8B">
      <w:pPr>
        <w:pStyle w:val="Betarp"/>
        <w:rPr>
          <w:rFonts w:ascii="Times New Roman" w:hAnsi="Times New Roman"/>
          <w:u w:val="single"/>
        </w:rPr>
      </w:pPr>
    </w:p>
    <w:p w14:paraId="20F14548" w14:textId="1867D672"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su kraujo plazmos baltymais </w:t>
      </w:r>
      <w:r>
        <w:rPr>
          <w:rFonts w:ascii="Times New Roman" w:hAnsi="Times New Roman"/>
        </w:rPr>
        <w:t>beveik</w:t>
      </w:r>
      <w:r w:rsidRPr="006A2591">
        <w:rPr>
          <w:rFonts w:ascii="Times New Roman" w:hAnsi="Times New Roman"/>
        </w:rPr>
        <w:t xml:space="preserve"> nesusijungia. Jis įsiskverbia į eritrocitus. </w:t>
      </w:r>
      <w:proofErr w:type="spellStart"/>
      <w:r w:rsidRPr="006A2591">
        <w:rPr>
          <w:rFonts w:ascii="Times New Roman" w:hAnsi="Times New Roman"/>
        </w:rPr>
        <w:t>Metformino</w:t>
      </w:r>
      <w:proofErr w:type="spellEnd"/>
      <w:r w:rsidRPr="006A2591">
        <w:rPr>
          <w:rFonts w:ascii="Times New Roman" w:hAnsi="Times New Roman"/>
        </w:rPr>
        <w:t xml:space="preserve"> didžiausia koncentracija kraujyje yra mažesnė negu didžiausia koncentracija kraujo plazmoje, nors susidaro apytikriai tuo pačiu metu.</w:t>
      </w:r>
      <w:r w:rsidRPr="00886D2A">
        <w:rPr>
          <w:rFonts w:ascii="Times New Roman" w:hAnsi="Times New Roman"/>
        </w:rPr>
        <w:t xml:space="preserve"> </w:t>
      </w:r>
      <w:r>
        <w:rPr>
          <w:rFonts w:ascii="Times New Roman" w:hAnsi="Times New Roman"/>
        </w:rPr>
        <w:t xml:space="preserve">Eritrocitai tikriausiai yra antras pasiskirstymo objektas. </w:t>
      </w:r>
      <w:r w:rsidRPr="006A2591">
        <w:rPr>
          <w:rFonts w:ascii="Times New Roman" w:hAnsi="Times New Roman"/>
        </w:rPr>
        <w:t xml:space="preserve"> Vidutinis menamo pasiskirstymo tūris (</w:t>
      </w:r>
      <w:proofErr w:type="spellStart"/>
      <w:r w:rsidRPr="00EE0B84">
        <w:rPr>
          <w:rFonts w:ascii="Times New Roman" w:hAnsi="Times New Roman"/>
          <w:i/>
          <w:iCs/>
        </w:rPr>
        <w:t>V</w:t>
      </w:r>
      <w:r w:rsidRPr="00EE0B84">
        <w:rPr>
          <w:rFonts w:ascii="Times New Roman" w:hAnsi="Times New Roman"/>
          <w:i/>
          <w:iCs/>
          <w:vertAlign w:val="subscript"/>
        </w:rPr>
        <w:t>d</w:t>
      </w:r>
      <w:proofErr w:type="spellEnd"/>
      <w:r w:rsidRPr="006A2591">
        <w:rPr>
          <w:rFonts w:ascii="Times New Roman" w:hAnsi="Times New Roman"/>
        </w:rPr>
        <w:t>) yra 63-276</w:t>
      </w:r>
      <w:r w:rsidR="0029603F">
        <w:rPr>
          <w:rFonts w:ascii="Times New Roman" w:hAnsi="Times New Roman"/>
        </w:rPr>
        <w:t> </w:t>
      </w:r>
      <w:r w:rsidRPr="006A2591">
        <w:rPr>
          <w:rFonts w:ascii="Times New Roman" w:hAnsi="Times New Roman"/>
        </w:rPr>
        <w:t>litrai.</w:t>
      </w:r>
    </w:p>
    <w:p w14:paraId="62FB9766" w14:textId="77777777" w:rsidR="00601C8B" w:rsidRPr="006A2591" w:rsidRDefault="00601C8B" w:rsidP="00601C8B">
      <w:pPr>
        <w:pStyle w:val="Betarp"/>
        <w:rPr>
          <w:rFonts w:ascii="Times New Roman" w:hAnsi="Times New Roman"/>
        </w:rPr>
      </w:pPr>
    </w:p>
    <w:p w14:paraId="68EBFF64" w14:textId="77777777" w:rsidR="00601C8B" w:rsidRPr="006A2591" w:rsidRDefault="00601C8B" w:rsidP="00601C8B">
      <w:pPr>
        <w:pStyle w:val="Betarp"/>
        <w:rPr>
          <w:rFonts w:ascii="Times New Roman" w:hAnsi="Times New Roman"/>
          <w:u w:val="single"/>
        </w:rPr>
      </w:pPr>
      <w:proofErr w:type="spellStart"/>
      <w:r w:rsidRPr="006A2591">
        <w:rPr>
          <w:rFonts w:ascii="Times New Roman" w:hAnsi="Times New Roman"/>
          <w:u w:val="single"/>
        </w:rPr>
        <w:t>Biotransformacija</w:t>
      </w:r>
      <w:proofErr w:type="spellEnd"/>
    </w:p>
    <w:p w14:paraId="40B18947" w14:textId="77777777" w:rsidR="00601C8B" w:rsidRPr="006A2591" w:rsidRDefault="00601C8B" w:rsidP="00601C8B">
      <w:pPr>
        <w:pStyle w:val="Betarp"/>
        <w:rPr>
          <w:rFonts w:ascii="Times New Roman" w:hAnsi="Times New Roman"/>
        </w:rPr>
      </w:pPr>
    </w:p>
    <w:p w14:paraId="75EC3C7C" w14:textId="77777777"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išsiskiria pro inkstus nepakitęs. Žmogaus organizme jo metabolitų neaptikta.</w:t>
      </w:r>
    </w:p>
    <w:p w14:paraId="02D95D22" w14:textId="77777777" w:rsidR="00601C8B" w:rsidRPr="006A2591" w:rsidRDefault="00601C8B" w:rsidP="00601C8B">
      <w:pPr>
        <w:pStyle w:val="Betarp"/>
        <w:rPr>
          <w:rFonts w:ascii="Times New Roman" w:hAnsi="Times New Roman"/>
        </w:rPr>
      </w:pPr>
    </w:p>
    <w:p w14:paraId="67D68D08" w14:textId="77777777" w:rsidR="00601C8B" w:rsidRPr="006A2591" w:rsidRDefault="00601C8B" w:rsidP="00601C8B">
      <w:pPr>
        <w:pStyle w:val="Betarp"/>
        <w:rPr>
          <w:rFonts w:ascii="Times New Roman" w:hAnsi="Times New Roman"/>
          <w:u w:val="single"/>
        </w:rPr>
      </w:pPr>
      <w:r w:rsidRPr="006A2591">
        <w:rPr>
          <w:rFonts w:ascii="Times New Roman" w:hAnsi="Times New Roman"/>
          <w:u w:val="single"/>
        </w:rPr>
        <w:t>Eliminacija</w:t>
      </w:r>
    </w:p>
    <w:p w14:paraId="2CED6824" w14:textId="77777777" w:rsidR="00601C8B" w:rsidRPr="006A2591" w:rsidRDefault="00601C8B" w:rsidP="00601C8B">
      <w:pPr>
        <w:pStyle w:val="Betarp"/>
        <w:rPr>
          <w:rFonts w:ascii="Times New Roman" w:hAnsi="Times New Roman"/>
        </w:rPr>
      </w:pPr>
    </w:p>
    <w:p w14:paraId="2AC0FDB4" w14:textId="5C2776A8" w:rsidR="00601C8B" w:rsidRPr="006A2591" w:rsidRDefault="00601C8B" w:rsidP="00601C8B">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inkstų klirensas yra &gt;</w:t>
      </w:r>
      <w:r w:rsidR="0029603F">
        <w:rPr>
          <w:rFonts w:ascii="Times New Roman" w:hAnsi="Times New Roman"/>
        </w:rPr>
        <w:t> </w:t>
      </w:r>
      <w:r w:rsidRPr="006A2591">
        <w:rPr>
          <w:rFonts w:ascii="Times New Roman" w:hAnsi="Times New Roman"/>
        </w:rPr>
        <w:t>400</w:t>
      </w:r>
      <w:r w:rsidRPr="0078470E">
        <w:rPr>
          <w:rFonts w:ascii="Times New Roman" w:hAnsi="Times New Roman"/>
        </w:rPr>
        <w:t> </w:t>
      </w:r>
      <w:r w:rsidRPr="006A2591">
        <w:rPr>
          <w:rFonts w:ascii="Times New Roman" w:hAnsi="Times New Roman"/>
        </w:rPr>
        <w:t xml:space="preserve">ml/min.; tai rodo, kad vyksta jo filtracija </w:t>
      </w:r>
      <w:proofErr w:type="spellStart"/>
      <w:r w:rsidRPr="006A2591">
        <w:rPr>
          <w:rFonts w:ascii="Times New Roman" w:hAnsi="Times New Roman"/>
        </w:rPr>
        <w:t>glomeruluose</w:t>
      </w:r>
      <w:proofErr w:type="spellEnd"/>
      <w:r w:rsidRPr="006A2591">
        <w:rPr>
          <w:rFonts w:ascii="Times New Roman" w:hAnsi="Times New Roman"/>
        </w:rPr>
        <w:t xml:space="preserve"> ir sekrecija inkstų kanalėliuose. Išgerto </w:t>
      </w:r>
      <w:proofErr w:type="spellStart"/>
      <w:r w:rsidRPr="006A2591">
        <w:rPr>
          <w:rFonts w:ascii="Times New Roman" w:hAnsi="Times New Roman"/>
        </w:rPr>
        <w:t>metformino</w:t>
      </w:r>
      <w:proofErr w:type="spellEnd"/>
      <w:r w:rsidRPr="006A2591">
        <w:rPr>
          <w:rFonts w:ascii="Times New Roman" w:hAnsi="Times New Roman"/>
        </w:rPr>
        <w:t xml:space="preserve"> pusinės eliminacijos laikas yra apie 6,5</w:t>
      </w:r>
      <w:r w:rsidR="0029603F">
        <w:rPr>
          <w:rFonts w:ascii="Times New Roman" w:hAnsi="Times New Roman"/>
        </w:rPr>
        <w:t> </w:t>
      </w:r>
      <w:r w:rsidRPr="006A2591">
        <w:rPr>
          <w:rFonts w:ascii="Times New Roman" w:hAnsi="Times New Roman"/>
        </w:rPr>
        <w:t xml:space="preserve">val. </w:t>
      </w:r>
    </w:p>
    <w:p w14:paraId="48D1A6F3"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Sutrikus inkstų funkcijai, </w:t>
      </w:r>
      <w:r>
        <w:rPr>
          <w:rFonts w:ascii="Times New Roman" w:hAnsi="Times New Roman"/>
        </w:rPr>
        <w:t xml:space="preserve">inkstų </w:t>
      </w:r>
      <w:r w:rsidRPr="006A2591">
        <w:rPr>
          <w:rFonts w:ascii="Times New Roman" w:hAnsi="Times New Roman"/>
        </w:rPr>
        <w:t xml:space="preserve">klirensas sumažėja proporcingai kreatinino </w:t>
      </w:r>
      <w:r>
        <w:rPr>
          <w:rFonts w:ascii="Times New Roman" w:hAnsi="Times New Roman"/>
        </w:rPr>
        <w:t>klirensui</w:t>
      </w:r>
      <w:r w:rsidRPr="006A2591">
        <w:rPr>
          <w:rFonts w:ascii="Times New Roman" w:hAnsi="Times New Roman"/>
        </w:rPr>
        <w:t xml:space="preserve"> ir todėl pailgėja pusinės eliminacijos laikas bei padidėja </w:t>
      </w:r>
      <w:proofErr w:type="spellStart"/>
      <w:r w:rsidRPr="006A2591">
        <w:rPr>
          <w:rFonts w:ascii="Times New Roman" w:hAnsi="Times New Roman"/>
        </w:rPr>
        <w:t>metformino</w:t>
      </w:r>
      <w:proofErr w:type="spellEnd"/>
      <w:r w:rsidRPr="006A2591">
        <w:rPr>
          <w:rFonts w:ascii="Times New Roman" w:hAnsi="Times New Roman"/>
        </w:rPr>
        <w:t xml:space="preserve"> kiekis kraujo plazmoje. </w:t>
      </w:r>
    </w:p>
    <w:p w14:paraId="2DFE99D6" w14:textId="77777777" w:rsidR="00601C8B" w:rsidRPr="006A2591" w:rsidRDefault="00601C8B" w:rsidP="00601C8B">
      <w:pPr>
        <w:pStyle w:val="Betarp"/>
        <w:rPr>
          <w:rFonts w:ascii="Times New Roman" w:hAnsi="Times New Roman"/>
        </w:rPr>
      </w:pPr>
    </w:p>
    <w:p w14:paraId="1B606D41" w14:textId="77777777" w:rsidR="00601C8B" w:rsidRDefault="00601C8B" w:rsidP="00601C8B">
      <w:pPr>
        <w:pStyle w:val="Betarp"/>
        <w:rPr>
          <w:rFonts w:ascii="Times New Roman" w:hAnsi="Times New Roman"/>
          <w:u w:val="single"/>
        </w:rPr>
      </w:pPr>
      <w:r>
        <w:rPr>
          <w:rFonts w:ascii="Times New Roman" w:hAnsi="Times New Roman"/>
          <w:u w:val="single"/>
        </w:rPr>
        <w:t>Ypatingos populiacijos</w:t>
      </w:r>
    </w:p>
    <w:p w14:paraId="6837D4BF" w14:textId="77777777" w:rsidR="0029603F" w:rsidRPr="006A2591" w:rsidRDefault="0029603F" w:rsidP="00601C8B">
      <w:pPr>
        <w:pStyle w:val="Betarp"/>
        <w:rPr>
          <w:rFonts w:ascii="Times New Roman" w:hAnsi="Times New Roman"/>
        </w:rPr>
      </w:pPr>
    </w:p>
    <w:p w14:paraId="5D4C072A" w14:textId="77777777" w:rsidR="00601C8B" w:rsidRPr="006A2591" w:rsidRDefault="00601C8B" w:rsidP="00601C8B">
      <w:pPr>
        <w:pStyle w:val="Betarp"/>
        <w:rPr>
          <w:rFonts w:ascii="Times New Roman" w:hAnsi="Times New Roman"/>
          <w:i/>
        </w:rPr>
      </w:pPr>
      <w:r>
        <w:rPr>
          <w:rFonts w:ascii="Times New Roman" w:hAnsi="Times New Roman"/>
          <w:i/>
        </w:rPr>
        <w:t>Sutrikusi inkstų funkcija</w:t>
      </w:r>
    </w:p>
    <w:p w14:paraId="48BBCB12" w14:textId="70FFE82A" w:rsidR="00601C8B" w:rsidRPr="006A2591" w:rsidRDefault="00601C8B" w:rsidP="00601C8B">
      <w:pPr>
        <w:rPr>
          <w:szCs w:val="22"/>
        </w:rPr>
      </w:pPr>
      <w:r w:rsidRPr="006A2591">
        <w:rPr>
          <w:szCs w:val="22"/>
        </w:rPr>
        <w:t xml:space="preserve">Esami duomenys apie </w:t>
      </w:r>
      <w:proofErr w:type="spellStart"/>
      <w:r w:rsidRPr="006A2591">
        <w:rPr>
          <w:szCs w:val="22"/>
        </w:rPr>
        <w:t>metformino</w:t>
      </w:r>
      <w:proofErr w:type="spellEnd"/>
      <w:r w:rsidRPr="006A2591">
        <w:rPr>
          <w:szCs w:val="22"/>
        </w:rPr>
        <w:t xml:space="preserve"> ekspoziciją </w:t>
      </w:r>
      <w:r>
        <w:rPr>
          <w:szCs w:val="22"/>
        </w:rPr>
        <w:t xml:space="preserve">sergantiems vidutinio sunkumo </w:t>
      </w:r>
      <w:r w:rsidRPr="006A2591">
        <w:rPr>
          <w:szCs w:val="22"/>
        </w:rPr>
        <w:t>inkstų nepakankamumu yra nepakankami, todėl jų negalima lyginti su pacientų, kurių inkstų funkcija yra normali, duomenimis</w:t>
      </w:r>
      <w:r>
        <w:rPr>
          <w:szCs w:val="22"/>
        </w:rPr>
        <w:t xml:space="preserve">. </w:t>
      </w:r>
      <w:r w:rsidRPr="00BA2D6F">
        <w:rPr>
          <w:szCs w:val="22"/>
        </w:rPr>
        <w:t xml:space="preserve">Todėl </w:t>
      </w:r>
      <w:r>
        <w:rPr>
          <w:szCs w:val="22"/>
        </w:rPr>
        <w:t>dozė turi būti</w:t>
      </w:r>
      <w:r w:rsidRPr="00BA2D6F">
        <w:rPr>
          <w:szCs w:val="22"/>
        </w:rPr>
        <w:t xml:space="preserve"> pritaikoma</w:t>
      </w:r>
      <w:r w:rsidR="0029603F">
        <w:rPr>
          <w:szCs w:val="22"/>
        </w:rPr>
        <w:t>,</w:t>
      </w:r>
      <w:r w:rsidRPr="00BA2D6F">
        <w:rPr>
          <w:szCs w:val="22"/>
        </w:rPr>
        <w:t xml:space="preserve"> remiantis klinikiniu veiksmingumo </w:t>
      </w:r>
      <w:r>
        <w:rPr>
          <w:szCs w:val="22"/>
        </w:rPr>
        <w:t xml:space="preserve">ir </w:t>
      </w:r>
      <w:r w:rsidRPr="00BA2D6F">
        <w:rPr>
          <w:szCs w:val="22"/>
        </w:rPr>
        <w:t>toleravimo</w:t>
      </w:r>
      <w:r>
        <w:rPr>
          <w:szCs w:val="22"/>
        </w:rPr>
        <w:t xml:space="preserve"> įvertinimu</w:t>
      </w:r>
      <w:r w:rsidRPr="006A2591">
        <w:rPr>
          <w:szCs w:val="22"/>
        </w:rPr>
        <w:t xml:space="preserve"> (žr. 4.2</w:t>
      </w:r>
      <w:r w:rsidR="0029603F">
        <w:rPr>
          <w:szCs w:val="22"/>
        </w:rPr>
        <w:t> </w:t>
      </w:r>
      <w:r w:rsidRPr="006A2591">
        <w:rPr>
          <w:szCs w:val="22"/>
        </w:rPr>
        <w:t>skyrių).</w:t>
      </w:r>
    </w:p>
    <w:p w14:paraId="676A5232" w14:textId="77777777" w:rsidR="00601C8B" w:rsidRPr="006A2591" w:rsidRDefault="00601C8B" w:rsidP="00601C8B">
      <w:pPr>
        <w:rPr>
          <w:szCs w:val="22"/>
        </w:rPr>
      </w:pPr>
    </w:p>
    <w:p w14:paraId="74E02E23" w14:textId="77777777" w:rsidR="00601C8B" w:rsidRPr="006A2591" w:rsidRDefault="00601C8B" w:rsidP="00601C8B">
      <w:pPr>
        <w:pStyle w:val="PI-2EMEASMCA"/>
        <w:outlineLvl w:val="9"/>
      </w:pPr>
      <w:r w:rsidRPr="006A2591">
        <w:t>5.3</w:t>
      </w:r>
      <w:r w:rsidRPr="006A2591">
        <w:tab/>
      </w:r>
      <w:proofErr w:type="spellStart"/>
      <w:r w:rsidRPr="006A2591">
        <w:t>Ikiklinikinių</w:t>
      </w:r>
      <w:proofErr w:type="spellEnd"/>
      <w:r w:rsidRPr="006A2591">
        <w:t xml:space="preserve"> saugumo tyrimų duomenys</w:t>
      </w:r>
    </w:p>
    <w:p w14:paraId="5756FD15" w14:textId="77777777" w:rsidR="00601C8B" w:rsidRPr="006A2591" w:rsidRDefault="00601C8B" w:rsidP="00E85904">
      <w:pPr>
        <w:pStyle w:val="BTEMEASMCA"/>
      </w:pPr>
    </w:p>
    <w:p w14:paraId="3F37FEF2" w14:textId="77777777" w:rsidR="00601C8B" w:rsidRPr="006A2591" w:rsidRDefault="00601C8B" w:rsidP="00E85904">
      <w:pPr>
        <w:pStyle w:val="BTEMEASMCA"/>
      </w:pPr>
      <w:r w:rsidRPr="006A2591">
        <w:t xml:space="preserve">Įprastų farmakologinio saugumo, kartotinių dozių toksiškumo, </w:t>
      </w:r>
      <w:proofErr w:type="spellStart"/>
      <w:r w:rsidRPr="006A2591">
        <w:t>genotoksiškumo</w:t>
      </w:r>
      <w:proofErr w:type="spellEnd"/>
      <w:r w:rsidRPr="006A2591">
        <w:t xml:space="preserve">, galimo </w:t>
      </w:r>
      <w:proofErr w:type="spellStart"/>
      <w:r w:rsidRPr="006A2591">
        <w:t>kancerogeniškumo</w:t>
      </w:r>
      <w:proofErr w:type="spellEnd"/>
      <w:r w:rsidRPr="006A2591">
        <w:t xml:space="preserve"> ir toksinio poveikio reprodukcijai </w:t>
      </w:r>
      <w:proofErr w:type="spellStart"/>
      <w:r w:rsidRPr="006A2591">
        <w:t>ikiklinikinių</w:t>
      </w:r>
      <w:proofErr w:type="spellEnd"/>
      <w:r w:rsidRPr="006A2591">
        <w:t xml:space="preserve"> tyrimų duomenys, specifinio pavojaus žmogui </w:t>
      </w:r>
      <w:r>
        <w:t>nerodo</w:t>
      </w:r>
      <w:r w:rsidRPr="006A2591">
        <w:t>.</w:t>
      </w:r>
    </w:p>
    <w:p w14:paraId="623C6E77" w14:textId="77777777" w:rsidR="00601C8B" w:rsidRPr="006A2591" w:rsidRDefault="00601C8B" w:rsidP="00E85904">
      <w:pPr>
        <w:pStyle w:val="BTEMEASMCA"/>
      </w:pPr>
    </w:p>
    <w:p w14:paraId="4366C24B" w14:textId="77777777" w:rsidR="00601C8B" w:rsidRPr="006A2591" w:rsidRDefault="00601C8B" w:rsidP="00E85904">
      <w:pPr>
        <w:pStyle w:val="BTEMEASMCA"/>
      </w:pPr>
    </w:p>
    <w:p w14:paraId="583882C6" w14:textId="77777777" w:rsidR="00601C8B" w:rsidRPr="006A2591" w:rsidRDefault="00601C8B" w:rsidP="00601C8B">
      <w:pPr>
        <w:pStyle w:val="PI-1EMEASMCA"/>
        <w:outlineLvl w:val="9"/>
      </w:pPr>
      <w:r w:rsidRPr="006A2591">
        <w:t>6.</w:t>
      </w:r>
      <w:r w:rsidRPr="006A2591">
        <w:tab/>
        <w:t>FARMACINĖ INFORMACIJA</w:t>
      </w:r>
    </w:p>
    <w:p w14:paraId="0AFDC35E" w14:textId="77777777" w:rsidR="00601C8B" w:rsidRPr="006A2591" w:rsidRDefault="00601C8B" w:rsidP="00601C8B">
      <w:pPr>
        <w:pStyle w:val="Pagrindinistekstas"/>
        <w:spacing w:after="0"/>
        <w:rPr>
          <w:b/>
          <w:szCs w:val="22"/>
        </w:rPr>
      </w:pPr>
    </w:p>
    <w:p w14:paraId="443CB408" w14:textId="77777777" w:rsidR="00601C8B" w:rsidRPr="006A2591" w:rsidRDefault="00601C8B" w:rsidP="00601C8B">
      <w:pPr>
        <w:pStyle w:val="PI-2EMEASMCA"/>
        <w:outlineLvl w:val="9"/>
      </w:pPr>
      <w:r w:rsidRPr="006A2591">
        <w:t>6.1</w:t>
      </w:r>
      <w:r w:rsidRPr="006A2591">
        <w:tab/>
        <w:t>Pagalbinių medžiagų sąrašas</w:t>
      </w:r>
    </w:p>
    <w:p w14:paraId="67D36A4D" w14:textId="77777777" w:rsidR="00601C8B" w:rsidRPr="006A2591" w:rsidRDefault="00601C8B" w:rsidP="00601C8B">
      <w:pPr>
        <w:rPr>
          <w:szCs w:val="22"/>
        </w:rPr>
      </w:pPr>
    </w:p>
    <w:p w14:paraId="34A1EC2E"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Magnio </w:t>
      </w:r>
      <w:proofErr w:type="spellStart"/>
      <w:r w:rsidRPr="006A2591">
        <w:rPr>
          <w:rFonts w:ascii="Times New Roman" w:hAnsi="Times New Roman"/>
        </w:rPr>
        <w:t>stearatas</w:t>
      </w:r>
      <w:proofErr w:type="spellEnd"/>
    </w:p>
    <w:p w14:paraId="42EE833E" w14:textId="77777777" w:rsidR="00601C8B" w:rsidRPr="006A2591" w:rsidRDefault="00601C8B" w:rsidP="00601C8B">
      <w:pPr>
        <w:pStyle w:val="Betarp"/>
        <w:rPr>
          <w:rFonts w:ascii="Times New Roman" w:hAnsi="Times New Roman"/>
        </w:rPr>
      </w:pPr>
      <w:r>
        <w:rPr>
          <w:rFonts w:ascii="Times New Roman" w:hAnsi="Times New Roman"/>
        </w:rPr>
        <w:t>Bevandenis koloidinis silicio dioksidas</w:t>
      </w:r>
    </w:p>
    <w:p w14:paraId="532DB5E4" w14:textId="77777777" w:rsidR="00601C8B" w:rsidRPr="006A2591" w:rsidRDefault="00601C8B" w:rsidP="00601C8B">
      <w:pPr>
        <w:pStyle w:val="Betarp"/>
        <w:rPr>
          <w:rFonts w:ascii="Times New Roman" w:hAnsi="Times New Roman"/>
        </w:rPr>
      </w:pPr>
      <w:proofErr w:type="spellStart"/>
      <w:r>
        <w:rPr>
          <w:rFonts w:ascii="Times New Roman" w:hAnsi="Times New Roman"/>
        </w:rPr>
        <w:t>Karmeliozės</w:t>
      </w:r>
      <w:proofErr w:type="spellEnd"/>
      <w:r>
        <w:rPr>
          <w:rFonts w:ascii="Times New Roman" w:hAnsi="Times New Roman"/>
        </w:rPr>
        <w:t xml:space="preserve"> natrio druska</w:t>
      </w:r>
    </w:p>
    <w:p w14:paraId="1BA7D9E6" w14:textId="77777777" w:rsidR="00601C8B" w:rsidRPr="006A2591" w:rsidRDefault="00601C8B" w:rsidP="00601C8B">
      <w:pPr>
        <w:pStyle w:val="Betarp"/>
        <w:rPr>
          <w:rFonts w:ascii="Times New Roman" w:hAnsi="Times New Roman"/>
        </w:rPr>
      </w:pPr>
      <w:proofErr w:type="spellStart"/>
      <w:r w:rsidRPr="006A2591">
        <w:rPr>
          <w:rFonts w:ascii="Times New Roman" w:hAnsi="Times New Roman"/>
        </w:rPr>
        <w:t>Hipromeliozė</w:t>
      </w:r>
      <w:proofErr w:type="spellEnd"/>
    </w:p>
    <w:p w14:paraId="115F1FE1" w14:textId="77777777" w:rsidR="00601C8B" w:rsidRPr="006A2591" w:rsidRDefault="00601C8B" w:rsidP="00601C8B">
      <w:pPr>
        <w:pStyle w:val="Pagrindinistekstas"/>
        <w:spacing w:after="0"/>
        <w:rPr>
          <w:szCs w:val="22"/>
        </w:rPr>
      </w:pPr>
    </w:p>
    <w:p w14:paraId="0956AD9E" w14:textId="77777777" w:rsidR="00601C8B" w:rsidRPr="006A2591" w:rsidRDefault="00601C8B" w:rsidP="00601C8B">
      <w:pPr>
        <w:pStyle w:val="PI-2EMEASMCA"/>
        <w:outlineLvl w:val="9"/>
      </w:pPr>
      <w:r w:rsidRPr="006A2591">
        <w:lastRenderedPageBreak/>
        <w:t>6.2</w:t>
      </w:r>
      <w:r w:rsidRPr="006A2591">
        <w:tab/>
        <w:t>Nesuderinamumas</w:t>
      </w:r>
    </w:p>
    <w:p w14:paraId="5D4F46AF" w14:textId="77777777" w:rsidR="00601C8B" w:rsidRPr="006A2591" w:rsidRDefault="00601C8B" w:rsidP="00601C8B">
      <w:pPr>
        <w:rPr>
          <w:szCs w:val="22"/>
        </w:rPr>
      </w:pPr>
    </w:p>
    <w:p w14:paraId="4557A1EF" w14:textId="77777777" w:rsidR="00601C8B" w:rsidRPr="006A2591" w:rsidRDefault="00601C8B" w:rsidP="00601C8B">
      <w:pPr>
        <w:rPr>
          <w:szCs w:val="22"/>
        </w:rPr>
      </w:pPr>
      <w:r w:rsidRPr="006A2591">
        <w:rPr>
          <w:szCs w:val="22"/>
        </w:rPr>
        <w:t>Duomenys nebūtini.</w:t>
      </w:r>
    </w:p>
    <w:p w14:paraId="4DEC190D" w14:textId="77777777" w:rsidR="00601C8B" w:rsidRPr="006A2591" w:rsidRDefault="00601C8B" w:rsidP="00601C8B">
      <w:pPr>
        <w:pStyle w:val="Pagrindinistekstas"/>
        <w:spacing w:after="0"/>
        <w:rPr>
          <w:szCs w:val="22"/>
        </w:rPr>
      </w:pPr>
    </w:p>
    <w:p w14:paraId="7589EFA5" w14:textId="77777777" w:rsidR="00601C8B" w:rsidRPr="006A2591" w:rsidRDefault="00601C8B" w:rsidP="00601C8B">
      <w:pPr>
        <w:pStyle w:val="PI-2EMEASMCA"/>
        <w:outlineLvl w:val="9"/>
      </w:pPr>
      <w:r w:rsidRPr="006A2591">
        <w:t>6.3</w:t>
      </w:r>
      <w:r w:rsidRPr="006A2591">
        <w:tab/>
        <w:t>Tinkamumo laikas</w:t>
      </w:r>
    </w:p>
    <w:p w14:paraId="47BB8AAC" w14:textId="77777777" w:rsidR="00601C8B" w:rsidRPr="006A2591" w:rsidRDefault="00601C8B" w:rsidP="00601C8B">
      <w:pPr>
        <w:rPr>
          <w:szCs w:val="22"/>
        </w:rPr>
      </w:pPr>
    </w:p>
    <w:p w14:paraId="00C3BA89" w14:textId="77777777" w:rsidR="00601C8B" w:rsidRPr="006A2591" w:rsidRDefault="00601C8B" w:rsidP="00601C8B">
      <w:pPr>
        <w:pStyle w:val="Pagrindinistekstas"/>
        <w:spacing w:after="0"/>
        <w:rPr>
          <w:szCs w:val="22"/>
        </w:rPr>
      </w:pPr>
      <w:r w:rsidRPr="006A2591">
        <w:rPr>
          <w:szCs w:val="22"/>
        </w:rPr>
        <w:t>3 metai.</w:t>
      </w:r>
    </w:p>
    <w:p w14:paraId="6FD7C945" w14:textId="77777777" w:rsidR="00601C8B" w:rsidRPr="006A2591" w:rsidRDefault="00601C8B" w:rsidP="00601C8B">
      <w:pPr>
        <w:pStyle w:val="Pagrindinistekstas"/>
        <w:spacing w:after="0"/>
        <w:rPr>
          <w:szCs w:val="22"/>
        </w:rPr>
      </w:pPr>
    </w:p>
    <w:p w14:paraId="4451626A" w14:textId="77777777" w:rsidR="00601C8B" w:rsidRPr="006A2591" w:rsidRDefault="00601C8B" w:rsidP="00601C8B">
      <w:pPr>
        <w:pStyle w:val="PI-2EMEASMCA"/>
        <w:outlineLvl w:val="9"/>
      </w:pPr>
      <w:r w:rsidRPr="006A2591">
        <w:t>6.4</w:t>
      </w:r>
      <w:r w:rsidRPr="006A2591">
        <w:tab/>
        <w:t>Specialios laikymo sąlygos</w:t>
      </w:r>
    </w:p>
    <w:p w14:paraId="013955C0" w14:textId="77777777" w:rsidR="00601C8B" w:rsidRPr="006A2591" w:rsidRDefault="00601C8B" w:rsidP="00601C8B">
      <w:pPr>
        <w:rPr>
          <w:szCs w:val="22"/>
        </w:rPr>
      </w:pPr>
    </w:p>
    <w:p w14:paraId="0F9B670B" w14:textId="77777777" w:rsidR="00601C8B" w:rsidRPr="006A2591" w:rsidRDefault="00601C8B" w:rsidP="00601C8B">
      <w:pPr>
        <w:pStyle w:val="Pagrindinistekstas"/>
        <w:spacing w:after="0"/>
        <w:rPr>
          <w:szCs w:val="22"/>
        </w:rPr>
      </w:pPr>
      <w:r w:rsidRPr="006A2591">
        <w:rPr>
          <w:szCs w:val="22"/>
        </w:rPr>
        <w:t>Šiam vaistiniam preparatui specialių laikymo sąlygų nereikia.</w:t>
      </w:r>
    </w:p>
    <w:p w14:paraId="57CCBEA1" w14:textId="77777777" w:rsidR="00601C8B" w:rsidRPr="006A2591" w:rsidRDefault="00601C8B" w:rsidP="00601C8B">
      <w:pPr>
        <w:pStyle w:val="Pagrindinistekstas"/>
        <w:spacing w:after="0"/>
        <w:rPr>
          <w:szCs w:val="22"/>
        </w:rPr>
      </w:pPr>
    </w:p>
    <w:p w14:paraId="64B9FD37" w14:textId="77777777" w:rsidR="00601C8B" w:rsidRPr="006A2591" w:rsidRDefault="00601C8B" w:rsidP="00601C8B">
      <w:pPr>
        <w:pStyle w:val="PI-2EMEASMCA"/>
        <w:outlineLvl w:val="9"/>
      </w:pPr>
      <w:r w:rsidRPr="006A2591">
        <w:t>6.5</w:t>
      </w:r>
      <w:r w:rsidRPr="006A2591">
        <w:tab/>
      </w:r>
      <w:proofErr w:type="spellStart"/>
      <w:r w:rsidRPr="006A2591">
        <w:t>Talpyklės</w:t>
      </w:r>
      <w:proofErr w:type="spellEnd"/>
      <w:r w:rsidRPr="006A2591">
        <w:t xml:space="preserve"> pobūdis ir jos turinys</w:t>
      </w:r>
    </w:p>
    <w:p w14:paraId="4E341D84" w14:textId="77777777" w:rsidR="00601C8B" w:rsidRPr="006A2591" w:rsidRDefault="00601C8B" w:rsidP="00EE0B84">
      <w:pPr>
        <w:pStyle w:val="PI-2EMEASMCA"/>
        <w:outlineLvl w:val="9"/>
      </w:pPr>
    </w:p>
    <w:p w14:paraId="405D386E" w14:textId="322DA5F9" w:rsidR="00601C8B" w:rsidRPr="006A2591" w:rsidRDefault="00601C8B" w:rsidP="00601C8B">
      <w:pPr>
        <w:pStyle w:val="Betarp"/>
        <w:rPr>
          <w:rFonts w:ascii="Times New Roman" w:hAnsi="Times New Roman"/>
        </w:rPr>
      </w:pPr>
      <w:r w:rsidRPr="006A2591">
        <w:rPr>
          <w:rFonts w:ascii="Times New Roman" w:hAnsi="Times New Roman"/>
        </w:rPr>
        <w:t>PVC</w:t>
      </w:r>
      <w:r w:rsidR="0090649C">
        <w:rPr>
          <w:rFonts w:ascii="Times New Roman" w:hAnsi="Times New Roman"/>
        </w:rPr>
        <w:t xml:space="preserve"> </w:t>
      </w:r>
      <w:r w:rsidRPr="006A2591">
        <w:rPr>
          <w:rFonts w:ascii="Times New Roman" w:hAnsi="Times New Roman"/>
        </w:rPr>
        <w:t>/</w:t>
      </w:r>
      <w:r w:rsidR="0090649C">
        <w:rPr>
          <w:rFonts w:ascii="Times New Roman" w:hAnsi="Times New Roman"/>
        </w:rPr>
        <w:t xml:space="preserve"> </w:t>
      </w:r>
      <w:r w:rsidRPr="006A2591">
        <w:rPr>
          <w:rFonts w:ascii="Times New Roman" w:hAnsi="Times New Roman"/>
        </w:rPr>
        <w:t>aliuminio folijos lizdinės plokštelės, kuriose yra 15, 30, 60, 90 arba 120</w:t>
      </w:r>
      <w:r>
        <w:rPr>
          <w:rFonts w:ascii="Times New Roman" w:hAnsi="Times New Roman"/>
        </w:rPr>
        <w:t xml:space="preserve"> pailginto atpalaidavimo</w:t>
      </w:r>
      <w:r w:rsidRPr="006A2591">
        <w:rPr>
          <w:rFonts w:ascii="Times New Roman" w:hAnsi="Times New Roman"/>
        </w:rPr>
        <w:t xml:space="preserve"> tablečių.</w:t>
      </w:r>
    </w:p>
    <w:p w14:paraId="534AA7E1" w14:textId="77777777" w:rsidR="00601C8B" w:rsidRPr="006A2591" w:rsidRDefault="00601C8B" w:rsidP="00601C8B">
      <w:pPr>
        <w:pStyle w:val="Betarp"/>
        <w:rPr>
          <w:rFonts w:ascii="Times New Roman" w:hAnsi="Times New Roman"/>
        </w:rPr>
      </w:pPr>
    </w:p>
    <w:p w14:paraId="72174D5C" w14:textId="77777777" w:rsidR="00601C8B" w:rsidRPr="006A2591" w:rsidRDefault="00601C8B" w:rsidP="00E85904">
      <w:pPr>
        <w:pStyle w:val="BTEMEASMCA"/>
      </w:pPr>
      <w:r w:rsidRPr="006A2591">
        <w:t>Gali būti tiekiamos ne visų dydžių pakuotės.</w:t>
      </w:r>
    </w:p>
    <w:p w14:paraId="02FFAE79" w14:textId="77777777" w:rsidR="00601C8B" w:rsidRPr="006A2591" w:rsidRDefault="00601C8B" w:rsidP="00601C8B">
      <w:pPr>
        <w:pStyle w:val="Pagrindinistekstas"/>
        <w:spacing w:after="0"/>
        <w:rPr>
          <w:szCs w:val="22"/>
        </w:rPr>
      </w:pPr>
    </w:p>
    <w:p w14:paraId="25D508BD" w14:textId="77777777" w:rsidR="00601C8B" w:rsidRPr="006A2591" w:rsidRDefault="00601C8B" w:rsidP="00601C8B">
      <w:pPr>
        <w:pStyle w:val="PI-2EMEASMCA"/>
        <w:outlineLvl w:val="9"/>
      </w:pPr>
      <w:bookmarkStart w:id="3" w:name="_Toc129243121"/>
      <w:bookmarkStart w:id="4" w:name="_Toc129243246"/>
      <w:r w:rsidRPr="006A2591">
        <w:t>6.6</w:t>
      </w:r>
      <w:r w:rsidRPr="006A2591">
        <w:tab/>
        <w:t xml:space="preserve">Specialūs reikalavimai atliekoms tvarkyti </w:t>
      </w:r>
      <w:bookmarkEnd w:id="3"/>
      <w:bookmarkEnd w:id="4"/>
    </w:p>
    <w:p w14:paraId="78BCF7A7" w14:textId="77777777" w:rsidR="00601C8B" w:rsidRPr="006A2591" w:rsidRDefault="00601C8B" w:rsidP="00601C8B">
      <w:pPr>
        <w:pStyle w:val="Pagrindinistekstas"/>
        <w:spacing w:after="0"/>
        <w:rPr>
          <w:szCs w:val="22"/>
        </w:rPr>
      </w:pPr>
    </w:p>
    <w:p w14:paraId="7F681C4E" w14:textId="1D287D18" w:rsidR="00F55404" w:rsidRDefault="00F55404" w:rsidP="00F55404">
      <w:pPr>
        <w:rPr>
          <w:noProof/>
          <w:szCs w:val="22"/>
        </w:rPr>
      </w:pPr>
      <w:r>
        <w:rPr>
          <w:noProof/>
          <w:szCs w:val="22"/>
        </w:rPr>
        <w:t>Specialių reikal</w:t>
      </w:r>
      <w:r w:rsidR="008700A9">
        <w:rPr>
          <w:noProof/>
          <w:szCs w:val="22"/>
        </w:rPr>
        <w:t>a</w:t>
      </w:r>
      <w:r>
        <w:rPr>
          <w:noProof/>
          <w:szCs w:val="22"/>
        </w:rPr>
        <w:t>vimų nėra.</w:t>
      </w:r>
    </w:p>
    <w:p w14:paraId="0475ACF8" w14:textId="77777777" w:rsidR="00601C8B" w:rsidRPr="006A2591" w:rsidRDefault="00601C8B" w:rsidP="00601C8B">
      <w:pPr>
        <w:rPr>
          <w:szCs w:val="22"/>
        </w:rPr>
      </w:pPr>
      <w:r w:rsidRPr="006A2591">
        <w:rPr>
          <w:noProof/>
          <w:szCs w:val="22"/>
        </w:rPr>
        <w:t>Nesuvartotą vaistinį preparatą ar atliekas reikia tvarkyti laikantis vietinių reikalavimų</w:t>
      </w:r>
      <w:r w:rsidRPr="006A2591">
        <w:rPr>
          <w:szCs w:val="22"/>
        </w:rPr>
        <w:t xml:space="preserve">. </w:t>
      </w:r>
    </w:p>
    <w:p w14:paraId="31795DC4" w14:textId="77777777" w:rsidR="00601C8B" w:rsidRDefault="00601C8B" w:rsidP="00601C8B">
      <w:pPr>
        <w:pStyle w:val="Pagrindinistekstas"/>
        <w:spacing w:after="0"/>
        <w:rPr>
          <w:szCs w:val="22"/>
        </w:rPr>
      </w:pPr>
    </w:p>
    <w:p w14:paraId="180F0079" w14:textId="77777777" w:rsidR="00601C8B" w:rsidRPr="006A2591" w:rsidRDefault="00601C8B" w:rsidP="00601C8B">
      <w:pPr>
        <w:pStyle w:val="Pagrindinistekstas"/>
        <w:spacing w:after="0"/>
        <w:rPr>
          <w:szCs w:val="22"/>
        </w:rPr>
      </w:pPr>
    </w:p>
    <w:p w14:paraId="1291D463" w14:textId="77777777" w:rsidR="00601C8B" w:rsidRPr="006A2591" w:rsidRDefault="00601C8B" w:rsidP="00601C8B">
      <w:pPr>
        <w:pStyle w:val="PI-1EMEASMCA"/>
        <w:outlineLvl w:val="9"/>
      </w:pPr>
      <w:r w:rsidRPr="006A2591">
        <w:t>7.</w:t>
      </w:r>
      <w:r w:rsidRPr="006A2591">
        <w:tab/>
        <w:t>REGISTRUOTOJAS</w:t>
      </w:r>
    </w:p>
    <w:p w14:paraId="7F8D96CE" w14:textId="77777777" w:rsidR="00601C8B" w:rsidRPr="006A2591" w:rsidRDefault="00601C8B" w:rsidP="00601C8B">
      <w:pPr>
        <w:rPr>
          <w:b/>
          <w:szCs w:val="22"/>
          <w:u w:val="single"/>
        </w:rPr>
      </w:pPr>
    </w:p>
    <w:p w14:paraId="75DF498E" w14:textId="77777777" w:rsidR="00601C8B" w:rsidRPr="006A2591" w:rsidRDefault="00601C8B" w:rsidP="00601C8B">
      <w:pPr>
        <w:rPr>
          <w:szCs w:val="22"/>
        </w:rPr>
      </w:pPr>
      <w:proofErr w:type="spellStart"/>
      <w:r w:rsidRPr="006A2591">
        <w:rPr>
          <w:szCs w:val="22"/>
        </w:rPr>
        <w:t>B</w:t>
      </w:r>
      <w:r>
        <w:rPr>
          <w:szCs w:val="22"/>
        </w:rPr>
        <w:t>erlin</w:t>
      </w:r>
      <w:r w:rsidRPr="006A2591">
        <w:rPr>
          <w:szCs w:val="22"/>
        </w:rPr>
        <w:t>-C</w:t>
      </w:r>
      <w:r>
        <w:rPr>
          <w:szCs w:val="22"/>
        </w:rPr>
        <w:t>hemie</w:t>
      </w:r>
      <w:proofErr w:type="spellEnd"/>
      <w:r w:rsidRPr="006A2591">
        <w:rPr>
          <w:szCs w:val="22"/>
        </w:rPr>
        <w:t xml:space="preserve"> AG</w:t>
      </w:r>
    </w:p>
    <w:p w14:paraId="1215BC02" w14:textId="77777777" w:rsidR="00601C8B" w:rsidRPr="006A2591" w:rsidRDefault="00601C8B" w:rsidP="00601C8B">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66DA5019" w14:textId="77777777" w:rsidR="00601C8B" w:rsidRPr="006A2591" w:rsidRDefault="00601C8B" w:rsidP="00601C8B">
      <w:pPr>
        <w:rPr>
          <w:szCs w:val="22"/>
        </w:rPr>
      </w:pPr>
      <w:r w:rsidRPr="006A2591">
        <w:rPr>
          <w:szCs w:val="22"/>
        </w:rPr>
        <w:t xml:space="preserve">12489 </w:t>
      </w:r>
      <w:proofErr w:type="spellStart"/>
      <w:r w:rsidRPr="006A2591">
        <w:rPr>
          <w:szCs w:val="22"/>
        </w:rPr>
        <w:t>Berlin</w:t>
      </w:r>
      <w:proofErr w:type="spellEnd"/>
      <w:r w:rsidRPr="006A2591">
        <w:rPr>
          <w:szCs w:val="22"/>
        </w:rPr>
        <w:t xml:space="preserve"> </w:t>
      </w:r>
    </w:p>
    <w:p w14:paraId="603FB1D6" w14:textId="77777777" w:rsidR="00601C8B" w:rsidRPr="006A2591" w:rsidRDefault="00601C8B" w:rsidP="00601C8B">
      <w:pPr>
        <w:rPr>
          <w:szCs w:val="22"/>
        </w:rPr>
      </w:pPr>
      <w:r w:rsidRPr="006A2591">
        <w:rPr>
          <w:szCs w:val="22"/>
        </w:rPr>
        <w:t>Vokietija</w:t>
      </w:r>
    </w:p>
    <w:p w14:paraId="06964805" w14:textId="77777777" w:rsidR="00601C8B" w:rsidRDefault="00601C8B" w:rsidP="00601C8B">
      <w:pPr>
        <w:pStyle w:val="PI-2EMEASMCA"/>
        <w:ind w:left="0" w:firstLine="0"/>
        <w:outlineLvl w:val="9"/>
      </w:pPr>
    </w:p>
    <w:p w14:paraId="4E55A329" w14:textId="77777777" w:rsidR="00601C8B" w:rsidRPr="006A2591" w:rsidRDefault="00601C8B" w:rsidP="00601C8B">
      <w:pPr>
        <w:pStyle w:val="PI-2EMEASMCA"/>
        <w:ind w:left="0" w:firstLine="0"/>
        <w:outlineLvl w:val="9"/>
      </w:pPr>
    </w:p>
    <w:p w14:paraId="46613057" w14:textId="0B33E81B" w:rsidR="00601C8B" w:rsidRPr="006A2591" w:rsidRDefault="00601C8B" w:rsidP="00601C8B">
      <w:pPr>
        <w:pStyle w:val="PI-1EMEASMCA"/>
        <w:outlineLvl w:val="9"/>
      </w:pPr>
      <w:bookmarkStart w:id="5" w:name="_Toc129243123"/>
      <w:bookmarkStart w:id="6" w:name="_Toc129243248"/>
      <w:r w:rsidRPr="006A2591">
        <w:t>8.</w:t>
      </w:r>
      <w:r w:rsidRPr="006A2591">
        <w:tab/>
        <w:t xml:space="preserve">REGISTRACIJOS </w:t>
      </w:r>
      <w:r>
        <w:t xml:space="preserve">PAŽYMĖJIMO </w:t>
      </w:r>
      <w:r w:rsidRPr="006A2591">
        <w:t>NUMERIS</w:t>
      </w:r>
      <w:bookmarkEnd w:id="5"/>
      <w:bookmarkEnd w:id="6"/>
      <w:r w:rsidRPr="006A2591">
        <w:t xml:space="preserve"> (-IAI)</w:t>
      </w:r>
    </w:p>
    <w:p w14:paraId="19884848" w14:textId="77777777" w:rsidR="00601C8B" w:rsidRPr="006A2591" w:rsidRDefault="00601C8B" w:rsidP="00601C8B">
      <w:pPr>
        <w:pStyle w:val="PI-2EMEASMCA"/>
        <w:outlineLvl w:val="9"/>
      </w:pPr>
    </w:p>
    <w:p w14:paraId="1C49C15C" w14:textId="77777777" w:rsidR="00601C8B" w:rsidRPr="00E11EB7" w:rsidRDefault="00601C8B" w:rsidP="00601C8B">
      <w:pPr>
        <w:rPr>
          <w:bCs/>
          <w:szCs w:val="22"/>
        </w:rPr>
      </w:pPr>
      <w:r>
        <w:rPr>
          <w:szCs w:val="22"/>
        </w:rPr>
        <w:t>LT/1/19/4426/001</w:t>
      </w:r>
      <w:r w:rsidRPr="003C1C77">
        <w:rPr>
          <w:bCs/>
          <w:szCs w:val="22"/>
        </w:rPr>
        <w:t xml:space="preserve"> – N</w:t>
      </w:r>
      <w:r>
        <w:rPr>
          <w:bCs/>
          <w:szCs w:val="22"/>
        </w:rPr>
        <w:t>15</w:t>
      </w:r>
    </w:p>
    <w:p w14:paraId="548B99AC" w14:textId="77777777" w:rsidR="00601C8B" w:rsidRPr="00556F71" w:rsidRDefault="00601C8B" w:rsidP="00601C8B">
      <w:pPr>
        <w:rPr>
          <w:bCs/>
          <w:szCs w:val="22"/>
        </w:rPr>
      </w:pPr>
      <w:r>
        <w:rPr>
          <w:szCs w:val="22"/>
        </w:rPr>
        <w:t>LT/1/19/4426/002</w:t>
      </w:r>
      <w:r w:rsidRPr="003C1C77">
        <w:rPr>
          <w:bCs/>
          <w:szCs w:val="22"/>
        </w:rPr>
        <w:t xml:space="preserve"> – N</w:t>
      </w:r>
      <w:r>
        <w:rPr>
          <w:bCs/>
          <w:szCs w:val="22"/>
        </w:rPr>
        <w:t>30</w:t>
      </w:r>
    </w:p>
    <w:p w14:paraId="0A933E9E" w14:textId="77777777" w:rsidR="00601C8B" w:rsidRDefault="00601C8B" w:rsidP="00601C8B">
      <w:pPr>
        <w:rPr>
          <w:bCs/>
          <w:szCs w:val="22"/>
        </w:rPr>
      </w:pPr>
      <w:r>
        <w:rPr>
          <w:szCs w:val="22"/>
        </w:rPr>
        <w:t>LT/1/19/4426/003</w:t>
      </w:r>
      <w:r w:rsidRPr="003C1C77">
        <w:rPr>
          <w:bCs/>
          <w:szCs w:val="22"/>
        </w:rPr>
        <w:t xml:space="preserve"> – N</w:t>
      </w:r>
      <w:r>
        <w:rPr>
          <w:bCs/>
          <w:szCs w:val="22"/>
        </w:rPr>
        <w:t>60</w:t>
      </w:r>
    </w:p>
    <w:p w14:paraId="4DD5F2CA" w14:textId="77777777" w:rsidR="00601C8B" w:rsidRPr="00556F71" w:rsidRDefault="00601C8B" w:rsidP="00601C8B">
      <w:pPr>
        <w:rPr>
          <w:bCs/>
          <w:szCs w:val="22"/>
        </w:rPr>
      </w:pPr>
      <w:r>
        <w:rPr>
          <w:szCs w:val="22"/>
        </w:rPr>
        <w:t>LT/1/19/4426/004</w:t>
      </w:r>
      <w:r w:rsidRPr="003C1C77">
        <w:rPr>
          <w:bCs/>
          <w:szCs w:val="22"/>
        </w:rPr>
        <w:t xml:space="preserve"> – N</w:t>
      </w:r>
      <w:r>
        <w:rPr>
          <w:bCs/>
          <w:szCs w:val="22"/>
        </w:rPr>
        <w:t>90</w:t>
      </w:r>
    </w:p>
    <w:p w14:paraId="23CFFC7C" w14:textId="77777777" w:rsidR="00601C8B" w:rsidRDefault="00601C8B" w:rsidP="00601C8B">
      <w:pPr>
        <w:pStyle w:val="Pagrindinistekstas"/>
        <w:spacing w:after="0"/>
        <w:rPr>
          <w:bCs/>
          <w:szCs w:val="22"/>
        </w:rPr>
      </w:pPr>
      <w:r>
        <w:rPr>
          <w:szCs w:val="22"/>
        </w:rPr>
        <w:t>LT/1/19/4426/005</w:t>
      </w:r>
      <w:r w:rsidRPr="003C1C77">
        <w:rPr>
          <w:bCs/>
          <w:szCs w:val="22"/>
        </w:rPr>
        <w:t xml:space="preserve"> – N</w:t>
      </w:r>
      <w:r>
        <w:rPr>
          <w:bCs/>
          <w:szCs w:val="22"/>
        </w:rPr>
        <w:t>120</w:t>
      </w:r>
    </w:p>
    <w:p w14:paraId="7D15F75C" w14:textId="77777777" w:rsidR="00601C8B" w:rsidRDefault="00601C8B" w:rsidP="00601C8B">
      <w:pPr>
        <w:pStyle w:val="Pagrindinistekstas"/>
        <w:spacing w:after="0"/>
        <w:rPr>
          <w:szCs w:val="22"/>
        </w:rPr>
      </w:pPr>
    </w:p>
    <w:p w14:paraId="4EBF8E37" w14:textId="77777777" w:rsidR="00601C8B" w:rsidRPr="006A2591" w:rsidRDefault="00601C8B" w:rsidP="00601C8B">
      <w:pPr>
        <w:pStyle w:val="Pagrindinistekstas"/>
        <w:spacing w:after="0"/>
        <w:rPr>
          <w:szCs w:val="22"/>
        </w:rPr>
      </w:pPr>
    </w:p>
    <w:p w14:paraId="25BFAF52" w14:textId="77777777" w:rsidR="00601C8B" w:rsidRPr="006A2591" w:rsidRDefault="00601C8B" w:rsidP="00601C8B">
      <w:pPr>
        <w:pStyle w:val="PI-1EMEASMCA"/>
        <w:outlineLvl w:val="9"/>
      </w:pPr>
      <w:bookmarkStart w:id="7" w:name="_Toc129243124"/>
      <w:bookmarkStart w:id="8" w:name="_Toc129243249"/>
      <w:r w:rsidRPr="006A2591">
        <w:t>9.</w:t>
      </w:r>
      <w:r w:rsidRPr="006A2591">
        <w:tab/>
        <w:t>REGISTRAVIMO / PERREGISTRAVIMO DATA</w:t>
      </w:r>
      <w:bookmarkEnd w:id="7"/>
      <w:bookmarkEnd w:id="8"/>
    </w:p>
    <w:p w14:paraId="45B5A060" w14:textId="77777777" w:rsidR="00601C8B" w:rsidRPr="006A2591" w:rsidRDefault="00601C8B" w:rsidP="00601C8B">
      <w:pPr>
        <w:pStyle w:val="Pagrindinistekstas"/>
        <w:spacing w:after="0"/>
        <w:rPr>
          <w:szCs w:val="22"/>
        </w:rPr>
      </w:pPr>
    </w:p>
    <w:p w14:paraId="63D65691" w14:textId="77777777" w:rsidR="00601C8B" w:rsidRDefault="00601C8B" w:rsidP="00601C8B">
      <w:pPr>
        <w:pStyle w:val="Pagrindinistekstas"/>
        <w:spacing w:after="0"/>
        <w:rPr>
          <w:noProof/>
          <w:szCs w:val="22"/>
        </w:rPr>
      </w:pPr>
      <w:r w:rsidRPr="006A2591">
        <w:rPr>
          <w:noProof/>
          <w:szCs w:val="22"/>
        </w:rPr>
        <w:t xml:space="preserve">Registravimo data </w:t>
      </w:r>
      <w:r>
        <w:rPr>
          <w:noProof/>
          <w:szCs w:val="22"/>
        </w:rPr>
        <w:t>2019 m. liepos 2 d.</w:t>
      </w:r>
    </w:p>
    <w:p w14:paraId="30C3F4C2" w14:textId="4FAD298D" w:rsidR="00FE3681" w:rsidRPr="006A2591" w:rsidRDefault="00FE3681" w:rsidP="00601C8B">
      <w:pPr>
        <w:pStyle w:val="Pagrindinistekstas"/>
        <w:spacing w:after="0"/>
        <w:rPr>
          <w:noProof/>
          <w:szCs w:val="22"/>
        </w:rPr>
      </w:pPr>
      <w:r w:rsidRPr="005D554B">
        <w:t xml:space="preserve">Paskutinio perregistravimo data </w:t>
      </w:r>
      <w:r w:rsidR="00C751A5">
        <w:t>2023 m. balandžio 6 d.</w:t>
      </w:r>
    </w:p>
    <w:p w14:paraId="68918885" w14:textId="77777777" w:rsidR="00601C8B" w:rsidRPr="006A2591" w:rsidRDefault="00601C8B" w:rsidP="00601C8B">
      <w:pPr>
        <w:pStyle w:val="Pagrindinistekstas"/>
        <w:spacing w:after="0"/>
        <w:rPr>
          <w:szCs w:val="22"/>
        </w:rPr>
      </w:pPr>
    </w:p>
    <w:p w14:paraId="322F528C" w14:textId="77777777" w:rsidR="00601C8B" w:rsidRPr="006A2591" w:rsidRDefault="00601C8B" w:rsidP="00601C8B">
      <w:pPr>
        <w:pStyle w:val="Pagrindinistekstas"/>
        <w:spacing w:after="0"/>
        <w:rPr>
          <w:szCs w:val="22"/>
        </w:rPr>
      </w:pPr>
    </w:p>
    <w:p w14:paraId="5C7EA4D7" w14:textId="77777777" w:rsidR="00601C8B" w:rsidRPr="006A2591" w:rsidRDefault="00601C8B" w:rsidP="00601C8B">
      <w:pPr>
        <w:pStyle w:val="PI-1EMEASMCA"/>
        <w:outlineLvl w:val="9"/>
      </w:pPr>
      <w:bookmarkStart w:id="9" w:name="_Toc129243125"/>
      <w:bookmarkStart w:id="10" w:name="_Toc129243250"/>
      <w:r w:rsidRPr="006A2591">
        <w:t>10.</w:t>
      </w:r>
      <w:r w:rsidRPr="006A2591">
        <w:tab/>
        <w:t>TEKSTO PERŽIŪROS DATA</w:t>
      </w:r>
      <w:bookmarkEnd w:id="9"/>
      <w:bookmarkEnd w:id="10"/>
    </w:p>
    <w:p w14:paraId="509CDDB9" w14:textId="77777777" w:rsidR="00601C8B" w:rsidRDefault="00601C8B" w:rsidP="00601C8B">
      <w:pPr>
        <w:rPr>
          <w:noProof/>
          <w:szCs w:val="22"/>
        </w:rPr>
      </w:pPr>
    </w:p>
    <w:p w14:paraId="63B8AC4F" w14:textId="601DC649" w:rsidR="00C751A5" w:rsidRDefault="00B12C10" w:rsidP="00601C8B">
      <w:r>
        <w:t>2025 m. kovo 26 d.</w:t>
      </w:r>
    </w:p>
    <w:p w14:paraId="5D6A1E8F" w14:textId="77777777" w:rsidR="00EE0B84" w:rsidRDefault="00EE0B84" w:rsidP="00601C8B">
      <w:pPr>
        <w:rPr>
          <w:noProof/>
          <w:szCs w:val="22"/>
        </w:rPr>
      </w:pPr>
    </w:p>
    <w:p w14:paraId="7E44FF3B" w14:textId="3207DAE5" w:rsidR="00601C8B" w:rsidRPr="006A2591" w:rsidRDefault="00601C8B" w:rsidP="00601C8B">
      <w:pPr>
        <w:rPr>
          <w:color w:val="0000FF"/>
          <w:szCs w:val="22"/>
        </w:rPr>
      </w:pPr>
      <w:r w:rsidRPr="006A2591">
        <w:rPr>
          <w:noProof/>
          <w:szCs w:val="22"/>
        </w:rPr>
        <w:t>Išsami informacija apie šį vaistinį preparatą pateikiama Valstybinės vaistų kontrolės tarnybos prie Lietuvos Respublikos sveikatos apsaugos ministerijos tinklalapyje</w:t>
      </w:r>
      <w:r w:rsidRPr="006A2591">
        <w:rPr>
          <w:i/>
          <w:noProof/>
          <w:szCs w:val="22"/>
        </w:rPr>
        <w:t xml:space="preserve"> </w:t>
      </w:r>
      <w:hyperlink r:id="rId8" w:history="1">
        <w:r w:rsidR="00312B26" w:rsidRPr="003E432B">
          <w:rPr>
            <w:rStyle w:val="Hipersaitas"/>
            <w:noProof/>
            <w:szCs w:val="22"/>
          </w:rPr>
          <w:t>https://</w:t>
        </w:r>
        <w:proofErr w:type="spellStart"/>
        <w:r w:rsidR="00312B26" w:rsidRPr="003E432B">
          <w:rPr>
            <w:rStyle w:val="Hipersaitas"/>
            <w:szCs w:val="22"/>
          </w:rPr>
          <w:t>vvkt.lrv.lt</w:t>
        </w:r>
        <w:proofErr w:type="spellEnd"/>
        <w:r w:rsidR="00312B26" w:rsidRPr="003E432B">
          <w:rPr>
            <w:rStyle w:val="Hipersaitas"/>
            <w:szCs w:val="22"/>
          </w:rPr>
          <w:t>/</w:t>
        </w:r>
        <w:proofErr w:type="spellStart"/>
        <w:r w:rsidR="00312B26" w:rsidRPr="003E432B">
          <w:rPr>
            <w:rStyle w:val="Hipersaitas"/>
            <w:szCs w:val="22"/>
          </w:rPr>
          <w:t>lt</w:t>
        </w:r>
        <w:proofErr w:type="spellEnd"/>
      </w:hyperlink>
      <w:r w:rsidR="00312B26">
        <w:rPr>
          <w:noProof/>
          <w:szCs w:val="22"/>
        </w:rPr>
        <w:t>/</w:t>
      </w:r>
    </w:p>
    <w:p w14:paraId="3800728B" w14:textId="77777777" w:rsidR="00601C8B" w:rsidRPr="006A2591" w:rsidRDefault="00601C8B" w:rsidP="00601C8B">
      <w:pPr>
        <w:rPr>
          <w:color w:val="0000FF"/>
          <w:szCs w:val="22"/>
        </w:rPr>
      </w:pPr>
    </w:p>
    <w:p w14:paraId="04371EEF" w14:textId="77777777" w:rsidR="00601C8B" w:rsidRPr="00AE31EA" w:rsidRDefault="00601C8B" w:rsidP="00601C8B">
      <w:pPr>
        <w:rPr>
          <w:szCs w:val="22"/>
        </w:rPr>
      </w:pPr>
      <w:r>
        <w:rPr>
          <w:color w:val="0000FF"/>
          <w:szCs w:val="22"/>
        </w:rPr>
        <w:br w:type="page"/>
      </w:r>
    </w:p>
    <w:p w14:paraId="51AA6188" w14:textId="77777777" w:rsidR="00601C8B" w:rsidRPr="00AE31EA" w:rsidRDefault="00601C8B" w:rsidP="00601C8B">
      <w:pPr>
        <w:rPr>
          <w:szCs w:val="22"/>
        </w:rPr>
      </w:pPr>
    </w:p>
    <w:p w14:paraId="106C8CC7" w14:textId="77777777" w:rsidR="00601C8B" w:rsidRPr="00AE31EA" w:rsidRDefault="00601C8B" w:rsidP="00601C8B">
      <w:pPr>
        <w:rPr>
          <w:szCs w:val="22"/>
        </w:rPr>
      </w:pPr>
    </w:p>
    <w:p w14:paraId="2F617720" w14:textId="77777777" w:rsidR="00601C8B" w:rsidRPr="00AE31EA" w:rsidRDefault="00601C8B" w:rsidP="00601C8B">
      <w:pPr>
        <w:rPr>
          <w:szCs w:val="22"/>
        </w:rPr>
      </w:pPr>
    </w:p>
    <w:p w14:paraId="4923CF61" w14:textId="77777777" w:rsidR="00601C8B" w:rsidRPr="00AE31EA" w:rsidRDefault="00601C8B" w:rsidP="00601C8B">
      <w:pPr>
        <w:rPr>
          <w:szCs w:val="22"/>
        </w:rPr>
      </w:pPr>
    </w:p>
    <w:p w14:paraId="7DD7A463" w14:textId="77777777" w:rsidR="00601C8B" w:rsidRPr="00AE31EA" w:rsidRDefault="00601C8B" w:rsidP="00601C8B">
      <w:pPr>
        <w:rPr>
          <w:szCs w:val="22"/>
        </w:rPr>
      </w:pPr>
    </w:p>
    <w:p w14:paraId="54CA563C" w14:textId="77777777" w:rsidR="00601C8B" w:rsidRPr="00AE31EA" w:rsidRDefault="00601C8B" w:rsidP="00601C8B">
      <w:pPr>
        <w:rPr>
          <w:szCs w:val="22"/>
        </w:rPr>
      </w:pPr>
    </w:p>
    <w:p w14:paraId="715B27C4" w14:textId="77777777" w:rsidR="00601C8B" w:rsidRPr="00347CA5" w:rsidRDefault="00601C8B" w:rsidP="00601C8B">
      <w:pPr>
        <w:pStyle w:val="Pagrindinistekstas"/>
        <w:spacing w:after="0"/>
        <w:rPr>
          <w:szCs w:val="22"/>
        </w:rPr>
      </w:pPr>
    </w:p>
    <w:p w14:paraId="51118097" w14:textId="77777777" w:rsidR="00601C8B" w:rsidRPr="00347CA5" w:rsidRDefault="00601C8B" w:rsidP="00601C8B">
      <w:pPr>
        <w:pStyle w:val="Pagrindinistekstas"/>
        <w:spacing w:after="0"/>
        <w:rPr>
          <w:szCs w:val="22"/>
        </w:rPr>
      </w:pPr>
    </w:p>
    <w:p w14:paraId="277EFA66" w14:textId="77777777" w:rsidR="00601C8B" w:rsidRPr="00347CA5" w:rsidRDefault="00601C8B" w:rsidP="00601C8B">
      <w:pPr>
        <w:pStyle w:val="Pagrindinistekstas"/>
        <w:spacing w:after="0"/>
        <w:rPr>
          <w:szCs w:val="22"/>
        </w:rPr>
      </w:pPr>
    </w:p>
    <w:p w14:paraId="4D58D0DA" w14:textId="77777777" w:rsidR="00601C8B" w:rsidRPr="0098130F" w:rsidRDefault="00601C8B" w:rsidP="00601C8B">
      <w:pPr>
        <w:pStyle w:val="Pagrindinistekstas"/>
        <w:spacing w:after="0"/>
        <w:rPr>
          <w:szCs w:val="22"/>
        </w:rPr>
      </w:pPr>
    </w:p>
    <w:p w14:paraId="63512511" w14:textId="77777777" w:rsidR="00601C8B" w:rsidRPr="006A2591" w:rsidRDefault="00601C8B" w:rsidP="00601C8B">
      <w:pPr>
        <w:pStyle w:val="Pagrindinistekstas"/>
        <w:spacing w:after="0"/>
        <w:rPr>
          <w:szCs w:val="22"/>
        </w:rPr>
      </w:pPr>
    </w:p>
    <w:p w14:paraId="3B07F044" w14:textId="77777777" w:rsidR="00601C8B" w:rsidRPr="006A2591" w:rsidRDefault="00601C8B" w:rsidP="00601C8B">
      <w:pPr>
        <w:pStyle w:val="Pagrindinistekstas"/>
        <w:spacing w:after="0"/>
        <w:rPr>
          <w:szCs w:val="22"/>
        </w:rPr>
      </w:pPr>
    </w:p>
    <w:p w14:paraId="3A993A8B" w14:textId="77777777" w:rsidR="00601C8B" w:rsidRPr="006A2591" w:rsidRDefault="00601C8B" w:rsidP="00601C8B">
      <w:pPr>
        <w:pStyle w:val="Pagrindinistekstas"/>
        <w:spacing w:after="0"/>
        <w:rPr>
          <w:szCs w:val="22"/>
        </w:rPr>
      </w:pPr>
    </w:p>
    <w:p w14:paraId="2367B82C" w14:textId="77777777" w:rsidR="00601C8B" w:rsidRPr="006A2591" w:rsidRDefault="00601C8B" w:rsidP="00601C8B">
      <w:pPr>
        <w:pStyle w:val="Pagrindinistekstas"/>
        <w:spacing w:after="0"/>
        <w:rPr>
          <w:szCs w:val="22"/>
        </w:rPr>
      </w:pPr>
    </w:p>
    <w:p w14:paraId="5D112302" w14:textId="77777777" w:rsidR="00601C8B" w:rsidRPr="006A2591" w:rsidRDefault="00601C8B" w:rsidP="00601C8B">
      <w:pPr>
        <w:pStyle w:val="Pagrindinistekstas"/>
        <w:spacing w:after="0"/>
        <w:rPr>
          <w:szCs w:val="22"/>
        </w:rPr>
      </w:pPr>
    </w:p>
    <w:p w14:paraId="7578F850" w14:textId="77777777" w:rsidR="00601C8B" w:rsidRPr="006A2591" w:rsidRDefault="00601C8B" w:rsidP="00601C8B">
      <w:pPr>
        <w:pStyle w:val="Pagrindinistekstas"/>
        <w:spacing w:after="0"/>
        <w:rPr>
          <w:szCs w:val="22"/>
        </w:rPr>
      </w:pPr>
    </w:p>
    <w:p w14:paraId="3CDB072E" w14:textId="77777777" w:rsidR="00601C8B" w:rsidRPr="006A2591" w:rsidRDefault="00601C8B" w:rsidP="00601C8B">
      <w:pPr>
        <w:pStyle w:val="Pagrindinistekstas"/>
        <w:spacing w:after="0"/>
        <w:rPr>
          <w:szCs w:val="22"/>
        </w:rPr>
      </w:pPr>
    </w:p>
    <w:p w14:paraId="39AF3BC4" w14:textId="77777777" w:rsidR="00601C8B" w:rsidRPr="006A2591" w:rsidRDefault="00601C8B" w:rsidP="00601C8B">
      <w:pPr>
        <w:pStyle w:val="Pagrindinistekstas"/>
        <w:spacing w:after="0"/>
        <w:rPr>
          <w:szCs w:val="22"/>
        </w:rPr>
      </w:pPr>
    </w:p>
    <w:p w14:paraId="12948FB2" w14:textId="77777777" w:rsidR="00601C8B" w:rsidRPr="006A2591" w:rsidRDefault="00601C8B" w:rsidP="00601C8B">
      <w:pPr>
        <w:pStyle w:val="Pagrindinistekstas"/>
        <w:spacing w:after="0"/>
        <w:rPr>
          <w:szCs w:val="22"/>
        </w:rPr>
      </w:pPr>
    </w:p>
    <w:p w14:paraId="685949B2" w14:textId="77777777" w:rsidR="00601C8B" w:rsidRPr="006A2591" w:rsidRDefault="00601C8B" w:rsidP="00601C8B">
      <w:pPr>
        <w:pStyle w:val="Pagrindinistekstas"/>
        <w:spacing w:after="0"/>
        <w:rPr>
          <w:szCs w:val="22"/>
        </w:rPr>
      </w:pPr>
    </w:p>
    <w:p w14:paraId="446D2E0C" w14:textId="77777777" w:rsidR="00601C8B" w:rsidRPr="006A2591" w:rsidRDefault="00601C8B" w:rsidP="00601C8B">
      <w:pPr>
        <w:pStyle w:val="Pagrindinistekstas"/>
        <w:spacing w:after="0"/>
        <w:rPr>
          <w:szCs w:val="22"/>
        </w:rPr>
      </w:pPr>
    </w:p>
    <w:p w14:paraId="2B8C49EB" w14:textId="77777777" w:rsidR="00601C8B" w:rsidRPr="006A2591" w:rsidRDefault="00601C8B" w:rsidP="00601C8B">
      <w:pPr>
        <w:pStyle w:val="Pagrindinistekstas"/>
        <w:spacing w:after="0"/>
        <w:rPr>
          <w:szCs w:val="22"/>
        </w:rPr>
      </w:pPr>
    </w:p>
    <w:p w14:paraId="3FFC81C1" w14:textId="77777777" w:rsidR="00601C8B" w:rsidRPr="006A2591" w:rsidRDefault="00601C8B" w:rsidP="00601C8B">
      <w:pPr>
        <w:pStyle w:val="TTEMEASMCA"/>
        <w:rPr>
          <w:b/>
          <w:lang w:val="lt-LT"/>
        </w:rPr>
      </w:pPr>
      <w:r w:rsidRPr="006A2591">
        <w:rPr>
          <w:b/>
          <w:lang w:val="lt-LT"/>
        </w:rPr>
        <w:t>II PRIEDAS</w:t>
      </w:r>
    </w:p>
    <w:p w14:paraId="550AAA98" w14:textId="77777777" w:rsidR="00601C8B" w:rsidRPr="006A2591" w:rsidRDefault="00601C8B" w:rsidP="00601C8B">
      <w:pPr>
        <w:pStyle w:val="TTEMEASMCA"/>
        <w:rPr>
          <w:b/>
          <w:lang w:val="lt-LT"/>
        </w:rPr>
      </w:pPr>
    </w:p>
    <w:p w14:paraId="153F6F20" w14:textId="77777777" w:rsidR="00601C8B" w:rsidRPr="006A2591" w:rsidRDefault="00601C8B" w:rsidP="00601C8B">
      <w:pPr>
        <w:pStyle w:val="TTEMEASMCA"/>
        <w:rPr>
          <w:b/>
          <w:lang w:val="lt-LT"/>
        </w:rPr>
      </w:pPr>
      <w:r w:rsidRPr="006A2591">
        <w:rPr>
          <w:b/>
          <w:lang w:val="lt-LT"/>
        </w:rPr>
        <w:t>REGISTRACIJOS SĄLYGOS</w:t>
      </w:r>
    </w:p>
    <w:p w14:paraId="3D96D34D" w14:textId="77777777" w:rsidR="00601C8B" w:rsidRPr="006A2591" w:rsidRDefault="00601C8B" w:rsidP="00E85904">
      <w:pPr>
        <w:pStyle w:val="BTEMEASMCA"/>
      </w:pPr>
    </w:p>
    <w:p w14:paraId="5E34FF0C" w14:textId="77777777" w:rsidR="00601C8B" w:rsidRPr="006A2591" w:rsidRDefault="00601C8B" w:rsidP="00601C8B">
      <w:pPr>
        <w:pStyle w:val="BTAnIIEMEASMCA"/>
        <w:rPr>
          <w:rFonts w:cs="Times New Roman"/>
          <w:lang w:val="lt-LT"/>
        </w:rPr>
      </w:pPr>
      <w:r w:rsidRPr="006A2591">
        <w:rPr>
          <w:rFonts w:cs="Times New Roman"/>
          <w:lang w:val="lt-LT"/>
        </w:rPr>
        <w:t>A.</w:t>
      </w:r>
      <w:r w:rsidRPr="006A2591">
        <w:rPr>
          <w:rFonts w:cs="Times New Roman"/>
          <w:lang w:val="lt-LT"/>
        </w:rPr>
        <w:tab/>
      </w:r>
      <w:r w:rsidRPr="006A2591">
        <w:rPr>
          <w:rFonts w:cs="Times New Roman"/>
          <w:noProof/>
          <w:lang w:val="lt-LT"/>
        </w:rPr>
        <w:t>GAMINTOJAS (-AI), ATSAKINGAS (-I)</w:t>
      </w:r>
      <w:r w:rsidRPr="006A2591">
        <w:rPr>
          <w:rFonts w:cs="Times New Roman"/>
          <w:lang w:val="lt-LT"/>
        </w:rPr>
        <w:t xml:space="preserve"> UŽ SERIJŲ IŠLEIDIMĄ</w:t>
      </w:r>
    </w:p>
    <w:p w14:paraId="3229538A" w14:textId="77777777" w:rsidR="00601C8B" w:rsidRPr="006A2591" w:rsidRDefault="00601C8B" w:rsidP="00E85904">
      <w:pPr>
        <w:pStyle w:val="BTEMEASMCA"/>
      </w:pPr>
    </w:p>
    <w:p w14:paraId="7676A959" w14:textId="77777777" w:rsidR="00601C8B" w:rsidRPr="006A2591" w:rsidRDefault="00601C8B" w:rsidP="00601C8B">
      <w:pPr>
        <w:pStyle w:val="BTAnIIEMEASMCA"/>
        <w:numPr>
          <w:ilvl w:val="0"/>
          <w:numId w:val="1"/>
        </w:numPr>
        <w:rPr>
          <w:rFonts w:cs="Times New Roman"/>
          <w:lang w:val="lt-LT"/>
        </w:rPr>
      </w:pPr>
      <w:r w:rsidRPr="006A2591">
        <w:rPr>
          <w:rFonts w:cs="Times New Roman"/>
          <w:lang w:val="lt-LT"/>
        </w:rPr>
        <w:t>TIEKIMO IR VARTOJIMO SĄLYGOS AR APRIBOJIMAI</w:t>
      </w:r>
    </w:p>
    <w:p w14:paraId="414BC1D4" w14:textId="77777777" w:rsidR="00601C8B" w:rsidRPr="006A2591" w:rsidRDefault="00601C8B" w:rsidP="00601C8B">
      <w:pPr>
        <w:pStyle w:val="BTAnIIEMEASMCA"/>
        <w:ind w:left="1134" w:firstLine="0"/>
        <w:rPr>
          <w:rFonts w:cs="Times New Roman"/>
          <w:lang w:val="lt-LT"/>
        </w:rPr>
      </w:pPr>
    </w:p>
    <w:p w14:paraId="1257BDA8" w14:textId="77777777" w:rsidR="00601C8B" w:rsidRPr="006A2591" w:rsidRDefault="00601C8B" w:rsidP="00601C8B">
      <w:pPr>
        <w:pStyle w:val="Pagrindinistekstas"/>
        <w:spacing w:after="0"/>
        <w:rPr>
          <w:szCs w:val="22"/>
        </w:rPr>
      </w:pPr>
    </w:p>
    <w:p w14:paraId="4B138F20" w14:textId="77777777" w:rsidR="00601C8B" w:rsidRPr="006A2591" w:rsidRDefault="00601C8B" w:rsidP="00601C8B">
      <w:pPr>
        <w:pStyle w:val="Pagrindinistekstas"/>
        <w:tabs>
          <w:tab w:val="left" w:pos="567"/>
        </w:tabs>
        <w:spacing w:after="0"/>
        <w:rPr>
          <w:b/>
          <w:szCs w:val="22"/>
        </w:rPr>
      </w:pPr>
      <w:r w:rsidRPr="006A2591">
        <w:rPr>
          <w:szCs w:val="22"/>
        </w:rPr>
        <w:br w:type="page"/>
      </w:r>
      <w:r w:rsidRPr="006A2591">
        <w:rPr>
          <w:b/>
          <w:szCs w:val="22"/>
        </w:rPr>
        <w:lastRenderedPageBreak/>
        <w:t xml:space="preserve">A. </w:t>
      </w:r>
      <w:r>
        <w:rPr>
          <w:b/>
          <w:szCs w:val="22"/>
        </w:rPr>
        <w:tab/>
      </w:r>
      <w:r w:rsidRPr="006A2591">
        <w:rPr>
          <w:b/>
          <w:szCs w:val="22"/>
        </w:rPr>
        <w:t>GAMINTOJAS (-AI), ATSAKINGAS (-I) UŽ SERIJŲ IŠLEIDIMĄ</w:t>
      </w:r>
    </w:p>
    <w:p w14:paraId="4866A833" w14:textId="77777777" w:rsidR="00601C8B" w:rsidRPr="006A2591" w:rsidRDefault="00601C8B" w:rsidP="00601C8B">
      <w:pPr>
        <w:pStyle w:val="Pagrindinistekstas"/>
        <w:spacing w:after="0"/>
        <w:rPr>
          <w:szCs w:val="22"/>
        </w:rPr>
      </w:pPr>
    </w:p>
    <w:p w14:paraId="254F83BF" w14:textId="77777777" w:rsidR="00601C8B" w:rsidRPr="00347CA5" w:rsidRDefault="00601C8B" w:rsidP="00601C8B">
      <w:pPr>
        <w:tabs>
          <w:tab w:val="left" w:pos="567"/>
        </w:tabs>
        <w:jc w:val="both"/>
        <w:rPr>
          <w:snapToGrid w:val="0"/>
          <w:szCs w:val="24"/>
          <w:lang w:eastAsia="en-US"/>
        </w:rPr>
      </w:pPr>
      <w:r w:rsidRPr="00347CA5">
        <w:rPr>
          <w:noProof/>
          <w:snapToGrid w:val="0"/>
          <w:szCs w:val="24"/>
          <w:u w:val="single"/>
          <w:lang w:eastAsia="en-US"/>
        </w:rPr>
        <w:t>Gamintojo (-ų), atsakingo (-ų) už serijų išleidimą, pavadinimas (-ai) ir adresas (-ai)</w:t>
      </w:r>
    </w:p>
    <w:p w14:paraId="767DFA58" w14:textId="77777777" w:rsidR="00601C8B" w:rsidRPr="006A2591" w:rsidRDefault="00601C8B" w:rsidP="00601C8B">
      <w:pPr>
        <w:rPr>
          <w:b/>
          <w:szCs w:val="22"/>
          <w:u w:val="single"/>
        </w:rPr>
      </w:pPr>
    </w:p>
    <w:p w14:paraId="59F9F881" w14:textId="77777777" w:rsidR="00601C8B" w:rsidRPr="006A2591" w:rsidRDefault="00601C8B" w:rsidP="00601C8B">
      <w:pPr>
        <w:pStyle w:val="Porat"/>
        <w:tabs>
          <w:tab w:val="clear" w:pos="4153"/>
          <w:tab w:val="clear" w:pos="8306"/>
        </w:tabs>
        <w:rPr>
          <w:szCs w:val="22"/>
        </w:rPr>
      </w:pPr>
      <w:proofErr w:type="spellStart"/>
      <w:r w:rsidRPr="0098130F">
        <w:rPr>
          <w:szCs w:val="22"/>
        </w:rPr>
        <w:t>Berlin-Chemie</w:t>
      </w:r>
      <w:proofErr w:type="spellEnd"/>
      <w:r w:rsidRPr="0098130F">
        <w:rPr>
          <w:szCs w:val="22"/>
        </w:rPr>
        <w:t xml:space="preserve"> AG</w:t>
      </w:r>
    </w:p>
    <w:p w14:paraId="65BF547D" w14:textId="77777777" w:rsidR="00601C8B" w:rsidRPr="006A2591" w:rsidRDefault="00601C8B" w:rsidP="00601C8B">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78192143" w14:textId="77777777" w:rsidR="00601C8B" w:rsidRDefault="00601C8B" w:rsidP="00601C8B">
      <w:pPr>
        <w:rPr>
          <w:szCs w:val="22"/>
        </w:rPr>
      </w:pPr>
      <w:r w:rsidRPr="006A2591">
        <w:rPr>
          <w:szCs w:val="22"/>
        </w:rPr>
        <w:t xml:space="preserve">12489 </w:t>
      </w:r>
      <w:proofErr w:type="spellStart"/>
      <w:r w:rsidRPr="006A2591">
        <w:rPr>
          <w:szCs w:val="22"/>
        </w:rPr>
        <w:t>Berlin</w:t>
      </w:r>
      <w:proofErr w:type="spellEnd"/>
    </w:p>
    <w:p w14:paraId="771E1015" w14:textId="77777777" w:rsidR="00601C8B" w:rsidRPr="006A2591" w:rsidRDefault="00601C8B" w:rsidP="00601C8B">
      <w:pPr>
        <w:rPr>
          <w:szCs w:val="22"/>
        </w:rPr>
      </w:pPr>
      <w:r w:rsidRPr="006A2591">
        <w:rPr>
          <w:szCs w:val="22"/>
        </w:rPr>
        <w:t>Vokietija</w:t>
      </w:r>
    </w:p>
    <w:p w14:paraId="575BE280" w14:textId="77777777" w:rsidR="00601C8B" w:rsidRPr="006A2591" w:rsidRDefault="00601C8B" w:rsidP="00601C8B">
      <w:pPr>
        <w:pStyle w:val="Pagrindinistekstas"/>
        <w:spacing w:after="0"/>
        <w:rPr>
          <w:szCs w:val="22"/>
        </w:rPr>
      </w:pPr>
    </w:p>
    <w:p w14:paraId="7B0D1F7D" w14:textId="77777777" w:rsidR="00601C8B" w:rsidRPr="006A2591" w:rsidRDefault="00601C8B" w:rsidP="00601C8B">
      <w:pPr>
        <w:pStyle w:val="Pagrindinistekstas"/>
        <w:spacing w:after="0"/>
        <w:rPr>
          <w:szCs w:val="22"/>
        </w:rPr>
      </w:pPr>
    </w:p>
    <w:p w14:paraId="417DFA31" w14:textId="77777777" w:rsidR="00601C8B" w:rsidRPr="006A2591" w:rsidRDefault="00601C8B" w:rsidP="00601C8B">
      <w:pPr>
        <w:pStyle w:val="Pagrindinistekstas"/>
        <w:tabs>
          <w:tab w:val="left" w:pos="567"/>
        </w:tabs>
        <w:spacing w:after="0"/>
        <w:rPr>
          <w:b/>
          <w:szCs w:val="22"/>
        </w:rPr>
      </w:pPr>
      <w:r w:rsidRPr="006A2591">
        <w:rPr>
          <w:b/>
          <w:szCs w:val="22"/>
        </w:rPr>
        <w:t xml:space="preserve">B. </w:t>
      </w:r>
      <w:r>
        <w:rPr>
          <w:b/>
          <w:szCs w:val="22"/>
        </w:rPr>
        <w:tab/>
      </w:r>
      <w:r w:rsidRPr="006A2591">
        <w:rPr>
          <w:b/>
          <w:szCs w:val="22"/>
        </w:rPr>
        <w:t>TIEKIMO IR VARTOJIMO SĄLYGOS AR APRIBOJIMAI</w:t>
      </w:r>
    </w:p>
    <w:p w14:paraId="18F40657" w14:textId="77777777" w:rsidR="00601C8B" w:rsidRPr="006A2591" w:rsidRDefault="00601C8B" w:rsidP="00E85904">
      <w:pPr>
        <w:pStyle w:val="BTEMEASMCA"/>
      </w:pPr>
    </w:p>
    <w:p w14:paraId="64A3F798" w14:textId="77777777" w:rsidR="00601C8B" w:rsidRPr="006A2591" w:rsidRDefault="00601C8B" w:rsidP="00E85904">
      <w:pPr>
        <w:pStyle w:val="BTEMEASMCA"/>
      </w:pPr>
      <w:r w:rsidRPr="006A2591">
        <w:t>Receptinis vaistinis preparatas.</w:t>
      </w:r>
    </w:p>
    <w:p w14:paraId="015E60B5" w14:textId="77777777" w:rsidR="00601C8B" w:rsidRPr="006A2591" w:rsidRDefault="00601C8B" w:rsidP="00601C8B">
      <w:pPr>
        <w:pStyle w:val="Pagrindinistekstas"/>
        <w:spacing w:after="0"/>
        <w:rPr>
          <w:szCs w:val="22"/>
        </w:rPr>
      </w:pPr>
    </w:p>
    <w:p w14:paraId="1CB0B51B" w14:textId="77777777" w:rsidR="00601C8B" w:rsidRPr="006A2591" w:rsidRDefault="00601C8B" w:rsidP="00601C8B">
      <w:pPr>
        <w:pStyle w:val="Pagrindinistekstas"/>
        <w:spacing w:after="0"/>
        <w:rPr>
          <w:szCs w:val="22"/>
        </w:rPr>
      </w:pPr>
      <w:r w:rsidRPr="006A2591">
        <w:rPr>
          <w:szCs w:val="22"/>
        </w:rPr>
        <w:br w:type="page"/>
      </w:r>
    </w:p>
    <w:p w14:paraId="42208CE0" w14:textId="77777777" w:rsidR="00601C8B" w:rsidRPr="006A2591" w:rsidRDefault="00601C8B" w:rsidP="00601C8B">
      <w:pPr>
        <w:pStyle w:val="Pagrindinistekstas"/>
        <w:spacing w:after="0"/>
        <w:rPr>
          <w:szCs w:val="22"/>
        </w:rPr>
      </w:pPr>
    </w:p>
    <w:p w14:paraId="75C937F7" w14:textId="77777777" w:rsidR="00601C8B" w:rsidRPr="006A2591" w:rsidRDefault="00601C8B" w:rsidP="00601C8B">
      <w:pPr>
        <w:pStyle w:val="Pagrindinistekstas"/>
        <w:spacing w:after="0"/>
        <w:rPr>
          <w:szCs w:val="22"/>
        </w:rPr>
      </w:pPr>
    </w:p>
    <w:p w14:paraId="4374E4EF" w14:textId="77777777" w:rsidR="00601C8B" w:rsidRPr="006A2591" w:rsidRDefault="00601C8B" w:rsidP="00601C8B">
      <w:pPr>
        <w:pStyle w:val="Pagrindinistekstas"/>
        <w:spacing w:after="0"/>
        <w:rPr>
          <w:szCs w:val="22"/>
        </w:rPr>
      </w:pPr>
    </w:p>
    <w:p w14:paraId="767F755E" w14:textId="77777777" w:rsidR="00601C8B" w:rsidRPr="006A2591" w:rsidRDefault="00601C8B" w:rsidP="00601C8B">
      <w:pPr>
        <w:pStyle w:val="Pagrindinistekstas"/>
        <w:spacing w:after="0"/>
        <w:rPr>
          <w:szCs w:val="22"/>
        </w:rPr>
      </w:pPr>
    </w:p>
    <w:p w14:paraId="12C6A178" w14:textId="77777777" w:rsidR="00601C8B" w:rsidRPr="006A2591" w:rsidRDefault="00601C8B" w:rsidP="00601C8B">
      <w:pPr>
        <w:pStyle w:val="Pagrindinistekstas"/>
        <w:spacing w:after="0"/>
        <w:rPr>
          <w:szCs w:val="22"/>
        </w:rPr>
      </w:pPr>
    </w:p>
    <w:p w14:paraId="692D380E" w14:textId="77777777" w:rsidR="00601C8B" w:rsidRPr="006A2591" w:rsidRDefault="00601C8B" w:rsidP="00601C8B">
      <w:pPr>
        <w:pStyle w:val="Pagrindinistekstas"/>
        <w:spacing w:after="0"/>
        <w:rPr>
          <w:szCs w:val="22"/>
        </w:rPr>
      </w:pPr>
    </w:p>
    <w:p w14:paraId="06CC6B86" w14:textId="77777777" w:rsidR="00601C8B" w:rsidRPr="006A2591" w:rsidRDefault="00601C8B" w:rsidP="00601C8B">
      <w:pPr>
        <w:pStyle w:val="Pagrindinistekstas"/>
        <w:spacing w:after="0"/>
        <w:rPr>
          <w:szCs w:val="22"/>
        </w:rPr>
      </w:pPr>
    </w:p>
    <w:p w14:paraId="6B459F83" w14:textId="77777777" w:rsidR="00601C8B" w:rsidRPr="006A2591" w:rsidRDefault="00601C8B" w:rsidP="00601C8B">
      <w:pPr>
        <w:pStyle w:val="Pagrindinistekstas"/>
        <w:spacing w:after="0"/>
        <w:rPr>
          <w:szCs w:val="22"/>
        </w:rPr>
      </w:pPr>
    </w:p>
    <w:p w14:paraId="69054864" w14:textId="77777777" w:rsidR="00601C8B" w:rsidRPr="006A2591" w:rsidRDefault="00601C8B" w:rsidP="00601C8B">
      <w:pPr>
        <w:pStyle w:val="Pagrindinistekstas"/>
        <w:spacing w:after="0"/>
        <w:rPr>
          <w:szCs w:val="22"/>
        </w:rPr>
      </w:pPr>
    </w:p>
    <w:p w14:paraId="0AB72270" w14:textId="77777777" w:rsidR="00601C8B" w:rsidRPr="006A2591" w:rsidRDefault="00601C8B" w:rsidP="00601C8B">
      <w:pPr>
        <w:pStyle w:val="Pagrindinistekstas"/>
        <w:spacing w:after="0"/>
        <w:rPr>
          <w:szCs w:val="22"/>
        </w:rPr>
      </w:pPr>
    </w:p>
    <w:p w14:paraId="2EB0CAB3" w14:textId="77777777" w:rsidR="00601C8B" w:rsidRPr="006A2591" w:rsidRDefault="00601C8B" w:rsidP="00601C8B">
      <w:pPr>
        <w:pStyle w:val="Pagrindinistekstas"/>
        <w:spacing w:after="0"/>
        <w:rPr>
          <w:szCs w:val="22"/>
        </w:rPr>
      </w:pPr>
    </w:p>
    <w:p w14:paraId="4F5D0EB7" w14:textId="77777777" w:rsidR="00601C8B" w:rsidRPr="006A2591" w:rsidRDefault="00601C8B" w:rsidP="00601C8B">
      <w:pPr>
        <w:pStyle w:val="Pagrindinistekstas"/>
        <w:spacing w:after="0"/>
        <w:rPr>
          <w:szCs w:val="22"/>
        </w:rPr>
      </w:pPr>
    </w:p>
    <w:p w14:paraId="400A6C94" w14:textId="77777777" w:rsidR="00601C8B" w:rsidRPr="006A2591" w:rsidRDefault="00601C8B" w:rsidP="00601C8B">
      <w:pPr>
        <w:pStyle w:val="Pagrindinistekstas"/>
        <w:spacing w:after="0"/>
        <w:rPr>
          <w:szCs w:val="22"/>
        </w:rPr>
      </w:pPr>
    </w:p>
    <w:p w14:paraId="6AF44B65" w14:textId="77777777" w:rsidR="00601C8B" w:rsidRPr="006A2591" w:rsidRDefault="00601C8B" w:rsidP="00601C8B">
      <w:pPr>
        <w:pStyle w:val="Pagrindinistekstas"/>
        <w:spacing w:after="0"/>
        <w:rPr>
          <w:szCs w:val="22"/>
        </w:rPr>
      </w:pPr>
    </w:p>
    <w:p w14:paraId="38FD5588" w14:textId="77777777" w:rsidR="00601C8B" w:rsidRPr="006A2591" w:rsidRDefault="00601C8B" w:rsidP="00601C8B">
      <w:pPr>
        <w:pStyle w:val="Pagrindinistekstas"/>
        <w:spacing w:after="0"/>
        <w:rPr>
          <w:szCs w:val="22"/>
        </w:rPr>
      </w:pPr>
    </w:p>
    <w:p w14:paraId="69C7155A" w14:textId="77777777" w:rsidR="00601C8B" w:rsidRPr="006A2591" w:rsidRDefault="00601C8B" w:rsidP="00601C8B">
      <w:pPr>
        <w:pStyle w:val="Pagrindinistekstas"/>
        <w:spacing w:after="0"/>
        <w:rPr>
          <w:szCs w:val="22"/>
        </w:rPr>
      </w:pPr>
    </w:p>
    <w:p w14:paraId="158AFA76" w14:textId="77777777" w:rsidR="00601C8B" w:rsidRPr="006A2591" w:rsidRDefault="00601C8B" w:rsidP="00601C8B">
      <w:pPr>
        <w:pStyle w:val="Pagrindinistekstas"/>
        <w:spacing w:after="0"/>
        <w:rPr>
          <w:szCs w:val="22"/>
        </w:rPr>
      </w:pPr>
    </w:p>
    <w:p w14:paraId="0FB72F67" w14:textId="77777777" w:rsidR="00601C8B" w:rsidRPr="006A2591" w:rsidRDefault="00601C8B" w:rsidP="00601C8B">
      <w:pPr>
        <w:pStyle w:val="Pagrindinistekstas"/>
        <w:spacing w:after="0"/>
        <w:rPr>
          <w:szCs w:val="22"/>
        </w:rPr>
      </w:pPr>
    </w:p>
    <w:p w14:paraId="01A22E2E" w14:textId="77777777" w:rsidR="00601C8B" w:rsidRPr="006A2591" w:rsidRDefault="00601C8B" w:rsidP="00601C8B">
      <w:pPr>
        <w:pStyle w:val="Pagrindinistekstas"/>
        <w:spacing w:after="0"/>
        <w:rPr>
          <w:szCs w:val="22"/>
        </w:rPr>
      </w:pPr>
    </w:p>
    <w:p w14:paraId="45D2512F" w14:textId="77777777" w:rsidR="00601C8B" w:rsidRPr="006A2591" w:rsidRDefault="00601C8B" w:rsidP="00601C8B">
      <w:pPr>
        <w:pStyle w:val="Pagrindinistekstas"/>
        <w:spacing w:after="0"/>
        <w:rPr>
          <w:szCs w:val="22"/>
        </w:rPr>
      </w:pPr>
    </w:p>
    <w:p w14:paraId="308153F0" w14:textId="77777777" w:rsidR="00601C8B" w:rsidRPr="006A2591" w:rsidRDefault="00601C8B" w:rsidP="00601C8B">
      <w:pPr>
        <w:pStyle w:val="Pagrindinistekstas"/>
        <w:spacing w:after="0"/>
        <w:rPr>
          <w:szCs w:val="22"/>
        </w:rPr>
      </w:pPr>
    </w:p>
    <w:p w14:paraId="6C7DF7A6" w14:textId="77777777" w:rsidR="00601C8B" w:rsidRPr="006A2591" w:rsidRDefault="00601C8B" w:rsidP="00601C8B">
      <w:pPr>
        <w:pStyle w:val="TTEMEASMCA"/>
        <w:rPr>
          <w:b/>
          <w:lang w:val="lt-LT"/>
        </w:rPr>
      </w:pPr>
    </w:p>
    <w:p w14:paraId="379296DD" w14:textId="77777777" w:rsidR="00601C8B" w:rsidRPr="006A2591" w:rsidRDefault="00601C8B" w:rsidP="00601C8B">
      <w:pPr>
        <w:pStyle w:val="TTEMEASMCA"/>
        <w:rPr>
          <w:b/>
          <w:lang w:val="lt-LT"/>
        </w:rPr>
      </w:pPr>
      <w:r w:rsidRPr="006A2591">
        <w:rPr>
          <w:b/>
          <w:lang w:val="lt-LT"/>
        </w:rPr>
        <w:t>III PRIEDAS</w:t>
      </w:r>
    </w:p>
    <w:p w14:paraId="0DB263FF" w14:textId="77777777" w:rsidR="00601C8B" w:rsidRPr="006A2591" w:rsidRDefault="00601C8B" w:rsidP="00601C8B">
      <w:pPr>
        <w:pStyle w:val="TTEMEASMCA"/>
        <w:rPr>
          <w:b/>
          <w:lang w:val="lt-LT"/>
        </w:rPr>
      </w:pPr>
    </w:p>
    <w:p w14:paraId="0FB2DA99" w14:textId="77777777" w:rsidR="00601C8B" w:rsidRPr="006A2591" w:rsidRDefault="00601C8B" w:rsidP="00601C8B">
      <w:pPr>
        <w:pStyle w:val="TTEMEASMCA"/>
        <w:rPr>
          <w:b/>
          <w:lang w:val="lt-LT"/>
        </w:rPr>
      </w:pPr>
      <w:r w:rsidRPr="006A2591">
        <w:rPr>
          <w:b/>
          <w:lang w:val="lt-LT"/>
        </w:rPr>
        <w:t>ŽENKLINIMAS IR PAKUOTĖS LAPELIS</w:t>
      </w:r>
    </w:p>
    <w:p w14:paraId="5B78D275" w14:textId="77777777" w:rsidR="00601C8B" w:rsidRPr="006A2591" w:rsidRDefault="00601C8B" w:rsidP="00601C8B">
      <w:pPr>
        <w:pStyle w:val="TTEMEASMCA"/>
        <w:rPr>
          <w:lang w:val="lt-LT"/>
        </w:rPr>
      </w:pPr>
      <w:r w:rsidRPr="006A2591">
        <w:rPr>
          <w:b/>
          <w:lang w:val="lt-LT"/>
        </w:rPr>
        <w:br w:type="page"/>
      </w:r>
    </w:p>
    <w:p w14:paraId="452EB928" w14:textId="77777777" w:rsidR="00601C8B" w:rsidRPr="006A2591" w:rsidRDefault="00601C8B" w:rsidP="00601C8B">
      <w:pPr>
        <w:pStyle w:val="Pagrindinistekstas"/>
        <w:spacing w:after="0"/>
        <w:rPr>
          <w:szCs w:val="22"/>
        </w:rPr>
      </w:pPr>
    </w:p>
    <w:p w14:paraId="2C820787" w14:textId="77777777" w:rsidR="00601C8B" w:rsidRPr="006A2591" w:rsidRDefault="00601C8B" w:rsidP="00601C8B">
      <w:pPr>
        <w:pStyle w:val="Pagrindinistekstas"/>
        <w:spacing w:after="0"/>
        <w:rPr>
          <w:szCs w:val="22"/>
        </w:rPr>
      </w:pPr>
    </w:p>
    <w:p w14:paraId="13679146" w14:textId="77777777" w:rsidR="00601C8B" w:rsidRPr="006A2591" w:rsidRDefault="00601C8B" w:rsidP="00601C8B">
      <w:pPr>
        <w:pStyle w:val="Pagrindinistekstas"/>
        <w:spacing w:after="0"/>
        <w:rPr>
          <w:szCs w:val="22"/>
        </w:rPr>
      </w:pPr>
    </w:p>
    <w:p w14:paraId="073CEBFF" w14:textId="77777777" w:rsidR="00601C8B" w:rsidRPr="006A2591" w:rsidRDefault="00601C8B" w:rsidP="00601C8B">
      <w:pPr>
        <w:pStyle w:val="Pagrindinistekstas"/>
        <w:spacing w:after="0"/>
        <w:rPr>
          <w:szCs w:val="22"/>
        </w:rPr>
      </w:pPr>
    </w:p>
    <w:p w14:paraId="473646A4" w14:textId="77777777" w:rsidR="00601C8B" w:rsidRPr="006A2591" w:rsidRDefault="00601C8B" w:rsidP="00601C8B">
      <w:pPr>
        <w:pStyle w:val="Pagrindinistekstas"/>
        <w:spacing w:after="0"/>
        <w:rPr>
          <w:szCs w:val="22"/>
        </w:rPr>
      </w:pPr>
    </w:p>
    <w:p w14:paraId="0840D37A" w14:textId="77777777" w:rsidR="00601C8B" w:rsidRPr="006A2591" w:rsidRDefault="00601C8B" w:rsidP="00601C8B">
      <w:pPr>
        <w:pStyle w:val="Pagrindinistekstas"/>
        <w:spacing w:after="0"/>
        <w:rPr>
          <w:szCs w:val="22"/>
        </w:rPr>
      </w:pPr>
    </w:p>
    <w:p w14:paraId="39FDB741" w14:textId="77777777" w:rsidR="00601C8B" w:rsidRPr="006A2591" w:rsidRDefault="00601C8B" w:rsidP="00601C8B">
      <w:pPr>
        <w:pStyle w:val="Pagrindinistekstas"/>
        <w:spacing w:after="0"/>
        <w:rPr>
          <w:szCs w:val="22"/>
        </w:rPr>
      </w:pPr>
    </w:p>
    <w:p w14:paraId="556BFA79" w14:textId="77777777" w:rsidR="00601C8B" w:rsidRPr="006A2591" w:rsidRDefault="00601C8B" w:rsidP="00601C8B">
      <w:pPr>
        <w:pStyle w:val="Pagrindinistekstas"/>
        <w:spacing w:after="0"/>
        <w:rPr>
          <w:szCs w:val="22"/>
        </w:rPr>
      </w:pPr>
    </w:p>
    <w:p w14:paraId="2A74E733" w14:textId="77777777" w:rsidR="00601C8B" w:rsidRPr="006A2591" w:rsidRDefault="00601C8B" w:rsidP="00601C8B">
      <w:pPr>
        <w:pStyle w:val="Pagrindinistekstas"/>
        <w:spacing w:after="0"/>
        <w:rPr>
          <w:szCs w:val="22"/>
        </w:rPr>
      </w:pPr>
    </w:p>
    <w:p w14:paraId="61D650F0" w14:textId="77777777" w:rsidR="00601C8B" w:rsidRPr="006A2591" w:rsidRDefault="00601C8B" w:rsidP="00601C8B">
      <w:pPr>
        <w:pStyle w:val="Pagrindinistekstas"/>
        <w:spacing w:after="0"/>
        <w:rPr>
          <w:szCs w:val="22"/>
        </w:rPr>
      </w:pPr>
    </w:p>
    <w:p w14:paraId="75EBF6FA" w14:textId="77777777" w:rsidR="00601C8B" w:rsidRPr="006A2591" w:rsidRDefault="00601C8B" w:rsidP="00601C8B">
      <w:pPr>
        <w:pStyle w:val="Pagrindinistekstas"/>
        <w:spacing w:after="0"/>
        <w:rPr>
          <w:szCs w:val="22"/>
        </w:rPr>
      </w:pPr>
    </w:p>
    <w:p w14:paraId="786ED552" w14:textId="77777777" w:rsidR="00601C8B" w:rsidRPr="006A2591" w:rsidRDefault="00601C8B" w:rsidP="00601C8B">
      <w:pPr>
        <w:pStyle w:val="Pagrindinistekstas"/>
        <w:spacing w:after="0"/>
        <w:rPr>
          <w:szCs w:val="22"/>
        </w:rPr>
      </w:pPr>
    </w:p>
    <w:p w14:paraId="4EFA9869" w14:textId="77777777" w:rsidR="00601C8B" w:rsidRPr="006A2591" w:rsidRDefault="00601C8B" w:rsidP="00601C8B">
      <w:pPr>
        <w:pStyle w:val="Pagrindinistekstas"/>
        <w:spacing w:after="0"/>
        <w:rPr>
          <w:szCs w:val="22"/>
        </w:rPr>
      </w:pPr>
    </w:p>
    <w:p w14:paraId="7EB5C417" w14:textId="77777777" w:rsidR="00601C8B" w:rsidRPr="006A2591" w:rsidRDefault="00601C8B" w:rsidP="00601C8B">
      <w:pPr>
        <w:pStyle w:val="Pagrindinistekstas"/>
        <w:spacing w:after="0"/>
        <w:rPr>
          <w:szCs w:val="22"/>
        </w:rPr>
      </w:pPr>
    </w:p>
    <w:p w14:paraId="1E309F4B" w14:textId="77777777" w:rsidR="00601C8B" w:rsidRPr="006A2591" w:rsidRDefault="00601C8B" w:rsidP="00601C8B">
      <w:pPr>
        <w:pStyle w:val="Pagrindinistekstas"/>
        <w:spacing w:after="0"/>
        <w:rPr>
          <w:szCs w:val="22"/>
        </w:rPr>
      </w:pPr>
    </w:p>
    <w:p w14:paraId="4A5BBA51" w14:textId="77777777" w:rsidR="00601C8B" w:rsidRPr="006A2591" w:rsidRDefault="00601C8B" w:rsidP="00601C8B">
      <w:pPr>
        <w:pStyle w:val="Pagrindinistekstas"/>
        <w:spacing w:after="0"/>
        <w:rPr>
          <w:szCs w:val="22"/>
        </w:rPr>
      </w:pPr>
    </w:p>
    <w:p w14:paraId="3C078680" w14:textId="77777777" w:rsidR="00601C8B" w:rsidRPr="006A2591" w:rsidRDefault="00601C8B" w:rsidP="00601C8B">
      <w:pPr>
        <w:pStyle w:val="Pagrindinistekstas"/>
        <w:spacing w:after="0"/>
        <w:rPr>
          <w:szCs w:val="22"/>
        </w:rPr>
      </w:pPr>
    </w:p>
    <w:p w14:paraId="07BFA483" w14:textId="77777777" w:rsidR="00601C8B" w:rsidRPr="006A2591" w:rsidRDefault="00601C8B" w:rsidP="00601C8B">
      <w:pPr>
        <w:pStyle w:val="Pagrindinistekstas"/>
        <w:spacing w:after="0"/>
        <w:rPr>
          <w:szCs w:val="22"/>
        </w:rPr>
      </w:pPr>
    </w:p>
    <w:p w14:paraId="5E16D80E" w14:textId="77777777" w:rsidR="00601C8B" w:rsidRPr="006A2591" w:rsidRDefault="00601C8B" w:rsidP="00601C8B">
      <w:pPr>
        <w:pStyle w:val="Pagrindinistekstas"/>
        <w:spacing w:after="0"/>
        <w:rPr>
          <w:szCs w:val="22"/>
        </w:rPr>
      </w:pPr>
    </w:p>
    <w:p w14:paraId="2D6B8035" w14:textId="77777777" w:rsidR="00601C8B" w:rsidRPr="006A2591" w:rsidRDefault="00601C8B" w:rsidP="00601C8B">
      <w:pPr>
        <w:pStyle w:val="Pagrindinistekstas"/>
        <w:spacing w:after="0"/>
        <w:rPr>
          <w:szCs w:val="22"/>
        </w:rPr>
      </w:pPr>
    </w:p>
    <w:p w14:paraId="1022330B" w14:textId="77777777" w:rsidR="00601C8B" w:rsidRPr="006A2591" w:rsidRDefault="00601C8B" w:rsidP="00601C8B">
      <w:pPr>
        <w:pStyle w:val="TTEMEASMCA"/>
        <w:rPr>
          <w:b/>
          <w:lang w:val="lt-LT"/>
        </w:rPr>
      </w:pPr>
    </w:p>
    <w:p w14:paraId="0B0CF2E8" w14:textId="77777777" w:rsidR="00601C8B" w:rsidRPr="006A2591" w:rsidRDefault="00601C8B" w:rsidP="00601C8B">
      <w:pPr>
        <w:pStyle w:val="TTEMEASMCA"/>
        <w:rPr>
          <w:b/>
          <w:lang w:val="lt-LT"/>
        </w:rPr>
      </w:pPr>
    </w:p>
    <w:p w14:paraId="0ACF73D1" w14:textId="77777777" w:rsidR="00601C8B" w:rsidRPr="006A2591" w:rsidRDefault="00601C8B" w:rsidP="00601C8B">
      <w:pPr>
        <w:pStyle w:val="TTEMEASMCA"/>
        <w:rPr>
          <w:b/>
          <w:lang w:val="lt-LT"/>
        </w:rPr>
      </w:pPr>
      <w:r w:rsidRPr="006A2591">
        <w:rPr>
          <w:b/>
          <w:lang w:val="lt-LT"/>
        </w:rPr>
        <w:t>A. ŽENKLINIMAS</w:t>
      </w:r>
    </w:p>
    <w:p w14:paraId="539AE1FB" w14:textId="77777777" w:rsidR="00601C8B" w:rsidRPr="006A2591" w:rsidRDefault="00601C8B" w:rsidP="00601C8B">
      <w:pPr>
        <w:pStyle w:val="TTEMEASMCA"/>
        <w:rPr>
          <w:b/>
          <w:lang w:val="lt-LT"/>
        </w:rPr>
      </w:pPr>
      <w:r w:rsidRPr="006A2591">
        <w:rPr>
          <w:b/>
          <w:lang w:val="lt-LT"/>
        </w:rPr>
        <w:br w:type="page"/>
      </w:r>
      <w:bookmarkStart w:id="11" w:name="OLE_LINK1"/>
    </w:p>
    <w:p w14:paraId="77DC37D7" w14:textId="77777777" w:rsidR="00601C8B" w:rsidRPr="006A2591" w:rsidRDefault="00601C8B" w:rsidP="00601C8B">
      <w:pPr>
        <w:pStyle w:val="PI-1labEMEASMCA"/>
      </w:pPr>
      <w:r w:rsidRPr="006A2591">
        <w:lastRenderedPageBreak/>
        <w:t>INFORMACIJA ANT IŠORINĖS PAKUOTĖS</w:t>
      </w:r>
    </w:p>
    <w:p w14:paraId="56573541" w14:textId="77777777" w:rsidR="00601C8B" w:rsidRPr="006A2591" w:rsidRDefault="00601C8B" w:rsidP="00601C8B">
      <w:pPr>
        <w:pStyle w:val="PI-1labEMEASMCA"/>
      </w:pPr>
    </w:p>
    <w:p w14:paraId="6AA2EC15" w14:textId="77777777" w:rsidR="00601C8B" w:rsidRPr="006A2591" w:rsidRDefault="00601C8B" w:rsidP="00601C8B">
      <w:pPr>
        <w:pStyle w:val="PI-1labEMEASMCA"/>
      </w:pPr>
      <w:r w:rsidRPr="006A2591">
        <w:t>KARTONINĖ DĖŽUTĖ</w:t>
      </w:r>
    </w:p>
    <w:p w14:paraId="0747C9EF" w14:textId="77777777" w:rsidR="00601C8B" w:rsidRPr="006A2591" w:rsidRDefault="00601C8B" w:rsidP="00E85904">
      <w:pPr>
        <w:pStyle w:val="BTEMEASMCA"/>
      </w:pPr>
    </w:p>
    <w:p w14:paraId="681A834E" w14:textId="77777777" w:rsidR="00601C8B" w:rsidRPr="006A2591" w:rsidRDefault="00601C8B" w:rsidP="00E85904">
      <w:pPr>
        <w:pStyle w:val="BTEMEASMCA"/>
      </w:pPr>
    </w:p>
    <w:p w14:paraId="5C2C2AFD" w14:textId="77777777" w:rsidR="00601C8B" w:rsidRPr="006A2591" w:rsidRDefault="00601C8B" w:rsidP="00601C8B">
      <w:pPr>
        <w:pStyle w:val="PI-1labEMEASMCA"/>
      </w:pPr>
      <w:r w:rsidRPr="006A2591">
        <w:t>1.</w:t>
      </w:r>
      <w:r w:rsidRPr="006A2591">
        <w:tab/>
        <w:t>VAISTINIO PREPARATO PAVADINIMAS</w:t>
      </w:r>
    </w:p>
    <w:p w14:paraId="257A1C14" w14:textId="77777777" w:rsidR="00601C8B" w:rsidRPr="006A2591" w:rsidRDefault="00601C8B" w:rsidP="00E85904">
      <w:pPr>
        <w:pStyle w:val="BTEMEASMCA"/>
      </w:pPr>
    </w:p>
    <w:p w14:paraId="589401E2" w14:textId="77777777" w:rsidR="00601C8B" w:rsidRPr="006A2591" w:rsidRDefault="00601C8B" w:rsidP="00E85904">
      <w:pPr>
        <w:pStyle w:val="BTEMEASMCA"/>
      </w:pPr>
      <w:proofErr w:type="spellStart"/>
      <w:r>
        <w:t>Tivulin</w:t>
      </w:r>
      <w:proofErr w:type="spellEnd"/>
      <w:r w:rsidRPr="006A2591">
        <w:t xml:space="preserve"> 500</w:t>
      </w:r>
      <w:r w:rsidRPr="0078470E">
        <w:t> </w:t>
      </w:r>
      <w:r w:rsidRPr="006A2591">
        <w:rPr>
          <w:spacing w:val="-3"/>
        </w:rPr>
        <w:t>m</w:t>
      </w:r>
      <w:r w:rsidRPr="006A2591">
        <w:t>g pailginto atpalaidavimo tabletės</w:t>
      </w:r>
    </w:p>
    <w:p w14:paraId="4119140B" w14:textId="77777777" w:rsidR="00601C8B" w:rsidRPr="00C67672" w:rsidRDefault="00601C8B" w:rsidP="00E85904">
      <w:pPr>
        <w:pStyle w:val="BTEMEASMCA"/>
        <w:rPr>
          <w:highlight w:val="lightGray"/>
        </w:rPr>
      </w:pPr>
      <w:proofErr w:type="spellStart"/>
      <w:r>
        <w:rPr>
          <w:highlight w:val="lightGray"/>
        </w:rPr>
        <w:t>Tivulin</w:t>
      </w:r>
      <w:proofErr w:type="spellEnd"/>
      <w:r w:rsidRPr="00C67672">
        <w:rPr>
          <w:highlight w:val="lightGray"/>
        </w:rPr>
        <w:t xml:space="preserve"> 750</w:t>
      </w:r>
      <w:r w:rsidRPr="0078470E">
        <w:t> </w:t>
      </w:r>
      <w:r w:rsidRPr="00C67672">
        <w:rPr>
          <w:spacing w:val="-3"/>
          <w:highlight w:val="lightGray"/>
        </w:rPr>
        <w:t>m</w:t>
      </w:r>
      <w:r w:rsidRPr="00C67672">
        <w:rPr>
          <w:highlight w:val="lightGray"/>
        </w:rPr>
        <w:t>g pailginto atpalaidavimo tabletės</w:t>
      </w:r>
    </w:p>
    <w:p w14:paraId="7A22B4C5" w14:textId="77777777" w:rsidR="00601C8B" w:rsidRPr="006A2591" w:rsidRDefault="00601C8B" w:rsidP="00E85904">
      <w:pPr>
        <w:pStyle w:val="BTEMEASMCA"/>
      </w:pPr>
      <w:proofErr w:type="spellStart"/>
      <w:r>
        <w:rPr>
          <w:highlight w:val="lightGray"/>
        </w:rPr>
        <w:t>Tivulin</w:t>
      </w:r>
      <w:proofErr w:type="spellEnd"/>
      <w:r w:rsidRPr="00C67672">
        <w:rPr>
          <w:highlight w:val="lightGray"/>
        </w:rPr>
        <w:t xml:space="preserve"> 1000</w:t>
      </w:r>
      <w:r w:rsidRPr="0078470E">
        <w:t> </w:t>
      </w:r>
      <w:r w:rsidRPr="00C67672">
        <w:rPr>
          <w:spacing w:val="-3"/>
          <w:highlight w:val="lightGray"/>
        </w:rPr>
        <w:t>m</w:t>
      </w:r>
      <w:r w:rsidRPr="00C67672">
        <w:rPr>
          <w:highlight w:val="lightGray"/>
        </w:rPr>
        <w:t>g pailginto atpalaidavimo tabletės</w:t>
      </w:r>
    </w:p>
    <w:p w14:paraId="207DF469" w14:textId="77777777" w:rsidR="00601C8B" w:rsidRDefault="00601C8B" w:rsidP="00E85904">
      <w:pPr>
        <w:pStyle w:val="BTEMEASMCA"/>
      </w:pPr>
    </w:p>
    <w:p w14:paraId="1B1629F4" w14:textId="08C40798" w:rsidR="00601C8B" w:rsidRDefault="00FE3681" w:rsidP="00E85904">
      <w:pPr>
        <w:pStyle w:val="BTEMEASMCA"/>
      </w:pPr>
      <w:proofErr w:type="spellStart"/>
      <w:r>
        <w:t>m</w:t>
      </w:r>
      <w:r w:rsidR="00601C8B">
        <w:t>etformino</w:t>
      </w:r>
      <w:proofErr w:type="spellEnd"/>
      <w:r w:rsidR="00601C8B">
        <w:t xml:space="preserve"> hidrochloridas</w:t>
      </w:r>
    </w:p>
    <w:p w14:paraId="3C5425E5" w14:textId="77777777" w:rsidR="00601C8B" w:rsidRPr="006A2591" w:rsidRDefault="00601C8B" w:rsidP="00E85904">
      <w:pPr>
        <w:pStyle w:val="BTEMEASMCA"/>
      </w:pPr>
    </w:p>
    <w:p w14:paraId="033E9B23" w14:textId="77777777" w:rsidR="00601C8B" w:rsidRPr="006A2591" w:rsidRDefault="00601C8B" w:rsidP="00E85904">
      <w:pPr>
        <w:pStyle w:val="BTEMEASMCA"/>
      </w:pPr>
    </w:p>
    <w:p w14:paraId="13D23222" w14:textId="77777777" w:rsidR="00601C8B" w:rsidRPr="006A2591" w:rsidRDefault="00601C8B" w:rsidP="00601C8B">
      <w:pPr>
        <w:pStyle w:val="PI-1labEMEASMCA"/>
      </w:pPr>
      <w:r w:rsidRPr="006A2591">
        <w:t>2.</w:t>
      </w:r>
      <w:r w:rsidRPr="006A2591">
        <w:tab/>
        <w:t>VEIKLIOJI (-IOS) MEDŽIAGA (-OS) IR JOS (JŲ) KIEKIS (-IAI)</w:t>
      </w:r>
    </w:p>
    <w:p w14:paraId="01DA0079" w14:textId="77777777" w:rsidR="00601C8B" w:rsidRPr="006A2591" w:rsidRDefault="00601C8B" w:rsidP="00E85904">
      <w:pPr>
        <w:pStyle w:val="BTEMEASMCA"/>
      </w:pPr>
    </w:p>
    <w:p w14:paraId="2350DC54" w14:textId="77777777" w:rsidR="00601C8B" w:rsidRPr="006A2591" w:rsidRDefault="00601C8B" w:rsidP="00E85904">
      <w:pPr>
        <w:pStyle w:val="BTEMEASMCA"/>
      </w:pPr>
      <w:r w:rsidRPr="006A2591">
        <w:t>Kiekvienoje pailginto atpalaidavimo tabletėje yra</w:t>
      </w:r>
    </w:p>
    <w:p w14:paraId="70214919" w14:textId="77777777" w:rsidR="00601C8B" w:rsidRPr="006A2591" w:rsidRDefault="00601C8B" w:rsidP="00E85904">
      <w:pPr>
        <w:pStyle w:val="BTEMEASMCA"/>
      </w:pPr>
      <w:r w:rsidRPr="006A2591">
        <w:t>500</w:t>
      </w:r>
      <w:r w:rsidRPr="0078470E">
        <w:t> </w:t>
      </w:r>
      <w:r w:rsidRPr="006A2591">
        <w:rPr>
          <w:spacing w:val="-1"/>
        </w:rPr>
        <w:t>m</w:t>
      </w:r>
      <w:r w:rsidRPr="006A2591">
        <w:t xml:space="preserve">g </w:t>
      </w:r>
      <w:proofErr w:type="spellStart"/>
      <w:r w:rsidRPr="006A2591">
        <w:rPr>
          <w:spacing w:val="-4"/>
        </w:rPr>
        <w:t>m</w:t>
      </w:r>
      <w:r w:rsidRPr="006A2591">
        <w:t>e</w:t>
      </w:r>
      <w:r w:rsidRPr="006A2591">
        <w:rPr>
          <w:spacing w:val="1"/>
        </w:rPr>
        <w:t>tf</w:t>
      </w:r>
      <w:r w:rsidRPr="006A2591">
        <w:t>o</w:t>
      </w:r>
      <w:r w:rsidRPr="006A2591">
        <w:rPr>
          <w:spacing w:val="1"/>
        </w:rPr>
        <w:t>r</w:t>
      </w:r>
      <w:r w:rsidRPr="006A2591">
        <w:rPr>
          <w:spacing w:val="-4"/>
        </w:rPr>
        <w:t>m</w:t>
      </w:r>
      <w:r w:rsidRPr="006A2591">
        <w:rPr>
          <w:spacing w:val="1"/>
        </w:rPr>
        <w:t>i</w:t>
      </w:r>
      <w:r w:rsidRPr="006A2591">
        <w:t>no</w:t>
      </w:r>
      <w:proofErr w:type="spellEnd"/>
      <w:r w:rsidRPr="006A2591">
        <w:t xml:space="preserve"> hid</w:t>
      </w:r>
      <w:r w:rsidRPr="006A2591">
        <w:rPr>
          <w:spacing w:val="1"/>
        </w:rPr>
        <w:t>r</w:t>
      </w:r>
      <w:r w:rsidRPr="006A2591">
        <w:t>oc</w:t>
      </w:r>
      <w:r w:rsidRPr="006A2591">
        <w:rPr>
          <w:spacing w:val="-2"/>
        </w:rPr>
        <w:t>h</w:t>
      </w:r>
      <w:r w:rsidRPr="006A2591">
        <w:rPr>
          <w:spacing w:val="1"/>
        </w:rPr>
        <w:t>l</w:t>
      </w:r>
      <w:r w:rsidRPr="006A2591">
        <w:t>o</w:t>
      </w:r>
      <w:r w:rsidRPr="006A2591">
        <w:rPr>
          <w:spacing w:val="-2"/>
        </w:rPr>
        <w:t>r</w:t>
      </w:r>
      <w:r w:rsidRPr="006A2591">
        <w:rPr>
          <w:spacing w:val="1"/>
        </w:rPr>
        <w:t>i</w:t>
      </w:r>
      <w:r w:rsidRPr="006A2591">
        <w:t>do, atitinkančio 390</w:t>
      </w:r>
      <w:r w:rsidRPr="0078470E">
        <w:t> </w:t>
      </w:r>
      <w:r w:rsidRPr="006A2591">
        <w:rPr>
          <w:spacing w:val="-1"/>
        </w:rPr>
        <w:t>m</w:t>
      </w:r>
      <w:r w:rsidRPr="006A2591">
        <w:t xml:space="preserve">g </w:t>
      </w:r>
      <w:proofErr w:type="spellStart"/>
      <w:r w:rsidRPr="006A2591">
        <w:rPr>
          <w:spacing w:val="-4"/>
        </w:rPr>
        <w:t>m</w:t>
      </w:r>
      <w:r w:rsidRPr="006A2591">
        <w:t>e</w:t>
      </w:r>
      <w:r w:rsidRPr="006A2591">
        <w:rPr>
          <w:spacing w:val="1"/>
        </w:rPr>
        <w:t>tf</w:t>
      </w:r>
      <w:r w:rsidRPr="006A2591">
        <w:t>o</w:t>
      </w:r>
      <w:r w:rsidRPr="006A2591">
        <w:rPr>
          <w:spacing w:val="1"/>
        </w:rPr>
        <w:t>r</w:t>
      </w:r>
      <w:r w:rsidRPr="006A2591">
        <w:rPr>
          <w:spacing w:val="-4"/>
        </w:rPr>
        <w:t>m</w:t>
      </w:r>
      <w:r w:rsidRPr="006A2591">
        <w:rPr>
          <w:spacing w:val="1"/>
        </w:rPr>
        <w:t>i</w:t>
      </w:r>
      <w:r w:rsidRPr="006A2591">
        <w:t>no</w:t>
      </w:r>
      <w:proofErr w:type="spellEnd"/>
      <w:r w:rsidRPr="006A2591">
        <w:t xml:space="preserve"> bazės.</w:t>
      </w:r>
    </w:p>
    <w:p w14:paraId="47FE38F8" w14:textId="77777777" w:rsidR="00601C8B" w:rsidRPr="00C67672" w:rsidRDefault="00601C8B" w:rsidP="00E85904">
      <w:pPr>
        <w:pStyle w:val="BTEMEASMCA"/>
        <w:rPr>
          <w:highlight w:val="lightGray"/>
        </w:rPr>
      </w:pPr>
      <w:r w:rsidRPr="00C67672">
        <w:rPr>
          <w:highlight w:val="lightGray"/>
        </w:rPr>
        <w:t>750</w:t>
      </w:r>
      <w:r w:rsidRPr="0078470E">
        <w:t> </w:t>
      </w:r>
      <w:r w:rsidRPr="00C67672">
        <w:rPr>
          <w:spacing w:val="-1"/>
          <w:highlight w:val="lightGray"/>
        </w:rPr>
        <w:t>m</w:t>
      </w:r>
      <w:r w:rsidRPr="00C67672">
        <w:rPr>
          <w:highlight w:val="lightGray"/>
        </w:rPr>
        <w:t xml:space="preserve">g </w:t>
      </w:r>
      <w:proofErr w:type="spellStart"/>
      <w:r w:rsidRPr="00C67672">
        <w:rPr>
          <w:spacing w:val="-4"/>
          <w:highlight w:val="lightGray"/>
        </w:rPr>
        <w:t>m</w:t>
      </w:r>
      <w:r w:rsidRPr="00C67672">
        <w:rPr>
          <w:highlight w:val="lightGray"/>
        </w:rPr>
        <w:t>e</w:t>
      </w:r>
      <w:r w:rsidRPr="00C67672">
        <w:rPr>
          <w:spacing w:val="1"/>
          <w:highlight w:val="lightGray"/>
        </w:rPr>
        <w:t>tf</w:t>
      </w:r>
      <w:r w:rsidRPr="00C67672">
        <w:rPr>
          <w:highlight w:val="lightGray"/>
        </w:rPr>
        <w:t>o</w:t>
      </w:r>
      <w:r w:rsidRPr="00C67672">
        <w:rPr>
          <w:spacing w:val="1"/>
          <w:highlight w:val="lightGray"/>
        </w:rPr>
        <w:t>r</w:t>
      </w:r>
      <w:r w:rsidRPr="00C67672">
        <w:rPr>
          <w:spacing w:val="-4"/>
          <w:highlight w:val="lightGray"/>
        </w:rPr>
        <w:t>m</w:t>
      </w:r>
      <w:r w:rsidRPr="00C67672">
        <w:rPr>
          <w:spacing w:val="1"/>
          <w:highlight w:val="lightGray"/>
        </w:rPr>
        <w:t>i</w:t>
      </w:r>
      <w:r w:rsidRPr="00C67672">
        <w:rPr>
          <w:highlight w:val="lightGray"/>
        </w:rPr>
        <w:t>no</w:t>
      </w:r>
      <w:proofErr w:type="spellEnd"/>
      <w:r w:rsidRPr="00C67672">
        <w:rPr>
          <w:highlight w:val="lightGray"/>
        </w:rPr>
        <w:t xml:space="preserve"> hid</w:t>
      </w:r>
      <w:r w:rsidRPr="00C67672">
        <w:rPr>
          <w:spacing w:val="1"/>
          <w:highlight w:val="lightGray"/>
        </w:rPr>
        <w:t>r</w:t>
      </w:r>
      <w:r w:rsidRPr="00C67672">
        <w:rPr>
          <w:highlight w:val="lightGray"/>
        </w:rPr>
        <w:t>oc</w:t>
      </w:r>
      <w:r w:rsidRPr="00C67672">
        <w:rPr>
          <w:spacing w:val="-2"/>
          <w:highlight w:val="lightGray"/>
        </w:rPr>
        <w:t>h</w:t>
      </w:r>
      <w:r w:rsidRPr="00C67672">
        <w:rPr>
          <w:spacing w:val="1"/>
          <w:highlight w:val="lightGray"/>
        </w:rPr>
        <w:t>l</w:t>
      </w:r>
      <w:r w:rsidRPr="00C67672">
        <w:rPr>
          <w:highlight w:val="lightGray"/>
        </w:rPr>
        <w:t>o</w:t>
      </w:r>
      <w:r w:rsidRPr="00C67672">
        <w:rPr>
          <w:spacing w:val="-2"/>
          <w:highlight w:val="lightGray"/>
        </w:rPr>
        <w:t>r</w:t>
      </w:r>
      <w:r w:rsidRPr="00C67672">
        <w:rPr>
          <w:spacing w:val="1"/>
          <w:highlight w:val="lightGray"/>
        </w:rPr>
        <w:t>i</w:t>
      </w:r>
      <w:r w:rsidRPr="00C67672">
        <w:rPr>
          <w:highlight w:val="lightGray"/>
        </w:rPr>
        <w:t>do, atitinkančio 585</w:t>
      </w:r>
      <w:r w:rsidRPr="0078470E">
        <w:t> </w:t>
      </w:r>
      <w:r w:rsidRPr="00C67672">
        <w:rPr>
          <w:spacing w:val="-1"/>
          <w:highlight w:val="lightGray"/>
        </w:rPr>
        <w:t>m</w:t>
      </w:r>
      <w:r w:rsidRPr="00C67672">
        <w:rPr>
          <w:highlight w:val="lightGray"/>
        </w:rPr>
        <w:t xml:space="preserve">g </w:t>
      </w:r>
      <w:proofErr w:type="spellStart"/>
      <w:r w:rsidRPr="00C67672">
        <w:rPr>
          <w:spacing w:val="-4"/>
          <w:highlight w:val="lightGray"/>
        </w:rPr>
        <w:t>m</w:t>
      </w:r>
      <w:r w:rsidRPr="00C67672">
        <w:rPr>
          <w:highlight w:val="lightGray"/>
        </w:rPr>
        <w:t>e</w:t>
      </w:r>
      <w:r w:rsidRPr="00C67672">
        <w:rPr>
          <w:spacing w:val="1"/>
          <w:highlight w:val="lightGray"/>
        </w:rPr>
        <w:t>tf</w:t>
      </w:r>
      <w:r w:rsidRPr="00C67672">
        <w:rPr>
          <w:highlight w:val="lightGray"/>
        </w:rPr>
        <w:t>o</w:t>
      </w:r>
      <w:r w:rsidRPr="00C67672">
        <w:rPr>
          <w:spacing w:val="1"/>
          <w:highlight w:val="lightGray"/>
        </w:rPr>
        <w:t>r</w:t>
      </w:r>
      <w:r w:rsidRPr="00C67672">
        <w:rPr>
          <w:spacing w:val="-4"/>
          <w:highlight w:val="lightGray"/>
        </w:rPr>
        <w:t>m</w:t>
      </w:r>
      <w:r w:rsidRPr="00C67672">
        <w:rPr>
          <w:spacing w:val="1"/>
          <w:highlight w:val="lightGray"/>
        </w:rPr>
        <w:t>i</w:t>
      </w:r>
      <w:r w:rsidRPr="00C67672">
        <w:rPr>
          <w:highlight w:val="lightGray"/>
        </w:rPr>
        <w:t>no</w:t>
      </w:r>
      <w:proofErr w:type="spellEnd"/>
      <w:r w:rsidRPr="00C67672">
        <w:rPr>
          <w:highlight w:val="lightGray"/>
        </w:rPr>
        <w:t xml:space="preserve"> bazės.</w:t>
      </w:r>
    </w:p>
    <w:p w14:paraId="7EDC69B7" w14:textId="77777777" w:rsidR="00601C8B" w:rsidRPr="006A2591" w:rsidRDefault="00601C8B" w:rsidP="00E85904">
      <w:pPr>
        <w:pStyle w:val="BTEMEASMCA"/>
      </w:pPr>
      <w:r w:rsidRPr="00C67672">
        <w:rPr>
          <w:highlight w:val="lightGray"/>
        </w:rPr>
        <w:t>1000</w:t>
      </w:r>
      <w:r w:rsidRPr="0078470E">
        <w:t> </w:t>
      </w:r>
      <w:r w:rsidRPr="00C67672">
        <w:rPr>
          <w:spacing w:val="-1"/>
          <w:highlight w:val="lightGray"/>
        </w:rPr>
        <w:t>m</w:t>
      </w:r>
      <w:r w:rsidRPr="00C67672">
        <w:rPr>
          <w:highlight w:val="lightGray"/>
        </w:rPr>
        <w:t xml:space="preserve">g </w:t>
      </w:r>
      <w:proofErr w:type="spellStart"/>
      <w:r w:rsidRPr="00C67672">
        <w:rPr>
          <w:spacing w:val="-4"/>
          <w:highlight w:val="lightGray"/>
        </w:rPr>
        <w:t>m</w:t>
      </w:r>
      <w:r w:rsidRPr="00C67672">
        <w:rPr>
          <w:highlight w:val="lightGray"/>
        </w:rPr>
        <w:t>e</w:t>
      </w:r>
      <w:r w:rsidRPr="00C67672">
        <w:rPr>
          <w:spacing w:val="1"/>
          <w:highlight w:val="lightGray"/>
        </w:rPr>
        <w:t>tf</w:t>
      </w:r>
      <w:r w:rsidRPr="00C67672">
        <w:rPr>
          <w:highlight w:val="lightGray"/>
        </w:rPr>
        <w:t>o</w:t>
      </w:r>
      <w:r w:rsidRPr="00C67672">
        <w:rPr>
          <w:spacing w:val="1"/>
          <w:highlight w:val="lightGray"/>
        </w:rPr>
        <w:t>r</w:t>
      </w:r>
      <w:r w:rsidRPr="00C67672">
        <w:rPr>
          <w:spacing w:val="-4"/>
          <w:highlight w:val="lightGray"/>
        </w:rPr>
        <w:t>m</w:t>
      </w:r>
      <w:r w:rsidRPr="00C67672">
        <w:rPr>
          <w:spacing w:val="1"/>
          <w:highlight w:val="lightGray"/>
        </w:rPr>
        <w:t>i</w:t>
      </w:r>
      <w:r w:rsidRPr="00C67672">
        <w:rPr>
          <w:highlight w:val="lightGray"/>
        </w:rPr>
        <w:t>no</w:t>
      </w:r>
      <w:proofErr w:type="spellEnd"/>
      <w:r w:rsidRPr="00C67672">
        <w:rPr>
          <w:highlight w:val="lightGray"/>
        </w:rPr>
        <w:t xml:space="preserve"> hid</w:t>
      </w:r>
      <w:r w:rsidRPr="00C67672">
        <w:rPr>
          <w:spacing w:val="1"/>
          <w:highlight w:val="lightGray"/>
        </w:rPr>
        <w:t>r</w:t>
      </w:r>
      <w:r w:rsidRPr="00C67672">
        <w:rPr>
          <w:highlight w:val="lightGray"/>
        </w:rPr>
        <w:t>oc</w:t>
      </w:r>
      <w:r w:rsidRPr="00C67672">
        <w:rPr>
          <w:spacing w:val="-2"/>
          <w:highlight w:val="lightGray"/>
        </w:rPr>
        <w:t>h</w:t>
      </w:r>
      <w:r w:rsidRPr="00C67672">
        <w:rPr>
          <w:spacing w:val="1"/>
          <w:highlight w:val="lightGray"/>
        </w:rPr>
        <w:t>l</w:t>
      </w:r>
      <w:r w:rsidRPr="00C67672">
        <w:rPr>
          <w:highlight w:val="lightGray"/>
        </w:rPr>
        <w:t>o</w:t>
      </w:r>
      <w:r w:rsidRPr="00C67672">
        <w:rPr>
          <w:spacing w:val="-2"/>
          <w:highlight w:val="lightGray"/>
        </w:rPr>
        <w:t>r</w:t>
      </w:r>
      <w:r w:rsidRPr="00C67672">
        <w:rPr>
          <w:spacing w:val="1"/>
          <w:highlight w:val="lightGray"/>
        </w:rPr>
        <w:t>i</w:t>
      </w:r>
      <w:r w:rsidRPr="00C67672">
        <w:rPr>
          <w:highlight w:val="lightGray"/>
        </w:rPr>
        <w:t>do, atitinkančio 780</w:t>
      </w:r>
      <w:r w:rsidRPr="0078470E">
        <w:t> </w:t>
      </w:r>
      <w:r w:rsidRPr="00C67672">
        <w:rPr>
          <w:spacing w:val="-1"/>
          <w:highlight w:val="lightGray"/>
        </w:rPr>
        <w:t>m</w:t>
      </w:r>
      <w:r w:rsidRPr="00C67672">
        <w:rPr>
          <w:highlight w:val="lightGray"/>
        </w:rPr>
        <w:t xml:space="preserve">g </w:t>
      </w:r>
      <w:proofErr w:type="spellStart"/>
      <w:r w:rsidRPr="00C67672">
        <w:rPr>
          <w:spacing w:val="-4"/>
          <w:highlight w:val="lightGray"/>
        </w:rPr>
        <w:t>m</w:t>
      </w:r>
      <w:r w:rsidRPr="00C67672">
        <w:rPr>
          <w:highlight w:val="lightGray"/>
        </w:rPr>
        <w:t>e</w:t>
      </w:r>
      <w:r w:rsidRPr="00C67672">
        <w:rPr>
          <w:spacing w:val="1"/>
          <w:highlight w:val="lightGray"/>
        </w:rPr>
        <w:t>tf</w:t>
      </w:r>
      <w:r w:rsidRPr="00C67672">
        <w:rPr>
          <w:highlight w:val="lightGray"/>
        </w:rPr>
        <w:t>o</w:t>
      </w:r>
      <w:r w:rsidRPr="00C67672">
        <w:rPr>
          <w:spacing w:val="1"/>
          <w:highlight w:val="lightGray"/>
        </w:rPr>
        <w:t>r</w:t>
      </w:r>
      <w:r w:rsidRPr="00C67672">
        <w:rPr>
          <w:spacing w:val="-4"/>
          <w:highlight w:val="lightGray"/>
        </w:rPr>
        <w:t>m</w:t>
      </w:r>
      <w:r w:rsidRPr="00C67672">
        <w:rPr>
          <w:spacing w:val="1"/>
          <w:highlight w:val="lightGray"/>
        </w:rPr>
        <w:t>i</w:t>
      </w:r>
      <w:r w:rsidRPr="00C67672">
        <w:rPr>
          <w:highlight w:val="lightGray"/>
        </w:rPr>
        <w:t>no</w:t>
      </w:r>
      <w:proofErr w:type="spellEnd"/>
      <w:r w:rsidRPr="00C67672">
        <w:rPr>
          <w:highlight w:val="lightGray"/>
        </w:rPr>
        <w:t xml:space="preserve"> bazės</w:t>
      </w:r>
      <w:r>
        <w:t>.</w:t>
      </w:r>
    </w:p>
    <w:p w14:paraId="68D099B3" w14:textId="77777777" w:rsidR="00601C8B" w:rsidRPr="006A2591" w:rsidRDefault="00601C8B" w:rsidP="00E85904">
      <w:pPr>
        <w:pStyle w:val="BTEMEASMCA"/>
      </w:pPr>
    </w:p>
    <w:p w14:paraId="25A54A8F" w14:textId="77777777" w:rsidR="00601C8B" w:rsidRPr="006A2591" w:rsidRDefault="00601C8B" w:rsidP="00E85904">
      <w:pPr>
        <w:pStyle w:val="BTEMEASMCA"/>
      </w:pPr>
    </w:p>
    <w:p w14:paraId="512A2451" w14:textId="77777777" w:rsidR="00601C8B" w:rsidRPr="006A2591" w:rsidRDefault="00601C8B" w:rsidP="00601C8B">
      <w:pPr>
        <w:pStyle w:val="PI-1labEMEASMCA"/>
      </w:pPr>
      <w:r w:rsidRPr="006A2591">
        <w:t>3.</w:t>
      </w:r>
      <w:r w:rsidRPr="006A2591">
        <w:tab/>
        <w:t>PAGALBINIŲ MEDŽIAGŲ SĄRAŠAS</w:t>
      </w:r>
    </w:p>
    <w:p w14:paraId="58C0257F" w14:textId="77777777" w:rsidR="00601C8B" w:rsidRPr="006A2591" w:rsidRDefault="00601C8B" w:rsidP="00E85904">
      <w:pPr>
        <w:pStyle w:val="BTEMEASMCA"/>
      </w:pPr>
    </w:p>
    <w:p w14:paraId="5E6B4C75" w14:textId="77777777" w:rsidR="00601C8B" w:rsidRPr="006A2591" w:rsidRDefault="00601C8B" w:rsidP="00E85904">
      <w:pPr>
        <w:pStyle w:val="BTEMEASMCA"/>
      </w:pPr>
    </w:p>
    <w:p w14:paraId="5560FDBE" w14:textId="77777777" w:rsidR="00601C8B" w:rsidRPr="006A2591" w:rsidRDefault="00601C8B" w:rsidP="00601C8B">
      <w:pPr>
        <w:pStyle w:val="PI-1labEMEASMCA"/>
      </w:pPr>
      <w:r w:rsidRPr="006A2591">
        <w:t>4.</w:t>
      </w:r>
      <w:r w:rsidRPr="006A2591">
        <w:tab/>
        <w:t>FARMACINĖ FORMA IR KIEKIS PAKUOTĖJE</w:t>
      </w:r>
    </w:p>
    <w:p w14:paraId="04F348AE" w14:textId="77777777" w:rsidR="00601C8B" w:rsidRPr="006A2591" w:rsidRDefault="00601C8B" w:rsidP="00601C8B">
      <w:pPr>
        <w:pStyle w:val="Pagrindinistekstas"/>
        <w:spacing w:after="0"/>
        <w:rPr>
          <w:szCs w:val="22"/>
        </w:rPr>
      </w:pPr>
    </w:p>
    <w:p w14:paraId="0437E8D9" w14:textId="77777777" w:rsidR="00601C8B" w:rsidRPr="006A2591" w:rsidRDefault="00601C8B" w:rsidP="00601C8B">
      <w:pPr>
        <w:pStyle w:val="Pagrindinistekstas"/>
        <w:spacing w:after="0"/>
        <w:rPr>
          <w:szCs w:val="22"/>
        </w:rPr>
      </w:pPr>
      <w:r w:rsidRPr="006A2591">
        <w:rPr>
          <w:szCs w:val="22"/>
        </w:rPr>
        <w:t>15 pailginto atpalaidavimo tablečių</w:t>
      </w:r>
    </w:p>
    <w:p w14:paraId="6FEC71B2" w14:textId="77777777" w:rsidR="00601C8B" w:rsidRPr="00C67672" w:rsidRDefault="00601C8B" w:rsidP="00601C8B">
      <w:pPr>
        <w:pStyle w:val="Pagrindinistekstas"/>
        <w:spacing w:after="0"/>
        <w:rPr>
          <w:highlight w:val="lightGray"/>
        </w:rPr>
      </w:pPr>
      <w:r w:rsidRPr="00C67672">
        <w:rPr>
          <w:highlight w:val="lightGray"/>
        </w:rPr>
        <w:t>30 pailginto atpalaidavimo tablečių</w:t>
      </w:r>
    </w:p>
    <w:p w14:paraId="5CD2A197" w14:textId="77777777" w:rsidR="00601C8B" w:rsidRPr="00C67672" w:rsidRDefault="00601C8B" w:rsidP="00601C8B">
      <w:pPr>
        <w:pStyle w:val="Pagrindinistekstas"/>
        <w:spacing w:after="0"/>
        <w:rPr>
          <w:highlight w:val="lightGray"/>
        </w:rPr>
      </w:pPr>
      <w:r w:rsidRPr="00C67672">
        <w:rPr>
          <w:highlight w:val="lightGray"/>
        </w:rPr>
        <w:t>60 pailginto atpalaidavimo tablečių</w:t>
      </w:r>
    </w:p>
    <w:p w14:paraId="178DF54D" w14:textId="77777777" w:rsidR="00601C8B" w:rsidRPr="00C67672" w:rsidRDefault="00601C8B" w:rsidP="00601C8B">
      <w:pPr>
        <w:pStyle w:val="Pagrindinistekstas"/>
        <w:spacing w:after="0"/>
        <w:rPr>
          <w:highlight w:val="lightGray"/>
        </w:rPr>
      </w:pPr>
      <w:r w:rsidRPr="00C67672">
        <w:rPr>
          <w:highlight w:val="lightGray"/>
        </w:rPr>
        <w:t>90 pailginto atpalaidavimo tablečių</w:t>
      </w:r>
    </w:p>
    <w:p w14:paraId="3C083D7A" w14:textId="77777777" w:rsidR="00601C8B" w:rsidRPr="006A2591" w:rsidRDefault="00601C8B" w:rsidP="00601C8B">
      <w:pPr>
        <w:pStyle w:val="Pagrindinistekstas"/>
        <w:spacing w:after="0"/>
        <w:rPr>
          <w:szCs w:val="22"/>
        </w:rPr>
      </w:pPr>
      <w:r w:rsidRPr="00C67672">
        <w:rPr>
          <w:highlight w:val="lightGray"/>
        </w:rPr>
        <w:t>120 pailginto atpalaidavimo tablečių</w:t>
      </w:r>
    </w:p>
    <w:p w14:paraId="232B3522" w14:textId="77777777" w:rsidR="00601C8B" w:rsidRPr="006A2591" w:rsidRDefault="00601C8B" w:rsidP="00E85904">
      <w:pPr>
        <w:pStyle w:val="BTEMEASMCA"/>
      </w:pPr>
    </w:p>
    <w:p w14:paraId="4BA21B96" w14:textId="77777777" w:rsidR="00601C8B" w:rsidRPr="006A2591" w:rsidRDefault="00601C8B" w:rsidP="00E85904">
      <w:pPr>
        <w:pStyle w:val="BTEMEASMCA"/>
      </w:pPr>
    </w:p>
    <w:p w14:paraId="25093936" w14:textId="77777777" w:rsidR="00601C8B" w:rsidRPr="006A2591" w:rsidRDefault="00601C8B" w:rsidP="00601C8B">
      <w:pPr>
        <w:pStyle w:val="PI-1labEMEASMCA"/>
      </w:pPr>
      <w:r w:rsidRPr="006A2591">
        <w:t>5.</w:t>
      </w:r>
      <w:r w:rsidRPr="006A2591">
        <w:tab/>
        <w:t>VARTOJIMO METODAS IR BŪDAS (-AI)</w:t>
      </w:r>
    </w:p>
    <w:p w14:paraId="6DE49FC9" w14:textId="77777777" w:rsidR="00601C8B" w:rsidRPr="006A2591" w:rsidRDefault="00601C8B" w:rsidP="00E85904">
      <w:pPr>
        <w:pStyle w:val="BTEMEASMCA"/>
      </w:pPr>
    </w:p>
    <w:p w14:paraId="76D2D3AF" w14:textId="77777777" w:rsidR="00601C8B" w:rsidRPr="006A2591" w:rsidRDefault="00601C8B" w:rsidP="00E85904">
      <w:pPr>
        <w:pStyle w:val="BTEMEASMCA"/>
      </w:pPr>
      <w:r w:rsidRPr="006A2591">
        <w:t xml:space="preserve">Vartoti per burną. </w:t>
      </w:r>
    </w:p>
    <w:p w14:paraId="110FCF8C" w14:textId="77777777" w:rsidR="00601C8B" w:rsidRPr="006A2591" w:rsidRDefault="00601C8B" w:rsidP="00E85904">
      <w:pPr>
        <w:pStyle w:val="BTEMEASMCA"/>
      </w:pPr>
      <w:r w:rsidRPr="006A2591">
        <w:t>Tabletę prarykite nekramtydami.</w:t>
      </w:r>
    </w:p>
    <w:p w14:paraId="2699E1C9" w14:textId="77777777" w:rsidR="00601C8B" w:rsidRPr="006A2591" w:rsidRDefault="00601C8B" w:rsidP="00E85904">
      <w:pPr>
        <w:pStyle w:val="BTEMEASMCA"/>
      </w:pPr>
      <w:r w:rsidRPr="006A2591">
        <w:t>Prieš vartojimą perskaitykite pakuotės lapelį.</w:t>
      </w:r>
    </w:p>
    <w:p w14:paraId="7877B123" w14:textId="77777777" w:rsidR="00601C8B" w:rsidRPr="006A2591" w:rsidRDefault="00601C8B" w:rsidP="00E85904">
      <w:pPr>
        <w:pStyle w:val="BTEMEASMCA"/>
      </w:pPr>
    </w:p>
    <w:p w14:paraId="22D372BE" w14:textId="77777777" w:rsidR="00601C8B" w:rsidRPr="006A2591" w:rsidRDefault="00601C8B" w:rsidP="00E85904">
      <w:pPr>
        <w:pStyle w:val="BTEMEASMCA"/>
      </w:pPr>
    </w:p>
    <w:p w14:paraId="24E5B393" w14:textId="77777777" w:rsidR="00601C8B" w:rsidRPr="006A2591" w:rsidRDefault="00601C8B" w:rsidP="00601C8B">
      <w:pPr>
        <w:pStyle w:val="PI-1labEMEASMCA"/>
      </w:pPr>
      <w:r w:rsidRPr="006A2591">
        <w:t>6.</w:t>
      </w:r>
      <w:r w:rsidRPr="006A2591">
        <w:tab/>
        <w:t>SPECIALUS ĮSPĖJIMAS, KAD VAISTINĮ PREPARATĄ BŪTINA LAIKYTI VAIKAMS NEPASTEBIMOJE IR NEPASIEKIAMOJE VIETOJE</w:t>
      </w:r>
    </w:p>
    <w:p w14:paraId="1B26CBFF" w14:textId="77777777" w:rsidR="00601C8B" w:rsidRPr="006A2591" w:rsidRDefault="00601C8B" w:rsidP="00E85904">
      <w:pPr>
        <w:pStyle w:val="BTEMEASMCA"/>
      </w:pPr>
    </w:p>
    <w:p w14:paraId="3A6CB4F4" w14:textId="77777777" w:rsidR="00601C8B" w:rsidRPr="006A2591" w:rsidRDefault="00601C8B" w:rsidP="00E85904">
      <w:pPr>
        <w:pStyle w:val="BTEMEASMCA"/>
      </w:pPr>
      <w:r w:rsidRPr="006A2591">
        <w:t xml:space="preserve">Laikyti vaikams </w:t>
      </w:r>
      <w:r w:rsidRPr="006A2591">
        <w:rPr>
          <w:noProof/>
        </w:rPr>
        <w:t>nepastebimoje ir nepasiekiamoje</w:t>
      </w:r>
      <w:r w:rsidRPr="006A2591">
        <w:t xml:space="preserve"> vietoje.</w:t>
      </w:r>
    </w:p>
    <w:p w14:paraId="7766BAC5" w14:textId="77777777" w:rsidR="00601C8B" w:rsidRPr="006A2591" w:rsidRDefault="00601C8B" w:rsidP="00E85904">
      <w:pPr>
        <w:pStyle w:val="BTEMEASMCA"/>
      </w:pPr>
    </w:p>
    <w:p w14:paraId="3B18185E" w14:textId="77777777" w:rsidR="00601C8B" w:rsidRPr="006A2591" w:rsidRDefault="00601C8B" w:rsidP="00E85904">
      <w:pPr>
        <w:pStyle w:val="BTEMEASMCA"/>
      </w:pPr>
    </w:p>
    <w:p w14:paraId="266BB148" w14:textId="77777777" w:rsidR="00601C8B" w:rsidRPr="006A2591" w:rsidRDefault="00601C8B" w:rsidP="00601C8B">
      <w:pPr>
        <w:pStyle w:val="PI-1labEMEASMCA"/>
      </w:pPr>
      <w:r w:rsidRPr="006A2591">
        <w:t>7.</w:t>
      </w:r>
      <w:r w:rsidRPr="006A2591">
        <w:tab/>
        <w:t>KITAS (-I) SPECIALUS (-ŪS) ĮSPĖJIMAS (-AI) (JEI REIKIA)</w:t>
      </w:r>
    </w:p>
    <w:p w14:paraId="0C7CD68D" w14:textId="77777777" w:rsidR="00601C8B" w:rsidRPr="006A2591" w:rsidRDefault="00601C8B" w:rsidP="00E85904">
      <w:pPr>
        <w:pStyle w:val="BTEMEASMCA"/>
      </w:pPr>
    </w:p>
    <w:p w14:paraId="2C3F85F6" w14:textId="77777777" w:rsidR="00601C8B" w:rsidRPr="006A2591" w:rsidRDefault="00601C8B" w:rsidP="00E85904">
      <w:pPr>
        <w:pStyle w:val="BTEMEASMCA"/>
      </w:pPr>
    </w:p>
    <w:p w14:paraId="1C0304B0" w14:textId="77777777" w:rsidR="00601C8B" w:rsidRPr="006A2591" w:rsidRDefault="00601C8B" w:rsidP="00601C8B">
      <w:pPr>
        <w:pStyle w:val="PI-1labEMEASMCA"/>
      </w:pPr>
      <w:r w:rsidRPr="006A2591">
        <w:t>8.</w:t>
      </w:r>
      <w:r w:rsidRPr="006A2591">
        <w:tab/>
        <w:t>TINKAMUMO LAIKAS</w:t>
      </w:r>
    </w:p>
    <w:p w14:paraId="3AD79101" w14:textId="77777777" w:rsidR="00601C8B" w:rsidRPr="006A2591" w:rsidRDefault="00601C8B" w:rsidP="00E85904">
      <w:pPr>
        <w:pStyle w:val="BTEMEASMCA"/>
      </w:pPr>
    </w:p>
    <w:p w14:paraId="7AE2AE9F" w14:textId="77777777" w:rsidR="00601C8B" w:rsidRPr="006A2591" w:rsidRDefault="00601C8B" w:rsidP="00E85904">
      <w:pPr>
        <w:pStyle w:val="BTEMEASMCA"/>
      </w:pPr>
      <w:r w:rsidRPr="006A2591">
        <w:t>EXP [</w:t>
      </w:r>
      <w:proofErr w:type="spellStart"/>
      <w:r w:rsidRPr="006A2591">
        <w:t>mm.MMMM</w:t>
      </w:r>
      <w:proofErr w:type="spellEnd"/>
      <w:r w:rsidRPr="006A2591">
        <w:t>]</w:t>
      </w:r>
    </w:p>
    <w:p w14:paraId="6552131A" w14:textId="77777777" w:rsidR="00601C8B" w:rsidRPr="006A2591" w:rsidRDefault="00601C8B" w:rsidP="00601C8B">
      <w:pPr>
        <w:tabs>
          <w:tab w:val="left" w:pos="567"/>
        </w:tabs>
        <w:rPr>
          <w:szCs w:val="22"/>
        </w:rPr>
      </w:pPr>
    </w:p>
    <w:p w14:paraId="18B3CAB4" w14:textId="77777777" w:rsidR="00601C8B" w:rsidRPr="006A2591" w:rsidRDefault="00601C8B" w:rsidP="00E85904">
      <w:pPr>
        <w:pStyle w:val="BTEMEASMCA"/>
      </w:pPr>
    </w:p>
    <w:p w14:paraId="44741157" w14:textId="77777777" w:rsidR="00601C8B" w:rsidRPr="006A2591" w:rsidRDefault="00601C8B" w:rsidP="00601C8B">
      <w:pPr>
        <w:pStyle w:val="PI-1labEMEASMCA"/>
      </w:pPr>
      <w:r w:rsidRPr="006A2591">
        <w:lastRenderedPageBreak/>
        <w:t>9.</w:t>
      </w:r>
      <w:r w:rsidRPr="006A2591">
        <w:tab/>
        <w:t>SPECIALIOS LAIKYMO SĄLYGOS</w:t>
      </w:r>
    </w:p>
    <w:p w14:paraId="33CA080E" w14:textId="77777777" w:rsidR="00601C8B" w:rsidRPr="006A2591" w:rsidRDefault="00601C8B" w:rsidP="00E85904">
      <w:pPr>
        <w:pStyle w:val="BTEMEASMCA"/>
      </w:pPr>
    </w:p>
    <w:p w14:paraId="68A3C591" w14:textId="77777777" w:rsidR="00601C8B" w:rsidRPr="006A2591" w:rsidRDefault="00601C8B" w:rsidP="00E85904">
      <w:pPr>
        <w:pStyle w:val="BTEMEASMCA"/>
      </w:pPr>
    </w:p>
    <w:p w14:paraId="6DDF4CA0" w14:textId="77777777" w:rsidR="00601C8B" w:rsidRPr="006A2591" w:rsidRDefault="00601C8B" w:rsidP="00601C8B">
      <w:pPr>
        <w:pStyle w:val="PI-1labEMEASMCA"/>
      </w:pPr>
      <w:r w:rsidRPr="006A2591">
        <w:t>10.</w:t>
      </w:r>
      <w:r w:rsidRPr="006A2591">
        <w:tab/>
        <w:t>SPECIALIOS ATSARGUMO PRIEMONĖS DĖL NESUVARTOTO VAISTINIO PREPARATO AR JO ATLIEKŲ TVARKYMO (JEI REIKIA)</w:t>
      </w:r>
    </w:p>
    <w:p w14:paraId="2A8B871E" w14:textId="77777777" w:rsidR="00601C8B" w:rsidRPr="006A2591" w:rsidRDefault="00601C8B" w:rsidP="00E85904">
      <w:pPr>
        <w:pStyle w:val="BTEMEASMCA"/>
      </w:pPr>
    </w:p>
    <w:p w14:paraId="45CB6071" w14:textId="77777777" w:rsidR="00601C8B" w:rsidRPr="006A2591" w:rsidRDefault="00601C8B" w:rsidP="00E85904">
      <w:pPr>
        <w:pStyle w:val="BTEMEASMCA"/>
      </w:pPr>
    </w:p>
    <w:p w14:paraId="263FA106" w14:textId="77777777" w:rsidR="00601C8B" w:rsidRPr="006A2591" w:rsidRDefault="00601C8B" w:rsidP="00601C8B">
      <w:pPr>
        <w:pStyle w:val="PI-1labEMEASMCA"/>
      </w:pPr>
      <w:r w:rsidRPr="006A2591">
        <w:t>11.</w:t>
      </w:r>
      <w:r w:rsidRPr="006A2591">
        <w:tab/>
      </w:r>
      <w:r w:rsidRPr="006A2591">
        <w:rPr>
          <w:caps/>
        </w:rPr>
        <w:t>REGISTRUOTOJO</w:t>
      </w:r>
      <w:r w:rsidRPr="006A2591">
        <w:t xml:space="preserve"> PAVADINIMAS IR ADRESAS</w:t>
      </w:r>
    </w:p>
    <w:p w14:paraId="72113214" w14:textId="77777777" w:rsidR="00601C8B" w:rsidRPr="006A2591" w:rsidRDefault="00601C8B" w:rsidP="00E85904">
      <w:pPr>
        <w:pStyle w:val="BTEMEASMCA"/>
      </w:pPr>
    </w:p>
    <w:p w14:paraId="18BB0D5F" w14:textId="77777777" w:rsidR="00601C8B" w:rsidRPr="006A2591" w:rsidRDefault="00601C8B" w:rsidP="00601C8B">
      <w:pPr>
        <w:pStyle w:val="Porat"/>
        <w:tabs>
          <w:tab w:val="clear" w:pos="4153"/>
          <w:tab w:val="clear" w:pos="8306"/>
        </w:tabs>
        <w:rPr>
          <w:szCs w:val="22"/>
        </w:rPr>
      </w:pPr>
      <w:proofErr w:type="spellStart"/>
      <w:r w:rsidRPr="006A2591">
        <w:rPr>
          <w:szCs w:val="22"/>
        </w:rPr>
        <w:t>B</w:t>
      </w:r>
      <w:r>
        <w:rPr>
          <w:szCs w:val="22"/>
        </w:rPr>
        <w:t>erlin</w:t>
      </w:r>
      <w:r w:rsidRPr="006A2591">
        <w:rPr>
          <w:szCs w:val="22"/>
        </w:rPr>
        <w:t>-C</w:t>
      </w:r>
      <w:r>
        <w:rPr>
          <w:szCs w:val="22"/>
        </w:rPr>
        <w:t>hemie</w:t>
      </w:r>
      <w:proofErr w:type="spellEnd"/>
      <w:r w:rsidRPr="006A2591">
        <w:rPr>
          <w:szCs w:val="22"/>
        </w:rPr>
        <w:t xml:space="preserve"> AG</w:t>
      </w:r>
    </w:p>
    <w:p w14:paraId="5AFCC2C3" w14:textId="77777777" w:rsidR="00601C8B" w:rsidRPr="006A2591" w:rsidRDefault="00601C8B" w:rsidP="00601C8B">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2DC89718" w14:textId="77777777" w:rsidR="00601C8B" w:rsidRPr="006A2591" w:rsidRDefault="00601C8B" w:rsidP="00601C8B">
      <w:pPr>
        <w:rPr>
          <w:szCs w:val="22"/>
        </w:rPr>
      </w:pPr>
      <w:r w:rsidRPr="006A2591">
        <w:rPr>
          <w:szCs w:val="22"/>
        </w:rPr>
        <w:t xml:space="preserve">12489 </w:t>
      </w:r>
      <w:proofErr w:type="spellStart"/>
      <w:r w:rsidRPr="006A2591">
        <w:rPr>
          <w:szCs w:val="22"/>
        </w:rPr>
        <w:t>Berlin</w:t>
      </w:r>
      <w:proofErr w:type="spellEnd"/>
      <w:r w:rsidRPr="006A2591">
        <w:rPr>
          <w:szCs w:val="22"/>
        </w:rPr>
        <w:t xml:space="preserve"> </w:t>
      </w:r>
    </w:p>
    <w:p w14:paraId="03594EE9" w14:textId="77777777" w:rsidR="00601C8B" w:rsidRPr="006A2591" w:rsidRDefault="00601C8B" w:rsidP="00601C8B">
      <w:pPr>
        <w:rPr>
          <w:szCs w:val="22"/>
        </w:rPr>
      </w:pPr>
      <w:r w:rsidRPr="006A2591">
        <w:rPr>
          <w:szCs w:val="22"/>
        </w:rPr>
        <w:t>Vokietija</w:t>
      </w:r>
    </w:p>
    <w:p w14:paraId="1434F64C" w14:textId="77777777" w:rsidR="00601C8B" w:rsidRPr="006A2591" w:rsidRDefault="00601C8B" w:rsidP="00E85904">
      <w:pPr>
        <w:pStyle w:val="BTEMEASMCA"/>
      </w:pPr>
    </w:p>
    <w:p w14:paraId="4ED9772F" w14:textId="77777777" w:rsidR="00601C8B" w:rsidRPr="006A2591" w:rsidRDefault="00601C8B" w:rsidP="00E85904">
      <w:pPr>
        <w:pStyle w:val="BTEMEASMCA"/>
      </w:pPr>
    </w:p>
    <w:p w14:paraId="07BE1B0C" w14:textId="77777777" w:rsidR="00601C8B" w:rsidRPr="006A2591" w:rsidRDefault="00601C8B" w:rsidP="00601C8B">
      <w:pPr>
        <w:pStyle w:val="PI-1labEMEASMCA"/>
      </w:pPr>
      <w:r w:rsidRPr="006A2591">
        <w:t>12.</w:t>
      </w:r>
      <w:r w:rsidRPr="006A2591">
        <w:tab/>
        <w:t xml:space="preserve">REGISTRACIJOS </w:t>
      </w:r>
      <w:r>
        <w:t xml:space="preserve">PAŽYMĖJIMO </w:t>
      </w:r>
      <w:r w:rsidRPr="006A2591">
        <w:t xml:space="preserve">NUMERIS </w:t>
      </w:r>
      <w:r>
        <w:t>(-IAI)</w:t>
      </w:r>
    </w:p>
    <w:p w14:paraId="23204E17" w14:textId="77777777" w:rsidR="00601C8B" w:rsidRPr="006A2591" w:rsidRDefault="00601C8B" w:rsidP="00E85904">
      <w:pPr>
        <w:pStyle w:val="BTEMEASMCA"/>
      </w:pPr>
    </w:p>
    <w:p w14:paraId="29607AB6" w14:textId="77777777" w:rsidR="00601C8B" w:rsidRPr="00886567" w:rsidRDefault="00601C8B" w:rsidP="00601C8B">
      <w:pPr>
        <w:pStyle w:val="Pagrindinistekstas"/>
        <w:spacing w:after="0"/>
        <w:rPr>
          <w:highlight w:val="lightGray"/>
        </w:rPr>
      </w:pPr>
      <w:r w:rsidRPr="00886567">
        <w:rPr>
          <w:highlight w:val="lightGray"/>
        </w:rPr>
        <w:t>500 mg</w:t>
      </w:r>
    </w:p>
    <w:p w14:paraId="75504DFD" w14:textId="77777777" w:rsidR="00601C8B" w:rsidRPr="00886567" w:rsidRDefault="00601C8B" w:rsidP="00601C8B">
      <w:pPr>
        <w:pStyle w:val="Pagrindinistekstas"/>
        <w:spacing w:after="0"/>
        <w:rPr>
          <w:highlight w:val="lightGray"/>
        </w:rPr>
      </w:pPr>
      <w:r>
        <w:rPr>
          <w:szCs w:val="22"/>
        </w:rPr>
        <w:t>LT/1/19/4424/001</w:t>
      </w:r>
      <w:r w:rsidRPr="003C1C77">
        <w:rPr>
          <w:bCs/>
          <w:szCs w:val="22"/>
        </w:rPr>
        <w:t xml:space="preserve"> </w:t>
      </w:r>
      <w:r w:rsidRPr="00886567">
        <w:rPr>
          <w:highlight w:val="lightGray"/>
        </w:rPr>
        <w:t>– N15</w:t>
      </w:r>
    </w:p>
    <w:p w14:paraId="24CCD3C1" w14:textId="77777777" w:rsidR="00601C8B" w:rsidRPr="00886567" w:rsidRDefault="00601C8B" w:rsidP="00601C8B">
      <w:pPr>
        <w:pStyle w:val="Pagrindinistekstas"/>
        <w:spacing w:after="0"/>
        <w:rPr>
          <w:highlight w:val="lightGray"/>
        </w:rPr>
      </w:pPr>
      <w:r w:rsidRPr="00886567">
        <w:rPr>
          <w:highlight w:val="lightGray"/>
        </w:rPr>
        <w:t>LT/1/19/4424/002 – N30</w:t>
      </w:r>
    </w:p>
    <w:p w14:paraId="60E45BDE" w14:textId="77777777" w:rsidR="00601C8B" w:rsidRPr="00886567" w:rsidRDefault="00601C8B" w:rsidP="00601C8B">
      <w:pPr>
        <w:pStyle w:val="Pagrindinistekstas"/>
        <w:spacing w:after="0"/>
        <w:rPr>
          <w:highlight w:val="lightGray"/>
        </w:rPr>
      </w:pPr>
      <w:r w:rsidRPr="00886567">
        <w:rPr>
          <w:highlight w:val="lightGray"/>
        </w:rPr>
        <w:t>LT/1/19/4424/003 – N60</w:t>
      </w:r>
    </w:p>
    <w:p w14:paraId="33A53BCD" w14:textId="77777777" w:rsidR="00601C8B" w:rsidRPr="00886567" w:rsidRDefault="00601C8B" w:rsidP="00601C8B">
      <w:pPr>
        <w:pStyle w:val="Pagrindinistekstas"/>
        <w:spacing w:after="0"/>
        <w:rPr>
          <w:highlight w:val="lightGray"/>
        </w:rPr>
      </w:pPr>
      <w:r w:rsidRPr="00886567">
        <w:rPr>
          <w:highlight w:val="lightGray"/>
        </w:rPr>
        <w:t>LT/1/19/4424/004 – N90</w:t>
      </w:r>
    </w:p>
    <w:p w14:paraId="64F3ED61" w14:textId="77777777" w:rsidR="00601C8B" w:rsidRPr="006A2591" w:rsidRDefault="00601C8B" w:rsidP="00601C8B">
      <w:pPr>
        <w:pStyle w:val="Pagrindinistekstas"/>
        <w:spacing w:after="0"/>
      </w:pPr>
      <w:r w:rsidRPr="00886567">
        <w:rPr>
          <w:highlight w:val="lightGray"/>
        </w:rPr>
        <w:t>LT/1/19/4424/005 – N120</w:t>
      </w:r>
    </w:p>
    <w:p w14:paraId="7CE68E22" w14:textId="77777777" w:rsidR="00601C8B" w:rsidRDefault="00601C8B" w:rsidP="00E85904">
      <w:pPr>
        <w:pStyle w:val="BTEMEASMCA"/>
      </w:pPr>
    </w:p>
    <w:p w14:paraId="33E79DC5" w14:textId="77777777" w:rsidR="00601C8B" w:rsidRPr="00886567" w:rsidRDefault="00601C8B" w:rsidP="00601C8B">
      <w:pPr>
        <w:pStyle w:val="Pagrindinistekstas"/>
        <w:spacing w:after="0"/>
        <w:rPr>
          <w:highlight w:val="lightGray"/>
        </w:rPr>
      </w:pPr>
      <w:r w:rsidRPr="00886567">
        <w:rPr>
          <w:highlight w:val="lightGray"/>
        </w:rPr>
        <w:t>750 mg</w:t>
      </w:r>
    </w:p>
    <w:p w14:paraId="579C6C4D" w14:textId="77777777" w:rsidR="00601C8B" w:rsidRPr="00886567" w:rsidRDefault="00601C8B" w:rsidP="00601C8B">
      <w:pPr>
        <w:pStyle w:val="Pagrindinistekstas"/>
        <w:spacing w:after="0"/>
        <w:rPr>
          <w:highlight w:val="lightGray"/>
        </w:rPr>
      </w:pPr>
      <w:r w:rsidRPr="00C751A5">
        <w:rPr>
          <w:highlight w:val="lightGray"/>
        </w:rPr>
        <w:t xml:space="preserve">LT/1/19/4425/001 </w:t>
      </w:r>
      <w:r w:rsidRPr="00886567">
        <w:rPr>
          <w:highlight w:val="lightGray"/>
        </w:rPr>
        <w:t>– N15</w:t>
      </w:r>
    </w:p>
    <w:p w14:paraId="26F3A8BB" w14:textId="77777777" w:rsidR="00601C8B" w:rsidRPr="00886567" w:rsidRDefault="00601C8B" w:rsidP="00601C8B">
      <w:pPr>
        <w:pStyle w:val="Pagrindinistekstas"/>
        <w:spacing w:after="0"/>
        <w:rPr>
          <w:highlight w:val="lightGray"/>
        </w:rPr>
      </w:pPr>
      <w:r w:rsidRPr="00886567">
        <w:rPr>
          <w:highlight w:val="lightGray"/>
        </w:rPr>
        <w:t>LT/1/19/4425/002 – N30</w:t>
      </w:r>
    </w:p>
    <w:p w14:paraId="6C9CD0D8" w14:textId="77777777" w:rsidR="00601C8B" w:rsidRPr="00886567" w:rsidRDefault="00601C8B" w:rsidP="00601C8B">
      <w:pPr>
        <w:pStyle w:val="Pagrindinistekstas"/>
        <w:spacing w:after="0"/>
        <w:rPr>
          <w:highlight w:val="lightGray"/>
        </w:rPr>
      </w:pPr>
      <w:r w:rsidRPr="00886567">
        <w:rPr>
          <w:highlight w:val="lightGray"/>
        </w:rPr>
        <w:t>LT/1/19/4425/003 – N60</w:t>
      </w:r>
    </w:p>
    <w:p w14:paraId="5704D02D" w14:textId="77777777" w:rsidR="00601C8B" w:rsidRPr="00886567" w:rsidRDefault="00601C8B" w:rsidP="00601C8B">
      <w:pPr>
        <w:pStyle w:val="Pagrindinistekstas"/>
        <w:spacing w:after="0"/>
        <w:rPr>
          <w:highlight w:val="lightGray"/>
        </w:rPr>
      </w:pPr>
      <w:r w:rsidRPr="00886567">
        <w:rPr>
          <w:highlight w:val="lightGray"/>
        </w:rPr>
        <w:t>LT/1/19/4425/004 – N90</w:t>
      </w:r>
    </w:p>
    <w:p w14:paraId="6EB322CA" w14:textId="77777777" w:rsidR="00601C8B" w:rsidRPr="00886567" w:rsidRDefault="00601C8B" w:rsidP="00601C8B">
      <w:pPr>
        <w:pStyle w:val="Pagrindinistekstas"/>
        <w:spacing w:after="0"/>
        <w:rPr>
          <w:highlight w:val="lightGray"/>
        </w:rPr>
      </w:pPr>
      <w:r w:rsidRPr="00886567">
        <w:rPr>
          <w:highlight w:val="lightGray"/>
        </w:rPr>
        <w:t>LT/1/19/4425/005 – N120</w:t>
      </w:r>
    </w:p>
    <w:p w14:paraId="694A946B" w14:textId="77777777" w:rsidR="00601C8B" w:rsidRDefault="00601C8B" w:rsidP="00E85904">
      <w:pPr>
        <w:pStyle w:val="BTEMEASMCA"/>
      </w:pPr>
    </w:p>
    <w:p w14:paraId="6D2CC295" w14:textId="77777777" w:rsidR="00601C8B" w:rsidRPr="00886567" w:rsidRDefault="00601C8B" w:rsidP="00601C8B">
      <w:pPr>
        <w:pStyle w:val="Pagrindinistekstas"/>
        <w:spacing w:after="0"/>
        <w:rPr>
          <w:highlight w:val="lightGray"/>
        </w:rPr>
      </w:pPr>
      <w:r w:rsidRPr="00886567">
        <w:rPr>
          <w:highlight w:val="lightGray"/>
        </w:rPr>
        <w:t>1000 mg</w:t>
      </w:r>
    </w:p>
    <w:p w14:paraId="6931B5AD" w14:textId="77777777" w:rsidR="00601C8B" w:rsidRPr="00886567" w:rsidRDefault="00601C8B" w:rsidP="00601C8B">
      <w:pPr>
        <w:pStyle w:val="Pagrindinistekstas"/>
        <w:spacing w:after="0"/>
        <w:rPr>
          <w:highlight w:val="lightGray"/>
        </w:rPr>
      </w:pPr>
      <w:r w:rsidRPr="00C751A5">
        <w:rPr>
          <w:highlight w:val="lightGray"/>
        </w:rPr>
        <w:t>LT/1/19/4426/001</w:t>
      </w:r>
      <w:r w:rsidRPr="003C1C77">
        <w:rPr>
          <w:bCs/>
          <w:szCs w:val="22"/>
        </w:rPr>
        <w:t xml:space="preserve"> </w:t>
      </w:r>
      <w:r w:rsidRPr="00886567">
        <w:rPr>
          <w:highlight w:val="lightGray"/>
        </w:rPr>
        <w:t>– N15</w:t>
      </w:r>
    </w:p>
    <w:p w14:paraId="3313AF40" w14:textId="77777777" w:rsidR="00601C8B" w:rsidRPr="00886567" w:rsidRDefault="00601C8B" w:rsidP="00601C8B">
      <w:pPr>
        <w:pStyle w:val="Pagrindinistekstas"/>
        <w:spacing w:after="0"/>
        <w:rPr>
          <w:highlight w:val="lightGray"/>
        </w:rPr>
      </w:pPr>
      <w:r w:rsidRPr="00886567">
        <w:rPr>
          <w:highlight w:val="lightGray"/>
        </w:rPr>
        <w:t>LT/1/19/4426/002 – N30</w:t>
      </w:r>
    </w:p>
    <w:p w14:paraId="1536F854" w14:textId="77777777" w:rsidR="00601C8B" w:rsidRPr="00886567" w:rsidRDefault="00601C8B" w:rsidP="00601C8B">
      <w:pPr>
        <w:pStyle w:val="Pagrindinistekstas"/>
        <w:spacing w:after="0"/>
        <w:rPr>
          <w:highlight w:val="lightGray"/>
        </w:rPr>
      </w:pPr>
      <w:r w:rsidRPr="00886567">
        <w:rPr>
          <w:highlight w:val="lightGray"/>
        </w:rPr>
        <w:t>LT/1/19/4426/003 – N60</w:t>
      </w:r>
    </w:p>
    <w:p w14:paraId="78E16C54" w14:textId="77777777" w:rsidR="00601C8B" w:rsidRPr="00886567" w:rsidRDefault="00601C8B" w:rsidP="00601C8B">
      <w:pPr>
        <w:pStyle w:val="Pagrindinistekstas"/>
        <w:spacing w:after="0"/>
        <w:rPr>
          <w:highlight w:val="lightGray"/>
        </w:rPr>
      </w:pPr>
      <w:r w:rsidRPr="00886567">
        <w:rPr>
          <w:highlight w:val="lightGray"/>
        </w:rPr>
        <w:t>LT/1/19/4426/004 – N90</w:t>
      </w:r>
    </w:p>
    <w:p w14:paraId="7B05CD18" w14:textId="77777777" w:rsidR="00601C8B" w:rsidRDefault="00601C8B" w:rsidP="00E85904">
      <w:pPr>
        <w:pStyle w:val="BTEMEASMCA"/>
      </w:pPr>
      <w:r w:rsidRPr="00886567">
        <w:rPr>
          <w:highlight w:val="lightGray"/>
        </w:rPr>
        <w:t>LT/1/19/4426/005 – N120</w:t>
      </w:r>
    </w:p>
    <w:p w14:paraId="289A1837" w14:textId="77777777" w:rsidR="00601C8B" w:rsidRPr="006A2591" w:rsidRDefault="00601C8B" w:rsidP="00E85904">
      <w:pPr>
        <w:pStyle w:val="BTEMEASMCA"/>
      </w:pPr>
    </w:p>
    <w:p w14:paraId="3A9FD19E" w14:textId="77777777" w:rsidR="00601C8B" w:rsidRPr="006A2591" w:rsidRDefault="00601C8B" w:rsidP="00E85904">
      <w:pPr>
        <w:pStyle w:val="BTEMEASMCA"/>
      </w:pPr>
    </w:p>
    <w:p w14:paraId="203979DC" w14:textId="77777777" w:rsidR="00601C8B" w:rsidRPr="006A2591" w:rsidRDefault="00601C8B" w:rsidP="00601C8B">
      <w:pPr>
        <w:pStyle w:val="PI-1labEMEASMCA"/>
      </w:pPr>
      <w:r w:rsidRPr="006A2591">
        <w:t>13.</w:t>
      </w:r>
      <w:r w:rsidRPr="006A2591">
        <w:tab/>
        <w:t>SERIJOS NUMERIS</w:t>
      </w:r>
    </w:p>
    <w:p w14:paraId="5804B022" w14:textId="77777777" w:rsidR="00601C8B" w:rsidRPr="006A2591" w:rsidRDefault="00601C8B" w:rsidP="00E85904">
      <w:pPr>
        <w:pStyle w:val="BTEMEASMCA"/>
      </w:pPr>
    </w:p>
    <w:p w14:paraId="46E5DF91" w14:textId="77777777" w:rsidR="00601C8B" w:rsidRPr="006A2591" w:rsidRDefault="00601C8B" w:rsidP="00E85904">
      <w:pPr>
        <w:pStyle w:val="BTEMEASMCA"/>
      </w:pPr>
      <w:r w:rsidRPr="006A2591">
        <w:t>Lot</w:t>
      </w:r>
    </w:p>
    <w:p w14:paraId="7BBEA7FF" w14:textId="77777777" w:rsidR="00601C8B" w:rsidRPr="006A2591" w:rsidRDefault="00601C8B" w:rsidP="00E85904">
      <w:pPr>
        <w:pStyle w:val="BTEMEASMCA"/>
      </w:pPr>
    </w:p>
    <w:p w14:paraId="5C3FD82C" w14:textId="77777777" w:rsidR="00601C8B" w:rsidRPr="006A2591" w:rsidRDefault="00601C8B" w:rsidP="00E85904">
      <w:pPr>
        <w:pStyle w:val="BTEMEASMCA"/>
      </w:pPr>
    </w:p>
    <w:p w14:paraId="1854F79D" w14:textId="77777777" w:rsidR="00601C8B" w:rsidRPr="006A2591" w:rsidRDefault="00601C8B" w:rsidP="00601C8B">
      <w:pPr>
        <w:pStyle w:val="PI-1labEMEASMCA"/>
      </w:pPr>
      <w:r w:rsidRPr="006A2591">
        <w:t>14.</w:t>
      </w:r>
      <w:r w:rsidRPr="006A2591">
        <w:tab/>
        <w:t>PARDAVIMO (IŠDAVIMO) TVARKA</w:t>
      </w:r>
    </w:p>
    <w:p w14:paraId="0EABFD88" w14:textId="77777777" w:rsidR="00601C8B" w:rsidRPr="006A2591" w:rsidRDefault="00601C8B" w:rsidP="00E85904">
      <w:pPr>
        <w:pStyle w:val="BTEMEASMCA"/>
      </w:pPr>
    </w:p>
    <w:p w14:paraId="772A066C" w14:textId="77777777" w:rsidR="00601C8B" w:rsidRPr="006A2591" w:rsidRDefault="00601C8B" w:rsidP="00E85904">
      <w:pPr>
        <w:pStyle w:val="BTEMEASMCA"/>
      </w:pPr>
      <w:r w:rsidRPr="006A2591">
        <w:t>Receptinis vaistas.</w:t>
      </w:r>
    </w:p>
    <w:p w14:paraId="22454A08" w14:textId="77777777" w:rsidR="00601C8B" w:rsidRPr="006A2591" w:rsidRDefault="00601C8B" w:rsidP="00E85904">
      <w:pPr>
        <w:pStyle w:val="BTEMEASMCA"/>
      </w:pPr>
    </w:p>
    <w:p w14:paraId="5735E4DB" w14:textId="77777777" w:rsidR="00601C8B" w:rsidRPr="006A2591" w:rsidRDefault="00601C8B" w:rsidP="00E85904">
      <w:pPr>
        <w:pStyle w:val="BTEMEASMCA"/>
      </w:pPr>
    </w:p>
    <w:p w14:paraId="49997821" w14:textId="77777777" w:rsidR="00601C8B" w:rsidRPr="006A2591" w:rsidRDefault="00601C8B" w:rsidP="00601C8B">
      <w:pPr>
        <w:pStyle w:val="PI-1labEMEASMCA"/>
      </w:pPr>
      <w:r w:rsidRPr="006A2591">
        <w:t>15.</w:t>
      </w:r>
      <w:r w:rsidRPr="006A2591">
        <w:tab/>
        <w:t>VARTOJIMO INSTRUKCIJA</w:t>
      </w:r>
    </w:p>
    <w:p w14:paraId="1FA26A46" w14:textId="77777777" w:rsidR="00601C8B" w:rsidRPr="006A2591" w:rsidRDefault="00601C8B" w:rsidP="00E85904">
      <w:pPr>
        <w:pStyle w:val="BTEMEASMCA"/>
      </w:pPr>
    </w:p>
    <w:p w14:paraId="34D3C291" w14:textId="77777777" w:rsidR="00601C8B" w:rsidRPr="006A2591" w:rsidRDefault="00601C8B" w:rsidP="00E85904">
      <w:pPr>
        <w:pStyle w:val="BTEMEASMCA"/>
      </w:pPr>
    </w:p>
    <w:p w14:paraId="3ADC04ED" w14:textId="77777777" w:rsidR="00601C8B" w:rsidRPr="006A2591" w:rsidRDefault="00601C8B" w:rsidP="00601C8B">
      <w:pPr>
        <w:pStyle w:val="PI-1labEMEASMCA"/>
      </w:pPr>
      <w:r w:rsidRPr="006A2591">
        <w:t>16.</w:t>
      </w:r>
      <w:r w:rsidRPr="006A2591">
        <w:tab/>
        <w:t>INFORMACIJA BRAILIO RAŠTU</w:t>
      </w:r>
    </w:p>
    <w:p w14:paraId="25B5C02E" w14:textId="77777777" w:rsidR="00601C8B" w:rsidRPr="006A2591" w:rsidRDefault="00601C8B" w:rsidP="00E85904">
      <w:pPr>
        <w:pStyle w:val="BTEMEASMCA"/>
      </w:pPr>
    </w:p>
    <w:p w14:paraId="489A7482" w14:textId="77777777" w:rsidR="00601C8B" w:rsidRPr="006A2591" w:rsidRDefault="00601C8B" w:rsidP="00E85904">
      <w:pPr>
        <w:pStyle w:val="BTEMEASMCA"/>
      </w:pPr>
      <w:proofErr w:type="spellStart"/>
      <w:r>
        <w:t>Tivulin</w:t>
      </w:r>
      <w:proofErr w:type="spellEnd"/>
      <w:r w:rsidRPr="006A2591">
        <w:t xml:space="preserve"> 500</w:t>
      </w:r>
      <w:r w:rsidRPr="0078470E">
        <w:t> </w:t>
      </w:r>
      <w:r w:rsidRPr="006A2591">
        <w:rPr>
          <w:spacing w:val="-3"/>
        </w:rPr>
        <w:t>m</w:t>
      </w:r>
      <w:r w:rsidRPr="006A2591">
        <w:t>g pailginto atpalaidavimo table</w:t>
      </w:r>
      <w:r>
        <w:t>tės</w:t>
      </w:r>
    </w:p>
    <w:p w14:paraId="68748A39" w14:textId="77777777" w:rsidR="00601C8B" w:rsidRPr="00C67672" w:rsidRDefault="00601C8B" w:rsidP="00E85904">
      <w:pPr>
        <w:pStyle w:val="BTEMEASMCA"/>
        <w:rPr>
          <w:highlight w:val="lightGray"/>
        </w:rPr>
      </w:pPr>
      <w:proofErr w:type="spellStart"/>
      <w:r>
        <w:rPr>
          <w:highlight w:val="lightGray"/>
        </w:rPr>
        <w:lastRenderedPageBreak/>
        <w:t>Tivulin</w:t>
      </w:r>
      <w:proofErr w:type="spellEnd"/>
      <w:r w:rsidRPr="00C67672">
        <w:rPr>
          <w:highlight w:val="lightGray"/>
        </w:rPr>
        <w:t xml:space="preserve"> 750</w:t>
      </w:r>
      <w:r w:rsidRPr="0078470E">
        <w:t> </w:t>
      </w:r>
      <w:r w:rsidRPr="00C67672">
        <w:rPr>
          <w:spacing w:val="-3"/>
          <w:highlight w:val="lightGray"/>
        </w:rPr>
        <w:t>m</w:t>
      </w:r>
      <w:r w:rsidRPr="00C67672">
        <w:rPr>
          <w:highlight w:val="lightGray"/>
        </w:rPr>
        <w:t>g pailginto atpalaidavimo tabletės</w:t>
      </w:r>
    </w:p>
    <w:p w14:paraId="59E7953B" w14:textId="77777777" w:rsidR="00601C8B" w:rsidRPr="006A2591" w:rsidRDefault="00601C8B" w:rsidP="00E85904">
      <w:pPr>
        <w:pStyle w:val="BTEMEASMCA"/>
      </w:pPr>
      <w:proofErr w:type="spellStart"/>
      <w:r>
        <w:rPr>
          <w:highlight w:val="lightGray"/>
        </w:rPr>
        <w:t>Tivulin</w:t>
      </w:r>
      <w:proofErr w:type="spellEnd"/>
      <w:r w:rsidRPr="00C67672">
        <w:rPr>
          <w:highlight w:val="lightGray"/>
        </w:rPr>
        <w:t xml:space="preserve"> 1000</w:t>
      </w:r>
      <w:r w:rsidRPr="0078470E">
        <w:t> </w:t>
      </w:r>
      <w:r w:rsidRPr="00C67672">
        <w:rPr>
          <w:spacing w:val="-3"/>
          <w:highlight w:val="lightGray"/>
        </w:rPr>
        <w:t>m</w:t>
      </w:r>
      <w:r w:rsidRPr="00C67672">
        <w:rPr>
          <w:highlight w:val="lightGray"/>
        </w:rPr>
        <w:t>g pailginto atpalaidavimo tabletės</w:t>
      </w:r>
    </w:p>
    <w:p w14:paraId="2454E12F" w14:textId="77777777" w:rsidR="00601C8B" w:rsidRPr="006A2591" w:rsidRDefault="00601C8B" w:rsidP="00601C8B">
      <w:pPr>
        <w:rPr>
          <w:noProof/>
          <w:szCs w:val="22"/>
          <w:shd w:val="clear" w:color="auto" w:fill="CCCCCC"/>
        </w:rPr>
      </w:pPr>
    </w:p>
    <w:p w14:paraId="674F9F5D" w14:textId="77777777" w:rsidR="00601C8B" w:rsidRPr="006A2591" w:rsidRDefault="00601C8B" w:rsidP="00601C8B">
      <w:pPr>
        <w:rPr>
          <w:noProof/>
          <w:szCs w:val="22"/>
          <w:shd w:val="clear" w:color="auto" w:fill="CCCCCC"/>
        </w:rPr>
      </w:pPr>
    </w:p>
    <w:p w14:paraId="74A1A413" w14:textId="77777777" w:rsidR="00601C8B" w:rsidRPr="006A2591" w:rsidRDefault="00601C8B" w:rsidP="00601C8B">
      <w:pPr>
        <w:pStyle w:val="ColorfulList-Accent11"/>
        <w:keepNext/>
        <w:numPr>
          <w:ilvl w:val="0"/>
          <w:numId w:val="2"/>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6A2591">
        <w:rPr>
          <w:b/>
          <w:noProof/>
          <w:szCs w:val="22"/>
        </w:rPr>
        <w:t>UNIKALUS IDENTIFIKATORIUS – 2D BRŪKŠNINIS KODAS</w:t>
      </w:r>
    </w:p>
    <w:p w14:paraId="78205F51" w14:textId="77777777" w:rsidR="00601C8B" w:rsidRPr="006A2591" w:rsidRDefault="00601C8B" w:rsidP="00601C8B">
      <w:pPr>
        <w:rPr>
          <w:noProof/>
          <w:szCs w:val="22"/>
        </w:rPr>
      </w:pPr>
    </w:p>
    <w:p w14:paraId="0CF58E5B" w14:textId="77777777" w:rsidR="00601C8B" w:rsidRPr="006A2591" w:rsidRDefault="00601C8B" w:rsidP="00601C8B">
      <w:pPr>
        <w:rPr>
          <w:noProof/>
          <w:szCs w:val="22"/>
          <w:shd w:val="clear" w:color="auto" w:fill="CCCCCC"/>
        </w:rPr>
      </w:pPr>
      <w:r w:rsidRPr="00C67672">
        <w:rPr>
          <w:highlight w:val="lightGray"/>
        </w:rPr>
        <w:t>2D brūkšninis kodas su nurodytu unikaliu identifikatoriumi.</w:t>
      </w:r>
    </w:p>
    <w:p w14:paraId="4362EA23" w14:textId="77777777" w:rsidR="00601C8B" w:rsidRPr="006A2591" w:rsidRDefault="00601C8B" w:rsidP="00601C8B">
      <w:pPr>
        <w:rPr>
          <w:noProof/>
          <w:szCs w:val="22"/>
          <w:shd w:val="clear" w:color="auto" w:fill="CCCCCC"/>
        </w:rPr>
      </w:pPr>
    </w:p>
    <w:p w14:paraId="44BD1994" w14:textId="77777777" w:rsidR="00601C8B" w:rsidRPr="006A2591" w:rsidRDefault="00601C8B" w:rsidP="00601C8B">
      <w:pPr>
        <w:rPr>
          <w:noProof/>
          <w:vanish/>
          <w:szCs w:val="22"/>
        </w:rPr>
      </w:pPr>
    </w:p>
    <w:p w14:paraId="258B2CF1" w14:textId="77777777" w:rsidR="00601C8B" w:rsidRPr="006A2591" w:rsidRDefault="00601C8B" w:rsidP="00601C8B">
      <w:pPr>
        <w:pStyle w:val="ColorfulList-Accent11"/>
        <w:keepNext/>
        <w:numPr>
          <w:ilvl w:val="0"/>
          <w:numId w:val="2"/>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6A2591">
        <w:rPr>
          <w:b/>
          <w:noProof/>
          <w:szCs w:val="22"/>
        </w:rPr>
        <w:t>UNIKALUS IDENTIFIKATORIUS – ŽMONĖMS SUPRANTAMI DUOMENYS</w:t>
      </w:r>
    </w:p>
    <w:p w14:paraId="6747DBC9" w14:textId="77777777" w:rsidR="00601C8B" w:rsidRPr="006A2591" w:rsidRDefault="00601C8B" w:rsidP="00601C8B">
      <w:pPr>
        <w:rPr>
          <w:noProof/>
          <w:szCs w:val="22"/>
        </w:rPr>
      </w:pPr>
    </w:p>
    <w:p w14:paraId="4AC79DBD" w14:textId="77777777" w:rsidR="00601C8B" w:rsidRPr="00AE31EA" w:rsidRDefault="00601C8B" w:rsidP="00601C8B">
      <w:pPr>
        <w:rPr>
          <w:szCs w:val="22"/>
        </w:rPr>
      </w:pPr>
      <w:r w:rsidRPr="00347CA5">
        <w:rPr>
          <w:szCs w:val="22"/>
        </w:rPr>
        <w:t>PC: {numeris}</w:t>
      </w:r>
    </w:p>
    <w:p w14:paraId="66FB2ED4" w14:textId="77777777" w:rsidR="00601C8B" w:rsidRPr="006A2591" w:rsidRDefault="00601C8B" w:rsidP="00601C8B">
      <w:pPr>
        <w:rPr>
          <w:szCs w:val="22"/>
        </w:rPr>
      </w:pPr>
      <w:r w:rsidRPr="006A2591">
        <w:rPr>
          <w:szCs w:val="22"/>
        </w:rPr>
        <w:t>SN: {numeris}</w:t>
      </w:r>
    </w:p>
    <w:p w14:paraId="4D406CAE" w14:textId="77777777" w:rsidR="00601C8B" w:rsidRPr="006A2591" w:rsidRDefault="00601C8B" w:rsidP="00601C8B">
      <w:pPr>
        <w:ind w:left="-198"/>
        <w:rPr>
          <w:szCs w:val="22"/>
        </w:rPr>
      </w:pPr>
      <w:r>
        <w:rPr>
          <w:szCs w:val="22"/>
        </w:rPr>
        <w:br w:type="page"/>
      </w:r>
    </w:p>
    <w:p w14:paraId="3B963E1B" w14:textId="77777777" w:rsidR="00601C8B" w:rsidRPr="006A2591" w:rsidRDefault="00601C8B" w:rsidP="00601C8B">
      <w:pPr>
        <w:pStyle w:val="Antrat2"/>
        <w:spacing w:before="0"/>
        <w:rPr>
          <w:rFonts w:ascii="Times New Roman" w:hAnsi="Times New Roman"/>
          <w:sz w:val="22"/>
          <w:szCs w:val="22"/>
        </w:rPr>
      </w:pPr>
    </w:p>
    <w:bookmarkEnd w:id="11"/>
    <w:p w14:paraId="0DD9650F" w14:textId="77777777" w:rsidR="00601C8B" w:rsidRPr="006A2591" w:rsidRDefault="00601C8B" w:rsidP="00601C8B">
      <w:pPr>
        <w:pStyle w:val="Pagrindinistekstas"/>
        <w:spacing w:after="0"/>
        <w:rPr>
          <w:szCs w:val="22"/>
        </w:rPr>
      </w:pPr>
    </w:p>
    <w:p w14:paraId="68069C5B" w14:textId="77777777" w:rsidR="00601C8B" w:rsidRPr="006A2591" w:rsidRDefault="00601C8B" w:rsidP="00601C8B">
      <w:pPr>
        <w:pStyle w:val="PI-1labEMEASMCA"/>
      </w:pPr>
      <w:r w:rsidRPr="00AE31EA">
        <w:rPr>
          <w:szCs w:val="24"/>
        </w:rPr>
        <w:t>MINIMALI INFORMACIJA ANT LIZDINIŲ PLOKŠTELIŲ ARBA DVISLUOKSNIŲ JUOSTELIŲ</w:t>
      </w:r>
      <w:r w:rsidRPr="006A2591" w:rsidDel="005B636A">
        <w:t xml:space="preserve"> </w:t>
      </w:r>
    </w:p>
    <w:p w14:paraId="60A939D4" w14:textId="77777777" w:rsidR="00601C8B" w:rsidRDefault="00601C8B" w:rsidP="00601C8B">
      <w:pPr>
        <w:pStyle w:val="PI-1labEMEASMCA"/>
      </w:pPr>
    </w:p>
    <w:p w14:paraId="571C73FF" w14:textId="77777777" w:rsidR="00601C8B" w:rsidRPr="006A2591" w:rsidRDefault="00601C8B" w:rsidP="00601C8B">
      <w:pPr>
        <w:pStyle w:val="PI-1labEMEASMCA"/>
        <w:rPr>
          <w:noProof w:val="0"/>
        </w:rPr>
      </w:pPr>
      <w:r w:rsidRPr="006A2591">
        <w:t>LIZDINĖ PLOKŠTELĖ</w:t>
      </w:r>
    </w:p>
    <w:p w14:paraId="799AF2BF" w14:textId="77777777" w:rsidR="00601C8B" w:rsidRPr="006A2591" w:rsidRDefault="00601C8B" w:rsidP="00E85904">
      <w:pPr>
        <w:pStyle w:val="BTEMEASMCA"/>
      </w:pPr>
    </w:p>
    <w:p w14:paraId="485F85EB" w14:textId="77777777" w:rsidR="00601C8B" w:rsidRPr="006A2591" w:rsidRDefault="00601C8B" w:rsidP="00E85904">
      <w:pPr>
        <w:pStyle w:val="BTEMEASMCA"/>
      </w:pPr>
    </w:p>
    <w:p w14:paraId="13A15E04" w14:textId="77777777" w:rsidR="00601C8B" w:rsidRPr="006A2591" w:rsidRDefault="00601C8B" w:rsidP="00601C8B">
      <w:pPr>
        <w:pStyle w:val="PI-1labEMEASMCA"/>
      </w:pPr>
      <w:r w:rsidRPr="006A2591">
        <w:t>1.</w:t>
      </w:r>
      <w:r w:rsidRPr="006A2591">
        <w:tab/>
        <w:t>VAISTINIO PREPARATO PAVADINIMAS</w:t>
      </w:r>
    </w:p>
    <w:p w14:paraId="30A08A88" w14:textId="77777777" w:rsidR="00601C8B" w:rsidRPr="006A2591" w:rsidRDefault="00601C8B" w:rsidP="00E85904">
      <w:pPr>
        <w:pStyle w:val="BTEMEASMCA"/>
      </w:pPr>
    </w:p>
    <w:p w14:paraId="19EF5D66" w14:textId="77777777" w:rsidR="00601C8B" w:rsidRPr="006A2591" w:rsidRDefault="00601C8B" w:rsidP="00E85904">
      <w:pPr>
        <w:pStyle w:val="BTEMEASMCA"/>
      </w:pPr>
      <w:proofErr w:type="spellStart"/>
      <w:r>
        <w:t>Tivulin</w:t>
      </w:r>
      <w:proofErr w:type="spellEnd"/>
      <w:r w:rsidRPr="006A2591">
        <w:rPr>
          <w:spacing w:val="-1"/>
        </w:rPr>
        <w:t xml:space="preserve"> </w:t>
      </w:r>
      <w:r w:rsidRPr="006A2591">
        <w:t>500</w:t>
      </w:r>
      <w:r w:rsidRPr="0078470E">
        <w:t> </w:t>
      </w:r>
      <w:r w:rsidRPr="006A2591">
        <w:t>mg pailginto atpalaidavimo tabletės</w:t>
      </w:r>
    </w:p>
    <w:p w14:paraId="0EDECB4E" w14:textId="77777777" w:rsidR="00601C8B" w:rsidRPr="00C67672" w:rsidRDefault="00601C8B" w:rsidP="00E85904">
      <w:pPr>
        <w:pStyle w:val="BTEMEASMCA"/>
        <w:rPr>
          <w:highlight w:val="lightGray"/>
        </w:rPr>
      </w:pPr>
      <w:proofErr w:type="spellStart"/>
      <w:r>
        <w:rPr>
          <w:highlight w:val="lightGray"/>
        </w:rPr>
        <w:t>Tivulin</w:t>
      </w:r>
      <w:proofErr w:type="spellEnd"/>
      <w:r w:rsidRPr="00C67672">
        <w:rPr>
          <w:spacing w:val="-1"/>
          <w:highlight w:val="lightGray"/>
        </w:rPr>
        <w:t xml:space="preserve"> </w:t>
      </w:r>
      <w:r w:rsidRPr="00C67672">
        <w:rPr>
          <w:highlight w:val="lightGray"/>
        </w:rPr>
        <w:t>750</w:t>
      </w:r>
      <w:r w:rsidRPr="0078470E">
        <w:t> </w:t>
      </w:r>
      <w:r w:rsidRPr="00C67672">
        <w:rPr>
          <w:highlight w:val="lightGray"/>
        </w:rPr>
        <w:t>mg pailginto atpalaidavimo tabletės</w:t>
      </w:r>
    </w:p>
    <w:p w14:paraId="142A1A1F" w14:textId="77777777" w:rsidR="00601C8B" w:rsidRPr="006A2591" w:rsidRDefault="00601C8B" w:rsidP="00E85904">
      <w:pPr>
        <w:pStyle w:val="BTEMEASMCA"/>
      </w:pPr>
      <w:proofErr w:type="spellStart"/>
      <w:r>
        <w:rPr>
          <w:highlight w:val="lightGray"/>
        </w:rPr>
        <w:t>Tivulin</w:t>
      </w:r>
      <w:proofErr w:type="spellEnd"/>
      <w:r w:rsidRPr="00C67672">
        <w:rPr>
          <w:spacing w:val="-1"/>
          <w:highlight w:val="lightGray"/>
        </w:rPr>
        <w:t xml:space="preserve"> </w:t>
      </w:r>
      <w:r w:rsidRPr="00C67672">
        <w:rPr>
          <w:highlight w:val="lightGray"/>
        </w:rPr>
        <w:t>1000</w:t>
      </w:r>
      <w:r w:rsidRPr="0078470E">
        <w:t> </w:t>
      </w:r>
      <w:r w:rsidRPr="00C67672">
        <w:rPr>
          <w:highlight w:val="lightGray"/>
        </w:rPr>
        <w:t>mg pailginto atpalaidavimo tabletės</w:t>
      </w:r>
    </w:p>
    <w:p w14:paraId="2E38E63D" w14:textId="77777777" w:rsidR="00601C8B" w:rsidRDefault="00601C8B" w:rsidP="00E85904">
      <w:pPr>
        <w:pStyle w:val="BTEMEASMCA"/>
      </w:pPr>
    </w:p>
    <w:p w14:paraId="57E576DE" w14:textId="6364016C" w:rsidR="00601C8B" w:rsidRDefault="00FE3681" w:rsidP="00E85904">
      <w:pPr>
        <w:pStyle w:val="BTEMEASMCA"/>
      </w:pPr>
      <w:proofErr w:type="spellStart"/>
      <w:r>
        <w:t>m</w:t>
      </w:r>
      <w:r w:rsidR="00601C8B">
        <w:t>etformino</w:t>
      </w:r>
      <w:proofErr w:type="spellEnd"/>
      <w:r w:rsidR="00601C8B">
        <w:t xml:space="preserve"> hidrochloridas</w:t>
      </w:r>
    </w:p>
    <w:p w14:paraId="190E1225" w14:textId="77777777" w:rsidR="00601C8B" w:rsidRPr="006A2591" w:rsidRDefault="00601C8B" w:rsidP="00E85904">
      <w:pPr>
        <w:pStyle w:val="BTEMEASMCA"/>
      </w:pPr>
    </w:p>
    <w:p w14:paraId="4BDAD3B5" w14:textId="77777777" w:rsidR="00601C8B" w:rsidRPr="006A2591" w:rsidRDefault="00601C8B" w:rsidP="00E85904">
      <w:pPr>
        <w:pStyle w:val="BTEMEASMCA"/>
      </w:pPr>
    </w:p>
    <w:p w14:paraId="24F89E6C" w14:textId="77777777" w:rsidR="00601C8B" w:rsidRPr="006A2591" w:rsidRDefault="00601C8B" w:rsidP="00601C8B">
      <w:pPr>
        <w:pStyle w:val="PI-1labEMEASMCA"/>
      </w:pPr>
      <w:r w:rsidRPr="006A2591">
        <w:t>2.</w:t>
      </w:r>
      <w:r w:rsidRPr="006A2591">
        <w:tab/>
      </w:r>
      <w:r w:rsidRPr="006A2591">
        <w:rPr>
          <w:caps/>
        </w:rPr>
        <w:t>REGISTRUOTOJO</w:t>
      </w:r>
      <w:r w:rsidRPr="006A2591">
        <w:rPr>
          <w:noProof w:val="0"/>
        </w:rPr>
        <w:t xml:space="preserve"> PAVADINIMAS</w:t>
      </w:r>
    </w:p>
    <w:p w14:paraId="70E25CA3" w14:textId="77777777" w:rsidR="00601C8B" w:rsidRPr="006A2591" w:rsidRDefault="00601C8B" w:rsidP="00E85904">
      <w:pPr>
        <w:pStyle w:val="BTEMEASMCA"/>
      </w:pPr>
    </w:p>
    <w:p w14:paraId="3708DD64" w14:textId="77777777" w:rsidR="00601C8B" w:rsidRPr="006A2591" w:rsidRDefault="00601C8B" w:rsidP="00E85904">
      <w:pPr>
        <w:pStyle w:val="BTEMEASMCA"/>
      </w:pPr>
      <w:proofErr w:type="spellStart"/>
      <w:r w:rsidRPr="006A2591">
        <w:t>B</w:t>
      </w:r>
      <w:r>
        <w:t>erlin</w:t>
      </w:r>
      <w:r w:rsidRPr="006A2591">
        <w:t>-C</w:t>
      </w:r>
      <w:r>
        <w:t>hemie</w:t>
      </w:r>
      <w:proofErr w:type="spellEnd"/>
      <w:r w:rsidRPr="006A2591">
        <w:t xml:space="preserve"> AG</w:t>
      </w:r>
    </w:p>
    <w:p w14:paraId="6A2208B0" w14:textId="77777777" w:rsidR="00601C8B" w:rsidRPr="006A2591" w:rsidRDefault="00601C8B" w:rsidP="00E85904">
      <w:pPr>
        <w:pStyle w:val="BTEMEASMCA"/>
      </w:pPr>
    </w:p>
    <w:p w14:paraId="36B42D17" w14:textId="77777777" w:rsidR="00601C8B" w:rsidRPr="006A2591" w:rsidRDefault="00601C8B" w:rsidP="00E85904">
      <w:pPr>
        <w:pStyle w:val="BTEMEASMCA"/>
      </w:pPr>
    </w:p>
    <w:p w14:paraId="3932AD70" w14:textId="77777777" w:rsidR="00601C8B" w:rsidRPr="006A2591" w:rsidRDefault="00601C8B" w:rsidP="00601C8B">
      <w:pPr>
        <w:pStyle w:val="PI-1labEMEASMCA"/>
      </w:pPr>
      <w:r w:rsidRPr="006A2591">
        <w:t>3.</w:t>
      </w:r>
      <w:r w:rsidRPr="006A2591">
        <w:tab/>
        <w:t>TINKAMUMO LAIKAS</w:t>
      </w:r>
    </w:p>
    <w:p w14:paraId="6834729C" w14:textId="77777777" w:rsidR="00601C8B" w:rsidRPr="006A2591" w:rsidRDefault="00601C8B" w:rsidP="00E85904">
      <w:pPr>
        <w:pStyle w:val="BTEMEASMCA"/>
      </w:pPr>
    </w:p>
    <w:p w14:paraId="3F1DAB1B" w14:textId="77777777" w:rsidR="00601C8B" w:rsidRPr="006A2591" w:rsidRDefault="00601C8B" w:rsidP="00E85904">
      <w:pPr>
        <w:pStyle w:val="BTEMEASMCA"/>
      </w:pPr>
      <w:r w:rsidRPr="006A2591">
        <w:t>EXP [mm/MMMM]</w:t>
      </w:r>
    </w:p>
    <w:p w14:paraId="7039FBE1" w14:textId="77777777" w:rsidR="00601C8B" w:rsidRPr="006A2591" w:rsidRDefault="00601C8B" w:rsidP="00E85904">
      <w:pPr>
        <w:pStyle w:val="BTEMEASMCA"/>
      </w:pPr>
    </w:p>
    <w:p w14:paraId="7B80D51B" w14:textId="77777777" w:rsidR="00601C8B" w:rsidRPr="006A2591" w:rsidRDefault="00601C8B" w:rsidP="00E85904">
      <w:pPr>
        <w:pStyle w:val="BTEMEASMCA"/>
      </w:pPr>
    </w:p>
    <w:p w14:paraId="187C5C14" w14:textId="77777777" w:rsidR="00601C8B" w:rsidRPr="006A2591" w:rsidRDefault="00601C8B" w:rsidP="00601C8B">
      <w:pPr>
        <w:pStyle w:val="PI-1labEMEASMCA"/>
      </w:pPr>
      <w:r w:rsidRPr="006A2591">
        <w:t>4.</w:t>
      </w:r>
      <w:r w:rsidRPr="006A2591">
        <w:tab/>
        <w:t>SERIJOS NUMERIS</w:t>
      </w:r>
    </w:p>
    <w:p w14:paraId="75E53B10" w14:textId="77777777" w:rsidR="00601C8B" w:rsidRPr="006A2591" w:rsidRDefault="00601C8B" w:rsidP="00E85904">
      <w:pPr>
        <w:pStyle w:val="BTEMEASMCA"/>
      </w:pPr>
    </w:p>
    <w:p w14:paraId="7617BFCF" w14:textId="77777777" w:rsidR="00601C8B" w:rsidRPr="006A2591" w:rsidRDefault="00601C8B" w:rsidP="00E85904">
      <w:pPr>
        <w:pStyle w:val="BTEMEASMCA"/>
      </w:pPr>
      <w:r w:rsidRPr="006A2591">
        <w:t>Lot</w:t>
      </w:r>
    </w:p>
    <w:p w14:paraId="082650BA" w14:textId="77777777" w:rsidR="00601C8B" w:rsidRPr="006A2591" w:rsidRDefault="00601C8B" w:rsidP="00E85904">
      <w:pPr>
        <w:pStyle w:val="BTEMEASMCA"/>
      </w:pPr>
    </w:p>
    <w:p w14:paraId="40F3B208" w14:textId="77777777" w:rsidR="00601C8B" w:rsidRPr="006A2591" w:rsidRDefault="00601C8B" w:rsidP="00E85904">
      <w:pPr>
        <w:pStyle w:val="BTEMEASMCA"/>
      </w:pPr>
    </w:p>
    <w:p w14:paraId="6001BB2A" w14:textId="77777777" w:rsidR="00601C8B" w:rsidRPr="006A2591" w:rsidRDefault="00601C8B" w:rsidP="00601C8B">
      <w:pPr>
        <w:pStyle w:val="PI-1labEMEASMCA"/>
      </w:pPr>
      <w:r w:rsidRPr="006A2591">
        <w:t>5.</w:t>
      </w:r>
      <w:r w:rsidRPr="006A2591">
        <w:tab/>
        <w:t>KITA</w:t>
      </w:r>
    </w:p>
    <w:p w14:paraId="3D76276E" w14:textId="77777777" w:rsidR="00601C8B" w:rsidRPr="006A2591" w:rsidRDefault="00601C8B" w:rsidP="00E85904">
      <w:pPr>
        <w:pStyle w:val="BTEMEASMCA"/>
      </w:pPr>
    </w:p>
    <w:p w14:paraId="78D37362" w14:textId="77777777" w:rsidR="00601C8B" w:rsidRPr="006A2591" w:rsidRDefault="00601C8B" w:rsidP="00601C8B">
      <w:pPr>
        <w:pStyle w:val="PI-1labEMEASMCA"/>
        <w:pBdr>
          <w:top w:val="none" w:sz="0" w:space="0" w:color="auto"/>
          <w:left w:val="none" w:sz="0" w:space="0" w:color="auto"/>
          <w:bottom w:val="none" w:sz="0" w:space="0" w:color="auto"/>
          <w:right w:val="none" w:sz="0" w:space="0" w:color="auto"/>
        </w:pBdr>
        <w:rPr>
          <w:b w:val="0"/>
        </w:rPr>
      </w:pPr>
    </w:p>
    <w:p w14:paraId="62FE814B" w14:textId="77777777" w:rsidR="00601C8B" w:rsidRPr="006A2591" w:rsidRDefault="00601C8B" w:rsidP="00601C8B">
      <w:pPr>
        <w:pStyle w:val="TTEMEASMCA"/>
        <w:rPr>
          <w:b/>
          <w:lang w:val="lt-LT"/>
        </w:rPr>
      </w:pPr>
      <w:r w:rsidRPr="003D1C58">
        <w:rPr>
          <w:lang w:val="lt-LT"/>
        </w:rPr>
        <w:br w:type="page"/>
      </w:r>
    </w:p>
    <w:p w14:paraId="58B2FC7A" w14:textId="77777777" w:rsidR="00601C8B" w:rsidRPr="006A2591" w:rsidRDefault="00601C8B" w:rsidP="00601C8B">
      <w:pPr>
        <w:pStyle w:val="TTEMEASMCA"/>
        <w:rPr>
          <w:b/>
          <w:lang w:val="lt-LT"/>
        </w:rPr>
      </w:pPr>
    </w:p>
    <w:p w14:paraId="658CB32D" w14:textId="77777777" w:rsidR="00601C8B" w:rsidRPr="006A2591" w:rsidRDefault="00601C8B" w:rsidP="00601C8B">
      <w:pPr>
        <w:pStyle w:val="TTEMEASMCA"/>
        <w:rPr>
          <w:b/>
          <w:lang w:val="lt-LT"/>
        </w:rPr>
      </w:pPr>
    </w:p>
    <w:p w14:paraId="61C2C3E6" w14:textId="77777777" w:rsidR="00601C8B" w:rsidRPr="006A2591" w:rsidRDefault="00601C8B" w:rsidP="00601C8B">
      <w:pPr>
        <w:pStyle w:val="TTEMEASMCA"/>
        <w:rPr>
          <w:b/>
          <w:lang w:val="lt-LT"/>
        </w:rPr>
      </w:pPr>
    </w:p>
    <w:p w14:paraId="07E246BE" w14:textId="77777777" w:rsidR="00601C8B" w:rsidRPr="006A2591" w:rsidRDefault="00601C8B" w:rsidP="00601C8B">
      <w:pPr>
        <w:pStyle w:val="TTEMEASMCA"/>
        <w:rPr>
          <w:b/>
          <w:lang w:val="lt-LT"/>
        </w:rPr>
      </w:pPr>
    </w:p>
    <w:p w14:paraId="0EC0A7FD" w14:textId="77777777" w:rsidR="00601C8B" w:rsidRPr="006A2591" w:rsidRDefault="00601C8B" w:rsidP="00601C8B">
      <w:pPr>
        <w:pStyle w:val="TTEMEASMCA"/>
        <w:rPr>
          <w:b/>
          <w:lang w:val="lt-LT"/>
        </w:rPr>
      </w:pPr>
    </w:p>
    <w:p w14:paraId="0FF95AE5" w14:textId="77777777" w:rsidR="00601C8B" w:rsidRPr="006A2591" w:rsidRDefault="00601C8B" w:rsidP="00601C8B">
      <w:pPr>
        <w:pStyle w:val="TTEMEASMCA"/>
        <w:rPr>
          <w:b/>
          <w:lang w:val="lt-LT"/>
        </w:rPr>
      </w:pPr>
    </w:p>
    <w:p w14:paraId="6C20CFB1" w14:textId="77777777" w:rsidR="00601C8B" w:rsidRPr="006A2591" w:rsidRDefault="00601C8B" w:rsidP="00601C8B">
      <w:pPr>
        <w:pStyle w:val="TTEMEASMCA"/>
        <w:rPr>
          <w:b/>
          <w:lang w:val="lt-LT"/>
        </w:rPr>
      </w:pPr>
    </w:p>
    <w:p w14:paraId="41CCA499" w14:textId="77777777" w:rsidR="00601C8B" w:rsidRPr="006A2591" w:rsidRDefault="00601C8B" w:rsidP="00601C8B">
      <w:pPr>
        <w:pStyle w:val="TTEMEASMCA"/>
        <w:rPr>
          <w:b/>
          <w:lang w:val="lt-LT"/>
        </w:rPr>
      </w:pPr>
    </w:p>
    <w:p w14:paraId="62D35F9E" w14:textId="77777777" w:rsidR="00601C8B" w:rsidRPr="006A2591" w:rsidRDefault="00601C8B" w:rsidP="00601C8B">
      <w:pPr>
        <w:pStyle w:val="TTEMEASMCA"/>
        <w:rPr>
          <w:b/>
          <w:lang w:val="lt-LT"/>
        </w:rPr>
      </w:pPr>
    </w:p>
    <w:p w14:paraId="620808AA" w14:textId="77777777" w:rsidR="00601C8B" w:rsidRPr="006A2591" w:rsidRDefault="00601C8B" w:rsidP="00601C8B">
      <w:pPr>
        <w:pStyle w:val="TTEMEASMCA"/>
        <w:rPr>
          <w:b/>
          <w:lang w:val="lt-LT"/>
        </w:rPr>
      </w:pPr>
    </w:p>
    <w:p w14:paraId="69413A8C" w14:textId="77777777" w:rsidR="00601C8B" w:rsidRPr="006A2591" w:rsidRDefault="00601C8B" w:rsidP="00601C8B">
      <w:pPr>
        <w:pStyle w:val="TTEMEASMCA"/>
        <w:rPr>
          <w:b/>
          <w:lang w:val="lt-LT"/>
        </w:rPr>
      </w:pPr>
    </w:p>
    <w:p w14:paraId="066FF011" w14:textId="77777777" w:rsidR="00601C8B" w:rsidRPr="006A2591" w:rsidRDefault="00601C8B" w:rsidP="00601C8B">
      <w:pPr>
        <w:pStyle w:val="TTEMEASMCA"/>
        <w:rPr>
          <w:b/>
          <w:lang w:val="lt-LT"/>
        </w:rPr>
      </w:pPr>
    </w:p>
    <w:p w14:paraId="0F598289" w14:textId="77777777" w:rsidR="00601C8B" w:rsidRPr="006A2591" w:rsidRDefault="00601C8B" w:rsidP="00601C8B">
      <w:pPr>
        <w:pStyle w:val="TTEMEASMCA"/>
        <w:rPr>
          <w:b/>
          <w:lang w:val="lt-LT"/>
        </w:rPr>
      </w:pPr>
    </w:p>
    <w:p w14:paraId="77F18ABF" w14:textId="77777777" w:rsidR="00601C8B" w:rsidRPr="006A2591" w:rsidRDefault="00601C8B" w:rsidP="00601C8B">
      <w:pPr>
        <w:pStyle w:val="TTEMEASMCA"/>
        <w:rPr>
          <w:b/>
          <w:lang w:val="lt-LT"/>
        </w:rPr>
      </w:pPr>
    </w:p>
    <w:p w14:paraId="0864BE72" w14:textId="77777777" w:rsidR="00601C8B" w:rsidRPr="006A2591" w:rsidRDefault="00601C8B" w:rsidP="00601C8B">
      <w:pPr>
        <w:pStyle w:val="TTEMEASMCA"/>
        <w:rPr>
          <w:b/>
          <w:lang w:val="lt-LT"/>
        </w:rPr>
      </w:pPr>
    </w:p>
    <w:p w14:paraId="1BEAD509" w14:textId="77777777" w:rsidR="00601C8B" w:rsidRPr="006A2591" w:rsidRDefault="00601C8B" w:rsidP="00601C8B">
      <w:pPr>
        <w:pStyle w:val="TTEMEASMCA"/>
        <w:rPr>
          <w:b/>
          <w:lang w:val="lt-LT"/>
        </w:rPr>
      </w:pPr>
    </w:p>
    <w:p w14:paraId="1AFB87E6" w14:textId="77777777" w:rsidR="00601C8B" w:rsidRPr="006A2591" w:rsidRDefault="00601C8B" w:rsidP="00601C8B">
      <w:pPr>
        <w:pStyle w:val="TTEMEASMCA"/>
        <w:rPr>
          <w:b/>
          <w:lang w:val="lt-LT"/>
        </w:rPr>
      </w:pPr>
    </w:p>
    <w:p w14:paraId="3E993CED" w14:textId="77777777" w:rsidR="00601C8B" w:rsidRPr="006A2591" w:rsidRDefault="00601C8B" w:rsidP="00601C8B">
      <w:pPr>
        <w:pStyle w:val="TTEMEASMCA"/>
        <w:rPr>
          <w:b/>
          <w:lang w:val="lt-LT"/>
        </w:rPr>
      </w:pPr>
    </w:p>
    <w:p w14:paraId="17C316AF" w14:textId="77777777" w:rsidR="00601C8B" w:rsidRPr="006A2591" w:rsidRDefault="00601C8B" w:rsidP="00601C8B">
      <w:pPr>
        <w:pStyle w:val="TTEMEASMCA"/>
        <w:rPr>
          <w:b/>
          <w:lang w:val="lt-LT"/>
        </w:rPr>
      </w:pPr>
    </w:p>
    <w:p w14:paraId="3249EF19" w14:textId="77777777" w:rsidR="00601C8B" w:rsidRPr="006A2591" w:rsidRDefault="00601C8B" w:rsidP="00601C8B">
      <w:pPr>
        <w:pStyle w:val="TTEMEASMCA"/>
        <w:rPr>
          <w:b/>
          <w:lang w:val="lt-LT"/>
        </w:rPr>
      </w:pPr>
    </w:p>
    <w:p w14:paraId="59665C69" w14:textId="77777777" w:rsidR="00601C8B" w:rsidRPr="006A2591" w:rsidRDefault="00601C8B" w:rsidP="00601C8B">
      <w:pPr>
        <w:pStyle w:val="TTEMEASMCA"/>
        <w:rPr>
          <w:b/>
          <w:lang w:val="lt-LT"/>
        </w:rPr>
      </w:pPr>
    </w:p>
    <w:p w14:paraId="46F4092D" w14:textId="77777777" w:rsidR="00601C8B" w:rsidRPr="006A2591" w:rsidRDefault="00601C8B" w:rsidP="00601C8B">
      <w:pPr>
        <w:pStyle w:val="TTEMEASMCA"/>
        <w:rPr>
          <w:b/>
          <w:lang w:val="lt-LT"/>
        </w:rPr>
      </w:pPr>
    </w:p>
    <w:p w14:paraId="1B10E5CE" w14:textId="77777777" w:rsidR="00601C8B" w:rsidRPr="006A2591" w:rsidRDefault="00601C8B" w:rsidP="00601C8B">
      <w:pPr>
        <w:pStyle w:val="TTEMEASMCA"/>
        <w:rPr>
          <w:b/>
          <w:lang w:val="lt-LT"/>
        </w:rPr>
      </w:pPr>
      <w:r w:rsidRPr="006A2591">
        <w:rPr>
          <w:b/>
          <w:lang w:val="lt-LT"/>
        </w:rPr>
        <w:t>B. PAKUOTĖS LAPELIS</w:t>
      </w:r>
    </w:p>
    <w:p w14:paraId="724CDD3C" w14:textId="77777777" w:rsidR="00601C8B" w:rsidRPr="006A2591" w:rsidRDefault="00601C8B" w:rsidP="00601C8B">
      <w:pPr>
        <w:pStyle w:val="Pagrindinistekstas"/>
        <w:spacing w:after="0"/>
        <w:rPr>
          <w:szCs w:val="22"/>
        </w:rPr>
      </w:pPr>
    </w:p>
    <w:p w14:paraId="09D038FE" w14:textId="77777777" w:rsidR="00601C8B" w:rsidRPr="006A2591" w:rsidRDefault="00601C8B" w:rsidP="00601C8B">
      <w:pPr>
        <w:pStyle w:val="Pagrindinistekstas"/>
        <w:spacing w:after="0"/>
        <w:rPr>
          <w:szCs w:val="22"/>
        </w:rPr>
      </w:pPr>
    </w:p>
    <w:p w14:paraId="142714DC" w14:textId="77777777" w:rsidR="00601C8B" w:rsidRPr="006A2591" w:rsidRDefault="00601C8B" w:rsidP="00601C8B">
      <w:pPr>
        <w:pStyle w:val="Pagrindinistekstas"/>
        <w:spacing w:after="0"/>
        <w:rPr>
          <w:szCs w:val="22"/>
        </w:rPr>
      </w:pPr>
    </w:p>
    <w:p w14:paraId="3A57F252" w14:textId="77777777" w:rsidR="00601C8B" w:rsidRPr="006A2591" w:rsidRDefault="00601C8B" w:rsidP="00601C8B">
      <w:pPr>
        <w:pStyle w:val="Pagrindinistekstas"/>
        <w:spacing w:after="0"/>
        <w:rPr>
          <w:szCs w:val="22"/>
        </w:rPr>
      </w:pPr>
    </w:p>
    <w:p w14:paraId="5AF808AE" w14:textId="77777777" w:rsidR="00601C8B" w:rsidRPr="006A2591" w:rsidRDefault="00601C8B" w:rsidP="00601C8B">
      <w:pPr>
        <w:pStyle w:val="Pagrindinistekstas"/>
        <w:spacing w:after="0"/>
        <w:rPr>
          <w:szCs w:val="22"/>
        </w:rPr>
      </w:pPr>
    </w:p>
    <w:p w14:paraId="7871F3B1" w14:textId="77777777" w:rsidR="00601C8B" w:rsidRPr="006A2591" w:rsidRDefault="00601C8B" w:rsidP="00601C8B">
      <w:pPr>
        <w:pStyle w:val="Pagrindinistekstas"/>
        <w:spacing w:after="0"/>
        <w:rPr>
          <w:szCs w:val="22"/>
        </w:rPr>
      </w:pPr>
    </w:p>
    <w:p w14:paraId="469ED080" w14:textId="77777777" w:rsidR="00601C8B" w:rsidRPr="006A2591" w:rsidRDefault="00601C8B" w:rsidP="00601C8B">
      <w:pPr>
        <w:pStyle w:val="Pagrindinistekstas"/>
        <w:spacing w:after="0"/>
        <w:rPr>
          <w:szCs w:val="22"/>
        </w:rPr>
      </w:pPr>
    </w:p>
    <w:p w14:paraId="55B19A70" w14:textId="77777777" w:rsidR="00601C8B" w:rsidRPr="006A2591" w:rsidRDefault="00601C8B" w:rsidP="00601C8B">
      <w:pPr>
        <w:pStyle w:val="Pagrindinistekstas"/>
        <w:spacing w:after="0"/>
        <w:rPr>
          <w:szCs w:val="22"/>
        </w:rPr>
      </w:pPr>
    </w:p>
    <w:p w14:paraId="197E8FA9" w14:textId="77777777" w:rsidR="00601C8B" w:rsidRPr="006A2591" w:rsidRDefault="00601C8B" w:rsidP="00601C8B">
      <w:pPr>
        <w:pStyle w:val="Pagrindinistekstas"/>
        <w:spacing w:after="0"/>
        <w:rPr>
          <w:szCs w:val="22"/>
        </w:rPr>
      </w:pPr>
    </w:p>
    <w:p w14:paraId="2759F91F" w14:textId="77777777" w:rsidR="00601C8B" w:rsidRPr="006A2591" w:rsidRDefault="00601C8B" w:rsidP="00601C8B">
      <w:pPr>
        <w:pStyle w:val="Pagrindinistekstas"/>
        <w:spacing w:after="0"/>
        <w:rPr>
          <w:szCs w:val="22"/>
        </w:rPr>
      </w:pPr>
    </w:p>
    <w:p w14:paraId="41B6F2FA" w14:textId="77777777" w:rsidR="00601C8B" w:rsidRPr="006A2591" w:rsidRDefault="00601C8B" w:rsidP="00601C8B">
      <w:pPr>
        <w:pStyle w:val="Pagrindinistekstas"/>
        <w:spacing w:after="0"/>
        <w:rPr>
          <w:szCs w:val="22"/>
        </w:rPr>
      </w:pPr>
    </w:p>
    <w:p w14:paraId="22943D0F" w14:textId="77777777" w:rsidR="00601C8B" w:rsidRPr="006A2591" w:rsidRDefault="00601C8B" w:rsidP="00601C8B">
      <w:pPr>
        <w:pStyle w:val="Pagrindinistekstas"/>
        <w:spacing w:after="0"/>
        <w:rPr>
          <w:szCs w:val="22"/>
        </w:rPr>
      </w:pPr>
    </w:p>
    <w:p w14:paraId="2BF732EE" w14:textId="77777777" w:rsidR="00601C8B" w:rsidRPr="006A2591" w:rsidRDefault="00601C8B" w:rsidP="00601C8B">
      <w:pPr>
        <w:pStyle w:val="Pagrindinistekstas"/>
        <w:spacing w:after="0"/>
        <w:rPr>
          <w:szCs w:val="22"/>
        </w:rPr>
      </w:pPr>
    </w:p>
    <w:p w14:paraId="45699D11" w14:textId="77777777" w:rsidR="00601C8B" w:rsidRPr="006A2591" w:rsidRDefault="00601C8B" w:rsidP="00601C8B">
      <w:pPr>
        <w:pStyle w:val="Pagrindinistekstas"/>
        <w:spacing w:after="0"/>
        <w:rPr>
          <w:szCs w:val="22"/>
        </w:rPr>
      </w:pPr>
    </w:p>
    <w:p w14:paraId="7FBB6F63" w14:textId="77777777" w:rsidR="00601C8B" w:rsidRPr="006A2591" w:rsidRDefault="00601C8B" w:rsidP="00601C8B">
      <w:pPr>
        <w:pStyle w:val="Pagrindinistekstas"/>
        <w:spacing w:after="0"/>
        <w:rPr>
          <w:szCs w:val="22"/>
        </w:rPr>
      </w:pPr>
    </w:p>
    <w:p w14:paraId="54AD1D7A" w14:textId="77777777" w:rsidR="00601C8B" w:rsidRPr="006A2591" w:rsidRDefault="00601C8B" w:rsidP="00601C8B">
      <w:pPr>
        <w:pStyle w:val="Pagrindinistekstas"/>
        <w:spacing w:after="0"/>
        <w:rPr>
          <w:szCs w:val="22"/>
        </w:rPr>
      </w:pPr>
    </w:p>
    <w:p w14:paraId="1050BC8C" w14:textId="77777777" w:rsidR="00601C8B" w:rsidRPr="006A2591" w:rsidRDefault="00601C8B" w:rsidP="00601C8B">
      <w:pPr>
        <w:pStyle w:val="Pagrindinistekstas"/>
        <w:spacing w:after="0"/>
        <w:rPr>
          <w:szCs w:val="22"/>
        </w:rPr>
      </w:pPr>
    </w:p>
    <w:p w14:paraId="045DF791" w14:textId="77777777" w:rsidR="00601C8B" w:rsidRPr="006A2591" w:rsidRDefault="00601C8B" w:rsidP="00601C8B">
      <w:pPr>
        <w:pStyle w:val="TTEMEASMCA"/>
        <w:rPr>
          <w:b/>
          <w:lang w:val="lt-LT"/>
        </w:rPr>
      </w:pPr>
    </w:p>
    <w:p w14:paraId="23EF2BB3" w14:textId="77777777" w:rsidR="00601C8B" w:rsidRPr="006A2591" w:rsidRDefault="00601C8B" w:rsidP="00601C8B">
      <w:pPr>
        <w:pStyle w:val="TTEMEASMCA"/>
        <w:rPr>
          <w:b/>
          <w:lang w:val="lt-LT"/>
        </w:rPr>
      </w:pPr>
    </w:p>
    <w:p w14:paraId="296C4A72" w14:textId="77777777" w:rsidR="00601C8B" w:rsidRPr="006A2591" w:rsidRDefault="00601C8B" w:rsidP="00601C8B">
      <w:pPr>
        <w:pStyle w:val="TTEMEASMCA"/>
        <w:rPr>
          <w:b/>
          <w:lang w:val="lt-LT"/>
        </w:rPr>
      </w:pPr>
    </w:p>
    <w:p w14:paraId="3A70B7C7" w14:textId="77777777" w:rsidR="00601C8B" w:rsidRPr="006A2591" w:rsidRDefault="00601C8B" w:rsidP="00601C8B">
      <w:pPr>
        <w:pStyle w:val="TTEMEASMCA"/>
        <w:rPr>
          <w:b/>
          <w:lang w:val="lt-LT"/>
        </w:rPr>
      </w:pPr>
    </w:p>
    <w:p w14:paraId="11472842" w14:textId="77777777" w:rsidR="00601C8B" w:rsidRPr="006A2591" w:rsidRDefault="00601C8B" w:rsidP="00601C8B">
      <w:pPr>
        <w:pStyle w:val="TTEMEASMCA"/>
        <w:rPr>
          <w:b/>
          <w:lang w:val="lt-LT"/>
        </w:rPr>
      </w:pPr>
    </w:p>
    <w:p w14:paraId="71E03315" w14:textId="77777777" w:rsidR="00601C8B" w:rsidRPr="006A2591" w:rsidRDefault="00601C8B" w:rsidP="00601C8B">
      <w:pPr>
        <w:pStyle w:val="TTEMEASMCA"/>
        <w:rPr>
          <w:b/>
          <w:lang w:val="lt-LT"/>
        </w:rPr>
      </w:pPr>
    </w:p>
    <w:p w14:paraId="411494EE" w14:textId="77777777" w:rsidR="00601C8B" w:rsidRPr="006A2591" w:rsidRDefault="00601C8B" w:rsidP="00601C8B">
      <w:pPr>
        <w:pStyle w:val="TTEMEASMCA"/>
        <w:rPr>
          <w:b/>
          <w:lang w:val="lt-LT"/>
        </w:rPr>
      </w:pPr>
    </w:p>
    <w:p w14:paraId="4DA2424E" w14:textId="77777777" w:rsidR="00601C8B" w:rsidRPr="006A2591" w:rsidRDefault="00601C8B" w:rsidP="00601C8B">
      <w:pPr>
        <w:pStyle w:val="TTEMEASMCA"/>
        <w:rPr>
          <w:b/>
          <w:lang w:val="lt-LT"/>
        </w:rPr>
      </w:pPr>
      <w:r w:rsidRPr="006A2591">
        <w:rPr>
          <w:b/>
          <w:lang w:val="lt-LT"/>
        </w:rPr>
        <w:br w:type="page"/>
      </w:r>
    </w:p>
    <w:p w14:paraId="64D68DFD" w14:textId="77777777" w:rsidR="00601C8B" w:rsidRPr="006A2591" w:rsidRDefault="00601C8B" w:rsidP="00601C8B">
      <w:pPr>
        <w:pStyle w:val="Pagrindinistekstas"/>
        <w:spacing w:after="0"/>
        <w:jc w:val="center"/>
        <w:rPr>
          <w:b/>
          <w:caps/>
          <w:szCs w:val="22"/>
        </w:rPr>
      </w:pPr>
      <w:r w:rsidRPr="006A2591">
        <w:rPr>
          <w:b/>
          <w:szCs w:val="22"/>
        </w:rPr>
        <w:lastRenderedPageBreak/>
        <w:t>Pakuotės lapelis: informacija vartotojui</w:t>
      </w:r>
    </w:p>
    <w:p w14:paraId="16121315" w14:textId="77777777" w:rsidR="00601C8B" w:rsidRPr="006A2591" w:rsidRDefault="00601C8B" w:rsidP="00601C8B">
      <w:pPr>
        <w:jc w:val="center"/>
        <w:rPr>
          <w:b/>
          <w:szCs w:val="22"/>
        </w:rPr>
      </w:pPr>
    </w:p>
    <w:p w14:paraId="4E72BCE2" w14:textId="77777777" w:rsidR="00601C8B" w:rsidRPr="006A2591" w:rsidRDefault="00601C8B" w:rsidP="00601C8B">
      <w:pPr>
        <w:pStyle w:val="Betarp"/>
        <w:jc w:val="center"/>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500</w:t>
      </w:r>
      <w:r w:rsidRPr="0078470E">
        <w:rPr>
          <w:rFonts w:ascii="Times New Roman" w:hAnsi="Times New Roman"/>
        </w:rPr>
        <w:t> </w:t>
      </w:r>
      <w:r w:rsidRPr="006A2591">
        <w:rPr>
          <w:rFonts w:ascii="Times New Roman" w:hAnsi="Times New Roman"/>
          <w:b/>
        </w:rPr>
        <w:t>mg pailginto atpalaidavimo tabletės</w:t>
      </w:r>
    </w:p>
    <w:p w14:paraId="22C5030B" w14:textId="77777777" w:rsidR="00601C8B" w:rsidRPr="006A2591" w:rsidRDefault="00601C8B" w:rsidP="00601C8B">
      <w:pPr>
        <w:pStyle w:val="Betarp"/>
        <w:jc w:val="center"/>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750</w:t>
      </w:r>
      <w:r w:rsidRPr="0078470E">
        <w:rPr>
          <w:rFonts w:ascii="Times New Roman" w:hAnsi="Times New Roman"/>
        </w:rPr>
        <w:t> </w:t>
      </w:r>
      <w:r w:rsidRPr="006A2591">
        <w:rPr>
          <w:rFonts w:ascii="Times New Roman" w:hAnsi="Times New Roman"/>
          <w:b/>
        </w:rPr>
        <w:t>mg pailginto atpalaidavimo tabletės</w:t>
      </w:r>
    </w:p>
    <w:p w14:paraId="7B1287C5" w14:textId="6B1DC6AB" w:rsidR="00601C8B" w:rsidRPr="006A2591" w:rsidRDefault="00601C8B" w:rsidP="00601C8B">
      <w:pPr>
        <w:jc w:val="center"/>
        <w:rPr>
          <w:b/>
          <w:i/>
          <w:szCs w:val="22"/>
        </w:rPr>
      </w:pPr>
      <w:proofErr w:type="spellStart"/>
      <w:r>
        <w:rPr>
          <w:b/>
          <w:szCs w:val="22"/>
        </w:rPr>
        <w:t>Tivulin</w:t>
      </w:r>
      <w:proofErr w:type="spellEnd"/>
      <w:r w:rsidRPr="006A2591">
        <w:rPr>
          <w:b/>
          <w:szCs w:val="22"/>
        </w:rPr>
        <w:t xml:space="preserve"> </w:t>
      </w:r>
      <w:r>
        <w:rPr>
          <w:b/>
          <w:szCs w:val="22"/>
        </w:rPr>
        <w:t>1</w:t>
      </w:r>
      <w:r w:rsidR="00466B02">
        <w:rPr>
          <w:b/>
          <w:szCs w:val="22"/>
        </w:rPr>
        <w:t> </w:t>
      </w:r>
      <w:r>
        <w:rPr>
          <w:b/>
          <w:szCs w:val="22"/>
        </w:rPr>
        <w:t>000</w:t>
      </w:r>
      <w:r w:rsidRPr="0078470E">
        <w:rPr>
          <w:szCs w:val="22"/>
        </w:rPr>
        <w:t> </w:t>
      </w:r>
      <w:r w:rsidRPr="006A2591">
        <w:rPr>
          <w:b/>
          <w:szCs w:val="22"/>
        </w:rPr>
        <w:t>mg pailginto atpalaidavimo tabletės</w:t>
      </w:r>
    </w:p>
    <w:p w14:paraId="7E59B28E" w14:textId="77777777" w:rsidR="00466B02" w:rsidRDefault="00466B02" w:rsidP="00601C8B">
      <w:pPr>
        <w:pStyle w:val="Pagrindinistekstas"/>
        <w:spacing w:after="0"/>
        <w:jc w:val="center"/>
        <w:rPr>
          <w:szCs w:val="22"/>
        </w:rPr>
      </w:pPr>
    </w:p>
    <w:p w14:paraId="10EF9B69" w14:textId="705B6C61" w:rsidR="00601C8B" w:rsidRPr="006A2591" w:rsidRDefault="00FE3681" w:rsidP="00601C8B">
      <w:pPr>
        <w:pStyle w:val="Pagrindinistekstas"/>
        <w:spacing w:after="0"/>
        <w:jc w:val="center"/>
        <w:rPr>
          <w:b/>
          <w:szCs w:val="22"/>
        </w:rPr>
      </w:pPr>
      <w:proofErr w:type="spellStart"/>
      <w:r>
        <w:rPr>
          <w:szCs w:val="22"/>
        </w:rPr>
        <w:t>m</w:t>
      </w:r>
      <w:r w:rsidR="00601C8B" w:rsidRPr="006A2591">
        <w:rPr>
          <w:szCs w:val="22"/>
        </w:rPr>
        <w:t>etformino</w:t>
      </w:r>
      <w:proofErr w:type="spellEnd"/>
      <w:r w:rsidR="00601C8B" w:rsidRPr="006A2591">
        <w:rPr>
          <w:szCs w:val="22"/>
        </w:rPr>
        <w:t xml:space="preserve"> hidrochloridas</w:t>
      </w:r>
    </w:p>
    <w:p w14:paraId="5329D4F3" w14:textId="77777777" w:rsidR="00601C8B" w:rsidRPr="006A2591" w:rsidRDefault="00601C8B" w:rsidP="00601C8B">
      <w:pPr>
        <w:pStyle w:val="Pagrindinistekstas"/>
        <w:spacing w:after="0"/>
        <w:rPr>
          <w:szCs w:val="22"/>
        </w:rPr>
      </w:pPr>
    </w:p>
    <w:p w14:paraId="06DB44E6" w14:textId="77777777" w:rsidR="00601C8B" w:rsidRPr="006A2591" w:rsidRDefault="00601C8B" w:rsidP="00601C8B">
      <w:pPr>
        <w:pStyle w:val="BTbEMEASMCA"/>
      </w:pPr>
      <w:r w:rsidRPr="006A2591">
        <w:t xml:space="preserve">Atidžiai perskaitykite visą šį lapelį, prieš pradėdami vartoti vaistą, </w:t>
      </w:r>
      <w:r w:rsidRPr="006A2591">
        <w:rPr>
          <w:noProof/>
        </w:rPr>
        <w:t>nes jame pateikiama Jums svarbi informacija</w:t>
      </w:r>
      <w:r w:rsidRPr="006A2591">
        <w:t>.</w:t>
      </w:r>
    </w:p>
    <w:p w14:paraId="24EEDE22" w14:textId="77777777" w:rsidR="00601C8B" w:rsidRPr="006A2591" w:rsidRDefault="00601C8B" w:rsidP="00E85904">
      <w:pPr>
        <w:pStyle w:val="BT-EMEASMCA"/>
        <w:numPr>
          <w:ilvl w:val="0"/>
          <w:numId w:val="3"/>
        </w:numPr>
      </w:pPr>
      <w:r w:rsidRPr="006A2591">
        <w:t>Neišmeskite šio lapelio, nes vėl gali prireikti jį perskaityti.</w:t>
      </w:r>
    </w:p>
    <w:p w14:paraId="7ACC8920" w14:textId="77777777" w:rsidR="00601C8B" w:rsidRPr="006A2591" w:rsidRDefault="00601C8B" w:rsidP="00E85904">
      <w:pPr>
        <w:pStyle w:val="BT-EMEASMCA"/>
        <w:numPr>
          <w:ilvl w:val="0"/>
          <w:numId w:val="3"/>
        </w:numPr>
      </w:pPr>
      <w:r w:rsidRPr="006A2591">
        <w:t>Jeigu kiltų daugiau klausimų, kreipkitės į gydytoją arba vaistininką.</w:t>
      </w:r>
    </w:p>
    <w:p w14:paraId="13B59B78" w14:textId="77777777" w:rsidR="00601C8B" w:rsidRPr="006A2591" w:rsidRDefault="00601C8B" w:rsidP="00E85904">
      <w:pPr>
        <w:pStyle w:val="BT-EMEASMCA"/>
        <w:numPr>
          <w:ilvl w:val="0"/>
          <w:numId w:val="3"/>
        </w:numPr>
      </w:pPr>
      <w:r w:rsidRPr="006A2591">
        <w:t xml:space="preserve">Šis vaistas skirtas tik Jums, todėl kitiems žmonėms jo duoti negalima. </w:t>
      </w:r>
      <w:r w:rsidRPr="006A2591">
        <w:rPr>
          <w:noProof/>
        </w:rPr>
        <w:t>Vaistas gali jiems pakenkti (net tiems, kurių ligos požymiai yra tokie patys kaip Jūsų)</w:t>
      </w:r>
      <w:r w:rsidRPr="006A2591">
        <w:t>.</w:t>
      </w:r>
    </w:p>
    <w:p w14:paraId="391A1466" w14:textId="6B753FC1" w:rsidR="00601C8B" w:rsidRPr="006A2591" w:rsidRDefault="00601C8B" w:rsidP="00E85904">
      <w:pPr>
        <w:pStyle w:val="BT-EMEASMCA"/>
        <w:numPr>
          <w:ilvl w:val="0"/>
          <w:numId w:val="3"/>
        </w:numPr>
      </w:pPr>
      <w:r w:rsidRPr="006A2591">
        <w:t xml:space="preserve">Jeigu pasireiškė šalutinis poveikis </w:t>
      </w:r>
      <w:r w:rsidRPr="006A2591">
        <w:rPr>
          <w:noProof/>
        </w:rPr>
        <w:t>(net jeigu jis šiame lapelyje nenurodytas)</w:t>
      </w:r>
      <w:r w:rsidRPr="006A2591">
        <w:t xml:space="preserve">, </w:t>
      </w:r>
      <w:r w:rsidRPr="006A2591">
        <w:rPr>
          <w:noProof/>
        </w:rPr>
        <w:t>kreipkitės į</w:t>
      </w:r>
      <w:r w:rsidRPr="006A2591">
        <w:t xml:space="preserve"> gydytoją arba vaistininką.</w:t>
      </w:r>
      <w:r w:rsidRPr="006A2591">
        <w:rPr>
          <w:noProof/>
        </w:rPr>
        <w:t xml:space="preserve"> Žr. 4</w:t>
      </w:r>
      <w:r w:rsidR="00874699">
        <w:rPr>
          <w:noProof/>
        </w:rPr>
        <w:t> </w:t>
      </w:r>
      <w:r w:rsidRPr="006A2591">
        <w:rPr>
          <w:noProof/>
        </w:rPr>
        <w:t>skyrių.</w:t>
      </w:r>
    </w:p>
    <w:p w14:paraId="388D63AC" w14:textId="77777777" w:rsidR="00601C8B" w:rsidRPr="006A2591" w:rsidRDefault="00601C8B" w:rsidP="00601C8B">
      <w:pPr>
        <w:pStyle w:val="Pagrindinistekstas"/>
        <w:spacing w:after="0"/>
        <w:rPr>
          <w:szCs w:val="22"/>
        </w:rPr>
      </w:pPr>
    </w:p>
    <w:p w14:paraId="2335966D" w14:textId="77777777" w:rsidR="00601C8B" w:rsidRPr="006A2591" w:rsidRDefault="00601C8B" w:rsidP="00601C8B">
      <w:pPr>
        <w:pStyle w:val="Pagrindinistekstas"/>
        <w:spacing w:after="0"/>
        <w:rPr>
          <w:b/>
          <w:szCs w:val="22"/>
        </w:rPr>
      </w:pPr>
      <w:r w:rsidRPr="006A2591">
        <w:rPr>
          <w:b/>
          <w:szCs w:val="22"/>
        </w:rPr>
        <w:t>Apie ką rašoma šiame lapelyje?</w:t>
      </w:r>
    </w:p>
    <w:p w14:paraId="59D89E60" w14:textId="77777777" w:rsidR="00601C8B" w:rsidRPr="006A2591" w:rsidRDefault="00601C8B" w:rsidP="00601C8B">
      <w:pPr>
        <w:pStyle w:val="Pagrindinistekstas"/>
        <w:spacing w:after="0"/>
        <w:rPr>
          <w:b/>
          <w:szCs w:val="22"/>
        </w:rPr>
      </w:pPr>
    </w:p>
    <w:p w14:paraId="6640AD5A" w14:textId="77777777" w:rsidR="00601C8B" w:rsidRPr="006A2591" w:rsidRDefault="00601C8B" w:rsidP="00E85904">
      <w:pPr>
        <w:pStyle w:val="BTEMEASMCA"/>
      </w:pPr>
      <w:r w:rsidRPr="006A2591">
        <w:t>1.</w:t>
      </w:r>
      <w:r w:rsidRPr="006A2591">
        <w:tab/>
        <w:t xml:space="preserve">Kas yra </w:t>
      </w:r>
      <w:proofErr w:type="spellStart"/>
      <w:r>
        <w:t>Tivulin</w:t>
      </w:r>
      <w:proofErr w:type="spellEnd"/>
      <w:r w:rsidRPr="006A2591">
        <w:t xml:space="preserve"> ir kam jis vartojamas</w:t>
      </w:r>
    </w:p>
    <w:p w14:paraId="5A4745C9" w14:textId="77777777" w:rsidR="00601C8B" w:rsidRPr="006A2591" w:rsidRDefault="00601C8B" w:rsidP="00E85904">
      <w:pPr>
        <w:pStyle w:val="BTEMEASMCA"/>
      </w:pPr>
      <w:r w:rsidRPr="006A2591">
        <w:t>2.</w:t>
      </w:r>
      <w:r w:rsidRPr="006A2591">
        <w:tab/>
        <w:t xml:space="preserve">Kas žinotina prieš vartojant </w:t>
      </w:r>
      <w:proofErr w:type="spellStart"/>
      <w:r>
        <w:t>Tivulin</w:t>
      </w:r>
      <w:proofErr w:type="spellEnd"/>
    </w:p>
    <w:p w14:paraId="7B4D2607" w14:textId="77777777" w:rsidR="00601C8B" w:rsidRPr="006A2591" w:rsidRDefault="00601C8B" w:rsidP="00E85904">
      <w:pPr>
        <w:pStyle w:val="BTEMEASMCA"/>
      </w:pPr>
      <w:r w:rsidRPr="006A2591">
        <w:t>3.</w:t>
      </w:r>
      <w:r w:rsidRPr="006A2591">
        <w:tab/>
        <w:t xml:space="preserve">Kaip vartoti </w:t>
      </w:r>
      <w:proofErr w:type="spellStart"/>
      <w:r>
        <w:t>Tivulin</w:t>
      </w:r>
      <w:proofErr w:type="spellEnd"/>
    </w:p>
    <w:p w14:paraId="59B8DDF7" w14:textId="77777777" w:rsidR="00601C8B" w:rsidRPr="006A2591" w:rsidRDefault="00601C8B" w:rsidP="00E85904">
      <w:pPr>
        <w:pStyle w:val="BTEMEASMCA"/>
      </w:pPr>
      <w:r w:rsidRPr="006A2591">
        <w:t>4.</w:t>
      </w:r>
      <w:r w:rsidRPr="006A2591">
        <w:tab/>
        <w:t>Galimas šalutinis poveikis</w:t>
      </w:r>
    </w:p>
    <w:p w14:paraId="24283DA6" w14:textId="77777777" w:rsidR="00601C8B" w:rsidRPr="006A2591" w:rsidRDefault="00601C8B" w:rsidP="00E85904">
      <w:pPr>
        <w:pStyle w:val="BTEMEASMCA"/>
      </w:pPr>
      <w:r w:rsidRPr="006A2591">
        <w:t>5.</w:t>
      </w:r>
      <w:r w:rsidRPr="006A2591">
        <w:tab/>
        <w:t xml:space="preserve">Kaip laikyti </w:t>
      </w:r>
      <w:proofErr w:type="spellStart"/>
      <w:r>
        <w:t>Tivulin</w:t>
      </w:r>
      <w:proofErr w:type="spellEnd"/>
    </w:p>
    <w:p w14:paraId="36D1D8E1" w14:textId="77777777" w:rsidR="00601C8B" w:rsidRPr="006A2591" w:rsidRDefault="00601C8B" w:rsidP="00E85904">
      <w:pPr>
        <w:pStyle w:val="BTEMEASMCA"/>
      </w:pPr>
      <w:r w:rsidRPr="006A2591">
        <w:t>6.</w:t>
      </w:r>
      <w:r w:rsidRPr="006A2591">
        <w:tab/>
      </w:r>
      <w:r w:rsidRPr="006A2591">
        <w:rPr>
          <w:noProof/>
        </w:rPr>
        <w:t>Pakuotės turinys ir k</w:t>
      </w:r>
      <w:proofErr w:type="spellStart"/>
      <w:r w:rsidRPr="006A2591">
        <w:t>ita</w:t>
      </w:r>
      <w:proofErr w:type="spellEnd"/>
      <w:r w:rsidRPr="006A2591">
        <w:t xml:space="preserve"> informacija</w:t>
      </w:r>
    </w:p>
    <w:p w14:paraId="2B7A05D5" w14:textId="77777777" w:rsidR="00601C8B" w:rsidRPr="006A2591" w:rsidRDefault="00601C8B" w:rsidP="00601C8B">
      <w:pPr>
        <w:pStyle w:val="Pagrindinistekstas"/>
        <w:tabs>
          <w:tab w:val="left" w:pos="567"/>
        </w:tabs>
        <w:spacing w:after="0"/>
        <w:ind w:left="567" w:hanging="567"/>
        <w:rPr>
          <w:szCs w:val="22"/>
        </w:rPr>
      </w:pPr>
    </w:p>
    <w:p w14:paraId="033E8AE8" w14:textId="77777777" w:rsidR="00601C8B" w:rsidRPr="006A2591" w:rsidRDefault="00601C8B" w:rsidP="00601C8B">
      <w:pPr>
        <w:pStyle w:val="Pagrindinistekstas"/>
        <w:spacing w:after="0"/>
        <w:rPr>
          <w:szCs w:val="22"/>
        </w:rPr>
      </w:pPr>
    </w:p>
    <w:p w14:paraId="1163A78C" w14:textId="77777777" w:rsidR="00601C8B" w:rsidRPr="006A2591" w:rsidRDefault="00601C8B" w:rsidP="00601C8B">
      <w:pPr>
        <w:pStyle w:val="PI-1EMEASMCA"/>
        <w:outlineLvl w:val="9"/>
      </w:pPr>
      <w:r w:rsidRPr="006A2591">
        <w:t>1.</w:t>
      </w:r>
      <w:r w:rsidRPr="006A2591">
        <w:tab/>
        <w:t xml:space="preserve">Kas yra </w:t>
      </w:r>
      <w:proofErr w:type="spellStart"/>
      <w:r>
        <w:t>Tivulin</w:t>
      </w:r>
      <w:proofErr w:type="spellEnd"/>
      <w:r w:rsidRPr="006A2591">
        <w:t xml:space="preserve"> ir kam jis vartojamas</w:t>
      </w:r>
    </w:p>
    <w:p w14:paraId="371F615B" w14:textId="77777777" w:rsidR="00601C8B" w:rsidRPr="006A2591" w:rsidRDefault="00601C8B" w:rsidP="00E85904">
      <w:pPr>
        <w:pStyle w:val="BTEMEASMCA"/>
      </w:pPr>
    </w:p>
    <w:p w14:paraId="49E6B314" w14:textId="0CE80713" w:rsidR="00601C8B" w:rsidRPr="006A2591" w:rsidRDefault="00601C8B" w:rsidP="00601C8B">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w:t>
      </w:r>
      <w:r>
        <w:rPr>
          <w:rFonts w:ascii="Times New Roman" w:hAnsi="Times New Roman"/>
        </w:rPr>
        <w:t>p</w:t>
      </w:r>
      <w:r w:rsidRPr="006A2591">
        <w:rPr>
          <w:rFonts w:ascii="Times New Roman" w:hAnsi="Times New Roman"/>
        </w:rPr>
        <w:t>ailginto atpalaidavimo</w:t>
      </w:r>
      <w:r>
        <w:rPr>
          <w:rFonts w:ascii="Times New Roman" w:hAnsi="Times New Roman"/>
        </w:rPr>
        <w:t xml:space="preserve"> tablečių</w:t>
      </w:r>
      <w:r w:rsidRPr="006A2591">
        <w:rPr>
          <w:rFonts w:ascii="Times New Roman" w:hAnsi="Times New Roman"/>
        </w:rPr>
        <w:t xml:space="preserve"> veiklioji medžiaga yra </w:t>
      </w:r>
      <w:proofErr w:type="spellStart"/>
      <w:r w:rsidRPr="006A2591">
        <w:rPr>
          <w:rFonts w:ascii="Times New Roman" w:hAnsi="Times New Roman"/>
        </w:rPr>
        <w:t>metformin</w:t>
      </w:r>
      <w:r>
        <w:rPr>
          <w:rFonts w:ascii="Times New Roman" w:hAnsi="Times New Roman"/>
        </w:rPr>
        <w:t>o</w:t>
      </w:r>
      <w:proofErr w:type="spellEnd"/>
      <w:r>
        <w:rPr>
          <w:rFonts w:ascii="Times New Roman" w:hAnsi="Times New Roman"/>
        </w:rPr>
        <w:t xml:space="preserve"> hidrochloridas</w:t>
      </w:r>
      <w:r w:rsidRPr="006A2591">
        <w:rPr>
          <w:rFonts w:ascii="Times New Roman" w:hAnsi="Times New Roman"/>
        </w:rPr>
        <w:t xml:space="preserve">. Jis priklauso grupei vaistų, kurie vadinami </w:t>
      </w:r>
      <w:proofErr w:type="spellStart"/>
      <w:r w:rsidRPr="006A2591">
        <w:rPr>
          <w:rFonts w:ascii="Times New Roman" w:hAnsi="Times New Roman"/>
        </w:rPr>
        <w:t>biguanidais</w:t>
      </w:r>
      <w:proofErr w:type="spellEnd"/>
      <w:r w:rsidRPr="006A2591">
        <w:rPr>
          <w:rFonts w:ascii="Times New Roman" w:hAnsi="Times New Roman"/>
        </w:rPr>
        <w:t xml:space="preserve"> ir vartojami </w:t>
      </w:r>
      <w:r w:rsidR="00874699" w:rsidRPr="00D36877">
        <w:rPr>
          <w:rFonts w:ascii="Times New Roman" w:hAnsi="Times New Roman"/>
        </w:rPr>
        <w:t>2</w:t>
      </w:r>
      <w:r w:rsidR="00874699">
        <w:rPr>
          <w:rFonts w:ascii="Times New Roman" w:hAnsi="Times New Roman"/>
        </w:rPr>
        <w:t xml:space="preserve"> tipo (nuo insulino nepriklausomam) </w:t>
      </w:r>
      <w:r w:rsidRPr="006A2591">
        <w:rPr>
          <w:rFonts w:ascii="Times New Roman" w:hAnsi="Times New Roman"/>
        </w:rPr>
        <w:t>cukriniam diabetui gydyti.</w:t>
      </w:r>
    </w:p>
    <w:p w14:paraId="114C8327" w14:textId="7D8BB5F6" w:rsidR="00634DA6" w:rsidRPr="006A2591" w:rsidRDefault="00634DA6" w:rsidP="00634DA6">
      <w:pPr>
        <w:pStyle w:val="Betarp"/>
        <w:rPr>
          <w:rFonts w:ascii="Times New Roman" w:hAnsi="Times New Roman"/>
        </w:rPr>
      </w:pPr>
    </w:p>
    <w:p w14:paraId="2B846612" w14:textId="77777777" w:rsidR="00634DA6" w:rsidRPr="006A2591" w:rsidRDefault="00634DA6" w:rsidP="00601C8B">
      <w:pPr>
        <w:pStyle w:val="Betarp"/>
        <w:rPr>
          <w:rFonts w:ascii="Times New Roman" w:hAnsi="Times New Roman"/>
        </w:rPr>
      </w:pPr>
    </w:p>
    <w:p w14:paraId="30CDAC69" w14:textId="2537DA99" w:rsidR="00601C8B" w:rsidRPr="006A2591" w:rsidRDefault="00601C8B" w:rsidP="00601C8B">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vartojamas 2 tipo (nuo insulino nepriklausomo) </w:t>
      </w:r>
      <w:r>
        <w:rPr>
          <w:rFonts w:ascii="Times New Roman" w:hAnsi="Times New Roman"/>
        </w:rPr>
        <w:t>cukrini</w:t>
      </w:r>
      <w:r w:rsidR="000D26A5">
        <w:rPr>
          <w:rFonts w:ascii="Times New Roman" w:hAnsi="Times New Roman"/>
        </w:rPr>
        <w:t>am</w:t>
      </w:r>
      <w:r>
        <w:rPr>
          <w:rFonts w:ascii="Times New Roman" w:hAnsi="Times New Roman"/>
        </w:rPr>
        <w:t xml:space="preserve"> </w:t>
      </w:r>
      <w:r w:rsidRPr="006A2591">
        <w:rPr>
          <w:rFonts w:ascii="Times New Roman" w:hAnsi="Times New Roman"/>
        </w:rPr>
        <w:t xml:space="preserve">diabetui gydyti, kai vien tik dieta ir fiziniu aktyvumu gliukozės (cukraus) kiekio kraujyje sureguliuoti nepavyksta. Insulinas yra hormonas, kuris padeda organizmo audiniams pernešti gliukozę iš kraujo į audinius, kuriuose ji vartojama energijai gaminti arba saugoma būsimam vartojimui. 2 tipo </w:t>
      </w:r>
      <w:r>
        <w:rPr>
          <w:rFonts w:ascii="Times New Roman" w:hAnsi="Times New Roman"/>
        </w:rPr>
        <w:t xml:space="preserve">cukriniu </w:t>
      </w:r>
      <w:r w:rsidRPr="006A2591">
        <w:rPr>
          <w:rFonts w:ascii="Times New Roman" w:hAnsi="Times New Roman"/>
        </w:rPr>
        <w:t>diabetu sergančiųjų kasa gamina nepakankamai insulino arba jų organizmas tinkamai nereaguoja į išskiriamą insuliną. Dėl to</w:t>
      </w:r>
      <w:r>
        <w:rPr>
          <w:rFonts w:ascii="Times New Roman" w:hAnsi="Times New Roman"/>
        </w:rPr>
        <w:t xml:space="preserve"> </w:t>
      </w:r>
      <w:r w:rsidRPr="006A2591">
        <w:rPr>
          <w:rFonts w:ascii="Times New Roman" w:hAnsi="Times New Roman"/>
        </w:rPr>
        <w:t xml:space="preserve">kraujyje didėja gliukozės koncentracija, </w:t>
      </w:r>
      <w:r>
        <w:rPr>
          <w:rFonts w:ascii="Times New Roman" w:hAnsi="Times New Roman"/>
        </w:rPr>
        <w:t>tai</w:t>
      </w:r>
      <w:r w:rsidRPr="006A2591">
        <w:rPr>
          <w:rFonts w:ascii="Times New Roman" w:hAnsi="Times New Roman"/>
        </w:rPr>
        <w:t xml:space="preserve"> gali sukelti rimtų ilgalaikių sveikatos problemų. Labai svarbu ir toliau vartoti vaistus netgi tuomet, jeigu </w:t>
      </w:r>
      <w:r>
        <w:rPr>
          <w:rFonts w:ascii="Times New Roman" w:hAnsi="Times New Roman"/>
        </w:rPr>
        <w:t>J</w:t>
      </w:r>
      <w:r w:rsidRPr="006A2591">
        <w:rPr>
          <w:rFonts w:ascii="Times New Roman" w:hAnsi="Times New Roman"/>
        </w:rPr>
        <w:t xml:space="preserve">ūs neturite </w:t>
      </w:r>
      <w:r>
        <w:rPr>
          <w:rFonts w:ascii="Times New Roman" w:hAnsi="Times New Roman"/>
        </w:rPr>
        <w:t>j</w:t>
      </w:r>
      <w:r w:rsidRPr="006A2591">
        <w:rPr>
          <w:rFonts w:ascii="Times New Roman" w:hAnsi="Times New Roman"/>
        </w:rPr>
        <w:t xml:space="preserve">okių akivaizdžių ligos požymių. </w:t>
      </w:r>
      <w:proofErr w:type="spellStart"/>
      <w:r>
        <w:rPr>
          <w:rFonts w:ascii="Times New Roman" w:hAnsi="Times New Roman"/>
        </w:rPr>
        <w:t>Tivulin</w:t>
      </w:r>
      <w:proofErr w:type="spellEnd"/>
      <w:r w:rsidRPr="006A2591">
        <w:rPr>
          <w:rFonts w:ascii="Times New Roman" w:hAnsi="Times New Roman"/>
        </w:rPr>
        <w:t xml:space="preserve"> didina organizmo jautrumą insulinui ir </w:t>
      </w:r>
      <w:r>
        <w:rPr>
          <w:rFonts w:ascii="Times New Roman" w:hAnsi="Times New Roman"/>
        </w:rPr>
        <w:t>normalizuoja</w:t>
      </w:r>
      <w:r w:rsidRPr="006A2591">
        <w:rPr>
          <w:rFonts w:ascii="Times New Roman" w:hAnsi="Times New Roman"/>
        </w:rPr>
        <w:t xml:space="preserve"> gliukozės apykaitą.</w:t>
      </w:r>
    </w:p>
    <w:p w14:paraId="5D5C0AA4" w14:textId="77777777" w:rsidR="00601C8B" w:rsidRPr="006A2591" w:rsidRDefault="00601C8B" w:rsidP="00601C8B">
      <w:pPr>
        <w:pStyle w:val="Betarp"/>
        <w:rPr>
          <w:rFonts w:ascii="Times New Roman" w:hAnsi="Times New Roman"/>
        </w:rPr>
      </w:pPr>
    </w:p>
    <w:p w14:paraId="2F110EE5" w14:textId="77777777" w:rsidR="00601C8B" w:rsidRPr="006A2591" w:rsidRDefault="00601C8B" w:rsidP="00601C8B">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stabilizuoja arba </w:t>
      </w:r>
      <w:r>
        <w:rPr>
          <w:rFonts w:ascii="Times New Roman" w:hAnsi="Times New Roman"/>
        </w:rPr>
        <w:t>nedaug</w:t>
      </w:r>
      <w:r w:rsidRPr="006A2591">
        <w:rPr>
          <w:rFonts w:ascii="Times New Roman" w:hAnsi="Times New Roman"/>
        </w:rPr>
        <w:t xml:space="preserve"> mažina kūno svorį.</w:t>
      </w:r>
    </w:p>
    <w:p w14:paraId="3C752E73" w14:textId="77777777" w:rsidR="00601C8B" w:rsidRPr="006A2591" w:rsidRDefault="00601C8B" w:rsidP="00601C8B">
      <w:pPr>
        <w:pStyle w:val="Betarp"/>
        <w:rPr>
          <w:rFonts w:ascii="Times New Roman" w:hAnsi="Times New Roman"/>
        </w:rPr>
      </w:pPr>
    </w:p>
    <w:p w14:paraId="7683C1A6" w14:textId="77777777" w:rsidR="00601C8B" w:rsidRPr="006A2591" w:rsidRDefault="00601C8B" w:rsidP="00601C8B">
      <w:pPr>
        <w:pStyle w:val="Pagrindinistekstas"/>
        <w:spacing w:after="0"/>
        <w:rPr>
          <w:szCs w:val="22"/>
        </w:rPr>
      </w:pPr>
      <w:proofErr w:type="spellStart"/>
      <w:r>
        <w:rPr>
          <w:szCs w:val="22"/>
        </w:rPr>
        <w:t>Tivulin</w:t>
      </w:r>
      <w:proofErr w:type="spellEnd"/>
      <w:r w:rsidRPr="006A2591">
        <w:rPr>
          <w:szCs w:val="22"/>
        </w:rPr>
        <w:t xml:space="preserve"> </w:t>
      </w:r>
      <w:r>
        <w:rPr>
          <w:szCs w:val="22"/>
        </w:rPr>
        <w:t>p</w:t>
      </w:r>
      <w:r w:rsidRPr="006A2591">
        <w:rPr>
          <w:szCs w:val="22"/>
        </w:rPr>
        <w:t xml:space="preserve">ailginto atpalaidavimo tabletės yra </w:t>
      </w:r>
      <w:r>
        <w:rPr>
          <w:szCs w:val="22"/>
        </w:rPr>
        <w:t>sukurtos taip, kad J</w:t>
      </w:r>
      <w:r w:rsidRPr="006A2591">
        <w:rPr>
          <w:szCs w:val="22"/>
        </w:rPr>
        <w:t xml:space="preserve">ūsų organizme veiklioji medžiaga </w:t>
      </w:r>
      <w:r>
        <w:rPr>
          <w:szCs w:val="22"/>
        </w:rPr>
        <w:t xml:space="preserve">būtų </w:t>
      </w:r>
      <w:r w:rsidRPr="006A2591">
        <w:rPr>
          <w:szCs w:val="22"/>
        </w:rPr>
        <w:t xml:space="preserve">atpalaiduojama lėtai, tuo šios tabletės skiriasi nuo kitų </w:t>
      </w:r>
      <w:proofErr w:type="spellStart"/>
      <w:r w:rsidRPr="006A2591">
        <w:rPr>
          <w:szCs w:val="22"/>
        </w:rPr>
        <w:t>metformino</w:t>
      </w:r>
      <w:proofErr w:type="spellEnd"/>
      <w:r w:rsidRPr="006A2591">
        <w:rPr>
          <w:szCs w:val="22"/>
        </w:rPr>
        <w:t xml:space="preserve"> turinčių tablečių.</w:t>
      </w:r>
    </w:p>
    <w:p w14:paraId="37A8EF45" w14:textId="77777777" w:rsidR="00601C8B" w:rsidRPr="006A2591" w:rsidRDefault="00601C8B" w:rsidP="00601C8B">
      <w:pPr>
        <w:pStyle w:val="Pagrindinistekstas"/>
        <w:spacing w:after="0"/>
        <w:rPr>
          <w:szCs w:val="22"/>
        </w:rPr>
      </w:pPr>
    </w:p>
    <w:p w14:paraId="66F00E8B" w14:textId="77777777" w:rsidR="00601C8B" w:rsidRPr="006A2591" w:rsidRDefault="00601C8B" w:rsidP="00601C8B">
      <w:pPr>
        <w:pStyle w:val="Pagrindinistekstas"/>
        <w:spacing w:after="0"/>
        <w:rPr>
          <w:szCs w:val="22"/>
        </w:rPr>
      </w:pPr>
    </w:p>
    <w:p w14:paraId="226ADA97" w14:textId="77777777" w:rsidR="00601C8B" w:rsidRPr="006A2591" w:rsidRDefault="00601C8B" w:rsidP="00601C8B">
      <w:pPr>
        <w:pStyle w:val="PI-2EMEASMCA"/>
        <w:outlineLvl w:val="9"/>
      </w:pPr>
      <w:r w:rsidRPr="006A2591">
        <w:t>2.</w:t>
      </w:r>
      <w:r w:rsidRPr="006A2591">
        <w:tab/>
        <w:t xml:space="preserve">Kas žinotina prieš vartojant </w:t>
      </w:r>
      <w:proofErr w:type="spellStart"/>
      <w:r>
        <w:t>Tivulin</w:t>
      </w:r>
      <w:proofErr w:type="spellEnd"/>
    </w:p>
    <w:p w14:paraId="7850A280" w14:textId="77777777" w:rsidR="00601C8B" w:rsidRPr="006A2591" w:rsidRDefault="00601C8B" w:rsidP="00601C8B">
      <w:pPr>
        <w:pStyle w:val="Pagrindinistekstas"/>
        <w:spacing w:after="0"/>
        <w:rPr>
          <w:szCs w:val="22"/>
        </w:rPr>
      </w:pPr>
    </w:p>
    <w:p w14:paraId="48770BED" w14:textId="63B1DBDD" w:rsidR="00601C8B" w:rsidRPr="006A2591" w:rsidRDefault="00601C8B" w:rsidP="00601C8B">
      <w:pPr>
        <w:pStyle w:val="Betarp"/>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vartoti </w:t>
      </w:r>
      <w:r w:rsidR="00FE3681">
        <w:rPr>
          <w:rFonts w:ascii="Times New Roman" w:hAnsi="Times New Roman"/>
          <w:b/>
        </w:rPr>
        <w:t>draudžiama</w:t>
      </w:r>
      <w:r w:rsidRPr="006A2591">
        <w:rPr>
          <w:rFonts w:ascii="Times New Roman" w:hAnsi="Times New Roman"/>
          <w:b/>
        </w:rPr>
        <w:t>:</w:t>
      </w:r>
    </w:p>
    <w:p w14:paraId="1A114DA7" w14:textId="77777777" w:rsidR="00601C8B" w:rsidRPr="006A2591" w:rsidRDefault="00601C8B" w:rsidP="004D65F0">
      <w:pPr>
        <w:pStyle w:val="Betarp"/>
        <w:ind w:left="284" w:hanging="284"/>
        <w:rPr>
          <w:rFonts w:ascii="Times New Roman" w:hAnsi="Times New Roman"/>
        </w:rPr>
      </w:pPr>
      <w:r w:rsidRPr="006A2591">
        <w:rPr>
          <w:rFonts w:ascii="Times New Roman" w:hAnsi="Times New Roman"/>
        </w:rPr>
        <w:t xml:space="preserve">► jeigu </w:t>
      </w:r>
      <w:r>
        <w:rPr>
          <w:rFonts w:ascii="Times New Roman" w:hAnsi="Times New Roman"/>
        </w:rPr>
        <w:t>J</w:t>
      </w:r>
      <w:r w:rsidRPr="006A2591">
        <w:rPr>
          <w:rFonts w:ascii="Times New Roman" w:hAnsi="Times New Roman"/>
        </w:rPr>
        <w:t xml:space="preserve">ūs esate alergiškas </w:t>
      </w:r>
      <w:proofErr w:type="spellStart"/>
      <w:r w:rsidRPr="006A2591">
        <w:rPr>
          <w:rFonts w:ascii="Times New Roman" w:hAnsi="Times New Roman"/>
        </w:rPr>
        <w:t>metforminui</w:t>
      </w:r>
      <w:proofErr w:type="spellEnd"/>
      <w:r w:rsidRPr="006A2591">
        <w:rPr>
          <w:rFonts w:ascii="Times New Roman" w:hAnsi="Times New Roman"/>
        </w:rPr>
        <w:t xml:space="preserve"> arba bet kuriai pagalbinei šio vaisto medžiagai (jos išvardytos 6 skyriuje). Alerginė reakcija gali pasireikšti bėrimu, niežėjimu arba oro trūkumu;</w:t>
      </w:r>
    </w:p>
    <w:p w14:paraId="24DCCF3E" w14:textId="36119ABF" w:rsidR="00601C8B" w:rsidRPr="006A2591" w:rsidRDefault="000D26A5" w:rsidP="004D65F0">
      <w:pPr>
        <w:pStyle w:val="Betarp"/>
        <w:ind w:left="284" w:hanging="284"/>
        <w:rPr>
          <w:rFonts w:ascii="Times New Roman" w:hAnsi="Times New Roman"/>
        </w:rPr>
      </w:pPr>
      <w:r w:rsidRPr="006A2591">
        <w:rPr>
          <w:rFonts w:ascii="Times New Roman" w:hAnsi="Times New Roman"/>
        </w:rPr>
        <w:t xml:space="preserve">► </w:t>
      </w:r>
      <w:r w:rsidR="00601C8B" w:rsidRPr="006A2591">
        <w:rPr>
          <w:rFonts w:ascii="Times New Roman" w:hAnsi="Times New Roman"/>
        </w:rPr>
        <w:t>jeigu sergate kepenų ligomis;</w:t>
      </w:r>
    </w:p>
    <w:p w14:paraId="4607539E" w14:textId="15951513" w:rsidR="00601C8B" w:rsidRPr="006A2591" w:rsidRDefault="00601C8B" w:rsidP="004D65F0">
      <w:pPr>
        <w:pStyle w:val="Betarp"/>
        <w:ind w:left="284" w:hanging="284"/>
        <w:rPr>
          <w:rFonts w:ascii="Times New Roman" w:hAnsi="Times New Roman"/>
        </w:rPr>
      </w:pPr>
      <w:r w:rsidRPr="006A2591">
        <w:rPr>
          <w:rFonts w:ascii="Times New Roman" w:hAnsi="Times New Roman"/>
        </w:rPr>
        <w:t>►</w:t>
      </w:r>
      <w:r w:rsidR="000D26A5">
        <w:rPr>
          <w:rFonts w:ascii="Times New Roman" w:hAnsi="Times New Roman"/>
        </w:rPr>
        <w:t xml:space="preserve"> </w:t>
      </w:r>
      <w:r w:rsidRPr="006A2591">
        <w:rPr>
          <w:rFonts w:ascii="Times New Roman" w:hAnsi="Times New Roman"/>
        </w:rPr>
        <w:t xml:space="preserve">jeigu </w:t>
      </w:r>
      <w:r>
        <w:rPr>
          <w:rFonts w:ascii="Times New Roman" w:hAnsi="Times New Roman"/>
        </w:rPr>
        <w:t>Jūsų</w:t>
      </w:r>
      <w:r w:rsidRPr="006A2591">
        <w:rPr>
          <w:rFonts w:ascii="Times New Roman" w:hAnsi="Times New Roman"/>
        </w:rPr>
        <w:t xml:space="preserve"> inkstų funkcija</w:t>
      </w:r>
      <w:r w:rsidRPr="00BB6667">
        <w:rPr>
          <w:rFonts w:ascii="Times New Roman" w:hAnsi="Times New Roman"/>
        </w:rPr>
        <w:t xml:space="preserve"> </w:t>
      </w:r>
      <w:r w:rsidRPr="006A2591">
        <w:rPr>
          <w:rFonts w:ascii="Times New Roman" w:hAnsi="Times New Roman"/>
        </w:rPr>
        <w:t>labai susilpnėjusi;</w:t>
      </w:r>
    </w:p>
    <w:p w14:paraId="221FA2ED" w14:textId="095CD634" w:rsidR="00601C8B" w:rsidRPr="006A2591" w:rsidRDefault="00601C8B" w:rsidP="004D65F0">
      <w:pPr>
        <w:pStyle w:val="Betarp"/>
        <w:ind w:left="284" w:hanging="284"/>
        <w:rPr>
          <w:rFonts w:ascii="Times New Roman" w:hAnsi="Times New Roman"/>
        </w:rPr>
      </w:pPr>
      <w:r w:rsidRPr="006A2591">
        <w:rPr>
          <w:rFonts w:ascii="Times New Roman" w:hAnsi="Times New Roman"/>
        </w:rPr>
        <w:lastRenderedPageBreak/>
        <w:t>►</w:t>
      </w:r>
      <w:r w:rsidR="000D26A5">
        <w:rPr>
          <w:rFonts w:ascii="Times New Roman" w:hAnsi="Times New Roman"/>
        </w:rPr>
        <w:t xml:space="preserve"> </w:t>
      </w:r>
      <w:r w:rsidRPr="006A2591">
        <w:rPr>
          <w:rFonts w:ascii="Times New Roman" w:hAnsi="Times New Roman"/>
        </w:rPr>
        <w:t xml:space="preserve">jeigu sergate nekontroliuojamu diabetu ir yra, pvz., sunkia hiperglikemija (didelis gliukozės kiekis kraujyje), pasireiškia pykinimas, vėmimas, viduriavimas, greitas svorio kritimas, pieno rūgšties </w:t>
      </w:r>
      <w:proofErr w:type="spellStart"/>
      <w:r w:rsidRPr="006A2591">
        <w:rPr>
          <w:rFonts w:ascii="Times New Roman" w:hAnsi="Times New Roman"/>
        </w:rPr>
        <w:t>acidozė</w:t>
      </w:r>
      <w:proofErr w:type="spellEnd"/>
      <w:r w:rsidRPr="006A2591">
        <w:rPr>
          <w:rFonts w:ascii="Times New Roman" w:hAnsi="Times New Roman"/>
        </w:rPr>
        <w:t xml:space="preserve"> (žr. „Pieno rūgšties </w:t>
      </w:r>
      <w:proofErr w:type="spellStart"/>
      <w:r w:rsidRPr="006A2591">
        <w:rPr>
          <w:rFonts w:ascii="Times New Roman" w:hAnsi="Times New Roman"/>
        </w:rPr>
        <w:t>acidozės</w:t>
      </w:r>
      <w:proofErr w:type="spellEnd"/>
      <w:r w:rsidRPr="006A2591">
        <w:rPr>
          <w:rFonts w:ascii="Times New Roman" w:hAnsi="Times New Roman"/>
        </w:rPr>
        <w:t xml:space="preserve"> rizika“ toliau) arba </w:t>
      </w:r>
      <w:proofErr w:type="spellStart"/>
      <w:r w:rsidRPr="006A2591">
        <w:rPr>
          <w:rFonts w:ascii="Times New Roman" w:hAnsi="Times New Roman"/>
        </w:rPr>
        <w:t>ketoacidozė</w:t>
      </w:r>
      <w:proofErr w:type="spellEnd"/>
      <w:r w:rsidRPr="006A2591">
        <w:rPr>
          <w:rFonts w:ascii="Times New Roman" w:hAnsi="Times New Roman"/>
        </w:rPr>
        <w:t xml:space="preserve">. </w:t>
      </w:r>
      <w:proofErr w:type="spellStart"/>
      <w:r w:rsidRPr="006A2591">
        <w:rPr>
          <w:rFonts w:ascii="Times New Roman" w:hAnsi="Times New Roman"/>
        </w:rPr>
        <w:t>Ketoacidozė</w:t>
      </w:r>
      <w:proofErr w:type="spellEnd"/>
      <w:r w:rsidRPr="006A2591">
        <w:rPr>
          <w:rFonts w:ascii="Times New Roman" w:hAnsi="Times New Roman"/>
        </w:rPr>
        <w:t xml:space="preserve"> yra būklė, kai kraujyje kaupiasi medžiagos, vadinamos „</w:t>
      </w:r>
      <w:proofErr w:type="spellStart"/>
      <w:r w:rsidRPr="006A2591">
        <w:rPr>
          <w:rFonts w:ascii="Times New Roman" w:hAnsi="Times New Roman"/>
        </w:rPr>
        <w:t>ketoniniais</w:t>
      </w:r>
      <w:proofErr w:type="spellEnd"/>
      <w:r w:rsidRPr="006A2591">
        <w:rPr>
          <w:rFonts w:ascii="Times New Roman" w:hAnsi="Times New Roman"/>
        </w:rPr>
        <w:t xml:space="preserve"> kūnais“, kurios gali sukelti diabetinę </w:t>
      </w:r>
      <w:proofErr w:type="spellStart"/>
      <w:r w:rsidRPr="006A2591">
        <w:rPr>
          <w:rFonts w:ascii="Times New Roman" w:hAnsi="Times New Roman"/>
        </w:rPr>
        <w:t>prekomą</w:t>
      </w:r>
      <w:proofErr w:type="spellEnd"/>
      <w:r w:rsidRPr="006A2591">
        <w:rPr>
          <w:rFonts w:ascii="Times New Roman" w:hAnsi="Times New Roman"/>
        </w:rPr>
        <w:t>. Būdingi simptomai yra pilvo skausmas, greitas ir gilus kvėpavimas, mieguistumas arba neįprastas vaisių kvapas iš burnos;</w:t>
      </w:r>
    </w:p>
    <w:p w14:paraId="32BA1F5D" w14:textId="6AC9ECFB"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0D26A5">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ūs netekote pernelyg daug skysčių (</w:t>
      </w:r>
      <w:r w:rsidR="000D26A5">
        <w:rPr>
          <w:rFonts w:ascii="Times New Roman" w:hAnsi="Times New Roman"/>
        </w:rPr>
        <w:t>pasireiškė</w:t>
      </w:r>
      <w:r w:rsidRPr="006A2591">
        <w:rPr>
          <w:rFonts w:ascii="Times New Roman" w:hAnsi="Times New Roman"/>
        </w:rPr>
        <w:t xml:space="preserve"> organizmo dehidratacija). </w:t>
      </w:r>
      <w:r w:rsidR="000D26A5">
        <w:rPr>
          <w:rFonts w:ascii="Times New Roman" w:hAnsi="Times New Roman"/>
        </w:rPr>
        <w:t xml:space="preserve">Taip </w:t>
      </w:r>
      <w:r w:rsidR="000D26A5" w:rsidRPr="00D33181">
        <w:rPr>
          <w:rFonts w:ascii="Times New Roman" w:hAnsi="Times New Roman"/>
        </w:rPr>
        <w:t>gali atsitikti ilgai trunkančio ar s</w:t>
      </w:r>
      <w:r w:rsidR="004D3F5C">
        <w:rPr>
          <w:rFonts w:ascii="Times New Roman" w:hAnsi="Times New Roman"/>
        </w:rPr>
        <w:t>unk</w:t>
      </w:r>
      <w:r w:rsidR="000D26A5" w:rsidRPr="00D33181">
        <w:rPr>
          <w:rFonts w:ascii="Times New Roman" w:hAnsi="Times New Roman"/>
        </w:rPr>
        <w:t>aus viduriavimo arba pasikartojančio vėmimo atvejais</w:t>
      </w:r>
      <w:r w:rsidR="000D26A5" w:rsidRPr="006A2591">
        <w:rPr>
          <w:rFonts w:ascii="Times New Roman" w:hAnsi="Times New Roman"/>
        </w:rPr>
        <w:t>.</w:t>
      </w:r>
      <w:r w:rsidR="000D26A5">
        <w:rPr>
          <w:rFonts w:ascii="Times New Roman" w:hAnsi="Times New Roman"/>
        </w:rPr>
        <w:t xml:space="preserve"> </w:t>
      </w:r>
      <w:r w:rsidRPr="006A2591">
        <w:rPr>
          <w:rFonts w:ascii="Times New Roman" w:hAnsi="Times New Roman"/>
        </w:rPr>
        <w:t xml:space="preserve">Dėl dehidratacijos gali sutrikti inkstų veikla, </w:t>
      </w:r>
      <w:r>
        <w:rPr>
          <w:rFonts w:ascii="Times New Roman" w:hAnsi="Times New Roman"/>
        </w:rPr>
        <w:t>tai</w:t>
      </w:r>
      <w:r w:rsidRPr="006A2591">
        <w:rPr>
          <w:rFonts w:ascii="Times New Roman" w:hAnsi="Times New Roman"/>
        </w:rPr>
        <w:t xml:space="preserve"> didina </w:t>
      </w:r>
      <w:proofErr w:type="spellStart"/>
      <w:r w:rsidRPr="006A2591">
        <w:rPr>
          <w:rFonts w:ascii="Times New Roman" w:hAnsi="Times New Roman"/>
        </w:rPr>
        <w:t>laktatacidozės</w:t>
      </w:r>
      <w:proofErr w:type="spellEnd"/>
      <w:r w:rsidRPr="006A2591">
        <w:rPr>
          <w:rFonts w:ascii="Times New Roman" w:hAnsi="Times New Roman"/>
        </w:rPr>
        <w:t xml:space="preserve"> riziką (žr. „Įspėjimai ir atsargumo priemonės“</w:t>
      </w:r>
      <w:r>
        <w:rPr>
          <w:rFonts w:ascii="Times New Roman" w:hAnsi="Times New Roman"/>
        </w:rPr>
        <w:t xml:space="preserve"> toliau</w:t>
      </w:r>
      <w:r w:rsidRPr="006A2591">
        <w:rPr>
          <w:rFonts w:ascii="Times New Roman" w:hAnsi="Times New Roman"/>
        </w:rPr>
        <w:t>);</w:t>
      </w:r>
    </w:p>
    <w:p w14:paraId="2951EE48" w14:textId="15270722"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0D26A5">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 xml:space="preserve">ūs sergate sunkia infekcine liga, pvz., plaučių arba bronchų, arba inkstų. Sunkios infekcijos gali sutrikdyti inkstų veiklą, </w:t>
      </w:r>
      <w:r>
        <w:rPr>
          <w:rFonts w:ascii="Times New Roman" w:hAnsi="Times New Roman"/>
        </w:rPr>
        <w:t>tai</w:t>
      </w:r>
      <w:r w:rsidRPr="006A2591">
        <w:rPr>
          <w:rFonts w:ascii="Times New Roman" w:hAnsi="Times New Roman"/>
        </w:rPr>
        <w:t xml:space="preserve"> didina </w:t>
      </w:r>
      <w:proofErr w:type="spellStart"/>
      <w:r w:rsidRPr="006A2591">
        <w:rPr>
          <w:rFonts w:ascii="Times New Roman" w:hAnsi="Times New Roman"/>
        </w:rPr>
        <w:t>laktatacidozės</w:t>
      </w:r>
      <w:proofErr w:type="spellEnd"/>
      <w:r w:rsidRPr="006A2591">
        <w:rPr>
          <w:rFonts w:ascii="Times New Roman" w:hAnsi="Times New Roman"/>
        </w:rPr>
        <w:t xml:space="preserve"> riziką (žr. „Įspėjimai ir atsargumo priemonės“</w:t>
      </w:r>
      <w:r>
        <w:rPr>
          <w:rFonts w:ascii="Times New Roman" w:hAnsi="Times New Roman"/>
        </w:rPr>
        <w:t xml:space="preserve"> toliau</w:t>
      </w:r>
      <w:r w:rsidRPr="006A2591">
        <w:rPr>
          <w:rFonts w:ascii="Times New Roman" w:hAnsi="Times New Roman"/>
        </w:rPr>
        <w:t>);</w:t>
      </w:r>
    </w:p>
    <w:p w14:paraId="472EFC2C" w14:textId="634EF7F0"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0D26A5">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 xml:space="preserve">ūs gydotės dėl ūminės širdies ligos arba neseniai turėjote širdies priepuolį, arba sunkų kraujotakos nepakankamumą, arba kvėpavimo sutrikimų. Nepakankamas audinių aprūpinimas deguonimi </w:t>
      </w:r>
      <w:r>
        <w:rPr>
          <w:rFonts w:ascii="Times New Roman" w:hAnsi="Times New Roman"/>
        </w:rPr>
        <w:t xml:space="preserve">Jums </w:t>
      </w:r>
      <w:r w:rsidRPr="006A2591">
        <w:rPr>
          <w:rFonts w:ascii="Times New Roman" w:hAnsi="Times New Roman"/>
        </w:rPr>
        <w:t xml:space="preserve">gali sukelti pieno rūgšties </w:t>
      </w:r>
      <w:proofErr w:type="spellStart"/>
      <w:r w:rsidRPr="006A2591">
        <w:rPr>
          <w:rFonts w:ascii="Times New Roman" w:hAnsi="Times New Roman"/>
        </w:rPr>
        <w:t>acidozės</w:t>
      </w:r>
      <w:proofErr w:type="spellEnd"/>
      <w:r w:rsidRPr="006A2591">
        <w:rPr>
          <w:rFonts w:ascii="Times New Roman" w:hAnsi="Times New Roman"/>
        </w:rPr>
        <w:t xml:space="preserve"> pavojų (žr. „Įspėjimai ir atsargumo priemonės“</w:t>
      </w:r>
      <w:r>
        <w:rPr>
          <w:rFonts w:ascii="Times New Roman" w:hAnsi="Times New Roman"/>
        </w:rPr>
        <w:t xml:space="preserve"> toliau</w:t>
      </w:r>
      <w:r w:rsidRPr="006A2591">
        <w:rPr>
          <w:rFonts w:ascii="Times New Roman" w:hAnsi="Times New Roman"/>
        </w:rPr>
        <w:t>);</w:t>
      </w:r>
    </w:p>
    <w:p w14:paraId="708D10C7" w14:textId="469A7D0D"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0D26A5">
        <w:rPr>
          <w:rFonts w:ascii="Times New Roman" w:hAnsi="Times New Roman"/>
        </w:rPr>
        <w:t xml:space="preserve"> </w:t>
      </w:r>
      <w:r w:rsidRPr="006A2591">
        <w:rPr>
          <w:rFonts w:ascii="Times New Roman" w:hAnsi="Times New Roman"/>
        </w:rPr>
        <w:t>jeigu Jūs sergate lėtiniu alkoholizmu;</w:t>
      </w:r>
    </w:p>
    <w:p w14:paraId="6EC9989A" w14:textId="5F954B5F" w:rsidR="00601C8B" w:rsidRPr="004D3F5C" w:rsidRDefault="00601C8B" w:rsidP="00EE0B84">
      <w:pPr>
        <w:pStyle w:val="Betarp"/>
        <w:ind w:left="284" w:hanging="284"/>
      </w:pPr>
      <w:r w:rsidRPr="00EE0B84">
        <w:rPr>
          <w:rFonts w:ascii="Times New Roman" w:hAnsi="Times New Roman"/>
        </w:rPr>
        <w:t>►</w:t>
      </w:r>
      <w:r w:rsidR="000D26A5">
        <w:rPr>
          <w:rFonts w:ascii="Times New Roman" w:hAnsi="Times New Roman"/>
        </w:rPr>
        <w:t xml:space="preserve"> </w:t>
      </w:r>
      <w:r w:rsidRPr="00EE0B84">
        <w:rPr>
          <w:rFonts w:ascii="Times New Roman" w:hAnsi="Times New Roman"/>
        </w:rPr>
        <w:t>jeigu Jūs esate jaunesnis kaip 18</w:t>
      </w:r>
      <w:r w:rsidR="000D26A5">
        <w:rPr>
          <w:rFonts w:ascii="Times New Roman" w:hAnsi="Times New Roman"/>
        </w:rPr>
        <w:t> </w:t>
      </w:r>
      <w:r w:rsidRPr="00EE0B84">
        <w:rPr>
          <w:rFonts w:ascii="Times New Roman" w:hAnsi="Times New Roman"/>
        </w:rPr>
        <w:t xml:space="preserve">metų. </w:t>
      </w:r>
    </w:p>
    <w:p w14:paraId="46F044F4" w14:textId="77777777" w:rsidR="00601C8B" w:rsidRPr="006A2591" w:rsidRDefault="00601C8B" w:rsidP="00546178">
      <w:pPr>
        <w:pStyle w:val="PI-3EMEASMCA"/>
      </w:pPr>
    </w:p>
    <w:p w14:paraId="0A922BF8" w14:textId="77777777" w:rsidR="00601C8B" w:rsidRPr="006A2591" w:rsidRDefault="00601C8B" w:rsidP="00546178">
      <w:pPr>
        <w:pStyle w:val="PI-3EMEASMCA"/>
      </w:pPr>
      <w:r w:rsidRPr="006A2591">
        <w:t>Įspėjimai ir atsargumo priemonės</w:t>
      </w:r>
    </w:p>
    <w:p w14:paraId="24AD8F14" w14:textId="77777777" w:rsidR="00601C8B" w:rsidRPr="006A2591" w:rsidRDefault="00601C8B" w:rsidP="00546178">
      <w:pPr>
        <w:pStyle w:val="PI-3EMEASMCA"/>
      </w:pPr>
    </w:p>
    <w:p w14:paraId="3156BEC5" w14:textId="6AFC508E" w:rsidR="00601C8B" w:rsidRPr="006A2591" w:rsidRDefault="00601C8B" w:rsidP="00E85904">
      <w:pPr>
        <w:pStyle w:val="BTEMEASMCA"/>
      </w:pPr>
      <w:r w:rsidRPr="006A2591">
        <w:t>Pasitarkite su gydytoju</w:t>
      </w:r>
      <w:r w:rsidR="00461CE0" w:rsidRPr="00461CE0">
        <w:t xml:space="preserve"> </w:t>
      </w:r>
      <w:r w:rsidR="00461CE0">
        <w:t>arba vaistininku</w:t>
      </w:r>
      <w:r w:rsidRPr="006A2591">
        <w:t xml:space="preserve">, prieš pradėdami vartoti pailginto atpalaidavimo </w:t>
      </w:r>
      <w:proofErr w:type="spellStart"/>
      <w:r>
        <w:t>Tivulin</w:t>
      </w:r>
      <w:proofErr w:type="spellEnd"/>
      <w:r w:rsidRPr="006A2591">
        <w:t>.</w:t>
      </w:r>
    </w:p>
    <w:p w14:paraId="67E15080" w14:textId="77777777" w:rsidR="00601C8B" w:rsidRPr="006A2591" w:rsidRDefault="00601C8B" w:rsidP="00E85904">
      <w:pPr>
        <w:pStyle w:val="BTEMEASMCA"/>
      </w:pPr>
    </w:p>
    <w:p w14:paraId="49DA1C89" w14:textId="77777777" w:rsidR="00601C8B" w:rsidRPr="006A2591" w:rsidRDefault="00601C8B" w:rsidP="00601C8B">
      <w:pPr>
        <w:pStyle w:val="Betarp"/>
        <w:rPr>
          <w:rFonts w:ascii="Times New Roman" w:hAnsi="Times New Roman"/>
          <w:b/>
        </w:rPr>
      </w:pPr>
      <w:r w:rsidRPr="006A2591">
        <w:rPr>
          <w:rFonts w:ascii="Times New Roman" w:hAnsi="Times New Roman"/>
          <w:b/>
        </w:rPr>
        <w:t xml:space="preserve">Pieno rūgšties </w:t>
      </w:r>
      <w:proofErr w:type="spellStart"/>
      <w:r>
        <w:rPr>
          <w:rFonts w:ascii="Times New Roman" w:hAnsi="Times New Roman"/>
          <w:b/>
        </w:rPr>
        <w:t>acidozės</w:t>
      </w:r>
      <w:proofErr w:type="spellEnd"/>
      <w:r>
        <w:rPr>
          <w:rFonts w:ascii="Times New Roman" w:hAnsi="Times New Roman"/>
          <w:b/>
        </w:rPr>
        <w:t xml:space="preserve"> </w:t>
      </w:r>
      <w:r w:rsidRPr="006A2591">
        <w:rPr>
          <w:rFonts w:ascii="Times New Roman" w:hAnsi="Times New Roman"/>
          <w:b/>
        </w:rPr>
        <w:t>(</w:t>
      </w:r>
      <w:proofErr w:type="spellStart"/>
      <w:r w:rsidRPr="006A2591">
        <w:rPr>
          <w:rFonts w:ascii="Times New Roman" w:hAnsi="Times New Roman"/>
          <w:b/>
        </w:rPr>
        <w:t>laktatacidozės</w:t>
      </w:r>
      <w:proofErr w:type="spellEnd"/>
      <w:r w:rsidRPr="006A2591">
        <w:rPr>
          <w:rFonts w:ascii="Times New Roman" w:hAnsi="Times New Roman"/>
          <w:b/>
        </w:rPr>
        <w:t>) rizika</w:t>
      </w:r>
    </w:p>
    <w:p w14:paraId="4F858C09" w14:textId="7D7974D1" w:rsidR="00601C8B" w:rsidRPr="006A2591" w:rsidRDefault="00601C8B" w:rsidP="00601C8B">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sukelti labai retą, bet labai sunkią šalutinę reakciją, vadinamą </w:t>
      </w:r>
      <w:proofErr w:type="spellStart"/>
      <w:r w:rsidRPr="006A2591">
        <w:rPr>
          <w:rFonts w:ascii="Times New Roman" w:hAnsi="Times New Roman"/>
        </w:rPr>
        <w:t>laktatacidoze</w:t>
      </w:r>
      <w:proofErr w:type="spellEnd"/>
      <w:r w:rsidRPr="006A2591">
        <w:rPr>
          <w:rFonts w:ascii="Times New Roman" w:hAnsi="Times New Roman"/>
        </w:rPr>
        <w:t xml:space="preserve">, ypač jeigu </w:t>
      </w:r>
      <w:r w:rsidR="00461CE0">
        <w:rPr>
          <w:rFonts w:ascii="Times New Roman" w:hAnsi="Times New Roman"/>
        </w:rPr>
        <w:t>J</w:t>
      </w:r>
      <w:r w:rsidRPr="006A2591">
        <w:rPr>
          <w:rFonts w:ascii="Times New Roman" w:hAnsi="Times New Roman"/>
        </w:rPr>
        <w:t xml:space="preserve">ūsų inkstai blogai funkcionuoja. </w:t>
      </w:r>
      <w:proofErr w:type="spellStart"/>
      <w:r w:rsidRPr="006A2591">
        <w:rPr>
          <w:rFonts w:ascii="Times New Roman" w:hAnsi="Times New Roman"/>
        </w:rPr>
        <w:t>Laktatacidozės</w:t>
      </w:r>
      <w:proofErr w:type="spellEnd"/>
      <w:r w:rsidRPr="006A2591">
        <w:rPr>
          <w:rFonts w:ascii="Times New Roman" w:hAnsi="Times New Roman"/>
        </w:rPr>
        <w:t xml:space="preserve"> riziką didina nekontroliuojamas (blogai gydomas) diabetas, sunkios infekcijos, ilgas badavimas, piktnaudžiavimas alkoholiu, dehidratacija (žr</w:t>
      </w:r>
      <w:r w:rsidR="00461CE0">
        <w:rPr>
          <w:rFonts w:ascii="Times New Roman" w:hAnsi="Times New Roman"/>
        </w:rPr>
        <w:t>.</w:t>
      </w:r>
      <w:r w:rsidRPr="006A2591">
        <w:rPr>
          <w:rFonts w:ascii="Times New Roman" w:hAnsi="Times New Roman"/>
        </w:rPr>
        <w:t xml:space="preserve"> informaciją žemiau), kepenų ligos ir bet kokia medicininė būklė, kai sutrinka kokio nors organo aprūpinimas krauju (pvz., ūminė širdies liga).</w:t>
      </w:r>
    </w:p>
    <w:p w14:paraId="515A0E0F" w14:textId="77777777" w:rsidR="00601C8B" w:rsidRPr="006A2591" w:rsidRDefault="00601C8B" w:rsidP="00601C8B">
      <w:pPr>
        <w:pStyle w:val="Betarp"/>
        <w:rPr>
          <w:rFonts w:ascii="Times New Roman" w:hAnsi="Times New Roman"/>
        </w:rPr>
      </w:pPr>
    </w:p>
    <w:p w14:paraId="06DA38A8"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Jeigu kas nors iš išvardintų </w:t>
      </w:r>
      <w:r>
        <w:rPr>
          <w:rFonts w:ascii="Times New Roman" w:hAnsi="Times New Roman"/>
        </w:rPr>
        <w:t>požymių</w:t>
      </w:r>
      <w:r w:rsidRPr="006A2591">
        <w:rPr>
          <w:rFonts w:ascii="Times New Roman" w:hAnsi="Times New Roman"/>
        </w:rPr>
        <w:t xml:space="preserve"> </w:t>
      </w:r>
      <w:r>
        <w:rPr>
          <w:rFonts w:ascii="Times New Roman" w:hAnsi="Times New Roman"/>
        </w:rPr>
        <w:t>J</w:t>
      </w:r>
      <w:r w:rsidRPr="006A2591">
        <w:rPr>
          <w:rFonts w:ascii="Times New Roman" w:hAnsi="Times New Roman"/>
        </w:rPr>
        <w:t>ums tinka, pasitarkite su savo gydytoju dėl tolesnių veiksmų.</w:t>
      </w:r>
    </w:p>
    <w:p w14:paraId="7CBC4B63" w14:textId="77777777" w:rsidR="00601C8B" w:rsidRPr="006A2591" w:rsidRDefault="00601C8B" w:rsidP="00601C8B">
      <w:pPr>
        <w:pStyle w:val="Betarp"/>
        <w:rPr>
          <w:rFonts w:ascii="Times New Roman" w:hAnsi="Times New Roman"/>
        </w:rPr>
      </w:pPr>
    </w:p>
    <w:p w14:paraId="5EA5044F" w14:textId="77777777" w:rsidR="00601C8B" w:rsidRPr="006A2591" w:rsidRDefault="00601C8B" w:rsidP="00601C8B">
      <w:pPr>
        <w:pStyle w:val="Betarp"/>
        <w:rPr>
          <w:rFonts w:ascii="Times New Roman" w:hAnsi="Times New Roman"/>
        </w:rPr>
      </w:pPr>
      <w:r w:rsidRPr="006A2591">
        <w:rPr>
          <w:rFonts w:ascii="Times New Roman" w:hAnsi="Times New Roman"/>
          <w:b/>
        </w:rPr>
        <w:t xml:space="preserve">Trumpam nustokite vartoti pailginto atpalaidavimo </w:t>
      </w:r>
      <w:proofErr w:type="spellStart"/>
      <w:r>
        <w:rPr>
          <w:rFonts w:ascii="Times New Roman" w:hAnsi="Times New Roman"/>
          <w:b/>
        </w:rPr>
        <w:t>Tivulin</w:t>
      </w:r>
      <w:proofErr w:type="spellEnd"/>
      <w:r w:rsidRPr="006A2591">
        <w:rPr>
          <w:rFonts w:ascii="Times New Roman" w:hAnsi="Times New Roman"/>
          <w:b/>
        </w:rPr>
        <w:t>, jeigu Jums yra būklė, kuri gali būti susijusi su dehidratacija</w:t>
      </w:r>
      <w:r w:rsidRPr="006A2591">
        <w:rPr>
          <w:rFonts w:ascii="Times New Roman" w:hAnsi="Times New Roman"/>
        </w:rPr>
        <w:t xml:space="preserve"> (reikšmingu organizmo skysčių netekimu), pvz., sunkus vėmimas, viduriavimas, karščiavimas, karšči</w:t>
      </w:r>
      <w:r>
        <w:rPr>
          <w:rFonts w:ascii="Times New Roman" w:hAnsi="Times New Roman"/>
        </w:rPr>
        <w:t>o poveikis</w:t>
      </w:r>
      <w:r w:rsidRPr="006A2591">
        <w:rPr>
          <w:rFonts w:ascii="Times New Roman" w:hAnsi="Times New Roman"/>
        </w:rPr>
        <w:t xml:space="preserve"> arba mažesnis nei įprastai skysčių suvartojimas. Kreipkitės į gydytoją dėl tolesnių nurodymų.</w:t>
      </w:r>
    </w:p>
    <w:p w14:paraId="7BA3218A" w14:textId="77777777" w:rsidR="00601C8B" w:rsidRPr="006A2591" w:rsidRDefault="00601C8B" w:rsidP="00601C8B">
      <w:pPr>
        <w:pStyle w:val="Betarp"/>
        <w:rPr>
          <w:rFonts w:ascii="Times New Roman" w:hAnsi="Times New Roman"/>
        </w:rPr>
      </w:pPr>
    </w:p>
    <w:p w14:paraId="3C4A98FA" w14:textId="77777777" w:rsidR="00601C8B" w:rsidRPr="006A2591" w:rsidRDefault="00601C8B" w:rsidP="00601C8B">
      <w:pPr>
        <w:pStyle w:val="Betarp"/>
        <w:rPr>
          <w:rFonts w:ascii="Times New Roman" w:hAnsi="Times New Roman"/>
        </w:rPr>
      </w:pPr>
      <w:r>
        <w:rPr>
          <w:rFonts w:ascii="Times New Roman" w:hAnsi="Times New Roman"/>
          <w:b/>
        </w:rPr>
        <w:t xml:space="preserve">Nustokite vartoti </w:t>
      </w:r>
      <w:proofErr w:type="spellStart"/>
      <w:r>
        <w:rPr>
          <w:rFonts w:ascii="Times New Roman" w:hAnsi="Times New Roman"/>
          <w:b/>
        </w:rPr>
        <w:t>Tivulin</w:t>
      </w:r>
      <w:proofErr w:type="spellEnd"/>
      <w:r w:rsidRPr="006A2591">
        <w:rPr>
          <w:rFonts w:ascii="Times New Roman" w:hAnsi="Times New Roman"/>
          <w:b/>
        </w:rPr>
        <w:t xml:space="preserve"> ir nedelsdami kreipkitės į gydytoją arba artimiausią ligoninę, jeigu Jums pasireiškė pieno rūgšties </w:t>
      </w:r>
      <w:proofErr w:type="spellStart"/>
      <w:r w:rsidRPr="006A2591">
        <w:rPr>
          <w:rFonts w:ascii="Times New Roman" w:hAnsi="Times New Roman"/>
          <w:b/>
        </w:rPr>
        <w:t>acidozės</w:t>
      </w:r>
      <w:proofErr w:type="spellEnd"/>
      <w:r w:rsidRPr="006A2591">
        <w:rPr>
          <w:rFonts w:ascii="Times New Roman" w:hAnsi="Times New Roman"/>
          <w:b/>
        </w:rPr>
        <w:t xml:space="preserve"> simptomų,</w:t>
      </w:r>
      <w:r w:rsidRPr="006A2591">
        <w:rPr>
          <w:rFonts w:ascii="Times New Roman" w:hAnsi="Times New Roman"/>
        </w:rPr>
        <w:t xml:space="preserve"> nes ši būklė gali sukelti komą.</w:t>
      </w:r>
    </w:p>
    <w:p w14:paraId="14DB93C0" w14:textId="77777777" w:rsidR="00601C8B" w:rsidRPr="006A2591" w:rsidRDefault="00601C8B" w:rsidP="00601C8B">
      <w:pPr>
        <w:pStyle w:val="Betarp"/>
        <w:rPr>
          <w:rFonts w:ascii="Times New Roman" w:hAnsi="Times New Roman"/>
        </w:rPr>
      </w:pPr>
    </w:p>
    <w:p w14:paraId="46BFF9ED"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Pieno rūgšties </w:t>
      </w:r>
      <w:proofErr w:type="spellStart"/>
      <w:r w:rsidRPr="006A2591">
        <w:rPr>
          <w:rFonts w:ascii="Times New Roman" w:hAnsi="Times New Roman"/>
        </w:rPr>
        <w:t>acidozės</w:t>
      </w:r>
      <w:proofErr w:type="spellEnd"/>
      <w:r w:rsidRPr="006A2591">
        <w:rPr>
          <w:rFonts w:ascii="Times New Roman" w:hAnsi="Times New Roman"/>
        </w:rPr>
        <w:t xml:space="preserve"> simptomai gali būti tokie:</w:t>
      </w:r>
    </w:p>
    <w:p w14:paraId="4DE3D662" w14:textId="7CD399F1" w:rsidR="00601C8B" w:rsidRPr="006A2591" w:rsidRDefault="00601C8B" w:rsidP="00601C8B">
      <w:pPr>
        <w:pStyle w:val="Betarp"/>
        <w:rPr>
          <w:rFonts w:ascii="Times New Roman" w:hAnsi="Times New Roman"/>
        </w:rPr>
      </w:pPr>
      <w:r w:rsidRPr="006A2591">
        <w:rPr>
          <w:rFonts w:ascii="Times New Roman" w:hAnsi="Times New Roman"/>
        </w:rPr>
        <w:t>►</w:t>
      </w:r>
      <w:r w:rsidR="00461CE0">
        <w:rPr>
          <w:rFonts w:ascii="Times New Roman" w:hAnsi="Times New Roman"/>
        </w:rPr>
        <w:t xml:space="preserve"> </w:t>
      </w:r>
      <w:r w:rsidRPr="006A2591">
        <w:rPr>
          <w:rFonts w:ascii="Times New Roman" w:hAnsi="Times New Roman"/>
        </w:rPr>
        <w:t>vėmimas;</w:t>
      </w:r>
    </w:p>
    <w:p w14:paraId="38A44CE9" w14:textId="2FAB611E" w:rsidR="00601C8B" w:rsidRPr="006A2591" w:rsidRDefault="00601C8B" w:rsidP="00601C8B">
      <w:pPr>
        <w:pStyle w:val="Betarp"/>
        <w:rPr>
          <w:rFonts w:ascii="Times New Roman" w:hAnsi="Times New Roman"/>
        </w:rPr>
      </w:pPr>
      <w:r w:rsidRPr="006A2591">
        <w:rPr>
          <w:rFonts w:ascii="Times New Roman" w:hAnsi="Times New Roman"/>
        </w:rPr>
        <w:t>►</w:t>
      </w:r>
      <w:r w:rsidR="00461CE0">
        <w:rPr>
          <w:rFonts w:ascii="Times New Roman" w:hAnsi="Times New Roman"/>
        </w:rPr>
        <w:t xml:space="preserve"> </w:t>
      </w:r>
      <w:r w:rsidRPr="006A2591">
        <w:rPr>
          <w:rFonts w:ascii="Times New Roman" w:hAnsi="Times New Roman"/>
        </w:rPr>
        <w:t>pilvo skausmas;</w:t>
      </w:r>
    </w:p>
    <w:p w14:paraId="12276249" w14:textId="0F0A7787" w:rsidR="00601C8B" w:rsidRPr="006A2591" w:rsidRDefault="00601C8B" w:rsidP="00601C8B">
      <w:pPr>
        <w:pStyle w:val="Betarp"/>
        <w:rPr>
          <w:rFonts w:ascii="Times New Roman" w:hAnsi="Times New Roman"/>
        </w:rPr>
      </w:pPr>
      <w:r w:rsidRPr="006A2591">
        <w:rPr>
          <w:rFonts w:ascii="Times New Roman" w:hAnsi="Times New Roman"/>
        </w:rPr>
        <w:t>►</w:t>
      </w:r>
      <w:r w:rsidR="00461CE0">
        <w:rPr>
          <w:rFonts w:ascii="Times New Roman" w:hAnsi="Times New Roman"/>
        </w:rPr>
        <w:t xml:space="preserve"> </w:t>
      </w:r>
      <w:r w:rsidRPr="006A2591">
        <w:rPr>
          <w:rFonts w:ascii="Times New Roman" w:hAnsi="Times New Roman"/>
        </w:rPr>
        <w:t>raumenų mėšlungis;</w:t>
      </w:r>
    </w:p>
    <w:p w14:paraId="0BF2439E" w14:textId="4AEF99D9" w:rsidR="00601C8B" w:rsidRPr="006A2591" w:rsidRDefault="00601C8B" w:rsidP="00601C8B">
      <w:pPr>
        <w:pStyle w:val="Betarp"/>
        <w:rPr>
          <w:rFonts w:ascii="Times New Roman" w:hAnsi="Times New Roman"/>
        </w:rPr>
      </w:pPr>
      <w:r w:rsidRPr="006A2591">
        <w:rPr>
          <w:rFonts w:ascii="Times New Roman" w:hAnsi="Times New Roman"/>
        </w:rPr>
        <w:t>►</w:t>
      </w:r>
      <w:r w:rsidR="00461CE0">
        <w:rPr>
          <w:rFonts w:ascii="Times New Roman" w:hAnsi="Times New Roman"/>
        </w:rPr>
        <w:t xml:space="preserve"> </w:t>
      </w:r>
      <w:r w:rsidRPr="006A2591">
        <w:rPr>
          <w:rFonts w:ascii="Times New Roman" w:hAnsi="Times New Roman"/>
        </w:rPr>
        <w:t>bendras blogos savijautos pojūtis su dideliu nuovargiu;</w:t>
      </w:r>
    </w:p>
    <w:p w14:paraId="6818C79B" w14:textId="67679ED6" w:rsidR="00601C8B" w:rsidRPr="006A2591" w:rsidRDefault="00601C8B" w:rsidP="00601C8B">
      <w:pPr>
        <w:pStyle w:val="Betarp"/>
        <w:rPr>
          <w:rFonts w:ascii="Times New Roman" w:hAnsi="Times New Roman"/>
        </w:rPr>
      </w:pPr>
      <w:r w:rsidRPr="006A2591">
        <w:rPr>
          <w:rFonts w:ascii="Times New Roman" w:hAnsi="Times New Roman"/>
        </w:rPr>
        <w:t>►</w:t>
      </w:r>
      <w:r w:rsidR="00461CE0">
        <w:rPr>
          <w:rFonts w:ascii="Times New Roman" w:hAnsi="Times New Roman"/>
        </w:rPr>
        <w:t xml:space="preserve"> </w:t>
      </w:r>
      <w:r w:rsidRPr="006A2591">
        <w:rPr>
          <w:rFonts w:ascii="Times New Roman" w:hAnsi="Times New Roman"/>
        </w:rPr>
        <w:t>pasunkėjęs kvėpavimas;</w:t>
      </w:r>
    </w:p>
    <w:p w14:paraId="19AE82E4" w14:textId="33B8D767" w:rsidR="00601C8B" w:rsidRPr="006A2591" w:rsidRDefault="00601C8B" w:rsidP="00601C8B">
      <w:pPr>
        <w:pStyle w:val="Betarp"/>
        <w:rPr>
          <w:rFonts w:ascii="Times New Roman" w:hAnsi="Times New Roman"/>
        </w:rPr>
      </w:pPr>
      <w:r w:rsidRPr="006A2591">
        <w:rPr>
          <w:rFonts w:ascii="Times New Roman" w:hAnsi="Times New Roman"/>
        </w:rPr>
        <w:t>►</w:t>
      </w:r>
      <w:r w:rsidR="00461CE0">
        <w:rPr>
          <w:rFonts w:ascii="Times New Roman" w:hAnsi="Times New Roman"/>
        </w:rPr>
        <w:t xml:space="preserve"> </w:t>
      </w:r>
      <w:r w:rsidRPr="006A2591">
        <w:rPr>
          <w:rFonts w:ascii="Times New Roman" w:hAnsi="Times New Roman"/>
        </w:rPr>
        <w:t>sumažėjusi kūno temperatūra ir retas širdies plakimas.</w:t>
      </w:r>
    </w:p>
    <w:p w14:paraId="56E028C9"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 </w:t>
      </w:r>
    </w:p>
    <w:p w14:paraId="70899D8E" w14:textId="009878A3" w:rsidR="00601C8B" w:rsidRDefault="00601C8B" w:rsidP="00601C8B">
      <w:pPr>
        <w:pStyle w:val="Betarp"/>
        <w:rPr>
          <w:rFonts w:ascii="Times New Roman" w:hAnsi="Times New Roman"/>
        </w:rPr>
      </w:pPr>
      <w:r w:rsidRPr="006A2591">
        <w:rPr>
          <w:rFonts w:ascii="Times New Roman" w:hAnsi="Times New Roman"/>
        </w:rPr>
        <w:t xml:space="preserve">Pieno rūgšties </w:t>
      </w:r>
      <w:proofErr w:type="spellStart"/>
      <w:r w:rsidRPr="006A2591">
        <w:rPr>
          <w:rFonts w:ascii="Times New Roman" w:hAnsi="Times New Roman"/>
        </w:rPr>
        <w:t>acidozė</w:t>
      </w:r>
      <w:proofErr w:type="spellEnd"/>
      <w:r w:rsidRPr="006A2591">
        <w:rPr>
          <w:rFonts w:ascii="Times New Roman" w:hAnsi="Times New Roman"/>
        </w:rPr>
        <w:t xml:space="preserve"> yra sunki būklė, kuri turi būti gydoma ligoninėje.</w:t>
      </w:r>
    </w:p>
    <w:p w14:paraId="7458AD99" w14:textId="0908C31E" w:rsidR="00F34231" w:rsidRDefault="00F34231" w:rsidP="00601C8B">
      <w:pPr>
        <w:pStyle w:val="Betarp"/>
        <w:rPr>
          <w:rFonts w:ascii="Times New Roman" w:hAnsi="Times New Roman"/>
        </w:rPr>
      </w:pPr>
    </w:p>
    <w:p w14:paraId="59A9328A" w14:textId="77777777" w:rsidR="006C3617" w:rsidRPr="006C3617" w:rsidRDefault="006C3617" w:rsidP="006C3617">
      <w:pPr>
        <w:autoSpaceDE w:val="0"/>
        <w:autoSpaceDN w:val="0"/>
        <w:adjustRightInd w:val="0"/>
        <w:rPr>
          <w:rFonts w:eastAsiaTheme="minorHAnsi"/>
          <w:b/>
          <w:bCs/>
          <w:iCs/>
          <w:color w:val="000000"/>
          <w:szCs w:val="22"/>
          <w:lang w:eastAsia="en-US"/>
        </w:rPr>
      </w:pPr>
      <w:r w:rsidRPr="006C3617">
        <w:rPr>
          <w:rFonts w:eastAsiaTheme="minorHAnsi"/>
          <w:b/>
          <w:bCs/>
          <w:iCs/>
          <w:color w:val="000000"/>
          <w:szCs w:val="22"/>
          <w:lang w:eastAsia="en-US"/>
        </w:rPr>
        <w:t xml:space="preserve">Nedelsdami kreipkitės į gydytoją dėl tolesnių nurodymų, jeigu: </w:t>
      </w:r>
    </w:p>
    <w:p w14:paraId="4B04C694" w14:textId="77777777" w:rsidR="006C3617" w:rsidRPr="006C3617" w:rsidRDefault="006C3617" w:rsidP="006C3617">
      <w:pPr>
        <w:autoSpaceDE w:val="0"/>
        <w:autoSpaceDN w:val="0"/>
        <w:adjustRightInd w:val="0"/>
        <w:rPr>
          <w:rFonts w:eastAsiaTheme="minorHAnsi"/>
          <w:color w:val="000000"/>
          <w:szCs w:val="22"/>
          <w:lang w:eastAsia="en-US"/>
        </w:rPr>
      </w:pPr>
    </w:p>
    <w:p w14:paraId="1142EB91" w14:textId="7CAA407E" w:rsidR="006C3617" w:rsidRPr="006C3617" w:rsidRDefault="006C3617" w:rsidP="006C3617">
      <w:pPr>
        <w:autoSpaceDE w:val="0"/>
        <w:autoSpaceDN w:val="0"/>
        <w:adjustRightInd w:val="0"/>
        <w:rPr>
          <w:rFonts w:eastAsiaTheme="minorHAnsi"/>
          <w:color w:val="000000"/>
          <w:szCs w:val="22"/>
          <w:lang w:eastAsia="en-US"/>
        </w:rPr>
      </w:pPr>
      <w:r w:rsidRPr="006C3617">
        <w:rPr>
          <w:rFonts w:eastAsiaTheme="minorHAnsi"/>
          <w:color w:val="000000"/>
          <w:szCs w:val="22"/>
          <w:lang w:eastAsia="en-US"/>
        </w:rPr>
        <w:t xml:space="preserve">• </w:t>
      </w:r>
      <w:r w:rsidRPr="006C3617">
        <w:rPr>
          <w:rFonts w:eastAsiaTheme="minorHAnsi"/>
          <w:bCs/>
          <w:color w:val="000000"/>
          <w:szCs w:val="22"/>
          <w:lang w:eastAsia="en-US"/>
        </w:rPr>
        <w:t xml:space="preserve">Jums diagnozuota genetiškai paveldima liga, pažeidžianti </w:t>
      </w:r>
      <w:proofErr w:type="spellStart"/>
      <w:r w:rsidRPr="006C3617">
        <w:rPr>
          <w:rFonts w:eastAsiaTheme="minorHAnsi"/>
          <w:bCs/>
          <w:color w:val="000000"/>
          <w:szCs w:val="22"/>
          <w:lang w:eastAsia="en-US"/>
        </w:rPr>
        <w:t>mitochondrijas</w:t>
      </w:r>
      <w:proofErr w:type="spellEnd"/>
      <w:r w:rsidRPr="006C3617">
        <w:rPr>
          <w:rFonts w:eastAsiaTheme="minorHAnsi"/>
          <w:bCs/>
          <w:color w:val="000000"/>
          <w:szCs w:val="22"/>
          <w:lang w:eastAsia="en-US"/>
        </w:rPr>
        <w:t xml:space="preserve"> (energiją gaminančius ląstelių komponentus), pvz., MELAS sindromas (</w:t>
      </w:r>
      <w:proofErr w:type="spellStart"/>
      <w:r w:rsidRPr="006C3617">
        <w:rPr>
          <w:rFonts w:eastAsiaTheme="minorHAnsi"/>
          <w:bCs/>
          <w:color w:val="000000"/>
          <w:szCs w:val="22"/>
          <w:lang w:eastAsia="en-US"/>
        </w:rPr>
        <w:t>mitochondrinė</w:t>
      </w:r>
      <w:proofErr w:type="spellEnd"/>
      <w:r w:rsidRPr="006C3617">
        <w:rPr>
          <w:rFonts w:eastAsiaTheme="minorHAnsi"/>
          <w:bCs/>
          <w:color w:val="000000"/>
          <w:szCs w:val="22"/>
          <w:lang w:eastAsia="en-US"/>
        </w:rPr>
        <w:t xml:space="preserve"> </w:t>
      </w:r>
      <w:proofErr w:type="spellStart"/>
      <w:r w:rsidRPr="006C3617">
        <w:rPr>
          <w:rFonts w:eastAsiaTheme="minorHAnsi"/>
          <w:bCs/>
          <w:color w:val="000000"/>
          <w:szCs w:val="22"/>
          <w:lang w:eastAsia="en-US"/>
        </w:rPr>
        <w:t>encefalopatija</w:t>
      </w:r>
      <w:proofErr w:type="spellEnd"/>
      <w:r w:rsidRPr="006C3617">
        <w:rPr>
          <w:rFonts w:eastAsiaTheme="minorHAnsi"/>
          <w:bCs/>
          <w:color w:val="000000"/>
          <w:szCs w:val="22"/>
          <w:lang w:eastAsia="en-US"/>
        </w:rPr>
        <w:t xml:space="preserve">, </w:t>
      </w:r>
      <w:proofErr w:type="spellStart"/>
      <w:r w:rsidRPr="006C3617">
        <w:rPr>
          <w:rFonts w:eastAsiaTheme="minorHAnsi"/>
          <w:bCs/>
          <w:color w:val="000000"/>
          <w:szCs w:val="22"/>
          <w:lang w:eastAsia="en-US"/>
        </w:rPr>
        <w:t>miopatija</w:t>
      </w:r>
      <w:proofErr w:type="spellEnd"/>
      <w:r w:rsidRPr="006C3617">
        <w:rPr>
          <w:rFonts w:eastAsiaTheme="minorHAnsi"/>
          <w:bCs/>
          <w:color w:val="000000"/>
          <w:szCs w:val="22"/>
          <w:lang w:eastAsia="en-US"/>
        </w:rPr>
        <w:t xml:space="preserve">, pieno rūgšties </w:t>
      </w:r>
      <w:proofErr w:type="spellStart"/>
      <w:r w:rsidRPr="006C3617">
        <w:rPr>
          <w:rFonts w:eastAsiaTheme="minorHAnsi"/>
          <w:bCs/>
          <w:color w:val="000000"/>
          <w:szCs w:val="22"/>
          <w:lang w:eastAsia="en-US"/>
        </w:rPr>
        <w:t>acidozė</w:t>
      </w:r>
      <w:proofErr w:type="spellEnd"/>
      <w:r w:rsidRPr="006C3617">
        <w:rPr>
          <w:rFonts w:eastAsiaTheme="minorHAnsi"/>
          <w:bCs/>
          <w:color w:val="000000"/>
          <w:szCs w:val="22"/>
          <w:lang w:eastAsia="en-US"/>
        </w:rPr>
        <w:t xml:space="preserve"> ir į insultą panašūs epizodai) arba iš motinos paveldimas diabetas ir kurtumas (MIDD)</w:t>
      </w:r>
      <w:r w:rsidR="00E2270C">
        <w:rPr>
          <w:rFonts w:eastAsiaTheme="minorHAnsi"/>
          <w:bCs/>
          <w:color w:val="000000"/>
          <w:szCs w:val="22"/>
          <w:lang w:eastAsia="en-US"/>
        </w:rPr>
        <w:t>;</w:t>
      </w:r>
      <w:r w:rsidRPr="006C3617">
        <w:rPr>
          <w:rFonts w:eastAsiaTheme="minorHAnsi"/>
          <w:b/>
          <w:bCs/>
          <w:color w:val="000000"/>
          <w:szCs w:val="22"/>
          <w:lang w:eastAsia="en-US"/>
        </w:rPr>
        <w:t xml:space="preserve"> </w:t>
      </w:r>
    </w:p>
    <w:p w14:paraId="30321092" w14:textId="4CAA0C0E" w:rsidR="00F34231" w:rsidRPr="006C3617" w:rsidRDefault="006C3617" w:rsidP="006C3617">
      <w:pPr>
        <w:pStyle w:val="Betarp"/>
        <w:rPr>
          <w:rFonts w:ascii="Times New Roman" w:hAnsi="Times New Roman"/>
        </w:rPr>
      </w:pPr>
      <w:r w:rsidRPr="006C3617">
        <w:rPr>
          <w:rFonts w:ascii="Times New Roman" w:eastAsiaTheme="minorHAnsi" w:hAnsi="Times New Roman"/>
          <w:color w:val="000000"/>
        </w:rPr>
        <w:lastRenderedPageBreak/>
        <w:t xml:space="preserve">• </w:t>
      </w:r>
      <w:r w:rsidR="00E2270C">
        <w:rPr>
          <w:rFonts w:ascii="Times New Roman" w:eastAsiaTheme="minorHAnsi" w:hAnsi="Times New Roman"/>
          <w:color w:val="000000"/>
        </w:rPr>
        <w:t>p</w:t>
      </w:r>
      <w:r w:rsidRPr="006C3617">
        <w:rPr>
          <w:rFonts w:ascii="Times New Roman" w:eastAsiaTheme="minorHAnsi" w:hAnsi="Times New Roman"/>
          <w:bCs/>
          <w:color w:val="000000"/>
        </w:rPr>
        <w:t xml:space="preserve">radėjus vartoti </w:t>
      </w:r>
      <w:proofErr w:type="spellStart"/>
      <w:r w:rsidRPr="006C3617">
        <w:rPr>
          <w:rFonts w:ascii="Times New Roman" w:eastAsiaTheme="minorHAnsi" w:hAnsi="Times New Roman"/>
          <w:bCs/>
          <w:color w:val="000000"/>
        </w:rPr>
        <w:t>metformin</w:t>
      </w:r>
      <w:r w:rsidR="00E2270C">
        <w:rPr>
          <w:rFonts w:ascii="Times New Roman" w:eastAsiaTheme="minorHAnsi" w:hAnsi="Times New Roman"/>
          <w:bCs/>
          <w:color w:val="000000"/>
        </w:rPr>
        <w:t>o</w:t>
      </w:r>
      <w:proofErr w:type="spellEnd"/>
      <w:r w:rsidRPr="006C3617">
        <w:rPr>
          <w:rFonts w:ascii="Times New Roman" w:eastAsiaTheme="minorHAnsi" w:hAnsi="Times New Roman"/>
          <w:bCs/>
          <w:color w:val="000000"/>
        </w:rPr>
        <w:t>, Jums pasireiškė bet kuris iš šių simptomų: traukuli</w:t>
      </w:r>
      <w:r w:rsidR="00E2270C">
        <w:rPr>
          <w:rFonts w:ascii="Times New Roman" w:eastAsiaTheme="minorHAnsi" w:hAnsi="Times New Roman"/>
          <w:bCs/>
          <w:color w:val="000000"/>
        </w:rPr>
        <w:t>ai</w:t>
      </w:r>
      <w:r w:rsidRPr="006C3617">
        <w:rPr>
          <w:rFonts w:ascii="Times New Roman" w:eastAsiaTheme="minorHAnsi" w:hAnsi="Times New Roman"/>
          <w:bCs/>
          <w:color w:val="000000"/>
        </w:rPr>
        <w:t>, pablogėjo pažintiniai gebėjimai, sutriko kūno judesiai, atsirado simptomų, rodančių nervų pažeidimą (pvz., skausmas arba tirpimas), migrena ir kurtumas.</w:t>
      </w:r>
    </w:p>
    <w:p w14:paraId="57117EC0" w14:textId="77777777" w:rsidR="00F34231" w:rsidRPr="006A2591" w:rsidRDefault="00F34231" w:rsidP="00601C8B">
      <w:pPr>
        <w:pStyle w:val="Betarp"/>
        <w:rPr>
          <w:rFonts w:ascii="Times New Roman" w:hAnsi="Times New Roman"/>
        </w:rPr>
      </w:pPr>
    </w:p>
    <w:p w14:paraId="6A6E380F" w14:textId="77777777" w:rsidR="00601C8B" w:rsidRPr="006A2591" w:rsidRDefault="00601C8B" w:rsidP="00601C8B">
      <w:pPr>
        <w:pStyle w:val="Betarp"/>
        <w:rPr>
          <w:rFonts w:ascii="Times New Roman" w:hAnsi="Times New Roman"/>
        </w:rPr>
      </w:pPr>
      <w:r w:rsidRPr="006A2591">
        <w:rPr>
          <w:rFonts w:ascii="Times New Roman" w:hAnsi="Times New Roman"/>
        </w:rPr>
        <w:t>Jeigu Jums reikia atlikti didel</w:t>
      </w:r>
      <w:r>
        <w:rPr>
          <w:rFonts w:ascii="Times New Roman" w:hAnsi="Times New Roman"/>
        </w:rPr>
        <w:t>ės apimties</w:t>
      </w:r>
      <w:r w:rsidRPr="006A2591">
        <w:rPr>
          <w:rFonts w:ascii="Times New Roman" w:hAnsi="Times New Roman"/>
        </w:rPr>
        <w:t xml:space="preserve"> operaciją, </w:t>
      </w:r>
      <w:r w:rsidRPr="00AE31EA">
        <w:rPr>
          <w:rFonts w:ascii="Times New Roman" w:hAnsi="Times New Roman"/>
          <w:b/>
        </w:rPr>
        <w:t xml:space="preserve">PRIVALOTE NUSTOTI VARTOTI </w:t>
      </w: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tiek procedūros metu ir kurį laiką po procedūros. Gydytojas nuspręs, kada turite nustoti ir kada vėl pradėti vartoti pailginto atpalaidavimo </w:t>
      </w:r>
      <w:proofErr w:type="spellStart"/>
      <w:r>
        <w:rPr>
          <w:rFonts w:ascii="Times New Roman" w:hAnsi="Times New Roman"/>
        </w:rPr>
        <w:t>Tivulin</w:t>
      </w:r>
      <w:proofErr w:type="spellEnd"/>
      <w:r w:rsidRPr="006A2591">
        <w:rPr>
          <w:rFonts w:ascii="Times New Roman" w:hAnsi="Times New Roman"/>
        </w:rPr>
        <w:t xml:space="preserve">. </w:t>
      </w:r>
    </w:p>
    <w:p w14:paraId="216991CF" w14:textId="77777777" w:rsidR="00601C8B" w:rsidRPr="006A2591" w:rsidRDefault="00601C8B" w:rsidP="00601C8B">
      <w:pPr>
        <w:pStyle w:val="Betarp"/>
        <w:rPr>
          <w:rFonts w:ascii="Times New Roman" w:hAnsi="Times New Roman"/>
        </w:rPr>
      </w:pPr>
    </w:p>
    <w:p w14:paraId="6A0B7D6D" w14:textId="49C7BCC4" w:rsidR="00601C8B" w:rsidRPr="006A2591" w:rsidRDefault="00601C8B" w:rsidP="00601C8B">
      <w:pPr>
        <w:pStyle w:val="Betarp"/>
        <w:rPr>
          <w:rFonts w:ascii="Times New Roman" w:hAnsi="Times New Roman"/>
        </w:rPr>
      </w:pPr>
      <w:r w:rsidRPr="006A2591">
        <w:rPr>
          <w:rFonts w:ascii="Times New Roman" w:hAnsi="Times New Roman"/>
        </w:rPr>
        <w:t xml:space="preserve">Jeigu esate senyvo amžiaus ir (arba) </w:t>
      </w:r>
      <w:r w:rsidR="00461CE0">
        <w:rPr>
          <w:rFonts w:ascii="Times New Roman" w:hAnsi="Times New Roman"/>
        </w:rPr>
        <w:t>J</w:t>
      </w:r>
      <w:r w:rsidRPr="006A2591">
        <w:rPr>
          <w:rFonts w:ascii="Times New Roman" w:hAnsi="Times New Roman"/>
        </w:rPr>
        <w:t xml:space="preserve">ūsų inkstų funkcija yra susilpnėjusi, gydymo pailginto atpalaidavimo </w:t>
      </w:r>
      <w:proofErr w:type="spellStart"/>
      <w:r>
        <w:rPr>
          <w:rFonts w:ascii="Times New Roman" w:hAnsi="Times New Roman"/>
        </w:rPr>
        <w:t>Tivulin</w:t>
      </w:r>
      <w:proofErr w:type="spellEnd"/>
      <w:r w:rsidRPr="006A2591">
        <w:rPr>
          <w:rFonts w:ascii="Times New Roman" w:hAnsi="Times New Roman"/>
        </w:rPr>
        <w:t xml:space="preserve"> metu gydytojas tikrins Jūsų inkstų funkciją mažiausiai kartą per metus arba dažniau.</w:t>
      </w:r>
    </w:p>
    <w:p w14:paraId="50389C5A" w14:textId="20234324" w:rsidR="00634DA6" w:rsidRDefault="00634DA6" w:rsidP="00634DA6">
      <w:pPr>
        <w:pStyle w:val="Betarp"/>
        <w:rPr>
          <w:rFonts w:ascii="Times New Roman" w:hAnsi="Times New Roman"/>
        </w:rPr>
      </w:pPr>
      <w:r>
        <w:rPr>
          <w:rFonts w:ascii="Times New Roman" w:hAnsi="Times New Roman"/>
        </w:rPr>
        <w:t xml:space="preserve"> </w:t>
      </w:r>
    </w:p>
    <w:p w14:paraId="7BD25CA2" w14:textId="77777777" w:rsidR="00634DA6" w:rsidRPr="006A2591" w:rsidRDefault="00634DA6" w:rsidP="00601C8B">
      <w:pPr>
        <w:pStyle w:val="Betarp"/>
        <w:rPr>
          <w:rFonts w:ascii="Times New Roman" w:hAnsi="Times New Roman"/>
        </w:rPr>
      </w:pPr>
    </w:p>
    <w:p w14:paraId="4D1C3A0C"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Išmatose gali būti aptinkami tablečių apvalkalo likučiai. Dėl to nepergyvenkite - tai yra normalus </w:t>
      </w:r>
      <w:r>
        <w:rPr>
          <w:rFonts w:ascii="Times New Roman" w:hAnsi="Times New Roman"/>
        </w:rPr>
        <w:t>radinys</w:t>
      </w:r>
      <w:r w:rsidRPr="006A2591">
        <w:rPr>
          <w:rFonts w:ascii="Times New Roman" w:hAnsi="Times New Roman"/>
        </w:rPr>
        <w:t xml:space="preserve"> tokios rūšies tabletėms.</w:t>
      </w:r>
    </w:p>
    <w:p w14:paraId="4EEBB041" w14:textId="77777777" w:rsidR="00601C8B" w:rsidRPr="006A2591" w:rsidRDefault="00601C8B" w:rsidP="00601C8B">
      <w:pPr>
        <w:pStyle w:val="Betarp"/>
        <w:rPr>
          <w:rFonts w:ascii="Times New Roman" w:hAnsi="Times New Roman"/>
        </w:rPr>
      </w:pPr>
    </w:p>
    <w:p w14:paraId="42D59BE8" w14:textId="77777777" w:rsidR="00601C8B" w:rsidRPr="006A2591" w:rsidRDefault="00601C8B" w:rsidP="00601C8B">
      <w:pPr>
        <w:pStyle w:val="Betarp"/>
        <w:rPr>
          <w:rFonts w:ascii="Times New Roman" w:hAnsi="Times New Roman"/>
        </w:rPr>
      </w:pPr>
      <w:r w:rsidRPr="006A2591">
        <w:rPr>
          <w:rFonts w:ascii="Times New Roman" w:hAnsi="Times New Roman"/>
        </w:rPr>
        <w:t>Jūs privalote laikytis gydytojo paskirtos dietos ir paskirstyti angliavandenių vartojimą tolygiai paros metu.</w:t>
      </w:r>
    </w:p>
    <w:p w14:paraId="17CAFB82" w14:textId="77777777" w:rsidR="00601C8B" w:rsidRPr="006A2591" w:rsidRDefault="00601C8B" w:rsidP="00601C8B">
      <w:pPr>
        <w:pStyle w:val="Betarp"/>
        <w:rPr>
          <w:rFonts w:ascii="Times New Roman" w:hAnsi="Times New Roman"/>
        </w:rPr>
      </w:pPr>
    </w:p>
    <w:p w14:paraId="611F771A" w14:textId="77777777" w:rsidR="00601C8B" w:rsidRPr="006A2591" w:rsidRDefault="00601C8B" w:rsidP="00E85904">
      <w:pPr>
        <w:pStyle w:val="BTEMEASMCA"/>
      </w:pPr>
      <w:r w:rsidRPr="006A2591">
        <w:t>Nenustokite vartoti šio vaisto nepasitarę su gydytoju.</w:t>
      </w:r>
    </w:p>
    <w:p w14:paraId="0F290839" w14:textId="77777777" w:rsidR="00601C8B" w:rsidRPr="006A2591" w:rsidRDefault="00601C8B" w:rsidP="00E85904">
      <w:pPr>
        <w:pStyle w:val="BTEMEASMCA"/>
      </w:pPr>
    </w:p>
    <w:p w14:paraId="342D3C23" w14:textId="77777777" w:rsidR="00601C8B" w:rsidRPr="006A2591" w:rsidRDefault="00601C8B" w:rsidP="00601C8B">
      <w:pPr>
        <w:pStyle w:val="Antrat3"/>
      </w:pPr>
      <w:r w:rsidRPr="006A2591">
        <w:t xml:space="preserve">Kiti vaistai ir </w:t>
      </w:r>
      <w:proofErr w:type="spellStart"/>
      <w:r>
        <w:t>Tivulin</w:t>
      </w:r>
      <w:proofErr w:type="spellEnd"/>
    </w:p>
    <w:p w14:paraId="4668E4DA" w14:textId="03D38CEE" w:rsidR="00601C8B" w:rsidRPr="006A2591" w:rsidRDefault="00601C8B" w:rsidP="00601C8B">
      <w:pPr>
        <w:pStyle w:val="Betarp"/>
        <w:rPr>
          <w:rFonts w:ascii="Times New Roman" w:hAnsi="Times New Roman"/>
        </w:rPr>
      </w:pPr>
      <w:r w:rsidRPr="006A2591">
        <w:rPr>
          <w:rFonts w:ascii="Times New Roman" w:hAnsi="Times New Roman"/>
        </w:rPr>
        <w:t xml:space="preserve">Jeigu </w:t>
      </w:r>
      <w:r w:rsidR="00461CE0">
        <w:rPr>
          <w:rFonts w:ascii="Times New Roman" w:hAnsi="Times New Roman"/>
        </w:rPr>
        <w:t>J</w:t>
      </w:r>
      <w:r w:rsidRPr="006A2591">
        <w:rPr>
          <w:rFonts w:ascii="Times New Roman" w:hAnsi="Times New Roman"/>
        </w:rPr>
        <w:t xml:space="preserve">ums numatoma atlikti tyrimus, pvz., rentgeno ar skenavimo, kurių metu į kraujagysles bus švirkščiama kontrastinių medžiagų, kurių sudėtyje yra jodo, </w:t>
      </w:r>
      <w:r>
        <w:rPr>
          <w:rFonts w:ascii="Times New Roman" w:hAnsi="Times New Roman"/>
        </w:rPr>
        <w:t>J</w:t>
      </w:r>
      <w:r w:rsidRPr="006A2591">
        <w:rPr>
          <w:rFonts w:ascii="Times New Roman" w:hAnsi="Times New Roman"/>
        </w:rPr>
        <w:t xml:space="preserve">ūs </w:t>
      </w:r>
      <w:r w:rsidRPr="006A2591">
        <w:rPr>
          <w:rFonts w:ascii="Times New Roman" w:hAnsi="Times New Roman"/>
          <w:b/>
        </w:rPr>
        <w:t>PRIVALOTE NUSTOTI</w:t>
      </w:r>
      <w:r w:rsidRPr="006A2591">
        <w:rPr>
          <w:rFonts w:ascii="Times New Roman" w:hAnsi="Times New Roman"/>
        </w:rPr>
        <w:t xml:space="preserve"> </w:t>
      </w:r>
      <w:r w:rsidRPr="00AE31EA">
        <w:rPr>
          <w:rFonts w:ascii="Times New Roman" w:hAnsi="Times New Roman"/>
          <w:b/>
        </w:rPr>
        <w:t>VARTOTI</w:t>
      </w:r>
      <w:r w:rsidR="00461CE0">
        <w:rPr>
          <w:rFonts w:ascii="Times New Roman" w:hAnsi="Times New Roman"/>
          <w:b/>
        </w:rPr>
        <w:t xml:space="preserve"> </w:t>
      </w: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tiek kontrastinės medžiagos injekcijos metu, tiek ir po jos. Gydytojas </w:t>
      </w:r>
      <w:r>
        <w:rPr>
          <w:rFonts w:ascii="Times New Roman" w:hAnsi="Times New Roman"/>
        </w:rPr>
        <w:t>J</w:t>
      </w:r>
      <w:r w:rsidRPr="006A2591">
        <w:rPr>
          <w:rFonts w:ascii="Times New Roman" w:hAnsi="Times New Roman"/>
        </w:rPr>
        <w:t xml:space="preserve">ums nurodys, kada nustoti vartoti šį vaistą prieš šį tyrimą ir kada vėl pradėti jį vartoti. </w:t>
      </w:r>
    </w:p>
    <w:p w14:paraId="41206CBE" w14:textId="77777777" w:rsidR="00601C8B" w:rsidRPr="006A2591" w:rsidRDefault="00601C8B" w:rsidP="00601C8B">
      <w:pPr>
        <w:pStyle w:val="Betarp"/>
        <w:rPr>
          <w:rFonts w:ascii="Times New Roman" w:hAnsi="Times New Roman"/>
        </w:rPr>
      </w:pPr>
    </w:p>
    <w:p w14:paraId="13F87DEF" w14:textId="330232F7" w:rsidR="00601C8B" w:rsidRPr="006A2591" w:rsidRDefault="00601C8B" w:rsidP="00601C8B">
      <w:pPr>
        <w:pStyle w:val="Betarp"/>
        <w:rPr>
          <w:rFonts w:ascii="Times New Roman" w:hAnsi="Times New Roman"/>
        </w:rPr>
      </w:pPr>
      <w:r w:rsidRPr="006A2591">
        <w:rPr>
          <w:rFonts w:ascii="Times New Roman" w:hAnsi="Times New Roman"/>
        </w:rPr>
        <w:t>Jeigu vartojate ar neseniai vartojote kitų vaistų arba dėl to nesate tikri, apie tai pasakykite gydytojui</w:t>
      </w:r>
      <w:r w:rsidR="00461CE0">
        <w:rPr>
          <w:rFonts w:ascii="Times New Roman" w:hAnsi="Times New Roman"/>
        </w:rPr>
        <w:t xml:space="preserve"> arba vaistininkui</w:t>
      </w:r>
      <w:r w:rsidRPr="006A2591">
        <w:rPr>
          <w:rFonts w:ascii="Times New Roman" w:hAnsi="Times New Roman"/>
        </w:rPr>
        <w:t xml:space="preserve">. Jums gali reikėti dažniau tirti gliukozės kiekį kraujyje ir inkstų funkciją arba gydytojui gali tekti koreguoti pailginto atpalaidavimo </w:t>
      </w:r>
      <w:proofErr w:type="spellStart"/>
      <w:r>
        <w:rPr>
          <w:rFonts w:ascii="Times New Roman" w:hAnsi="Times New Roman"/>
        </w:rPr>
        <w:t>Tivulin</w:t>
      </w:r>
      <w:proofErr w:type="spellEnd"/>
      <w:r w:rsidRPr="006A2591">
        <w:rPr>
          <w:rFonts w:ascii="Times New Roman" w:hAnsi="Times New Roman"/>
        </w:rPr>
        <w:t xml:space="preserve"> dozavimą. Ypač svarbu paminėti:</w:t>
      </w:r>
    </w:p>
    <w:p w14:paraId="3F03E32F" w14:textId="428FAC5D"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4D65F0">
        <w:rPr>
          <w:rFonts w:ascii="Times New Roman" w:hAnsi="Times New Roman"/>
        </w:rPr>
        <w:t xml:space="preserve"> </w:t>
      </w:r>
      <w:r w:rsidRPr="006A2591">
        <w:rPr>
          <w:rFonts w:ascii="Times New Roman" w:hAnsi="Times New Roman"/>
        </w:rPr>
        <w:t>vaistus, kurie skatina šlapimo gamybą (diuretikus);</w:t>
      </w:r>
    </w:p>
    <w:p w14:paraId="132F661B" w14:textId="21F33702"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4D65F0">
        <w:rPr>
          <w:rFonts w:ascii="Times New Roman" w:hAnsi="Times New Roman"/>
        </w:rPr>
        <w:t xml:space="preserve"> </w:t>
      </w:r>
      <w:r w:rsidRPr="006A2591">
        <w:rPr>
          <w:rFonts w:ascii="Times New Roman" w:hAnsi="Times New Roman"/>
        </w:rPr>
        <w:t xml:space="preserve">vaistus, vartojamus skausmui ir uždegimui gydyti (NVNU ir COX-2 inhibitorius, pvz., </w:t>
      </w:r>
      <w:proofErr w:type="spellStart"/>
      <w:r w:rsidRPr="006A2591">
        <w:rPr>
          <w:rFonts w:ascii="Times New Roman" w:hAnsi="Times New Roman"/>
        </w:rPr>
        <w:t>ibuprofeną</w:t>
      </w:r>
      <w:proofErr w:type="spellEnd"/>
      <w:r w:rsidRPr="006A2591">
        <w:rPr>
          <w:rFonts w:ascii="Times New Roman" w:hAnsi="Times New Roman"/>
        </w:rPr>
        <w:t xml:space="preserve"> ir </w:t>
      </w:r>
      <w:proofErr w:type="spellStart"/>
      <w:r w:rsidRPr="006A2591">
        <w:rPr>
          <w:rFonts w:ascii="Times New Roman" w:hAnsi="Times New Roman"/>
        </w:rPr>
        <w:t>celekoksibą</w:t>
      </w:r>
      <w:proofErr w:type="spellEnd"/>
      <w:r w:rsidRPr="006A2591">
        <w:rPr>
          <w:rFonts w:ascii="Times New Roman" w:hAnsi="Times New Roman"/>
        </w:rPr>
        <w:t>);</w:t>
      </w:r>
    </w:p>
    <w:p w14:paraId="1C6CE018" w14:textId="614848A9"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4D65F0">
        <w:rPr>
          <w:rFonts w:ascii="Times New Roman" w:hAnsi="Times New Roman"/>
        </w:rPr>
        <w:t xml:space="preserve"> </w:t>
      </w:r>
      <w:r w:rsidRPr="006A2591">
        <w:rPr>
          <w:rFonts w:ascii="Times New Roman" w:hAnsi="Times New Roman"/>
        </w:rPr>
        <w:t xml:space="preserve">tam tikrus vaistus padidėjusiam kraujospūdžiui gydyti (AKF inhibitorius ir </w:t>
      </w:r>
      <w:proofErr w:type="spellStart"/>
      <w:r w:rsidRPr="006A2591">
        <w:rPr>
          <w:rFonts w:ascii="Times New Roman" w:hAnsi="Times New Roman"/>
        </w:rPr>
        <w:t>angiotenzino</w:t>
      </w:r>
      <w:proofErr w:type="spellEnd"/>
      <w:r w:rsidRPr="006A2591">
        <w:rPr>
          <w:rFonts w:ascii="Times New Roman" w:hAnsi="Times New Roman"/>
        </w:rPr>
        <w:t xml:space="preserve"> II receptorių blokatorius);</w:t>
      </w:r>
    </w:p>
    <w:p w14:paraId="17DDBABC" w14:textId="65D2398F"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4D65F0">
        <w:rPr>
          <w:rFonts w:ascii="Times New Roman" w:hAnsi="Times New Roman"/>
        </w:rPr>
        <w:t xml:space="preserve"> s</w:t>
      </w:r>
      <w:r w:rsidRPr="006A2591">
        <w:rPr>
          <w:rFonts w:ascii="Times New Roman" w:hAnsi="Times New Roman"/>
        </w:rPr>
        <w:t xml:space="preserve">teroidus, pvz., prednizoloną, </w:t>
      </w:r>
      <w:proofErr w:type="spellStart"/>
      <w:r w:rsidRPr="006A2591">
        <w:rPr>
          <w:rFonts w:ascii="Times New Roman" w:hAnsi="Times New Roman"/>
        </w:rPr>
        <w:t>mometazoną</w:t>
      </w:r>
      <w:proofErr w:type="spellEnd"/>
      <w:r w:rsidRPr="006A2591">
        <w:rPr>
          <w:rFonts w:ascii="Times New Roman" w:hAnsi="Times New Roman"/>
        </w:rPr>
        <w:t xml:space="preserve">, </w:t>
      </w:r>
      <w:proofErr w:type="spellStart"/>
      <w:r w:rsidRPr="006A2591">
        <w:rPr>
          <w:rFonts w:ascii="Times New Roman" w:hAnsi="Times New Roman"/>
        </w:rPr>
        <w:t>beklometazoną</w:t>
      </w:r>
      <w:proofErr w:type="spellEnd"/>
      <w:r w:rsidRPr="006A2591">
        <w:rPr>
          <w:rFonts w:ascii="Times New Roman" w:hAnsi="Times New Roman"/>
        </w:rPr>
        <w:t>;</w:t>
      </w:r>
    </w:p>
    <w:p w14:paraId="305172BF" w14:textId="3F5A28DC"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4D65F0">
        <w:rPr>
          <w:rFonts w:ascii="Times New Roman" w:hAnsi="Times New Roman"/>
        </w:rPr>
        <w:t xml:space="preserve"> </w:t>
      </w:r>
      <w:proofErr w:type="spellStart"/>
      <w:r w:rsidR="004D65F0">
        <w:rPr>
          <w:rFonts w:ascii="Times New Roman" w:hAnsi="Times New Roman"/>
        </w:rPr>
        <w:t>s</w:t>
      </w:r>
      <w:r w:rsidRPr="006A2591">
        <w:rPr>
          <w:rFonts w:ascii="Times New Roman" w:hAnsi="Times New Roman"/>
        </w:rPr>
        <w:t>impatomimetinius</w:t>
      </w:r>
      <w:proofErr w:type="spellEnd"/>
      <w:r w:rsidRPr="006A2591">
        <w:rPr>
          <w:rFonts w:ascii="Times New Roman" w:hAnsi="Times New Roman"/>
        </w:rPr>
        <w:t xml:space="preserve"> vaistus, įskaitant </w:t>
      </w:r>
      <w:proofErr w:type="spellStart"/>
      <w:r w:rsidRPr="006A2591">
        <w:rPr>
          <w:rFonts w:ascii="Times New Roman" w:hAnsi="Times New Roman"/>
        </w:rPr>
        <w:t>epinefriną</w:t>
      </w:r>
      <w:proofErr w:type="spellEnd"/>
      <w:r w:rsidRPr="006A2591">
        <w:rPr>
          <w:rFonts w:ascii="Times New Roman" w:hAnsi="Times New Roman"/>
        </w:rPr>
        <w:t xml:space="preserve"> (adrenaliną) ir dopaminą, </w:t>
      </w:r>
      <w:r w:rsidR="004D65F0">
        <w:rPr>
          <w:rFonts w:ascii="Times New Roman" w:hAnsi="Times New Roman"/>
        </w:rPr>
        <w:t>vartojamus</w:t>
      </w:r>
      <w:r w:rsidR="004D65F0" w:rsidRPr="006A2591">
        <w:rPr>
          <w:rFonts w:ascii="Times New Roman" w:hAnsi="Times New Roman"/>
        </w:rPr>
        <w:t xml:space="preserve"> </w:t>
      </w:r>
      <w:r w:rsidRPr="006A2591">
        <w:rPr>
          <w:rFonts w:ascii="Times New Roman" w:hAnsi="Times New Roman"/>
        </w:rPr>
        <w:t xml:space="preserve">gydant širdies priepuolius ir žemą kraujospūdį. </w:t>
      </w:r>
      <w:proofErr w:type="spellStart"/>
      <w:r w:rsidRPr="006A2591">
        <w:rPr>
          <w:rFonts w:ascii="Times New Roman" w:hAnsi="Times New Roman"/>
        </w:rPr>
        <w:t>Epinefrino</w:t>
      </w:r>
      <w:proofErr w:type="spellEnd"/>
      <w:r w:rsidRPr="006A2591">
        <w:rPr>
          <w:rFonts w:ascii="Times New Roman" w:hAnsi="Times New Roman"/>
        </w:rPr>
        <w:t xml:space="preserve"> taip pat gali būti dedama į vietinių anestetikų, vartojamų odontologijoje, tirpalus.</w:t>
      </w:r>
    </w:p>
    <w:p w14:paraId="3FABE8EC" w14:textId="6B20F6CA" w:rsidR="00601C8B" w:rsidRPr="006A2591" w:rsidRDefault="00601C8B" w:rsidP="00EE0B84">
      <w:pPr>
        <w:pStyle w:val="Betarp"/>
        <w:ind w:left="284" w:hanging="284"/>
        <w:rPr>
          <w:rFonts w:ascii="Times New Roman" w:hAnsi="Times New Roman"/>
        </w:rPr>
      </w:pPr>
      <w:r w:rsidRPr="006A2591">
        <w:rPr>
          <w:rFonts w:ascii="Times New Roman" w:hAnsi="Times New Roman"/>
        </w:rPr>
        <w:t>►</w:t>
      </w:r>
      <w:r w:rsidR="004D65F0">
        <w:rPr>
          <w:rFonts w:ascii="Times New Roman" w:hAnsi="Times New Roman"/>
        </w:rPr>
        <w:t xml:space="preserve"> v</w:t>
      </w:r>
      <w:r w:rsidRPr="006A2591">
        <w:rPr>
          <w:rFonts w:ascii="Times New Roman" w:hAnsi="Times New Roman"/>
        </w:rPr>
        <w:t xml:space="preserve">aistus, kurie gali keisti pailginto atpalaidavimo </w:t>
      </w:r>
      <w:proofErr w:type="spellStart"/>
      <w:r>
        <w:rPr>
          <w:rFonts w:ascii="Times New Roman" w:hAnsi="Times New Roman"/>
        </w:rPr>
        <w:t>Tivulin</w:t>
      </w:r>
      <w:proofErr w:type="spellEnd"/>
      <w:r w:rsidRPr="006A2591">
        <w:rPr>
          <w:rFonts w:ascii="Times New Roman" w:hAnsi="Times New Roman"/>
        </w:rPr>
        <w:t xml:space="preserve"> koncentraciją kraujyje, ypač jeigu </w:t>
      </w:r>
      <w:r w:rsidR="004D65F0">
        <w:rPr>
          <w:rFonts w:ascii="Times New Roman" w:hAnsi="Times New Roman"/>
        </w:rPr>
        <w:t>J</w:t>
      </w:r>
      <w:r w:rsidRPr="006A2591">
        <w:rPr>
          <w:rFonts w:ascii="Times New Roman" w:hAnsi="Times New Roman"/>
        </w:rPr>
        <w:t xml:space="preserve">ūsų inkstų funkcija sutrikusi (pvz., </w:t>
      </w:r>
      <w:proofErr w:type="spellStart"/>
      <w:r w:rsidRPr="006A2591">
        <w:rPr>
          <w:rFonts w:ascii="Times New Roman" w:hAnsi="Times New Roman"/>
        </w:rPr>
        <w:t>verapamilis</w:t>
      </w:r>
      <w:proofErr w:type="spellEnd"/>
      <w:r w:rsidRPr="006A2591">
        <w:rPr>
          <w:rFonts w:ascii="Times New Roman" w:hAnsi="Times New Roman"/>
        </w:rPr>
        <w:t xml:space="preserve">, </w:t>
      </w:r>
      <w:proofErr w:type="spellStart"/>
      <w:r w:rsidRPr="006A2591">
        <w:rPr>
          <w:rFonts w:ascii="Times New Roman" w:hAnsi="Times New Roman"/>
        </w:rPr>
        <w:t>rifampicinas</w:t>
      </w:r>
      <w:proofErr w:type="spellEnd"/>
      <w:r w:rsidRPr="006A2591">
        <w:rPr>
          <w:rFonts w:ascii="Times New Roman" w:hAnsi="Times New Roman"/>
        </w:rPr>
        <w:t xml:space="preserve">, </w:t>
      </w:r>
      <w:proofErr w:type="spellStart"/>
      <w:r w:rsidRPr="006A2591">
        <w:rPr>
          <w:rFonts w:ascii="Times New Roman" w:hAnsi="Times New Roman"/>
        </w:rPr>
        <w:t>cimetidinas</w:t>
      </w:r>
      <w:proofErr w:type="spellEnd"/>
      <w:r w:rsidRPr="006A2591">
        <w:rPr>
          <w:rFonts w:ascii="Times New Roman" w:hAnsi="Times New Roman"/>
        </w:rPr>
        <w:t xml:space="preserve">, </w:t>
      </w:r>
      <w:proofErr w:type="spellStart"/>
      <w:r w:rsidRPr="006A2591">
        <w:rPr>
          <w:rFonts w:ascii="Times New Roman" w:hAnsi="Times New Roman"/>
        </w:rPr>
        <w:t>dolutegraviras</w:t>
      </w:r>
      <w:proofErr w:type="spellEnd"/>
      <w:r w:rsidRPr="006A2591">
        <w:rPr>
          <w:rFonts w:ascii="Times New Roman" w:hAnsi="Times New Roman"/>
        </w:rPr>
        <w:t xml:space="preserve">, </w:t>
      </w:r>
      <w:proofErr w:type="spellStart"/>
      <w:r w:rsidRPr="006A2591">
        <w:rPr>
          <w:rFonts w:ascii="Times New Roman" w:hAnsi="Times New Roman"/>
        </w:rPr>
        <w:t>ranolazinas</w:t>
      </w:r>
      <w:proofErr w:type="spellEnd"/>
      <w:r w:rsidRPr="006A2591">
        <w:rPr>
          <w:rFonts w:ascii="Times New Roman" w:hAnsi="Times New Roman"/>
        </w:rPr>
        <w:t xml:space="preserve">, </w:t>
      </w:r>
      <w:proofErr w:type="spellStart"/>
      <w:r w:rsidRPr="006A2591">
        <w:rPr>
          <w:rFonts w:ascii="Times New Roman" w:hAnsi="Times New Roman"/>
        </w:rPr>
        <w:t>trimetoprimas</w:t>
      </w:r>
      <w:proofErr w:type="spellEnd"/>
      <w:r w:rsidRPr="006A2591">
        <w:rPr>
          <w:rFonts w:ascii="Times New Roman" w:hAnsi="Times New Roman"/>
        </w:rPr>
        <w:t xml:space="preserve">, </w:t>
      </w:r>
      <w:proofErr w:type="spellStart"/>
      <w:r w:rsidRPr="006A2591">
        <w:rPr>
          <w:rFonts w:ascii="Times New Roman" w:hAnsi="Times New Roman"/>
        </w:rPr>
        <w:t>vandetanibas</w:t>
      </w:r>
      <w:proofErr w:type="spellEnd"/>
      <w:r w:rsidRPr="006A2591">
        <w:rPr>
          <w:rFonts w:ascii="Times New Roman" w:hAnsi="Times New Roman"/>
        </w:rPr>
        <w:t xml:space="preserve">, </w:t>
      </w:r>
      <w:proofErr w:type="spellStart"/>
      <w:r w:rsidRPr="006A2591">
        <w:rPr>
          <w:rFonts w:ascii="Times New Roman" w:hAnsi="Times New Roman"/>
        </w:rPr>
        <w:t>izavukonazol</w:t>
      </w:r>
      <w:r>
        <w:rPr>
          <w:rFonts w:ascii="Times New Roman" w:hAnsi="Times New Roman"/>
        </w:rPr>
        <w:t>a</w:t>
      </w:r>
      <w:r w:rsidRPr="006A2591">
        <w:rPr>
          <w:rFonts w:ascii="Times New Roman" w:hAnsi="Times New Roman"/>
        </w:rPr>
        <w:t>s</w:t>
      </w:r>
      <w:proofErr w:type="spellEnd"/>
      <w:r w:rsidRPr="006A2591">
        <w:rPr>
          <w:rFonts w:ascii="Times New Roman" w:hAnsi="Times New Roman"/>
        </w:rPr>
        <w:t xml:space="preserve">, </w:t>
      </w:r>
      <w:proofErr w:type="spellStart"/>
      <w:r w:rsidRPr="006A2591">
        <w:rPr>
          <w:rFonts w:ascii="Times New Roman" w:hAnsi="Times New Roman"/>
        </w:rPr>
        <w:t>krizotinibas</w:t>
      </w:r>
      <w:proofErr w:type="spellEnd"/>
      <w:r w:rsidRPr="006A2591">
        <w:rPr>
          <w:rFonts w:ascii="Times New Roman" w:hAnsi="Times New Roman"/>
        </w:rPr>
        <w:t xml:space="preserve">, </w:t>
      </w:r>
      <w:proofErr w:type="spellStart"/>
      <w:r w:rsidRPr="006A2591">
        <w:rPr>
          <w:rFonts w:ascii="Times New Roman" w:hAnsi="Times New Roman"/>
        </w:rPr>
        <w:t>olaparibas</w:t>
      </w:r>
      <w:proofErr w:type="spellEnd"/>
      <w:r w:rsidRPr="006A2591">
        <w:rPr>
          <w:rFonts w:ascii="Times New Roman" w:hAnsi="Times New Roman"/>
        </w:rPr>
        <w:t>).</w:t>
      </w:r>
    </w:p>
    <w:p w14:paraId="41136FEA" w14:textId="77777777" w:rsidR="00601C8B" w:rsidRPr="006A2591" w:rsidRDefault="00601C8B" w:rsidP="00601C8B">
      <w:pPr>
        <w:pStyle w:val="Betarp"/>
        <w:rPr>
          <w:rFonts w:ascii="Times New Roman" w:hAnsi="Times New Roman"/>
        </w:rPr>
      </w:pPr>
    </w:p>
    <w:p w14:paraId="21B9371B" w14:textId="77777777" w:rsidR="00601C8B" w:rsidRPr="006A2591" w:rsidRDefault="00601C8B" w:rsidP="00601C8B">
      <w:pPr>
        <w:pStyle w:val="Betarp"/>
        <w:rPr>
          <w:rFonts w:ascii="Times New Roman" w:hAnsi="Times New Roman"/>
          <w:b/>
        </w:rPr>
      </w:pPr>
      <w:r w:rsidRPr="006A2591">
        <w:rPr>
          <w:rFonts w:ascii="Times New Roman" w:hAnsi="Times New Roman"/>
          <w:b/>
        </w:rPr>
        <w:t xml:space="preserve">Pailginto atpalaidavimo </w:t>
      </w:r>
      <w:proofErr w:type="spellStart"/>
      <w:r>
        <w:rPr>
          <w:rFonts w:ascii="Times New Roman" w:hAnsi="Times New Roman"/>
          <w:b/>
        </w:rPr>
        <w:t>Tivulin</w:t>
      </w:r>
      <w:proofErr w:type="spellEnd"/>
      <w:r w:rsidRPr="006A2591">
        <w:rPr>
          <w:rFonts w:ascii="Times New Roman" w:hAnsi="Times New Roman"/>
          <w:b/>
        </w:rPr>
        <w:t xml:space="preserve"> vartojimas su alkoholiu</w:t>
      </w:r>
    </w:p>
    <w:p w14:paraId="5983CB24" w14:textId="77777777" w:rsidR="00601C8B" w:rsidRPr="006A2591" w:rsidRDefault="00601C8B" w:rsidP="00E85904">
      <w:pPr>
        <w:pStyle w:val="BT-EMEASMCA"/>
      </w:pPr>
      <w:r w:rsidRPr="006A2591">
        <w:t xml:space="preserve">Vartodami pailginto atpalaidavimo </w:t>
      </w:r>
      <w:proofErr w:type="spellStart"/>
      <w:r>
        <w:t>Tivulin</w:t>
      </w:r>
      <w:proofErr w:type="spellEnd"/>
      <w:r w:rsidRPr="006A2591">
        <w:t xml:space="preserve">, venkite piktnaudžiavimo alkoholiu, nes tai gali padidinti pieno rūgšties </w:t>
      </w:r>
      <w:proofErr w:type="spellStart"/>
      <w:r w:rsidRPr="006A2591">
        <w:t>acidozės</w:t>
      </w:r>
      <w:proofErr w:type="spellEnd"/>
      <w:r w:rsidRPr="006A2591">
        <w:t xml:space="preserve"> riziką (žr. skyrių „Įspėjimai ir atsargumo priemonės“).</w:t>
      </w:r>
    </w:p>
    <w:p w14:paraId="30151718" w14:textId="77777777" w:rsidR="00601C8B" w:rsidRPr="006A2591" w:rsidRDefault="00601C8B" w:rsidP="00601C8B">
      <w:pPr>
        <w:pStyle w:val="Pagrindinistekstas"/>
        <w:spacing w:after="0"/>
        <w:rPr>
          <w:szCs w:val="22"/>
        </w:rPr>
      </w:pPr>
    </w:p>
    <w:p w14:paraId="3423C697" w14:textId="77777777" w:rsidR="00601C8B" w:rsidRPr="00546178" w:rsidRDefault="00601C8B" w:rsidP="00546178">
      <w:pPr>
        <w:pStyle w:val="PI-3EMEASMCA"/>
      </w:pPr>
      <w:r w:rsidRPr="00546178">
        <w:t>Nėštumas, žindymo laikotarpis ir vaisingumas</w:t>
      </w:r>
    </w:p>
    <w:p w14:paraId="06FDC246" w14:textId="77777777" w:rsidR="004D65F0" w:rsidRDefault="004D65F0" w:rsidP="004D65F0">
      <w:pPr>
        <w:pStyle w:val="Betarp"/>
        <w:rPr>
          <w:rFonts w:ascii="Times New Roman" w:eastAsia="Times New Roman" w:hAnsi="Times New Roman"/>
          <w:iCs/>
          <w:lang w:eastAsia="ar-SA"/>
        </w:rPr>
      </w:pPr>
      <w:r w:rsidRPr="00FC682A">
        <w:rPr>
          <w:rFonts w:ascii="Times New Roman" w:eastAsia="Times New Roman" w:hAnsi="Times New Roman"/>
          <w:iCs/>
          <w:lang w:eastAsia="ar-SA"/>
        </w:rPr>
        <w:t xml:space="preserve">Jeigu esate nėščia, manote, kad galbūt esate nėščia, arba planuojate pastoti, pasitarkite su </w:t>
      </w:r>
      <w:r>
        <w:rPr>
          <w:rFonts w:ascii="Times New Roman" w:eastAsia="Times New Roman" w:hAnsi="Times New Roman"/>
          <w:iCs/>
          <w:lang w:eastAsia="ar-SA"/>
        </w:rPr>
        <w:t xml:space="preserve">savo </w:t>
      </w:r>
      <w:r w:rsidRPr="00FC682A">
        <w:rPr>
          <w:rFonts w:ascii="Times New Roman" w:eastAsia="Times New Roman" w:hAnsi="Times New Roman"/>
          <w:iCs/>
          <w:lang w:eastAsia="ar-SA"/>
        </w:rPr>
        <w:t>gydytoju</w:t>
      </w:r>
      <w:r>
        <w:rPr>
          <w:rFonts w:ascii="Times New Roman" w:eastAsia="Times New Roman" w:hAnsi="Times New Roman"/>
          <w:iCs/>
          <w:lang w:eastAsia="ar-SA"/>
        </w:rPr>
        <w:t>, jei</w:t>
      </w:r>
      <w:r w:rsidRPr="001B2650">
        <w:rPr>
          <w:rFonts w:ascii="Times New Roman" w:eastAsia="Times New Roman" w:hAnsi="Times New Roman"/>
          <w:iCs/>
          <w:lang w:eastAsia="ar-SA"/>
        </w:rPr>
        <w:t xml:space="preserve"> reikės keisti gydymą arba stebėti gliukozės k</w:t>
      </w:r>
      <w:r>
        <w:rPr>
          <w:rFonts w:ascii="Times New Roman" w:eastAsia="Times New Roman" w:hAnsi="Times New Roman"/>
          <w:iCs/>
          <w:lang w:eastAsia="ar-SA"/>
        </w:rPr>
        <w:t>oncentraciją</w:t>
      </w:r>
      <w:r w:rsidRPr="001B2650">
        <w:rPr>
          <w:rFonts w:ascii="Times New Roman" w:eastAsia="Times New Roman" w:hAnsi="Times New Roman"/>
          <w:iCs/>
          <w:lang w:eastAsia="ar-SA"/>
        </w:rPr>
        <w:t xml:space="preserve"> kraujyje.</w:t>
      </w:r>
    </w:p>
    <w:p w14:paraId="5012BC70" w14:textId="77777777" w:rsidR="004D65F0" w:rsidRDefault="004D65F0" w:rsidP="004D65F0">
      <w:pPr>
        <w:pStyle w:val="Betarp"/>
        <w:rPr>
          <w:rFonts w:ascii="Times New Roman" w:eastAsia="Times New Roman" w:hAnsi="Times New Roman"/>
          <w:iCs/>
          <w:lang w:eastAsia="ar-SA"/>
        </w:rPr>
      </w:pPr>
      <w:r>
        <w:rPr>
          <w:rFonts w:ascii="Times New Roman" w:eastAsia="Times New Roman" w:hAnsi="Times New Roman"/>
          <w:iCs/>
          <w:lang w:eastAsia="ar-SA"/>
        </w:rPr>
        <w:t>Šio vaisto nerekomenduojama vartoti žindymo laikotarpiu arba jeigu planuojate žindyti kūdikį.</w:t>
      </w:r>
    </w:p>
    <w:p w14:paraId="65F7ED2C" w14:textId="77777777" w:rsidR="004D65F0" w:rsidRPr="006A2591" w:rsidRDefault="004D65F0" w:rsidP="00601C8B">
      <w:pPr>
        <w:pStyle w:val="Betarp"/>
        <w:rPr>
          <w:rFonts w:ascii="Times New Roman" w:hAnsi="Times New Roman"/>
        </w:rPr>
      </w:pPr>
    </w:p>
    <w:p w14:paraId="419BD489" w14:textId="77777777" w:rsidR="00601C8B" w:rsidRPr="006A2591" w:rsidRDefault="00601C8B" w:rsidP="00E85904">
      <w:pPr>
        <w:pStyle w:val="BTEMEASMCA"/>
      </w:pPr>
      <w:r w:rsidRPr="006A2591">
        <w:t>Prieš vartodama bet kokius vaistus, pasitarkite su gydytoju arba vaistininku.</w:t>
      </w:r>
    </w:p>
    <w:p w14:paraId="12356C21" w14:textId="77777777" w:rsidR="00601C8B" w:rsidRPr="006A2591" w:rsidRDefault="00601C8B" w:rsidP="00E85904">
      <w:pPr>
        <w:pStyle w:val="BTEMEASMCA"/>
      </w:pPr>
    </w:p>
    <w:p w14:paraId="2681F818" w14:textId="77777777" w:rsidR="00601C8B" w:rsidRPr="006A2591" w:rsidRDefault="00601C8B" w:rsidP="00546178">
      <w:pPr>
        <w:pStyle w:val="PI-3EMEASMCA"/>
      </w:pPr>
      <w:r w:rsidRPr="006A2591">
        <w:t>Vairavimas ir mechanizmų valdymas</w:t>
      </w:r>
    </w:p>
    <w:p w14:paraId="63177CD8" w14:textId="77777777" w:rsidR="00601C8B" w:rsidRPr="006A2591" w:rsidRDefault="00601C8B" w:rsidP="00601C8B">
      <w:pPr>
        <w:pStyle w:val="Betarp"/>
        <w:rPr>
          <w:rFonts w:ascii="Times New Roman" w:hAnsi="Times New Roman"/>
        </w:rPr>
      </w:pPr>
      <w:r w:rsidRPr="006A2591">
        <w:rPr>
          <w:rFonts w:ascii="Times New Roman" w:hAnsi="Times New Roman"/>
        </w:rPr>
        <w:lastRenderedPageBreak/>
        <w:t xml:space="preserve">Vien tik pailginto atpalaidavimo </w:t>
      </w:r>
      <w:proofErr w:type="spellStart"/>
      <w:r>
        <w:rPr>
          <w:rFonts w:ascii="Times New Roman" w:hAnsi="Times New Roman"/>
        </w:rPr>
        <w:t>Tivulin</w:t>
      </w:r>
      <w:proofErr w:type="spellEnd"/>
      <w:r w:rsidRPr="006A2591">
        <w:rPr>
          <w:rFonts w:ascii="Times New Roman" w:hAnsi="Times New Roman"/>
        </w:rPr>
        <w:t xml:space="preserve"> hipoglikemijos (sumažėjusios gliukozės koncentracijos kraujyje, kuri pasireiškia silpnumu, sumišimu ir padidėjusiu prakaitavimu) nesukelia, todėl  jis neturi įtakos gebėjimui vairuoti ir valdyti mechanizmus.</w:t>
      </w:r>
    </w:p>
    <w:p w14:paraId="171D594A" w14:textId="77777777" w:rsidR="00601C8B" w:rsidRPr="006A2591" w:rsidRDefault="00601C8B" w:rsidP="00601C8B">
      <w:pPr>
        <w:pStyle w:val="Betarp"/>
        <w:rPr>
          <w:rFonts w:ascii="Times New Roman" w:hAnsi="Times New Roman"/>
        </w:rPr>
      </w:pPr>
    </w:p>
    <w:p w14:paraId="5BF73829" w14:textId="77777777" w:rsidR="00601C8B" w:rsidRPr="006A2591" w:rsidRDefault="00601C8B" w:rsidP="00E85904">
      <w:pPr>
        <w:pStyle w:val="BTEMEASMCA"/>
      </w:pPr>
      <w:r>
        <w:t>Žinokite</w:t>
      </w:r>
      <w:r w:rsidRPr="006A2591">
        <w:t xml:space="preserve">, kad kai kartu su pailginto atpalaidavimo </w:t>
      </w:r>
      <w:proofErr w:type="spellStart"/>
      <w:r>
        <w:t>Tivulin</w:t>
      </w:r>
      <w:proofErr w:type="spellEnd"/>
      <w:r w:rsidRPr="006A2591">
        <w:t xml:space="preserve"> skiriama kitų vaistų</w:t>
      </w:r>
      <w:r w:rsidRPr="00BB6667">
        <w:t xml:space="preserve"> </w:t>
      </w:r>
      <w:r>
        <w:t>cukriniam diabetui gydyti</w:t>
      </w:r>
      <w:r w:rsidRPr="006A2591">
        <w:t>, šie deriniai gali sukelti hipoglikemiją, todėl tokiais atvejais būkite ypatingai atidūs vairuojant automobilį ar valdant mechanizmus.</w:t>
      </w:r>
    </w:p>
    <w:p w14:paraId="3632534A" w14:textId="77777777" w:rsidR="00601C8B" w:rsidRPr="006A2591" w:rsidRDefault="00601C8B" w:rsidP="00E85904">
      <w:pPr>
        <w:pStyle w:val="BTEMEASMCA"/>
      </w:pPr>
    </w:p>
    <w:p w14:paraId="43B201EB" w14:textId="77777777" w:rsidR="00601C8B" w:rsidRPr="006A2591" w:rsidRDefault="00601C8B" w:rsidP="00601C8B">
      <w:pPr>
        <w:pStyle w:val="Betarp"/>
        <w:rPr>
          <w:rFonts w:ascii="Times New Roman" w:hAnsi="Times New Roman"/>
          <w:b/>
        </w:rPr>
      </w:pPr>
      <w:proofErr w:type="spellStart"/>
      <w:r>
        <w:rPr>
          <w:rFonts w:ascii="Times New Roman" w:hAnsi="Times New Roman"/>
          <w:b/>
        </w:rPr>
        <w:t>Tivulin</w:t>
      </w:r>
      <w:proofErr w:type="spellEnd"/>
      <w:r>
        <w:rPr>
          <w:rFonts w:ascii="Times New Roman" w:hAnsi="Times New Roman"/>
          <w:b/>
        </w:rPr>
        <w:t xml:space="preserve"> sudėtyje yra natrio</w:t>
      </w:r>
    </w:p>
    <w:p w14:paraId="1F006B84" w14:textId="4993518B" w:rsidR="00601C8B" w:rsidRPr="006A2591" w:rsidRDefault="00601C8B" w:rsidP="00E85904">
      <w:pPr>
        <w:pStyle w:val="BTEMEASMCA"/>
      </w:pPr>
      <w:r>
        <w:t xml:space="preserve">Šio vaisto </w:t>
      </w:r>
      <w:r w:rsidRPr="009B258E">
        <w:t>vienoje tabletėje yra mažiau kaip 1</w:t>
      </w:r>
      <w:r>
        <w:t> </w:t>
      </w:r>
      <w:proofErr w:type="spellStart"/>
      <w:r w:rsidRPr="009B258E">
        <w:t>mmol</w:t>
      </w:r>
      <w:proofErr w:type="spellEnd"/>
      <w:r w:rsidRPr="009B258E">
        <w:t xml:space="preserve"> (23</w:t>
      </w:r>
      <w:r>
        <w:t> </w:t>
      </w:r>
      <w:r w:rsidRPr="009B258E">
        <w:t>mg) natrio, t</w:t>
      </w:r>
      <w:r>
        <w:t>.</w:t>
      </w:r>
      <w:r w:rsidR="004D65F0">
        <w:t xml:space="preserve"> </w:t>
      </w:r>
      <w:r>
        <w:t>y. jis beveik neturi reikšmės.</w:t>
      </w:r>
    </w:p>
    <w:p w14:paraId="6E2963F1" w14:textId="77777777" w:rsidR="00601C8B" w:rsidRPr="006A2591" w:rsidRDefault="00601C8B" w:rsidP="00601C8B">
      <w:pPr>
        <w:pStyle w:val="Pagrindinistekstas"/>
        <w:spacing w:after="0"/>
        <w:rPr>
          <w:szCs w:val="22"/>
        </w:rPr>
      </w:pPr>
    </w:p>
    <w:p w14:paraId="44EC0F35" w14:textId="77777777" w:rsidR="00601C8B" w:rsidRPr="006A2591" w:rsidRDefault="00601C8B" w:rsidP="00601C8B">
      <w:pPr>
        <w:pStyle w:val="Pagrindinistekstas"/>
        <w:spacing w:after="0"/>
        <w:rPr>
          <w:szCs w:val="22"/>
        </w:rPr>
      </w:pPr>
    </w:p>
    <w:p w14:paraId="2F104B6E" w14:textId="77777777" w:rsidR="00601C8B" w:rsidRPr="006A2591" w:rsidRDefault="00601C8B" w:rsidP="00601C8B">
      <w:pPr>
        <w:pStyle w:val="PI-2EMEASMCA"/>
        <w:outlineLvl w:val="9"/>
      </w:pPr>
      <w:r w:rsidRPr="006A2591">
        <w:t>3.</w:t>
      </w:r>
      <w:r w:rsidRPr="006A2591">
        <w:tab/>
        <w:t xml:space="preserve">Kaip vartoti </w:t>
      </w:r>
      <w:proofErr w:type="spellStart"/>
      <w:r>
        <w:t>Tivulin</w:t>
      </w:r>
      <w:proofErr w:type="spellEnd"/>
    </w:p>
    <w:p w14:paraId="1F2A995F" w14:textId="77777777" w:rsidR="00601C8B" w:rsidRPr="006A2591" w:rsidRDefault="00601C8B" w:rsidP="00EE0B84">
      <w:pPr>
        <w:pStyle w:val="PI-2EMEASMCA"/>
        <w:outlineLvl w:val="9"/>
      </w:pPr>
    </w:p>
    <w:p w14:paraId="404AA642" w14:textId="77777777" w:rsidR="00601C8B" w:rsidRPr="006A2591" w:rsidRDefault="00601C8B" w:rsidP="00E85904">
      <w:pPr>
        <w:pStyle w:val="BTEMEASMCA"/>
      </w:pPr>
      <w:r w:rsidRPr="006A2591">
        <w:t xml:space="preserve">Jūsų gydytojas gali </w:t>
      </w:r>
      <w:r>
        <w:t>J</w:t>
      </w:r>
      <w:r w:rsidRPr="006A2591">
        <w:t xml:space="preserve">ums išrašyti pailginto atpalaidavimo </w:t>
      </w:r>
      <w:proofErr w:type="spellStart"/>
      <w:r>
        <w:t>Tivulin</w:t>
      </w:r>
      <w:proofErr w:type="spellEnd"/>
      <w:r w:rsidRPr="006A2591">
        <w:t xml:space="preserve"> </w:t>
      </w:r>
      <w:r>
        <w:t xml:space="preserve">vartoti </w:t>
      </w:r>
      <w:r w:rsidRPr="006A2591">
        <w:t>vieną (</w:t>
      </w:r>
      <w:proofErr w:type="spellStart"/>
      <w:r w:rsidRPr="006A2591">
        <w:t>monoterapijai</w:t>
      </w:r>
      <w:proofErr w:type="spellEnd"/>
      <w:r w:rsidRPr="006A2591">
        <w:t>) arba derinyje su kitais geriamaisiais vaistais</w:t>
      </w:r>
      <w:r w:rsidRPr="00BB6667">
        <w:t xml:space="preserve"> </w:t>
      </w:r>
      <w:r>
        <w:t>cukriniam diabetui gydyti</w:t>
      </w:r>
      <w:r w:rsidRPr="006A2591">
        <w:t>, arba insulinu.</w:t>
      </w:r>
    </w:p>
    <w:p w14:paraId="0AD8F62A" w14:textId="77777777" w:rsidR="00601C8B" w:rsidRPr="006A2591" w:rsidRDefault="00601C8B" w:rsidP="00E85904">
      <w:pPr>
        <w:pStyle w:val="BTEMEASMCA"/>
      </w:pPr>
    </w:p>
    <w:p w14:paraId="406867F9" w14:textId="45E25A2D" w:rsidR="00601C8B" w:rsidRPr="006A2591" w:rsidRDefault="00601C8B" w:rsidP="00E85904">
      <w:pPr>
        <w:pStyle w:val="BTEMEASMCA"/>
      </w:pPr>
      <w:r w:rsidRPr="006A2591">
        <w:t>Šį vaistą visada vartokite tiksliai, kaip nurodė gydytojas</w:t>
      </w:r>
      <w:r w:rsidR="006565EA" w:rsidRPr="006565EA">
        <w:t xml:space="preserve"> </w:t>
      </w:r>
      <w:r w:rsidR="006565EA" w:rsidRPr="006A2591">
        <w:t>arba vaistinink</w:t>
      </w:r>
      <w:r w:rsidR="006565EA">
        <w:t>as</w:t>
      </w:r>
      <w:r w:rsidRPr="006A2591">
        <w:t>. Jeigu abejojate, kreipkitės į gydytoją arba vaistininką.</w:t>
      </w:r>
    </w:p>
    <w:p w14:paraId="6DC23415" w14:textId="77777777" w:rsidR="00601C8B" w:rsidRPr="006A2591" w:rsidRDefault="00601C8B" w:rsidP="00601C8B">
      <w:pPr>
        <w:pStyle w:val="Pagrindinistekstas"/>
        <w:spacing w:after="0"/>
        <w:rPr>
          <w:szCs w:val="22"/>
        </w:rPr>
      </w:pPr>
    </w:p>
    <w:p w14:paraId="4E54E9B0" w14:textId="5765546D" w:rsidR="00601C8B" w:rsidRPr="006A2591" w:rsidRDefault="00601C8B" w:rsidP="00601C8B">
      <w:pPr>
        <w:pStyle w:val="Betarp"/>
        <w:rPr>
          <w:rFonts w:ascii="Times New Roman" w:hAnsi="Times New Roman"/>
          <w:b/>
        </w:rPr>
      </w:pPr>
      <w:r w:rsidRPr="006A2591">
        <w:rPr>
          <w:rFonts w:ascii="Times New Roman" w:hAnsi="Times New Roman"/>
          <w:b/>
        </w:rPr>
        <w:t>Rekomenduojama dozė yra</w:t>
      </w:r>
    </w:p>
    <w:p w14:paraId="2A95E7EB" w14:textId="07A18343" w:rsidR="00601C8B" w:rsidRPr="006A2591" w:rsidRDefault="00601C8B" w:rsidP="00601C8B">
      <w:pPr>
        <w:pStyle w:val="Betarp"/>
        <w:rPr>
          <w:rFonts w:ascii="Times New Roman" w:hAnsi="Times New Roman"/>
        </w:rPr>
      </w:pPr>
      <w:r w:rsidRPr="006A2591">
        <w:rPr>
          <w:rFonts w:ascii="Times New Roman" w:hAnsi="Times New Roman"/>
        </w:rPr>
        <w:t xml:space="preserve">Įprasta pradinė dozė yra viena </w:t>
      </w:r>
      <w:proofErr w:type="spellStart"/>
      <w:r w:rsidR="006565EA">
        <w:rPr>
          <w:rFonts w:ascii="Times New Roman" w:hAnsi="Times New Roman"/>
        </w:rPr>
        <w:t>Tivulin</w:t>
      </w:r>
      <w:proofErr w:type="spellEnd"/>
      <w:r w:rsidR="006565EA" w:rsidRPr="006A2591">
        <w:rPr>
          <w:rFonts w:ascii="Times New Roman" w:hAnsi="Times New Roman"/>
        </w:rPr>
        <w:t xml:space="preserve"> </w:t>
      </w:r>
      <w:r w:rsidRPr="006A2591">
        <w:rPr>
          <w:rFonts w:ascii="Times New Roman" w:hAnsi="Times New Roman"/>
        </w:rPr>
        <w:t>500</w:t>
      </w:r>
      <w:r w:rsidRPr="0078470E">
        <w:rPr>
          <w:rFonts w:ascii="Times New Roman" w:hAnsi="Times New Roman"/>
        </w:rPr>
        <w:t> </w:t>
      </w:r>
      <w:r w:rsidRPr="006A2591">
        <w:rPr>
          <w:rFonts w:ascii="Times New Roman" w:hAnsi="Times New Roman"/>
        </w:rPr>
        <w:t xml:space="preserve">mg pailginto atpalaidavimo tabletė kartą per </w:t>
      </w:r>
      <w:r w:rsidR="006565EA">
        <w:rPr>
          <w:rFonts w:ascii="Times New Roman" w:hAnsi="Times New Roman"/>
        </w:rPr>
        <w:t>parą</w:t>
      </w:r>
      <w:r w:rsidRPr="006A2591">
        <w:rPr>
          <w:rFonts w:ascii="Times New Roman" w:hAnsi="Times New Roman"/>
        </w:rPr>
        <w:t xml:space="preserve">. Kai </w:t>
      </w:r>
      <w:r>
        <w:rPr>
          <w:rFonts w:ascii="Times New Roman" w:hAnsi="Times New Roman"/>
        </w:rPr>
        <w:t>J</w:t>
      </w:r>
      <w:r w:rsidRPr="006A2591">
        <w:rPr>
          <w:rFonts w:ascii="Times New Roman" w:hAnsi="Times New Roman"/>
        </w:rPr>
        <w:t xml:space="preserve">ūs vartojote pailginto atpalaidavimo </w:t>
      </w:r>
      <w:proofErr w:type="spellStart"/>
      <w:r>
        <w:rPr>
          <w:rFonts w:ascii="Times New Roman" w:hAnsi="Times New Roman"/>
        </w:rPr>
        <w:t>Tivulin</w:t>
      </w:r>
      <w:proofErr w:type="spellEnd"/>
      <w:r w:rsidRPr="006A2591">
        <w:rPr>
          <w:rFonts w:ascii="Times New Roman" w:hAnsi="Times New Roman"/>
        </w:rPr>
        <w:t xml:space="preserve"> maždaug 2 savaites, gydytojas gali </w:t>
      </w:r>
      <w:r w:rsidR="006565EA">
        <w:rPr>
          <w:rFonts w:ascii="Times New Roman" w:hAnsi="Times New Roman"/>
        </w:rPr>
        <w:t>J</w:t>
      </w:r>
      <w:r w:rsidRPr="006A2591">
        <w:rPr>
          <w:rFonts w:ascii="Times New Roman" w:hAnsi="Times New Roman"/>
        </w:rPr>
        <w:t xml:space="preserve">ums skirti gliukozės koncentracijos kraujyje tyrimą ir koreguoti dozę. </w:t>
      </w:r>
    </w:p>
    <w:p w14:paraId="53EEFA30" w14:textId="253C5514" w:rsidR="00601C8B" w:rsidRPr="006A2591" w:rsidRDefault="00601C8B" w:rsidP="00601C8B">
      <w:pPr>
        <w:pStyle w:val="Betarp"/>
        <w:rPr>
          <w:rFonts w:ascii="Times New Roman" w:hAnsi="Times New Roman"/>
        </w:rPr>
      </w:pPr>
      <w:r w:rsidRPr="006A2591">
        <w:rPr>
          <w:rFonts w:ascii="Times New Roman" w:hAnsi="Times New Roman"/>
        </w:rPr>
        <w:t>Didžiausia paros dozė yra 2</w:t>
      </w:r>
      <w:r w:rsidR="006565EA">
        <w:rPr>
          <w:rFonts w:ascii="Times New Roman" w:hAnsi="Times New Roman"/>
        </w:rPr>
        <w:t> </w:t>
      </w:r>
      <w:r w:rsidRPr="006A2591">
        <w:rPr>
          <w:rFonts w:ascii="Times New Roman" w:hAnsi="Times New Roman"/>
        </w:rPr>
        <w:t>000</w:t>
      </w:r>
      <w:r w:rsidRPr="0078470E">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w:t>
      </w:r>
    </w:p>
    <w:p w14:paraId="1200D8C9" w14:textId="77777777" w:rsidR="00601C8B" w:rsidRPr="006A2591" w:rsidRDefault="00601C8B" w:rsidP="00601C8B">
      <w:pPr>
        <w:pStyle w:val="Betarp"/>
        <w:rPr>
          <w:rFonts w:ascii="Times New Roman" w:hAnsi="Times New Roman"/>
        </w:rPr>
      </w:pPr>
    </w:p>
    <w:p w14:paraId="45894639" w14:textId="77777777" w:rsidR="00601C8B" w:rsidRPr="006A2591" w:rsidRDefault="00601C8B" w:rsidP="00601C8B">
      <w:pPr>
        <w:pStyle w:val="Betarp"/>
        <w:rPr>
          <w:rFonts w:ascii="Times New Roman" w:hAnsi="Times New Roman"/>
        </w:rPr>
      </w:pPr>
      <w:r w:rsidRPr="006A2591">
        <w:rPr>
          <w:rFonts w:ascii="Times New Roman" w:hAnsi="Times New Roman"/>
        </w:rPr>
        <w:t>Jeigu Jūsų inkstų funkcija yra susilpnėjusi, gydytojas gali skirti mažesnę dozę.</w:t>
      </w:r>
    </w:p>
    <w:p w14:paraId="3E57E32E" w14:textId="77777777" w:rsidR="00601C8B" w:rsidRPr="006A2591" w:rsidRDefault="00601C8B" w:rsidP="00601C8B">
      <w:pPr>
        <w:pStyle w:val="Betarp"/>
        <w:rPr>
          <w:rFonts w:ascii="Times New Roman" w:hAnsi="Times New Roman"/>
        </w:rPr>
      </w:pPr>
    </w:p>
    <w:p w14:paraId="4CB339D2" w14:textId="0D4BE315" w:rsidR="00601C8B" w:rsidRPr="006A2591" w:rsidRDefault="00601C8B" w:rsidP="00601C8B">
      <w:pPr>
        <w:pStyle w:val="Betarp"/>
        <w:rPr>
          <w:rFonts w:ascii="Times New Roman" w:hAnsi="Times New Roman"/>
        </w:rPr>
      </w:pPr>
      <w:r>
        <w:rPr>
          <w:rFonts w:ascii="Times New Roman" w:hAnsi="Times New Roman"/>
        </w:rPr>
        <w:t>Dažn</w:t>
      </w:r>
      <w:r w:rsidR="006565EA">
        <w:rPr>
          <w:rFonts w:ascii="Times New Roman" w:hAnsi="Times New Roman"/>
        </w:rPr>
        <w:t>i</w:t>
      </w:r>
      <w:r>
        <w:rPr>
          <w:rFonts w:ascii="Times New Roman" w:hAnsi="Times New Roman"/>
        </w:rPr>
        <w:t>ausiai</w:t>
      </w:r>
      <w:r w:rsidRPr="006A2591">
        <w:rPr>
          <w:rFonts w:ascii="Times New Roman" w:hAnsi="Times New Roman"/>
        </w:rPr>
        <w:t xml:space="preserve"> tabletės geriamos kartą per </w:t>
      </w:r>
      <w:r>
        <w:rPr>
          <w:rFonts w:ascii="Times New Roman" w:hAnsi="Times New Roman"/>
        </w:rPr>
        <w:t>parą</w:t>
      </w:r>
      <w:r w:rsidRPr="006A2591">
        <w:rPr>
          <w:rFonts w:ascii="Times New Roman" w:hAnsi="Times New Roman"/>
        </w:rPr>
        <w:t xml:space="preserve"> vakarienės metu.</w:t>
      </w:r>
    </w:p>
    <w:p w14:paraId="12BE0C87" w14:textId="77777777" w:rsidR="00601C8B" w:rsidRPr="006A2591" w:rsidRDefault="00601C8B" w:rsidP="00601C8B">
      <w:pPr>
        <w:pStyle w:val="Betarp"/>
        <w:rPr>
          <w:rFonts w:ascii="Times New Roman" w:hAnsi="Times New Roman"/>
        </w:rPr>
      </w:pPr>
    </w:p>
    <w:p w14:paraId="1FF3455A" w14:textId="5A3552CB" w:rsidR="00601C8B" w:rsidRPr="006A2591" w:rsidRDefault="00601C8B" w:rsidP="00601C8B">
      <w:pPr>
        <w:pStyle w:val="Betarp"/>
        <w:rPr>
          <w:rFonts w:ascii="Times New Roman" w:hAnsi="Times New Roman"/>
        </w:rPr>
      </w:pPr>
      <w:r w:rsidRPr="006A2591">
        <w:rPr>
          <w:rFonts w:ascii="Times New Roman" w:hAnsi="Times New Roman"/>
        </w:rPr>
        <w:t xml:space="preserve">Kai kuriais atvejais gydytojas gali </w:t>
      </w:r>
      <w:r w:rsidR="006565EA">
        <w:rPr>
          <w:rFonts w:ascii="Times New Roman" w:hAnsi="Times New Roman"/>
        </w:rPr>
        <w:t>J</w:t>
      </w:r>
      <w:r w:rsidRPr="006A2591">
        <w:rPr>
          <w:rFonts w:ascii="Times New Roman" w:hAnsi="Times New Roman"/>
        </w:rPr>
        <w:t xml:space="preserve">ums rekomenduoti vartoti tabletes du kartus per </w:t>
      </w:r>
      <w:r>
        <w:rPr>
          <w:rFonts w:ascii="Times New Roman" w:hAnsi="Times New Roman"/>
        </w:rPr>
        <w:t>parą</w:t>
      </w:r>
      <w:r w:rsidRPr="006A2591">
        <w:rPr>
          <w:rFonts w:ascii="Times New Roman" w:hAnsi="Times New Roman"/>
        </w:rPr>
        <w:t>. Visada vartokite tabletes su maistu.</w:t>
      </w:r>
    </w:p>
    <w:p w14:paraId="52B84AE9" w14:textId="77777777" w:rsidR="00601C8B" w:rsidRPr="006A2591" w:rsidRDefault="00601C8B" w:rsidP="00601C8B">
      <w:pPr>
        <w:pStyle w:val="Betarp"/>
        <w:rPr>
          <w:rFonts w:ascii="Times New Roman" w:hAnsi="Times New Roman"/>
        </w:rPr>
      </w:pPr>
    </w:p>
    <w:p w14:paraId="031EB5D9" w14:textId="77777777" w:rsidR="00601C8B" w:rsidRPr="006A2591" w:rsidRDefault="00601C8B" w:rsidP="00E85904">
      <w:pPr>
        <w:pStyle w:val="BTEMEASMCA"/>
      </w:pPr>
      <w:r w:rsidRPr="006A2591">
        <w:t>Nurykite tabletes ir užsigerkite vandeniu, jų nekramtykite.</w:t>
      </w:r>
    </w:p>
    <w:p w14:paraId="4C32FA35" w14:textId="77777777" w:rsidR="00601C8B" w:rsidRPr="006A2591" w:rsidRDefault="00601C8B" w:rsidP="00601C8B">
      <w:pPr>
        <w:pStyle w:val="Pagrindinistekstas"/>
        <w:spacing w:after="0"/>
        <w:rPr>
          <w:szCs w:val="22"/>
        </w:rPr>
      </w:pPr>
    </w:p>
    <w:p w14:paraId="5AB59BD2" w14:textId="394C8C85" w:rsidR="00601C8B" w:rsidRPr="006A2591" w:rsidRDefault="00601C8B" w:rsidP="00546178">
      <w:pPr>
        <w:pStyle w:val="PI-3EMEASMCA"/>
      </w:pPr>
      <w:r w:rsidRPr="006A2591">
        <w:t xml:space="preserve">Ką daryti pavartojus per didelę </w:t>
      </w:r>
      <w:proofErr w:type="spellStart"/>
      <w:r>
        <w:t>Tivulin</w:t>
      </w:r>
      <w:proofErr w:type="spellEnd"/>
      <w:r w:rsidRPr="006A2591">
        <w:t xml:space="preserve"> dozę</w:t>
      </w:r>
    </w:p>
    <w:p w14:paraId="0427AC99" w14:textId="7156DC7C" w:rsidR="00601C8B" w:rsidRPr="006A2591" w:rsidRDefault="00601C8B" w:rsidP="00E85904">
      <w:pPr>
        <w:pStyle w:val="BTEMEASMCA"/>
      </w:pPr>
      <w:r w:rsidRPr="006A2591">
        <w:t xml:space="preserve">Jeigu </w:t>
      </w:r>
      <w:r w:rsidR="006565EA">
        <w:t>J</w:t>
      </w:r>
      <w:r w:rsidRPr="006A2591">
        <w:t xml:space="preserve">ūs per klaidą pavartojate per daug tablečių, </w:t>
      </w:r>
      <w:r w:rsidR="006565EA">
        <w:t>J</w:t>
      </w:r>
      <w:r w:rsidRPr="006A2591">
        <w:t xml:space="preserve">ūs neprivalote nerimauti, bet jeigu </w:t>
      </w:r>
      <w:r w:rsidR="006565EA">
        <w:t>J</w:t>
      </w:r>
      <w:r w:rsidRPr="006A2591">
        <w:t xml:space="preserve">ums atsirado neįprastų simptomų, susisiekite su  gydytoju. Jei dozė buvo didelė, tikėtina, kad gali </w:t>
      </w:r>
      <w:r w:rsidR="006565EA">
        <w:t>pasireikšti</w:t>
      </w:r>
      <w:r w:rsidR="006565EA" w:rsidRPr="006A2591">
        <w:t xml:space="preserve"> </w:t>
      </w:r>
      <w:proofErr w:type="spellStart"/>
      <w:r w:rsidRPr="006A2591">
        <w:t>laktatacidozė</w:t>
      </w:r>
      <w:proofErr w:type="spellEnd"/>
      <w:r w:rsidRPr="006A2591">
        <w:t xml:space="preserve">. </w:t>
      </w:r>
      <w:proofErr w:type="spellStart"/>
      <w:r w:rsidRPr="006A2591">
        <w:t>Laktatacidozės</w:t>
      </w:r>
      <w:proofErr w:type="spellEnd"/>
      <w:r w:rsidRPr="006A2591">
        <w:t xml:space="preserve"> požymiai nėra specifiniai: gali būti vėmimas, pilvo skausmas, raumenų mėšlungis, bloga bendra savijauta (didelis nuovargis) ir pasunkėjęs kvėpavimas. </w:t>
      </w:r>
      <w:r>
        <w:t>Kiti simptomai</w:t>
      </w:r>
      <w:r w:rsidRPr="006A2591">
        <w:t xml:space="preserve"> yra sumažėjusi kūno temperatūr</w:t>
      </w:r>
      <w:r>
        <w:t>a</w:t>
      </w:r>
      <w:r w:rsidRPr="006A2591">
        <w:t xml:space="preserve"> ir sulėtėjęs širdies ritmas. Jeigu </w:t>
      </w:r>
      <w:r>
        <w:t>J</w:t>
      </w:r>
      <w:r w:rsidRPr="006A2591">
        <w:t xml:space="preserve">ums atsirado tokių </w:t>
      </w:r>
      <w:r>
        <w:t>simptomų</w:t>
      </w:r>
      <w:r w:rsidRPr="006A2591">
        <w:t xml:space="preserve">, </w:t>
      </w:r>
      <w:r w:rsidRPr="006A2591">
        <w:rPr>
          <w:b/>
        </w:rPr>
        <w:t xml:space="preserve">tuojau pat nustokite vartoti pailginto atpalaidavimo </w:t>
      </w:r>
      <w:proofErr w:type="spellStart"/>
      <w:r>
        <w:rPr>
          <w:b/>
        </w:rPr>
        <w:t>Tivulin</w:t>
      </w:r>
      <w:proofErr w:type="spellEnd"/>
      <w:r w:rsidRPr="006A2591">
        <w:rPr>
          <w:b/>
        </w:rPr>
        <w:t xml:space="preserve"> ir nedelsiant susisiekite su gydytoju ar tiesiai kreipkitės į artimiausią ligoninę</w:t>
      </w:r>
      <w:r w:rsidRPr="006A2591">
        <w:t xml:space="preserve">, nes </w:t>
      </w:r>
      <w:proofErr w:type="spellStart"/>
      <w:r w:rsidRPr="006A2591">
        <w:t>laktatacidozė</w:t>
      </w:r>
      <w:proofErr w:type="spellEnd"/>
      <w:r w:rsidRPr="006A2591">
        <w:t xml:space="preserve"> gali komplikuotis koma.</w:t>
      </w:r>
    </w:p>
    <w:p w14:paraId="01150CE1" w14:textId="77777777" w:rsidR="00601C8B" w:rsidRPr="006A2591" w:rsidRDefault="00601C8B" w:rsidP="00E85904">
      <w:pPr>
        <w:pStyle w:val="BTEMEASMCA"/>
      </w:pPr>
    </w:p>
    <w:p w14:paraId="1F9BB60F" w14:textId="77777777" w:rsidR="00601C8B" w:rsidRPr="006A2591" w:rsidRDefault="00601C8B" w:rsidP="00546178">
      <w:pPr>
        <w:pStyle w:val="PI-3EMEASMCA"/>
      </w:pPr>
      <w:r w:rsidRPr="006A2591">
        <w:t xml:space="preserve">Pamiršus pavartoti </w:t>
      </w:r>
      <w:proofErr w:type="spellStart"/>
      <w:r>
        <w:t>Tivulin</w:t>
      </w:r>
      <w:proofErr w:type="spellEnd"/>
    </w:p>
    <w:p w14:paraId="33A41845" w14:textId="77777777" w:rsidR="00601C8B" w:rsidRPr="006A2591" w:rsidRDefault="00601C8B" w:rsidP="00E85904">
      <w:pPr>
        <w:pStyle w:val="BTEMEASMCA"/>
      </w:pPr>
      <w:r w:rsidRPr="006A2591">
        <w:t xml:space="preserve">Išgerkite praleistą dozę su maistu kai tik prisiminsite. Nevartokite dvigubos dozės norint kompensuoti praleistą. </w:t>
      </w:r>
    </w:p>
    <w:p w14:paraId="3345098A" w14:textId="77777777" w:rsidR="006565EA" w:rsidRDefault="006565EA" w:rsidP="00E85904">
      <w:pPr>
        <w:pStyle w:val="BTEMEASMCA"/>
      </w:pPr>
    </w:p>
    <w:p w14:paraId="7A8BB810" w14:textId="77777777" w:rsidR="006565EA" w:rsidRPr="006A2591" w:rsidRDefault="006565EA" w:rsidP="00E85904">
      <w:pPr>
        <w:pStyle w:val="BTEMEASMCA"/>
      </w:pPr>
      <w:r w:rsidRPr="005D554B">
        <w:rPr>
          <w:noProof/>
          <w:snapToGrid w:val="0"/>
        </w:rPr>
        <w:t>Jeigu kiltų daugiau klausimų dėl šio vaisto vartojimo, kreipkitės į gydytoją arba vaistininką</w:t>
      </w:r>
      <w:r>
        <w:rPr>
          <w:noProof/>
          <w:snapToGrid w:val="0"/>
        </w:rPr>
        <w:t>.</w:t>
      </w:r>
    </w:p>
    <w:p w14:paraId="3943E499" w14:textId="77777777" w:rsidR="00601C8B" w:rsidRPr="006A2591" w:rsidRDefault="00601C8B" w:rsidP="00E85904">
      <w:pPr>
        <w:pStyle w:val="BTEMEASMCA"/>
      </w:pPr>
    </w:p>
    <w:p w14:paraId="7CA59563" w14:textId="77777777" w:rsidR="00601C8B" w:rsidRPr="006A2591" w:rsidRDefault="00601C8B" w:rsidP="00E85904">
      <w:pPr>
        <w:pStyle w:val="BTEMEASMCA"/>
      </w:pPr>
    </w:p>
    <w:p w14:paraId="7760EA5A" w14:textId="77777777" w:rsidR="00601C8B" w:rsidRPr="006A2591" w:rsidRDefault="00601C8B" w:rsidP="00601C8B">
      <w:pPr>
        <w:pStyle w:val="PI-2EMEASMCA"/>
        <w:outlineLvl w:val="9"/>
      </w:pPr>
      <w:r w:rsidRPr="006A2591">
        <w:t>4.</w:t>
      </w:r>
      <w:r w:rsidRPr="006A2591">
        <w:tab/>
        <w:t>Galimas šalutinis poveikis</w:t>
      </w:r>
    </w:p>
    <w:p w14:paraId="5C0B7468" w14:textId="77777777" w:rsidR="00601C8B" w:rsidRPr="006A2591" w:rsidRDefault="00601C8B" w:rsidP="00601C8B">
      <w:pPr>
        <w:pStyle w:val="Pagrindinistekstas"/>
        <w:spacing w:after="0"/>
        <w:rPr>
          <w:szCs w:val="22"/>
        </w:rPr>
      </w:pPr>
    </w:p>
    <w:p w14:paraId="3E7DA168" w14:textId="77777777" w:rsidR="00601C8B" w:rsidRPr="006A2591" w:rsidRDefault="00601C8B" w:rsidP="00E85904">
      <w:pPr>
        <w:pStyle w:val="BTEMEASMCA"/>
      </w:pPr>
      <w:r w:rsidRPr="006A2591">
        <w:rPr>
          <w:noProof/>
        </w:rPr>
        <w:t>Šis vaistas</w:t>
      </w:r>
      <w:r w:rsidRPr="006A2591">
        <w:t>, kaip ir visi kiti, gali sukelti šalutinį poveikį, nors jis pasireiškia ne visiems žmonėms.</w:t>
      </w:r>
    </w:p>
    <w:p w14:paraId="74A5F4A2" w14:textId="77777777" w:rsidR="00601C8B" w:rsidRPr="006A2591" w:rsidRDefault="00601C8B" w:rsidP="00E85904">
      <w:pPr>
        <w:pStyle w:val="BTEMEASMCA"/>
      </w:pPr>
    </w:p>
    <w:p w14:paraId="1DA6F399" w14:textId="2C5564A1" w:rsidR="00601C8B" w:rsidRPr="006A2591" w:rsidRDefault="00601C8B" w:rsidP="00601C8B">
      <w:pPr>
        <w:pStyle w:val="Betarp"/>
        <w:rPr>
          <w:rFonts w:ascii="Times New Roman" w:hAnsi="Times New Roman"/>
          <w:b/>
        </w:rPr>
      </w:pPr>
      <w:r w:rsidRPr="006A2591">
        <w:rPr>
          <w:rFonts w:ascii="Times New Roman" w:hAnsi="Times New Roman"/>
          <w:b/>
        </w:rPr>
        <w:t>Gali būti tokių šalutinių reiškinių</w:t>
      </w:r>
    </w:p>
    <w:p w14:paraId="28DBFB17" w14:textId="77777777" w:rsidR="00601C8B" w:rsidRPr="006A2591" w:rsidRDefault="00601C8B" w:rsidP="00601C8B">
      <w:pPr>
        <w:pStyle w:val="Betarp"/>
        <w:rPr>
          <w:rFonts w:ascii="Times New Roman" w:hAnsi="Times New Roman"/>
        </w:rPr>
      </w:pPr>
    </w:p>
    <w:p w14:paraId="1A3C7846" w14:textId="63023766" w:rsidR="00601C8B" w:rsidRPr="006A2591" w:rsidRDefault="00601C8B" w:rsidP="00601C8B">
      <w:pPr>
        <w:pStyle w:val="Betarp"/>
        <w:rPr>
          <w:rFonts w:ascii="Times New Roman" w:hAnsi="Times New Roman"/>
        </w:rPr>
      </w:pPr>
      <w:r w:rsidRPr="006A2591">
        <w:rPr>
          <w:rFonts w:ascii="Times New Roman" w:hAnsi="Times New Roman"/>
        </w:rPr>
        <w:lastRenderedPageBreak/>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sukelti labai retą (tai gali pasireikšti ne daugiau kaip 1 iš 10</w:t>
      </w:r>
      <w:r w:rsidR="006565EA">
        <w:rPr>
          <w:rFonts w:ascii="Times New Roman" w:hAnsi="Times New Roman"/>
        </w:rPr>
        <w:t> </w:t>
      </w:r>
      <w:r w:rsidRPr="006A2591">
        <w:rPr>
          <w:rFonts w:ascii="Times New Roman" w:hAnsi="Times New Roman"/>
        </w:rPr>
        <w:t xml:space="preserve">000 vartotojų), tačiau labai sunkų šalutinį poveikį, vadinamą pieno rūgšties </w:t>
      </w:r>
      <w:proofErr w:type="spellStart"/>
      <w:r w:rsidRPr="006A2591">
        <w:rPr>
          <w:rFonts w:ascii="Times New Roman" w:hAnsi="Times New Roman"/>
        </w:rPr>
        <w:t>acidoze</w:t>
      </w:r>
      <w:proofErr w:type="spellEnd"/>
      <w:r w:rsidRPr="006A2591">
        <w:rPr>
          <w:rFonts w:ascii="Times New Roman" w:hAnsi="Times New Roman"/>
        </w:rPr>
        <w:t xml:space="preserve"> ar </w:t>
      </w:r>
      <w:proofErr w:type="spellStart"/>
      <w:r w:rsidRPr="006A2591">
        <w:rPr>
          <w:rFonts w:ascii="Times New Roman" w:hAnsi="Times New Roman"/>
        </w:rPr>
        <w:t>laktatacidoze</w:t>
      </w:r>
      <w:proofErr w:type="spellEnd"/>
      <w:r w:rsidRPr="006A2591">
        <w:rPr>
          <w:rFonts w:ascii="Times New Roman" w:hAnsi="Times New Roman"/>
        </w:rPr>
        <w:t xml:space="preserve"> (žr. skyrių „Įspėjimai ir atsargumo priemonės“). Jeigu taip nutinka, tokiu atveju </w:t>
      </w:r>
      <w:r w:rsidRPr="006A2591">
        <w:rPr>
          <w:rFonts w:ascii="Times New Roman" w:hAnsi="Times New Roman"/>
          <w:b/>
        </w:rPr>
        <w:t xml:space="preserve">tuojau pat nustokite vartoti pailginto atpalaidavimo </w:t>
      </w:r>
      <w:proofErr w:type="spellStart"/>
      <w:r>
        <w:rPr>
          <w:rFonts w:ascii="Times New Roman" w:hAnsi="Times New Roman"/>
          <w:b/>
        </w:rPr>
        <w:t>Tivulin</w:t>
      </w:r>
      <w:proofErr w:type="spellEnd"/>
      <w:r w:rsidRPr="006A2591">
        <w:rPr>
          <w:rFonts w:ascii="Times New Roman" w:hAnsi="Times New Roman"/>
          <w:b/>
        </w:rPr>
        <w:t xml:space="preserve"> ir nedelsiant susisiekite su gydytoju ar tiesiai kreipkitės į artimiausią ligoninę</w:t>
      </w:r>
      <w:r w:rsidRPr="006A2591">
        <w:rPr>
          <w:rFonts w:ascii="Times New Roman" w:hAnsi="Times New Roman"/>
        </w:rPr>
        <w:t xml:space="preserve">, nes </w:t>
      </w:r>
      <w:proofErr w:type="spellStart"/>
      <w:r w:rsidRPr="006A2591">
        <w:rPr>
          <w:rFonts w:ascii="Times New Roman" w:hAnsi="Times New Roman"/>
        </w:rPr>
        <w:t>laktatacidozė</w:t>
      </w:r>
      <w:proofErr w:type="spellEnd"/>
      <w:r w:rsidRPr="006A2591">
        <w:rPr>
          <w:rFonts w:ascii="Times New Roman" w:hAnsi="Times New Roman"/>
        </w:rPr>
        <w:t xml:space="preserve"> gali komplikuotis koma. </w:t>
      </w:r>
    </w:p>
    <w:p w14:paraId="1CDEE3E2" w14:textId="77777777" w:rsidR="00601C8B" w:rsidRPr="006A2591" w:rsidRDefault="00601C8B" w:rsidP="00601C8B">
      <w:pPr>
        <w:pStyle w:val="Betarp"/>
        <w:rPr>
          <w:rFonts w:ascii="Times New Roman" w:hAnsi="Times New Roman"/>
        </w:rPr>
      </w:pPr>
    </w:p>
    <w:p w14:paraId="2DD90F66"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provokuoti nenormalius kepenų funkcijų tyrimo rezultatus ir sukelti hepatitą (kepenų uždegimą), kuris gali pasireikšti gelta (tai gali atsitikti </w:t>
      </w:r>
      <w:r>
        <w:rPr>
          <w:rFonts w:ascii="Times New Roman" w:hAnsi="Times New Roman"/>
        </w:rPr>
        <w:t xml:space="preserve">rečiau kaip </w:t>
      </w:r>
      <w:r w:rsidRPr="006A2591">
        <w:rPr>
          <w:rFonts w:ascii="Times New Roman" w:hAnsi="Times New Roman"/>
        </w:rPr>
        <w:t xml:space="preserve">1 iš 10 000 vartotojų). Jeigu jums pagelto akys ar (arba) oda, </w:t>
      </w:r>
      <w:r w:rsidRPr="006A2591">
        <w:rPr>
          <w:rFonts w:ascii="Times New Roman" w:hAnsi="Times New Roman"/>
          <w:b/>
        </w:rPr>
        <w:t>nedelsiant susisiekite su savo gydytoju</w:t>
      </w:r>
      <w:r w:rsidRPr="006A2591">
        <w:rPr>
          <w:rFonts w:ascii="Times New Roman" w:hAnsi="Times New Roman"/>
        </w:rPr>
        <w:t>.</w:t>
      </w:r>
    </w:p>
    <w:p w14:paraId="7B307BAA" w14:textId="77777777" w:rsidR="00601C8B" w:rsidRPr="006A2591" w:rsidRDefault="00601C8B" w:rsidP="00601C8B">
      <w:pPr>
        <w:pStyle w:val="Betarp"/>
        <w:rPr>
          <w:rFonts w:ascii="Times New Roman" w:hAnsi="Times New Roman"/>
        </w:rPr>
      </w:pPr>
    </w:p>
    <w:p w14:paraId="0E053121" w14:textId="77777777" w:rsidR="00601C8B" w:rsidRPr="006A2591" w:rsidRDefault="00601C8B" w:rsidP="00EE0B84">
      <w:pPr>
        <w:pStyle w:val="Betarp"/>
        <w:keepNext/>
        <w:rPr>
          <w:rFonts w:ascii="Times New Roman" w:hAnsi="Times New Roman"/>
          <w:b/>
        </w:rPr>
      </w:pPr>
      <w:r w:rsidRPr="006A2591">
        <w:rPr>
          <w:rFonts w:ascii="Times New Roman" w:hAnsi="Times New Roman"/>
          <w:b/>
        </w:rPr>
        <w:t>Kiti galimi šalutiniai reiškiniai išdėstyti pagal dažnumą</w:t>
      </w:r>
    </w:p>
    <w:p w14:paraId="783A88F0" w14:textId="77777777" w:rsidR="00601C8B" w:rsidRPr="006A2591" w:rsidRDefault="00601C8B" w:rsidP="00EE0B84">
      <w:pPr>
        <w:pStyle w:val="Betarp"/>
        <w:keepNext/>
        <w:rPr>
          <w:rFonts w:ascii="Times New Roman" w:hAnsi="Times New Roman"/>
        </w:rPr>
      </w:pPr>
      <w:r w:rsidRPr="006A2591">
        <w:rPr>
          <w:rFonts w:ascii="Times New Roman" w:hAnsi="Times New Roman"/>
        </w:rPr>
        <w:t xml:space="preserve"> </w:t>
      </w:r>
    </w:p>
    <w:p w14:paraId="78A46A1A" w14:textId="671425C2" w:rsidR="00601C8B" w:rsidRPr="006565EA" w:rsidRDefault="00FE3681" w:rsidP="00601C8B">
      <w:pPr>
        <w:pStyle w:val="Betarp"/>
        <w:rPr>
          <w:rFonts w:ascii="Times New Roman" w:hAnsi="Times New Roman"/>
          <w:bCs/>
          <w:i/>
          <w:iCs/>
        </w:rPr>
      </w:pPr>
      <w:r w:rsidRPr="00EE0B84">
        <w:rPr>
          <w:rFonts w:ascii="Times New Roman" w:hAnsi="Times New Roman"/>
          <w:bCs/>
          <w:i/>
          <w:iCs/>
        </w:rPr>
        <w:t xml:space="preserve">Labai dažni </w:t>
      </w:r>
      <w:r w:rsidRPr="00EE0B84">
        <w:rPr>
          <w:rFonts w:ascii="Times New Roman" w:hAnsi="Times New Roman"/>
          <w:bCs/>
          <w:i/>
          <w:iCs/>
          <w:noProof/>
          <w:snapToGrid w:val="0"/>
        </w:rPr>
        <w:t xml:space="preserve">šalutinio poveikio reiškiniai </w:t>
      </w:r>
      <w:r w:rsidRPr="00EE0B84">
        <w:rPr>
          <w:rFonts w:ascii="Times New Roman" w:hAnsi="Times New Roman"/>
          <w:bCs/>
          <w:i/>
          <w:iCs/>
        </w:rPr>
        <w:t xml:space="preserve">(gali pasireikšti </w:t>
      </w:r>
      <w:r w:rsidRPr="00EE0B84">
        <w:rPr>
          <w:rFonts w:ascii="Times New Roman" w:hAnsi="Times New Roman"/>
          <w:bCs/>
          <w:i/>
          <w:iCs/>
          <w:noProof/>
          <w:snapToGrid w:val="0"/>
        </w:rPr>
        <w:t>ne rečiau kaip</w:t>
      </w:r>
      <w:r w:rsidRPr="00EE0B84">
        <w:rPr>
          <w:rFonts w:ascii="Times New Roman" w:hAnsi="Times New Roman"/>
          <w:bCs/>
          <w:i/>
          <w:iCs/>
        </w:rPr>
        <w:t xml:space="preserve"> 1 iš 10 </w:t>
      </w:r>
      <w:r w:rsidRPr="00EE0B84">
        <w:rPr>
          <w:rFonts w:ascii="Times New Roman" w:hAnsi="Times New Roman"/>
          <w:bCs/>
          <w:i/>
          <w:iCs/>
          <w:noProof/>
          <w:snapToGrid w:val="0"/>
        </w:rPr>
        <w:t>asmenų</w:t>
      </w:r>
      <w:r w:rsidRPr="00EE0B84">
        <w:rPr>
          <w:rFonts w:ascii="Times New Roman" w:hAnsi="Times New Roman"/>
          <w:bCs/>
          <w:i/>
          <w:iCs/>
        </w:rPr>
        <w:t>)</w:t>
      </w:r>
    </w:p>
    <w:p w14:paraId="129CA027" w14:textId="0AF97E4A" w:rsidR="00C7043D" w:rsidRDefault="00601C8B">
      <w:pPr>
        <w:pStyle w:val="Betarp"/>
        <w:ind w:left="284" w:hanging="284"/>
        <w:rPr>
          <w:rFonts w:ascii="Times New Roman" w:hAnsi="Times New Roman"/>
        </w:rPr>
      </w:pPr>
      <w:r w:rsidRPr="006A2591">
        <w:rPr>
          <w:rFonts w:ascii="Times New Roman" w:hAnsi="Times New Roman"/>
        </w:rPr>
        <w:t>►</w:t>
      </w:r>
      <w:r w:rsidR="006565EA">
        <w:rPr>
          <w:rFonts w:ascii="Times New Roman" w:hAnsi="Times New Roman"/>
        </w:rPr>
        <w:t xml:space="preserve"> </w:t>
      </w:r>
      <w:r w:rsidRPr="006A2591">
        <w:rPr>
          <w:rFonts w:ascii="Times New Roman" w:hAnsi="Times New Roman"/>
        </w:rPr>
        <w:t xml:space="preserve">Viduriavimas, pykinimas, vėmimas, pilvo skausmas, apetito netekimas. Jeigu </w:t>
      </w:r>
      <w:r>
        <w:rPr>
          <w:rFonts w:ascii="Times New Roman" w:hAnsi="Times New Roman"/>
        </w:rPr>
        <w:t>J</w:t>
      </w:r>
      <w:r w:rsidRPr="006A2591">
        <w:rPr>
          <w:rFonts w:ascii="Times New Roman" w:hAnsi="Times New Roman"/>
        </w:rPr>
        <w:t xml:space="preserve">ums atsiranda minėtų šalutinių reiškinių, nenustokite vartoti tablečių, nes visi šie simptomai </w:t>
      </w:r>
      <w:r>
        <w:rPr>
          <w:rFonts w:ascii="Times New Roman" w:hAnsi="Times New Roman"/>
        </w:rPr>
        <w:t>dažniausiai</w:t>
      </w:r>
      <w:r w:rsidRPr="006A2591">
        <w:rPr>
          <w:rFonts w:ascii="Times New Roman" w:hAnsi="Times New Roman"/>
        </w:rPr>
        <w:t xml:space="preserve"> per 2</w:t>
      </w:r>
      <w:r w:rsidR="006565EA">
        <w:rPr>
          <w:rFonts w:ascii="Times New Roman" w:hAnsi="Times New Roman"/>
        </w:rPr>
        <w:t> </w:t>
      </w:r>
      <w:r w:rsidRPr="006A2591">
        <w:rPr>
          <w:rFonts w:ascii="Times New Roman" w:hAnsi="Times New Roman"/>
        </w:rPr>
        <w:t xml:space="preserve">savaites išnyksta savaime. </w:t>
      </w:r>
    </w:p>
    <w:p w14:paraId="56875EA8" w14:textId="403D8178" w:rsidR="00601C8B" w:rsidRPr="006A2591" w:rsidRDefault="00601C8B" w:rsidP="00EE0B84">
      <w:pPr>
        <w:pStyle w:val="Betarp"/>
        <w:ind w:left="284"/>
        <w:rPr>
          <w:rFonts w:ascii="Times New Roman" w:hAnsi="Times New Roman"/>
        </w:rPr>
      </w:pPr>
      <w:r w:rsidRPr="006A2591">
        <w:rPr>
          <w:rFonts w:ascii="Times New Roman" w:hAnsi="Times New Roman"/>
        </w:rPr>
        <w:t>Norint išvengti šių požymių, tabletes rekomenduojama gerti valgant ar pavalgius.</w:t>
      </w:r>
    </w:p>
    <w:p w14:paraId="22472C93" w14:textId="77777777" w:rsidR="00601C8B" w:rsidRPr="006A2591" w:rsidRDefault="00601C8B" w:rsidP="00601C8B">
      <w:pPr>
        <w:pStyle w:val="Betarp"/>
        <w:rPr>
          <w:rFonts w:ascii="Times New Roman" w:hAnsi="Times New Roman"/>
        </w:rPr>
      </w:pPr>
    </w:p>
    <w:p w14:paraId="1F85B934" w14:textId="0B136DD4" w:rsidR="00601C8B" w:rsidRPr="006565EA" w:rsidRDefault="00FE3681" w:rsidP="00601C8B">
      <w:pPr>
        <w:pStyle w:val="Betarp"/>
        <w:rPr>
          <w:rFonts w:ascii="Times New Roman" w:hAnsi="Times New Roman"/>
          <w:bCs/>
          <w:i/>
          <w:iCs/>
        </w:rPr>
      </w:pPr>
      <w:r w:rsidRPr="00EE0B84">
        <w:rPr>
          <w:rFonts w:ascii="Times New Roman" w:hAnsi="Times New Roman"/>
          <w:bCs/>
          <w:i/>
          <w:iCs/>
        </w:rPr>
        <w:t xml:space="preserve">Dažni </w:t>
      </w:r>
      <w:r w:rsidRPr="00EE0B84">
        <w:rPr>
          <w:rFonts w:ascii="Times New Roman" w:hAnsi="Times New Roman"/>
          <w:bCs/>
          <w:i/>
          <w:iCs/>
          <w:noProof/>
          <w:snapToGrid w:val="0"/>
        </w:rPr>
        <w:t xml:space="preserve">šalutinio poveikio reiškiniai </w:t>
      </w:r>
      <w:r w:rsidRPr="00EE0B84">
        <w:rPr>
          <w:rFonts w:ascii="Times New Roman" w:hAnsi="Times New Roman"/>
          <w:bCs/>
          <w:i/>
          <w:iCs/>
        </w:rPr>
        <w:t xml:space="preserve">(gali pasireikšti rečiau kaip 1 iš 10 </w:t>
      </w:r>
      <w:r w:rsidRPr="00EE0B84">
        <w:rPr>
          <w:rFonts w:ascii="Times New Roman" w:hAnsi="Times New Roman"/>
          <w:bCs/>
          <w:i/>
          <w:iCs/>
          <w:noProof/>
          <w:snapToGrid w:val="0"/>
        </w:rPr>
        <w:t>asmenų</w:t>
      </w:r>
      <w:r w:rsidRPr="00EE0B84">
        <w:rPr>
          <w:rFonts w:ascii="Times New Roman" w:hAnsi="Times New Roman"/>
          <w:bCs/>
          <w:i/>
          <w:iCs/>
        </w:rPr>
        <w:t>)</w:t>
      </w:r>
      <w:r w:rsidR="00601C8B" w:rsidRPr="006565EA">
        <w:rPr>
          <w:rFonts w:ascii="Times New Roman" w:hAnsi="Times New Roman"/>
          <w:bCs/>
          <w:i/>
          <w:iCs/>
        </w:rPr>
        <w:t>:</w:t>
      </w:r>
    </w:p>
    <w:p w14:paraId="681EC366" w14:textId="2701089E" w:rsidR="00601C8B" w:rsidRDefault="00601C8B" w:rsidP="00601C8B">
      <w:pPr>
        <w:pStyle w:val="Betarp"/>
        <w:rPr>
          <w:rFonts w:ascii="Times New Roman" w:hAnsi="Times New Roman"/>
        </w:rPr>
      </w:pPr>
      <w:r w:rsidRPr="006A2591">
        <w:rPr>
          <w:rFonts w:ascii="Times New Roman" w:hAnsi="Times New Roman"/>
        </w:rPr>
        <w:t>►</w:t>
      </w:r>
      <w:r w:rsidR="006565EA">
        <w:rPr>
          <w:rFonts w:ascii="Times New Roman" w:hAnsi="Times New Roman"/>
        </w:rPr>
        <w:t xml:space="preserve"> </w:t>
      </w:r>
      <w:r w:rsidRPr="006A2591">
        <w:rPr>
          <w:rFonts w:ascii="Times New Roman" w:hAnsi="Times New Roman"/>
        </w:rPr>
        <w:t>Skonio sutrikimai.</w:t>
      </w:r>
    </w:p>
    <w:p w14:paraId="021F9FDF" w14:textId="206E8532" w:rsidR="006565EA" w:rsidRPr="006A2591" w:rsidRDefault="006565EA" w:rsidP="00EE0B84">
      <w:pPr>
        <w:pStyle w:val="Betarp"/>
        <w:ind w:left="284" w:hanging="284"/>
        <w:rPr>
          <w:rFonts w:ascii="Times New Roman" w:hAnsi="Times New Roman"/>
        </w:rPr>
      </w:pPr>
      <w:r w:rsidRPr="00AA686F">
        <w:rPr>
          <w:rFonts w:ascii="Times New Roman" w:hAnsi="Times New Roman"/>
        </w:rPr>
        <w:t>►</w:t>
      </w:r>
      <w:r>
        <w:rPr>
          <w:rFonts w:ascii="Times New Roman" w:hAnsi="Times New Roman"/>
        </w:rPr>
        <w:t xml:space="preserve"> Vitamino </w:t>
      </w:r>
      <w:r w:rsidRPr="00FC682A">
        <w:rPr>
          <w:rFonts w:ascii="Times New Roman" w:hAnsi="Times New Roman"/>
        </w:rPr>
        <w:t>B12</w:t>
      </w:r>
      <w:r>
        <w:rPr>
          <w:rFonts w:ascii="Times New Roman" w:hAnsi="Times New Roman"/>
        </w:rPr>
        <w:t xml:space="preserve"> kiekio kraujyje sumažėjimas arba maža vitamino </w:t>
      </w:r>
      <w:r w:rsidRPr="00FC682A">
        <w:rPr>
          <w:rFonts w:ascii="Times New Roman" w:hAnsi="Times New Roman"/>
        </w:rPr>
        <w:t>B12</w:t>
      </w:r>
      <w:r>
        <w:rPr>
          <w:rFonts w:ascii="Times New Roman" w:hAnsi="Times New Roman"/>
        </w:rPr>
        <w:t xml:space="preserve"> koncentracija (</w:t>
      </w:r>
      <w:r w:rsidRPr="00FF3F01">
        <w:rPr>
          <w:rFonts w:ascii="Times New Roman" w:hAnsi="Times New Roman"/>
        </w:rPr>
        <w:t xml:space="preserve">simptomai gali būti labai didelis nuovargis), skausmingas ir raudonas liežuvis (glositas), </w:t>
      </w:r>
      <w:r>
        <w:rPr>
          <w:rFonts w:ascii="Times New Roman" w:hAnsi="Times New Roman"/>
        </w:rPr>
        <w:t>dilgsėjimas ir dygsėjimas</w:t>
      </w:r>
      <w:r w:rsidRPr="00FF3F01">
        <w:rPr>
          <w:rFonts w:ascii="Times New Roman" w:hAnsi="Times New Roman"/>
        </w:rPr>
        <w:t xml:space="preserve"> (</w:t>
      </w:r>
      <w:proofErr w:type="spellStart"/>
      <w:r w:rsidRPr="00FF3F01">
        <w:rPr>
          <w:rFonts w:ascii="Times New Roman" w:hAnsi="Times New Roman"/>
        </w:rPr>
        <w:t>parestezija</w:t>
      </w:r>
      <w:proofErr w:type="spellEnd"/>
      <w:r w:rsidRPr="00FF3F01">
        <w:rPr>
          <w:rFonts w:ascii="Times New Roman" w:hAnsi="Times New Roman"/>
        </w:rPr>
        <w:t>), blyški arba geltona oda</w:t>
      </w:r>
      <w:r>
        <w:rPr>
          <w:rFonts w:ascii="Times New Roman" w:hAnsi="Times New Roman"/>
        </w:rPr>
        <w:t>)</w:t>
      </w:r>
      <w:r w:rsidRPr="00FF3F01">
        <w:rPr>
          <w:rFonts w:ascii="Times New Roman" w:hAnsi="Times New Roman"/>
        </w:rPr>
        <w:t>.</w:t>
      </w:r>
      <w:r w:rsidRPr="00462344">
        <w:t xml:space="preserve"> </w:t>
      </w:r>
      <w:r w:rsidRPr="00462344">
        <w:rPr>
          <w:rFonts w:ascii="Times New Roman" w:hAnsi="Times New Roman"/>
        </w:rPr>
        <w:t>Gydytojas gali paskirti</w:t>
      </w:r>
      <w:r>
        <w:rPr>
          <w:rFonts w:ascii="Times New Roman" w:hAnsi="Times New Roman"/>
        </w:rPr>
        <w:t xml:space="preserve"> Jums atlikti</w:t>
      </w:r>
      <w:r w:rsidRPr="00462344">
        <w:rPr>
          <w:rFonts w:ascii="Times New Roman" w:hAnsi="Times New Roman"/>
        </w:rPr>
        <w:t xml:space="preserve"> tam tikrus tyrimus, kad išsiaiškintų </w:t>
      </w:r>
      <w:r>
        <w:rPr>
          <w:rFonts w:ascii="Times New Roman" w:hAnsi="Times New Roman"/>
        </w:rPr>
        <w:t>J</w:t>
      </w:r>
      <w:r w:rsidRPr="00462344">
        <w:rPr>
          <w:rFonts w:ascii="Times New Roman" w:hAnsi="Times New Roman"/>
        </w:rPr>
        <w:t>ūsų simptomų priežastį, nes kai kuri</w:t>
      </w:r>
      <w:r>
        <w:rPr>
          <w:rFonts w:ascii="Times New Roman" w:hAnsi="Times New Roman"/>
        </w:rPr>
        <w:t>uos</w:t>
      </w:r>
      <w:r w:rsidRPr="00462344">
        <w:rPr>
          <w:rFonts w:ascii="Times New Roman" w:hAnsi="Times New Roman"/>
        </w:rPr>
        <w:t xml:space="preserve"> jų taip pat gali sukelti</w:t>
      </w:r>
      <w:r w:rsidR="00A93753">
        <w:rPr>
          <w:rFonts w:ascii="Times New Roman" w:hAnsi="Times New Roman"/>
        </w:rPr>
        <w:t xml:space="preserve"> cukrinis</w:t>
      </w:r>
      <w:r w:rsidRPr="00462344">
        <w:rPr>
          <w:rFonts w:ascii="Times New Roman" w:hAnsi="Times New Roman"/>
        </w:rPr>
        <w:t xml:space="preserve"> diabet</w:t>
      </w:r>
      <w:r>
        <w:rPr>
          <w:rFonts w:ascii="Times New Roman" w:hAnsi="Times New Roman"/>
        </w:rPr>
        <w:t>as</w:t>
      </w:r>
      <w:r w:rsidRPr="00462344">
        <w:rPr>
          <w:rFonts w:ascii="Times New Roman" w:hAnsi="Times New Roman"/>
        </w:rPr>
        <w:t xml:space="preserve"> arba kit</w:t>
      </w:r>
      <w:r>
        <w:rPr>
          <w:rFonts w:ascii="Times New Roman" w:hAnsi="Times New Roman"/>
        </w:rPr>
        <w:t>i</w:t>
      </w:r>
      <w:r w:rsidRPr="00462344">
        <w:rPr>
          <w:rFonts w:ascii="Times New Roman" w:hAnsi="Times New Roman"/>
        </w:rPr>
        <w:t xml:space="preserve"> nesusij</w:t>
      </w:r>
      <w:r>
        <w:rPr>
          <w:rFonts w:ascii="Times New Roman" w:hAnsi="Times New Roman"/>
        </w:rPr>
        <w:t>ę</w:t>
      </w:r>
      <w:r w:rsidRPr="00462344">
        <w:rPr>
          <w:rFonts w:ascii="Times New Roman" w:hAnsi="Times New Roman"/>
        </w:rPr>
        <w:t xml:space="preserve"> sveikatos sutrikim</w:t>
      </w:r>
      <w:r>
        <w:rPr>
          <w:rFonts w:ascii="Times New Roman" w:hAnsi="Times New Roman"/>
        </w:rPr>
        <w:t>ai</w:t>
      </w:r>
      <w:r w:rsidRPr="00462344">
        <w:rPr>
          <w:rFonts w:ascii="Times New Roman" w:hAnsi="Times New Roman"/>
        </w:rPr>
        <w:t>.</w:t>
      </w:r>
    </w:p>
    <w:p w14:paraId="7F3B1324"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 </w:t>
      </w:r>
    </w:p>
    <w:p w14:paraId="185A4C48" w14:textId="70F35EE4" w:rsidR="00601C8B" w:rsidRPr="006565EA" w:rsidRDefault="00FE3681" w:rsidP="00601C8B">
      <w:pPr>
        <w:pStyle w:val="Betarp"/>
        <w:rPr>
          <w:rFonts w:ascii="Times New Roman" w:hAnsi="Times New Roman"/>
          <w:bCs/>
          <w:i/>
          <w:iCs/>
        </w:rPr>
      </w:pPr>
      <w:r w:rsidRPr="00EE0B84">
        <w:rPr>
          <w:rFonts w:ascii="Times New Roman" w:hAnsi="Times New Roman"/>
          <w:bCs/>
          <w:i/>
          <w:iCs/>
        </w:rPr>
        <w:t xml:space="preserve">Labai reti </w:t>
      </w:r>
      <w:r w:rsidRPr="00EE0B84">
        <w:rPr>
          <w:rFonts w:ascii="Times New Roman" w:hAnsi="Times New Roman"/>
          <w:bCs/>
          <w:i/>
          <w:iCs/>
          <w:noProof/>
          <w:snapToGrid w:val="0"/>
        </w:rPr>
        <w:t xml:space="preserve">šalutinio poveikio reiškiniai </w:t>
      </w:r>
      <w:r w:rsidRPr="00EE0B84">
        <w:rPr>
          <w:rFonts w:ascii="Times New Roman" w:hAnsi="Times New Roman"/>
          <w:bCs/>
          <w:i/>
          <w:iCs/>
        </w:rPr>
        <w:t xml:space="preserve">(gali pasireikšti rečiau </w:t>
      </w:r>
      <w:r w:rsidRPr="00EE0B84">
        <w:rPr>
          <w:rFonts w:ascii="Times New Roman" w:hAnsi="Times New Roman"/>
          <w:bCs/>
          <w:i/>
          <w:iCs/>
          <w:noProof/>
          <w:snapToGrid w:val="0"/>
        </w:rPr>
        <w:t>kaip</w:t>
      </w:r>
      <w:r w:rsidRPr="00EE0B84">
        <w:rPr>
          <w:rFonts w:ascii="Times New Roman" w:hAnsi="Times New Roman"/>
          <w:bCs/>
          <w:i/>
          <w:iCs/>
        </w:rPr>
        <w:t xml:space="preserve"> 1 iš 10 000 </w:t>
      </w:r>
      <w:r w:rsidRPr="00EE0B84">
        <w:rPr>
          <w:rFonts w:ascii="Times New Roman" w:hAnsi="Times New Roman"/>
          <w:bCs/>
          <w:i/>
          <w:iCs/>
          <w:noProof/>
          <w:snapToGrid w:val="0"/>
        </w:rPr>
        <w:t>asmenų</w:t>
      </w:r>
      <w:r w:rsidRPr="00EE0B84">
        <w:rPr>
          <w:rFonts w:ascii="Times New Roman" w:hAnsi="Times New Roman"/>
          <w:bCs/>
          <w:i/>
          <w:iCs/>
        </w:rPr>
        <w:t>)</w:t>
      </w:r>
      <w:r w:rsidR="00601C8B" w:rsidRPr="006565EA">
        <w:rPr>
          <w:rFonts w:ascii="Times New Roman" w:hAnsi="Times New Roman"/>
          <w:bCs/>
          <w:i/>
          <w:iCs/>
        </w:rPr>
        <w:t>:</w:t>
      </w:r>
    </w:p>
    <w:p w14:paraId="70C67946" w14:textId="77777777" w:rsidR="00601C8B" w:rsidRPr="006A2591" w:rsidRDefault="00601C8B" w:rsidP="00E85904">
      <w:pPr>
        <w:pStyle w:val="BTEMEASMCA"/>
      </w:pPr>
      <w:r w:rsidRPr="006A2591">
        <w:t>►Odos bėrimas, įskaitant paraudimą, niežėjimą ir dilgėlinę.</w:t>
      </w:r>
    </w:p>
    <w:p w14:paraId="092762E7" w14:textId="77777777" w:rsidR="00601C8B" w:rsidRPr="006A2591" w:rsidRDefault="00601C8B" w:rsidP="00E85904">
      <w:pPr>
        <w:pStyle w:val="BTEMEASMCA"/>
      </w:pPr>
    </w:p>
    <w:p w14:paraId="4709DDC2" w14:textId="77777777" w:rsidR="00601C8B" w:rsidRPr="006A2591" w:rsidRDefault="00601C8B" w:rsidP="00601C8B">
      <w:pPr>
        <w:rPr>
          <w:b/>
          <w:szCs w:val="22"/>
        </w:rPr>
      </w:pPr>
      <w:r w:rsidRPr="006A2591">
        <w:rPr>
          <w:b/>
          <w:noProof/>
          <w:szCs w:val="22"/>
        </w:rPr>
        <w:t>Pranešimas apie šalutinį poveikį</w:t>
      </w:r>
    </w:p>
    <w:p w14:paraId="608D2AE6" w14:textId="7389DD9A" w:rsidR="00601C8B" w:rsidRPr="006A2591" w:rsidRDefault="00E212AE" w:rsidP="00E85904">
      <w:pPr>
        <w:pStyle w:val="BTEMEASMCA"/>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+370 800 73 568. Pranešdami apie šalutinį poveikį galite mums padėti gauti daugiau informacijos apie šio vaisto saugumą</w:t>
      </w:r>
      <w:r w:rsidR="00FE3681" w:rsidRPr="00AA686F">
        <w:t>.</w:t>
      </w:r>
    </w:p>
    <w:p w14:paraId="22B3A813" w14:textId="77777777" w:rsidR="00601C8B" w:rsidRPr="006A2591" w:rsidRDefault="00601C8B" w:rsidP="00E85904">
      <w:pPr>
        <w:pStyle w:val="BTEMEASMCA"/>
      </w:pPr>
    </w:p>
    <w:p w14:paraId="6143B7AB" w14:textId="77777777" w:rsidR="00601C8B" w:rsidRPr="006A2591" w:rsidRDefault="00601C8B" w:rsidP="00E85904">
      <w:pPr>
        <w:pStyle w:val="BTEMEASMCA"/>
      </w:pPr>
    </w:p>
    <w:p w14:paraId="7DEA01FF" w14:textId="77777777" w:rsidR="00601C8B" w:rsidRPr="006A2591" w:rsidRDefault="00601C8B" w:rsidP="00601C8B">
      <w:pPr>
        <w:pStyle w:val="PI-2EMEASMCA"/>
        <w:outlineLvl w:val="9"/>
      </w:pPr>
      <w:r w:rsidRPr="006A2591">
        <w:t>5.</w:t>
      </w:r>
      <w:r w:rsidRPr="006A2591">
        <w:tab/>
        <w:t xml:space="preserve">Kaip laikyti </w:t>
      </w:r>
      <w:proofErr w:type="spellStart"/>
      <w:r>
        <w:t>Tivulin</w:t>
      </w:r>
      <w:proofErr w:type="spellEnd"/>
    </w:p>
    <w:p w14:paraId="155B7C8A" w14:textId="77777777" w:rsidR="00601C8B" w:rsidRPr="006A2591" w:rsidRDefault="00601C8B" w:rsidP="00E85904">
      <w:pPr>
        <w:pStyle w:val="BTEMEASMCA"/>
      </w:pPr>
    </w:p>
    <w:p w14:paraId="71C578FF" w14:textId="77777777" w:rsidR="00601C8B" w:rsidRPr="006A2591" w:rsidRDefault="00601C8B" w:rsidP="00E85904">
      <w:pPr>
        <w:pStyle w:val="BTEMEASMCA"/>
      </w:pPr>
      <w:r w:rsidRPr="006A2591">
        <w:t>Šį vaistą laikykite vaikams nepastebimoje ir nepasiekiamoje vietoje.</w:t>
      </w:r>
    </w:p>
    <w:p w14:paraId="3FBFB7B0" w14:textId="77777777" w:rsidR="00601C8B" w:rsidRPr="006A2591" w:rsidRDefault="00601C8B" w:rsidP="00E85904">
      <w:pPr>
        <w:pStyle w:val="BTEMEASMCA"/>
      </w:pPr>
    </w:p>
    <w:p w14:paraId="38F6A7E4" w14:textId="77777777" w:rsidR="00601C8B" w:rsidRPr="006A2591" w:rsidRDefault="00601C8B" w:rsidP="00E85904">
      <w:pPr>
        <w:pStyle w:val="BTEMEASMCA"/>
      </w:pPr>
      <w:r w:rsidRPr="006A2591">
        <w:t>Ant lizdinės plokštelės ir dėžutės po „</w:t>
      </w:r>
      <w:r w:rsidRPr="00EE0B84">
        <w:rPr>
          <w:i/>
        </w:rPr>
        <w:t>EXP</w:t>
      </w:r>
      <w:r w:rsidRPr="006A2591">
        <w:t>“ nurodytam tinkamumo laikui pasibaigus, šio vaisto vartoti negalima. Vaistas tinka</w:t>
      </w:r>
      <w:r>
        <w:t>mas</w:t>
      </w:r>
      <w:r w:rsidRPr="006A2591">
        <w:t xml:space="preserve"> vartoti iki paskutinės nurodyto mėnesio </w:t>
      </w:r>
      <w:r>
        <w:t>dienos</w:t>
      </w:r>
      <w:r w:rsidRPr="006A2591">
        <w:t>.</w:t>
      </w:r>
    </w:p>
    <w:p w14:paraId="69939E35" w14:textId="77777777" w:rsidR="00601C8B" w:rsidRPr="006A2591" w:rsidRDefault="00601C8B" w:rsidP="00E85904">
      <w:pPr>
        <w:pStyle w:val="BTEMEASMCA"/>
      </w:pPr>
    </w:p>
    <w:p w14:paraId="5F2942ED" w14:textId="77777777" w:rsidR="00601C8B" w:rsidRPr="006A2591" w:rsidRDefault="00601C8B" w:rsidP="00E85904">
      <w:pPr>
        <w:pStyle w:val="BTEMEASMCA"/>
      </w:pPr>
      <w:r w:rsidRPr="006A2591">
        <w:t>Šiam vaistui specialių laikymo sąlygų nereikia.</w:t>
      </w:r>
    </w:p>
    <w:p w14:paraId="4CF9589C" w14:textId="77777777" w:rsidR="00601C8B" w:rsidRPr="006A2591" w:rsidRDefault="00601C8B" w:rsidP="00E85904">
      <w:pPr>
        <w:pStyle w:val="BTEMEASMCA"/>
      </w:pPr>
    </w:p>
    <w:p w14:paraId="14C942B3" w14:textId="77777777" w:rsidR="00601C8B" w:rsidRPr="006A2591" w:rsidRDefault="00601C8B" w:rsidP="00E85904">
      <w:pPr>
        <w:pStyle w:val="BTEMEASMCA"/>
      </w:pPr>
      <w:r w:rsidRPr="006A2591">
        <w:t>Vaistų negalima išmesti į kanalizaciją arba su buitinėmis atliekomis. Kaip išmesti nereikalingus vaistus, klauskite vaistininko. Šios priemonės padės apsaugoti aplinką.</w:t>
      </w:r>
    </w:p>
    <w:p w14:paraId="08108155" w14:textId="77777777" w:rsidR="00601C8B" w:rsidRPr="006A2591" w:rsidRDefault="00601C8B" w:rsidP="00E85904">
      <w:pPr>
        <w:pStyle w:val="BTEMEASMCA"/>
      </w:pPr>
    </w:p>
    <w:p w14:paraId="7C3E451C" w14:textId="77777777" w:rsidR="00601C8B" w:rsidRPr="006A2591" w:rsidRDefault="00601C8B" w:rsidP="00E85904">
      <w:pPr>
        <w:pStyle w:val="BTEMEASMCA"/>
      </w:pPr>
    </w:p>
    <w:p w14:paraId="7BEE3BF4" w14:textId="77777777" w:rsidR="00601C8B" w:rsidRPr="006A2591" w:rsidRDefault="00601C8B" w:rsidP="00601C8B">
      <w:pPr>
        <w:pStyle w:val="PI-2EMEASMCA"/>
        <w:outlineLvl w:val="9"/>
      </w:pPr>
      <w:r w:rsidRPr="006A2591">
        <w:t>6.</w:t>
      </w:r>
      <w:r w:rsidRPr="006A2591">
        <w:tab/>
        <w:t>Pakuotės turinys ir kita informacija</w:t>
      </w:r>
    </w:p>
    <w:p w14:paraId="7D7EF859" w14:textId="77777777" w:rsidR="00601C8B" w:rsidRPr="006A2591" w:rsidRDefault="00601C8B" w:rsidP="00601C8B">
      <w:pPr>
        <w:pStyle w:val="Pagrindinistekstas"/>
        <w:spacing w:after="0"/>
        <w:rPr>
          <w:szCs w:val="22"/>
        </w:rPr>
      </w:pPr>
    </w:p>
    <w:p w14:paraId="0B0A6027" w14:textId="77777777" w:rsidR="00601C8B" w:rsidRPr="006A2591" w:rsidRDefault="00601C8B" w:rsidP="00546178">
      <w:pPr>
        <w:pStyle w:val="PI-3EMEASMCA"/>
      </w:pPr>
      <w:proofErr w:type="spellStart"/>
      <w:r>
        <w:t>Tivulin</w:t>
      </w:r>
      <w:proofErr w:type="spellEnd"/>
      <w:r w:rsidRPr="006A2591">
        <w:t xml:space="preserve"> sudėtis</w:t>
      </w:r>
    </w:p>
    <w:p w14:paraId="28176859" w14:textId="77777777" w:rsidR="00601C8B" w:rsidRPr="006A2591" w:rsidRDefault="00601C8B" w:rsidP="00601C8B">
      <w:pPr>
        <w:pStyle w:val="Betarp"/>
        <w:rPr>
          <w:rFonts w:ascii="Times New Roman" w:hAnsi="Times New Roman"/>
        </w:rPr>
      </w:pPr>
      <w:r w:rsidRPr="006A2591">
        <w:rPr>
          <w:rFonts w:ascii="Times New Roman" w:hAnsi="Times New Roman"/>
        </w:rPr>
        <w:t xml:space="preserve">Veiklioji medžiaga yra </w:t>
      </w:r>
      <w:proofErr w:type="spellStart"/>
      <w:r w:rsidRPr="006A2591">
        <w:rPr>
          <w:rFonts w:ascii="Times New Roman" w:hAnsi="Times New Roman"/>
        </w:rPr>
        <w:t>metformino</w:t>
      </w:r>
      <w:proofErr w:type="spellEnd"/>
      <w:r w:rsidRPr="006A2591">
        <w:rPr>
          <w:rFonts w:ascii="Times New Roman" w:hAnsi="Times New Roman"/>
        </w:rPr>
        <w:t xml:space="preserve"> hidrochloridas.</w:t>
      </w:r>
    </w:p>
    <w:p w14:paraId="250AF04E" w14:textId="77777777" w:rsidR="00601C8B" w:rsidRPr="006A2591" w:rsidRDefault="00601C8B" w:rsidP="00601C8B">
      <w:pPr>
        <w:pStyle w:val="Betarp"/>
        <w:rPr>
          <w:rFonts w:ascii="Times New Roman" w:hAnsi="Times New Roman"/>
        </w:rPr>
      </w:pPr>
    </w:p>
    <w:p w14:paraId="2FB1AF3D" w14:textId="77777777" w:rsidR="00601C8B" w:rsidRPr="006A2591" w:rsidRDefault="00601C8B" w:rsidP="00601C8B">
      <w:pPr>
        <w:pStyle w:val="Betarp"/>
        <w:rPr>
          <w:rFonts w:ascii="Times New Roman" w:hAnsi="Times New Roman"/>
        </w:rPr>
      </w:pPr>
      <w:r w:rsidRPr="006A2591">
        <w:rPr>
          <w:rFonts w:ascii="Times New Roman" w:hAnsi="Times New Roman"/>
        </w:rPr>
        <w:t>Kiekvienoje 500</w:t>
      </w:r>
      <w:r w:rsidRPr="0078470E">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 xml:space="preserve"> tabletėje yra 500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390 mg</w:t>
      </w:r>
      <w:r w:rsidRPr="0078470E">
        <w:rPr>
          <w:rFonts w:ascii="Times New Roman" w:hAnsi="Times New Roman"/>
        </w:rPr>
        <w:t> </w:t>
      </w:r>
      <w:proofErr w:type="spellStart"/>
      <w:r w:rsidRPr="006A2591">
        <w:rPr>
          <w:rFonts w:ascii="Times New Roman" w:hAnsi="Times New Roman"/>
        </w:rPr>
        <w:t>metformino</w:t>
      </w:r>
      <w:proofErr w:type="spellEnd"/>
      <w:r w:rsidRPr="006A2591">
        <w:rPr>
          <w:rFonts w:ascii="Times New Roman" w:hAnsi="Times New Roman"/>
        </w:rPr>
        <w:t>.</w:t>
      </w:r>
    </w:p>
    <w:p w14:paraId="4E9C74E7" w14:textId="77777777" w:rsidR="00601C8B" w:rsidRPr="006A2591" w:rsidRDefault="00601C8B" w:rsidP="00601C8B">
      <w:pPr>
        <w:pStyle w:val="Betarp"/>
        <w:rPr>
          <w:rFonts w:ascii="Times New Roman" w:hAnsi="Times New Roman"/>
        </w:rPr>
      </w:pPr>
    </w:p>
    <w:p w14:paraId="633D8F2B" w14:textId="77777777" w:rsidR="00601C8B" w:rsidRPr="006A2591" w:rsidRDefault="00601C8B" w:rsidP="00601C8B">
      <w:pPr>
        <w:pStyle w:val="Betarp"/>
        <w:rPr>
          <w:rFonts w:ascii="Times New Roman" w:hAnsi="Times New Roman"/>
        </w:rPr>
      </w:pPr>
      <w:r w:rsidRPr="006A2591">
        <w:rPr>
          <w:rFonts w:ascii="Times New Roman" w:hAnsi="Times New Roman"/>
        </w:rPr>
        <w:t>Kiekvienoje 750</w:t>
      </w:r>
      <w:r w:rsidRPr="0078470E">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 xml:space="preserve"> tabletėje yra 750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585</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w:t>
      </w:r>
    </w:p>
    <w:p w14:paraId="4BAA48E0" w14:textId="77777777" w:rsidR="00601C8B" w:rsidRPr="006A2591" w:rsidRDefault="00601C8B" w:rsidP="00601C8B">
      <w:pPr>
        <w:pStyle w:val="Betarp"/>
        <w:rPr>
          <w:rFonts w:ascii="Times New Roman" w:hAnsi="Times New Roman"/>
        </w:rPr>
      </w:pPr>
    </w:p>
    <w:p w14:paraId="5EBA9490" w14:textId="5E496655" w:rsidR="00601C8B" w:rsidRPr="006A2591" w:rsidRDefault="00601C8B" w:rsidP="00601C8B">
      <w:pPr>
        <w:pStyle w:val="Betarp"/>
        <w:rPr>
          <w:rFonts w:ascii="Times New Roman" w:hAnsi="Times New Roman"/>
        </w:rPr>
      </w:pPr>
      <w:r w:rsidRPr="006A2591">
        <w:rPr>
          <w:rFonts w:ascii="Times New Roman" w:hAnsi="Times New Roman"/>
        </w:rPr>
        <w:t>Kiekvienoje 1</w:t>
      </w:r>
      <w:r w:rsidR="006565EA">
        <w:rPr>
          <w:rFonts w:ascii="Times New Roman" w:hAnsi="Times New Roman"/>
        </w:rPr>
        <w:t> </w:t>
      </w:r>
      <w:r w:rsidRPr="006A2591">
        <w:rPr>
          <w:rFonts w:ascii="Times New Roman" w:hAnsi="Times New Roman"/>
        </w:rPr>
        <w:t>000</w:t>
      </w:r>
      <w:r w:rsidRPr="0078470E">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 xml:space="preserve"> tabletėje yra 1</w:t>
      </w:r>
      <w:r w:rsidR="006565EA">
        <w:rPr>
          <w:rFonts w:ascii="Times New Roman" w:hAnsi="Times New Roman"/>
        </w:rPr>
        <w:t> </w:t>
      </w:r>
      <w:r w:rsidRPr="006A2591">
        <w:rPr>
          <w:rFonts w:ascii="Times New Roman" w:hAnsi="Times New Roman"/>
        </w:rPr>
        <w:t>000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780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w:t>
      </w:r>
    </w:p>
    <w:p w14:paraId="36E23453" w14:textId="77777777" w:rsidR="00601C8B" w:rsidRPr="006A2591" w:rsidRDefault="00601C8B" w:rsidP="00601C8B">
      <w:pPr>
        <w:pStyle w:val="Betarp"/>
        <w:rPr>
          <w:rFonts w:ascii="Times New Roman" w:hAnsi="Times New Roman"/>
        </w:rPr>
      </w:pPr>
    </w:p>
    <w:p w14:paraId="1EFE3017" w14:textId="77777777" w:rsidR="00601C8B" w:rsidRPr="006A2591" w:rsidRDefault="00601C8B" w:rsidP="00E85904">
      <w:pPr>
        <w:pStyle w:val="BT-EMEASMCA"/>
      </w:pPr>
      <w:r>
        <w:t>Pagalbinės</w:t>
      </w:r>
      <w:r w:rsidRPr="006A2591">
        <w:t xml:space="preserve"> medžiagos yra magnio </w:t>
      </w:r>
      <w:proofErr w:type="spellStart"/>
      <w:r w:rsidRPr="006A2591">
        <w:t>stearatas</w:t>
      </w:r>
      <w:proofErr w:type="spellEnd"/>
      <w:r w:rsidRPr="006A2591">
        <w:t xml:space="preserve">, </w:t>
      </w:r>
      <w:proofErr w:type="spellStart"/>
      <w:r w:rsidRPr="006A2591">
        <w:t>karmeliozės</w:t>
      </w:r>
      <w:proofErr w:type="spellEnd"/>
      <w:r w:rsidRPr="006A2591">
        <w:t xml:space="preserve"> natri</w:t>
      </w:r>
      <w:r>
        <w:t>o druska, bevandenis koloidinis silicio dioksidas</w:t>
      </w:r>
      <w:r w:rsidRPr="006A2591">
        <w:t xml:space="preserve">, </w:t>
      </w:r>
      <w:proofErr w:type="spellStart"/>
      <w:r w:rsidRPr="006A2591">
        <w:t>hipromeliozė</w:t>
      </w:r>
      <w:proofErr w:type="spellEnd"/>
      <w:r w:rsidRPr="006A2591">
        <w:t>.</w:t>
      </w:r>
    </w:p>
    <w:p w14:paraId="1887B754" w14:textId="77777777" w:rsidR="00601C8B" w:rsidRPr="006A2591" w:rsidRDefault="00601C8B" w:rsidP="00E85904">
      <w:pPr>
        <w:pStyle w:val="BT-EMEASMCA"/>
      </w:pPr>
    </w:p>
    <w:p w14:paraId="2990C43E" w14:textId="77777777" w:rsidR="00601C8B" w:rsidRPr="006A2591" w:rsidRDefault="00601C8B" w:rsidP="00546178">
      <w:pPr>
        <w:pStyle w:val="PI-3EMEASMCA"/>
      </w:pPr>
      <w:proofErr w:type="spellStart"/>
      <w:r>
        <w:t>Tivulin</w:t>
      </w:r>
      <w:proofErr w:type="spellEnd"/>
      <w:r w:rsidRPr="006A2591">
        <w:t xml:space="preserve"> išvaizda ir kiekis pakuotėje</w:t>
      </w:r>
    </w:p>
    <w:p w14:paraId="31C5573D" w14:textId="77777777" w:rsidR="00601C8B" w:rsidRPr="006A2591" w:rsidRDefault="00601C8B" w:rsidP="00601C8B">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500</w:t>
      </w:r>
      <w:r w:rsidRPr="0078470E">
        <w:rPr>
          <w:rFonts w:ascii="Times New Roman" w:hAnsi="Times New Roman"/>
        </w:rPr>
        <w:t> </w:t>
      </w:r>
      <w:r w:rsidRPr="006A2591">
        <w:rPr>
          <w:rFonts w:ascii="Times New Roman" w:hAnsi="Times New Roman"/>
        </w:rPr>
        <w:t>mg</w:t>
      </w:r>
      <w:r>
        <w:rPr>
          <w:rFonts w:ascii="Times New Roman" w:hAnsi="Times New Roman"/>
        </w:rPr>
        <w:t xml:space="preserve"> pailginto atpalaidavimo</w:t>
      </w:r>
      <w:r w:rsidRPr="006A2591">
        <w:rPr>
          <w:rFonts w:ascii="Times New Roman" w:hAnsi="Times New Roman"/>
        </w:rPr>
        <w:t xml:space="preserve"> tabletė yra balta ar beveik balta, kapsulės formos tabletė, kurios vienoje pusėje įspaustas užrašas „SR 500“, o kita pusė lygi. </w:t>
      </w:r>
    </w:p>
    <w:p w14:paraId="7AB09B65" w14:textId="77777777" w:rsidR="00601C8B" w:rsidRPr="006A2591" w:rsidRDefault="00601C8B" w:rsidP="00601C8B">
      <w:pPr>
        <w:pStyle w:val="Betarp"/>
        <w:rPr>
          <w:rFonts w:ascii="Times New Roman" w:hAnsi="Times New Roman"/>
        </w:rPr>
      </w:pPr>
      <w:r w:rsidRPr="006A2591">
        <w:rPr>
          <w:rFonts w:ascii="Times New Roman" w:hAnsi="Times New Roman"/>
        </w:rPr>
        <w:t>Tabletės matmenys: ilgis – 16,50</w:t>
      </w:r>
      <w:r w:rsidRPr="0078470E">
        <w:rPr>
          <w:rFonts w:ascii="Times New Roman" w:hAnsi="Times New Roman"/>
        </w:rPr>
        <w:t> </w:t>
      </w:r>
      <w:r w:rsidRPr="006A2591">
        <w:rPr>
          <w:rFonts w:ascii="Times New Roman" w:hAnsi="Times New Roman"/>
        </w:rPr>
        <w:t>mm, plotis – 8,20</w:t>
      </w:r>
      <w:r w:rsidRPr="0078470E">
        <w:rPr>
          <w:rFonts w:ascii="Times New Roman" w:hAnsi="Times New Roman"/>
        </w:rPr>
        <w:t> </w:t>
      </w:r>
      <w:r w:rsidRPr="006A2591">
        <w:rPr>
          <w:rFonts w:ascii="Times New Roman" w:hAnsi="Times New Roman"/>
        </w:rPr>
        <w:t>mm, storis – 6,10</w:t>
      </w:r>
      <w:r w:rsidRPr="0078470E">
        <w:rPr>
          <w:rFonts w:ascii="Times New Roman" w:hAnsi="Times New Roman"/>
        </w:rPr>
        <w:t> </w:t>
      </w:r>
      <w:r w:rsidRPr="006A2591">
        <w:rPr>
          <w:rFonts w:ascii="Times New Roman" w:hAnsi="Times New Roman"/>
        </w:rPr>
        <w:t>mm.</w:t>
      </w:r>
    </w:p>
    <w:p w14:paraId="64466288" w14:textId="77777777" w:rsidR="00601C8B" w:rsidRPr="006A2591" w:rsidRDefault="00601C8B" w:rsidP="00601C8B">
      <w:pPr>
        <w:pStyle w:val="Betarp"/>
        <w:rPr>
          <w:rFonts w:ascii="Times New Roman" w:hAnsi="Times New Roman"/>
        </w:rPr>
      </w:pPr>
    </w:p>
    <w:p w14:paraId="7B3EEA86" w14:textId="77777777" w:rsidR="00601C8B" w:rsidRPr="006A2591" w:rsidRDefault="00601C8B" w:rsidP="00601C8B">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750</w:t>
      </w:r>
      <w:r w:rsidRPr="0078470E">
        <w:rPr>
          <w:rFonts w:ascii="Times New Roman" w:hAnsi="Times New Roman"/>
        </w:rPr>
        <w:t> </w:t>
      </w:r>
      <w:r w:rsidRPr="006A2591">
        <w:rPr>
          <w:rFonts w:ascii="Times New Roman" w:hAnsi="Times New Roman"/>
        </w:rPr>
        <w:t>mg</w:t>
      </w:r>
      <w:r>
        <w:rPr>
          <w:rFonts w:ascii="Times New Roman" w:hAnsi="Times New Roman"/>
        </w:rPr>
        <w:t xml:space="preserve"> pailginto atpalaidavimo</w:t>
      </w:r>
      <w:r w:rsidRPr="006A2591">
        <w:rPr>
          <w:rFonts w:ascii="Times New Roman" w:hAnsi="Times New Roman"/>
        </w:rPr>
        <w:t xml:space="preserve"> tabletė yra balta ar beveik balta, kapsulės formos tabletė, kurios vienoje pusėje įspaustas užrašas „SR 750“, o kita pusė lygi. </w:t>
      </w:r>
    </w:p>
    <w:p w14:paraId="37B7FED5" w14:textId="77777777" w:rsidR="00601C8B" w:rsidRPr="006A2591" w:rsidRDefault="00601C8B" w:rsidP="00601C8B">
      <w:pPr>
        <w:pStyle w:val="Betarp"/>
        <w:rPr>
          <w:rFonts w:ascii="Times New Roman" w:hAnsi="Times New Roman"/>
        </w:rPr>
      </w:pPr>
      <w:r w:rsidRPr="006A2591">
        <w:rPr>
          <w:rFonts w:ascii="Times New Roman" w:hAnsi="Times New Roman"/>
        </w:rPr>
        <w:t>Tabletės matmenys: ilgis – 19,60</w:t>
      </w:r>
      <w:r w:rsidRPr="0078470E">
        <w:rPr>
          <w:rFonts w:ascii="Times New Roman" w:hAnsi="Times New Roman"/>
        </w:rPr>
        <w:t> </w:t>
      </w:r>
      <w:r w:rsidRPr="006A2591">
        <w:rPr>
          <w:rFonts w:ascii="Times New Roman" w:hAnsi="Times New Roman"/>
        </w:rPr>
        <w:t>mm, plotis – 9,30</w:t>
      </w:r>
      <w:r w:rsidRPr="0078470E">
        <w:rPr>
          <w:rFonts w:ascii="Times New Roman" w:hAnsi="Times New Roman"/>
        </w:rPr>
        <w:t> </w:t>
      </w:r>
      <w:r w:rsidRPr="006A2591">
        <w:rPr>
          <w:rFonts w:ascii="Times New Roman" w:hAnsi="Times New Roman"/>
        </w:rPr>
        <w:t>mm, storis – 6,90</w:t>
      </w:r>
      <w:r w:rsidRPr="0078470E">
        <w:rPr>
          <w:rFonts w:ascii="Times New Roman" w:hAnsi="Times New Roman"/>
        </w:rPr>
        <w:t> </w:t>
      </w:r>
      <w:r w:rsidRPr="006A2591">
        <w:rPr>
          <w:rFonts w:ascii="Times New Roman" w:hAnsi="Times New Roman"/>
        </w:rPr>
        <w:t>mm.</w:t>
      </w:r>
    </w:p>
    <w:p w14:paraId="28B7F770" w14:textId="77777777" w:rsidR="00601C8B" w:rsidRPr="006A2591" w:rsidRDefault="00601C8B" w:rsidP="00601C8B">
      <w:pPr>
        <w:pStyle w:val="Betarp"/>
        <w:rPr>
          <w:rFonts w:ascii="Times New Roman" w:hAnsi="Times New Roman"/>
        </w:rPr>
      </w:pPr>
    </w:p>
    <w:p w14:paraId="349C5729" w14:textId="77738BA6" w:rsidR="00601C8B" w:rsidRPr="006A2591" w:rsidRDefault="00601C8B" w:rsidP="00601C8B">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1</w:t>
      </w:r>
      <w:r w:rsidR="006565EA">
        <w:rPr>
          <w:rFonts w:ascii="Times New Roman" w:hAnsi="Times New Roman"/>
        </w:rPr>
        <w:t> </w:t>
      </w:r>
      <w:r w:rsidRPr="006A2591">
        <w:rPr>
          <w:rFonts w:ascii="Times New Roman" w:hAnsi="Times New Roman"/>
        </w:rPr>
        <w:t>000</w:t>
      </w:r>
      <w:r w:rsidRPr="0078470E">
        <w:rPr>
          <w:rFonts w:ascii="Times New Roman" w:hAnsi="Times New Roman"/>
        </w:rPr>
        <w:t> </w:t>
      </w:r>
      <w:r w:rsidRPr="006A2591">
        <w:rPr>
          <w:rFonts w:ascii="Times New Roman" w:hAnsi="Times New Roman"/>
        </w:rPr>
        <w:t>mg</w:t>
      </w:r>
      <w:r>
        <w:rPr>
          <w:rFonts w:ascii="Times New Roman" w:hAnsi="Times New Roman"/>
        </w:rPr>
        <w:t xml:space="preserve"> pailginto atpalaidavimo</w:t>
      </w:r>
      <w:r w:rsidRPr="006A2591">
        <w:rPr>
          <w:rFonts w:ascii="Times New Roman" w:hAnsi="Times New Roman"/>
        </w:rPr>
        <w:t xml:space="preserve"> tabletė yra balta ar beveik balta, kapsulės formos tabletė, kurios vienoje pusėje įspaustas užrašas „SR 1000“, o kita pusė lygi. </w:t>
      </w:r>
    </w:p>
    <w:p w14:paraId="6CC880B5" w14:textId="77777777" w:rsidR="00601C8B" w:rsidRPr="006A2591" w:rsidRDefault="00601C8B" w:rsidP="00601C8B">
      <w:pPr>
        <w:pStyle w:val="Betarp"/>
        <w:rPr>
          <w:rFonts w:ascii="Times New Roman" w:hAnsi="Times New Roman"/>
        </w:rPr>
      </w:pPr>
      <w:r w:rsidRPr="006A2591">
        <w:rPr>
          <w:rFonts w:ascii="Times New Roman" w:hAnsi="Times New Roman"/>
        </w:rPr>
        <w:t>Tabletės matmenys: ilgis – 22,00</w:t>
      </w:r>
      <w:r w:rsidRPr="0078470E">
        <w:rPr>
          <w:rFonts w:ascii="Times New Roman" w:hAnsi="Times New Roman"/>
        </w:rPr>
        <w:t> </w:t>
      </w:r>
      <w:r w:rsidRPr="006A2591">
        <w:rPr>
          <w:rFonts w:ascii="Times New Roman" w:hAnsi="Times New Roman"/>
        </w:rPr>
        <w:t>mm, plotis – 10,50</w:t>
      </w:r>
      <w:r w:rsidRPr="0078470E">
        <w:rPr>
          <w:rFonts w:ascii="Times New Roman" w:hAnsi="Times New Roman"/>
        </w:rPr>
        <w:t> </w:t>
      </w:r>
      <w:r w:rsidRPr="006A2591">
        <w:rPr>
          <w:rFonts w:ascii="Times New Roman" w:hAnsi="Times New Roman"/>
        </w:rPr>
        <w:t>mm, storis – 8,90</w:t>
      </w:r>
      <w:r w:rsidRPr="0078470E">
        <w:rPr>
          <w:rFonts w:ascii="Times New Roman" w:hAnsi="Times New Roman"/>
        </w:rPr>
        <w:t> </w:t>
      </w:r>
      <w:r w:rsidRPr="006A2591">
        <w:rPr>
          <w:rFonts w:ascii="Times New Roman" w:hAnsi="Times New Roman"/>
        </w:rPr>
        <w:t>mm.</w:t>
      </w:r>
    </w:p>
    <w:p w14:paraId="62FE7E29" w14:textId="77777777" w:rsidR="00601C8B" w:rsidRPr="006A2591" w:rsidRDefault="00601C8B" w:rsidP="00601C8B">
      <w:pPr>
        <w:pStyle w:val="Betarp"/>
        <w:rPr>
          <w:rFonts w:ascii="Times New Roman" w:hAnsi="Times New Roman"/>
        </w:rPr>
      </w:pPr>
    </w:p>
    <w:p w14:paraId="583AE600" w14:textId="77777777" w:rsidR="00601C8B" w:rsidRPr="006A2591" w:rsidRDefault="00601C8B" w:rsidP="00601C8B">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pakuotėje yra 15, 30, 60, 90 arba 120</w:t>
      </w:r>
      <w:r>
        <w:rPr>
          <w:rFonts w:ascii="Times New Roman" w:hAnsi="Times New Roman"/>
        </w:rPr>
        <w:t xml:space="preserve"> pailginto atpalaidavimo</w:t>
      </w:r>
      <w:r w:rsidRPr="006A2591">
        <w:rPr>
          <w:rFonts w:ascii="Times New Roman" w:hAnsi="Times New Roman"/>
        </w:rPr>
        <w:t xml:space="preserve"> tablečių.</w:t>
      </w:r>
    </w:p>
    <w:p w14:paraId="6696788C" w14:textId="77777777" w:rsidR="00601C8B" w:rsidRPr="006A2591" w:rsidRDefault="00601C8B" w:rsidP="00601C8B">
      <w:pPr>
        <w:pStyle w:val="Betarp"/>
        <w:rPr>
          <w:rFonts w:ascii="Times New Roman" w:hAnsi="Times New Roman"/>
        </w:rPr>
      </w:pPr>
    </w:p>
    <w:p w14:paraId="359B77F0" w14:textId="77777777" w:rsidR="00601C8B" w:rsidRPr="006A2591" w:rsidRDefault="00601C8B" w:rsidP="00E85904">
      <w:pPr>
        <w:pStyle w:val="BTEMEASMCA"/>
      </w:pPr>
      <w:r w:rsidRPr="006A2591">
        <w:t xml:space="preserve"> Gali būti tiekiamos ne visų dydžių pakuotės.</w:t>
      </w:r>
    </w:p>
    <w:p w14:paraId="28550D4D" w14:textId="77777777" w:rsidR="00601C8B" w:rsidRPr="006A2591" w:rsidRDefault="00601C8B" w:rsidP="00E85904">
      <w:pPr>
        <w:pStyle w:val="BTEMEASMCA"/>
      </w:pPr>
    </w:p>
    <w:p w14:paraId="61EC1804" w14:textId="77777777" w:rsidR="00601C8B" w:rsidRPr="006A2591" w:rsidRDefault="00601C8B" w:rsidP="00E85904">
      <w:pPr>
        <w:pStyle w:val="BTEMEASMCA"/>
      </w:pPr>
      <w:r w:rsidRPr="006A2591">
        <w:t>Registruotojas ir gamintojas</w:t>
      </w:r>
    </w:p>
    <w:p w14:paraId="39623183" w14:textId="77777777" w:rsidR="00601C8B" w:rsidRPr="006A2591" w:rsidRDefault="00601C8B" w:rsidP="00E85904">
      <w:pPr>
        <w:pStyle w:val="BTEMEASMCA"/>
      </w:pPr>
    </w:p>
    <w:p w14:paraId="07124330" w14:textId="77777777" w:rsidR="00601C8B" w:rsidRPr="00EE0B84" w:rsidRDefault="00601C8B" w:rsidP="00546178">
      <w:pPr>
        <w:pStyle w:val="PI-3EMEASMCA"/>
      </w:pPr>
      <w:r w:rsidRPr="00EE0B84">
        <w:t xml:space="preserve">Registruotojas </w:t>
      </w:r>
    </w:p>
    <w:p w14:paraId="62A83EAF" w14:textId="77777777" w:rsidR="00601C8B" w:rsidRPr="006A2591" w:rsidRDefault="00601C8B" w:rsidP="00E85904">
      <w:pPr>
        <w:pStyle w:val="BTEMEASMCA"/>
      </w:pPr>
      <w:proofErr w:type="spellStart"/>
      <w:r w:rsidRPr="006A2591">
        <w:t>B</w:t>
      </w:r>
      <w:r>
        <w:t>erlin</w:t>
      </w:r>
      <w:r w:rsidRPr="006A2591">
        <w:t>-C</w:t>
      </w:r>
      <w:r>
        <w:t>hemie</w:t>
      </w:r>
      <w:proofErr w:type="spellEnd"/>
      <w:r w:rsidRPr="006A2591">
        <w:t xml:space="preserve"> AG</w:t>
      </w:r>
    </w:p>
    <w:p w14:paraId="6B79ACE4" w14:textId="77777777" w:rsidR="00601C8B" w:rsidRPr="006A2591" w:rsidRDefault="00601C8B" w:rsidP="00E85904">
      <w:pPr>
        <w:pStyle w:val="BTEMEASMCA"/>
      </w:pPr>
      <w:proofErr w:type="spellStart"/>
      <w:r w:rsidRPr="006A2591">
        <w:t>Glienicker</w:t>
      </w:r>
      <w:proofErr w:type="spellEnd"/>
      <w:r w:rsidRPr="006A2591">
        <w:t xml:space="preserve"> </w:t>
      </w:r>
      <w:proofErr w:type="spellStart"/>
      <w:r w:rsidRPr="006A2591">
        <w:t>Weg</w:t>
      </w:r>
      <w:proofErr w:type="spellEnd"/>
      <w:r w:rsidRPr="006A2591">
        <w:t xml:space="preserve"> 125</w:t>
      </w:r>
    </w:p>
    <w:p w14:paraId="35EAA78E" w14:textId="77777777" w:rsidR="00601C8B" w:rsidRDefault="00601C8B" w:rsidP="00E85904">
      <w:pPr>
        <w:pStyle w:val="BTEMEASMCA"/>
      </w:pPr>
      <w:r w:rsidRPr="006A2591">
        <w:t xml:space="preserve">D-12489 </w:t>
      </w:r>
      <w:proofErr w:type="spellStart"/>
      <w:r w:rsidRPr="006A2591">
        <w:t>Berlin</w:t>
      </w:r>
      <w:proofErr w:type="spellEnd"/>
    </w:p>
    <w:p w14:paraId="062ACED4" w14:textId="77777777" w:rsidR="00601C8B" w:rsidRPr="006A2591" w:rsidRDefault="00601C8B" w:rsidP="00E85904">
      <w:pPr>
        <w:pStyle w:val="BTEMEASMCA"/>
      </w:pPr>
      <w:r w:rsidRPr="006A2591">
        <w:t>Vokietija</w:t>
      </w:r>
    </w:p>
    <w:p w14:paraId="334D3F22" w14:textId="77777777" w:rsidR="00601C8B" w:rsidRPr="006A2591" w:rsidRDefault="00601C8B" w:rsidP="00E85904">
      <w:pPr>
        <w:pStyle w:val="BTEMEASMCA"/>
      </w:pPr>
    </w:p>
    <w:p w14:paraId="357BC3F5" w14:textId="77777777" w:rsidR="00601C8B" w:rsidRPr="00546178" w:rsidRDefault="00601C8B" w:rsidP="00546178">
      <w:pPr>
        <w:pStyle w:val="PI-3EMEASMCA"/>
      </w:pPr>
      <w:r w:rsidRPr="00546178">
        <w:t>Gamintojas</w:t>
      </w:r>
    </w:p>
    <w:p w14:paraId="68196837" w14:textId="77777777" w:rsidR="00601C8B" w:rsidRPr="006A2591" w:rsidRDefault="00601C8B" w:rsidP="00E85904">
      <w:pPr>
        <w:pStyle w:val="BTEMEASMCA"/>
      </w:pPr>
      <w:proofErr w:type="spellStart"/>
      <w:r w:rsidRPr="006A2591">
        <w:t>B</w:t>
      </w:r>
      <w:r>
        <w:t>erlin</w:t>
      </w:r>
      <w:r w:rsidRPr="006A2591">
        <w:t>-C</w:t>
      </w:r>
      <w:r>
        <w:t>hemie</w:t>
      </w:r>
      <w:proofErr w:type="spellEnd"/>
      <w:r w:rsidRPr="006A2591">
        <w:t xml:space="preserve"> AG</w:t>
      </w:r>
    </w:p>
    <w:p w14:paraId="31BFFA7F" w14:textId="77777777" w:rsidR="00601C8B" w:rsidRPr="006A2591" w:rsidRDefault="00601C8B" w:rsidP="00E85904">
      <w:pPr>
        <w:pStyle w:val="BTEMEASMCA"/>
      </w:pPr>
      <w:proofErr w:type="spellStart"/>
      <w:r w:rsidRPr="006A2591">
        <w:t>Glienicker</w:t>
      </w:r>
      <w:proofErr w:type="spellEnd"/>
      <w:r w:rsidRPr="006A2591">
        <w:t xml:space="preserve"> </w:t>
      </w:r>
      <w:proofErr w:type="spellStart"/>
      <w:r w:rsidRPr="006A2591">
        <w:t>Weg</w:t>
      </w:r>
      <w:proofErr w:type="spellEnd"/>
      <w:r w:rsidRPr="006A2591">
        <w:t xml:space="preserve"> 125</w:t>
      </w:r>
    </w:p>
    <w:p w14:paraId="2CF99EEC" w14:textId="77777777" w:rsidR="00601C8B" w:rsidRDefault="00601C8B" w:rsidP="00E85904">
      <w:pPr>
        <w:pStyle w:val="BTEMEASMCA"/>
      </w:pPr>
      <w:r w:rsidRPr="006A2591">
        <w:t xml:space="preserve">D-12489 </w:t>
      </w:r>
      <w:proofErr w:type="spellStart"/>
      <w:r w:rsidRPr="006A2591">
        <w:t>Berlin</w:t>
      </w:r>
      <w:proofErr w:type="spellEnd"/>
    </w:p>
    <w:p w14:paraId="7F5293D4" w14:textId="77777777" w:rsidR="00601C8B" w:rsidRPr="006A2591" w:rsidRDefault="00601C8B" w:rsidP="00E85904">
      <w:pPr>
        <w:pStyle w:val="BTEMEASMCA"/>
      </w:pPr>
      <w:r w:rsidRPr="006A2591">
        <w:t>Vokietija</w:t>
      </w:r>
    </w:p>
    <w:p w14:paraId="1DFE32E4" w14:textId="77777777" w:rsidR="00601C8B" w:rsidRPr="006A2591" w:rsidRDefault="00601C8B" w:rsidP="00E85904">
      <w:pPr>
        <w:pStyle w:val="BTEMEASMCA"/>
      </w:pPr>
    </w:p>
    <w:p w14:paraId="3BF30682" w14:textId="77777777" w:rsidR="00601C8B" w:rsidRPr="006A2591" w:rsidRDefault="00601C8B" w:rsidP="00E85904">
      <w:pPr>
        <w:pStyle w:val="BTEMEASMCA"/>
      </w:pPr>
      <w:r w:rsidRPr="006A2591">
        <w:t xml:space="preserve">Jeigu apie šį vaistą norite sužinoti daugiau, kreipkitės į vietinį </w:t>
      </w:r>
      <w:r w:rsidRPr="006A2591">
        <w:rPr>
          <w:noProof/>
        </w:rPr>
        <w:t xml:space="preserve">registruotojo </w:t>
      </w:r>
      <w:r w:rsidRPr="006A2591">
        <w:t>atstovą:</w:t>
      </w:r>
    </w:p>
    <w:p w14:paraId="754D6D1C" w14:textId="77777777" w:rsidR="00601C8B" w:rsidRPr="006A2591" w:rsidRDefault="00601C8B" w:rsidP="00E85904">
      <w:pPr>
        <w:pStyle w:val="BTEMEASMCA"/>
      </w:pPr>
    </w:p>
    <w:tbl>
      <w:tblPr>
        <w:tblW w:w="9322" w:type="dxa"/>
        <w:tblLayout w:type="fixed"/>
        <w:tblLook w:val="0000" w:firstRow="0" w:lastRow="0" w:firstColumn="0" w:lastColumn="0" w:noHBand="0" w:noVBand="0"/>
      </w:tblPr>
      <w:tblGrid>
        <w:gridCol w:w="9322"/>
      </w:tblGrid>
      <w:tr w:rsidR="00601C8B" w:rsidRPr="006A2591" w14:paraId="2154C751" w14:textId="77777777" w:rsidTr="00B962BE">
        <w:tc>
          <w:tcPr>
            <w:tcW w:w="9322" w:type="dxa"/>
          </w:tcPr>
          <w:p w14:paraId="365FBABE" w14:textId="77777777" w:rsidR="00601C8B" w:rsidRPr="006A2591" w:rsidRDefault="00601C8B" w:rsidP="00E85904">
            <w:pPr>
              <w:pStyle w:val="BTEMEASMCA"/>
            </w:pPr>
            <w:r w:rsidRPr="006A2591">
              <w:t>UAB „BERLIN CHEMIE MENARINI BALTIC“</w:t>
            </w:r>
          </w:p>
          <w:p w14:paraId="118BD056" w14:textId="77777777" w:rsidR="00601C8B" w:rsidRPr="006A2591" w:rsidRDefault="00601C8B" w:rsidP="00E85904">
            <w:pPr>
              <w:pStyle w:val="BTEMEASMCA"/>
            </w:pPr>
            <w:proofErr w:type="spellStart"/>
            <w:r w:rsidRPr="006A2591">
              <w:t>J.Jasinskio</w:t>
            </w:r>
            <w:proofErr w:type="spellEnd"/>
            <w:r w:rsidRPr="006A2591">
              <w:t xml:space="preserve"> g. 16A, Vilnius LT-03163</w:t>
            </w:r>
          </w:p>
          <w:p w14:paraId="3BC42765" w14:textId="77777777" w:rsidR="00601C8B" w:rsidRPr="006A2591" w:rsidRDefault="00601C8B" w:rsidP="00E85904">
            <w:pPr>
              <w:pStyle w:val="BTEMEASMCA"/>
            </w:pPr>
            <w:r w:rsidRPr="006A2591">
              <w:t>Tel. +370 5 269 19 47</w:t>
            </w:r>
          </w:p>
          <w:p w14:paraId="6F281159" w14:textId="77777777" w:rsidR="00601C8B" w:rsidRPr="006A2591" w:rsidRDefault="00601C8B" w:rsidP="00E85904">
            <w:pPr>
              <w:pStyle w:val="BTEMEASMCA"/>
            </w:pPr>
          </w:p>
          <w:p w14:paraId="6F2E845B" w14:textId="168BFC03" w:rsidR="00601C8B" w:rsidRPr="006A2591" w:rsidRDefault="00601C8B" w:rsidP="0008454F">
            <w:pPr>
              <w:pStyle w:val="Betarp"/>
              <w:rPr>
                <w:rFonts w:ascii="Times New Roman" w:hAnsi="Times New Roman"/>
              </w:rPr>
            </w:pPr>
            <w:r w:rsidRPr="006A2591">
              <w:rPr>
                <w:rFonts w:ascii="Times New Roman" w:hAnsi="Times New Roman"/>
                <w:b/>
                <w:bCs/>
              </w:rPr>
              <w:t xml:space="preserve">Šis vaistas </w:t>
            </w:r>
            <w:r w:rsidR="00FE3681" w:rsidRPr="00AA686F">
              <w:rPr>
                <w:rFonts w:ascii="Times New Roman" w:hAnsi="Times New Roman"/>
                <w:b/>
                <w:snapToGrid w:val="0"/>
              </w:rPr>
              <w:t>Europos ekonominės erdvės</w:t>
            </w:r>
            <w:r w:rsidRPr="006A2591">
              <w:rPr>
                <w:rFonts w:ascii="Times New Roman" w:hAnsi="Times New Roman"/>
                <w:b/>
                <w:bCs/>
              </w:rPr>
              <w:t xml:space="preserve"> valstybėse narėse </w:t>
            </w:r>
            <w:r w:rsidR="00FE3681" w:rsidRPr="00AA686F">
              <w:rPr>
                <w:rFonts w:ascii="Times New Roman" w:hAnsi="Times New Roman"/>
                <w:b/>
                <w:snapToGrid w:val="0"/>
              </w:rPr>
              <w:t>ir Jungtinėje Karalystėje (Šiaurės Airijoje)</w:t>
            </w:r>
            <w:r w:rsidR="00FE3681">
              <w:rPr>
                <w:rFonts w:ascii="Times New Roman" w:hAnsi="Times New Roman"/>
                <w:b/>
                <w:snapToGrid w:val="0"/>
              </w:rPr>
              <w:t xml:space="preserve"> </w:t>
            </w:r>
            <w:r w:rsidRPr="006A2591">
              <w:rPr>
                <w:rFonts w:ascii="Times New Roman" w:hAnsi="Times New Roman"/>
                <w:b/>
                <w:bCs/>
              </w:rPr>
              <w:t xml:space="preserve">registruotas tokiais pavadinimais: </w:t>
            </w:r>
          </w:p>
          <w:p w14:paraId="66988F2B" w14:textId="77777777" w:rsidR="00601C8B" w:rsidRPr="006A2591" w:rsidRDefault="00601C8B" w:rsidP="0008454F">
            <w:pPr>
              <w:pStyle w:val="Betarp"/>
              <w:rPr>
                <w:rFonts w:ascii="Times New Roman" w:hAnsi="Times New Roman"/>
              </w:rPr>
            </w:pPr>
          </w:p>
          <w:p w14:paraId="05B9450F" w14:textId="77777777" w:rsidR="00601C8B" w:rsidRPr="006A2591" w:rsidRDefault="00601C8B" w:rsidP="0008454F">
            <w:pPr>
              <w:pStyle w:val="Betarp"/>
              <w:rPr>
                <w:rFonts w:ascii="Times New Roman" w:hAnsi="Times New Roman"/>
              </w:rPr>
            </w:pPr>
            <w:r w:rsidRPr="006A2591">
              <w:rPr>
                <w:rFonts w:ascii="Times New Roman" w:hAnsi="Times New Roman"/>
              </w:rPr>
              <w:t>Bulgarija:</w:t>
            </w:r>
            <w:r w:rsidRPr="006A2591">
              <w:rPr>
                <w:rFonts w:ascii="Times New Roman" w:hAnsi="Times New Roman"/>
              </w:rPr>
              <w:tab/>
            </w:r>
            <w:proofErr w:type="spellStart"/>
            <w:r w:rsidRPr="006A2591">
              <w:rPr>
                <w:rFonts w:ascii="Times New Roman" w:hAnsi="Times New Roman"/>
              </w:rPr>
              <w:t>Сиофор</w:t>
            </w:r>
            <w:proofErr w:type="spellEnd"/>
            <w:r w:rsidRPr="00C751A5">
              <w:rPr>
                <w:rFonts w:ascii="Times New Roman" w:hAnsi="Times New Roman"/>
                <w:sz w:val="24"/>
                <w:szCs w:val="24"/>
                <w:vertAlign w:val="superscript"/>
              </w:rPr>
              <w:t>®</w:t>
            </w:r>
            <w:r w:rsidRPr="006A2591">
              <w:rPr>
                <w:rFonts w:ascii="Times New Roman" w:hAnsi="Times New Roman"/>
              </w:rPr>
              <w:t xml:space="preserve"> SR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таблетки</w:t>
            </w:r>
            <w:proofErr w:type="spellEnd"/>
            <w:r w:rsidRPr="006A2591">
              <w:rPr>
                <w:rFonts w:ascii="Times New Roman" w:hAnsi="Times New Roman"/>
              </w:rPr>
              <w:t xml:space="preserve"> с </w:t>
            </w:r>
            <w:proofErr w:type="spellStart"/>
            <w:r w:rsidRPr="006A2591">
              <w:rPr>
                <w:rFonts w:ascii="Times New Roman" w:hAnsi="Times New Roman"/>
              </w:rPr>
              <w:t>удължено</w:t>
            </w:r>
            <w:proofErr w:type="spellEnd"/>
            <w:r w:rsidRPr="006A2591">
              <w:rPr>
                <w:rFonts w:ascii="Times New Roman" w:hAnsi="Times New Roman"/>
              </w:rPr>
              <w:t xml:space="preserve"> </w:t>
            </w:r>
            <w:proofErr w:type="spellStart"/>
            <w:r w:rsidRPr="006A2591">
              <w:rPr>
                <w:rFonts w:ascii="Times New Roman" w:hAnsi="Times New Roman"/>
              </w:rPr>
              <w:t>освобождаване</w:t>
            </w:r>
            <w:proofErr w:type="spellEnd"/>
          </w:p>
          <w:p w14:paraId="2F9AFB29" w14:textId="77777777" w:rsidR="00601C8B" w:rsidRPr="006A2591" w:rsidRDefault="00601C8B" w:rsidP="0008454F">
            <w:pPr>
              <w:pStyle w:val="Betarp"/>
              <w:rPr>
                <w:rFonts w:ascii="Times New Roman" w:hAnsi="Times New Roman"/>
              </w:rPr>
            </w:pPr>
            <w:r w:rsidRPr="006A2591">
              <w:rPr>
                <w:rFonts w:ascii="Times New Roman" w:hAnsi="Times New Roman"/>
              </w:rPr>
              <w:t>Kroatija: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SR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tablete s </w:t>
            </w:r>
            <w:proofErr w:type="spellStart"/>
            <w:r w:rsidRPr="006A2591">
              <w:rPr>
                <w:rFonts w:ascii="Times New Roman" w:hAnsi="Times New Roman"/>
              </w:rPr>
              <w:t>produljenim</w:t>
            </w:r>
            <w:proofErr w:type="spellEnd"/>
            <w:r w:rsidRPr="006A2591">
              <w:rPr>
                <w:rFonts w:ascii="Times New Roman" w:hAnsi="Times New Roman"/>
              </w:rPr>
              <w:t xml:space="preserve"> </w:t>
            </w:r>
            <w:proofErr w:type="spellStart"/>
            <w:r w:rsidRPr="006A2591">
              <w:rPr>
                <w:rFonts w:ascii="Times New Roman" w:hAnsi="Times New Roman"/>
              </w:rPr>
              <w:t>oslobađanjem</w:t>
            </w:r>
            <w:proofErr w:type="spellEnd"/>
          </w:p>
          <w:p w14:paraId="67A21BE6" w14:textId="77777777" w:rsidR="00601C8B" w:rsidRPr="006A2591" w:rsidRDefault="00601C8B" w:rsidP="0008454F">
            <w:pPr>
              <w:pStyle w:val="Betarp"/>
              <w:rPr>
                <w:rFonts w:ascii="Times New Roman" w:hAnsi="Times New Roman"/>
              </w:rPr>
            </w:pPr>
            <w:r w:rsidRPr="006A2591">
              <w:rPr>
                <w:rFonts w:ascii="Times New Roman" w:hAnsi="Times New Roman"/>
              </w:rPr>
              <w:t xml:space="preserve">Čekija: </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xml:space="preserve">® </w:t>
            </w:r>
            <w:proofErr w:type="spellStart"/>
            <w:r w:rsidRPr="006A2591">
              <w:rPr>
                <w:rFonts w:ascii="Times New Roman" w:hAnsi="Times New Roman"/>
              </w:rPr>
              <w:t>Prolong</w:t>
            </w:r>
            <w:proofErr w:type="spellEnd"/>
            <w:r w:rsidRPr="006A2591">
              <w:rPr>
                <w:rFonts w:ascii="Times New Roman" w:hAnsi="Times New Roman"/>
              </w:rPr>
              <w:t xml:space="preserve"> </w:t>
            </w:r>
          </w:p>
          <w:p w14:paraId="511535BF" w14:textId="77777777" w:rsidR="00601C8B" w:rsidRPr="006A2591" w:rsidRDefault="00601C8B" w:rsidP="0008454F">
            <w:pPr>
              <w:pStyle w:val="Betarp"/>
              <w:rPr>
                <w:rFonts w:ascii="Times New Roman" w:hAnsi="Times New Roman"/>
              </w:rPr>
            </w:pPr>
            <w:r w:rsidRPr="006A2591">
              <w:rPr>
                <w:rFonts w:ascii="Times New Roman" w:hAnsi="Times New Roman"/>
              </w:rPr>
              <w:t>Estija:</w:t>
            </w:r>
            <w:r w:rsidRPr="006A2591">
              <w:rPr>
                <w:rFonts w:ascii="Times New Roman" w:hAnsi="Times New Roman"/>
              </w:rPr>
              <w:tab/>
            </w:r>
            <w:proofErr w:type="spellStart"/>
            <w:r w:rsidRPr="006A2591">
              <w:rPr>
                <w:rFonts w:ascii="Times New Roman" w:hAnsi="Times New Roman"/>
              </w:rPr>
              <w:t>Metforal</w:t>
            </w:r>
            <w:proofErr w:type="spellEnd"/>
            <w:r w:rsidRPr="006A2591">
              <w:rPr>
                <w:rFonts w:ascii="Times New Roman" w:hAnsi="Times New Roman"/>
              </w:rPr>
              <w:t>® XR</w:t>
            </w:r>
          </w:p>
          <w:p w14:paraId="35BBCF82" w14:textId="77777777" w:rsidR="00601C8B" w:rsidRPr="006A2591" w:rsidRDefault="00601C8B" w:rsidP="0008454F">
            <w:pPr>
              <w:pStyle w:val="Betarp"/>
              <w:rPr>
                <w:rFonts w:ascii="Times New Roman" w:hAnsi="Times New Roman"/>
              </w:rPr>
            </w:pPr>
            <w:r w:rsidRPr="006A2591">
              <w:rPr>
                <w:rFonts w:ascii="Times New Roman" w:hAnsi="Times New Roman"/>
              </w:rPr>
              <w:t>Vokietija: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XR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Retardtabletten</w:t>
            </w:r>
            <w:proofErr w:type="spellEnd"/>
          </w:p>
          <w:p w14:paraId="01147005" w14:textId="77777777" w:rsidR="00601C8B" w:rsidRPr="006A2591" w:rsidRDefault="00601C8B" w:rsidP="0008454F">
            <w:pPr>
              <w:pStyle w:val="Betarp"/>
              <w:rPr>
                <w:rFonts w:ascii="Times New Roman" w:hAnsi="Times New Roman"/>
              </w:rPr>
            </w:pPr>
            <w:r w:rsidRPr="006A2591">
              <w:rPr>
                <w:rFonts w:ascii="Times New Roman" w:hAnsi="Times New Roman"/>
              </w:rPr>
              <w:t>Vengrija:</w:t>
            </w:r>
            <w:r w:rsidRPr="006A2591">
              <w:rPr>
                <w:rFonts w:ascii="Times New Roman" w:hAnsi="Times New Roman"/>
              </w:rPr>
              <w:tab/>
            </w:r>
            <w:proofErr w:type="spellStart"/>
            <w:r w:rsidRPr="006A2591">
              <w:rPr>
                <w:rFonts w:ascii="Times New Roman" w:hAnsi="Times New Roman"/>
              </w:rPr>
              <w:t>Meforal</w:t>
            </w:r>
            <w:proofErr w:type="spellEnd"/>
            <w:r w:rsidRPr="006A2591">
              <w:rPr>
                <w:rFonts w:ascii="Times New Roman" w:hAnsi="Times New Roman"/>
              </w:rPr>
              <w:t>® XR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retard</w:t>
            </w:r>
            <w:proofErr w:type="spellEnd"/>
            <w:r w:rsidRPr="006A2591">
              <w:rPr>
                <w:rFonts w:ascii="Times New Roman" w:hAnsi="Times New Roman"/>
              </w:rPr>
              <w:t xml:space="preserve"> </w:t>
            </w:r>
            <w:proofErr w:type="spellStart"/>
            <w:r w:rsidRPr="006A2591">
              <w:rPr>
                <w:rFonts w:ascii="Times New Roman" w:hAnsi="Times New Roman"/>
              </w:rPr>
              <w:t>tabletta</w:t>
            </w:r>
            <w:proofErr w:type="spellEnd"/>
          </w:p>
          <w:p w14:paraId="3533A659" w14:textId="77777777" w:rsidR="00601C8B" w:rsidRPr="006A2591" w:rsidRDefault="00601C8B" w:rsidP="0008454F">
            <w:pPr>
              <w:pStyle w:val="Betarp"/>
              <w:rPr>
                <w:rFonts w:ascii="Times New Roman" w:hAnsi="Times New Roman"/>
              </w:rPr>
            </w:pPr>
            <w:r w:rsidRPr="006A2591">
              <w:rPr>
                <w:rFonts w:ascii="Times New Roman" w:hAnsi="Times New Roman"/>
              </w:rPr>
              <w:t>Latvija:</w:t>
            </w:r>
            <w:r w:rsidRPr="006A2591">
              <w:rPr>
                <w:rFonts w:ascii="Times New Roman" w:hAnsi="Times New Roman"/>
              </w:rPr>
              <w:tab/>
            </w:r>
            <w:proofErr w:type="spellStart"/>
            <w:r w:rsidRPr="006A2591">
              <w:rPr>
                <w:rFonts w:ascii="Times New Roman" w:hAnsi="Times New Roman"/>
              </w:rPr>
              <w:t>Metfor</w:t>
            </w:r>
            <w:r>
              <w:rPr>
                <w:rFonts w:ascii="Times New Roman" w:hAnsi="Times New Roman"/>
              </w:rPr>
              <w:t>al</w:t>
            </w:r>
            <w:proofErr w:type="spellEnd"/>
            <w:r w:rsidRPr="00D36877">
              <w:rPr>
                <w:rFonts w:ascii="Times New Roman" w:hAnsi="Times New Roman"/>
                <w:sz w:val="24"/>
                <w:szCs w:val="24"/>
                <w:vertAlign w:val="superscript"/>
              </w:rPr>
              <w:t>®</w:t>
            </w:r>
            <w:r w:rsidRPr="006A2591">
              <w:rPr>
                <w:rFonts w:ascii="Times New Roman" w:hAnsi="Times New Roman"/>
              </w:rPr>
              <w:t xml:space="preserve">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ilgstošās</w:t>
            </w:r>
            <w:proofErr w:type="spellEnd"/>
            <w:r w:rsidRPr="006A2591">
              <w:rPr>
                <w:rFonts w:ascii="Times New Roman" w:hAnsi="Times New Roman"/>
              </w:rPr>
              <w:t xml:space="preserve"> </w:t>
            </w:r>
            <w:proofErr w:type="spellStart"/>
            <w:r w:rsidRPr="006A2591">
              <w:rPr>
                <w:rFonts w:ascii="Times New Roman" w:hAnsi="Times New Roman"/>
              </w:rPr>
              <w:t>darbības</w:t>
            </w:r>
            <w:proofErr w:type="spellEnd"/>
            <w:r w:rsidRPr="006A2591">
              <w:rPr>
                <w:rFonts w:ascii="Times New Roman" w:hAnsi="Times New Roman"/>
              </w:rPr>
              <w:t xml:space="preserve"> tabletes</w:t>
            </w:r>
          </w:p>
          <w:p w14:paraId="19816A65" w14:textId="77777777" w:rsidR="00601C8B" w:rsidRPr="006A2591" w:rsidRDefault="00601C8B" w:rsidP="0008454F">
            <w:pPr>
              <w:pStyle w:val="Betarp"/>
              <w:rPr>
                <w:rFonts w:ascii="Times New Roman" w:hAnsi="Times New Roman"/>
              </w:rPr>
            </w:pPr>
            <w:r w:rsidRPr="006A2591">
              <w:rPr>
                <w:rFonts w:ascii="Times New Roman" w:hAnsi="Times New Roman"/>
              </w:rPr>
              <w:lastRenderedPageBreak/>
              <w:t>Lietuva:</w:t>
            </w:r>
            <w:r w:rsidRPr="006A2591">
              <w:rPr>
                <w:rFonts w:ascii="Times New Roman" w:hAnsi="Times New Roman"/>
              </w:rPr>
              <w:tab/>
            </w:r>
            <w:proofErr w:type="spellStart"/>
            <w:r>
              <w:rPr>
                <w:rFonts w:ascii="Times New Roman" w:hAnsi="Times New Roman"/>
              </w:rPr>
              <w:t>Tivulin</w:t>
            </w:r>
            <w:proofErr w:type="spellEnd"/>
            <w:r w:rsidRPr="006A2591">
              <w:rPr>
                <w:rFonts w:ascii="Times New Roman" w:hAnsi="Times New Roman"/>
              </w:rPr>
              <w:t xml:space="preserve">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mg pailginto atpalaidavimo tabletės</w:t>
            </w:r>
          </w:p>
          <w:p w14:paraId="14DB51CD" w14:textId="77777777" w:rsidR="00601C8B" w:rsidRPr="006A2591" w:rsidRDefault="00601C8B" w:rsidP="0008454F">
            <w:pPr>
              <w:pStyle w:val="Betarp"/>
              <w:rPr>
                <w:rFonts w:ascii="Times New Roman" w:hAnsi="Times New Roman"/>
              </w:rPr>
            </w:pPr>
            <w:r w:rsidRPr="006A2591">
              <w:rPr>
                <w:rFonts w:ascii="Times New Roman" w:hAnsi="Times New Roman"/>
              </w:rPr>
              <w:t>Lenkija: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XR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mg</w:t>
            </w:r>
          </w:p>
          <w:p w14:paraId="3CDDE649" w14:textId="77777777" w:rsidR="00601C8B" w:rsidRPr="006A2591" w:rsidRDefault="00601C8B" w:rsidP="0008454F">
            <w:pPr>
              <w:pStyle w:val="Betarp"/>
              <w:rPr>
                <w:rFonts w:ascii="Times New Roman" w:hAnsi="Times New Roman"/>
              </w:rPr>
            </w:pPr>
            <w:r w:rsidRPr="006A2591">
              <w:rPr>
                <w:rFonts w:ascii="Times New Roman" w:hAnsi="Times New Roman"/>
              </w:rPr>
              <w:t>Portugalija: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xml:space="preserve"> XR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comprimidos</w:t>
            </w:r>
            <w:proofErr w:type="spellEnd"/>
            <w:r w:rsidRPr="006A2591">
              <w:rPr>
                <w:rFonts w:ascii="Times New Roman" w:hAnsi="Times New Roman"/>
              </w:rPr>
              <w:t xml:space="preserve"> de </w:t>
            </w:r>
            <w:proofErr w:type="spellStart"/>
            <w:r w:rsidRPr="006A2591">
              <w:rPr>
                <w:rFonts w:ascii="Times New Roman" w:hAnsi="Times New Roman"/>
              </w:rPr>
              <w:t>libertação</w:t>
            </w:r>
            <w:proofErr w:type="spellEnd"/>
            <w:r w:rsidRPr="006A2591">
              <w:rPr>
                <w:rFonts w:ascii="Times New Roman" w:hAnsi="Times New Roman"/>
              </w:rPr>
              <w:t xml:space="preserve"> </w:t>
            </w:r>
            <w:proofErr w:type="spellStart"/>
            <w:r w:rsidRPr="006A2591">
              <w:rPr>
                <w:rFonts w:ascii="Times New Roman" w:hAnsi="Times New Roman"/>
              </w:rPr>
              <w:t>prolongada</w:t>
            </w:r>
            <w:proofErr w:type="spellEnd"/>
          </w:p>
          <w:p w14:paraId="27D85CEE" w14:textId="77777777" w:rsidR="00601C8B" w:rsidRPr="006A2591" w:rsidRDefault="00601C8B" w:rsidP="0008454F">
            <w:pPr>
              <w:pStyle w:val="Betarp"/>
              <w:rPr>
                <w:rFonts w:ascii="Times New Roman" w:hAnsi="Times New Roman"/>
              </w:rPr>
            </w:pPr>
            <w:r w:rsidRPr="006A2591">
              <w:rPr>
                <w:rFonts w:ascii="Times New Roman" w:hAnsi="Times New Roman"/>
              </w:rPr>
              <w:t>Rumunija: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comprimate</w:t>
            </w:r>
            <w:proofErr w:type="spellEnd"/>
            <w:r w:rsidRPr="006A2591">
              <w:rPr>
                <w:rFonts w:ascii="Times New Roman" w:hAnsi="Times New Roman"/>
              </w:rPr>
              <w:t xml:space="preserve"> </w:t>
            </w:r>
            <w:proofErr w:type="spellStart"/>
            <w:r w:rsidRPr="006A2591">
              <w:rPr>
                <w:rFonts w:ascii="Times New Roman" w:hAnsi="Times New Roman"/>
              </w:rPr>
              <w:t>cu</w:t>
            </w:r>
            <w:proofErr w:type="spellEnd"/>
            <w:r w:rsidRPr="006A2591">
              <w:rPr>
                <w:rFonts w:ascii="Times New Roman" w:hAnsi="Times New Roman"/>
              </w:rPr>
              <w:t xml:space="preserve"> </w:t>
            </w:r>
            <w:proofErr w:type="spellStart"/>
            <w:r w:rsidRPr="006A2591">
              <w:rPr>
                <w:rFonts w:ascii="Times New Roman" w:hAnsi="Times New Roman"/>
              </w:rPr>
              <w:t>eliberare</w:t>
            </w:r>
            <w:proofErr w:type="spellEnd"/>
            <w:r w:rsidRPr="006A2591">
              <w:rPr>
                <w:rFonts w:ascii="Times New Roman" w:hAnsi="Times New Roman"/>
              </w:rPr>
              <w:t xml:space="preserve"> </w:t>
            </w:r>
            <w:proofErr w:type="spellStart"/>
            <w:r w:rsidRPr="006A2591">
              <w:rPr>
                <w:rFonts w:ascii="Times New Roman" w:hAnsi="Times New Roman"/>
              </w:rPr>
              <w:t>prelungită</w:t>
            </w:r>
            <w:proofErr w:type="spellEnd"/>
            <w:r w:rsidRPr="006A2591">
              <w:rPr>
                <w:rFonts w:ascii="Times New Roman" w:hAnsi="Times New Roman"/>
              </w:rPr>
              <w:t xml:space="preserve"> </w:t>
            </w:r>
          </w:p>
          <w:p w14:paraId="3271EB35" w14:textId="77777777" w:rsidR="00601C8B" w:rsidRPr="006A2591" w:rsidRDefault="00601C8B" w:rsidP="0008454F">
            <w:pPr>
              <w:pStyle w:val="Betarp"/>
              <w:rPr>
                <w:rFonts w:ascii="Times New Roman" w:hAnsi="Times New Roman"/>
              </w:rPr>
            </w:pPr>
            <w:r w:rsidRPr="006A2591">
              <w:rPr>
                <w:rFonts w:ascii="Times New Roman" w:hAnsi="Times New Roman"/>
              </w:rPr>
              <w:t>Slovakija: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SR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tablety</w:t>
            </w:r>
            <w:proofErr w:type="spellEnd"/>
            <w:r w:rsidRPr="006A2591">
              <w:rPr>
                <w:rFonts w:ascii="Times New Roman" w:hAnsi="Times New Roman"/>
              </w:rPr>
              <w:t xml:space="preserve"> s </w:t>
            </w:r>
            <w:proofErr w:type="spellStart"/>
            <w:r w:rsidRPr="006A2591">
              <w:rPr>
                <w:rFonts w:ascii="Times New Roman" w:hAnsi="Times New Roman"/>
              </w:rPr>
              <w:t>predĺženým</w:t>
            </w:r>
            <w:proofErr w:type="spellEnd"/>
            <w:r w:rsidRPr="006A2591">
              <w:rPr>
                <w:rFonts w:ascii="Times New Roman" w:hAnsi="Times New Roman"/>
              </w:rPr>
              <w:t xml:space="preserve"> </w:t>
            </w:r>
            <w:proofErr w:type="spellStart"/>
            <w:r w:rsidRPr="006A2591">
              <w:rPr>
                <w:rFonts w:ascii="Times New Roman" w:hAnsi="Times New Roman"/>
              </w:rPr>
              <w:t>uvoľňovaním</w:t>
            </w:r>
            <w:proofErr w:type="spellEnd"/>
            <w:r w:rsidRPr="006A2591">
              <w:rPr>
                <w:rFonts w:ascii="Times New Roman" w:hAnsi="Times New Roman"/>
              </w:rPr>
              <w:t xml:space="preserve"> </w:t>
            </w:r>
          </w:p>
          <w:p w14:paraId="0F71F1C5" w14:textId="6D9ADB6C" w:rsidR="00601C8B" w:rsidRPr="006A2591" w:rsidRDefault="00601C8B" w:rsidP="00C751A5">
            <w:pPr>
              <w:pStyle w:val="Betarp"/>
            </w:pPr>
            <w:r w:rsidRPr="006A2591">
              <w:rPr>
                <w:rFonts w:ascii="Times New Roman" w:hAnsi="Times New Roman"/>
              </w:rPr>
              <w:t>Slov</w:t>
            </w:r>
            <w:r w:rsidR="00D47004">
              <w:rPr>
                <w:rFonts w:ascii="Times New Roman" w:hAnsi="Times New Roman"/>
              </w:rPr>
              <w:t>ė</w:t>
            </w:r>
            <w:r w:rsidRPr="006A2591">
              <w:rPr>
                <w:rFonts w:ascii="Times New Roman" w:hAnsi="Times New Roman"/>
              </w:rPr>
              <w:t>nija: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SR 500</w:t>
            </w:r>
            <w:r w:rsidRPr="0078470E">
              <w:rPr>
                <w:rFonts w:ascii="Times New Roman" w:hAnsi="Times New Roman"/>
              </w:rPr>
              <w:t> </w:t>
            </w:r>
            <w:r w:rsidRPr="006A2591">
              <w:rPr>
                <w:rFonts w:ascii="Times New Roman" w:hAnsi="Times New Roman"/>
              </w:rPr>
              <w:t>mg, 750</w:t>
            </w:r>
            <w:r w:rsidRPr="0078470E">
              <w:rPr>
                <w:rFonts w:ascii="Times New Roman" w:hAnsi="Times New Roman"/>
              </w:rPr>
              <w:t> </w:t>
            </w:r>
            <w:r w:rsidRPr="006A2591">
              <w:rPr>
                <w:rFonts w:ascii="Times New Roman" w:hAnsi="Times New Roman"/>
              </w:rPr>
              <w:t>mg, 1000</w:t>
            </w:r>
            <w:r w:rsidRPr="0078470E">
              <w:rPr>
                <w:rFonts w:ascii="Times New Roman" w:hAnsi="Times New Roman"/>
              </w:rPr>
              <w:t> </w:t>
            </w:r>
            <w:r w:rsidRPr="006A2591">
              <w:rPr>
                <w:rFonts w:ascii="Times New Roman" w:hAnsi="Times New Roman"/>
              </w:rPr>
              <w:t xml:space="preserve">mg tablete s </w:t>
            </w:r>
            <w:proofErr w:type="spellStart"/>
            <w:r w:rsidRPr="006A2591">
              <w:rPr>
                <w:rFonts w:ascii="Times New Roman" w:hAnsi="Times New Roman"/>
              </w:rPr>
              <w:t>podaljšanim</w:t>
            </w:r>
            <w:proofErr w:type="spellEnd"/>
            <w:r w:rsidRPr="006A2591">
              <w:rPr>
                <w:rFonts w:ascii="Times New Roman" w:hAnsi="Times New Roman"/>
              </w:rPr>
              <w:t xml:space="preserve"> </w:t>
            </w:r>
            <w:proofErr w:type="spellStart"/>
            <w:r w:rsidRPr="006A2591">
              <w:rPr>
                <w:rFonts w:ascii="Times New Roman" w:hAnsi="Times New Roman"/>
              </w:rPr>
              <w:t>sproščanjem</w:t>
            </w:r>
            <w:proofErr w:type="spellEnd"/>
            <w:r w:rsidRPr="006A2591">
              <w:rPr>
                <w:rFonts w:ascii="Times New Roman" w:hAnsi="Times New Roman"/>
              </w:rPr>
              <w:t xml:space="preserve"> </w:t>
            </w:r>
          </w:p>
        </w:tc>
      </w:tr>
    </w:tbl>
    <w:p w14:paraId="4C6F4378" w14:textId="77777777" w:rsidR="00601C8B" w:rsidRPr="006A2591" w:rsidRDefault="00601C8B" w:rsidP="00E85904">
      <w:pPr>
        <w:pStyle w:val="BTEMEASMCA"/>
      </w:pPr>
    </w:p>
    <w:p w14:paraId="637C32A6" w14:textId="77777777" w:rsidR="00601C8B" w:rsidRPr="006A2591" w:rsidRDefault="00601C8B" w:rsidP="00E85904">
      <w:pPr>
        <w:pStyle w:val="BTEMEASMCA"/>
      </w:pPr>
    </w:p>
    <w:p w14:paraId="2EB00543" w14:textId="0B073FC7" w:rsidR="00601C8B" w:rsidRPr="00546178" w:rsidRDefault="00601C8B" w:rsidP="00546178">
      <w:pPr>
        <w:pStyle w:val="PI-3EMEASMCA"/>
      </w:pPr>
      <w:r w:rsidRPr="00546178">
        <w:t xml:space="preserve">Šis pakuotės lapelis paskutinį kartą peržiūrėtas </w:t>
      </w:r>
      <w:r w:rsidR="006C3617">
        <w:t>2025-03-26</w:t>
      </w:r>
      <w:r w:rsidR="00CA18F3">
        <w:t>.</w:t>
      </w:r>
    </w:p>
    <w:p w14:paraId="2F8BD299" w14:textId="77777777" w:rsidR="00601C8B" w:rsidRPr="006A2591" w:rsidRDefault="00601C8B" w:rsidP="00E85904">
      <w:pPr>
        <w:pStyle w:val="BTEMEASMCA"/>
      </w:pPr>
    </w:p>
    <w:p w14:paraId="221B11F3" w14:textId="61AE37AD" w:rsidR="00601C8B" w:rsidRDefault="00601C8B" w:rsidP="00E85904">
      <w:pPr>
        <w:pStyle w:val="BTEMEASMCA"/>
      </w:pPr>
      <w:r w:rsidRPr="006A2591">
        <w:t xml:space="preserve">Išsami informacija apie šį vaistą pateikiama Valstybinės vaistų kontrolės tarnybos prie Lietuvos Respublikos sveikatos apsaugos ministerijos tinklalapyje </w:t>
      </w:r>
      <w:hyperlink r:id="rId9" w:history="1">
        <w:r w:rsidR="00312B26" w:rsidRPr="003E432B">
          <w:rPr>
            <w:rStyle w:val="Hipersaitas"/>
            <w:rFonts w:eastAsia="SimSun"/>
          </w:rPr>
          <w:t>https://vvkt.lrv.lt/lt/</w:t>
        </w:r>
      </w:hyperlink>
      <w:r w:rsidRPr="006A2591">
        <w:t>.</w:t>
      </w:r>
    </w:p>
    <w:p w14:paraId="038C4D01" w14:textId="77777777" w:rsidR="00601C8B" w:rsidRPr="006A2591" w:rsidRDefault="00601C8B" w:rsidP="00E85904">
      <w:pPr>
        <w:pStyle w:val="BTEMEASMCA"/>
      </w:pPr>
    </w:p>
    <w:p w14:paraId="3872DBE8" w14:textId="77777777" w:rsidR="0008454F" w:rsidRDefault="0008454F" w:rsidP="00B962BE"/>
    <w:sectPr w:rsidR="0008454F" w:rsidSect="00B962BE">
      <w:footerReference w:type="even" r:id="rId10"/>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C5D6" w14:textId="77777777" w:rsidR="00DB1402" w:rsidRDefault="00DB1402" w:rsidP="00B962BE">
      <w:r>
        <w:separator/>
      </w:r>
    </w:p>
  </w:endnote>
  <w:endnote w:type="continuationSeparator" w:id="0">
    <w:p w14:paraId="6298A3E3" w14:textId="77777777" w:rsidR="00DB1402" w:rsidRDefault="00DB1402" w:rsidP="00B962BE">
      <w:r>
        <w:continuationSeparator/>
      </w:r>
    </w:p>
  </w:endnote>
  <w:endnote w:type="continuationNotice" w:id="1">
    <w:p w14:paraId="2C2A4A7E" w14:textId="77777777" w:rsidR="00DB1402" w:rsidRDefault="00DB1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BCA6" w14:textId="77777777" w:rsidR="00330A2C" w:rsidRDefault="00330A2C" w:rsidP="00EE0B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78EB" w14:textId="77777777" w:rsidR="00DB1402" w:rsidRDefault="00DB1402" w:rsidP="00B962BE">
      <w:r>
        <w:separator/>
      </w:r>
    </w:p>
  </w:footnote>
  <w:footnote w:type="continuationSeparator" w:id="0">
    <w:p w14:paraId="734F6F65" w14:textId="77777777" w:rsidR="00DB1402" w:rsidRDefault="00DB1402" w:rsidP="00B962BE">
      <w:r>
        <w:continuationSeparator/>
      </w:r>
    </w:p>
  </w:footnote>
  <w:footnote w:type="continuationNotice" w:id="1">
    <w:p w14:paraId="1DD385D3" w14:textId="77777777" w:rsidR="00DB1402" w:rsidRDefault="00DB14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E1B0F"/>
    <w:multiLevelType w:val="hybridMultilevel"/>
    <w:tmpl w:val="4E884CFC"/>
    <w:lvl w:ilvl="0" w:tplc="2EACF1E4">
      <w:start w:val="4"/>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0D1C45"/>
    <w:multiLevelType w:val="hybridMultilevel"/>
    <w:tmpl w:val="BC34BCB6"/>
    <w:lvl w:ilvl="0" w:tplc="DEF4D40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57462"/>
    <w:multiLevelType w:val="hybridMultilevel"/>
    <w:tmpl w:val="BC00BE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243EFA"/>
    <w:multiLevelType w:val="hybridMultilevel"/>
    <w:tmpl w:val="E7B47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0932C6"/>
    <w:multiLevelType w:val="hybridMultilevel"/>
    <w:tmpl w:val="4970E55A"/>
    <w:lvl w:ilvl="0" w:tplc="2A30DAB2">
      <w:start w:val="2"/>
      <w:numFmt w:val="upperLetter"/>
      <w:lvlText w:val="%1."/>
      <w:lvlJc w:val="left"/>
      <w:pPr>
        <w:tabs>
          <w:tab w:val="num" w:pos="1689"/>
        </w:tabs>
        <w:ind w:left="1689" w:hanging="555"/>
      </w:pPr>
      <w:rPr>
        <w:rFonts w:cs="Times New Roman" w:hint="default"/>
      </w:rPr>
    </w:lvl>
    <w:lvl w:ilvl="1" w:tplc="04270003" w:tentative="1">
      <w:start w:val="1"/>
      <w:numFmt w:val="lowerLetter"/>
      <w:lvlText w:val="%2."/>
      <w:lvlJc w:val="left"/>
      <w:pPr>
        <w:tabs>
          <w:tab w:val="num" w:pos="2214"/>
        </w:tabs>
        <w:ind w:left="2214" w:hanging="360"/>
      </w:pPr>
      <w:rPr>
        <w:rFonts w:cs="Times New Roman"/>
      </w:rPr>
    </w:lvl>
    <w:lvl w:ilvl="2" w:tplc="04270005" w:tentative="1">
      <w:start w:val="1"/>
      <w:numFmt w:val="lowerRoman"/>
      <w:lvlText w:val="%3."/>
      <w:lvlJc w:val="right"/>
      <w:pPr>
        <w:tabs>
          <w:tab w:val="num" w:pos="2934"/>
        </w:tabs>
        <w:ind w:left="2934" w:hanging="180"/>
      </w:pPr>
      <w:rPr>
        <w:rFonts w:cs="Times New Roman"/>
      </w:rPr>
    </w:lvl>
    <w:lvl w:ilvl="3" w:tplc="04270001" w:tentative="1">
      <w:start w:val="1"/>
      <w:numFmt w:val="decimal"/>
      <w:lvlText w:val="%4."/>
      <w:lvlJc w:val="left"/>
      <w:pPr>
        <w:tabs>
          <w:tab w:val="num" w:pos="3654"/>
        </w:tabs>
        <w:ind w:left="3654" w:hanging="360"/>
      </w:pPr>
      <w:rPr>
        <w:rFonts w:cs="Times New Roman"/>
      </w:rPr>
    </w:lvl>
    <w:lvl w:ilvl="4" w:tplc="04270003" w:tentative="1">
      <w:start w:val="1"/>
      <w:numFmt w:val="lowerLetter"/>
      <w:lvlText w:val="%5."/>
      <w:lvlJc w:val="left"/>
      <w:pPr>
        <w:tabs>
          <w:tab w:val="num" w:pos="4374"/>
        </w:tabs>
        <w:ind w:left="4374" w:hanging="360"/>
      </w:pPr>
      <w:rPr>
        <w:rFonts w:cs="Times New Roman"/>
      </w:rPr>
    </w:lvl>
    <w:lvl w:ilvl="5" w:tplc="04270005" w:tentative="1">
      <w:start w:val="1"/>
      <w:numFmt w:val="lowerRoman"/>
      <w:lvlText w:val="%6."/>
      <w:lvlJc w:val="right"/>
      <w:pPr>
        <w:tabs>
          <w:tab w:val="num" w:pos="5094"/>
        </w:tabs>
        <w:ind w:left="5094" w:hanging="180"/>
      </w:pPr>
      <w:rPr>
        <w:rFonts w:cs="Times New Roman"/>
      </w:rPr>
    </w:lvl>
    <w:lvl w:ilvl="6" w:tplc="04270001" w:tentative="1">
      <w:start w:val="1"/>
      <w:numFmt w:val="decimal"/>
      <w:lvlText w:val="%7."/>
      <w:lvlJc w:val="left"/>
      <w:pPr>
        <w:tabs>
          <w:tab w:val="num" w:pos="5814"/>
        </w:tabs>
        <w:ind w:left="5814" w:hanging="360"/>
      </w:pPr>
      <w:rPr>
        <w:rFonts w:cs="Times New Roman"/>
      </w:rPr>
    </w:lvl>
    <w:lvl w:ilvl="7" w:tplc="04270003" w:tentative="1">
      <w:start w:val="1"/>
      <w:numFmt w:val="lowerLetter"/>
      <w:lvlText w:val="%8."/>
      <w:lvlJc w:val="left"/>
      <w:pPr>
        <w:tabs>
          <w:tab w:val="num" w:pos="6534"/>
        </w:tabs>
        <w:ind w:left="6534" w:hanging="360"/>
      </w:pPr>
      <w:rPr>
        <w:rFonts w:cs="Times New Roman"/>
      </w:rPr>
    </w:lvl>
    <w:lvl w:ilvl="8" w:tplc="04270005" w:tentative="1">
      <w:start w:val="1"/>
      <w:numFmt w:val="lowerRoman"/>
      <w:lvlText w:val="%9."/>
      <w:lvlJc w:val="right"/>
      <w:pPr>
        <w:tabs>
          <w:tab w:val="num" w:pos="7254"/>
        </w:tabs>
        <w:ind w:left="7254" w:hanging="180"/>
      </w:pPr>
      <w:rPr>
        <w:rFonts w:cs="Times New Roman"/>
      </w:rPr>
    </w:lvl>
  </w:abstractNum>
  <w:abstractNum w:abstractNumId="5" w15:restartNumberingAfterBreak="0">
    <w:nsid w:val="492967AA"/>
    <w:multiLevelType w:val="hybridMultilevel"/>
    <w:tmpl w:val="84901A22"/>
    <w:lvl w:ilvl="0" w:tplc="3206584A">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93A7B5D"/>
    <w:multiLevelType w:val="hybridMultilevel"/>
    <w:tmpl w:val="A7E4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A05D36"/>
    <w:multiLevelType w:val="hybridMultilevel"/>
    <w:tmpl w:val="E65ABCB8"/>
    <w:lvl w:ilvl="0" w:tplc="27CC0742">
      <w:start w:val="4"/>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2834CD"/>
    <w:multiLevelType w:val="hybridMultilevel"/>
    <w:tmpl w:val="BB02CE48"/>
    <w:lvl w:ilvl="0" w:tplc="2EACF1E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F4941"/>
    <w:multiLevelType w:val="hybridMultilevel"/>
    <w:tmpl w:val="ED78D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B81DC1"/>
    <w:multiLevelType w:val="hybridMultilevel"/>
    <w:tmpl w:val="FFD41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8F1856"/>
    <w:multiLevelType w:val="hybridMultilevel"/>
    <w:tmpl w:val="8E3C0C9C"/>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240CC"/>
    <w:multiLevelType w:val="hybridMultilevel"/>
    <w:tmpl w:val="58B8E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F135EC"/>
    <w:multiLevelType w:val="hybridMultilevel"/>
    <w:tmpl w:val="B7E430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BA417F5"/>
    <w:multiLevelType w:val="hybridMultilevel"/>
    <w:tmpl w:val="34DA1618"/>
    <w:lvl w:ilvl="0" w:tplc="1DFE15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C7DF9"/>
    <w:multiLevelType w:val="hybridMultilevel"/>
    <w:tmpl w:val="6B3A2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71684984">
    <w:abstractNumId w:val="4"/>
  </w:num>
  <w:num w:numId="2" w16cid:durableId="960108658">
    <w:abstractNumId w:val="1"/>
  </w:num>
  <w:num w:numId="3" w16cid:durableId="1405836154">
    <w:abstractNumId w:val="11"/>
  </w:num>
  <w:num w:numId="4" w16cid:durableId="2145346088">
    <w:abstractNumId w:val="0"/>
  </w:num>
  <w:num w:numId="5" w16cid:durableId="2068339679">
    <w:abstractNumId w:val="7"/>
  </w:num>
  <w:num w:numId="6" w16cid:durableId="193003629">
    <w:abstractNumId w:val="9"/>
  </w:num>
  <w:num w:numId="7" w16cid:durableId="299188510">
    <w:abstractNumId w:val="3"/>
  </w:num>
  <w:num w:numId="8" w16cid:durableId="968701472">
    <w:abstractNumId w:val="15"/>
  </w:num>
  <w:num w:numId="9" w16cid:durableId="750541583">
    <w:abstractNumId w:val="6"/>
  </w:num>
  <w:num w:numId="10" w16cid:durableId="806896984">
    <w:abstractNumId w:val="12"/>
  </w:num>
  <w:num w:numId="11" w16cid:durableId="745539944">
    <w:abstractNumId w:val="10"/>
  </w:num>
  <w:num w:numId="12" w16cid:durableId="19746270">
    <w:abstractNumId w:val="8"/>
  </w:num>
  <w:num w:numId="13" w16cid:durableId="405416223">
    <w:abstractNumId w:val="2"/>
  </w:num>
  <w:num w:numId="14" w16cid:durableId="306710480">
    <w:abstractNumId w:val="14"/>
  </w:num>
  <w:num w:numId="15" w16cid:durableId="1213615865">
    <w:abstractNumId w:val="5"/>
  </w:num>
  <w:num w:numId="16" w16cid:durableId="842356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19"/>
    <w:rsid w:val="00003D55"/>
    <w:rsid w:val="00003E48"/>
    <w:rsid w:val="000061B4"/>
    <w:rsid w:val="0000632C"/>
    <w:rsid w:val="00010104"/>
    <w:rsid w:val="00012027"/>
    <w:rsid w:val="00013343"/>
    <w:rsid w:val="00014DCC"/>
    <w:rsid w:val="000157B6"/>
    <w:rsid w:val="00015EBC"/>
    <w:rsid w:val="00017A16"/>
    <w:rsid w:val="00022AD7"/>
    <w:rsid w:val="000232EA"/>
    <w:rsid w:val="00024767"/>
    <w:rsid w:val="0003232B"/>
    <w:rsid w:val="00036B2A"/>
    <w:rsid w:val="00037515"/>
    <w:rsid w:val="00040F55"/>
    <w:rsid w:val="00043D48"/>
    <w:rsid w:val="00043DAF"/>
    <w:rsid w:val="00046F13"/>
    <w:rsid w:val="0005158C"/>
    <w:rsid w:val="000549C2"/>
    <w:rsid w:val="00062348"/>
    <w:rsid w:val="00062820"/>
    <w:rsid w:val="00062997"/>
    <w:rsid w:val="00064011"/>
    <w:rsid w:val="00064545"/>
    <w:rsid w:val="00073EAD"/>
    <w:rsid w:val="000768BC"/>
    <w:rsid w:val="00080818"/>
    <w:rsid w:val="000813AC"/>
    <w:rsid w:val="0008454F"/>
    <w:rsid w:val="00084CD1"/>
    <w:rsid w:val="00085DDD"/>
    <w:rsid w:val="00085E41"/>
    <w:rsid w:val="00086236"/>
    <w:rsid w:val="00092E68"/>
    <w:rsid w:val="000930DB"/>
    <w:rsid w:val="000946BA"/>
    <w:rsid w:val="0009474A"/>
    <w:rsid w:val="0009571E"/>
    <w:rsid w:val="00095A40"/>
    <w:rsid w:val="00097C9D"/>
    <w:rsid w:val="000A019B"/>
    <w:rsid w:val="000A24F9"/>
    <w:rsid w:val="000B0B42"/>
    <w:rsid w:val="000B24D6"/>
    <w:rsid w:val="000B36BE"/>
    <w:rsid w:val="000C1F3D"/>
    <w:rsid w:val="000C5B22"/>
    <w:rsid w:val="000D1C4C"/>
    <w:rsid w:val="000D26A5"/>
    <w:rsid w:val="000D4467"/>
    <w:rsid w:val="000D4929"/>
    <w:rsid w:val="000E2278"/>
    <w:rsid w:val="000E2E3A"/>
    <w:rsid w:val="000F0560"/>
    <w:rsid w:val="000F5CC9"/>
    <w:rsid w:val="0010193E"/>
    <w:rsid w:val="00103413"/>
    <w:rsid w:val="00103B42"/>
    <w:rsid w:val="00105099"/>
    <w:rsid w:val="0010526A"/>
    <w:rsid w:val="00106570"/>
    <w:rsid w:val="001074B7"/>
    <w:rsid w:val="00107CF1"/>
    <w:rsid w:val="001106EE"/>
    <w:rsid w:val="00116047"/>
    <w:rsid w:val="00117584"/>
    <w:rsid w:val="001200C8"/>
    <w:rsid w:val="00121095"/>
    <w:rsid w:val="0012131D"/>
    <w:rsid w:val="00124D2B"/>
    <w:rsid w:val="00130743"/>
    <w:rsid w:val="0014152C"/>
    <w:rsid w:val="00143714"/>
    <w:rsid w:val="0014391A"/>
    <w:rsid w:val="0014402F"/>
    <w:rsid w:val="0014474C"/>
    <w:rsid w:val="0014691E"/>
    <w:rsid w:val="00151862"/>
    <w:rsid w:val="001528A0"/>
    <w:rsid w:val="00154A74"/>
    <w:rsid w:val="0015508F"/>
    <w:rsid w:val="0015673B"/>
    <w:rsid w:val="0016087C"/>
    <w:rsid w:val="00161E36"/>
    <w:rsid w:val="00163BD0"/>
    <w:rsid w:val="00166B3F"/>
    <w:rsid w:val="00167BBC"/>
    <w:rsid w:val="00172897"/>
    <w:rsid w:val="00174CEE"/>
    <w:rsid w:val="00176B1A"/>
    <w:rsid w:val="00176D25"/>
    <w:rsid w:val="00182522"/>
    <w:rsid w:val="00182B48"/>
    <w:rsid w:val="001834E2"/>
    <w:rsid w:val="00184237"/>
    <w:rsid w:val="00185BED"/>
    <w:rsid w:val="00186C15"/>
    <w:rsid w:val="00186CA4"/>
    <w:rsid w:val="00190E61"/>
    <w:rsid w:val="001912F6"/>
    <w:rsid w:val="00191347"/>
    <w:rsid w:val="00193D39"/>
    <w:rsid w:val="001971C4"/>
    <w:rsid w:val="001B2742"/>
    <w:rsid w:val="001B32EB"/>
    <w:rsid w:val="001B38D1"/>
    <w:rsid w:val="001B4F4B"/>
    <w:rsid w:val="001C134F"/>
    <w:rsid w:val="001C2EFC"/>
    <w:rsid w:val="001C7F7B"/>
    <w:rsid w:val="001D3E98"/>
    <w:rsid w:val="001D555B"/>
    <w:rsid w:val="001E2E23"/>
    <w:rsid w:val="001E3943"/>
    <w:rsid w:val="001F1A80"/>
    <w:rsid w:val="001F27EF"/>
    <w:rsid w:val="001F5C13"/>
    <w:rsid w:val="00200B71"/>
    <w:rsid w:val="0020595A"/>
    <w:rsid w:val="00212CCB"/>
    <w:rsid w:val="0021627C"/>
    <w:rsid w:val="00221C02"/>
    <w:rsid w:val="00222C1A"/>
    <w:rsid w:val="00222F8D"/>
    <w:rsid w:val="00225B09"/>
    <w:rsid w:val="002261F8"/>
    <w:rsid w:val="002320EB"/>
    <w:rsid w:val="002324A5"/>
    <w:rsid w:val="002324C3"/>
    <w:rsid w:val="00234EC4"/>
    <w:rsid w:val="0023559F"/>
    <w:rsid w:val="00236735"/>
    <w:rsid w:val="00237223"/>
    <w:rsid w:val="00237F25"/>
    <w:rsid w:val="00240116"/>
    <w:rsid w:val="00240661"/>
    <w:rsid w:val="00240DB2"/>
    <w:rsid w:val="00242515"/>
    <w:rsid w:val="00245471"/>
    <w:rsid w:val="00246656"/>
    <w:rsid w:val="00247404"/>
    <w:rsid w:val="00250F6A"/>
    <w:rsid w:val="002540B1"/>
    <w:rsid w:val="00254775"/>
    <w:rsid w:val="002578C4"/>
    <w:rsid w:val="002615A9"/>
    <w:rsid w:val="00262AD8"/>
    <w:rsid w:val="00272954"/>
    <w:rsid w:val="00272D10"/>
    <w:rsid w:val="00274B01"/>
    <w:rsid w:val="00276AC7"/>
    <w:rsid w:val="00277785"/>
    <w:rsid w:val="002779CA"/>
    <w:rsid w:val="002828F1"/>
    <w:rsid w:val="002830A9"/>
    <w:rsid w:val="002943B3"/>
    <w:rsid w:val="00294526"/>
    <w:rsid w:val="0029603F"/>
    <w:rsid w:val="002974E7"/>
    <w:rsid w:val="00297CA5"/>
    <w:rsid w:val="00297D1B"/>
    <w:rsid w:val="002A3C1E"/>
    <w:rsid w:val="002B0953"/>
    <w:rsid w:val="002B2610"/>
    <w:rsid w:val="002B36A2"/>
    <w:rsid w:val="002B39CC"/>
    <w:rsid w:val="002B408E"/>
    <w:rsid w:val="002B5F07"/>
    <w:rsid w:val="002B6843"/>
    <w:rsid w:val="002B686E"/>
    <w:rsid w:val="002C43BF"/>
    <w:rsid w:val="002D1FDD"/>
    <w:rsid w:val="002D428A"/>
    <w:rsid w:val="002D4DEE"/>
    <w:rsid w:val="002D5D55"/>
    <w:rsid w:val="002D712A"/>
    <w:rsid w:val="002E009E"/>
    <w:rsid w:val="002E0D2A"/>
    <w:rsid w:val="002E376A"/>
    <w:rsid w:val="002E67D9"/>
    <w:rsid w:val="002F0570"/>
    <w:rsid w:val="002F31FE"/>
    <w:rsid w:val="002F3EBA"/>
    <w:rsid w:val="002F59EE"/>
    <w:rsid w:val="002F5BF1"/>
    <w:rsid w:val="002F6BBE"/>
    <w:rsid w:val="002F70B7"/>
    <w:rsid w:val="002F7A19"/>
    <w:rsid w:val="0030008F"/>
    <w:rsid w:val="00301572"/>
    <w:rsid w:val="00302B1B"/>
    <w:rsid w:val="00305A7C"/>
    <w:rsid w:val="00306C5A"/>
    <w:rsid w:val="00306C65"/>
    <w:rsid w:val="00312B26"/>
    <w:rsid w:val="00313CEE"/>
    <w:rsid w:val="0031493B"/>
    <w:rsid w:val="003178C1"/>
    <w:rsid w:val="00320E9F"/>
    <w:rsid w:val="00321EA1"/>
    <w:rsid w:val="0032363F"/>
    <w:rsid w:val="00324452"/>
    <w:rsid w:val="00324C75"/>
    <w:rsid w:val="00330A2C"/>
    <w:rsid w:val="00332FFC"/>
    <w:rsid w:val="00334613"/>
    <w:rsid w:val="00335323"/>
    <w:rsid w:val="0033563F"/>
    <w:rsid w:val="00337FCA"/>
    <w:rsid w:val="00341AAB"/>
    <w:rsid w:val="0034426F"/>
    <w:rsid w:val="0034639D"/>
    <w:rsid w:val="00346E0E"/>
    <w:rsid w:val="00347CA5"/>
    <w:rsid w:val="00347FF4"/>
    <w:rsid w:val="00353723"/>
    <w:rsid w:val="003562CB"/>
    <w:rsid w:val="003564EC"/>
    <w:rsid w:val="003603B9"/>
    <w:rsid w:val="00364092"/>
    <w:rsid w:val="00370989"/>
    <w:rsid w:val="003722AC"/>
    <w:rsid w:val="00383351"/>
    <w:rsid w:val="003851F4"/>
    <w:rsid w:val="00385746"/>
    <w:rsid w:val="003860BF"/>
    <w:rsid w:val="0038663A"/>
    <w:rsid w:val="00390B65"/>
    <w:rsid w:val="00392D35"/>
    <w:rsid w:val="00393E86"/>
    <w:rsid w:val="00396F23"/>
    <w:rsid w:val="003A0292"/>
    <w:rsid w:val="003A3246"/>
    <w:rsid w:val="003B3437"/>
    <w:rsid w:val="003C222E"/>
    <w:rsid w:val="003C6800"/>
    <w:rsid w:val="003D0953"/>
    <w:rsid w:val="003D1C58"/>
    <w:rsid w:val="003D2166"/>
    <w:rsid w:val="003D422B"/>
    <w:rsid w:val="003D52F3"/>
    <w:rsid w:val="003E0447"/>
    <w:rsid w:val="003E20E9"/>
    <w:rsid w:val="003E3D17"/>
    <w:rsid w:val="003E5D60"/>
    <w:rsid w:val="003E5D66"/>
    <w:rsid w:val="003F28DC"/>
    <w:rsid w:val="003F4603"/>
    <w:rsid w:val="003F4D72"/>
    <w:rsid w:val="003F5FAB"/>
    <w:rsid w:val="003F6E80"/>
    <w:rsid w:val="0040021F"/>
    <w:rsid w:val="0040102B"/>
    <w:rsid w:val="00404ACB"/>
    <w:rsid w:val="00407D4F"/>
    <w:rsid w:val="00414E65"/>
    <w:rsid w:val="00422DC2"/>
    <w:rsid w:val="00427B9C"/>
    <w:rsid w:val="0043019A"/>
    <w:rsid w:val="00431250"/>
    <w:rsid w:val="0043125E"/>
    <w:rsid w:val="00441F3C"/>
    <w:rsid w:val="00442AAA"/>
    <w:rsid w:val="00446D10"/>
    <w:rsid w:val="00450449"/>
    <w:rsid w:val="00450FE1"/>
    <w:rsid w:val="0045288B"/>
    <w:rsid w:val="00454029"/>
    <w:rsid w:val="00454974"/>
    <w:rsid w:val="00460B93"/>
    <w:rsid w:val="00461CE0"/>
    <w:rsid w:val="00461D65"/>
    <w:rsid w:val="00462B34"/>
    <w:rsid w:val="004661B3"/>
    <w:rsid w:val="00466271"/>
    <w:rsid w:val="00466B02"/>
    <w:rsid w:val="00470FE2"/>
    <w:rsid w:val="004731FC"/>
    <w:rsid w:val="00477B0C"/>
    <w:rsid w:val="0048063A"/>
    <w:rsid w:val="00483061"/>
    <w:rsid w:val="00486CA4"/>
    <w:rsid w:val="004954B0"/>
    <w:rsid w:val="004A0912"/>
    <w:rsid w:val="004A1689"/>
    <w:rsid w:val="004A2EC5"/>
    <w:rsid w:val="004A5BA4"/>
    <w:rsid w:val="004A5C5C"/>
    <w:rsid w:val="004A7AE9"/>
    <w:rsid w:val="004B3730"/>
    <w:rsid w:val="004B56B0"/>
    <w:rsid w:val="004B61AE"/>
    <w:rsid w:val="004B623F"/>
    <w:rsid w:val="004C04AE"/>
    <w:rsid w:val="004C0A93"/>
    <w:rsid w:val="004C1207"/>
    <w:rsid w:val="004C30FE"/>
    <w:rsid w:val="004C6F17"/>
    <w:rsid w:val="004C7BF5"/>
    <w:rsid w:val="004D1BA9"/>
    <w:rsid w:val="004D35E9"/>
    <w:rsid w:val="004D3F5C"/>
    <w:rsid w:val="004D42BC"/>
    <w:rsid w:val="004D65DA"/>
    <w:rsid w:val="004D65F0"/>
    <w:rsid w:val="004D7030"/>
    <w:rsid w:val="004E4598"/>
    <w:rsid w:val="004E4CE7"/>
    <w:rsid w:val="004E7596"/>
    <w:rsid w:val="004F0E56"/>
    <w:rsid w:val="004F4E74"/>
    <w:rsid w:val="004F5CC6"/>
    <w:rsid w:val="004F6A39"/>
    <w:rsid w:val="004F6EEA"/>
    <w:rsid w:val="0050263B"/>
    <w:rsid w:val="005031F6"/>
    <w:rsid w:val="00506286"/>
    <w:rsid w:val="005112D7"/>
    <w:rsid w:val="0051176B"/>
    <w:rsid w:val="00512983"/>
    <w:rsid w:val="00512A1F"/>
    <w:rsid w:val="0051598A"/>
    <w:rsid w:val="005171D4"/>
    <w:rsid w:val="00517AF6"/>
    <w:rsid w:val="00520141"/>
    <w:rsid w:val="00520BA4"/>
    <w:rsid w:val="00521A8B"/>
    <w:rsid w:val="00521AA3"/>
    <w:rsid w:val="00523329"/>
    <w:rsid w:val="00524481"/>
    <w:rsid w:val="00526292"/>
    <w:rsid w:val="00526B59"/>
    <w:rsid w:val="0053069C"/>
    <w:rsid w:val="00530EF6"/>
    <w:rsid w:val="00536F45"/>
    <w:rsid w:val="005371F2"/>
    <w:rsid w:val="00546178"/>
    <w:rsid w:val="00554A70"/>
    <w:rsid w:val="0055638C"/>
    <w:rsid w:val="00560D2B"/>
    <w:rsid w:val="00562008"/>
    <w:rsid w:val="00566E1D"/>
    <w:rsid w:val="00571037"/>
    <w:rsid w:val="005745D6"/>
    <w:rsid w:val="00577D1D"/>
    <w:rsid w:val="005807DC"/>
    <w:rsid w:val="005872E2"/>
    <w:rsid w:val="005906D9"/>
    <w:rsid w:val="00590975"/>
    <w:rsid w:val="00592892"/>
    <w:rsid w:val="00596756"/>
    <w:rsid w:val="005A3C71"/>
    <w:rsid w:val="005A3E4D"/>
    <w:rsid w:val="005A4E03"/>
    <w:rsid w:val="005A5C72"/>
    <w:rsid w:val="005B01CC"/>
    <w:rsid w:val="005B0D79"/>
    <w:rsid w:val="005B1DDE"/>
    <w:rsid w:val="005B2B22"/>
    <w:rsid w:val="005B636A"/>
    <w:rsid w:val="005B68C2"/>
    <w:rsid w:val="005C0C1A"/>
    <w:rsid w:val="005C15A9"/>
    <w:rsid w:val="005C1C5B"/>
    <w:rsid w:val="005C6229"/>
    <w:rsid w:val="005D2046"/>
    <w:rsid w:val="005D4637"/>
    <w:rsid w:val="005D6742"/>
    <w:rsid w:val="005E33A5"/>
    <w:rsid w:val="005E4F06"/>
    <w:rsid w:val="005E716D"/>
    <w:rsid w:val="005E7BE4"/>
    <w:rsid w:val="005F3852"/>
    <w:rsid w:val="005F473E"/>
    <w:rsid w:val="00600248"/>
    <w:rsid w:val="00601112"/>
    <w:rsid w:val="00601460"/>
    <w:rsid w:val="00601C8B"/>
    <w:rsid w:val="00602090"/>
    <w:rsid w:val="006046BC"/>
    <w:rsid w:val="006066E7"/>
    <w:rsid w:val="00607B69"/>
    <w:rsid w:val="00626F1A"/>
    <w:rsid w:val="00634218"/>
    <w:rsid w:val="00634DA6"/>
    <w:rsid w:val="00635DDC"/>
    <w:rsid w:val="0064110C"/>
    <w:rsid w:val="006430D0"/>
    <w:rsid w:val="00646053"/>
    <w:rsid w:val="006468EE"/>
    <w:rsid w:val="00646DBC"/>
    <w:rsid w:val="00647384"/>
    <w:rsid w:val="006565EA"/>
    <w:rsid w:val="00656626"/>
    <w:rsid w:val="00657CE7"/>
    <w:rsid w:val="006602A2"/>
    <w:rsid w:val="006669CE"/>
    <w:rsid w:val="00676A62"/>
    <w:rsid w:val="00676A80"/>
    <w:rsid w:val="006777D3"/>
    <w:rsid w:val="0068356F"/>
    <w:rsid w:val="00685789"/>
    <w:rsid w:val="0069089E"/>
    <w:rsid w:val="00694011"/>
    <w:rsid w:val="006953FD"/>
    <w:rsid w:val="00696F70"/>
    <w:rsid w:val="006A183B"/>
    <w:rsid w:val="006A2591"/>
    <w:rsid w:val="006A3D3C"/>
    <w:rsid w:val="006A5C1D"/>
    <w:rsid w:val="006A5C8E"/>
    <w:rsid w:val="006B2AA2"/>
    <w:rsid w:val="006B6679"/>
    <w:rsid w:val="006C2A29"/>
    <w:rsid w:val="006C3617"/>
    <w:rsid w:val="006C4C1F"/>
    <w:rsid w:val="006C52ED"/>
    <w:rsid w:val="006D4279"/>
    <w:rsid w:val="006D513B"/>
    <w:rsid w:val="006E377C"/>
    <w:rsid w:val="006E61CE"/>
    <w:rsid w:val="006F564A"/>
    <w:rsid w:val="00702A59"/>
    <w:rsid w:val="007106DB"/>
    <w:rsid w:val="00712FC6"/>
    <w:rsid w:val="00713543"/>
    <w:rsid w:val="00715138"/>
    <w:rsid w:val="00716EC6"/>
    <w:rsid w:val="00721238"/>
    <w:rsid w:val="007214E2"/>
    <w:rsid w:val="00722F9D"/>
    <w:rsid w:val="00726DE1"/>
    <w:rsid w:val="007307D8"/>
    <w:rsid w:val="00731244"/>
    <w:rsid w:val="00732E6E"/>
    <w:rsid w:val="007359BF"/>
    <w:rsid w:val="00737657"/>
    <w:rsid w:val="00737AE3"/>
    <w:rsid w:val="0074207C"/>
    <w:rsid w:val="00746D11"/>
    <w:rsid w:val="0075029F"/>
    <w:rsid w:val="007569BA"/>
    <w:rsid w:val="00760D49"/>
    <w:rsid w:val="0076325B"/>
    <w:rsid w:val="00763FA2"/>
    <w:rsid w:val="00765D5B"/>
    <w:rsid w:val="00766A9A"/>
    <w:rsid w:val="00770288"/>
    <w:rsid w:val="007704F9"/>
    <w:rsid w:val="00770DC2"/>
    <w:rsid w:val="00772663"/>
    <w:rsid w:val="00774DBD"/>
    <w:rsid w:val="0077655F"/>
    <w:rsid w:val="00782488"/>
    <w:rsid w:val="00783CC7"/>
    <w:rsid w:val="0078470E"/>
    <w:rsid w:val="00785432"/>
    <w:rsid w:val="00794324"/>
    <w:rsid w:val="007943FF"/>
    <w:rsid w:val="00795419"/>
    <w:rsid w:val="00797471"/>
    <w:rsid w:val="007A2C13"/>
    <w:rsid w:val="007A430E"/>
    <w:rsid w:val="007A43C1"/>
    <w:rsid w:val="007A53B9"/>
    <w:rsid w:val="007B038C"/>
    <w:rsid w:val="007B1107"/>
    <w:rsid w:val="007B1D2C"/>
    <w:rsid w:val="007B2BCC"/>
    <w:rsid w:val="007B5E67"/>
    <w:rsid w:val="007B79A9"/>
    <w:rsid w:val="007C2018"/>
    <w:rsid w:val="007C2930"/>
    <w:rsid w:val="007C41F7"/>
    <w:rsid w:val="007C43C8"/>
    <w:rsid w:val="007C579C"/>
    <w:rsid w:val="007D0A0B"/>
    <w:rsid w:val="007D0DC7"/>
    <w:rsid w:val="007D4C5E"/>
    <w:rsid w:val="007D5670"/>
    <w:rsid w:val="007D61AF"/>
    <w:rsid w:val="007D6279"/>
    <w:rsid w:val="007D708B"/>
    <w:rsid w:val="007E3543"/>
    <w:rsid w:val="007F37E1"/>
    <w:rsid w:val="007F72C9"/>
    <w:rsid w:val="007F77B3"/>
    <w:rsid w:val="00801B59"/>
    <w:rsid w:val="008119CC"/>
    <w:rsid w:val="00812797"/>
    <w:rsid w:val="00816819"/>
    <w:rsid w:val="008219F4"/>
    <w:rsid w:val="00824216"/>
    <w:rsid w:val="00826E45"/>
    <w:rsid w:val="008330C8"/>
    <w:rsid w:val="00833F31"/>
    <w:rsid w:val="00836124"/>
    <w:rsid w:val="00840D3A"/>
    <w:rsid w:val="00844EEC"/>
    <w:rsid w:val="00850CC9"/>
    <w:rsid w:val="00854E83"/>
    <w:rsid w:val="008551C9"/>
    <w:rsid w:val="00855E6B"/>
    <w:rsid w:val="00855E8B"/>
    <w:rsid w:val="00857814"/>
    <w:rsid w:val="00857871"/>
    <w:rsid w:val="00861552"/>
    <w:rsid w:val="008620F3"/>
    <w:rsid w:val="008620FC"/>
    <w:rsid w:val="00866A50"/>
    <w:rsid w:val="008700A9"/>
    <w:rsid w:val="008718E6"/>
    <w:rsid w:val="00872425"/>
    <w:rsid w:val="00874699"/>
    <w:rsid w:val="00874C73"/>
    <w:rsid w:val="00876B6E"/>
    <w:rsid w:val="008823E2"/>
    <w:rsid w:val="00884459"/>
    <w:rsid w:val="00884593"/>
    <w:rsid w:val="00886D2A"/>
    <w:rsid w:val="00892724"/>
    <w:rsid w:val="00893B61"/>
    <w:rsid w:val="00894A54"/>
    <w:rsid w:val="008A1B7F"/>
    <w:rsid w:val="008A426C"/>
    <w:rsid w:val="008C1A2E"/>
    <w:rsid w:val="008D5995"/>
    <w:rsid w:val="008D7003"/>
    <w:rsid w:val="008E0CBB"/>
    <w:rsid w:val="008E19EA"/>
    <w:rsid w:val="008E3BC8"/>
    <w:rsid w:val="008E67A4"/>
    <w:rsid w:val="008E7D79"/>
    <w:rsid w:val="008F0B84"/>
    <w:rsid w:val="008F3995"/>
    <w:rsid w:val="008F5DFB"/>
    <w:rsid w:val="008F668F"/>
    <w:rsid w:val="008F6E97"/>
    <w:rsid w:val="00903C1E"/>
    <w:rsid w:val="0090649C"/>
    <w:rsid w:val="00910D1A"/>
    <w:rsid w:val="009112F8"/>
    <w:rsid w:val="00913C38"/>
    <w:rsid w:val="009144CF"/>
    <w:rsid w:val="009147ED"/>
    <w:rsid w:val="0091565A"/>
    <w:rsid w:val="00916BEA"/>
    <w:rsid w:val="0091774B"/>
    <w:rsid w:val="0092240D"/>
    <w:rsid w:val="00922AF0"/>
    <w:rsid w:val="00924A7D"/>
    <w:rsid w:val="00924D6B"/>
    <w:rsid w:val="009261B9"/>
    <w:rsid w:val="00927B9E"/>
    <w:rsid w:val="0093146A"/>
    <w:rsid w:val="00934B5A"/>
    <w:rsid w:val="00934D64"/>
    <w:rsid w:val="00941A89"/>
    <w:rsid w:val="009460DA"/>
    <w:rsid w:val="00953517"/>
    <w:rsid w:val="0095733B"/>
    <w:rsid w:val="0096033C"/>
    <w:rsid w:val="00961181"/>
    <w:rsid w:val="00962D3E"/>
    <w:rsid w:val="00964326"/>
    <w:rsid w:val="00967EE7"/>
    <w:rsid w:val="00971CA3"/>
    <w:rsid w:val="00973B23"/>
    <w:rsid w:val="00975F83"/>
    <w:rsid w:val="009777ED"/>
    <w:rsid w:val="0098130F"/>
    <w:rsid w:val="009824B1"/>
    <w:rsid w:val="009847EF"/>
    <w:rsid w:val="00990DAB"/>
    <w:rsid w:val="00991E8B"/>
    <w:rsid w:val="00992C6B"/>
    <w:rsid w:val="00993DA8"/>
    <w:rsid w:val="009946DA"/>
    <w:rsid w:val="0099744A"/>
    <w:rsid w:val="0099758C"/>
    <w:rsid w:val="009A1DC3"/>
    <w:rsid w:val="009A3F58"/>
    <w:rsid w:val="009A547C"/>
    <w:rsid w:val="009A5492"/>
    <w:rsid w:val="009B0ECE"/>
    <w:rsid w:val="009B258E"/>
    <w:rsid w:val="009B4499"/>
    <w:rsid w:val="009C0BA0"/>
    <w:rsid w:val="009C3C8E"/>
    <w:rsid w:val="009C5D53"/>
    <w:rsid w:val="009C5EDD"/>
    <w:rsid w:val="009C6E4E"/>
    <w:rsid w:val="009C706B"/>
    <w:rsid w:val="009C7757"/>
    <w:rsid w:val="009D10B1"/>
    <w:rsid w:val="009D1CAA"/>
    <w:rsid w:val="009D5EC3"/>
    <w:rsid w:val="009D6C0B"/>
    <w:rsid w:val="009D77C4"/>
    <w:rsid w:val="009E1A5A"/>
    <w:rsid w:val="009E1F8E"/>
    <w:rsid w:val="009F2CDB"/>
    <w:rsid w:val="009F76FB"/>
    <w:rsid w:val="00A021A5"/>
    <w:rsid w:val="00A0674F"/>
    <w:rsid w:val="00A121B3"/>
    <w:rsid w:val="00A201E9"/>
    <w:rsid w:val="00A206C5"/>
    <w:rsid w:val="00A24A7A"/>
    <w:rsid w:val="00A273FC"/>
    <w:rsid w:val="00A27CFD"/>
    <w:rsid w:val="00A3037C"/>
    <w:rsid w:val="00A345D1"/>
    <w:rsid w:val="00A35240"/>
    <w:rsid w:val="00A35A67"/>
    <w:rsid w:val="00A45A3C"/>
    <w:rsid w:val="00A469FF"/>
    <w:rsid w:val="00A5008F"/>
    <w:rsid w:val="00A52FC2"/>
    <w:rsid w:val="00A53BAF"/>
    <w:rsid w:val="00A54EA9"/>
    <w:rsid w:val="00A55552"/>
    <w:rsid w:val="00A57CFD"/>
    <w:rsid w:val="00A60EE3"/>
    <w:rsid w:val="00A61366"/>
    <w:rsid w:val="00A624EF"/>
    <w:rsid w:val="00A6312A"/>
    <w:rsid w:val="00A71502"/>
    <w:rsid w:val="00A723B9"/>
    <w:rsid w:val="00A723CE"/>
    <w:rsid w:val="00A74E1D"/>
    <w:rsid w:val="00A759A3"/>
    <w:rsid w:val="00A75B90"/>
    <w:rsid w:val="00A81B00"/>
    <w:rsid w:val="00A84457"/>
    <w:rsid w:val="00A870EB"/>
    <w:rsid w:val="00A87E8E"/>
    <w:rsid w:val="00A93753"/>
    <w:rsid w:val="00A97934"/>
    <w:rsid w:val="00A9798E"/>
    <w:rsid w:val="00AA0901"/>
    <w:rsid w:val="00AA0DAA"/>
    <w:rsid w:val="00AA4618"/>
    <w:rsid w:val="00AA5593"/>
    <w:rsid w:val="00AA5F7B"/>
    <w:rsid w:val="00AB037D"/>
    <w:rsid w:val="00AB251F"/>
    <w:rsid w:val="00AB25CC"/>
    <w:rsid w:val="00AB51FB"/>
    <w:rsid w:val="00AB696C"/>
    <w:rsid w:val="00AC5331"/>
    <w:rsid w:val="00AC7EEA"/>
    <w:rsid w:val="00AD2825"/>
    <w:rsid w:val="00AD2A1B"/>
    <w:rsid w:val="00AD7A9D"/>
    <w:rsid w:val="00AE150B"/>
    <w:rsid w:val="00AE31EA"/>
    <w:rsid w:val="00AE410B"/>
    <w:rsid w:val="00AE5E7C"/>
    <w:rsid w:val="00AF0372"/>
    <w:rsid w:val="00AF037D"/>
    <w:rsid w:val="00AF2064"/>
    <w:rsid w:val="00B025F6"/>
    <w:rsid w:val="00B033FF"/>
    <w:rsid w:val="00B044FE"/>
    <w:rsid w:val="00B12C10"/>
    <w:rsid w:val="00B14051"/>
    <w:rsid w:val="00B15E52"/>
    <w:rsid w:val="00B1639B"/>
    <w:rsid w:val="00B167E3"/>
    <w:rsid w:val="00B1692F"/>
    <w:rsid w:val="00B16CB5"/>
    <w:rsid w:val="00B23575"/>
    <w:rsid w:val="00B26B21"/>
    <w:rsid w:val="00B27683"/>
    <w:rsid w:val="00B33404"/>
    <w:rsid w:val="00B341B6"/>
    <w:rsid w:val="00B37707"/>
    <w:rsid w:val="00B4167F"/>
    <w:rsid w:val="00B426FD"/>
    <w:rsid w:val="00B43330"/>
    <w:rsid w:val="00B463BD"/>
    <w:rsid w:val="00B467DB"/>
    <w:rsid w:val="00B476C6"/>
    <w:rsid w:val="00B50FA1"/>
    <w:rsid w:val="00B550CE"/>
    <w:rsid w:val="00B566C9"/>
    <w:rsid w:val="00B718C9"/>
    <w:rsid w:val="00B82927"/>
    <w:rsid w:val="00B83F65"/>
    <w:rsid w:val="00B862AB"/>
    <w:rsid w:val="00B86B5C"/>
    <w:rsid w:val="00B90955"/>
    <w:rsid w:val="00B91D99"/>
    <w:rsid w:val="00B92316"/>
    <w:rsid w:val="00B9435D"/>
    <w:rsid w:val="00B95EB6"/>
    <w:rsid w:val="00B962BE"/>
    <w:rsid w:val="00BA2D2F"/>
    <w:rsid w:val="00BA33FB"/>
    <w:rsid w:val="00BA3D68"/>
    <w:rsid w:val="00BA7899"/>
    <w:rsid w:val="00BA7991"/>
    <w:rsid w:val="00BB1E31"/>
    <w:rsid w:val="00BB2B91"/>
    <w:rsid w:val="00BB4E42"/>
    <w:rsid w:val="00BB50A6"/>
    <w:rsid w:val="00BB6667"/>
    <w:rsid w:val="00BB7B93"/>
    <w:rsid w:val="00BB7C91"/>
    <w:rsid w:val="00BC3B9C"/>
    <w:rsid w:val="00BC515D"/>
    <w:rsid w:val="00BC56B1"/>
    <w:rsid w:val="00BD1DC2"/>
    <w:rsid w:val="00BD522F"/>
    <w:rsid w:val="00BE155D"/>
    <w:rsid w:val="00BE60C7"/>
    <w:rsid w:val="00BE66D2"/>
    <w:rsid w:val="00BF0AF7"/>
    <w:rsid w:val="00BF32FF"/>
    <w:rsid w:val="00BF4E6F"/>
    <w:rsid w:val="00BF522D"/>
    <w:rsid w:val="00BF61F0"/>
    <w:rsid w:val="00BF6757"/>
    <w:rsid w:val="00C03591"/>
    <w:rsid w:val="00C03B8F"/>
    <w:rsid w:val="00C05042"/>
    <w:rsid w:val="00C05AC7"/>
    <w:rsid w:val="00C071B8"/>
    <w:rsid w:val="00C1056B"/>
    <w:rsid w:val="00C128F4"/>
    <w:rsid w:val="00C136F1"/>
    <w:rsid w:val="00C15892"/>
    <w:rsid w:val="00C253E9"/>
    <w:rsid w:val="00C26C98"/>
    <w:rsid w:val="00C34A70"/>
    <w:rsid w:val="00C356E0"/>
    <w:rsid w:val="00C35C4F"/>
    <w:rsid w:val="00C36827"/>
    <w:rsid w:val="00C46910"/>
    <w:rsid w:val="00C52072"/>
    <w:rsid w:val="00C55C88"/>
    <w:rsid w:val="00C579F0"/>
    <w:rsid w:val="00C608FC"/>
    <w:rsid w:val="00C62536"/>
    <w:rsid w:val="00C651D9"/>
    <w:rsid w:val="00C653D8"/>
    <w:rsid w:val="00C666BD"/>
    <w:rsid w:val="00C667E2"/>
    <w:rsid w:val="00C66EC1"/>
    <w:rsid w:val="00C6762F"/>
    <w:rsid w:val="00C67672"/>
    <w:rsid w:val="00C7043D"/>
    <w:rsid w:val="00C72EFE"/>
    <w:rsid w:val="00C751A5"/>
    <w:rsid w:val="00C75858"/>
    <w:rsid w:val="00C76D79"/>
    <w:rsid w:val="00C800DE"/>
    <w:rsid w:val="00C80A90"/>
    <w:rsid w:val="00C81EF6"/>
    <w:rsid w:val="00C82349"/>
    <w:rsid w:val="00C83896"/>
    <w:rsid w:val="00C84D23"/>
    <w:rsid w:val="00C860BA"/>
    <w:rsid w:val="00C878B0"/>
    <w:rsid w:val="00C87D60"/>
    <w:rsid w:val="00C924A6"/>
    <w:rsid w:val="00C97C0D"/>
    <w:rsid w:val="00CA0E73"/>
    <w:rsid w:val="00CA18F3"/>
    <w:rsid w:val="00CA1DAF"/>
    <w:rsid w:val="00CA50E7"/>
    <w:rsid w:val="00CA5856"/>
    <w:rsid w:val="00CA6646"/>
    <w:rsid w:val="00CB6DD8"/>
    <w:rsid w:val="00CB7257"/>
    <w:rsid w:val="00CC4921"/>
    <w:rsid w:val="00CC4C66"/>
    <w:rsid w:val="00CC6025"/>
    <w:rsid w:val="00CD711A"/>
    <w:rsid w:val="00CE1D84"/>
    <w:rsid w:val="00CE2B00"/>
    <w:rsid w:val="00CE3216"/>
    <w:rsid w:val="00CE47AC"/>
    <w:rsid w:val="00CE4CC7"/>
    <w:rsid w:val="00CE74FF"/>
    <w:rsid w:val="00CE7895"/>
    <w:rsid w:val="00CF1D7B"/>
    <w:rsid w:val="00CF61DE"/>
    <w:rsid w:val="00CF696D"/>
    <w:rsid w:val="00D038E8"/>
    <w:rsid w:val="00D106A3"/>
    <w:rsid w:val="00D117F0"/>
    <w:rsid w:val="00D14A58"/>
    <w:rsid w:val="00D21CBD"/>
    <w:rsid w:val="00D30157"/>
    <w:rsid w:val="00D303B9"/>
    <w:rsid w:val="00D31ADC"/>
    <w:rsid w:val="00D32ED8"/>
    <w:rsid w:val="00D33E98"/>
    <w:rsid w:val="00D363E0"/>
    <w:rsid w:val="00D36877"/>
    <w:rsid w:val="00D37F22"/>
    <w:rsid w:val="00D41883"/>
    <w:rsid w:val="00D422F8"/>
    <w:rsid w:val="00D46254"/>
    <w:rsid w:val="00D47004"/>
    <w:rsid w:val="00D539C9"/>
    <w:rsid w:val="00D56DEB"/>
    <w:rsid w:val="00D57325"/>
    <w:rsid w:val="00D57D31"/>
    <w:rsid w:val="00D60D82"/>
    <w:rsid w:val="00D613BB"/>
    <w:rsid w:val="00D62195"/>
    <w:rsid w:val="00D62F78"/>
    <w:rsid w:val="00D673E9"/>
    <w:rsid w:val="00D70493"/>
    <w:rsid w:val="00D70EAF"/>
    <w:rsid w:val="00D71CD7"/>
    <w:rsid w:val="00D80439"/>
    <w:rsid w:val="00D80C43"/>
    <w:rsid w:val="00D811D6"/>
    <w:rsid w:val="00D8132C"/>
    <w:rsid w:val="00D8567E"/>
    <w:rsid w:val="00D92AFC"/>
    <w:rsid w:val="00D95E72"/>
    <w:rsid w:val="00DA3190"/>
    <w:rsid w:val="00DA40DD"/>
    <w:rsid w:val="00DA495C"/>
    <w:rsid w:val="00DB1402"/>
    <w:rsid w:val="00DB1D89"/>
    <w:rsid w:val="00DB5E0B"/>
    <w:rsid w:val="00DC1145"/>
    <w:rsid w:val="00DC2B0A"/>
    <w:rsid w:val="00DC350F"/>
    <w:rsid w:val="00DC35BD"/>
    <w:rsid w:val="00DC443D"/>
    <w:rsid w:val="00DC79E1"/>
    <w:rsid w:val="00DD06A0"/>
    <w:rsid w:val="00DD0F03"/>
    <w:rsid w:val="00DD1B96"/>
    <w:rsid w:val="00DD2174"/>
    <w:rsid w:val="00DD4272"/>
    <w:rsid w:val="00DE1188"/>
    <w:rsid w:val="00DE12BE"/>
    <w:rsid w:val="00DE5316"/>
    <w:rsid w:val="00DE7828"/>
    <w:rsid w:val="00DF1E6E"/>
    <w:rsid w:val="00DF26B6"/>
    <w:rsid w:val="00DF5643"/>
    <w:rsid w:val="00DF566F"/>
    <w:rsid w:val="00E03802"/>
    <w:rsid w:val="00E03F97"/>
    <w:rsid w:val="00E06F73"/>
    <w:rsid w:val="00E073DB"/>
    <w:rsid w:val="00E10908"/>
    <w:rsid w:val="00E12080"/>
    <w:rsid w:val="00E129B9"/>
    <w:rsid w:val="00E14A6C"/>
    <w:rsid w:val="00E16E47"/>
    <w:rsid w:val="00E17AED"/>
    <w:rsid w:val="00E212AE"/>
    <w:rsid w:val="00E2270C"/>
    <w:rsid w:val="00E23F53"/>
    <w:rsid w:val="00E25FCD"/>
    <w:rsid w:val="00E27264"/>
    <w:rsid w:val="00E37772"/>
    <w:rsid w:val="00E4161E"/>
    <w:rsid w:val="00E462FA"/>
    <w:rsid w:val="00E52128"/>
    <w:rsid w:val="00E544D2"/>
    <w:rsid w:val="00E54847"/>
    <w:rsid w:val="00E615F8"/>
    <w:rsid w:val="00E61F74"/>
    <w:rsid w:val="00E636D6"/>
    <w:rsid w:val="00E6514E"/>
    <w:rsid w:val="00E672AC"/>
    <w:rsid w:val="00E71945"/>
    <w:rsid w:val="00E71989"/>
    <w:rsid w:val="00E71CEE"/>
    <w:rsid w:val="00E72328"/>
    <w:rsid w:val="00E73542"/>
    <w:rsid w:val="00E75D6C"/>
    <w:rsid w:val="00E80984"/>
    <w:rsid w:val="00E80D48"/>
    <w:rsid w:val="00E8128C"/>
    <w:rsid w:val="00E81C59"/>
    <w:rsid w:val="00E85904"/>
    <w:rsid w:val="00E85BDE"/>
    <w:rsid w:val="00E86073"/>
    <w:rsid w:val="00E863A5"/>
    <w:rsid w:val="00E929BC"/>
    <w:rsid w:val="00E937EA"/>
    <w:rsid w:val="00EA030A"/>
    <w:rsid w:val="00EA3C4B"/>
    <w:rsid w:val="00EA495D"/>
    <w:rsid w:val="00EA524C"/>
    <w:rsid w:val="00EA5D19"/>
    <w:rsid w:val="00EA7765"/>
    <w:rsid w:val="00EB46C6"/>
    <w:rsid w:val="00EB546F"/>
    <w:rsid w:val="00EB66C6"/>
    <w:rsid w:val="00EB77F6"/>
    <w:rsid w:val="00EC194E"/>
    <w:rsid w:val="00EC2E82"/>
    <w:rsid w:val="00EC4624"/>
    <w:rsid w:val="00EC7DCD"/>
    <w:rsid w:val="00ED6062"/>
    <w:rsid w:val="00ED76DE"/>
    <w:rsid w:val="00ED7DC7"/>
    <w:rsid w:val="00EE0B84"/>
    <w:rsid w:val="00EE1771"/>
    <w:rsid w:val="00EE2E8C"/>
    <w:rsid w:val="00EE2E99"/>
    <w:rsid w:val="00EE3B9F"/>
    <w:rsid w:val="00EE6947"/>
    <w:rsid w:val="00EF35CA"/>
    <w:rsid w:val="00EF35FA"/>
    <w:rsid w:val="00F02579"/>
    <w:rsid w:val="00F0492E"/>
    <w:rsid w:val="00F12AE1"/>
    <w:rsid w:val="00F132E2"/>
    <w:rsid w:val="00F151A8"/>
    <w:rsid w:val="00F2320A"/>
    <w:rsid w:val="00F23814"/>
    <w:rsid w:val="00F255CE"/>
    <w:rsid w:val="00F256C5"/>
    <w:rsid w:val="00F3188A"/>
    <w:rsid w:val="00F34231"/>
    <w:rsid w:val="00F34B87"/>
    <w:rsid w:val="00F3574E"/>
    <w:rsid w:val="00F36646"/>
    <w:rsid w:val="00F36C2D"/>
    <w:rsid w:val="00F42072"/>
    <w:rsid w:val="00F42CD6"/>
    <w:rsid w:val="00F47B27"/>
    <w:rsid w:val="00F54397"/>
    <w:rsid w:val="00F55404"/>
    <w:rsid w:val="00F55E12"/>
    <w:rsid w:val="00F572E8"/>
    <w:rsid w:val="00F578E5"/>
    <w:rsid w:val="00F604DA"/>
    <w:rsid w:val="00F60A46"/>
    <w:rsid w:val="00F62D87"/>
    <w:rsid w:val="00F6571B"/>
    <w:rsid w:val="00F66A77"/>
    <w:rsid w:val="00F67297"/>
    <w:rsid w:val="00F677BC"/>
    <w:rsid w:val="00F73AD0"/>
    <w:rsid w:val="00F74AF0"/>
    <w:rsid w:val="00F80B41"/>
    <w:rsid w:val="00F8292E"/>
    <w:rsid w:val="00F84372"/>
    <w:rsid w:val="00F845DD"/>
    <w:rsid w:val="00F8715A"/>
    <w:rsid w:val="00F92478"/>
    <w:rsid w:val="00F95DCC"/>
    <w:rsid w:val="00FA72E1"/>
    <w:rsid w:val="00FB30AC"/>
    <w:rsid w:val="00FB4321"/>
    <w:rsid w:val="00FB4ED1"/>
    <w:rsid w:val="00FB5DB6"/>
    <w:rsid w:val="00FC38EF"/>
    <w:rsid w:val="00FC7121"/>
    <w:rsid w:val="00FD0AE7"/>
    <w:rsid w:val="00FD372C"/>
    <w:rsid w:val="00FD4AA7"/>
    <w:rsid w:val="00FD512C"/>
    <w:rsid w:val="00FD5A21"/>
    <w:rsid w:val="00FD7F50"/>
    <w:rsid w:val="00FE1569"/>
    <w:rsid w:val="00FE3681"/>
    <w:rsid w:val="00FE4127"/>
    <w:rsid w:val="00FE77D3"/>
    <w:rsid w:val="00FE7A9E"/>
    <w:rsid w:val="00FE7BAA"/>
    <w:rsid w:val="00FF183B"/>
    <w:rsid w:val="00FF3FD5"/>
    <w:rsid w:val="00FF531B"/>
    <w:rsid w:val="00FF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794B"/>
  <w15:docId w15:val="{968EAADA-506F-4C65-9DC8-8CFB5136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5746"/>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601C8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601C8B"/>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autoRedefine/>
    <w:uiPriority w:val="9"/>
    <w:qFormat/>
    <w:rsid w:val="00601C8B"/>
    <w:pPr>
      <w:keepNext/>
      <w:outlineLvl w:val="2"/>
    </w:pPr>
    <w:rPr>
      <w:b/>
      <w:szCs w:val="22"/>
    </w:rPr>
  </w:style>
  <w:style w:type="paragraph" w:styleId="Antrat5">
    <w:name w:val="heading 5"/>
    <w:basedOn w:val="prastasis"/>
    <w:next w:val="prastasis"/>
    <w:link w:val="Antrat5Diagrama"/>
    <w:uiPriority w:val="9"/>
    <w:qFormat/>
    <w:rsid w:val="00601C8B"/>
    <w:pPr>
      <w:keepNext/>
      <w:keepLines/>
      <w:spacing w:before="200"/>
      <w:outlineLvl w:val="4"/>
    </w:pPr>
    <w:rPr>
      <w:rFonts w:ascii="Cambria" w:hAnsi="Cambria"/>
      <w:color w:val="243F60"/>
    </w:rPr>
  </w:style>
  <w:style w:type="paragraph" w:styleId="Antrat7">
    <w:name w:val="heading 7"/>
    <w:basedOn w:val="prastasis"/>
    <w:next w:val="prastasis"/>
    <w:link w:val="Antrat7Diagrama"/>
    <w:uiPriority w:val="9"/>
    <w:semiHidden/>
    <w:unhideWhenUsed/>
    <w:qFormat/>
    <w:rsid w:val="00647384"/>
    <w:pPr>
      <w:keepNext/>
      <w:keepLines/>
      <w:spacing w:before="40"/>
      <w:outlineLvl w:val="6"/>
    </w:pPr>
    <w:rPr>
      <w:rFonts w:asciiTheme="majorHAnsi" w:eastAsiaTheme="majorEastAsia" w:hAnsiTheme="majorHAnsi" w:cstheme="majorBidi"/>
      <w:i/>
      <w:iCs/>
      <w:color w:val="243F60" w:themeColor="accent1" w:themeShade="7F"/>
    </w:rPr>
  </w:style>
  <w:style w:type="paragraph" w:styleId="Antrat9">
    <w:name w:val="heading 9"/>
    <w:basedOn w:val="prastasis"/>
    <w:next w:val="prastasis"/>
    <w:link w:val="Antrat9Diagrama"/>
    <w:uiPriority w:val="9"/>
    <w:qFormat/>
    <w:rsid w:val="00601C8B"/>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1C8B"/>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uiPriority w:val="9"/>
    <w:rsid w:val="00601C8B"/>
    <w:rPr>
      <w:rFonts w:ascii="Cambria" w:eastAsia="Times New Roman" w:hAnsi="Cambria" w:cs="Times New Roman"/>
      <w:b/>
      <w:bCs/>
      <w:color w:val="4F81BD"/>
      <w:sz w:val="26"/>
      <w:szCs w:val="26"/>
      <w:lang w:eastAsia="lt-LT"/>
    </w:rPr>
  </w:style>
  <w:style w:type="character" w:customStyle="1" w:styleId="Antrat3Diagrama">
    <w:name w:val="Antraštė 3 Diagrama"/>
    <w:basedOn w:val="Numatytasispastraiposriftas"/>
    <w:link w:val="Antrat3"/>
    <w:uiPriority w:val="9"/>
    <w:rsid w:val="00601C8B"/>
    <w:rPr>
      <w:rFonts w:ascii="Times New Roman" w:eastAsia="Times New Roman" w:hAnsi="Times New Roman" w:cs="Times New Roman"/>
      <w:b/>
      <w:lang w:eastAsia="lt-LT"/>
    </w:rPr>
  </w:style>
  <w:style w:type="character" w:customStyle="1" w:styleId="Antrat5Diagrama">
    <w:name w:val="Antraštė 5 Diagrama"/>
    <w:basedOn w:val="Numatytasispastraiposriftas"/>
    <w:link w:val="Antrat5"/>
    <w:uiPriority w:val="99"/>
    <w:rsid w:val="00601C8B"/>
    <w:rPr>
      <w:rFonts w:ascii="Cambria" w:eastAsia="Times New Roman" w:hAnsi="Cambria" w:cs="Times New Roman"/>
      <w:color w:val="243F60"/>
      <w:szCs w:val="20"/>
      <w:lang w:eastAsia="lt-LT"/>
    </w:rPr>
  </w:style>
  <w:style w:type="character" w:customStyle="1" w:styleId="Antrat9Diagrama">
    <w:name w:val="Antraštė 9 Diagrama"/>
    <w:basedOn w:val="Numatytasispastraiposriftas"/>
    <w:link w:val="Antrat9"/>
    <w:uiPriority w:val="9"/>
    <w:rsid w:val="00601C8B"/>
    <w:rPr>
      <w:rFonts w:ascii="Cambria" w:eastAsia="Times New Roman" w:hAnsi="Cambria" w:cs="Times New Roman"/>
      <w:i/>
      <w:iCs/>
      <w:color w:val="404040"/>
      <w:sz w:val="20"/>
      <w:szCs w:val="20"/>
      <w:lang w:eastAsia="lt-LT"/>
    </w:rPr>
  </w:style>
  <w:style w:type="paragraph" w:styleId="Pagrindinistekstas">
    <w:name w:val="Body Text"/>
    <w:basedOn w:val="prastasis"/>
    <w:link w:val="PagrindinistekstasDiagrama"/>
    <w:rsid w:val="00601C8B"/>
    <w:pPr>
      <w:spacing w:after="120"/>
    </w:pPr>
  </w:style>
  <w:style w:type="character" w:customStyle="1" w:styleId="PagrindinistekstasDiagrama">
    <w:name w:val="Pagrindinis tekstas Diagrama"/>
    <w:basedOn w:val="Numatytasispastraiposriftas"/>
    <w:link w:val="Pagrindinistekstas"/>
    <w:rsid w:val="00601C8B"/>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601C8B"/>
    <w:pPr>
      <w:ind w:left="540" w:hanging="540"/>
      <w:outlineLvl w:val="0"/>
    </w:pPr>
    <w:rPr>
      <w:noProof/>
      <w:kern w:val="28"/>
      <w:szCs w:val="22"/>
    </w:rPr>
  </w:style>
  <w:style w:type="character" w:customStyle="1" w:styleId="PavadinimasDiagrama">
    <w:name w:val="Pavadinimas Diagrama"/>
    <w:basedOn w:val="Numatytasispastraiposriftas"/>
    <w:link w:val="Pavadinimas"/>
    <w:rsid w:val="00601C8B"/>
    <w:rPr>
      <w:rFonts w:ascii="Times New Roman" w:eastAsia="Times New Roman" w:hAnsi="Times New Roman" w:cs="Times New Roman"/>
      <w:noProof/>
      <w:kern w:val="28"/>
      <w:lang w:eastAsia="lt-LT"/>
    </w:rPr>
  </w:style>
  <w:style w:type="paragraph" w:styleId="Komentarotekstas">
    <w:name w:val="annotation text"/>
    <w:basedOn w:val="prastasis"/>
    <w:link w:val="KomentarotekstasDiagrama"/>
    <w:rsid w:val="00601C8B"/>
    <w:rPr>
      <w:sz w:val="20"/>
    </w:rPr>
  </w:style>
  <w:style w:type="character" w:customStyle="1" w:styleId="KomentarotekstasDiagrama">
    <w:name w:val="Komentaro tekstas Diagrama"/>
    <w:basedOn w:val="Numatytasispastraiposriftas"/>
    <w:link w:val="Komentarotekstas"/>
    <w:uiPriority w:val="99"/>
    <w:rsid w:val="00601C8B"/>
    <w:rPr>
      <w:rFonts w:ascii="Times New Roman" w:eastAsia="Times New Roman" w:hAnsi="Times New Roman" w:cs="Times New Roman"/>
      <w:sz w:val="20"/>
      <w:szCs w:val="20"/>
      <w:lang w:eastAsia="lt-LT"/>
    </w:rPr>
  </w:style>
  <w:style w:type="paragraph" w:customStyle="1" w:styleId="BTEMEASMCA">
    <w:name w:val="BT EMEA_SMCA"/>
    <w:basedOn w:val="prastasis"/>
    <w:autoRedefine/>
    <w:rsid w:val="00E85904"/>
    <w:pPr>
      <w:tabs>
        <w:tab w:val="left" w:pos="0"/>
        <w:tab w:val="left" w:pos="567"/>
      </w:tabs>
    </w:pPr>
    <w:rPr>
      <w:iCs/>
      <w:szCs w:val="22"/>
      <w:lang w:eastAsia="ar-SA"/>
    </w:rPr>
  </w:style>
  <w:style w:type="paragraph" w:customStyle="1" w:styleId="TTEMEASMCA">
    <w:name w:val="TT EMEA_SMCA"/>
    <w:basedOn w:val="Antrat1"/>
    <w:next w:val="PI-1EMEASMCA"/>
    <w:autoRedefine/>
    <w:rsid w:val="00601C8B"/>
    <w:pPr>
      <w:keepNext w:val="0"/>
      <w:keepLines w:val="0"/>
      <w:tabs>
        <w:tab w:val="left" w:pos="567"/>
      </w:tabs>
      <w:spacing w:before="0"/>
      <w:ind w:left="567" w:hanging="567"/>
      <w:jc w:val="center"/>
    </w:pPr>
    <w:rPr>
      <w:rFonts w:ascii="Times New Roman" w:hAnsi="Times New Roman"/>
      <w:b w:val="0"/>
      <w:caps/>
      <w:color w:val="auto"/>
      <w:sz w:val="22"/>
      <w:szCs w:val="22"/>
      <w:lang w:val="en-US" w:eastAsia="en-US"/>
    </w:rPr>
  </w:style>
  <w:style w:type="paragraph" w:customStyle="1" w:styleId="PI-1EMEASMCA">
    <w:name w:val="PI-1 EMEA_SMCA"/>
    <w:basedOn w:val="Antrat2"/>
    <w:autoRedefine/>
    <w:rsid w:val="00601C8B"/>
    <w:pPr>
      <w:keepLines w:val="0"/>
      <w:tabs>
        <w:tab w:val="left" w:pos="567"/>
      </w:tabs>
      <w:spacing w:before="0"/>
      <w:ind w:left="567" w:hanging="567"/>
    </w:pPr>
    <w:rPr>
      <w:rFonts w:ascii="Times New Roman" w:hAnsi="Times New Roman"/>
      <w:bCs w:val="0"/>
      <w:color w:val="auto"/>
      <w:sz w:val="22"/>
      <w:szCs w:val="22"/>
      <w:lang w:eastAsia="en-US"/>
    </w:rPr>
  </w:style>
  <w:style w:type="paragraph" w:customStyle="1" w:styleId="PI-2EMEASMCA">
    <w:name w:val="PI-2 EMEA_SMCA"/>
    <w:basedOn w:val="Antrat3"/>
    <w:autoRedefine/>
    <w:rsid w:val="00601C8B"/>
    <w:pPr>
      <w:keepLines/>
      <w:tabs>
        <w:tab w:val="left" w:pos="567"/>
      </w:tabs>
      <w:ind w:left="567" w:hanging="567"/>
    </w:pPr>
    <w:rPr>
      <w:kern w:val="28"/>
      <w:lang w:eastAsia="en-US"/>
    </w:rPr>
  </w:style>
  <w:style w:type="character" w:styleId="Hipersaitas">
    <w:name w:val="Hyperlink"/>
    <w:uiPriority w:val="99"/>
    <w:rsid w:val="00601C8B"/>
    <w:rPr>
      <w:rFonts w:cs="Times New Roman"/>
      <w:color w:val="0000FF"/>
      <w:u w:val="single"/>
    </w:rPr>
  </w:style>
  <w:style w:type="paragraph" w:customStyle="1" w:styleId="BT-EMEASMCA">
    <w:name w:val="BT- EMEA_SMCA"/>
    <w:basedOn w:val="BTEMEASMCA"/>
    <w:autoRedefine/>
    <w:rsid w:val="00601C8B"/>
    <w:pPr>
      <w:tabs>
        <w:tab w:val="clear" w:pos="567"/>
        <w:tab w:val="left" w:pos="142"/>
      </w:tabs>
    </w:pPr>
  </w:style>
  <w:style w:type="paragraph" w:styleId="Porat">
    <w:name w:val="footer"/>
    <w:basedOn w:val="prastasis"/>
    <w:link w:val="PoratDiagrama"/>
    <w:uiPriority w:val="99"/>
    <w:rsid w:val="00601C8B"/>
    <w:pPr>
      <w:tabs>
        <w:tab w:val="center" w:pos="4153"/>
        <w:tab w:val="right" w:pos="8306"/>
      </w:tabs>
    </w:pPr>
  </w:style>
  <w:style w:type="character" w:customStyle="1" w:styleId="PoratDiagrama">
    <w:name w:val="Poraštė Diagrama"/>
    <w:basedOn w:val="Numatytasispastraiposriftas"/>
    <w:link w:val="Porat"/>
    <w:uiPriority w:val="99"/>
    <w:rsid w:val="00601C8B"/>
    <w:rPr>
      <w:rFonts w:ascii="Times New Roman" w:eastAsia="Times New Roman" w:hAnsi="Times New Roman" w:cs="Times New Roman"/>
      <w:szCs w:val="20"/>
      <w:lang w:eastAsia="lt-LT"/>
    </w:rPr>
  </w:style>
  <w:style w:type="paragraph" w:customStyle="1" w:styleId="BTAnIIEMEASMCA">
    <w:name w:val="BT(AnII) EMEA_SMCA"/>
    <w:basedOn w:val="Porat"/>
    <w:next w:val="Debesliotekstas"/>
    <w:autoRedefine/>
    <w:rsid w:val="00601C8B"/>
    <w:pPr>
      <w:tabs>
        <w:tab w:val="clear" w:pos="4153"/>
        <w:tab w:val="clear" w:pos="8306"/>
        <w:tab w:val="left" w:pos="1701"/>
      </w:tabs>
      <w:ind w:left="1701" w:hanging="567"/>
    </w:pPr>
    <w:rPr>
      <w:rFonts w:cs="Tahoma"/>
      <w:b/>
      <w:szCs w:val="22"/>
      <w:lang w:val="en-GB" w:eastAsia="en-US"/>
    </w:rPr>
  </w:style>
  <w:style w:type="paragraph" w:customStyle="1" w:styleId="PI-1labEMEASMCA">
    <w:name w:val="PI-1_lab EMEA_SMCA"/>
    <w:basedOn w:val="prastasis"/>
    <w:autoRedefine/>
    <w:rsid w:val="00601C8B"/>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paragraph" w:customStyle="1" w:styleId="BTbEMEASMCA">
    <w:name w:val="BT(b) EMEA_SMCA"/>
    <w:basedOn w:val="prastasis"/>
    <w:autoRedefine/>
    <w:rsid w:val="00601C8B"/>
    <w:pPr>
      <w:tabs>
        <w:tab w:val="left" w:pos="3600"/>
        <w:tab w:val="left" w:pos="6901"/>
      </w:tabs>
    </w:pPr>
    <w:rPr>
      <w:b/>
      <w:szCs w:val="22"/>
      <w:lang w:eastAsia="en-US"/>
    </w:rPr>
  </w:style>
  <w:style w:type="paragraph" w:customStyle="1" w:styleId="PI-3EMEASMCA">
    <w:name w:val="PI-3 EMEA_SMCA"/>
    <w:basedOn w:val="prastasis"/>
    <w:autoRedefine/>
    <w:rsid w:val="00546178"/>
    <w:rPr>
      <w:b/>
      <w:bCs/>
      <w:szCs w:val="22"/>
      <w:lang w:eastAsia="en-US"/>
    </w:rPr>
  </w:style>
  <w:style w:type="character" w:customStyle="1" w:styleId="BTEMEASMCAChar">
    <w:name w:val="BT EMEA_SMCA Char"/>
    <w:rsid w:val="00601C8B"/>
    <w:rPr>
      <w:rFonts w:ascii="Times New Roman" w:hAnsi="Times New Roman" w:cs="Times New Roman"/>
      <w:iCs/>
      <w:sz w:val="22"/>
      <w:szCs w:val="22"/>
      <w:lang w:eastAsia="ar-SA" w:bidi="ar-SA"/>
    </w:rPr>
  </w:style>
  <w:style w:type="character" w:styleId="Puslapionumeris">
    <w:name w:val="page number"/>
    <w:uiPriority w:val="99"/>
    <w:rsid w:val="00601C8B"/>
    <w:rPr>
      <w:rFonts w:cs="Times New Roman"/>
    </w:rPr>
  </w:style>
  <w:style w:type="paragraph" w:styleId="Debesliotekstas">
    <w:name w:val="Balloon Text"/>
    <w:basedOn w:val="prastasis"/>
    <w:link w:val="DebesliotekstasDiagrama"/>
    <w:uiPriority w:val="99"/>
    <w:semiHidden/>
    <w:unhideWhenUsed/>
    <w:rsid w:val="00601C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1C8B"/>
    <w:rPr>
      <w:rFonts w:ascii="Tahoma" w:eastAsia="Times New Roman" w:hAnsi="Tahoma" w:cs="Tahoma"/>
      <w:sz w:val="16"/>
      <w:szCs w:val="16"/>
      <w:lang w:eastAsia="lt-LT"/>
    </w:rPr>
  </w:style>
  <w:style w:type="character" w:customStyle="1" w:styleId="CharChar4">
    <w:name w:val="Char Char4"/>
    <w:rsid w:val="00601C8B"/>
    <w:rPr>
      <w:rFonts w:ascii="Times New Roman" w:eastAsia="Times New Roman" w:hAnsi="Times New Roman" w:cs="Times New Roman"/>
      <w:szCs w:val="20"/>
      <w:lang w:eastAsia="lt-LT"/>
    </w:rPr>
  </w:style>
  <w:style w:type="character" w:styleId="Komentaronuoroda">
    <w:name w:val="annotation reference"/>
    <w:uiPriority w:val="99"/>
    <w:semiHidden/>
    <w:unhideWhenUsed/>
    <w:rsid w:val="00601C8B"/>
    <w:rPr>
      <w:sz w:val="16"/>
      <w:szCs w:val="16"/>
    </w:rPr>
  </w:style>
  <w:style w:type="paragraph" w:styleId="Komentarotema">
    <w:name w:val="annotation subject"/>
    <w:basedOn w:val="Komentarotekstas"/>
    <w:next w:val="Komentarotekstas"/>
    <w:link w:val="KomentarotemaDiagrama"/>
    <w:uiPriority w:val="99"/>
    <w:semiHidden/>
    <w:unhideWhenUsed/>
    <w:rsid w:val="00601C8B"/>
    <w:rPr>
      <w:b/>
      <w:bCs/>
    </w:rPr>
  </w:style>
  <w:style w:type="character" w:customStyle="1" w:styleId="KomentarotemaDiagrama">
    <w:name w:val="Komentaro tema Diagrama"/>
    <w:basedOn w:val="KomentarotekstasDiagrama"/>
    <w:link w:val="Komentarotema"/>
    <w:uiPriority w:val="99"/>
    <w:semiHidden/>
    <w:rsid w:val="00601C8B"/>
    <w:rPr>
      <w:rFonts w:ascii="Times New Roman" w:eastAsia="Times New Roman" w:hAnsi="Times New Roman" w:cs="Times New Roman"/>
      <w:b/>
      <w:bCs/>
      <w:sz w:val="20"/>
      <w:szCs w:val="20"/>
      <w:lang w:eastAsia="lt-LT"/>
    </w:rPr>
  </w:style>
  <w:style w:type="paragraph" w:customStyle="1" w:styleId="ColorfulList-Accent11">
    <w:name w:val="Colorful List - Accent 11"/>
    <w:basedOn w:val="prastasis"/>
    <w:uiPriority w:val="34"/>
    <w:qFormat/>
    <w:rsid w:val="00601C8B"/>
    <w:pPr>
      <w:ind w:left="720"/>
      <w:contextualSpacing/>
    </w:pPr>
  </w:style>
  <w:style w:type="paragraph" w:customStyle="1" w:styleId="Musterberschrift211">
    <w:name w:val="Muster_Überschrift2_11"/>
    <w:basedOn w:val="prastasis"/>
    <w:next w:val="prastasis"/>
    <w:rsid w:val="00601C8B"/>
    <w:pPr>
      <w:tabs>
        <w:tab w:val="left" w:pos="567"/>
      </w:tabs>
      <w:spacing w:before="240" w:after="240"/>
      <w:ind w:left="567"/>
    </w:pPr>
    <w:rPr>
      <w:rFonts w:ascii="Arial" w:hAnsi="Arial" w:cs="Arial"/>
      <w:b/>
      <w:bCs/>
      <w:szCs w:val="22"/>
      <w:lang w:val="en-GB" w:eastAsia="en-GB" w:bidi="en-GB"/>
    </w:rPr>
  </w:style>
  <w:style w:type="paragraph" w:customStyle="1" w:styleId="knZulassung02">
    <w:name w:val="knZulassung02"/>
    <w:basedOn w:val="prastasis"/>
    <w:uiPriority w:val="99"/>
    <w:rsid w:val="00601C8B"/>
    <w:pPr>
      <w:spacing w:before="120" w:after="120"/>
      <w:ind w:left="1843" w:right="284"/>
    </w:pPr>
    <w:rPr>
      <w:rFonts w:ascii="Arial" w:hAnsi="Arial" w:cs="Arial"/>
      <w:szCs w:val="22"/>
      <w:lang w:val="en-GB" w:eastAsia="en-GB" w:bidi="en-GB"/>
    </w:rPr>
  </w:style>
  <w:style w:type="paragraph" w:customStyle="1" w:styleId="ColorfulShading-Accent11">
    <w:name w:val="Colorful Shading - Accent 11"/>
    <w:hidden/>
    <w:uiPriority w:val="99"/>
    <w:semiHidden/>
    <w:rsid w:val="00B962BE"/>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uiPriority w:val="99"/>
    <w:unhideWhenUsed/>
    <w:rsid w:val="00601C8B"/>
    <w:pPr>
      <w:tabs>
        <w:tab w:val="center" w:pos="4819"/>
        <w:tab w:val="right" w:pos="9638"/>
      </w:tabs>
    </w:pPr>
  </w:style>
  <w:style w:type="character" w:customStyle="1" w:styleId="AntratsDiagrama">
    <w:name w:val="Antraštės Diagrama"/>
    <w:basedOn w:val="Numatytasispastraiposriftas"/>
    <w:link w:val="Antrats"/>
    <w:uiPriority w:val="99"/>
    <w:rsid w:val="00601C8B"/>
    <w:rPr>
      <w:rFonts w:ascii="Times New Roman" w:eastAsia="Times New Roman" w:hAnsi="Times New Roman" w:cs="Times New Roman"/>
      <w:szCs w:val="20"/>
      <w:lang w:eastAsia="lt-LT"/>
    </w:rPr>
  </w:style>
  <w:style w:type="paragraph" w:styleId="Betarp">
    <w:name w:val="No Spacing"/>
    <w:uiPriority w:val="1"/>
    <w:qFormat/>
    <w:rsid w:val="00B962BE"/>
    <w:pPr>
      <w:spacing w:after="0" w:line="240" w:lineRule="auto"/>
    </w:pPr>
    <w:rPr>
      <w:rFonts w:ascii="Calibri" w:eastAsia="Calibri" w:hAnsi="Calibri" w:cs="Times New Roman"/>
    </w:rPr>
  </w:style>
  <w:style w:type="table" w:styleId="Lentelstinklelis">
    <w:name w:val="Table Grid"/>
    <w:basedOn w:val="prastojilentel"/>
    <w:rsid w:val="0060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62B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Spalvotassraas1parykinimas1">
    <w:name w:val="Spalvotas sąrašas – 1 paryškinimas1"/>
    <w:basedOn w:val="prastasis"/>
    <w:uiPriority w:val="34"/>
    <w:qFormat/>
    <w:rsid w:val="00601C8B"/>
    <w:pPr>
      <w:ind w:left="720"/>
      <w:contextualSpacing/>
    </w:pPr>
  </w:style>
  <w:style w:type="paragraph" w:customStyle="1" w:styleId="Spalvotasspalvinimas1parykinimas1">
    <w:name w:val="Spalvotas spalvinimas – 1 paryškinimas1"/>
    <w:hidden/>
    <w:uiPriority w:val="99"/>
    <w:semiHidden/>
    <w:rsid w:val="00B962BE"/>
    <w:pPr>
      <w:spacing w:after="0" w:line="240" w:lineRule="auto"/>
    </w:pPr>
    <w:rPr>
      <w:rFonts w:ascii="Times New Roman" w:eastAsia="Times New Roman" w:hAnsi="Times New Roman" w:cs="Times New Roman"/>
      <w:szCs w:val="20"/>
      <w:lang w:eastAsia="lt-LT"/>
    </w:rPr>
  </w:style>
  <w:style w:type="paragraph" w:styleId="Pataisymai">
    <w:name w:val="Revision"/>
    <w:hidden/>
    <w:uiPriority w:val="71"/>
    <w:semiHidden/>
    <w:rsid w:val="00B962BE"/>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08454F"/>
    <w:pPr>
      <w:ind w:left="720"/>
      <w:contextualSpacing/>
    </w:pPr>
  </w:style>
  <w:style w:type="character" w:customStyle="1" w:styleId="Antrat7Diagrama">
    <w:name w:val="Antraštė 7 Diagrama"/>
    <w:basedOn w:val="Numatytasispastraiposriftas"/>
    <w:link w:val="Antrat7"/>
    <w:uiPriority w:val="99"/>
    <w:rsid w:val="00647384"/>
    <w:rPr>
      <w:rFonts w:asciiTheme="majorHAnsi" w:eastAsiaTheme="majorEastAsia" w:hAnsiTheme="majorHAnsi" w:cstheme="majorBidi"/>
      <w:i/>
      <w:iCs/>
      <w:color w:val="243F60" w:themeColor="accent1" w:themeShade="7F"/>
      <w:szCs w:val="20"/>
      <w:lang w:eastAsia="lt-LT"/>
    </w:rPr>
  </w:style>
  <w:style w:type="character" w:styleId="Neapdorotaspaminjimas">
    <w:name w:val="Unresolved Mention"/>
    <w:basedOn w:val="Numatytasispastraiposriftas"/>
    <w:uiPriority w:val="99"/>
    <w:semiHidden/>
    <w:unhideWhenUsed/>
    <w:rsid w:val="0031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807">
      <w:bodyDiv w:val="1"/>
      <w:marLeft w:val="0"/>
      <w:marRight w:val="0"/>
      <w:marTop w:val="0"/>
      <w:marBottom w:val="0"/>
      <w:divBdr>
        <w:top w:val="none" w:sz="0" w:space="0" w:color="auto"/>
        <w:left w:val="none" w:sz="0" w:space="0" w:color="auto"/>
        <w:bottom w:val="none" w:sz="0" w:space="0" w:color="auto"/>
        <w:right w:val="none" w:sz="0" w:space="0" w:color="auto"/>
      </w:divBdr>
    </w:div>
    <w:div w:id="6714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DA77-32AF-44FA-8964-F9494DAE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30487</Words>
  <Characters>17379</Characters>
  <Application>Microsoft Office Word</Application>
  <DocSecurity>4</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Michalkovas</dc:creator>
  <cp:keywords/>
  <dc:description/>
  <cp:lastModifiedBy>Albina Burkauskaitė</cp:lastModifiedBy>
  <cp:revision>2</cp:revision>
  <dcterms:created xsi:type="dcterms:W3CDTF">2025-07-07T10:16:00Z</dcterms:created>
  <dcterms:modified xsi:type="dcterms:W3CDTF">2025-07-07T10:16:00Z</dcterms:modified>
</cp:coreProperties>
</file>