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CD03" w14:textId="77777777" w:rsidR="00EB063F" w:rsidRPr="00EB063F" w:rsidRDefault="00EB063F" w:rsidP="00EB063F">
      <w:pPr>
        <w:pStyle w:val="Antrat2"/>
        <w:pageBreakBefore/>
        <w:spacing w:before="0" w:after="0" w:line="240" w:lineRule="auto"/>
        <w:jc w:val="center"/>
        <w:rPr>
          <w:rFonts w:ascii="Times New Roman" w:hAnsi="Times New Roman" w:cs="Times New Roman"/>
          <w:b/>
          <w:bCs/>
          <w:color w:val="auto"/>
          <w:sz w:val="22"/>
          <w:szCs w:val="22"/>
        </w:rPr>
      </w:pPr>
      <w:r w:rsidRPr="00EB063F">
        <w:rPr>
          <w:rFonts w:ascii="Times New Roman" w:hAnsi="Times New Roman" w:cs="Times New Roman"/>
          <w:b/>
          <w:bCs/>
          <w:color w:val="auto"/>
          <w:sz w:val="22"/>
          <w:szCs w:val="22"/>
          <w:lang w:val="lt-LT" w:eastAsia="lt-LT" w:bidi="lt-LT"/>
        </w:rPr>
        <w:t>Pakuotės lapelis: informacija pacientui</w:t>
      </w:r>
    </w:p>
    <w:p w14:paraId="0781C196" w14:textId="77777777" w:rsidR="00EB063F" w:rsidRPr="00EB063F" w:rsidRDefault="00EB063F" w:rsidP="00EB063F">
      <w:pPr>
        <w:shd w:val="clear" w:color="auto" w:fill="FFFFFF"/>
        <w:tabs>
          <w:tab w:val="clear" w:pos="567"/>
          <w:tab w:val="left" w:pos="1296"/>
        </w:tabs>
        <w:spacing w:line="240" w:lineRule="auto"/>
        <w:jc w:val="center"/>
        <w:rPr>
          <w:szCs w:val="22"/>
          <w:lang w:val="lt-LT" w:eastAsia="lt-LT" w:bidi="lt-LT"/>
        </w:rPr>
      </w:pPr>
    </w:p>
    <w:p w14:paraId="17EC54A3" w14:textId="77777777" w:rsidR="00EB063F" w:rsidRPr="00EB063F" w:rsidRDefault="00EB063F" w:rsidP="00EB063F">
      <w:pPr>
        <w:tabs>
          <w:tab w:val="left" w:pos="993"/>
        </w:tabs>
        <w:spacing w:line="240" w:lineRule="auto"/>
        <w:jc w:val="center"/>
        <w:outlineLvl w:val="0"/>
        <w:rPr>
          <w:szCs w:val="22"/>
        </w:rPr>
      </w:pPr>
      <w:r w:rsidRPr="00EB063F">
        <w:rPr>
          <w:b/>
          <w:szCs w:val="22"/>
          <w:lang w:val="lt-LT" w:eastAsia="lt-LT" w:bidi="lt-LT"/>
        </w:rPr>
        <w:t>OLIMEL N12E infuzinė emulsija</w:t>
      </w:r>
    </w:p>
    <w:p w14:paraId="6077AD15" w14:textId="77777777" w:rsidR="00EB063F" w:rsidRPr="00EB063F" w:rsidRDefault="00EB063F" w:rsidP="00EB063F">
      <w:pPr>
        <w:tabs>
          <w:tab w:val="clear" w:pos="567"/>
          <w:tab w:val="left" w:pos="1296"/>
        </w:tabs>
        <w:spacing w:line="240" w:lineRule="auto"/>
        <w:rPr>
          <w:szCs w:val="22"/>
          <w:lang w:val="lt-LT" w:eastAsia="lt-LT" w:bidi="lt-LT"/>
        </w:rPr>
      </w:pPr>
    </w:p>
    <w:p w14:paraId="6A37DD7C" w14:textId="77777777" w:rsidR="00EB063F" w:rsidRPr="00EB063F" w:rsidRDefault="00EB063F" w:rsidP="00EB063F">
      <w:pPr>
        <w:tabs>
          <w:tab w:val="clear" w:pos="567"/>
          <w:tab w:val="left" w:pos="1296"/>
        </w:tabs>
        <w:spacing w:line="240" w:lineRule="auto"/>
        <w:rPr>
          <w:szCs w:val="22"/>
          <w:lang w:val="lt-LT" w:eastAsia="lt-LT" w:bidi="lt-LT"/>
        </w:rPr>
      </w:pPr>
    </w:p>
    <w:p w14:paraId="7C38DC99" w14:textId="77777777" w:rsidR="00EB063F" w:rsidRPr="00EB063F" w:rsidRDefault="00EB063F" w:rsidP="00EB063F">
      <w:pPr>
        <w:tabs>
          <w:tab w:val="clear" w:pos="567"/>
          <w:tab w:val="left" w:pos="1296"/>
        </w:tabs>
        <w:spacing w:line="240" w:lineRule="auto"/>
        <w:ind w:left="142" w:hanging="142"/>
        <w:rPr>
          <w:szCs w:val="22"/>
        </w:rPr>
      </w:pPr>
      <w:r w:rsidRPr="00EB063F">
        <w:rPr>
          <w:b/>
          <w:szCs w:val="22"/>
          <w:lang w:val="lt-LT" w:eastAsia="lt-LT" w:bidi="lt-LT"/>
        </w:rPr>
        <w:t>Atidžiai perskaitykite visą šį lapelį, prieš pradėdami vartoti vaistą, nes jame pateikiama Jums svarbi informacija.</w:t>
      </w:r>
    </w:p>
    <w:p w14:paraId="2C73D1C5" w14:textId="77777777" w:rsidR="00EB063F" w:rsidRPr="00EB063F" w:rsidRDefault="00EB063F" w:rsidP="00EB063F">
      <w:pPr>
        <w:numPr>
          <w:ilvl w:val="0"/>
          <w:numId w:val="7"/>
        </w:numPr>
        <w:tabs>
          <w:tab w:val="clear" w:pos="567"/>
          <w:tab w:val="left" w:pos="1296"/>
        </w:tabs>
        <w:spacing w:line="240" w:lineRule="auto"/>
        <w:ind w:left="567" w:right="-2" w:hanging="567"/>
        <w:rPr>
          <w:szCs w:val="22"/>
        </w:rPr>
      </w:pPr>
      <w:r w:rsidRPr="00EB063F">
        <w:rPr>
          <w:szCs w:val="22"/>
          <w:lang w:val="lt-LT" w:eastAsia="lt-LT" w:bidi="lt-LT"/>
        </w:rPr>
        <w:t xml:space="preserve">Neišmeskite šio lapelio, nes vėl gali prireikti jį perskaityti. </w:t>
      </w:r>
    </w:p>
    <w:p w14:paraId="72433387" w14:textId="77777777" w:rsidR="00EB063F" w:rsidRPr="00EB063F" w:rsidRDefault="00EB063F" w:rsidP="00EB063F">
      <w:pPr>
        <w:numPr>
          <w:ilvl w:val="0"/>
          <w:numId w:val="7"/>
        </w:numPr>
        <w:tabs>
          <w:tab w:val="clear" w:pos="567"/>
          <w:tab w:val="left" w:pos="1296"/>
        </w:tabs>
        <w:spacing w:line="240" w:lineRule="auto"/>
        <w:ind w:left="567" w:right="-2" w:hanging="567"/>
        <w:rPr>
          <w:szCs w:val="22"/>
        </w:rPr>
      </w:pPr>
      <w:r w:rsidRPr="00EB063F">
        <w:rPr>
          <w:szCs w:val="22"/>
          <w:lang w:val="lt-LT" w:eastAsia="lt-LT" w:bidi="lt-LT"/>
        </w:rPr>
        <w:t>Jeigu kiltų daugiau klausimų, kreipkitės į gydytoją arba slaugytoją.</w:t>
      </w:r>
    </w:p>
    <w:p w14:paraId="171CAE64" w14:textId="77777777" w:rsidR="00EB063F" w:rsidRPr="00EB063F" w:rsidRDefault="00EB063F" w:rsidP="00EB063F">
      <w:pPr>
        <w:numPr>
          <w:ilvl w:val="0"/>
          <w:numId w:val="7"/>
        </w:numPr>
        <w:spacing w:line="240" w:lineRule="auto"/>
        <w:ind w:left="567" w:hanging="567"/>
        <w:rPr>
          <w:szCs w:val="22"/>
        </w:rPr>
      </w:pPr>
      <w:r w:rsidRPr="00EB063F">
        <w:rPr>
          <w:szCs w:val="22"/>
          <w:lang w:val="lt-LT" w:eastAsia="lt-LT" w:bidi="lt-LT"/>
        </w:rPr>
        <w:t xml:space="preserve">Jeigu pasireiškė šalutinis poveikis (net jeigu jis šiame lapelyje nenurodytas), kreipkitės į gydytoją arba slaugytoją. Žr. 4 skyrių. </w:t>
      </w:r>
    </w:p>
    <w:p w14:paraId="425AFEFB" w14:textId="77777777" w:rsidR="00EB063F" w:rsidRPr="00EB063F" w:rsidRDefault="00EB063F" w:rsidP="00EB063F">
      <w:pPr>
        <w:tabs>
          <w:tab w:val="clear" w:pos="567"/>
          <w:tab w:val="left" w:pos="1296"/>
        </w:tabs>
        <w:spacing w:line="240" w:lineRule="auto"/>
        <w:ind w:right="-2"/>
        <w:rPr>
          <w:szCs w:val="22"/>
          <w:lang w:val="lt-LT" w:eastAsia="lt-LT" w:bidi="lt-LT"/>
        </w:rPr>
      </w:pPr>
    </w:p>
    <w:p w14:paraId="37F4B60E" w14:textId="77777777" w:rsidR="00EB063F" w:rsidRPr="00EB063F" w:rsidRDefault="00EB063F" w:rsidP="00EB063F">
      <w:pPr>
        <w:tabs>
          <w:tab w:val="clear" w:pos="567"/>
          <w:tab w:val="left" w:pos="1296"/>
        </w:tabs>
        <w:spacing w:line="240" w:lineRule="auto"/>
        <w:ind w:right="-2"/>
        <w:rPr>
          <w:szCs w:val="22"/>
        </w:rPr>
      </w:pPr>
      <w:r w:rsidRPr="00EB063F">
        <w:rPr>
          <w:b/>
          <w:szCs w:val="22"/>
          <w:lang w:val="lt-LT" w:eastAsia="lt-LT" w:bidi="lt-LT"/>
        </w:rPr>
        <w:t>Apie ką rašoma šiame lapelyje?</w:t>
      </w:r>
    </w:p>
    <w:p w14:paraId="41F90CE1" w14:textId="77777777" w:rsidR="00EB063F" w:rsidRPr="00EB063F" w:rsidRDefault="00EB063F" w:rsidP="00EB063F">
      <w:pPr>
        <w:tabs>
          <w:tab w:val="left" w:pos="426"/>
        </w:tabs>
        <w:spacing w:line="240" w:lineRule="auto"/>
        <w:ind w:right="-29"/>
        <w:rPr>
          <w:szCs w:val="22"/>
        </w:rPr>
      </w:pPr>
      <w:r w:rsidRPr="00EB063F">
        <w:rPr>
          <w:szCs w:val="22"/>
          <w:lang w:val="lt-LT" w:eastAsia="lt-LT" w:bidi="lt-LT"/>
        </w:rPr>
        <w:t>1.</w:t>
      </w:r>
      <w:r w:rsidRPr="00EB063F">
        <w:rPr>
          <w:szCs w:val="22"/>
          <w:lang w:val="lt-LT" w:eastAsia="lt-LT" w:bidi="lt-LT"/>
        </w:rPr>
        <w:tab/>
        <w:t>Kas yra OLIMEL N12E</w:t>
      </w:r>
      <w:r w:rsidRPr="00EB063F">
        <w:rPr>
          <w:szCs w:val="22"/>
        </w:rPr>
        <w:t xml:space="preserve"> </w:t>
      </w:r>
      <w:r w:rsidRPr="00EB063F">
        <w:rPr>
          <w:szCs w:val="22"/>
          <w:lang w:val="lt-LT" w:eastAsia="lt-LT" w:bidi="lt-LT"/>
        </w:rPr>
        <w:t>infuzinė emulsija ir kam ji vartojama</w:t>
      </w:r>
    </w:p>
    <w:p w14:paraId="0A6FECC2" w14:textId="77777777" w:rsidR="00EB063F" w:rsidRPr="00EB063F" w:rsidRDefault="00EB063F" w:rsidP="00EB063F">
      <w:pPr>
        <w:tabs>
          <w:tab w:val="left" w:pos="426"/>
        </w:tabs>
        <w:spacing w:line="240" w:lineRule="auto"/>
        <w:ind w:right="-29"/>
        <w:rPr>
          <w:szCs w:val="22"/>
        </w:rPr>
      </w:pPr>
      <w:r w:rsidRPr="00EB063F">
        <w:rPr>
          <w:szCs w:val="22"/>
          <w:lang w:val="lt-LT" w:eastAsia="lt-LT" w:bidi="lt-LT"/>
        </w:rPr>
        <w:t>2.</w:t>
      </w:r>
      <w:r w:rsidRPr="00EB063F">
        <w:rPr>
          <w:szCs w:val="22"/>
          <w:lang w:val="lt-LT" w:eastAsia="lt-LT" w:bidi="lt-LT"/>
        </w:rPr>
        <w:tab/>
        <w:t>Kas žinotina prieš vartojant OLIMEL N12E infuzinę emulsiją</w:t>
      </w:r>
    </w:p>
    <w:p w14:paraId="02DA79DD" w14:textId="77777777" w:rsidR="00EB063F" w:rsidRPr="00EB063F" w:rsidRDefault="00EB063F" w:rsidP="00EB063F">
      <w:pPr>
        <w:tabs>
          <w:tab w:val="left" w:pos="426"/>
        </w:tabs>
        <w:spacing w:line="240" w:lineRule="auto"/>
        <w:ind w:right="-29"/>
        <w:rPr>
          <w:szCs w:val="22"/>
        </w:rPr>
      </w:pPr>
      <w:r w:rsidRPr="00EB063F">
        <w:rPr>
          <w:szCs w:val="22"/>
          <w:lang w:val="lt-LT" w:eastAsia="lt-LT" w:bidi="lt-LT"/>
        </w:rPr>
        <w:t>3.</w:t>
      </w:r>
      <w:r w:rsidRPr="00EB063F">
        <w:rPr>
          <w:szCs w:val="22"/>
          <w:lang w:val="lt-LT" w:eastAsia="lt-LT" w:bidi="lt-LT"/>
        </w:rPr>
        <w:tab/>
        <w:t>Kaip vartoti OLIMEL N12E infuzinę emulsiją</w:t>
      </w:r>
    </w:p>
    <w:p w14:paraId="1281CD48" w14:textId="77777777" w:rsidR="00EB063F" w:rsidRPr="00EB063F" w:rsidRDefault="00EB063F" w:rsidP="00EB063F">
      <w:pPr>
        <w:tabs>
          <w:tab w:val="left" w:pos="426"/>
        </w:tabs>
        <w:spacing w:line="240" w:lineRule="auto"/>
        <w:ind w:right="-29"/>
        <w:rPr>
          <w:szCs w:val="22"/>
        </w:rPr>
      </w:pPr>
      <w:r w:rsidRPr="00EB063F">
        <w:rPr>
          <w:szCs w:val="22"/>
          <w:lang w:val="lt-LT" w:eastAsia="lt-LT" w:bidi="lt-LT"/>
        </w:rPr>
        <w:t>4.</w:t>
      </w:r>
      <w:r w:rsidRPr="00EB063F">
        <w:rPr>
          <w:szCs w:val="22"/>
          <w:lang w:val="lt-LT" w:eastAsia="lt-LT" w:bidi="lt-LT"/>
        </w:rPr>
        <w:tab/>
        <w:t xml:space="preserve">Galimas šalutinis poveikis </w:t>
      </w:r>
    </w:p>
    <w:p w14:paraId="18AD0D44" w14:textId="77777777" w:rsidR="00EB063F" w:rsidRPr="00EB063F" w:rsidRDefault="00EB063F" w:rsidP="00EB063F">
      <w:pPr>
        <w:tabs>
          <w:tab w:val="left" w:pos="426"/>
        </w:tabs>
        <w:spacing w:line="240" w:lineRule="auto"/>
        <w:ind w:right="-29"/>
        <w:rPr>
          <w:szCs w:val="22"/>
        </w:rPr>
      </w:pPr>
      <w:r w:rsidRPr="00EB063F">
        <w:rPr>
          <w:szCs w:val="22"/>
          <w:lang w:val="lt-LT" w:eastAsia="lt-LT" w:bidi="lt-LT"/>
        </w:rPr>
        <w:t>5.</w:t>
      </w:r>
      <w:r w:rsidRPr="00EB063F">
        <w:rPr>
          <w:szCs w:val="22"/>
          <w:lang w:val="lt-LT" w:eastAsia="lt-LT" w:bidi="lt-LT"/>
        </w:rPr>
        <w:tab/>
        <w:t xml:space="preserve">Kaip laikyti OLIMEL N12E infuzinę emulsiją </w:t>
      </w:r>
    </w:p>
    <w:p w14:paraId="41E2A678" w14:textId="77777777" w:rsidR="00EB063F" w:rsidRPr="00EB063F" w:rsidRDefault="00EB063F" w:rsidP="00EB063F">
      <w:pPr>
        <w:tabs>
          <w:tab w:val="left" w:pos="426"/>
        </w:tabs>
        <w:spacing w:line="240" w:lineRule="auto"/>
        <w:ind w:right="-29"/>
        <w:rPr>
          <w:szCs w:val="22"/>
        </w:rPr>
      </w:pPr>
      <w:r w:rsidRPr="00EB063F">
        <w:rPr>
          <w:szCs w:val="22"/>
          <w:lang w:val="lt-LT" w:eastAsia="lt-LT" w:bidi="lt-LT"/>
        </w:rPr>
        <w:t>6.</w:t>
      </w:r>
      <w:r w:rsidRPr="00EB063F">
        <w:rPr>
          <w:szCs w:val="22"/>
          <w:lang w:val="lt-LT" w:eastAsia="lt-LT" w:bidi="lt-LT"/>
        </w:rPr>
        <w:tab/>
        <w:t>Pakuotės turinys ir kita informacija</w:t>
      </w:r>
    </w:p>
    <w:p w14:paraId="2F192F59" w14:textId="77777777" w:rsidR="00EB063F" w:rsidRPr="00EB063F" w:rsidRDefault="00EB063F" w:rsidP="00EB063F">
      <w:pPr>
        <w:tabs>
          <w:tab w:val="clear" w:pos="567"/>
          <w:tab w:val="left" w:pos="1296"/>
        </w:tabs>
        <w:spacing w:line="240" w:lineRule="auto"/>
        <w:ind w:right="-2"/>
        <w:rPr>
          <w:szCs w:val="22"/>
          <w:lang w:val="lt-LT" w:eastAsia="lt-LT" w:bidi="lt-LT"/>
        </w:rPr>
      </w:pPr>
    </w:p>
    <w:p w14:paraId="743A366E" w14:textId="77777777" w:rsidR="00EB063F" w:rsidRPr="00EB063F" w:rsidRDefault="00EB063F" w:rsidP="00EB063F">
      <w:pPr>
        <w:tabs>
          <w:tab w:val="clear" w:pos="567"/>
          <w:tab w:val="left" w:pos="1296"/>
        </w:tabs>
        <w:spacing w:line="240" w:lineRule="auto"/>
        <w:rPr>
          <w:szCs w:val="22"/>
          <w:lang w:val="lt-LT" w:eastAsia="lt-LT" w:bidi="lt-LT"/>
        </w:rPr>
      </w:pPr>
    </w:p>
    <w:p w14:paraId="784716A3" w14:textId="77777777" w:rsidR="00EB063F" w:rsidRPr="00EB063F" w:rsidRDefault="00EB063F" w:rsidP="00EB063F">
      <w:pPr>
        <w:spacing w:line="240" w:lineRule="auto"/>
        <w:ind w:right="-2"/>
        <w:rPr>
          <w:szCs w:val="22"/>
        </w:rPr>
      </w:pPr>
      <w:r w:rsidRPr="00EB063F">
        <w:rPr>
          <w:b/>
          <w:szCs w:val="22"/>
          <w:lang w:val="lt-LT" w:eastAsia="lt-LT" w:bidi="lt-LT"/>
        </w:rPr>
        <w:t>1.</w:t>
      </w:r>
      <w:r w:rsidRPr="00EB063F">
        <w:rPr>
          <w:b/>
          <w:szCs w:val="22"/>
          <w:lang w:val="lt-LT" w:eastAsia="lt-LT" w:bidi="lt-LT"/>
        </w:rPr>
        <w:tab/>
        <w:t>Kas yra OLIMEL N12E infuzinė emulsija ir kam ji vartojama</w:t>
      </w:r>
    </w:p>
    <w:p w14:paraId="5A3C7502" w14:textId="77777777" w:rsidR="00EB063F" w:rsidRPr="00EB063F" w:rsidRDefault="00EB063F" w:rsidP="00EB063F">
      <w:pPr>
        <w:tabs>
          <w:tab w:val="clear" w:pos="567"/>
          <w:tab w:val="left" w:pos="1296"/>
        </w:tabs>
        <w:spacing w:line="240" w:lineRule="auto"/>
        <w:rPr>
          <w:szCs w:val="22"/>
          <w:lang w:val="lt-LT" w:eastAsia="lt-LT" w:bidi="lt-LT"/>
        </w:rPr>
      </w:pPr>
    </w:p>
    <w:p w14:paraId="5C61A91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OLIMEL N12E yra infuzinė emulsija. Ji tiekiama trijų kamerų maišelyje. </w:t>
      </w:r>
    </w:p>
    <w:p w14:paraId="299FB4C3"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EE67088"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Vienoje kameroje yra gliukozės tirpalas su kalciu, antroje – lipidų emulsija, trečioje – aminorūgščių tirpalas su kitais elektrolitais.</w:t>
      </w:r>
    </w:p>
    <w:p w14:paraId="19780D7D"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DAA4675"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 xml:space="preserve">OLIMEL N12E vartojama </w:t>
      </w:r>
      <w:r w:rsidRPr="00EB063F">
        <w:rPr>
          <w:rFonts w:eastAsia="MS Mincho"/>
          <w:bCs/>
          <w:szCs w:val="22"/>
          <w:lang w:val="lt-LT" w:eastAsia="lt-LT" w:bidi="lt-LT"/>
        </w:rPr>
        <w:t>suaugusiųjų</w:t>
      </w:r>
      <w:r w:rsidRPr="00EB063F">
        <w:rPr>
          <w:rFonts w:eastAsia="MS Mincho"/>
          <w:szCs w:val="22"/>
          <w:lang w:val="lt-LT" w:eastAsia="lt-LT" w:bidi="lt-LT"/>
        </w:rPr>
        <w:t xml:space="preserve"> ir </w:t>
      </w:r>
      <w:r w:rsidRPr="00EB063F">
        <w:rPr>
          <w:rFonts w:eastAsia="MS Mincho"/>
          <w:bCs/>
          <w:szCs w:val="22"/>
          <w:lang w:val="lt-LT" w:eastAsia="lt-LT" w:bidi="lt-LT"/>
        </w:rPr>
        <w:t>vyresnių kaip 2 metų vaikų</w:t>
      </w:r>
      <w:r w:rsidRPr="00EB063F">
        <w:rPr>
          <w:rFonts w:eastAsia="MS Mincho"/>
          <w:szCs w:val="22"/>
          <w:lang w:val="lt-LT" w:eastAsia="lt-LT" w:bidi="lt-LT"/>
        </w:rPr>
        <w:t xml:space="preserve"> maitinimui </w:t>
      </w:r>
      <w:r w:rsidRPr="00EB063F">
        <w:rPr>
          <w:szCs w:val="22"/>
          <w:lang w:val="lt-LT"/>
        </w:rPr>
        <w:t xml:space="preserve">per lašelinę sistemą į </w:t>
      </w:r>
      <w:r w:rsidRPr="00EB063F">
        <w:rPr>
          <w:rFonts w:eastAsia="MS Mincho"/>
          <w:szCs w:val="22"/>
          <w:lang w:val="lt-LT" w:eastAsia="lt-LT" w:bidi="lt-LT"/>
        </w:rPr>
        <w:t>veną, kai normalus maitinimas per burną negalimas.</w:t>
      </w:r>
    </w:p>
    <w:p w14:paraId="785DCC5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176387F"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OLIMEL N12E galima vartoti tik prižiūrint medicinos specialistui.</w:t>
      </w:r>
    </w:p>
    <w:p w14:paraId="6F622DD6" w14:textId="77777777" w:rsidR="00EB063F" w:rsidRPr="00EB063F" w:rsidRDefault="00EB063F" w:rsidP="00EB063F">
      <w:pPr>
        <w:tabs>
          <w:tab w:val="clear" w:pos="567"/>
          <w:tab w:val="left" w:pos="1296"/>
        </w:tabs>
        <w:spacing w:line="240" w:lineRule="auto"/>
        <w:ind w:right="-2"/>
        <w:rPr>
          <w:szCs w:val="22"/>
          <w:lang w:val="lt-LT" w:eastAsia="lt-LT" w:bidi="lt-LT"/>
        </w:rPr>
      </w:pPr>
    </w:p>
    <w:p w14:paraId="24855272" w14:textId="77777777" w:rsidR="00EB063F" w:rsidRPr="00EB063F" w:rsidRDefault="00EB063F" w:rsidP="00EB063F">
      <w:pPr>
        <w:tabs>
          <w:tab w:val="clear" w:pos="567"/>
          <w:tab w:val="left" w:pos="1296"/>
        </w:tabs>
        <w:spacing w:line="240" w:lineRule="auto"/>
        <w:ind w:right="-2"/>
        <w:rPr>
          <w:szCs w:val="22"/>
          <w:lang w:val="lt-LT" w:eastAsia="lt-LT" w:bidi="lt-LT"/>
        </w:rPr>
      </w:pPr>
    </w:p>
    <w:p w14:paraId="29B8A1E1" w14:textId="77777777" w:rsidR="00EB063F" w:rsidRPr="00EB063F" w:rsidRDefault="00EB063F" w:rsidP="00EB063F">
      <w:pPr>
        <w:spacing w:line="240" w:lineRule="auto"/>
        <w:ind w:right="-2"/>
        <w:rPr>
          <w:szCs w:val="22"/>
        </w:rPr>
      </w:pPr>
      <w:r w:rsidRPr="00EB063F">
        <w:rPr>
          <w:b/>
          <w:szCs w:val="22"/>
          <w:lang w:val="lt-LT" w:eastAsia="lt-LT" w:bidi="lt-LT"/>
        </w:rPr>
        <w:t>2.</w:t>
      </w:r>
      <w:r w:rsidRPr="00EB063F">
        <w:rPr>
          <w:b/>
          <w:szCs w:val="22"/>
          <w:lang w:val="lt-LT" w:eastAsia="lt-LT" w:bidi="lt-LT"/>
        </w:rPr>
        <w:tab/>
        <w:t>Kas žinotina prieš vartojant OLIMEL N12E infuzinę emulsiją</w:t>
      </w:r>
    </w:p>
    <w:p w14:paraId="2B26ECA3" w14:textId="77777777" w:rsidR="00EB063F" w:rsidRPr="00EB063F" w:rsidRDefault="00EB063F" w:rsidP="00EB063F">
      <w:pPr>
        <w:tabs>
          <w:tab w:val="clear" w:pos="567"/>
          <w:tab w:val="left" w:pos="1296"/>
        </w:tabs>
        <w:spacing w:line="240" w:lineRule="auto"/>
        <w:outlineLvl w:val="0"/>
        <w:rPr>
          <w:i/>
          <w:szCs w:val="22"/>
          <w:lang w:val="lt-LT" w:eastAsia="lt-LT" w:bidi="lt-LT"/>
        </w:rPr>
      </w:pPr>
    </w:p>
    <w:p w14:paraId="0F50F006" w14:textId="77777777" w:rsidR="00EB063F" w:rsidRPr="00EB063F" w:rsidRDefault="00EB063F" w:rsidP="00EB063F">
      <w:pPr>
        <w:tabs>
          <w:tab w:val="clear" w:pos="567"/>
          <w:tab w:val="left" w:pos="1296"/>
        </w:tabs>
        <w:spacing w:line="240" w:lineRule="auto"/>
        <w:outlineLvl w:val="0"/>
        <w:rPr>
          <w:szCs w:val="22"/>
        </w:rPr>
      </w:pPr>
      <w:r w:rsidRPr="00EB063F">
        <w:rPr>
          <w:b/>
          <w:szCs w:val="22"/>
          <w:lang w:val="lt-LT" w:eastAsia="lt-LT" w:bidi="lt-LT"/>
        </w:rPr>
        <w:t>OLIMEL N12E infuzinės emulsijos vartoti negalima:</w:t>
      </w:r>
    </w:p>
    <w:p w14:paraId="2F14E29C" w14:textId="77777777" w:rsidR="00EB063F" w:rsidRPr="00EB063F" w:rsidRDefault="00EB063F" w:rsidP="00EB063F">
      <w:pPr>
        <w:tabs>
          <w:tab w:val="clear" w:pos="567"/>
          <w:tab w:val="left" w:pos="1296"/>
        </w:tabs>
        <w:spacing w:line="240" w:lineRule="auto"/>
        <w:ind w:left="567" w:hanging="567"/>
        <w:rPr>
          <w:szCs w:val="22"/>
          <w:lang w:val="lt-LT" w:eastAsia="lt-LT" w:bidi="lt-LT"/>
        </w:rPr>
      </w:pPr>
      <w:r w:rsidRPr="00EB063F">
        <w:rPr>
          <w:szCs w:val="22"/>
          <w:lang w:val="lt-LT" w:eastAsia="lt-LT" w:bidi="lt-LT"/>
        </w:rPr>
        <w:t>-</w:t>
      </w:r>
      <w:r w:rsidRPr="00EB063F">
        <w:rPr>
          <w:szCs w:val="22"/>
          <w:lang w:val="lt-LT" w:eastAsia="lt-LT" w:bidi="lt-LT"/>
        </w:rPr>
        <w:tab/>
        <w:t>neišnešiotiems kūdikiams, naujagimiams ir jaunesniems kaip 2 metų vaikams;</w:t>
      </w:r>
    </w:p>
    <w:p w14:paraId="4F4638A3" w14:textId="77777777" w:rsidR="00EB063F" w:rsidRPr="00EB063F" w:rsidRDefault="00EB063F" w:rsidP="00EB063F">
      <w:pPr>
        <w:tabs>
          <w:tab w:val="clear" w:pos="567"/>
          <w:tab w:val="left" w:pos="1296"/>
        </w:tabs>
        <w:spacing w:line="240" w:lineRule="auto"/>
        <w:ind w:left="567" w:hanging="567"/>
        <w:rPr>
          <w:szCs w:val="22"/>
          <w:lang w:val="lt-LT" w:eastAsia="lt-LT" w:bidi="lt-LT"/>
        </w:rPr>
      </w:pPr>
      <w:r w:rsidRPr="00EB063F">
        <w:rPr>
          <w:szCs w:val="22"/>
          <w:lang w:val="lt-LT" w:eastAsia="lt-LT" w:bidi="lt-LT"/>
        </w:rPr>
        <w:t>-</w:t>
      </w:r>
      <w:r w:rsidRPr="00EB063F">
        <w:rPr>
          <w:szCs w:val="22"/>
          <w:lang w:val="lt-LT" w:eastAsia="lt-LT" w:bidi="lt-LT"/>
        </w:rPr>
        <w:tab/>
        <w:t>jeigu yra alergija kiaušinio, sojų, žemės riešutų baltymams ar kukurūzams ir jų produktams (taip pat žr. tolesnį skyrių „Įspėjimai ir atsargumo priemonės“) arba bet kuriai pagalbinei šio vaisto medžiagai (jos išvardytos 6 skyriuje).</w:t>
      </w:r>
    </w:p>
    <w:p w14:paraId="53F7A75F" w14:textId="77777777" w:rsidR="00EB063F" w:rsidRPr="00EB063F" w:rsidRDefault="00EB063F" w:rsidP="00EB063F">
      <w:pPr>
        <w:tabs>
          <w:tab w:val="clear" w:pos="567"/>
          <w:tab w:val="left" w:pos="1296"/>
        </w:tabs>
        <w:spacing w:line="240" w:lineRule="auto"/>
        <w:ind w:left="567" w:hanging="567"/>
        <w:rPr>
          <w:szCs w:val="22"/>
          <w:lang w:val="lt-LT" w:eastAsia="lt-LT" w:bidi="lt-LT"/>
        </w:rPr>
      </w:pPr>
      <w:r w:rsidRPr="00EB063F">
        <w:rPr>
          <w:szCs w:val="22"/>
          <w:lang w:val="lt-LT" w:eastAsia="lt-LT" w:bidi="lt-LT"/>
        </w:rPr>
        <w:t>-</w:t>
      </w:r>
      <w:r w:rsidRPr="00EB063F">
        <w:rPr>
          <w:szCs w:val="22"/>
          <w:lang w:val="lt-LT" w:eastAsia="lt-LT" w:bidi="lt-LT"/>
        </w:rPr>
        <w:tab/>
        <w:t>jeigu organizmas neįsisavina tam tikrų aminorūgščių,</w:t>
      </w:r>
    </w:p>
    <w:p w14:paraId="5EDCBF67" w14:textId="77777777" w:rsidR="00EB063F" w:rsidRPr="00EB063F" w:rsidRDefault="00EB063F" w:rsidP="00EB063F">
      <w:pPr>
        <w:tabs>
          <w:tab w:val="clear" w:pos="567"/>
          <w:tab w:val="left" w:pos="1296"/>
        </w:tabs>
        <w:spacing w:line="240" w:lineRule="auto"/>
        <w:ind w:left="567" w:hanging="567"/>
        <w:rPr>
          <w:szCs w:val="22"/>
          <w:lang w:val="lt-LT" w:eastAsia="lt-LT" w:bidi="lt-LT"/>
        </w:rPr>
      </w:pPr>
      <w:r w:rsidRPr="00EB063F">
        <w:rPr>
          <w:szCs w:val="22"/>
          <w:lang w:val="lt-LT" w:eastAsia="lt-LT" w:bidi="lt-LT"/>
        </w:rPr>
        <w:t>-</w:t>
      </w:r>
      <w:r w:rsidRPr="00EB063F">
        <w:rPr>
          <w:szCs w:val="22"/>
          <w:lang w:val="lt-LT" w:eastAsia="lt-LT" w:bidi="lt-LT"/>
        </w:rPr>
        <w:tab/>
        <w:t>jeigu itin padidėjęs riebalų kiekis kraujyje,</w:t>
      </w:r>
    </w:p>
    <w:p w14:paraId="55A7AEBB" w14:textId="77777777" w:rsidR="00EB063F" w:rsidRPr="00EB063F" w:rsidRDefault="00EB063F" w:rsidP="00EB063F">
      <w:pPr>
        <w:tabs>
          <w:tab w:val="clear" w:pos="567"/>
          <w:tab w:val="left" w:pos="1296"/>
        </w:tabs>
        <w:spacing w:line="240" w:lineRule="auto"/>
        <w:ind w:left="567" w:hanging="567"/>
        <w:rPr>
          <w:szCs w:val="22"/>
          <w:lang w:val="lt-LT" w:eastAsia="lt-LT" w:bidi="lt-LT"/>
        </w:rPr>
      </w:pPr>
      <w:r w:rsidRPr="00EB063F">
        <w:rPr>
          <w:szCs w:val="22"/>
          <w:lang w:val="lt-LT" w:eastAsia="lt-LT" w:bidi="lt-LT"/>
        </w:rPr>
        <w:t>-</w:t>
      </w:r>
      <w:r w:rsidRPr="00EB063F">
        <w:rPr>
          <w:szCs w:val="22"/>
          <w:lang w:val="lt-LT" w:eastAsia="lt-LT" w:bidi="lt-LT"/>
        </w:rPr>
        <w:tab/>
        <w:t>jeigu yra hiperglikemija (per didelis cukraus kiekis kraujyje),</w:t>
      </w:r>
    </w:p>
    <w:p w14:paraId="1CE70D62" w14:textId="77777777" w:rsidR="00EB063F" w:rsidRPr="00EB063F" w:rsidRDefault="00EB063F" w:rsidP="00EB063F">
      <w:pPr>
        <w:tabs>
          <w:tab w:val="clear" w:pos="567"/>
          <w:tab w:val="left" w:pos="1296"/>
        </w:tabs>
        <w:spacing w:line="240" w:lineRule="auto"/>
        <w:ind w:left="567" w:hanging="567"/>
        <w:rPr>
          <w:szCs w:val="22"/>
          <w:lang w:val="lt-LT" w:eastAsia="lt-LT" w:bidi="lt-LT"/>
        </w:rPr>
      </w:pPr>
      <w:r w:rsidRPr="00EB063F">
        <w:rPr>
          <w:szCs w:val="22"/>
          <w:lang w:val="lt-LT" w:eastAsia="lt-LT" w:bidi="lt-LT"/>
        </w:rPr>
        <w:t>-</w:t>
      </w:r>
      <w:r w:rsidRPr="00EB063F">
        <w:rPr>
          <w:szCs w:val="22"/>
          <w:lang w:val="lt-LT" w:eastAsia="lt-LT" w:bidi="lt-LT"/>
        </w:rPr>
        <w:tab/>
        <w:t xml:space="preserve">jeigu nenormaliai padidėjęs kurių nors elektrolitų (natrio, kalio, magnio, kalcio ir (arba) fosforo) kiekis kraujyje. </w:t>
      </w:r>
    </w:p>
    <w:p w14:paraId="66F92D15" w14:textId="77777777" w:rsidR="00EB063F" w:rsidRPr="00EB063F" w:rsidRDefault="00EB063F" w:rsidP="00EB063F">
      <w:pPr>
        <w:tabs>
          <w:tab w:val="clear" w:pos="567"/>
          <w:tab w:val="left" w:pos="1296"/>
        </w:tabs>
        <w:spacing w:line="240" w:lineRule="auto"/>
        <w:rPr>
          <w:szCs w:val="22"/>
          <w:lang w:val="lt-LT" w:eastAsia="lt-LT" w:bidi="lt-LT"/>
        </w:rPr>
      </w:pPr>
    </w:p>
    <w:p w14:paraId="00437F96" w14:textId="77777777" w:rsidR="00EB063F" w:rsidRPr="00EB063F" w:rsidRDefault="00EB063F" w:rsidP="00EB063F">
      <w:pPr>
        <w:tabs>
          <w:tab w:val="clear" w:pos="567"/>
          <w:tab w:val="left" w:pos="1296"/>
        </w:tabs>
        <w:spacing w:line="240" w:lineRule="auto"/>
        <w:rPr>
          <w:szCs w:val="22"/>
          <w:lang w:val="lt-LT" w:eastAsia="lt-LT" w:bidi="lt-LT"/>
        </w:rPr>
      </w:pPr>
      <w:r w:rsidRPr="00EB063F">
        <w:rPr>
          <w:szCs w:val="22"/>
          <w:lang w:val="lt-LT" w:eastAsia="lt-LT" w:bidi="lt-LT"/>
        </w:rPr>
        <w:t>Visais atvejais jūsų gydytojas sprendimą, ar jums skirti šio vaisto, priims remdamasis tokiais veiksniais kaip Jūsų amžius, svoris ir medicininė būklė, kartu įvertinęs bet kokių atliktų tyrimų rezultatus.</w:t>
      </w:r>
    </w:p>
    <w:p w14:paraId="388241C2" w14:textId="77777777" w:rsidR="00EB063F" w:rsidRPr="00EB063F" w:rsidRDefault="00EB063F" w:rsidP="00EB063F">
      <w:pPr>
        <w:tabs>
          <w:tab w:val="clear" w:pos="567"/>
          <w:tab w:val="left" w:pos="1296"/>
        </w:tabs>
        <w:spacing w:line="240" w:lineRule="auto"/>
        <w:rPr>
          <w:szCs w:val="22"/>
          <w:lang w:val="lt-LT" w:eastAsia="lt-LT" w:bidi="lt-LT"/>
        </w:rPr>
      </w:pPr>
    </w:p>
    <w:p w14:paraId="78218604" w14:textId="77777777" w:rsidR="00EB063F" w:rsidRPr="00EB063F" w:rsidRDefault="00EB063F" w:rsidP="00EB063F">
      <w:pPr>
        <w:tabs>
          <w:tab w:val="clear" w:pos="567"/>
          <w:tab w:val="left" w:pos="1296"/>
        </w:tabs>
        <w:spacing w:line="240" w:lineRule="auto"/>
        <w:outlineLvl w:val="0"/>
        <w:rPr>
          <w:szCs w:val="22"/>
        </w:rPr>
      </w:pPr>
      <w:r w:rsidRPr="00EB063F">
        <w:rPr>
          <w:b/>
          <w:szCs w:val="22"/>
          <w:lang w:val="lt-LT" w:eastAsia="lt-LT" w:bidi="lt-LT"/>
        </w:rPr>
        <w:t xml:space="preserve">Įspėjimai ir atsargumo priemonės </w:t>
      </w:r>
    </w:p>
    <w:p w14:paraId="391F4E2D" w14:textId="77777777" w:rsidR="00EB063F" w:rsidRPr="00EB063F" w:rsidRDefault="00EB063F" w:rsidP="00EB063F">
      <w:pPr>
        <w:tabs>
          <w:tab w:val="clear" w:pos="567"/>
          <w:tab w:val="left" w:pos="1296"/>
        </w:tabs>
        <w:spacing w:line="240" w:lineRule="auto"/>
        <w:rPr>
          <w:szCs w:val="22"/>
        </w:rPr>
      </w:pPr>
      <w:r w:rsidRPr="00EB063F">
        <w:rPr>
          <w:szCs w:val="22"/>
          <w:lang w:val="lt-LT" w:eastAsia="lt-LT" w:bidi="lt-LT"/>
        </w:rPr>
        <w:t>Prieš OLIMEL N12E vartojimą pasitarkite su gydytoju arba slaugytoju.</w:t>
      </w:r>
    </w:p>
    <w:p w14:paraId="0106DE9B" w14:textId="77777777" w:rsidR="00EB063F" w:rsidRPr="00EB063F" w:rsidRDefault="00EB063F" w:rsidP="00EB063F">
      <w:pPr>
        <w:tabs>
          <w:tab w:val="clear" w:pos="567"/>
          <w:tab w:val="left" w:pos="1296"/>
        </w:tabs>
        <w:spacing w:line="240" w:lineRule="auto"/>
        <w:ind w:right="-2"/>
        <w:rPr>
          <w:szCs w:val="22"/>
          <w:lang w:val="lt-LT" w:eastAsia="lt-LT" w:bidi="lt-LT"/>
        </w:rPr>
      </w:pPr>
    </w:p>
    <w:p w14:paraId="7F969401"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Per greitai leidžiant visiško </w:t>
      </w:r>
      <w:proofErr w:type="spellStart"/>
      <w:r w:rsidRPr="00EB063F">
        <w:rPr>
          <w:rFonts w:eastAsia="MS Mincho"/>
          <w:szCs w:val="22"/>
          <w:lang w:val="lt-LT" w:eastAsia="lt-LT" w:bidi="lt-LT"/>
        </w:rPr>
        <w:t>parenterinio</w:t>
      </w:r>
      <w:proofErr w:type="spellEnd"/>
      <w:r w:rsidRPr="00EB063F">
        <w:rPr>
          <w:rFonts w:eastAsia="MS Mincho"/>
          <w:szCs w:val="22"/>
          <w:lang w:val="lt-LT" w:eastAsia="lt-LT" w:bidi="lt-LT"/>
        </w:rPr>
        <w:t xml:space="preserve"> maitinimo tirpalus galimas paciento sužalojimas ir net mirtis.</w:t>
      </w:r>
    </w:p>
    <w:p w14:paraId="4EB8F74E"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Infuzija turi būti nedelsiant sustabdyta, jei pasireiškia kokie nors neįprasti alerginės reakcijos požymiai ar simptomai (pvz., prakaitavimas, karščiavimas, </w:t>
      </w:r>
      <w:proofErr w:type="spellStart"/>
      <w:r w:rsidRPr="00EB063F">
        <w:rPr>
          <w:rFonts w:eastAsia="MS Mincho"/>
          <w:szCs w:val="22"/>
          <w:lang w:val="lt-LT" w:eastAsia="lt-LT" w:bidi="lt-LT"/>
        </w:rPr>
        <w:t>šaltkrėtis</w:t>
      </w:r>
      <w:proofErr w:type="spellEnd"/>
      <w:r w:rsidRPr="00EB063F">
        <w:rPr>
          <w:rFonts w:eastAsia="MS Mincho"/>
          <w:szCs w:val="22"/>
          <w:lang w:val="lt-LT" w:eastAsia="lt-LT" w:bidi="lt-LT"/>
        </w:rPr>
        <w:t xml:space="preserve">, galvos skausmas, odos bėrimas arba </w:t>
      </w:r>
      <w:r w:rsidRPr="00EB063F">
        <w:rPr>
          <w:rFonts w:eastAsia="MS Mincho"/>
          <w:szCs w:val="22"/>
          <w:lang w:val="lt-LT" w:eastAsia="lt-LT" w:bidi="lt-LT"/>
        </w:rPr>
        <w:lastRenderedPageBreak/>
        <w:t>pasunkėjęs kvėpavimas). Šio vaistinio preparato sudėtyje yra sojų aliejaus ir kiaušinių fosfolipidų. Sojų ir kiaušinių baltymai gali sukelti padidėjusio jautrumo reakcijas. Buvo nustatytos kryžminės alerginės reakcijos tarp sojų ir žemės riešutų baltymų.</w:t>
      </w:r>
    </w:p>
    <w:p w14:paraId="28F443F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DE0A317" w14:textId="77777777" w:rsidR="00EB063F" w:rsidRPr="00EB063F" w:rsidRDefault="00EB063F" w:rsidP="00EB063F">
      <w:pPr>
        <w:tabs>
          <w:tab w:val="clear" w:pos="567"/>
          <w:tab w:val="left" w:pos="1296"/>
        </w:tabs>
        <w:spacing w:line="240" w:lineRule="auto"/>
        <w:rPr>
          <w:szCs w:val="22"/>
        </w:rPr>
      </w:pPr>
      <w:r w:rsidRPr="00EB063F">
        <w:rPr>
          <w:rFonts w:eastAsia="MS Mincho"/>
          <w:bCs/>
          <w:szCs w:val="22"/>
          <w:lang w:val="lt-LT" w:eastAsia="lt-LT" w:bidi="lt-LT"/>
        </w:rPr>
        <w:t xml:space="preserve">OLIMEL N12E sudėtyje yra gliukozės, gautos iš kukurūzų, kuri gali sukelti padidėjusio jautrumo reakcijas, </w:t>
      </w:r>
      <w:r w:rsidRPr="00EB063F">
        <w:rPr>
          <w:rFonts w:eastAsia="MS Mincho"/>
          <w:szCs w:val="22"/>
          <w:lang w:val="lt-LT" w:eastAsia="lt-LT" w:bidi="lt-LT"/>
        </w:rPr>
        <w:t xml:space="preserve">jeigu esate </w:t>
      </w:r>
      <w:r w:rsidRPr="00EB063F">
        <w:rPr>
          <w:rFonts w:eastAsia="MS Mincho"/>
          <w:bCs/>
          <w:szCs w:val="22"/>
          <w:lang w:val="lt-LT" w:eastAsia="lt-LT" w:bidi="lt-LT"/>
        </w:rPr>
        <w:t>alergiški kukurūzams arba kukurūzų produktams (žr. ankstesnį skyrių „OLIMEL N12E infuzinės emulsijos vartoti negalima“).</w:t>
      </w:r>
    </w:p>
    <w:p w14:paraId="6DDD77F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44FBA3C"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Kvėpavimo sunkumai gali reikšti, kad susidarė smulkių dalelių, blokuojančių plaučių kraujagysles (plaučių kraujagyslių apnašos). Jeigu Jums sunku kvėpuoti, apie tai pasakykite gydytojui arba slaugytojui. Jie nuspręs, kokių veiksmų imtis.</w:t>
      </w:r>
    </w:p>
    <w:p w14:paraId="61A86D8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57EDD2A"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 xml:space="preserve">Antibiotiko </w:t>
      </w:r>
      <w:proofErr w:type="spellStart"/>
      <w:r w:rsidRPr="00EB063F">
        <w:rPr>
          <w:rFonts w:eastAsia="MS Mincho"/>
          <w:szCs w:val="22"/>
          <w:lang w:val="lt-LT" w:eastAsia="lt-LT" w:bidi="lt-LT"/>
        </w:rPr>
        <w:t>ceftriaksono</w:t>
      </w:r>
      <w:proofErr w:type="spellEnd"/>
      <w:r w:rsidRPr="00EB063F">
        <w:rPr>
          <w:rFonts w:eastAsia="MS Mincho"/>
          <w:szCs w:val="22"/>
          <w:lang w:val="lt-LT" w:eastAsia="lt-LT" w:bidi="lt-LT"/>
        </w:rPr>
        <w:t xml:space="preserve"> negalima maišyti arba vienu metu vartoti su kalcio turinčiais tirpalais (įskaitant OLIMEL N12E), per lašinę leidžiamais į veną. </w:t>
      </w:r>
    </w:p>
    <w:p w14:paraId="3EF7572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Šių vaistų negalima vartoti kartu net ir per skirtingas infuzijos linijas arba skirtingose infuzijos vietose. Tačiau OLIMEL N12E ir </w:t>
      </w:r>
      <w:proofErr w:type="spellStart"/>
      <w:r w:rsidRPr="00EB063F">
        <w:rPr>
          <w:rFonts w:eastAsia="MS Mincho"/>
          <w:szCs w:val="22"/>
          <w:lang w:val="lt-LT" w:eastAsia="lt-LT" w:bidi="lt-LT"/>
        </w:rPr>
        <w:t>ceftriaksoną</w:t>
      </w:r>
      <w:proofErr w:type="spellEnd"/>
      <w:r w:rsidRPr="00EB063F">
        <w:rPr>
          <w:rFonts w:eastAsia="MS Mincho"/>
          <w:szCs w:val="22"/>
          <w:lang w:val="lt-LT" w:eastAsia="lt-LT" w:bidi="lt-LT"/>
        </w:rPr>
        <w:t xml:space="preserve"> galima vartoti vieną po kito, jeigu infuzijos linijos naudojamos skirtingose kūno vietose arba jeigu infuzijos linijos yra pakeičiamos naujomis ar tarp infuzijų kruopščiai praplaunamos fiziologiniu druskos tirpalu, kad būtų išvengta </w:t>
      </w:r>
      <w:proofErr w:type="spellStart"/>
      <w:r w:rsidRPr="00EB063F">
        <w:rPr>
          <w:rFonts w:eastAsia="MS Mincho"/>
          <w:szCs w:val="22"/>
          <w:lang w:val="lt-LT" w:eastAsia="lt-LT" w:bidi="lt-LT"/>
        </w:rPr>
        <w:t>ceftriaksono</w:t>
      </w:r>
      <w:proofErr w:type="spellEnd"/>
      <w:r w:rsidRPr="00EB063F">
        <w:rPr>
          <w:rFonts w:eastAsia="MS Mincho"/>
          <w:szCs w:val="22"/>
          <w:lang w:val="lt-LT" w:eastAsia="lt-LT" w:bidi="lt-LT"/>
        </w:rPr>
        <w:t xml:space="preserve"> ir kalcio druskų nuosėdų susidarymo.</w:t>
      </w:r>
    </w:p>
    <w:p w14:paraId="31D7EE5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3DEE0F6" w14:textId="77777777" w:rsidR="00EB063F" w:rsidRPr="00EB063F" w:rsidRDefault="00EB063F" w:rsidP="00EB063F">
      <w:pPr>
        <w:tabs>
          <w:tab w:val="clear" w:pos="567"/>
          <w:tab w:val="left" w:pos="1296"/>
        </w:tabs>
        <w:spacing w:line="240" w:lineRule="auto"/>
        <w:rPr>
          <w:szCs w:val="22"/>
        </w:rPr>
      </w:pPr>
      <w:r w:rsidRPr="00EB063F">
        <w:rPr>
          <w:rFonts w:eastAsia="MS Mincho"/>
          <w:bCs/>
          <w:szCs w:val="22"/>
          <w:lang w:val="lt-LT" w:eastAsia="lt-LT" w:bidi="lt-LT"/>
        </w:rPr>
        <w:t xml:space="preserve">Tam tikrų vaistų vartojimas ir ligos gali padidinti infekcijos ar sepsio </w:t>
      </w:r>
      <w:r w:rsidRPr="00EB063F">
        <w:rPr>
          <w:rFonts w:eastAsia="MS Mincho"/>
          <w:szCs w:val="22"/>
          <w:lang w:val="lt-LT" w:eastAsia="lt-LT" w:bidi="lt-LT"/>
        </w:rPr>
        <w:t>(kraujo užkrėtimo) riziką.</w:t>
      </w:r>
      <w:r w:rsidRPr="00EB063F">
        <w:rPr>
          <w:rFonts w:eastAsia="MS Mincho"/>
          <w:bCs/>
          <w:szCs w:val="22"/>
          <w:lang w:val="lt-LT" w:eastAsia="lt-LT" w:bidi="lt-LT"/>
        </w:rPr>
        <w:t xml:space="preserve"> </w:t>
      </w:r>
      <w:r w:rsidRPr="00EB063F">
        <w:rPr>
          <w:rFonts w:eastAsia="MS Mincho"/>
          <w:szCs w:val="22"/>
          <w:lang w:val="lt-LT" w:eastAsia="lt-LT" w:bidi="lt-LT"/>
        </w:rPr>
        <w:t>Infekcijos ar sepsio rizika itin didelė, kai į veną įvedamas vamzdelis (intraveninis kateteris).</w:t>
      </w:r>
      <w:r w:rsidRPr="00EB063F">
        <w:rPr>
          <w:rFonts w:eastAsia="MS Mincho"/>
          <w:bCs/>
          <w:szCs w:val="22"/>
          <w:lang w:val="lt-LT" w:eastAsia="lt-LT" w:bidi="lt-LT"/>
        </w:rPr>
        <w:t xml:space="preserve"> Gydytojas atidžiai stebės, ar nėra infekcijos požymių. Pacientams, kuriems skirtas </w:t>
      </w:r>
      <w:proofErr w:type="spellStart"/>
      <w:r w:rsidRPr="00EB063F">
        <w:rPr>
          <w:rFonts w:eastAsia="MS Mincho"/>
          <w:bCs/>
          <w:szCs w:val="22"/>
          <w:lang w:val="lt-LT" w:eastAsia="lt-LT" w:bidi="lt-LT"/>
        </w:rPr>
        <w:t>parenterinis</w:t>
      </w:r>
      <w:proofErr w:type="spellEnd"/>
      <w:r w:rsidRPr="00EB063F">
        <w:rPr>
          <w:rFonts w:eastAsia="MS Mincho"/>
          <w:bCs/>
          <w:szCs w:val="22"/>
          <w:lang w:val="lt-LT" w:eastAsia="lt-LT" w:bidi="lt-LT"/>
        </w:rPr>
        <w:t xml:space="preserve"> maitinimas (per į veną įstatytą vamzdelį), infekcijos dažniau pasireiškia dėl jų medicininės būklės. Infekcijos riziką galima sumažinti užtikrinant sterilumą (aplinką be mikrobų), kai įstatomas ir prižiūrimas kateteris bei ruošiamas maistinis mišinys </w:t>
      </w:r>
      <w:proofErr w:type="spellStart"/>
      <w:r w:rsidRPr="00EB063F">
        <w:rPr>
          <w:rFonts w:eastAsia="MS Mincho"/>
          <w:bCs/>
          <w:szCs w:val="22"/>
          <w:lang w:val="lt-LT" w:eastAsia="lt-LT" w:bidi="lt-LT"/>
        </w:rPr>
        <w:t>parenteriniam</w:t>
      </w:r>
      <w:proofErr w:type="spellEnd"/>
      <w:r w:rsidRPr="00EB063F">
        <w:rPr>
          <w:rFonts w:eastAsia="MS Mincho"/>
          <w:bCs/>
          <w:szCs w:val="22"/>
          <w:lang w:val="lt-LT" w:eastAsia="lt-LT" w:bidi="lt-LT"/>
        </w:rPr>
        <w:t xml:space="preserve"> maitinimui.</w:t>
      </w:r>
    </w:p>
    <w:p w14:paraId="58690C0A"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p>
    <w:p w14:paraId="50FFD13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Esant sunkiam mitybos nepakankamumui, dėl kurio būtinas maitinimas per veną, gydytojas infuziją turi pradėti iš lėto. Taip pat gydytojas turi Jus atidžiai stebėti, kad būtų išvengta staigių skysčių, vitaminų, elektrolitų ir mineralų kiekio pokyčių.</w:t>
      </w:r>
    </w:p>
    <w:p w14:paraId="010944C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BA0696C" w14:textId="77777777" w:rsidR="00EB063F" w:rsidRPr="00EB063F" w:rsidRDefault="00EB063F" w:rsidP="00EB063F">
      <w:pPr>
        <w:tabs>
          <w:tab w:val="clear" w:pos="567"/>
          <w:tab w:val="left" w:pos="1296"/>
        </w:tabs>
        <w:spacing w:line="240" w:lineRule="auto"/>
        <w:ind w:right="-2"/>
        <w:rPr>
          <w:szCs w:val="22"/>
          <w:lang w:val="lt-LT" w:eastAsia="lt-LT" w:bidi="lt-LT"/>
        </w:rPr>
      </w:pPr>
      <w:r w:rsidRPr="00EB063F">
        <w:rPr>
          <w:szCs w:val="22"/>
          <w:lang w:val="lt-LT" w:eastAsia="lt-LT" w:bidi="lt-LT"/>
        </w:rPr>
        <w:t>Prieš pradedant infuziją bus sureguliuota vandens ir druskų pusiausvyra organizme bei medžiagų apykaitos sutrikimai. Jums leidžiant šį vaistą gydytojas atidžiai Jus stebės ir gali pakeisti dozę arba duoti papildomų maistinių medžiagų, tokių kaip vitaminai, elektrolitai ir mikroelementai, jeigu manys, kad to reikia.</w:t>
      </w:r>
    </w:p>
    <w:p w14:paraId="33F939FD" w14:textId="77777777" w:rsidR="00EB063F" w:rsidRPr="00EB063F" w:rsidRDefault="00EB063F" w:rsidP="00EB063F">
      <w:pPr>
        <w:tabs>
          <w:tab w:val="clear" w:pos="567"/>
          <w:tab w:val="left" w:pos="1296"/>
        </w:tabs>
        <w:spacing w:line="240" w:lineRule="auto"/>
        <w:ind w:right="-2"/>
        <w:rPr>
          <w:szCs w:val="22"/>
          <w:lang w:val="lt-LT" w:eastAsia="lt-LT" w:bidi="lt-LT"/>
        </w:rPr>
      </w:pPr>
    </w:p>
    <w:p w14:paraId="7B327779"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Pacientams, kurie buvo gydyti intravenine mityba, buvo registruoti pranešimai apie kepenų funkcijos sutrikimą, įskaitant tulžies nutekėjimo sutrikimą (</w:t>
      </w:r>
      <w:proofErr w:type="spellStart"/>
      <w:r w:rsidRPr="00EB063F">
        <w:rPr>
          <w:szCs w:val="22"/>
          <w:lang w:val="lt-LT" w:eastAsia="lt-LT" w:bidi="lt-LT"/>
        </w:rPr>
        <w:t>cholestazę</w:t>
      </w:r>
      <w:proofErr w:type="spellEnd"/>
      <w:r w:rsidRPr="00EB063F">
        <w:rPr>
          <w:szCs w:val="22"/>
          <w:lang w:val="lt-LT" w:eastAsia="lt-LT" w:bidi="lt-LT"/>
        </w:rPr>
        <w:t xml:space="preserve">) riebalinę infiltraciją (kepenų suriebėjimą), fibrozę, galimai išsivystančią į kepenų nepakankamumą, taip pat tulžies pūslės uždegimą (cholecistitą) ir tulžies pūslės akmenligę. </w:t>
      </w:r>
      <w:r w:rsidRPr="00EB063F">
        <w:rPr>
          <w:rFonts w:eastAsia="MS Mincho"/>
          <w:szCs w:val="22"/>
          <w:lang w:val="lt-LT" w:eastAsia="lt-LT" w:bidi="lt-LT"/>
        </w:rPr>
        <w:t>Jeigu Jus vargina tokie simptomai kaip pykinimas, vėmimas, pilvo skausmas, pageltusi oda arba akių baltymai, pasitarkite su gydytoju</w:t>
      </w:r>
      <w:r w:rsidRPr="00EB063F">
        <w:rPr>
          <w:szCs w:val="22"/>
          <w:lang w:val="lt-LT" w:eastAsia="lt-LT" w:bidi="lt-LT"/>
        </w:rPr>
        <w:t xml:space="preserve">, kad būtų galima įvardyti galimas šių simptomų priežastis ir lydinčius faktorius ir imtis reikiamų gydymo arba profilaktikos priemonių jiems </w:t>
      </w:r>
      <w:proofErr w:type="spellStart"/>
      <w:r w:rsidRPr="00EB063F">
        <w:rPr>
          <w:szCs w:val="22"/>
          <w:lang w:val="lt-LT" w:eastAsia="lt-LT" w:bidi="lt-LT"/>
        </w:rPr>
        <w:t>švengti</w:t>
      </w:r>
      <w:proofErr w:type="spellEnd"/>
      <w:r w:rsidRPr="00EB063F">
        <w:rPr>
          <w:szCs w:val="22"/>
          <w:lang w:val="lt-LT" w:eastAsia="lt-LT" w:bidi="lt-LT"/>
        </w:rPr>
        <w:t xml:space="preserve">. </w:t>
      </w:r>
    </w:p>
    <w:p w14:paraId="5A1E519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82E138E"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Jūsų gydytojas turi žinoti, jeigu Jums yra:</w:t>
      </w:r>
    </w:p>
    <w:p w14:paraId="7AB123C5"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sunki inkstų problema. Taip pat turite informuoti gydytoją, jeigu Jums taikoma dializė (dirbtinis inkstas) arba kitokia kraujo valymo procedūra;</w:t>
      </w:r>
    </w:p>
    <w:p w14:paraId="78B6401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sunki kepenų problema;</w:t>
      </w:r>
    </w:p>
    <w:p w14:paraId="02C49DA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kraujo krešėjimo problema;</w:t>
      </w:r>
    </w:p>
    <w:p w14:paraId="4BDFC7A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susilpnėjusi antinksčių funkcija (antinksčių nepakankamumas). Antinksčiai – tai trikampio formos liaukos, esančios ant inkstų;</w:t>
      </w:r>
    </w:p>
    <w:p w14:paraId="62FC662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širdies nepakankamumas;</w:t>
      </w:r>
    </w:p>
    <w:p w14:paraId="07E703DE"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plaučių liga;</w:t>
      </w:r>
    </w:p>
    <w:p w14:paraId="448C0323"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organizme kaupiasi vanduo (</w:t>
      </w:r>
      <w:proofErr w:type="spellStart"/>
      <w:r w:rsidRPr="00EB063F">
        <w:rPr>
          <w:rFonts w:eastAsia="MS Mincho"/>
          <w:szCs w:val="22"/>
          <w:lang w:val="lt-LT" w:eastAsia="lt-LT" w:bidi="lt-LT"/>
        </w:rPr>
        <w:t>hiperhidracija</w:t>
      </w:r>
      <w:proofErr w:type="spellEnd"/>
      <w:r w:rsidRPr="00EB063F">
        <w:rPr>
          <w:rFonts w:eastAsia="MS Mincho"/>
          <w:szCs w:val="22"/>
          <w:lang w:val="lt-LT" w:eastAsia="lt-LT" w:bidi="lt-LT"/>
        </w:rPr>
        <w:t>);</w:t>
      </w:r>
    </w:p>
    <w:p w14:paraId="4A6124F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vandens trūkumas organizme (</w:t>
      </w:r>
      <w:proofErr w:type="spellStart"/>
      <w:r w:rsidRPr="00EB063F">
        <w:rPr>
          <w:rFonts w:eastAsia="MS Mincho"/>
          <w:szCs w:val="22"/>
          <w:lang w:val="lt-LT" w:eastAsia="lt-LT" w:bidi="lt-LT"/>
        </w:rPr>
        <w:t>dehidracija</w:t>
      </w:r>
      <w:proofErr w:type="spellEnd"/>
      <w:r w:rsidRPr="00EB063F">
        <w:rPr>
          <w:rFonts w:eastAsia="MS Mincho"/>
          <w:szCs w:val="22"/>
          <w:lang w:val="lt-LT" w:eastAsia="lt-LT" w:bidi="lt-LT"/>
        </w:rPr>
        <w:t>);</w:t>
      </w:r>
    </w:p>
    <w:p w14:paraId="0BD4DE7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 xml:space="preserve">didelis cukraus kiekis kraujyje (cukrinis diabetas), kuris nėra gydomas; </w:t>
      </w:r>
    </w:p>
    <w:p w14:paraId="006866C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širdies priepuolis arba šokas dėl staigaus širdies nepakankamumo;</w:t>
      </w:r>
    </w:p>
    <w:p w14:paraId="403BECC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lastRenderedPageBreak/>
        <w:t>-</w:t>
      </w:r>
      <w:r w:rsidRPr="00EB063F">
        <w:rPr>
          <w:rFonts w:eastAsia="MS Mincho"/>
          <w:szCs w:val="22"/>
          <w:lang w:val="lt-LT" w:eastAsia="lt-LT" w:bidi="lt-LT"/>
        </w:rPr>
        <w:tab/>
        <w:t xml:space="preserve">sunki </w:t>
      </w:r>
      <w:proofErr w:type="spellStart"/>
      <w:r w:rsidRPr="00EB063F">
        <w:rPr>
          <w:rFonts w:eastAsia="MS Mincho"/>
          <w:szCs w:val="22"/>
          <w:lang w:val="lt-LT" w:eastAsia="lt-LT" w:bidi="lt-LT"/>
        </w:rPr>
        <w:t>metabolinė</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acidozė</w:t>
      </w:r>
      <w:proofErr w:type="spellEnd"/>
      <w:r w:rsidRPr="00EB063F">
        <w:rPr>
          <w:rFonts w:eastAsia="MS Mincho"/>
          <w:szCs w:val="22"/>
          <w:lang w:val="lt-LT" w:eastAsia="lt-LT" w:bidi="lt-LT"/>
        </w:rPr>
        <w:t xml:space="preserve"> (padidėjęs kraujo rūgštingumas);</w:t>
      </w:r>
    </w:p>
    <w:p w14:paraId="55F7A49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r>
      <w:proofErr w:type="spellStart"/>
      <w:r w:rsidRPr="00EB063F">
        <w:rPr>
          <w:rFonts w:eastAsia="MS Mincho"/>
          <w:szCs w:val="22"/>
          <w:lang w:val="lt-LT" w:eastAsia="lt-LT" w:bidi="lt-LT"/>
        </w:rPr>
        <w:t>generalizuota</w:t>
      </w:r>
      <w:proofErr w:type="spellEnd"/>
      <w:r w:rsidRPr="00EB063F">
        <w:rPr>
          <w:rFonts w:eastAsia="MS Mincho"/>
          <w:szCs w:val="22"/>
          <w:lang w:val="lt-LT" w:eastAsia="lt-LT" w:bidi="lt-LT"/>
        </w:rPr>
        <w:t xml:space="preserve"> infekcija (septicemija);</w:t>
      </w:r>
    </w:p>
    <w:p w14:paraId="1872780C"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r w:rsidRPr="00EB063F">
        <w:rPr>
          <w:rFonts w:eastAsia="MS Mincho"/>
          <w:szCs w:val="22"/>
          <w:lang w:val="lt-LT" w:eastAsia="lt-LT" w:bidi="lt-LT"/>
        </w:rPr>
        <w:tab/>
        <w:t>koma.</w:t>
      </w:r>
    </w:p>
    <w:p w14:paraId="7A741E80"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3C312E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Siekdamas patikrinti vaisto veiksmingumą ir jo vartojimo saugumą, vaisto vartojimo metu gydytojas atliks klinikinius ir laboratorinius tyrimus. Jeigu šis vaistas paskirtas vartoti keletą savaičių, Jūsų kraujas bus reguliariai tiriamas.</w:t>
      </w:r>
    </w:p>
    <w:p w14:paraId="7DB9123D"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FFDA4B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Dėl sumažėjusio organizmo gebėjimo šalinti šio vaisto sudėtyje esančius riebalus gali pasireikšti riebalų pertekliaus sindromas (žr. 4 skyrių „Galimas šalutinis poveikis“).</w:t>
      </w:r>
    </w:p>
    <w:p w14:paraId="00A4284B"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4AA80B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Jeigu infuzijos metu pajustumėte skausmą, deginimo jausmą arba pastebėtumėte patinimą arba nuotėkį infuzijos vietoje, apie tai pasakykite gydytojui arba slaugytojui. Infuzija bus iš karto nutraukta ir pradėta iš naujo kitoje venoje.</w:t>
      </w:r>
    </w:p>
    <w:p w14:paraId="0C19B50C"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14338EE"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Jei padidėja cukraus kiekis kraujyje, gydytojas turi pareguliuoti OLIMEL N12E infuzijos greitį arba skirti vaistų cukraus kiekiui kraujyje kontroliuoti (insulino).</w:t>
      </w:r>
    </w:p>
    <w:p w14:paraId="1AEBE10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625CF78"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galima vartoti tik per vamzdelį (kateterį), įvestą į didelę veną krūtinėje (centrinę veną).</w:t>
      </w:r>
    </w:p>
    <w:p w14:paraId="53951253" w14:textId="77777777" w:rsidR="00EB063F" w:rsidRPr="00EB063F" w:rsidRDefault="00EB063F" w:rsidP="00EB063F">
      <w:pPr>
        <w:tabs>
          <w:tab w:val="clear" w:pos="567"/>
          <w:tab w:val="left" w:pos="1296"/>
        </w:tabs>
        <w:spacing w:line="240" w:lineRule="auto"/>
        <w:ind w:right="-2"/>
        <w:rPr>
          <w:szCs w:val="22"/>
          <w:lang w:val="lt-LT" w:eastAsia="lt-LT" w:bidi="lt-LT"/>
        </w:rPr>
      </w:pPr>
    </w:p>
    <w:p w14:paraId="18ECCAEE" w14:textId="77777777" w:rsidR="00EB063F" w:rsidRPr="00EB063F" w:rsidRDefault="00EB063F" w:rsidP="00EB063F">
      <w:pPr>
        <w:tabs>
          <w:tab w:val="clear" w:pos="567"/>
          <w:tab w:val="left" w:pos="1296"/>
        </w:tabs>
        <w:spacing w:line="240" w:lineRule="auto"/>
        <w:rPr>
          <w:szCs w:val="22"/>
        </w:rPr>
      </w:pPr>
      <w:r w:rsidRPr="00EB063F">
        <w:rPr>
          <w:b/>
          <w:bCs/>
          <w:szCs w:val="22"/>
          <w:lang w:val="lt-LT" w:eastAsia="lt-LT" w:bidi="lt-LT"/>
        </w:rPr>
        <w:t>Vaikams ir paaugliams</w:t>
      </w:r>
    </w:p>
    <w:p w14:paraId="4F31B898" w14:textId="77777777" w:rsidR="00EB063F" w:rsidRPr="00EB063F" w:rsidRDefault="00EB063F" w:rsidP="00EB063F">
      <w:pPr>
        <w:tabs>
          <w:tab w:val="clear" w:pos="567"/>
          <w:tab w:val="left" w:pos="1296"/>
        </w:tabs>
        <w:spacing w:line="240" w:lineRule="auto"/>
        <w:rPr>
          <w:szCs w:val="22"/>
          <w:lang w:val="lt-LT" w:eastAsia="lt-LT" w:bidi="lt-LT"/>
        </w:rPr>
      </w:pPr>
      <w:r w:rsidRPr="00EB063F">
        <w:rPr>
          <w:szCs w:val="22"/>
          <w:lang w:val="lt-LT" w:eastAsia="lt-LT" w:bidi="lt-LT"/>
        </w:rPr>
        <w:t>Jeigu Jūsų vaikui dar nėra 18 metų, daug dėmesio bus skiriama tinkamam dozavimui užtikrinti. Bus imtasi ypatingų atsargumo priemonių, nes vaikams kyla didesnė infekcijos rizika. Visada būtina papildyti vitaminais ir mikroelementais. Tam turi būti naudojami vaikams skirti preparatai.</w:t>
      </w:r>
    </w:p>
    <w:p w14:paraId="41837889" w14:textId="77777777" w:rsidR="00EB063F" w:rsidRPr="00EB063F" w:rsidRDefault="00EB063F" w:rsidP="00EB063F">
      <w:pPr>
        <w:tabs>
          <w:tab w:val="clear" w:pos="567"/>
          <w:tab w:val="left" w:pos="1296"/>
        </w:tabs>
        <w:spacing w:line="240" w:lineRule="auto"/>
        <w:rPr>
          <w:b/>
          <w:bCs/>
          <w:szCs w:val="22"/>
          <w:lang w:val="lt-LT" w:eastAsia="lt-LT" w:bidi="lt-LT"/>
        </w:rPr>
      </w:pPr>
    </w:p>
    <w:p w14:paraId="6BB3E706" w14:textId="77777777" w:rsidR="00EB063F" w:rsidRPr="00EB063F" w:rsidRDefault="00EB063F" w:rsidP="00EB063F">
      <w:pPr>
        <w:tabs>
          <w:tab w:val="clear" w:pos="567"/>
          <w:tab w:val="left" w:pos="1296"/>
        </w:tabs>
        <w:spacing w:line="240" w:lineRule="auto"/>
        <w:ind w:right="-2"/>
        <w:rPr>
          <w:szCs w:val="22"/>
        </w:rPr>
      </w:pPr>
      <w:r w:rsidRPr="00EB063F">
        <w:rPr>
          <w:b/>
          <w:szCs w:val="22"/>
          <w:lang w:val="lt-LT" w:eastAsia="lt-LT" w:bidi="lt-LT"/>
        </w:rPr>
        <w:t>Kiti vaistai ir OLIMEL N12E</w:t>
      </w:r>
    </w:p>
    <w:p w14:paraId="6FB2C76A"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Pasakykite gydytojui, jeigu vartojate, neseniai vartojote arba turėtumėte vartoti kokių nors kitų vaistų.</w:t>
      </w:r>
    </w:p>
    <w:p w14:paraId="38991FA0" w14:textId="77777777" w:rsidR="00EB063F" w:rsidRPr="00EB063F" w:rsidRDefault="00EB063F" w:rsidP="00EB063F">
      <w:pPr>
        <w:tabs>
          <w:tab w:val="clear" w:pos="567"/>
          <w:tab w:val="left" w:pos="1296"/>
        </w:tabs>
        <w:spacing w:line="240" w:lineRule="auto"/>
        <w:ind w:right="-2"/>
        <w:rPr>
          <w:szCs w:val="22"/>
          <w:lang w:val="lt-LT" w:eastAsia="lt-LT" w:bidi="lt-LT"/>
        </w:rPr>
      </w:pPr>
    </w:p>
    <w:p w14:paraId="655F092D"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Paprastai kartu vartojami kiti vaistiniai preparatai nėra kontraindikacija OLIMEL N12E vartojimui. Jeigu vartojate kitus vaistinius preparatus, įskaitant įsigytus be recepto, iš anksto pasakykite gydytojui, kad būtų galima patikrinti jų suderinamumą.</w:t>
      </w:r>
    </w:p>
    <w:p w14:paraId="09EFEB34"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p>
    <w:p w14:paraId="541ED3ED"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Pasakykite gydytojui, jei vartojate žemiau išvardytus vaistinius preparatus:</w:t>
      </w:r>
    </w:p>
    <w:p w14:paraId="3DB5011E"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w:t>
      </w:r>
    </w:p>
    <w:p w14:paraId="63F8A374"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w:t>
      </w:r>
      <w:r w:rsidRPr="00EB063F">
        <w:rPr>
          <w:rFonts w:eastAsia="MS Mincho"/>
          <w:bCs/>
          <w:szCs w:val="22"/>
          <w:lang w:val="lt-LT" w:eastAsia="lt-LT" w:bidi="lt-LT"/>
        </w:rPr>
        <w:tab/>
        <w:t>Insuliną</w:t>
      </w:r>
    </w:p>
    <w:p w14:paraId="54A384E3"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w:t>
      </w:r>
      <w:r w:rsidRPr="00EB063F">
        <w:rPr>
          <w:rFonts w:eastAsia="MS Mincho"/>
          <w:bCs/>
          <w:szCs w:val="22"/>
          <w:lang w:val="lt-LT" w:eastAsia="lt-LT" w:bidi="lt-LT"/>
        </w:rPr>
        <w:tab/>
        <w:t>Hepariną</w:t>
      </w:r>
    </w:p>
    <w:p w14:paraId="202DD9F3"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p>
    <w:p w14:paraId="1A0EFED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negalima leisti kartu su krauju per tą patį infuzinį vamzdelį.</w:t>
      </w:r>
    </w:p>
    <w:p w14:paraId="4C5272F7"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2113BC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OLIMEL N12E sudėtyje yra kalcio. Jo negalima vartoti kartu arba per tą patį vamzdelį su antibiotiku </w:t>
      </w:r>
      <w:proofErr w:type="spellStart"/>
      <w:r w:rsidRPr="00EB063F">
        <w:rPr>
          <w:rFonts w:eastAsia="MS Mincho"/>
          <w:szCs w:val="22"/>
          <w:lang w:val="lt-LT" w:eastAsia="lt-LT" w:bidi="lt-LT"/>
        </w:rPr>
        <w:t>ceftriaksonu</w:t>
      </w:r>
      <w:proofErr w:type="spellEnd"/>
      <w:r w:rsidRPr="00EB063F">
        <w:rPr>
          <w:rFonts w:eastAsia="MS Mincho"/>
          <w:szCs w:val="22"/>
          <w:lang w:val="lt-LT" w:eastAsia="lt-LT" w:bidi="lt-LT"/>
        </w:rPr>
        <w:t>, nes gali susidaryti nuosėdų. Jei ta pati infuzinė sistema naudojama tiems vaistams leisti vienas po kito, ją reikia kruopščiai praplauti.</w:t>
      </w:r>
    </w:p>
    <w:p w14:paraId="3A30320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5FB97AC" w14:textId="77777777" w:rsidR="00EB063F" w:rsidRPr="00EB063F" w:rsidRDefault="00EB063F" w:rsidP="00EB063F">
      <w:pPr>
        <w:tabs>
          <w:tab w:val="clear" w:pos="567"/>
          <w:tab w:val="left" w:pos="1296"/>
        </w:tabs>
        <w:spacing w:line="240" w:lineRule="auto"/>
        <w:rPr>
          <w:rFonts w:eastAsia="MS Mincho"/>
          <w:bCs/>
          <w:iCs/>
          <w:szCs w:val="22"/>
          <w:lang w:val="lt-LT" w:eastAsia="lt-LT" w:bidi="lt-LT"/>
        </w:rPr>
      </w:pPr>
      <w:r w:rsidRPr="00EB063F">
        <w:rPr>
          <w:rFonts w:eastAsia="MS Mincho"/>
          <w:bCs/>
          <w:iCs/>
          <w:szCs w:val="22"/>
          <w:lang w:val="lt-LT" w:eastAsia="lt-LT" w:bidi="lt-LT"/>
        </w:rPr>
        <w:t xml:space="preserve">Dėl nuosėdų susidarymo rizikos OLIMEL N12E negalima leisti per tą pačią infuzijos liniją arba maišyti su antibiotiku ampicilinu ar vaistu nuo epilepsijos </w:t>
      </w:r>
      <w:proofErr w:type="spellStart"/>
      <w:r w:rsidRPr="00EB063F">
        <w:rPr>
          <w:rFonts w:eastAsia="MS Mincho"/>
          <w:bCs/>
          <w:iCs/>
          <w:szCs w:val="22"/>
          <w:lang w:val="lt-LT" w:eastAsia="lt-LT" w:bidi="lt-LT"/>
        </w:rPr>
        <w:t>fosfenitoinu</w:t>
      </w:r>
      <w:proofErr w:type="spellEnd"/>
      <w:r w:rsidRPr="00EB063F">
        <w:rPr>
          <w:rFonts w:eastAsia="MS Mincho"/>
          <w:bCs/>
          <w:iCs/>
          <w:szCs w:val="22"/>
          <w:lang w:val="lt-LT" w:eastAsia="lt-LT" w:bidi="lt-LT"/>
        </w:rPr>
        <w:t xml:space="preserve">. </w:t>
      </w:r>
    </w:p>
    <w:p w14:paraId="7FF6819D" w14:textId="77777777" w:rsidR="00EB063F" w:rsidRPr="00EB063F" w:rsidRDefault="00EB063F" w:rsidP="00EB063F">
      <w:pPr>
        <w:tabs>
          <w:tab w:val="clear" w:pos="567"/>
          <w:tab w:val="left" w:pos="1296"/>
        </w:tabs>
        <w:spacing w:line="240" w:lineRule="auto"/>
        <w:rPr>
          <w:rFonts w:eastAsia="MS Mincho"/>
          <w:bCs/>
          <w:iCs/>
          <w:szCs w:val="22"/>
          <w:lang w:val="lt-LT" w:eastAsia="lt-LT" w:bidi="lt-LT"/>
        </w:rPr>
      </w:pPr>
    </w:p>
    <w:p w14:paraId="2ED765F6"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sudėtyje esančiame alyvuogių ir sojų aliejuje yra vitamino K. Paprastai jis neturi įtakos kraują skystinantiems vaistams (antikoaguliantams), tokiems kaip kumarinas. Tačiau jeigu vartojate antikoaguliantus, turite pasakyti gydytojui.</w:t>
      </w:r>
    </w:p>
    <w:p w14:paraId="186F6703"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4CF8D0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Šios emulsijos sudėtyje esantys lipidai gali turėti įtakos tam tikrų laboratorinių tyrimų rezultatams, jei kraujo mėginys paimamas, kol iš kraujo apytakos sistemos dar nepasišalinę lipidai (jie paprastai pasišalina per 5–6 valandas nuo jų gavimo).</w:t>
      </w:r>
    </w:p>
    <w:p w14:paraId="2960E13D"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4ADA965"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OLIMEL N12E sudėtyje yra kalio. Būtinos ypatingos atsargumo priemonės gydant pacientus, kurie vartoja diuretikus, </w:t>
      </w:r>
      <w:proofErr w:type="spellStart"/>
      <w:r w:rsidRPr="00EB063F">
        <w:rPr>
          <w:rFonts w:eastAsia="MS Mincho"/>
          <w:szCs w:val="22"/>
          <w:lang w:val="lt-LT" w:eastAsia="lt-LT" w:bidi="lt-LT"/>
        </w:rPr>
        <w:t>angiotenziną</w:t>
      </w:r>
      <w:proofErr w:type="spellEnd"/>
      <w:r w:rsidRPr="00EB063F">
        <w:rPr>
          <w:rFonts w:eastAsia="MS Mincho"/>
          <w:szCs w:val="22"/>
          <w:lang w:val="lt-LT" w:eastAsia="lt-LT" w:bidi="lt-LT"/>
        </w:rPr>
        <w:t xml:space="preserve"> konvertuojančio fermento (AKF) inhibitorius, </w:t>
      </w:r>
      <w:proofErr w:type="spellStart"/>
      <w:r w:rsidRPr="00EB063F">
        <w:rPr>
          <w:rFonts w:eastAsia="MS Mincho"/>
          <w:szCs w:val="22"/>
          <w:lang w:val="lt-LT" w:eastAsia="lt-LT" w:bidi="lt-LT"/>
        </w:rPr>
        <w:t>angiotenzino</w:t>
      </w:r>
      <w:proofErr w:type="spellEnd"/>
      <w:r w:rsidRPr="00EB063F">
        <w:rPr>
          <w:rFonts w:eastAsia="MS Mincho"/>
          <w:szCs w:val="22"/>
          <w:lang w:val="lt-LT" w:eastAsia="lt-LT" w:bidi="lt-LT"/>
        </w:rPr>
        <w:t xml:space="preserve"> II </w:t>
      </w:r>
      <w:r w:rsidRPr="00EB063F">
        <w:rPr>
          <w:rFonts w:eastAsia="MS Mincho"/>
          <w:szCs w:val="22"/>
          <w:lang w:val="lt-LT" w:eastAsia="lt-LT" w:bidi="lt-LT"/>
        </w:rPr>
        <w:lastRenderedPageBreak/>
        <w:t xml:space="preserve">receptorių antagonistus (vaistus nuo aukšto kraujospūdžio) ar </w:t>
      </w:r>
      <w:proofErr w:type="spellStart"/>
      <w:r w:rsidRPr="00EB063F">
        <w:rPr>
          <w:rFonts w:eastAsia="MS Mincho"/>
          <w:szCs w:val="22"/>
          <w:lang w:val="lt-LT" w:eastAsia="lt-LT" w:bidi="lt-LT"/>
        </w:rPr>
        <w:t>imunosupresantus</w:t>
      </w:r>
      <w:proofErr w:type="spellEnd"/>
      <w:r w:rsidRPr="00EB063F">
        <w:rPr>
          <w:rFonts w:eastAsia="MS Mincho"/>
          <w:szCs w:val="22"/>
          <w:lang w:val="lt-LT" w:eastAsia="lt-LT" w:bidi="lt-LT"/>
        </w:rPr>
        <w:t>. Dėl šių vaistų gali padidėti kalio kiekis kraujyje.</w:t>
      </w:r>
    </w:p>
    <w:p w14:paraId="15483F11" w14:textId="77777777" w:rsidR="00EB063F" w:rsidRPr="00EB063F" w:rsidRDefault="00EB063F" w:rsidP="00EB063F">
      <w:pPr>
        <w:tabs>
          <w:tab w:val="clear" w:pos="567"/>
          <w:tab w:val="left" w:pos="1296"/>
        </w:tabs>
        <w:spacing w:line="240" w:lineRule="auto"/>
        <w:ind w:right="-2"/>
        <w:rPr>
          <w:szCs w:val="22"/>
          <w:lang w:val="lt-LT" w:eastAsia="lt-LT" w:bidi="lt-LT"/>
        </w:rPr>
      </w:pPr>
    </w:p>
    <w:p w14:paraId="0FA82B92" w14:textId="77777777" w:rsidR="00EB063F" w:rsidRPr="00EB063F" w:rsidRDefault="00EB063F" w:rsidP="00EB063F">
      <w:pPr>
        <w:tabs>
          <w:tab w:val="clear" w:pos="567"/>
          <w:tab w:val="left" w:pos="1296"/>
        </w:tabs>
        <w:spacing w:line="240" w:lineRule="auto"/>
        <w:ind w:right="-2"/>
        <w:outlineLvl w:val="0"/>
        <w:rPr>
          <w:szCs w:val="22"/>
        </w:rPr>
      </w:pPr>
      <w:r w:rsidRPr="00EB063F">
        <w:rPr>
          <w:b/>
          <w:szCs w:val="22"/>
          <w:lang w:val="lt-LT" w:eastAsia="lt-LT" w:bidi="lt-LT"/>
        </w:rPr>
        <w:t>Nėštumas ir žindymo laikotarpis</w:t>
      </w:r>
    </w:p>
    <w:p w14:paraId="419C42F3" w14:textId="77777777" w:rsidR="00EB063F" w:rsidRPr="00EB063F" w:rsidRDefault="00EB063F" w:rsidP="00EB063F">
      <w:pPr>
        <w:tabs>
          <w:tab w:val="clear" w:pos="567"/>
          <w:tab w:val="left" w:pos="1296"/>
        </w:tabs>
        <w:spacing w:line="240" w:lineRule="auto"/>
        <w:rPr>
          <w:szCs w:val="22"/>
        </w:rPr>
      </w:pPr>
      <w:r w:rsidRPr="00EB063F">
        <w:rPr>
          <w:szCs w:val="22"/>
          <w:lang w:val="lt-LT" w:eastAsia="lt-LT" w:bidi="lt-LT"/>
        </w:rPr>
        <w:t>Jeigu esate nėščia, žindote kūdikį, manote, kad galbūt esate nėščia, arba planuojate pastoti, tai prieš vartodama šį vaistą pasitarkite su gydytoju.</w:t>
      </w:r>
    </w:p>
    <w:p w14:paraId="22C145FC" w14:textId="77777777" w:rsidR="00EB063F" w:rsidRPr="00EB063F" w:rsidRDefault="00EB063F" w:rsidP="00EB063F">
      <w:pPr>
        <w:tabs>
          <w:tab w:val="clear" w:pos="567"/>
          <w:tab w:val="left" w:pos="1296"/>
        </w:tabs>
        <w:spacing w:line="240" w:lineRule="auto"/>
        <w:rPr>
          <w:szCs w:val="22"/>
          <w:lang w:val="lt-LT" w:eastAsia="lt-LT" w:bidi="lt-LT"/>
        </w:rPr>
      </w:pPr>
    </w:p>
    <w:p w14:paraId="6BA6A8F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Duomenų apie OLIMEL N12E vartojimą nėštumo arba žindymo metu nėra arba jų nepakanka. Jei būtina, galima apsvarstyti OLIMEL N12E vartojimą nėštumo ir žindymo laikotarpiu. Nėščioms ar žindančioms moterims OLIMEL N12E turėtų būti skiriamas tik gerai viską įvertinus.</w:t>
      </w:r>
    </w:p>
    <w:p w14:paraId="73ADE6F2" w14:textId="77777777" w:rsidR="00EB063F" w:rsidRPr="00EB063F" w:rsidRDefault="00EB063F" w:rsidP="00EB063F">
      <w:pPr>
        <w:tabs>
          <w:tab w:val="clear" w:pos="567"/>
          <w:tab w:val="left" w:pos="1296"/>
        </w:tabs>
        <w:spacing w:line="240" w:lineRule="auto"/>
        <w:rPr>
          <w:szCs w:val="22"/>
          <w:lang w:val="lt-LT" w:eastAsia="lt-LT" w:bidi="lt-LT"/>
        </w:rPr>
      </w:pPr>
    </w:p>
    <w:p w14:paraId="7181C7A0" w14:textId="77777777" w:rsidR="00EB063F" w:rsidRPr="00EB063F" w:rsidRDefault="00EB063F" w:rsidP="00EB063F">
      <w:pPr>
        <w:tabs>
          <w:tab w:val="clear" w:pos="567"/>
          <w:tab w:val="left" w:pos="1296"/>
        </w:tabs>
        <w:spacing w:line="240" w:lineRule="auto"/>
        <w:ind w:right="-2"/>
        <w:outlineLvl w:val="0"/>
        <w:rPr>
          <w:szCs w:val="22"/>
        </w:rPr>
      </w:pPr>
      <w:r w:rsidRPr="00EB063F">
        <w:rPr>
          <w:b/>
          <w:szCs w:val="22"/>
          <w:lang w:val="lt-LT" w:eastAsia="lt-LT" w:bidi="lt-LT"/>
        </w:rPr>
        <w:t>Vairavimas ir mechanizmų valdymas</w:t>
      </w:r>
    </w:p>
    <w:p w14:paraId="1AD42CC1"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Duomenys neaktualūs.</w:t>
      </w:r>
    </w:p>
    <w:p w14:paraId="58C5A3AE" w14:textId="77777777" w:rsidR="00EB063F" w:rsidRPr="00EB063F" w:rsidRDefault="00EB063F" w:rsidP="00EB063F">
      <w:pPr>
        <w:tabs>
          <w:tab w:val="clear" w:pos="567"/>
          <w:tab w:val="left" w:pos="1296"/>
        </w:tabs>
        <w:spacing w:line="240" w:lineRule="auto"/>
        <w:ind w:right="-2"/>
        <w:rPr>
          <w:szCs w:val="22"/>
          <w:lang w:val="lt-LT" w:eastAsia="lt-LT" w:bidi="lt-LT"/>
        </w:rPr>
      </w:pPr>
    </w:p>
    <w:p w14:paraId="31253390" w14:textId="77777777" w:rsidR="00EB063F" w:rsidRPr="00EB063F" w:rsidRDefault="00EB063F" w:rsidP="00EB063F">
      <w:pPr>
        <w:tabs>
          <w:tab w:val="clear" w:pos="567"/>
          <w:tab w:val="left" w:pos="1296"/>
        </w:tabs>
        <w:spacing w:line="240" w:lineRule="auto"/>
        <w:ind w:right="-2"/>
        <w:rPr>
          <w:szCs w:val="22"/>
          <w:lang w:val="lt-LT" w:eastAsia="lt-LT" w:bidi="lt-LT"/>
        </w:rPr>
      </w:pPr>
    </w:p>
    <w:p w14:paraId="7B37DD9F" w14:textId="77777777" w:rsidR="00EB063F" w:rsidRPr="00EB063F" w:rsidRDefault="00EB063F" w:rsidP="00EB063F">
      <w:pPr>
        <w:spacing w:line="240" w:lineRule="auto"/>
        <w:ind w:right="-2"/>
        <w:rPr>
          <w:szCs w:val="22"/>
        </w:rPr>
      </w:pPr>
      <w:r w:rsidRPr="00EB063F">
        <w:rPr>
          <w:b/>
          <w:szCs w:val="22"/>
          <w:lang w:val="lt-LT" w:eastAsia="lt-LT" w:bidi="lt-LT"/>
        </w:rPr>
        <w:t>3.</w:t>
      </w:r>
      <w:r w:rsidRPr="00EB063F">
        <w:rPr>
          <w:b/>
          <w:szCs w:val="22"/>
          <w:lang w:val="lt-LT" w:eastAsia="lt-LT" w:bidi="lt-LT"/>
        </w:rPr>
        <w:tab/>
        <w:t>Kaip vartoti OLIMEL N12E infuzinę emulsiją</w:t>
      </w:r>
    </w:p>
    <w:p w14:paraId="293E1373" w14:textId="77777777" w:rsidR="00EB063F" w:rsidRPr="00EB063F" w:rsidRDefault="00EB063F" w:rsidP="00EB063F">
      <w:pPr>
        <w:tabs>
          <w:tab w:val="clear" w:pos="567"/>
          <w:tab w:val="left" w:pos="1296"/>
        </w:tabs>
        <w:spacing w:line="240" w:lineRule="auto"/>
        <w:ind w:right="-2"/>
        <w:rPr>
          <w:szCs w:val="22"/>
          <w:lang w:val="lt-LT" w:eastAsia="lt-LT" w:bidi="lt-LT"/>
        </w:rPr>
      </w:pPr>
    </w:p>
    <w:p w14:paraId="4D7CF1D4"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Dozavimas</w:t>
      </w:r>
    </w:p>
    <w:p w14:paraId="4D561DB1"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galima vartoti tik suaugusiesiems ir vyresniems kaip 2 metų vaikams.</w:t>
      </w:r>
    </w:p>
    <w:p w14:paraId="7BBDFAA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Tai infuzinė emulsija, skirta vartoti tik per vamzdelį (kateterį), įvestą į krūtinės veną.</w:t>
      </w:r>
    </w:p>
    <w:p w14:paraId="42467D7D"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548F88E"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Prieš vartojimą OLIMEL N12E turi būti kambario temperatūros. </w:t>
      </w:r>
    </w:p>
    <w:p w14:paraId="7B7438B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4B1FD6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skirtas tik vienkartiniam vartojimui.</w:t>
      </w:r>
    </w:p>
    <w:p w14:paraId="2B54638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F7A90C6"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1 maišelio infuzija paprastai trunka 12–24 valandas. </w:t>
      </w:r>
    </w:p>
    <w:p w14:paraId="7C10E341"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EEB20F6" w14:textId="77777777" w:rsidR="00EB063F" w:rsidRPr="00EB063F" w:rsidRDefault="00EB063F" w:rsidP="00EB063F">
      <w:pPr>
        <w:keepNext/>
        <w:tabs>
          <w:tab w:val="clear" w:pos="567"/>
          <w:tab w:val="left" w:pos="1296"/>
        </w:tabs>
        <w:spacing w:line="240" w:lineRule="auto"/>
        <w:outlineLvl w:val="2"/>
        <w:rPr>
          <w:rFonts w:eastAsia="MS Mincho"/>
          <w:b/>
          <w:bCs/>
          <w:i/>
          <w:iCs/>
          <w:szCs w:val="22"/>
          <w:lang w:val="lt-LT" w:eastAsia="lt-LT" w:bidi="lt-LT"/>
        </w:rPr>
      </w:pPr>
      <w:r w:rsidRPr="00EB063F">
        <w:rPr>
          <w:rFonts w:eastAsia="MS Mincho"/>
          <w:b/>
          <w:bCs/>
          <w:i/>
          <w:iCs/>
          <w:szCs w:val="22"/>
          <w:lang w:val="lt-LT" w:eastAsia="lt-LT" w:bidi="lt-LT"/>
        </w:rPr>
        <w:t>Dozavimas suaugusiems</w:t>
      </w:r>
    </w:p>
    <w:p w14:paraId="0D5C4A06"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Gydytojas nustatys srauto greitį, įvertinęs Jūsų poreikius ir klinikinę būklę.</w:t>
      </w:r>
    </w:p>
    <w:p w14:paraId="289074B0" w14:textId="77777777" w:rsidR="00EB063F" w:rsidRPr="00EB063F" w:rsidRDefault="00EB063F" w:rsidP="00EB063F">
      <w:pPr>
        <w:tabs>
          <w:tab w:val="clear" w:pos="567"/>
          <w:tab w:val="left" w:pos="1296"/>
        </w:tabs>
        <w:spacing w:line="240" w:lineRule="auto"/>
        <w:ind w:right="-2"/>
        <w:rPr>
          <w:szCs w:val="22"/>
          <w:lang w:val="lt-LT" w:eastAsia="lt-LT" w:bidi="lt-LT"/>
        </w:rPr>
      </w:pPr>
      <w:r w:rsidRPr="00EB063F">
        <w:rPr>
          <w:szCs w:val="22"/>
          <w:lang w:val="lt-LT" w:eastAsia="lt-LT" w:bidi="lt-LT"/>
        </w:rPr>
        <w:t>Vaistas gali būti skiriamas tiek laiko, kiek reikia, atsižvelgiant į Jūsų klinikinę būklę.</w:t>
      </w:r>
    </w:p>
    <w:p w14:paraId="48D959BB" w14:textId="77777777" w:rsidR="00EB063F" w:rsidRPr="00EB063F" w:rsidRDefault="00EB063F" w:rsidP="00EB063F">
      <w:pPr>
        <w:tabs>
          <w:tab w:val="clear" w:pos="567"/>
          <w:tab w:val="left" w:pos="1296"/>
        </w:tabs>
        <w:spacing w:line="240" w:lineRule="auto"/>
        <w:ind w:right="-2"/>
        <w:rPr>
          <w:szCs w:val="22"/>
          <w:lang w:val="lt-LT" w:eastAsia="lt-LT" w:bidi="lt-LT"/>
        </w:rPr>
      </w:pPr>
    </w:p>
    <w:p w14:paraId="555433F3" w14:textId="77777777" w:rsidR="00EB063F" w:rsidRPr="00EB063F" w:rsidRDefault="00EB063F" w:rsidP="00EB063F">
      <w:pPr>
        <w:keepNext/>
        <w:tabs>
          <w:tab w:val="clear" w:pos="567"/>
          <w:tab w:val="left" w:pos="1296"/>
        </w:tabs>
        <w:spacing w:line="240" w:lineRule="auto"/>
        <w:outlineLvl w:val="2"/>
        <w:rPr>
          <w:rFonts w:eastAsia="MS Mincho"/>
          <w:b/>
          <w:bCs/>
          <w:i/>
          <w:iCs/>
          <w:szCs w:val="22"/>
          <w:lang w:val="lt-LT" w:eastAsia="lt-LT" w:bidi="lt-LT"/>
        </w:rPr>
      </w:pPr>
      <w:r w:rsidRPr="00EB063F">
        <w:rPr>
          <w:rFonts w:eastAsia="MS Mincho"/>
          <w:b/>
          <w:bCs/>
          <w:i/>
          <w:iCs/>
          <w:szCs w:val="22"/>
          <w:lang w:val="lt-LT" w:eastAsia="lt-LT" w:bidi="lt-LT"/>
        </w:rPr>
        <w:t>Dozavimas vyresniems kaip dvejų metų vaikams ir paaugliams</w:t>
      </w:r>
    </w:p>
    <w:p w14:paraId="1A59C307" w14:textId="77777777" w:rsidR="00EB063F" w:rsidRPr="00EB063F" w:rsidRDefault="00EB063F" w:rsidP="00EB063F">
      <w:pPr>
        <w:tabs>
          <w:tab w:val="clear" w:pos="567"/>
          <w:tab w:val="left" w:pos="1296"/>
        </w:tabs>
        <w:spacing w:line="240" w:lineRule="auto"/>
        <w:ind w:right="-2"/>
        <w:rPr>
          <w:szCs w:val="22"/>
          <w:lang w:val="lt-LT" w:eastAsia="lt-LT" w:bidi="lt-LT"/>
        </w:rPr>
      </w:pPr>
      <w:r w:rsidRPr="00EB063F">
        <w:rPr>
          <w:szCs w:val="22"/>
          <w:lang w:val="lt-LT" w:eastAsia="lt-LT" w:bidi="lt-LT"/>
        </w:rPr>
        <w:t>Gydytojas nuspręs, kokios dozės reikia ir kiek laiko vaistą vartoti. Tai priklausys nuo amžiaus, svorio, ūgio, medicininės būklės bei organizmo gebėjimo skaidyti ir įsisavinti OLIMEL N12E sudedamąsias dalis.</w:t>
      </w:r>
    </w:p>
    <w:p w14:paraId="009B9D8B" w14:textId="77777777" w:rsidR="00EB063F" w:rsidRPr="00EB063F" w:rsidRDefault="00EB063F" w:rsidP="00EB063F">
      <w:pPr>
        <w:tabs>
          <w:tab w:val="clear" w:pos="567"/>
          <w:tab w:val="left" w:pos="1296"/>
        </w:tabs>
        <w:spacing w:line="240" w:lineRule="auto"/>
        <w:ind w:right="-2"/>
        <w:rPr>
          <w:szCs w:val="22"/>
          <w:lang w:val="lt-LT" w:eastAsia="lt-LT" w:bidi="lt-LT"/>
        </w:rPr>
      </w:pPr>
    </w:p>
    <w:p w14:paraId="6CF7813C" w14:textId="77777777" w:rsidR="00EB063F" w:rsidRPr="00EB063F" w:rsidRDefault="00EB063F" w:rsidP="00EB063F">
      <w:pPr>
        <w:tabs>
          <w:tab w:val="clear" w:pos="567"/>
          <w:tab w:val="left" w:pos="1296"/>
        </w:tabs>
        <w:spacing w:line="240" w:lineRule="auto"/>
        <w:ind w:right="-2"/>
        <w:outlineLvl w:val="0"/>
        <w:rPr>
          <w:szCs w:val="22"/>
        </w:rPr>
      </w:pPr>
      <w:r w:rsidRPr="00EB063F">
        <w:rPr>
          <w:b/>
          <w:szCs w:val="22"/>
          <w:lang w:val="lt-LT" w:eastAsia="lt-LT" w:bidi="lt-LT"/>
        </w:rPr>
        <w:t>Ką daryti pavartojus per didelę OLIMEL N12E infuzinės emulsijos dozę?</w:t>
      </w:r>
    </w:p>
    <w:p w14:paraId="6E25CD4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Jei paskirta dozė yra per didelė arba infuzija atliekama per greitai, aminorūgštys gali padidinti kraujo rūgštingumą ir gali atsirasti </w:t>
      </w:r>
      <w:proofErr w:type="spellStart"/>
      <w:r w:rsidRPr="00EB063F">
        <w:rPr>
          <w:rFonts w:eastAsia="MS Mincho"/>
          <w:szCs w:val="22"/>
          <w:lang w:val="lt-LT" w:eastAsia="lt-LT" w:bidi="lt-LT"/>
        </w:rPr>
        <w:t>hipervolemijos</w:t>
      </w:r>
      <w:proofErr w:type="spellEnd"/>
      <w:r w:rsidRPr="00EB063F">
        <w:rPr>
          <w:rFonts w:eastAsia="MS Mincho"/>
          <w:szCs w:val="22"/>
          <w:lang w:val="lt-LT" w:eastAsia="lt-LT" w:bidi="lt-LT"/>
        </w:rPr>
        <w:t xml:space="preserve"> (cirkuliuojančio kraujo kiekio padidėjimo) simptomų. Gali padidėti gliukozės kiekis kraujyje ir šlapime, gali išsivystyti </w:t>
      </w:r>
      <w:proofErr w:type="spellStart"/>
      <w:r w:rsidRPr="00EB063F">
        <w:rPr>
          <w:rFonts w:eastAsia="MS Mincho"/>
          <w:szCs w:val="22"/>
          <w:lang w:val="lt-LT" w:eastAsia="lt-LT" w:bidi="lt-LT"/>
        </w:rPr>
        <w:t>hiperosmosinis</w:t>
      </w:r>
      <w:proofErr w:type="spellEnd"/>
      <w:r w:rsidRPr="00EB063F">
        <w:rPr>
          <w:rFonts w:eastAsia="MS Mincho"/>
          <w:szCs w:val="22"/>
          <w:lang w:val="lt-LT" w:eastAsia="lt-LT" w:bidi="lt-LT"/>
        </w:rPr>
        <w:t xml:space="preserve"> sindromas (padidėjęs kraujo klampumas), o dėl lipidų kraujyje gali padidėti trigliceridų kiekis. Per greita OLIMEL N12E infuzija arba per didelis jo kiekis gali sukelti pykinimą, vėmimą, </w:t>
      </w:r>
      <w:proofErr w:type="spellStart"/>
      <w:r w:rsidRPr="00EB063F">
        <w:rPr>
          <w:rFonts w:eastAsia="MS Mincho"/>
          <w:szCs w:val="22"/>
          <w:lang w:val="lt-LT" w:eastAsia="lt-LT" w:bidi="lt-LT"/>
        </w:rPr>
        <w:t>šaltkrėtį</w:t>
      </w:r>
      <w:proofErr w:type="spellEnd"/>
      <w:r w:rsidRPr="00EB063F">
        <w:rPr>
          <w:rFonts w:eastAsia="MS Mincho"/>
          <w:szCs w:val="22"/>
          <w:lang w:val="lt-LT" w:eastAsia="lt-LT" w:bidi="lt-LT"/>
        </w:rPr>
        <w:t>, galvos skausmą, karščio bangas, pernelyg didelį prakaitavimą (</w:t>
      </w:r>
      <w:proofErr w:type="spellStart"/>
      <w:r w:rsidRPr="00EB063F">
        <w:rPr>
          <w:rFonts w:eastAsia="MS Mincho"/>
          <w:szCs w:val="22"/>
          <w:lang w:val="lt-LT" w:eastAsia="lt-LT" w:bidi="lt-LT"/>
        </w:rPr>
        <w:t>hiperhidrozę</w:t>
      </w:r>
      <w:proofErr w:type="spellEnd"/>
      <w:r w:rsidRPr="00EB063F">
        <w:rPr>
          <w:rFonts w:eastAsia="MS Mincho"/>
          <w:szCs w:val="22"/>
          <w:lang w:val="lt-LT" w:eastAsia="lt-LT" w:bidi="lt-LT"/>
        </w:rPr>
        <w:t xml:space="preserve">) ir elektrolitų pusiausvyros sutrikimus. Tokiu atveju infuziją būtina nedelsiant nutraukti. </w:t>
      </w:r>
    </w:p>
    <w:p w14:paraId="3B4163E1"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6A17A0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Kai kuriais sunkiais atvejais gydytojas gali paskirti laikiną inkstų dializę, kad padėtų inkstams pašalinti preparato perteklių.</w:t>
      </w:r>
    </w:p>
    <w:p w14:paraId="0BD3C08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58DCE4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Siekiant išvengti tokių atvejų, gydytojas turi reguliariai stebėti Jūsų būklę ir tirti kraujo parametrus.</w:t>
      </w:r>
    </w:p>
    <w:p w14:paraId="3C2FBF2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EC525F2" w14:textId="77777777" w:rsidR="00EB063F" w:rsidRPr="00EB063F" w:rsidRDefault="00EB063F" w:rsidP="00EB063F">
      <w:pPr>
        <w:tabs>
          <w:tab w:val="clear" w:pos="567"/>
          <w:tab w:val="left" w:pos="1296"/>
        </w:tabs>
        <w:spacing w:line="240" w:lineRule="auto"/>
        <w:rPr>
          <w:szCs w:val="22"/>
          <w:lang w:val="lt-LT" w:eastAsia="lt-LT" w:bidi="lt-LT"/>
        </w:rPr>
      </w:pPr>
      <w:r w:rsidRPr="00EB063F">
        <w:rPr>
          <w:szCs w:val="22"/>
          <w:lang w:val="lt-LT" w:eastAsia="lt-LT" w:bidi="lt-LT"/>
        </w:rPr>
        <w:t>Jeigu kiltų daugiau klausimų dėl šio preparato vartojimo, kreipkitės į gydytoją.</w:t>
      </w:r>
    </w:p>
    <w:p w14:paraId="3C4D622C" w14:textId="77777777" w:rsidR="00EB063F" w:rsidRPr="00EB063F" w:rsidRDefault="00EB063F" w:rsidP="00EB063F">
      <w:pPr>
        <w:tabs>
          <w:tab w:val="clear" w:pos="567"/>
          <w:tab w:val="left" w:pos="1296"/>
        </w:tabs>
        <w:spacing w:line="240" w:lineRule="auto"/>
        <w:rPr>
          <w:szCs w:val="22"/>
          <w:lang w:val="lt-LT" w:eastAsia="lt-LT" w:bidi="lt-LT"/>
        </w:rPr>
      </w:pPr>
    </w:p>
    <w:p w14:paraId="7FBC00BB" w14:textId="77777777" w:rsidR="00EB063F" w:rsidRPr="00EB063F" w:rsidRDefault="00EB063F" w:rsidP="00EB063F">
      <w:pPr>
        <w:tabs>
          <w:tab w:val="clear" w:pos="567"/>
          <w:tab w:val="left" w:pos="1296"/>
        </w:tabs>
        <w:spacing w:line="240" w:lineRule="auto"/>
        <w:rPr>
          <w:szCs w:val="22"/>
          <w:lang w:val="lt-LT" w:eastAsia="lt-LT" w:bidi="lt-LT"/>
        </w:rPr>
      </w:pPr>
    </w:p>
    <w:p w14:paraId="6A750276" w14:textId="77777777" w:rsidR="00EB063F" w:rsidRPr="00EB063F" w:rsidRDefault="00EB063F" w:rsidP="00EB063F">
      <w:pPr>
        <w:tabs>
          <w:tab w:val="clear" w:pos="567"/>
          <w:tab w:val="left" w:pos="1296"/>
        </w:tabs>
        <w:spacing w:line="240" w:lineRule="auto"/>
        <w:ind w:left="567" w:right="-2" w:hanging="567"/>
        <w:rPr>
          <w:szCs w:val="22"/>
        </w:rPr>
      </w:pPr>
      <w:r w:rsidRPr="00EB063F">
        <w:rPr>
          <w:b/>
          <w:szCs w:val="22"/>
          <w:lang w:val="lt-LT" w:eastAsia="lt-LT" w:bidi="lt-LT"/>
        </w:rPr>
        <w:t>4.</w:t>
      </w:r>
      <w:r w:rsidRPr="00EB063F">
        <w:rPr>
          <w:b/>
          <w:szCs w:val="22"/>
          <w:lang w:val="lt-LT" w:eastAsia="lt-LT" w:bidi="lt-LT"/>
        </w:rPr>
        <w:tab/>
        <w:t>Galimas šalutinis poveikis</w:t>
      </w:r>
    </w:p>
    <w:p w14:paraId="25EC64E0" w14:textId="77777777" w:rsidR="00EB063F" w:rsidRPr="00EB063F" w:rsidRDefault="00EB063F" w:rsidP="00EB063F">
      <w:pPr>
        <w:tabs>
          <w:tab w:val="clear" w:pos="567"/>
          <w:tab w:val="left" w:pos="1296"/>
        </w:tabs>
        <w:spacing w:line="240" w:lineRule="auto"/>
        <w:rPr>
          <w:szCs w:val="22"/>
          <w:lang w:val="lt-LT" w:eastAsia="lt-LT" w:bidi="lt-LT"/>
        </w:rPr>
      </w:pPr>
    </w:p>
    <w:p w14:paraId="78E6B073" w14:textId="77777777" w:rsidR="00EB063F" w:rsidRPr="00EB063F" w:rsidRDefault="00EB063F" w:rsidP="00EB063F">
      <w:pPr>
        <w:tabs>
          <w:tab w:val="clear" w:pos="567"/>
          <w:tab w:val="left" w:pos="1296"/>
        </w:tabs>
        <w:spacing w:line="240" w:lineRule="auto"/>
        <w:ind w:right="-29"/>
        <w:rPr>
          <w:szCs w:val="22"/>
        </w:rPr>
      </w:pPr>
      <w:r w:rsidRPr="00EB063F">
        <w:rPr>
          <w:szCs w:val="22"/>
          <w:lang w:val="lt-LT" w:eastAsia="lt-LT" w:bidi="lt-LT"/>
        </w:rPr>
        <w:t>Šis vaistas, kaip ir visi kiti vaistai, gali sukelti šalutinį poveikį, nors jis pasireiškia ne visiems žmonėms.</w:t>
      </w:r>
    </w:p>
    <w:p w14:paraId="450C2C21" w14:textId="77777777" w:rsidR="00EB063F" w:rsidRPr="00EB063F" w:rsidRDefault="00EB063F" w:rsidP="00EB063F">
      <w:pPr>
        <w:tabs>
          <w:tab w:val="clear" w:pos="567"/>
          <w:tab w:val="left" w:pos="1296"/>
        </w:tabs>
        <w:spacing w:line="240" w:lineRule="auto"/>
        <w:ind w:right="-29"/>
        <w:rPr>
          <w:szCs w:val="22"/>
          <w:lang w:val="lt-LT" w:eastAsia="lt-LT" w:bidi="lt-LT"/>
        </w:rPr>
      </w:pPr>
    </w:p>
    <w:p w14:paraId="7F05CDA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Jeigu vartojimo metu arba po jo pastebėsite kokius nors savijautos pokyčius, iš karto praneškite gydytojui arba slaugytojui.</w:t>
      </w:r>
    </w:p>
    <w:p w14:paraId="1CB0179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A8639C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Vartojant vaistinį preparatą gydytojo atliekami tyrimai turėtų sumažinti šalutinio poveikio pavojų.</w:t>
      </w:r>
    </w:p>
    <w:p w14:paraId="7A64328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70F45D8E"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Jei pasireiškia kokie nors neįprasti alerginės reakcijos požymiai ar simptomai (pvz., prakaitavimas, karščiavimas, </w:t>
      </w:r>
      <w:proofErr w:type="spellStart"/>
      <w:r w:rsidRPr="00EB063F">
        <w:rPr>
          <w:rFonts w:eastAsia="MS Mincho"/>
          <w:szCs w:val="22"/>
          <w:lang w:val="lt-LT" w:eastAsia="lt-LT" w:bidi="lt-LT"/>
        </w:rPr>
        <w:t>šaltkrėtis</w:t>
      </w:r>
      <w:proofErr w:type="spellEnd"/>
      <w:r w:rsidRPr="00EB063F">
        <w:rPr>
          <w:rFonts w:eastAsia="MS Mincho"/>
          <w:szCs w:val="22"/>
          <w:lang w:val="lt-LT" w:eastAsia="lt-LT" w:bidi="lt-LT"/>
        </w:rPr>
        <w:t>, galvos skausmas, odos bėrimas arba kvėpavimo sunkumai), infuzija turi būti nedelsiant nutraukta.</w:t>
      </w:r>
    </w:p>
    <w:p w14:paraId="69B6070C"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73937F2" w14:textId="77777777" w:rsidR="00EB063F" w:rsidRPr="00EB063F" w:rsidRDefault="00EB063F" w:rsidP="00EB063F">
      <w:pPr>
        <w:tabs>
          <w:tab w:val="clear" w:pos="567"/>
          <w:tab w:val="left" w:pos="1296"/>
        </w:tabs>
        <w:spacing w:line="240" w:lineRule="auto"/>
        <w:ind w:right="-29"/>
        <w:rPr>
          <w:szCs w:val="22"/>
        </w:rPr>
      </w:pPr>
      <w:r w:rsidRPr="00EB063F">
        <w:rPr>
          <w:szCs w:val="22"/>
          <w:lang w:val="lt-LT" w:eastAsia="lt-LT" w:bidi="lt-LT"/>
        </w:rPr>
        <w:t xml:space="preserve">Vartojant </w:t>
      </w:r>
      <w:r w:rsidRPr="00EB063F">
        <w:rPr>
          <w:iCs/>
          <w:szCs w:val="22"/>
          <w:lang w:val="lt-LT" w:eastAsia="lt-LT" w:bidi="lt-LT"/>
        </w:rPr>
        <w:t xml:space="preserve">OLIMEL N12E </w:t>
      </w:r>
      <w:r w:rsidRPr="00EB063F">
        <w:rPr>
          <w:szCs w:val="22"/>
          <w:lang w:val="lt-LT" w:eastAsia="lt-LT" w:bidi="lt-LT"/>
        </w:rPr>
        <w:t>buvo užfiksuotas toks šalutinis poveikis:</w:t>
      </w:r>
    </w:p>
    <w:p w14:paraId="3923F790" w14:textId="77777777" w:rsidR="00EB063F" w:rsidRPr="00EB063F" w:rsidRDefault="00EB063F" w:rsidP="00EB063F">
      <w:pPr>
        <w:keepNext/>
        <w:tabs>
          <w:tab w:val="clear" w:pos="567"/>
          <w:tab w:val="left" w:pos="1296"/>
        </w:tabs>
        <w:spacing w:line="240" w:lineRule="auto"/>
        <w:outlineLvl w:val="3"/>
        <w:rPr>
          <w:rFonts w:eastAsia="MS Mincho"/>
          <w:i/>
          <w:iCs/>
          <w:szCs w:val="22"/>
          <w:lang w:val="lt-LT" w:eastAsia="lt-LT" w:bidi="lt-LT"/>
        </w:rPr>
      </w:pPr>
      <w:r w:rsidRPr="00EB063F">
        <w:rPr>
          <w:rFonts w:eastAsia="MS Mincho"/>
          <w:i/>
          <w:iCs/>
          <w:szCs w:val="22"/>
          <w:lang w:val="lt-LT" w:eastAsia="lt-LT" w:bidi="lt-LT"/>
        </w:rPr>
        <w:t>Dažnis – dažnas: pasireiškia mažiau kaip 1 iš 10 asmenų</w:t>
      </w:r>
    </w:p>
    <w:p w14:paraId="33DD0F14"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 xml:space="preserve">Greitas širdies plakimas (tachikardija) </w:t>
      </w:r>
    </w:p>
    <w:p w14:paraId="42983BD8"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 xml:space="preserve">Sumažėjęs apetitas </w:t>
      </w:r>
    </w:p>
    <w:p w14:paraId="653CB58B"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Padidėjęs riebalų kiekis kraujyje (</w:t>
      </w:r>
      <w:proofErr w:type="spellStart"/>
      <w:r w:rsidRPr="00EB063F">
        <w:rPr>
          <w:rFonts w:eastAsia="MS Mincho"/>
          <w:szCs w:val="22"/>
          <w:lang w:val="lt-LT" w:eastAsia="lt-LT" w:bidi="lt-LT"/>
        </w:rPr>
        <w:t>hipertrigliceridemija</w:t>
      </w:r>
      <w:proofErr w:type="spellEnd"/>
      <w:r w:rsidRPr="00EB063F">
        <w:rPr>
          <w:rFonts w:eastAsia="MS Mincho"/>
          <w:szCs w:val="22"/>
          <w:lang w:val="lt-LT" w:eastAsia="lt-LT" w:bidi="lt-LT"/>
        </w:rPr>
        <w:t>)</w:t>
      </w:r>
    </w:p>
    <w:p w14:paraId="650D7ACC"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Pilvo skausmas</w:t>
      </w:r>
    </w:p>
    <w:p w14:paraId="512CD420"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Viduriavimas</w:t>
      </w:r>
    </w:p>
    <w:p w14:paraId="3FD2BEAB"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Pykinimas</w:t>
      </w:r>
    </w:p>
    <w:p w14:paraId="12E9874E" w14:textId="77777777" w:rsidR="00EB063F" w:rsidRPr="00EB063F" w:rsidRDefault="00EB063F" w:rsidP="00EB063F">
      <w:pPr>
        <w:numPr>
          <w:ilvl w:val="0"/>
          <w:numId w:val="11"/>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Padidėjęs kraujospūdis (hipertenzija)</w:t>
      </w:r>
    </w:p>
    <w:p w14:paraId="23F8855E" w14:textId="77777777" w:rsidR="00EB063F" w:rsidRPr="00EB063F" w:rsidRDefault="00EB063F" w:rsidP="00EB063F">
      <w:pPr>
        <w:keepNext/>
        <w:tabs>
          <w:tab w:val="clear" w:pos="567"/>
          <w:tab w:val="left" w:pos="1296"/>
        </w:tabs>
        <w:spacing w:line="240" w:lineRule="auto"/>
        <w:outlineLvl w:val="3"/>
        <w:rPr>
          <w:rFonts w:eastAsia="MS Mincho"/>
          <w:i/>
          <w:iCs/>
          <w:szCs w:val="22"/>
          <w:lang w:val="lt-LT" w:eastAsia="lt-LT" w:bidi="lt-LT"/>
        </w:rPr>
      </w:pPr>
      <w:r w:rsidRPr="00EB063F">
        <w:rPr>
          <w:rFonts w:eastAsia="MS Mincho"/>
          <w:i/>
          <w:iCs/>
          <w:szCs w:val="22"/>
          <w:lang w:val="lt-LT" w:eastAsia="lt-LT" w:bidi="lt-LT"/>
        </w:rPr>
        <w:t>Dažnis nežinomas (negali būti apskaičiuotas pagal turimus duomenis)</w:t>
      </w:r>
    </w:p>
    <w:p w14:paraId="10212C4F" w14:textId="77777777" w:rsidR="00EB063F" w:rsidRPr="00EB063F" w:rsidRDefault="00EB063F" w:rsidP="00EB063F">
      <w:pPr>
        <w:keepNext/>
        <w:numPr>
          <w:ilvl w:val="0"/>
          <w:numId w:val="15"/>
        </w:numPr>
        <w:tabs>
          <w:tab w:val="clear" w:pos="567"/>
          <w:tab w:val="left" w:pos="1296"/>
        </w:tabs>
        <w:spacing w:line="240" w:lineRule="auto"/>
        <w:outlineLvl w:val="3"/>
        <w:rPr>
          <w:rFonts w:eastAsia="MS Mincho"/>
          <w:i/>
          <w:iCs/>
          <w:szCs w:val="22"/>
          <w:lang w:val="lt-LT" w:eastAsia="lt-LT" w:bidi="lt-LT"/>
        </w:rPr>
      </w:pPr>
      <w:bookmarkStart w:id="0" w:name="_Hlk39070346"/>
      <w:proofErr w:type="spellStart"/>
      <w:r w:rsidRPr="00EB063F">
        <w:rPr>
          <w:szCs w:val="22"/>
        </w:rPr>
        <w:t>Padidėjusio</w:t>
      </w:r>
      <w:proofErr w:type="spellEnd"/>
      <w:r w:rsidRPr="00EB063F">
        <w:rPr>
          <w:szCs w:val="22"/>
        </w:rPr>
        <w:t xml:space="preserve"> </w:t>
      </w:r>
      <w:proofErr w:type="spellStart"/>
      <w:r w:rsidRPr="00EB063F">
        <w:rPr>
          <w:szCs w:val="22"/>
        </w:rPr>
        <w:t>jautrumo</w:t>
      </w:r>
      <w:proofErr w:type="spellEnd"/>
      <w:r w:rsidRPr="00EB063F">
        <w:rPr>
          <w:szCs w:val="22"/>
        </w:rPr>
        <w:t xml:space="preserve"> </w:t>
      </w:r>
      <w:proofErr w:type="spellStart"/>
      <w:r w:rsidRPr="00EB063F">
        <w:rPr>
          <w:szCs w:val="22"/>
        </w:rPr>
        <w:t>reakcijos</w:t>
      </w:r>
      <w:proofErr w:type="spellEnd"/>
      <w:r w:rsidRPr="00EB063F">
        <w:rPr>
          <w:szCs w:val="22"/>
        </w:rPr>
        <w:t xml:space="preserve"> </w:t>
      </w:r>
      <w:proofErr w:type="spellStart"/>
      <w:r w:rsidRPr="00EB063F">
        <w:rPr>
          <w:szCs w:val="22"/>
        </w:rPr>
        <w:t>įskaitant</w:t>
      </w:r>
      <w:proofErr w:type="spellEnd"/>
      <w:r w:rsidRPr="00EB063F">
        <w:rPr>
          <w:szCs w:val="22"/>
        </w:rPr>
        <w:t xml:space="preserve"> </w:t>
      </w:r>
      <w:proofErr w:type="spellStart"/>
      <w:r w:rsidRPr="00EB063F">
        <w:rPr>
          <w:szCs w:val="22"/>
        </w:rPr>
        <w:t>prakaitavimą</w:t>
      </w:r>
      <w:proofErr w:type="spellEnd"/>
      <w:r w:rsidRPr="00EB063F">
        <w:rPr>
          <w:szCs w:val="22"/>
        </w:rPr>
        <w:t xml:space="preserve">, </w:t>
      </w:r>
      <w:proofErr w:type="spellStart"/>
      <w:r w:rsidRPr="00EB063F">
        <w:rPr>
          <w:szCs w:val="22"/>
        </w:rPr>
        <w:t>karščiavimą</w:t>
      </w:r>
      <w:proofErr w:type="spellEnd"/>
      <w:r w:rsidRPr="00EB063F">
        <w:rPr>
          <w:szCs w:val="22"/>
        </w:rPr>
        <w:t xml:space="preserve">, </w:t>
      </w:r>
      <w:proofErr w:type="spellStart"/>
      <w:r w:rsidRPr="00EB063F">
        <w:rPr>
          <w:szCs w:val="22"/>
        </w:rPr>
        <w:t>šaltkrėtį</w:t>
      </w:r>
      <w:proofErr w:type="spellEnd"/>
      <w:r w:rsidRPr="00EB063F">
        <w:rPr>
          <w:szCs w:val="22"/>
        </w:rPr>
        <w:t xml:space="preserve">, galvos </w:t>
      </w:r>
      <w:proofErr w:type="spellStart"/>
      <w:r w:rsidRPr="00EB063F">
        <w:rPr>
          <w:szCs w:val="22"/>
        </w:rPr>
        <w:t>skausmą</w:t>
      </w:r>
      <w:proofErr w:type="spellEnd"/>
      <w:r w:rsidRPr="00EB063F">
        <w:rPr>
          <w:szCs w:val="22"/>
        </w:rPr>
        <w:t xml:space="preserve">, </w:t>
      </w:r>
      <w:proofErr w:type="spellStart"/>
      <w:r w:rsidRPr="00EB063F">
        <w:rPr>
          <w:szCs w:val="22"/>
        </w:rPr>
        <w:t>odos</w:t>
      </w:r>
      <w:proofErr w:type="spellEnd"/>
      <w:r w:rsidRPr="00EB063F">
        <w:rPr>
          <w:szCs w:val="22"/>
        </w:rPr>
        <w:t xml:space="preserve"> </w:t>
      </w:r>
      <w:proofErr w:type="spellStart"/>
      <w:r w:rsidRPr="00EB063F">
        <w:rPr>
          <w:szCs w:val="22"/>
        </w:rPr>
        <w:t>išbėrimą</w:t>
      </w:r>
      <w:proofErr w:type="spellEnd"/>
      <w:r w:rsidRPr="00EB063F">
        <w:rPr>
          <w:szCs w:val="22"/>
        </w:rPr>
        <w:t xml:space="preserve"> (</w:t>
      </w:r>
      <w:proofErr w:type="spellStart"/>
      <w:r w:rsidRPr="00EB063F">
        <w:rPr>
          <w:szCs w:val="22"/>
        </w:rPr>
        <w:t>raudonę</w:t>
      </w:r>
      <w:proofErr w:type="spellEnd"/>
      <w:r w:rsidRPr="00EB063F">
        <w:rPr>
          <w:szCs w:val="22"/>
        </w:rPr>
        <w:t xml:space="preserve">, </w:t>
      </w:r>
      <w:proofErr w:type="spellStart"/>
      <w:r w:rsidRPr="00EB063F">
        <w:rPr>
          <w:szCs w:val="22"/>
        </w:rPr>
        <w:t>pūslelinį</w:t>
      </w:r>
      <w:proofErr w:type="spellEnd"/>
      <w:r w:rsidRPr="00EB063F">
        <w:rPr>
          <w:szCs w:val="22"/>
        </w:rPr>
        <w:t xml:space="preserve">, </w:t>
      </w:r>
      <w:proofErr w:type="spellStart"/>
      <w:r w:rsidRPr="00EB063F">
        <w:rPr>
          <w:szCs w:val="22"/>
        </w:rPr>
        <w:t>pustulinį</w:t>
      </w:r>
      <w:proofErr w:type="spellEnd"/>
      <w:r w:rsidRPr="00EB063F">
        <w:rPr>
          <w:szCs w:val="22"/>
        </w:rPr>
        <w:t xml:space="preserve">, </w:t>
      </w:r>
      <w:proofErr w:type="spellStart"/>
      <w:r w:rsidRPr="00EB063F">
        <w:rPr>
          <w:szCs w:val="22"/>
        </w:rPr>
        <w:t>dėmėlinį</w:t>
      </w:r>
      <w:proofErr w:type="spellEnd"/>
      <w:r w:rsidRPr="00EB063F">
        <w:rPr>
          <w:szCs w:val="22"/>
        </w:rPr>
        <w:t xml:space="preserve">, </w:t>
      </w:r>
      <w:proofErr w:type="spellStart"/>
      <w:r w:rsidRPr="00EB063F">
        <w:rPr>
          <w:szCs w:val="22"/>
        </w:rPr>
        <w:t>išplitusį</w:t>
      </w:r>
      <w:proofErr w:type="spellEnd"/>
      <w:r w:rsidRPr="00EB063F">
        <w:rPr>
          <w:szCs w:val="22"/>
        </w:rPr>
        <w:t xml:space="preserve"> </w:t>
      </w:r>
      <w:proofErr w:type="spellStart"/>
      <w:r w:rsidRPr="00EB063F">
        <w:rPr>
          <w:szCs w:val="22"/>
        </w:rPr>
        <w:t>išbėrimą</w:t>
      </w:r>
      <w:proofErr w:type="spellEnd"/>
      <w:r w:rsidRPr="00EB063F">
        <w:rPr>
          <w:szCs w:val="22"/>
        </w:rPr>
        <w:t xml:space="preserve">) </w:t>
      </w:r>
      <w:proofErr w:type="spellStart"/>
      <w:r w:rsidRPr="00EB063F">
        <w:rPr>
          <w:szCs w:val="22"/>
        </w:rPr>
        <w:t>niežėjimą</w:t>
      </w:r>
      <w:proofErr w:type="spellEnd"/>
      <w:r w:rsidRPr="00EB063F">
        <w:rPr>
          <w:szCs w:val="22"/>
        </w:rPr>
        <w:t xml:space="preserve">, </w:t>
      </w:r>
      <w:proofErr w:type="spellStart"/>
      <w:r w:rsidRPr="00EB063F">
        <w:rPr>
          <w:szCs w:val="22"/>
        </w:rPr>
        <w:t>karščio</w:t>
      </w:r>
      <w:proofErr w:type="spellEnd"/>
      <w:r w:rsidRPr="00EB063F">
        <w:rPr>
          <w:szCs w:val="22"/>
        </w:rPr>
        <w:t xml:space="preserve"> </w:t>
      </w:r>
      <w:proofErr w:type="spellStart"/>
      <w:r w:rsidRPr="00EB063F">
        <w:rPr>
          <w:szCs w:val="22"/>
        </w:rPr>
        <w:t>pylimą</w:t>
      </w:r>
      <w:proofErr w:type="spellEnd"/>
      <w:r w:rsidRPr="00EB063F">
        <w:rPr>
          <w:szCs w:val="22"/>
        </w:rPr>
        <w:t xml:space="preserve">, </w:t>
      </w:r>
      <w:proofErr w:type="spellStart"/>
      <w:r w:rsidRPr="00EB063F">
        <w:rPr>
          <w:szCs w:val="22"/>
        </w:rPr>
        <w:t>apsunkintą</w:t>
      </w:r>
      <w:proofErr w:type="spellEnd"/>
      <w:r w:rsidRPr="00EB063F">
        <w:rPr>
          <w:szCs w:val="22"/>
        </w:rPr>
        <w:t xml:space="preserve"> </w:t>
      </w:r>
      <w:proofErr w:type="spellStart"/>
      <w:r w:rsidRPr="00EB063F">
        <w:rPr>
          <w:szCs w:val="22"/>
        </w:rPr>
        <w:t>kvėpavimą</w:t>
      </w:r>
      <w:proofErr w:type="spellEnd"/>
      <w:r w:rsidRPr="00EB063F">
        <w:rPr>
          <w:szCs w:val="22"/>
        </w:rPr>
        <w:t>.</w:t>
      </w:r>
      <w:bookmarkEnd w:id="0"/>
    </w:p>
    <w:p w14:paraId="63AD9F46" w14:textId="77777777" w:rsidR="00EB063F" w:rsidRPr="00EB063F" w:rsidRDefault="00EB063F" w:rsidP="00EB063F">
      <w:pPr>
        <w:numPr>
          <w:ilvl w:val="0"/>
          <w:numId w:val="12"/>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Infuzijos ištekėjimas į aplinkinius audinius (</w:t>
      </w:r>
      <w:proofErr w:type="spellStart"/>
      <w:r w:rsidRPr="00EB063F">
        <w:rPr>
          <w:rFonts w:eastAsia="MS Mincho"/>
          <w:szCs w:val="22"/>
          <w:lang w:val="lt-LT" w:eastAsia="lt-LT" w:bidi="lt-LT"/>
        </w:rPr>
        <w:t>ekstravazacija</w:t>
      </w:r>
      <w:proofErr w:type="spellEnd"/>
      <w:r w:rsidRPr="00EB063F">
        <w:rPr>
          <w:rFonts w:eastAsia="MS Mincho"/>
          <w:szCs w:val="22"/>
          <w:lang w:val="lt-LT" w:eastAsia="lt-LT" w:bidi="lt-LT"/>
        </w:rPr>
        <w:t>), dėl kurios gali pasireikšti infuzijos vietos skausmas, sudirgimas, tinimas / edema, paraudimas (</w:t>
      </w:r>
      <w:proofErr w:type="spellStart"/>
      <w:r w:rsidRPr="00EB063F">
        <w:rPr>
          <w:rFonts w:eastAsia="MS Mincho"/>
          <w:szCs w:val="22"/>
          <w:lang w:val="lt-LT" w:eastAsia="lt-LT" w:bidi="lt-LT"/>
        </w:rPr>
        <w:t>eritema</w:t>
      </w:r>
      <w:proofErr w:type="spellEnd"/>
      <w:r w:rsidRPr="00EB063F">
        <w:rPr>
          <w:rFonts w:eastAsia="MS Mincho"/>
          <w:szCs w:val="22"/>
          <w:lang w:val="lt-LT" w:eastAsia="lt-LT" w:bidi="lt-LT"/>
        </w:rPr>
        <w:t xml:space="preserve">) / šilumos pojūtis, audinio ląstelių mirtis (odos nekrozė) ar atsirasti pūslelių / </w:t>
      </w:r>
      <w:proofErr w:type="spellStart"/>
      <w:r w:rsidRPr="00EB063F">
        <w:rPr>
          <w:rFonts w:eastAsia="MS Mincho"/>
          <w:szCs w:val="22"/>
          <w:lang w:val="lt-LT" w:eastAsia="lt-LT" w:bidi="lt-LT"/>
        </w:rPr>
        <w:t>vezikulių</w:t>
      </w:r>
      <w:proofErr w:type="spellEnd"/>
      <w:r w:rsidRPr="00EB063F">
        <w:rPr>
          <w:rFonts w:eastAsia="MS Mincho"/>
          <w:szCs w:val="22"/>
          <w:lang w:val="lt-LT" w:eastAsia="lt-LT" w:bidi="lt-LT"/>
        </w:rPr>
        <w:t>, uždegimas, odos sustorėjimas ar tempimas</w:t>
      </w:r>
    </w:p>
    <w:p w14:paraId="16C432B3" w14:textId="77777777" w:rsidR="00EB063F" w:rsidRPr="00EB063F" w:rsidRDefault="00EB063F" w:rsidP="00EB063F">
      <w:pPr>
        <w:numPr>
          <w:ilvl w:val="0"/>
          <w:numId w:val="12"/>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Vėmimas</w:t>
      </w:r>
    </w:p>
    <w:p w14:paraId="7FD9B093" w14:textId="77777777" w:rsidR="00EB063F" w:rsidRPr="00EB063F" w:rsidRDefault="00EB063F" w:rsidP="00EB063F">
      <w:pPr>
        <w:numPr>
          <w:ilvl w:val="0"/>
          <w:numId w:val="12"/>
        </w:numPr>
        <w:tabs>
          <w:tab w:val="clear" w:pos="567"/>
          <w:tab w:val="left" w:pos="1080"/>
        </w:tabs>
        <w:spacing w:line="240" w:lineRule="auto"/>
        <w:rPr>
          <w:rFonts w:eastAsia="MS Mincho"/>
          <w:szCs w:val="22"/>
          <w:lang w:val="lt-LT" w:eastAsia="lt-LT" w:bidi="lt-LT"/>
        </w:rPr>
      </w:pPr>
    </w:p>
    <w:p w14:paraId="5D57F668"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p>
    <w:p w14:paraId="1294C921"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 xml:space="preserve">Vartojant panašius </w:t>
      </w:r>
      <w:proofErr w:type="spellStart"/>
      <w:r w:rsidRPr="00EB063F">
        <w:rPr>
          <w:rFonts w:eastAsia="MS Mincho"/>
          <w:iCs/>
          <w:szCs w:val="22"/>
          <w:lang w:val="lt-LT" w:eastAsia="lt-LT" w:bidi="lt-LT"/>
        </w:rPr>
        <w:t>parenterinio</w:t>
      </w:r>
      <w:proofErr w:type="spellEnd"/>
      <w:r w:rsidRPr="00EB063F">
        <w:rPr>
          <w:rFonts w:eastAsia="MS Mincho"/>
          <w:iCs/>
          <w:szCs w:val="22"/>
          <w:lang w:val="lt-LT" w:eastAsia="lt-LT" w:bidi="lt-LT"/>
        </w:rPr>
        <w:t xml:space="preserve"> maitinimo preparatus buvo užfiksuotas toks šalutinis poveikis:</w:t>
      </w:r>
    </w:p>
    <w:p w14:paraId="70F4A631" w14:textId="77777777" w:rsidR="00EB063F" w:rsidRPr="00EB063F" w:rsidRDefault="00EB063F" w:rsidP="00EB063F">
      <w:pPr>
        <w:keepNext/>
        <w:tabs>
          <w:tab w:val="clear" w:pos="567"/>
          <w:tab w:val="left" w:pos="1296"/>
        </w:tabs>
        <w:spacing w:line="240" w:lineRule="auto"/>
        <w:outlineLvl w:val="3"/>
        <w:rPr>
          <w:rFonts w:eastAsia="MS Mincho"/>
          <w:i/>
          <w:iCs/>
          <w:szCs w:val="22"/>
          <w:lang w:val="lt-LT" w:eastAsia="lt-LT" w:bidi="lt-LT"/>
        </w:rPr>
      </w:pPr>
      <w:r w:rsidRPr="00EB063F">
        <w:rPr>
          <w:rFonts w:eastAsia="MS Mincho"/>
          <w:i/>
          <w:iCs/>
          <w:szCs w:val="22"/>
          <w:lang w:val="lt-LT" w:eastAsia="lt-LT" w:bidi="lt-LT"/>
        </w:rPr>
        <w:t>Dažnis – labai retas: pasireiškia  mažiau kaip 1 iš 10 000 asmenų</w:t>
      </w:r>
    </w:p>
    <w:p w14:paraId="74989045" w14:textId="77777777" w:rsidR="00EB063F" w:rsidRPr="00EB063F" w:rsidRDefault="00EB063F" w:rsidP="00EB063F">
      <w:pPr>
        <w:numPr>
          <w:ilvl w:val="0"/>
          <w:numId w:val="18"/>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Sumažėjęs organizmo gebėjimas šalinti lipidus (riebalų pertekliaus sindromas), siejamas su staigiu paciento medicininės būklės pablogėjimu. Šie riebalų pertekliaus sindromo požymiai paprastai išnyksta nutraukus lipidų emulsijos infuziją:</w:t>
      </w:r>
    </w:p>
    <w:p w14:paraId="1BE3AB9E"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Karščiavimas</w:t>
      </w:r>
    </w:p>
    <w:p w14:paraId="083B8C51"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Raudonųjų kraujo ląstelių lygio sumažėjimas, dėl kurio oda gali pablykšti ir gali pasireikšti silpnumas ar dusulys (anemija)</w:t>
      </w:r>
    </w:p>
    <w:p w14:paraId="6F82B093"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Sumažėjęs baltųjų kraujo ląstelių lygis, dėl kurio gali padidėti infekcijos pavojus (</w:t>
      </w:r>
      <w:proofErr w:type="spellStart"/>
      <w:r w:rsidRPr="00EB063F">
        <w:rPr>
          <w:szCs w:val="22"/>
          <w:lang w:val="lt-LT" w:eastAsia="lt-LT" w:bidi="lt-LT"/>
        </w:rPr>
        <w:t>leukopenija</w:t>
      </w:r>
      <w:proofErr w:type="spellEnd"/>
      <w:r w:rsidRPr="00EB063F">
        <w:rPr>
          <w:szCs w:val="22"/>
          <w:lang w:val="lt-LT" w:eastAsia="lt-LT" w:bidi="lt-LT"/>
        </w:rPr>
        <w:t>)</w:t>
      </w:r>
    </w:p>
    <w:p w14:paraId="03BCFD9A"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Sumažėjęs trombocitų lygis, dėl kurio gali padidėti kraujosruvų (mėlynių) atsiradimo ir (arba) kraujavimo pavojus (</w:t>
      </w:r>
      <w:proofErr w:type="spellStart"/>
      <w:r w:rsidRPr="00EB063F">
        <w:rPr>
          <w:szCs w:val="22"/>
          <w:lang w:val="lt-LT" w:eastAsia="lt-LT" w:bidi="lt-LT"/>
        </w:rPr>
        <w:t>trombocitopenija</w:t>
      </w:r>
      <w:proofErr w:type="spellEnd"/>
      <w:r w:rsidRPr="00EB063F">
        <w:rPr>
          <w:szCs w:val="22"/>
          <w:lang w:val="lt-LT" w:eastAsia="lt-LT" w:bidi="lt-LT"/>
        </w:rPr>
        <w:t>)</w:t>
      </w:r>
    </w:p>
    <w:p w14:paraId="0459BCB7"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Krešėjimo sutrikimai, kurie gali veikti kraujo krešumą</w:t>
      </w:r>
    </w:p>
    <w:p w14:paraId="01A95BB3"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Padidėjęs riebalų kiekis kraujyje (</w:t>
      </w:r>
      <w:proofErr w:type="spellStart"/>
      <w:r w:rsidRPr="00EB063F">
        <w:rPr>
          <w:szCs w:val="22"/>
          <w:lang w:val="lt-LT" w:eastAsia="lt-LT" w:bidi="lt-LT"/>
        </w:rPr>
        <w:t>hiperlipidemija</w:t>
      </w:r>
      <w:proofErr w:type="spellEnd"/>
      <w:r w:rsidRPr="00EB063F">
        <w:rPr>
          <w:szCs w:val="22"/>
          <w:lang w:val="lt-LT" w:eastAsia="lt-LT" w:bidi="lt-LT"/>
        </w:rPr>
        <w:t>)</w:t>
      </w:r>
    </w:p>
    <w:p w14:paraId="592FA3BD"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Riebalų infiltracija kepenyse (kepenų padidėjimas)</w:t>
      </w:r>
    </w:p>
    <w:p w14:paraId="13A96EF8"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Pablogėjusi kepenų funkcija</w:t>
      </w:r>
    </w:p>
    <w:p w14:paraId="6612CED9" w14:textId="77777777" w:rsidR="00EB063F" w:rsidRPr="00EB063F" w:rsidRDefault="00EB063F" w:rsidP="00EB063F">
      <w:pPr>
        <w:numPr>
          <w:ilvl w:val="0"/>
          <w:numId w:val="16"/>
        </w:numPr>
        <w:tabs>
          <w:tab w:val="clear" w:pos="567"/>
          <w:tab w:val="left" w:pos="1440"/>
        </w:tabs>
        <w:spacing w:line="240" w:lineRule="auto"/>
        <w:rPr>
          <w:szCs w:val="22"/>
          <w:lang w:val="lt-LT" w:eastAsia="lt-LT" w:bidi="lt-LT"/>
        </w:rPr>
      </w:pPr>
      <w:r w:rsidRPr="00EB063F">
        <w:rPr>
          <w:szCs w:val="22"/>
          <w:lang w:val="lt-LT" w:eastAsia="lt-LT" w:bidi="lt-LT"/>
        </w:rPr>
        <w:t>Centrinės nervų sistemos reiškiniai (pvz., koma)</w:t>
      </w:r>
    </w:p>
    <w:p w14:paraId="7A9641DB" w14:textId="77777777" w:rsidR="00EB063F" w:rsidRPr="00EB063F" w:rsidRDefault="00EB063F" w:rsidP="00EB063F">
      <w:pPr>
        <w:keepNext/>
        <w:tabs>
          <w:tab w:val="clear" w:pos="567"/>
          <w:tab w:val="left" w:pos="1296"/>
        </w:tabs>
        <w:spacing w:line="240" w:lineRule="auto"/>
        <w:outlineLvl w:val="3"/>
        <w:rPr>
          <w:rFonts w:eastAsia="MS Mincho"/>
          <w:i/>
          <w:iCs/>
          <w:szCs w:val="22"/>
          <w:lang w:val="lt-LT" w:eastAsia="lt-LT" w:bidi="lt-LT"/>
        </w:rPr>
      </w:pPr>
      <w:r w:rsidRPr="00EB063F">
        <w:rPr>
          <w:rFonts w:eastAsia="MS Mincho"/>
          <w:i/>
          <w:iCs/>
          <w:szCs w:val="22"/>
          <w:lang w:val="lt-LT" w:eastAsia="lt-LT" w:bidi="lt-LT"/>
        </w:rPr>
        <w:t>Dažnis nežinomas (negali būti apskaičiuotas pagal turimus duomenis)</w:t>
      </w:r>
    </w:p>
    <w:p w14:paraId="71696564" w14:textId="77777777" w:rsidR="00EB063F" w:rsidRPr="00EB063F" w:rsidRDefault="00EB063F" w:rsidP="00EB063F">
      <w:pPr>
        <w:numPr>
          <w:ilvl w:val="0"/>
          <w:numId w:val="19"/>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Alerginės reakcijos</w:t>
      </w:r>
    </w:p>
    <w:p w14:paraId="7363B0D3" w14:textId="77777777" w:rsidR="00EB063F" w:rsidRPr="00EB063F" w:rsidRDefault="00EB063F" w:rsidP="00EB063F">
      <w:pPr>
        <w:numPr>
          <w:ilvl w:val="0"/>
          <w:numId w:val="19"/>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Blogi kepenų funkcijai nustatyti atliekamų kraujo tyrimų rezultatai</w:t>
      </w:r>
    </w:p>
    <w:p w14:paraId="52838676" w14:textId="77777777" w:rsidR="00EB063F" w:rsidRPr="00EB063F" w:rsidRDefault="00EB063F" w:rsidP="00EB063F">
      <w:pPr>
        <w:numPr>
          <w:ilvl w:val="0"/>
          <w:numId w:val="19"/>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Tulžies šalinimo problemos (</w:t>
      </w:r>
      <w:proofErr w:type="spellStart"/>
      <w:r w:rsidRPr="00EB063F">
        <w:rPr>
          <w:rFonts w:eastAsia="MS Mincho"/>
          <w:szCs w:val="22"/>
          <w:lang w:val="lt-LT" w:eastAsia="lt-LT" w:bidi="lt-LT"/>
        </w:rPr>
        <w:t>cholestazė</w:t>
      </w:r>
      <w:proofErr w:type="spellEnd"/>
      <w:r w:rsidRPr="00EB063F">
        <w:rPr>
          <w:rFonts w:eastAsia="MS Mincho"/>
          <w:szCs w:val="22"/>
          <w:lang w:val="lt-LT" w:eastAsia="lt-LT" w:bidi="lt-LT"/>
        </w:rPr>
        <w:t>)</w:t>
      </w:r>
    </w:p>
    <w:p w14:paraId="1ACA47CB" w14:textId="77777777" w:rsidR="00EB063F" w:rsidRPr="00EB063F" w:rsidRDefault="00EB063F" w:rsidP="00EB063F">
      <w:pPr>
        <w:numPr>
          <w:ilvl w:val="0"/>
          <w:numId w:val="19"/>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Kepenų apimties padidėjimas (</w:t>
      </w:r>
      <w:proofErr w:type="spellStart"/>
      <w:r w:rsidRPr="00EB063F">
        <w:rPr>
          <w:rFonts w:eastAsia="MS Mincho"/>
          <w:szCs w:val="22"/>
          <w:lang w:val="lt-LT" w:eastAsia="lt-LT" w:bidi="lt-LT"/>
        </w:rPr>
        <w:t>hepatomegalija</w:t>
      </w:r>
      <w:proofErr w:type="spellEnd"/>
      <w:r w:rsidRPr="00EB063F">
        <w:rPr>
          <w:rFonts w:eastAsia="MS Mincho"/>
          <w:szCs w:val="22"/>
          <w:lang w:val="lt-LT" w:eastAsia="lt-LT" w:bidi="lt-LT"/>
        </w:rPr>
        <w:t>)</w:t>
      </w:r>
    </w:p>
    <w:p w14:paraId="5D30F1F0" w14:textId="77777777" w:rsidR="00EB063F" w:rsidRPr="00EB063F" w:rsidRDefault="00EB063F" w:rsidP="00EB063F">
      <w:pPr>
        <w:numPr>
          <w:ilvl w:val="0"/>
          <w:numId w:val="19"/>
        </w:numPr>
        <w:tabs>
          <w:tab w:val="clear" w:pos="567"/>
          <w:tab w:val="left" w:pos="1296"/>
        </w:tabs>
        <w:spacing w:line="240" w:lineRule="auto"/>
        <w:outlineLvl w:val="0"/>
        <w:rPr>
          <w:szCs w:val="22"/>
        </w:rPr>
      </w:pPr>
      <w:r w:rsidRPr="00EB063F">
        <w:rPr>
          <w:rFonts w:eastAsia="MS Mincho"/>
          <w:szCs w:val="22"/>
          <w:lang w:val="lt-LT" w:eastAsia="lt-LT" w:bidi="lt-LT"/>
        </w:rPr>
        <w:t>Su intravenine mityba susijusi kepenų liga (žr. 2 skyrių „</w:t>
      </w:r>
      <w:r w:rsidRPr="00EB063F">
        <w:rPr>
          <w:szCs w:val="22"/>
          <w:lang w:val="lt-LT" w:eastAsia="lt-LT" w:bidi="lt-LT"/>
        </w:rPr>
        <w:t>Įspėjimai ir atsargumo priemonės“)</w:t>
      </w:r>
    </w:p>
    <w:p w14:paraId="39BE710F"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p>
    <w:p w14:paraId="5A04235D"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r w:rsidRPr="00EB063F">
        <w:rPr>
          <w:rFonts w:eastAsia="MS Mincho"/>
          <w:szCs w:val="22"/>
          <w:lang w:val="lt-LT" w:eastAsia="lt-LT" w:bidi="lt-LT"/>
        </w:rPr>
        <w:t>Gelta</w:t>
      </w:r>
    </w:p>
    <w:p w14:paraId="6BCD9B99" w14:textId="77777777" w:rsidR="00EB063F" w:rsidRPr="00EB063F" w:rsidRDefault="00EB063F" w:rsidP="00EB063F">
      <w:pPr>
        <w:numPr>
          <w:ilvl w:val="0"/>
          <w:numId w:val="20"/>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Trombocitų skaičiaus sumažėjimas (</w:t>
      </w:r>
      <w:proofErr w:type="spellStart"/>
      <w:r w:rsidRPr="00EB063F">
        <w:rPr>
          <w:rFonts w:eastAsia="MS Mincho"/>
          <w:szCs w:val="22"/>
          <w:lang w:val="lt-LT" w:eastAsia="lt-LT" w:bidi="lt-LT"/>
        </w:rPr>
        <w:t>trombocitopenija</w:t>
      </w:r>
      <w:proofErr w:type="spellEnd"/>
      <w:r w:rsidRPr="00EB063F">
        <w:rPr>
          <w:rFonts w:eastAsia="MS Mincho"/>
          <w:szCs w:val="22"/>
          <w:lang w:val="lt-LT" w:eastAsia="lt-LT" w:bidi="lt-LT"/>
        </w:rPr>
        <w:t>)</w:t>
      </w:r>
    </w:p>
    <w:p w14:paraId="49D71D3D" w14:textId="77777777" w:rsidR="00EB063F" w:rsidRPr="00EB063F" w:rsidRDefault="00EB063F" w:rsidP="00EB063F">
      <w:pPr>
        <w:numPr>
          <w:ilvl w:val="0"/>
          <w:numId w:val="20"/>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lastRenderedPageBreak/>
        <w:t>Padidėjęs azoto kiekis kraujyje (</w:t>
      </w:r>
      <w:proofErr w:type="spellStart"/>
      <w:r w:rsidRPr="00EB063F">
        <w:rPr>
          <w:rFonts w:eastAsia="MS Mincho"/>
          <w:szCs w:val="22"/>
          <w:lang w:val="lt-LT" w:eastAsia="lt-LT" w:bidi="lt-LT"/>
        </w:rPr>
        <w:t>azotemija</w:t>
      </w:r>
      <w:proofErr w:type="spellEnd"/>
      <w:r w:rsidRPr="00EB063F">
        <w:rPr>
          <w:rFonts w:eastAsia="MS Mincho"/>
          <w:szCs w:val="22"/>
          <w:lang w:val="lt-LT" w:eastAsia="lt-LT" w:bidi="lt-LT"/>
        </w:rPr>
        <w:t xml:space="preserve">) </w:t>
      </w:r>
    </w:p>
    <w:p w14:paraId="5C899349" w14:textId="77777777" w:rsidR="00EB063F" w:rsidRPr="00EB063F" w:rsidRDefault="00EB063F" w:rsidP="00EB063F">
      <w:pPr>
        <w:numPr>
          <w:ilvl w:val="0"/>
          <w:numId w:val="20"/>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Padidėjęs kepenų fermentų  aktyvumas</w:t>
      </w:r>
    </w:p>
    <w:p w14:paraId="24E44777" w14:textId="77777777" w:rsidR="00EB063F" w:rsidRPr="00EB063F" w:rsidRDefault="00EB063F" w:rsidP="00EB063F">
      <w:pPr>
        <w:numPr>
          <w:ilvl w:val="0"/>
          <w:numId w:val="20"/>
        </w:numPr>
        <w:tabs>
          <w:tab w:val="clear" w:pos="567"/>
          <w:tab w:val="left" w:pos="1080"/>
        </w:tabs>
        <w:spacing w:line="240" w:lineRule="auto"/>
        <w:rPr>
          <w:rFonts w:eastAsia="MS Mincho"/>
          <w:szCs w:val="22"/>
          <w:lang w:val="lt-LT" w:eastAsia="lt-LT" w:bidi="lt-LT"/>
        </w:rPr>
      </w:pPr>
      <w:r w:rsidRPr="00EB063F">
        <w:rPr>
          <w:rFonts w:eastAsia="MS Mincho"/>
          <w:szCs w:val="22"/>
          <w:lang w:val="lt-LT" w:eastAsia="lt-LT" w:bidi="lt-LT"/>
        </w:rPr>
        <w:t>Mažų dalelių, kurios gali užkimšti plaučių kraujagysles (plaučių kraujagyslių apnašų), susidarymas, galintis sukelti plaučių kraujagyslių emboliją ir apsunkinti kvėpavimą (kvėpavimo sutrikimas)</w:t>
      </w:r>
    </w:p>
    <w:p w14:paraId="649661F1" w14:textId="77777777" w:rsidR="00EB063F" w:rsidRPr="00EB063F" w:rsidRDefault="00EB063F" w:rsidP="00EB063F">
      <w:pPr>
        <w:tabs>
          <w:tab w:val="clear" w:pos="567"/>
          <w:tab w:val="left" w:pos="1296"/>
        </w:tabs>
        <w:spacing w:line="240" w:lineRule="auto"/>
        <w:rPr>
          <w:rFonts w:eastAsia="Verdana"/>
          <w:szCs w:val="22"/>
          <w:lang w:val="lt-LT" w:eastAsia="lt-LT" w:bidi="lt-LT"/>
        </w:rPr>
      </w:pPr>
    </w:p>
    <w:p w14:paraId="78383FDA" w14:textId="77777777" w:rsidR="00EB063F" w:rsidRPr="00EB063F" w:rsidRDefault="00EB063F" w:rsidP="00EB063F">
      <w:pPr>
        <w:spacing w:line="240" w:lineRule="auto"/>
        <w:rPr>
          <w:b/>
          <w:szCs w:val="22"/>
          <w:lang w:val="lt-LT"/>
        </w:rPr>
      </w:pPr>
      <w:r w:rsidRPr="00EB063F">
        <w:rPr>
          <w:b/>
          <w:szCs w:val="22"/>
          <w:lang w:val="lt-LT"/>
        </w:rPr>
        <w:t>Pranešimas apie šalutinį poveikį</w:t>
      </w:r>
    </w:p>
    <w:p w14:paraId="20F67E37" w14:textId="77777777" w:rsidR="00EB063F" w:rsidRPr="00EB063F" w:rsidRDefault="00EB063F" w:rsidP="00EB063F">
      <w:pPr>
        <w:autoSpaceDE w:val="0"/>
        <w:spacing w:line="240" w:lineRule="auto"/>
        <w:rPr>
          <w:szCs w:val="22"/>
          <w:lang w:val="lt-LT" w:eastAsia="lt-LT" w:bidi="lt-LT"/>
        </w:rPr>
      </w:pPr>
      <w:r w:rsidRPr="00EB063F">
        <w:rPr>
          <w:bCs/>
          <w:szCs w:val="22"/>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B54CCBD" w14:textId="77777777" w:rsidR="00EB063F" w:rsidRPr="00EB063F" w:rsidRDefault="00EB063F" w:rsidP="00EB063F">
      <w:pPr>
        <w:autoSpaceDE w:val="0"/>
        <w:spacing w:line="240" w:lineRule="auto"/>
        <w:rPr>
          <w:szCs w:val="22"/>
          <w:lang w:val="lt-LT" w:eastAsia="lt-LT" w:bidi="lt-LT"/>
        </w:rPr>
      </w:pPr>
    </w:p>
    <w:p w14:paraId="6F3F3072" w14:textId="77777777" w:rsidR="00EB063F" w:rsidRPr="00EB063F" w:rsidRDefault="00EB063F" w:rsidP="00EB063F">
      <w:pPr>
        <w:tabs>
          <w:tab w:val="clear" w:pos="567"/>
          <w:tab w:val="left" w:pos="1296"/>
        </w:tabs>
        <w:spacing w:line="240" w:lineRule="auto"/>
        <w:ind w:left="567" w:right="-2" w:hanging="567"/>
        <w:rPr>
          <w:szCs w:val="22"/>
        </w:rPr>
      </w:pPr>
      <w:r w:rsidRPr="00EB063F">
        <w:rPr>
          <w:b/>
          <w:szCs w:val="22"/>
          <w:lang w:val="lt-LT" w:eastAsia="lt-LT" w:bidi="lt-LT"/>
        </w:rPr>
        <w:t>5.</w:t>
      </w:r>
      <w:r w:rsidRPr="00EB063F">
        <w:rPr>
          <w:b/>
          <w:szCs w:val="22"/>
          <w:lang w:val="lt-LT" w:eastAsia="lt-LT" w:bidi="lt-LT"/>
        </w:rPr>
        <w:tab/>
        <w:t>Kaip laikyti OLIMEL N12E infuzinę emulsiją</w:t>
      </w:r>
    </w:p>
    <w:p w14:paraId="663271AF" w14:textId="77777777" w:rsidR="00EB063F" w:rsidRPr="00EB063F" w:rsidRDefault="00EB063F" w:rsidP="00EB063F">
      <w:pPr>
        <w:tabs>
          <w:tab w:val="clear" w:pos="567"/>
          <w:tab w:val="left" w:pos="1296"/>
        </w:tabs>
        <w:spacing w:line="240" w:lineRule="auto"/>
        <w:ind w:right="-2"/>
        <w:rPr>
          <w:szCs w:val="22"/>
          <w:lang w:val="lt-LT" w:eastAsia="lt-LT" w:bidi="lt-LT"/>
        </w:rPr>
      </w:pPr>
    </w:p>
    <w:p w14:paraId="3840328C"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Šį vaistą laikykite vaikams nepastebimoje ir nepasiekiamoje vietoje.</w:t>
      </w:r>
    </w:p>
    <w:p w14:paraId="11DFF4E3" w14:textId="77777777" w:rsidR="00EB063F" w:rsidRPr="00EB063F" w:rsidRDefault="00EB063F" w:rsidP="00EB063F">
      <w:pPr>
        <w:tabs>
          <w:tab w:val="clear" w:pos="567"/>
          <w:tab w:val="left" w:pos="1296"/>
        </w:tabs>
        <w:spacing w:line="240" w:lineRule="auto"/>
        <w:ind w:right="-2"/>
        <w:rPr>
          <w:szCs w:val="22"/>
          <w:lang w:val="lt-LT" w:eastAsia="lt-LT" w:bidi="lt-LT"/>
        </w:rPr>
      </w:pPr>
    </w:p>
    <w:p w14:paraId="57C25BA4"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 xml:space="preserve">Ant </w:t>
      </w:r>
      <w:proofErr w:type="spellStart"/>
      <w:r w:rsidRPr="00EB063F">
        <w:rPr>
          <w:szCs w:val="22"/>
          <w:lang w:val="lt-LT" w:eastAsia="lt-LT" w:bidi="lt-LT"/>
        </w:rPr>
        <w:t>talpyklės</w:t>
      </w:r>
      <w:proofErr w:type="spellEnd"/>
      <w:r w:rsidRPr="00EB063F">
        <w:rPr>
          <w:szCs w:val="22"/>
          <w:lang w:val="lt-LT" w:eastAsia="lt-LT" w:bidi="lt-LT"/>
        </w:rPr>
        <w:t xml:space="preserve"> ir išorinės pakuotės po „Tinka iki“ nurodytam tinkamumo laikui pasibaigus, šio vaisto vartoti negalima. Vaistas tinkamas vartoti iki paskutinės nurodyto mėnesio dienos.</w:t>
      </w:r>
    </w:p>
    <w:p w14:paraId="56427EBD" w14:textId="77777777" w:rsidR="00EB063F" w:rsidRPr="00EB063F" w:rsidRDefault="00EB063F" w:rsidP="00EB063F">
      <w:pPr>
        <w:tabs>
          <w:tab w:val="clear" w:pos="567"/>
          <w:tab w:val="left" w:pos="1296"/>
        </w:tabs>
        <w:spacing w:line="240" w:lineRule="auto"/>
        <w:ind w:right="-2"/>
        <w:rPr>
          <w:szCs w:val="22"/>
          <w:lang w:val="lt-LT" w:eastAsia="lt-LT" w:bidi="lt-LT"/>
        </w:rPr>
      </w:pPr>
    </w:p>
    <w:p w14:paraId="50050288"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Negalima užšaldyti.</w:t>
      </w:r>
    </w:p>
    <w:p w14:paraId="6B3F0E7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D1BF7F9" w14:textId="77777777" w:rsidR="00EB063F" w:rsidRPr="00EB063F" w:rsidRDefault="00EB063F" w:rsidP="00EB063F">
      <w:pPr>
        <w:tabs>
          <w:tab w:val="clear" w:pos="567"/>
          <w:tab w:val="left" w:pos="1296"/>
        </w:tabs>
        <w:spacing w:line="240" w:lineRule="auto"/>
        <w:ind w:right="-2"/>
        <w:rPr>
          <w:szCs w:val="22"/>
          <w:lang w:val="lt-LT" w:eastAsia="lt-LT" w:bidi="lt-LT"/>
        </w:rPr>
      </w:pPr>
      <w:r w:rsidRPr="00EB063F">
        <w:rPr>
          <w:szCs w:val="22"/>
          <w:lang w:val="lt-LT" w:eastAsia="lt-LT" w:bidi="lt-LT"/>
        </w:rPr>
        <w:t>Laikyti apsauginiame maišelyje.</w:t>
      </w:r>
    </w:p>
    <w:p w14:paraId="65050391" w14:textId="77777777" w:rsidR="00EB063F" w:rsidRPr="00EB063F" w:rsidRDefault="00EB063F" w:rsidP="00EB063F">
      <w:pPr>
        <w:tabs>
          <w:tab w:val="clear" w:pos="567"/>
          <w:tab w:val="left" w:pos="1296"/>
        </w:tabs>
        <w:spacing w:line="240" w:lineRule="auto"/>
        <w:ind w:right="-2"/>
        <w:rPr>
          <w:szCs w:val="22"/>
          <w:lang w:val="lt-LT" w:eastAsia="lt-LT" w:bidi="lt-LT"/>
        </w:rPr>
      </w:pPr>
    </w:p>
    <w:p w14:paraId="0C66B21D"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Vaistų negalima išmesti į kanalizaciją arba su buitinėmis atliekomis. Kaip išmesti nereikalingus vaistus, klauskite vaistininko. Šios priemonės padės apsaugoti aplinką.</w:t>
      </w:r>
    </w:p>
    <w:p w14:paraId="5ACBAD3E" w14:textId="77777777" w:rsidR="00EB063F" w:rsidRPr="00EB063F" w:rsidRDefault="00EB063F" w:rsidP="00EB063F">
      <w:pPr>
        <w:tabs>
          <w:tab w:val="clear" w:pos="567"/>
          <w:tab w:val="left" w:pos="1296"/>
        </w:tabs>
        <w:spacing w:line="240" w:lineRule="auto"/>
        <w:ind w:right="-2"/>
        <w:rPr>
          <w:szCs w:val="22"/>
          <w:lang w:val="lt-LT" w:eastAsia="lt-LT" w:bidi="lt-LT"/>
        </w:rPr>
      </w:pPr>
    </w:p>
    <w:p w14:paraId="52C211E4" w14:textId="77777777" w:rsidR="00EB063F" w:rsidRPr="00EB063F" w:rsidRDefault="00EB063F" w:rsidP="00EB063F">
      <w:pPr>
        <w:tabs>
          <w:tab w:val="clear" w:pos="567"/>
          <w:tab w:val="left" w:pos="1296"/>
        </w:tabs>
        <w:spacing w:line="240" w:lineRule="auto"/>
        <w:ind w:right="-2"/>
        <w:rPr>
          <w:szCs w:val="22"/>
          <w:lang w:val="lt-LT" w:eastAsia="lt-LT" w:bidi="lt-LT"/>
        </w:rPr>
      </w:pPr>
    </w:p>
    <w:p w14:paraId="7A354705" w14:textId="77777777" w:rsidR="00EB063F" w:rsidRPr="00EB063F" w:rsidRDefault="00EB063F" w:rsidP="00EB063F">
      <w:pPr>
        <w:spacing w:line="240" w:lineRule="auto"/>
        <w:ind w:right="-2"/>
        <w:rPr>
          <w:b/>
          <w:szCs w:val="22"/>
          <w:lang w:val="lt-LT" w:eastAsia="lt-LT" w:bidi="lt-LT"/>
        </w:rPr>
      </w:pPr>
      <w:r w:rsidRPr="00EB063F">
        <w:rPr>
          <w:b/>
          <w:szCs w:val="22"/>
          <w:lang w:val="lt-LT" w:eastAsia="lt-LT" w:bidi="lt-LT"/>
        </w:rPr>
        <w:t>6.</w:t>
      </w:r>
      <w:r w:rsidRPr="00EB063F">
        <w:rPr>
          <w:b/>
          <w:szCs w:val="22"/>
          <w:lang w:val="lt-LT" w:eastAsia="lt-LT" w:bidi="lt-LT"/>
        </w:rPr>
        <w:tab/>
        <w:t>Pakuotės turinys ir kita informacija</w:t>
      </w:r>
    </w:p>
    <w:p w14:paraId="68F279EF" w14:textId="77777777" w:rsidR="00EB063F" w:rsidRPr="00EB063F" w:rsidRDefault="00EB063F" w:rsidP="00EB063F">
      <w:pPr>
        <w:tabs>
          <w:tab w:val="clear" w:pos="567"/>
          <w:tab w:val="left" w:pos="1296"/>
        </w:tabs>
        <w:spacing w:line="240" w:lineRule="auto"/>
        <w:rPr>
          <w:szCs w:val="22"/>
          <w:lang w:val="lt-LT" w:eastAsia="lt-LT" w:bidi="lt-LT"/>
        </w:rPr>
      </w:pPr>
    </w:p>
    <w:p w14:paraId="393CAE0D" w14:textId="77777777" w:rsidR="00EB063F" w:rsidRPr="00EB063F" w:rsidRDefault="00EB063F" w:rsidP="00EB063F">
      <w:pPr>
        <w:tabs>
          <w:tab w:val="clear" w:pos="567"/>
          <w:tab w:val="left" w:pos="1296"/>
        </w:tabs>
        <w:spacing w:line="240" w:lineRule="auto"/>
        <w:ind w:right="-2"/>
        <w:rPr>
          <w:b/>
          <w:szCs w:val="22"/>
          <w:lang w:val="lt-LT" w:eastAsia="lt-LT" w:bidi="lt-LT"/>
        </w:rPr>
      </w:pPr>
      <w:r w:rsidRPr="00EB063F">
        <w:rPr>
          <w:b/>
          <w:szCs w:val="22"/>
          <w:lang w:val="lt-LT" w:eastAsia="lt-LT" w:bidi="lt-LT"/>
        </w:rPr>
        <w:t xml:space="preserve">OLIMEL N12E infuzinės emulsijos sudėtis </w:t>
      </w:r>
    </w:p>
    <w:p w14:paraId="67EDF599" w14:textId="77777777" w:rsidR="00EB063F" w:rsidRPr="00EB063F" w:rsidRDefault="00EB063F" w:rsidP="00EB063F">
      <w:pPr>
        <w:tabs>
          <w:tab w:val="clear" w:pos="567"/>
          <w:tab w:val="left" w:pos="1296"/>
        </w:tabs>
        <w:spacing w:line="240" w:lineRule="auto"/>
        <w:rPr>
          <w:szCs w:val="22"/>
        </w:rPr>
      </w:pPr>
      <w:r w:rsidRPr="00EB063F">
        <w:rPr>
          <w:rFonts w:eastAsia="MS Mincho"/>
          <w:bCs/>
          <w:szCs w:val="22"/>
          <w:lang w:val="lt-LT" w:eastAsia="lt-LT" w:bidi="lt-LT"/>
        </w:rPr>
        <w:t>Veikliosios medžiagos</w:t>
      </w:r>
      <w:r w:rsidRPr="00EB063F">
        <w:rPr>
          <w:rFonts w:eastAsia="MS Mincho"/>
          <w:szCs w:val="22"/>
          <w:lang w:val="lt-LT" w:eastAsia="lt-LT" w:bidi="lt-LT"/>
        </w:rPr>
        <w:t xml:space="preserve"> kiekviename paruoštos emulsijos maišelyje: </w:t>
      </w:r>
      <w:r w:rsidRPr="00EB063F">
        <w:rPr>
          <w:rFonts w:eastAsia="MS Mincho"/>
          <w:bCs/>
          <w:szCs w:val="22"/>
          <w:lang w:val="lt-LT" w:eastAsia="lt-LT" w:bidi="lt-LT"/>
        </w:rPr>
        <w:t>14,2 % (atitinkamai 14,2 g/100 ml) L-aminorūgščių tirpalo</w:t>
      </w:r>
      <w:r w:rsidRPr="00EB063F">
        <w:rPr>
          <w:rFonts w:eastAsia="MS Mincho"/>
          <w:b/>
          <w:bCs/>
          <w:szCs w:val="22"/>
          <w:lang w:val="lt-LT" w:eastAsia="lt-LT" w:bidi="lt-LT"/>
        </w:rPr>
        <w:t xml:space="preserve"> </w:t>
      </w:r>
      <w:r w:rsidRPr="00EB063F">
        <w:rPr>
          <w:rFonts w:eastAsia="MS Mincho"/>
          <w:szCs w:val="22"/>
          <w:lang w:val="lt-LT" w:eastAsia="lt-LT" w:bidi="lt-LT"/>
        </w:rPr>
        <w:t>(</w:t>
      </w:r>
      <w:proofErr w:type="spellStart"/>
      <w:r w:rsidRPr="00EB063F">
        <w:rPr>
          <w:rFonts w:eastAsia="MS Mincho"/>
          <w:szCs w:val="22"/>
          <w:lang w:val="lt-LT" w:eastAsia="lt-LT" w:bidi="lt-LT"/>
        </w:rPr>
        <w:t>alaninas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argininas</w:t>
      </w:r>
      <w:proofErr w:type="spellEnd"/>
      <w:r w:rsidRPr="00EB063F">
        <w:rPr>
          <w:rFonts w:eastAsia="MS Mincho"/>
          <w:szCs w:val="22"/>
          <w:lang w:val="lt-LT" w:eastAsia="lt-LT" w:bidi="lt-LT"/>
        </w:rPr>
        <w:t xml:space="preserve">, glicinas, </w:t>
      </w:r>
      <w:proofErr w:type="spellStart"/>
      <w:r w:rsidRPr="00EB063F">
        <w:rPr>
          <w:rFonts w:eastAsia="MS Mincho"/>
          <w:szCs w:val="22"/>
          <w:lang w:val="lt-LT" w:eastAsia="lt-LT" w:bidi="lt-LT"/>
        </w:rPr>
        <w:t>histidinas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izoleucinas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leucinas</w:t>
      </w:r>
      <w:proofErr w:type="spellEnd"/>
      <w:r w:rsidRPr="00EB063F">
        <w:rPr>
          <w:rFonts w:eastAsia="MS Mincho"/>
          <w:szCs w:val="22"/>
          <w:lang w:val="lt-LT" w:eastAsia="lt-LT" w:bidi="lt-LT"/>
        </w:rPr>
        <w:t xml:space="preserve">, lizinas (lizino acetato pavidalu), </w:t>
      </w:r>
      <w:proofErr w:type="spellStart"/>
      <w:r w:rsidRPr="00EB063F">
        <w:rPr>
          <w:rFonts w:eastAsia="MS Mincho"/>
          <w:szCs w:val="22"/>
          <w:lang w:val="lt-LT" w:eastAsia="lt-LT" w:bidi="lt-LT"/>
        </w:rPr>
        <w:t>metioninas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fenilalaninas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prolinas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serinas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treoninas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triptofanas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tirozinas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valinas</w:t>
      </w:r>
      <w:proofErr w:type="spellEnd"/>
      <w:r w:rsidRPr="00EB063F">
        <w:rPr>
          <w:rFonts w:eastAsia="MS Mincho"/>
          <w:szCs w:val="22"/>
          <w:lang w:val="lt-LT" w:eastAsia="lt-LT" w:bidi="lt-LT"/>
        </w:rPr>
        <w:t xml:space="preserve">, </w:t>
      </w:r>
      <w:proofErr w:type="spellStart"/>
      <w:r w:rsidRPr="00EB063F">
        <w:rPr>
          <w:rFonts w:eastAsia="MS Mincho"/>
          <w:szCs w:val="22"/>
          <w:lang w:val="lt-LT" w:eastAsia="lt-LT" w:bidi="lt-LT"/>
        </w:rPr>
        <w:t>asparto</w:t>
      </w:r>
      <w:proofErr w:type="spellEnd"/>
      <w:r w:rsidRPr="00EB063F">
        <w:rPr>
          <w:rFonts w:eastAsia="MS Mincho"/>
          <w:szCs w:val="22"/>
          <w:lang w:val="lt-LT" w:eastAsia="lt-LT" w:bidi="lt-LT"/>
        </w:rPr>
        <w:t xml:space="preserve"> rūgštis, </w:t>
      </w:r>
      <w:proofErr w:type="spellStart"/>
      <w:r w:rsidRPr="00EB063F">
        <w:rPr>
          <w:rFonts w:eastAsia="MS Mincho"/>
          <w:szCs w:val="22"/>
          <w:lang w:val="lt-LT" w:eastAsia="lt-LT" w:bidi="lt-LT"/>
        </w:rPr>
        <w:t>glutamo</w:t>
      </w:r>
      <w:proofErr w:type="spellEnd"/>
      <w:r w:rsidRPr="00EB063F">
        <w:rPr>
          <w:rFonts w:eastAsia="MS Mincho"/>
          <w:szCs w:val="22"/>
          <w:lang w:val="lt-LT" w:eastAsia="lt-LT" w:bidi="lt-LT"/>
        </w:rPr>
        <w:t xml:space="preserve"> rūgštis) su elektrolitais (natris, kalis, magnis, fosfatai, acetatai, chloridai), </w:t>
      </w:r>
      <w:r w:rsidRPr="00EB063F">
        <w:rPr>
          <w:rFonts w:eastAsia="MS Mincho"/>
          <w:bCs/>
          <w:szCs w:val="22"/>
          <w:lang w:val="lt-LT" w:eastAsia="lt-LT" w:bidi="lt-LT"/>
        </w:rPr>
        <w:t>17,5 % (atitinkamai 17,5 g/100 ml) lipidų emulsijos</w:t>
      </w:r>
      <w:r w:rsidRPr="00EB063F">
        <w:rPr>
          <w:rFonts w:eastAsia="MS Mincho"/>
          <w:szCs w:val="22"/>
          <w:lang w:val="lt-LT" w:eastAsia="lt-LT" w:bidi="lt-LT"/>
        </w:rPr>
        <w:t xml:space="preserve"> (rafinuotas alyvuogių aliejus ir rafinuotas sojų aliejus) ir </w:t>
      </w:r>
      <w:r w:rsidRPr="00EB063F">
        <w:rPr>
          <w:rFonts w:eastAsia="MS Mincho"/>
          <w:bCs/>
          <w:szCs w:val="22"/>
          <w:lang w:val="lt-LT" w:eastAsia="lt-LT" w:bidi="lt-LT"/>
        </w:rPr>
        <w:t>27,5 % (atitinkamai 27,5 g/100 ml) gliukozės tirpalo</w:t>
      </w:r>
      <w:r w:rsidRPr="00EB063F">
        <w:rPr>
          <w:rFonts w:eastAsia="MS Mincho"/>
          <w:szCs w:val="22"/>
          <w:lang w:val="lt-LT" w:eastAsia="lt-LT" w:bidi="lt-LT"/>
        </w:rPr>
        <w:t xml:space="preserve"> (gliukozės </w:t>
      </w:r>
      <w:proofErr w:type="spellStart"/>
      <w:r w:rsidRPr="00EB063F">
        <w:rPr>
          <w:rFonts w:eastAsia="MS Mincho"/>
          <w:szCs w:val="22"/>
          <w:lang w:val="lt-LT" w:eastAsia="lt-LT" w:bidi="lt-LT"/>
        </w:rPr>
        <w:t>monohidrato</w:t>
      </w:r>
      <w:proofErr w:type="spellEnd"/>
      <w:r w:rsidRPr="00EB063F">
        <w:rPr>
          <w:rFonts w:eastAsia="MS Mincho"/>
          <w:szCs w:val="22"/>
          <w:lang w:val="lt-LT" w:eastAsia="lt-LT" w:bidi="lt-LT"/>
        </w:rPr>
        <w:t xml:space="preserve"> pavidalu) su kalciu.</w:t>
      </w:r>
    </w:p>
    <w:p w14:paraId="2EF3D65C"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B7350DA"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Pagalbinės medžiagos</w:t>
      </w:r>
    </w:p>
    <w:tbl>
      <w:tblPr>
        <w:tblW w:w="4850" w:type="pct"/>
        <w:jc w:val="center"/>
        <w:tblLayout w:type="fixed"/>
        <w:tblCellMar>
          <w:left w:w="10" w:type="dxa"/>
          <w:right w:w="10" w:type="dxa"/>
        </w:tblCellMar>
        <w:tblLook w:val="04A0" w:firstRow="1" w:lastRow="0" w:firstColumn="1" w:lastColumn="0" w:noHBand="0" w:noVBand="1"/>
      </w:tblPr>
      <w:tblGrid>
        <w:gridCol w:w="3514"/>
        <w:gridCol w:w="2859"/>
        <w:gridCol w:w="2409"/>
      </w:tblGrid>
      <w:tr w:rsidR="00EB063F" w:rsidRPr="00EB063F" w14:paraId="1BF62D55" w14:textId="77777777" w:rsidTr="001E32CB">
        <w:trPr>
          <w:jc w:val="center"/>
        </w:trPr>
        <w:tc>
          <w:tcPr>
            <w:tcW w:w="3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F1955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Lipidų emulsijos kamera</w:t>
            </w:r>
          </w:p>
        </w:tc>
        <w:tc>
          <w:tcPr>
            <w:tcW w:w="2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FACB6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Aminorūgščių tirpalo kamera</w:t>
            </w:r>
          </w:p>
        </w:tc>
        <w:tc>
          <w:tcPr>
            <w:tcW w:w="2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ADDA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Gliukozės tirpalo kamera</w:t>
            </w:r>
          </w:p>
        </w:tc>
      </w:tr>
      <w:tr w:rsidR="00EB063F" w:rsidRPr="00EB063F" w14:paraId="724A67A6" w14:textId="77777777" w:rsidTr="001E32CB">
        <w:trPr>
          <w:jc w:val="center"/>
        </w:trPr>
        <w:tc>
          <w:tcPr>
            <w:tcW w:w="3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35CB4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Išgryninti kiaušinio fosfolipidai, </w:t>
            </w:r>
            <w:proofErr w:type="spellStart"/>
            <w:r w:rsidRPr="00EB063F">
              <w:rPr>
                <w:szCs w:val="22"/>
                <w:lang w:val="lt-LT" w:eastAsia="lt-LT" w:bidi="lt-LT"/>
              </w:rPr>
              <w:t>glicerolis</w:t>
            </w:r>
            <w:proofErr w:type="spellEnd"/>
            <w:r w:rsidRPr="00EB063F">
              <w:rPr>
                <w:szCs w:val="22"/>
                <w:lang w:val="lt-LT" w:eastAsia="lt-LT" w:bidi="lt-LT"/>
              </w:rPr>
              <w:t xml:space="preserve">, natrio </w:t>
            </w:r>
            <w:proofErr w:type="spellStart"/>
            <w:r w:rsidRPr="00EB063F">
              <w:rPr>
                <w:szCs w:val="22"/>
                <w:lang w:val="lt-LT" w:eastAsia="lt-LT" w:bidi="lt-LT"/>
              </w:rPr>
              <w:t>oleatas</w:t>
            </w:r>
            <w:proofErr w:type="spellEnd"/>
            <w:r w:rsidRPr="00EB063F">
              <w:rPr>
                <w:szCs w:val="22"/>
                <w:lang w:val="lt-LT" w:eastAsia="lt-LT" w:bidi="lt-LT"/>
              </w:rPr>
              <w:t>, natrio hidroksidas (pH reguliuoti), injekcinis vanduo</w:t>
            </w:r>
          </w:p>
        </w:tc>
        <w:tc>
          <w:tcPr>
            <w:tcW w:w="2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C5365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Ledinė acto rūgštis (pH reguliuoti), injekcinis vanduo</w:t>
            </w:r>
          </w:p>
        </w:tc>
        <w:tc>
          <w:tcPr>
            <w:tcW w:w="2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C3957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Vandenilio chlorido rūgštis (pH reguliuoti), injekcinis vanduo</w:t>
            </w:r>
          </w:p>
        </w:tc>
      </w:tr>
    </w:tbl>
    <w:p w14:paraId="2B773A16" w14:textId="77777777" w:rsidR="00EB063F" w:rsidRPr="00EB063F" w:rsidRDefault="00EB063F" w:rsidP="00EB063F">
      <w:pPr>
        <w:tabs>
          <w:tab w:val="clear" w:pos="567"/>
          <w:tab w:val="left" w:pos="1296"/>
        </w:tabs>
        <w:spacing w:line="240" w:lineRule="auto"/>
        <w:ind w:right="-2"/>
        <w:rPr>
          <w:szCs w:val="22"/>
          <w:lang w:val="lt-LT" w:eastAsia="lt-LT" w:bidi="lt-LT"/>
        </w:rPr>
      </w:pPr>
    </w:p>
    <w:p w14:paraId="17FC3A15" w14:textId="77777777" w:rsidR="00EB063F" w:rsidRPr="00EB063F" w:rsidRDefault="00EB063F" w:rsidP="00EB063F">
      <w:pPr>
        <w:tabs>
          <w:tab w:val="clear" w:pos="567"/>
          <w:tab w:val="left" w:pos="1296"/>
        </w:tabs>
        <w:spacing w:line="240" w:lineRule="auto"/>
        <w:ind w:right="-2"/>
        <w:rPr>
          <w:b/>
          <w:szCs w:val="22"/>
          <w:lang w:val="lt-LT" w:eastAsia="lt-LT" w:bidi="lt-LT"/>
        </w:rPr>
      </w:pPr>
      <w:r w:rsidRPr="00EB063F">
        <w:rPr>
          <w:b/>
          <w:szCs w:val="22"/>
          <w:lang w:val="lt-LT" w:eastAsia="lt-LT" w:bidi="lt-LT"/>
        </w:rPr>
        <w:t>OLIMEL N12E infuzinės emulsijos išvaizda ir kiekis pakuotėje</w:t>
      </w:r>
    </w:p>
    <w:p w14:paraId="424CF42C" w14:textId="77777777" w:rsidR="00EB063F" w:rsidRPr="00EB063F" w:rsidRDefault="00EB063F" w:rsidP="00EB063F">
      <w:pPr>
        <w:tabs>
          <w:tab w:val="clear" w:pos="567"/>
          <w:tab w:val="left" w:pos="1296"/>
        </w:tabs>
        <w:spacing w:line="240" w:lineRule="auto"/>
        <w:rPr>
          <w:szCs w:val="22"/>
        </w:rPr>
      </w:pPr>
      <w:r w:rsidRPr="00EB063F">
        <w:rPr>
          <w:szCs w:val="22"/>
          <w:lang w:val="lt-LT" w:eastAsia="lt-LT" w:bidi="lt-LT"/>
        </w:rPr>
        <w:t>OLIMEL N12E</w:t>
      </w:r>
      <w:r w:rsidRPr="00EB063F">
        <w:rPr>
          <w:iCs/>
          <w:szCs w:val="22"/>
          <w:lang w:val="lt-LT" w:eastAsia="lt-LT" w:bidi="lt-LT"/>
        </w:rPr>
        <w:t xml:space="preserve"> </w:t>
      </w:r>
      <w:r w:rsidRPr="00EB063F">
        <w:rPr>
          <w:szCs w:val="22"/>
          <w:lang w:val="lt-LT" w:eastAsia="lt-LT" w:bidi="lt-LT"/>
        </w:rPr>
        <w:t>yra infuzinė emulsija, tiekiama trijų kamerų maišelyje. Vienoje kameroje yra lipidų emulsija, antroje – aminorūgščių tirpalas su elektrolitais, trečioje – gliukozės tirpalas su kalciu. Kameros yra atskirtos laikinosiomis pertvaromis. Prieš vartojimą kamerų turinys turi būti sumaišytas vyniojant maišelį aplink jį patį, pradedant nuo viršaus, kol suardomos laikinosios pertvaros.</w:t>
      </w:r>
    </w:p>
    <w:p w14:paraId="1D400CD6" w14:textId="77777777" w:rsidR="00EB063F" w:rsidRPr="00EB063F" w:rsidRDefault="00EB063F" w:rsidP="00EB063F">
      <w:pPr>
        <w:tabs>
          <w:tab w:val="clear" w:pos="567"/>
          <w:tab w:val="left" w:pos="1296"/>
        </w:tabs>
        <w:spacing w:line="240" w:lineRule="auto"/>
        <w:rPr>
          <w:szCs w:val="22"/>
          <w:lang w:val="lt-LT" w:eastAsia="lt-LT" w:bidi="lt-LT"/>
        </w:rPr>
      </w:pPr>
    </w:p>
    <w:p w14:paraId="3D3920D8" w14:textId="77777777" w:rsidR="00EB063F" w:rsidRPr="00EB063F" w:rsidRDefault="00EB063F" w:rsidP="00EB063F">
      <w:pPr>
        <w:keepNext/>
        <w:tabs>
          <w:tab w:val="clear" w:pos="567"/>
          <w:tab w:val="left" w:pos="1296"/>
        </w:tabs>
        <w:spacing w:line="240" w:lineRule="auto"/>
        <w:outlineLvl w:val="1"/>
        <w:rPr>
          <w:rFonts w:eastAsia="MS Mincho"/>
          <w:bCs/>
          <w:szCs w:val="22"/>
          <w:u w:val="single"/>
          <w:lang w:val="lt-LT" w:eastAsia="lt-LT" w:bidi="lt-LT"/>
        </w:rPr>
      </w:pPr>
      <w:r w:rsidRPr="00EB063F">
        <w:rPr>
          <w:rFonts w:eastAsia="MS Mincho"/>
          <w:bCs/>
          <w:szCs w:val="22"/>
          <w:u w:val="single"/>
          <w:lang w:val="lt-LT" w:eastAsia="lt-LT" w:bidi="lt-LT"/>
        </w:rPr>
        <w:t>Išvaizda prieš paruošimą:</w:t>
      </w:r>
    </w:p>
    <w:p w14:paraId="53ADD3A9" w14:textId="77777777" w:rsidR="00EB063F" w:rsidRPr="00EB063F" w:rsidRDefault="00EB063F" w:rsidP="00EB063F">
      <w:pPr>
        <w:keepNext/>
        <w:tabs>
          <w:tab w:val="clear" w:pos="567"/>
          <w:tab w:val="left" w:pos="1296"/>
        </w:tabs>
        <w:spacing w:line="240" w:lineRule="auto"/>
        <w:outlineLvl w:val="1"/>
        <w:rPr>
          <w:szCs w:val="22"/>
        </w:rPr>
      </w:pPr>
      <w:r w:rsidRPr="00EB063F">
        <w:rPr>
          <w:rFonts w:eastAsia="MS Mincho"/>
          <w:bCs/>
          <w:szCs w:val="22"/>
          <w:u w:val="single"/>
          <w:lang w:val="lt-LT" w:eastAsia="lt-LT" w:bidi="lt-LT"/>
        </w:rPr>
        <w:t>-</w:t>
      </w:r>
      <w:r w:rsidRPr="00EB063F">
        <w:rPr>
          <w:rFonts w:eastAsia="MS Mincho"/>
          <w:bCs/>
          <w:szCs w:val="22"/>
          <w:lang w:val="lt-LT" w:eastAsia="lt-LT" w:bidi="lt-LT"/>
        </w:rPr>
        <w:t>Aminorūgščių ir gliukozės tirpalai yra skaidrūs, bespalviai arba gelsvi.</w:t>
      </w:r>
    </w:p>
    <w:p w14:paraId="4E9DE864" w14:textId="77777777" w:rsidR="00EB063F" w:rsidRPr="00EB063F" w:rsidRDefault="00EB063F" w:rsidP="00EB063F">
      <w:pPr>
        <w:keepNext/>
        <w:tabs>
          <w:tab w:val="clear" w:pos="567"/>
          <w:tab w:val="left" w:pos="1296"/>
        </w:tabs>
        <w:spacing w:line="240" w:lineRule="auto"/>
        <w:outlineLvl w:val="1"/>
        <w:rPr>
          <w:rFonts w:eastAsia="MS Mincho"/>
          <w:bCs/>
          <w:szCs w:val="22"/>
          <w:lang w:val="lt-LT" w:eastAsia="lt-LT" w:bidi="lt-LT"/>
        </w:rPr>
      </w:pPr>
      <w:r w:rsidRPr="00EB063F">
        <w:rPr>
          <w:rFonts w:eastAsia="MS Mincho"/>
          <w:bCs/>
          <w:szCs w:val="22"/>
          <w:lang w:val="lt-LT" w:eastAsia="lt-LT" w:bidi="lt-LT"/>
        </w:rPr>
        <w:t>-Lipidų emulsija yra vienalytė, panaši į pieną.</w:t>
      </w:r>
    </w:p>
    <w:p w14:paraId="1AE910A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7A31C092" w14:textId="77777777" w:rsidR="00EB063F" w:rsidRPr="00EB063F" w:rsidRDefault="00EB063F" w:rsidP="00EB063F">
      <w:pPr>
        <w:keepNext/>
        <w:tabs>
          <w:tab w:val="clear" w:pos="567"/>
          <w:tab w:val="left" w:pos="1296"/>
        </w:tabs>
        <w:spacing w:line="240" w:lineRule="auto"/>
        <w:outlineLvl w:val="1"/>
        <w:rPr>
          <w:rFonts w:eastAsia="MS Mincho"/>
          <w:bCs/>
          <w:szCs w:val="22"/>
          <w:u w:val="single"/>
          <w:lang w:val="lt-LT" w:eastAsia="lt-LT" w:bidi="lt-LT"/>
        </w:rPr>
      </w:pPr>
      <w:r w:rsidRPr="00EB063F">
        <w:rPr>
          <w:rFonts w:eastAsia="MS Mincho"/>
          <w:bCs/>
          <w:szCs w:val="22"/>
          <w:u w:val="single"/>
          <w:lang w:val="lt-LT" w:eastAsia="lt-LT" w:bidi="lt-LT"/>
        </w:rPr>
        <w:lastRenderedPageBreak/>
        <w:t>Išvaizda po paruošimo: vienalytė, į pieną panaši emulsija</w:t>
      </w:r>
    </w:p>
    <w:p w14:paraId="61B58751" w14:textId="77777777" w:rsidR="00EB063F" w:rsidRPr="00EB063F" w:rsidRDefault="00EB063F" w:rsidP="00EB063F">
      <w:pPr>
        <w:tabs>
          <w:tab w:val="clear" w:pos="567"/>
          <w:tab w:val="left" w:pos="1296"/>
        </w:tabs>
        <w:spacing w:line="240" w:lineRule="auto"/>
        <w:rPr>
          <w:szCs w:val="22"/>
        </w:rPr>
      </w:pPr>
      <w:r w:rsidRPr="00EB063F">
        <w:rPr>
          <w:iCs/>
          <w:szCs w:val="22"/>
          <w:lang w:val="lt-LT" w:eastAsia="lt-LT" w:bidi="lt-LT"/>
        </w:rPr>
        <w:t>Trijų kamerų maišelis yra daugiasluoksnis plastikinis maišelis.</w:t>
      </w:r>
      <w:r w:rsidRPr="00EB063F">
        <w:rPr>
          <w:szCs w:val="22"/>
          <w:lang w:val="lt-LT" w:eastAsia="lt-LT" w:bidi="lt-LT"/>
        </w:rPr>
        <w:t xml:space="preserve"> Vidinis (besiliečiantis su emulsija) maišelio medžiagos sluoksnis yra suderinamas su emulsijos sudėtinėmis dalimis ir patvirtintais priedais.</w:t>
      </w:r>
    </w:p>
    <w:p w14:paraId="0C150605" w14:textId="77777777" w:rsidR="00EB063F" w:rsidRPr="00EB063F" w:rsidRDefault="00EB063F" w:rsidP="00EB063F">
      <w:pPr>
        <w:tabs>
          <w:tab w:val="clear" w:pos="567"/>
          <w:tab w:val="left" w:pos="1296"/>
        </w:tabs>
        <w:spacing w:line="240" w:lineRule="auto"/>
        <w:rPr>
          <w:szCs w:val="22"/>
          <w:lang w:val="lt-LT" w:eastAsia="lt-LT" w:bidi="lt-LT"/>
        </w:rPr>
      </w:pPr>
    </w:p>
    <w:p w14:paraId="1D94AE42" w14:textId="77777777" w:rsidR="00EB063F" w:rsidRPr="00EB063F" w:rsidRDefault="00EB063F" w:rsidP="00EB063F">
      <w:pPr>
        <w:tabs>
          <w:tab w:val="clear" w:pos="567"/>
          <w:tab w:val="left" w:pos="1296"/>
        </w:tabs>
        <w:spacing w:line="240" w:lineRule="auto"/>
        <w:rPr>
          <w:szCs w:val="22"/>
        </w:rPr>
      </w:pPr>
      <w:r w:rsidRPr="00EB063F">
        <w:rPr>
          <w:iCs/>
          <w:szCs w:val="22"/>
          <w:lang w:val="lt-LT" w:eastAsia="lt-LT" w:bidi="lt-LT"/>
        </w:rPr>
        <w:t>Siekiant apsaugoti nuo sąlyčio su oru, maišelis yra įpakuotas apsauginiame deguonies nepraleidžiančiame maišelyje, kuriame yra deguonį sugeriantis paketėlis</w:t>
      </w:r>
      <w:r w:rsidRPr="00EB063F">
        <w:rPr>
          <w:szCs w:val="22"/>
          <w:lang w:val="lt-LT" w:eastAsia="lt-LT" w:bidi="lt-LT"/>
        </w:rPr>
        <w:t>.</w:t>
      </w:r>
    </w:p>
    <w:p w14:paraId="6BEDD58B" w14:textId="77777777" w:rsidR="00EB063F" w:rsidRPr="00EB063F" w:rsidRDefault="00EB063F" w:rsidP="00EB063F">
      <w:pPr>
        <w:tabs>
          <w:tab w:val="clear" w:pos="567"/>
          <w:tab w:val="left" w:pos="1296"/>
        </w:tabs>
        <w:spacing w:line="240" w:lineRule="auto"/>
        <w:rPr>
          <w:szCs w:val="22"/>
          <w:lang w:val="lt-LT" w:eastAsia="lt-LT" w:bidi="lt-LT"/>
        </w:rPr>
      </w:pPr>
    </w:p>
    <w:p w14:paraId="1E261ED9"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Pakuočių dydžiai:</w:t>
      </w:r>
    </w:p>
    <w:p w14:paraId="377A2D4B"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650 ml maišelis: 1 dėžutė su 5 maišeliais</w:t>
      </w:r>
    </w:p>
    <w:p w14:paraId="65287481"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650 ml maišelis: 1 dėžutė su 10 maišelių</w:t>
      </w:r>
    </w:p>
    <w:p w14:paraId="5C0A6608"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1000 ml maišelis: 1 dėžutė su 5 maišeliais</w:t>
      </w:r>
    </w:p>
    <w:p w14:paraId="15F933B3"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1000 ml maišelis: 1 dėžutė su 6 maišeliais</w:t>
      </w:r>
    </w:p>
    <w:p w14:paraId="144117FF"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1500 ml maišelis: 1 dėžutė su 4 maišeliais</w:t>
      </w:r>
    </w:p>
    <w:p w14:paraId="20424D6F"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1500 ml maišelis: 1 dėžutė su 5 maišeliais</w:t>
      </w:r>
    </w:p>
    <w:p w14:paraId="2AA14CDA"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2000 ml maišelis: 1 dėžutė su 4 maišeliais</w:t>
      </w:r>
    </w:p>
    <w:p w14:paraId="090E2383"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2000 ml maišelis: 1 dėžutė su 5 maišeliais</w:t>
      </w:r>
    </w:p>
    <w:p w14:paraId="7E7503AC"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1 maišelis po 650 ml, 1000 ml, 1500 ml ir 2000 ml</w:t>
      </w:r>
    </w:p>
    <w:p w14:paraId="6A1AC854"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p>
    <w:p w14:paraId="20843F9F" w14:textId="77777777" w:rsidR="00EB063F" w:rsidRPr="00EB063F" w:rsidRDefault="00EB063F" w:rsidP="00EB063F">
      <w:pPr>
        <w:tabs>
          <w:tab w:val="clear" w:pos="567"/>
          <w:tab w:val="left" w:pos="1296"/>
        </w:tabs>
        <w:spacing w:line="240" w:lineRule="auto"/>
        <w:rPr>
          <w:iCs/>
          <w:szCs w:val="22"/>
          <w:lang w:val="lt-LT" w:eastAsia="lt-LT" w:bidi="lt-LT"/>
        </w:rPr>
      </w:pPr>
      <w:r w:rsidRPr="00EB063F">
        <w:rPr>
          <w:iCs/>
          <w:szCs w:val="22"/>
          <w:lang w:val="lt-LT" w:eastAsia="lt-LT" w:bidi="lt-LT"/>
        </w:rPr>
        <w:t>Gali būti tiekiamos ne visų dydžių pakuotės.</w:t>
      </w:r>
    </w:p>
    <w:p w14:paraId="0C8968F8" w14:textId="77777777" w:rsidR="00EB063F" w:rsidRPr="00EB063F" w:rsidRDefault="00EB063F" w:rsidP="00EB063F">
      <w:pPr>
        <w:tabs>
          <w:tab w:val="clear" w:pos="567"/>
          <w:tab w:val="left" w:pos="1296"/>
        </w:tabs>
        <w:spacing w:line="240" w:lineRule="auto"/>
        <w:rPr>
          <w:szCs w:val="22"/>
          <w:lang w:val="lt-LT" w:eastAsia="lt-LT" w:bidi="lt-LT"/>
        </w:rPr>
      </w:pPr>
    </w:p>
    <w:p w14:paraId="0E8C9A09" w14:textId="77777777" w:rsidR="00EB063F" w:rsidRPr="00EB063F" w:rsidRDefault="00EB063F" w:rsidP="00EB063F">
      <w:pPr>
        <w:pStyle w:val="Antrat4"/>
        <w:spacing w:before="0" w:after="0" w:line="240" w:lineRule="auto"/>
        <w:rPr>
          <w:rFonts w:ascii="Times New Roman" w:hAnsi="Times New Roman" w:cs="Times New Roman"/>
          <w:color w:val="auto"/>
          <w:szCs w:val="22"/>
          <w:lang w:val="lt-LT"/>
        </w:rPr>
      </w:pPr>
      <w:r w:rsidRPr="00EB063F">
        <w:rPr>
          <w:rFonts w:ascii="Times New Roman" w:hAnsi="Times New Roman" w:cs="Times New Roman"/>
          <w:color w:val="auto"/>
          <w:szCs w:val="22"/>
          <w:lang w:val="lt-LT"/>
        </w:rPr>
        <w:t>Registruotojas ir gamintojas</w:t>
      </w:r>
    </w:p>
    <w:p w14:paraId="42FDF7A1" w14:textId="77777777" w:rsidR="00EB063F" w:rsidRPr="00EB063F" w:rsidRDefault="00EB063F" w:rsidP="00EB063F">
      <w:pPr>
        <w:tabs>
          <w:tab w:val="clear" w:pos="567"/>
          <w:tab w:val="left" w:pos="1296"/>
        </w:tabs>
        <w:spacing w:line="240" w:lineRule="auto"/>
        <w:ind w:right="-2"/>
        <w:rPr>
          <w:szCs w:val="22"/>
          <w:lang w:val="lt-LT"/>
        </w:rPr>
      </w:pPr>
    </w:p>
    <w:p w14:paraId="2411A359" w14:textId="77777777" w:rsidR="00EB063F" w:rsidRPr="00EB063F" w:rsidRDefault="00EB063F" w:rsidP="00EB063F">
      <w:pPr>
        <w:spacing w:line="240" w:lineRule="auto"/>
        <w:rPr>
          <w:szCs w:val="22"/>
          <w:lang w:val="lt-LT"/>
        </w:rPr>
      </w:pPr>
      <w:proofErr w:type="spellStart"/>
      <w:r w:rsidRPr="00EB063F">
        <w:rPr>
          <w:szCs w:val="22"/>
          <w:lang w:val="lt-LT"/>
        </w:rPr>
        <w:t>Baxter</w:t>
      </w:r>
      <w:proofErr w:type="spellEnd"/>
      <w:r w:rsidRPr="00EB063F">
        <w:rPr>
          <w:szCs w:val="22"/>
          <w:lang w:val="lt-LT"/>
        </w:rPr>
        <w:t xml:space="preserve"> S.A.</w:t>
      </w:r>
    </w:p>
    <w:p w14:paraId="53B4483A" w14:textId="77777777" w:rsidR="00EB063F" w:rsidRPr="00EB063F" w:rsidRDefault="00EB063F" w:rsidP="00EB063F">
      <w:pPr>
        <w:spacing w:line="240" w:lineRule="auto"/>
        <w:rPr>
          <w:szCs w:val="22"/>
          <w:lang w:val="lt-LT"/>
        </w:rPr>
      </w:pPr>
      <w:proofErr w:type="spellStart"/>
      <w:r w:rsidRPr="00EB063F">
        <w:rPr>
          <w:szCs w:val="22"/>
          <w:lang w:val="lt-LT"/>
        </w:rPr>
        <w:t>Boulevard</w:t>
      </w:r>
      <w:proofErr w:type="spellEnd"/>
      <w:r w:rsidRPr="00EB063F">
        <w:rPr>
          <w:szCs w:val="22"/>
          <w:lang w:val="lt-LT"/>
        </w:rPr>
        <w:t xml:space="preserve"> </w:t>
      </w:r>
      <w:proofErr w:type="spellStart"/>
      <w:r w:rsidRPr="00EB063F">
        <w:rPr>
          <w:szCs w:val="22"/>
          <w:lang w:val="lt-LT"/>
        </w:rPr>
        <w:t>René</w:t>
      </w:r>
      <w:proofErr w:type="spellEnd"/>
      <w:r w:rsidRPr="00EB063F">
        <w:rPr>
          <w:szCs w:val="22"/>
          <w:lang w:val="lt-LT"/>
        </w:rPr>
        <w:t xml:space="preserve"> </w:t>
      </w:r>
      <w:proofErr w:type="spellStart"/>
      <w:r w:rsidRPr="00EB063F">
        <w:rPr>
          <w:szCs w:val="22"/>
          <w:lang w:val="lt-LT"/>
        </w:rPr>
        <w:t>Branquart</w:t>
      </w:r>
      <w:proofErr w:type="spellEnd"/>
      <w:r w:rsidRPr="00EB063F">
        <w:rPr>
          <w:szCs w:val="22"/>
          <w:lang w:val="lt-LT"/>
        </w:rPr>
        <w:t xml:space="preserve"> 80</w:t>
      </w:r>
    </w:p>
    <w:p w14:paraId="4643AA11" w14:textId="77777777" w:rsidR="00EB063F" w:rsidRPr="00EB063F" w:rsidRDefault="00EB063F" w:rsidP="00EB063F">
      <w:pPr>
        <w:spacing w:line="240" w:lineRule="auto"/>
        <w:rPr>
          <w:szCs w:val="22"/>
          <w:lang w:val="lt-LT"/>
        </w:rPr>
      </w:pPr>
      <w:r w:rsidRPr="00EB063F">
        <w:rPr>
          <w:szCs w:val="22"/>
          <w:lang w:val="lt-LT"/>
        </w:rPr>
        <w:t xml:space="preserve">7860 </w:t>
      </w:r>
      <w:proofErr w:type="spellStart"/>
      <w:r w:rsidRPr="00EB063F">
        <w:rPr>
          <w:szCs w:val="22"/>
          <w:lang w:val="lt-LT"/>
        </w:rPr>
        <w:t>Lessines</w:t>
      </w:r>
      <w:proofErr w:type="spellEnd"/>
    </w:p>
    <w:p w14:paraId="2CE03594" w14:textId="77777777" w:rsidR="00EB063F" w:rsidRPr="00EB063F" w:rsidRDefault="00EB063F" w:rsidP="00EB063F">
      <w:pPr>
        <w:spacing w:line="240" w:lineRule="auto"/>
        <w:rPr>
          <w:szCs w:val="22"/>
        </w:rPr>
      </w:pPr>
      <w:r w:rsidRPr="00EB063F">
        <w:rPr>
          <w:szCs w:val="22"/>
          <w:lang w:val="lt-LT"/>
        </w:rPr>
        <w:t>Belgija</w:t>
      </w:r>
    </w:p>
    <w:p w14:paraId="30743BB8" w14:textId="77777777" w:rsidR="00EB063F" w:rsidRPr="00EB063F" w:rsidRDefault="00EB063F" w:rsidP="00EB063F">
      <w:pPr>
        <w:spacing w:line="240" w:lineRule="auto"/>
        <w:rPr>
          <w:szCs w:val="22"/>
          <w:lang w:val="lt-LT"/>
        </w:rPr>
      </w:pPr>
    </w:p>
    <w:p w14:paraId="7623CA39" w14:textId="77777777" w:rsidR="00EB063F" w:rsidRPr="00EB063F" w:rsidRDefault="00EB063F" w:rsidP="00EB063F">
      <w:pPr>
        <w:spacing w:line="240" w:lineRule="auto"/>
        <w:ind w:left="567" w:hanging="567"/>
        <w:rPr>
          <w:szCs w:val="22"/>
          <w:lang w:val="lt-LT"/>
        </w:rPr>
      </w:pPr>
    </w:p>
    <w:p w14:paraId="5611D861" w14:textId="77777777" w:rsidR="00EB063F" w:rsidRPr="00EB063F" w:rsidRDefault="00EB063F" w:rsidP="00EB063F">
      <w:pPr>
        <w:spacing w:line="240" w:lineRule="auto"/>
        <w:ind w:right="-2"/>
        <w:rPr>
          <w:szCs w:val="22"/>
        </w:rPr>
      </w:pPr>
      <w:r w:rsidRPr="00EB063F">
        <w:rPr>
          <w:b/>
          <w:szCs w:val="22"/>
          <w:lang w:val="lt-LT"/>
        </w:rPr>
        <w:t>Šis vaistas EEE valstybėse narėse registruotas tokiais pavadinimais</w:t>
      </w:r>
      <w:r w:rsidRPr="00EB063F">
        <w:rPr>
          <w:szCs w:val="22"/>
          <w:lang w:val="lt-LT"/>
        </w:rPr>
        <w:t>:</w:t>
      </w:r>
    </w:p>
    <w:p w14:paraId="05A6DBD5" w14:textId="77777777" w:rsidR="00EB063F" w:rsidRPr="00EB063F" w:rsidRDefault="00EB063F" w:rsidP="00EB063F">
      <w:pPr>
        <w:spacing w:line="240" w:lineRule="auto"/>
        <w:ind w:left="567" w:hanging="567"/>
        <w:rPr>
          <w:szCs w:val="22"/>
          <w:lang w:val="lt-LT"/>
        </w:rPr>
      </w:pPr>
      <w:r w:rsidRPr="00EB063F">
        <w:rPr>
          <w:szCs w:val="22"/>
          <w:lang w:val="lt-LT"/>
        </w:rPr>
        <w:t>Belgija, Bulgarija, Kroatija, Kipras, Čekija, Estija, Prancūzija, Graikija, Vengrija, Italija, Latvija, Lietuva, Liuksemburgas, Nyderlandai, Rumunija, Slovėnija, Slovakija, Ispanija:</w:t>
      </w:r>
    </w:p>
    <w:p w14:paraId="6D4C1EA4" w14:textId="77777777" w:rsidR="00EB063F" w:rsidRPr="00EB063F" w:rsidRDefault="00EB063F" w:rsidP="00EB063F">
      <w:pPr>
        <w:spacing w:line="240" w:lineRule="auto"/>
        <w:ind w:left="567" w:hanging="567"/>
        <w:rPr>
          <w:szCs w:val="22"/>
          <w:lang w:val="lt-LT"/>
        </w:rPr>
      </w:pPr>
      <w:r w:rsidRPr="00EB063F">
        <w:rPr>
          <w:szCs w:val="22"/>
          <w:lang w:val="lt-LT"/>
        </w:rPr>
        <w:t xml:space="preserve">OLIMEL N12E </w:t>
      </w:r>
    </w:p>
    <w:p w14:paraId="1C40767C" w14:textId="77777777" w:rsidR="00EB063F" w:rsidRPr="00EB063F" w:rsidRDefault="00EB063F" w:rsidP="00EB063F">
      <w:pPr>
        <w:spacing w:line="240" w:lineRule="auto"/>
        <w:ind w:left="567" w:hanging="567"/>
        <w:rPr>
          <w:szCs w:val="22"/>
          <w:lang w:val="lt-LT"/>
        </w:rPr>
      </w:pPr>
    </w:p>
    <w:p w14:paraId="700E4517" w14:textId="77777777" w:rsidR="00EB063F" w:rsidRPr="00EB063F" w:rsidRDefault="00EB063F" w:rsidP="00EB063F">
      <w:pPr>
        <w:spacing w:line="240" w:lineRule="auto"/>
        <w:ind w:left="567" w:hanging="567"/>
        <w:rPr>
          <w:szCs w:val="22"/>
          <w:lang w:val="lt-LT"/>
        </w:rPr>
      </w:pPr>
      <w:r w:rsidRPr="00EB063F">
        <w:rPr>
          <w:szCs w:val="22"/>
          <w:lang w:val="lt-LT"/>
        </w:rPr>
        <w:t>Austrija:</w:t>
      </w:r>
    </w:p>
    <w:p w14:paraId="6E7D7F96" w14:textId="77777777" w:rsidR="00EB063F" w:rsidRPr="00EB063F" w:rsidRDefault="00EB063F" w:rsidP="00EB063F">
      <w:pPr>
        <w:spacing w:line="240" w:lineRule="auto"/>
        <w:ind w:left="567" w:hanging="567"/>
        <w:rPr>
          <w:szCs w:val="22"/>
          <w:lang w:val="lt-LT"/>
        </w:rPr>
      </w:pPr>
      <w:proofErr w:type="spellStart"/>
      <w:r w:rsidRPr="00EB063F">
        <w:rPr>
          <w:szCs w:val="22"/>
          <w:lang w:val="lt-LT"/>
        </w:rPr>
        <w:t>ZentroOLIMEL</w:t>
      </w:r>
      <w:proofErr w:type="spellEnd"/>
      <w:r w:rsidRPr="00EB063F">
        <w:rPr>
          <w:szCs w:val="22"/>
          <w:lang w:val="lt-LT"/>
        </w:rPr>
        <w:t xml:space="preserve"> 7,6 % </w:t>
      </w:r>
      <w:proofErr w:type="spellStart"/>
      <w:r w:rsidRPr="00EB063F">
        <w:rPr>
          <w:szCs w:val="22"/>
          <w:lang w:val="lt-LT"/>
        </w:rPr>
        <w:t>mit</w:t>
      </w:r>
      <w:proofErr w:type="spellEnd"/>
      <w:r w:rsidRPr="00EB063F">
        <w:rPr>
          <w:szCs w:val="22"/>
          <w:lang w:val="lt-LT"/>
        </w:rPr>
        <w:t xml:space="preserve"> </w:t>
      </w:r>
      <w:proofErr w:type="spellStart"/>
      <w:r w:rsidRPr="00EB063F">
        <w:rPr>
          <w:szCs w:val="22"/>
          <w:lang w:val="lt-LT"/>
        </w:rPr>
        <w:t>Elektrolyten</w:t>
      </w:r>
      <w:proofErr w:type="spellEnd"/>
    </w:p>
    <w:p w14:paraId="5F947DA0" w14:textId="77777777" w:rsidR="00EB063F" w:rsidRPr="00EB063F" w:rsidRDefault="00EB063F" w:rsidP="00EB063F">
      <w:pPr>
        <w:spacing w:line="240" w:lineRule="auto"/>
        <w:ind w:left="567" w:hanging="567"/>
        <w:rPr>
          <w:szCs w:val="22"/>
          <w:lang w:val="lt-LT"/>
        </w:rPr>
      </w:pPr>
    </w:p>
    <w:p w14:paraId="5EA43EC3" w14:textId="77777777" w:rsidR="00EB063F" w:rsidRPr="00EB063F" w:rsidRDefault="00EB063F" w:rsidP="00EB063F">
      <w:pPr>
        <w:spacing w:line="240" w:lineRule="auto"/>
        <w:ind w:left="567" w:hanging="567"/>
        <w:rPr>
          <w:szCs w:val="22"/>
          <w:lang w:val="lt-LT"/>
        </w:rPr>
      </w:pPr>
      <w:r w:rsidRPr="00EB063F">
        <w:rPr>
          <w:szCs w:val="22"/>
          <w:lang w:val="lt-LT"/>
        </w:rPr>
        <w:t>Vokietija:</w:t>
      </w:r>
    </w:p>
    <w:p w14:paraId="5E089E4C" w14:textId="77777777" w:rsidR="00EB063F" w:rsidRPr="00EB063F" w:rsidRDefault="00EB063F" w:rsidP="00EB063F">
      <w:pPr>
        <w:spacing w:line="240" w:lineRule="auto"/>
        <w:ind w:left="567" w:hanging="567"/>
        <w:rPr>
          <w:szCs w:val="22"/>
          <w:lang w:val="lt-LT"/>
        </w:rPr>
      </w:pPr>
      <w:proofErr w:type="spellStart"/>
      <w:r w:rsidRPr="00EB063F">
        <w:rPr>
          <w:szCs w:val="22"/>
          <w:lang w:val="lt-LT"/>
        </w:rPr>
        <w:t>Olimel</w:t>
      </w:r>
      <w:proofErr w:type="spellEnd"/>
      <w:r w:rsidRPr="00EB063F">
        <w:rPr>
          <w:szCs w:val="22"/>
          <w:lang w:val="lt-LT"/>
        </w:rPr>
        <w:t xml:space="preserve"> 7,6 % E </w:t>
      </w:r>
    </w:p>
    <w:p w14:paraId="0BADB330" w14:textId="77777777" w:rsidR="00EB063F" w:rsidRPr="00EB063F" w:rsidRDefault="00EB063F" w:rsidP="00EB063F">
      <w:pPr>
        <w:spacing w:line="240" w:lineRule="auto"/>
        <w:ind w:left="567" w:hanging="567"/>
        <w:rPr>
          <w:szCs w:val="22"/>
          <w:lang w:val="lt-LT"/>
        </w:rPr>
      </w:pPr>
    </w:p>
    <w:p w14:paraId="21BFE94B" w14:textId="77777777" w:rsidR="00EB063F" w:rsidRPr="00EB063F" w:rsidRDefault="00EB063F" w:rsidP="00EB063F">
      <w:pPr>
        <w:spacing w:line="240" w:lineRule="auto"/>
        <w:ind w:left="567" w:hanging="567"/>
        <w:rPr>
          <w:szCs w:val="22"/>
          <w:lang w:val="lt-LT"/>
        </w:rPr>
      </w:pPr>
      <w:r w:rsidRPr="00EB063F">
        <w:rPr>
          <w:szCs w:val="22"/>
          <w:lang w:val="lt-LT"/>
        </w:rPr>
        <w:t>Danija, Islandija, Švedija, Norvegija, Suomija, Lenkija, Portugalija:</w:t>
      </w:r>
    </w:p>
    <w:p w14:paraId="5A65A634" w14:textId="77777777" w:rsidR="00EB063F" w:rsidRPr="00EB063F" w:rsidRDefault="00EB063F" w:rsidP="00EB063F">
      <w:pPr>
        <w:spacing w:line="240" w:lineRule="auto"/>
        <w:ind w:left="567" w:hanging="567"/>
        <w:rPr>
          <w:szCs w:val="22"/>
          <w:lang w:val="lt-LT"/>
        </w:rPr>
      </w:pPr>
      <w:proofErr w:type="spellStart"/>
      <w:r w:rsidRPr="00EB063F">
        <w:rPr>
          <w:szCs w:val="22"/>
          <w:lang w:val="lt-LT"/>
        </w:rPr>
        <w:t>Olimel</w:t>
      </w:r>
      <w:proofErr w:type="spellEnd"/>
      <w:r w:rsidRPr="00EB063F">
        <w:rPr>
          <w:szCs w:val="22"/>
          <w:lang w:val="lt-LT"/>
        </w:rPr>
        <w:t xml:space="preserve"> N12E</w:t>
      </w:r>
    </w:p>
    <w:p w14:paraId="08A60F6E" w14:textId="77777777" w:rsidR="00EB063F" w:rsidRPr="00EB063F" w:rsidRDefault="00EB063F" w:rsidP="00EB063F">
      <w:pPr>
        <w:spacing w:line="240" w:lineRule="auto"/>
        <w:ind w:left="567" w:hanging="567"/>
        <w:rPr>
          <w:szCs w:val="22"/>
          <w:lang w:val="lt-LT"/>
        </w:rPr>
      </w:pPr>
    </w:p>
    <w:p w14:paraId="65AAB012" w14:textId="77777777" w:rsidR="00EB063F" w:rsidRPr="00EB063F" w:rsidRDefault="00EB063F" w:rsidP="00EB063F">
      <w:pPr>
        <w:spacing w:line="240" w:lineRule="auto"/>
        <w:ind w:left="567" w:hanging="567"/>
        <w:rPr>
          <w:szCs w:val="22"/>
          <w:lang w:val="lt-LT"/>
        </w:rPr>
      </w:pPr>
      <w:r w:rsidRPr="00EB063F">
        <w:rPr>
          <w:szCs w:val="22"/>
          <w:lang w:val="lt-LT"/>
        </w:rPr>
        <w:t>Airija, Malta, Jungtinė Karalystė:</w:t>
      </w:r>
    </w:p>
    <w:p w14:paraId="60319CD2" w14:textId="77777777" w:rsidR="00EB063F" w:rsidRPr="00EB063F" w:rsidRDefault="00EB063F" w:rsidP="00EB063F">
      <w:pPr>
        <w:spacing w:line="240" w:lineRule="auto"/>
        <w:ind w:left="567" w:hanging="567"/>
        <w:rPr>
          <w:szCs w:val="22"/>
          <w:lang w:val="lt-LT"/>
        </w:rPr>
      </w:pPr>
      <w:r w:rsidRPr="00EB063F">
        <w:rPr>
          <w:szCs w:val="22"/>
          <w:lang w:val="lt-LT"/>
        </w:rPr>
        <w:t xml:space="preserve">TRIOMEL 12 g/l </w:t>
      </w:r>
      <w:proofErr w:type="spellStart"/>
      <w:r w:rsidRPr="00EB063F">
        <w:rPr>
          <w:szCs w:val="22"/>
          <w:lang w:val="lt-LT"/>
        </w:rPr>
        <w:t>nitrogen</w:t>
      </w:r>
      <w:proofErr w:type="spellEnd"/>
      <w:r w:rsidRPr="00EB063F">
        <w:rPr>
          <w:szCs w:val="22"/>
          <w:lang w:val="lt-LT"/>
        </w:rPr>
        <w:t xml:space="preserve"> 950 kcal/l </w:t>
      </w:r>
      <w:proofErr w:type="spellStart"/>
      <w:r w:rsidRPr="00EB063F">
        <w:rPr>
          <w:szCs w:val="22"/>
          <w:lang w:val="lt-LT"/>
        </w:rPr>
        <w:t>with</w:t>
      </w:r>
      <w:proofErr w:type="spellEnd"/>
      <w:r w:rsidRPr="00EB063F">
        <w:rPr>
          <w:szCs w:val="22"/>
          <w:lang w:val="lt-LT"/>
        </w:rPr>
        <w:t xml:space="preserve"> </w:t>
      </w:r>
      <w:proofErr w:type="spellStart"/>
      <w:r w:rsidRPr="00EB063F">
        <w:rPr>
          <w:szCs w:val="22"/>
          <w:lang w:val="lt-LT"/>
        </w:rPr>
        <w:t>electrolytes</w:t>
      </w:r>
      <w:proofErr w:type="spellEnd"/>
      <w:r w:rsidRPr="00EB063F">
        <w:rPr>
          <w:szCs w:val="22"/>
          <w:lang w:val="lt-LT"/>
        </w:rPr>
        <w:t xml:space="preserve"> </w:t>
      </w:r>
    </w:p>
    <w:p w14:paraId="6A5A0EE9" w14:textId="77777777" w:rsidR="00EB063F" w:rsidRPr="00EB063F" w:rsidRDefault="00EB063F" w:rsidP="00EB063F">
      <w:pPr>
        <w:spacing w:line="240" w:lineRule="auto"/>
        <w:ind w:left="567" w:hanging="567"/>
        <w:rPr>
          <w:szCs w:val="22"/>
          <w:lang w:val="lt-LT"/>
        </w:rPr>
      </w:pPr>
    </w:p>
    <w:p w14:paraId="1BFAECB2" w14:textId="77777777" w:rsidR="00EB063F" w:rsidRPr="00EB063F" w:rsidRDefault="00EB063F" w:rsidP="00EB063F">
      <w:pPr>
        <w:spacing w:line="240" w:lineRule="auto"/>
        <w:ind w:left="567" w:hanging="567"/>
        <w:rPr>
          <w:szCs w:val="22"/>
          <w:lang w:val="lt-LT"/>
        </w:rPr>
      </w:pPr>
      <w:r w:rsidRPr="00EB063F">
        <w:rPr>
          <w:szCs w:val="22"/>
          <w:lang w:val="lt-LT"/>
        </w:rPr>
        <w:t>Vengrija:</w:t>
      </w:r>
    </w:p>
    <w:p w14:paraId="0457194C" w14:textId="77777777" w:rsidR="00EB063F" w:rsidRPr="00EB063F" w:rsidRDefault="00EB063F" w:rsidP="00EB063F">
      <w:pPr>
        <w:spacing w:line="240" w:lineRule="auto"/>
        <w:ind w:left="567" w:hanging="567"/>
        <w:rPr>
          <w:szCs w:val="22"/>
          <w:lang w:val="lt-LT"/>
        </w:rPr>
      </w:pPr>
      <w:proofErr w:type="spellStart"/>
      <w:r w:rsidRPr="00EB063F">
        <w:rPr>
          <w:szCs w:val="22"/>
          <w:lang w:val="lt-LT"/>
        </w:rPr>
        <w:t>Olimel</w:t>
      </w:r>
      <w:proofErr w:type="spellEnd"/>
      <w:r w:rsidRPr="00EB063F">
        <w:rPr>
          <w:szCs w:val="22"/>
          <w:lang w:val="lt-LT"/>
        </w:rPr>
        <w:t xml:space="preserve"> 12 g/l </w:t>
      </w:r>
      <w:proofErr w:type="spellStart"/>
      <w:r w:rsidRPr="00EB063F">
        <w:rPr>
          <w:szCs w:val="22"/>
          <w:lang w:val="lt-LT"/>
        </w:rPr>
        <w:t>nitrogén</w:t>
      </w:r>
      <w:proofErr w:type="spellEnd"/>
      <w:r w:rsidRPr="00EB063F">
        <w:rPr>
          <w:szCs w:val="22"/>
          <w:lang w:val="lt-LT"/>
        </w:rPr>
        <w:t xml:space="preserve"> </w:t>
      </w:r>
      <w:proofErr w:type="spellStart"/>
      <w:r w:rsidRPr="00EB063F">
        <w:rPr>
          <w:szCs w:val="22"/>
          <w:lang w:val="lt-LT"/>
        </w:rPr>
        <w:t>elektrolitokkal</w:t>
      </w:r>
      <w:proofErr w:type="spellEnd"/>
      <w:r w:rsidRPr="00EB063F">
        <w:rPr>
          <w:szCs w:val="22"/>
          <w:lang w:val="lt-LT"/>
        </w:rPr>
        <w:t xml:space="preserve"> </w:t>
      </w:r>
      <w:proofErr w:type="spellStart"/>
      <w:r w:rsidRPr="00EB063F">
        <w:rPr>
          <w:szCs w:val="22"/>
          <w:lang w:val="lt-LT"/>
        </w:rPr>
        <w:t>emulziós</w:t>
      </w:r>
      <w:proofErr w:type="spellEnd"/>
      <w:r w:rsidRPr="00EB063F">
        <w:rPr>
          <w:szCs w:val="22"/>
          <w:lang w:val="lt-LT"/>
        </w:rPr>
        <w:t xml:space="preserve"> </w:t>
      </w:r>
      <w:proofErr w:type="spellStart"/>
      <w:r w:rsidRPr="00EB063F">
        <w:rPr>
          <w:szCs w:val="22"/>
          <w:lang w:val="lt-LT"/>
        </w:rPr>
        <w:t>infúzió</w:t>
      </w:r>
      <w:proofErr w:type="spellEnd"/>
    </w:p>
    <w:p w14:paraId="1C7227AB" w14:textId="77777777" w:rsidR="00EB063F" w:rsidRPr="00EB063F" w:rsidRDefault="00EB063F" w:rsidP="00EB063F">
      <w:pPr>
        <w:spacing w:line="240" w:lineRule="auto"/>
        <w:ind w:left="567" w:hanging="567"/>
        <w:rPr>
          <w:szCs w:val="22"/>
          <w:lang w:val="lt-LT"/>
        </w:rPr>
      </w:pPr>
    </w:p>
    <w:p w14:paraId="6268814B" w14:textId="77777777" w:rsidR="00EB063F" w:rsidRPr="00EB063F" w:rsidRDefault="00EB063F" w:rsidP="00EB063F">
      <w:pPr>
        <w:spacing w:line="240" w:lineRule="auto"/>
        <w:ind w:left="567" w:hanging="567"/>
        <w:rPr>
          <w:szCs w:val="22"/>
          <w:lang w:val="lt-LT"/>
        </w:rPr>
      </w:pPr>
    </w:p>
    <w:p w14:paraId="5E350099" w14:textId="77777777" w:rsidR="00EB063F" w:rsidRPr="00EB063F" w:rsidRDefault="00EB063F" w:rsidP="00EB063F">
      <w:pPr>
        <w:tabs>
          <w:tab w:val="clear" w:pos="567"/>
          <w:tab w:val="left" w:pos="1296"/>
        </w:tabs>
        <w:spacing w:line="240" w:lineRule="auto"/>
        <w:ind w:right="-2"/>
        <w:rPr>
          <w:b/>
          <w:szCs w:val="22"/>
          <w:lang w:val="lt-LT"/>
        </w:rPr>
      </w:pPr>
      <w:r w:rsidRPr="00EB063F">
        <w:rPr>
          <w:b/>
          <w:szCs w:val="22"/>
          <w:lang w:val="lt-LT"/>
        </w:rPr>
        <w:t>Šis pakuotės lapelis paskutinį kartą peržiūrėtas 2026-02-15.</w:t>
      </w:r>
    </w:p>
    <w:p w14:paraId="3264CC11" w14:textId="77777777" w:rsidR="00EB063F" w:rsidRPr="00EB063F" w:rsidRDefault="00EB063F" w:rsidP="00EB063F">
      <w:pPr>
        <w:spacing w:line="240" w:lineRule="auto"/>
        <w:ind w:right="-2"/>
        <w:rPr>
          <w:i/>
          <w:szCs w:val="22"/>
          <w:lang w:val="lt-LT"/>
        </w:rPr>
      </w:pPr>
    </w:p>
    <w:p w14:paraId="5FF583E3" w14:textId="77777777" w:rsidR="00EB063F" w:rsidRPr="00EB063F" w:rsidRDefault="00EB063F" w:rsidP="00EB063F">
      <w:pPr>
        <w:spacing w:line="240" w:lineRule="auto"/>
        <w:ind w:right="-2"/>
        <w:rPr>
          <w:i/>
          <w:szCs w:val="22"/>
          <w:lang w:val="lt-LT"/>
        </w:rPr>
      </w:pPr>
    </w:p>
    <w:p w14:paraId="68D181E4" w14:textId="77777777" w:rsidR="00EB063F" w:rsidRPr="00EB063F" w:rsidRDefault="00EB063F" w:rsidP="00EB063F">
      <w:pPr>
        <w:spacing w:line="240" w:lineRule="auto"/>
        <w:ind w:right="-2"/>
        <w:rPr>
          <w:szCs w:val="22"/>
        </w:rPr>
      </w:pPr>
      <w:r w:rsidRPr="00EB063F">
        <w:rPr>
          <w:szCs w:val="22"/>
          <w:lang w:val="lt-LT"/>
        </w:rPr>
        <w:t>Išsami informacija apie šį vaistą pateikiama Valstybinės vaistų kontrolės tarnybos prie Lietuvos Respublikos sveikatos apsaugos ministerijos tinklalapyje</w:t>
      </w:r>
      <w:r w:rsidRPr="00EB063F">
        <w:rPr>
          <w:i/>
          <w:szCs w:val="22"/>
          <w:lang w:val="lt-LT"/>
        </w:rPr>
        <w:t xml:space="preserve"> </w:t>
      </w:r>
      <w:hyperlink r:id="rId5" w:history="1">
        <w:r w:rsidRPr="00EB063F">
          <w:rPr>
            <w:rStyle w:val="Hipersaitas"/>
            <w:rFonts w:eastAsia="SimSun"/>
            <w:color w:val="auto"/>
            <w:szCs w:val="22"/>
            <w:lang w:val="lt-LT"/>
          </w:rPr>
          <w:t>http://www.vvkt.lt/</w:t>
        </w:r>
      </w:hyperlink>
      <w:r w:rsidRPr="00EB063F">
        <w:rPr>
          <w:szCs w:val="22"/>
          <w:lang w:val="lt-LT"/>
        </w:rPr>
        <w:t>.</w:t>
      </w:r>
    </w:p>
    <w:p w14:paraId="4870ED48" w14:textId="77777777" w:rsidR="00EB063F" w:rsidRPr="00EB063F" w:rsidRDefault="00EB063F" w:rsidP="00EB063F">
      <w:pPr>
        <w:spacing w:line="240" w:lineRule="auto"/>
        <w:ind w:right="-2"/>
        <w:rPr>
          <w:szCs w:val="22"/>
          <w:lang w:val="lt-LT" w:eastAsia="lt-LT" w:bidi="lt-LT"/>
        </w:rPr>
      </w:pPr>
    </w:p>
    <w:p w14:paraId="2F4BBAC0" w14:textId="77777777" w:rsidR="00EB063F" w:rsidRPr="00EB063F" w:rsidRDefault="00EB063F" w:rsidP="00EB063F">
      <w:pPr>
        <w:tabs>
          <w:tab w:val="clear" w:pos="567"/>
          <w:tab w:val="left" w:pos="1296"/>
        </w:tabs>
        <w:spacing w:line="240" w:lineRule="auto"/>
        <w:ind w:right="-2"/>
        <w:rPr>
          <w:szCs w:val="22"/>
        </w:rPr>
      </w:pPr>
      <w:r w:rsidRPr="00EB063F">
        <w:rPr>
          <w:szCs w:val="22"/>
          <w:lang w:val="lt-LT" w:eastAsia="lt-LT" w:bidi="lt-LT"/>
        </w:rPr>
        <w:t>------------------------------------------------------------------------------------------------------------------------</w:t>
      </w:r>
    </w:p>
    <w:p w14:paraId="07481831" w14:textId="77777777" w:rsidR="00EB063F" w:rsidRPr="00EB063F" w:rsidRDefault="00EB063F" w:rsidP="00EB063F">
      <w:pPr>
        <w:tabs>
          <w:tab w:val="left" w:pos="2657"/>
        </w:tabs>
        <w:spacing w:line="240" w:lineRule="auto"/>
        <w:ind w:right="-28"/>
        <w:rPr>
          <w:szCs w:val="22"/>
          <w:lang w:val="lt-LT" w:eastAsia="lt-LT" w:bidi="lt-LT"/>
        </w:rPr>
      </w:pPr>
    </w:p>
    <w:p w14:paraId="73D4CB5E" w14:textId="77777777" w:rsidR="00EB063F" w:rsidRPr="00EB063F" w:rsidRDefault="00EB063F" w:rsidP="00EB063F">
      <w:pPr>
        <w:tabs>
          <w:tab w:val="left" w:pos="2657"/>
        </w:tabs>
        <w:spacing w:line="240" w:lineRule="auto"/>
        <w:ind w:left="-37" w:right="-28"/>
        <w:rPr>
          <w:szCs w:val="22"/>
        </w:rPr>
      </w:pPr>
      <w:r w:rsidRPr="00EB063F">
        <w:rPr>
          <w:b/>
          <w:szCs w:val="22"/>
          <w:lang w:val="lt-LT" w:eastAsia="lt-LT" w:bidi="lt-LT"/>
        </w:rPr>
        <w:t>Toliau pateikta informacija skirta tik sveikatos priežiūros specialistams:</w:t>
      </w:r>
    </w:p>
    <w:p w14:paraId="458ABE7F" w14:textId="77777777" w:rsidR="00EB063F" w:rsidRPr="00EB063F" w:rsidRDefault="00EB063F" w:rsidP="00EB063F">
      <w:pPr>
        <w:keepNext/>
        <w:spacing w:line="240" w:lineRule="auto"/>
        <w:ind w:left="567" w:hanging="567"/>
        <w:outlineLvl w:val="1"/>
        <w:rPr>
          <w:b/>
          <w:caps/>
          <w:szCs w:val="22"/>
        </w:rPr>
      </w:pPr>
    </w:p>
    <w:p w14:paraId="76BAF6F5" w14:textId="77777777" w:rsidR="00EB063F" w:rsidRPr="00EB063F" w:rsidRDefault="00EB063F" w:rsidP="00EB063F">
      <w:pPr>
        <w:keepNext/>
        <w:spacing w:line="240" w:lineRule="auto"/>
        <w:ind w:left="567" w:hanging="567"/>
        <w:outlineLvl w:val="1"/>
        <w:rPr>
          <w:szCs w:val="22"/>
        </w:rPr>
      </w:pPr>
      <w:r w:rsidRPr="00EB063F">
        <w:rPr>
          <w:b/>
          <w:caps/>
          <w:szCs w:val="22"/>
        </w:rPr>
        <w:t>A.</w:t>
      </w:r>
      <w:r w:rsidRPr="00EB063F">
        <w:rPr>
          <w:b/>
          <w:caps/>
          <w:szCs w:val="22"/>
        </w:rPr>
        <w:tab/>
      </w:r>
      <w:r w:rsidRPr="00EB063F">
        <w:rPr>
          <w:b/>
          <w:szCs w:val="22"/>
          <w:lang w:val="lt-LT"/>
        </w:rPr>
        <w:t>KOKYBINĖ IR KIEKYBINĖ SUDĖTIS</w:t>
      </w:r>
    </w:p>
    <w:p w14:paraId="7DA119A0" w14:textId="77777777" w:rsidR="00EB063F" w:rsidRPr="00EB063F" w:rsidRDefault="00EB063F" w:rsidP="00EB063F">
      <w:pPr>
        <w:keepNext/>
        <w:spacing w:line="240" w:lineRule="auto"/>
        <w:ind w:left="567" w:hanging="567"/>
        <w:outlineLvl w:val="1"/>
        <w:rPr>
          <w:b/>
          <w:szCs w:val="22"/>
          <w:lang w:val="lt-LT"/>
        </w:rPr>
      </w:pPr>
    </w:p>
    <w:p w14:paraId="2860FC7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OLIMEL N12E tiekiamas trijų kamerų maišelyje. </w:t>
      </w:r>
    </w:p>
    <w:p w14:paraId="2BC17BDB"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8B93D4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Kiekviename maišelyje yra gliukozės tirpalas su kalciu, lipidų emulsija ir aminorūgščių tirpalas su kitais elektrolitais.</w:t>
      </w:r>
    </w:p>
    <w:p w14:paraId="356F9F09"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tbl>
      <w:tblPr>
        <w:tblW w:w="4900" w:type="pct"/>
        <w:jc w:val="center"/>
        <w:tblLayout w:type="fixed"/>
        <w:tblCellMar>
          <w:left w:w="10" w:type="dxa"/>
          <w:right w:w="10" w:type="dxa"/>
        </w:tblCellMar>
        <w:tblLook w:val="04A0" w:firstRow="1" w:lastRow="0" w:firstColumn="1" w:lastColumn="0" w:noHBand="0" w:noVBand="1"/>
      </w:tblPr>
      <w:tblGrid>
        <w:gridCol w:w="3165"/>
        <w:gridCol w:w="1426"/>
        <w:gridCol w:w="1569"/>
        <w:gridCol w:w="1428"/>
        <w:gridCol w:w="1285"/>
      </w:tblGrid>
      <w:tr w:rsidR="00EB063F" w:rsidRPr="00EB063F" w14:paraId="005EE370" w14:textId="77777777" w:rsidTr="001E32CB">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34ED7F" w14:textId="77777777" w:rsidR="00EB063F" w:rsidRPr="00EB063F" w:rsidRDefault="00EB063F" w:rsidP="00EB063F">
            <w:pPr>
              <w:tabs>
                <w:tab w:val="clear" w:pos="567"/>
                <w:tab w:val="left" w:pos="1296"/>
              </w:tabs>
              <w:spacing w:line="240" w:lineRule="auto"/>
              <w:jc w:val="center"/>
              <w:rPr>
                <w:szCs w:val="22"/>
                <w:shd w:val="clear" w:color="auto" w:fill="FFFF00"/>
                <w:lang w:val="lt-LT" w:eastAsia="lt-LT" w:bidi="lt-LT"/>
              </w:rPr>
            </w:pPr>
          </w:p>
        </w:tc>
        <w:tc>
          <w:tcPr>
            <w:tcW w:w="56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87D0B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Maišelio turinys</w:t>
            </w:r>
          </w:p>
        </w:tc>
      </w:tr>
      <w:tr w:rsidR="00EB063F" w:rsidRPr="00EB063F" w14:paraId="103E1838" w14:textId="77777777" w:rsidTr="001E32CB">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47E2D4" w14:textId="77777777" w:rsidR="00EB063F" w:rsidRPr="00EB063F" w:rsidRDefault="00EB063F" w:rsidP="00EB063F">
            <w:pPr>
              <w:tabs>
                <w:tab w:val="clear" w:pos="567"/>
                <w:tab w:val="left" w:pos="1296"/>
              </w:tabs>
              <w:spacing w:line="240" w:lineRule="auto"/>
              <w:jc w:val="center"/>
              <w:rPr>
                <w:szCs w:val="22"/>
                <w:shd w:val="clear" w:color="auto" w:fill="FFFF00"/>
                <w:lang w:val="lt-LT" w:eastAsia="lt-LT" w:bidi="lt-LT"/>
              </w:rPr>
            </w:pP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D5C02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650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385D1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1 000 ml</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57666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1 500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FFBE8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2 000 ml</w:t>
            </w:r>
          </w:p>
        </w:tc>
      </w:tr>
      <w:tr w:rsidR="00EB063F" w:rsidRPr="00EB063F" w14:paraId="0348CCD5" w14:textId="77777777" w:rsidTr="001E32CB">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33CC8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27,5 % gliukozės tirpalas </w:t>
            </w:r>
          </w:p>
          <w:p w14:paraId="133A02A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(atitinkamai 27,5 g/100 ml)</w:t>
            </w: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848F9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173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8491C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267 ml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D972E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1A129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533 ml</w:t>
            </w:r>
          </w:p>
        </w:tc>
      </w:tr>
      <w:tr w:rsidR="00EB063F" w:rsidRPr="00EB063F" w14:paraId="364CB8FC" w14:textId="77777777" w:rsidTr="001E32CB">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E6B8E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14,2 % aminorūgščių tirpalas </w:t>
            </w:r>
          </w:p>
          <w:p w14:paraId="205086F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(atitinkamai 14,2 g/100 ml)</w:t>
            </w: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56A4D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347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FF561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533 ml</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95869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800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5851F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1067 ml</w:t>
            </w:r>
          </w:p>
        </w:tc>
      </w:tr>
      <w:tr w:rsidR="00EB063F" w:rsidRPr="00EB063F" w14:paraId="1F50E3CC" w14:textId="77777777" w:rsidTr="001E32CB">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616FF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17,5% lipidų emulsija </w:t>
            </w:r>
          </w:p>
          <w:p w14:paraId="0D1231F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(atitinkamai 17,5 g/100 ml)</w:t>
            </w: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13067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130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EC4FF0"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200 ml</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C366F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51846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400 ml</w:t>
            </w:r>
          </w:p>
        </w:tc>
      </w:tr>
    </w:tbl>
    <w:p w14:paraId="7D3FB90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0AB7E3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Paruoštos emulsijos sudėtis sumaišius trijų kamerų turinį:</w:t>
      </w:r>
    </w:p>
    <w:p w14:paraId="1E16EBDD"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tbl>
      <w:tblPr>
        <w:tblW w:w="5000" w:type="pct"/>
        <w:jc w:val="center"/>
        <w:tblLayout w:type="fixed"/>
        <w:tblCellMar>
          <w:left w:w="10" w:type="dxa"/>
          <w:right w:w="10" w:type="dxa"/>
        </w:tblCellMar>
        <w:tblLook w:val="04A0" w:firstRow="1" w:lastRow="0" w:firstColumn="1" w:lastColumn="0" w:noHBand="0" w:noVBand="1"/>
      </w:tblPr>
      <w:tblGrid>
        <w:gridCol w:w="3961"/>
        <w:gridCol w:w="1131"/>
        <w:gridCol w:w="1415"/>
        <w:gridCol w:w="1274"/>
        <w:gridCol w:w="1273"/>
      </w:tblGrid>
      <w:tr w:rsidR="00EB063F" w:rsidRPr="00EB063F" w14:paraId="39B7CE9F" w14:textId="77777777" w:rsidTr="001E32CB">
        <w:trPr>
          <w:trHeight w:val="255"/>
          <w:tblHeader/>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06340DE"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Veikliosios medžiagos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ABC7EB5"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650 ml</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C55BB8D"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1000 ml</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008C2E0"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1500 ml</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B28DD20"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2000 ml</w:t>
            </w:r>
          </w:p>
        </w:tc>
      </w:tr>
      <w:tr w:rsidR="00EB063F" w:rsidRPr="00EB063F" w14:paraId="22EA004D"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B7E73DD" w14:textId="6CB21A3F"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Rafinuotas alyvuogių aliejus ir rafinuotas sojų </w:t>
            </w:r>
            <w:proofErr w:type="spellStart"/>
            <w:r w:rsidRPr="00EB063F">
              <w:rPr>
                <w:szCs w:val="22"/>
                <w:lang w:val="lt-LT" w:eastAsia="lt-LT" w:bidi="lt-LT"/>
              </w:rPr>
              <w:t>aliejus</w:t>
            </w:r>
            <w:r w:rsidRPr="00EB063F">
              <w:rPr>
                <w:szCs w:val="22"/>
                <w:vertAlign w:val="superscript"/>
                <w:lang w:val="lt-LT" w:eastAsia="lt-LT" w:bidi="lt-LT"/>
              </w:rPr>
              <w:fldChar w:fldCharType="begin"/>
            </w:r>
            <w:r w:rsidRPr="00EB063F">
              <w:rPr>
                <w:szCs w:val="22"/>
                <w:vertAlign w:val="superscript"/>
                <w:lang w:val="lt-LT" w:eastAsia="lt-LT" w:bidi="lt-LT"/>
              </w:rPr>
              <w:instrText xml:space="preserve"> REF _Ref496697209 </w:instrText>
            </w:r>
            <w:r w:rsidRPr="00EB063F">
              <w:rPr>
                <w:szCs w:val="22"/>
                <w:vertAlign w:val="superscript"/>
                <w:lang w:val="lt-LT" w:eastAsia="lt-LT" w:bidi="lt-LT"/>
              </w:rPr>
              <w:instrText xml:space="preserve"> \* MERGEFORMAT </w:instrText>
            </w:r>
            <w:r w:rsidRPr="00EB063F">
              <w:rPr>
                <w:szCs w:val="22"/>
                <w:vertAlign w:val="superscript"/>
                <w:lang w:val="lt-LT" w:eastAsia="lt-LT" w:bidi="lt-LT"/>
              </w:rPr>
              <w:fldChar w:fldCharType="separate"/>
            </w:r>
            <w:r w:rsidRPr="00EB063F">
              <w:rPr>
                <w:szCs w:val="22"/>
                <w:vertAlign w:val="superscript"/>
                <w:lang w:val="lt-LT" w:eastAsia="lt-LT" w:bidi="lt-LT"/>
              </w:rPr>
              <w:t>a</w:t>
            </w:r>
            <w:proofErr w:type="spellEnd"/>
            <w:r w:rsidRPr="00EB063F">
              <w:rPr>
                <w:szCs w:val="22"/>
                <w:vertAlign w:val="superscript"/>
                <w:lang w:val="lt-LT" w:eastAsia="lt-LT" w:bidi="lt-LT"/>
              </w:rPr>
              <w:fldChar w:fldCharType="end"/>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D7C7"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22,75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F75B5BF"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35,00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1CA5306"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52,50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009E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70,00 g</w:t>
            </w:r>
          </w:p>
        </w:tc>
      </w:tr>
      <w:tr w:rsidR="00EB063F" w:rsidRPr="00EB063F" w14:paraId="271C750B"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61A41CC"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Alaninas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EEF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7,14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38DB0D4"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10,99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DC5729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16,48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89F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21,97 g</w:t>
            </w:r>
          </w:p>
        </w:tc>
      </w:tr>
      <w:tr w:rsidR="00EB063F" w:rsidRPr="00EB063F" w14:paraId="4626FA60"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9C30170" w14:textId="77777777"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Argininas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E26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4,84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76B820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7,44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267F167"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11,16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D25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14,88 g</w:t>
            </w:r>
          </w:p>
        </w:tc>
      </w:tr>
      <w:tr w:rsidR="00EB063F" w:rsidRPr="00EB063F" w14:paraId="7164FED1"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05FFE61"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Asparto</w:t>
            </w:r>
            <w:proofErr w:type="spellEnd"/>
            <w:r w:rsidRPr="00EB063F">
              <w:rPr>
                <w:szCs w:val="22"/>
                <w:lang w:val="lt-LT" w:eastAsia="lt-LT" w:bidi="lt-LT"/>
              </w:rPr>
              <w:t xml:space="preserve"> rūgštis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B05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1,43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1B0096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2,20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96530F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3,30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8CA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4,39 g</w:t>
            </w:r>
          </w:p>
        </w:tc>
      </w:tr>
      <w:tr w:rsidR="00EB063F" w:rsidRPr="00EB063F" w14:paraId="24BA3102"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A908672"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Glutamo</w:t>
            </w:r>
            <w:proofErr w:type="spellEnd"/>
            <w:r w:rsidRPr="00EB063F">
              <w:rPr>
                <w:szCs w:val="22"/>
                <w:lang w:val="lt-LT" w:eastAsia="lt-LT" w:bidi="lt-LT"/>
              </w:rPr>
              <w:t xml:space="preserve"> rūgštis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29A4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2,46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E649D7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4F9764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8DC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7,58 g</w:t>
            </w:r>
          </w:p>
        </w:tc>
      </w:tr>
      <w:tr w:rsidR="00EB063F" w:rsidRPr="00EB063F" w14:paraId="700C9566"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5F6D1E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Glicinas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2D6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3,42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B3B1DD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5F39A6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C26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10,53 g</w:t>
            </w:r>
          </w:p>
        </w:tc>
      </w:tr>
      <w:tr w:rsidR="00EB063F" w:rsidRPr="00EB063F" w14:paraId="54A809E6"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DCC5BCC" w14:textId="77777777"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Histidinas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70C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2,94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3F49F8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4,53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A993B8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6,79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DDEC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9,0</w:t>
            </w:r>
          </w:p>
        </w:tc>
      </w:tr>
      <w:tr w:rsidR="00EB063F" w:rsidRPr="00EB063F" w14:paraId="7C8518AA"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D90B0B1" w14:textId="77777777"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Izoleucinas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64F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C4962C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6600AB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904A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7,58 g</w:t>
            </w:r>
          </w:p>
        </w:tc>
      </w:tr>
      <w:tr w:rsidR="00EB063F" w:rsidRPr="00EB063F" w14:paraId="0B27FD50"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9103E53" w14:textId="77777777"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Leucinas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C6B4"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3,42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05AA4F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07816D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7,90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E26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10,53 g</w:t>
            </w:r>
          </w:p>
        </w:tc>
      </w:tr>
      <w:tr w:rsidR="00EB063F" w:rsidRPr="00EB063F" w14:paraId="6B429741"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82DA2C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Lizinas </w:t>
            </w:r>
            <w:r w:rsidRPr="00EB063F">
              <w:rPr>
                <w:szCs w:val="22"/>
                <w:lang w:val="lt-LT" w:eastAsia="lt-LT" w:bidi="lt-LT"/>
              </w:rPr>
              <w:br/>
              <w:t>(lizino acetato pavidalu)</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9A4E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3,88 g</w:t>
            </w:r>
            <w:r w:rsidRPr="00EB063F">
              <w:rPr>
                <w:szCs w:val="22"/>
                <w:lang w:val="lt-LT" w:eastAsia="lt-LT" w:bidi="lt-LT"/>
              </w:rPr>
              <w:br/>
              <w:t>(5,48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7C7DCC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5,97 g</w:t>
            </w:r>
            <w:r w:rsidRPr="00EB063F">
              <w:rPr>
                <w:szCs w:val="22"/>
                <w:lang w:val="lt-LT" w:eastAsia="lt-LT" w:bidi="lt-LT"/>
              </w:rPr>
              <w:br/>
              <w:t>(8,43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96D943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8,96 g </w:t>
            </w:r>
            <w:r w:rsidRPr="00EB063F">
              <w:rPr>
                <w:szCs w:val="22"/>
                <w:lang w:val="lt-LT" w:eastAsia="lt-LT" w:bidi="lt-LT"/>
              </w:rPr>
              <w:br/>
              <w:t>(12,64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A8B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11,95 g</w:t>
            </w:r>
            <w:r w:rsidRPr="00EB063F">
              <w:rPr>
                <w:szCs w:val="22"/>
                <w:lang w:val="lt-LT" w:eastAsia="lt-LT" w:bidi="lt-LT"/>
              </w:rPr>
              <w:br/>
              <w:t>(16,85 g)</w:t>
            </w:r>
          </w:p>
        </w:tc>
      </w:tr>
      <w:tr w:rsidR="00EB063F" w:rsidRPr="00EB063F" w14:paraId="6693C485"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4B179B8"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Metioninas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714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2,46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7E12D6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4985B6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7701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7,58 g</w:t>
            </w:r>
          </w:p>
        </w:tc>
      </w:tr>
      <w:tr w:rsidR="00EB063F" w:rsidRPr="00EB063F" w14:paraId="11EF9672"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DE71BED"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Fenilalaninas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7255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3,42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6D171ED"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C0C3E5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7,90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F7C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10,53 g</w:t>
            </w:r>
          </w:p>
        </w:tc>
      </w:tr>
      <w:tr w:rsidR="00EB063F" w:rsidRPr="00EB063F" w14:paraId="4D156EB7"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F6B4997" w14:textId="77777777"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Prolinas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E5D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2,94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E686DF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4,53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74F055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6,79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3420"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9,06 g</w:t>
            </w:r>
          </w:p>
        </w:tc>
      </w:tr>
      <w:tr w:rsidR="00EB063F" w:rsidRPr="00EB063F" w14:paraId="4D86ED77"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A453A12"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Serinas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AB57"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1,95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2A70A8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3,00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D4C131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4EB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5,99 g</w:t>
            </w:r>
          </w:p>
        </w:tc>
      </w:tr>
      <w:tr w:rsidR="00EB063F" w:rsidRPr="00EB063F" w14:paraId="5C5DD388"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C50DB67"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Treoninas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CAD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2,46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75BA4CD"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1CE084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FF09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7,58 g</w:t>
            </w:r>
          </w:p>
        </w:tc>
      </w:tr>
      <w:tr w:rsidR="00EB063F" w:rsidRPr="00EB063F" w14:paraId="2BF2A416"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688F0DC"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Triptofanas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CE35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0,82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DFA5C0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8A8F65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1,90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6A1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2,53 g</w:t>
            </w:r>
          </w:p>
        </w:tc>
      </w:tr>
      <w:tr w:rsidR="00EB063F" w:rsidRPr="00EB063F" w14:paraId="4AE4373B"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68DAE98"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Tirozinas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C57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0,13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EF6AA8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0,20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7F8465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0,30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F873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0,39 g</w:t>
            </w:r>
          </w:p>
        </w:tc>
      </w:tr>
      <w:tr w:rsidR="00EB063F" w:rsidRPr="00EB063F" w14:paraId="03B17271"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027A6E1" w14:textId="77777777" w:rsidR="00EB063F" w:rsidRPr="00EB063F" w:rsidRDefault="00EB063F" w:rsidP="00EB063F">
            <w:pPr>
              <w:tabs>
                <w:tab w:val="clear" w:pos="567"/>
                <w:tab w:val="left" w:pos="1296"/>
              </w:tabs>
              <w:spacing w:line="240" w:lineRule="auto"/>
              <w:jc w:val="center"/>
              <w:rPr>
                <w:szCs w:val="22"/>
                <w:lang w:val="lt-LT" w:eastAsia="lt-LT" w:bidi="lt-LT"/>
              </w:rPr>
            </w:pPr>
            <w:proofErr w:type="spellStart"/>
            <w:r w:rsidRPr="00EB063F">
              <w:rPr>
                <w:szCs w:val="22"/>
                <w:lang w:val="lt-LT" w:eastAsia="lt-LT" w:bidi="lt-LT"/>
              </w:rPr>
              <w:t>Valinas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D46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3,16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196B5B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4,86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DC5BA7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7,29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E6B2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9,72 g</w:t>
            </w:r>
          </w:p>
        </w:tc>
      </w:tr>
      <w:tr w:rsidR="00EB063F" w:rsidRPr="00EB063F" w14:paraId="12F6724C"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80002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Natrio acetatas </w:t>
            </w:r>
            <w:proofErr w:type="spellStart"/>
            <w:r w:rsidRPr="00EB063F">
              <w:rPr>
                <w:szCs w:val="22"/>
                <w:lang w:val="lt-LT" w:eastAsia="lt-LT" w:bidi="lt-LT"/>
              </w:rPr>
              <w:t>trihidratas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31E0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0,97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CF4CDE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1,5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68C40C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2,24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0A1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2,99 g</w:t>
            </w:r>
          </w:p>
        </w:tc>
      </w:tr>
      <w:tr w:rsidR="00EB063F" w:rsidRPr="00EB063F" w14:paraId="0F413B71"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38B81D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Natrio </w:t>
            </w:r>
            <w:proofErr w:type="spellStart"/>
            <w:r w:rsidRPr="00EB063F">
              <w:rPr>
                <w:szCs w:val="22"/>
                <w:lang w:val="lt-LT" w:eastAsia="lt-LT" w:bidi="lt-LT"/>
              </w:rPr>
              <w:t>glicerofosfatas</w:t>
            </w:r>
            <w:proofErr w:type="spellEnd"/>
            <w:r w:rsidRPr="00EB063F">
              <w:rPr>
                <w:szCs w:val="22"/>
                <w:lang w:val="lt-LT" w:eastAsia="lt-LT" w:bidi="lt-LT"/>
              </w:rPr>
              <w:t xml:space="preserve"> hidratas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B95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2,39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8D4480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3,67g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2DD130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5,51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F55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7,34 g</w:t>
            </w:r>
          </w:p>
        </w:tc>
      </w:tr>
      <w:tr w:rsidR="00EB063F" w:rsidRPr="00EB063F" w14:paraId="1CD616CA"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49204F0"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Kalio chloridas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44F7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1,45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BF87D3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2,24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6E9692D"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3,35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4A47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4,47 g</w:t>
            </w:r>
          </w:p>
        </w:tc>
      </w:tr>
      <w:tr w:rsidR="00EB063F" w:rsidRPr="00EB063F" w14:paraId="0CF7039D"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C3507A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Magnio chloridas </w:t>
            </w:r>
            <w:proofErr w:type="spellStart"/>
            <w:r w:rsidRPr="00EB063F">
              <w:rPr>
                <w:szCs w:val="22"/>
                <w:lang w:val="lt-LT" w:eastAsia="lt-LT" w:bidi="lt-LT"/>
              </w:rPr>
              <w:t>heksahidratas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30A9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0,53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D6B731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0,81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E2C1B6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1,22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AED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1,62 g</w:t>
            </w:r>
          </w:p>
        </w:tc>
      </w:tr>
      <w:tr w:rsidR="00EB063F" w:rsidRPr="00EB063F" w14:paraId="683A0553" w14:textId="77777777" w:rsidTr="001E32CB">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B52569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Kalcio chloridas </w:t>
            </w:r>
            <w:proofErr w:type="spellStart"/>
            <w:r w:rsidRPr="00EB063F">
              <w:rPr>
                <w:szCs w:val="22"/>
                <w:lang w:val="lt-LT" w:eastAsia="lt-LT" w:bidi="lt-LT"/>
              </w:rPr>
              <w:t>dihidratas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577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0,34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A15647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0,52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1BB38B0"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0,77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988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1,03 g</w:t>
            </w:r>
          </w:p>
        </w:tc>
      </w:tr>
      <w:tr w:rsidR="00EB063F" w:rsidRPr="00EB063F" w14:paraId="1AFD56D0" w14:textId="77777777" w:rsidTr="001E32CB">
        <w:trPr>
          <w:trHeight w:val="347"/>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4EB274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Gliukozė</w:t>
            </w:r>
            <w:r w:rsidRPr="00EB063F">
              <w:rPr>
                <w:szCs w:val="22"/>
                <w:lang w:val="lt-LT" w:eastAsia="lt-LT" w:bidi="lt-LT"/>
              </w:rPr>
              <w:br/>
              <w:t xml:space="preserve">(gliukozės </w:t>
            </w:r>
            <w:proofErr w:type="spellStart"/>
            <w:r w:rsidRPr="00EB063F">
              <w:rPr>
                <w:szCs w:val="22"/>
                <w:lang w:val="lt-LT" w:eastAsia="lt-LT" w:bidi="lt-LT"/>
              </w:rPr>
              <w:t>monohidrato</w:t>
            </w:r>
            <w:proofErr w:type="spellEnd"/>
            <w:r w:rsidRPr="00EB063F">
              <w:rPr>
                <w:szCs w:val="22"/>
                <w:lang w:val="lt-LT" w:eastAsia="lt-LT" w:bidi="lt-LT"/>
              </w:rPr>
              <w:t xml:space="preserve"> pavidalu)</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EBEB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47,67 g</w:t>
            </w:r>
            <w:r w:rsidRPr="00EB063F">
              <w:rPr>
                <w:szCs w:val="22"/>
                <w:lang w:val="lt-LT" w:eastAsia="lt-LT" w:bidi="lt-LT"/>
              </w:rPr>
              <w:br/>
              <w:t>(52,43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13F81A60"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73,33 g</w:t>
            </w:r>
            <w:r w:rsidRPr="00EB063F">
              <w:rPr>
                <w:szCs w:val="22"/>
                <w:lang w:val="lt-LT" w:eastAsia="lt-LT" w:bidi="lt-LT"/>
              </w:rPr>
              <w:br/>
              <w:t>(80,67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301893D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110,00 g </w:t>
            </w:r>
            <w:r w:rsidRPr="00EB063F">
              <w:rPr>
                <w:szCs w:val="22"/>
                <w:lang w:val="lt-LT" w:eastAsia="lt-LT" w:bidi="lt-LT"/>
              </w:rPr>
              <w:br/>
              <w:t>(121,00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B829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146,67 g</w:t>
            </w:r>
            <w:r w:rsidRPr="00EB063F">
              <w:rPr>
                <w:szCs w:val="22"/>
                <w:lang w:val="lt-LT" w:eastAsia="lt-LT" w:bidi="lt-LT"/>
              </w:rPr>
              <w:br/>
              <w:t>(161,33 g)</w:t>
            </w:r>
          </w:p>
        </w:tc>
      </w:tr>
      <w:tr w:rsidR="00EB063F" w:rsidRPr="00EB063F" w14:paraId="61988DA1" w14:textId="77777777" w:rsidTr="001E32CB">
        <w:trPr>
          <w:trHeight w:val="347"/>
          <w:jc w:val="center"/>
        </w:trPr>
        <w:tc>
          <w:tcPr>
            <w:tcW w:w="9010" w:type="dxa"/>
            <w:gridSpan w:val="5"/>
            <w:tcBorders>
              <w:top w:val="single" w:sz="6" w:space="0" w:color="000000"/>
            </w:tcBorders>
            <w:tcMar>
              <w:top w:w="13" w:type="dxa"/>
              <w:left w:w="13" w:type="dxa"/>
              <w:bottom w:w="0" w:type="dxa"/>
              <w:right w:w="13" w:type="dxa"/>
            </w:tcMar>
            <w:vAlign w:val="bottom"/>
          </w:tcPr>
          <w:p w14:paraId="03F82463" w14:textId="77777777" w:rsidR="00EB063F" w:rsidRPr="00EB063F" w:rsidRDefault="00EB063F" w:rsidP="00EB063F">
            <w:pPr>
              <w:tabs>
                <w:tab w:val="left" w:pos="115"/>
              </w:tabs>
              <w:spacing w:line="240" w:lineRule="auto"/>
              <w:ind w:left="115" w:hanging="115"/>
              <w:rPr>
                <w:szCs w:val="22"/>
                <w:lang w:val="lt-LT" w:eastAsia="lt-LT" w:bidi="lt-LT"/>
              </w:rPr>
            </w:pPr>
            <w:r w:rsidRPr="00EB063F">
              <w:rPr>
                <w:szCs w:val="22"/>
                <w:vertAlign w:val="superscript"/>
                <w:lang w:val="lt-LT" w:eastAsia="lt-LT" w:bidi="lt-LT"/>
              </w:rPr>
              <w:fldChar w:fldCharType="begin"/>
            </w:r>
            <w:r w:rsidRPr="00EB063F">
              <w:rPr>
                <w:szCs w:val="22"/>
                <w:vertAlign w:val="superscript"/>
                <w:lang w:val="lt-LT" w:eastAsia="lt-LT" w:bidi="lt-LT"/>
              </w:rPr>
              <w:instrText xml:space="preserve"> REF _Ref496697209  \* MERGEFORMAT </w:instrText>
            </w:r>
            <w:r w:rsidRPr="00EB063F">
              <w:rPr>
                <w:szCs w:val="22"/>
                <w:vertAlign w:val="superscript"/>
                <w:lang w:val="lt-LT" w:eastAsia="lt-LT" w:bidi="lt-LT"/>
              </w:rPr>
              <w:fldChar w:fldCharType="separate"/>
            </w:r>
            <w:proofErr w:type="spellStart"/>
            <w:r w:rsidRPr="00EB063F">
              <w:rPr>
                <w:szCs w:val="22"/>
                <w:vertAlign w:val="superscript"/>
                <w:lang w:val="lt-LT" w:eastAsia="lt-LT" w:bidi="lt-LT"/>
              </w:rPr>
              <w:t>a</w:t>
            </w:r>
            <w:r w:rsidRPr="00EB063F">
              <w:rPr>
                <w:szCs w:val="22"/>
                <w:vertAlign w:val="superscript"/>
                <w:lang w:val="lt-LT" w:eastAsia="lt-LT" w:bidi="lt-LT"/>
              </w:rPr>
              <w:fldChar w:fldCharType="end"/>
            </w:r>
            <w:r w:rsidRPr="00EB063F">
              <w:rPr>
                <w:szCs w:val="22"/>
                <w:lang w:val="lt-LT" w:eastAsia="lt-LT" w:bidi="lt-LT"/>
              </w:rPr>
              <w:t>Rafinuoto</w:t>
            </w:r>
            <w:proofErr w:type="spellEnd"/>
            <w:r w:rsidRPr="00EB063F">
              <w:rPr>
                <w:szCs w:val="22"/>
                <w:lang w:val="lt-LT" w:eastAsia="lt-LT" w:bidi="lt-LT"/>
              </w:rPr>
              <w:t xml:space="preserve"> alyvuogių aliejaus (apie 80 %) ir rafinuoto sojų aliejaus (apie 20 %) mišinys atitinka nepakeičiamųjų riebalų rūgščių / 20 % bendrojo riebalų rūgščių kiekio santykį.</w:t>
            </w:r>
          </w:p>
        </w:tc>
      </w:tr>
    </w:tbl>
    <w:p w14:paraId="347E4503"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B2A50A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Pagalbinės medžiagos:</w:t>
      </w:r>
    </w:p>
    <w:p w14:paraId="51657C0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tbl>
      <w:tblPr>
        <w:tblW w:w="4900" w:type="pct"/>
        <w:jc w:val="center"/>
        <w:tblLayout w:type="fixed"/>
        <w:tblCellMar>
          <w:left w:w="10" w:type="dxa"/>
          <w:right w:w="10" w:type="dxa"/>
        </w:tblCellMar>
        <w:tblLook w:val="04A0" w:firstRow="1" w:lastRow="0" w:firstColumn="1" w:lastColumn="0" w:noHBand="0" w:noVBand="1"/>
      </w:tblPr>
      <w:tblGrid>
        <w:gridCol w:w="3447"/>
        <w:gridCol w:w="2713"/>
        <w:gridCol w:w="2713"/>
      </w:tblGrid>
      <w:tr w:rsidR="00EB063F" w:rsidRPr="00EB063F" w14:paraId="71359084" w14:textId="77777777" w:rsidTr="001E32CB">
        <w:trPr>
          <w:jc w:val="center"/>
        </w:trPr>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53CC2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lastRenderedPageBreak/>
              <w:t>Lipidų emulsijos</w:t>
            </w:r>
          </w:p>
          <w:p w14:paraId="52CC6D3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kamera</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87419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Aminorūgščių tirpalo su elektrolitais kamera</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EBC01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Gliukozės tirpalo su kalciu kamera</w:t>
            </w:r>
          </w:p>
        </w:tc>
      </w:tr>
      <w:tr w:rsidR="00EB063F" w:rsidRPr="00EB063F" w14:paraId="5EEBD142" w14:textId="77777777" w:rsidTr="001E32CB">
        <w:trPr>
          <w:jc w:val="center"/>
        </w:trPr>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F6078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Išgryninti kiaušinio fosfolipidai, </w:t>
            </w:r>
            <w:proofErr w:type="spellStart"/>
            <w:r w:rsidRPr="00EB063F">
              <w:rPr>
                <w:szCs w:val="22"/>
                <w:lang w:val="lt-LT" w:eastAsia="lt-LT" w:bidi="lt-LT"/>
              </w:rPr>
              <w:t>glicerolis</w:t>
            </w:r>
            <w:proofErr w:type="spellEnd"/>
            <w:r w:rsidRPr="00EB063F">
              <w:rPr>
                <w:szCs w:val="22"/>
                <w:lang w:val="lt-LT" w:eastAsia="lt-LT" w:bidi="lt-LT"/>
              </w:rPr>
              <w:t xml:space="preserve">, natrio </w:t>
            </w:r>
            <w:proofErr w:type="spellStart"/>
            <w:r w:rsidRPr="00EB063F">
              <w:rPr>
                <w:szCs w:val="22"/>
                <w:lang w:val="lt-LT" w:eastAsia="lt-LT" w:bidi="lt-LT"/>
              </w:rPr>
              <w:t>oleatas</w:t>
            </w:r>
            <w:proofErr w:type="spellEnd"/>
            <w:r w:rsidRPr="00EB063F">
              <w:rPr>
                <w:szCs w:val="22"/>
                <w:lang w:val="lt-LT" w:eastAsia="lt-LT" w:bidi="lt-LT"/>
              </w:rPr>
              <w:t>, natrio hidroksidas (pH reguliuoti), injekcinis vanduo</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8B64F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Ledinė acto rūgštis (pH reguliuoti), injekcinis vanduo</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AE186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Vandenilio chlorido rūgštis (pH reguliuoti), injekcinis vanduo</w:t>
            </w:r>
          </w:p>
        </w:tc>
      </w:tr>
    </w:tbl>
    <w:p w14:paraId="17C7ABA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210842C"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Kiekvienos talpos maišelio paruoštos emulsijos maistinė vertė:</w:t>
      </w:r>
    </w:p>
    <w:p w14:paraId="2EAB84C5"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tbl>
      <w:tblPr>
        <w:tblW w:w="5000" w:type="pct"/>
        <w:jc w:val="center"/>
        <w:tblLayout w:type="fixed"/>
        <w:tblCellMar>
          <w:left w:w="10" w:type="dxa"/>
          <w:right w:w="10" w:type="dxa"/>
        </w:tblCellMar>
        <w:tblLook w:val="04A0" w:firstRow="1" w:lastRow="0" w:firstColumn="1" w:lastColumn="0" w:noHBand="0" w:noVBand="1"/>
      </w:tblPr>
      <w:tblGrid>
        <w:gridCol w:w="3481"/>
        <w:gridCol w:w="1393"/>
        <w:gridCol w:w="1393"/>
        <w:gridCol w:w="1393"/>
        <w:gridCol w:w="1394"/>
      </w:tblGrid>
      <w:tr w:rsidR="00EB063F" w:rsidRPr="00EB063F" w14:paraId="186469A5" w14:textId="77777777" w:rsidTr="001E32CB">
        <w:trPr>
          <w:trHeight w:val="364"/>
          <w:tblHeader/>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5114BEB"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39A1B64"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650 ml</w:t>
            </w:r>
          </w:p>
        </w:tc>
        <w:tc>
          <w:tcPr>
            <w:tcW w:w="1386"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A197477"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1000 ml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95C85B"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1500 ml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6341DB5" w14:textId="77777777" w:rsidR="00EB063F" w:rsidRPr="00EB063F" w:rsidRDefault="00EB063F" w:rsidP="00EB063F">
            <w:pPr>
              <w:keepNext/>
              <w:tabs>
                <w:tab w:val="clear" w:pos="567"/>
                <w:tab w:val="left" w:pos="1296"/>
              </w:tabs>
              <w:spacing w:line="240" w:lineRule="auto"/>
              <w:jc w:val="center"/>
              <w:rPr>
                <w:rFonts w:eastAsia="MS Mincho"/>
                <w:b/>
                <w:szCs w:val="22"/>
                <w:lang w:val="lt-LT" w:eastAsia="lt-LT" w:bidi="lt-LT"/>
              </w:rPr>
            </w:pPr>
            <w:r w:rsidRPr="00EB063F">
              <w:rPr>
                <w:rFonts w:eastAsia="MS Mincho"/>
                <w:b/>
                <w:szCs w:val="22"/>
                <w:lang w:val="lt-LT" w:eastAsia="lt-LT" w:bidi="lt-LT"/>
              </w:rPr>
              <w:t>2000 ml</w:t>
            </w:r>
          </w:p>
        </w:tc>
      </w:tr>
      <w:tr w:rsidR="00EB063F" w:rsidRPr="00EB063F" w14:paraId="16B955A8" w14:textId="77777777" w:rsidTr="001E32CB">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F359DF4"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Lipidai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990A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22,8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F2E350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35,0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B5EEEB"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52,5 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09B73E0"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70,0 g</w:t>
            </w:r>
          </w:p>
        </w:tc>
      </w:tr>
      <w:tr w:rsidR="00EB063F" w:rsidRPr="00EB063F" w14:paraId="309FA8C0"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F17DC7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Aminorūgštys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23B5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49,4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65B5E9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75,9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A485C22"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113,9 </w:t>
            </w:r>
            <w:r w:rsidRPr="00EB063F">
              <w:rPr>
                <w:szCs w:val="22"/>
                <w:lang w:val="lt-LT" w:eastAsia="lt-LT" w:bidi="lt-LT"/>
              </w:rPr>
              <w:t>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0374AB"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151,9 </w:t>
            </w:r>
            <w:r w:rsidRPr="00EB063F">
              <w:rPr>
                <w:szCs w:val="22"/>
                <w:lang w:val="lt-LT" w:eastAsia="lt-LT" w:bidi="lt-LT"/>
              </w:rPr>
              <w:t>g</w:t>
            </w:r>
          </w:p>
        </w:tc>
      </w:tr>
      <w:tr w:rsidR="00EB063F" w:rsidRPr="00EB063F" w14:paraId="7387BBB6"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819A56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Azotas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BC14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7,8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1629EA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12,0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F6E438B"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18,0 </w:t>
            </w:r>
            <w:r w:rsidRPr="00EB063F">
              <w:rPr>
                <w:szCs w:val="22"/>
                <w:lang w:val="lt-LT" w:eastAsia="lt-LT" w:bidi="lt-LT"/>
              </w:rPr>
              <w:t>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421E62B"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24,0 </w:t>
            </w:r>
            <w:r w:rsidRPr="00EB063F">
              <w:rPr>
                <w:szCs w:val="22"/>
                <w:lang w:val="lt-LT" w:eastAsia="lt-LT" w:bidi="lt-LT"/>
              </w:rPr>
              <w:t>g</w:t>
            </w:r>
          </w:p>
        </w:tc>
      </w:tr>
      <w:tr w:rsidR="00EB063F" w:rsidRPr="00EB063F" w14:paraId="7E87FED1"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93928E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Gliukozė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2320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47,7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0A52A47"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73,3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B53BE6F"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110,0 </w:t>
            </w:r>
            <w:r w:rsidRPr="00EB063F">
              <w:rPr>
                <w:szCs w:val="22"/>
                <w:lang w:val="lt-LT" w:eastAsia="lt-LT" w:bidi="lt-LT"/>
              </w:rPr>
              <w:t>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6BD7D98"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146,7 </w:t>
            </w:r>
            <w:r w:rsidRPr="00EB063F">
              <w:rPr>
                <w:szCs w:val="22"/>
                <w:lang w:val="lt-LT" w:eastAsia="lt-LT" w:bidi="lt-LT"/>
              </w:rPr>
              <w:t>g</w:t>
            </w:r>
          </w:p>
        </w:tc>
      </w:tr>
      <w:tr w:rsidR="00EB063F" w:rsidRPr="00EB063F" w14:paraId="1EEA9C8B"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247868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Energinė vertė:</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07A0D"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657277B"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8925C97"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F714ED"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r>
      <w:tr w:rsidR="00EB063F" w:rsidRPr="00EB063F" w14:paraId="1829CD91"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9844F2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Bendras kalorijų kiekis (apytikslė vertė)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E1A2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620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A9F56B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950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CD8112"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1 420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FDD4EED"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1 900 kcal</w:t>
            </w:r>
          </w:p>
        </w:tc>
      </w:tr>
      <w:tr w:rsidR="00EB063F" w:rsidRPr="00EB063F" w14:paraId="5BE7927D"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6BFE3B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Nebaltyminės kalorijos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F5AC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420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89ACE8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640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F1CE08"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960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87A0390"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1280 kcal</w:t>
            </w:r>
          </w:p>
        </w:tc>
      </w:tr>
      <w:tr w:rsidR="00EB063F" w:rsidRPr="00EB063F" w14:paraId="174F548D"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DEBA3D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Gliukozės kalorijos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8840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190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FEE117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290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B20743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430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17637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580 kcal</w:t>
            </w:r>
          </w:p>
        </w:tc>
      </w:tr>
      <w:tr w:rsidR="00EB063F" w:rsidRPr="00EB063F" w14:paraId="30B237F5" w14:textId="77777777" w:rsidTr="001E32CB">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96B5EEB" w14:textId="07A5E3C4"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Lipidų </w:t>
            </w:r>
            <w:proofErr w:type="spellStart"/>
            <w:r w:rsidRPr="00EB063F">
              <w:rPr>
                <w:szCs w:val="22"/>
                <w:lang w:val="lt-LT" w:eastAsia="lt-LT" w:bidi="lt-LT"/>
              </w:rPr>
              <w:t>kalorijos</w:t>
            </w:r>
            <w:r w:rsidRPr="00EB063F">
              <w:rPr>
                <w:szCs w:val="22"/>
                <w:vertAlign w:val="superscript"/>
                <w:lang w:val="lt-LT" w:eastAsia="lt-LT" w:bidi="lt-LT"/>
              </w:rPr>
              <w:fldChar w:fldCharType="begin"/>
            </w:r>
            <w:r w:rsidRPr="00EB063F">
              <w:rPr>
                <w:szCs w:val="22"/>
                <w:vertAlign w:val="superscript"/>
                <w:lang w:val="lt-LT" w:eastAsia="lt-LT" w:bidi="lt-LT"/>
              </w:rPr>
              <w:instrText xml:space="preserve"> REF _Ref496696803 </w:instrText>
            </w:r>
            <w:r w:rsidRPr="00EB063F">
              <w:rPr>
                <w:szCs w:val="22"/>
                <w:vertAlign w:val="superscript"/>
                <w:lang w:val="lt-LT" w:eastAsia="lt-LT" w:bidi="lt-LT"/>
              </w:rPr>
              <w:instrText xml:space="preserve"> \* MERGEFORMAT </w:instrText>
            </w:r>
            <w:r w:rsidRPr="00EB063F">
              <w:rPr>
                <w:szCs w:val="22"/>
                <w:vertAlign w:val="superscript"/>
                <w:lang w:val="lt-LT" w:eastAsia="lt-LT" w:bidi="lt-LT"/>
              </w:rPr>
              <w:fldChar w:fldCharType="separate"/>
            </w:r>
            <w:r w:rsidRPr="00EB063F">
              <w:rPr>
                <w:szCs w:val="22"/>
                <w:vertAlign w:val="superscript"/>
                <w:lang w:val="lt-LT" w:eastAsia="lt-LT" w:bidi="lt-LT"/>
              </w:rPr>
              <w:t>b</w:t>
            </w:r>
            <w:proofErr w:type="spellEnd"/>
            <w:r w:rsidRPr="00EB063F">
              <w:rPr>
                <w:szCs w:val="22"/>
                <w:vertAlign w:val="superscript"/>
                <w:lang w:val="lt-LT" w:eastAsia="lt-LT" w:bidi="lt-LT"/>
              </w:rPr>
              <w:fldChar w:fldCharType="end"/>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531F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230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8FAAD5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350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3D8CFEE"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r w:rsidRPr="00EB063F">
              <w:rPr>
                <w:rFonts w:eastAsia="Arial Unicode MS"/>
                <w:szCs w:val="22"/>
                <w:lang w:val="lt-LT" w:eastAsia="lt-LT" w:bidi="lt-LT"/>
              </w:rPr>
              <w:t>520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FAD9176" w14:textId="77777777" w:rsidR="00EB063F" w:rsidRPr="00EB063F" w:rsidRDefault="00EB063F" w:rsidP="00EB063F">
            <w:pPr>
              <w:tabs>
                <w:tab w:val="clear" w:pos="567"/>
                <w:tab w:val="left" w:pos="1296"/>
              </w:tabs>
              <w:spacing w:line="240" w:lineRule="auto"/>
              <w:jc w:val="center"/>
              <w:rPr>
                <w:szCs w:val="22"/>
              </w:rPr>
            </w:pPr>
            <w:r w:rsidRPr="00EB063F">
              <w:rPr>
                <w:rFonts w:eastAsia="Arial Unicode MS"/>
                <w:szCs w:val="22"/>
                <w:lang w:val="lt-LT" w:eastAsia="lt-LT" w:bidi="lt-LT"/>
              </w:rPr>
              <w:t>700 kcal</w:t>
            </w:r>
          </w:p>
        </w:tc>
      </w:tr>
      <w:tr w:rsidR="00EB063F" w:rsidRPr="00EB063F" w14:paraId="4854DB8E"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0196E8C" w14:textId="77777777" w:rsidR="00EB063F" w:rsidRPr="00EB063F" w:rsidRDefault="00EB063F" w:rsidP="00EB063F">
            <w:pPr>
              <w:tabs>
                <w:tab w:val="clear" w:pos="567"/>
                <w:tab w:val="left" w:pos="1296"/>
              </w:tabs>
              <w:spacing w:line="240" w:lineRule="auto"/>
              <w:jc w:val="center"/>
              <w:rPr>
                <w:rFonts w:eastAsia="Arial Unicode MS"/>
                <w:szCs w:val="22"/>
                <w:lang w:val="fr-FR"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2C1B5" w14:textId="77777777" w:rsidR="00EB063F" w:rsidRPr="00EB063F" w:rsidRDefault="00EB063F" w:rsidP="00EB063F">
            <w:pPr>
              <w:tabs>
                <w:tab w:val="clear" w:pos="567"/>
                <w:tab w:val="left" w:pos="1296"/>
              </w:tabs>
              <w:spacing w:line="240" w:lineRule="auto"/>
              <w:jc w:val="center"/>
              <w:rPr>
                <w:rFonts w:eastAsia="Arial Unicode MS"/>
                <w:szCs w:val="22"/>
                <w:lang w:val="fr-FR" w:eastAsia="lt-LT" w:bidi="lt-LT"/>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6BE1638" w14:textId="77777777" w:rsidR="00EB063F" w:rsidRPr="00EB063F" w:rsidRDefault="00EB063F" w:rsidP="00EB063F">
            <w:pPr>
              <w:tabs>
                <w:tab w:val="clear" w:pos="567"/>
                <w:tab w:val="left" w:pos="1296"/>
              </w:tabs>
              <w:spacing w:line="240" w:lineRule="auto"/>
              <w:jc w:val="center"/>
              <w:rPr>
                <w:rFonts w:eastAsia="Arial Unicode MS"/>
                <w:szCs w:val="22"/>
                <w:lang w:val="fr-FR"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673789" w14:textId="77777777" w:rsidR="00EB063F" w:rsidRPr="00EB063F" w:rsidRDefault="00EB063F" w:rsidP="00EB063F">
            <w:pPr>
              <w:tabs>
                <w:tab w:val="clear" w:pos="567"/>
                <w:tab w:val="left" w:pos="1296"/>
              </w:tabs>
              <w:spacing w:line="240" w:lineRule="auto"/>
              <w:jc w:val="center"/>
              <w:rPr>
                <w:rFonts w:eastAsia="Arial Unicode MS"/>
                <w:szCs w:val="22"/>
                <w:lang w:val="fr-FR" w:eastAsia="lt-LT" w:bidi="lt-LT"/>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3CA70C4" w14:textId="77777777" w:rsidR="00EB063F" w:rsidRPr="00EB063F" w:rsidRDefault="00EB063F" w:rsidP="00EB063F">
            <w:pPr>
              <w:tabs>
                <w:tab w:val="clear" w:pos="567"/>
                <w:tab w:val="left" w:pos="1296"/>
              </w:tabs>
              <w:spacing w:line="240" w:lineRule="auto"/>
              <w:jc w:val="center"/>
              <w:rPr>
                <w:rFonts w:eastAsia="Arial Unicode MS"/>
                <w:szCs w:val="22"/>
                <w:lang w:val="fr-FR" w:eastAsia="lt-LT" w:bidi="lt-LT"/>
              </w:rPr>
            </w:pPr>
          </w:p>
        </w:tc>
      </w:tr>
      <w:tr w:rsidR="00EB063F" w:rsidRPr="00EB063F" w14:paraId="08E2EEB9"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A77B3F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Nebaltyminių kalorijų / azoto santykis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F313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53 kcal/g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C4EFC64"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53 kcal/g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D356F2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53 kcal/g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F526E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53 kcal/g</w:t>
            </w:r>
          </w:p>
        </w:tc>
      </w:tr>
      <w:tr w:rsidR="00EB063F" w:rsidRPr="00EB063F" w14:paraId="6431D43B"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4ECF18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Gliukozės / lipidų kalorijų santykis</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A4BA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45/55</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D34A1A0"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45/55</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729692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45/55</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AB45BC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45/55</w:t>
            </w:r>
          </w:p>
        </w:tc>
      </w:tr>
      <w:tr w:rsidR="00EB063F" w:rsidRPr="00EB063F" w14:paraId="3D8B624F"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6A7CDB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Lipidų kalorijos / bendras kalorijų kiekis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B25F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37%</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B3B673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37%</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0F2981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37%</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C0B924"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37%</w:t>
            </w:r>
          </w:p>
        </w:tc>
      </w:tr>
      <w:tr w:rsidR="00EB063F" w:rsidRPr="00EB063F" w14:paraId="6BF14FC9"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474E70"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Elektrolitai: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8DB14"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419778B"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00BCAEA"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744E6C" w14:textId="77777777" w:rsidR="00EB063F" w:rsidRPr="00EB063F" w:rsidRDefault="00EB063F" w:rsidP="00EB063F">
            <w:pPr>
              <w:tabs>
                <w:tab w:val="clear" w:pos="567"/>
                <w:tab w:val="left" w:pos="1296"/>
              </w:tabs>
              <w:spacing w:line="240" w:lineRule="auto"/>
              <w:jc w:val="center"/>
              <w:rPr>
                <w:rFonts w:eastAsia="Arial Unicode MS"/>
                <w:szCs w:val="22"/>
                <w:lang w:val="lt-LT" w:eastAsia="lt-LT" w:bidi="lt-LT"/>
              </w:rPr>
            </w:pPr>
          </w:p>
        </w:tc>
      </w:tr>
      <w:tr w:rsidR="00EB063F" w:rsidRPr="00EB063F" w14:paraId="553C5054" w14:textId="77777777" w:rsidTr="001E32CB">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38EC7F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Natris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9D83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22,8 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409C55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35,0 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5E4C6B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52,5 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4A83D1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70,0 </w:t>
            </w:r>
            <w:proofErr w:type="spellStart"/>
            <w:r w:rsidRPr="00EB063F">
              <w:rPr>
                <w:szCs w:val="22"/>
                <w:lang w:val="lt-LT" w:eastAsia="lt-LT" w:bidi="lt-LT"/>
              </w:rPr>
              <w:t>mmol</w:t>
            </w:r>
            <w:proofErr w:type="spellEnd"/>
          </w:p>
        </w:tc>
      </w:tr>
      <w:tr w:rsidR="00EB063F" w:rsidRPr="00EB063F" w14:paraId="4D0BCE23"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5E2907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Kalis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CF8E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19,5 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57671D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30,0 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BF930F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45,0 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D8965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60,0 </w:t>
            </w:r>
            <w:proofErr w:type="spellStart"/>
            <w:r w:rsidRPr="00EB063F">
              <w:rPr>
                <w:szCs w:val="22"/>
                <w:lang w:val="lt-LT" w:eastAsia="lt-LT" w:bidi="lt-LT"/>
              </w:rPr>
              <w:t>mmol</w:t>
            </w:r>
            <w:proofErr w:type="spellEnd"/>
          </w:p>
        </w:tc>
      </w:tr>
      <w:tr w:rsidR="00EB063F" w:rsidRPr="00EB063F" w14:paraId="00137CB8"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8EFE257"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Magnis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B045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2,6 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8724430"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4,0 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2AEC35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6,0 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88117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8,0 </w:t>
            </w:r>
            <w:proofErr w:type="spellStart"/>
            <w:r w:rsidRPr="00EB063F">
              <w:rPr>
                <w:szCs w:val="22"/>
                <w:lang w:val="lt-LT" w:eastAsia="lt-LT" w:bidi="lt-LT"/>
              </w:rPr>
              <w:t>mmol</w:t>
            </w:r>
            <w:proofErr w:type="spellEnd"/>
          </w:p>
        </w:tc>
      </w:tr>
      <w:tr w:rsidR="00EB063F" w:rsidRPr="00EB063F" w14:paraId="2185328D"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6A45B04"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Kalcis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4567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2,3 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AB5C23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3,5 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9E91F2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5,3 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F5C430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7,0 </w:t>
            </w:r>
            <w:proofErr w:type="spellStart"/>
            <w:r w:rsidRPr="00EB063F">
              <w:rPr>
                <w:szCs w:val="22"/>
                <w:lang w:val="lt-LT" w:eastAsia="lt-LT" w:bidi="lt-LT"/>
              </w:rPr>
              <w:t>mmol</w:t>
            </w:r>
            <w:proofErr w:type="spellEnd"/>
          </w:p>
        </w:tc>
      </w:tr>
      <w:tr w:rsidR="00EB063F" w:rsidRPr="00EB063F" w14:paraId="00BEA05B"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DF1031F" w14:textId="021F99DE"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Fosfatai</w:t>
            </w:r>
            <w:r w:rsidRPr="00EB063F">
              <w:rPr>
                <w:szCs w:val="22"/>
                <w:vertAlign w:val="superscript"/>
                <w:lang w:val="lt-LT" w:eastAsia="lt-LT" w:bidi="lt-LT"/>
              </w:rPr>
              <w:fldChar w:fldCharType="begin"/>
            </w:r>
            <w:r w:rsidRPr="00EB063F">
              <w:rPr>
                <w:szCs w:val="22"/>
                <w:vertAlign w:val="superscript"/>
                <w:lang w:val="lt-LT" w:eastAsia="lt-LT" w:bidi="lt-LT"/>
              </w:rPr>
              <w:instrText xml:space="preserve"> REF _Ref496696812 </w:instrText>
            </w:r>
            <w:r w:rsidRPr="00EB063F">
              <w:rPr>
                <w:szCs w:val="22"/>
                <w:vertAlign w:val="superscript"/>
                <w:lang w:val="lt-LT" w:eastAsia="lt-LT" w:bidi="lt-LT"/>
              </w:rPr>
              <w:instrText xml:space="preserve"> \* MERGEFORMAT </w:instrText>
            </w:r>
            <w:r w:rsidRPr="00EB063F">
              <w:rPr>
                <w:szCs w:val="22"/>
                <w:vertAlign w:val="superscript"/>
                <w:lang w:val="lt-LT" w:eastAsia="lt-LT" w:bidi="lt-LT"/>
              </w:rPr>
              <w:fldChar w:fldCharType="separate"/>
            </w:r>
            <w:r w:rsidRPr="00EB063F">
              <w:rPr>
                <w:szCs w:val="22"/>
                <w:vertAlign w:val="superscript"/>
                <w:lang w:val="lt-LT" w:eastAsia="lt-LT" w:bidi="lt-LT"/>
              </w:rPr>
              <w:t>c</w:t>
            </w:r>
            <w:proofErr w:type="spellEnd"/>
            <w:r w:rsidRPr="00EB063F">
              <w:rPr>
                <w:szCs w:val="22"/>
                <w:vertAlign w:val="superscript"/>
                <w:lang w:val="lt-LT" w:eastAsia="lt-LT" w:bidi="lt-LT"/>
              </w:rPr>
              <w:fldChar w:fldCharType="end"/>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1831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9,5 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4DE15F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15,0 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FD890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21,9 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7FE69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29,2 </w:t>
            </w:r>
            <w:proofErr w:type="spellStart"/>
            <w:r w:rsidRPr="00EB063F">
              <w:rPr>
                <w:szCs w:val="22"/>
                <w:lang w:val="lt-LT" w:eastAsia="lt-LT" w:bidi="lt-LT"/>
              </w:rPr>
              <w:t>mmol</w:t>
            </w:r>
            <w:proofErr w:type="spellEnd"/>
          </w:p>
        </w:tc>
      </w:tr>
      <w:tr w:rsidR="00EB063F" w:rsidRPr="00EB063F" w14:paraId="20A2A459"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C1A60A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Acetatai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ADD36"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46 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50506D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70 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CE5553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105 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0309FA"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140 </w:t>
            </w:r>
            <w:proofErr w:type="spellStart"/>
            <w:r w:rsidRPr="00EB063F">
              <w:rPr>
                <w:szCs w:val="22"/>
                <w:lang w:val="lt-LT" w:eastAsia="lt-LT" w:bidi="lt-LT"/>
              </w:rPr>
              <w:t>mmol</w:t>
            </w:r>
            <w:proofErr w:type="spellEnd"/>
          </w:p>
        </w:tc>
      </w:tr>
      <w:tr w:rsidR="00EB063F" w:rsidRPr="00EB063F" w14:paraId="1DFD1407"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A87ACB9"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Chloridai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9E622"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30 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AFE97A5"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45 </w:t>
            </w:r>
            <w:proofErr w:type="spellStart"/>
            <w:r w:rsidRPr="00EB063F">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0C60F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68 </w:t>
            </w:r>
            <w:proofErr w:type="spellStart"/>
            <w:r w:rsidRPr="00EB063F">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9F1D82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90 </w:t>
            </w:r>
            <w:proofErr w:type="spellStart"/>
            <w:r w:rsidRPr="00EB063F">
              <w:rPr>
                <w:szCs w:val="22"/>
                <w:lang w:val="lt-LT" w:eastAsia="lt-LT" w:bidi="lt-LT"/>
              </w:rPr>
              <w:t>mmol</w:t>
            </w:r>
            <w:proofErr w:type="spellEnd"/>
          </w:p>
        </w:tc>
      </w:tr>
      <w:tr w:rsidR="00EB063F" w:rsidRPr="00EB063F" w14:paraId="50180568" w14:textId="77777777" w:rsidTr="001E32CB">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0F6003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 xml:space="preserve">pH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26C1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6,4</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68A94D60"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6,4</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A3D5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6,4</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0B1F7"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6,4</w:t>
            </w:r>
          </w:p>
        </w:tc>
      </w:tr>
      <w:tr w:rsidR="00EB063F" w:rsidRPr="00EB063F" w14:paraId="1E6B83E5" w14:textId="77777777" w:rsidTr="001E32CB">
        <w:trPr>
          <w:trHeight w:val="255"/>
          <w:jc w:val="center"/>
        </w:trPr>
        <w:tc>
          <w:tcPr>
            <w:tcW w:w="3465" w:type="dxa"/>
            <w:tcBorders>
              <w:top w:val="single" w:sz="6" w:space="0" w:color="000000"/>
              <w:left w:val="single" w:sz="6" w:space="0" w:color="000000"/>
              <w:bottom w:val="single" w:sz="4" w:space="0" w:color="auto"/>
              <w:right w:val="single" w:sz="6" w:space="0" w:color="000000"/>
            </w:tcBorders>
            <w:tcMar>
              <w:top w:w="13" w:type="dxa"/>
              <w:left w:w="13" w:type="dxa"/>
              <w:bottom w:w="0" w:type="dxa"/>
              <w:right w:w="13" w:type="dxa"/>
            </w:tcMar>
            <w:vAlign w:val="bottom"/>
          </w:tcPr>
          <w:p w14:paraId="449434DB" w14:textId="77777777"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Osmoliariškumas</w:t>
            </w:r>
            <w:proofErr w:type="spellEnd"/>
            <w:r w:rsidRPr="00EB063F">
              <w:rPr>
                <w:szCs w:val="22"/>
                <w:lang w:val="lt-LT" w:eastAsia="lt-LT" w:bidi="lt-LT"/>
              </w:rPr>
              <w:t xml:space="preserve"> (apytikslė vertė)</w:t>
            </w:r>
          </w:p>
        </w:tc>
        <w:tc>
          <w:tcPr>
            <w:tcW w:w="1386"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bottom"/>
          </w:tcPr>
          <w:p w14:paraId="04BC99B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1270 </w:t>
            </w:r>
            <w:proofErr w:type="spellStart"/>
            <w:r w:rsidRPr="00EB063F">
              <w:rPr>
                <w:szCs w:val="22"/>
                <w:lang w:val="lt-LT" w:eastAsia="lt-LT" w:bidi="lt-LT"/>
              </w:rPr>
              <w:t>mOsm</w:t>
            </w:r>
            <w:proofErr w:type="spellEnd"/>
            <w:r w:rsidRPr="00EB063F">
              <w:rPr>
                <w:szCs w:val="22"/>
                <w:lang w:val="lt-LT" w:eastAsia="lt-LT" w:bidi="lt-LT"/>
              </w:rPr>
              <w:t>/l</w:t>
            </w:r>
          </w:p>
        </w:tc>
        <w:tc>
          <w:tcPr>
            <w:tcW w:w="1386" w:type="dxa"/>
            <w:tcBorders>
              <w:top w:val="single" w:sz="6" w:space="0" w:color="000000"/>
              <w:left w:val="single" w:sz="6" w:space="0" w:color="000000"/>
              <w:bottom w:val="single" w:sz="4" w:space="0" w:color="auto"/>
              <w:right w:val="single" w:sz="6" w:space="0" w:color="000000"/>
            </w:tcBorders>
            <w:noWrap/>
            <w:tcMar>
              <w:top w:w="13" w:type="dxa"/>
              <w:left w:w="13" w:type="dxa"/>
              <w:bottom w:w="0" w:type="dxa"/>
              <w:right w:w="13" w:type="dxa"/>
            </w:tcMar>
            <w:vAlign w:val="bottom"/>
          </w:tcPr>
          <w:p w14:paraId="5262BBE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1270 </w:t>
            </w:r>
            <w:proofErr w:type="spellStart"/>
            <w:r w:rsidRPr="00EB063F">
              <w:rPr>
                <w:szCs w:val="22"/>
                <w:lang w:val="lt-LT" w:eastAsia="lt-LT" w:bidi="lt-LT"/>
              </w:rPr>
              <w:t>mOsm</w:t>
            </w:r>
            <w:proofErr w:type="spellEnd"/>
            <w:r w:rsidRPr="00EB063F">
              <w:rPr>
                <w:szCs w:val="22"/>
                <w:lang w:val="lt-LT" w:eastAsia="lt-LT" w:bidi="lt-LT"/>
              </w:rPr>
              <w:t>/l</w:t>
            </w:r>
          </w:p>
        </w:tc>
        <w:tc>
          <w:tcPr>
            <w:tcW w:w="1386"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bottom"/>
          </w:tcPr>
          <w:p w14:paraId="30CE86D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1270 </w:t>
            </w:r>
            <w:proofErr w:type="spellStart"/>
            <w:r w:rsidRPr="00EB063F">
              <w:rPr>
                <w:szCs w:val="22"/>
                <w:lang w:val="lt-LT" w:eastAsia="lt-LT" w:bidi="lt-LT"/>
              </w:rPr>
              <w:t>mOsm</w:t>
            </w:r>
            <w:proofErr w:type="spellEnd"/>
            <w:r w:rsidRPr="00EB063F">
              <w:rPr>
                <w:szCs w:val="22"/>
                <w:lang w:val="lt-LT" w:eastAsia="lt-LT" w:bidi="lt-LT"/>
              </w:rPr>
              <w:t>/l</w:t>
            </w:r>
          </w:p>
        </w:tc>
        <w:tc>
          <w:tcPr>
            <w:tcW w:w="1387"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bottom"/>
          </w:tcPr>
          <w:p w14:paraId="7E18F49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1270 </w:t>
            </w:r>
            <w:proofErr w:type="spellStart"/>
            <w:r w:rsidRPr="00EB063F">
              <w:rPr>
                <w:szCs w:val="22"/>
                <w:lang w:val="lt-LT" w:eastAsia="lt-LT" w:bidi="lt-LT"/>
              </w:rPr>
              <w:t>mOsm</w:t>
            </w:r>
            <w:proofErr w:type="spellEnd"/>
            <w:r w:rsidRPr="00EB063F">
              <w:rPr>
                <w:szCs w:val="22"/>
                <w:lang w:val="lt-LT" w:eastAsia="lt-LT" w:bidi="lt-LT"/>
              </w:rPr>
              <w:t>/l</w:t>
            </w:r>
          </w:p>
        </w:tc>
      </w:tr>
      <w:tr w:rsidR="00EB063F" w:rsidRPr="00EB063F" w14:paraId="77F05E64" w14:textId="77777777" w:rsidTr="001E32CB">
        <w:trPr>
          <w:trHeight w:val="255"/>
          <w:jc w:val="center"/>
        </w:trPr>
        <w:tc>
          <w:tcPr>
            <w:tcW w:w="9010" w:type="dxa"/>
            <w:gridSpan w:val="5"/>
            <w:tcBorders>
              <w:top w:val="single" w:sz="4" w:space="0" w:color="auto"/>
            </w:tcBorders>
            <w:tcMar>
              <w:top w:w="13" w:type="dxa"/>
              <w:left w:w="13" w:type="dxa"/>
              <w:bottom w:w="0" w:type="dxa"/>
              <w:right w:w="13" w:type="dxa"/>
            </w:tcMar>
            <w:vAlign w:val="bottom"/>
          </w:tcPr>
          <w:p w14:paraId="1DAFAF9A" w14:textId="77777777" w:rsidR="00EB063F" w:rsidRPr="00EB063F" w:rsidRDefault="00EB063F" w:rsidP="00EB063F">
            <w:pPr>
              <w:tabs>
                <w:tab w:val="left" w:pos="115"/>
              </w:tabs>
              <w:spacing w:line="240" w:lineRule="auto"/>
              <w:ind w:left="115" w:hanging="115"/>
              <w:rPr>
                <w:szCs w:val="22"/>
                <w:lang w:val="lt-LT" w:eastAsia="lt-LT" w:bidi="lt-LT"/>
              </w:rPr>
            </w:pPr>
            <w:bookmarkStart w:id="1" w:name="_Ref496696803"/>
            <w:proofErr w:type="spellStart"/>
            <w:r w:rsidRPr="00EB063F">
              <w:rPr>
                <w:szCs w:val="22"/>
                <w:vertAlign w:val="superscript"/>
                <w:lang w:val="lt-LT" w:eastAsia="lt-LT" w:bidi="lt-LT"/>
              </w:rPr>
              <w:t>b</w:t>
            </w:r>
            <w:r w:rsidRPr="00EB063F">
              <w:rPr>
                <w:szCs w:val="22"/>
                <w:lang w:val="lt-LT" w:eastAsia="lt-LT" w:bidi="lt-LT"/>
              </w:rPr>
              <w:t>Taip</w:t>
            </w:r>
            <w:proofErr w:type="spellEnd"/>
            <w:r w:rsidRPr="00EB063F">
              <w:rPr>
                <w:szCs w:val="22"/>
                <w:lang w:val="lt-LT" w:eastAsia="lt-LT" w:bidi="lt-LT"/>
              </w:rPr>
              <w:t xml:space="preserve"> pat ir kalorijos iš išgrynintų kiaušinio fosfolipidų</w:t>
            </w:r>
            <w:bookmarkEnd w:id="1"/>
          </w:p>
        </w:tc>
      </w:tr>
      <w:tr w:rsidR="00EB063F" w:rsidRPr="00EB063F" w14:paraId="5B7533F3" w14:textId="77777777" w:rsidTr="001E32CB">
        <w:trPr>
          <w:trHeight w:val="255"/>
          <w:jc w:val="center"/>
        </w:trPr>
        <w:tc>
          <w:tcPr>
            <w:tcW w:w="9010" w:type="dxa"/>
            <w:gridSpan w:val="5"/>
            <w:tcMar>
              <w:top w:w="13" w:type="dxa"/>
              <w:left w:w="13" w:type="dxa"/>
              <w:bottom w:w="0" w:type="dxa"/>
              <w:right w:w="13" w:type="dxa"/>
            </w:tcMar>
            <w:vAlign w:val="bottom"/>
          </w:tcPr>
          <w:p w14:paraId="5B620C0D" w14:textId="77777777" w:rsidR="00EB063F" w:rsidRPr="00EB063F" w:rsidRDefault="00EB063F" w:rsidP="00EB063F">
            <w:pPr>
              <w:tabs>
                <w:tab w:val="left" w:pos="115"/>
              </w:tabs>
              <w:spacing w:line="240" w:lineRule="auto"/>
              <w:ind w:left="115" w:hanging="115"/>
              <w:rPr>
                <w:szCs w:val="22"/>
                <w:lang w:val="lt-LT" w:eastAsia="lt-LT" w:bidi="lt-LT"/>
              </w:rPr>
            </w:pPr>
            <w:bookmarkStart w:id="2" w:name="_Ref496696812"/>
            <w:proofErr w:type="spellStart"/>
            <w:r w:rsidRPr="00EB063F">
              <w:rPr>
                <w:szCs w:val="22"/>
                <w:vertAlign w:val="superscript"/>
                <w:lang w:val="lt-LT" w:eastAsia="lt-LT" w:bidi="lt-LT"/>
              </w:rPr>
              <w:t>c</w:t>
            </w:r>
            <w:r w:rsidRPr="00EB063F">
              <w:rPr>
                <w:szCs w:val="22"/>
                <w:lang w:val="lt-LT" w:eastAsia="lt-LT" w:bidi="lt-LT"/>
              </w:rPr>
              <w:t>Taip</w:t>
            </w:r>
            <w:proofErr w:type="spellEnd"/>
            <w:r w:rsidRPr="00EB063F">
              <w:rPr>
                <w:szCs w:val="22"/>
                <w:lang w:val="lt-LT" w:eastAsia="lt-LT" w:bidi="lt-LT"/>
              </w:rPr>
              <w:t xml:space="preserve"> pat ir fosfatai, gauti iš lipidų emulsijos</w:t>
            </w:r>
            <w:bookmarkEnd w:id="2"/>
          </w:p>
        </w:tc>
      </w:tr>
    </w:tbl>
    <w:p w14:paraId="3A56DA54" w14:textId="77777777" w:rsidR="00EB063F" w:rsidRPr="00EB063F" w:rsidRDefault="00EB063F" w:rsidP="00EB063F">
      <w:pPr>
        <w:keepNext/>
        <w:tabs>
          <w:tab w:val="clear" w:pos="567"/>
          <w:tab w:val="left" w:pos="1296"/>
        </w:tabs>
        <w:spacing w:line="240" w:lineRule="auto"/>
        <w:outlineLvl w:val="0"/>
        <w:rPr>
          <w:rFonts w:eastAsia="MS Mincho"/>
          <w:b/>
          <w:bCs/>
          <w:caps/>
          <w:szCs w:val="22"/>
          <w:lang w:val="lt-LT" w:eastAsia="lt-LT" w:bidi="lt-LT"/>
        </w:rPr>
      </w:pPr>
    </w:p>
    <w:p w14:paraId="31029552" w14:textId="77777777" w:rsidR="00EB063F" w:rsidRPr="00EB063F" w:rsidRDefault="00EB063F" w:rsidP="00EB063F">
      <w:pPr>
        <w:keepNext/>
        <w:spacing w:line="240" w:lineRule="auto"/>
        <w:outlineLvl w:val="0"/>
        <w:rPr>
          <w:b/>
          <w:caps/>
          <w:szCs w:val="22"/>
        </w:rPr>
      </w:pPr>
      <w:r w:rsidRPr="00EB063F">
        <w:rPr>
          <w:b/>
          <w:caps/>
          <w:szCs w:val="22"/>
        </w:rPr>
        <w:t>B.</w:t>
      </w:r>
      <w:r w:rsidRPr="00EB063F">
        <w:rPr>
          <w:b/>
          <w:caps/>
          <w:szCs w:val="22"/>
        </w:rPr>
        <w:tab/>
        <w:t>Dozavimas ir vartojimo metodas</w:t>
      </w:r>
    </w:p>
    <w:p w14:paraId="4B27253C" w14:textId="77777777" w:rsidR="00EB063F" w:rsidRPr="00EB063F" w:rsidRDefault="00EB063F" w:rsidP="00EB063F">
      <w:pPr>
        <w:keepNext/>
        <w:spacing w:line="240" w:lineRule="auto"/>
        <w:outlineLvl w:val="0"/>
        <w:rPr>
          <w:b/>
          <w:caps/>
          <w:szCs w:val="22"/>
        </w:rPr>
      </w:pPr>
    </w:p>
    <w:p w14:paraId="37CC3C59"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Dozavimas</w:t>
      </w:r>
    </w:p>
    <w:p w14:paraId="3133FC1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nerekomenduojama vartoti jaunesniems kaip 2 metų vaikams dėl netinkamos sudėties ir kiekio (žr. PCS 4.4, 5.1 ir 5.2 skyrius).</w:t>
      </w:r>
    </w:p>
    <w:p w14:paraId="325B15C9"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B5F9D87"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 xml:space="preserve">Negalima viršyti toliau nurodytos didžiausios paros dozės. Dėl statinės kelių kamerų maišelio sudėties gali būti neįmanoma vienu metu patenkinti visų paciento mitybos poreikių. Gali būti tokių klinikinių situacijų, kai pacientams reikalingų maistinių medžiagų kiekis skiriasi nuo statinės maišelio sudėties. </w:t>
      </w:r>
      <w:r w:rsidRPr="00EB063F">
        <w:rPr>
          <w:rFonts w:eastAsia="MS Mincho"/>
          <w:bCs/>
          <w:szCs w:val="22"/>
          <w:lang w:val="lt-LT" w:eastAsia="lt-LT" w:bidi="lt-LT"/>
        </w:rPr>
        <w:t xml:space="preserve">Tokiu atveju būtina įvertinti bet kokių kiekio (dozės) pakeitimų poveikį pacientui ir kokią įtaką tai turės visų kitų </w:t>
      </w:r>
      <w:r w:rsidRPr="00EB063F">
        <w:rPr>
          <w:rFonts w:eastAsia="MS Mincho"/>
          <w:szCs w:val="22"/>
          <w:lang w:val="lt-LT" w:eastAsia="lt-LT" w:bidi="lt-LT"/>
        </w:rPr>
        <w:t>OLIMEL N12E sudedamųjų maistinių medžiagų dozavimui. Tokiomis aplinkybėmis sveikatos priežiūros specialistai gali svarstyti galimybę pareguliuoti OLIMEL N12E kiekį (dozę), kad būtų tenkinamas didesnio kiekio (dozės) poreikis.</w:t>
      </w:r>
    </w:p>
    <w:p w14:paraId="4E2B3842"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B1A0B53" w14:textId="77777777" w:rsidR="00EB063F" w:rsidRPr="00EB063F" w:rsidRDefault="00EB063F" w:rsidP="00EB063F">
      <w:pPr>
        <w:keepNext/>
        <w:tabs>
          <w:tab w:val="clear" w:pos="567"/>
          <w:tab w:val="left" w:pos="1296"/>
        </w:tabs>
        <w:spacing w:line="240" w:lineRule="auto"/>
        <w:outlineLvl w:val="2"/>
        <w:rPr>
          <w:rFonts w:eastAsia="MS Mincho"/>
          <w:b/>
          <w:bCs/>
          <w:i/>
          <w:iCs/>
          <w:szCs w:val="22"/>
          <w:lang w:val="lt-LT" w:eastAsia="lt-LT" w:bidi="lt-LT"/>
        </w:rPr>
      </w:pPr>
      <w:bookmarkStart w:id="3" w:name="_ISIW_UH_5"/>
      <w:r w:rsidRPr="00EB063F">
        <w:rPr>
          <w:rFonts w:eastAsia="MS Mincho"/>
          <w:b/>
          <w:bCs/>
          <w:i/>
          <w:iCs/>
          <w:szCs w:val="22"/>
          <w:lang w:val="lt-LT" w:eastAsia="lt-LT" w:bidi="lt-LT"/>
        </w:rPr>
        <w:lastRenderedPageBreak/>
        <w:t>Suaugusiesiems</w:t>
      </w:r>
    </w:p>
    <w:bookmarkEnd w:id="3"/>
    <w:p w14:paraId="613156B4"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Dozavimas priklauso nuo paciento energijos suvartojimo, klinikinės būklės, kūno svorio ir gebėjimo įsisavinti OLIMEL N12E sudedamąsias dalis, taip pat nuo papildomos energijos arba per burną / virškinamąjį traktą gaunamų baltymų, todėl reikia rinktis atitinkamos talpos maišelį.</w:t>
      </w:r>
    </w:p>
    <w:p w14:paraId="3CD8126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847D40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Vidutinės paros normos:</w:t>
      </w:r>
    </w:p>
    <w:p w14:paraId="069E4174" w14:textId="77777777" w:rsidR="00EB063F" w:rsidRPr="00EB063F" w:rsidRDefault="00EB063F" w:rsidP="00EB063F">
      <w:pPr>
        <w:tabs>
          <w:tab w:val="clear" w:pos="567"/>
          <w:tab w:val="left" w:pos="1080"/>
        </w:tabs>
        <w:spacing w:line="240" w:lineRule="auto"/>
        <w:ind w:left="1080" w:hanging="360"/>
        <w:rPr>
          <w:szCs w:val="22"/>
        </w:rPr>
      </w:pPr>
      <w:r w:rsidRPr="00EB063F">
        <w:rPr>
          <w:rFonts w:eastAsia="MS Mincho"/>
          <w:szCs w:val="22"/>
          <w:lang w:val="lt-LT" w:eastAsia="lt-LT" w:bidi="lt-LT"/>
        </w:rPr>
        <w:t xml:space="preserve">0,16–0,35 g azoto / kg kūno masės (1–2 g2 g aminorūgščių / kg), atsižvelgiant į paciento mitybos būklę ir </w:t>
      </w:r>
      <w:proofErr w:type="spellStart"/>
      <w:r w:rsidRPr="00EB063F">
        <w:rPr>
          <w:rFonts w:eastAsia="MS Mincho"/>
          <w:szCs w:val="22"/>
          <w:lang w:val="lt-LT" w:eastAsia="lt-LT" w:bidi="lt-LT"/>
        </w:rPr>
        <w:t>katabolinio</w:t>
      </w:r>
      <w:proofErr w:type="spellEnd"/>
      <w:r w:rsidRPr="00EB063F">
        <w:rPr>
          <w:rFonts w:eastAsia="MS Mincho"/>
          <w:szCs w:val="22"/>
          <w:lang w:val="lt-LT" w:eastAsia="lt-LT" w:bidi="lt-LT"/>
        </w:rPr>
        <w:t xml:space="preserve"> streso mastą. </w:t>
      </w:r>
      <w:r w:rsidRPr="00EB063F">
        <w:rPr>
          <w:rFonts w:eastAsia="MS Mincho"/>
          <w:bCs/>
          <w:szCs w:val="22"/>
          <w:lang w:val="lt-LT" w:eastAsia="lt-LT" w:bidi="lt-LT"/>
        </w:rPr>
        <w:t>Tam tikroms pacientų populiacijoms gali reikėti iki 0,4 g azoto / kg kūno svorio (2,5 g aminorūgščių / kg),</w:t>
      </w:r>
    </w:p>
    <w:p w14:paraId="0041AD00"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r w:rsidRPr="00EB063F">
        <w:rPr>
          <w:rFonts w:eastAsia="MS Mincho"/>
          <w:szCs w:val="22"/>
          <w:lang w:val="lt-LT" w:eastAsia="lt-LT" w:bidi="lt-LT"/>
        </w:rPr>
        <w:t xml:space="preserve">20–40 kcal/kg, </w:t>
      </w:r>
    </w:p>
    <w:p w14:paraId="729692C4"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r w:rsidRPr="00EB063F">
        <w:rPr>
          <w:rFonts w:eastAsia="MS Mincho"/>
          <w:szCs w:val="22"/>
          <w:lang w:val="lt-LT" w:eastAsia="lt-LT" w:bidi="lt-LT"/>
        </w:rPr>
        <w:t xml:space="preserve">20–40 ml skysčio / kg arba 1–1,5 ml vienai sudegintai </w:t>
      </w:r>
      <w:proofErr w:type="spellStart"/>
      <w:r w:rsidRPr="00EB063F">
        <w:rPr>
          <w:rFonts w:eastAsia="MS Mincho"/>
          <w:szCs w:val="22"/>
          <w:lang w:val="lt-LT" w:eastAsia="lt-LT" w:bidi="lt-LT"/>
        </w:rPr>
        <w:t>kilokalorijai</w:t>
      </w:r>
      <w:proofErr w:type="spellEnd"/>
      <w:r w:rsidRPr="00EB063F">
        <w:rPr>
          <w:rFonts w:eastAsia="MS Mincho"/>
          <w:szCs w:val="22"/>
          <w:lang w:val="lt-LT" w:eastAsia="lt-LT" w:bidi="lt-LT"/>
        </w:rPr>
        <w:t>.</w:t>
      </w:r>
    </w:p>
    <w:p w14:paraId="15896B22" w14:textId="77777777" w:rsidR="00EB063F" w:rsidRPr="00EB063F" w:rsidRDefault="00EB063F" w:rsidP="00EB063F">
      <w:pPr>
        <w:tabs>
          <w:tab w:val="clear" w:pos="567"/>
          <w:tab w:val="left" w:pos="1296"/>
        </w:tabs>
        <w:spacing w:line="240" w:lineRule="auto"/>
        <w:ind w:left="1080"/>
        <w:rPr>
          <w:rFonts w:eastAsia="MS Mincho"/>
          <w:szCs w:val="22"/>
          <w:lang w:val="lt-LT" w:eastAsia="lt-LT" w:bidi="lt-LT"/>
        </w:rPr>
      </w:pPr>
    </w:p>
    <w:p w14:paraId="53DFB7D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Vartojant OLIMEL N12E didžiausia paros dozė priklauso nuo suvartojamo aminorūgščių kiekio: 26 ml/kg atitinka 2,0 g/kg aminorūgščių, 1,9 g/kg gliukozės ir 0,9 g/kg lipidų. 70 kg sveriančiam pacientui tai atitinka 1820 ml OLIMEL N12E per parą: gaunama 138 g aminorūgščių, 133 g gliukozės ir 64 g lipidų, t. y. 1171 nebaltyminė </w:t>
      </w:r>
      <w:proofErr w:type="spellStart"/>
      <w:r w:rsidRPr="00EB063F">
        <w:rPr>
          <w:rFonts w:eastAsia="MS Mincho"/>
          <w:szCs w:val="22"/>
          <w:lang w:val="lt-LT" w:eastAsia="lt-LT" w:bidi="lt-LT"/>
        </w:rPr>
        <w:t>kilokalorija</w:t>
      </w:r>
      <w:proofErr w:type="spellEnd"/>
      <w:r w:rsidRPr="00EB063F">
        <w:rPr>
          <w:rFonts w:eastAsia="MS Mincho"/>
          <w:szCs w:val="22"/>
          <w:lang w:val="lt-LT" w:eastAsia="lt-LT" w:bidi="lt-LT"/>
        </w:rPr>
        <w:t xml:space="preserve">, iš viso – 1723 </w:t>
      </w:r>
      <w:proofErr w:type="spellStart"/>
      <w:r w:rsidRPr="00EB063F">
        <w:rPr>
          <w:rFonts w:eastAsia="MS Mincho"/>
          <w:szCs w:val="22"/>
          <w:lang w:val="lt-LT" w:eastAsia="lt-LT" w:bidi="lt-LT"/>
        </w:rPr>
        <w:t>kilokalorijos</w:t>
      </w:r>
      <w:proofErr w:type="spellEnd"/>
      <w:r w:rsidRPr="00EB063F">
        <w:rPr>
          <w:rFonts w:eastAsia="MS Mincho"/>
          <w:szCs w:val="22"/>
          <w:lang w:val="lt-LT" w:eastAsia="lt-LT" w:bidi="lt-LT"/>
        </w:rPr>
        <w:t>.</w:t>
      </w:r>
    </w:p>
    <w:p w14:paraId="489D822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D982A4D" w14:textId="77777777" w:rsidR="00EB063F" w:rsidRPr="00EB063F" w:rsidRDefault="00EB063F" w:rsidP="00EB063F">
      <w:pPr>
        <w:tabs>
          <w:tab w:val="clear" w:pos="567"/>
          <w:tab w:val="left" w:pos="1296"/>
        </w:tabs>
        <w:spacing w:line="240" w:lineRule="auto"/>
        <w:rPr>
          <w:szCs w:val="22"/>
        </w:rPr>
      </w:pPr>
      <w:r w:rsidRPr="00EB063F">
        <w:rPr>
          <w:rFonts w:eastAsia="MS Mincho"/>
          <w:i/>
          <w:szCs w:val="22"/>
          <w:lang w:val="lt-LT" w:eastAsia="lt-LT" w:bidi="lt-LT"/>
        </w:rPr>
        <w:t xml:space="preserve">Kai atliekama ilgalaikė inkstų pakaitinė terapija (IIPT): </w:t>
      </w:r>
      <w:r w:rsidRPr="00EB063F">
        <w:rPr>
          <w:rFonts w:eastAsia="MS Mincho"/>
          <w:szCs w:val="22"/>
          <w:lang w:val="lt-LT" w:eastAsia="lt-LT" w:bidi="lt-LT"/>
        </w:rPr>
        <w:t xml:space="preserve">Vartojant OLIMEL N12E didžiausia paros dozė priklauso nuo suvartojamo aminorūgščių kiekio: 33 ml/kg atitinka 2,5 g/kg aminorūgščių, 2,4 g/kg gliukozės ir 1,2 g/kg lipidų. 70 kg sveriančiam pacientui tai atitinka 2310 ml OLIMEL N12E per parą: gaunama 175 g aminorūgščių, 169 g gliukozės ir 81 g lipidų, t. y. 1486 nebaltyminės </w:t>
      </w:r>
      <w:proofErr w:type="spellStart"/>
      <w:r w:rsidRPr="00EB063F">
        <w:rPr>
          <w:rFonts w:eastAsia="MS Mincho"/>
          <w:szCs w:val="22"/>
          <w:lang w:val="lt-LT" w:eastAsia="lt-LT" w:bidi="lt-LT"/>
        </w:rPr>
        <w:t>kilokalorijos</w:t>
      </w:r>
      <w:proofErr w:type="spellEnd"/>
      <w:r w:rsidRPr="00EB063F">
        <w:rPr>
          <w:rFonts w:eastAsia="MS Mincho"/>
          <w:szCs w:val="22"/>
          <w:lang w:val="lt-LT" w:eastAsia="lt-LT" w:bidi="lt-LT"/>
        </w:rPr>
        <w:t xml:space="preserve">, iš viso – 2187 </w:t>
      </w:r>
      <w:proofErr w:type="spellStart"/>
      <w:r w:rsidRPr="00EB063F">
        <w:rPr>
          <w:rFonts w:eastAsia="MS Mincho"/>
          <w:szCs w:val="22"/>
          <w:lang w:val="lt-LT" w:eastAsia="lt-LT" w:bidi="lt-LT"/>
        </w:rPr>
        <w:t>kilokalorijos</w:t>
      </w:r>
      <w:proofErr w:type="spellEnd"/>
      <w:r w:rsidRPr="00EB063F">
        <w:rPr>
          <w:rFonts w:eastAsia="MS Mincho"/>
          <w:szCs w:val="22"/>
          <w:lang w:val="lt-LT" w:eastAsia="lt-LT" w:bidi="lt-LT"/>
        </w:rPr>
        <w:t>.</w:t>
      </w:r>
    </w:p>
    <w:p w14:paraId="319BB50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D7C73FB" w14:textId="77777777" w:rsidR="00EB063F" w:rsidRPr="00EB063F" w:rsidRDefault="00EB063F" w:rsidP="00EB063F">
      <w:pPr>
        <w:tabs>
          <w:tab w:val="clear" w:pos="567"/>
          <w:tab w:val="left" w:pos="1296"/>
        </w:tabs>
        <w:spacing w:line="240" w:lineRule="auto"/>
        <w:rPr>
          <w:szCs w:val="22"/>
        </w:rPr>
      </w:pPr>
      <w:r w:rsidRPr="00EB063F">
        <w:rPr>
          <w:rFonts w:eastAsia="MS Mincho"/>
          <w:i/>
          <w:szCs w:val="22"/>
          <w:lang w:val="lt-LT" w:eastAsia="lt-LT" w:bidi="lt-LT"/>
        </w:rPr>
        <w:t xml:space="preserve">Patologiškai nutukusiems pacientams: </w:t>
      </w:r>
      <w:r w:rsidRPr="00EB063F">
        <w:rPr>
          <w:rFonts w:eastAsia="MS Mincho"/>
          <w:szCs w:val="22"/>
          <w:lang w:val="lt-LT" w:eastAsia="lt-LT" w:bidi="lt-LT"/>
        </w:rPr>
        <w:t>Dozė apskaičiuojama pagal idealų kūno svorį.</w:t>
      </w:r>
      <w:r w:rsidRPr="00EB063F">
        <w:rPr>
          <w:rFonts w:eastAsia="MS Mincho"/>
          <w:i/>
          <w:szCs w:val="22"/>
          <w:lang w:val="lt-LT" w:eastAsia="lt-LT" w:bidi="lt-LT"/>
        </w:rPr>
        <w:t xml:space="preserve"> </w:t>
      </w:r>
      <w:r w:rsidRPr="00EB063F">
        <w:rPr>
          <w:rFonts w:eastAsia="MS Mincho"/>
          <w:szCs w:val="22"/>
          <w:lang w:val="lt-LT" w:eastAsia="lt-LT" w:bidi="lt-LT"/>
        </w:rPr>
        <w:t xml:space="preserve">Vartojant OLIMEL N12E didžiausia paros dozė priklauso nuo suvartojamo aminorūgščių kiekio: esant idealiam kūno svoriui 33 ml/kg atitinka 2,5 g/kg aminorūgščių, 2,4 g/kg gliukozės ir 1,2 g/kg lipidų. 70 kg sveriančiam pacientui tai atitinka 2310 ml OLIMEL N12E per parą: gaunama 175 g aminorūgščių, 169 g gliukozės ir 81 g lipidų, t. y. 1486 nebaltyminės </w:t>
      </w:r>
      <w:proofErr w:type="spellStart"/>
      <w:r w:rsidRPr="00EB063F">
        <w:rPr>
          <w:rFonts w:eastAsia="MS Mincho"/>
          <w:szCs w:val="22"/>
          <w:lang w:val="lt-LT" w:eastAsia="lt-LT" w:bidi="lt-LT"/>
        </w:rPr>
        <w:t>kilokalorijos</w:t>
      </w:r>
      <w:proofErr w:type="spellEnd"/>
      <w:r w:rsidRPr="00EB063F">
        <w:rPr>
          <w:rFonts w:eastAsia="MS Mincho"/>
          <w:szCs w:val="22"/>
          <w:lang w:val="lt-LT" w:eastAsia="lt-LT" w:bidi="lt-LT"/>
        </w:rPr>
        <w:t xml:space="preserve">, iš viso – 2187 </w:t>
      </w:r>
      <w:proofErr w:type="spellStart"/>
      <w:r w:rsidRPr="00EB063F">
        <w:rPr>
          <w:rFonts w:eastAsia="MS Mincho"/>
          <w:szCs w:val="22"/>
          <w:lang w:val="lt-LT" w:eastAsia="lt-LT" w:bidi="lt-LT"/>
        </w:rPr>
        <w:t>kilokalorijos</w:t>
      </w:r>
      <w:proofErr w:type="spellEnd"/>
      <w:r w:rsidRPr="00EB063F">
        <w:rPr>
          <w:rFonts w:eastAsia="MS Mincho"/>
          <w:szCs w:val="22"/>
          <w:lang w:val="lt-LT" w:eastAsia="lt-LT" w:bidi="lt-LT"/>
        </w:rPr>
        <w:t>.</w:t>
      </w:r>
    </w:p>
    <w:p w14:paraId="6A7A44FD"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FB591D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Paprastai srauto greitis laipsniškai didinamas pirmąją valandą, o vėliau reguliuojamas atsižvelgiant į paskirtą paros dozę, per parą suvartojamą skysčių kiekį ir infuzijos trukmę.</w:t>
      </w:r>
    </w:p>
    <w:p w14:paraId="23A8256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Vartojant OLIMEL N12E didžiausias infuzijos greitis yra 1,3 ml/kg/valandą; tai atitinka iki 0,10 g/kg/valandą aminorūgščių, 0,10 g/kg/valandą gliukozės ir 0,05 g/kg/valandą lipidų.</w:t>
      </w:r>
    </w:p>
    <w:p w14:paraId="04B044B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794958A7" w14:textId="77777777" w:rsidR="00EB063F" w:rsidRPr="00EB063F" w:rsidRDefault="00EB063F" w:rsidP="00EB063F">
      <w:pPr>
        <w:keepNext/>
        <w:tabs>
          <w:tab w:val="clear" w:pos="567"/>
          <w:tab w:val="left" w:pos="1296"/>
        </w:tabs>
        <w:spacing w:line="240" w:lineRule="auto"/>
        <w:outlineLvl w:val="2"/>
        <w:rPr>
          <w:rFonts w:eastAsia="MS Mincho"/>
          <w:b/>
          <w:bCs/>
          <w:i/>
          <w:iCs/>
          <w:szCs w:val="22"/>
          <w:lang w:val="lt-LT" w:eastAsia="lt-LT" w:bidi="lt-LT"/>
        </w:rPr>
      </w:pPr>
      <w:bookmarkStart w:id="4" w:name="_ISIW_UH_6"/>
      <w:r w:rsidRPr="00EB063F">
        <w:rPr>
          <w:rFonts w:eastAsia="MS Mincho"/>
          <w:b/>
          <w:bCs/>
          <w:i/>
          <w:iCs/>
          <w:szCs w:val="22"/>
          <w:lang w:val="lt-LT" w:eastAsia="lt-LT" w:bidi="lt-LT"/>
        </w:rPr>
        <w:t>Vyresniems kaip 2 metų vaikams ir paaugliams</w:t>
      </w:r>
    </w:p>
    <w:bookmarkEnd w:id="4"/>
    <w:p w14:paraId="0DDAEAA5"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Su vaikų populiacija nebuvo atlikta jokių tyrimų.</w:t>
      </w:r>
    </w:p>
    <w:p w14:paraId="226865A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A117E5C"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Dozavimas priklauso nuo paciento energijos suvartojimo, klinikinės būklės, kūno svorio ir gebėjimo įsisavinti OLIMEL N12E sudedamąsias dalis, taip pat nuo papildomos energijos arba per burną / virškinamąjį traktą gaunamų baltymų, todėl reikia rinktis atitinkamos talpos maišelį.</w:t>
      </w:r>
    </w:p>
    <w:p w14:paraId="2C29411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5B34655"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Be to, vaikui augant paros skysčių, azoto ir energijos poreikis nuolat mažėja. Rekomenduojamos dozės dviejų amžiaus grupių vaikams: 2–11 metų ir 12–18 metų.</w:t>
      </w:r>
    </w:p>
    <w:p w14:paraId="099DF41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BA9B53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Vartojant OLIMEL N12E amžiaus grupėje nuo 2 iki 11 metų, paros dozė priklauso nuo aminorūgščių ir magnio koncentracijos. Šioje amžiaus grupėje nuo aminorūgščių koncentracijos priklauso ir per valandą suleidžiamo preparato kiekis. Amžiaus grupėje nuo 12 iki 18 metų, paros dozė priklauso nuo aminorūgščių ir magnio koncentracijos. Šioje amžiaus grupėje nuo aminorūgščių koncentracijos priklauso ir per valandą suleidžiamo preparato kiekis. Toliau pateikiamos suvartojamo kiekio vertės:</w:t>
      </w:r>
    </w:p>
    <w:p w14:paraId="089A459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tbl>
      <w:tblPr>
        <w:tblW w:w="4900" w:type="pct"/>
        <w:tblInd w:w="108" w:type="dxa"/>
        <w:tblLayout w:type="fixed"/>
        <w:tblCellMar>
          <w:left w:w="10" w:type="dxa"/>
          <w:right w:w="10" w:type="dxa"/>
        </w:tblCellMar>
        <w:tblLook w:val="04A0" w:firstRow="1" w:lastRow="0" w:firstColumn="1" w:lastColumn="0" w:noHBand="0" w:noVBand="1"/>
      </w:tblPr>
      <w:tblGrid>
        <w:gridCol w:w="2256"/>
        <w:gridCol w:w="1855"/>
        <w:gridCol w:w="1457"/>
        <w:gridCol w:w="1836"/>
        <w:gridCol w:w="1475"/>
      </w:tblGrid>
      <w:tr w:rsidR="00EB063F" w:rsidRPr="00EB063F" w14:paraId="57B05BED" w14:textId="77777777" w:rsidTr="001E32CB">
        <w:trPr>
          <w:trHeight w:val="242"/>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6D862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Sudedamoji dalis</w:t>
            </w:r>
          </w:p>
        </w:tc>
        <w:tc>
          <w:tcPr>
            <w:tcW w:w="32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16D0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2–11 metų</w:t>
            </w:r>
          </w:p>
        </w:tc>
        <w:tc>
          <w:tcPr>
            <w:tcW w:w="32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F6E1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12–18 metų</w:t>
            </w:r>
          </w:p>
        </w:tc>
      </w:tr>
      <w:tr w:rsidR="00EB063F" w:rsidRPr="00EB063F" w14:paraId="711BA029" w14:textId="77777777" w:rsidTr="001E32CB">
        <w:trPr>
          <w:trHeight w:val="260"/>
        </w:trPr>
        <w:tc>
          <w:tcPr>
            <w:tcW w:w="2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C37A93" w14:textId="77777777" w:rsidR="00EB063F" w:rsidRPr="00EB063F" w:rsidRDefault="00EB063F" w:rsidP="00EB063F">
            <w:pPr>
              <w:tabs>
                <w:tab w:val="clear" w:pos="567"/>
              </w:tabs>
              <w:snapToGrid/>
              <w:spacing w:line="240" w:lineRule="auto"/>
              <w:rPr>
                <w:szCs w:val="22"/>
                <w:lang w:val="lt-LT" w:eastAsia="lt-LT" w:bidi="lt-LT"/>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22D53" w14:textId="115E8DF4"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Rekomenduojama</w:t>
            </w:r>
            <w:r w:rsidRPr="00EB063F">
              <w:rPr>
                <w:szCs w:val="22"/>
                <w:vertAlign w:val="superscript"/>
                <w:lang w:val="lt-LT" w:eastAsia="lt-LT" w:bidi="lt-LT"/>
              </w:rPr>
              <w:fldChar w:fldCharType="begin"/>
            </w:r>
            <w:r w:rsidRPr="00EB063F">
              <w:rPr>
                <w:szCs w:val="22"/>
                <w:vertAlign w:val="superscript"/>
                <w:lang w:val="lt-LT" w:eastAsia="lt-LT" w:bidi="lt-LT"/>
              </w:rPr>
              <w:instrText xml:space="preserve"> REF _Ref496696917 </w:instrText>
            </w:r>
            <w:r w:rsidRPr="00EB063F">
              <w:rPr>
                <w:szCs w:val="22"/>
                <w:vertAlign w:val="superscript"/>
                <w:lang w:val="lt-LT" w:eastAsia="lt-LT" w:bidi="lt-LT"/>
              </w:rPr>
              <w:instrText xml:space="preserve"> \* MERGEFORMAT </w:instrText>
            </w:r>
            <w:r w:rsidRPr="00EB063F">
              <w:rPr>
                <w:szCs w:val="22"/>
                <w:vertAlign w:val="superscript"/>
                <w:lang w:val="lt-LT" w:eastAsia="lt-LT" w:bidi="lt-LT"/>
              </w:rPr>
              <w:fldChar w:fldCharType="separate"/>
            </w:r>
            <w:r w:rsidRPr="00EB063F">
              <w:rPr>
                <w:szCs w:val="22"/>
                <w:vertAlign w:val="superscript"/>
                <w:lang w:val="lt-LT" w:eastAsia="lt-LT" w:bidi="lt-LT"/>
              </w:rPr>
              <w:t>a</w:t>
            </w:r>
            <w:proofErr w:type="spellEnd"/>
            <w:r w:rsidRPr="00EB063F">
              <w:rPr>
                <w:szCs w:val="22"/>
                <w:vertAlign w:val="superscript"/>
                <w:lang w:val="lt-LT" w:eastAsia="lt-LT" w:bidi="lt-LT"/>
              </w:rPr>
              <w:fldChar w:fldCharType="end"/>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8D6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OLIMEL N12E </w:t>
            </w:r>
            <w:proofErr w:type="spellStart"/>
            <w:r w:rsidRPr="00EB063F">
              <w:rPr>
                <w:szCs w:val="22"/>
                <w:lang w:val="lt-LT" w:eastAsia="lt-LT" w:bidi="lt-LT"/>
              </w:rPr>
              <w:t>didž</w:t>
            </w:r>
            <w:proofErr w:type="spellEnd"/>
            <w:r w:rsidRPr="00EB063F">
              <w:rPr>
                <w:szCs w:val="22"/>
                <w:lang w:val="lt-LT" w:eastAsia="lt-LT" w:bidi="lt-LT"/>
              </w:rPr>
              <w:t>. dozė</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AE132" w14:textId="737874E0" w:rsidR="00EB063F" w:rsidRPr="00EB063F" w:rsidRDefault="00EB063F" w:rsidP="00EB063F">
            <w:pPr>
              <w:tabs>
                <w:tab w:val="clear" w:pos="567"/>
                <w:tab w:val="left" w:pos="1296"/>
              </w:tabs>
              <w:spacing w:line="240" w:lineRule="auto"/>
              <w:jc w:val="center"/>
              <w:rPr>
                <w:szCs w:val="22"/>
              </w:rPr>
            </w:pPr>
            <w:proofErr w:type="spellStart"/>
            <w:r w:rsidRPr="00EB063F">
              <w:rPr>
                <w:szCs w:val="22"/>
                <w:lang w:val="lt-LT" w:eastAsia="lt-LT" w:bidi="lt-LT"/>
              </w:rPr>
              <w:t>Rekomenduojama</w:t>
            </w:r>
            <w:r w:rsidRPr="00EB063F">
              <w:rPr>
                <w:szCs w:val="22"/>
                <w:vertAlign w:val="superscript"/>
                <w:lang w:val="lt-LT" w:eastAsia="lt-LT" w:bidi="lt-LT"/>
              </w:rPr>
              <w:fldChar w:fldCharType="begin"/>
            </w:r>
            <w:r w:rsidRPr="00EB063F">
              <w:rPr>
                <w:szCs w:val="22"/>
                <w:vertAlign w:val="superscript"/>
                <w:lang w:val="lt-LT" w:eastAsia="lt-LT" w:bidi="lt-LT"/>
              </w:rPr>
              <w:instrText xml:space="preserve"> REF _Ref496696917 </w:instrText>
            </w:r>
            <w:r w:rsidRPr="00EB063F">
              <w:rPr>
                <w:szCs w:val="22"/>
                <w:vertAlign w:val="superscript"/>
                <w:lang w:val="lt-LT" w:eastAsia="lt-LT" w:bidi="lt-LT"/>
              </w:rPr>
              <w:instrText xml:space="preserve"> \* MERGEFORMAT </w:instrText>
            </w:r>
            <w:r w:rsidRPr="00EB063F">
              <w:rPr>
                <w:szCs w:val="22"/>
                <w:vertAlign w:val="superscript"/>
                <w:lang w:val="lt-LT" w:eastAsia="lt-LT" w:bidi="lt-LT"/>
              </w:rPr>
              <w:fldChar w:fldCharType="separate"/>
            </w:r>
            <w:r w:rsidRPr="00EB063F">
              <w:rPr>
                <w:szCs w:val="22"/>
                <w:vertAlign w:val="superscript"/>
                <w:lang w:val="lt-LT" w:eastAsia="lt-LT" w:bidi="lt-LT"/>
              </w:rPr>
              <w:t>a</w:t>
            </w:r>
            <w:proofErr w:type="spellEnd"/>
            <w:r w:rsidRPr="00EB063F">
              <w:rPr>
                <w:szCs w:val="22"/>
                <w:vertAlign w:val="superscript"/>
                <w:lang w:val="lt-LT" w:eastAsia="lt-LT" w:bidi="lt-LT"/>
              </w:rPr>
              <w:fldChar w:fldCharType="end"/>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DEBC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OLIMEL N12E </w:t>
            </w:r>
            <w:proofErr w:type="spellStart"/>
            <w:r w:rsidRPr="00EB063F">
              <w:rPr>
                <w:szCs w:val="22"/>
                <w:lang w:val="lt-LT" w:eastAsia="lt-LT" w:bidi="lt-LT"/>
              </w:rPr>
              <w:t>didž</w:t>
            </w:r>
            <w:proofErr w:type="spellEnd"/>
            <w:r w:rsidRPr="00EB063F">
              <w:rPr>
                <w:szCs w:val="22"/>
                <w:lang w:val="lt-LT" w:eastAsia="lt-LT" w:bidi="lt-LT"/>
              </w:rPr>
              <w:t>. dozė</w:t>
            </w:r>
          </w:p>
        </w:tc>
      </w:tr>
      <w:tr w:rsidR="00EB063F" w:rsidRPr="00EB063F" w14:paraId="5CBB1D2C" w14:textId="77777777" w:rsidTr="001E32CB">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C47C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Didžiausia paros dozė</w:t>
            </w:r>
          </w:p>
        </w:tc>
      </w:tr>
      <w:tr w:rsidR="00EB063F" w:rsidRPr="00EB063F" w14:paraId="231DA0D8"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067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Skysčiai (ml/kg/parą)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2CE4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60 – 120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609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33</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6892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50 – 80</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8602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26</w:t>
            </w:r>
          </w:p>
        </w:tc>
      </w:tr>
      <w:tr w:rsidR="00EB063F" w:rsidRPr="00EB063F" w14:paraId="0F8E081E"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04EDE"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lastRenderedPageBreak/>
              <w:t>Aminorūgštys (g/kg/parą)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E70A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 (iki 2,5)</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517A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2,5</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A339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 – 2</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A3B3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w:t>
            </w:r>
          </w:p>
        </w:tc>
      </w:tr>
      <w:tr w:rsidR="00EB063F" w:rsidRPr="00EB063F" w14:paraId="5F518D91"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32A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Gliukozė (g/kg/parą)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5FCA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1,4–8,6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A26D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2,4</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0412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0,7–5,8</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10AA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1,9</w:t>
            </w:r>
          </w:p>
        </w:tc>
      </w:tr>
      <w:tr w:rsidR="00EB063F" w:rsidRPr="00EB063F" w14:paraId="3A7BAE05"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CDA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Lipidai (g/kg/parą)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ED25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0,5–3</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314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4FF9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0,5–2 (iki 3)</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DE23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0,9</w:t>
            </w:r>
          </w:p>
        </w:tc>
      </w:tr>
      <w:tr w:rsidR="00EB063F" w:rsidRPr="00EB063F" w14:paraId="5466AE5C"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DA7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Bendra energinė vertė (kcal/kg/parą)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C1F1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30 – 75</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1300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31,4</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A71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20 – 55</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2AAF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24,7</w:t>
            </w:r>
          </w:p>
        </w:tc>
      </w:tr>
      <w:tr w:rsidR="00EB063F" w:rsidRPr="00EB063F" w14:paraId="4E69613C" w14:textId="77777777" w:rsidTr="001E32CB">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BE26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Didžiausias per valandą suleidžiamas kiekis</w:t>
            </w:r>
          </w:p>
        </w:tc>
      </w:tr>
      <w:tr w:rsidR="00EB063F" w:rsidRPr="00EB063F" w14:paraId="15BF5BCE"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4102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OLIMEL N12E (ml/kg/val.)</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C21A6" w14:textId="77777777" w:rsidR="00EB063F" w:rsidRPr="00EB063F" w:rsidRDefault="00EB063F" w:rsidP="00EB063F">
            <w:pPr>
              <w:tabs>
                <w:tab w:val="clear" w:pos="567"/>
                <w:tab w:val="left" w:pos="1296"/>
              </w:tabs>
              <w:spacing w:line="240" w:lineRule="auto"/>
              <w:jc w:val="center"/>
              <w:rPr>
                <w:szCs w:val="22"/>
                <w:lang w:val="lt-LT" w:eastAsia="lt-LT" w:bidi="lt-LT"/>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3BEB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2,6</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82B0D" w14:textId="77777777" w:rsidR="00EB063F" w:rsidRPr="00EB063F" w:rsidRDefault="00EB063F" w:rsidP="00EB063F">
            <w:pPr>
              <w:tabs>
                <w:tab w:val="clear" w:pos="567"/>
                <w:tab w:val="left" w:pos="1296"/>
              </w:tabs>
              <w:spacing w:line="240" w:lineRule="auto"/>
              <w:jc w:val="center"/>
              <w:rPr>
                <w:szCs w:val="22"/>
                <w:lang w:val="lt-LT" w:eastAsia="lt-LT" w:bidi="lt-LT"/>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870E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1,6</w:t>
            </w:r>
          </w:p>
        </w:tc>
      </w:tr>
      <w:tr w:rsidR="00EB063F" w:rsidRPr="00EB063F" w14:paraId="790B65C1"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AF2C"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Aminorūgštys (g/kg/val.)</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A13C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0,20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6CA7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0,20</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1D7A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0,12</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D447"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0,12</w:t>
            </w:r>
          </w:p>
        </w:tc>
      </w:tr>
      <w:tr w:rsidR="00EB063F" w:rsidRPr="00EB063F" w14:paraId="7EFD3EA4" w14:textId="77777777" w:rsidTr="001E32CB">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BA5A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Gliukozė (g/kg/val.)</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0FE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0,36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4881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0,19</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5307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0,24</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16E3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0,12</w:t>
            </w:r>
          </w:p>
        </w:tc>
      </w:tr>
      <w:tr w:rsidR="00EB063F" w:rsidRPr="00EB063F" w14:paraId="18D1C7A5" w14:textId="77777777" w:rsidTr="001E32CB">
        <w:tc>
          <w:tcPr>
            <w:tcW w:w="224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45908B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Lipidai (g/kg/val.)</w:t>
            </w:r>
          </w:p>
        </w:tc>
        <w:tc>
          <w:tcPr>
            <w:tcW w:w="184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6AF7CE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0,13</w:t>
            </w:r>
          </w:p>
        </w:tc>
        <w:tc>
          <w:tcPr>
            <w:tcW w:w="145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55703B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0,09</w:t>
            </w:r>
          </w:p>
        </w:tc>
        <w:tc>
          <w:tcPr>
            <w:tcW w:w="182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635F85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0,13</w:t>
            </w:r>
          </w:p>
        </w:tc>
        <w:tc>
          <w:tcPr>
            <w:tcW w:w="146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F8412CB"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0,06</w:t>
            </w:r>
          </w:p>
        </w:tc>
      </w:tr>
      <w:tr w:rsidR="00EB063F" w:rsidRPr="00EB063F" w14:paraId="5E946F3C" w14:textId="77777777" w:rsidTr="001E32CB">
        <w:tc>
          <w:tcPr>
            <w:tcW w:w="8836" w:type="dxa"/>
            <w:gridSpan w:val="5"/>
            <w:tcBorders>
              <w:top w:val="single" w:sz="6" w:space="0" w:color="000000"/>
            </w:tcBorders>
            <w:tcMar>
              <w:top w:w="0" w:type="dxa"/>
              <w:left w:w="108" w:type="dxa"/>
              <w:bottom w:w="0" w:type="dxa"/>
              <w:right w:w="108" w:type="dxa"/>
            </w:tcMar>
          </w:tcPr>
          <w:p w14:paraId="42E4CCDF" w14:textId="77777777" w:rsidR="00EB063F" w:rsidRPr="00EB063F" w:rsidRDefault="00EB063F" w:rsidP="00EB063F">
            <w:pPr>
              <w:numPr>
                <w:ilvl w:val="0"/>
                <w:numId w:val="10"/>
              </w:numPr>
              <w:spacing w:line="240" w:lineRule="auto"/>
              <w:rPr>
                <w:szCs w:val="22"/>
                <w:lang w:val="lt-LT" w:eastAsia="lt-LT" w:bidi="lt-LT"/>
              </w:rPr>
            </w:pPr>
            <w:bookmarkStart w:id="5" w:name="_Ref496696917"/>
            <w:r w:rsidRPr="00EB063F">
              <w:rPr>
                <w:szCs w:val="22"/>
                <w:lang w:val="lt-LT" w:eastAsia="lt-LT" w:bidi="lt-LT"/>
              </w:rPr>
              <w:t>Rekomenduojamos dozės pagal 2018 ESPGHAN/ESPEN/ESPR rekomendacijas</w:t>
            </w:r>
            <w:bookmarkEnd w:id="5"/>
          </w:p>
        </w:tc>
      </w:tr>
    </w:tbl>
    <w:p w14:paraId="7F7C440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D4AF50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Paprastai srauto greitis laipsniškai didinamas pirmąją valandą, o vėliau reguliuojamas atsižvelgiant į paskirtą paros dozę, per parą suvartojamą skysčių kiekį ir infuzijos trukmę.</w:t>
      </w:r>
    </w:p>
    <w:p w14:paraId="1FA796D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7B537D64"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Apskritai mažiems vaikams infuziją rekomenduojama pradėti nuo mažos paros dozės ir laipsniškai ją didinti iki didžiausios dozės (žr. pirmiau).</w:t>
      </w:r>
    </w:p>
    <w:p w14:paraId="4CFE4EC0"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3200B78"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Didžiausias infuzijos greitis vaikams nuo 2 iki 11 metų yra 2,6 ml/kg/valandą, vaikams nuo 12 iki 18 metų – 1,6 ml/kg/valandą.</w:t>
      </w:r>
    </w:p>
    <w:p w14:paraId="0F64CDC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936A382"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bookmarkStart w:id="6" w:name="_ISIW_UH_7"/>
      <w:r w:rsidRPr="00EB063F">
        <w:rPr>
          <w:rFonts w:eastAsia="MS Mincho"/>
          <w:b/>
          <w:bCs/>
          <w:szCs w:val="22"/>
          <w:lang w:val="lt-LT" w:eastAsia="lt-LT" w:bidi="lt-LT"/>
        </w:rPr>
        <w:t>Vartojimo metodas ir gydymo trukmė</w:t>
      </w:r>
    </w:p>
    <w:bookmarkEnd w:id="6"/>
    <w:p w14:paraId="302B7AC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Tik vienkartiniam vartojimui.</w:t>
      </w:r>
    </w:p>
    <w:p w14:paraId="0F1137B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293867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Atidarius maišelį, jo turinį rekomenduojama suvartoti nedelsiant ir nepalikti jo vėlesnei infuzijai.</w:t>
      </w:r>
    </w:p>
    <w:p w14:paraId="109AE119"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0BA295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Po paruošimo gaunamas vienalytis, į pieną panašus mišinys.</w:t>
      </w:r>
    </w:p>
    <w:p w14:paraId="20D0BD5B"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2FD223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Infuzinės emulsijos paruošimo ir tvarkymo instrukcijas žr. PCS 6.6 skyriuje.</w:t>
      </w:r>
    </w:p>
    <w:p w14:paraId="4416E090"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CB1D7D2"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Dėl didelio </w:t>
      </w:r>
      <w:proofErr w:type="spellStart"/>
      <w:r w:rsidRPr="00EB063F">
        <w:rPr>
          <w:rFonts w:eastAsia="MS Mincho"/>
          <w:szCs w:val="22"/>
          <w:lang w:val="lt-LT" w:eastAsia="lt-LT" w:bidi="lt-LT"/>
        </w:rPr>
        <w:t>osmoliariškumo</w:t>
      </w:r>
      <w:proofErr w:type="spellEnd"/>
      <w:r w:rsidRPr="00EB063F">
        <w:rPr>
          <w:rFonts w:eastAsia="MS Mincho"/>
          <w:szCs w:val="22"/>
          <w:lang w:val="lt-LT" w:eastAsia="lt-LT" w:bidi="lt-LT"/>
        </w:rPr>
        <w:t xml:space="preserve"> OLIMEL N12E galima leisti tik į centrinę veną.</w:t>
      </w:r>
    </w:p>
    <w:p w14:paraId="0DB1662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9A908A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Rekomenduojama vieno </w:t>
      </w:r>
      <w:proofErr w:type="spellStart"/>
      <w:r w:rsidRPr="00EB063F">
        <w:rPr>
          <w:rFonts w:eastAsia="MS Mincho"/>
          <w:szCs w:val="22"/>
          <w:lang w:val="lt-LT" w:eastAsia="lt-LT" w:bidi="lt-LT"/>
        </w:rPr>
        <w:t>parenterinio</w:t>
      </w:r>
      <w:proofErr w:type="spellEnd"/>
      <w:r w:rsidRPr="00EB063F">
        <w:rPr>
          <w:rFonts w:eastAsia="MS Mincho"/>
          <w:szCs w:val="22"/>
          <w:lang w:val="lt-LT" w:eastAsia="lt-LT" w:bidi="lt-LT"/>
        </w:rPr>
        <w:t xml:space="preserve"> maitinimo maišelio infuzijos trukmė yra 12–24 valandos.</w:t>
      </w:r>
    </w:p>
    <w:p w14:paraId="14BF20F5"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3600264"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Gydymas naudojant </w:t>
      </w:r>
      <w:proofErr w:type="spellStart"/>
      <w:r w:rsidRPr="00EB063F">
        <w:rPr>
          <w:rFonts w:eastAsia="MS Mincho"/>
          <w:szCs w:val="22"/>
          <w:lang w:val="lt-LT" w:eastAsia="lt-LT" w:bidi="lt-LT"/>
        </w:rPr>
        <w:t>parenterinį</w:t>
      </w:r>
      <w:proofErr w:type="spellEnd"/>
      <w:r w:rsidRPr="00EB063F">
        <w:rPr>
          <w:rFonts w:eastAsia="MS Mincho"/>
          <w:szCs w:val="22"/>
          <w:lang w:val="lt-LT" w:eastAsia="lt-LT" w:bidi="lt-LT"/>
        </w:rPr>
        <w:t xml:space="preserve"> maitinimą gali būti tęsiamas tiek, kiek reikia, atsižvelgiant į paciento klinikinę būklę.</w:t>
      </w:r>
    </w:p>
    <w:p w14:paraId="15487053" w14:textId="77777777" w:rsidR="00EB063F" w:rsidRPr="00EB063F" w:rsidRDefault="00EB063F" w:rsidP="00EB063F">
      <w:pPr>
        <w:tabs>
          <w:tab w:val="clear" w:pos="567"/>
          <w:tab w:val="left" w:pos="1296"/>
        </w:tabs>
        <w:spacing w:line="240" w:lineRule="auto"/>
        <w:rPr>
          <w:rFonts w:eastAsia="MS Mincho"/>
          <w:b/>
          <w:szCs w:val="22"/>
          <w:lang w:val="lt-LT" w:eastAsia="lt-LT" w:bidi="lt-LT"/>
        </w:rPr>
      </w:pPr>
    </w:p>
    <w:p w14:paraId="1709EA42" w14:textId="77777777" w:rsidR="00EB063F" w:rsidRPr="00EB063F" w:rsidRDefault="00EB063F" w:rsidP="00EB063F">
      <w:pPr>
        <w:keepNext/>
        <w:spacing w:line="240" w:lineRule="auto"/>
        <w:outlineLvl w:val="0"/>
        <w:rPr>
          <w:b/>
          <w:caps/>
          <w:szCs w:val="22"/>
          <w:lang w:val="lt-LT"/>
        </w:rPr>
      </w:pPr>
      <w:r w:rsidRPr="00EB063F">
        <w:rPr>
          <w:b/>
          <w:caps/>
          <w:szCs w:val="22"/>
          <w:lang w:val="lt-LT"/>
        </w:rPr>
        <w:t>C.</w:t>
      </w:r>
      <w:r w:rsidRPr="00EB063F">
        <w:rPr>
          <w:b/>
          <w:caps/>
          <w:szCs w:val="22"/>
          <w:lang w:val="lt-LT"/>
        </w:rPr>
        <w:tab/>
        <w:t>Nesuderinamumas</w:t>
      </w:r>
    </w:p>
    <w:p w14:paraId="726CB21A" w14:textId="77777777" w:rsidR="00EB063F" w:rsidRPr="00EB063F" w:rsidRDefault="00EB063F" w:rsidP="00EB063F">
      <w:pPr>
        <w:keepNext/>
        <w:tabs>
          <w:tab w:val="clear" w:pos="567"/>
          <w:tab w:val="left" w:pos="1296"/>
        </w:tabs>
        <w:spacing w:line="240" w:lineRule="auto"/>
        <w:outlineLvl w:val="0"/>
        <w:rPr>
          <w:rFonts w:eastAsia="MS Mincho"/>
          <w:b/>
          <w:bCs/>
          <w:caps/>
          <w:szCs w:val="22"/>
          <w:lang w:val="lt-LT" w:eastAsia="lt-LT" w:bidi="lt-LT"/>
        </w:rPr>
      </w:pPr>
    </w:p>
    <w:p w14:paraId="4EF97E44" w14:textId="77777777" w:rsidR="00EB063F" w:rsidRPr="00EB063F" w:rsidRDefault="00EB063F" w:rsidP="00EB063F">
      <w:pPr>
        <w:tabs>
          <w:tab w:val="clear" w:pos="567"/>
          <w:tab w:val="left" w:pos="1296"/>
        </w:tabs>
        <w:spacing w:line="240" w:lineRule="auto"/>
        <w:rPr>
          <w:rFonts w:eastAsia="MS Mincho"/>
          <w:iCs/>
          <w:szCs w:val="22"/>
          <w:lang w:val="lt-LT" w:eastAsia="lt-LT" w:bidi="lt-LT"/>
        </w:rPr>
      </w:pPr>
      <w:r w:rsidRPr="00EB063F">
        <w:rPr>
          <w:rFonts w:eastAsia="MS Mincho"/>
          <w:iCs/>
          <w:szCs w:val="22"/>
          <w:lang w:val="lt-LT" w:eastAsia="lt-LT" w:bidi="lt-LT"/>
        </w:rPr>
        <w:t>Nei į vieną iš maišelio komponentų, nei į paruoštą emulsiją nedėkite kitų vaistų arba medžiagų, prieš tai nepatikrinę jų suderinamumo ir gauto preparato stabilumo (ypač lipidų emulsijos stabilumo).</w:t>
      </w:r>
    </w:p>
    <w:p w14:paraId="546DC30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1E0CD73"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 xml:space="preserve">Nesuderinamumas galimas, pavyzdžiui, dėl pernelyg didelio rūgštingumo (žemas pH) arba netinkamos </w:t>
      </w:r>
      <w:proofErr w:type="spellStart"/>
      <w:r w:rsidRPr="00EB063F">
        <w:rPr>
          <w:rFonts w:eastAsia="MS Mincho"/>
          <w:szCs w:val="22"/>
          <w:lang w:val="lt-LT" w:eastAsia="lt-LT" w:bidi="lt-LT"/>
        </w:rPr>
        <w:t>dvivalenčių</w:t>
      </w:r>
      <w:proofErr w:type="spellEnd"/>
      <w:r w:rsidRPr="00EB063F">
        <w:rPr>
          <w:rFonts w:eastAsia="MS Mincho"/>
          <w:szCs w:val="22"/>
          <w:lang w:val="lt-LT" w:eastAsia="lt-LT" w:bidi="lt-LT"/>
        </w:rPr>
        <w:t xml:space="preserve"> katijonų sudėties (Ca</w:t>
      </w:r>
      <w:r w:rsidRPr="00EB063F">
        <w:rPr>
          <w:rFonts w:eastAsia="MS Mincho"/>
          <w:szCs w:val="22"/>
          <w:vertAlign w:val="superscript"/>
          <w:lang w:val="lt-LT" w:eastAsia="lt-LT" w:bidi="lt-LT"/>
        </w:rPr>
        <w:t xml:space="preserve">2+ </w:t>
      </w:r>
      <w:r w:rsidRPr="00EB063F">
        <w:rPr>
          <w:rFonts w:eastAsia="MS Mincho"/>
          <w:szCs w:val="22"/>
          <w:lang w:val="lt-LT" w:eastAsia="lt-LT" w:bidi="lt-LT"/>
        </w:rPr>
        <w:t>ir Mg</w:t>
      </w:r>
      <w:r w:rsidRPr="00EB063F">
        <w:rPr>
          <w:rFonts w:eastAsia="MS Mincho"/>
          <w:szCs w:val="22"/>
          <w:vertAlign w:val="superscript"/>
          <w:lang w:val="lt-LT" w:eastAsia="lt-LT" w:bidi="lt-LT"/>
        </w:rPr>
        <w:t>2+</w:t>
      </w:r>
      <w:r w:rsidRPr="00EB063F">
        <w:rPr>
          <w:rFonts w:eastAsia="MS Mincho"/>
          <w:szCs w:val="22"/>
          <w:lang w:val="lt-LT" w:eastAsia="lt-LT" w:bidi="lt-LT"/>
        </w:rPr>
        <w:t>), kuri gali destabilizuoti lipidų emulsiją.</w:t>
      </w:r>
    </w:p>
    <w:p w14:paraId="783674B0"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C2781D1"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Kaip ir vartojant bet kokius kitus </w:t>
      </w:r>
      <w:proofErr w:type="spellStart"/>
      <w:r w:rsidRPr="00EB063F">
        <w:rPr>
          <w:rFonts w:eastAsia="MS Mincho"/>
          <w:szCs w:val="22"/>
          <w:lang w:val="lt-LT" w:eastAsia="lt-LT" w:bidi="lt-LT"/>
        </w:rPr>
        <w:t>parenterinio</w:t>
      </w:r>
      <w:proofErr w:type="spellEnd"/>
      <w:r w:rsidRPr="00EB063F">
        <w:rPr>
          <w:rFonts w:eastAsia="MS Mincho"/>
          <w:szCs w:val="22"/>
          <w:lang w:val="lt-LT" w:eastAsia="lt-LT" w:bidi="lt-LT"/>
        </w:rPr>
        <w:t xml:space="preserve"> maitinimo priedus, reikia atsižvelgti į kalcio ir fosfatų santykį. Dėl kalcio ir fosfatų pertekliaus, ypač mineralinių druskų forma, gali susidaryti kalcio fosfato nuosėdų.</w:t>
      </w:r>
    </w:p>
    <w:p w14:paraId="72AC0EC2"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DBF0E8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OLIMEL N12E sudėtyje yra kalcio jonų, kurie kelia papildomą </w:t>
      </w:r>
      <w:proofErr w:type="spellStart"/>
      <w:r w:rsidRPr="00EB063F">
        <w:rPr>
          <w:rFonts w:eastAsia="MS Mincho"/>
          <w:szCs w:val="22"/>
          <w:lang w:val="lt-LT" w:eastAsia="lt-LT" w:bidi="lt-LT"/>
        </w:rPr>
        <w:t>koaguliacijos</w:t>
      </w:r>
      <w:proofErr w:type="spellEnd"/>
      <w:r w:rsidRPr="00EB063F">
        <w:rPr>
          <w:rFonts w:eastAsia="MS Mincho"/>
          <w:szCs w:val="22"/>
          <w:lang w:val="lt-LT" w:eastAsia="lt-LT" w:bidi="lt-LT"/>
        </w:rPr>
        <w:t xml:space="preserve">, vykstančios citratų </w:t>
      </w:r>
      <w:proofErr w:type="spellStart"/>
      <w:r w:rsidRPr="00EB063F">
        <w:rPr>
          <w:rFonts w:eastAsia="MS Mincho"/>
          <w:szCs w:val="22"/>
          <w:lang w:val="lt-LT" w:eastAsia="lt-LT" w:bidi="lt-LT"/>
        </w:rPr>
        <w:t>antikoaguliuotame</w:t>
      </w:r>
      <w:proofErr w:type="spellEnd"/>
      <w:r w:rsidRPr="00EB063F">
        <w:rPr>
          <w:rFonts w:eastAsia="MS Mincho"/>
          <w:szCs w:val="22"/>
          <w:lang w:val="lt-LT" w:eastAsia="lt-LT" w:bidi="lt-LT"/>
        </w:rPr>
        <w:t xml:space="preserve"> / konservuotame kraujyje arba komponentuose, riziką. </w:t>
      </w:r>
    </w:p>
    <w:p w14:paraId="359D3A2B"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BCD5763" w14:textId="77777777" w:rsidR="00EB063F" w:rsidRPr="00EB063F" w:rsidRDefault="00EB063F" w:rsidP="00EB063F">
      <w:pPr>
        <w:tabs>
          <w:tab w:val="clear" w:pos="567"/>
          <w:tab w:val="left" w:pos="1296"/>
        </w:tabs>
        <w:spacing w:line="240" w:lineRule="auto"/>
        <w:rPr>
          <w:rFonts w:eastAsia="MS Mincho"/>
          <w:szCs w:val="22"/>
          <w:lang w:val="lt-LT" w:eastAsia="lt-LT" w:bidi="lt-LT"/>
        </w:rPr>
      </w:pPr>
      <w:proofErr w:type="spellStart"/>
      <w:r w:rsidRPr="00EB063F">
        <w:rPr>
          <w:rFonts w:eastAsia="MS Mincho"/>
          <w:szCs w:val="22"/>
          <w:lang w:val="lt-LT" w:eastAsia="lt-LT" w:bidi="lt-LT"/>
        </w:rPr>
        <w:t>Ceftriaksono</w:t>
      </w:r>
      <w:proofErr w:type="spellEnd"/>
      <w:r w:rsidRPr="00EB063F">
        <w:rPr>
          <w:rFonts w:eastAsia="MS Mincho"/>
          <w:szCs w:val="22"/>
          <w:lang w:val="lt-LT" w:eastAsia="lt-LT" w:bidi="lt-LT"/>
        </w:rPr>
        <w:t xml:space="preserve"> negalima maišyti ar leisti kartu su intraveniniais tirpalais, kuriuose yra kalcio, įskaitant OLIMEL N12E, per tą pačią infuzijos liniją (pvz., per Y formos jungtį), nes kyla rizika, kad atsiras </w:t>
      </w:r>
      <w:proofErr w:type="spellStart"/>
      <w:r w:rsidRPr="00EB063F">
        <w:rPr>
          <w:rFonts w:eastAsia="MS Mincho"/>
          <w:szCs w:val="22"/>
          <w:lang w:val="lt-LT" w:eastAsia="lt-LT" w:bidi="lt-LT"/>
        </w:rPr>
        <w:lastRenderedPageBreak/>
        <w:t>ceftriaksono</w:t>
      </w:r>
      <w:proofErr w:type="spellEnd"/>
      <w:r w:rsidRPr="00EB063F">
        <w:rPr>
          <w:rFonts w:eastAsia="MS Mincho"/>
          <w:szCs w:val="22"/>
          <w:lang w:val="lt-LT" w:eastAsia="lt-LT" w:bidi="lt-LT"/>
        </w:rPr>
        <w:t xml:space="preserve"> ir kalcio druskų nuosėdų (žr. PCS 4.4 ir 4.5 skyrius). </w:t>
      </w:r>
      <w:proofErr w:type="spellStart"/>
      <w:r w:rsidRPr="00EB063F">
        <w:rPr>
          <w:rFonts w:eastAsia="MS Mincho"/>
          <w:szCs w:val="22"/>
          <w:lang w:val="lt-LT" w:eastAsia="lt-LT" w:bidi="lt-LT"/>
        </w:rPr>
        <w:t>Ceftriaksono</w:t>
      </w:r>
      <w:proofErr w:type="spellEnd"/>
      <w:r w:rsidRPr="00EB063F">
        <w:rPr>
          <w:rFonts w:eastAsia="MS Mincho"/>
          <w:szCs w:val="22"/>
          <w:lang w:val="lt-LT" w:eastAsia="lt-LT" w:bidi="lt-LT"/>
        </w:rPr>
        <w:t xml:space="preserve"> ir kalcio turinčius tirpalus galima vartoti vieną po kito, jeigu infuzijos linijos naudojamos skirtingose kūno vietose arba jeigu infuzijos linijos yra pakeičiamos naujomis ar tarp infuzijų kruopščiai praplaunamos fiziologiniu druskos tirpalu, kad nesusidarytų nuosėdų.</w:t>
      </w:r>
    </w:p>
    <w:p w14:paraId="3F9E740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CD58B74"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 xml:space="preserve">Dėl nuosėdų susidarymo rizikos OLIMEL N12E negalima leisti per tą pačią infuzijos liniją arba maišyti su ampicilinu ar </w:t>
      </w:r>
      <w:proofErr w:type="spellStart"/>
      <w:r w:rsidRPr="00EB063F">
        <w:rPr>
          <w:rFonts w:eastAsia="MS Mincho"/>
          <w:bCs/>
          <w:szCs w:val="22"/>
          <w:lang w:val="lt-LT" w:eastAsia="lt-LT" w:bidi="lt-LT"/>
        </w:rPr>
        <w:t>fosfenitoinu</w:t>
      </w:r>
      <w:proofErr w:type="spellEnd"/>
      <w:r w:rsidRPr="00EB063F">
        <w:rPr>
          <w:rFonts w:eastAsia="MS Mincho"/>
          <w:bCs/>
          <w:szCs w:val="22"/>
          <w:lang w:val="lt-LT" w:eastAsia="lt-LT" w:bidi="lt-LT"/>
        </w:rPr>
        <w:t xml:space="preserve">. </w:t>
      </w:r>
    </w:p>
    <w:p w14:paraId="6753BE59"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p>
    <w:p w14:paraId="12BA5B0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Patikrinkite suderinamumą su tirpalais, vienu metu vartojamais per tą pačią infuzinę sistemą, kateterį arba kaniulę.</w:t>
      </w:r>
    </w:p>
    <w:p w14:paraId="1243480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A2F13A1"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Nevartokite tos pačios infuzinės sistemos prieš kraujo perpylimą, perpylimo metu arba po perpylimo, nes yra </w:t>
      </w:r>
      <w:proofErr w:type="spellStart"/>
      <w:r w:rsidRPr="00EB063F">
        <w:rPr>
          <w:rFonts w:eastAsia="MS Mincho"/>
          <w:szCs w:val="22"/>
          <w:lang w:val="lt-LT" w:eastAsia="lt-LT" w:bidi="lt-LT"/>
        </w:rPr>
        <w:t>pseudoagliutinacijos</w:t>
      </w:r>
      <w:proofErr w:type="spellEnd"/>
      <w:r w:rsidRPr="00EB063F">
        <w:rPr>
          <w:rFonts w:eastAsia="MS Mincho"/>
          <w:szCs w:val="22"/>
          <w:lang w:val="lt-LT" w:eastAsia="lt-LT" w:bidi="lt-LT"/>
        </w:rPr>
        <w:t xml:space="preserve"> pavojus.</w:t>
      </w:r>
    </w:p>
    <w:p w14:paraId="3B10CE39"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EC4262B" w14:textId="77777777" w:rsidR="00EB063F" w:rsidRPr="00EB063F" w:rsidRDefault="00EB063F" w:rsidP="00EB063F">
      <w:pPr>
        <w:keepNext/>
        <w:spacing w:line="240" w:lineRule="auto"/>
        <w:outlineLvl w:val="0"/>
        <w:rPr>
          <w:b/>
          <w:caps/>
          <w:szCs w:val="22"/>
        </w:rPr>
      </w:pPr>
      <w:r w:rsidRPr="00EB063F">
        <w:rPr>
          <w:b/>
          <w:caps/>
          <w:szCs w:val="22"/>
        </w:rPr>
        <w:t>D.</w:t>
      </w:r>
      <w:r w:rsidRPr="00EB063F">
        <w:rPr>
          <w:b/>
          <w:caps/>
          <w:szCs w:val="22"/>
        </w:rPr>
        <w:tab/>
        <w:t>Specialūs reikalavimai atliekoms tvarkyti ir vaistiniam preparatui ruošti</w:t>
      </w:r>
    </w:p>
    <w:p w14:paraId="15F901B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CC35E8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OLIMEL N12E paruošimo vartojimui veiksmų apžvalga pateikiama 1 pav.</w:t>
      </w:r>
    </w:p>
    <w:p w14:paraId="3E0E892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EB19AA1"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Atidarymas</w:t>
      </w:r>
    </w:p>
    <w:p w14:paraId="0E85E211" w14:textId="77777777" w:rsidR="00EB063F" w:rsidRPr="00EB063F" w:rsidRDefault="00EB063F" w:rsidP="00EB063F">
      <w:pPr>
        <w:tabs>
          <w:tab w:val="clear" w:pos="567"/>
          <w:tab w:val="left" w:pos="1296"/>
        </w:tabs>
        <w:spacing w:line="240" w:lineRule="auto"/>
        <w:rPr>
          <w:rFonts w:eastAsia="MS Mincho"/>
          <w:bCs/>
          <w:szCs w:val="22"/>
          <w:lang w:val="lt-LT" w:eastAsia="lt-LT" w:bidi="lt-LT"/>
        </w:rPr>
      </w:pPr>
      <w:r w:rsidRPr="00EB063F">
        <w:rPr>
          <w:rFonts w:eastAsia="MS Mincho"/>
          <w:bCs/>
          <w:szCs w:val="22"/>
          <w:lang w:val="lt-LT" w:eastAsia="lt-LT" w:bidi="lt-LT"/>
        </w:rPr>
        <w:t>Nuimkite apsauginį maišelį.</w:t>
      </w:r>
    </w:p>
    <w:p w14:paraId="413E55E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F7273C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Išmeskite deguonį sugeriantį paketėlį. </w:t>
      </w:r>
    </w:p>
    <w:p w14:paraId="34D18D7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62CC9B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Patikrinkite maišelio ir laikinųjų pertvarų vientisumą. Vartokite tik tuo atveju, jei maišelis nepažeistas, laikinosios pertvaros nesuardytos (t. y. trijų kamerų turinys nesusimaišęs), jei aminorūgščių ir gliukozės tirpalas skaidrus, bespalvis arba gelsvas ir jame praktiškai nematyti jokių dalelių, o lipidų emulsija yra vienalytis, į pieną panašus skystis.</w:t>
      </w:r>
    </w:p>
    <w:p w14:paraId="5F43A09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074874A"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bookmarkStart w:id="7" w:name="_ISIW_UH_11"/>
      <w:r w:rsidRPr="00EB063F">
        <w:rPr>
          <w:rFonts w:eastAsia="MS Mincho"/>
          <w:b/>
          <w:bCs/>
          <w:szCs w:val="22"/>
          <w:lang w:val="lt-LT" w:eastAsia="lt-LT" w:bidi="lt-LT"/>
        </w:rPr>
        <w:t>Tirpalų ir emulsijos maišymas</w:t>
      </w:r>
    </w:p>
    <w:bookmarkEnd w:id="7"/>
    <w:p w14:paraId="5176F1D5"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Prieš suardydami laikinąsias pertvaras turite užtikrinti, kad preparatas būtų kambario temperatūros.</w:t>
      </w:r>
    </w:p>
    <w:p w14:paraId="5B284AF3"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3D02C9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Rankomis vyniokite maišelį aplink jį patį, pradėdami nuo jo viršaus (kabinamas galas). Laikinosios pertvaros išnyks nuo įleidimo angų pusės. Sukite maišelį toliau, kol pertvaros atsivers maždaug per pusę savo ilgio.</w:t>
      </w:r>
    </w:p>
    <w:p w14:paraId="544A5373"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270330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Sumaišykite apversdami maišelį bent 3 kartus.</w:t>
      </w:r>
    </w:p>
    <w:p w14:paraId="65625B9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961D8E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Po paruošimo gaunama vienalytė, į pieną panaši emulsija.</w:t>
      </w:r>
    </w:p>
    <w:p w14:paraId="09CBC0BC"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8ADAE75"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bookmarkStart w:id="8" w:name="_ISIW_UH_12"/>
      <w:r w:rsidRPr="00EB063F">
        <w:rPr>
          <w:rFonts w:eastAsia="MS Mincho"/>
          <w:b/>
          <w:bCs/>
          <w:szCs w:val="22"/>
          <w:lang w:val="lt-LT" w:eastAsia="lt-LT" w:bidi="lt-LT"/>
        </w:rPr>
        <w:t>Priedai</w:t>
      </w:r>
    </w:p>
    <w:bookmarkEnd w:id="8"/>
    <w:p w14:paraId="6A0AA740"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Maišelio talpa pakankama, kad būtų galima suleisti priedų, pvz., vitaminų, elektrolitų ir mikroelementų.</w:t>
      </w:r>
    </w:p>
    <w:p w14:paraId="35BF3FE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503723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Bet kokius priedus (įskaitant vitaminus) galima suleisti į jau paruoštą mišinį (po to, kai suardomos laikinosios pertvaros ir sumaišomas trijų kamerų turinys).</w:t>
      </w:r>
    </w:p>
    <w:p w14:paraId="70414DAB"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44D80F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Vitaminus į gliukozės kamerą galima suleisti ir prieš paruošiant mišinį (prieš suardant laikinąsias pertvaras ir prieš sumaišant trijų kamerų turinį).</w:t>
      </w:r>
    </w:p>
    <w:p w14:paraId="7C59A100"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5828752"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 xml:space="preserve">Priedus </w:t>
      </w:r>
      <w:r w:rsidRPr="00EB063F">
        <w:rPr>
          <w:rFonts w:eastAsia="MS Mincho"/>
          <w:iCs/>
          <w:szCs w:val="22"/>
          <w:lang w:val="lt-LT" w:eastAsia="lt-LT" w:bidi="lt-LT"/>
        </w:rPr>
        <w:t xml:space="preserve">steriliomis sąlygomis </w:t>
      </w:r>
      <w:r w:rsidRPr="00EB063F">
        <w:rPr>
          <w:rFonts w:eastAsia="MS Mincho"/>
          <w:szCs w:val="22"/>
          <w:lang w:val="lt-LT" w:eastAsia="lt-LT" w:bidi="lt-LT"/>
        </w:rPr>
        <w:t>turi paruošti ir suleisti kvalifikuoti darbuotojai.</w:t>
      </w:r>
    </w:p>
    <w:p w14:paraId="4B8E1441"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4ABD5AF"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 xml:space="preserve">OLIMEL N12E galima papildyti elektrolitais, neorganiniais ar organiniais fosfatais ir rinkoje parduodamais </w:t>
      </w:r>
      <w:proofErr w:type="spellStart"/>
      <w:r w:rsidRPr="00EB063F">
        <w:rPr>
          <w:rFonts w:eastAsia="MS Mincho"/>
          <w:szCs w:val="22"/>
          <w:lang w:val="lt-LT" w:eastAsia="lt-LT" w:bidi="lt-LT"/>
        </w:rPr>
        <w:t>multivitaminų</w:t>
      </w:r>
      <w:proofErr w:type="spellEnd"/>
      <w:r w:rsidRPr="00EB063F">
        <w:rPr>
          <w:rFonts w:eastAsia="MS Mincho"/>
          <w:szCs w:val="22"/>
          <w:lang w:val="lt-LT" w:eastAsia="lt-LT" w:bidi="lt-LT"/>
        </w:rPr>
        <w:t xml:space="preserve"> preparatais (tokiais kaip „</w:t>
      </w:r>
      <w:proofErr w:type="spellStart"/>
      <w:r w:rsidRPr="00EB063F">
        <w:rPr>
          <w:rFonts w:eastAsia="MS Mincho"/>
          <w:szCs w:val="22"/>
          <w:lang w:val="lt-LT" w:eastAsia="lt-LT" w:bidi="lt-LT"/>
        </w:rPr>
        <w:t>Cernevit</w:t>
      </w:r>
      <w:proofErr w:type="spellEnd"/>
      <w:r w:rsidRPr="00EB063F">
        <w:rPr>
          <w:rFonts w:eastAsia="MS Mincho"/>
          <w:szCs w:val="22"/>
          <w:lang w:val="lt-LT" w:eastAsia="lt-LT" w:bidi="lt-LT"/>
        </w:rPr>
        <w:t>“) bei mikroelementų preparatais (tokiais kaip „</w:t>
      </w:r>
      <w:proofErr w:type="spellStart"/>
      <w:r w:rsidRPr="00EB063F">
        <w:rPr>
          <w:rFonts w:eastAsia="MS Mincho"/>
          <w:szCs w:val="22"/>
          <w:lang w:val="lt-LT" w:eastAsia="lt-LT" w:bidi="lt-LT"/>
        </w:rPr>
        <w:t>Nutryelt</w:t>
      </w:r>
      <w:proofErr w:type="spellEnd"/>
      <w:r w:rsidRPr="00EB063F">
        <w:rPr>
          <w:rFonts w:eastAsia="MS Mincho"/>
          <w:szCs w:val="22"/>
          <w:lang w:val="lt-LT" w:eastAsia="lt-LT" w:bidi="lt-LT"/>
        </w:rPr>
        <w:t xml:space="preserve">“). Toliau pateiktoje lentelėje nurodytų priedų didžiausias bendras kiekis yra paremtas stabilumo duomenimis ir neturėtų būti laikomas rekomenduojama doze. Priedus reikia leisti </w:t>
      </w:r>
      <w:r w:rsidRPr="00EB063F">
        <w:rPr>
          <w:rFonts w:eastAsia="MS Mincho"/>
          <w:szCs w:val="22"/>
          <w:lang w:val="lt-LT" w:eastAsia="lt-LT" w:bidi="lt-LT"/>
        </w:rPr>
        <w:lastRenderedPageBreak/>
        <w:t>įvertinus paciento klinikinius poreikius ir neviršijant maistinės vertės rekomendacijų. Papildant elektrolitais, į didžiausią bendrą kiekį reikia įskaičiuoti maišelyje jau esančių elektrolitų kiekį.</w:t>
      </w:r>
    </w:p>
    <w:p w14:paraId="6F316CC5"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626A55F" w14:textId="77777777" w:rsidR="00EB063F" w:rsidRPr="00EB063F" w:rsidRDefault="00EB063F" w:rsidP="00EB063F">
      <w:pPr>
        <w:tabs>
          <w:tab w:val="clear" w:pos="567"/>
          <w:tab w:val="left" w:pos="1296"/>
        </w:tabs>
        <w:spacing w:line="240" w:lineRule="auto"/>
        <w:rPr>
          <w:szCs w:val="22"/>
        </w:rPr>
      </w:pPr>
      <w:r w:rsidRPr="00EB063F">
        <w:rPr>
          <w:rFonts w:eastAsia="MS Mincho"/>
          <w:iCs/>
          <w:szCs w:val="22"/>
          <w:lang w:val="lt-LT" w:eastAsia="lt-LT" w:bidi="lt-LT"/>
        </w:rPr>
        <w:t xml:space="preserve">Ne visi skirtingų gamintojų preparatai yra suderinami, todėl maišant </w:t>
      </w:r>
      <w:r w:rsidRPr="00EB063F">
        <w:rPr>
          <w:rFonts w:eastAsia="Batang"/>
          <w:bCs/>
          <w:iCs/>
          <w:szCs w:val="22"/>
          <w:lang w:val="lt-LT" w:eastAsia="lt-LT" w:bidi="lt-LT"/>
        </w:rPr>
        <w:t>OLIMEL N12E</w:t>
      </w:r>
      <w:r w:rsidRPr="00EB063F">
        <w:rPr>
          <w:rFonts w:eastAsia="MS Mincho"/>
          <w:szCs w:val="22"/>
          <w:lang w:val="lt-LT" w:eastAsia="lt-LT" w:bidi="lt-LT"/>
        </w:rPr>
        <w:t xml:space="preserve"> </w:t>
      </w:r>
      <w:r w:rsidRPr="00EB063F">
        <w:rPr>
          <w:rFonts w:eastAsia="MS Mincho"/>
          <w:iCs/>
          <w:szCs w:val="22"/>
          <w:lang w:val="lt-LT" w:eastAsia="lt-LT" w:bidi="lt-LT"/>
        </w:rPr>
        <w:t xml:space="preserve">su kitais </w:t>
      </w:r>
      <w:proofErr w:type="spellStart"/>
      <w:r w:rsidRPr="00EB063F">
        <w:rPr>
          <w:rFonts w:eastAsia="MS Mincho"/>
          <w:iCs/>
          <w:szCs w:val="22"/>
          <w:lang w:val="lt-LT" w:eastAsia="lt-LT" w:bidi="lt-LT"/>
        </w:rPr>
        <w:t>parenteriniais</w:t>
      </w:r>
      <w:proofErr w:type="spellEnd"/>
      <w:r w:rsidRPr="00EB063F">
        <w:rPr>
          <w:rFonts w:eastAsia="MS Mincho"/>
          <w:iCs/>
          <w:szCs w:val="22"/>
          <w:lang w:val="lt-LT" w:eastAsia="lt-LT" w:bidi="lt-LT"/>
        </w:rPr>
        <w:t xml:space="preserve"> tirpalais sveikatos priežiūros specialistams rekomenduojama patikrinti jų suderinamumą.</w:t>
      </w:r>
    </w:p>
    <w:tbl>
      <w:tblPr>
        <w:tblW w:w="5000" w:type="pct"/>
        <w:jc w:val="center"/>
        <w:tblLayout w:type="fixed"/>
        <w:tblCellMar>
          <w:left w:w="10" w:type="dxa"/>
          <w:right w:w="10" w:type="dxa"/>
        </w:tblCellMar>
        <w:tblLook w:val="04A0" w:firstRow="1" w:lastRow="0" w:firstColumn="1" w:lastColumn="0" w:noHBand="0" w:noVBand="1"/>
      </w:tblPr>
      <w:tblGrid>
        <w:gridCol w:w="2047"/>
        <w:gridCol w:w="1963"/>
        <w:gridCol w:w="2622"/>
        <w:gridCol w:w="2438"/>
      </w:tblGrid>
      <w:tr w:rsidR="00EB063F" w:rsidRPr="00EB063F" w14:paraId="400D5CFD" w14:textId="77777777" w:rsidTr="001E32CB">
        <w:trPr>
          <w:cantSplit/>
          <w:jc w:val="center"/>
        </w:trPr>
        <w:tc>
          <w:tcPr>
            <w:tcW w:w="9242" w:type="dxa"/>
            <w:gridSpan w:val="4"/>
            <w:tcBorders>
              <w:bottom w:val="single" w:sz="6" w:space="0" w:color="000000"/>
            </w:tcBorders>
            <w:tcMar>
              <w:top w:w="0" w:type="dxa"/>
              <w:left w:w="108" w:type="dxa"/>
              <w:bottom w:w="0" w:type="dxa"/>
              <w:right w:w="108" w:type="dxa"/>
            </w:tcMar>
          </w:tcPr>
          <w:p w14:paraId="23A30541" w14:textId="77777777" w:rsidR="00EB063F" w:rsidRPr="00EB063F" w:rsidRDefault="00EB063F" w:rsidP="00EB063F">
            <w:pPr>
              <w:pStyle w:val="TableTitle"/>
              <w:spacing w:before="0" w:after="0"/>
              <w:rPr>
                <w:sz w:val="22"/>
                <w:szCs w:val="22"/>
              </w:rPr>
            </w:pPr>
            <w:r w:rsidRPr="00EB063F">
              <w:rPr>
                <w:sz w:val="22"/>
                <w:szCs w:val="22"/>
              </w:rPr>
              <w:t xml:space="preserve">1000 ml </w:t>
            </w:r>
            <w:proofErr w:type="spellStart"/>
            <w:r w:rsidRPr="00EB063F">
              <w:rPr>
                <w:sz w:val="22"/>
                <w:szCs w:val="22"/>
              </w:rPr>
              <w:t>Olimel</w:t>
            </w:r>
            <w:proofErr w:type="spellEnd"/>
            <w:r w:rsidRPr="00EB063F">
              <w:rPr>
                <w:sz w:val="22"/>
                <w:szCs w:val="22"/>
              </w:rPr>
              <w:t xml:space="preserve"> N12E galimi priedai (vaikams)</w:t>
            </w:r>
          </w:p>
        </w:tc>
      </w:tr>
      <w:tr w:rsidR="00EB063F" w:rsidRPr="00EB063F" w14:paraId="3034DBB6"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B52F99" w14:textId="77777777" w:rsidR="00EB063F" w:rsidRPr="00EB063F" w:rsidRDefault="00EB063F" w:rsidP="00EB063F">
            <w:pPr>
              <w:pStyle w:val="TableCenter"/>
              <w:spacing w:before="0" w:after="0"/>
              <w:rPr>
                <w:sz w:val="22"/>
                <w:szCs w:val="22"/>
              </w:rPr>
            </w:pP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EFEAAE" w14:textId="77777777" w:rsidR="00EB063F" w:rsidRPr="00EB063F" w:rsidRDefault="00EB063F" w:rsidP="00EB063F">
            <w:pPr>
              <w:pStyle w:val="TableCenter"/>
              <w:spacing w:before="0" w:after="0"/>
              <w:rPr>
                <w:sz w:val="22"/>
                <w:szCs w:val="22"/>
              </w:rPr>
            </w:pPr>
            <w:r w:rsidRPr="00EB063F">
              <w:rPr>
                <w:sz w:val="22"/>
                <w:szCs w:val="22"/>
              </w:rPr>
              <w:t>Tirpale esantis kiekis</w:t>
            </w:r>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0AF6D8" w14:textId="77777777" w:rsidR="00EB063F" w:rsidRPr="00EB063F" w:rsidRDefault="00EB063F" w:rsidP="00EB063F">
            <w:pPr>
              <w:pStyle w:val="TableCenter"/>
              <w:spacing w:before="0" w:after="0"/>
              <w:rPr>
                <w:sz w:val="22"/>
                <w:szCs w:val="22"/>
              </w:rPr>
            </w:pPr>
            <w:r w:rsidRPr="00EB063F">
              <w:rPr>
                <w:sz w:val="22"/>
                <w:szCs w:val="22"/>
              </w:rPr>
              <w:t>Didžiausias kiekis, kurį galima pridėti</w:t>
            </w:r>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AC89F3" w14:textId="77777777" w:rsidR="00EB063F" w:rsidRPr="00EB063F" w:rsidRDefault="00EB063F" w:rsidP="00EB063F">
            <w:pPr>
              <w:pStyle w:val="TableCenter"/>
              <w:spacing w:before="0" w:after="0"/>
              <w:rPr>
                <w:sz w:val="22"/>
                <w:szCs w:val="22"/>
              </w:rPr>
            </w:pPr>
            <w:r w:rsidRPr="00EB063F">
              <w:rPr>
                <w:sz w:val="22"/>
                <w:szCs w:val="22"/>
              </w:rPr>
              <w:t>Didžiausias bendras kiekis</w:t>
            </w:r>
          </w:p>
        </w:tc>
      </w:tr>
      <w:tr w:rsidR="00EB063F" w:rsidRPr="00EB063F" w14:paraId="308A0E82"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DDA3F1" w14:textId="77777777" w:rsidR="00EB063F" w:rsidRPr="00EB063F" w:rsidRDefault="00EB063F" w:rsidP="00EB063F">
            <w:pPr>
              <w:pStyle w:val="TableCenter"/>
              <w:spacing w:before="0" w:after="0"/>
              <w:rPr>
                <w:sz w:val="22"/>
                <w:szCs w:val="22"/>
              </w:rPr>
            </w:pPr>
            <w:r w:rsidRPr="00EB063F">
              <w:rPr>
                <w:sz w:val="22"/>
                <w:szCs w:val="22"/>
              </w:rPr>
              <w:t>Natris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E748B1" w14:textId="77777777" w:rsidR="00EB063F" w:rsidRPr="00EB063F" w:rsidRDefault="00EB063F" w:rsidP="00EB063F">
            <w:pPr>
              <w:pStyle w:val="TableCenter"/>
              <w:spacing w:before="0" w:after="0"/>
              <w:rPr>
                <w:sz w:val="22"/>
                <w:szCs w:val="22"/>
              </w:rPr>
            </w:pPr>
            <w:r w:rsidRPr="00EB063F">
              <w:rPr>
                <w:sz w:val="22"/>
                <w:szCs w:val="22"/>
              </w:rPr>
              <w:t>35 </w:t>
            </w:r>
            <w:proofErr w:type="spellStart"/>
            <w:r w:rsidRPr="00EB063F">
              <w:rPr>
                <w:sz w:val="22"/>
                <w:szCs w:val="22"/>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DC76C1" w14:textId="77777777" w:rsidR="00EB063F" w:rsidRPr="00EB063F" w:rsidRDefault="00EB063F" w:rsidP="00EB063F">
            <w:pPr>
              <w:pStyle w:val="TableCenter"/>
              <w:spacing w:before="0" w:after="0"/>
              <w:rPr>
                <w:sz w:val="22"/>
                <w:szCs w:val="22"/>
              </w:rPr>
            </w:pPr>
            <w:r w:rsidRPr="00EB063F">
              <w:rPr>
                <w:sz w:val="22"/>
                <w:szCs w:val="22"/>
              </w:rPr>
              <w:t>115 </w:t>
            </w:r>
            <w:proofErr w:type="spellStart"/>
            <w:r w:rsidRPr="00EB063F">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4BCC0" w14:textId="77777777" w:rsidR="00EB063F" w:rsidRPr="00EB063F" w:rsidRDefault="00EB063F" w:rsidP="00EB063F">
            <w:pPr>
              <w:pStyle w:val="TableCenter"/>
              <w:spacing w:before="0" w:after="0"/>
              <w:rPr>
                <w:sz w:val="22"/>
                <w:szCs w:val="22"/>
                <w:lang w:val="fr-FR"/>
              </w:rPr>
            </w:pPr>
            <w:r w:rsidRPr="00EB063F">
              <w:rPr>
                <w:sz w:val="22"/>
                <w:szCs w:val="22"/>
                <w:lang w:val="fr-FR"/>
              </w:rPr>
              <w:t>150 mmol</w:t>
            </w:r>
          </w:p>
        </w:tc>
      </w:tr>
      <w:tr w:rsidR="00EB063F" w:rsidRPr="00EB063F" w14:paraId="57D5BE33"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5B5543" w14:textId="77777777" w:rsidR="00EB063F" w:rsidRPr="00EB063F" w:rsidRDefault="00EB063F" w:rsidP="00EB063F">
            <w:pPr>
              <w:pStyle w:val="TableCenter"/>
              <w:spacing w:before="0" w:after="0"/>
              <w:rPr>
                <w:sz w:val="22"/>
                <w:szCs w:val="22"/>
              </w:rPr>
            </w:pPr>
            <w:r w:rsidRPr="00EB063F">
              <w:rPr>
                <w:sz w:val="22"/>
                <w:szCs w:val="22"/>
              </w:rPr>
              <w:t>Kalis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E2C27B" w14:textId="77777777" w:rsidR="00EB063F" w:rsidRPr="00EB063F" w:rsidRDefault="00EB063F" w:rsidP="00EB063F">
            <w:pPr>
              <w:pStyle w:val="TableCenter"/>
              <w:spacing w:before="0" w:after="0"/>
              <w:rPr>
                <w:sz w:val="22"/>
                <w:szCs w:val="22"/>
                <w:lang w:val="fr-FR"/>
              </w:rPr>
            </w:pPr>
            <w:r w:rsidRPr="00EB063F">
              <w:rPr>
                <w:sz w:val="22"/>
                <w:szCs w:val="22"/>
                <w:lang w:val="fr-FR"/>
              </w:rPr>
              <w:t>30 mmol</w:t>
            </w:r>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BCC0A" w14:textId="77777777" w:rsidR="00EB063F" w:rsidRPr="00EB063F" w:rsidRDefault="00EB063F" w:rsidP="00EB063F">
            <w:pPr>
              <w:pStyle w:val="TableCenter"/>
              <w:spacing w:before="0" w:after="0"/>
              <w:rPr>
                <w:sz w:val="22"/>
                <w:szCs w:val="22"/>
              </w:rPr>
            </w:pPr>
            <w:r w:rsidRPr="00EB063F">
              <w:rPr>
                <w:sz w:val="22"/>
                <w:szCs w:val="22"/>
              </w:rPr>
              <w:t>120 </w:t>
            </w:r>
            <w:proofErr w:type="spellStart"/>
            <w:r w:rsidRPr="00EB063F">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DF6FEE" w14:textId="77777777" w:rsidR="00EB063F" w:rsidRPr="00EB063F" w:rsidRDefault="00EB063F" w:rsidP="00EB063F">
            <w:pPr>
              <w:pStyle w:val="TableCenter"/>
              <w:spacing w:before="0" w:after="0"/>
              <w:rPr>
                <w:sz w:val="22"/>
                <w:szCs w:val="22"/>
              </w:rPr>
            </w:pPr>
            <w:r w:rsidRPr="00EB063F">
              <w:rPr>
                <w:sz w:val="22"/>
                <w:szCs w:val="22"/>
              </w:rPr>
              <w:t>150 </w:t>
            </w:r>
            <w:proofErr w:type="spellStart"/>
            <w:r w:rsidRPr="00EB063F">
              <w:rPr>
                <w:sz w:val="22"/>
                <w:szCs w:val="22"/>
              </w:rPr>
              <w:t>mmol</w:t>
            </w:r>
            <w:proofErr w:type="spellEnd"/>
          </w:p>
        </w:tc>
      </w:tr>
      <w:tr w:rsidR="00EB063F" w:rsidRPr="00EB063F" w14:paraId="5DF55CA2"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EE81F8" w14:textId="77777777" w:rsidR="00EB063F" w:rsidRPr="00EB063F" w:rsidRDefault="00EB063F" w:rsidP="00EB063F">
            <w:pPr>
              <w:pStyle w:val="TableCenter"/>
              <w:spacing w:before="0" w:after="0"/>
              <w:rPr>
                <w:sz w:val="22"/>
                <w:szCs w:val="22"/>
              </w:rPr>
            </w:pPr>
            <w:r w:rsidRPr="00EB063F">
              <w:rPr>
                <w:sz w:val="22"/>
                <w:szCs w:val="22"/>
              </w:rPr>
              <w:t>Magnis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FCDFF6" w14:textId="77777777" w:rsidR="00EB063F" w:rsidRPr="00EB063F" w:rsidRDefault="00EB063F" w:rsidP="00EB063F">
            <w:pPr>
              <w:pStyle w:val="TableCenter"/>
              <w:spacing w:before="0" w:after="0"/>
              <w:rPr>
                <w:sz w:val="22"/>
                <w:szCs w:val="22"/>
              </w:rPr>
            </w:pPr>
            <w:r w:rsidRPr="00EB063F">
              <w:rPr>
                <w:sz w:val="22"/>
                <w:szCs w:val="22"/>
              </w:rPr>
              <w:t>4,0 </w:t>
            </w:r>
            <w:proofErr w:type="spellStart"/>
            <w:r w:rsidRPr="00EB063F">
              <w:rPr>
                <w:sz w:val="22"/>
                <w:szCs w:val="22"/>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28A42D" w14:textId="77777777" w:rsidR="00EB063F" w:rsidRPr="00EB063F" w:rsidRDefault="00EB063F" w:rsidP="00EB063F">
            <w:pPr>
              <w:pStyle w:val="TableCenter"/>
              <w:spacing w:before="0" w:after="0"/>
              <w:rPr>
                <w:sz w:val="22"/>
                <w:szCs w:val="22"/>
              </w:rPr>
            </w:pPr>
            <w:r w:rsidRPr="00EB063F">
              <w:rPr>
                <w:sz w:val="22"/>
                <w:szCs w:val="22"/>
              </w:rPr>
              <w:t>1,6 </w:t>
            </w:r>
            <w:proofErr w:type="spellStart"/>
            <w:r w:rsidRPr="00EB063F">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2F3AF2" w14:textId="77777777" w:rsidR="00EB063F" w:rsidRPr="00EB063F" w:rsidRDefault="00EB063F" w:rsidP="00EB063F">
            <w:pPr>
              <w:pStyle w:val="TableCenter"/>
              <w:spacing w:before="0" w:after="0"/>
              <w:rPr>
                <w:sz w:val="22"/>
                <w:szCs w:val="22"/>
              </w:rPr>
            </w:pPr>
            <w:r w:rsidRPr="00EB063F">
              <w:rPr>
                <w:sz w:val="22"/>
                <w:szCs w:val="22"/>
              </w:rPr>
              <w:t>5,6 </w:t>
            </w:r>
            <w:proofErr w:type="spellStart"/>
            <w:r w:rsidRPr="00EB063F">
              <w:rPr>
                <w:sz w:val="22"/>
                <w:szCs w:val="22"/>
              </w:rPr>
              <w:t>mmol</w:t>
            </w:r>
            <w:proofErr w:type="spellEnd"/>
          </w:p>
        </w:tc>
      </w:tr>
      <w:tr w:rsidR="00EB063F" w:rsidRPr="00EB063F" w14:paraId="53212260" w14:textId="77777777" w:rsidTr="001E32CB">
        <w:trPr>
          <w:trHeight w:val="393"/>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EFA378" w14:textId="77777777" w:rsidR="00EB063F" w:rsidRPr="00EB063F" w:rsidRDefault="00EB063F" w:rsidP="00EB063F">
            <w:pPr>
              <w:pStyle w:val="TableCenter"/>
              <w:spacing w:before="0" w:after="0"/>
              <w:rPr>
                <w:sz w:val="22"/>
                <w:szCs w:val="22"/>
              </w:rPr>
            </w:pPr>
            <w:r w:rsidRPr="00EB063F">
              <w:rPr>
                <w:sz w:val="22"/>
                <w:szCs w:val="22"/>
              </w:rPr>
              <w:t>Kalcis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5F0CA9" w14:textId="77777777" w:rsidR="00EB063F" w:rsidRPr="00EB063F" w:rsidRDefault="00EB063F" w:rsidP="00EB063F">
            <w:pPr>
              <w:pStyle w:val="TableCenter"/>
              <w:spacing w:before="0" w:after="0"/>
              <w:rPr>
                <w:sz w:val="22"/>
                <w:szCs w:val="22"/>
              </w:rPr>
            </w:pPr>
            <w:r w:rsidRPr="00EB063F">
              <w:rPr>
                <w:sz w:val="22"/>
                <w:szCs w:val="22"/>
              </w:rPr>
              <w:t>3,5 </w:t>
            </w:r>
            <w:proofErr w:type="spellStart"/>
            <w:r w:rsidRPr="00EB063F">
              <w:rPr>
                <w:sz w:val="22"/>
                <w:szCs w:val="22"/>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756F9C" w14:textId="77777777" w:rsidR="00EB063F" w:rsidRPr="00EB063F" w:rsidRDefault="00EB063F" w:rsidP="00EB063F">
            <w:pPr>
              <w:pStyle w:val="TableCenter"/>
              <w:spacing w:before="0" w:after="0"/>
              <w:rPr>
                <w:sz w:val="22"/>
                <w:szCs w:val="22"/>
              </w:rPr>
            </w:pPr>
            <w:r w:rsidRPr="00EB063F">
              <w:rPr>
                <w:sz w:val="22"/>
                <w:szCs w:val="22"/>
              </w:rPr>
              <w:t>1,5 </w:t>
            </w:r>
            <w:proofErr w:type="spellStart"/>
            <w:r w:rsidRPr="00EB063F">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4780B2" w14:textId="77777777" w:rsidR="00EB063F" w:rsidRPr="00EB063F" w:rsidRDefault="00EB063F" w:rsidP="00EB063F">
            <w:pPr>
              <w:pStyle w:val="TableCenter"/>
              <w:spacing w:before="0" w:after="0"/>
              <w:rPr>
                <w:sz w:val="22"/>
                <w:szCs w:val="22"/>
              </w:rPr>
            </w:pPr>
            <w:r w:rsidRPr="00EB063F">
              <w:rPr>
                <w:sz w:val="22"/>
                <w:szCs w:val="22"/>
              </w:rPr>
              <w:t>5,0 </w:t>
            </w:r>
            <w:proofErr w:type="spellStart"/>
            <w:r w:rsidRPr="00EB063F">
              <w:rPr>
                <w:sz w:val="22"/>
                <w:szCs w:val="22"/>
              </w:rPr>
              <w:t>mmol</w:t>
            </w:r>
            <w:proofErr w:type="spellEnd"/>
          </w:p>
        </w:tc>
      </w:tr>
      <w:tr w:rsidR="00EB063F" w:rsidRPr="00EB063F" w14:paraId="52B7D3F7"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30A480" w14:textId="77777777" w:rsidR="00EB063F" w:rsidRPr="00EB063F" w:rsidRDefault="00EB063F" w:rsidP="00EB063F">
            <w:pPr>
              <w:pStyle w:val="TableCenter"/>
              <w:spacing w:before="0" w:after="0"/>
              <w:rPr>
                <w:sz w:val="22"/>
                <w:szCs w:val="22"/>
              </w:rPr>
            </w:pPr>
            <w:r w:rsidRPr="00EB063F">
              <w:rPr>
                <w:sz w:val="22"/>
                <w:szCs w:val="22"/>
              </w:rPr>
              <w:t>Neorganiniai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23A45C" w14:textId="77777777" w:rsidR="00EB063F" w:rsidRPr="00EB063F" w:rsidRDefault="00EB063F" w:rsidP="00EB063F">
            <w:pPr>
              <w:pStyle w:val="TableCenter"/>
              <w:spacing w:before="0" w:after="0"/>
              <w:rPr>
                <w:sz w:val="22"/>
                <w:szCs w:val="22"/>
              </w:rPr>
            </w:pPr>
            <w:r w:rsidRPr="00EB063F">
              <w:rPr>
                <w:sz w:val="22"/>
                <w:szCs w:val="22"/>
              </w:rPr>
              <w:t>0 </w:t>
            </w:r>
            <w:proofErr w:type="spellStart"/>
            <w:r w:rsidRPr="00EB063F">
              <w:rPr>
                <w:sz w:val="22"/>
                <w:szCs w:val="22"/>
              </w:rPr>
              <w:t>mmol</w:t>
            </w:r>
            <w:proofErr w:type="spellEnd"/>
          </w:p>
        </w:tc>
        <w:tc>
          <w:tcPr>
            <w:tcW w:w="2673"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64651970" w14:textId="77777777" w:rsidR="00EB063F" w:rsidRPr="00EB063F" w:rsidRDefault="00EB063F" w:rsidP="00EB063F">
            <w:pPr>
              <w:pStyle w:val="TableCenter"/>
              <w:spacing w:before="0" w:after="0"/>
              <w:rPr>
                <w:sz w:val="22"/>
                <w:szCs w:val="22"/>
              </w:rPr>
            </w:pPr>
            <w:r w:rsidRPr="00EB063F">
              <w:rPr>
                <w:sz w:val="22"/>
                <w:szCs w:val="22"/>
              </w:rPr>
              <w:t xml:space="preserve">10 </w:t>
            </w:r>
            <w:proofErr w:type="spellStart"/>
            <w:r w:rsidRPr="00EB063F">
              <w:rPr>
                <w:sz w:val="22"/>
                <w:szCs w:val="22"/>
              </w:rPr>
              <w:t>mmol</w:t>
            </w:r>
            <w:proofErr w:type="spellEnd"/>
            <w:r w:rsidRPr="00EB063F">
              <w:rPr>
                <w:sz w:val="22"/>
                <w:szCs w:val="22"/>
              </w:rPr>
              <w:t xml:space="preserve"> </w:t>
            </w:r>
            <w:proofErr w:type="spellStart"/>
            <w:r w:rsidRPr="00EB063F">
              <w:rPr>
                <w:sz w:val="22"/>
                <w:szCs w:val="22"/>
              </w:rPr>
              <w:t>Pn</w:t>
            </w:r>
            <w:proofErr w:type="spellEnd"/>
          </w:p>
          <w:p w14:paraId="158DCA7C" w14:textId="77777777" w:rsidR="00EB063F" w:rsidRPr="00EB063F" w:rsidRDefault="00EB063F" w:rsidP="00EB063F">
            <w:pPr>
              <w:pStyle w:val="TableCenter"/>
              <w:spacing w:before="0" w:after="0"/>
              <w:rPr>
                <w:sz w:val="22"/>
                <w:szCs w:val="22"/>
              </w:rPr>
            </w:pPr>
            <w:r w:rsidRPr="00EB063F">
              <w:rPr>
                <w:sz w:val="22"/>
                <w:szCs w:val="22"/>
              </w:rPr>
              <w:t>arba</w:t>
            </w:r>
          </w:p>
          <w:p w14:paraId="7B9DC6FE" w14:textId="77777777" w:rsidR="00EB063F" w:rsidRPr="00EB063F" w:rsidRDefault="00EB063F" w:rsidP="00EB063F">
            <w:pPr>
              <w:pStyle w:val="TableCenter"/>
              <w:spacing w:before="0" w:after="0"/>
              <w:rPr>
                <w:sz w:val="22"/>
                <w:szCs w:val="22"/>
              </w:rPr>
            </w:pPr>
            <w:r w:rsidRPr="00EB063F">
              <w:rPr>
                <w:sz w:val="22"/>
                <w:szCs w:val="22"/>
              </w:rPr>
              <w:t xml:space="preserve">10 </w:t>
            </w:r>
            <w:proofErr w:type="spellStart"/>
            <w:r w:rsidRPr="00EB063F">
              <w:rPr>
                <w:sz w:val="22"/>
                <w:szCs w:val="22"/>
              </w:rPr>
              <w:t>mmol</w:t>
            </w:r>
            <w:proofErr w:type="spellEnd"/>
            <w:r w:rsidRPr="00EB063F">
              <w:rPr>
                <w:sz w:val="22"/>
                <w:szCs w:val="22"/>
              </w:rPr>
              <w:t xml:space="preserve"> Po </w:t>
            </w:r>
            <w:r w:rsidRPr="00EB063F">
              <w:rPr>
                <w:sz w:val="22"/>
                <w:szCs w:val="22"/>
                <w:vertAlign w:val="superscript"/>
              </w:rPr>
              <w:t>b</w:t>
            </w:r>
          </w:p>
        </w:tc>
        <w:tc>
          <w:tcPr>
            <w:tcW w:w="24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6EE7F735" w14:textId="77777777" w:rsidR="00EB063F" w:rsidRPr="00EB063F" w:rsidRDefault="00EB063F" w:rsidP="00EB063F">
            <w:pPr>
              <w:tabs>
                <w:tab w:val="clear" w:pos="567"/>
              </w:tabs>
              <w:suppressAutoHyphens w:val="0"/>
              <w:autoSpaceDN/>
              <w:snapToGrid/>
              <w:spacing w:line="240" w:lineRule="auto"/>
              <w:jc w:val="center"/>
              <w:textAlignment w:val="auto"/>
              <w:rPr>
                <w:szCs w:val="22"/>
                <w:vertAlign w:val="superscript"/>
                <w:lang w:val="en-US" w:eastAsia="ja-JP"/>
              </w:rPr>
            </w:pPr>
            <w:r w:rsidRPr="00EB063F">
              <w:rPr>
                <w:szCs w:val="22"/>
                <w:lang w:val="en-US" w:eastAsia="ja-JP"/>
              </w:rPr>
              <w:t xml:space="preserve">10 mmol </w:t>
            </w:r>
            <w:proofErr w:type="spellStart"/>
            <w:r w:rsidRPr="00EB063F">
              <w:rPr>
                <w:szCs w:val="22"/>
                <w:lang w:val="en-US" w:eastAsia="ja-JP"/>
              </w:rPr>
              <w:t>Pn</w:t>
            </w:r>
            <w:proofErr w:type="spellEnd"/>
            <w:r w:rsidRPr="00EB063F">
              <w:rPr>
                <w:szCs w:val="22"/>
                <w:lang w:val="en-US" w:eastAsia="ja-JP"/>
              </w:rPr>
              <w:t xml:space="preserve"> + 15 mmol Po</w:t>
            </w:r>
          </w:p>
          <w:p w14:paraId="54038CB0" w14:textId="77777777" w:rsidR="00EB063F" w:rsidRPr="00EB063F" w:rsidRDefault="00EB063F" w:rsidP="00EB063F">
            <w:pPr>
              <w:tabs>
                <w:tab w:val="clear" w:pos="567"/>
              </w:tabs>
              <w:suppressAutoHyphens w:val="0"/>
              <w:autoSpaceDN/>
              <w:snapToGrid/>
              <w:spacing w:line="240" w:lineRule="auto"/>
              <w:jc w:val="center"/>
              <w:textAlignment w:val="auto"/>
              <w:rPr>
                <w:szCs w:val="22"/>
                <w:lang w:val="en-US" w:eastAsia="ja-JP"/>
              </w:rPr>
            </w:pPr>
            <w:proofErr w:type="spellStart"/>
            <w:r w:rsidRPr="00EB063F">
              <w:rPr>
                <w:szCs w:val="22"/>
                <w:lang w:val="en-US" w:eastAsia="ja-JP"/>
              </w:rPr>
              <w:t>arba</w:t>
            </w:r>
            <w:proofErr w:type="spellEnd"/>
          </w:p>
          <w:p w14:paraId="27390D16" w14:textId="77777777" w:rsidR="00EB063F" w:rsidRPr="00EB063F" w:rsidRDefault="00EB063F" w:rsidP="00EB063F">
            <w:pPr>
              <w:pStyle w:val="TableCenter"/>
              <w:spacing w:before="0" w:after="0"/>
              <w:rPr>
                <w:sz w:val="22"/>
                <w:szCs w:val="22"/>
              </w:rPr>
            </w:pPr>
            <w:r w:rsidRPr="00EB063F">
              <w:rPr>
                <w:sz w:val="22"/>
                <w:szCs w:val="22"/>
                <w:lang w:val="en-GB" w:eastAsia="en-US" w:bidi="ar-SA"/>
              </w:rPr>
              <w:t xml:space="preserve">25 mmol Po </w:t>
            </w:r>
            <w:proofErr w:type="spellStart"/>
            <w:proofErr w:type="gramStart"/>
            <w:r w:rsidRPr="00EB063F">
              <w:rPr>
                <w:sz w:val="22"/>
                <w:szCs w:val="22"/>
                <w:vertAlign w:val="superscript"/>
                <w:lang w:val="en-GB" w:eastAsia="en-US" w:bidi="ar-SA"/>
              </w:rPr>
              <w:t>a,b</w:t>
            </w:r>
            <w:proofErr w:type="spellEnd"/>
            <w:proofErr w:type="gramEnd"/>
          </w:p>
        </w:tc>
      </w:tr>
      <w:tr w:rsidR="00EB063F" w:rsidRPr="00EB063F" w14:paraId="0116A6A3"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4B95CD" w14:textId="77777777" w:rsidR="00EB063F" w:rsidRPr="00EB063F" w:rsidRDefault="00EB063F" w:rsidP="00EB063F">
            <w:pPr>
              <w:pStyle w:val="TableCenter"/>
              <w:spacing w:before="0" w:after="0"/>
              <w:rPr>
                <w:sz w:val="22"/>
                <w:szCs w:val="22"/>
              </w:rPr>
            </w:pPr>
            <w:r w:rsidRPr="00EB063F">
              <w:rPr>
                <w:sz w:val="22"/>
                <w:szCs w:val="22"/>
              </w:rPr>
              <w:t>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BEC8F6" w14:textId="77777777" w:rsidR="00EB063F" w:rsidRPr="00EB063F" w:rsidRDefault="00EB063F" w:rsidP="00EB063F">
            <w:pPr>
              <w:pStyle w:val="TableCenter"/>
              <w:spacing w:before="0" w:after="0"/>
              <w:rPr>
                <w:sz w:val="22"/>
                <w:szCs w:val="22"/>
              </w:rPr>
            </w:pPr>
            <w:r w:rsidRPr="00EB063F">
              <w:rPr>
                <w:sz w:val="22"/>
                <w:szCs w:val="22"/>
              </w:rPr>
              <w:t>15 </w:t>
            </w:r>
            <w:proofErr w:type="spellStart"/>
            <w:r w:rsidRPr="00EB063F">
              <w:rPr>
                <w:sz w:val="22"/>
                <w:szCs w:val="22"/>
              </w:rPr>
              <w:t>mmol</w:t>
            </w:r>
            <w:proofErr w:type="spellEnd"/>
            <w:r w:rsidRPr="00EB063F">
              <w:rPr>
                <w:sz w:val="22"/>
                <w:szCs w:val="22"/>
              </w:rPr>
              <w:t xml:space="preserve"> </w:t>
            </w:r>
            <w:r w:rsidRPr="00EB063F">
              <w:rPr>
                <w:sz w:val="22"/>
                <w:szCs w:val="22"/>
                <w:vertAlign w:val="superscript"/>
              </w:rPr>
              <w:t>a</w:t>
            </w:r>
          </w:p>
        </w:tc>
        <w:tc>
          <w:tcPr>
            <w:tcW w:w="2673"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6130905C" w14:textId="77777777" w:rsidR="00EB063F" w:rsidRPr="00EB063F" w:rsidRDefault="00EB063F" w:rsidP="00EB063F">
            <w:pPr>
              <w:pStyle w:val="TableCenter"/>
              <w:spacing w:before="0" w:after="0"/>
              <w:rPr>
                <w:sz w:val="22"/>
                <w:szCs w:val="22"/>
              </w:rPr>
            </w:pPr>
          </w:p>
        </w:tc>
        <w:tc>
          <w:tcPr>
            <w:tcW w:w="248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1F1EF12A" w14:textId="77777777" w:rsidR="00EB063F" w:rsidRPr="00EB063F" w:rsidRDefault="00EB063F" w:rsidP="00EB063F">
            <w:pPr>
              <w:pStyle w:val="TableCenter"/>
              <w:spacing w:before="0" w:after="0"/>
              <w:rPr>
                <w:sz w:val="22"/>
                <w:szCs w:val="22"/>
              </w:rPr>
            </w:pPr>
          </w:p>
        </w:tc>
      </w:tr>
      <w:tr w:rsidR="00EB063F" w:rsidRPr="00EB063F" w14:paraId="67B48E3B" w14:textId="77777777" w:rsidTr="001E32CB">
        <w:trPr>
          <w:jc w:val="center"/>
        </w:trPr>
        <w:tc>
          <w:tcPr>
            <w:tcW w:w="924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036E8A" w14:textId="77777777" w:rsidR="00EB063F" w:rsidRPr="00EB063F" w:rsidRDefault="00EB063F" w:rsidP="00EB063F">
            <w:pPr>
              <w:pStyle w:val="TableCenter"/>
              <w:spacing w:before="0" w:after="0"/>
              <w:rPr>
                <w:sz w:val="22"/>
                <w:szCs w:val="22"/>
              </w:rPr>
            </w:pPr>
            <w:r w:rsidRPr="00EB063F">
              <w:rPr>
                <w:b/>
                <w:sz w:val="22"/>
                <w:szCs w:val="22"/>
              </w:rPr>
              <w:t xml:space="preserve">Kiti priedai (mikroelementai, vitaminai, selenas ir cinkas) </w:t>
            </w:r>
            <w:r w:rsidRPr="00EB063F">
              <w:rPr>
                <w:b/>
                <w:sz w:val="22"/>
                <w:szCs w:val="22"/>
                <w:vertAlign w:val="superscript"/>
              </w:rPr>
              <w:t>c</w:t>
            </w:r>
          </w:p>
        </w:tc>
      </w:tr>
      <w:tr w:rsidR="00EB063F" w:rsidRPr="00EB063F" w14:paraId="131E7EBD" w14:textId="77777777" w:rsidTr="001E32CB">
        <w:trPr>
          <w:trHeight w:val="476"/>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C15A88" w14:textId="77777777" w:rsidR="00EB063F" w:rsidRPr="00EB063F" w:rsidRDefault="00EB063F" w:rsidP="00EB063F">
            <w:pPr>
              <w:pStyle w:val="TableCenter"/>
              <w:spacing w:before="0" w:after="0"/>
              <w:rPr>
                <w:sz w:val="22"/>
                <w:szCs w:val="22"/>
              </w:rPr>
            </w:pPr>
            <w:r w:rsidRPr="00EB063F">
              <w:rPr>
                <w:sz w:val="22"/>
                <w:szCs w:val="22"/>
              </w:rPr>
              <w:t xml:space="preserve">Mikroelementai – </w:t>
            </w:r>
            <w:proofErr w:type="spellStart"/>
            <w:r w:rsidRPr="00EB063F">
              <w:rPr>
                <w:sz w:val="22"/>
                <w:szCs w:val="22"/>
              </w:rPr>
              <w:t>Junyelt</w:t>
            </w:r>
            <w:proofErr w:type="spellEnd"/>
            <w:r w:rsidRPr="00EB063F">
              <w:rPr>
                <w:sz w:val="22"/>
                <w:szCs w:val="22"/>
              </w:rPr>
              <w:t xml:space="preserve"> </w:t>
            </w:r>
            <w:r w:rsidRPr="00EB063F">
              <w:rPr>
                <w:sz w:val="22"/>
                <w:szCs w:val="22"/>
                <w:vertAlign w:val="superscript"/>
              </w:rPr>
              <w:t>d</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BAD8DD" w14:textId="77777777" w:rsidR="00EB063F" w:rsidRPr="00EB063F" w:rsidRDefault="00EB063F" w:rsidP="00EB063F">
            <w:pPr>
              <w:pStyle w:val="TableCenter"/>
              <w:spacing w:before="0" w:after="0"/>
              <w:rPr>
                <w:sz w:val="22"/>
                <w:szCs w:val="22"/>
              </w:rPr>
            </w:pPr>
            <w:r w:rsidRPr="00EB063F">
              <w:rPr>
                <w:sz w:val="22"/>
                <w:szCs w:val="22"/>
              </w:rPr>
              <w:t>1 flakonas vienam maišeliui (10 ml tirpalo koncentrato)</w:t>
            </w:r>
          </w:p>
        </w:tc>
      </w:tr>
      <w:tr w:rsidR="00EB063F" w:rsidRPr="00EB063F" w14:paraId="6ADF83C3"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F0D415" w14:textId="77777777" w:rsidR="00EB063F" w:rsidRPr="00EB063F" w:rsidRDefault="00EB063F" w:rsidP="00EB063F">
            <w:pPr>
              <w:pStyle w:val="TableCenter"/>
              <w:spacing w:before="0" w:after="0"/>
              <w:rPr>
                <w:sz w:val="22"/>
                <w:szCs w:val="22"/>
              </w:rPr>
            </w:pPr>
            <w:r w:rsidRPr="00EB063F">
              <w:rPr>
                <w:sz w:val="22"/>
                <w:szCs w:val="22"/>
              </w:rPr>
              <w:t xml:space="preserve">Vitaminai </w:t>
            </w:r>
            <w:r w:rsidRPr="00EB063F">
              <w:rPr>
                <w:sz w:val="22"/>
                <w:szCs w:val="22"/>
                <w:vertAlign w:val="superscript"/>
              </w:rPr>
              <w:t>e</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04DEAE" w14:textId="77777777" w:rsidR="00EB063F" w:rsidRPr="00EB063F" w:rsidRDefault="00EB063F" w:rsidP="00EB063F">
            <w:pPr>
              <w:pStyle w:val="TableCenter"/>
              <w:spacing w:before="0" w:after="0"/>
              <w:rPr>
                <w:sz w:val="22"/>
                <w:szCs w:val="22"/>
              </w:rPr>
            </w:pPr>
            <w:r w:rsidRPr="00EB063F">
              <w:rPr>
                <w:sz w:val="22"/>
                <w:szCs w:val="22"/>
              </w:rPr>
              <w:t>1 flakonas (</w:t>
            </w:r>
            <w:proofErr w:type="spellStart"/>
            <w:r w:rsidRPr="00EB063F">
              <w:rPr>
                <w:sz w:val="22"/>
                <w:szCs w:val="22"/>
              </w:rPr>
              <w:t>liofilizato</w:t>
            </w:r>
            <w:proofErr w:type="spellEnd"/>
            <w:r w:rsidRPr="00EB063F">
              <w:rPr>
                <w:sz w:val="22"/>
                <w:szCs w:val="22"/>
              </w:rPr>
              <w:t>)</w:t>
            </w:r>
          </w:p>
        </w:tc>
      </w:tr>
      <w:tr w:rsidR="00EB063F" w:rsidRPr="00EB063F" w14:paraId="465A193B"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CEC5C8" w14:textId="77777777" w:rsidR="00EB063F" w:rsidRPr="00EB063F" w:rsidRDefault="00EB063F" w:rsidP="00EB063F">
            <w:pPr>
              <w:pStyle w:val="TableCenter"/>
              <w:spacing w:before="0" w:after="0"/>
              <w:rPr>
                <w:sz w:val="22"/>
                <w:szCs w:val="22"/>
              </w:rPr>
            </w:pPr>
            <w:r w:rsidRPr="00EB063F">
              <w:rPr>
                <w:sz w:val="22"/>
                <w:szCs w:val="22"/>
              </w:rPr>
              <w:t>Selenas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863989" w14:textId="77777777" w:rsidR="00EB063F" w:rsidRPr="00EB063F" w:rsidRDefault="00EB063F" w:rsidP="00EB063F">
            <w:pPr>
              <w:pStyle w:val="TableCenter"/>
              <w:spacing w:before="0" w:after="0"/>
              <w:rPr>
                <w:sz w:val="22"/>
                <w:szCs w:val="22"/>
              </w:rPr>
            </w:pPr>
            <w:r w:rsidRPr="00EB063F">
              <w:rPr>
                <w:sz w:val="22"/>
                <w:szCs w:val="22"/>
              </w:rPr>
              <w:t>60 µg vienam maišeliui</w:t>
            </w:r>
          </w:p>
        </w:tc>
      </w:tr>
      <w:tr w:rsidR="00EB063F" w:rsidRPr="00EB063F" w14:paraId="7D9C83BE"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86CBD2" w14:textId="77777777" w:rsidR="00EB063F" w:rsidRPr="00EB063F" w:rsidRDefault="00EB063F" w:rsidP="00EB063F">
            <w:pPr>
              <w:pStyle w:val="TableCenter"/>
              <w:spacing w:before="0" w:after="0"/>
              <w:rPr>
                <w:sz w:val="22"/>
                <w:szCs w:val="22"/>
              </w:rPr>
            </w:pPr>
            <w:r w:rsidRPr="00EB063F">
              <w:rPr>
                <w:sz w:val="22"/>
                <w:szCs w:val="22"/>
              </w:rPr>
              <w:t>Cinkas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45F389" w14:textId="77777777" w:rsidR="00EB063F" w:rsidRPr="00EB063F" w:rsidRDefault="00EB063F" w:rsidP="00EB063F">
            <w:pPr>
              <w:pStyle w:val="TableCenter"/>
              <w:spacing w:before="0" w:after="0"/>
              <w:rPr>
                <w:sz w:val="22"/>
                <w:szCs w:val="22"/>
              </w:rPr>
            </w:pPr>
            <w:r w:rsidRPr="00EB063F">
              <w:rPr>
                <w:sz w:val="22"/>
                <w:szCs w:val="22"/>
              </w:rPr>
              <w:t>3 mg vienam maišeliui</w:t>
            </w:r>
          </w:p>
        </w:tc>
      </w:tr>
      <w:tr w:rsidR="00EB063F" w:rsidRPr="00EB063F" w14:paraId="26D6F26E" w14:textId="77777777" w:rsidTr="001E32CB">
        <w:trPr>
          <w:jc w:val="center"/>
        </w:trPr>
        <w:tc>
          <w:tcPr>
            <w:tcW w:w="9242" w:type="dxa"/>
            <w:gridSpan w:val="4"/>
            <w:tcBorders>
              <w:top w:val="single" w:sz="6" w:space="0" w:color="000000"/>
            </w:tcBorders>
            <w:tcMar>
              <w:top w:w="0" w:type="dxa"/>
              <w:left w:w="108" w:type="dxa"/>
              <w:bottom w:w="0" w:type="dxa"/>
              <w:right w:w="108" w:type="dxa"/>
            </w:tcMar>
          </w:tcPr>
          <w:p w14:paraId="7876F9F8" w14:textId="77777777" w:rsidR="00EB063F" w:rsidRPr="00EB063F" w:rsidRDefault="00EB063F" w:rsidP="00EB063F">
            <w:pPr>
              <w:numPr>
                <w:ilvl w:val="0"/>
                <w:numId w:val="8"/>
              </w:numPr>
              <w:spacing w:line="240" w:lineRule="auto"/>
              <w:rPr>
                <w:szCs w:val="22"/>
                <w:lang w:val="lt-LT" w:eastAsia="lt-LT" w:bidi="lt-LT"/>
              </w:rPr>
            </w:pPr>
            <w:r w:rsidRPr="00EB063F">
              <w:rPr>
                <w:szCs w:val="22"/>
                <w:lang w:val="lt-LT" w:eastAsia="lt-LT" w:bidi="lt-LT"/>
              </w:rPr>
              <w:t>Įskaitant fosfatus, gautus iš lipidų emulsijos</w:t>
            </w:r>
          </w:p>
          <w:p w14:paraId="0760994E" w14:textId="77777777" w:rsidR="00EB063F" w:rsidRPr="00EB063F" w:rsidRDefault="00EB063F" w:rsidP="00EB063F">
            <w:pPr>
              <w:numPr>
                <w:ilvl w:val="0"/>
                <w:numId w:val="8"/>
              </w:numPr>
              <w:spacing w:line="240" w:lineRule="auto"/>
              <w:rPr>
                <w:szCs w:val="22"/>
                <w:lang w:val="lt-LT" w:eastAsia="lt-LT" w:bidi="lt-LT"/>
              </w:rPr>
            </w:pPr>
            <w:proofErr w:type="spellStart"/>
            <w:r w:rsidRPr="00EB063F">
              <w:rPr>
                <w:szCs w:val="22"/>
              </w:rPr>
              <w:t>Pn</w:t>
            </w:r>
            <w:proofErr w:type="spellEnd"/>
            <w:r w:rsidRPr="00EB063F">
              <w:rPr>
                <w:szCs w:val="22"/>
              </w:rPr>
              <w:t xml:space="preserve"> - </w:t>
            </w:r>
            <w:proofErr w:type="spellStart"/>
            <w:r w:rsidRPr="00EB063F">
              <w:rPr>
                <w:szCs w:val="22"/>
              </w:rPr>
              <w:t>neorganinis</w:t>
            </w:r>
            <w:proofErr w:type="spellEnd"/>
            <w:r w:rsidRPr="00EB063F">
              <w:rPr>
                <w:szCs w:val="22"/>
              </w:rPr>
              <w:t xml:space="preserve"> </w:t>
            </w:r>
            <w:proofErr w:type="spellStart"/>
            <w:r w:rsidRPr="00EB063F">
              <w:rPr>
                <w:szCs w:val="22"/>
              </w:rPr>
              <w:t>fosfatas</w:t>
            </w:r>
            <w:proofErr w:type="spellEnd"/>
            <w:r w:rsidRPr="00EB063F">
              <w:rPr>
                <w:szCs w:val="22"/>
              </w:rPr>
              <w:t xml:space="preserve">; Po - </w:t>
            </w:r>
            <w:proofErr w:type="spellStart"/>
            <w:r w:rsidRPr="00EB063F">
              <w:rPr>
                <w:szCs w:val="22"/>
              </w:rPr>
              <w:t>organinis</w:t>
            </w:r>
            <w:proofErr w:type="spellEnd"/>
            <w:r w:rsidRPr="00EB063F">
              <w:rPr>
                <w:szCs w:val="22"/>
              </w:rPr>
              <w:t xml:space="preserve"> </w:t>
            </w:r>
            <w:proofErr w:type="spellStart"/>
            <w:r w:rsidRPr="00EB063F">
              <w:rPr>
                <w:szCs w:val="22"/>
              </w:rPr>
              <w:t>fosfatas</w:t>
            </w:r>
            <w:proofErr w:type="spellEnd"/>
          </w:p>
          <w:p w14:paraId="1FE602B4" w14:textId="77777777" w:rsidR="00EB063F" w:rsidRPr="00EB063F" w:rsidRDefault="00EB063F" w:rsidP="00EB063F">
            <w:pPr>
              <w:pStyle w:val="TableFootnoteLetter"/>
              <w:numPr>
                <w:ilvl w:val="0"/>
                <w:numId w:val="8"/>
              </w:numPr>
              <w:spacing w:before="0" w:after="0"/>
              <w:rPr>
                <w:sz w:val="22"/>
                <w:szCs w:val="22"/>
              </w:rPr>
            </w:pPr>
            <w:r w:rsidRPr="00EB063F">
              <w:rPr>
                <w:sz w:val="22"/>
                <w:szCs w:val="22"/>
              </w:rPr>
              <w:t xml:space="preserve">Visų talpų maišelius mikroelementais, vitaminais, selenu ir cinku galima papildyti taip pat kaip ir 1 l talpos maišelį; </w:t>
            </w:r>
          </w:p>
          <w:p w14:paraId="5602842A" w14:textId="77777777" w:rsidR="00EB063F" w:rsidRPr="00EB063F" w:rsidRDefault="00EB063F" w:rsidP="00EB063F">
            <w:pPr>
              <w:pStyle w:val="TableFootnoteLetter"/>
              <w:numPr>
                <w:ilvl w:val="0"/>
                <w:numId w:val="8"/>
              </w:numPr>
              <w:spacing w:before="0" w:after="0"/>
              <w:rPr>
                <w:sz w:val="22"/>
                <w:szCs w:val="22"/>
              </w:rPr>
            </w:pPr>
            <w:proofErr w:type="spellStart"/>
            <w:r w:rsidRPr="00EB063F">
              <w:rPr>
                <w:sz w:val="22"/>
                <w:szCs w:val="22"/>
              </w:rPr>
              <w:t>Junyelt</w:t>
            </w:r>
            <w:proofErr w:type="spellEnd"/>
            <w:r w:rsidRPr="00EB063F">
              <w:rPr>
                <w:sz w:val="22"/>
                <w:szCs w:val="22"/>
              </w:rPr>
              <w:t xml:space="preserve"> </w:t>
            </w:r>
            <w:r w:rsidRPr="00EB063F">
              <w:rPr>
                <w:iCs/>
                <w:sz w:val="22"/>
                <w:szCs w:val="22"/>
              </w:rPr>
              <w:t>(flakono sudėtis: cinkas 15,30 µ</w:t>
            </w:r>
            <w:proofErr w:type="spellStart"/>
            <w:r w:rsidRPr="00EB063F">
              <w:rPr>
                <w:iCs/>
                <w:sz w:val="22"/>
                <w:szCs w:val="22"/>
              </w:rPr>
              <w:t>mol</w:t>
            </w:r>
            <w:proofErr w:type="spellEnd"/>
            <w:r w:rsidRPr="00EB063F">
              <w:rPr>
                <w:iCs/>
                <w:sz w:val="22"/>
                <w:szCs w:val="22"/>
              </w:rPr>
              <w:t>; varis</w:t>
            </w:r>
            <w:r w:rsidRPr="00EB063F">
              <w:rPr>
                <w:sz w:val="22"/>
                <w:szCs w:val="22"/>
              </w:rPr>
              <w:t xml:space="preserve"> 3,15 µ</w:t>
            </w:r>
            <w:proofErr w:type="spellStart"/>
            <w:r w:rsidRPr="00EB063F">
              <w:rPr>
                <w:sz w:val="22"/>
                <w:szCs w:val="22"/>
              </w:rPr>
              <w:t>mol</w:t>
            </w:r>
            <w:proofErr w:type="spellEnd"/>
            <w:r w:rsidRPr="00EB063F">
              <w:rPr>
                <w:sz w:val="22"/>
                <w:szCs w:val="22"/>
              </w:rPr>
              <w:t>; manganas 0,091 µ</w:t>
            </w:r>
            <w:proofErr w:type="spellStart"/>
            <w:r w:rsidRPr="00EB063F">
              <w:rPr>
                <w:sz w:val="22"/>
                <w:szCs w:val="22"/>
              </w:rPr>
              <w:t>mol</w:t>
            </w:r>
            <w:proofErr w:type="spellEnd"/>
            <w:r w:rsidRPr="00EB063F">
              <w:rPr>
                <w:sz w:val="22"/>
                <w:szCs w:val="22"/>
              </w:rPr>
              <w:t>; jodas 0,079 µ</w:t>
            </w:r>
            <w:proofErr w:type="spellStart"/>
            <w:r w:rsidRPr="00EB063F">
              <w:rPr>
                <w:sz w:val="22"/>
                <w:szCs w:val="22"/>
              </w:rPr>
              <w:t>mol</w:t>
            </w:r>
            <w:proofErr w:type="spellEnd"/>
            <w:r w:rsidRPr="00EB063F">
              <w:rPr>
                <w:sz w:val="22"/>
                <w:szCs w:val="22"/>
              </w:rPr>
              <w:t>; selenas 0,253 µ</w:t>
            </w:r>
            <w:proofErr w:type="spellStart"/>
            <w:r w:rsidRPr="00EB063F">
              <w:rPr>
                <w:sz w:val="22"/>
                <w:szCs w:val="22"/>
              </w:rPr>
              <w:t>mol</w:t>
            </w:r>
            <w:proofErr w:type="spellEnd"/>
            <w:r w:rsidRPr="00EB063F">
              <w:rPr>
                <w:sz w:val="22"/>
                <w:szCs w:val="22"/>
              </w:rPr>
              <w:t>)</w:t>
            </w:r>
          </w:p>
          <w:p w14:paraId="399511C1" w14:textId="77777777" w:rsidR="00EB063F" w:rsidRPr="00EB063F" w:rsidRDefault="00EB063F" w:rsidP="00EB063F">
            <w:pPr>
              <w:pStyle w:val="TableFootnoteLetter"/>
              <w:numPr>
                <w:ilvl w:val="0"/>
                <w:numId w:val="8"/>
              </w:numPr>
              <w:spacing w:before="0" w:after="0"/>
              <w:rPr>
                <w:sz w:val="22"/>
                <w:szCs w:val="22"/>
              </w:rPr>
            </w:pPr>
            <w:r w:rsidRPr="00EB063F">
              <w:rPr>
                <w:iCs/>
                <w:sz w:val="22"/>
                <w:szCs w:val="22"/>
              </w:rPr>
              <w:t xml:space="preserve">1 flakono </w:t>
            </w:r>
            <w:proofErr w:type="spellStart"/>
            <w:r w:rsidRPr="00EB063F">
              <w:rPr>
                <w:iCs/>
                <w:sz w:val="22"/>
                <w:szCs w:val="22"/>
              </w:rPr>
              <w:t>multivitaminų</w:t>
            </w:r>
            <w:proofErr w:type="spellEnd"/>
            <w:r w:rsidRPr="00EB063F">
              <w:rPr>
                <w:iCs/>
                <w:sz w:val="22"/>
                <w:szCs w:val="22"/>
              </w:rPr>
              <w:t xml:space="preserve"> preparato (flakono sudėtis: </w:t>
            </w:r>
            <w:r w:rsidRPr="00EB063F">
              <w:rPr>
                <w:sz w:val="22"/>
                <w:szCs w:val="22"/>
              </w:rPr>
              <w:t>vitaminas B1 (tiaminas) 2,5 mg, vitaminas B2 (</w:t>
            </w:r>
            <w:proofErr w:type="spellStart"/>
            <w:r w:rsidRPr="00EB063F">
              <w:rPr>
                <w:sz w:val="22"/>
                <w:szCs w:val="22"/>
              </w:rPr>
              <w:t>riboflavinas</w:t>
            </w:r>
            <w:proofErr w:type="spellEnd"/>
            <w:r w:rsidRPr="00EB063F">
              <w:rPr>
                <w:sz w:val="22"/>
                <w:szCs w:val="22"/>
              </w:rPr>
              <w:t>) 3,6 mg, vitaminas B6 (</w:t>
            </w:r>
            <w:proofErr w:type="spellStart"/>
            <w:r w:rsidRPr="00EB063F">
              <w:rPr>
                <w:sz w:val="22"/>
                <w:szCs w:val="22"/>
              </w:rPr>
              <w:t>piridoksinas</w:t>
            </w:r>
            <w:proofErr w:type="spellEnd"/>
            <w:r w:rsidRPr="00EB063F">
              <w:rPr>
                <w:sz w:val="22"/>
                <w:szCs w:val="22"/>
              </w:rPr>
              <w:t>) 4,0 mg, vitaminas B5 (</w:t>
            </w:r>
            <w:proofErr w:type="spellStart"/>
            <w:r w:rsidRPr="00EB063F">
              <w:rPr>
                <w:sz w:val="22"/>
                <w:szCs w:val="22"/>
              </w:rPr>
              <w:t>pantoteno</w:t>
            </w:r>
            <w:proofErr w:type="spellEnd"/>
            <w:r w:rsidRPr="00EB063F">
              <w:rPr>
                <w:sz w:val="22"/>
                <w:szCs w:val="22"/>
              </w:rPr>
              <w:t xml:space="preserve"> rūgštis) 15 mg, vitaminas C (</w:t>
            </w:r>
            <w:proofErr w:type="spellStart"/>
            <w:r w:rsidRPr="00EB063F">
              <w:rPr>
                <w:sz w:val="22"/>
                <w:szCs w:val="22"/>
              </w:rPr>
              <w:t>askorbo</w:t>
            </w:r>
            <w:proofErr w:type="spellEnd"/>
            <w:r w:rsidRPr="00EB063F">
              <w:rPr>
                <w:sz w:val="22"/>
                <w:szCs w:val="22"/>
              </w:rPr>
              <w:t xml:space="preserve"> rūgštis) 100 mg, vitaminas B8 (</w:t>
            </w:r>
            <w:proofErr w:type="spellStart"/>
            <w:r w:rsidRPr="00EB063F">
              <w:rPr>
                <w:sz w:val="22"/>
                <w:szCs w:val="22"/>
              </w:rPr>
              <w:t>biotinas</w:t>
            </w:r>
            <w:proofErr w:type="spellEnd"/>
            <w:r w:rsidRPr="00EB063F">
              <w:rPr>
                <w:sz w:val="22"/>
                <w:szCs w:val="22"/>
              </w:rPr>
              <w:t>) 0,06 mg, vitaminas B9 (</w:t>
            </w:r>
            <w:proofErr w:type="spellStart"/>
            <w:r w:rsidRPr="00EB063F">
              <w:rPr>
                <w:sz w:val="22"/>
                <w:szCs w:val="22"/>
              </w:rPr>
              <w:t>folio</w:t>
            </w:r>
            <w:proofErr w:type="spellEnd"/>
            <w:r w:rsidRPr="00EB063F">
              <w:rPr>
                <w:sz w:val="22"/>
                <w:szCs w:val="22"/>
              </w:rPr>
              <w:t xml:space="preserve"> rūgštis) 0,4 mg, vitaminas B12 (</w:t>
            </w:r>
            <w:proofErr w:type="spellStart"/>
            <w:r w:rsidRPr="00EB063F">
              <w:rPr>
                <w:sz w:val="22"/>
                <w:szCs w:val="22"/>
              </w:rPr>
              <w:t>cianokobalaminas</w:t>
            </w:r>
            <w:proofErr w:type="spellEnd"/>
            <w:r w:rsidRPr="00EB063F">
              <w:rPr>
                <w:sz w:val="22"/>
                <w:szCs w:val="22"/>
              </w:rPr>
              <w:t>) 0,005 mg, vitaminas PP (</w:t>
            </w:r>
            <w:proofErr w:type="spellStart"/>
            <w:r w:rsidRPr="00EB063F">
              <w:rPr>
                <w:sz w:val="22"/>
                <w:szCs w:val="22"/>
                <w:lang w:val="en-US"/>
              </w:rPr>
              <w:t>nikotinamidas</w:t>
            </w:r>
            <w:proofErr w:type="spellEnd"/>
            <w:r w:rsidRPr="00EB063F">
              <w:rPr>
                <w:sz w:val="22"/>
                <w:szCs w:val="22"/>
                <w:lang w:val="en-US"/>
              </w:rPr>
              <w:t xml:space="preserve">) 40 mg) </w:t>
            </w:r>
            <w:proofErr w:type="spellStart"/>
            <w:r w:rsidRPr="00EB063F">
              <w:rPr>
                <w:sz w:val="22"/>
                <w:szCs w:val="22"/>
                <w:lang w:val="en-US"/>
              </w:rPr>
              <w:t>derinys</w:t>
            </w:r>
            <w:proofErr w:type="spellEnd"/>
            <w:r w:rsidRPr="00EB063F">
              <w:rPr>
                <w:sz w:val="22"/>
                <w:szCs w:val="22"/>
                <w:lang w:val="en-US"/>
              </w:rPr>
              <w:t xml:space="preserve"> </w:t>
            </w:r>
            <w:proofErr w:type="spellStart"/>
            <w:r w:rsidRPr="00EB063F">
              <w:rPr>
                <w:sz w:val="22"/>
                <w:szCs w:val="22"/>
                <w:lang w:val="en-US"/>
              </w:rPr>
              <w:t>su</w:t>
            </w:r>
            <w:proofErr w:type="spellEnd"/>
            <w:r w:rsidRPr="00EB063F">
              <w:rPr>
                <w:sz w:val="22"/>
                <w:szCs w:val="22"/>
                <w:lang w:val="en-US"/>
              </w:rPr>
              <w:t xml:space="preserve"> 1 </w:t>
            </w:r>
            <w:proofErr w:type="spellStart"/>
            <w:r w:rsidRPr="00EB063F">
              <w:rPr>
                <w:sz w:val="22"/>
                <w:szCs w:val="22"/>
                <w:lang w:val="en-US"/>
              </w:rPr>
              <w:t>flakonu</w:t>
            </w:r>
            <w:proofErr w:type="spellEnd"/>
            <w:r w:rsidRPr="00EB063F">
              <w:rPr>
                <w:sz w:val="22"/>
                <w:szCs w:val="22"/>
                <w:lang w:val="en-US"/>
              </w:rPr>
              <w:t xml:space="preserve"> </w:t>
            </w:r>
            <w:proofErr w:type="spellStart"/>
            <w:r w:rsidRPr="00EB063F">
              <w:rPr>
                <w:sz w:val="22"/>
                <w:szCs w:val="22"/>
                <w:lang w:val="en-US"/>
              </w:rPr>
              <w:t>multivitaminų</w:t>
            </w:r>
            <w:proofErr w:type="spellEnd"/>
            <w:r w:rsidRPr="00EB063F">
              <w:rPr>
                <w:sz w:val="22"/>
                <w:szCs w:val="22"/>
                <w:lang w:val="en-US"/>
              </w:rPr>
              <w:t xml:space="preserve"> </w:t>
            </w:r>
            <w:proofErr w:type="spellStart"/>
            <w:r w:rsidRPr="00EB063F">
              <w:rPr>
                <w:sz w:val="22"/>
                <w:szCs w:val="22"/>
                <w:lang w:val="en-US"/>
              </w:rPr>
              <w:t>preparato</w:t>
            </w:r>
            <w:proofErr w:type="spellEnd"/>
            <w:r w:rsidRPr="00EB063F">
              <w:rPr>
                <w:sz w:val="22"/>
                <w:szCs w:val="22"/>
                <w:lang w:val="en-US"/>
              </w:rPr>
              <w:t xml:space="preserve"> (</w:t>
            </w:r>
            <w:proofErr w:type="spellStart"/>
            <w:r w:rsidRPr="00EB063F">
              <w:rPr>
                <w:sz w:val="22"/>
                <w:szCs w:val="22"/>
                <w:lang w:val="en-US"/>
              </w:rPr>
              <w:t>flakono</w:t>
            </w:r>
            <w:proofErr w:type="spellEnd"/>
            <w:r w:rsidRPr="00EB063F">
              <w:rPr>
                <w:sz w:val="22"/>
                <w:szCs w:val="22"/>
                <w:lang w:val="en-US"/>
              </w:rPr>
              <w:t xml:space="preserve"> </w:t>
            </w:r>
            <w:proofErr w:type="spellStart"/>
            <w:r w:rsidRPr="00EB063F">
              <w:rPr>
                <w:sz w:val="22"/>
                <w:szCs w:val="22"/>
                <w:lang w:val="en-US"/>
              </w:rPr>
              <w:t>sudėtis</w:t>
            </w:r>
            <w:proofErr w:type="spellEnd"/>
            <w:r w:rsidRPr="00EB063F">
              <w:rPr>
                <w:sz w:val="22"/>
                <w:szCs w:val="22"/>
                <w:lang w:val="en-US"/>
              </w:rPr>
              <w:t xml:space="preserve">: </w:t>
            </w:r>
            <w:proofErr w:type="spellStart"/>
            <w:r w:rsidRPr="00EB063F">
              <w:rPr>
                <w:sz w:val="22"/>
                <w:szCs w:val="22"/>
                <w:lang w:val="en-US"/>
              </w:rPr>
              <w:t>vitaminas</w:t>
            </w:r>
            <w:proofErr w:type="spellEnd"/>
            <w:r w:rsidRPr="00EB063F">
              <w:rPr>
                <w:sz w:val="22"/>
                <w:szCs w:val="22"/>
                <w:lang w:val="en-US"/>
              </w:rPr>
              <w:t xml:space="preserve"> A (</w:t>
            </w:r>
            <w:proofErr w:type="spellStart"/>
            <w:r w:rsidRPr="00EB063F">
              <w:rPr>
                <w:sz w:val="22"/>
                <w:szCs w:val="22"/>
                <w:lang w:val="en-US"/>
              </w:rPr>
              <w:t>retinolio</w:t>
            </w:r>
            <w:proofErr w:type="spellEnd"/>
            <w:r w:rsidRPr="00EB063F">
              <w:rPr>
                <w:sz w:val="22"/>
                <w:szCs w:val="22"/>
                <w:lang w:val="en-US"/>
              </w:rPr>
              <w:t xml:space="preserve"> </w:t>
            </w:r>
            <w:proofErr w:type="spellStart"/>
            <w:r w:rsidRPr="00EB063F">
              <w:rPr>
                <w:sz w:val="22"/>
                <w:szCs w:val="22"/>
                <w:lang w:val="en-US"/>
              </w:rPr>
              <w:t>palmitato</w:t>
            </w:r>
            <w:proofErr w:type="spellEnd"/>
            <w:r w:rsidRPr="00EB063F">
              <w:rPr>
                <w:sz w:val="22"/>
                <w:szCs w:val="22"/>
                <w:lang w:val="en-US"/>
              </w:rPr>
              <w:t xml:space="preserve"> </w:t>
            </w:r>
            <w:proofErr w:type="spellStart"/>
            <w:r w:rsidRPr="00EB063F">
              <w:rPr>
                <w:sz w:val="22"/>
                <w:szCs w:val="22"/>
                <w:lang w:val="en-US"/>
              </w:rPr>
              <w:t>pavidalu</w:t>
            </w:r>
            <w:proofErr w:type="spellEnd"/>
            <w:r w:rsidRPr="00EB063F">
              <w:rPr>
                <w:sz w:val="22"/>
                <w:szCs w:val="22"/>
                <w:lang w:val="en-US"/>
              </w:rPr>
              <w:t xml:space="preserve">) 2300 TV, </w:t>
            </w:r>
            <w:proofErr w:type="spellStart"/>
            <w:r w:rsidRPr="00EB063F">
              <w:rPr>
                <w:sz w:val="22"/>
                <w:szCs w:val="22"/>
                <w:lang w:val="en-US"/>
              </w:rPr>
              <w:t>vitaminas</w:t>
            </w:r>
            <w:proofErr w:type="spellEnd"/>
            <w:r w:rsidRPr="00EB063F">
              <w:rPr>
                <w:sz w:val="22"/>
                <w:szCs w:val="22"/>
                <w:lang w:val="en-US"/>
              </w:rPr>
              <w:t xml:space="preserve"> D (</w:t>
            </w:r>
            <w:proofErr w:type="spellStart"/>
            <w:r w:rsidRPr="00EB063F">
              <w:rPr>
                <w:sz w:val="22"/>
                <w:szCs w:val="22"/>
                <w:lang w:val="en-US"/>
              </w:rPr>
              <w:t>ergokalciferolio</w:t>
            </w:r>
            <w:proofErr w:type="spellEnd"/>
            <w:r w:rsidRPr="00EB063F">
              <w:rPr>
                <w:sz w:val="22"/>
                <w:szCs w:val="22"/>
                <w:lang w:val="en-US"/>
              </w:rPr>
              <w:t xml:space="preserve"> </w:t>
            </w:r>
            <w:proofErr w:type="spellStart"/>
            <w:r w:rsidRPr="00EB063F">
              <w:rPr>
                <w:sz w:val="22"/>
                <w:szCs w:val="22"/>
                <w:lang w:val="en-US"/>
              </w:rPr>
              <w:t>pavidalu</w:t>
            </w:r>
            <w:proofErr w:type="spellEnd"/>
            <w:r w:rsidRPr="00EB063F">
              <w:rPr>
                <w:sz w:val="22"/>
                <w:szCs w:val="22"/>
                <w:lang w:val="en-US"/>
              </w:rPr>
              <w:t xml:space="preserve">) 400 TV, </w:t>
            </w:r>
            <w:proofErr w:type="spellStart"/>
            <w:r w:rsidRPr="00EB063F">
              <w:rPr>
                <w:sz w:val="22"/>
                <w:szCs w:val="22"/>
                <w:lang w:val="en-US"/>
              </w:rPr>
              <w:t>vitaminas</w:t>
            </w:r>
            <w:proofErr w:type="spellEnd"/>
            <w:r w:rsidRPr="00EB063F">
              <w:rPr>
                <w:sz w:val="22"/>
                <w:szCs w:val="22"/>
                <w:lang w:val="en-US"/>
              </w:rPr>
              <w:t xml:space="preserve"> E (alfa-</w:t>
            </w:r>
            <w:proofErr w:type="spellStart"/>
            <w:r w:rsidRPr="00EB063F">
              <w:rPr>
                <w:sz w:val="22"/>
                <w:szCs w:val="22"/>
                <w:lang w:val="en-US"/>
              </w:rPr>
              <w:t>tokoferolis</w:t>
            </w:r>
            <w:proofErr w:type="spellEnd"/>
            <w:r w:rsidRPr="00EB063F">
              <w:rPr>
                <w:sz w:val="22"/>
                <w:szCs w:val="22"/>
                <w:lang w:val="en-US"/>
              </w:rPr>
              <w:t xml:space="preserve">) 6,4 mg, </w:t>
            </w:r>
            <w:proofErr w:type="spellStart"/>
            <w:r w:rsidRPr="00EB063F">
              <w:rPr>
                <w:sz w:val="22"/>
                <w:szCs w:val="22"/>
                <w:lang w:val="en-US"/>
              </w:rPr>
              <w:t>vitaminas</w:t>
            </w:r>
            <w:proofErr w:type="spellEnd"/>
            <w:r w:rsidRPr="00EB063F">
              <w:rPr>
                <w:sz w:val="22"/>
                <w:szCs w:val="22"/>
                <w:lang w:val="en-US"/>
              </w:rPr>
              <w:t xml:space="preserve"> K (</w:t>
            </w:r>
            <w:proofErr w:type="spellStart"/>
            <w:r w:rsidRPr="00EB063F">
              <w:rPr>
                <w:sz w:val="22"/>
                <w:szCs w:val="22"/>
                <w:lang w:val="en-US"/>
              </w:rPr>
              <w:t>fitomenadionas</w:t>
            </w:r>
            <w:proofErr w:type="spellEnd"/>
            <w:r w:rsidRPr="00EB063F">
              <w:rPr>
                <w:sz w:val="22"/>
                <w:szCs w:val="22"/>
                <w:lang w:val="en-US"/>
              </w:rPr>
              <w:t>) 200 µg)</w:t>
            </w:r>
          </w:p>
        </w:tc>
      </w:tr>
      <w:tr w:rsidR="00EB063F" w:rsidRPr="00EB063F" w14:paraId="0A168D39" w14:textId="77777777" w:rsidTr="001E32CB">
        <w:trPr>
          <w:jc w:val="center"/>
        </w:trPr>
        <w:tc>
          <w:tcPr>
            <w:tcW w:w="9242" w:type="dxa"/>
            <w:gridSpan w:val="4"/>
            <w:tcBorders>
              <w:top w:val="single" w:sz="6" w:space="0" w:color="000000"/>
            </w:tcBorders>
            <w:tcMar>
              <w:top w:w="0" w:type="dxa"/>
              <w:left w:w="108" w:type="dxa"/>
              <w:bottom w:w="0" w:type="dxa"/>
              <w:right w:w="108" w:type="dxa"/>
            </w:tcMar>
          </w:tcPr>
          <w:p w14:paraId="1F1F2D38" w14:textId="77777777" w:rsidR="00EB063F" w:rsidRPr="00EB063F" w:rsidRDefault="00EB063F" w:rsidP="00EB063F">
            <w:pPr>
              <w:pStyle w:val="TableFootnoteLetter"/>
              <w:numPr>
                <w:ilvl w:val="0"/>
                <w:numId w:val="0"/>
              </w:numPr>
              <w:tabs>
                <w:tab w:val="left" w:pos="1296"/>
              </w:tabs>
              <w:spacing w:before="0" w:after="0"/>
              <w:ind w:left="113" w:hanging="115"/>
              <w:rPr>
                <w:sz w:val="22"/>
                <w:szCs w:val="22"/>
              </w:rPr>
            </w:pPr>
          </w:p>
        </w:tc>
      </w:tr>
      <w:tr w:rsidR="00EB063F" w:rsidRPr="00EB063F" w14:paraId="5BAAF051" w14:textId="77777777" w:rsidTr="001E32CB">
        <w:trPr>
          <w:jc w:val="center"/>
        </w:trPr>
        <w:tc>
          <w:tcPr>
            <w:tcW w:w="9242" w:type="dxa"/>
            <w:gridSpan w:val="4"/>
            <w:tcBorders>
              <w:top w:val="single" w:sz="6" w:space="0" w:color="000000"/>
            </w:tcBorders>
            <w:tcMar>
              <w:top w:w="0" w:type="dxa"/>
              <w:left w:w="108" w:type="dxa"/>
              <w:bottom w:w="0" w:type="dxa"/>
              <w:right w:w="108" w:type="dxa"/>
            </w:tcMar>
          </w:tcPr>
          <w:p w14:paraId="1E3468F3" w14:textId="77777777" w:rsidR="00EB063F" w:rsidRPr="00EB063F" w:rsidRDefault="00EB063F" w:rsidP="00EB063F">
            <w:pPr>
              <w:pStyle w:val="TableFootnoteLetter"/>
              <w:numPr>
                <w:ilvl w:val="0"/>
                <w:numId w:val="0"/>
              </w:numPr>
              <w:tabs>
                <w:tab w:val="left" w:pos="1296"/>
              </w:tabs>
              <w:spacing w:before="0" w:after="0"/>
              <w:ind w:left="113" w:hanging="115"/>
              <w:rPr>
                <w:sz w:val="22"/>
                <w:szCs w:val="22"/>
              </w:rPr>
            </w:pPr>
          </w:p>
        </w:tc>
      </w:tr>
      <w:tr w:rsidR="00EB063F" w:rsidRPr="00EB063F" w14:paraId="6769C0FE" w14:textId="77777777" w:rsidTr="001E32CB">
        <w:trPr>
          <w:cantSplit/>
          <w:jc w:val="center"/>
        </w:trPr>
        <w:tc>
          <w:tcPr>
            <w:tcW w:w="9242" w:type="dxa"/>
            <w:gridSpan w:val="4"/>
            <w:tcBorders>
              <w:bottom w:val="single" w:sz="6" w:space="0" w:color="000000"/>
            </w:tcBorders>
            <w:tcMar>
              <w:top w:w="0" w:type="dxa"/>
              <w:left w:w="108" w:type="dxa"/>
              <w:bottom w:w="0" w:type="dxa"/>
              <w:right w:w="108" w:type="dxa"/>
            </w:tcMar>
          </w:tcPr>
          <w:p w14:paraId="47D23C8D" w14:textId="77777777" w:rsidR="00EB063F" w:rsidRPr="00EB063F" w:rsidRDefault="00EB063F" w:rsidP="00EB063F">
            <w:pPr>
              <w:tabs>
                <w:tab w:val="clear" w:pos="567"/>
                <w:tab w:val="left" w:pos="1296"/>
              </w:tabs>
              <w:spacing w:line="240" w:lineRule="auto"/>
              <w:jc w:val="center"/>
              <w:rPr>
                <w:rFonts w:eastAsia="MS Mincho"/>
                <w:b/>
                <w:bCs/>
                <w:szCs w:val="22"/>
                <w:lang w:val="lt-LT" w:eastAsia="lt-LT" w:bidi="lt-LT"/>
              </w:rPr>
            </w:pPr>
            <w:r w:rsidRPr="00EB063F">
              <w:rPr>
                <w:rFonts w:eastAsia="MS Mincho"/>
                <w:b/>
                <w:bCs/>
                <w:szCs w:val="22"/>
                <w:lang w:val="lt-LT" w:eastAsia="lt-LT" w:bidi="lt-LT"/>
              </w:rPr>
              <w:t xml:space="preserve">1000 ml </w:t>
            </w:r>
            <w:proofErr w:type="spellStart"/>
            <w:r w:rsidRPr="00EB063F">
              <w:rPr>
                <w:rFonts w:eastAsia="MS Mincho"/>
                <w:b/>
                <w:bCs/>
                <w:szCs w:val="22"/>
                <w:lang w:val="lt-LT" w:eastAsia="lt-LT" w:bidi="lt-LT"/>
              </w:rPr>
              <w:t>Olimel</w:t>
            </w:r>
            <w:proofErr w:type="spellEnd"/>
            <w:r w:rsidRPr="00EB063F">
              <w:rPr>
                <w:rFonts w:eastAsia="MS Mincho"/>
                <w:b/>
                <w:bCs/>
                <w:szCs w:val="22"/>
                <w:lang w:val="lt-LT" w:eastAsia="lt-LT" w:bidi="lt-LT"/>
              </w:rPr>
              <w:t xml:space="preserve"> N12E galimi priedai (suaugusiesiems)</w:t>
            </w:r>
          </w:p>
        </w:tc>
      </w:tr>
      <w:tr w:rsidR="00EB063F" w:rsidRPr="00EB063F" w14:paraId="3CFDD365"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1DACF5" w14:textId="77777777" w:rsidR="00EB063F" w:rsidRPr="00EB063F" w:rsidRDefault="00EB063F" w:rsidP="00EB063F">
            <w:pPr>
              <w:tabs>
                <w:tab w:val="clear" w:pos="567"/>
                <w:tab w:val="left" w:pos="1296"/>
              </w:tabs>
              <w:spacing w:line="240" w:lineRule="auto"/>
              <w:jc w:val="center"/>
              <w:rPr>
                <w:szCs w:val="22"/>
                <w:lang w:val="lt-LT" w:eastAsia="lt-LT" w:bidi="lt-LT"/>
              </w:rPr>
            </w:pP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81274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Tirpale esantis kiekis</w:t>
            </w:r>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CD3E7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Didžiausias kiekis, kurį galima pridėti</w:t>
            </w:r>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E31DD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Didžiausias bendras kiekis</w:t>
            </w:r>
          </w:p>
        </w:tc>
      </w:tr>
      <w:tr w:rsidR="00EB063F" w:rsidRPr="00EB063F" w14:paraId="6FDBCE45"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A3AC5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Natris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189AD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35 </w:t>
            </w:r>
            <w:proofErr w:type="spellStart"/>
            <w:r w:rsidRPr="00EB063F">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F829C2"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115 </w:t>
            </w:r>
            <w:proofErr w:type="spellStart"/>
            <w:r w:rsidRPr="00EB063F">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66A530"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150 </w:t>
            </w:r>
            <w:proofErr w:type="spellStart"/>
            <w:r w:rsidRPr="00EB063F">
              <w:rPr>
                <w:szCs w:val="22"/>
                <w:lang w:val="lt-LT" w:eastAsia="lt-LT" w:bidi="lt-LT"/>
              </w:rPr>
              <w:t>mmol</w:t>
            </w:r>
            <w:proofErr w:type="spellEnd"/>
          </w:p>
        </w:tc>
      </w:tr>
      <w:tr w:rsidR="00EB063F" w:rsidRPr="00EB063F" w14:paraId="53462E2E"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8510DF"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Kalis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E512C1"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30 </w:t>
            </w:r>
            <w:proofErr w:type="spellStart"/>
            <w:r w:rsidRPr="00EB063F">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0D447D"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120 </w:t>
            </w:r>
            <w:proofErr w:type="spellStart"/>
            <w:r w:rsidRPr="00EB063F">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09491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150 </w:t>
            </w:r>
            <w:proofErr w:type="spellStart"/>
            <w:r w:rsidRPr="00EB063F">
              <w:rPr>
                <w:szCs w:val="22"/>
                <w:lang w:val="lt-LT" w:eastAsia="lt-LT" w:bidi="lt-LT"/>
              </w:rPr>
              <w:t>mmol</w:t>
            </w:r>
            <w:proofErr w:type="spellEnd"/>
          </w:p>
        </w:tc>
      </w:tr>
      <w:tr w:rsidR="00EB063F" w:rsidRPr="00EB063F" w14:paraId="1455AF31"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667C5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Magnis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BD097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4,0 </w:t>
            </w:r>
            <w:proofErr w:type="spellStart"/>
            <w:r w:rsidRPr="00EB063F">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202D3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1,6 </w:t>
            </w:r>
            <w:proofErr w:type="spellStart"/>
            <w:r w:rsidRPr="00EB063F">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733F71"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5,6 </w:t>
            </w:r>
            <w:proofErr w:type="spellStart"/>
            <w:r w:rsidRPr="00EB063F">
              <w:rPr>
                <w:szCs w:val="22"/>
                <w:lang w:val="lt-LT" w:eastAsia="lt-LT" w:bidi="lt-LT"/>
              </w:rPr>
              <w:t>mmol</w:t>
            </w:r>
            <w:proofErr w:type="spellEnd"/>
          </w:p>
        </w:tc>
      </w:tr>
      <w:tr w:rsidR="00EB063F" w:rsidRPr="00EB063F" w14:paraId="457306F7" w14:textId="77777777" w:rsidTr="001E32CB">
        <w:trPr>
          <w:trHeight w:val="393"/>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2E95D0"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Kalcis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360A1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3,5 </w:t>
            </w:r>
            <w:proofErr w:type="spellStart"/>
            <w:r w:rsidRPr="00EB063F">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2D7FF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1,5 </w:t>
            </w:r>
            <w:proofErr w:type="spellStart"/>
            <w:r w:rsidRPr="00EB063F">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93641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5,0 </w:t>
            </w:r>
            <w:proofErr w:type="spellStart"/>
            <w:r w:rsidRPr="00EB063F">
              <w:rPr>
                <w:szCs w:val="22"/>
                <w:lang w:val="lt-LT" w:eastAsia="lt-LT" w:bidi="lt-LT"/>
              </w:rPr>
              <w:t>mmol</w:t>
            </w:r>
            <w:proofErr w:type="spellEnd"/>
          </w:p>
        </w:tc>
      </w:tr>
      <w:tr w:rsidR="00EB063F" w:rsidRPr="00EB063F" w14:paraId="7586D4DF"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DF184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Neorganiniai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B45BBA"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0 </w:t>
            </w:r>
            <w:proofErr w:type="spellStart"/>
            <w:r w:rsidRPr="00EB063F">
              <w:rPr>
                <w:szCs w:val="22"/>
                <w:lang w:val="lt-LT" w:eastAsia="lt-LT" w:bidi="lt-LT"/>
              </w:rPr>
              <w:t>mmol</w:t>
            </w:r>
            <w:proofErr w:type="spellEnd"/>
          </w:p>
        </w:tc>
        <w:tc>
          <w:tcPr>
            <w:tcW w:w="2673"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0F2FBDEC" w14:textId="77777777" w:rsidR="00EB063F" w:rsidRPr="00EB063F" w:rsidRDefault="00EB063F" w:rsidP="00EB063F">
            <w:pPr>
              <w:tabs>
                <w:tab w:val="clear" w:pos="567"/>
              </w:tabs>
              <w:suppressAutoHyphens w:val="0"/>
              <w:autoSpaceDN/>
              <w:snapToGrid/>
              <w:spacing w:line="240" w:lineRule="auto"/>
              <w:jc w:val="center"/>
              <w:textAlignment w:val="auto"/>
              <w:rPr>
                <w:szCs w:val="22"/>
                <w:lang w:val="en-US" w:eastAsia="ja-JP"/>
              </w:rPr>
            </w:pPr>
            <w:r w:rsidRPr="00EB063F">
              <w:rPr>
                <w:szCs w:val="22"/>
                <w:lang w:val="en-US" w:eastAsia="ja-JP"/>
              </w:rPr>
              <w:t xml:space="preserve">10 mmol </w:t>
            </w:r>
            <w:proofErr w:type="spellStart"/>
            <w:r w:rsidRPr="00EB063F">
              <w:rPr>
                <w:szCs w:val="22"/>
                <w:lang w:val="en-US" w:eastAsia="ja-JP"/>
              </w:rPr>
              <w:t>Pn</w:t>
            </w:r>
            <w:proofErr w:type="spellEnd"/>
          </w:p>
          <w:p w14:paraId="3595C7EC" w14:textId="77777777" w:rsidR="00EB063F" w:rsidRPr="00EB063F" w:rsidRDefault="00EB063F" w:rsidP="00EB063F">
            <w:pPr>
              <w:tabs>
                <w:tab w:val="clear" w:pos="567"/>
              </w:tabs>
              <w:suppressAutoHyphens w:val="0"/>
              <w:autoSpaceDN/>
              <w:snapToGrid/>
              <w:spacing w:line="240" w:lineRule="auto"/>
              <w:jc w:val="center"/>
              <w:textAlignment w:val="auto"/>
              <w:rPr>
                <w:szCs w:val="22"/>
                <w:lang w:val="en-US" w:eastAsia="ja-JP"/>
              </w:rPr>
            </w:pPr>
            <w:r w:rsidRPr="00EB063F">
              <w:rPr>
                <w:szCs w:val="22"/>
                <w:lang w:val="en-US" w:eastAsia="ja-JP"/>
              </w:rPr>
              <w:t>or</w:t>
            </w:r>
          </w:p>
          <w:p w14:paraId="4E23839F" w14:textId="77777777" w:rsidR="00EB063F" w:rsidRPr="00EB063F" w:rsidRDefault="00EB063F" w:rsidP="00EB063F">
            <w:pPr>
              <w:tabs>
                <w:tab w:val="left" w:pos="1296"/>
              </w:tabs>
              <w:spacing w:line="240" w:lineRule="auto"/>
              <w:jc w:val="center"/>
              <w:rPr>
                <w:szCs w:val="22"/>
              </w:rPr>
            </w:pPr>
            <w:r w:rsidRPr="00EB063F">
              <w:rPr>
                <w:szCs w:val="22"/>
              </w:rPr>
              <w:t xml:space="preserve">10 mmol Po </w:t>
            </w:r>
            <w:r w:rsidRPr="00EB063F">
              <w:rPr>
                <w:szCs w:val="22"/>
                <w:vertAlign w:val="superscript"/>
              </w:rPr>
              <w:t>b</w:t>
            </w:r>
          </w:p>
        </w:tc>
        <w:tc>
          <w:tcPr>
            <w:tcW w:w="24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437D5144" w14:textId="77777777" w:rsidR="00EB063F" w:rsidRPr="00EB063F" w:rsidRDefault="00EB063F" w:rsidP="00EB063F">
            <w:pPr>
              <w:tabs>
                <w:tab w:val="clear" w:pos="567"/>
              </w:tabs>
              <w:suppressAutoHyphens w:val="0"/>
              <w:autoSpaceDN/>
              <w:snapToGrid/>
              <w:spacing w:line="240" w:lineRule="auto"/>
              <w:jc w:val="center"/>
              <w:textAlignment w:val="auto"/>
              <w:rPr>
                <w:szCs w:val="22"/>
                <w:vertAlign w:val="superscript"/>
                <w:lang w:val="en-US" w:eastAsia="ja-JP"/>
              </w:rPr>
            </w:pPr>
            <w:r w:rsidRPr="00EB063F">
              <w:rPr>
                <w:szCs w:val="22"/>
                <w:lang w:val="en-US" w:eastAsia="ja-JP"/>
              </w:rPr>
              <w:t xml:space="preserve">10 mmol </w:t>
            </w:r>
            <w:proofErr w:type="spellStart"/>
            <w:r w:rsidRPr="00EB063F">
              <w:rPr>
                <w:szCs w:val="22"/>
                <w:lang w:val="en-US" w:eastAsia="ja-JP"/>
              </w:rPr>
              <w:t>Pn</w:t>
            </w:r>
            <w:proofErr w:type="spellEnd"/>
            <w:r w:rsidRPr="00EB063F">
              <w:rPr>
                <w:szCs w:val="22"/>
                <w:lang w:val="en-US" w:eastAsia="ja-JP"/>
              </w:rPr>
              <w:t xml:space="preserve"> + 15 mmol Po</w:t>
            </w:r>
          </w:p>
          <w:p w14:paraId="39A363C3" w14:textId="77777777" w:rsidR="00EB063F" w:rsidRPr="00EB063F" w:rsidRDefault="00EB063F" w:rsidP="00EB063F">
            <w:pPr>
              <w:tabs>
                <w:tab w:val="clear" w:pos="567"/>
              </w:tabs>
              <w:suppressAutoHyphens w:val="0"/>
              <w:autoSpaceDN/>
              <w:snapToGrid/>
              <w:spacing w:line="240" w:lineRule="auto"/>
              <w:jc w:val="center"/>
              <w:textAlignment w:val="auto"/>
              <w:rPr>
                <w:szCs w:val="22"/>
                <w:lang w:val="en-US" w:eastAsia="ja-JP"/>
              </w:rPr>
            </w:pPr>
            <w:r w:rsidRPr="00EB063F">
              <w:rPr>
                <w:szCs w:val="22"/>
                <w:lang w:val="en-US" w:eastAsia="ja-JP"/>
              </w:rPr>
              <w:t>or</w:t>
            </w:r>
          </w:p>
          <w:p w14:paraId="4C37034F" w14:textId="77777777" w:rsidR="00EB063F" w:rsidRPr="00EB063F" w:rsidRDefault="00EB063F" w:rsidP="00EB063F">
            <w:pPr>
              <w:tabs>
                <w:tab w:val="left" w:pos="1296"/>
              </w:tabs>
              <w:spacing w:line="240" w:lineRule="auto"/>
              <w:jc w:val="center"/>
              <w:rPr>
                <w:szCs w:val="22"/>
              </w:rPr>
            </w:pPr>
            <w:r w:rsidRPr="00EB063F">
              <w:rPr>
                <w:szCs w:val="22"/>
              </w:rPr>
              <w:t xml:space="preserve">25 mmol </w:t>
            </w:r>
            <w:proofErr w:type="spellStart"/>
            <w:proofErr w:type="gramStart"/>
            <w:r w:rsidRPr="00EB063F">
              <w:rPr>
                <w:szCs w:val="22"/>
              </w:rPr>
              <w:t>Po</w:t>
            </w:r>
            <w:r w:rsidRPr="00EB063F">
              <w:rPr>
                <w:szCs w:val="22"/>
                <w:vertAlign w:val="superscript"/>
              </w:rPr>
              <w:t>a,b</w:t>
            </w:r>
            <w:proofErr w:type="spellEnd"/>
            <w:proofErr w:type="gramEnd"/>
          </w:p>
        </w:tc>
      </w:tr>
      <w:tr w:rsidR="00EB063F" w:rsidRPr="00EB063F" w14:paraId="26928D1C"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A173C9"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E3BAC3"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15 </w:t>
            </w:r>
            <w:proofErr w:type="spellStart"/>
            <w:r w:rsidRPr="00EB063F">
              <w:rPr>
                <w:szCs w:val="22"/>
                <w:lang w:val="lt-LT" w:eastAsia="lt-LT" w:bidi="lt-LT"/>
              </w:rPr>
              <w:t>mmol</w:t>
            </w:r>
            <w:proofErr w:type="spellEnd"/>
            <w:r w:rsidRPr="00EB063F">
              <w:rPr>
                <w:szCs w:val="22"/>
                <w:lang w:val="lt-LT" w:eastAsia="lt-LT" w:bidi="lt-LT"/>
              </w:rPr>
              <w:t xml:space="preserve"> </w:t>
            </w:r>
            <w:r w:rsidRPr="00EB063F">
              <w:rPr>
                <w:szCs w:val="22"/>
                <w:vertAlign w:val="superscript"/>
                <w:lang w:val="lt-LT" w:eastAsia="lt-LT" w:bidi="lt-LT"/>
              </w:rPr>
              <w:t>a</w:t>
            </w:r>
          </w:p>
        </w:tc>
        <w:tc>
          <w:tcPr>
            <w:tcW w:w="2673"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2780B564" w14:textId="77777777" w:rsidR="00EB063F" w:rsidRPr="00EB063F" w:rsidRDefault="00EB063F" w:rsidP="00EB063F">
            <w:pPr>
              <w:tabs>
                <w:tab w:val="clear" w:pos="567"/>
                <w:tab w:val="left" w:pos="1296"/>
              </w:tabs>
              <w:spacing w:line="240" w:lineRule="auto"/>
              <w:jc w:val="center"/>
              <w:rPr>
                <w:szCs w:val="22"/>
              </w:rPr>
            </w:pPr>
          </w:p>
        </w:tc>
        <w:tc>
          <w:tcPr>
            <w:tcW w:w="248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0FBB7C0C" w14:textId="77777777" w:rsidR="00EB063F" w:rsidRPr="00EB063F" w:rsidRDefault="00EB063F" w:rsidP="00EB063F">
            <w:pPr>
              <w:tabs>
                <w:tab w:val="clear" w:pos="567"/>
                <w:tab w:val="left" w:pos="1296"/>
              </w:tabs>
              <w:spacing w:line="240" w:lineRule="auto"/>
              <w:jc w:val="center"/>
              <w:rPr>
                <w:szCs w:val="22"/>
              </w:rPr>
            </w:pPr>
          </w:p>
        </w:tc>
      </w:tr>
      <w:tr w:rsidR="00EB063F" w:rsidRPr="00EB063F" w14:paraId="25785E0A" w14:textId="77777777" w:rsidTr="001E32CB">
        <w:trPr>
          <w:jc w:val="center"/>
        </w:trPr>
        <w:tc>
          <w:tcPr>
            <w:tcW w:w="924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3C4037" w14:textId="77777777" w:rsidR="00EB063F" w:rsidRPr="00EB063F" w:rsidRDefault="00EB063F" w:rsidP="00EB063F">
            <w:pPr>
              <w:tabs>
                <w:tab w:val="clear" w:pos="567"/>
                <w:tab w:val="left" w:pos="1296"/>
              </w:tabs>
              <w:spacing w:line="240" w:lineRule="auto"/>
              <w:jc w:val="center"/>
              <w:rPr>
                <w:szCs w:val="22"/>
              </w:rPr>
            </w:pPr>
            <w:r w:rsidRPr="00EB063F">
              <w:rPr>
                <w:b/>
                <w:szCs w:val="22"/>
                <w:lang w:val="lt-LT" w:eastAsia="lt-LT" w:bidi="lt-LT"/>
              </w:rPr>
              <w:t xml:space="preserve">Kiti priedai (mikroelementai, vitaminai, selenas ir cinkas) </w:t>
            </w:r>
            <w:r w:rsidRPr="00EB063F">
              <w:rPr>
                <w:b/>
                <w:szCs w:val="22"/>
                <w:vertAlign w:val="superscript"/>
                <w:lang w:val="lt-LT" w:eastAsia="lt-LT" w:bidi="lt-LT"/>
              </w:rPr>
              <w:t>c</w:t>
            </w:r>
          </w:p>
        </w:tc>
      </w:tr>
      <w:tr w:rsidR="00EB063F" w:rsidRPr="00EB063F" w14:paraId="61F70388" w14:textId="77777777" w:rsidTr="001E32CB">
        <w:trPr>
          <w:trHeight w:val="476"/>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BC7A3B"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Mikroelementai – „</w:t>
            </w:r>
            <w:proofErr w:type="spellStart"/>
            <w:r w:rsidRPr="00EB063F">
              <w:rPr>
                <w:szCs w:val="22"/>
                <w:lang w:val="lt-LT" w:eastAsia="lt-LT" w:bidi="lt-LT"/>
              </w:rPr>
              <w:t>Nutryelt</w:t>
            </w:r>
            <w:proofErr w:type="spellEnd"/>
            <w:r w:rsidRPr="00EB063F">
              <w:rPr>
                <w:szCs w:val="22"/>
                <w:lang w:val="lt-LT" w:eastAsia="lt-LT" w:bidi="lt-LT"/>
              </w:rPr>
              <w:t xml:space="preserve">“ </w:t>
            </w:r>
            <w:r w:rsidRPr="00EB063F">
              <w:rPr>
                <w:szCs w:val="22"/>
                <w:vertAlign w:val="superscript"/>
                <w:lang w:val="lt-LT" w:eastAsia="lt-LT" w:bidi="lt-LT"/>
              </w:rPr>
              <w:t>d</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A9DFA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 flakonai vienam maišeliui (10 ml tirpalo koncentrato)</w:t>
            </w:r>
          </w:p>
        </w:tc>
      </w:tr>
      <w:tr w:rsidR="00EB063F" w:rsidRPr="00EB063F" w14:paraId="6A08F276"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4F52D8" w14:textId="77777777" w:rsidR="00EB063F" w:rsidRPr="00EB063F" w:rsidRDefault="00EB063F" w:rsidP="00EB063F">
            <w:pPr>
              <w:tabs>
                <w:tab w:val="clear" w:pos="567"/>
                <w:tab w:val="left" w:pos="1296"/>
              </w:tabs>
              <w:spacing w:line="240" w:lineRule="auto"/>
              <w:jc w:val="center"/>
              <w:rPr>
                <w:szCs w:val="22"/>
              </w:rPr>
            </w:pPr>
            <w:r w:rsidRPr="00EB063F">
              <w:rPr>
                <w:szCs w:val="22"/>
                <w:lang w:val="lt-LT" w:eastAsia="lt-LT" w:bidi="lt-LT"/>
              </w:rPr>
              <w:t>Vitaminai – „</w:t>
            </w:r>
            <w:proofErr w:type="spellStart"/>
            <w:r w:rsidRPr="00EB063F">
              <w:rPr>
                <w:szCs w:val="22"/>
                <w:lang w:val="lt-LT" w:eastAsia="lt-LT" w:bidi="lt-LT"/>
              </w:rPr>
              <w:t>Cernevit</w:t>
            </w:r>
            <w:proofErr w:type="spellEnd"/>
            <w:r w:rsidRPr="00EB063F">
              <w:rPr>
                <w:szCs w:val="22"/>
                <w:lang w:val="lt-LT" w:eastAsia="lt-LT" w:bidi="lt-LT"/>
              </w:rPr>
              <w:t xml:space="preserve">“ </w:t>
            </w:r>
            <w:r w:rsidRPr="00EB063F">
              <w:rPr>
                <w:szCs w:val="22"/>
                <w:vertAlign w:val="superscript"/>
                <w:lang w:val="lt-LT" w:eastAsia="lt-LT" w:bidi="lt-LT"/>
              </w:rPr>
              <w:t>e</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2A0B86"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1 flakonas (5 ml </w:t>
            </w:r>
            <w:proofErr w:type="spellStart"/>
            <w:r w:rsidRPr="00EB063F">
              <w:rPr>
                <w:szCs w:val="22"/>
                <w:lang w:val="lt-LT" w:eastAsia="lt-LT" w:bidi="lt-LT"/>
              </w:rPr>
              <w:t>liofilizato</w:t>
            </w:r>
            <w:proofErr w:type="spellEnd"/>
            <w:r w:rsidRPr="00EB063F">
              <w:rPr>
                <w:szCs w:val="22"/>
                <w:lang w:val="lt-LT" w:eastAsia="lt-LT" w:bidi="lt-LT"/>
              </w:rPr>
              <w:t>)</w:t>
            </w:r>
          </w:p>
        </w:tc>
      </w:tr>
      <w:tr w:rsidR="00EB063F" w:rsidRPr="00EB063F" w14:paraId="3C3574A8"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4A9073"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Selenas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948815"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500 µg vienam maišeliui</w:t>
            </w:r>
          </w:p>
        </w:tc>
      </w:tr>
      <w:tr w:rsidR="00EB063F" w:rsidRPr="00EB063F" w14:paraId="56B38E85" w14:textId="77777777" w:rsidTr="001E32C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C9219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lastRenderedPageBreak/>
              <w:t>Cinkas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1A0EB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20 mg vienam maišeliui</w:t>
            </w:r>
          </w:p>
        </w:tc>
      </w:tr>
      <w:tr w:rsidR="00EB063F" w:rsidRPr="00EB063F" w14:paraId="29CF6786" w14:textId="77777777" w:rsidTr="001E32CB">
        <w:trPr>
          <w:jc w:val="center"/>
        </w:trPr>
        <w:tc>
          <w:tcPr>
            <w:tcW w:w="9242" w:type="dxa"/>
            <w:gridSpan w:val="4"/>
            <w:tcBorders>
              <w:top w:val="single" w:sz="6" w:space="0" w:color="000000"/>
            </w:tcBorders>
            <w:tcMar>
              <w:top w:w="0" w:type="dxa"/>
              <w:left w:w="108" w:type="dxa"/>
              <w:bottom w:w="0" w:type="dxa"/>
              <w:right w:w="108" w:type="dxa"/>
            </w:tcMar>
          </w:tcPr>
          <w:p w14:paraId="416F70D0" w14:textId="77777777" w:rsidR="00EB063F" w:rsidRPr="00EB063F" w:rsidRDefault="00EB063F" w:rsidP="00EB063F">
            <w:pPr>
              <w:numPr>
                <w:ilvl w:val="0"/>
                <w:numId w:val="9"/>
              </w:numPr>
              <w:spacing w:line="240" w:lineRule="auto"/>
              <w:rPr>
                <w:szCs w:val="22"/>
                <w:lang w:val="lt-LT" w:eastAsia="lt-LT" w:bidi="lt-LT"/>
              </w:rPr>
            </w:pPr>
            <w:r w:rsidRPr="00EB063F">
              <w:rPr>
                <w:szCs w:val="22"/>
                <w:lang w:val="lt-LT" w:eastAsia="lt-LT" w:bidi="lt-LT"/>
              </w:rPr>
              <w:t>Įskaitant fosfatus, gautus iš lipidų emulsijos</w:t>
            </w:r>
          </w:p>
          <w:p w14:paraId="6B47B600" w14:textId="77777777" w:rsidR="00EB063F" w:rsidRPr="00EB063F" w:rsidRDefault="00EB063F" w:rsidP="00EB063F">
            <w:pPr>
              <w:numPr>
                <w:ilvl w:val="0"/>
                <w:numId w:val="9"/>
              </w:numPr>
              <w:spacing w:line="240" w:lineRule="auto"/>
              <w:rPr>
                <w:szCs w:val="22"/>
                <w:lang w:val="lt-LT" w:eastAsia="lt-LT" w:bidi="lt-LT"/>
              </w:rPr>
            </w:pPr>
            <w:proofErr w:type="spellStart"/>
            <w:r w:rsidRPr="00EB063F">
              <w:rPr>
                <w:szCs w:val="22"/>
              </w:rPr>
              <w:t>Pn</w:t>
            </w:r>
            <w:proofErr w:type="spellEnd"/>
            <w:r w:rsidRPr="00EB063F">
              <w:rPr>
                <w:szCs w:val="22"/>
              </w:rPr>
              <w:t xml:space="preserve"> - </w:t>
            </w:r>
            <w:proofErr w:type="spellStart"/>
            <w:r w:rsidRPr="00EB063F">
              <w:rPr>
                <w:szCs w:val="22"/>
              </w:rPr>
              <w:t>neorganinis</w:t>
            </w:r>
            <w:proofErr w:type="spellEnd"/>
            <w:r w:rsidRPr="00EB063F">
              <w:rPr>
                <w:szCs w:val="22"/>
              </w:rPr>
              <w:t xml:space="preserve"> </w:t>
            </w:r>
            <w:proofErr w:type="spellStart"/>
            <w:r w:rsidRPr="00EB063F">
              <w:rPr>
                <w:szCs w:val="22"/>
              </w:rPr>
              <w:t>fosfatas</w:t>
            </w:r>
            <w:proofErr w:type="spellEnd"/>
            <w:r w:rsidRPr="00EB063F">
              <w:rPr>
                <w:szCs w:val="22"/>
              </w:rPr>
              <w:t xml:space="preserve">; Po - </w:t>
            </w:r>
            <w:proofErr w:type="spellStart"/>
            <w:r w:rsidRPr="00EB063F">
              <w:rPr>
                <w:szCs w:val="22"/>
              </w:rPr>
              <w:t>organinis</w:t>
            </w:r>
            <w:proofErr w:type="spellEnd"/>
            <w:r w:rsidRPr="00EB063F">
              <w:rPr>
                <w:szCs w:val="22"/>
              </w:rPr>
              <w:t xml:space="preserve"> </w:t>
            </w:r>
            <w:proofErr w:type="spellStart"/>
            <w:r w:rsidRPr="00EB063F">
              <w:rPr>
                <w:szCs w:val="22"/>
              </w:rPr>
              <w:t>fosfatas</w:t>
            </w:r>
            <w:proofErr w:type="spellEnd"/>
          </w:p>
          <w:p w14:paraId="391E010E" w14:textId="77777777" w:rsidR="00EB063F" w:rsidRPr="00EB063F" w:rsidRDefault="00EB063F" w:rsidP="00EB063F">
            <w:pPr>
              <w:numPr>
                <w:ilvl w:val="0"/>
                <w:numId w:val="9"/>
              </w:numPr>
              <w:spacing w:line="240" w:lineRule="auto"/>
              <w:rPr>
                <w:szCs w:val="22"/>
                <w:lang w:val="lt-LT" w:eastAsia="lt-LT" w:bidi="lt-LT"/>
              </w:rPr>
            </w:pPr>
            <w:r w:rsidRPr="00EB063F">
              <w:rPr>
                <w:szCs w:val="22"/>
                <w:lang w:val="lt-LT" w:eastAsia="lt-LT" w:bidi="lt-LT"/>
              </w:rPr>
              <w:t>Visų talpų maišelius mikroelementais, vitaminais, selenu ir cinku galima papildyti taip pat kaip ir 1 l talpos maišelį; vitaminų papildymas skiriamas 1 l emulsijos.</w:t>
            </w:r>
          </w:p>
          <w:p w14:paraId="4F1B5505" w14:textId="77777777" w:rsidR="00EB063F" w:rsidRPr="00EB063F" w:rsidRDefault="00EB063F" w:rsidP="00EB063F">
            <w:pPr>
              <w:numPr>
                <w:ilvl w:val="0"/>
                <w:numId w:val="9"/>
              </w:numPr>
              <w:tabs>
                <w:tab w:val="left" w:pos="115"/>
              </w:tabs>
              <w:spacing w:line="240" w:lineRule="auto"/>
              <w:rPr>
                <w:szCs w:val="22"/>
              </w:rPr>
            </w:pPr>
            <w:r w:rsidRPr="00EB063F">
              <w:rPr>
                <w:szCs w:val="22"/>
                <w:lang w:val="lt-LT" w:eastAsia="lt-LT" w:bidi="lt-LT"/>
              </w:rPr>
              <w:t xml:space="preserve"> „</w:t>
            </w:r>
            <w:proofErr w:type="spellStart"/>
            <w:r w:rsidRPr="00EB063F">
              <w:rPr>
                <w:szCs w:val="22"/>
                <w:lang w:val="lt-LT" w:eastAsia="lt-LT" w:bidi="lt-LT"/>
              </w:rPr>
              <w:t>Nutryelt</w:t>
            </w:r>
            <w:proofErr w:type="spellEnd"/>
            <w:r w:rsidRPr="00EB063F">
              <w:rPr>
                <w:szCs w:val="22"/>
                <w:lang w:val="lt-LT" w:eastAsia="lt-LT" w:bidi="lt-LT"/>
              </w:rPr>
              <w:t xml:space="preserve">“ </w:t>
            </w:r>
            <w:r w:rsidRPr="00EB063F">
              <w:rPr>
                <w:iCs/>
                <w:szCs w:val="22"/>
                <w:lang w:val="lt-LT" w:eastAsia="lt-LT" w:bidi="lt-LT"/>
              </w:rPr>
              <w:t>(flakono sudėtis: cinkas 153 µ</w:t>
            </w:r>
            <w:proofErr w:type="spellStart"/>
            <w:r w:rsidRPr="00EB063F">
              <w:rPr>
                <w:iCs/>
                <w:szCs w:val="22"/>
                <w:lang w:val="lt-LT" w:eastAsia="lt-LT" w:bidi="lt-LT"/>
              </w:rPr>
              <w:t>mol</w:t>
            </w:r>
            <w:proofErr w:type="spellEnd"/>
            <w:r w:rsidRPr="00EB063F">
              <w:rPr>
                <w:iCs/>
                <w:szCs w:val="22"/>
                <w:lang w:val="lt-LT" w:eastAsia="lt-LT" w:bidi="lt-LT"/>
              </w:rPr>
              <w:t xml:space="preserve">; </w:t>
            </w:r>
            <w:r w:rsidRPr="00EB063F">
              <w:rPr>
                <w:szCs w:val="22"/>
                <w:lang w:val="lt-LT" w:eastAsia="lt-LT" w:bidi="lt-LT"/>
              </w:rPr>
              <w:t>varis 4,7 µ</w:t>
            </w:r>
            <w:proofErr w:type="spellStart"/>
            <w:r w:rsidRPr="00EB063F">
              <w:rPr>
                <w:szCs w:val="22"/>
                <w:lang w:val="lt-LT" w:eastAsia="lt-LT" w:bidi="lt-LT"/>
              </w:rPr>
              <w:t>mol</w:t>
            </w:r>
            <w:proofErr w:type="spellEnd"/>
            <w:r w:rsidRPr="00EB063F">
              <w:rPr>
                <w:szCs w:val="22"/>
                <w:lang w:val="lt-LT" w:eastAsia="lt-LT" w:bidi="lt-LT"/>
              </w:rPr>
              <w:t>; manganas 1,0 µ</w:t>
            </w:r>
            <w:proofErr w:type="spellStart"/>
            <w:r w:rsidRPr="00EB063F">
              <w:rPr>
                <w:szCs w:val="22"/>
                <w:lang w:val="lt-LT" w:eastAsia="lt-LT" w:bidi="lt-LT"/>
              </w:rPr>
              <w:t>mol</w:t>
            </w:r>
            <w:proofErr w:type="spellEnd"/>
            <w:r w:rsidRPr="00EB063F">
              <w:rPr>
                <w:szCs w:val="22"/>
                <w:lang w:val="lt-LT" w:eastAsia="lt-LT" w:bidi="lt-LT"/>
              </w:rPr>
              <w:t>; fluoras 50 µ</w:t>
            </w:r>
            <w:proofErr w:type="spellStart"/>
            <w:r w:rsidRPr="00EB063F">
              <w:rPr>
                <w:szCs w:val="22"/>
                <w:lang w:val="lt-LT" w:eastAsia="lt-LT" w:bidi="lt-LT"/>
              </w:rPr>
              <w:t>mol</w:t>
            </w:r>
            <w:proofErr w:type="spellEnd"/>
            <w:r w:rsidRPr="00EB063F">
              <w:rPr>
                <w:szCs w:val="22"/>
                <w:lang w:val="lt-LT" w:eastAsia="lt-LT" w:bidi="lt-LT"/>
              </w:rPr>
              <w:t>; jodas 1,0 µ</w:t>
            </w:r>
            <w:proofErr w:type="spellStart"/>
            <w:r w:rsidRPr="00EB063F">
              <w:rPr>
                <w:szCs w:val="22"/>
                <w:lang w:val="lt-LT" w:eastAsia="lt-LT" w:bidi="lt-LT"/>
              </w:rPr>
              <w:t>mol</w:t>
            </w:r>
            <w:proofErr w:type="spellEnd"/>
            <w:r w:rsidRPr="00EB063F">
              <w:rPr>
                <w:szCs w:val="22"/>
                <w:lang w:val="lt-LT" w:eastAsia="lt-LT" w:bidi="lt-LT"/>
              </w:rPr>
              <w:t>; selenas 0,9 µ</w:t>
            </w:r>
            <w:proofErr w:type="spellStart"/>
            <w:r w:rsidRPr="00EB063F">
              <w:rPr>
                <w:szCs w:val="22"/>
                <w:lang w:val="lt-LT" w:eastAsia="lt-LT" w:bidi="lt-LT"/>
              </w:rPr>
              <w:t>mol</w:t>
            </w:r>
            <w:proofErr w:type="spellEnd"/>
            <w:r w:rsidRPr="00EB063F">
              <w:rPr>
                <w:szCs w:val="22"/>
                <w:lang w:val="lt-LT" w:eastAsia="lt-LT" w:bidi="lt-LT"/>
              </w:rPr>
              <w:t>; molibdenas 0,21 µ</w:t>
            </w:r>
            <w:proofErr w:type="spellStart"/>
            <w:r w:rsidRPr="00EB063F">
              <w:rPr>
                <w:szCs w:val="22"/>
                <w:lang w:val="lt-LT" w:eastAsia="lt-LT" w:bidi="lt-LT"/>
              </w:rPr>
              <w:t>mol</w:t>
            </w:r>
            <w:proofErr w:type="spellEnd"/>
            <w:r w:rsidRPr="00EB063F">
              <w:rPr>
                <w:szCs w:val="22"/>
                <w:lang w:val="lt-LT" w:eastAsia="lt-LT" w:bidi="lt-LT"/>
              </w:rPr>
              <w:t>; chromas 0,19 µ</w:t>
            </w:r>
            <w:proofErr w:type="spellStart"/>
            <w:r w:rsidRPr="00EB063F">
              <w:rPr>
                <w:szCs w:val="22"/>
                <w:lang w:val="lt-LT" w:eastAsia="lt-LT" w:bidi="lt-LT"/>
              </w:rPr>
              <w:t>mol</w:t>
            </w:r>
            <w:proofErr w:type="spellEnd"/>
            <w:r w:rsidRPr="00EB063F">
              <w:rPr>
                <w:szCs w:val="22"/>
                <w:lang w:val="lt-LT" w:eastAsia="lt-LT" w:bidi="lt-LT"/>
              </w:rPr>
              <w:t>; geležis 18 µ</w:t>
            </w:r>
            <w:proofErr w:type="spellStart"/>
            <w:r w:rsidRPr="00EB063F">
              <w:rPr>
                <w:szCs w:val="22"/>
                <w:lang w:val="lt-LT" w:eastAsia="lt-LT" w:bidi="lt-LT"/>
              </w:rPr>
              <w:t>mol</w:t>
            </w:r>
            <w:proofErr w:type="spellEnd"/>
            <w:r w:rsidRPr="00EB063F">
              <w:rPr>
                <w:szCs w:val="22"/>
                <w:lang w:val="lt-LT" w:eastAsia="lt-LT" w:bidi="lt-LT"/>
              </w:rPr>
              <w:t>)</w:t>
            </w:r>
          </w:p>
          <w:p w14:paraId="66997FF9" w14:textId="77777777" w:rsidR="00EB063F" w:rsidRPr="00EB063F" w:rsidRDefault="00EB063F" w:rsidP="00EB063F">
            <w:pPr>
              <w:numPr>
                <w:ilvl w:val="0"/>
                <w:numId w:val="9"/>
              </w:numPr>
              <w:tabs>
                <w:tab w:val="left" w:pos="115"/>
              </w:tabs>
              <w:spacing w:line="240" w:lineRule="auto"/>
              <w:rPr>
                <w:szCs w:val="22"/>
              </w:rPr>
            </w:pPr>
            <w:r w:rsidRPr="00EB063F">
              <w:rPr>
                <w:iCs/>
                <w:szCs w:val="22"/>
                <w:lang w:val="lt-LT" w:eastAsia="lt-LT" w:bidi="lt-LT"/>
              </w:rPr>
              <w:t>„</w:t>
            </w:r>
            <w:proofErr w:type="spellStart"/>
            <w:r w:rsidRPr="00EB063F">
              <w:rPr>
                <w:iCs/>
                <w:szCs w:val="22"/>
                <w:lang w:val="lt-LT" w:eastAsia="lt-LT" w:bidi="lt-LT"/>
              </w:rPr>
              <w:t>Cernevit</w:t>
            </w:r>
            <w:proofErr w:type="spellEnd"/>
            <w:r w:rsidRPr="00EB063F">
              <w:rPr>
                <w:iCs/>
                <w:szCs w:val="22"/>
                <w:lang w:val="lt-LT" w:eastAsia="lt-LT" w:bidi="lt-LT"/>
              </w:rPr>
              <w:t xml:space="preserve">“ (flakono sudėtis: vitaminas A (kaip retinolio </w:t>
            </w:r>
            <w:proofErr w:type="spellStart"/>
            <w:r w:rsidRPr="00EB063F">
              <w:rPr>
                <w:iCs/>
                <w:szCs w:val="22"/>
                <w:lang w:val="lt-LT" w:eastAsia="lt-LT" w:bidi="lt-LT"/>
              </w:rPr>
              <w:t>palmitatas</w:t>
            </w:r>
            <w:proofErr w:type="spellEnd"/>
            <w:r w:rsidRPr="00EB063F">
              <w:rPr>
                <w:iCs/>
                <w:szCs w:val="22"/>
                <w:lang w:val="lt-LT" w:eastAsia="lt-LT" w:bidi="lt-LT"/>
              </w:rPr>
              <w:t>) 3500 TV, vitaminas D3 (</w:t>
            </w:r>
            <w:proofErr w:type="spellStart"/>
            <w:r w:rsidRPr="00EB063F">
              <w:rPr>
                <w:szCs w:val="22"/>
                <w:lang w:val="lt-LT" w:eastAsia="lt-LT" w:bidi="lt-LT"/>
              </w:rPr>
              <w:t>cholekalciferolis</w:t>
            </w:r>
            <w:proofErr w:type="spellEnd"/>
            <w:r w:rsidRPr="00EB063F">
              <w:rPr>
                <w:szCs w:val="22"/>
                <w:lang w:val="lt-LT" w:eastAsia="lt-LT" w:bidi="lt-LT"/>
              </w:rPr>
              <w:t>) 220 TV, vitaminas E (alfa-</w:t>
            </w:r>
            <w:proofErr w:type="spellStart"/>
            <w:r w:rsidRPr="00EB063F">
              <w:rPr>
                <w:szCs w:val="22"/>
                <w:lang w:val="lt-LT" w:eastAsia="lt-LT" w:bidi="lt-LT"/>
              </w:rPr>
              <w:t>tokoferolis</w:t>
            </w:r>
            <w:proofErr w:type="spellEnd"/>
            <w:r w:rsidRPr="00EB063F">
              <w:rPr>
                <w:szCs w:val="22"/>
                <w:lang w:val="lt-LT" w:eastAsia="lt-LT" w:bidi="lt-LT"/>
              </w:rPr>
              <w:t>) 11,2 TV, vitaminas C (</w:t>
            </w:r>
            <w:proofErr w:type="spellStart"/>
            <w:r w:rsidRPr="00EB063F">
              <w:rPr>
                <w:szCs w:val="22"/>
                <w:lang w:val="lt-LT" w:eastAsia="lt-LT" w:bidi="lt-LT"/>
              </w:rPr>
              <w:t>askorbo</w:t>
            </w:r>
            <w:proofErr w:type="spellEnd"/>
            <w:r w:rsidRPr="00EB063F">
              <w:rPr>
                <w:szCs w:val="22"/>
                <w:lang w:val="lt-LT" w:eastAsia="lt-LT" w:bidi="lt-LT"/>
              </w:rPr>
              <w:t xml:space="preserve"> rūgštis) 125 mg, vitaminas B1 (tiaminas) 3,51 mg, vitaminas B2 (</w:t>
            </w:r>
            <w:proofErr w:type="spellStart"/>
            <w:r w:rsidRPr="00EB063F">
              <w:rPr>
                <w:szCs w:val="22"/>
                <w:lang w:val="lt-LT" w:eastAsia="lt-LT" w:bidi="lt-LT"/>
              </w:rPr>
              <w:t>riboflavinas</w:t>
            </w:r>
            <w:proofErr w:type="spellEnd"/>
            <w:r w:rsidRPr="00EB063F">
              <w:rPr>
                <w:szCs w:val="22"/>
                <w:lang w:val="lt-LT" w:eastAsia="lt-LT" w:bidi="lt-LT"/>
              </w:rPr>
              <w:t>) 4,14 mg, vitaminas B6 (</w:t>
            </w:r>
            <w:proofErr w:type="spellStart"/>
            <w:r w:rsidRPr="00EB063F">
              <w:rPr>
                <w:szCs w:val="22"/>
                <w:lang w:val="lt-LT" w:eastAsia="lt-LT" w:bidi="lt-LT"/>
              </w:rPr>
              <w:t>piridoksinas</w:t>
            </w:r>
            <w:proofErr w:type="spellEnd"/>
            <w:r w:rsidRPr="00EB063F">
              <w:rPr>
                <w:szCs w:val="22"/>
                <w:lang w:val="lt-LT" w:eastAsia="lt-LT" w:bidi="lt-LT"/>
              </w:rPr>
              <w:t>) 4,53 mg, vitaminas B12 (</w:t>
            </w:r>
            <w:proofErr w:type="spellStart"/>
            <w:r w:rsidRPr="00EB063F">
              <w:rPr>
                <w:szCs w:val="22"/>
                <w:lang w:val="lt-LT" w:eastAsia="lt-LT" w:bidi="lt-LT"/>
              </w:rPr>
              <w:t>cianokobalaminas</w:t>
            </w:r>
            <w:proofErr w:type="spellEnd"/>
            <w:r w:rsidRPr="00EB063F">
              <w:rPr>
                <w:szCs w:val="22"/>
                <w:lang w:val="lt-LT" w:eastAsia="lt-LT" w:bidi="lt-LT"/>
              </w:rPr>
              <w:t>) 6 µg, vitaminas B9 (</w:t>
            </w:r>
            <w:proofErr w:type="spellStart"/>
            <w:r w:rsidRPr="00EB063F">
              <w:rPr>
                <w:szCs w:val="22"/>
                <w:lang w:val="lt-LT" w:eastAsia="lt-LT" w:bidi="lt-LT"/>
              </w:rPr>
              <w:t>folio</w:t>
            </w:r>
            <w:proofErr w:type="spellEnd"/>
            <w:r w:rsidRPr="00EB063F">
              <w:rPr>
                <w:szCs w:val="22"/>
                <w:lang w:val="lt-LT" w:eastAsia="lt-LT" w:bidi="lt-LT"/>
              </w:rPr>
              <w:t xml:space="preserve"> rūgštis) 414 µg, vitaminas B5 (</w:t>
            </w:r>
            <w:proofErr w:type="spellStart"/>
            <w:r w:rsidRPr="00EB063F">
              <w:rPr>
                <w:szCs w:val="22"/>
                <w:lang w:val="lt-LT" w:eastAsia="lt-LT" w:bidi="lt-LT"/>
              </w:rPr>
              <w:t>pantoteno</w:t>
            </w:r>
            <w:proofErr w:type="spellEnd"/>
            <w:r w:rsidRPr="00EB063F">
              <w:rPr>
                <w:szCs w:val="22"/>
                <w:lang w:val="lt-LT" w:eastAsia="lt-LT" w:bidi="lt-LT"/>
              </w:rPr>
              <w:t xml:space="preserve"> rūgštis) 17,25 mg, vitaminas B8 (</w:t>
            </w:r>
            <w:proofErr w:type="spellStart"/>
            <w:r w:rsidRPr="00EB063F">
              <w:rPr>
                <w:szCs w:val="22"/>
                <w:lang w:val="lt-LT" w:eastAsia="lt-LT" w:bidi="lt-LT"/>
              </w:rPr>
              <w:t>biotinas</w:t>
            </w:r>
            <w:proofErr w:type="spellEnd"/>
            <w:r w:rsidRPr="00EB063F">
              <w:rPr>
                <w:szCs w:val="22"/>
                <w:lang w:val="lt-LT" w:eastAsia="lt-LT" w:bidi="lt-LT"/>
              </w:rPr>
              <w:t>) 69 µg, vitaminas PP (</w:t>
            </w:r>
            <w:proofErr w:type="spellStart"/>
            <w:r w:rsidRPr="00EB063F">
              <w:rPr>
                <w:szCs w:val="22"/>
                <w:lang w:val="lt-LT" w:eastAsia="lt-LT" w:bidi="lt-LT"/>
              </w:rPr>
              <w:t>nikotinamidas</w:t>
            </w:r>
            <w:proofErr w:type="spellEnd"/>
            <w:r w:rsidRPr="00EB063F">
              <w:rPr>
                <w:szCs w:val="22"/>
                <w:lang w:val="lt-LT" w:eastAsia="lt-LT" w:bidi="lt-LT"/>
              </w:rPr>
              <w:t>) 46 mg)</w:t>
            </w:r>
          </w:p>
        </w:tc>
      </w:tr>
    </w:tbl>
    <w:p w14:paraId="14C34105"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1A21F48"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396C50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Priedų suleidimas:</w:t>
      </w:r>
    </w:p>
    <w:p w14:paraId="2A1270E5"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r w:rsidRPr="00EB063F">
        <w:rPr>
          <w:rFonts w:eastAsia="MS Mincho"/>
          <w:szCs w:val="22"/>
          <w:lang w:val="lt-LT" w:eastAsia="lt-LT" w:bidi="lt-LT"/>
        </w:rPr>
        <w:t>Būtina užtikrinti sterilumą.</w:t>
      </w:r>
    </w:p>
    <w:p w14:paraId="2081CD9F"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r w:rsidRPr="00EB063F">
        <w:rPr>
          <w:rFonts w:eastAsia="MS Mincho"/>
          <w:szCs w:val="22"/>
          <w:lang w:val="lt-LT" w:eastAsia="lt-LT" w:bidi="lt-LT"/>
        </w:rPr>
        <w:t>Paruoškite maišelio injekcijos vietą.</w:t>
      </w:r>
    </w:p>
    <w:p w14:paraId="2EBA0ABB" w14:textId="77777777" w:rsidR="00EB063F" w:rsidRPr="00EB063F" w:rsidRDefault="00EB063F" w:rsidP="00EB063F">
      <w:pPr>
        <w:tabs>
          <w:tab w:val="clear" w:pos="567"/>
          <w:tab w:val="left" w:pos="720"/>
        </w:tabs>
        <w:spacing w:line="240" w:lineRule="auto"/>
        <w:ind w:left="709" w:firstLine="11"/>
        <w:rPr>
          <w:rFonts w:eastAsia="MS Mincho"/>
          <w:szCs w:val="22"/>
          <w:lang w:val="lt-LT" w:eastAsia="lt-LT" w:bidi="lt-LT"/>
        </w:rPr>
      </w:pPr>
      <w:r w:rsidRPr="00EB063F">
        <w:rPr>
          <w:rFonts w:eastAsia="MS Mincho"/>
          <w:szCs w:val="22"/>
          <w:lang w:val="lt-LT" w:eastAsia="lt-LT" w:bidi="lt-LT"/>
        </w:rPr>
        <w:t>Pradurkite injekcijos vietą ir, naudodami injekcijų adatą arba paruošimo prietaisą, suleiskite priedus.</w:t>
      </w:r>
    </w:p>
    <w:p w14:paraId="323A63BA" w14:textId="77777777" w:rsidR="00EB063F" w:rsidRPr="00EB063F" w:rsidRDefault="00EB063F" w:rsidP="00EB063F">
      <w:pPr>
        <w:tabs>
          <w:tab w:val="clear" w:pos="567"/>
          <w:tab w:val="left" w:pos="1080"/>
        </w:tabs>
        <w:spacing w:line="240" w:lineRule="auto"/>
        <w:ind w:left="1080" w:hanging="360"/>
        <w:rPr>
          <w:rFonts w:eastAsia="MS Mincho"/>
          <w:szCs w:val="22"/>
          <w:lang w:val="lt-LT" w:eastAsia="lt-LT" w:bidi="lt-LT"/>
        </w:rPr>
      </w:pPr>
      <w:r w:rsidRPr="00EB063F">
        <w:rPr>
          <w:rFonts w:eastAsia="MS Mincho"/>
          <w:szCs w:val="22"/>
          <w:lang w:val="lt-LT" w:eastAsia="lt-LT" w:bidi="lt-LT"/>
        </w:rPr>
        <w:t>Sumaišykite maišelio turinį ir priedus.</w:t>
      </w:r>
    </w:p>
    <w:p w14:paraId="0510AE77" w14:textId="77777777" w:rsidR="00EB063F" w:rsidRPr="00EB063F" w:rsidRDefault="00EB063F" w:rsidP="00EB063F">
      <w:pPr>
        <w:tabs>
          <w:tab w:val="clear" w:pos="567"/>
          <w:tab w:val="left" w:pos="1296"/>
        </w:tabs>
        <w:spacing w:line="240" w:lineRule="auto"/>
        <w:ind w:left="1080"/>
        <w:rPr>
          <w:rFonts w:eastAsia="MS Mincho"/>
          <w:szCs w:val="22"/>
          <w:lang w:val="lt-LT" w:eastAsia="lt-LT" w:bidi="lt-LT"/>
        </w:rPr>
      </w:pPr>
    </w:p>
    <w:p w14:paraId="6C01C12D"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bookmarkStart w:id="9" w:name="_ISIW_UH_13"/>
      <w:r w:rsidRPr="00EB063F">
        <w:rPr>
          <w:rFonts w:eastAsia="MS Mincho"/>
          <w:b/>
          <w:bCs/>
          <w:szCs w:val="22"/>
          <w:lang w:val="lt-LT" w:eastAsia="lt-LT" w:bidi="lt-LT"/>
        </w:rPr>
        <w:t>Tinkamumo laikas po paruošimo</w:t>
      </w:r>
    </w:p>
    <w:p w14:paraId="1A5CD329" w14:textId="77777777" w:rsidR="00EB063F" w:rsidRPr="00EB063F" w:rsidRDefault="00EB063F" w:rsidP="00EB063F">
      <w:pPr>
        <w:spacing w:line="240" w:lineRule="auto"/>
        <w:rPr>
          <w:szCs w:val="22"/>
          <w:lang w:val="lt-LT" w:eastAsia="lt-LT" w:bidi="lt-LT"/>
        </w:rPr>
      </w:pPr>
      <w:r w:rsidRPr="00EB063F">
        <w:rPr>
          <w:szCs w:val="22"/>
          <w:lang w:val="lt-LT" w:eastAsia="lt-LT" w:bidi="lt-LT"/>
        </w:rPr>
        <w:t>Paruoštos emulsijos cheminis ir fizinis stabilumas 2 °C –8 °C temperatūroje išlieka 7 dienas, po to dar 48 valandas ne aukštesnėje kaip 30 °C temperatūroje.</w:t>
      </w:r>
    </w:p>
    <w:p w14:paraId="761D9073" w14:textId="77777777" w:rsidR="00EB063F" w:rsidRPr="00EB063F" w:rsidRDefault="00EB063F" w:rsidP="00EB063F">
      <w:pPr>
        <w:spacing w:line="240" w:lineRule="auto"/>
        <w:rPr>
          <w:szCs w:val="22"/>
          <w:lang w:val="lt-LT" w:eastAsia="lt-LT" w:bidi="lt-LT"/>
        </w:rPr>
      </w:pPr>
    </w:p>
    <w:p w14:paraId="673B93B2"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Mikrobiologiniu požiūriu, vaistą reikėtų suvartoti iš karto. Jei jis nesuvartojamas tuoj pat, už paruošto vaisto tinkamą laikymo trukmę ir sąlygas atsako vartotojas; paprastai vaistą 2 </w:t>
      </w:r>
      <w:r w:rsidRPr="00EB063F">
        <w:rPr>
          <w:szCs w:val="22"/>
          <w:lang w:val="lt-LT" w:eastAsia="lt-LT" w:bidi="lt-LT"/>
        </w:rPr>
        <w:t>°C</w:t>
      </w:r>
      <w:r w:rsidRPr="00EB063F">
        <w:rPr>
          <w:rFonts w:eastAsia="MS Mincho"/>
          <w:szCs w:val="22"/>
          <w:lang w:val="lt-LT" w:eastAsia="lt-LT" w:bidi="lt-LT"/>
        </w:rPr>
        <w:t xml:space="preserve"> –8 °C temperatūroje galima laikyti ne ilgiau kaip 24 valandas, nebent jis buvo paruoštas kontroliuojamomis ir patvirtintomis </w:t>
      </w:r>
      <w:proofErr w:type="spellStart"/>
      <w:r w:rsidRPr="00EB063F">
        <w:rPr>
          <w:rFonts w:eastAsia="MS Mincho"/>
          <w:szCs w:val="22"/>
          <w:lang w:val="lt-LT" w:eastAsia="lt-LT" w:bidi="lt-LT"/>
        </w:rPr>
        <w:t>aseptinėmis</w:t>
      </w:r>
      <w:proofErr w:type="spellEnd"/>
      <w:r w:rsidRPr="00EB063F">
        <w:rPr>
          <w:rFonts w:eastAsia="MS Mincho"/>
          <w:szCs w:val="22"/>
          <w:lang w:val="lt-LT" w:eastAsia="lt-LT" w:bidi="lt-LT"/>
        </w:rPr>
        <w:t xml:space="preserve"> sąlygomis.</w:t>
      </w:r>
    </w:p>
    <w:p w14:paraId="739E00A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F8D1E6E"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Tinkamumo laikas suleidus priedus</w:t>
      </w:r>
    </w:p>
    <w:p w14:paraId="33D52852"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Suleidus priedų, paruoštos emulsijos cheminis ir fizinis stabilumas 2 </w:t>
      </w:r>
      <w:r w:rsidRPr="00EB063F">
        <w:rPr>
          <w:szCs w:val="22"/>
          <w:lang w:val="lt-LT" w:eastAsia="lt-LT" w:bidi="lt-LT"/>
        </w:rPr>
        <w:t>°C</w:t>
      </w:r>
      <w:r w:rsidRPr="00EB063F">
        <w:rPr>
          <w:rFonts w:eastAsia="MS Mincho"/>
          <w:szCs w:val="22"/>
          <w:lang w:val="lt-LT" w:eastAsia="lt-LT" w:bidi="lt-LT"/>
        </w:rPr>
        <w:t xml:space="preserve"> –8 °C temperatūroje išlieka 7 dienas, po to dar 48 valandas ne aukštesnėje kaip 30 °C temperatūroje.</w:t>
      </w:r>
    </w:p>
    <w:p w14:paraId="13789AC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4D64E43"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Mikrobiologiniu požiūriu, suleidus bet kokių priedų mišinį reikia suvartoti iš karto. Jei jis nesuvartojamas tuoj pat, už paruošto mišinio tinkamą laikymo trukmę ir sąlygas iki jo vartojimo atsako vartotojas; paprastai vaistą 2 </w:t>
      </w:r>
      <w:r w:rsidRPr="00EB063F">
        <w:rPr>
          <w:szCs w:val="22"/>
          <w:lang w:val="lt-LT" w:eastAsia="lt-LT" w:bidi="lt-LT"/>
        </w:rPr>
        <w:t>°C</w:t>
      </w:r>
      <w:r w:rsidRPr="00EB063F">
        <w:rPr>
          <w:rFonts w:eastAsia="MS Mincho"/>
          <w:szCs w:val="22"/>
          <w:lang w:val="lt-LT" w:eastAsia="lt-LT" w:bidi="lt-LT"/>
        </w:rPr>
        <w:t xml:space="preserve"> –8 °C temperatūroje galima laikyti ne ilgiau kaip 24 valandas, nebent priedai buvo suleisti kontroliuojamomis ir patvirtintomis </w:t>
      </w:r>
      <w:proofErr w:type="spellStart"/>
      <w:r w:rsidRPr="00EB063F">
        <w:rPr>
          <w:rFonts w:eastAsia="MS Mincho"/>
          <w:szCs w:val="22"/>
          <w:lang w:val="lt-LT" w:eastAsia="lt-LT" w:bidi="lt-LT"/>
        </w:rPr>
        <w:t>aseptinėmis</w:t>
      </w:r>
      <w:proofErr w:type="spellEnd"/>
      <w:r w:rsidRPr="00EB063F">
        <w:rPr>
          <w:rFonts w:eastAsia="MS Mincho"/>
          <w:szCs w:val="22"/>
          <w:lang w:val="lt-LT" w:eastAsia="lt-LT" w:bidi="lt-LT"/>
        </w:rPr>
        <w:t xml:space="preserve"> sąlygomis.</w:t>
      </w:r>
    </w:p>
    <w:p w14:paraId="7C8519E2"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93EE020"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Pasiruošimas infuzijai</w:t>
      </w:r>
    </w:p>
    <w:bookmarkEnd w:id="9"/>
    <w:p w14:paraId="1C28EA31"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Būtina užtikrinti sterilumą.</w:t>
      </w:r>
    </w:p>
    <w:p w14:paraId="68AD26F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5BD221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Pakabinkite maišelį.</w:t>
      </w:r>
    </w:p>
    <w:p w14:paraId="53D2451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4B26B89"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Nuo leidimo angos nuimkite plastikinę apsaugą.</w:t>
      </w:r>
    </w:p>
    <w:p w14:paraId="0BD4463B"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699708A4"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Tvirtai įkiškite infuzijos rinkinio smaigalį į leidimo angą.</w:t>
      </w:r>
    </w:p>
    <w:p w14:paraId="62337928"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w:t>
      </w:r>
    </w:p>
    <w:p w14:paraId="6BBBDDDA" w14:textId="77777777" w:rsidR="00EB063F" w:rsidRPr="00EB063F" w:rsidRDefault="00EB063F" w:rsidP="00EB063F">
      <w:pPr>
        <w:keepNext/>
        <w:tabs>
          <w:tab w:val="clear" w:pos="567"/>
          <w:tab w:val="left" w:pos="1296"/>
        </w:tabs>
        <w:spacing w:line="240" w:lineRule="auto"/>
        <w:jc w:val="center"/>
        <w:rPr>
          <w:szCs w:val="22"/>
        </w:rPr>
      </w:pPr>
      <w:bookmarkStart w:id="10" w:name="_Ref496692784"/>
      <w:bookmarkStart w:id="11" w:name="_Ref350523445"/>
      <w:r w:rsidRPr="00EB063F">
        <w:rPr>
          <w:rFonts w:eastAsia="MS Mincho"/>
          <w:b/>
          <w:bCs/>
          <w:szCs w:val="22"/>
          <w:lang w:val="lt-LT" w:eastAsia="lt-LT" w:bidi="lt-LT"/>
        </w:rPr>
        <w:lastRenderedPageBreak/>
        <w:t>Pav. 1</w:t>
      </w:r>
      <w:bookmarkEnd w:id="10"/>
      <w:r w:rsidRPr="00EB063F">
        <w:rPr>
          <w:rFonts w:eastAsia="MS Mincho"/>
          <w:b/>
          <w:bCs/>
          <w:szCs w:val="22"/>
          <w:lang w:val="lt-LT" w:eastAsia="lt-LT" w:bidi="lt-LT"/>
        </w:rPr>
        <w:t>. OLIMEL N12E paruošimo vartojimui veiksmai</w:t>
      </w:r>
    </w:p>
    <w:tbl>
      <w:tblPr>
        <w:tblW w:w="8640" w:type="dxa"/>
        <w:tblLayout w:type="fixed"/>
        <w:tblCellMar>
          <w:left w:w="10" w:type="dxa"/>
          <w:right w:w="10" w:type="dxa"/>
        </w:tblCellMar>
        <w:tblLook w:val="04A0" w:firstRow="1" w:lastRow="0" w:firstColumn="1" w:lastColumn="0" w:noHBand="0" w:noVBand="1"/>
      </w:tblPr>
      <w:tblGrid>
        <w:gridCol w:w="469"/>
        <w:gridCol w:w="2359"/>
        <w:gridCol w:w="701"/>
        <w:gridCol w:w="2418"/>
        <w:gridCol w:w="425"/>
        <w:gridCol w:w="2268"/>
      </w:tblGrid>
      <w:tr w:rsidR="00EB063F" w:rsidRPr="00EB063F" w14:paraId="241BD851" w14:textId="77777777" w:rsidTr="001E32CB">
        <w:trPr>
          <w:cantSplit/>
        </w:trPr>
        <w:tc>
          <w:tcPr>
            <w:tcW w:w="469" w:type="dxa"/>
            <w:tcBorders>
              <w:top w:val="single" w:sz="6" w:space="0" w:color="000000"/>
              <w:left w:val="single" w:sz="6" w:space="0" w:color="000000"/>
            </w:tcBorders>
            <w:tcMar>
              <w:top w:w="0" w:type="dxa"/>
              <w:left w:w="108" w:type="dxa"/>
              <w:bottom w:w="0" w:type="dxa"/>
              <w:right w:w="108" w:type="dxa"/>
            </w:tcMar>
          </w:tcPr>
          <w:p w14:paraId="213AEAB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1.</w:t>
            </w:r>
          </w:p>
        </w:tc>
        <w:tc>
          <w:tcPr>
            <w:tcW w:w="2359" w:type="dxa"/>
            <w:tcBorders>
              <w:top w:val="single" w:sz="6" w:space="0" w:color="000000"/>
            </w:tcBorders>
            <w:tcMar>
              <w:top w:w="0" w:type="dxa"/>
              <w:left w:w="108" w:type="dxa"/>
              <w:bottom w:w="0" w:type="dxa"/>
              <w:right w:w="108" w:type="dxa"/>
            </w:tcMar>
            <w:vAlign w:val="center"/>
          </w:tcPr>
          <w:p w14:paraId="6C4BEF8F" w14:textId="77777777" w:rsidR="00EB063F" w:rsidRPr="00EB063F" w:rsidRDefault="00EB063F" w:rsidP="00EB063F">
            <w:pPr>
              <w:tabs>
                <w:tab w:val="clear" w:pos="567"/>
                <w:tab w:val="left" w:pos="1296"/>
              </w:tabs>
              <w:spacing w:line="240" w:lineRule="auto"/>
              <w:jc w:val="center"/>
              <w:rPr>
                <w:szCs w:val="22"/>
              </w:rPr>
            </w:pPr>
            <w:r w:rsidRPr="00EB063F">
              <w:rPr>
                <w:rFonts w:eastAsia="MS Mincho"/>
                <w:noProof/>
                <w:szCs w:val="22"/>
                <w:lang w:val="lt-LT" w:eastAsia="lt-LT"/>
              </w:rPr>
              <w:drawing>
                <wp:inline distT="0" distB="0" distL="0" distR="0" wp14:anchorId="01FFFE9C" wp14:editId="54D75E45">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701" w:type="dxa"/>
            <w:tcBorders>
              <w:top w:val="single" w:sz="6" w:space="0" w:color="000000"/>
            </w:tcBorders>
            <w:tcMar>
              <w:top w:w="0" w:type="dxa"/>
              <w:left w:w="108" w:type="dxa"/>
              <w:bottom w:w="0" w:type="dxa"/>
              <w:right w:w="108" w:type="dxa"/>
            </w:tcMar>
          </w:tcPr>
          <w:p w14:paraId="383222C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2.</w:t>
            </w:r>
          </w:p>
        </w:tc>
        <w:tc>
          <w:tcPr>
            <w:tcW w:w="2418" w:type="dxa"/>
            <w:tcBorders>
              <w:top w:val="single" w:sz="6" w:space="0" w:color="000000"/>
            </w:tcBorders>
            <w:tcMar>
              <w:top w:w="0" w:type="dxa"/>
              <w:left w:w="108" w:type="dxa"/>
              <w:bottom w:w="0" w:type="dxa"/>
              <w:right w:w="108" w:type="dxa"/>
            </w:tcMar>
            <w:vAlign w:val="center"/>
          </w:tcPr>
          <w:p w14:paraId="766E1B5D" w14:textId="77777777" w:rsidR="00EB063F" w:rsidRPr="00EB063F" w:rsidRDefault="00EB063F" w:rsidP="00EB063F">
            <w:pPr>
              <w:tabs>
                <w:tab w:val="clear" w:pos="567"/>
                <w:tab w:val="left" w:pos="1296"/>
              </w:tabs>
              <w:spacing w:line="240" w:lineRule="auto"/>
              <w:jc w:val="center"/>
              <w:rPr>
                <w:szCs w:val="22"/>
              </w:rPr>
            </w:pPr>
            <w:r w:rsidRPr="00EB063F">
              <w:rPr>
                <w:rFonts w:eastAsia="MS Mincho"/>
                <w:noProof/>
                <w:szCs w:val="22"/>
                <w:lang w:val="lt-LT" w:eastAsia="lt-LT"/>
              </w:rPr>
              <w:drawing>
                <wp:inline distT="0" distB="0" distL="0" distR="0" wp14:anchorId="65484E5D" wp14:editId="21F339B4">
                  <wp:extent cx="1266825" cy="1266825"/>
                  <wp:effectExtent l="19050" t="19050" r="9525" b="9525"/>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25" w:type="dxa"/>
            <w:tcBorders>
              <w:top w:val="single" w:sz="6" w:space="0" w:color="000000"/>
            </w:tcBorders>
            <w:tcMar>
              <w:top w:w="0" w:type="dxa"/>
              <w:left w:w="108" w:type="dxa"/>
              <w:bottom w:w="0" w:type="dxa"/>
              <w:right w:w="108" w:type="dxa"/>
            </w:tcMar>
          </w:tcPr>
          <w:p w14:paraId="791CB98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3.</w:t>
            </w:r>
          </w:p>
        </w:tc>
        <w:tc>
          <w:tcPr>
            <w:tcW w:w="2268" w:type="dxa"/>
            <w:tcBorders>
              <w:top w:val="single" w:sz="6" w:space="0" w:color="000000"/>
              <w:right w:val="single" w:sz="6" w:space="0" w:color="000000"/>
            </w:tcBorders>
            <w:tcMar>
              <w:top w:w="0" w:type="dxa"/>
              <w:left w:w="108" w:type="dxa"/>
              <w:bottom w:w="0" w:type="dxa"/>
              <w:right w:w="108" w:type="dxa"/>
            </w:tcMar>
            <w:vAlign w:val="center"/>
          </w:tcPr>
          <w:p w14:paraId="5E05EB2C" w14:textId="77777777" w:rsidR="00EB063F" w:rsidRPr="00EB063F" w:rsidRDefault="00EB063F" w:rsidP="00EB063F">
            <w:pPr>
              <w:tabs>
                <w:tab w:val="clear" w:pos="567"/>
                <w:tab w:val="left" w:pos="1296"/>
              </w:tabs>
              <w:spacing w:line="240" w:lineRule="auto"/>
              <w:jc w:val="center"/>
              <w:rPr>
                <w:szCs w:val="22"/>
              </w:rPr>
            </w:pPr>
            <w:r w:rsidRPr="00EB063F">
              <w:rPr>
                <w:rFonts w:eastAsia="MS Mincho"/>
                <w:noProof/>
                <w:szCs w:val="22"/>
                <w:lang w:val="lt-LT" w:eastAsia="lt-LT"/>
              </w:rPr>
              <w:drawing>
                <wp:inline distT="0" distB="0" distL="0" distR="0" wp14:anchorId="0AF961CC" wp14:editId="1C297374">
                  <wp:extent cx="1266825" cy="1266825"/>
                  <wp:effectExtent l="19050" t="19050" r="9525" b="9525"/>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r>
      <w:tr w:rsidR="00EB063F" w:rsidRPr="00EB063F" w14:paraId="2EC2D0DC" w14:textId="77777777" w:rsidTr="001E32CB">
        <w:tc>
          <w:tcPr>
            <w:tcW w:w="2828" w:type="dxa"/>
            <w:gridSpan w:val="2"/>
            <w:tcBorders>
              <w:left w:val="single" w:sz="6" w:space="0" w:color="000000"/>
            </w:tcBorders>
            <w:tcMar>
              <w:top w:w="0" w:type="dxa"/>
              <w:left w:w="108" w:type="dxa"/>
              <w:bottom w:w="0" w:type="dxa"/>
              <w:right w:w="108" w:type="dxa"/>
            </w:tcMar>
          </w:tcPr>
          <w:p w14:paraId="5B467364"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Norėdami atidaryti apsauginį maišelį, plėškite nuo viršaus.</w:t>
            </w:r>
          </w:p>
        </w:tc>
        <w:tc>
          <w:tcPr>
            <w:tcW w:w="3119" w:type="dxa"/>
            <w:gridSpan w:val="2"/>
            <w:tcMar>
              <w:top w:w="0" w:type="dxa"/>
              <w:left w:w="108" w:type="dxa"/>
              <w:bottom w:w="0" w:type="dxa"/>
              <w:right w:w="108" w:type="dxa"/>
            </w:tcMar>
          </w:tcPr>
          <w:p w14:paraId="38C5A69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Plėškite apsauginio maišelio priekį, kad atidengtumėte OLIMEL N12E maišelį. Išmeskite apsauginį maišelį ir deguonį sugeriantį paketėlį.</w:t>
            </w:r>
          </w:p>
        </w:tc>
        <w:tc>
          <w:tcPr>
            <w:tcW w:w="2693" w:type="dxa"/>
            <w:gridSpan w:val="2"/>
            <w:tcBorders>
              <w:right w:val="single" w:sz="6" w:space="0" w:color="000000"/>
            </w:tcBorders>
            <w:tcMar>
              <w:top w:w="0" w:type="dxa"/>
              <w:left w:w="108" w:type="dxa"/>
              <w:bottom w:w="0" w:type="dxa"/>
              <w:right w:w="108" w:type="dxa"/>
            </w:tcMar>
          </w:tcPr>
          <w:p w14:paraId="11957C00"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Ištieskite maišelį ant horizontalaus, švaraus paviršiaus, rankenėle nukreipta į jus.</w:t>
            </w:r>
          </w:p>
        </w:tc>
      </w:tr>
      <w:tr w:rsidR="00EB063F" w:rsidRPr="00EB063F" w14:paraId="465FFBE8" w14:textId="77777777" w:rsidTr="001E32CB">
        <w:tc>
          <w:tcPr>
            <w:tcW w:w="2828" w:type="dxa"/>
            <w:gridSpan w:val="2"/>
            <w:tcBorders>
              <w:left w:val="single" w:sz="6" w:space="0" w:color="000000"/>
            </w:tcBorders>
            <w:tcMar>
              <w:top w:w="0" w:type="dxa"/>
              <w:left w:w="108" w:type="dxa"/>
              <w:bottom w:w="0" w:type="dxa"/>
              <w:right w:w="108" w:type="dxa"/>
            </w:tcMar>
          </w:tcPr>
          <w:p w14:paraId="02D35EFE" w14:textId="77777777" w:rsidR="00EB063F" w:rsidRPr="00EB063F" w:rsidRDefault="00EB063F" w:rsidP="00EB063F">
            <w:pPr>
              <w:tabs>
                <w:tab w:val="clear" w:pos="567"/>
                <w:tab w:val="left" w:pos="1296"/>
              </w:tabs>
              <w:spacing w:line="240" w:lineRule="auto"/>
              <w:jc w:val="center"/>
              <w:rPr>
                <w:szCs w:val="22"/>
                <w:lang w:val="lt-LT" w:eastAsia="lt-LT" w:bidi="lt-LT"/>
              </w:rPr>
            </w:pPr>
          </w:p>
        </w:tc>
        <w:tc>
          <w:tcPr>
            <w:tcW w:w="3119" w:type="dxa"/>
            <w:gridSpan w:val="2"/>
            <w:tcMar>
              <w:top w:w="0" w:type="dxa"/>
              <w:left w:w="108" w:type="dxa"/>
              <w:bottom w:w="0" w:type="dxa"/>
              <w:right w:w="108" w:type="dxa"/>
            </w:tcMar>
          </w:tcPr>
          <w:p w14:paraId="01EFEC4D" w14:textId="77777777" w:rsidR="00EB063F" w:rsidRPr="00EB063F" w:rsidRDefault="00EB063F" w:rsidP="00EB063F">
            <w:pPr>
              <w:tabs>
                <w:tab w:val="clear" w:pos="567"/>
                <w:tab w:val="left" w:pos="1296"/>
              </w:tabs>
              <w:spacing w:line="240" w:lineRule="auto"/>
              <w:jc w:val="center"/>
              <w:rPr>
                <w:szCs w:val="22"/>
                <w:lang w:val="lt-LT" w:eastAsia="lt-LT" w:bidi="lt-LT"/>
              </w:rPr>
            </w:pPr>
          </w:p>
        </w:tc>
        <w:tc>
          <w:tcPr>
            <w:tcW w:w="2693" w:type="dxa"/>
            <w:gridSpan w:val="2"/>
            <w:tcBorders>
              <w:right w:val="single" w:sz="6" w:space="0" w:color="000000"/>
            </w:tcBorders>
            <w:tcMar>
              <w:top w:w="0" w:type="dxa"/>
              <w:left w:w="108" w:type="dxa"/>
              <w:bottom w:w="0" w:type="dxa"/>
              <w:right w:w="108" w:type="dxa"/>
            </w:tcMar>
          </w:tcPr>
          <w:p w14:paraId="6C48F806" w14:textId="77777777" w:rsidR="00EB063F" w:rsidRPr="00EB063F" w:rsidRDefault="00EB063F" w:rsidP="00EB063F">
            <w:pPr>
              <w:tabs>
                <w:tab w:val="clear" w:pos="567"/>
                <w:tab w:val="left" w:pos="1296"/>
              </w:tabs>
              <w:spacing w:line="240" w:lineRule="auto"/>
              <w:jc w:val="center"/>
              <w:rPr>
                <w:szCs w:val="22"/>
                <w:lang w:val="lt-LT" w:eastAsia="lt-LT" w:bidi="lt-LT"/>
              </w:rPr>
            </w:pPr>
          </w:p>
        </w:tc>
      </w:tr>
      <w:tr w:rsidR="00EB063F" w:rsidRPr="00EB063F" w14:paraId="3AFBF0A8" w14:textId="77777777" w:rsidTr="001E32CB">
        <w:trPr>
          <w:cantSplit/>
        </w:trPr>
        <w:tc>
          <w:tcPr>
            <w:tcW w:w="469" w:type="dxa"/>
            <w:tcBorders>
              <w:left w:val="single" w:sz="6" w:space="0" w:color="000000"/>
            </w:tcBorders>
            <w:tcMar>
              <w:top w:w="0" w:type="dxa"/>
              <w:left w:w="108" w:type="dxa"/>
              <w:bottom w:w="0" w:type="dxa"/>
              <w:right w:w="108" w:type="dxa"/>
            </w:tcMar>
          </w:tcPr>
          <w:p w14:paraId="6B4FBDA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4.</w:t>
            </w:r>
          </w:p>
        </w:tc>
        <w:tc>
          <w:tcPr>
            <w:tcW w:w="2359" w:type="dxa"/>
            <w:tcMar>
              <w:top w:w="0" w:type="dxa"/>
              <w:left w:w="108" w:type="dxa"/>
              <w:bottom w:w="0" w:type="dxa"/>
              <w:right w:w="108" w:type="dxa"/>
            </w:tcMar>
            <w:vAlign w:val="center"/>
          </w:tcPr>
          <w:p w14:paraId="6D2CCA92" w14:textId="77777777" w:rsidR="00EB063F" w:rsidRPr="00EB063F" w:rsidRDefault="00EB063F" w:rsidP="00EB063F">
            <w:pPr>
              <w:tabs>
                <w:tab w:val="clear" w:pos="567"/>
                <w:tab w:val="left" w:pos="1296"/>
              </w:tabs>
              <w:spacing w:line="240" w:lineRule="auto"/>
              <w:jc w:val="center"/>
              <w:rPr>
                <w:szCs w:val="22"/>
              </w:rPr>
            </w:pPr>
            <w:r w:rsidRPr="00EB063F">
              <w:rPr>
                <w:rFonts w:eastAsia="MS Mincho"/>
                <w:noProof/>
                <w:szCs w:val="22"/>
                <w:lang w:val="lt-LT" w:eastAsia="lt-LT"/>
              </w:rPr>
              <w:drawing>
                <wp:inline distT="0" distB="0" distL="0" distR="0" wp14:anchorId="7D3EE049" wp14:editId="702F44BB">
                  <wp:extent cx="1266825" cy="1266825"/>
                  <wp:effectExtent l="19050" t="19050" r="9525"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701" w:type="dxa"/>
            <w:tcMar>
              <w:top w:w="0" w:type="dxa"/>
              <w:left w:w="108" w:type="dxa"/>
              <w:bottom w:w="0" w:type="dxa"/>
              <w:right w:w="108" w:type="dxa"/>
            </w:tcMar>
          </w:tcPr>
          <w:p w14:paraId="6A6447BC"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5.</w:t>
            </w:r>
          </w:p>
        </w:tc>
        <w:tc>
          <w:tcPr>
            <w:tcW w:w="2418" w:type="dxa"/>
            <w:tcMar>
              <w:top w:w="0" w:type="dxa"/>
              <w:left w:w="108" w:type="dxa"/>
              <w:bottom w:w="0" w:type="dxa"/>
              <w:right w:w="108" w:type="dxa"/>
            </w:tcMar>
            <w:vAlign w:val="center"/>
          </w:tcPr>
          <w:p w14:paraId="2420EB83" w14:textId="77777777" w:rsidR="00EB063F" w:rsidRPr="00EB063F" w:rsidRDefault="00EB063F" w:rsidP="00EB063F">
            <w:pPr>
              <w:tabs>
                <w:tab w:val="clear" w:pos="567"/>
                <w:tab w:val="left" w:pos="1296"/>
              </w:tabs>
              <w:spacing w:line="240" w:lineRule="auto"/>
              <w:jc w:val="center"/>
              <w:rPr>
                <w:szCs w:val="22"/>
              </w:rPr>
            </w:pPr>
            <w:r w:rsidRPr="00EB063F">
              <w:rPr>
                <w:rFonts w:eastAsia="MS Mincho"/>
                <w:noProof/>
                <w:szCs w:val="22"/>
                <w:lang w:val="lt-LT" w:eastAsia="lt-LT"/>
              </w:rPr>
              <w:drawing>
                <wp:inline distT="0" distB="0" distL="0" distR="0" wp14:anchorId="606CAFA5" wp14:editId="449B3491">
                  <wp:extent cx="1266825" cy="1266825"/>
                  <wp:effectExtent l="19050" t="19050" r="9525"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25" w:type="dxa"/>
            <w:tcMar>
              <w:top w:w="0" w:type="dxa"/>
              <w:left w:w="108" w:type="dxa"/>
              <w:bottom w:w="0" w:type="dxa"/>
              <w:right w:w="108" w:type="dxa"/>
            </w:tcMar>
          </w:tcPr>
          <w:p w14:paraId="1DF7CFDE"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6.</w:t>
            </w:r>
          </w:p>
        </w:tc>
        <w:tc>
          <w:tcPr>
            <w:tcW w:w="2268" w:type="dxa"/>
            <w:tcBorders>
              <w:right w:val="single" w:sz="6" w:space="0" w:color="000000"/>
            </w:tcBorders>
            <w:tcMar>
              <w:top w:w="0" w:type="dxa"/>
              <w:left w:w="108" w:type="dxa"/>
              <w:bottom w:w="0" w:type="dxa"/>
              <w:right w:w="108" w:type="dxa"/>
            </w:tcMar>
            <w:vAlign w:val="center"/>
          </w:tcPr>
          <w:p w14:paraId="46EE31DE" w14:textId="77777777" w:rsidR="00EB063F" w:rsidRPr="00EB063F" w:rsidRDefault="00EB063F" w:rsidP="00EB063F">
            <w:pPr>
              <w:tabs>
                <w:tab w:val="clear" w:pos="567"/>
                <w:tab w:val="left" w:pos="1296"/>
              </w:tabs>
              <w:spacing w:line="240" w:lineRule="auto"/>
              <w:jc w:val="center"/>
              <w:rPr>
                <w:szCs w:val="22"/>
              </w:rPr>
            </w:pPr>
            <w:r w:rsidRPr="00EB063F">
              <w:rPr>
                <w:rFonts w:eastAsia="MS Mincho"/>
                <w:noProof/>
                <w:szCs w:val="22"/>
                <w:lang w:val="lt-LT" w:eastAsia="lt-LT"/>
              </w:rPr>
              <w:drawing>
                <wp:inline distT="0" distB="0" distL="0" distR="0" wp14:anchorId="113C8089" wp14:editId="591BC3C9">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EB063F" w:rsidRPr="00EB063F" w14:paraId="533EA706" w14:textId="77777777" w:rsidTr="001E32CB">
        <w:tc>
          <w:tcPr>
            <w:tcW w:w="2828" w:type="dxa"/>
            <w:gridSpan w:val="2"/>
            <w:tcBorders>
              <w:left w:val="single" w:sz="6" w:space="0" w:color="000000"/>
              <w:bottom w:val="single" w:sz="6" w:space="0" w:color="000000"/>
            </w:tcBorders>
            <w:tcMar>
              <w:top w:w="0" w:type="dxa"/>
              <w:left w:w="108" w:type="dxa"/>
              <w:bottom w:w="0" w:type="dxa"/>
              <w:right w:w="108" w:type="dxa"/>
            </w:tcMar>
          </w:tcPr>
          <w:p w14:paraId="6E4C432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Pakelkite pakabinimo sritį, kad iš viršutinės maišelio dalies pasišalintų tirpalas. Tvirtai sukite viršutinę maišelio dalį, kol visiškai atsivers pertvaros (maždaug per pusę ilgio).</w:t>
            </w:r>
          </w:p>
        </w:tc>
        <w:tc>
          <w:tcPr>
            <w:tcW w:w="3119" w:type="dxa"/>
            <w:gridSpan w:val="2"/>
            <w:tcBorders>
              <w:bottom w:val="single" w:sz="6" w:space="0" w:color="000000"/>
            </w:tcBorders>
            <w:tcMar>
              <w:top w:w="0" w:type="dxa"/>
              <w:left w:w="108" w:type="dxa"/>
              <w:bottom w:w="0" w:type="dxa"/>
              <w:right w:w="108" w:type="dxa"/>
            </w:tcMar>
          </w:tcPr>
          <w:p w14:paraId="7EB94578"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 xml:space="preserve">Sumaišykite maišelio turinį apversdami maišelį bent 3 kartus. </w:t>
            </w:r>
          </w:p>
        </w:tc>
        <w:tc>
          <w:tcPr>
            <w:tcW w:w="2693" w:type="dxa"/>
            <w:gridSpan w:val="2"/>
            <w:tcBorders>
              <w:bottom w:val="single" w:sz="6" w:space="0" w:color="000000"/>
              <w:right w:val="single" w:sz="6" w:space="0" w:color="000000"/>
            </w:tcBorders>
            <w:tcMar>
              <w:top w:w="0" w:type="dxa"/>
              <w:left w:w="108" w:type="dxa"/>
              <w:bottom w:w="0" w:type="dxa"/>
              <w:right w:w="108" w:type="dxa"/>
            </w:tcMar>
          </w:tcPr>
          <w:p w14:paraId="24AB1B2F" w14:textId="77777777" w:rsidR="00EB063F" w:rsidRPr="00EB063F" w:rsidRDefault="00EB063F" w:rsidP="00EB063F">
            <w:pPr>
              <w:tabs>
                <w:tab w:val="clear" w:pos="567"/>
                <w:tab w:val="left" w:pos="1296"/>
              </w:tabs>
              <w:spacing w:line="240" w:lineRule="auto"/>
              <w:jc w:val="center"/>
              <w:rPr>
                <w:szCs w:val="22"/>
                <w:lang w:val="lt-LT" w:eastAsia="lt-LT" w:bidi="lt-LT"/>
              </w:rPr>
            </w:pPr>
            <w:r w:rsidRPr="00EB063F">
              <w:rPr>
                <w:szCs w:val="22"/>
                <w:lang w:val="lt-LT" w:eastAsia="lt-LT" w:bidi="lt-LT"/>
              </w:rPr>
              <w:t>Pakabinkite maišelį. Nuo leidimo angos nusukite apsaugą. Tvirtai įkiškite jungties smaigalį.</w:t>
            </w:r>
          </w:p>
        </w:tc>
      </w:tr>
    </w:tbl>
    <w:p w14:paraId="259A7FED"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bookmarkStart w:id="12" w:name="_ISIW_UH_14"/>
      <w:bookmarkEnd w:id="11"/>
    </w:p>
    <w:p w14:paraId="332A6C68" w14:textId="77777777" w:rsidR="00EB063F" w:rsidRPr="00EB063F" w:rsidRDefault="00EB063F" w:rsidP="00EB063F">
      <w:pPr>
        <w:keepNext/>
        <w:tabs>
          <w:tab w:val="clear" w:pos="567"/>
          <w:tab w:val="left" w:pos="1296"/>
        </w:tabs>
        <w:spacing w:line="240" w:lineRule="auto"/>
        <w:outlineLvl w:val="1"/>
        <w:rPr>
          <w:rFonts w:eastAsia="MS Mincho"/>
          <w:b/>
          <w:bCs/>
          <w:szCs w:val="22"/>
          <w:lang w:val="lt-LT" w:eastAsia="lt-LT" w:bidi="lt-LT"/>
        </w:rPr>
      </w:pPr>
      <w:r w:rsidRPr="00EB063F">
        <w:rPr>
          <w:rFonts w:eastAsia="MS Mincho"/>
          <w:b/>
          <w:bCs/>
          <w:szCs w:val="22"/>
          <w:lang w:val="lt-LT" w:eastAsia="lt-LT" w:bidi="lt-LT"/>
        </w:rPr>
        <w:t>Vartojimas</w:t>
      </w:r>
    </w:p>
    <w:bookmarkEnd w:id="12"/>
    <w:p w14:paraId="7D8DAC4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Tik vienkartiniam vartojimui.</w:t>
      </w:r>
    </w:p>
    <w:p w14:paraId="3F17A345"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08DF68CF"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Vaistą vartokite tik po to, kai suardytos laikinosios pertvaros tarp trijų kamerų ir sumaišytas trijų kamerų turinys.</w:t>
      </w:r>
    </w:p>
    <w:p w14:paraId="7DC47F66"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765860B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Patikrinkite, ar galutinė infuzinė emulsija neišsisluoksniavusi.</w:t>
      </w:r>
    </w:p>
    <w:p w14:paraId="378345A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213737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Atidarius maišelį, jo turinys turi būti suvartojamas nedelsiant. Atidaryto maišelio jokiu būdu negalima palikti vėlesnei infuzijai. Negalima pakartotinai prijungti iš dalies panaudoto maišelio.</w:t>
      </w:r>
    </w:p>
    <w:p w14:paraId="7F41F36C"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02469D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Nejunkite maišelių nuosekliai, kad būtų išvengta oro embolijos dėl pirmame maišelyje esančių dujų.</w:t>
      </w:r>
    </w:p>
    <w:p w14:paraId="2FFD8E2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2D439D0D"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Nesuvartotą vaistą ar atliekas ir visas panaudotas priemones būtina išmesti.</w:t>
      </w:r>
    </w:p>
    <w:p w14:paraId="15ECD39E"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397F0A59" w14:textId="77777777" w:rsidR="00EB063F" w:rsidRPr="00EB063F" w:rsidRDefault="00EB063F" w:rsidP="00EB063F">
      <w:pPr>
        <w:keepNext/>
        <w:tabs>
          <w:tab w:val="clear" w:pos="567"/>
          <w:tab w:val="left" w:pos="1296"/>
        </w:tabs>
        <w:spacing w:line="240" w:lineRule="auto"/>
        <w:outlineLvl w:val="3"/>
        <w:rPr>
          <w:rFonts w:eastAsia="MS Mincho"/>
          <w:i/>
          <w:iCs/>
          <w:szCs w:val="22"/>
          <w:lang w:val="lt-LT" w:eastAsia="lt-LT" w:bidi="lt-LT"/>
        </w:rPr>
      </w:pPr>
      <w:proofErr w:type="spellStart"/>
      <w:r w:rsidRPr="00EB063F">
        <w:rPr>
          <w:rFonts w:eastAsia="MS Mincho"/>
          <w:i/>
          <w:iCs/>
          <w:szCs w:val="22"/>
          <w:lang w:val="lt-LT" w:eastAsia="lt-LT" w:bidi="lt-LT"/>
        </w:rPr>
        <w:t>Ekstravazacija</w:t>
      </w:r>
      <w:proofErr w:type="spellEnd"/>
    </w:p>
    <w:p w14:paraId="59BCC9C7"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Reikia reguliariai stebėti kateterio įvedimo vietą, ar nematyti </w:t>
      </w:r>
      <w:proofErr w:type="spellStart"/>
      <w:r w:rsidRPr="00EB063F">
        <w:rPr>
          <w:rFonts w:eastAsia="MS Mincho"/>
          <w:szCs w:val="22"/>
          <w:lang w:val="lt-LT" w:eastAsia="lt-LT" w:bidi="lt-LT"/>
        </w:rPr>
        <w:t>ekstravazacijos</w:t>
      </w:r>
      <w:proofErr w:type="spellEnd"/>
      <w:r w:rsidRPr="00EB063F">
        <w:rPr>
          <w:rFonts w:eastAsia="MS Mincho"/>
          <w:szCs w:val="22"/>
          <w:lang w:val="lt-LT" w:eastAsia="lt-LT" w:bidi="lt-LT"/>
        </w:rPr>
        <w:t xml:space="preserve"> požymių.</w:t>
      </w:r>
    </w:p>
    <w:p w14:paraId="3A95C224"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1E45B9AB"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Jei nustatoma </w:t>
      </w:r>
      <w:proofErr w:type="spellStart"/>
      <w:r w:rsidRPr="00EB063F">
        <w:rPr>
          <w:rFonts w:eastAsia="MS Mincho"/>
          <w:szCs w:val="22"/>
          <w:lang w:val="lt-LT" w:eastAsia="lt-LT" w:bidi="lt-LT"/>
        </w:rPr>
        <w:t>ekstravazacija</w:t>
      </w:r>
      <w:proofErr w:type="spellEnd"/>
      <w:r w:rsidRPr="00EB063F">
        <w:rPr>
          <w:rFonts w:eastAsia="MS Mincho"/>
          <w:szCs w:val="22"/>
          <w:lang w:val="lt-LT" w:eastAsia="lt-LT" w:bidi="lt-LT"/>
        </w:rPr>
        <w:t>, infuziją reikia nedelsiant nutraukti, bet palikti įvestą kateterį ar kaniulę, kad būtų galima nedelsiant gydyti pacientą. Jeigu galima, per įvestą kateterį / kaniulę reikia atlikti aspiraciją, kad prieš ištraukiant kateterį / kaniulę būtų galima sumažinti į audinius patekusio skysčio kiekį.</w:t>
      </w:r>
    </w:p>
    <w:p w14:paraId="73F09FBF"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712D5F4A" w14:textId="77777777" w:rsidR="00EB063F" w:rsidRPr="00EB063F" w:rsidRDefault="00EB063F" w:rsidP="00EB063F">
      <w:pPr>
        <w:tabs>
          <w:tab w:val="clear" w:pos="567"/>
          <w:tab w:val="left" w:pos="1296"/>
        </w:tabs>
        <w:spacing w:line="240" w:lineRule="auto"/>
        <w:rPr>
          <w:rFonts w:eastAsia="MS Mincho"/>
          <w:szCs w:val="22"/>
          <w:lang w:val="lt-LT" w:eastAsia="lt-LT" w:bidi="lt-LT"/>
        </w:rPr>
      </w:pPr>
      <w:r w:rsidRPr="00EB063F">
        <w:rPr>
          <w:rFonts w:eastAsia="MS Mincho"/>
          <w:szCs w:val="22"/>
          <w:lang w:val="lt-LT" w:eastAsia="lt-LT" w:bidi="lt-LT"/>
        </w:rPr>
        <w:t xml:space="preserve">Atsižvelgiant į tai, koks preparatas išsiliejo į audinius (įskaitant su OLIMEL N12E sumaišytą preparatą ar preparatus, jei tokių yra), ir į sužalojimo stadiją / laipsnį, reikia imtis atitinkamų specifinių </w:t>
      </w:r>
      <w:r w:rsidRPr="00EB063F">
        <w:rPr>
          <w:rFonts w:eastAsia="MS Mincho"/>
          <w:szCs w:val="22"/>
          <w:lang w:val="lt-LT" w:eastAsia="lt-LT" w:bidi="lt-LT"/>
        </w:rPr>
        <w:lastRenderedPageBreak/>
        <w:t xml:space="preserve">priemonių. Gydyti galima </w:t>
      </w:r>
      <w:proofErr w:type="spellStart"/>
      <w:r w:rsidRPr="00EB063F">
        <w:rPr>
          <w:rFonts w:eastAsia="MS Mincho"/>
          <w:szCs w:val="22"/>
          <w:lang w:val="lt-LT" w:eastAsia="lt-LT" w:bidi="lt-LT"/>
        </w:rPr>
        <w:t>nefarmakologiškai</w:t>
      </w:r>
      <w:proofErr w:type="spellEnd"/>
      <w:r w:rsidRPr="00EB063F">
        <w:rPr>
          <w:rFonts w:eastAsia="MS Mincho"/>
          <w:szCs w:val="22"/>
          <w:lang w:val="lt-LT" w:eastAsia="lt-LT" w:bidi="lt-LT"/>
        </w:rPr>
        <w:t xml:space="preserve">, farmakologiškai ir (arba) </w:t>
      </w:r>
      <w:proofErr w:type="spellStart"/>
      <w:r w:rsidRPr="00EB063F">
        <w:rPr>
          <w:rFonts w:eastAsia="MS Mincho"/>
          <w:szCs w:val="22"/>
          <w:lang w:val="lt-LT" w:eastAsia="lt-LT" w:bidi="lt-LT"/>
        </w:rPr>
        <w:t>chirurgiškai</w:t>
      </w:r>
      <w:proofErr w:type="spellEnd"/>
      <w:r w:rsidRPr="00EB063F">
        <w:rPr>
          <w:rFonts w:eastAsia="MS Mincho"/>
          <w:szCs w:val="22"/>
          <w:lang w:val="lt-LT" w:eastAsia="lt-LT" w:bidi="lt-LT"/>
        </w:rPr>
        <w:t xml:space="preserve">. Esant didelei </w:t>
      </w:r>
      <w:proofErr w:type="spellStart"/>
      <w:r w:rsidRPr="00EB063F">
        <w:rPr>
          <w:rFonts w:eastAsia="MS Mincho"/>
          <w:szCs w:val="22"/>
          <w:lang w:val="lt-LT" w:eastAsia="lt-LT" w:bidi="lt-LT"/>
        </w:rPr>
        <w:t>ekstravazacijai</w:t>
      </w:r>
      <w:proofErr w:type="spellEnd"/>
      <w:r w:rsidRPr="00EB063F">
        <w:rPr>
          <w:rFonts w:eastAsia="MS Mincho"/>
          <w:szCs w:val="22"/>
          <w:lang w:val="lt-LT" w:eastAsia="lt-LT" w:bidi="lt-LT"/>
        </w:rPr>
        <w:t>, per pirmąsias 72 valandas rekomenduojama kreiptis į plastikos chirurgą.</w:t>
      </w:r>
    </w:p>
    <w:p w14:paraId="74AD924A"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41D21D30" w14:textId="77777777" w:rsidR="00EB063F" w:rsidRPr="00EB063F" w:rsidRDefault="00EB063F" w:rsidP="00EB063F">
      <w:pPr>
        <w:tabs>
          <w:tab w:val="clear" w:pos="567"/>
          <w:tab w:val="left" w:pos="1296"/>
        </w:tabs>
        <w:spacing w:line="240" w:lineRule="auto"/>
        <w:rPr>
          <w:rFonts w:eastAsia="MS Mincho"/>
          <w:szCs w:val="22"/>
          <w:lang w:val="lt-LT" w:eastAsia="lt-LT" w:bidi="lt-LT"/>
        </w:rPr>
      </w:pPr>
      <w:proofErr w:type="spellStart"/>
      <w:r w:rsidRPr="00EB063F">
        <w:rPr>
          <w:rFonts w:eastAsia="MS Mincho"/>
          <w:szCs w:val="22"/>
          <w:lang w:val="lt-LT" w:eastAsia="lt-LT" w:bidi="lt-LT"/>
        </w:rPr>
        <w:t>Ekstravazacijos</w:t>
      </w:r>
      <w:proofErr w:type="spellEnd"/>
      <w:r w:rsidRPr="00EB063F">
        <w:rPr>
          <w:rFonts w:eastAsia="MS Mincho"/>
          <w:szCs w:val="22"/>
          <w:lang w:val="lt-LT" w:eastAsia="lt-LT" w:bidi="lt-LT"/>
        </w:rPr>
        <w:t xml:space="preserve"> vietą pirmąsias 24 valandas reikia stebėti bent kas 4 valandas, po to – kartą per parą.</w:t>
      </w:r>
    </w:p>
    <w:p w14:paraId="34B6A177" w14:textId="77777777" w:rsidR="00EB063F" w:rsidRPr="00EB063F" w:rsidRDefault="00EB063F" w:rsidP="00EB063F">
      <w:pPr>
        <w:tabs>
          <w:tab w:val="clear" w:pos="567"/>
          <w:tab w:val="left" w:pos="1296"/>
        </w:tabs>
        <w:spacing w:line="240" w:lineRule="auto"/>
        <w:rPr>
          <w:rFonts w:eastAsia="MS Mincho"/>
          <w:szCs w:val="22"/>
          <w:lang w:val="lt-LT" w:eastAsia="lt-LT" w:bidi="lt-LT"/>
        </w:rPr>
      </w:pPr>
    </w:p>
    <w:p w14:paraId="5D5D22B4" w14:textId="77777777" w:rsidR="00EB063F" w:rsidRPr="00EB063F" w:rsidRDefault="00EB063F" w:rsidP="00EB063F">
      <w:pPr>
        <w:tabs>
          <w:tab w:val="clear" w:pos="567"/>
          <w:tab w:val="left" w:pos="1296"/>
        </w:tabs>
        <w:spacing w:line="240" w:lineRule="auto"/>
        <w:rPr>
          <w:szCs w:val="22"/>
        </w:rPr>
      </w:pPr>
      <w:r w:rsidRPr="00EB063F">
        <w:rPr>
          <w:rFonts w:eastAsia="MS Mincho"/>
          <w:szCs w:val="22"/>
          <w:lang w:val="lt-LT" w:eastAsia="lt-LT" w:bidi="lt-LT"/>
        </w:rPr>
        <w:t>Infuzijos negalima iš naujo leisti į tą pačią centrinę veną.</w:t>
      </w:r>
    </w:p>
    <w:p w14:paraId="59093060" w14:textId="77777777" w:rsidR="00EB063F" w:rsidRPr="00EB063F" w:rsidRDefault="00EB063F" w:rsidP="00EB063F">
      <w:pPr>
        <w:tabs>
          <w:tab w:val="clear" w:pos="567"/>
          <w:tab w:val="left" w:pos="1296"/>
        </w:tabs>
        <w:spacing w:line="240" w:lineRule="auto"/>
        <w:rPr>
          <w:szCs w:val="22"/>
        </w:rPr>
      </w:pPr>
    </w:p>
    <w:p w14:paraId="5091BCAC" w14:textId="77777777" w:rsidR="00EB063F" w:rsidRPr="00EB063F" w:rsidRDefault="00EB063F" w:rsidP="00EB063F">
      <w:pPr>
        <w:rPr>
          <w:szCs w:val="22"/>
        </w:rPr>
      </w:pPr>
    </w:p>
    <w:p w14:paraId="4EF7A06E" w14:textId="77777777" w:rsidR="00222FED" w:rsidRPr="00EB063F" w:rsidRDefault="00222FED" w:rsidP="00EB063F">
      <w:pPr>
        <w:rPr>
          <w:szCs w:val="22"/>
        </w:rPr>
      </w:pPr>
    </w:p>
    <w:sectPr w:rsidR="00222FED" w:rsidRPr="00EB063F" w:rsidSect="00EB063F">
      <w:headerReference w:type="default" r:id="rId12"/>
      <w:footerReference w:type="default" r:id="rId13"/>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2F1" w14:textId="77777777" w:rsidR="00EB063F" w:rsidRDefault="00EB063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E2D1" w14:textId="77777777" w:rsidR="00EB063F" w:rsidRDefault="00EB0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2A6"/>
    <w:multiLevelType w:val="hybridMultilevel"/>
    <w:tmpl w:val="3F88B354"/>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2A3E30"/>
    <w:multiLevelType w:val="multilevel"/>
    <w:tmpl w:val="04FCA54A"/>
    <w:lvl w:ilvl="0">
      <w:start w:val="1"/>
      <w:numFmt w:val="lower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940611"/>
    <w:multiLevelType w:val="multilevel"/>
    <w:tmpl w:val="E990C79E"/>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DEE23ED"/>
    <w:multiLevelType w:val="hybridMultilevel"/>
    <w:tmpl w:val="3F94A0AC"/>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475216"/>
    <w:multiLevelType w:val="hybridMultilevel"/>
    <w:tmpl w:val="3754F9F4"/>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B04A25"/>
    <w:multiLevelType w:val="hybridMultilevel"/>
    <w:tmpl w:val="5FEA1854"/>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BD55AB"/>
    <w:multiLevelType w:val="hybridMultilevel"/>
    <w:tmpl w:val="D31EBCF4"/>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FCB7F98"/>
    <w:multiLevelType w:val="multilevel"/>
    <w:tmpl w:val="7AA8DE50"/>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87F725C"/>
    <w:multiLevelType w:val="hybridMultilevel"/>
    <w:tmpl w:val="1848F62E"/>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18E6CCA"/>
    <w:multiLevelType w:val="multilevel"/>
    <w:tmpl w:val="A7D2D71C"/>
    <w:styleLink w:val="LFO1"/>
    <w:lvl w:ilvl="0">
      <w:numFmt w:val="bullet"/>
      <w:pStyle w:val="Sraassuenkleliai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BB20CD7"/>
    <w:multiLevelType w:val="hybridMultilevel"/>
    <w:tmpl w:val="506EEE9A"/>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EAD4ADC"/>
    <w:multiLevelType w:val="multilevel"/>
    <w:tmpl w:val="04FCA54A"/>
    <w:lvl w:ilvl="0">
      <w:start w:val="1"/>
      <w:numFmt w:val="lower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0FE3882"/>
    <w:multiLevelType w:val="multilevel"/>
    <w:tmpl w:val="0C080E6C"/>
    <w:styleLink w:val="LFO3"/>
    <w:lvl w:ilvl="0">
      <w:start w:val="1"/>
      <w:numFmt w:val="lowerLetter"/>
      <w:pStyle w:val="TableFootnote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4C777A0"/>
    <w:multiLevelType w:val="multilevel"/>
    <w:tmpl w:val="04FCA54A"/>
    <w:lvl w:ilvl="0">
      <w:start w:val="1"/>
      <w:numFmt w:val="lower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6050A5A"/>
    <w:multiLevelType w:val="hybridMultilevel"/>
    <w:tmpl w:val="69764F62"/>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0E7BF7"/>
    <w:multiLevelType w:val="multilevel"/>
    <w:tmpl w:val="0966EB12"/>
    <w:styleLink w:val="LFO2"/>
    <w:lvl w:ilvl="0">
      <w:numFmt w:val="bullet"/>
      <w:pStyle w:val="Sraassuenkleliais2"/>
      <w:lvlText w:val="-"/>
      <w:lvlJc w:val="left"/>
      <w:pPr>
        <w:ind w:left="1080" w:hanging="360"/>
      </w:pPr>
      <w:rPr>
        <w:rFonts w:ascii="Times New Roman" w:hAnsi="Times New Roman" w:cs="Times New Roman"/>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96E6BFA"/>
    <w:multiLevelType w:val="hybridMultilevel"/>
    <w:tmpl w:val="43C2F8AC"/>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FA4384"/>
    <w:multiLevelType w:val="multilevel"/>
    <w:tmpl w:val="9F62DB1E"/>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4C21600"/>
    <w:multiLevelType w:val="multilevel"/>
    <w:tmpl w:val="610EDF6A"/>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85E0846"/>
    <w:multiLevelType w:val="multilevel"/>
    <w:tmpl w:val="52448816"/>
    <w:lvl w:ilvl="0">
      <w:numFmt w:val="bullet"/>
      <w:lvlText w:val="-"/>
      <w:lvlJc w:val="left"/>
      <w:pPr>
        <w:ind w:left="36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9EE677C"/>
    <w:multiLevelType w:val="hybridMultilevel"/>
    <w:tmpl w:val="A724AAF2"/>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4651779">
    <w:abstractNumId w:val="9"/>
  </w:num>
  <w:num w:numId="2" w16cid:durableId="613286865">
    <w:abstractNumId w:val="15"/>
  </w:num>
  <w:num w:numId="3" w16cid:durableId="310867493">
    <w:abstractNumId w:val="12"/>
  </w:num>
  <w:num w:numId="4" w16cid:durableId="1065252466">
    <w:abstractNumId w:val="1"/>
  </w:num>
  <w:num w:numId="5" w16cid:durableId="990522111">
    <w:abstractNumId w:val="7"/>
  </w:num>
  <w:num w:numId="6" w16cid:durableId="914048220">
    <w:abstractNumId w:val="18"/>
  </w:num>
  <w:num w:numId="7" w16cid:durableId="283198">
    <w:abstractNumId w:val="19"/>
  </w:num>
  <w:num w:numId="8" w16cid:durableId="1403218007">
    <w:abstractNumId w:val="17"/>
  </w:num>
  <w:num w:numId="9" w16cid:durableId="213084145">
    <w:abstractNumId w:val="2"/>
  </w:num>
  <w:num w:numId="10" w16cid:durableId="1356422809">
    <w:abstractNumId w:val="13"/>
  </w:num>
  <w:num w:numId="11" w16cid:durableId="1623682092">
    <w:abstractNumId w:val="14"/>
  </w:num>
  <w:num w:numId="12" w16cid:durableId="599533331">
    <w:abstractNumId w:val="4"/>
  </w:num>
  <w:num w:numId="13" w16cid:durableId="1084300526">
    <w:abstractNumId w:val="16"/>
  </w:num>
  <w:num w:numId="14" w16cid:durableId="355353908">
    <w:abstractNumId w:val="0"/>
  </w:num>
  <w:num w:numId="15" w16cid:durableId="674964505">
    <w:abstractNumId w:val="5"/>
  </w:num>
  <w:num w:numId="16" w16cid:durableId="508984790">
    <w:abstractNumId w:val="10"/>
  </w:num>
  <w:num w:numId="17" w16cid:durableId="1367212674">
    <w:abstractNumId w:val="20"/>
  </w:num>
  <w:num w:numId="18" w16cid:durableId="1823962164">
    <w:abstractNumId w:val="8"/>
  </w:num>
  <w:num w:numId="19" w16cid:durableId="1004744026">
    <w:abstractNumId w:val="6"/>
  </w:num>
  <w:num w:numId="20" w16cid:durableId="483933534">
    <w:abstractNumId w:val="3"/>
  </w:num>
  <w:num w:numId="21" w16cid:durableId="230820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3F"/>
    <w:rsid w:val="00186EC8"/>
    <w:rsid w:val="00222FED"/>
    <w:rsid w:val="005F173E"/>
    <w:rsid w:val="008B3AD4"/>
    <w:rsid w:val="00984A0A"/>
    <w:rsid w:val="00D047C4"/>
    <w:rsid w:val="00EB063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56AC"/>
  <w15:chartTrackingRefBased/>
  <w15:docId w15:val="{60F265B8-9404-4CF7-A428-625957CA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63F"/>
    <w:pPr>
      <w:tabs>
        <w:tab w:val="left" w:pos="567"/>
      </w:tabs>
      <w:suppressAutoHyphens/>
      <w:autoSpaceDN w:val="0"/>
      <w:snapToGrid w:val="0"/>
      <w:spacing w:after="0" w:line="260" w:lineRule="exact"/>
      <w:textAlignment w:val="baseline"/>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EB0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B0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B06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EB06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063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B063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EB063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EB063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EB063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06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06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063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063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063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B0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0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0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0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0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06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0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06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063F"/>
    <w:rPr>
      <w:i/>
      <w:iCs/>
      <w:color w:val="404040" w:themeColor="text1" w:themeTint="BF"/>
    </w:rPr>
  </w:style>
  <w:style w:type="paragraph" w:styleId="Sraopastraipa">
    <w:name w:val="List Paragraph"/>
    <w:basedOn w:val="prastasis"/>
    <w:uiPriority w:val="34"/>
    <w:qFormat/>
    <w:rsid w:val="00EB063F"/>
    <w:pPr>
      <w:ind w:left="720"/>
      <w:contextualSpacing/>
    </w:pPr>
  </w:style>
  <w:style w:type="character" w:styleId="Rykuspabraukimas">
    <w:name w:val="Intense Emphasis"/>
    <w:basedOn w:val="Numatytasispastraiposriftas"/>
    <w:uiPriority w:val="21"/>
    <w:qFormat/>
    <w:rsid w:val="00EB063F"/>
    <w:rPr>
      <w:i/>
      <w:iCs/>
      <w:color w:val="0F4761" w:themeColor="accent1" w:themeShade="BF"/>
    </w:rPr>
  </w:style>
  <w:style w:type="paragraph" w:styleId="Iskirtacitata">
    <w:name w:val="Intense Quote"/>
    <w:basedOn w:val="prastasis"/>
    <w:next w:val="prastasis"/>
    <w:link w:val="IskirtacitataDiagrama"/>
    <w:uiPriority w:val="30"/>
    <w:qFormat/>
    <w:rsid w:val="00EB0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063F"/>
    <w:rPr>
      <w:i/>
      <w:iCs/>
      <w:color w:val="0F4761" w:themeColor="accent1" w:themeShade="BF"/>
    </w:rPr>
  </w:style>
  <w:style w:type="character" w:styleId="Rykinuoroda">
    <w:name w:val="Intense Reference"/>
    <w:basedOn w:val="Numatytasispastraiposriftas"/>
    <w:uiPriority w:val="32"/>
    <w:qFormat/>
    <w:rsid w:val="00EB063F"/>
    <w:rPr>
      <w:b/>
      <w:bCs/>
      <w:smallCaps/>
      <w:color w:val="0F4761" w:themeColor="accent1" w:themeShade="BF"/>
      <w:spacing w:val="5"/>
    </w:rPr>
  </w:style>
  <w:style w:type="character" w:customStyle="1" w:styleId="Heading1Char">
    <w:name w:val="Heading 1 Char"/>
    <w:rsid w:val="00EB063F"/>
    <w:rPr>
      <w:rFonts w:ascii="Times New Roman" w:eastAsia="SimSun" w:hAnsi="Times New Roman" w:cs="Times New Roman"/>
      <w:b/>
      <w:caps/>
      <w:sz w:val="26"/>
      <w:szCs w:val="20"/>
      <w:lang w:val="en-US"/>
    </w:rPr>
  </w:style>
  <w:style w:type="character" w:customStyle="1" w:styleId="Heading2Char">
    <w:name w:val="Heading 2 Char"/>
    <w:rsid w:val="00EB063F"/>
    <w:rPr>
      <w:rFonts w:ascii="Cambria" w:eastAsia="Times New Roman" w:hAnsi="Cambria" w:cs="Times New Roman"/>
      <w:b/>
      <w:bCs/>
      <w:i/>
      <w:iCs/>
      <w:sz w:val="28"/>
      <w:szCs w:val="28"/>
      <w:lang w:val="en-GB"/>
    </w:rPr>
  </w:style>
  <w:style w:type="character" w:customStyle="1" w:styleId="Heading3Char">
    <w:name w:val="Heading 3 Char"/>
    <w:rsid w:val="00EB063F"/>
    <w:rPr>
      <w:rFonts w:ascii="Cambria" w:eastAsia="Times New Roman" w:hAnsi="Cambria" w:cs="Times New Roman"/>
      <w:b/>
      <w:bCs/>
      <w:sz w:val="26"/>
      <w:szCs w:val="26"/>
      <w:lang w:val="en-GB"/>
    </w:rPr>
  </w:style>
  <w:style w:type="character" w:customStyle="1" w:styleId="Heading4Char">
    <w:name w:val="Heading 4 Char"/>
    <w:rsid w:val="00EB063F"/>
    <w:rPr>
      <w:rFonts w:ascii="Calibri" w:eastAsia="Times New Roman" w:hAnsi="Calibri" w:cs="Times New Roman"/>
      <w:b/>
      <w:bCs/>
      <w:sz w:val="28"/>
      <w:szCs w:val="28"/>
      <w:lang w:val="en-GB"/>
    </w:rPr>
  </w:style>
  <w:style w:type="character" w:customStyle="1" w:styleId="Heading5Char">
    <w:name w:val="Heading 5 Char"/>
    <w:rsid w:val="00EB063F"/>
    <w:rPr>
      <w:rFonts w:ascii="Times New Roman" w:eastAsia="SimSun" w:hAnsi="Times New Roman" w:cs="Times New Roman"/>
      <w:sz w:val="20"/>
      <w:szCs w:val="20"/>
      <w:lang w:val="en-GB"/>
    </w:rPr>
  </w:style>
  <w:style w:type="character" w:customStyle="1" w:styleId="Heading6Char">
    <w:name w:val="Heading 6 Char"/>
    <w:rsid w:val="00EB063F"/>
    <w:rPr>
      <w:rFonts w:ascii="Times New Roman" w:eastAsia="SimSun" w:hAnsi="Times New Roman" w:cs="Times New Roman"/>
      <w:i/>
      <w:sz w:val="20"/>
      <w:szCs w:val="20"/>
      <w:lang w:val="en-GB"/>
    </w:rPr>
  </w:style>
  <w:style w:type="character" w:customStyle="1" w:styleId="Heading7Char">
    <w:name w:val="Heading 7 Char"/>
    <w:rsid w:val="00EB063F"/>
    <w:rPr>
      <w:rFonts w:ascii="Times New Roman" w:eastAsia="SimSun" w:hAnsi="Times New Roman" w:cs="Times New Roman"/>
      <w:i/>
      <w:sz w:val="20"/>
      <w:szCs w:val="20"/>
      <w:lang w:val="en-GB"/>
    </w:rPr>
  </w:style>
  <w:style w:type="character" w:customStyle="1" w:styleId="Heading8Char">
    <w:name w:val="Heading 8 Char"/>
    <w:rsid w:val="00EB063F"/>
    <w:rPr>
      <w:rFonts w:ascii="Times New Roman" w:eastAsia="SimSun" w:hAnsi="Times New Roman" w:cs="Times New Roman"/>
      <w:b/>
      <w:i/>
      <w:sz w:val="20"/>
      <w:szCs w:val="20"/>
      <w:lang w:val="en-GB"/>
    </w:rPr>
  </w:style>
  <w:style w:type="character" w:customStyle="1" w:styleId="Heading9Char">
    <w:name w:val="Heading 9 Char"/>
    <w:rsid w:val="00EB063F"/>
    <w:rPr>
      <w:rFonts w:ascii="Times New Roman" w:eastAsia="SimSun" w:hAnsi="Times New Roman" w:cs="Times New Roman"/>
      <w:b/>
      <w:i/>
      <w:sz w:val="20"/>
      <w:szCs w:val="20"/>
      <w:lang w:val="en-GB"/>
    </w:rPr>
  </w:style>
  <w:style w:type="character" w:styleId="Hipersaitas">
    <w:name w:val="Hyperlink"/>
    <w:rsid w:val="00EB063F"/>
    <w:rPr>
      <w:color w:val="0000FF"/>
      <w:u w:val="single"/>
    </w:rPr>
  </w:style>
  <w:style w:type="character" w:styleId="Perirtashipersaitas">
    <w:name w:val="FollowedHyperlink"/>
    <w:rsid w:val="00EB063F"/>
    <w:rPr>
      <w:rFonts w:ascii="Times New Roman" w:hAnsi="Times New Roman" w:cs="Times New Roman"/>
      <w:color w:val="800080"/>
      <w:u w:val="single"/>
    </w:rPr>
  </w:style>
  <w:style w:type="character" w:styleId="Grietas">
    <w:name w:val="Strong"/>
    <w:rsid w:val="00EB063F"/>
    <w:rPr>
      <w:rFonts w:ascii="Times New Roman" w:hAnsi="Times New Roman" w:cs="Times New Roman"/>
      <w:b/>
      <w:bCs/>
    </w:rPr>
  </w:style>
  <w:style w:type="paragraph" w:customStyle="1" w:styleId="msonormal0">
    <w:name w:val="msonormal"/>
    <w:basedOn w:val="prastasis"/>
    <w:rsid w:val="00EB063F"/>
    <w:pPr>
      <w:tabs>
        <w:tab w:val="clear" w:pos="567"/>
      </w:tabs>
      <w:snapToGrid/>
      <w:spacing w:before="100" w:after="100" w:line="240" w:lineRule="auto"/>
    </w:pPr>
    <w:rPr>
      <w:sz w:val="24"/>
      <w:szCs w:val="24"/>
      <w:lang w:val="lt-LT" w:eastAsia="lt-LT"/>
    </w:rPr>
  </w:style>
  <w:style w:type="paragraph" w:styleId="Komentarotekstas">
    <w:name w:val="annotation text"/>
    <w:basedOn w:val="prastasis"/>
    <w:link w:val="KomentarotekstasDiagrama"/>
    <w:rsid w:val="00EB063F"/>
    <w:rPr>
      <w:sz w:val="20"/>
    </w:rPr>
  </w:style>
  <w:style w:type="character" w:customStyle="1" w:styleId="KomentarotekstasDiagrama">
    <w:name w:val="Komentaro tekstas Diagrama"/>
    <w:basedOn w:val="Numatytasispastraiposriftas"/>
    <w:link w:val="Komentarotekstas"/>
    <w:rsid w:val="00EB063F"/>
    <w:rPr>
      <w:rFonts w:eastAsia="Times New Roman"/>
      <w:kern w:val="0"/>
      <w:sz w:val="20"/>
      <w:szCs w:val="20"/>
      <w:lang w:val="en-GB"/>
      <w14:ligatures w14:val="none"/>
    </w:rPr>
  </w:style>
  <w:style w:type="character" w:customStyle="1" w:styleId="CommentTextChar">
    <w:name w:val="Comment Text Char"/>
    <w:rsid w:val="00EB063F"/>
    <w:rPr>
      <w:rFonts w:ascii="Times New Roman" w:eastAsia="Times New Roman" w:hAnsi="Times New Roman" w:cs="Times New Roman"/>
      <w:sz w:val="20"/>
      <w:szCs w:val="20"/>
      <w:lang w:val="en-GB"/>
    </w:rPr>
  </w:style>
  <w:style w:type="paragraph" w:styleId="Antrats">
    <w:name w:val="header"/>
    <w:basedOn w:val="prastasis"/>
    <w:link w:val="AntratsDiagrama"/>
    <w:rsid w:val="00EB063F"/>
    <w:pPr>
      <w:tabs>
        <w:tab w:val="clear" w:pos="567"/>
        <w:tab w:val="center" w:pos="4320"/>
        <w:tab w:val="right" w:pos="8640"/>
      </w:tabs>
      <w:snapToGrid/>
    </w:pPr>
    <w:rPr>
      <w:rFonts w:eastAsia="SimSun"/>
      <w:sz w:val="20"/>
      <w:lang w:eastAsia="zh-CN"/>
    </w:rPr>
  </w:style>
  <w:style w:type="character" w:customStyle="1" w:styleId="AntratsDiagrama">
    <w:name w:val="Antraštės Diagrama"/>
    <w:basedOn w:val="Numatytasispastraiposriftas"/>
    <w:link w:val="Antrats"/>
    <w:rsid w:val="00EB063F"/>
    <w:rPr>
      <w:rFonts w:eastAsia="SimSun"/>
      <w:kern w:val="0"/>
      <w:sz w:val="20"/>
      <w:szCs w:val="20"/>
      <w:lang w:val="en-GB" w:eastAsia="zh-CN"/>
      <w14:ligatures w14:val="none"/>
    </w:rPr>
  </w:style>
  <w:style w:type="character" w:customStyle="1" w:styleId="HeaderChar">
    <w:name w:val="Header Char"/>
    <w:rsid w:val="00EB063F"/>
    <w:rPr>
      <w:rFonts w:ascii="Times New Roman" w:eastAsia="Times New Roman" w:hAnsi="Times New Roman" w:cs="Times New Roman"/>
      <w:szCs w:val="20"/>
      <w:lang w:val="en-GB"/>
    </w:rPr>
  </w:style>
  <w:style w:type="paragraph" w:styleId="Porat">
    <w:name w:val="footer"/>
    <w:basedOn w:val="prastasis"/>
    <w:link w:val="PoratDiagrama"/>
    <w:rsid w:val="00EB063F"/>
    <w:pPr>
      <w:tabs>
        <w:tab w:val="center" w:pos="4536"/>
        <w:tab w:val="right" w:pos="8306"/>
      </w:tabs>
    </w:pPr>
    <w:rPr>
      <w:sz w:val="20"/>
    </w:rPr>
  </w:style>
  <w:style w:type="character" w:customStyle="1" w:styleId="PoratDiagrama">
    <w:name w:val="Poraštė Diagrama"/>
    <w:basedOn w:val="Numatytasispastraiposriftas"/>
    <w:link w:val="Porat"/>
    <w:rsid w:val="00EB063F"/>
    <w:rPr>
      <w:rFonts w:eastAsia="Times New Roman"/>
      <w:kern w:val="0"/>
      <w:sz w:val="20"/>
      <w:szCs w:val="20"/>
      <w:lang w:val="en-GB"/>
      <w14:ligatures w14:val="none"/>
    </w:rPr>
  </w:style>
  <w:style w:type="character" w:customStyle="1" w:styleId="FooterChar">
    <w:name w:val="Footer Char"/>
    <w:rsid w:val="00EB063F"/>
    <w:rPr>
      <w:rFonts w:ascii="Times New Roman" w:eastAsia="Times New Roman" w:hAnsi="Times New Roman" w:cs="Times New Roman"/>
      <w:sz w:val="20"/>
      <w:szCs w:val="20"/>
      <w:lang w:val="en-GB"/>
    </w:rPr>
  </w:style>
  <w:style w:type="paragraph" w:styleId="Dokumentoinaostekstas">
    <w:name w:val="endnote text"/>
    <w:basedOn w:val="prastasis"/>
    <w:link w:val="DokumentoinaostekstasDiagrama"/>
    <w:rsid w:val="00EB063F"/>
    <w:pPr>
      <w:snapToGrid/>
      <w:spacing w:line="240" w:lineRule="auto"/>
    </w:pPr>
    <w:rPr>
      <w:rFonts w:eastAsia="SimSun"/>
      <w:sz w:val="20"/>
    </w:rPr>
  </w:style>
  <w:style w:type="character" w:customStyle="1" w:styleId="DokumentoinaostekstasDiagrama">
    <w:name w:val="Dokumento išnašos tekstas Diagrama"/>
    <w:basedOn w:val="Numatytasispastraiposriftas"/>
    <w:link w:val="Dokumentoinaostekstas"/>
    <w:rsid w:val="00EB063F"/>
    <w:rPr>
      <w:rFonts w:eastAsia="SimSun"/>
      <w:kern w:val="0"/>
      <w:sz w:val="20"/>
      <w:szCs w:val="20"/>
      <w:lang w:val="en-GB"/>
      <w14:ligatures w14:val="none"/>
    </w:rPr>
  </w:style>
  <w:style w:type="character" w:customStyle="1" w:styleId="EndnoteTextChar">
    <w:name w:val="Endnote Text Char"/>
    <w:rsid w:val="00EB063F"/>
    <w:rPr>
      <w:rFonts w:ascii="Times New Roman" w:eastAsia="SimSun" w:hAnsi="Times New Roman" w:cs="Times New Roman"/>
      <w:sz w:val="20"/>
      <w:szCs w:val="20"/>
      <w:lang w:val="en-GB"/>
    </w:rPr>
  </w:style>
  <w:style w:type="paragraph" w:styleId="Sraassuenkleliais">
    <w:name w:val="List Bullet"/>
    <w:basedOn w:val="prastasis"/>
    <w:rsid w:val="00EB063F"/>
    <w:pPr>
      <w:numPr>
        <w:numId w:val="1"/>
      </w:numPr>
      <w:ind w:left="0" w:firstLine="0"/>
    </w:pPr>
  </w:style>
  <w:style w:type="paragraph" w:styleId="Sraassuenkleliais2">
    <w:name w:val="List Bullet 2"/>
    <w:rsid w:val="00EB063F"/>
    <w:pPr>
      <w:numPr>
        <w:numId w:val="2"/>
      </w:numPr>
      <w:suppressAutoHyphens/>
      <w:autoSpaceDN w:val="0"/>
      <w:spacing w:before="60" w:after="60" w:line="360" w:lineRule="exact"/>
      <w:ind w:left="0" w:firstLine="0"/>
      <w:textAlignment w:val="baseline"/>
    </w:pPr>
    <w:rPr>
      <w:rFonts w:eastAsia="MS Mincho"/>
      <w:kern w:val="0"/>
      <w:sz w:val="24"/>
      <w:szCs w:val="24"/>
      <w:lang w:eastAsia="lt-LT" w:bidi="lt-LT"/>
      <w14:ligatures w14:val="none"/>
    </w:rPr>
  </w:style>
  <w:style w:type="character" w:customStyle="1" w:styleId="TitleChar">
    <w:name w:val="Title Char"/>
    <w:rsid w:val="00EB063F"/>
    <w:rPr>
      <w:rFonts w:ascii="Times New Roman" w:eastAsia="SimSun" w:hAnsi="Times New Roman" w:cs="Times New Roman"/>
      <w:b/>
      <w:sz w:val="20"/>
      <w:szCs w:val="20"/>
      <w:lang w:val="en-GB"/>
    </w:rPr>
  </w:style>
  <w:style w:type="paragraph" w:styleId="Pagrindinistekstas">
    <w:name w:val="Body Text"/>
    <w:basedOn w:val="prastasis"/>
    <w:link w:val="PagrindinistekstasDiagrama"/>
    <w:rsid w:val="00EB063F"/>
    <w:pPr>
      <w:tabs>
        <w:tab w:val="clear" w:pos="567"/>
      </w:tabs>
      <w:snapToGrid/>
      <w:spacing w:line="240" w:lineRule="auto"/>
    </w:pPr>
    <w:rPr>
      <w:rFonts w:eastAsia="SimSun"/>
      <w:i/>
      <w:color w:val="008000"/>
      <w:sz w:val="20"/>
    </w:rPr>
  </w:style>
  <w:style w:type="character" w:customStyle="1" w:styleId="PagrindinistekstasDiagrama">
    <w:name w:val="Pagrindinis tekstas Diagrama"/>
    <w:basedOn w:val="Numatytasispastraiposriftas"/>
    <w:link w:val="Pagrindinistekstas"/>
    <w:rsid w:val="00EB063F"/>
    <w:rPr>
      <w:rFonts w:eastAsia="SimSun"/>
      <w:i/>
      <w:color w:val="008000"/>
      <w:kern w:val="0"/>
      <w:sz w:val="20"/>
      <w:szCs w:val="20"/>
      <w:lang w:val="en-GB"/>
      <w14:ligatures w14:val="none"/>
    </w:rPr>
  </w:style>
  <w:style w:type="character" w:customStyle="1" w:styleId="BodyTextChar">
    <w:name w:val="Body Text Char"/>
    <w:rsid w:val="00EB063F"/>
    <w:rPr>
      <w:rFonts w:ascii="Times New Roman" w:eastAsia="SimSun" w:hAnsi="Times New Roman" w:cs="Times New Roman"/>
      <w:i/>
      <w:color w:val="008000"/>
      <w:sz w:val="20"/>
      <w:szCs w:val="20"/>
      <w:lang w:val="en-GB"/>
    </w:rPr>
  </w:style>
  <w:style w:type="paragraph" w:styleId="Pagrindiniotekstotrauka">
    <w:name w:val="Body Text Indent"/>
    <w:basedOn w:val="prastasis"/>
    <w:link w:val="PagrindiniotekstotraukaDiagrama"/>
    <w:rsid w:val="00EB063F"/>
    <w:pPr>
      <w:tabs>
        <w:tab w:val="clear" w:pos="567"/>
      </w:tabs>
      <w:autoSpaceDE w:val="0"/>
      <w:snapToGrid/>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rsid w:val="00EB063F"/>
    <w:rPr>
      <w:rFonts w:eastAsia="SimSun"/>
      <w:kern w:val="0"/>
      <w:sz w:val="20"/>
      <w:szCs w:val="20"/>
      <w:lang w:val="en-GB" w:eastAsia="en-GB"/>
      <w14:ligatures w14:val="none"/>
    </w:rPr>
  </w:style>
  <w:style w:type="character" w:customStyle="1" w:styleId="BodyTextIndentChar">
    <w:name w:val="Body Text Indent Char"/>
    <w:rsid w:val="00EB063F"/>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rsid w:val="00EB063F"/>
    <w:pPr>
      <w:pBdr>
        <w:top w:val="single" w:sz="24" w:space="0" w:color="000000"/>
        <w:left w:val="single" w:sz="24" w:space="3" w:color="000000"/>
        <w:bottom w:val="single" w:sz="24" w:space="1" w:color="000000"/>
        <w:right w:val="single" w:sz="24" w:space="4" w:color="000000"/>
      </w:pBdr>
      <w:autoSpaceDE w:val="0"/>
      <w:snapToGrid/>
      <w:jc w:val="both"/>
    </w:pPr>
    <w:rPr>
      <w:rFonts w:eastAsia="SimSun"/>
      <w:b/>
      <w:bCs/>
      <w:color w:val="0000FF"/>
      <w:sz w:val="20"/>
      <w:u w:val="single"/>
    </w:rPr>
  </w:style>
  <w:style w:type="character" w:customStyle="1" w:styleId="Pagrindinistekstas2Diagrama">
    <w:name w:val="Pagrindinis tekstas 2 Diagrama"/>
    <w:basedOn w:val="Numatytasispastraiposriftas"/>
    <w:link w:val="Pagrindinistekstas2"/>
    <w:rsid w:val="00EB063F"/>
    <w:rPr>
      <w:rFonts w:eastAsia="SimSun"/>
      <w:b/>
      <w:bCs/>
      <w:color w:val="0000FF"/>
      <w:kern w:val="0"/>
      <w:sz w:val="20"/>
      <w:szCs w:val="20"/>
      <w:u w:val="single"/>
      <w:lang w:val="en-GB"/>
      <w14:ligatures w14:val="none"/>
    </w:rPr>
  </w:style>
  <w:style w:type="character" w:customStyle="1" w:styleId="BodyText2Char">
    <w:name w:val="Body Text 2 Char"/>
    <w:rsid w:val="00EB063F"/>
    <w:rPr>
      <w:rFonts w:ascii="Times New Roman" w:eastAsia="SimSun" w:hAnsi="Times New Roman" w:cs="Times New Roman"/>
      <w:b/>
      <w:bCs/>
      <w:color w:val="0000FF"/>
      <w:sz w:val="20"/>
      <w:szCs w:val="20"/>
      <w:u w:val="single"/>
      <w:lang w:val="en-GB"/>
    </w:rPr>
  </w:style>
  <w:style w:type="paragraph" w:styleId="Pagrindinistekstas3">
    <w:name w:val="Body Text 3"/>
    <w:basedOn w:val="prastasis"/>
    <w:link w:val="Pagrindinistekstas3Diagrama"/>
    <w:rsid w:val="00EB063F"/>
    <w:pPr>
      <w:tabs>
        <w:tab w:val="clear" w:pos="567"/>
      </w:tabs>
      <w:autoSpaceDE w:val="0"/>
      <w:snapToGrid/>
      <w:spacing w:line="240" w:lineRule="auto"/>
      <w:jc w:val="both"/>
    </w:pPr>
    <w:rPr>
      <w:rFonts w:eastAsia="SimSun"/>
      <w:color w:val="0000FF"/>
      <w:sz w:val="20"/>
      <w:lang w:eastAsia="en-GB"/>
    </w:rPr>
  </w:style>
  <w:style w:type="character" w:customStyle="1" w:styleId="Pagrindinistekstas3Diagrama">
    <w:name w:val="Pagrindinis tekstas 3 Diagrama"/>
    <w:basedOn w:val="Numatytasispastraiposriftas"/>
    <w:link w:val="Pagrindinistekstas3"/>
    <w:rsid w:val="00EB063F"/>
    <w:rPr>
      <w:rFonts w:eastAsia="SimSun"/>
      <w:color w:val="0000FF"/>
      <w:kern w:val="0"/>
      <w:sz w:val="20"/>
      <w:szCs w:val="20"/>
      <w:lang w:val="en-GB" w:eastAsia="en-GB"/>
      <w14:ligatures w14:val="none"/>
    </w:rPr>
  </w:style>
  <w:style w:type="character" w:customStyle="1" w:styleId="BodyText3Char">
    <w:name w:val="Body Text 3 Char"/>
    <w:rsid w:val="00EB063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EB063F"/>
    <w:pPr>
      <w:pBdr>
        <w:top w:val="single" w:sz="24" w:space="0" w:color="000000"/>
        <w:left w:val="single" w:sz="24" w:space="3" w:color="000000"/>
        <w:bottom w:val="single" w:sz="24" w:space="1" w:color="000000"/>
        <w:right w:val="single" w:sz="24" w:space="4" w:color="000000"/>
      </w:pBdr>
      <w:autoSpaceDE w:val="0"/>
      <w:snapToGrid/>
      <w:ind w:left="1134"/>
      <w:jc w:val="both"/>
    </w:pPr>
    <w:rPr>
      <w:rFonts w:eastAsia="SimSun"/>
      <w:b/>
      <w:bCs/>
      <w:color w:val="0000FF"/>
      <w:sz w:val="20"/>
    </w:rPr>
  </w:style>
  <w:style w:type="character" w:customStyle="1" w:styleId="Pagrindiniotekstotrauka2Diagrama">
    <w:name w:val="Pagrindinio teksto įtrauka 2 Diagrama"/>
    <w:basedOn w:val="Numatytasispastraiposriftas"/>
    <w:link w:val="Pagrindiniotekstotrauka2"/>
    <w:rsid w:val="00EB063F"/>
    <w:rPr>
      <w:rFonts w:eastAsia="SimSun"/>
      <w:b/>
      <w:bCs/>
      <w:color w:val="0000FF"/>
      <w:kern w:val="0"/>
      <w:sz w:val="20"/>
      <w:szCs w:val="20"/>
      <w:lang w:val="en-GB"/>
      <w14:ligatures w14:val="none"/>
    </w:rPr>
  </w:style>
  <w:style w:type="character" w:customStyle="1" w:styleId="BodyTextIndent2Char">
    <w:name w:val="Body Text Indent 2 Char"/>
    <w:rsid w:val="00EB063F"/>
    <w:rPr>
      <w:rFonts w:ascii="Times New Roman" w:eastAsia="SimSun" w:hAnsi="Times New Roman" w:cs="Times New Roman"/>
      <w:b/>
      <w:bCs/>
      <w:color w:val="0000FF"/>
      <w:sz w:val="20"/>
      <w:szCs w:val="20"/>
      <w:lang w:val="en-GB"/>
    </w:rPr>
  </w:style>
  <w:style w:type="paragraph" w:styleId="Pagrindiniotekstotrauka3">
    <w:name w:val="Body Text Indent 3"/>
    <w:basedOn w:val="prastasis"/>
    <w:link w:val="Pagrindiniotekstotrauka3Diagrama"/>
    <w:rsid w:val="00EB063F"/>
    <w:pPr>
      <w:tabs>
        <w:tab w:val="left" w:pos="1134"/>
      </w:tabs>
      <w:autoSpaceDE w:val="0"/>
      <w:snapToGrid/>
      <w:ind w:left="633"/>
      <w:jc w:val="both"/>
    </w:pPr>
    <w:rPr>
      <w:rFonts w:eastAsia="SimSun"/>
      <w:sz w:val="20"/>
      <w:szCs w:val="21"/>
    </w:rPr>
  </w:style>
  <w:style w:type="character" w:customStyle="1" w:styleId="Pagrindiniotekstotrauka3Diagrama">
    <w:name w:val="Pagrindinio teksto įtrauka 3 Diagrama"/>
    <w:basedOn w:val="Numatytasispastraiposriftas"/>
    <w:link w:val="Pagrindiniotekstotrauka3"/>
    <w:rsid w:val="00EB063F"/>
    <w:rPr>
      <w:rFonts w:eastAsia="SimSun"/>
      <w:kern w:val="0"/>
      <w:sz w:val="20"/>
      <w:szCs w:val="21"/>
      <w:lang w:val="en-GB"/>
      <w14:ligatures w14:val="none"/>
    </w:rPr>
  </w:style>
  <w:style w:type="character" w:customStyle="1" w:styleId="BodyTextIndent3Char">
    <w:name w:val="Body Text Indent 3 Char"/>
    <w:rsid w:val="00EB063F"/>
    <w:rPr>
      <w:rFonts w:ascii="Times New Roman" w:eastAsia="SimSun" w:hAnsi="Times New Roman" w:cs="Times New Roman"/>
      <w:sz w:val="20"/>
      <w:szCs w:val="21"/>
      <w:lang w:val="en-GB"/>
    </w:rPr>
  </w:style>
  <w:style w:type="paragraph" w:styleId="Dokumentostruktra">
    <w:name w:val="Document Map"/>
    <w:basedOn w:val="prastasis"/>
    <w:link w:val="DokumentostruktraDiagrama"/>
    <w:rsid w:val="00EB063F"/>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rsid w:val="00EB063F"/>
    <w:rPr>
      <w:rFonts w:ascii="Tahoma" w:eastAsia="SimSun" w:hAnsi="Tahoma"/>
      <w:kern w:val="0"/>
      <w:sz w:val="20"/>
      <w:szCs w:val="20"/>
      <w:shd w:val="clear" w:color="auto" w:fill="000080"/>
      <w:lang w:val="en-GB" w:eastAsia="zh-CN"/>
      <w14:ligatures w14:val="none"/>
    </w:rPr>
  </w:style>
  <w:style w:type="character" w:customStyle="1" w:styleId="DocumentMapChar">
    <w:name w:val="Document Map Char"/>
    <w:rsid w:val="00EB063F"/>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rsid w:val="00EB063F"/>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EB063F"/>
    <w:rPr>
      <w:rFonts w:ascii="Courier New" w:eastAsia="SimSun" w:hAnsi="Courier New"/>
      <w:kern w:val="0"/>
      <w:sz w:val="20"/>
      <w:szCs w:val="20"/>
      <w:lang w:val="en-US"/>
      <w14:ligatures w14:val="none"/>
    </w:rPr>
  </w:style>
  <w:style w:type="character" w:customStyle="1" w:styleId="PlainTextChar">
    <w:name w:val="Plain Text Char"/>
    <w:rsid w:val="00EB063F"/>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rsid w:val="00EB063F"/>
    <w:rPr>
      <w:b/>
      <w:bCs/>
    </w:rPr>
  </w:style>
  <w:style w:type="character" w:customStyle="1" w:styleId="KomentarotemaDiagrama">
    <w:name w:val="Komentaro tema Diagrama"/>
    <w:basedOn w:val="KomentarotekstasDiagrama"/>
    <w:link w:val="Komentarotema"/>
    <w:rsid w:val="00EB063F"/>
    <w:rPr>
      <w:rFonts w:eastAsia="Times New Roman"/>
      <w:b/>
      <w:bCs/>
      <w:kern w:val="0"/>
      <w:sz w:val="20"/>
      <w:szCs w:val="20"/>
      <w:lang w:val="en-GB"/>
      <w14:ligatures w14:val="none"/>
    </w:rPr>
  </w:style>
  <w:style w:type="character" w:customStyle="1" w:styleId="CommentSubjectChar">
    <w:name w:val="Comment Subject Char"/>
    <w:rsid w:val="00EB063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rsid w:val="00EB063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rsid w:val="00EB063F"/>
    <w:rPr>
      <w:rFonts w:ascii="Tahoma" w:eastAsia="Times New Roman" w:hAnsi="Tahoma"/>
      <w:kern w:val="0"/>
      <w:sz w:val="16"/>
      <w:szCs w:val="16"/>
      <w:lang w:val="en-GB"/>
      <w14:ligatures w14:val="none"/>
    </w:rPr>
  </w:style>
  <w:style w:type="character" w:customStyle="1" w:styleId="BalloonTextChar">
    <w:name w:val="Balloon Text Char"/>
    <w:rsid w:val="00EB063F"/>
    <w:rPr>
      <w:rFonts w:ascii="Tahoma" w:eastAsia="Times New Roman" w:hAnsi="Tahoma" w:cs="Times New Roman"/>
      <w:sz w:val="16"/>
      <w:szCs w:val="16"/>
      <w:lang w:val="en-GB"/>
    </w:rPr>
  </w:style>
  <w:style w:type="paragraph" w:styleId="Pataisymai">
    <w:name w:val="Revision"/>
    <w:rsid w:val="00EB063F"/>
    <w:pPr>
      <w:suppressAutoHyphens/>
      <w:autoSpaceDN w:val="0"/>
      <w:snapToGrid w:val="0"/>
      <w:spacing w:after="0" w:line="240" w:lineRule="auto"/>
      <w:textAlignment w:val="baseline"/>
    </w:pPr>
    <w:rPr>
      <w:rFonts w:eastAsia="Times New Roman"/>
      <w:kern w:val="0"/>
      <w:szCs w:val="20"/>
      <w:lang w:val="en-GB"/>
      <w14:ligatures w14:val="none"/>
    </w:rPr>
  </w:style>
  <w:style w:type="character" w:customStyle="1" w:styleId="BodytextAgencyChar">
    <w:name w:val="Body text (Agency) Char"/>
    <w:rsid w:val="00EB063F"/>
    <w:rPr>
      <w:rFonts w:ascii="Verdana" w:eastAsia="Times New Roman" w:hAnsi="Verdana"/>
      <w:sz w:val="18"/>
      <w:lang w:val="en-GB"/>
    </w:rPr>
  </w:style>
  <w:style w:type="paragraph" w:customStyle="1" w:styleId="BodytextAgency">
    <w:name w:val="Body text (Agency)"/>
    <w:basedOn w:val="prastasis"/>
    <w:rsid w:val="00EB063F"/>
    <w:pPr>
      <w:tabs>
        <w:tab w:val="clear" w:pos="567"/>
      </w:tabs>
      <w:spacing w:after="140" w:line="280" w:lineRule="atLeast"/>
    </w:pPr>
    <w:rPr>
      <w:rFonts w:ascii="Verdana" w:hAnsi="Verdana"/>
      <w:sz w:val="18"/>
      <w:szCs w:val="22"/>
    </w:rPr>
  </w:style>
  <w:style w:type="character" w:customStyle="1" w:styleId="NormalAgencyChar">
    <w:name w:val="Normal (Agency) Char"/>
    <w:rsid w:val="00EB063F"/>
    <w:rPr>
      <w:rFonts w:ascii="Verdana" w:eastAsia="Times New Roman" w:hAnsi="Verdana"/>
      <w:sz w:val="18"/>
      <w:lang w:val="en-GB"/>
    </w:rPr>
  </w:style>
  <w:style w:type="paragraph" w:customStyle="1" w:styleId="NormalAgency">
    <w:name w:val="Normal (Agency)"/>
    <w:rsid w:val="00EB063F"/>
    <w:pPr>
      <w:suppressAutoHyphens/>
      <w:autoSpaceDN w:val="0"/>
      <w:snapToGrid w:val="0"/>
      <w:spacing w:after="0" w:line="240" w:lineRule="auto"/>
      <w:textAlignment w:val="baseline"/>
    </w:pPr>
    <w:rPr>
      <w:rFonts w:ascii="Verdana" w:eastAsia="Times New Roman" w:hAnsi="Verdana"/>
      <w:kern w:val="0"/>
      <w:sz w:val="18"/>
      <w:lang w:val="en-GB"/>
      <w14:ligatures w14:val="none"/>
    </w:rPr>
  </w:style>
  <w:style w:type="paragraph" w:customStyle="1" w:styleId="TabletextrowsAgency">
    <w:name w:val="Table text rows (Agency)"/>
    <w:basedOn w:val="prastasis"/>
    <w:rsid w:val="00EB063F"/>
    <w:pPr>
      <w:tabs>
        <w:tab w:val="clear" w:pos="567"/>
      </w:tabs>
      <w:spacing w:line="280" w:lineRule="exact"/>
    </w:pPr>
    <w:rPr>
      <w:rFonts w:ascii="Verdana" w:hAnsi="Verdana"/>
      <w:sz w:val="18"/>
    </w:rPr>
  </w:style>
  <w:style w:type="paragraph" w:customStyle="1" w:styleId="EMEAEnBodyText">
    <w:name w:val="EMEA En Body Text"/>
    <w:basedOn w:val="prastasis"/>
    <w:rsid w:val="00EB063F"/>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rsid w:val="00EB063F"/>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rsid w:val="00EB063F"/>
    <w:pPr>
      <w:tabs>
        <w:tab w:val="clear" w:pos="720"/>
        <w:tab w:val="left" w:pos="360"/>
      </w:tabs>
      <w:ind w:left="709" w:hanging="425"/>
    </w:pPr>
    <w:rPr>
      <w:sz w:val="22"/>
    </w:rPr>
  </w:style>
  <w:style w:type="paragraph" w:customStyle="1" w:styleId="AHeader3">
    <w:name w:val="AHeader 3"/>
    <w:basedOn w:val="AHeader2"/>
    <w:rsid w:val="00EB063F"/>
    <w:pPr>
      <w:ind w:left="1276" w:hanging="567"/>
    </w:pPr>
  </w:style>
  <w:style w:type="paragraph" w:customStyle="1" w:styleId="AHeader2abc">
    <w:name w:val="AHeader 2 abc"/>
    <w:basedOn w:val="AHeader3"/>
    <w:rsid w:val="00EB063F"/>
    <w:pPr>
      <w:jc w:val="both"/>
    </w:pPr>
    <w:rPr>
      <w:b w:val="0"/>
      <w:bCs w:val="0"/>
    </w:rPr>
  </w:style>
  <w:style w:type="paragraph" w:customStyle="1" w:styleId="AHeader3abc">
    <w:name w:val="AHeader 3 abc"/>
    <w:basedOn w:val="AHeader2abc"/>
    <w:rsid w:val="00EB063F"/>
    <w:pPr>
      <w:ind w:left="1701" w:hanging="425"/>
    </w:pPr>
  </w:style>
  <w:style w:type="paragraph" w:customStyle="1" w:styleId="TableheadingrowsAgency">
    <w:name w:val="Table heading rows (Agency)"/>
    <w:basedOn w:val="BodytextAgency"/>
    <w:rsid w:val="00EB063F"/>
    <w:pPr>
      <w:keepNext/>
      <w:snapToGrid/>
    </w:pPr>
    <w:rPr>
      <w:rFonts w:eastAsia="SimSun" w:cs="Verdana"/>
      <w:b/>
      <w:szCs w:val="18"/>
      <w:lang w:eastAsia="en-GB"/>
    </w:rPr>
  </w:style>
  <w:style w:type="paragraph" w:customStyle="1" w:styleId="Default">
    <w:name w:val="Default"/>
    <w:rsid w:val="00EB063F"/>
    <w:pPr>
      <w:suppressAutoHyphens/>
      <w:autoSpaceDE w:val="0"/>
      <w:autoSpaceDN w:val="0"/>
      <w:spacing w:after="0" w:line="240" w:lineRule="auto"/>
      <w:textAlignment w:val="baseline"/>
    </w:pPr>
    <w:rPr>
      <w:rFonts w:eastAsia="SimSun"/>
      <w:color w:val="000000"/>
      <w:kern w:val="0"/>
      <w:sz w:val="24"/>
      <w:szCs w:val="24"/>
      <w:lang w:val="en-US" w:eastAsia="zh-CN"/>
      <w14:ligatures w14:val="none"/>
    </w:rPr>
  </w:style>
  <w:style w:type="character" w:customStyle="1" w:styleId="BTEMEASMCAChar">
    <w:name w:val="BT EMEA_SMCA Char"/>
    <w:rsid w:val="00EB063F"/>
    <w:rPr>
      <w:rFonts w:ascii="Times New Roman" w:eastAsia="SimSun" w:hAnsi="Times New Roman" w:cs="Times New Roman"/>
    </w:rPr>
  </w:style>
  <w:style w:type="paragraph" w:customStyle="1" w:styleId="BTEMEASMCA">
    <w:name w:val="BT EMEA_SMCA"/>
    <w:basedOn w:val="prastasis"/>
    <w:autoRedefine/>
    <w:rsid w:val="00EB063F"/>
    <w:pPr>
      <w:tabs>
        <w:tab w:val="clear" w:pos="567"/>
      </w:tabs>
      <w:snapToGrid/>
      <w:spacing w:line="240" w:lineRule="auto"/>
    </w:pPr>
    <w:rPr>
      <w:rFonts w:eastAsia="SimSun"/>
      <w:szCs w:val="22"/>
    </w:rPr>
  </w:style>
  <w:style w:type="paragraph" w:customStyle="1" w:styleId="TableCenter">
    <w:name w:val="Table Center"/>
    <w:rsid w:val="00EB063F"/>
    <w:pPr>
      <w:suppressAutoHyphens/>
      <w:autoSpaceDN w:val="0"/>
      <w:spacing w:before="60" w:after="60" w:line="240" w:lineRule="auto"/>
      <w:jc w:val="center"/>
      <w:textAlignment w:val="baseline"/>
    </w:pPr>
    <w:rPr>
      <w:rFonts w:eastAsia="Times New Roman"/>
      <w:kern w:val="0"/>
      <w:sz w:val="20"/>
      <w:szCs w:val="20"/>
      <w:lang w:eastAsia="lt-LT" w:bidi="lt-LT"/>
      <w14:ligatures w14:val="none"/>
    </w:rPr>
  </w:style>
  <w:style w:type="paragraph" w:customStyle="1" w:styleId="TableFootnoteLetter">
    <w:name w:val="Table Footnote Letter"/>
    <w:rsid w:val="00EB063F"/>
    <w:pPr>
      <w:numPr>
        <w:numId w:val="3"/>
      </w:numPr>
      <w:suppressAutoHyphens/>
      <w:autoSpaceDN w:val="0"/>
      <w:spacing w:before="60" w:after="60" w:line="240" w:lineRule="auto"/>
      <w:ind w:left="0" w:firstLine="0"/>
      <w:textAlignment w:val="baseline"/>
    </w:pPr>
    <w:rPr>
      <w:rFonts w:eastAsia="Times New Roman"/>
      <w:kern w:val="0"/>
      <w:sz w:val="20"/>
      <w:szCs w:val="20"/>
      <w:lang w:eastAsia="lt-LT" w:bidi="lt-LT"/>
      <w14:ligatures w14:val="none"/>
    </w:rPr>
  </w:style>
  <w:style w:type="paragraph" w:customStyle="1" w:styleId="TableHead">
    <w:name w:val="Table Head"/>
    <w:rsid w:val="00EB063F"/>
    <w:pPr>
      <w:keepNext/>
      <w:suppressAutoHyphens/>
      <w:autoSpaceDN w:val="0"/>
      <w:spacing w:before="60" w:after="60" w:line="240" w:lineRule="auto"/>
      <w:jc w:val="center"/>
      <w:textAlignment w:val="baseline"/>
    </w:pPr>
    <w:rPr>
      <w:rFonts w:eastAsia="MS Mincho"/>
      <w:b/>
      <w:kern w:val="0"/>
      <w:sz w:val="20"/>
      <w:szCs w:val="20"/>
      <w:lang w:eastAsia="lt-LT" w:bidi="lt-LT"/>
      <w14:ligatures w14:val="none"/>
    </w:rPr>
  </w:style>
  <w:style w:type="character" w:customStyle="1" w:styleId="ParagraphChar">
    <w:name w:val="Paragraph Char"/>
    <w:rsid w:val="00EB063F"/>
    <w:rPr>
      <w:rFonts w:ascii="Times New Roman" w:eastAsia="MS Mincho" w:hAnsi="Times New Roman" w:cs="Times New Roman"/>
      <w:sz w:val="24"/>
      <w:szCs w:val="24"/>
      <w:lang w:bidi="lt-LT"/>
    </w:rPr>
  </w:style>
  <w:style w:type="paragraph" w:customStyle="1" w:styleId="Paragraph">
    <w:name w:val="Paragraph"/>
    <w:rsid w:val="00EB063F"/>
    <w:pPr>
      <w:suppressAutoHyphens/>
      <w:autoSpaceDN w:val="0"/>
      <w:spacing w:before="120" w:after="240" w:line="288" w:lineRule="auto"/>
      <w:textAlignment w:val="baseline"/>
    </w:pPr>
    <w:rPr>
      <w:rFonts w:eastAsia="MS Mincho"/>
      <w:kern w:val="0"/>
      <w:sz w:val="24"/>
      <w:szCs w:val="24"/>
      <w:lang w:bidi="lt-LT"/>
      <w14:ligatures w14:val="none"/>
    </w:rPr>
  </w:style>
  <w:style w:type="paragraph" w:customStyle="1" w:styleId="Heading2Unnumbered">
    <w:name w:val="Heading 2 Unnumbered"/>
    <w:next w:val="Paragraph"/>
    <w:rsid w:val="00EB063F"/>
    <w:pPr>
      <w:keepNext/>
      <w:suppressAutoHyphens/>
      <w:autoSpaceDN w:val="0"/>
      <w:spacing w:before="120" w:after="120" w:line="240" w:lineRule="auto"/>
      <w:textAlignment w:val="baseline"/>
      <w:outlineLvl w:val="1"/>
    </w:pPr>
    <w:rPr>
      <w:rFonts w:eastAsia="MS Mincho"/>
      <w:b/>
      <w:bCs/>
      <w:kern w:val="0"/>
      <w:sz w:val="24"/>
      <w:szCs w:val="24"/>
      <w:lang w:eastAsia="lt-LT" w:bidi="lt-LT"/>
      <w14:ligatures w14:val="none"/>
    </w:rPr>
  </w:style>
  <w:style w:type="paragraph" w:customStyle="1" w:styleId="Heading3Unnumbered">
    <w:name w:val="Heading 3 Unnumbered"/>
    <w:next w:val="Paragraph"/>
    <w:rsid w:val="00EB063F"/>
    <w:pPr>
      <w:keepNext/>
      <w:suppressAutoHyphens/>
      <w:autoSpaceDN w:val="0"/>
      <w:spacing w:before="120" w:after="120" w:line="240" w:lineRule="auto"/>
      <w:textAlignment w:val="baseline"/>
      <w:outlineLvl w:val="2"/>
    </w:pPr>
    <w:rPr>
      <w:rFonts w:eastAsia="MS Mincho"/>
      <w:b/>
      <w:bCs/>
      <w:i/>
      <w:iCs/>
      <w:kern w:val="0"/>
      <w:sz w:val="24"/>
      <w:szCs w:val="24"/>
      <w:lang w:eastAsia="lt-LT" w:bidi="lt-LT"/>
      <w14:ligatures w14:val="none"/>
    </w:rPr>
  </w:style>
  <w:style w:type="paragraph" w:customStyle="1" w:styleId="TableLeft">
    <w:name w:val="Table Left"/>
    <w:rsid w:val="00EB063F"/>
    <w:pPr>
      <w:suppressAutoHyphens/>
      <w:autoSpaceDN w:val="0"/>
      <w:spacing w:before="60" w:after="60" w:line="240" w:lineRule="auto"/>
      <w:textAlignment w:val="baseline"/>
    </w:pPr>
    <w:rPr>
      <w:rFonts w:eastAsia="Times New Roman"/>
      <w:kern w:val="0"/>
      <w:sz w:val="20"/>
      <w:szCs w:val="20"/>
      <w:lang w:eastAsia="lt-LT" w:bidi="lt-LT"/>
      <w14:ligatures w14:val="none"/>
    </w:rPr>
  </w:style>
  <w:style w:type="paragraph" w:customStyle="1" w:styleId="Heading4Unnumbered">
    <w:name w:val="Heading 4 Unnumbered"/>
    <w:next w:val="Paragraph"/>
    <w:rsid w:val="00EB063F"/>
    <w:pPr>
      <w:keepNext/>
      <w:suppressAutoHyphens/>
      <w:autoSpaceDN w:val="0"/>
      <w:spacing w:before="120" w:after="120" w:line="240" w:lineRule="auto"/>
      <w:textAlignment w:val="baseline"/>
      <w:outlineLvl w:val="3"/>
    </w:pPr>
    <w:rPr>
      <w:rFonts w:eastAsia="MS Mincho"/>
      <w:i/>
      <w:iCs/>
      <w:kern w:val="0"/>
      <w:sz w:val="24"/>
      <w:szCs w:val="24"/>
      <w:lang w:eastAsia="lt-LT" w:bidi="lt-LT"/>
      <w14:ligatures w14:val="none"/>
    </w:rPr>
  </w:style>
  <w:style w:type="paragraph" w:customStyle="1" w:styleId="Heading3NoTOC">
    <w:name w:val="Heading 3 No TOC"/>
    <w:next w:val="Paragraph"/>
    <w:rsid w:val="00EB063F"/>
    <w:pPr>
      <w:keepNext/>
      <w:suppressAutoHyphens/>
      <w:autoSpaceDN w:val="0"/>
      <w:spacing w:before="120" w:after="120" w:line="240" w:lineRule="auto"/>
      <w:textAlignment w:val="baseline"/>
    </w:pPr>
    <w:rPr>
      <w:rFonts w:eastAsia="MS Mincho"/>
      <w:b/>
      <w:bCs/>
      <w:i/>
      <w:iCs/>
      <w:kern w:val="0"/>
      <w:sz w:val="24"/>
      <w:szCs w:val="24"/>
      <w:lang w:eastAsia="lt-LT" w:bidi="lt-LT"/>
      <w14:ligatures w14:val="none"/>
    </w:rPr>
  </w:style>
  <w:style w:type="paragraph" w:customStyle="1" w:styleId="TableTitle">
    <w:name w:val="Table Title"/>
    <w:next w:val="Paragraph"/>
    <w:rsid w:val="00EB063F"/>
    <w:pPr>
      <w:keepNext/>
      <w:suppressAutoHyphens/>
      <w:autoSpaceDN w:val="0"/>
      <w:spacing w:before="120" w:after="120" w:line="240" w:lineRule="auto"/>
      <w:jc w:val="center"/>
      <w:textAlignment w:val="baseline"/>
    </w:pPr>
    <w:rPr>
      <w:rFonts w:eastAsia="MS Mincho"/>
      <w:b/>
      <w:bCs/>
      <w:kern w:val="0"/>
      <w:sz w:val="24"/>
      <w:szCs w:val="24"/>
      <w:lang w:eastAsia="lt-LT" w:bidi="lt-LT"/>
      <w14:ligatures w14:val="none"/>
    </w:rPr>
  </w:style>
  <w:style w:type="character" w:styleId="Komentaronuoroda">
    <w:name w:val="annotation reference"/>
    <w:rsid w:val="00EB063F"/>
    <w:rPr>
      <w:sz w:val="16"/>
      <w:szCs w:val="16"/>
    </w:rPr>
  </w:style>
  <w:style w:type="character" w:styleId="Puslapionumeris">
    <w:name w:val="page number"/>
    <w:rsid w:val="00EB063F"/>
    <w:rPr>
      <w:rFonts w:ascii="Times New Roman" w:hAnsi="Times New Roman" w:cs="Times New Roman"/>
    </w:rPr>
  </w:style>
  <w:style w:type="character" w:customStyle="1" w:styleId="tw4winError">
    <w:name w:val="tw4winError"/>
    <w:rsid w:val="00EB063F"/>
    <w:rPr>
      <w:rFonts w:ascii="Courier New" w:hAnsi="Courier New" w:cs="Courier New"/>
      <w:color w:val="00FF00"/>
      <w:sz w:val="40"/>
    </w:rPr>
  </w:style>
  <w:style w:type="character" w:customStyle="1" w:styleId="tw4winTerm">
    <w:name w:val="tw4winTerm"/>
    <w:rsid w:val="00EB063F"/>
    <w:rPr>
      <w:color w:val="0000FF"/>
    </w:rPr>
  </w:style>
  <w:style w:type="character" w:customStyle="1" w:styleId="tw4winPopup">
    <w:name w:val="tw4winPopup"/>
    <w:rsid w:val="00EB063F"/>
    <w:rPr>
      <w:rFonts w:ascii="Courier New" w:hAnsi="Courier New" w:cs="Courier New"/>
      <w:color w:val="008000"/>
    </w:rPr>
  </w:style>
  <w:style w:type="character" w:customStyle="1" w:styleId="tw4winJump">
    <w:name w:val="tw4winJump"/>
    <w:rsid w:val="00EB063F"/>
    <w:rPr>
      <w:rFonts w:ascii="Courier New" w:hAnsi="Courier New" w:cs="Courier New"/>
      <w:color w:val="008080"/>
    </w:rPr>
  </w:style>
  <w:style w:type="character" w:customStyle="1" w:styleId="tw4winExternal">
    <w:name w:val="tw4winExternal"/>
    <w:rsid w:val="00EB063F"/>
    <w:rPr>
      <w:rFonts w:ascii="Courier New" w:hAnsi="Courier New" w:cs="Courier New"/>
      <w:color w:val="808080"/>
    </w:rPr>
  </w:style>
  <w:style w:type="character" w:customStyle="1" w:styleId="tw4winInternal">
    <w:name w:val="tw4winInternal"/>
    <w:rsid w:val="00EB063F"/>
    <w:rPr>
      <w:rFonts w:ascii="Courier New" w:hAnsi="Courier New" w:cs="Courier New"/>
      <w:color w:val="FF0000"/>
    </w:rPr>
  </w:style>
  <w:style w:type="character" w:customStyle="1" w:styleId="DONOTTRANSLATE">
    <w:name w:val="DO_NOT_TRANSLATE"/>
    <w:rsid w:val="00EB063F"/>
    <w:rPr>
      <w:rFonts w:ascii="Courier New" w:hAnsi="Courier New" w:cs="Courier New"/>
      <w:color w:val="800000"/>
    </w:rPr>
  </w:style>
  <w:style w:type="character" w:customStyle="1" w:styleId="tw4winMark">
    <w:name w:val="tw4winMark"/>
    <w:rsid w:val="00EB063F"/>
    <w:rPr>
      <w:rFonts w:ascii="Courier New" w:hAnsi="Courier New" w:cs="Courier New"/>
      <w:vanish/>
      <w:color w:val="800080"/>
      <w:position w:val="0"/>
      <w:sz w:val="24"/>
      <w:vertAlign w:val="subscript"/>
    </w:rPr>
  </w:style>
  <w:style w:type="character" w:customStyle="1" w:styleId="HeaderChar1">
    <w:name w:val="Header Char1"/>
    <w:rsid w:val="00EB063F"/>
    <w:rPr>
      <w:rFonts w:ascii="Times New Roman" w:eastAsia="SimSun" w:hAnsi="Times New Roman" w:cs="Times New Roman"/>
      <w:sz w:val="20"/>
      <w:szCs w:val="20"/>
      <w:lang w:val="en-GB" w:eastAsia="zh-CN"/>
    </w:rPr>
  </w:style>
  <w:style w:type="character" w:customStyle="1" w:styleId="CharChar12">
    <w:name w:val="Char Char12"/>
    <w:rsid w:val="00EB063F"/>
    <w:rPr>
      <w:lang w:val="en-GB" w:eastAsia="en-US" w:bidi="ar-SA"/>
    </w:rPr>
  </w:style>
  <w:style w:type="numbering" w:customStyle="1" w:styleId="LFO1">
    <w:name w:val="LFO1"/>
    <w:basedOn w:val="Sraonra"/>
    <w:rsid w:val="00EB063F"/>
    <w:pPr>
      <w:numPr>
        <w:numId w:val="1"/>
      </w:numPr>
    </w:pPr>
  </w:style>
  <w:style w:type="numbering" w:customStyle="1" w:styleId="LFO2">
    <w:name w:val="LFO2"/>
    <w:basedOn w:val="Sraonra"/>
    <w:rsid w:val="00EB063F"/>
    <w:pPr>
      <w:numPr>
        <w:numId w:val="2"/>
      </w:numPr>
    </w:pPr>
  </w:style>
  <w:style w:type="numbering" w:customStyle="1" w:styleId="LFO3">
    <w:name w:val="LFO3"/>
    <w:basedOn w:val="Sraonra"/>
    <w:rsid w:val="00EB063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vapris.vvkt.lt/vvkt-web/public/medications"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25991</Words>
  <Characters>14816</Characters>
  <Application>Microsoft Office Word</Application>
  <DocSecurity>0</DocSecurity>
  <Lines>123</Lines>
  <Paragraphs>81</Paragraphs>
  <ScaleCrop>false</ScaleCrop>
  <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2026-03-19T07:29:00Z</dcterms:created>
  <dcterms:modified xsi:type="dcterms:W3CDTF">2026-03-19T07:30:00Z</dcterms:modified>
</cp:coreProperties>
</file>