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9BE9B" w14:textId="77777777" w:rsidR="00DF0DF8" w:rsidRPr="001839C2" w:rsidRDefault="00DF0DF8" w:rsidP="002A5F50">
      <w:pPr>
        <w:widowControl w:val="0"/>
        <w:tabs>
          <w:tab w:val="clear" w:pos="567"/>
        </w:tabs>
        <w:rPr>
          <w:color w:val="008000"/>
          <w:lang w:val="lt-LT"/>
        </w:rPr>
      </w:pPr>
    </w:p>
    <w:p w14:paraId="29A231AD" w14:textId="77777777" w:rsidR="00DF0DF8" w:rsidRPr="001839C2" w:rsidRDefault="00DF0DF8" w:rsidP="002A5F50">
      <w:pPr>
        <w:outlineLvl w:val="0"/>
        <w:rPr>
          <w:b/>
          <w:lang w:val="lt-LT"/>
        </w:rPr>
      </w:pPr>
    </w:p>
    <w:p w14:paraId="4E588CF1" w14:textId="77777777" w:rsidR="00DF0DF8" w:rsidRPr="001839C2" w:rsidRDefault="00DF0DF8" w:rsidP="002A5F50">
      <w:pPr>
        <w:outlineLvl w:val="0"/>
        <w:rPr>
          <w:b/>
          <w:lang w:val="lt-LT"/>
        </w:rPr>
      </w:pPr>
    </w:p>
    <w:p w14:paraId="3623E440" w14:textId="77777777" w:rsidR="00DF0DF8" w:rsidRPr="001839C2" w:rsidRDefault="00DF0DF8" w:rsidP="002A5F50">
      <w:pPr>
        <w:outlineLvl w:val="0"/>
        <w:rPr>
          <w:b/>
          <w:lang w:val="lt-LT"/>
        </w:rPr>
      </w:pPr>
    </w:p>
    <w:p w14:paraId="19F837E7" w14:textId="77777777" w:rsidR="00DF0DF8" w:rsidRPr="001839C2" w:rsidRDefault="00DF0DF8" w:rsidP="002A5F50">
      <w:pPr>
        <w:outlineLvl w:val="0"/>
        <w:rPr>
          <w:b/>
          <w:lang w:val="lt-LT"/>
        </w:rPr>
      </w:pPr>
    </w:p>
    <w:p w14:paraId="62856BC9" w14:textId="77777777" w:rsidR="00DF0DF8" w:rsidRPr="001839C2" w:rsidRDefault="00DF0DF8" w:rsidP="002A5F50">
      <w:pPr>
        <w:tabs>
          <w:tab w:val="left" w:pos="-1440"/>
          <w:tab w:val="left" w:pos="-720"/>
        </w:tabs>
        <w:rPr>
          <w:b/>
          <w:lang w:val="lt-LT"/>
        </w:rPr>
      </w:pPr>
    </w:p>
    <w:p w14:paraId="3384FA2D" w14:textId="77777777" w:rsidR="00DF0DF8" w:rsidRPr="001839C2" w:rsidRDefault="00DF0DF8" w:rsidP="002A5F50">
      <w:pPr>
        <w:tabs>
          <w:tab w:val="left" w:pos="-1440"/>
          <w:tab w:val="left" w:pos="-720"/>
        </w:tabs>
        <w:rPr>
          <w:b/>
          <w:lang w:val="lt-LT"/>
        </w:rPr>
      </w:pPr>
    </w:p>
    <w:p w14:paraId="0F7E695E" w14:textId="77777777" w:rsidR="00DF0DF8" w:rsidRPr="001839C2" w:rsidRDefault="00DF0DF8" w:rsidP="002A5F50">
      <w:pPr>
        <w:tabs>
          <w:tab w:val="left" w:pos="-1440"/>
          <w:tab w:val="left" w:pos="-720"/>
        </w:tabs>
        <w:rPr>
          <w:b/>
          <w:lang w:val="lt-LT"/>
        </w:rPr>
      </w:pPr>
    </w:p>
    <w:p w14:paraId="7F9CE687" w14:textId="77777777" w:rsidR="00DF0DF8" w:rsidRPr="001839C2" w:rsidRDefault="00DF0DF8" w:rsidP="002A5F50">
      <w:pPr>
        <w:tabs>
          <w:tab w:val="left" w:pos="-1440"/>
          <w:tab w:val="left" w:pos="-720"/>
        </w:tabs>
        <w:rPr>
          <w:b/>
          <w:lang w:val="lt-LT"/>
        </w:rPr>
      </w:pPr>
    </w:p>
    <w:p w14:paraId="4144CFC4" w14:textId="77777777" w:rsidR="00DF0DF8" w:rsidRPr="001839C2" w:rsidRDefault="00DF0DF8" w:rsidP="002A5F50">
      <w:pPr>
        <w:tabs>
          <w:tab w:val="left" w:pos="-1440"/>
          <w:tab w:val="left" w:pos="-720"/>
        </w:tabs>
        <w:rPr>
          <w:b/>
          <w:lang w:val="lt-LT"/>
        </w:rPr>
      </w:pPr>
    </w:p>
    <w:p w14:paraId="07E35C76" w14:textId="77777777" w:rsidR="00DF0DF8" w:rsidRPr="001839C2" w:rsidRDefault="00DF0DF8" w:rsidP="002A5F50">
      <w:pPr>
        <w:tabs>
          <w:tab w:val="left" w:pos="-1440"/>
          <w:tab w:val="left" w:pos="-720"/>
        </w:tabs>
        <w:rPr>
          <w:b/>
          <w:lang w:val="lt-LT"/>
        </w:rPr>
      </w:pPr>
    </w:p>
    <w:p w14:paraId="385ECE92" w14:textId="77777777" w:rsidR="00DF0DF8" w:rsidRPr="001839C2" w:rsidRDefault="00DF0DF8" w:rsidP="002A5F50">
      <w:pPr>
        <w:tabs>
          <w:tab w:val="left" w:pos="-1440"/>
          <w:tab w:val="left" w:pos="-720"/>
        </w:tabs>
        <w:rPr>
          <w:b/>
          <w:lang w:val="lt-LT"/>
        </w:rPr>
      </w:pPr>
    </w:p>
    <w:p w14:paraId="28277741" w14:textId="77777777" w:rsidR="00DF0DF8" w:rsidRPr="001839C2" w:rsidRDefault="00DF0DF8" w:rsidP="002A5F50">
      <w:pPr>
        <w:tabs>
          <w:tab w:val="left" w:pos="-1440"/>
          <w:tab w:val="left" w:pos="-720"/>
        </w:tabs>
        <w:rPr>
          <w:b/>
          <w:lang w:val="lt-LT"/>
        </w:rPr>
      </w:pPr>
    </w:p>
    <w:p w14:paraId="0D16C5A5" w14:textId="77777777" w:rsidR="00DF0DF8" w:rsidRPr="001839C2" w:rsidRDefault="00DF0DF8" w:rsidP="002A5F50">
      <w:pPr>
        <w:tabs>
          <w:tab w:val="left" w:pos="-1440"/>
          <w:tab w:val="left" w:pos="-720"/>
        </w:tabs>
        <w:rPr>
          <w:b/>
          <w:lang w:val="lt-LT"/>
        </w:rPr>
      </w:pPr>
    </w:p>
    <w:p w14:paraId="3DA8F3ED" w14:textId="77777777" w:rsidR="00DF0DF8" w:rsidRPr="001839C2" w:rsidRDefault="00DF0DF8" w:rsidP="002A5F50">
      <w:pPr>
        <w:tabs>
          <w:tab w:val="left" w:pos="-1440"/>
          <w:tab w:val="left" w:pos="-720"/>
        </w:tabs>
        <w:rPr>
          <w:b/>
          <w:lang w:val="lt-LT"/>
        </w:rPr>
      </w:pPr>
    </w:p>
    <w:p w14:paraId="15A2B2A7" w14:textId="77777777" w:rsidR="00DF0DF8" w:rsidRPr="001839C2" w:rsidRDefault="00DF0DF8" w:rsidP="002A5F50">
      <w:pPr>
        <w:tabs>
          <w:tab w:val="left" w:pos="-1440"/>
          <w:tab w:val="left" w:pos="-720"/>
        </w:tabs>
        <w:rPr>
          <w:b/>
          <w:lang w:val="lt-LT"/>
        </w:rPr>
      </w:pPr>
    </w:p>
    <w:p w14:paraId="1DAC6532" w14:textId="77777777" w:rsidR="00DF0DF8" w:rsidRPr="001839C2" w:rsidRDefault="00DF0DF8" w:rsidP="002A5F50">
      <w:pPr>
        <w:tabs>
          <w:tab w:val="left" w:pos="-1440"/>
          <w:tab w:val="left" w:pos="-720"/>
        </w:tabs>
        <w:rPr>
          <w:b/>
          <w:lang w:val="lt-LT"/>
        </w:rPr>
      </w:pPr>
    </w:p>
    <w:p w14:paraId="79B2EF4D" w14:textId="77777777" w:rsidR="00DF0DF8" w:rsidRPr="001839C2" w:rsidRDefault="00DF0DF8" w:rsidP="002A5F50">
      <w:pPr>
        <w:tabs>
          <w:tab w:val="left" w:pos="-1440"/>
          <w:tab w:val="left" w:pos="-720"/>
        </w:tabs>
        <w:rPr>
          <w:b/>
          <w:lang w:val="lt-LT"/>
        </w:rPr>
      </w:pPr>
    </w:p>
    <w:p w14:paraId="60934964" w14:textId="77777777" w:rsidR="00DF0DF8" w:rsidRPr="001839C2" w:rsidRDefault="00DF0DF8" w:rsidP="002A5F50">
      <w:pPr>
        <w:tabs>
          <w:tab w:val="left" w:pos="-1440"/>
          <w:tab w:val="left" w:pos="-720"/>
        </w:tabs>
        <w:rPr>
          <w:b/>
          <w:lang w:val="lt-LT"/>
        </w:rPr>
      </w:pPr>
    </w:p>
    <w:p w14:paraId="0D737B3D" w14:textId="77777777" w:rsidR="00DF0DF8" w:rsidRPr="001839C2" w:rsidRDefault="00DF0DF8" w:rsidP="002A5F50">
      <w:pPr>
        <w:tabs>
          <w:tab w:val="left" w:pos="-1440"/>
          <w:tab w:val="left" w:pos="-720"/>
        </w:tabs>
        <w:rPr>
          <w:b/>
          <w:lang w:val="lt-LT"/>
        </w:rPr>
      </w:pPr>
    </w:p>
    <w:p w14:paraId="224B9AF2" w14:textId="77777777" w:rsidR="00DF0DF8" w:rsidRPr="001839C2" w:rsidRDefault="00DF0DF8" w:rsidP="002A5F50">
      <w:pPr>
        <w:tabs>
          <w:tab w:val="left" w:pos="-1440"/>
          <w:tab w:val="left" w:pos="-720"/>
        </w:tabs>
        <w:rPr>
          <w:b/>
          <w:lang w:val="lt-LT"/>
        </w:rPr>
      </w:pPr>
    </w:p>
    <w:p w14:paraId="4983E9D7" w14:textId="77777777" w:rsidR="00DF0DF8" w:rsidRPr="001839C2" w:rsidRDefault="00DF0DF8" w:rsidP="002A5F50">
      <w:pPr>
        <w:tabs>
          <w:tab w:val="left" w:pos="-1440"/>
          <w:tab w:val="left" w:pos="-720"/>
        </w:tabs>
        <w:rPr>
          <w:b/>
          <w:lang w:val="lt-LT"/>
        </w:rPr>
      </w:pPr>
    </w:p>
    <w:p w14:paraId="64AEB239" w14:textId="77777777" w:rsidR="00DF0DF8" w:rsidRPr="001839C2" w:rsidRDefault="00DF0DF8" w:rsidP="002A5F50">
      <w:pPr>
        <w:tabs>
          <w:tab w:val="left" w:pos="-1440"/>
          <w:tab w:val="left" w:pos="-720"/>
        </w:tabs>
        <w:rPr>
          <w:b/>
          <w:lang w:val="lt-LT"/>
        </w:rPr>
      </w:pPr>
    </w:p>
    <w:p w14:paraId="1CF81BBC" w14:textId="77777777" w:rsidR="00DF0DF8" w:rsidRPr="001839C2" w:rsidRDefault="00DF0DF8" w:rsidP="00B23597">
      <w:pPr>
        <w:pStyle w:val="Antrat2"/>
        <w:spacing w:before="0" w:after="0"/>
        <w:jc w:val="center"/>
        <w:rPr>
          <w:rFonts w:ascii="Times New Roman" w:hAnsi="Times New Roman"/>
          <w:b w:val="0"/>
          <w:lang w:val="lt-LT"/>
        </w:rPr>
      </w:pPr>
      <w:r w:rsidRPr="001839C2">
        <w:rPr>
          <w:rFonts w:ascii="Times New Roman" w:hAnsi="Times New Roman"/>
          <w:i w:val="0"/>
          <w:sz w:val="22"/>
          <w:lang w:val="lt-LT"/>
        </w:rPr>
        <w:t>I</w:t>
      </w:r>
      <w:r w:rsidR="000F1C75" w:rsidRPr="001839C2">
        <w:rPr>
          <w:rFonts w:ascii="Times New Roman" w:hAnsi="Times New Roman"/>
          <w:i w:val="0"/>
          <w:sz w:val="22"/>
          <w:lang w:val="lt-LT"/>
        </w:rPr>
        <w:t> </w:t>
      </w:r>
      <w:r w:rsidRPr="001839C2">
        <w:rPr>
          <w:rFonts w:ascii="Times New Roman" w:hAnsi="Times New Roman"/>
          <w:i w:val="0"/>
          <w:sz w:val="22"/>
          <w:lang w:val="lt-LT"/>
        </w:rPr>
        <w:t>PRIEDAS</w:t>
      </w:r>
    </w:p>
    <w:p w14:paraId="754CCBC4" w14:textId="77777777" w:rsidR="00DF0DF8" w:rsidRPr="001839C2" w:rsidRDefault="00DF0DF8" w:rsidP="00B23597">
      <w:pPr>
        <w:jc w:val="center"/>
        <w:rPr>
          <w:lang w:val="lt-LT"/>
        </w:rPr>
      </w:pPr>
    </w:p>
    <w:p w14:paraId="1E32218E" w14:textId="77777777" w:rsidR="00DF0DF8" w:rsidRPr="001839C2" w:rsidRDefault="00DF0DF8" w:rsidP="00B23597">
      <w:pPr>
        <w:tabs>
          <w:tab w:val="left" w:pos="-1440"/>
          <w:tab w:val="left" w:pos="-720"/>
        </w:tabs>
        <w:jc w:val="center"/>
        <w:rPr>
          <w:rFonts w:eastAsiaTheme="minorHAnsi"/>
          <w:b/>
          <w:snapToGrid/>
          <w:szCs w:val="22"/>
          <w:lang w:val="lt-LT"/>
        </w:rPr>
      </w:pPr>
      <w:r w:rsidRPr="001839C2">
        <w:rPr>
          <w:b/>
          <w:lang w:val="lt-LT"/>
        </w:rPr>
        <w:t>PREPARATO CHARAKTERISTIKŲ SANTRAUKA</w:t>
      </w:r>
    </w:p>
    <w:p w14:paraId="043E081A" w14:textId="77777777" w:rsidR="00DF0DF8" w:rsidRPr="001839C2" w:rsidRDefault="00DF0DF8" w:rsidP="002A5F50">
      <w:pPr>
        <w:tabs>
          <w:tab w:val="left" w:pos="-1440"/>
          <w:tab w:val="left" w:pos="-720"/>
        </w:tabs>
        <w:rPr>
          <w:lang w:val="lt-LT"/>
        </w:rPr>
      </w:pPr>
      <w:r w:rsidRPr="001839C2">
        <w:rPr>
          <w:lang w:val="lt-LT"/>
        </w:rPr>
        <w:br w:type="page"/>
      </w:r>
    </w:p>
    <w:p w14:paraId="5AC973CF" w14:textId="77777777" w:rsidR="002A5F50" w:rsidRPr="001839C2" w:rsidRDefault="002A5F50" w:rsidP="00230559">
      <w:pPr>
        <w:widowControl w:val="0"/>
        <w:numPr>
          <w:ilvl w:val="0"/>
          <w:numId w:val="29"/>
        </w:numPr>
        <w:tabs>
          <w:tab w:val="left" w:pos="0"/>
        </w:tabs>
        <w:kinsoku w:val="0"/>
        <w:overflowPunct w:val="0"/>
        <w:autoSpaceDE w:val="0"/>
        <w:autoSpaceDN w:val="0"/>
        <w:adjustRightInd w:val="0"/>
        <w:ind w:left="0" w:firstLine="0"/>
        <w:rPr>
          <w:rFonts w:eastAsiaTheme="minorEastAsia"/>
          <w:snapToGrid/>
          <w:szCs w:val="22"/>
          <w:lang w:val="lt-LT" w:eastAsia="en-IN"/>
        </w:rPr>
      </w:pPr>
      <w:r w:rsidRPr="001839C2">
        <w:rPr>
          <w:rFonts w:eastAsiaTheme="minorEastAsia"/>
          <w:b/>
          <w:bCs/>
          <w:snapToGrid/>
          <w:szCs w:val="22"/>
          <w:lang w:val="lt-LT" w:eastAsia="en-IN"/>
        </w:rPr>
        <w:lastRenderedPageBreak/>
        <w:t>VAISTINIO PREPARATO PAVADINIMAS</w:t>
      </w:r>
    </w:p>
    <w:p w14:paraId="7D6CA609"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4C2A9F4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Emtricitabine/Tenofovir disoproxil Accordpharma 200</w:t>
      </w:r>
      <w:r w:rsidR="008006D3" w:rsidRPr="001839C2">
        <w:rPr>
          <w:rFonts w:eastAsiaTheme="minorHAnsi"/>
          <w:snapToGrid/>
          <w:szCs w:val="22"/>
          <w:lang w:val="lt-LT"/>
        </w:rPr>
        <w:t> </w:t>
      </w:r>
      <w:r w:rsidRPr="001839C2">
        <w:rPr>
          <w:rFonts w:eastAsiaTheme="minorHAnsi"/>
          <w:snapToGrid/>
          <w:szCs w:val="22"/>
          <w:lang w:val="lt-LT"/>
        </w:rPr>
        <w:t>mg/245</w:t>
      </w:r>
      <w:r w:rsidR="008006D3" w:rsidRPr="001839C2">
        <w:rPr>
          <w:rFonts w:eastAsiaTheme="minorHAnsi"/>
          <w:snapToGrid/>
          <w:szCs w:val="22"/>
          <w:lang w:val="lt-LT"/>
        </w:rPr>
        <w:t> </w:t>
      </w:r>
      <w:r w:rsidRPr="001839C2">
        <w:rPr>
          <w:rFonts w:eastAsiaTheme="minorHAnsi"/>
          <w:snapToGrid/>
          <w:szCs w:val="22"/>
          <w:lang w:val="lt-LT"/>
        </w:rPr>
        <w:t>mg plėvele dengtos tabletės</w:t>
      </w:r>
      <w:bookmarkStart w:id="0" w:name="_GoBack"/>
      <w:bookmarkEnd w:id="0"/>
    </w:p>
    <w:p w14:paraId="1A2E4CE1"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D480989"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FA2B6A5" w14:textId="77777777" w:rsidR="002A5F50" w:rsidRPr="001839C2" w:rsidRDefault="002A5F50" w:rsidP="00230559">
      <w:pPr>
        <w:widowControl w:val="0"/>
        <w:numPr>
          <w:ilvl w:val="0"/>
          <w:numId w:val="29"/>
        </w:numPr>
        <w:kinsoku w:val="0"/>
        <w:overflowPunct w:val="0"/>
        <w:autoSpaceDE w:val="0"/>
        <w:autoSpaceDN w:val="0"/>
        <w:adjustRightInd w:val="0"/>
        <w:ind w:left="686" w:hanging="686"/>
        <w:outlineLvl w:val="0"/>
        <w:rPr>
          <w:rFonts w:eastAsiaTheme="minorEastAsia"/>
          <w:snapToGrid/>
          <w:szCs w:val="22"/>
          <w:lang w:val="lt-LT" w:eastAsia="en-IN"/>
        </w:rPr>
      </w:pPr>
      <w:r w:rsidRPr="001839C2">
        <w:rPr>
          <w:rFonts w:eastAsiaTheme="minorEastAsia"/>
          <w:b/>
          <w:bCs/>
          <w:snapToGrid/>
          <w:szCs w:val="22"/>
          <w:lang w:val="lt-LT" w:eastAsia="en-IN"/>
        </w:rPr>
        <w:t>KOKYBINĖ IR KIEKYBINĖ SUDĖTIS</w:t>
      </w:r>
    </w:p>
    <w:p w14:paraId="3045A4B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7ACDEDD4" w14:textId="5A641742"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Kiekvienoje plėvele dengtoje tabletėje yra 200</w:t>
      </w:r>
      <w:r w:rsidR="006B530F" w:rsidRPr="001839C2">
        <w:rPr>
          <w:rFonts w:eastAsiaTheme="minorEastAsia"/>
          <w:snapToGrid/>
          <w:szCs w:val="22"/>
          <w:lang w:val="lt-LT" w:eastAsia="en-IN"/>
        </w:rPr>
        <w:t> </w:t>
      </w:r>
      <w:r w:rsidRPr="001839C2">
        <w:rPr>
          <w:rFonts w:eastAsiaTheme="minorEastAsia"/>
          <w:snapToGrid/>
          <w:szCs w:val="22"/>
          <w:lang w:val="lt-LT" w:eastAsia="en-IN"/>
        </w:rPr>
        <w:t>mg emtricitabino ir 245</w:t>
      </w:r>
      <w:r w:rsidR="006B530F" w:rsidRPr="001839C2">
        <w:rPr>
          <w:rFonts w:eastAsiaTheme="minorEastAsia"/>
          <w:snapToGrid/>
          <w:szCs w:val="22"/>
          <w:lang w:val="lt-LT" w:eastAsia="en-IN"/>
        </w:rPr>
        <w:t> </w:t>
      </w:r>
      <w:r w:rsidRPr="001839C2">
        <w:rPr>
          <w:rFonts w:eastAsiaTheme="minorEastAsia"/>
          <w:snapToGrid/>
          <w:szCs w:val="22"/>
          <w:lang w:val="lt-LT" w:eastAsia="en-IN"/>
        </w:rPr>
        <w:t>mg tenofoviro dizoproksilio (</w:t>
      </w:r>
      <w:r w:rsidR="005C04DD" w:rsidRPr="001839C2">
        <w:rPr>
          <w:rFonts w:eastAsiaTheme="minorEastAsia"/>
          <w:snapToGrid/>
          <w:szCs w:val="22"/>
          <w:lang w:val="lt-LT" w:eastAsia="en-IN"/>
        </w:rPr>
        <w:t xml:space="preserve">kas </w:t>
      </w:r>
      <w:r w:rsidRPr="001839C2">
        <w:rPr>
          <w:rFonts w:eastAsiaTheme="minorEastAsia"/>
          <w:snapToGrid/>
          <w:szCs w:val="22"/>
          <w:lang w:val="lt-LT" w:eastAsia="en-IN"/>
        </w:rPr>
        <w:t>atitinka 300</w:t>
      </w:r>
      <w:r w:rsidR="006B530F" w:rsidRPr="001839C2">
        <w:rPr>
          <w:rFonts w:eastAsiaTheme="minorEastAsia"/>
          <w:snapToGrid/>
          <w:szCs w:val="22"/>
          <w:lang w:val="lt-LT" w:eastAsia="en-IN"/>
        </w:rPr>
        <w:t> </w:t>
      </w:r>
      <w:r w:rsidRPr="001839C2">
        <w:rPr>
          <w:rFonts w:eastAsiaTheme="minorEastAsia"/>
          <w:snapToGrid/>
          <w:szCs w:val="22"/>
          <w:lang w:val="lt-LT" w:eastAsia="en-IN"/>
        </w:rPr>
        <w:t>mg tenofoviro dizoproksilio fumarato arba 136</w:t>
      </w:r>
      <w:r w:rsidR="006B530F" w:rsidRPr="001839C2">
        <w:rPr>
          <w:rFonts w:eastAsiaTheme="minorEastAsia"/>
          <w:snapToGrid/>
          <w:szCs w:val="22"/>
          <w:lang w:val="lt-LT" w:eastAsia="en-IN"/>
        </w:rPr>
        <w:t> </w:t>
      </w:r>
      <w:r w:rsidRPr="001839C2">
        <w:rPr>
          <w:rFonts w:eastAsiaTheme="minorEastAsia"/>
          <w:snapToGrid/>
          <w:szCs w:val="22"/>
          <w:lang w:val="lt-LT" w:eastAsia="en-IN"/>
        </w:rPr>
        <w:t>mg tenofoviro).</w:t>
      </w:r>
    </w:p>
    <w:p w14:paraId="4929D1E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467714C" w14:textId="77777777" w:rsidR="00677F06"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Pagalbinė</w:t>
      </w:r>
      <w:r w:rsidR="00E57428" w:rsidRPr="001839C2">
        <w:rPr>
          <w:rFonts w:eastAsiaTheme="minorEastAsia"/>
          <w:snapToGrid/>
          <w:szCs w:val="22"/>
          <w:u w:val="single"/>
          <w:lang w:val="lt-LT" w:eastAsia="en-IN"/>
        </w:rPr>
        <w:t xml:space="preserve"> </w:t>
      </w:r>
      <w:r w:rsidRPr="001839C2">
        <w:rPr>
          <w:rFonts w:eastAsiaTheme="minorEastAsia"/>
          <w:snapToGrid/>
          <w:szCs w:val="22"/>
          <w:u w:val="single"/>
          <w:lang w:val="lt-LT" w:eastAsia="en-IN"/>
        </w:rPr>
        <w:t>medžiaga, kurios poveikis žinomas</w:t>
      </w:r>
      <w:r w:rsidRPr="001839C2">
        <w:rPr>
          <w:rFonts w:eastAsiaTheme="minorEastAsia"/>
          <w:snapToGrid/>
          <w:szCs w:val="22"/>
          <w:lang w:val="lt-LT" w:eastAsia="en-IN"/>
        </w:rPr>
        <w:t xml:space="preserve">: </w:t>
      </w:r>
      <w:r w:rsidR="006B530F" w:rsidRPr="001839C2">
        <w:rPr>
          <w:rFonts w:eastAsiaTheme="minorEastAsia"/>
          <w:snapToGrid/>
          <w:szCs w:val="22"/>
          <w:lang w:val="lt-LT" w:eastAsia="en-IN"/>
        </w:rPr>
        <w:t xml:space="preserve">kiekvienoje </w:t>
      </w:r>
      <w:r w:rsidRPr="001839C2">
        <w:rPr>
          <w:rFonts w:eastAsiaTheme="minorEastAsia"/>
          <w:snapToGrid/>
          <w:szCs w:val="22"/>
          <w:lang w:val="lt-LT" w:eastAsia="en-IN"/>
        </w:rPr>
        <w:t>tabletėje yra 162</w:t>
      </w:r>
      <w:r w:rsidR="006B530F" w:rsidRPr="001839C2">
        <w:rPr>
          <w:rFonts w:eastAsiaTheme="minorEastAsia"/>
          <w:snapToGrid/>
          <w:szCs w:val="22"/>
          <w:lang w:val="lt-LT" w:eastAsia="en-IN"/>
        </w:rPr>
        <w:t> </w:t>
      </w:r>
      <w:r w:rsidRPr="001839C2">
        <w:rPr>
          <w:rFonts w:eastAsiaTheme="minorEastAsia"/>
          <w:snapToGrid/>
          <w:szCs w:val="22"/>
          <w:lang w:val="lt-LT" w:eastAsia="en-IN"/>
        </w:rPr>
        <w:t>mg laktozės (monohidrato pavidalu).</w:t>
      </w:r>
    </w:p>
    <w:p w14:paraId="6F7268A4" w14:textId="77777777" w:rsidR="006B530F" w:rsidRPr="001839C2" w:rsidRDefault="006B530F"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3255B5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Visos pagalbinės medžiagos išvardytos 6.1</w:t>
      </w:r>
      <w:r w:rsidR="000F1C75" w:rsidRPr="001839C2">
        <w:rPr>
          <w:rFonts w:eastAsiaTheme="minorEastAsia"/>
          <w:snapToGrid/>
          <w:szCs w:val="22"/>
          <w:lang w:val="lt-LT" w:eastAsia="en-IN"/>
        </w:rPr>
        <w:t> </w:t>
      </w:r>
      <w:r w:rsidRPr="001839C2">
        <w:rPr>
          <w:rFonts w:eastAsiaTheme="minorEastAsia"/>
          <w:snapToGrid/>
          <w:szCs w:val="22"/>
          <w:lang w:val="lt-LT" w:eastAsia="en-IN"/>
        </w:rPr>
        <w:t>skyriuje.</w:t>
      </w:r>
    </w:p>
    <w:p w14:paraId="1B2D9A2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F80A96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5F0CF2E" w14:textId="77777777" w:rsidR="002A5F50" w:rsidRPr="001839C2" w:rsidRDefault="002A5F50" w:rsidP="00230559">
      <w:pPr>
        <w:widowControl w:val="0"/>
        <w:numPr>
          <w:ilvl w:val="0"/>
          <w:numId w:val="29"/>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FARMACINĖ FORMA</w:t>
      </w:r>
    </w:p>
    <w:p w14:paraId="4248F8F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0484131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Plėvele dengta tabletė.</w:t>
      </w:r>
    </w:p>
    <w:p w14:paraId="59DD40C1"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80A1F6E"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Mėlyn</w:t>
      </w:r>
      <w:r w:rsidR="008E21CA" w:rsidRPr="001839C2">
        <w:rPr>
          <w:rFonts w:eastAsiaTheme="minorEastAsia"/>
          <w:snapToGrid/>
          <w:szCs w:val="22"/>
          <w:lang w:val="lt-LT" w:eastAsia="en-IN"/>
        </w:rPr>
        <w:t>a</w:t>
      </w:r>
      <w:r w:rsidRPr="001839C2">
        <w:rPr>
          <w:rFonts w:eastAsiaTheme="minorEastAsia"/>
          <w:snapToGrid/>
          <w:szCs w:val="22"/>
          <w:lang w:val="lt-LT" w:eastAsia="en-IN"/>
        </w:rPr>
        <w:t>, kapsulės formos</w:t>
      </w:r>
      <w:r w:rsidR="008E21CA" w:rsidRPr="001839C2">
        <w:rPr>
          <w:rFonts w:eastAsiaTheme="minorEastAsia"/>
          <w:snapToGrid/>
          <w:szCs w:val="22"/>
          <w:lang w:val="lt-LT" w:eastAsia="en-IN"/>
        </w:rPr>
        <w:t>,</w:t>
      </w:r>
      <w:r w:rsidRPr="001839C2">
        <w:rPr>
          <w:rFonts w:eastAsiaTheme="minorEastAsia"/>
          <w:snapToGrid/>
          <w:szCs w:val="22"/>
          <w:lang w:val="lt-LT" w:eastAsia="en-IN"/>
        </w:rPr>
        <w:t xml:space="preserve"> </w:t>
      </w:r>
      <w:r w:rsidR="008E21CA" w:rsidRPr="001839C2">
        <w:rPr>
          <w:rFonts w:eastAsiaTheme="minorEastAsia"/>
          <w:snapToGrid/>
          <w:szCs w:val="22"/>
          <w:lang w:val="lt-LT" w:eastAsia="en-IN"/>
        </w:rPr>
        <w:t>apytiksliai</w:t>
      </w:r>
      <w:r w:rsidRPr="001839C2">
        <w:rPr>
          <w:rFonts w:eastAsiaTheme="minorEastAsia"/>
          <w:snapToGrid/>
          <w:szCs w:val="22"/>
          <w:lang w:val="lt-LT" w:eastAsia="en-IN"/>
        </w:rPr>
        <w:t xml:space="preserve"> 19</w:t>
      </w:r>
      <w:r w:rsidR="006B530F" w:rsidRPr="001839C2">
        <w:rPr>
          <w:rFonts w:eastAsiaTheme="minorEastAsia"/>
          <w:snapToGrid/>
          <w:szCs w:val="22"/>
          <w:lang w:val="lt-LT" w:eastAsia="en-IN"/>
        </w:rPr>
        <w:t> </w:t>
      </w:r>
      <w:r w:rsidRPr="001839C2">
        <w:rPr>
          <w:rFonts w:eastAsiaTheme="minorEastAsia"/>
          <w:snapToGrid/>
          <w:szCs w:val="22"/>
          <w:lang w:val="lt-LT" w:eastAsia="en-IN"/>
        </w:rPr>
        <w:t>mm</w:t>
      </w:r>
      <w:r w:rsidR="000F1C75" w:rsidRPr="001839C2">
        <w:rPr>
          <w:rFonts w:eastAsiaTheme="minorEastAsia"/>
          <w:snapToGrid/>
          <w:szCs w:val="22"/>
          <w:lang w:val="lt-LT" w:eastAsia="en-IN"/>
        </w:rPr>
        <w:t> </w:t>
      </w:r>
      <w:r w:rsidRPr="001839C2">
        <w:rPr>
          <w:rFonts w:eastAsiaTheme="minorEastAsia"/>
          <w:snapToGrid/>
          <w:szCs w:val="22"/>
          <w:lang w:val="lt-LT" w:eastAsia="en-IN"/>
        </w:rPr>
        <w:t>x</w:t>
      </w:r>
      <w:r w:rsidR="000F1C75" w:rsidRPr="001839C2">
        <w:rPr>
          <w:rFonts w:eastAsiaTheme="minorEastAsia"/>
          <w:snapToGrid/>
          <w:szCs w:val="22"/>
          <w:lang w:val="lt-LT" w:eastAsia="en-IN"/>
        </w:rPr>
        <w:t> </w:t>
      </w:r>
      <w:r w:rsidRPr="001839C2">
        <w:rPr>
          <w:rFonts w:eastAsiaTheme="minorEastAsia"/>
          <w:snapToGrid/>
          <w:szCs w:val="22"/>
          <w:lang w:val="lt-LT" w:eastAsia="en-IN"/>
        </w:rPr>
        <w:t>9</w:t>
      </w:r>
      <w:r w:rsidR="006B530F" w:rsidRPr="001839C2">
        <w:rPr>
          <w:rFonts w:eastAsiaTheme="minorEastAsia"/>
          <w:snapToGrid/>
          <w:szCs w:val="22"/>
          <w:lang w:val="lt-LT" w:eastAsia="en-IN"/>
        </w:rPr>
        <w:t> </w:t>
      </w:r>
      <w:r w:rsidRPr="001839C2">
        <w:rPr>
          <w:rFonts w:eastAsiaTheme="minorEastAsia"/>
          <w:snapToGrid/>
          <w:szCs w:val="22"/>
          <w:lang w:val="lt-LT" w:eastAsia="en-IN"/>
        </w:rPr>
        <w:t>mm dydžio plėvele dengt</w:t>
      </w:r>
      <w:r w:rsidR="00D53A51" w:rsidRPr="001839C2">
        <w:rPr>
          <w:rFonts w:eastAsiaTheme="minorEastAsia"/>
          <w:snapToGrid/>
          <w:szCs w:val="22"/>
          <w:lang w:val="lt-LT" w:eastAsia="en-IN"/>
        </w:rPr>
        <w:t>a</w:t>
      </w:r>
      <w:r w:rsidRPr="001839C2">
        <w:rPr>
          <w:rFonts w:eastAsiaTheme="minorEastAsia"/>
          <w:snapToGrid/>
          <w:szCs w:val="22"/>
          <w:lang w:val="lt-LT" w:eastAsia="en-IN"/>
        </w:rPr>
        <w:t xml:space="preserve"> tabletė, kuri</w:t>
      </w:r>
      <w:r w:rsidR="00D53A51" w:rsidRPr="001839C2">
        <w:rPr>
          <w:rFonts w:eastAsiaTheme="minorEastAsia"/>
          <w:snapToGrid/>
          <w:szCs w:val="22"/>
          <w:lang w:val="lt-LT" w:eastAsia="en-IN"/>
        </w:rPr>
        <w:t xml:space="preserve">os </w:t>
      </w:r>
      <w:r w:rsidRPr="001839C2">
        <w:rPr>
          <w:rFonts w:eastAsiaTheme="minorEastAsia"/>
          <w:snapToGrid/>
          <w:szCs w:val="22"/>
          <w:lang w:val="lt-LT" w:eastAsia="en-IN"/>
        </w:rPr>
        <w:t>vienoje pusėje įspausta „H“, o kitoje pusėje – „E44“.</w:t>
      </w:r>
    </w:p>
    <w:p w14:paraId="5764875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6A9004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C7C7E4E" w14:textId="77777777" w:rsidR="002A5F50" w:rsidRPr="001839C2" w:rsidRDefault="002A5F50" w:rsidP="00230559">
      <w:pPr>
        <w:widowControl w:val="0"/>
        <w:numPr>
          <w:ilvl w:val="0"/>
          <w:numId w:val="29"/>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KLINIKINĖ INFORMACIJA</w:t>
      </w:r>
    </w:p>
    <w:p w14:paraId="2F06605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22AB8416" w14:textId="77777777" w:rsidR="002A5F50" w:rsidRPr="001839C2" w:rsidRDefault="002A5F50" w:rsidP="00230559">
      <w:pPr>
        <w:widowControl w:val="0"/>
        <w:numPr>
          <w:ilvl w:val="1"/>
          <w:numId w:val="29"/>
        </w:numPr>
        <w:tabs>
          <w:tab w:val="left" w:pos="0"/>
        </w:tabs>
        <w:kinsoku w:val="0"/>
        <w:overflowPunct w:val="0"/>
        <w:autoSpaceDE w:val="0"/>
        <w:autoSpaceDN w:val="0"/>
        <w:adjustRightInd w:val="0"/>
        <w:ind w:left="0" w:firstLine="0"/>
        <w:rPr>
          <w:rFonts w:eastAsiaTheme="minorEastAsia"/>
          <w:snapToGrid/>
          <w:szCs w:val="22"/>
          <w:lang w:val="lt-LT" w:eastAsia="en-IN"/>
        </w:rPr>
      </w:pPr>
      <w:r w:rsidRPr="001839C2">
        <w:rPr>
          <w:rFonts w:eastAsiaTheme="minorEastAsia"/>
          <w:b/>
          <w:bCs/>
          <w:snapToGrid/>
          <w:szCs w:val="22"/>
          <w:lang w:val="lt-LT" w:eastAsia="en-IN"/>
        </w:rPr>
        <w:t>Terapinės indikacijos</w:t>
      </w:r>
    </w:p>
    <w:p w14:paraId="28F7119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296AA04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ŽIV</w:t>
      </w:r>
      <w:r w:rsidR="000F1C75" w:rsidRPr="001839C2">
        <w:rPr>
          <w:rFonts w:eastAsiaTheme="minorEastAsia"/>
          <w:i/>
          <w:iCs/>
          <w:snapToGrid/>
          <w:szCs w:val="22"/>
          <w:lang w:val="lt-LT" w:eastAsia="en-IN"/>
        </w:rPr>
        <w:noBreakHyphen/>
      </w:r>
      <w:r w:rsidRPr="001839C2">
        <w:rPr>
          <w:rFonts w:eastAsiaTheme="minorEastAsia"/>
          <w:i/>
          <w:iCs/>
          <w:snapToGrid/>
          <w:szCs w:val="22"/>
          <w:lang w:val="lt-LT" w:eastAsia="en-IN"/>
        </w:rPr>
        <w:t>1</w:t>
      </w:r>
      <w:r w:rsidR="000F1C75" w:rsidRPr="001839C2">
        <w:rPr>
          <w:rFonts w:eastAsiaTheme="minorEastAsia"/>
          <w:i/>
          <w:iCs/>
          <w:snapToGrid/>
          <w:szCs w:val="22"/>
          <w:lang w:val="lt-LT" w:eastAsia="en-IN"/>
        </w:rPr>
        <w:t> </w:t>
      </w:r>
      <w:r w:rsidRPr="001839C2">
        <w:rPr>
          <w:rFonts w:eastAsiaTheme="minorEastAsia"/>
          <w:i/>
          <w:iCs/>
          <w:snapToGrid/>
          <w:szCs w:val="22"/>
          <w:lang w:val="lt-LT" w:eastAsia="en-IN"/>
        </w:rPr>
        <w:t>infekcijos gydymas</w:t>
      </w:r>
    </w:p>
    <w:p w14:paraId="7A939623"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Emtricitabine/Tenofovir disoproxil Accordpharma</w:t>
      </w:r>
      <w:r w:rsidRPr="001839C2" w:rsidDel="005D1868">
        <w:rPr>
          <w:rFonts w:eastAsiaTheme="minorEastAsia"/>
          <w:snapToGrid/>
          <w:szCs w:val="22"/>
          <w:lang w:val="lt-LT" w:eastAsia="en-IN"/>
        </w:rPr>
        <w:t xml:space="preserve"> </w:t>
      </w:r>
      <w:r w:rsidRPr="001839C2">
        <w:rPr>
          <w:rFonts w:eastAsiaTheme="minorEastAsia"/>
          <w:snapToGrid/>
          <w:szCs w:val="22"/>
          <w:lang w:val="lt-LT" w:eastAsia="en-IN"/>
        </w:rPr>
        <w:t>skirt</w:t>
      </w:r>
      <w:r w:rsidR="000F1C75" w:rsidRPr="001839C2">
        <w:rPr>
          <w:rFonts w:eastAsiaTheme="minorEastAsia"/>
          <w:snapToGrid/>
          <w:szCs w:val="22"/>
          <w:lang w:val="lt-LT" w:eastAsia="en-IN"/>
        </w:rPr>
        <w:t>a</w:t>
      </w:r>
      <w:r w:rsidRPr="001839C2">
        <w:rPr>
          <w:rFonts w:eastAsiaTheme="minorEastAsia"/>
          <w:snapToGrid/>
          <w:szCs w:val="22"/>
          <w:lang w:val="lt-LT" w:eastAsia="en-IN"/>
        </w:rPr>
        <w:t>s ŽIV</w:t>
      </w:r>
      <w:r w:rsidR="000F1C75" w:rsidRPr="001839C2">
        <w:rPr>
          <w:rFonts w:eastAsiaTheme="minorEastAsia"/>
          <w:snapToGrid/>
          <w:szCs w:val="22"/>
          <w:lang w:val="lt-LT" w:eastAsia="en-IN"/>
        </w:rPr>
        <w:noBreakHyphen/>
      </w:r>
      <w:r w:rsidRPr="001839C2">
        <w:rPr>
          <w:rFonts w:eastAsiaTheme="minorEastAsia"/>
          <w:snapToGrid/>
          <w:szCs w:val="22"/>
          <w:lang w:val="lt-LT" w:eastAsia="en-IN"/>
        </w:rPr>
        <w:t>1</w:t>
      </w:r>
      <w:r w:rsidR="00DE31D7" w:rsidRPr="001839C2">
        <w:rPr>
          <w:rFonts w:eastAsiaTheme="minorEastAsia"/>
          <w:snapToGrid/>
          <w:szCs w:val="22"/>
          <w:lang w:val="lt-LT" w:eastAsia="en-IN"/>
        </w:rPr>
        <w:t> </w:t>
      </w:r>
      <w:r w:rsidRPr="001839C2">
        <w:rPr>
          <w:rFonts w:eastAsiaTheme="minorEastAsia"/>
          <w:snapToGrid/>
          <w:szCs w:val="22"/>
          <w:lang w:val="lt-LT" w:eastAsia="en-IN"/>
        </w:rPr>
        <w:t xml:space="preserve">infekuotiems suaugusiesiems gydyti skiriant </w:t>
      </w:r>
      <w:r w:rsidR="005B3A0B" w:rsidRPr="001839C2">
        <w:rPr>
          <w:rFonts w:eastAsiaTheme="minorEastAsia"/>
          <w:snapToGrid/>
          <w:szCs w:val="22"/>
          <w:lang w:val="lt-LT" w:eastAsia="en-IN"/>
        </w:rPr>
        <w:t xml:space="preserve">sudėtinį </w:t>
      </w:r>
      <w:r w:rsidRPr="001839C2">
        <w:rPr>
          <w:rFonts w:eastAsiaTheme="minorEastAsia"/>
          <w:snapToGrid/>
          <w:szCs w:val="22"/>
          <w:lang w:val="lt-LT" w:eastAsia="en-IN"/>
        </w:rPr>
        <w:t>antiretrovirusinį gydymą (žr.</w:t>
      </w:r>
      <w:r w:rsidR="000F1C75" w:rsidRPr="001839C2">
        <w:rPr>
          <w:rFonts w:eastAsiaTheme="minorEastAsia"/>
          <w:snapToGrid/>
          <w:szCs w:val="22"/>
          <w:lang w:val="lt-LT" w:eastAsia="en-IN"/>
        </w:rPr>
        <w:t> </w:t>
      </w:r>
      <w:r w:rsidRPr="001839C2">
        <w:rPr>
          <w:rFonts w:eastAsiaTheme="minorEastAsia"/>
          <w:snapToGrid/>
          <w:szCs w:val="22"/>
          <w:lang w:val="lt-LT" w:eastAsia="en-IN"/>
        </w:rPr>
        <w:t>5.1</w:t>
      </w:r>
      <w:r w:rsidR="000F1C75" w:rsidRPr="001839C2">
        <w:rPr>
          <w:rFonts w:eastAsiaTheme="minorEastAsia"/>
          <w:snapToGrid/>
          <w:szCs w:val="22"/>
          <w:lang w:val="lt-LT" w:eastAsia="en-IN"/>
        </w:rPr>
        <w:t> </w:t>
      </w:r>
      <w:r w:rsidRPr="001839C2">
        <w:rPr>
          <w:rFonts w:eastAsiaTheme="minorEastAsia"/>
          <w:snapToGrid/>
          <w:szCs w:val="22"/>
          <w:lang w:val="lt-LT" w:eastAsia="en-IN"/>
        </w:rPr>
        <w:t>skyrių).</w:t>
      </w:r>
    </w:p>
    <w:p w14:paraId="0AF3AE7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1788E27"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Emtricitabine/Tenofovir disoproxil Accordpharma</w:t>
      </w:r>
      <w:r w:rsidRPr="001839C2" w:rsidDel="005D1868">
        <w:rPr>
          <w:rFonts w:eastAsiaTheme="minorEastAsia"/>
          <w:snapToGrid/>
          <w:szCs w:val="22"/>
          <w:lang w:val="lt-LT" w:eastAsia="en-IN"/>
        </w:rPr>
        <w:t xml:space="preserve"> </w:t>
      </w:r>
      <w:r w:rsidRPr="001839C2">
        <w:rPr>
          <w:rFonts w:eastAsiaTheme="minorEastAsia"/>
          <w:snapToGrid/>
          <w:szCs w:val="22"/>
          <w:lang w:val="lt-LT" w:eastAsia="en-IN"/>
        </w:rPr>
        <w:t>taip pat skirt</w:t>
      </w:r>
      <w:r w:rsidR="00DE31D7" w:rsidRPr="001839C2">
        <w:rPr>
          <w:rFonts w:eastAsiaTheme="minorEastAsia"/>
          <w:snapToGrid/>
          <w:szCs w:val="22"/>
          <w:lang w:val="lt-LT" w:eastAsia="en-IN"/>
        </w:rPr>
        <w:t>a</w:t>
      </w:r>
      <w:r w:rsidRPr="001839C2">
        <w:rPr>
          <w:rFonts w:eastAsiaTheme="minorEastAsia"/>
          <w:snapToGrid/>
          <w:szCs w:val="22"/>
          <w:lang w:val="lt-LT" w:eastAsia="en-IN"/>
        </w:rPr>
        <w:t>s ŽIV</w:t>
      </w:r>
      <w:r w:rsidR="003E02BA" w:rsidRPr="001839C2">
        <w:rPr>
          <w:rFonts w:eastAsiaTheme="minorEastAsia"/>
          <w:snapToGrid/>
          <w:szCs w:val="22"/>
          <w:lang w:val="lt-LT" w:eastAsia="en-IN"/>
        </w:rPr>
        <w:noBreakHyphen/>
      </w:r>
      <w:r w:rsidRPr="001839C2">
        <w:rPr>
          <w:rFonts w:eastAsiaTheme="minorEastAsia"/>
          <w:snapToGrid/>
          <w:szCs w:val="22"/>
          <w:lang w:val="lt-LT" w:eastAsia="en-IN"/>
        </w:rPr>
        <w:t>1</w:t>
      </w:r>
      <w:r w:rsidR="00DE31D7" w:rsidRPr="001839C2">
        <w:rPr>
          <w:rFonts w:eastAsiaTheme="minorEastAsia"/>
          <w:snapToGrid/>
          <w:szCs w:val="22"/>
          <w:lang w:val="lt-LT" w:eastAsia="en-IN"/>
        </w:rPr>
        <w:t> </w:t>
      </w:r>
      <w:r w:rsidRPr="001839C2">
        <w:rPr>
          <w:rFonts w:eastAsiaTheme="minorEastAsia"/>
          <w:snapToGrid/>
          <w:szCs w:val="22"/>
          <w:lang w:val="lt-LT" w:eastAsia="en-IN"/>
        </w:rPr>
        <w:t>infekuotiems paaugliams, kuriems dėl atsparumo nukleotidų atvirkštinės transkriptazės inhibitoriams (NATI) arba toksinio poveikio negalima skirti pirmojo pasirinkimo vaistinių preparatų (žr.</w:t>
      </w:r>
      <w:r w:rsidR="003E02BA" w:rsidRPr="001839C2">
        <w:rPr>
          <w:rFonts w:eastAsiaTheme="minorEastAsia"/>
          <w:snapToGrid/>
          <w:szCs w:val="22"/>
          <w:lang w:val="lt-LT" w:eastAsia="en-IN"/>
        </w:rPr>
        <w:t> </w:t>
      </w:r>
      <w:r w:rsidRPr="001839C2">
        <w:rPr>
          <w:rFonts w:eastAsiaTheme="minorEastAsia"/>
          <w:snapToGrid/>
          <w:szCs w:val="22"/>
          <w:lang w:val="lt-LT" w:eastAsia="en-IN"/>
        </w:rPr>
        <w:t>4.2, 4.4 ir 5.1</w:t>
      </w:r>
      <w:r w:rsidR="003E02BA" w:rsidRPr="001839C2">
        <w:rPr>
          <w:rFonts w:eastAsiaTheme="minorEastAsia"/>
          <w:snapToGrid/>
          <w:szCs w:val="22"/>
          <w:lang w:val="lt-LT" w:eastAsia="en-IN"/>
        </w:rPr>
        <w:t> </w:t>
      </w:r>
      <w:r w:rsidRPr="001839C2">
        <w:rPr>
          <w:rFonts w:eastAsiaTheme="minorEastAsia"/>
          <w:snapToGrid/>
          <w:szCs w:val="22"/>
          <w:lang w:val="lt-LT" w:eastAsia="en-IN"/>
        </w:rPr>
        <w:t>skyrius).</w:t>
      </w:r>
    </w:p>
    <w:p w14:paraId="48F24B3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23CE0D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Priešekspozicinė profilaktika (PrEP)</w:t>
      </w:r>
    </w:p>
    <w:p w14:paraId="448A59BE"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Emtricitabine/Tenofovir disoproxil Accordpharma</w:t>
      </w:r>
      <w:r w:rsidRPr="001839C2" w:rsidDel="005D1868">
        <w:rPr>
          <w:rFonts w:eastAsiaTheme="minorEastAsia"/>
          <w:snapToGrid/>
          <w:szCs w:val="22"/>
          <w:lang w:val="lt-LT" w:eastAsia="en-IN"/>
        </w:rPr>
        <w:t xml:space="preserve"> </w:t>
      </w:r>
      <w:r w:rsidR="005B3A0B" w:rsidRPr="001839C2">
        <w:rPr>
          <w:rFonts w:eastAsiaTheme="minorEastAsia"/>
          <w:snapToGrid/>
          <w:szCs w:val="22"/>
          <w:lang w:val="lt-LT" w:eastAsia="en-IN"/>
        </w:rPr>
        <w:t xml:space="preserve">derinyje </w:t>
      </w:r>
      <w:r w:rsidRPr="001839C2">
        <w:rPr>
          <w:rFonts w:eastAsiaTheme="minorEastAsia"/>
          <w:snapToGrid/>
          <w:szCs w:val="22"/>
          <w:lang w:val="lt-LT" w:eastAsia="en-IN"/>
        </w:rPr>
        <w:t>su saugesnių lytinių santykių praktikavimu skirt</w:t>
      </w:r>
      <w:r w:rsidR="00DE31D7" w:rsidRPr="001839C2">
        <w:rPr>
          <w:rFonts w:eastAsiaTheme="minorEastAsia"/>
          <w:snapToGrid/>
          <w:szCs w:val="22"/>
          <w:lang w:val="lt-LT" w:eastAsia="en-IN"/>
        </w:rPr>
        <w:t>a</w:t>
      </w:r>
      <w:r w:rsidRPr="001839C2">
        <w:rPr>
          <w:rFonts w:eastAsiaTheme="minorEastAsia"/>
          <w:snapToGrid/>
          <w:szCs w:val="22"/>
          <w:lang w:val="lt-LT" w:eastAsia="en-IN"/>
        </w:rPr>
        <w:t>s vartoti priešekspozici</w:t>
      </w:r>
      <w:r w:rsidR="00DE31D7" w:rsidRPr="001839C2">
        <w:rPr>
          <w:rFonts w:eastAsiaTheme="minorEastAsia"/>
          <w:snapToGrid/>
          <w:szCs w:val="22"/>
          <w:lang w:val="lt-LT" w:eastAsia="en-IN"/>
        </w:rPr>
        <w:t>nei</w:t>
      </w:r>
      <w:r w:rsidRPr="001839C2">
        <w:rPr>
          <w:rFonts w:eastAsiaTheme="minorEastAsia"/>
          <w:snapToGrid/>
          <w:szCs w:val="22"/>
          <w:lang w:val="lt-LT" w:eastAsia="en-IN"/>
        </w:rPr>
        <w:t xml:space="preserve"> profilaktikai, siekiant sumažinti užsikrėtimo lytiniu keliu plintančia ŽIV</w:t>
      </w:r>
      <w:r w:rsidR="003E02BA" w:rsidRPr="001839C2">
        <w:rPr>
          <w:rFonts w:eastAsiaTheme="minorEastAsia"/>
          <w:snapToGrid/>
          <w:szCs w:val="22"/>
          <w:lang w:val="lt-LT" w:eastAsia="en-IN"/>
        </w:rPr>
        <w:noBreakHyphen/>
      </w:r>
      <w:r w:rsidRPr="001839C2">
        <w:rPr>
          <w:rFonts w:eastAsiaTheme="minorEastAsia"/>
          <w:snapToGrid/>
          <w:szCs w:val="22"/>
          <w:lang w:val="lt-LT" w:eastAsia="en-IN"/>
        </w:rPr>
        <w:t>1</w:t>
      </w:r>
      <w:r w:rsidR="003E02BA" w:rsidRPr="001839C2">
        <w:rPr>
          <w:rFonts w:eastAsiaTheme="minorEastAsia"/>
          <w:snapToGrid/>
          <w:szCs w:val="22"/>
          <w:lang w:val="lt-LT" w:eastAsia="en-IN"/>
        </w:rPr>
        <w:t> </w:t>
      </w:r>
      <w:r w:rsidRPr="001839C2">
        <w:rPr>
          <w:rFonts w:eastAsiaTheme="minorEastAsia"/>
          <w:snapToGrid/>
          <w:szCs w:val="22"/>
          <w:lang w:val="lt-LT" w:eastAsia="en-IN"/>
        </w:rPr>
        <w:t>infekcija riziką didelės rizikos grupės suaugusiesiems ir paaugliams (žr.</w:t>
      </w:r>
      <w:r w:rsidR="003E02BA" w:rsidRPr="001839C2">
        <w:rPr>
          <w:rFonts w:eastAsiaTheme="minorEastAsia"/>
          <w:snapToGrid/>
          <w:szCs w:val="22"/>
          <w:lang w:val="lt-LT" w:eastAsia="en-IN"/>
        </w:rPr>
        <w:t> </w:t>
      </w:r>
      <w:r w:rsidRPr="001839C2">
        <w:rPr>
          <w:rFonts w:eastAsiaTheme="minorEastAsia"/>
          <w:snapToGrid/>
          <w:szCs w:val="22"/>
          <w:lang w:val="lt-LT" w:eastAsia="en-IN"/>
        </w:rPr>
        <w:t>4.2, 4.4 ir 5.1</w:t>
      </w:r>
      <w:r w:rsidR="003E02BA" w:rsidRPr="001839C2">
        <w:rPr>
          <w:rFonts w:eastAsiaTheme="minorEastAsia"/>
          <w:snapToGrid/>
          <w:szCs w:val="22"/>
          <w:lang w:val="lt-LT" w:eastAsia="en-IN"/>
        </w:rPr>
        <w:t> </w:t>
      </w:r>
      <w:r w:rsidRPr="001839C2">
        <w:rPr>
          <w:rFonts w:eastAsiaTheme="minorEastAsia"/>
          <w:snapToGrid/>
          <w:szCs w:val="22"/>
          <w:lang w:val="lt-LT" w:eastAsia="en-IN"/>
        </w:rPr>
        <w:t>skyrius).</w:t>
      </w:r>
    </w:p>
    <w:p w14:paraId="0AA1AC5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75E1332" w14:textId="77777777" w:rsidR="002A5F50" w:rsidRPr="001839C2" w:rsidRDefault="002A5F50" w:rsidP="00230559">
      <w:pPr>
        <w:widowControl w:val="0"/>
        <w:numPr>
          <w:ilvl w:val="1"/>
          <w:numId w:val="29"/>
        </w:numPr>
        <w:tabs>
          <w:tab w:val="left" w:pos="0"/>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Dozavimas ir vartojimo metodas</w:t>
      </w:r>
    </w:p>
    <w:p w14:paraId="6F1353D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5383F728"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Gydymą </w:t>
      </w:r>
      <w:r w:rsidRPr="001839C2">
        <w:rPr>
          <w:rFonts w:eastAsiaTheme="minorHAnsi"/>
          <w:snapToGrid/>
          <w:szCs w:val="22"/>
          <w:lang w:val="lt-LT"/>
        </w:rPr>
        <w:t xml:space="preserve">Emtricitabine/Tenofovir disoproxil Accordpharma </w:t>
      </w:r>
      <w:r w:rsidRPr="001839C2">
        <w:rPr>
          <w:rFonts w:eastAsiaTheme="minorEastAsia"/>
          <w:snapToGrid/>
          <w:szCs w:val="22"/>
          <w:lang w:val="lt-LT" w:eastAsia="en-IN"/>
        </w:rPr>
        <w:t>turi pradėti gydytojas, turintis patirties gydant ŽIV</w:t>
      </w:r>
      <w:r w:rsidR="003E02BA" w:rsidRPr="001839C2">
        <w:rPr>
          <w:rFonts w:eastAsiaTheme="minorEastAsia"/>
          <w:snapToGrid/>
          <w:szCs w:val="22"/>
          <w:lang w:val="lt-LT" w:eastAsia="en-IN"/>
        </w:rPr>
        <w:t> </w:t>
      </w:r>
      <w:r w:rsidRPr="001839C2">
        <w:rPr>
          <w:rFonts w:eastAsiaTheme="minorEastAsia"/>
          <w:snapToGrid/>
          <w:szCs w:val="22"/>
          <w:lang w:val="lt-LT" w:eastAsia="en-IN"/>
        </w:rPr>
        <w:t>infekciją.</w:t>
      </w:r>
    </w:p>
    <w:p w14:paraId="08AD9F36"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p>
    <w:p w14:paraId="07C1A0C1"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Dozavimas</w:t>
      </w:r>
    </w:p>
    <w:p w14:paraId="2A40C031" w14:textId="77777777" w:rsidR="00DE31D7" w:rsidRPr="001839C2" w:rsidRDefault="002A5F50" w:rsidP="009D3371">
      <w:pPr>
        <w:widowControl w:val="0"/>
        <w:tabs>
          <w:tab w:val="clear" w:pos="567"/>
          <w:tab w:val="left" w:pos="0"/>
        </w:tabs>
        <w:kinsoku w:val="0"/>
        <w:overflowPunct w:val="0"/>
        <w:autoSpaceDE w:val="0"/>
        <w:autoSpaceDN w:val="0"/>
        <w:adjustRightInd w:val="0"/>
        <w:rPr>
          <w:rFonts w:eastAsiaTheme="minorEastAsia"/>
          <w:i/>
          <w:iCs/>
          <w:snapToGrid/>
          <w:szCs w:val="22"/>
          <w:u w:val="single"/>
          <w:lang w:val="lt-LT" w:eastAsia="en-IN"/>
        </w:rPr>
      </w:pPr>
      <w:r w:rsidRPr="001839C2">
        <w:rPr>
          <w:rFonts w:eastAsiaTheme="minorEastAsia"/>
          <w:i/>
          <w:iCs/>
          <w:snapToGrid/>
          <w:szCs w:val="22"/>
          <w:u w:val="single"/>
          <w:lang w:val="lt-LT" w:eastAsia="en-IN"/>
        </w:rPr>
        <w:t>ŽIV</w:t>
      </w:r>
      <w:r w:rsidR="003E02BA" w:rsidRPr="001839C2">
        <w:rPr>
          <w:rFonts w:eastAsiaTheme="minorEastAsia"/>
          <w:i/>
          <w:iCs/>
          <w:snapToGrid/>
          <w:szCs w:val="22"/>
          <w:u w:val="single"/>
          <w:lang w:val="lt-LT" w:eastAsia="en-IN"/>
        </w:rPr>
        <w:t> </w:t>
      </w:r>
      <w:r w:rsidRPr="001839C2">
        <w:rPr>
          <w:rFonts w:eastAsiaTheme="minorEastAsia"/>
          <w:i/>
          <w:iCs/>
          <w:snapToGrid/>
          <w:szCs w:val="22"/>
          <w:u w:val="single"/>
          <w:lang w:val="lt-LT" w:eastAsia="en-IN"/>
        </w:rPr>
        <w:t>gydymas</w:t>
      </w:r>
    </w:p>
    <w:p w14:paraId="1119D47F" w14:textId="77777777" w:rsidR="003E02BA" w:rsidRPr="001839C2" w:rsidRDefault="00DE31D7" w:rsidP="009D3371">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S</w:t>
      </w:r>
      <w:r w:rsidR="002A5F50" w:rsidRPr="001839C2">
        <w:rPr>
          <w:rFonts w:eastAsiaTheme="minorEastAsia"/>
          <w:i/>
          <w:iCs/>
          <w:snapToGrid/>
          <w:szCs w:val="22"/>
          <w:lang w:val="lt-LT" w:eastAsia="en-IN"/>
        </w:rPr>
        <w:t>uaugusiesiems ir 12</w:t>
      </w:r>
      <w:r w:rsidR="003E02BA" w:rsidRPr="001839C2">
        <w:rPr>
          <w:rFonts w:eastAsiaTheme="minorEastAsia"/>
          <w:i/>
          <w:iCs/>
          <w:snapToGrid/>
          <w:szCs w:val="22"/>
          <w:lang w:val="lt-LT" w:eastAsia="en-IN"/>
        </w:rPr>
        <w:t> </w:t>
      </w:r>
      <w:r w:rsidR="002A5F50" w:rsidRPr="001839C2">
        <w:rPr>
          <w:rFonts w:eastAsiaTheme="minorEastAsia"/>
          <w:i/>
          <w:iCs/>
          <w:snapToGrid/>
          <w:szCs w:val="22"/>
          <w:lang w:val="lt-LT" w:eastAsia="en-IN"/>
        </w:rPr>
        <w:t>metų bei vyresniems paaugliams, sveriantiems ne mažiau kaip</w:t>
      </w:r>
      <w:r w:rsidR="003E02BA" w:rsidRPr="001839C2">
        <w:rPr>
          <w:rFonts w:eastAsiaTheme="minorEastAsia"/>
          <w:i/>
          <w:iCs/>
          <w:snapToGrid/>
          <w:szCs w:val="22"/>
          <w:lang w:val="lt-LT" w:eastAsia="en-IN"/>
        </w:rPr>
        <w:t xml:space="preserve"> </w:t>
      </w:r>
      <w:r w:rsidR="002A5F50" w:rsidRPr="001839C2">
        <w:rPr>
          <w:rFonts w:eastAsiaTheme="minorEastAsia"/>
          <w:i/>
          <w:iCs/>
          <w:snapToGrid/>
          <w:szCs w:val="22"/>
          <w:lang w:val="lt-LT" w:eastAsia="en-IN"/>
        </w:rPr>
        <w:t>35</w:t>
      </w:r>
      <w:r w:rsidR="003E02BA" w:rsidRPr="001839C2">
        <w:rPr>
          <w:rFonts w:eastAsiaTheme="minorEastAsia"/>
          <w:i/>
          <w:iCs/>
          <w:snapToGrid/>
          <w:szCs w:val="22"/>
          <w:lang w:val="lt-LT" w:eastAsia="en-IN"/>
        </w:rPr>
        <w:t> </w:t>
      </w:r>
      <w:r w:rsidR="002A5F50" w:rsidRPr="001839C2">
        <w:rPr>
          <w:rFonts w:eastAsiaTheme="minorEastAsia"/>
          <w:i/>
          <w:iCs/>
          <w:snapToGrid/>
          <w:szCs w:val="22"/>
          <w:lang w:val="lt-LT" w:eastAsia="en-IN"/>
        </w:rPr>
        <w:t>kg</w:t>
      </w:r>
    </w:p>
    <w:p w14:paraId="26F9C48F" w14:textId="77777777" w:rsidR="002A5F50" w:rsidRPr="001839C2" w:rsidRDefault="003E02BA"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w:t>
      </w:r>
      <w:r w:rsidR="002A5F50" w:rsidRPr="001839C2">
        <w:rPr>
          <w:rFonts w:eastAsiaTheme="minorEastAsia"/>
          <w:snapToGrid/>
          <w:szCs w:val="22"/>
          <w:lang w:val="lt-LT" w:eastAsia="en-IN"/>
        </w:rPr>
        <w:t>iena</w:t>
      </w:r>
      <w:r w:rsidRPr="001839C2">
        <w:rPr>
          <w:rFonts w:eastAsiaTheme="minorEastAsia"/>
          <w:snapToGrid/>
          <w:szCs w:val="22"/>
          <w:lang w:val="lt-LT" w:eastAsia="en-IN"/>
        </w:rPr>
        <w:t> </w:t>
      </w:r>
      <w:r w:rsidR="002A5F50" w:rsidRPr="001839C2">
        <w:rPr>
          <w:rFonts w:eastAsiaTheme="minorEastAsia"/>
          <w:snapToGrid/>
          <w:szCs w:val="22"/>
          <w:lang w:val="lt-LT" w:eastAsia="en-IN"/>
        </w:rPr>
        <w:t>tabletė vieną</w:t>
      </w:r>
      <w:r w:rsidRPr="001839C2">
        <w:rPr>
          <w:rFonts w:eastAsiaTheme="minorEastAsia"/>
          <w:snapToGrid/>
          <w:szCs w:val="22"/>
          <w:lang w:val="lt-LT" w:eastAsia="en-IN"/>
        </w:rPr>
        <w:t> </w:t>
      </w:r>
      <w:r w:rsidR="002A5F50" w:rsidRPr="001839C2">
        <w:rPr>
          <w:rFonts w:eastAsiaTheme="minorEastAsia"/>
          <w:snapToGrid/>
          <w:szCs w:val="22"/>
          <w:lang w:val="lt-LT" w:eastAsia="en-IN"/>
        </w:rPr>
        <w:t>kartą per</w:t>
      </w:r>
      <w:r w:rsidRPr="001839C2">
        <w:rPr>
          <w:rFonts w:eastAsiaTheme="minorEastAsia"/>
          <w:snapToGrid/>
          <w:szCs w:val="22"/>
          <w:lang w:val="lt-LT" w:eastAsia="en-IN"/>
        </w:rPr>
        <w:t> </w:t>
      </w:r>
      <w:r w:rsidR="002A5F50" w:rsidRPr="001839C2">
        <w:rPr>
          <w:rFonts w:eastAsiaTheme="minorEastAsia"/>
          <w:snapToGrid/>
          <w:szCs w:val="22"/>
          <w:lang w:val="lt-LT" w:eastAsia="en-IN"/>
        </w:rPr>
        <w:t>parą.</w:t>
      </w:r>
    </w:p>
    <w:p w14:paraId="56F6732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7AD34ED" w14:textId="77777777" w:rsidR="00DE31D7" w:rsidRPr="001839C2" w:rsidRDefault="002A5F50" w:rsidP="009D3371">
      <w:pPr>
        <w:widowControl w:val="0"/>
        <w:tabs>
          <w:tab w:val="clear" w:pos="567"/>
          <w:tab w:val="left" w:pos="0"/>
        </w:tabs>
        <w:kinsoku w:val="0"/>
        <w:overflowPunct w:val="0"/>
        <w:autoSpaceDE w:val="0"/>
        <w:autoSpaceDN w:val="0"/>
        <w:adjustRightInd w:val="0"/>
        <w:rPr>
          <w:rFonts w:eastAsiaTheme="minorEastAsia"/>
          <w:i/>
          <w:iCs/>
          <w:snapToGrid/>
          <w:szCs w:val="22"/>
          <w:u w:val="single"/>
          <w:lang w:val="lt-LT" w:eastAsia="en-IN"/>
        </w:rPr>
      </w:pPr>
      <w:r w:rsidRPr="001839C2">
        <w:rPr>
          <w:rFonts w:eastAsiaTheme="minorEastAsia"/>
          <w:i/>
          <w:iCs/>
          <w:snapToGrid/>
          <w:szCs w:val="22"/>
          <w:u w:val="single"/>
          <w:lang w:val="lt-LT" w:eastAsia="en-IN"/>
        </w:rPr>
        <w:t>ŽIV</w:t>
      </w:r>
      <w:r w:rsidR="003E02BA" w:rsidRPr="001839C2">
        <w:rPr>
          <w:rFonts w:eastAsiaTheme="minorEastAsia"/>
          <w:i/>
          <w:iCs/>
          <w:snapToGrid/>
          <w:szCs w:val="22"/>
          <w:u w:val="single"/>
          <w:lang w:val="lt-LT" w:eastAsia="en-IN"/>
        </w:rPr>
        <w:t> </w:t>
      </w:r>
      <w:r w:rsidRPr="001839C2">
        <w:rPr>
          <w:rFonts w:eastAsiaTheme="minorEastAsia"/>
          <w:i/>
          <w:iCs/>
          <w:snapToGrid/>
          <w:szCs w:val="22"/>
          <w:u w:val="single"/>
          <w:lang w:val="lt-LT" w:eastAsia="en-IN"/>
        </w:rPr>
        <w:t>profilaktika</w:t>
      </w:r>
    </w:p>
    <w:p w14:paraId="5AD44F0C" w14:textId="77777777" w:rsidR="003E02BA" w:rsidRPr="001839C2" w:rsidRDefault="00DE31D7" w:rsidP="009D3371">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S</w:t>
      </w:r>
      <w:r w:rsidR="002A5F50" w:rsidRPr="001839C2">
        <w:rPr>
          <w:rFonts w:eastAsiaTheme="minorEastAsia"/>
          <w:i/>
          <w:iCs/>
          <w:snapToGrid/>
          <w:szCs w:val="22"/>
          <w:lang w:val="lt-LT" w:eastAsia="en-IN"/>
        </w:rPr>
        <w:t>uaugusiesiems ir 12</w:t>
      </w:r>
      <w:r w:rsidR="003E02BA" w:rsidRPr="001839C2">
        <w:rPr>
          <w:rFonts w:eastAsiaTheme="minorEastAsia"/>
          <w:i/>
          <w:iCs/>
          <w:snapToGrid/>
          <w:szCs w:val="22"/>
          <w:lang w:val="lt-LT" w:eastAsia="en-IN"/>
        </w:rPr>
        <w:t> </w:t>
      </w:r>
      <w:r w:rsidR="002A5F50" w:rsidRPr="001839C2">
        <w:rPr>
          <w:rFonts w:eastAsiaTheme="minorEastAsia"/>
          <w:i/>
          <w:iCs/>
          <w:snapToGrid/>
          <w:szCs w:val="22"/>
          <w:lang w:val="lt-LT" w:eastAsia="en-IN"/>
        </w:rPr>
        <w:t>metų bei vyresniems paaugliams, sveriantiems ne mažiau kaip</w:t>
      </w:r>
      <w:r w:rsidR="003E02BA" w:rsidRPr="001839C2">
        <w:rPr>
          <w:rFonts w:eastAsiaTheme="minorEastAsia"/>
          <w:i/>
          <w:iCs/>
          <w:snapToGrid/>
          <w:szCs w:val="22"/>
          <w:lang w:val="lt-LT" w:eastAsia="en-IN"/>
        </w:rPr>
        <w:t xml:space="preserve"> </w:t>
      </w:r>
      <w:r w:rsidR="002A5F50" w:rsidRPr="001839C2">
        <w:rPr>
          <w:rFonts w:eastAsiaTheme="minorEastAsia"/>
          <w:i/>
          <w:iCs/>
          <w:snapToGrid/>
          <w:szCs w:val="22"/>
          <w:lang w:val="lt-LT" w:eastAsia="en-IN"/>
        </w:rPr>
        <w:t>35</w:t>
      </w:r>
      <w:r w:rsidR="003E02BA" w:rsidRPr="001839C2">
        <w:rPr>
          <w:rFonts w:eastAsiaTheme="minorEastAsia"/>
          <w:i/>
          <w:iCs/>
          <w:snapToGrid/>
          <w:szCs w:val="22"/>
          <w:lang w:val="lt-LT" w:eastAsia="en-IN"/>
        </w:rPr>
        <w:t> </w:t>
      </w:r>
      <w:r w:rsidR="002A5F50" w:rsidRPr="001839C2">
        <w:rPr>
          <w:rFonts w:eastAsiaTheme="minorEastAsia"/>
          <w:i/>
          <w:iCs/>
          <w:snapToGrid/>
          <w:szCs w:val="22"/>
          <w:lang w:val="lt-LT" w:eastAsia="en-IN"/>
        </w:rPr>
        <w:t>kg</w:t>
      </w:r>
    </w:p>
    <w:p w14:paraId="1DE96F3B" w14:textId="77777777" w:rsidR="002A5F50" w:rsidRPr="001839C2" w:rsidRDefault="003E02BA"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w:t>
      </w:r>
      <w:r w:rsidR="002A5F50" w:rsidRPr="001839C2">
        <w:rPr>
          <w:rFonts w:eastAsiaTheme="minorEastAsia"/>
          <w:snapToGrid/>
          <w:szCs w:val="22"/>
          <w:lang w:val="lt-LT" w:eastAsia="en-IN"/>
        </w:rPr>
        <w:t>iena</w:t>
      </w:r>
      <w:r w:rsidRPr="001839C2">
        <w:rPr>
          <w:rFonts w:eastAsiaTheme="minorEastAsia"/>
          <w:snapToGrid/>
          <w:szCs w:val="22"/>
          <w:lang w:val="lt-LT" w:eastAsia="en-IN"/>
        </w:rPr>
        <w:t> </w:t>
      </w:r>
      <w:r w:rsidR="002A5F50" w:rsidRPr="001839C2">
        <w:rPr>
          <w:rFonts w:eastAsiaTheme="minorEastAsia"/>
          <w:snapToGrid/>
          <w:szCs w:val="22"/>
          <w:lang w:val="lt-LT" w:eastAsia="en-IN"/>
        </w:rPr>
        <w:t>tabletė vieną</w:t>
      </w:r>
      <w:r w:rsidRPr="001839C2">
        <w:rPr>
          <w:rFonts w:eastAsiaTheme="minorEastAsia"/>
          <w:snapToGrid/>
          <w:szCs w:val="22"/>
          <w:lang w:val="lt-LT" w:eastAsia="en-IN"/>
        </w:rPr>
        <w:t> </w:t>
      </w:r>
      <w:r w:rsidR="002A5F50" w:rsidRPr="001839C2">
        <w:rPr>
          <w:rFonts w:eastAsiaTheme="minorEastAsia"/>
          <w:snapToGrid/>
          <w:szCs w:val="22"/>
          <w:lang w:val="lt-LT" w:eastAsia="en-IN"/>
        </w:rPr>
        <w:t>kartą per</w:t>
      </w:r>
      <w:r w:rsidRPr="001839C2">
        <w:rPr>
          <w:rFonts w:eastAsiaTheme="minorEastAsia"/>
          <w:snapToGrid/>
          <w:szCs w:val="22"/>
          <w:lang w:val="lt-LT" w:eastAsia="en-IN"/>
        </w:rPr>
        <w:t> </w:t>
      </w:r>
      <w:r w:rsidR="002A5F50" w:rsidRPr="001839C2">
        <w:rPr>
          <w:rFonts w:eastAsiaTheme="minorEastAsia"/>
          <w:snapToGrid/>
          <w:szCs w:val="22"/>
          <w:lang w:val="lt-LT" w:eastAsia="en-IN"/>
        </w:rPr>
        <w:t>parą.</w:t>
      </w:r>
    </w:p>
    <w:p w14:paraId="1F5CE52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9D0D8C6" w14:textId="77777777"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Galima skirti atskirų emtricitabino ir tenofoviro dizoproksilio </w:t>
      </w:r>
      <w:r w:rsidR="003E02BA" w:rsidRPr="001839C2">
        <w:rPr>
          <w:rFonts w:eastAsiaTheme="minorEastAsia"/>
          <w:snapToGrid/>
          <w:szCs w:val="22"/>
          <w:lang w:val="lt-LT" w:eastAsia="en-IN"/>
        </w:rPr>
        <w:t xml:space="preserve">vaistinių </w:t>
      </w:r>
      <w:r w:rsidRPr="001839C2">
        <w:rPr>
          <w:rFonts w:eastAsiaTheme="minorEastAsia"/>
          <w:snapToGrid/>
          <w:szCs w:val="22"/>
          <w:lang w:val="lt-LT" w:eastAsia="en-IN"/>
        </w:rPr>
        <w:t>preparatų, skirtų ŽIV</w:t>
      </w:r>
      <w:r w:rsidR="003E02BA" w:rsidRPr="001839C2">
        <w:rPr>
          <w:rFonts w:eastAsiaTheme="minorEastAsia"/>
          <w:snapToGrid/>
          <w:szCs w:val="22"/>
          <w:lang w:val="lt-LT" w:eastAsia="en-IN"/>
        </w:rPr>
        <w:noBreakHyphen/>
      </w:r>
      <w:r w:rsidRPr="001839C2">
        <w:rPr>
          <w:rFonts w:eastAsiaTheme="minorEastAsia"/>
          <w:snapToGrid/>
          <w:szCs w:val="22"/>
          <w:lang w:val="lt-LT" w:eastAsia="en-IN"/>
        </w:rPr>
        <w:t>1</w:t>
      </w:r>
      <w:r w:rsidR="003E02BA" w:rsidRPr="001839C2">
        <w:rPr>
          <w:rFonts w:eastAsiaTheme="minorEastAsia"/>
          <w:snapToGrid/>
          <w:szCs w:val="22"/>
          <w:lang w:val="lt-LT" w:eastAsia="en-IN"/>
        </w:rPr>
        <w:t> </w:t>
      </w:r>
      <w:r w:rsidRPr="001839C2">
        <w:rPr>
          <w:rFonts w:eastAsiaTheme="minorEastAsia"/>
          <w:snapToGrid/>
          <w:szCs w:val="22"/>
          <w:lang w:val="lt-LT" w:eastAsia="en-IN"/>
        </w:rPr>
        <w:t>infekcijai gydyti, jeigu reikia nutraukti gydymą vien</w:t>
      </w:r>
      <w:r w:rsidR="00AE649A" w:rsidRPr="001839C2">
        <w:rPr>
          <w:rFonts w:eastAsiaTheme="minorEastAsia"/>
          <w:snapToGrid/>
          <w:szCs w:val="22"/>
          <w:lang w:val="lt-LT" w:eastAsia="en-IN"/>
        </w:rPr>
        <w:t>a</w:t>
      </w:r>
      <w:r w:rsidRPr="001839C2">
        <w:rPr>
          <w:rFonts w:eastAsiaTheme="minorEastAsia"/>
          <w:snapToGrid/>
          <w:szCs w:val="22"/>
          <w:lang w:val="lt-LT" w:eastAsia="en-IN"/>
        </w:rPr>
        <w:t xml:space="preserve"> iš </w:t>
      </w:r>
      <w:r w:rsidRPr="001839C2">
        <w:rPr>
          <w:rFonts w:eastAsiaTheme="minorHAnsi"/>
          <w:snapToGrid/>
          <w:szCs w:val="22"/>
          <w:lang w:val="lt-LT"/>
        </w:rPr>
        <w:t xml:space="preserve">Emtricitabine/Tenofovir disoproxil </w:t>
      </w:r>
      <w:r w:rsidRPr="001839C2">
        <w:rPr>
          <w:rFonts w:eastAsiaTheme="minorHAnsi"/>
          <w:snapToGrid/>
          <w:szCs w:val="22"/>
          <w:lang w:val="lt-LT"/>
        </w:rPr>
        <w:lastRenderedPageBreak/>
        <w:t xml:space="preserve">Accordpharma </w:t>
      </w:r>
      <w:r w:rsidR="00AE649A" w:rsidRPr="001839C2">
        <w:rPr>
          <w:rFonts w:eastAsiaTheme="minorEastAsia"/>
          <w:snapToGrid/>
          <w:szCs w:val="22"/>
          <w:lang w:val="lt-LT" w:eastAsia="en-IN"/>
        </w:rPr>
        <w:t>v</w:t>
      </w:r>
      <w:r w:rsidRPr="001839C2">
        <w:rPr>
          <w:rFonts w:eastAsiaTheme="minorEastAsia"/>
          <w:snapToGrid/>
          <w:szCs w:val="22"/>
          <w:lang w:val="lt-LT" w:eastAsia="en-IN"/>
        </w:rPr>
        <w:t>e</w:t>
      </w:r>
      <w:r w:rsidR="00AE649A" w:rsidRPr="001839C2">
        <w:rPr>
          <w:rFonts w:eastAsiaTheme="minorEastAsia"/>
          <w:snapToGrid/>
          <w:szCs w:val="22"/>
          <w:lang w:val="lt-LT" w:eastAsia="en-IN"/>
        </w:rPr>
        <w:t>ikli</w:t>
      </w:r>
      <w:r w:rsidRPr="001839C2">
        <w:rPr>
          <w:rFonts w:eastAsiaTheme="minorEastAsia"/>
          <w:snapToGrid/>
          <w:szCs w:val="22"/>
          <w:lang w:val="lt-LT" w:eastAsia="en-IN"/>
        </w:rPr>
        <w:t>ų</w:t>
      </w:r>
      <w:r w:rsidR="00AE649A" w:rsidRPr="001839C2">
        <w:rPr>
          <w:rFonts w:eastAsiaTheme="minorEastAsia"/>
          <w:snapToGrid/>
          <w:szCs w:val="22"/>
          <w:lang w:val="lt-LT" w:eastAsia="en-IN"/>
        </w:rPr>
        <w:t>jų medžiagų</w:t>
      </w:r>
      <w:r w:rsidRPr="001839C2">
        <w:rPr>
          <w:rFonts w:eastAsiaTheme="minorEastAsia"/>
          <w:snapToGrid/>
          <w:szCs w:val="22"/>
          <w:lang w:val="lt-LT" w:eastAsia="en-IN"/>
        </w:rPr>
        <w:t xml:space="preserve"> arba koreguoti j</w:t>
      </w:r>
      <w:r w:rsidR="00AE649A" w:rsidRPr="001839C2">
        <w:rPr>
          <w:rFonts w:eastAsiaTheme="minorEastAsia"/>
          <w:snapToGrid/>
          <w:szCs w:val="22"/>
          <w:lang w:val="lt-LT" w:eastAsia="en-IN"/>
        </w:rPr>
        <w:t>ų</w:t>
      </w:r>
      <w:r w:rsidRPr="001839C2">
        <w:rPr>
          <w:rFonts w:eastAsiaTheme="minorEastAsia"/>
          <w:snapToGrid/>
          <w:szCs w:val="22"/>
          <w:lang w:val="lt-LT" w:eastAsia="en-IN"/>
        </w:rPr>
        <w:t xml:space="preserve"> dozę. Žiūrėkite šių vaistinių preparatų charakteristikų santraukas.</w:t>
      </w:r>
    </w:p>
    <w:p w14:paraId="6C18ED35" w14:textId="77777777" w:rsidR="00C0478C" w:rsidRPr="001839C2" w:rsidRDefault="00C0478C"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350FCD3" w14:textId="6EF53F3F"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Jeigu po praleistos </w:t>
      </w:r>
      <w:r w:rsidR="00F11FC5" w:rsidRPr="001839C2">
        <w:rPr>
          <w:rFonts w:eastAsiaTheme="minorEastAsia"/>
          <w:snapToGrid/>
          <w:szCs w:val="22"/>
          <w:lang w:val="lt-LT" w:eastAsia="en-IN"/>
        </w:rPr>
        <w:t xml:space="preserve">Emtricitabine/Tenofovir disoproxil Accordpharma </w:t>
      </w:r>
      <w:r w:rsidRPr="001839C2">
        <w:rPr>
          <w:rFonts w:eastAsiaTheme="minorEastAsia"/>
          <w:snapToGrid/>
          <w:szCs w:val="22"/>
          <w:lang w:val="lt-LT" w:eastAsia="en-IN"/>
        </w:rPr>
        <w:t>dozės praėjo ne daugiau kaip 12</w:t>
      </w:r>
      <w:r w:rsidR="00C0478C" w:rsidRPr="001839C2">
        <w:rPr>
          <w:rFonts w:eastAsiaTheme="minorEastAsia"/>
          <w:snapToGrid/>
          <w:szCs w:val="22"/>
          <w:lang w:val="lt-LT" w:eastAsia="en-IN"/>
        </w:rPr>
        <w:t> </w:t>
      </w:r>
      <w:r w:rsidRPr="001839C2">
        <w:rPr>
          <w:rFonts w:eastAsiaTheme="minorEastAsia"/>
          <w:snapToGrid/>
          <w:szCs w:val="22"/>
          <w:lang w:val="lt-LT" w:eastAsia="en-IN"/>
        </w:rPr>
        <w:t xml:space="preserve">valandų nuo įprasto vartojimo laiko, reikia praleistą </w:t>
      </w:r>
      <w:r w:rsidR="00F11FC5" w:rsidRPr="001839C2">
        <w:rPr>
          <w:rFonts w:eastAsiaTheme="minorEastAsia"/>
          <w:snapToGrid/>
          <w:szCs w:val="22"/>
          <w:lang w:val="lt-LT" w:eastAsia="en-IN"/>
        </w:rPr>
        <w:t>Emtricitabine/Tenofovir disoproxil Accordpharma</w:t>
      </w:r>
      <w:r w:rsidRPr="001839C2" w:rsidDel="00D370FE">
        <w:rPr>
          <w:rFonts w:eastAsiaTheme="minorEastAsia"/>
          <w:snapToGrid/>
          <w:szCs w:val="22"/>
          <w:lang w:val="lt-LT" w:eastAsia="en-IN"/>
        </w:rPr>
        <w:t xml:space="preserve"> </w:t>
      </w:r>
      <w:r w:rsidRPr="001839C2">
        <w:rPr>
          <w:rFonts w:eastAsiaTheme="minorEastAsia"/>
          <w:snapToGrid/>
          <w:szCs w:val="22"/>
          <w:lang w:val="lt-LT" w:eastAsia="en-IN"/>
        </w:rPr>
        <w:t xml:space="preserve">dozę suvartoti kiek galima greičiau ir vartoti kitą dozę pagal įprastą vartojimo grafiką. Jeigu po praleistos </w:t>
      </w:r>
      <w:r w:rsidR="00F11FC5" w:rsidRPr="001839C2">
        <w:rPr>
          <w:rFonts w:eastAsiaTheme="minorEastAsia"/>
          <w:snapToGrid/>
          <w:szCs w:val="22"/>
          <w:lang w:val="lt-LT" w:eastAsia="en-IN"/>
        </w:rPr>
        <w:t xml:space="preserve">Emtricitabine/Tenofovir disoproxil Accordpharma </w:t>
      </w:r>
      <w:r w:rsidRPr="001839C2">
        <w:rPr>
          <w:rFonts w:eastAsiaTheme="minorEastAsia"/>
          <w:snapToGrid/>
          <w:szCs w:val="22"/>
          <w:lang w:val="lt-LT" w:eastAsia="en-IN"/>
        </w:rPr>
        <w:t>dozės praėjo daugiau kaip 12</w:t>
      </w:r>
      <w:r w:rsidR="00C0478C" w:rsidRPr="001839C2">
        <w:rPr>
          <w:rFonts w:eastAsiaTheme="minorEastAsia"/>
          <w:snapToGrid/>
          <w:szCs w:val="22"/>
          <w:lang w:val="lt-LT" w:eastAsia="en-IN"/>
        </w:rPr>
        <w:t> </w:t>
      </w:r>
      <w:r w:rsidRPr="001839C2">
        <w:rPr>
          <w:rFonts w:eastAsiaTheme="minorEastAsia"/>
          <w:snapToGrid/>
          <w:szCs w:val="22"/>
          <w:lang w:val="lt-LT" w:eastAsia="en-IN"/>
        </w:rPr>
        <w:t>valandų bei netrukus reikės vartoti kitą dozę, praleistos dozės vartoti negalima</w:t>
      </w:r>
      <w:r w:rsidR="00883CF3" w:rsidRPr="001839C2">
        <w:rPr>
          <w:rFonts w:eastAsiaTheme="minorEastAsia"/>
          <w:snapToGrid/>
          <w:szCs w:val="22"/>
          <w:lang w:val="lt-LT" w:eastAsia="en-IN"/>
        </w:rPr>
        <w:t>,</w:t>
      </w:r>
      <w:r w:rsidRPr="001839C2">
        <w:rPr>
          <w:rFonts w:eastAsiaTheme="minorEastAsia"/>
          <w:snapToGrid/>
          <w:szCs w:val="22"/>
          <w:lang w:val="lt-LT" w:eastAsia="en-IN"/>
        </w:rPr>
        <w:t xml:space="preserve"> reikia vartoti kitą dozę pagal įprastą vartojimo grafiką.</w:t>
      </w:r>
    </w:p>
    <w:p w14:paraId="24FFD3CA"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56CBB83" w14:textId="59B806EB"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per 1</w:t>
      </w:r>
      <w:r w:rsidR="00C0478C" w:rsidRPr="001839C2">
        <w:rPr>
          <w:rFonts w:eastAsiaTheme="minorEastAsia"/>
          <w:snapToGrid/>
          <w:szCs w:val="22"/>
          <w:lang w:val="lt-LT" w:eastAsia="en-IN"/>
        </w:rPr>
        <w:t> </w:t>
      </w:r>
      <w:r w:rsidRPr="001839C2">
        <w:rPr>
          <w:rFonts w:eastAsiaTheme="minorEastAsia"/>
          <w:snapToGrid/>
          <w:szCs w:val="22"/>
          <w:lang w:val="lt-LT" w:eastAsia="en-IN"/>
        </w:rPr>
        <w:t xml:space="preserve">valandą nuo </w:t>
      </w:r>
      <w:r w:rsidR="00F11FC5" w:rsidRPr="001839C2">
        <w:rPr>
          <w:rFonts w:eastAsiaTheme="minorEastAsia"/>
          <w:snapToGrid/>
          <w:szCs w:val="22"/>
          <w:lang w:val="lt-LT" w:eastAsia="en-IN"/>
        </w:rPr>
        <w:t xml:space="preserve">Emtricitabine/Tenofovir disoproxil Accordpharma </w:t>
      </w:r>
      <w:r w:rsidRPr="001839C2">
        <w:rPr>
          <w:rFonts w:eastAsiaTheme="minorEastAsia"/>
          <w:snapToGrid/>
          <w:szCs w:val="22"/>
          <w:lang w:val="lt-LT" w:eastAsia="en-IN"/>
        </w:rPr>
        <w:t>vartojimo vemiama, reikia suvartoti dar vieną</w:t>
      </w:r>
      <w:r w:rsidR="00C0478C" w:rsidRPr="001839C2">
        <w:rPr>
          <w:rFonts w:eastAsiaTheme="minorEastAsia"/>
          <w:snapToGrid/>
          <w:szCs w:val="22"/>
          <w:lang w:val="lt-LT" w:eastAsia="en-IN"/>
        </w:rPr>
        <w:t> </w:t>
      </w:r>
      <w:r w:rsidRPr="001839C2">
        <w:rPr>
          <w:rFonts w:eastAsiaTheme="minorEastAsia"/>
          <w:snapToGrid/>
          <w:szCs w:val="22"/>
          <w:lang w:val="lt-LT" w:eastAsia="en-IN"/>
        </w:rPr>
        <w:t>tabletę. Jeigu vemiama praėjus daugiau kaip 1</w:t>
      </w:r>
      <w:r w:rsidR="00C0478C" w:rsidRPr="001839C2">
        <w:rPr>
          <w:rFonts w:eastAsiaTheme="minorEastAsia"/>
          <w:snapToGrid/>
          <w:szCs w:val="22"/>
          <w:lang w:val="lt-LT" w:eastAsia="en-IN"/>
        </w:rPr>
        <w:t> </w:t>
      </w:r>
      <w:r w:rsidRPr="001839C2">
        <w:rPr>
          <w:rFonts w:eastAsiaTheme="minorEastAsia"/>
          <w:snapToGrid/>
          <w:szCs w:val="22"/>
          <w:lang w:val="lt-LT" w:eastAsia="en-IN"/>
        </w:rPr>
        <w:t xml:space="preserve">valandai nuo </w:t>
      </w:r>
      <w:r w:rsidR="00F11FC5" w:rsidRPr="001839C2">
        <w:rPr>
          <w:rFonts w:eastAsiaTheme="minorEastAsia"/>
          <w:snapToGrid/>
          <w:szCs w:val="22"/>
          <w:lang w:val="lt-LT" w:eastAsia="en-IN"/>
        </w:rPr>
        <w:t xml:space="preserve">Emtricitabine/Tenofovir disoproxil Accordpharma </w:t>
      </w:r>
      <w:r w:rsidRPr="001839C2">
        <w:rPr>
          <w:rFonts w:eastAsiaTheme="minorEastAsia"/>
          <w:snapToGrid/>
          <w:szCs w:val="22"/>
          <w:lang w:val="lt-LT" w:eastAsia="en-IN"/>
        </w:rPr>
        <w:t>vartojimo, antros</w:t>
      </w:r>
      <w:r w:rsidR="00C0478C" w:rsidRPr="001839C2">
        <w:rPr>
          <w:rFonts w:eastAsiaTheme="minorEastAsia"/>
          <w:snapToGrid/>
          <w:szCs w:val="22"/>
          <w:lang w:val="lt-LT" w:eastAsia="en-IN"/>
        </w:rPr>
        <w:t> </w:t>
      </w:r>
      <w:r w:rsidRPr="001839C2">
        <w:rPr>
          <w:rFonts w:eastAsiaTheme="minorEastAsia"/>
          <w:snapToGrid/>
          <w:szCs w:val="22"/>
          <w:lang w:val="lt-LT" w:eastAsia="en-IN"/>
        </w:rPr>
        <w:t>dozės vartoti negalima.</w:t>
      </w:r>
    </w:p>
    <w:p w14:paraId="37623CE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EC61E4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i/>
          <w:snapToGrid/>
          <w:szCs w:val="22"/>
          <w:lang w:val="lt-LT" w:eastAsia="en-IN"/>
        </w:rPr>
      </w:pPr>
      <w:r w:rsidRPr="001839C2">
        <w:rPr>
          <w:rFonts w:eastAsiaTheme="minorEastAsia"/>
          <w:i/>
          <w:snapToGrid/>
          <w:szCs w:val="22"/>
          <w:u w:val="single"/>
          <w:lang w:val="lt-LT" w:eastAsia="en-IN"/>
        </w:rPr>
        <w:t>Ypatingos p</w:t>
      </w:r>
      <w:r w:rsidR="00C0478C" w:rsidRPr="001839C2">
        <w:rPr>
          <w:rFonts w:eastAsiaTheme="minorEastAsia"/>
          <w:i/>
          <w:snapToGrid/>
          <w:szCs w:val="22"/>
          <w:u w:val="single"/>
          <w:lang w:val="lt-LT" w:eastAsia="en-IN"/>
        </w:rPr>
        <w:t>opulia</w:t>
      </w:r>
      <w:r w:rsidRPr="001839C2">
        <w:rPr>
          <w:rFonts w:eastAsiaTheme="minorEastAsia"/>
          <w:i/>
          <w:snapToGrid/>
          <w:szCs w:val="22"/>
          <w:u w:val="single"/>
          <w:lang w:val="lt-LT" w:eastAsia="en-IN"/>
        </w:rPr>
        <w:t>ci</w:t>
      </w:r>
      <w:r w:rsidR="00C0478C" w:rsidRPr="001839C2">
        <w:rPr>
          <w:rFonts w:eastAsiaTheme="minorEastAsia"/>
          <w:i/>
          <w:snapToGrid/>
          <w:szCs w:val="22"/>
          <w:u w:val="single"/>
          <w:lang w:val="lt-LT" w:eastAsia="en-IN"/>
        </w:rPr>
        <w:t>jo</w:t>
      </w:r>
      <w:r w:rsidRPr="001839C2">
        <w:rPr>
          <w:rFonts w:eastAsiaTheme="minorEastAsia"/>
          <w:i/>
          <w:snapToGrid/>
          <w:szCs w:val="22"/>
          <w:u w:val="single"/>
          <w:lang w:val="lt-LT" w:eastAsia="en-IN"/>
        </w:rPr>
        <w:t>s</w:t>
      </w:r>
    </w:p>
    <w:p w14:paraId="2183D5B8" w14:textId="77777777" w:rsidR="00C0478C" w:rsidRPr="001839C2" w:rsidRDefault="002A5F50" w:rsidP="009D3371">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Senyvi</w:t>
      </w:r>
      <w:r w:rsidR="00C0478C" w:rsidRPr="001839C2">
        <w:rPr>
          <w:rFonts w:eastAsiaTheme="minorEastAsia"/>
          <w:i/>
          <w:iCs/>
          <w:snapToGrid/>
          <w:szCs w:val="22"/>
          <w:lang w:val="lt-LT" w:eastAsia="en-IN"/>
        </w:rPr>
        <w:t>ems</w:t>
      </w:r>
      <w:r w:rsidRPr="001839C2">
        <w:rPr>
          <w:rFonts w:eastAsiaTheme="minorEastAsia"/>
          <w:i/>
          <w:iCs/>
          <w:snapToGrid/>
          <w:szCs w:val="22"/>
          <w:lang w:val="lt-LT" w:eastAsia="en-IN"/>
        </w:rPr>
        <w:t xml:space="preserve"> pacienta</w:t>
      </w:r>
      <w:r w:rsidR="00C0478C" w:rsidRPr="001839C2">
        <w:rPr>
          <w:rFonts w:eastAsiaTheme="minorEastAsia"/>
          <w:i/>
          <w:iCs/>
          <w:snapToGrid/>
          <w:szCs w:val="22"/>
          <w:lang w:val="lt-LT" w:eastAsia="en-IN"/>
        </w:rPr>
        <w:t>ms</w:t>
      </w:r>
    </w:p>
    <w:p w14:paraId="59AAC477" w14:textId="77777777" w:rsidR="002A5F50" w:rsidRPr="001839C2" w:rsidRDefault="00C0478C"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w:t>
      </w:r>
      <w:r w:rsidR="002A5F50" w:rsidRPr="001839C2">
        <w:rPr>
          <w:rFonts w:eastAsiaTheme="minorEastAsia"/>
          <w:snapToGrid/>
          <w:szCs w:val="22"/>
          <w:lang w:val="lt-LT" w:eastAsia="en-IN"/>
        </w:rPr>
        <w:t>oreguoti dozės nereikia (žr.</w:t>
      </w:r>
      <w:r w:rsidRPr="001839C2">
        <w:rPr>
          <w:rFonts w:eastAsiaTheme="minorEastAsia"/>
          <w:snapToGrid/>
          <w:szCs w:val="22"/>
          <w:lang w:val="lt-LT" w:eastAsia="en-IN"/>
        </w:rPr>
        <w:t> </w:t>
      </w:r>
      <w:r w:rsidR="002A5F50" w:rsidRPr="001839C2">
        <w:rPr>
          <w:rFonts w:eastAsiaTheme="minorEastAsia"/>
          <w:snapToGrid/>
          <w:szCs w:val="22"/>
          <w:lang w:val="lt-LT" w:eastAsia="en-IN"/>
        </w:rPr>
        <w:t>5.2</w:t>
      </w:r>
      <w:r w:rsidRPr="001839C2">
        <w:rPr>
          <w:rFonts w:eastAsiaTheme="minorEastAsia"/>
          <w:snapToGrid/>
          <w:szCs w:val="22"/>
          <w:lang w:val="lt-LT" w:eastAsia="en-IN"/>
        </w:rPr>
        <w:t> </w:t>
      </w:r>
      <w:r w:rsidR="002A5F50" w:rsidRPr="001839C2">
        <w:rPr>
          <w:rFonts w:eastAsiaTheme="minorEastAsia"/>
          <w:snapToGrid/>
          <w:szCs w:val="22"/>
          <w:lang w:val="lt-LT" w:eastAsia="en-IN"/>
        </w:rPr>
        <w:t>skyrių).</w:t>
      </w:r>
    </w:p>
    <w:p w14:paraId="073FF42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B865DBA" w14:textId="77777777" w:rsidR="00C0478C" w:rsidRPr="001839C2" w:rsidRDefault="00C0478C"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Pacientams, kurių i</w:t>
      </w:r>
      <w:r w:rsidR="002A5F50" w:rsidRPr="001839C2">
        <w:rPr>
          <w:rFonts w:eastAsiaTheme="minorEastAsia"/>
          <w:i/>
          <w:iCs/>
          <w:snapToGrid/>
          <w:szCs w:val="22"/>
          <w:lang w:val="lt-LT" w:eastAsia="en-IN"/>
        </w:rPr>
        <w:t>nkstų funkcij</w:t>
      </w:r>
      <w:r w:rsidRPr="001839C2">
        <w:rPr>
          <w:rFonts w:eastAsiaTheme="minorEastAsia"/>
          <w:i/>
          <w:iCs/>
          <w:snapToGrid/>
          <w:szCs w:val="22"/>
          <w:lang w:val="lt-LT" w:eastAsia="en-IN"/>
        </w:rPr>
        <w:t>a</w:t>
      </w:r>
      <w:r w:rsidR="002A5F50" w:rsidRPr="001839C2">
        <w:rPr>
          <w:rFonts w:eastAsiaTheme="minorEastAsia"/>
          <w:i/>
          <w:iCs/>
          <w:snapToGrid/>
          <w:szCs w:val="22"/>
          <w:lang w:val="lt-LT" w:eastAsia="en-IN"/>
        </w:rPr>
        <w:t xml:space="preserve"> sutrik</w:t>
      </w:r>
      <w:r w:rsidRPr="001839C2">
        <w:rPr>
          <w:rFonts w:eastAsiaTheme="minorEastAsia"/>
          <w:i/>
          <w:iCs/>
          <w:snapToGrid/>
          <w:szCs w:val="22"/>
          <w:lang w:val="lt-LT" w:eastAsia="en-IN"/>
        </w:rPr>
        <w:t>u</w:t>
      </w:r>
      <w:r w:rsidR="002A5F50" w:rsidRPr="001839C2">
        <w:rPr>
          <w:rFonts w:eastAsiaTheme="minorEastAsia"/>
          <w:i/>
          <w:iCs/>
          <w:snapToGrid/>
          <w:szCs w:val="22"/>
          <w:lang w:val="lt-LT" w:eastAsia="en-IN"/>
        </w:rPr>
        <w:t>s</w:t>
      </w:r>
      <w:r w:rsidRPr="001839C2">
        <w:rPr>
          <w:rFonts w:eastAsiaTheme="minorEastAsia"/>
          <w:i/>
          <w:iCs/>
          <w:snapToGrid/>
          <w:szCs w:val="22"/>
          <w:lang w:val="lt-LT" w:eastAsia="en-IN"/>
        </w:rPr>
        <w:t>i</w:t>
      </w:r>
    </w:p>
    <w:p w14:paraId="2CC66F14" w14:textId="77777777" w:rsidR="002A5F50" w:rsidRPr="001839C2" w:rsidRDefault="00C0478C"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w:t>
      </w:r>
      <w:r w:rsidR="002A5F50" w:rsidRPr="001839C2">
        <w:rPr>
          <w:rFonts w:eastAsiaTheme="minorEastAsia"/>
          <w:snapToGrid/>
          <w:szCs w:val="22"/>
          <w:lang w:val="lt-LT" w:eastAsia="en-IN"/>
        </w:rPr>
        <w:t>mtricitabinas ir tenofoviras yra šalinami p</w:t>
      </w:r>
      <w:r w:rsidRPr="001839C2">
        <w:rPr>
          <w:rFonts w:eastAsiaTheme="minorEastAsia"/>
          <w:snapToGrid/>
          <w:szCs w:val="22"/>
          <w:lang w:val="lt-LT" w:eastAsia="en-IN"/>
        </w:rPr>
        <w:t>e</w:t>
      </w:r>
      <w:r w:rsidR="002A5F50" w:rsidRPr="001839C2">
        <w:rPr>
          <w:rFonts w:eastAsiaTheme="minorEastAsia"/>
          <w:snapToGrid/>
          <w:szCs w:val="22"/>
          <w:lang w:val="lt-LT" w:eastAsia="en-IN"/>
        </w:rPr>
        <w:t>r inkstus, todėl jų koncentracija padidėja, jeigu inkstų funkcija sutrikusi (žr.</w:t>
      </w:r>
      <w:r w:rsidRPr="001839C2">
        <w:rPr>
          <w:rFonts w:eastAsiaTheme="minorEastAsia"/>
          <w:snapToGrid/>
          <w:szCs w:val="22"/>
          <w:lang w:val="lt-LT" w:eastAsia="en-IN"/>
        </w:rPr>
        <w:t> </w:t>
      </w:r>
      <w:r w:rsidR="002A5F50" w:rsidRPr="001839C2">
        <w:rPr>
          <w:rFonts w:eastAsiaTheme="minorEastAsia"/>
          <w:snapToGrid/>
          <w:szCs w:val="22"/>
          <w:lang w:val="lt-LT" w:eastAsia="en-IN"/>
        </w:rPr>
        <w:t>4.4 ir 5.2</w:t>
      </w:r>
      <w:r w:rsidRPr="001839C2">
        <w:rPr>
          <w:rFonts w:eastAsiaTheme="minorEastAsia"/>
          <w:snapToGrid/>
          <w:szCs w:val="22"/>
          <w:lang w:val="lt-LT" w:eastAsia="en-IN"/>
        </w:rPr>
        <w:t> </w:t>
      </w:r>
      <w:r w:rsidR="002A5F50" w:rsidRPr="001839C2">
        <w:rPr>
          <w:rFonts w:eastAsiaTheme="minorEastAsia"/>
          <w:snapToGrid/>
          <w:szCs w:val="22"/>
          <w:lang w:val="lt-LT" w:eastAsia="en-IN"/>
        </w:rPr>
        <w:t>skyrius).</w:t>
      </w:r>
    </w:p>
    <w:p w14:paraId="53A0292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258BE8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Saugusie</w:t>
      </w:r>
      <w:r w:rsidR="00C0478C" w:rsidRPr="001839C2">
        <w:rPr>
          <w:rFonts w:eastAsiaTheme="minorEastAsia"/>
          <w:i/>
          <w:iCs/>
          <w:snapToGrid/>
          <w:szCs w:val="22"/>
          <w:lang w:val="lt-LT" w:eastAsia="en-IN"/>
        </w:rPr>
        <w:t>s</w:t>
      </w:r>
      <w:r w:rsidRPr="001839C2">
        <w:rPr>
          <w:rFonts w:eastAsiaTheme="minorEastAsia"/>
          <w:i/>
          <w:iCs/>
          <w:snapToGrid/>
          <w:szCs w:val="22"/>
          <w:lang w:val="lt-LT" w:eastAsia="en-IN"/>
        </w:rPr>
        <w:t>i</w:t>
      </w:r>
      <w:r w:rsidR="00C0478C" w:rsidRPr="001839C2">
        <w:rPr>
          <w:rFonts w:eastAsiaTheme="minorEastAsia"/>
          <w:i/>
          <w:iCs/>
          <w:snapToGrid/>
          <w:szCs w:val="22"/>
          <w:lang w:val="lt-LT" w:eastAsia="en-IN"/>
        </w:rPr>
        <w:t>ems</w:t>
      </w:r>
      <w:r w:rsidRPr="001839C2">
        <w:rPr>
          <w:rFonts w:eastAsiaTheme="minorEastAsia"/>
          <w:i/>
          <w:iCs/>
          <w:snapToGrid/>
          <w:szCs w:val="22"/>
          <w:lang w:val="lt-LT" w:eastAsia="en-IN"/>
        </w:rPr>
        <w:t>, kurių inkstų funkcija sutrikusi</w:t>
      </w:r>
    </w:p>
    <w:p w14:paraId="6191FB56" w14:textId="5A86146A" w:rsidR="002A5F50" w:rsidRPr="001839C2" w:rsidRDefault="00F11FC5"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Emtricitabine/Tenofovir disoproxil Accordpharma </w:t>
      </w:r>
      <w:r w:rsidR="002A5F50" w:rsidRPr="001839C2">
        <w:rPr>
          <w:rFonts w:eastAsiaTheme="minorEastAsia"/>
          <w:snapToGrid/>
          <w:szCs w:val="22"/>
          <w:lang w:val="lt-LT" w:eastAsia="en-IN"/>
        </w:rPr>
        <w:t>asmenims, kurių kreatinino klirensas (KrKl) yra &lt;</w:t>
      </w:r>
      <w:r w:rsidR="00216FB4" w:rsidRPr="001839C2">
        <w:rPr>
          <w:rFonts w:eastAsiaTheme="minorEastAsia"/>
          <w:snapToGrid/>
          <w:szCs w:val="22"/>
          <w:lang w:val="lt-LT" w:eastAsia="en-IN"/>
        </w:rPr>
        <w:t> </w:t>
      </w:r>
      <w:r w:rsidR="002A5F50" w:rsidRPr="001839C2">
        <w:rPr>
          <w:rFonts w:eastAsiaTheme="minorEastAsia"/>
          <w:snapToGrid/>
          <w:szCs w:val="22"/>
          <w:lang w:val="lt-LT" w:eastAsia="en-IN"/>
        </w:rPr>
        <w:t>80</w:t>
      </w:r>
      <w:r w:rsidR="00216FB4" w:rsidRPr="001839C2">
        <w:rPr>
          <w:rFonts w:eastAsiaTheme="minorEastAsia"/>
          <w:snapToGrid/>
          <w:szCs w:val="22"/>
          <w:lang w:val="lt-LT" w:eastAsia="en-IN"/>
        </w:rPr>
        <w:t> </w:t>
      </w:r>
      <w:r w:rsidR="002A5F50" w:rsidRPr="001839C2">
        <w:rPr>
          <w:rFonts w:eastAsiaTheme="minorEastAsia"/>
          <w:snapToGrid/>
          <w:szCs w:val="22"/>
          <w:lang w:val="lt-LT" w:eastAsia="en-IN"/>
        </w:rPr>
        <w:t>m</w:t>
      </w:r>
      <w:r w:rsidR="00216FB4" w:rsidRPr="001839C2">
        <w:rPr>
          <w:rFonts w:eastAsiaTheme="minorEastAsia"/>
          <w:snapToGrid/>
          <w:szCs w:val="22"/>
          <w:lang w:val="lt-LT" w:eastAsia="en-IN"/>
        </w:rPr>
        <w:t>l</w:t>
      </w:r>
      <w:r w:rsidR="002A5F50" w:rsidRPr="001839C2">
        <w:rPr>
          <w:rFonts w:eastAsiaTheme="minorEastAsia"/>
          <w:snapToGrid/>
          <w:szCs w:val="22"/>
          <w:lang w:val="lt-LT" w:eastAsia="en-IN"/>
        </w:rPr>
        <w:t>/min., galima skirti tik tuomet, jei galima nauda viršija galimą riziką. Žr.</w:t>
      </w:r>
      <w:r w:rsidR="00216FB4" w:rsidRPr="001839C2">
        <w:rPr>
          <w:rFonts w:eastAsiaTheme="minorEastAsia"/>
          <w:snapToGrid/>
          <w:szCs w:val="22"/>
          <w:lang w:val="lt-LT" w:eastAsia="en-IN"/>
        </w:rPr>
        <w:t> </w:t>
      </w:r>
      <w:r w:rsidR="002A5F50" w:rsidRPr="001839C2">
        <w:rPr>
          <w:rFonts w:eastAsiaTheme="minorEastAsia"/>
          <w:snapToGrid/>
          <w:szCs w:val="22"/>
          <w:lang w:val="lt-LT" w:eastAsia="en-IN"/>
        </w:rPr>
        <w:t>1</w:t>
      </w:r>
      <w:r w:rsidR="00216FB4" w:rsidRPr="001839C2">
        <w:rPr>
          <w:rFonts w:eastAsiaTheme="minorEastAsia"/>
          <w:snapToGrid/>
          <w:szCs w:val="22"/>
          <w:lang w:val="lt-LT" w:eastAsia="en-IN"/>
        </w:rPr>
        <w:t> </w:t>
      </w:r>
      <w:r w:rsidR="002A5F50" w:rsidRPr="001839C2">
        <w:rPr>
          <w:rFonts w:eastAsiaTheme="minorEastAsia"/>
          <w:snapToGrid/>
          <w:szCs w:val="22"/>
          <w:lang w:val="lt-LT" w:eastAsia="en-IN"/>
        </w:rPr>
        <w:t>lentelę.</w:t>
      </w:r>
    </w:p>
    <w:p w14:paraId="3863F83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E365E59" w14:textId="77777777" w:rsidR="002A5F50" w:rsidRPr="001839C2" w:rsidRDefault="002A5F50" w:rsidP="009D3371">
      <w:pPr>
        <w:widowControl w:val="0"/>
        <w:tabs>
          <w:tab w:val="clear" w:pos="567"/>
          <w:tab w:val="left" w:pos="0"/>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1</w:t>
      </w:r>
      <w:r w:rsidR="00216FB4" w:rsidRPr="001839C2">
        <w:rPr>
          <w:rFonts w:eastAsiaTheme="minorEastAsia"/>
          <w:b/>
          <w:bCs/>
          <w:snapToGrid/>
          <w:szCs w:val="22"/>
          <w:lang w:val="lt-LT" w:eastAsia="en-IN"/>
        </w:rPr>
        <w:t> </w:t>
      </w:r>
      <w:r w:rsidRPr="001839C2">
        <w:rPr>
          <w:rFonts w:eastAsiaTheme="minorEastAsia"/>
          <w:b/>
          <w:bCs/>
          <w:snapToGrid/>
          <w:szCs w:val="22"/>
          <w:lang w:val="lt-LT" w:eastAsia="en-IN"/>
        </w:rPr>
        <w:t>lentelė. Dozavimo rekomendacijos suaugusiesiems, kurių inkstų funkcija sutrikusi</w:t>
      </w:r>
    </w:p>
    <w:p w14:paraId="36CE6CA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pPr w:leftFromText="180" w:rightFromText="180" w:vertAnchor="text" w:tblpX="110" w:tblpY="1"/>
        <w:tblOverlap w:val="never"/>
        <w:tblW w:w="9276" w:type="dxa"/>
        <w:tblLayout w:type="fixed"/>
        <w:tblCellMar>
          <w:left w:w="0" w:type="dxa"/>
          <w:right w:w="0" w:type="dxa"/>
        </w:tblCellMar>
        <w:tblLook w:val="0000" w:firstRow="0" w:lastRow="0" w:firstColumn="0" w:lastColumn="0" w:noHBand="0" w:noVBand="0"/>
      </w:tblPr>
      <w:tblGrid>
        <w:gridCol w:w="2750"/>
        <w:gridCol w:w="3260"/>
        <w:gridCol w:w="3266"/>
      </w:tblGrid>
      <w:tr w:rsidR="002A5F50" w:rsidRPr="001839C2" w14:paraId="26BD0F86" w14:textId="77777777" w:rsidTr="00230559">
        <w:tc>
          <w:tcPr>
            <w:tcW w:w="2750" w:type="dxa"/>
            <w:tcBorders>
              <w:top w:val="single" w:sz="4" w:space="0" w:color="000000"/>
              <w:left w:val="single" w:sz="4" w:space="0" w:color="000000"/>
              <w:bottom w:val="single" w:sz="4" w:space="0" w:color="000000"/>
              <w:right w:val="single" w:sz="4" w:space="0" w:color="000000"/>
            </w:tcBorders>
          </w:tcPr>
          <w:p w14:paraId="282B00EF"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260" w:type="dxa"/>
            <w:tcBorders>
              <w:top w:val="single" w:sz="4" w:space="0" w:color="000000"/>
              <w:left w:val="single" w:sz="4" w:space="0" w:color="000000"/>
              <w:bottom w:val="single" w:sz="4" w:space="0" w:color="000000"/>
              <w:right w:val="single" w:sz="4" w:space="0" w:color="000000"/>
            </w:tcBorders>
          </w:tcPr>
          <w:p w14:paraId="14CFA87E"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ŽIV</w:t>
            </w:r>
            <w:r w:rsidR="00216FB4" w:rsidRPr="001839C2">
              <w:rPr>
                <w:rFonts w:eastAsiaTheme="minorEastAsia"/>
                <w:b/>
                <w:bCs/>
                <w:snapToGrid/>
                <w:szCs w:val="22"/>
                <w:lang w:val="lt-LT" w:eastAsia="en-IN"/>
              </w:rPr>
              <w:noBreakHyphen/>
            </w:r>
            <w:r w:rsidRPr="001839C2">
              <w:rPr>
                <w:rFonts w:eastAsiaTheme="minorEastAsia"/>
                <w:b/>
                <w:bCs/>
                <w:snapToGrid/>
                <w:szCs w:val="22"/>
                <w:lang w:val="lt-LT" w:eastAsia="en-IN"/>
              </w:rPr>
              <w:t>1</w:t>
            </w:r>
            <w:r w:rsidR="00216FB4" w:rsidRPr="001839C2">
              <w:rPr>
                <w:rFonts w:eastAsiaTheme="minorEastAsia"/>
                <w:b/>
                <w:bCs/>
                <w:snapToGrid/>
                <w:szCs w:val="22"/>
                <w:lang w:val="lt-LT" w:eastAsia="en-IN"/>
              </w:rPr>
              <w:t> </w:t>
            </w:r>
            <w:r w:rsidRPr="001839C2">
              <w:rPr>
                <w:rFonts w:eastAsiaTheme="minorEastAsia"/>
                <w:b/>
                <w:bCs/>
                <w:snapToGrid/>
                <w:szCs w:val="22"/>
                <w:lang w:val="lt-LT" w:eastAsia="en-IN"/>
              </w:rPr>
              <w:t>infekcijos gydymas</w:t>
            </w:r>
          </w:p>
        </w:tc>
        <w:tc>
          <w:tcPr>
            <w:tcW w:w="3266" w:type="dxa"/>
            <w:tcBorders>
              <w:top w:val="single" w:sz="4" w:space="0" w:color="000000"/>
              <w:left w:val="single" w:sz="4" w:space="0" w:color="000000"/>
              <w:bottom w:val="single" w:sz="4" w:space="0" w:color="000000"/>
              <w:right w:val="single" w:sz="4" w:space="0" w:color="000000"/>
            </w:tcBorders>
          </w:tcPr>
          <w:p w14:paraId="7D7FB12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Priešekspozicinė profilaktika</w:t>
            </w:r>
          </w:p>
        </w:tc>
      </w:tr>
      <w:tr w:rsidR="002A5F50" w:rsidRPr="001839C2" w14:paraId="43C16FE6" w14:textId="77777777" w:rsidTr="00230559">
        <w:tc>
          <w:tcPr>
            <w:tcW w:w="2750" w:type="dxa"/>
            <w:tcBorders>
              <w:top w:val="single" w:sz="4" w:space="0" w:color="000000"/>
              <w:left w:val="single" w:sz="4" w:space="0" w:color="000000"/>
              <w:bottom w:val="single" w:sz="4" w:space="0" w:color="000000"/>
              <w:right w:val="single" w:sz="4" w:space="0" w:color="000000"/>
            </w:tcBorders>
          </w:tcPr>
          <w:p w14:paraId="3E094B0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Lengvas inkstų funkcijos sutrikimas</w:t>
            </w:r>
          </w:p>
          <w:p w14:paraId="0590A3C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(KrKl 50</w:t>
            </w:r>
            <w:r w:rsidR="00216FB4" w:rsidRPr="001839C2">
              <w:rPr>
                <w:rFonts w:eastAsiaTheme="minorEastAsia"/>
                <w:snapToGrid/>
                <w:szCs w:val="22"/>
                <w:lang w:val="lt-LT" w:eastAsia="en-IN"/>
              </w:rPr>
              <w:noBreakHyphen/>
            </w:r>
            <w:r w:rsidRPr="001839C2">
              <w:rPr>
                <w:rFonts w:eastAsiaTheme="minorEastAsia"/>
                <w:snapToGrid/>
                <w:szCs w:val="22"/>
                <w:lang w:val="lt-LT" w:eastAsia="en-IN"/>
              </w:rPr>
              <w:t>80</w:t>
            </w:r>
            <w:r w:rsidR="00216FB4" w:rsidRPr="001839C2">
              <w:rPr>
                <w:rFonts w:eastAsiaTheme="minorEastAsia"/>
                <w:snapToGrid/>
                <w:szCs w:val="22"/>
                <w:lang w:val="lt-LT" w:eastAsia="en-IN"/>
              </w:rPr>
              <w:t> </w:t>
            </w:r>
            <w:r w:rsidRPr="001839C2">
              <w:rPr>
                <w:rFonts w:eastAsiaTheme="minorEastAsia"/>
                <w:snapToGrid/>
                <w:szCs w:val="22"/>
                <w:lang w:val="lt-LT" w:eastAsia="en-IN"/>
              </w:rPr>
              <w:t>ml/min.)</w:t>
            </w:r>
          </w:p>
        </w:tc>
        <w:tc>
          <w:tcPr>
            <w:tcW w:w="3260" w:type="dxa"/>
            <w:tcBorders>
              <w:top w:val="single" w:sz="4" w:space="0" w:color="000000"/>
              <w:left w:val="single" w:sz="4" w:space="0" w:color="000000"/>
              <w:bottom w:val="single" w:sz="4" w:space="0" w:color="000000"/>
              <w:right w:val="single" w:sz="4" w:space="0" w:color="000000"/>
            </w:tcBorders>
          </w:tcPr>
          <w:p w14:paraId="18E8381A" w14:textId="77777777" w:rsidR="002A5F50" w:rsidRPr="001839C2" w:rsidRDefault="002A5F50" w:rsidP="00EA0BD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Remiantis ribotais klinikinių tyrimų duomenimis, vartojama vieną</w:t>
            </w:r>
            <w:r w:rsidR="00216FB4" w:rsidRPr="001839C2">
              <w:rPr>
                <w:rFonts w:eastAsiaTheme="minorEastAsia"/>
                <w:snapToGrid/>
                <w:szCs w:val="22"/>
                <w:lang w:val="lt-LT" w:eastAsia="en-IN"/>
              </w:rPr>
              <w:t> </w:t>
            </w:r>
            <w:r w:rsidRPr="001839C2">
              <w:rPr>
                <w:rFonts w:eastAsiaTheme="minorEastAsia"/>
                <w:snapToGrid/>
                <w:szCs w:val="22"/>
                <w:lang w:val="lt-LT" w:eastAsia="en-IN"/>
              </w:rPr>
              <w:t>kartą per</w:t>
            </w:r>
            <w:r w:rsidR="00216FB4" w:rsidRPr="001839C2">
              <w:rPr>
                <w:rFonts w:eastAsiaTheme="minorEastAsia"/>
                <w:snapToGrid/>
                <w:szCs w:val="22"/>
                <w:lang w:val="lt-LT" w:eastAsia="en-IN"/>
              </w:rPr>
              <w:t> </w:t>
            </w:r>
            <w:r w:rsidRPr="001839C2">
              <w:rPr>
                <w:rFonts w:eastAsiaTheme="minorEastAsia"/>
                <w:snapToGrid/>
                <w:szCs w:val="22"/>
                <w:lang w:val="lt-LT" w:eastAsia="en-IN"/>
              </w:rPr>
              <w:t>parą (žr.</w:t>
            </w:r>
            <w:r w:rsidR="00216FB4" w:rsidRPr="001839C2">
              <w:rPr>
                <w:rFonts w:eastAsiaTheme="minorEastAsia"/>
                <w:snapToGrid/>
                <w:szCs w:val="22"/>
                <w:lang w:val="lt-LT" w:eastAsia="en-IN"/>
              </w:rPr>
              <w:t> </w:t>
            </w:r>
            <w:r w:rsidRPr="001839C2">
              <w:rPr>
                <w:rFonts w:eastAsiaTheme="minorEastAsia"/>
                <w:snapToGrid/>
                <w:szCs w:val="22"/>
                <w:lang w:val="lt-LT" w:eastAsia="en-IN"/>
              </w:rPr>
              <w:t>4.4</w:t>
            </w:r>
            <w:r w:rsidR="00216FB4" w:rsidRPr="001839C2">
              <w:rPr>
                <w:rFonts w:eastAsiaTheme="minorEastAsia"/>
                <w:snapToGrid/>
                <w:szCs w:val="22"/>
                <w:lang w:val="lt-LT" w:eastAsia="en-IN"/>
              </w:rPr>
              <w:t> </w:t>
            </w:r>
            <w:r w:rsidRPr="001839C2">
              <w:rPr>
                <w:rFonts w:eastAsiaTheme="minorEastAsia"/>
                <w:snapToGrid/>
                <w:szCs w:val="22"/>
                <w:lang w:val="lt-LT" w:eastAsia="en-IN"/>
              </w:rPr>
              <w:t>skyrių).</w:t>
            </w:r>
          </w:p>
        </w:tc>
        <w:tc>
          <w:tcPr>
            <w:tcW w:w="3266" w:type="dxa"/>
            <w:tcBorders>
              <w:top w:val="single" w:sz="4" w:space="0" w:color="000000"/>
              <w:left w:val="single" w:sz="4" w:space="0" w:color="000000"/>
              <w:bottom w:val="single" w:sz="4" w:space="0" w:color="000000"/>
              <w:right w:val="single" w:sz="4" w:space="0" w:color="000000"/>
            </w:tcBorders>
          </w:tcPr>
          <w:p w14:paraId="1FBD0E5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Riboti klinikinių tyrimų duomenys patvirtino, kad ŽIV</w:t>
            </w:r>
            <w:r w:rsidR="00216FB4" w:rsidRPr="001839C2">
              <w:rPr>
                <w:rFonts w:eastAsiaTheme="minorEastAsia"/>
                <w:snapToGrid/>
                <w:szCs w:val="22"/>
                <w:lang w:val="lt-LT" w:eastAsia="en-IN"/>
              </w:rPr>
              <w:noBreakHyphen/>
            </w:r>
            <w:r w:rsidRPr="001839C2">
              <w:rPr>
                <w:rFonts w:eastAsiaTheme="minorEastAsia"/>
                <w:snapToGrid/>
                <w:szCs w:val="22"/>
                <w:lang w:val="lt-LT" w:eastAsia="en-IN"/>
              </w:rPr>
              <w:t>1 neinfekuotiems asmenims, kurių KrKl 60</w:t>
            </w:r>
            <w:r w:rsidR="00216FB4" w:rsidRPr="001839C2">
              <w:rPr>
                <w:rFonts w:eastAsiaTheme="minorEastAsia"/>
                <w:snapToGrid/>
                <w:szCs w:val="22"/>
                <w:lang w:val="lt-LT" w:eastAsia="en-IN"/>
              </w:rPr>
              <w:noBreakHyphen/>
            </w:r>
            <w:r w:rsidRPr="001839C2">
              <w:rPr>
                <w:rFonts w:eastAsiaTheme="minorEastAsia"/>
                <w:snapToGrid/>
                <w:szCs w:val="22"/>
                <w:lang w:val="lt-LT" w:eastAsia="en-IN"/>
              </w:rPr>
              <w:t>80</w:t>
            </w:r>
            <w:r w:rsidR="00216FB4" w:rsidRPr="001839C2">
              <w:rPr>
                <w:rFonts w:eastAsiaTheme="minorEastAsia"/>
                <w:snapToGrid/>
                <w:szCs w:val="22"/>
                <w:lang w:val="lt-LT" w:eastAsia="en-IN"/>
              </w:rPr>
              <w:t> </w:t>
            </w:r>
            <w:r w:rsidRPr="001839C2">
              <w:rPr>
                <w:rFonts w:eastAsiaTheme="minorEastAsia"/>
                <w:snapToGrid/>
                <w:szCs w:val="22"/>
                <w:lang w:val="lt-LT" w:eastAsia="en-IN"/>
              </w:rPr>
              <w:t>ml/min., galima vartoti vieną</w:t>
            </w:r>
            <w:r w:rsidR="00216FB4" w:rsidRPr="001839C2">
              <w:rPr>
                <w:rFonts w:eastAsiaTheme="minorEastAsia"/>
                <w:snapToGrid/>
                <w:szCs w:val="22"/>
                <w:lang w:val="lt-LT" w:eastAsia="en-IN"/>
              </w:rPr>
              <w:t> </w:t>
            </w:r>
            <w:r w:rsidRPr="001839C2">
              <w:rPr>
                <w:rFonts w:eastAsiaTheme="minorEastAsia"/>
                <w:snapToGrid/>
                <w:szCs w:val="22"/>
                <w:lang w:val="lt-LT" w:eastAsia="en-IN"/>
              </w:rPr>
              <w:t>kartą per</w:t>
            </w:r>
            <w:r w:rsidR="00216FB4" w:rsidRPr="001839C2">
              <w:rPr>
                <w:rFonts w:eastAsiaTheme="minorEastAsia"/>
                <w:snapToGrid/>
                <w:szCs w:val="22"/>
                <w:lang w:val="lt-LT" w:eastAsia="en-IN"/>
              </w:rPr>
              <w:t> </w:t>
            </w:r>
            <w:r w:rsidRPr="001839C2">
              <w:rPr>
                <w:rFonts w:eastAsiaTheme="minorEastAsia"/>
                <w:snapToGrid/>
                <w:szCs w:val="22"/>
                <w:lang w:val="lt-LT" w:eastAsia="en-IN"/>
              </w:rPr>
              <w:t>parą.</w:t>
            </w:r>
          </w:p>
          <w:p w14:paraId="32DD0C9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Nerekomenduojama vartoti ŽIV</w:t>
            </w:r>
            <w:r w:rsidR="00216FB4" w:rsidRPr="001839C2">
              <w:rPr>
                <w:rFonts w:eastAsiaTheme="minorEastAsia"/>
                <w:snapToGrid/>
                <w:szCs w:val="22"/>
                <w:lang w:val="lt-LT" w:eastAsia="en-IN"/>
              </w:rPr>
              <w:noBreakHyphen/>
            </w:r>
            <w:r w:rsidRPr="001839C2">
              <w:rPr>
                <w:rFonts w:eastAsiaTheme="minorEastAsia"/>
                <w:snapToGrid/>
                <w:szCs w:val="22"/>
                <w:lang w:val="lt-LT" w:eastAsia="en-IN"/>
              </w:rPr>
              <w:t>1 neinfekuotiems asmenims, kurių KrKl</w:t>
            </w:r>
            <w:r w:rsidR="000C5F8E" w:rsidRPr="001839C2">
              <w:rPr>
                <w:rFonts w:eastAsiaTheme="minorEastAsia"/>
                <w:snapToGrid/>
                <w:szCs w:val="22"/>
                <w:lang w:val="lt-LT" w:eastAsia="en-IN"/>
              </w:rPr>
              <w:t> </w:t>
            </w:r>
            <w:r w:rsidRPr="001839C2">
              <w:rPr>
                <w:rFonts w:eastAsiaTheme="minorEastAsia"/>
                <w:snapToGrid/>
                <w:szCs w:val="22"/>
                <w:lang w:val="lt-LT" w:eastAsia="en-IN"/>
              </w:rPr>
              <w:t>&lt;</w:t>
            </w:r>
            <w:r w:rsidR="00216FB4" w:rsidRPr="001839C2">
              <w:rPr>
                <w:rFonts w:eastAsiaTheme="minorEastAsia"/>
                <w:snapToGrid/>
                <w:szCs w:val="22"/>
                <w:lang w:val="lt-LT" w:eastAsia="en-IN"/>
              </w:rPr>
              <w:t> </w:t>
            </w:r>
            <w:r w:rsidRPr="001839C2">
              <w:rPr>
                <w:rFonts w:eastAsiaTheme="minorEastAsia"/>
                <w:snapToGrid/>
                <w:szCs w:val="22"/>
                <w:lang w:val="lt-LT" w:eastAsia="en-IN"/>
              </w:rPr>
              <w:t>60</w:t>
            </w:r>
            <w:r w:rsidR="00216FB4" w:rsidRPr="001839C2">
              <w:rPr>
                <w:rFonts w:eastAsiaTheme="minorEastAsia"/>
                <w:snapToGrid/>
                <w:szCs w:val="22"/>
                <w:lang w:val="lt-LT" w:eastAsia="en-IN"/>
              </w:rPr>
              <w:t> </w:t>
            </w:r>
            <w:r w:rsidRPr="001839C2">
              <w:rPr>
                <w:rFonts w:eastAsiaTheme="minorEastAsia"/>
                <w:snapToGrid/>
                <w:szCs w:val="22"/>
                <w:lang w:val="lt-LT" w:eastAsia="en-IN"/>
              </w:rPr>
              <w:t>m</w:t>
            </w:r>
            <w:r w:rsidR="00216FB4" w:rsidRPr="001839C2">
              <w:rPr>
                <w:rFonts w:eastAsiaTheme="minorEastAsia"/>
                <w:snapToGrid/>
                <w:szCs w:val="22"/>
                <w:lang w:val="lt-LT" w:eastAsia="en-IN"/>
              </w:rPr>
              <w:t>l</w:t>
            </w:r>
            <w:r w:rsidRPr="001839C2">
              <w:rPr>
                <w:rFonts w:eastAsiaTheme="minorEastAsia"/>
                <w:snapToGrid/>
                <w:szCs w:val="22"/>
                <w:lang w:val="lt-LT" w:eastAsia="en-IN"/>
              </w:rPr>
              <w:t>/min., nes vartojimas šiai populiacijai neištirtas (žr.</w:t>
            </w:r>
            <w:r w:rsidR="00216FB4" w:rsidRPr="001839C2">
              <w:rPr>
                <w:rFonts w:eastAsiaTheme="minorEastAsia"/>
                <w:snapToGrid/>
                <w:szCs w:val="22"/>
                <w:lang w:val="lt-LT" w:eastAsia="en-IN"/>
              </w:rPr>
              <w:t> </w:t>
            </w:r>
            <w:r w:rsidRPr="001839C2">
              <w:rPr>
                <w:rFonts w:eastAsiaTheme="minorEastAsia"/>
                <w:snapToGrid/>
                <w:szCs w:val="22"/>
                <w:lang w:val="lt-LT" w:eastAsia="en-IN"/>
              </w:rPr>
              <w:t>4.4 ir</w:t>
            </w:r>
          </w:p>
          <w:p w14:paraId="6538813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5.2</w:t>
            </w:r>
            <w:r w:rsidR="00216FB4" w:rsidRPr="001839C2">
              <w:rPr>
                <w:rFonts w:eastAsiaTheme="minorEastAsia"/>
                <w:snapToGrid/>
                <w:szCs w:val="22"/>
                <w:lang w:val="lt-LT" w:eastAsia="en-IN"/>
              </w:rPr>
              <w:t> </w:t>
            </w:r>
            <w:r w:rsidRPr="001839C2">
              <w:rPr>
                <w:rFonts w:eastAsiaTheme="minorEastAsia"/>
                <w:snapToGrid/>
                <w:szCs w:val="22"/>
                <w:lang w:val="lt-LT" w:eastAsia="en-IN"/>
              </w:rPr>
              <w:t>skyrius).</w:t>
            </w:r>
          </w:p>
        </w:tc>
      </w:tr>
      <w:tr w:rsidR="002A5F50" w:rsidRPr="001839C2" w14:paraId="7A14996E" w14:textId="77777777" w:rsidTr="00230559">
        <w:tc>
          <w:tcPr>
            <w:tcW w:w="2750" w:type="dxa"/>
            <w:tcBorders>
              <w:top w:val="single" w:sz="4" w:space="0" w:color="000000"/>
              <w:left w:val="single" w:sz="4" w:space="0" w:color="000000"/>
              <w:bottom w:val="single" w:sz="4" w:space="0" w:color="000000"/>
              <w:right w:val="single" w:sz="4" w:space="0" w:color="000000"/>
            </w:tcBorders>
          </w:tcPr>
          <w:p w14:paraId="6EEE9362" w14:textId="77777777" w:rsidR="00216FB4"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Vidutinio sunkumo inkstų funkcijos sutrikimas</w:t>
            </w:r>
          </w:p>
          <w:p w14:paraId="519905B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(KrKl 30</w:t>
            </w:r>
            <w:r w:rsidR="00216FB4" w:rsidRPr="001839C2">
              <w:rPr>
                <w:rFonts w:eastAsiaTheme="minorEastAsia"/>
                <w:snapToGrid/>
                <w:szCs w:val="22"/>
                <w:lang w:val="lt-LT" w:eastAsia="en-IN"/>
              </w:rPr>
              <w:noBreakHyphen/>
            </w:r>
            <w:r w:rsidRPr="001839C2">
              <w:rPr>
                <w:rFonts w:eastAsiaTheme="minorEastAsia"/>
                <w:snapToGrid/>
                <w:szCs w:val="22"/>
                <w:lang w:val="lt-LT" w:eastAsia="en-IN"/>
              </w:rPr>
              <w:t>49</w:t>
            </w:r>
            <w:r w:rsidR="00216FB4" w:rsidRPr="001839C2">
              <w:rPr>
                <w:rFonts w:eastAsiaTheme="minorEastAsia"/>
                <w:snapToGrid/>
                <w:szCs w:val="22"/>
                <w:lang w:val="lt-LT" w:eastAsia="en-IN"/>
              </w:rPr>
              <w:t> </w:t>
            </w:r>
            <w:r w:rsidRPr="001839C2">
              <w:rPr>
                <w:rFonts w:eastAsiaTheme="minorEastAsia"/>
                <w:snapToGrid/>
                <w:szCs w:val="22"/>
                <w:lang w:val="lt-LT" w:eastAsia="en-IN"/>
              </w:rPr>
              <w:t>ml/min.)</w:t>
            </w:r>
          </w:p>
        </w:tc>
        <w:tc>
          <w:tcPr>
            <w:tcW w:w="3260" w:type="dxa"/>
            <w:tcBorders>
              <w:top w:val="single" w:sz="4" w:space="0" w:color="000000"/>
              <w:left w:val="single" w:sz="4" w:space="0" w:color="000000"/>
              <w:bottom w:val="single" w:sz="4" w:space="0" w:color="000000"/>
              <w:right w:val="single" w:sz="4" w:space="0" w:color="000000"/>
            </w:tcBorders>
          </w:tcPr>
          <w:p w14:paraId="767D4C1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Remiantis emtricitabino ir tenofoviro dizoproksilio vienkartinės dozės farmakokinetikos duomenų modeliavimu ŽIV neinfekuotiems tiriamiesiems su įvairaus s</w:t>
            </w:r>
            <w:r w:rsidR="00216FB4" w:rsidRPr="001839C2">
              <w:rPr>
                <w:rFonts w:eastAsiaTheme="minorEastAsia"/>
                <w:snapToGrid/>
                <w:szCs w:val="22"/>
                <w:lang w:val="lt-LT" w:eastAsia="en-IN"/>
              </w:rPr>
              <w:t>u</w:t>
            </w:r>
            <w:r w:rsidRPr="001839C2">
              <w:rPr>
                <w:rFonts w:eastAsiaTheme="minorEastAsia"/>
                <w:snapToGrid/>
                <w:szCs w:val="22"/>
                <w:lang w:val="lt-LT" w:eastAsia="en-IN"/>
              </w:rPr>
              <w:t>n</w:t>
            </w:r>
            <w:r w:rsidR="00216FB4" w:rsidRPr="001839C2">
              <w:rPr>
                <w:rFonts w:eastAsiaTheme="minorEastAsia"/>
                <w:snapToGrid/>
                <w:szCs w:val="22"/>
                <w:lang w:val="lt-LT" w:eastAsia="en-IN"/>
              </w:rPr>
              <w:t>kum</w:t>
            </w:r>
            <w:r w:rsidRPr="001839C2">
              <w:rPr>
                <w:rFonts w:eastAsiaTheme="minorEastAsia"/>
                <w:snapToGrid/>
                <w:szCs w:val="22"/>
                <w:lang w:val="lt-LT" w:eastAsia="en-IN"/>
              </w:rPr>
              <w:t>o inkstų funkcijos sutrikimu, rekomenduojama vartoti kas</w:t>
            </w:r>
            <w:r w:rsidR="00216FB4" w:rsidRPr="001839C2">
              <w:rPr>
                <w:rFonts w:eastAsiaTheme="minorEastAsia"/>
                <w:snapToGrid/>
                <w:szCs w:val="22"/>
                <w:lang w:val="lt-LT" w:eastAsia="en-IN"/>
              </w:rPr>
              <w:t xml:space="preserve"> 48</w:t>
            </w:r>
            <w:r w:rsidR="007733FF" w:rsidRPr="001839C2">
              <w:rPr>
                <w:rFonts w:eastAsiaTheme="minorEastAsia"/>
                <w:snapToGrid/>
                <w:szCs w:val="22"/>
                <w:lang w:val="lt-LT" w:eastAsia="en-IN"/>
              </w:rPr>
              <w:t> </w:t>
            </w:r>
            <w:r w:rsidR="00216FB4" w:rsidRPr="001839C2">
              <w:rPr>
                <w:rFonts w:eastAsiaTheme="minorEastAsia"/>
                <w:snapToGrid/>
                <w:szCs w:val="22"/>
                <w:lang w:val="lt-LT" w:eastAsia="en-IN"/>
              </w:rPr>
              <w:t>valandas (žr.</w:t>
            </w:r>
            <w:r w:rsidR="007733FF" w:rsidRPr="001839C2">
              <w:rPr>
                <w:rFonts w:eastAsiaTheme="minorEastAsia"/>
                <w:snapToGrid/>
                <w:szCs w:val="22"/>
                <w:lang w:val="lt-LT" w:eastAsia="en-IN"/>
              </w:rPr>
              <w:t> </w:t>
            </w:r>
            <w:r w:rsidR="00216FB4" w:rsidRPr="001839C2">
              <w:rPr>
                <w:rFonts w:eastAsiaTheme="minorEastAsia"/>
                <w:snapToGrid/>
                <w:szCs w:val="22"/>
                <w:lang w:val="lt-LT" w:eastAsia="en-IN"/>
              </w:rPr>
              <w:t>4.4</w:t>
            </w:r>
            <w:r w:rsidR="007733FF" w:rsidRPr="001839C2">
              <w:rPr>
                <w:rFonts w:eastAsiaTheme="minorEastAsia"/>
                <w:snapToGrid/>
                <w:szCs w:val="22"/>
                <w:lang w:val="lt-LT" w:eastAsia="en-IN"/>
              </w:rPr>
              <w:t> </w:t>
            </w:r>
            <w:r w:rsidR="00216FB4" w:rsidRPr="001839C2">
              <w:rPr>
                <w:rFonts w:eastAsiaTheme="minorEastAsia"/>
                <w:snapToGrid/>
                <w:szCs w:val="22"/>
                <w:lang w:val="lt-LT" w:eastAsia="en-IN"/>
              </w:rPr>
              <w:t>skyrių).</w:t>
            </w:r>
          </w:p>
        </w:tc>
        <w:tc>
          <w:tcPr>
            <w:tcW w:w="3266" w:type="dxa"/>
            <w:tcBorders>
              <w:top w:val="single" w:sz="4" w:space="0" w:color="000000"/>
              <w:left w:val="single" w:sz="4" w:space="0" w:color="000000"/>
              <w:bottom w:val="single" w:sz="4" w:space="0" w:color="000000"/>
              <w:right w:val="single" w:sz="4" w:space="0" w:color="000000"/>
            </w:tcBorders>
          </w:tcPr>
          <w:p w14:paraId="3FDC1B6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Nerekomenduojama vartoti ši</w:t>
            </w:r>
            <w:r w:rsidR="00216FB4" w:rsidRPr="001839C2">
              <w:rPr>
                <w:rFonts w:eastAsiaTheme="minorEastAsia"/>
                <w:snapToGrid/>
                <w:szCs w:val="22"/>
                <w:lang w:val="lt-LT" w:eastAsia="en-IN"/>
              </w:rPr>
              <w:t>ai</w:t>
            </w:r>
            <w:r w:rsidRPr="001839C2">
              <w:rPr>
                <w:rFonts w:eastAsiaTheme="minorEastAsia"/>
                <w:snapToGrid/>
                <w:szCs w:val="22"/>
                <w:lang w:val="lt-LT" w:eastAsia="en-IN"/>
              </w:rPr>
              <w:t xml:space="preserve"> populiacij</w:t>
            </w:r>
            <w:r w:rsidR="00216FB4" w:rsidRPr="001839C2">
              <w:rPr>
                <w:rFonts w:eastAsiaTheme="minorEastAsia"/>
                <w:snapToGrid/>
                <w:szCs w:val="22"/>
                <w:lang w:val="lt-LT" w:eastAsia="en-IN"/>
              </w:rPr>
              <w:t>ai</w:t>
            </w:r>
            <w:r w:rsidRPr="001839C2">
              <w:rPr>
                <w:rFonts w:eastAsiaTheme="minorEastAsia"/>
                <w:snapToGrid/>
                <w:szCs w:val="22"/>
                <w:lang w:val="lt-LT" w:eastAsia="en-IN"/>
              </w:rPr>
              <w:t>.</w:t>
            </w:r>
          </w:p>
        </w:tc>
      </w:tr>
      <w:tr w:rsidR="002A5F50" w:rsidRPr="001839C2" w14:paraId="3B6FDAF6" w14:textId="77777777" w:rsidTr="00230559">
        <w:tc>
          <w:tcPr>
            <w:tcW w:w="2750" w:type="dxa"/>
            <w:tcBorders>
              <w:top w:val="single" w:sz="4" w:space="0" w:color="000000"/>
              <w:left w:val="single" w:sz="4" w:space="0" w:color="000000"/>
              <w:bottom w:val="single" w:sz="4" w:space="0" w:color="000000"/>
              <w:right w:val="single" w:sz="4" w:space="0" w:color="000000"/>
            </w:tcBorders>
          </w:tcPr>
          <w:p w14:paraId="034F0EB2" w14:textId="77777777" w:rsidR="00216FB4"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Sunkus inkstų funkcijos sutrikimas</w:t>
            </w:r>
          </w:p>
          <w:p w14:paraId="0AF36E5A" w14:textId="77777777" w:rsidR="00216FB4"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(KrKl</w:t>
            </w:r>
            <w:r w:rsidR="000C5F8E" w:rsidRPr="001839C2">
              <w:rPr>
                <w:rFonts w:eastAsiaTheme="minorEastAsia"/>
                <w:snapToGrid/>
                <w:szCs w:val="22"/>
                <w:lang w:val="lt-LT" w:eastAsia="en-IN"/>
              </w:rPr>
              <w:t> </w:t>
            </w:r>
            <w:r w:rsidRPr="001839C2">
              <w:rPr>
                <w:rFonts w:eastAsiaTheme="minorEastAsia"/>
                <w:snapToGrid/>
                <w:szCs w:val="22"/>
                <w:lang w:val="lt-LT" w:eastAsia="en-IN"/>
              </w:rPr>
              <w:t>&lt;</w:t>
            </w:r>
            <w:r w:rsidR="00216FB4" w:rsidRPr="001839C2">
              <w:rPr>
                <w:rFonts w:eastAsiaTheme="minorEastAsia"/>
                <w:snapToGrid/>
                <w:szCs w:val="22"/>
                <w:lang w:val="lt-LT" w:eastAsia="en-IN"/>
              </w:rPr>
              <w:t> </w:t>
            </w:r>
            <w:r w:rsidRPr="001839C2">
              <w:rPr>
                <w:rFonts w:eastAsiaTheme="minorEastAsia"/>
                <w:snapToGrid/>
                <w:szCs w:val="22"/>
                <w:lang w:val="lt-LT" w:eastAsia="en-IN"/>
              </w:rPr>
              <w:t>30</w:t>
            </w:r>
            <w:r w:rsidR="00216FB4" w:rsidRPr="001839C2">
              <w:rPr>
                <w:rFonts w:eastAsiaTheme="minorEastAsia"/>
                <w:snapToGrid/>
                <w:szCs w:val="22"/>
                <w:lang w:val="lt-LT" w:eastAsia="en-IN"/>
              </w:rPr>
              <w:t> </w:t>
            </w:r>
            <w:r w:rsidRPr="001839C2">
              <w:rPr>
                <w:rFonts w:eastAsiaTheme="minorEastAsia"/>
                <w:snapToGrid/>
                <w:szCs w:val="22"/>
                <w:lang w:val="lt-LT" w:eastAsia="en-IN"/>
              </w:rPr>
              <w:t>m</w:t>
            </w:r>
            <w:r w:rsidR="00216FB4" w:rsidRPr="001839C2">
              <w:rPr>
                <w:rFonts w:eastAsiaTheme="minorEastAsia"/>
                <w:snapToGrid/>
                <w:szCs w:val="22"/>
                <w:lang w:val="lt-LT" w:eastAsia="en-IN"/>
              </w:rPr>
              <w:t>l</w:t>
            </w:r>
            <w:r w:rsidRPr="001839C2">
              <w:rPr>
                <w:rFonts w:eastAsiaTheme="minorEastAsia"/>
                <w:snapToGrid/>
                <w:szCs w:val="22"/>
                <w:lang w:val="lt-LT" w:eastAsia="en-IN"/>
              </w:rPr>
              <w:t>/min.)</w:t>
            </w:r>
          </w:p>
          <w:p w14:paraId="37DD2234" w14:textId="77777777" w:rsidR="002A5F50" w:rsidRPr="001839C2" w:rsidRDefault="00883CF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i</w:t>
            </w:r>
            <w:r w:rsidR="002A5F50" w:rsidRPr="001839C2">
              <w:rPr>
                <w:rFonts w:eastAsiaTheme="minorEastAsia"/>
                <w:snapToGrid/>
                <w:szCs w:val="22"/>
                <w:lang w:val="lt-LT" w:eastAsia="en-IN"/>
              </w:rPr>
              <w:t>r hemodializuojami pacientai</w:t>
            </w:r>
          </w:p>
        </w:tc>
        <w:tc>
          <w:tcPr>
            <w:tcW w:w="3260" w:type="dxa"/>
            <w:tcBorders>
              <w:top w:val="single" w:sz="4" w:space="0" w:color="000000"/>
              <w:left w:val="single" w:sz="4" w:space="0" w:color="000000"/>
              <w:bottom w:val="single" w:sz="4" w:space="0" w:color="000000"/>
              <w:right w:val="single" w:sz="4" w:space="0" w:color="000000"/>
            </w:tcBorders>
          </w:tcPr>
          <w:p w14:paraId="3975F58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Vartoti nerekomenduojama, nes vartojant sudėtinę tabletę negalima tinkamai sumažinti dozės.</w:t>
            </w:r>
          </w:p>
        </w:tc>
        <w:tc>
          <w:tcPr>
            <w:tcW w:w="3266" w:type="dxa"/>
            <w:tcBorders>
              <w:top w:val="single" w:sz="4" w:space="0" w:color="000000"/>
              <w:left w:val="single" w:sz="4" w:space="0" w:color="000000"/>
              <w:bottom w:val="single" w:sz="4" w:space="0" w:color="000000"/>
              <w:right w:val="single" w:sz="4" w:space="0" w:color="000000"/>
            </w:tcBorders>
          </w:tcPr>
          <w:p w14:paraId="7D58317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Šiai populiacijai vartoti nerekomenduojama.</w:t>
            </w:r>
          </w:p>
        </w:tc>
      </w:tr>
    </w:tbl>
    <w:p w14:paraId="4D2FD2BA"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3EB40EB9"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Vaika</w:t>
      </w:r>
      <w:r w:rsidR="007733FF" w:rsidRPr="001839C2">
        <w:rPr>
          <w:rFonts w:eastAsiaTheme="minorEastAsia"/>
          <w:i/>
          <w:iCs/>
          <w:snapToGrid/>
          <w:szCs w:val="22"/>
          <w:lang w:val="lt-LT" w:eastAsia="en-IN"/>
        </w:rPr>
        <w:t>ms</w:t>
      </w:r>
      <w:r w:rsidRPr="001839C2">
        <w:rPr>
          <w:rFonts w:eastAsiaTheme="minorEastAsia"/>
          <w:i/>
          <w:iCs/>
          <w:snapToGrid/>
          <w:szCs w:val="22"/>
          <w:lang w:val="lt-LT" w:eastAsia="en-IN"/>
        </w:rPr>
        <w:t>, kurių inkstų funkcija sutrikusi</w:t>
      </w:r>
    </w:p>
    <w:p w14:paraId="1CA5B14A"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Jaunesniems kaip 18</w:t>
      </w:r>
      <w:r w:rsidR="007733FF" w:rsidRPr="001839C2">
        <w:rPr>
          <w:rFonts w:eastAsiaTheme="minorEastAsia"/>
          <w:snapToGrid/>
          <w:szCs w:val="22"/>
          <w:lang w:val="lt-LT" w:eastAsia="en-IN"/>
        </w:rPr>
        <w:t> </w:t>
      </w:r>
      <w:r w:rsidRPr="001839C2">
        <w:rPr>
          <w:rFonts w:eastAsiaTheme="minorEastAsia"/>
          <w:snapToGrid/>
          <w:szCs w:val="22"/>
          <w:lang w:val="lt-LT" w:eastAsia="en-IN"/>
        </w:rPr>
        <w:t>metų asmenims, turintiems inkstų funkcijos sutrikimų, vartoti nerekomenduojama (žr.</w:t>
      </w:r>
      <w:r w:rsidR="007733FF" w:rsidRPr="001839C2">
        <w:rPr>
          <w:rFonts w:eastAsiaTheme="minorEastAsia"/>
          <w:snapToGrid/>
          <w:szCs w:val="22"/>
          <w:lang w:val="lt-LT" w:eastAsia="en-IN"/>
        </w:rPr>
        <w:t> </w:t>
      </w:r>
      <w:r w:rsidRPr="001839C2">
        <w:rPr>
          <w:rFonts w:eastAsiaTheme="minorEastAsia"/>
          <w:snapToGrid/>
          <w:szCs w:val="22"/>
          <w:lang w:val="lt-LT" w:eastAsia="en-IN"/>
        </w:rPr>
        <w:t>4.4</w:t>
      </w:r>
      <w:r w:rsidR="007733FF" w:rsidRPr="001839C2">
        <w:rPr>
          <w:rFonts w:eastAsiaTheme="minorEastAsia"/>
          <w:snapToGrid/>
          <w:szCs w:val="22"/>
          <w:lang w:val="lt-LT" w:eastAsia="en-IN"/>
        </w:rPr>
        <w:t> </w:t>
      </w:r>
      <w:r w:rsidRPr="001839C2">
        <w:rPr>
          <w:rFonts w:eastAsiaTheme="minorEastAsia"/>
          <w:snapToGrid/>
          <w:szCs w:val="22"/>
          <w:lang w:val="lt-LT" w:eastAsia="en-IN"/>
        </w:rPr>
        <w:t>skyrių).</w:t>
      </w:r>
    </w:p>
    <w:p w14:paraId="1B8F34C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FE9A344" w14:textId="77777777" w:rsidR="007733FF" w:rsidRPr="001839C2" w:rsidRDefault="007733FF" w:rsidP="00230559">
      <w:pPr>
        <w:keepNext/>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lastRenderedPageBreak/>
        <w:t>Pacientams, kurių k</w:t>
      </w:r>
      <w:r w:rsidR="002A5F50" w:rsidRPr="001839C2">
        <w:rPr>
          <w:rFonts w:eastAsiaTheme="minorEastAsia"/>
          <w:i/>
          <w:iCs/>
          <w:snapToGrid/>
          <w:szCs w:val="22"/>
          <w:lang w:val="lt-LT" w:eastAsia="en-IN"/>
        </w:rPr>
        <w:t>epenų funkcij</w:t>
      </w:r>
      <w:r w:rsidRPr="001839C2">
        <w:rPr>
          <w:rFonts w:eastAsiaTheme="minorEastAsia"/>
          <w:i/>
          <w:iCs/>
          <w:snapToGrid/>
          <w:szCs w:val="22"/>
          <w:lang w:val="lt-LT" w:eastAsia="en-IN"/>
        </w:rPr>
        <w:t>a</w:t>
      </w:r>
      <w:r w:rsidR="002A5F50" w:rsidRPr="001839C2">
        <w:rPr>
          <w:rFonts w:eastAsiaTheme="minorEastAsia"/>
          <w:i/>
          <w:iCs/>
          <w:snapToGrid/>
          <w:szCs w:val="22"/>
          <w:lang w:val="lt-LT" w:eastAsia="en-IN"/>
        </w:rPr>
        <w:t xml:space="preserve"> sutrik</w:t>
      </w:r>
      <w:r w:rsidRPr="001839C2">
        <w:rPr>
          <w:rFonts w:eastAsiaTheme="minorEastAsia"/>
          <w:i/>
          <w:iCs/>
          <w:snapToGrid/>
          <w:szCs w:val="22"/>
          <w:lang w:val="lt-LT" w:eastAsia="en-IN"/>
        </w:rPr>
        <w:t>u</w:t>
      </w:r>
      <w:r w:rsidR="002A5F50" w:rsidRPr="001839C2">
        <w:rPr>
          <w:rFonts w:eastAsiaTheme="minorEastAsia"/>
          <w:i/>
          <w:iCs/>
          <w:snapToGrid/>
          <w:szCs w:val="22"/>
          <w:lang w:val="lt-LT" w:eastAsia="en-IN"/>
        </w:rPr>
        <w:t>s</w:t>
      </w:r>
      <w:r w:rsidRPr="001839C2">
        <w:rPr>
          <w:rFonts w:eastAsiaTheme="minorEastAsia"/>
          <w:i/>
          <w:iCs/>
          <w:snapToGrid/>
          <w:szCs w:val="22"/>
          <w:lang w:val="lt-LT" w:eastAsia="en-IN"/>
        </w:rPr>
        <w:t>i</w:t>
      </w:r>
    </w:p>
    <w:p w14:paraId="21295F24" w14:textId="77777777" w:rsidR="002A5F50" w:rsidRPr="001839C2" w:rsidRDefault="007733FF"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acientams, turintiems kepenų funkcijos sutrikimų, dozės koreguoti nereikia (žr.</w:t>
      </w:r>
      <w:r w:rsidRPr="001839C2">
        <w:rPr>
          <w:rFonts w:eastAsiaTheme="minorEastAsia"/>
          <w:snapToGrid/>
          <w:szCs w:val="22"/>
          <w:lang w:val="lt-LT" w:eastAsia="en-IN"/>
        </w:rPr>
        <w:t> </w:t>
      </w:r>
      <w:r w:rsidR="002A5F50" w:rsidRPr="001839C2">
        <w:rPr>
          <w:rFonts w:eastAsiaTheme="minorEastAsia"/>
          <w:snapToGrid/>
          <w:szCs w:val="22"/>
          <w:lang w:val="lt-LT" w:eastAsia="en-IN"/>
        </w:rPr>
        <w:t>4.4 ir 5.2</w:t>
      </w:r>
      <w:r w:rsidRPr="001839C2">
        <w:rPr>
          <w:rFonts w:eastAsiaTheme="minorEastAsia"/>
          <w:snapToGrid/>
          <w:szCs w:val="22"/>
          <w:lang w:val="lt-LT" w:eastAsia="en-IN"/>
        </w:rPr>
        <w:t> </w:t>
      </w:r>
      <w:r w:rsidR="002A5F50" w:rsidRPr="001839C2">
        <w:rPr>
          <w:rFonts w:eastAsiaTheme="minorEastAsia"/>
          <w:snapToGrid/>
          <w:szCs w:val="22"/>
          <w:lang w:val="lt-LT" w:eastAsia="en-IN"/>
        </w:rPr>
        <w:t>skyrius).</w:t>
      </w:r>
    </w:p>
    <w:p w14:paraId="4B33B01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8F704D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Vaikų populiacija</w:t>
      </w:r>
    </w:p>
    <w:p w14:paraId="5780DB68"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7733FF"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16069" w:rsidRPr="001839C2">
        <w:rPr>
          <w:rFonts w:eastAsiaTheme="minorEastAsia"/>
          <w:snapToGrid/>
          <w:szCs w:val="22"/>
          <w:lang w:val="lt-LT" w:eastAsia="en-IN"/>
        </w:rPr>
        <w:t>i</w:t>
      </w:r>
      <w:r w:rsidRPr="001839C2">
        <w:rPr>
          <w:rFonts w:eastAsiaTheme="minorEastAsia"/>
          <w:snapToGrid/>
          <w:szCs w:val="22"/>
          <w:lang w:val="lt-LT" w:eastAsia="en-IN"/>
        </w:rPr>
        <w:t>o</w:t>
      </w:r>
      <w:r w:rsidR="007733FF" w:rsidRPr="001839C2">
        <w:rPr>
          <w:rFonts w:eastAsiaTheme="minorEastAsia"/>
          <w:snapToGrid/>
          <w:szCs w:val="22"/>
          <w:lang w:val="lt-LT" w:eastAsia="en-IN"/>
        </w:rPr>
        <w:t xml:space="preserve"> derinio</w:t>
      </w:r>
      <w:r w:rsidRPr="001839C2" w:rsidDel="00D370FE">
        <w:rPr>
          <w:rFonts w:eastAsiaTheme="minorEastAsia"/>
          <w:snapToGrid/>
          <w:szCs w:val="22"/>
          <w:lang w:val="lt-LT" w:eastAsia="en-IN"/>
        </w:rPr>
        <w:t xml:space="preserve"> </w:t>
      </w:r>
      <w:r w:rsidRPr="001839C2">
        <w:rPr>
          <w:rFonts w:eastAsiaTheme="minorEastAsia"/>
          <w:snapToGrid/>
          <w:szCs w:val="22"/>
          <w:lang w:val="lt-LT" w:eastAsia="en-IN"/>
        </w:rPr>
        <w:t>saugumas ir veiksmingumas vaikams iki 12</w:t>
      </w:r>
      <w:r w:rsidR="007733FF" w:rsidRPr="001839C2">
        <w:rPr>
          <w:rFonts w:eastAsiaTheme="minorEastAsia"/>
          <w:snapToGrid/>
          <w:szCs w:val="22"/>
          <w:lang w:val="lt-LT" w:eastAsia="en-IN"/>
        </w:rPr>
        <w:t> </w:t>
      </w:r>
      <w:r w:rsidRPr="001839C2">
        <w:rPr>
          <w:rFonts w:eastAsiaTheme="minorEastAsia"/>
          <w:snapToGrid/>
          <w:szCs w:val="22"/>
          <w:lang w:val="lt-LT" w:eastAsia="en-IN"/>
        </w:rPr>
        <w:t>metų neištirti (žr.</w:t>
      </w:r>
      <w:r w:rsidR="007733FF" w:rsidRPr="001839C2">
        <w:rPr>
          <w:rFonts w:eastAsiaTheme="minorEastAsia"/>
          <w:snapToGrid/>
          <w:szCs w:val="22"/>
          <w:lang w:val="lt-LT" w:eastAsia="en-IN"/>
        </w:rPr>
        <w:t> </w:t>
      </w:r>
      <w:r w:rsidRPr="001839C2">
        <w:rPr>
          <w:rFonts w:eastAsiaTheme="minorEastAsia"/>
          <w:snapToGrid/>
          <w:szCs w:val="22"/>
          <w:lang w:val="lt-LT" w:eastAsia="en-IN"/>
        </w:rPr>
        <w:t>5.2</w:t>
      </w:r>
      <w:r w:rsidR="007733FF" w:rsidRPr="001839C2">
        <w:rPr>
          <w:rFonts w:eastAsiaTheme="minorEastAsia"/>
          <w:snapToGrid/>
          <w:szCs w:val="22"/>
          <w:lang w:val="lt-LT" w:eastAsia="en-IN"/>
        </w:rPr>
        <w:t> </w:t>
      </w:r>
      <w:r w:rsidRPr="001839C2">
        <w:rPr>
          <w:rFonts w:eastAsiaTheme="minorEastAsia"/>
          <w:snapToGrid/>
          <w:szCs w:val="22"/>
          <w:lang w:val="lt-LT" w:eastAsia="en-IN"/>
        </w:rPr>
        <w:t>skyrių).</w:t>
      </w:r>
    </w:p>
    <w:p w14:paraId="056E0CE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9F2F2BB"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Vartojimo metodas</w:t>
      </w:r>
    </w:p>
    <w:p w14:paraId="2856DBD5" w14:textId="72F2AA0E"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Vartoti per burną. Pageidautina vartoti </w:t>
      </w:r>
      <w:r w:rsidR="00F11FC5" w:rsidRPr="001839C2">
        <w:rPr>
          <w:rFonts w:eastAsiaTheme="minorEastAsia"/>
          <w:snapToGrid/>
          <w:szCs w:val="22"/>
          <w:lang w:val="lt-LT" w:eastAsia="en-IN"/>
        </w:rPr>
        <w:t xml:space="preserve">Emtricitabine/Tenofovir disoproxil Accordpharma </w:t>
      </w:r>
      <w:r w:rsidRPr="001839C2">
        <w:rPr>
          <w:rFonts w:eastAsiaTheme="minorEastAsia"/>
          <w:snapToGrid/>
          <w:szCs w:val="22"/>
          <w:lang w:val="lt-LT" w:eastAsia="en-IN"/>
        </w:rPr>
        <w:t>su maistu.</w:t>
      </w:r>
    </w:p>
    <w:p w14:paraId="273C4370" w14:textId="77777777" w:rsidR="007E7631" w:rsidRPr="001839C2" w:rsidRDefault="007E7631"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DF3D6FC"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Plėvele dengtą tabletę galima sutrinti ir sumaišyti su</w:t>
      </w:r>
      <w:r w:rsidR="007E7631" w:rsidRPr="001839C2">
        <w:rPr>
          <w:rFonts w:eastAsiaTheme="minorEastAsia"/>
          <w:snapToGrid/>
          <w:szCs w:val="22"/>
          <w:lang w:val="lt-LT" w:eastAsia="en-IN"/>
        </w:rPr>
        <w:t xml:space="preserve"> apytiksliai</w:t>
      </w:r>
      <w:r w:rsidRPr="001839C2">
        <w:rPr>
          <w:rFonts w:eastAsiaTheme="minorEastAsia"/>
          <w:snapToGrid/>
          <w:szCs w:val="22"/>
          <w:lang w:val="lt-LT" w:eastAsia="en-IN"/>
        </w:rPr>
        <w:t xml:space="preserve"> 100</w:t>
      </w:r>
      <w:r w:rsidR="007733FF" w:rsidRPr="001839C2">
        <w:rPr>
          <w:rFonts w:eastAsiaTheme="minorEastAsia"/>
          <w:snapToGrid/>
          <w:szCs w:val="22"/>
          <w:lang w:val="lt-LT" w:eastAsia="en-IN"/>
        </w:rPr>
        <w:t> </w:t>
      </w:r>
      <w:r w:rsidRPr="001839C2">
        <w:rPr>
          <w:rFonts w:eastAsiaTheme="minorEastAsia"/>
          <w:snapToGrid/>
          <w:szCs w:val="22"/>
          <w:lang w:val="lt-LT" w:eastAsia="en-IN"/>
        </w:rPr>
        <w:t>ml vandens, apelsinų ar vynuogių sulčių ir nedelsiant išgerti.</w:t>
      </w:r>
    </w:p>
    <w:p w14:paraId="1E8B5D5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3887346" w14:textId="77777777" w:rsidR="002A5F50" w:rsidRPr="001839C2" w:rsidRDefault="002A5F50" w:rsidP="00230559">
      <w:pPr>
        <w:widowControl w:val="0"/>
        <w:numPr>
          <w:ilvl w:val="1"/>
          <w:numId w:val="29"/>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Kontraindikacijos</w:t>
      </w:r>
    </w:p>
    <w:p w14:paraId="04BB25C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1AA481C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Padidėjęs jautrumas veikli</w:t>
      </w:r>
      <w:r w:rsidR="003932C1" w:rsidRPr="001839C2">
        <w:rPr>
          <w:rFonts w:eastAsiaTheme="minorEastAsia"/>
          <w:snapToGrid/>
          <w:szCs w:val="22"/>
          <w:lang w:val="lt-LT" w:eastAsia="en-IN"/>
        </w:rPr>
        <w:t>os</w:t>
      </w:r>
      <w:r w:rsidRPr="001839C2">
        <w:rPr>
          <w:rFonts w:eastAsiaTheme="minorEastAsia"/>
          <w:snapToGrid/>
          <w:szCs w:val="22"/>
          <w:lang w:val="lt-LT" w:eastAsia="en-IN"/>
        </w:rPr>
        <w:t>i</w:t>
      </w:r>
      <w:r w:rsidR="003932C1" w:rsidRPr="001839C2">
        <w:rPr>
          <w:rFonts w:eastAsiaTheme="minorEastAsia"/>
          <w:snapToGrid/>
          <w:szCs w:val="22"/>
          <w:lang w:val="lt-LT" w:eastAsia="en-IN"/>
        </w:rPr>
        <w:t>oms medžiagoms</w:t>
      </w:r>
      <w:r w:rsidRPr="001839C2">
        <w:rPr>
          <w:rFonts w:eastAsiaTheme="minorEastAsia"/>
          <w:snapToGrid/>
          <w:szCs w:val="22"/>
          <w:lang w:val="lt-LT" w:eastAsia="en-IN"/>
        </w:rPr>
        <w:t xml:space="preserve"> arba bet kuriai 6.1</w:t>
      </w:r>
      <w:r w:rsidR="007733FF" w:rsidRPr="001839C2">
        <w:rPr>
          <w:rFonts w:eastAsiaTheme="minorEastAsia"/>
          <w:snapToGrid/>
          <w:szCs w:val="22"/>
          <w:lang w:val="lt-LT" w:eastAsia="en-IN"/>
        </w:rPr>
        <w:t> </w:t>
      </w:r>
      <w:r w:rsidRPr="001839C2">
        <w:rPr>
          <w:rFonts w:eastAsiaTheme="minorEastAsia"/>
          <w:snapToGrid/>
          <w:szCs w:val="22"/>
          <w:lang w:val="lt-LT" w:eastAsia="en-IN"/>
        </w:rPr>
        <w:t>skyriuje nurodytai pagalbinei medžiagai.</w:t>
      </w:r>
    </w:p>
    <w:p w14:paraId="34149F1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6290F3A" w14:textId="77777777" w:rsidR="002A5F50" w:rsidRPr="001839C2" w:rsidRDefault="003932C1"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 ir tenofoviro dizoproksilio derinio s</w:t>
      </w:r>
      <w:r w:rsidR="002A5F50" w:rsidRPr="001839C2">
        <w:rPr>
          <w:rFonts w:eastAsiaTheme="minorEastAsia"/>
          <w:snapToGrid/>
          <w:szCs w:val="22"/>
          <w:lang w:val="lt-LT" w:eastAsia="en-IN"/>
        </w:rPr>
        <w:t>kyrimas priešekspozicinei profilaktikai asmenims, kurie yra užsikrėtę ŽIV</w:t>
      </w:r>
      <w:r w:rsidR="007733FF" w:rsidRPr="001839C2">
        <w:rPr>
          <w:rFonts w:eastAsiaTheme="minorEastAsia"/>
          <w:snapToGrid/>
          <w:szCs w:val="22"/>
          <w:lang w:val="lt-LT" w:eastAsia="en-IN"/>
        </w:rPr>
        <w:noBreakHyphen/>
      </w:r>
      <w:r w:rsidR="002A5F50" w:rsidRPr="001839C2">
        <w:rPr>
          <w:rFonts w:eastAsiaTheme="minorEastAsia"/>
          <w:snapToGrid/>
          <w:szCs w:val="22"/>
          <w:lang w:val="lt-LT" w:eastAsia="en-IN"/>
        </w:rPr>
        <w:t>1 arba apie kurių užsikrėtimą nėra žinoma.</w:t>
      </w:r>
    </w:p>
    <w:p w14:paraId="4039E8E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8A9C988" w14:textId="77777777" w:rsidR="002A5F50" w:rsidRPr="001839C2" w:rsidRDefault="002A5F50" w:rsidP="00230559">
      <w:pPr>
        <w:widowControl w:val="0"/>
        <w:numPr>
          <w:ilvl w:val="1"/>
          <w:numId w:val="29"/>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Specialūs įspėjimai ir atsargumo priemonės</w:t>
      </w:r>
    </w:p>
    <w:p w14:paraId="74A51C6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0727D8A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Pacientai, turintys ŽIV</w:t>
      </w:r>
      <w:r w:rsidR="007733FF" w:rsidRPr="001839C2">
        <w:rPr>
          <w:rFonts w:eastAsiaTheme="minorEastAsia"/>
          <w:snapToGrid/>
          <w:szCs w:val="22"/>
          <w:u w:val="single"/>
          <w:lang w:val="lt-LT" w:eastAsia="en-IN"/>
        </w:rPr>
        <w:noBreakHyphen/>
      </w:r>
      <w:r w:rsidRPr="001839C2">
        <w:rPr>
          <w:rFonts w:eastAsiaTheme="minorEastAsia"/>
          <w:snapToGrid/>
          <w:szCs w:val="22"/>
          <w:u w:val="single"/>
          <w:lang w:val="lt-LT" w:eastAsia="en-IN"/>
        </w:rPr>
        <w:t>1</w:t>
      </w:r>
      <w:r w:rsidR="007733FF" w:rsidRPr="001839C2">
        <w:rPr>
          <w:rFonts w:eastAsiaTheme="minorEastAsia"/>
          <w:snapToGrid/>
          <w:szCs w:val="22"/>
          <w:u w:val="single"/>
          <w:lang w:val="lt-LT" w:eastAsia="en-IN"/>
        </w:rPr>
        <w:t> </w:t>
      </w:r>
      <w:r w:rsidRPr="001839C2">
        <w:rPr>
          <w:rFonts w:eastAsiaTheme="minorEastAsia"/>
          <w:snapToGrid/>
          <w:szCs w:val="22"/>
          <w:u w:val="single"/>
          <w:lang w:val="lt-LT" w:eastAsia="en-IN"/>
        </w:rPr>
        <w:t>padermių su mutacijomis</w:t>
      </w:r>
    </w:p>
    <w:p w14:paraId="1EAE3018"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7733FF"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867CED" w:rsidRPr="001839C2">
        <w:rPr>
          <w:rFonts w:eastAsiaTheme="minorEastAsia"/>
          <w:snapToGrid/>
          <w:szCs w:val="22"/>
          <w:lang w:val="lt-LT" w:eastAsia="en-IN"/>
        </w:rPr>
        <w:t>io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reikia vengti skirti antiretrovirusinį gydymą gavusiems pacientams, turintiems ŽIV</w:t>
      </w:r>
      <w:r w:rsidR="007733FF" w:rsidRPr="001839C2">
        <w:rPr>
          <w:rFonts w:eastAsiaTheme="minorEastAsia"/>
          <w:snapToGrid/>
          <w:szCs w:val="22"/>
          <w:lang w:val="lt-LT" w:eastAsia="en-IN"/>
        </w:rPr>
        <w:noBreakHyphen/>
      </w:r>
      <w:r w:rsidRPr="001839C2">
        <w:rPr>
          <w:rFonts w:eastAsiaTheme="minorEastAsia"/>
          <w:snapToGrid/>
          <w:szCs w:val="22"/>
          <w:lang w:val="lt-LT" w:eastAsia="en-IN"/>
        </w:rPr>
        <w:t>1</w:t>
      </w:r>
      <w:r w:rsidR="007733FF" w:rsidRPr="001839C2">
        <w:rPr>
          <w:rFonts w:eastAsiaTheme="minorEastAsia"/>
          <w:snapToGrid/>
          <w:szCs w:val="22"/>
          <w:lang w:val="lt-LT" w:eastAsia="en-IN"/>
        </w:rPr>
        <w:t> </w:t>
      </w:r>
      <w:r w:rsidRPr="001839C2">
        <w:rPr>
          <w:rFonts w:eastAsiaTheme="minorEastAsia"/>
          <w:snapToGrid/>
          <w:szCs w:val="22"/>
          <w:lang w:val="lt-LT" w:eastAsia="en-IN"/>
        </w:rPr>
        <w:t>padermių su K65R</w:t>
      </w:r>
      <w:r w:rsidR="007733FF" w:rsidRPr="001839C2">
        <w:rPr>
          <w:rFonts w:eastAsiaTheme="minorEastAsia"/>
          <w:snapToGrid/>
          <w:szCs w:val="22"/>
          <w:lang w:val="lt-LT" w:eastAsia="en-IN"/>
        </w:rPr>
        <w:t> </w:t>
      </w:r>
      <w:r w:rsidRPr="001839C2">
        <w:rPr>
          <w:rFonts w:eastAsiaTheme="minorEastAsia"/>
          <w:snapToGrid/>
          <w:szCs w:val="22"/>
          <w:lang w:val="lt-LT" w:eastAsia="en-IN"/>
        </w:rPr>
        <w:t>mutacija (žr.</w:t>
      </w:r>
      <w:r w:rsidR="007733FF" w:rsidRPr="001839C2">
        <w:rPr>
          <w:rFonts w:eastAsiaTheme="minorEastAsia"/>
          <w:snapToGrid/>
          <w:szCs w:val="22"/>
          <w:lang w:val="lt-LT" w:eastAsia="en-IN"/>
        </w:rPr>
        <w:t> </w:t>
      </w:r>
      <w:r w:rsidRPr="001839C2">
        <w:rPr>
          <w:rFonts w:eastAsiaTheme="minorEastAsia"/>
          <w:snapToGrid/>
          <w:szCs w:val="22"/>
          <w:lang w:val="lt-LT" w:eastAsia="en-IN"/>
        </w:rPr>
        <w:t>5.1</w:t>
      </w:r>
      <w:r w:rsidR="007733FF" w:rsidRPr="001839C2">
        <w:rPr>
          <w:rFonts w:eastAsiaTheme="minorEastAsia"/>
          <w:snapToGrid/>
          <w:szCs w:val="22"/>
          <w:lang w:val="lt-LT" w:eastAsia="en-IN"/>
        </w:rPr>
        <w:t> </w:t>
      </w:r>
      <w:r w:rsidRPr="001839C2">
        <w:rPr>
          <w:rFonts w:eastAsiaTheme="minorEastAsia"/>
          <w:snapToGrid/>
          <w:szCs w:val="22"/>
          <w:lang w:val="lt-LT" w:eastAsia="en-IN"/>
        </w:rPr>
        <w:t>skyrių).</w:t>
      </w:r>
    </w:p>
    <w:p w14:paraId="1B77C48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CBAAD7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Bendroji užsikrėtimo ŽIV</w:t>
      </w:r>
      <w:r w:rsidR="007733FF" w:rsidRPr="001839C2">
        <w:rPr>
          <w:rFonts w:eastAsiaTheme="minorEastAsia"/>
          <w:snapToGrid/>
          <w:szCs w:val="22"/>
          <w:u w:val="single"/>
          <w:lang w:val="lt-LT" w:eastAsia="en-IN"/>
        </w:rPr>
        <w:noBreakHyphen/>
      </w:r>
      <w:r w:rsidRPr="001839C2">
        <w:rPr>
          <w:rFonts w:eastAsiaTheme="minorEastAsia"/>
          <w:snapToGrid/>
          <w:szCs w:val="22"/>
          <w:u w:val="single"/>
          <w:lang w:val="lt-LT" w:eastAsia="en-IN"/>
        </w:rPr>
        <w:t>1</w:t>
      </w:r>
      <w:r w:rsidR="007733FF" w:rsidRPr="001839C2">
        <w:rPr>
          <w:rFonts w:eastAsiaTheme="minorEastAsia"/>
          <w:snapToGrid/>
          <w:szCs w:val="22"/>
          <w:u w:val="single"/>
          <w:lang w:val="lt-LT" w:eastAsia="en-IN"/>
        </w:rPr>
        <w:t> </w:t>
      </w:r>
      <w:r w:rsidRPr="001839C2">
        <w:rPr>
          <w:rFonts w:eastAsiaTheme="minorEastAsia"/>
          <w:snapToGrid/>
          <w:szCs w:val="22"/>
          <w:u w:val="single"/>
          <w:lang w:val="lt-LT" w:eastAsia="en-IN"/>
        </w:rPr>
        <w:t>infekcij</w:t>
      </w:r>
      <w:r w:rsidR="00867CED" w:rsidRPr="001839C2">
        <w:rPr>
          <w:rFonts w:eastAsiaTheme="minorEastAsia"/>
          <w:snapToGrid/>
          <w:szCs w:val="22"/>
          <w:u w:val="single"/>
          <w:lang w:val="lt-LT" w:eastAsia="en-IN"/>
        </w:rPr>
        <w:t>a</w:t>
      </w:r>
      <w:r w:rsidRPr="001839C2">
        <w:rPr>
          <w:rFonts w:eastAsiaTheme="minorEastAsia"/>
          <w:snapToGrid/>
          <w:szCs w:val="22"/>
          <w:u w:val="single"/>
          <w:lang w:val="lt-LT" w:eastAsia="en-IN"/>
        </w:rPr>
        <w:t xml:space="preserve"> profilaktikos strategija</w:t>
      </w:r>
    </w:p>
    <w:p w14:paraId="009E2400"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7733FF"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16069" w:rsidRPr="001839C2">
        <w:rPr>
          <w:rFonts w:eastAsiaTheme="minorEastAsia"/>
          <w:snapToGrid/>
          <w:szCs w:val="22"/>
          <w:lang w:val="lt-LT" w:eastAsia="en-IN"/>
        </w:rPr>
        <w:t>i</w:t>
      </w:r>
      <w:r w:rsidR="007733FF" w:rsidRPr="001839C2">
        <w:rPr>
          <w:rFonts w:eastAsiaTheme="minorEastAsia"/>
          <w:snapToGrid/>
          <w:szCs w:val="22"/>
          <w:lang w:val="lt-LT" w:eastAsia="en-IN"/>
        </w:rPr>
        <w:t>o derinys</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ne visada veiksmingai apsaugo nuo užsikrėtimo ŽIV</w:t>
      </w:r>
      <w:r w:rsidR="007733FF" w:rsidRPr="001839C2">
        <w:rPr>
          <w:rFonts w:eastAsiaTheme="minorEastAsia"/>
          <w:snapToGrid/>
          <w:szCs w:val="22"/>
          <w:lang w:val="lt-LT" w:eastAsia="en-IN"/>
        </w:rPr>
        <w:noBreakHyphen/>
      </w:r>
      <w:r w:rsidRPr="001839C2">
        <w:rPr>
          <w:rFonts w:eastAsiaTheme="minorEastAsia"/>
          <w:snapToGrid/>
          <w:szCs w:val="22"/>
          <w:lang w:val="lt-LT" w:eastAsia="en-IN"/>
        </w:rPr>
        <w:t>1. Kiek laiko praeina nuo gydymo emtricitabino</w:t>
      </w:r>
      <w:r w:rsidR="007733FF"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007733FF" w:rsidRPr="001839C2">
        <w:rPr>
          <w:rFonts w:eastAsiaTheme="minorEastAsia"/>
          <w:snapToGrid/>
          <w:szCs w:val="22"/>
          <w:lang w:val="lt-LT" w:eastAsia="en-IN"/>
        </w:rPr>
        <w:t>o deriniu</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pradžios iki apsaugos pradžios, nežinoma.</w:t>
      </w:r>
    </w:p>
    <w:p w14:paraId="4DD7BF1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8CA737A"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7733FF"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7733FF" w:rsidRPr="001839C2">
        <w:rPr>
          <w:rFonts w:eastAsiaTheme="minorEastAsia"/>
          <w:snapToGrid/>
          <w:szCs w:val="22"/>
          <w:lang w:val="lt-LT" w:eastAsia="en-IN"/>
        </w:rPr>
        <w:t>io derin</w:t>
      </w:r>
      <w:r w:rsidR="00867CED" w:rsidRPr="001839C2">
        <w:rPr>
          <w:rFonts w:eastAsiaTheme="minorEastAsia"/>
          <w:snapToGrid/>
          <w:szCs w:val="22"/>
          <w:lang w:val="lt-LT" w:eastAsia="en-IN"/>
        </w:rPr>
        <w:t>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priešekspozicinei profilaktikai galima vartoti tik kaip dalį bendrosios užsikrėtimo ŽIV</w:t>
      </w:r>
      <w:r w:rsidR="007733FF" w:rsidRPr="001839C2">
        <w:rPr>
          <w:rFonts w:eastAsiaTheme="minorEastAsia"/>
          <w:snapToGrid/>
          <w:szCs w:val="22"/>
          <w:lang w:val="lt-LT" w:eastAsia="en-IN"/>
        </w:rPr>
        <w:noBreakHyphen/>
      </w:r>
      <w:r w:rsidRPr="001839C2">
        <w:rPr>
          <w:rFonts w:eastAsiaTheme="minorEastAsia"/>
          <w:snapToGrid/>
          <w:szCs w:val="22"/>
          <w:lang w:val="lt-LT" w:eastAsia="en-IN"/>
        </w:rPr>
        <w:t>1 profilaktikos strategijos, į kurią dar įeina kitos ŽIV</w:t>
      </w:r>
      <w:r w:rsidR="007733FF" w:rsidRPr="001839C2">
        <w:rPr>
          <w:rFonts w:eastAsiaTheme="minorEastAsia"/>
          <w:snapToGrid/>
          <w:szCs w:val="22"/>
          <w:lang w:val="lt-LT" w:eastAsia="en-IN"/>
        </w:rPr>
        <w:noBreakHyphen/>
      </w:r>
      <w:r w:rsidRPr="001839C2">
        <w:rPr>
          <w:rFonts w:eastAsiaTheme="minorEastAsia"/>
          <w:snapToGrid/>
          <w:szCs w:val="22"/>
          <w:lang w:val="lt-LT" w:eastAsia="en-IN"/>
        </w:rPr>
        <w:t>1</w:t>
      </w:r>
      <w:r w:rsidR="007733FF" w:rsidRPr="001839C2">
        <w:rPr>
          <w:rFonts w:eastAsiaTheme="minorEastAsia"/>
          <w:snapToGrid/>
          <w:szCs w:val="22"/>
          <w:lang w:val="lt-LT" w:eastAsia="en-IN"/>
        </w:rPr>
        <w:t> </w:t>
      </w:r>
      <w:r w:rsidRPr="001839C2">
        <w:rPr>
          <w:rFonts w:eastAsiaTheme="minorEastAsia"/>
          <w:snapToGrid/>
          <w:szCs w:val="22"/>
          <w:lang w:val="lt-LT" w:eastAsia="en-IN"/>
        </w:rPr>
        <w:t>profilaktikos priemonės (pvz., pastovus ir teisingas prezervatyvų naudojimas, žinojimas apie užsikrėtimą ŽIV</w:t>
      </w:r>
      <w:r w:rsidR="007733FF" w:rsidRPr="001839C2">
        <w:rPr>
          <w:rFonts w:eastAsiaTheme="minorEastAsia"/>
          <w:snapToGrid/>
          <w:szCs w:val="22"/>
          <w:lang w:val="lt-LT" w:eastAsia="en-IN"/>
        </w:rPr>
        <w:noBreakHyphen/>
      </w:r>
      <w:r w:rsidRPr="001839C2">
        <w:rPr>
          <w:rFonts w:eastAsiaTheme="minorEastAsia"/>
          <w:snapToGrid/>
          <w:szCs w:val="22"/>
          <w:lang w:val="lt-LT" w:eastAsia="en-IN"/>
        </w:rPr>
        <w:t>1, reguliarus tyrimasis dėl kitų lytiškai plintančių infekcijų).</w:t>
      </w:r>
    </w:p>
    <w:p w14:paraId="39BCF56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11E267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i/>
          <w:snapToGrid/>
          <w:szCs w:val="22"/>
          <w:lang w:val="lt-LT" w:eastAsia="en-IN"/>
        </w:rPr>
      </w:pPr>
      <w:r w:rsidRPr="001839C2">
        <w:rPr>
          <w:rFonts w:eastAsiaTheme="minorEastAsia"/>
          <w:i/>
          <w:iCs/>
          <w:snapToGrid/>
          <w:szCs w:val="22"/>
          <w:lang w:val="lt-LT" w:eastAsia="en-IN"/>
        </w:rPr>
        <w:t>Rezistentiškumo rizika dėl neaptiktos ŽIV</w:t>
      </w:r>
      <w:r w:rsidR="007733FF" w:rsidRPr="001839C2">
        <w:rPr>
          <w:rFonts w:eastAsiaTheme="minorEastAsia"/>
          <w:i/>
          <w:iCs/>
          <w:snapToGrid/>
          <w:szCs w:val="22"/>
          <w:lang w:val="lt-LT" w:eastAsia="en-IN"/>
        </w:rPr>
        <w:noBreakHyphen/>
      </w:r>
      <w:r w:rsidRPr="001839C2">
        <w:rPr>
          <w:rFonts w:eastAsiaTheme="minorEastAsia"/>
          <w:i/>
          <w:iCs/>
          <w:snapToGrid/>
          <w:szCs w:val="22"/>
          <w:lang w:val="lt-LT" w:eastAsia="en-IN"/>
        </w:rPr>
        <w:t>1</w:t>
      </w:r>
      <w:r w:rsidR="007733FF" w:rsidRPr="001839C2">
        <w:rPr>
          <w:rFonts w:eastAsiaTheme="minorEastAsia"/>
          <w:i/>
          <w:iCs/>
          <w:snapToGrid/>
          <w:szCs w:val="22"/>
          <w:lang w:val="lt-LT" w:eastAsia="en-IN"/>
        </w:rPr>
        <w:t> </w:t>
      </w:r>
      <w:r w:rsidRPr="001839C2">
        <w:rPr>
          <w:rFonts w:eastAsiaTheme="minorEastAsia"/>
          <w:i/>
          <w:iCs/>
          <w:snapToGrid/>
          <w:szCs w:val="22"/>
          <w:lang w:val="lt-LT" w:eastAsia="en-IN"/>
        </w:rPr>
        <w:t>infekcijos</w:t>
      </w:r>
    </w:p>
    <w:p w14:paraId="1CB74F3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7733FF"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867CED" w:rsidRPr="001839C2">
        <w:rPr>
          <w:rFonts w:eastAsiaTheme="minorEastAsia"/>
          <w:snapToGrid/>
          <w:szCs w:val="22"/>
          <w:lang w:val="lt-LT" w:eastAsia="en-IN"/>
        </w:rPr>
        <w:t>io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galima skirti užsikrėtimo</w:t>
      </w:r>
      <w:r w:rsidR="00867CED" w:rsidRPr="001839C2">
        <w:rPr>
          <w:rFonts w:eastAsiaTheme="minorEastAsia"/>
          <w:snapToGrid/>
          <w:szCs w:val="22"/>
          <w:lang w:val="lt-LT" w:eastAsia="en-IN"/>
        </w:rPr>
        <w:t> </w:t>
      </w:r>
      <w:r w:rsidRPr="001839C2">
        <w:rPr>
          <w:rFonts w:eastAsiaTheme="minorEastAsia"/>
          <w:snapToGrid/>
          <w:szCs w:val="22"/>
          <w:lang w:val="lt-LT" w:eastAsia="en-IN"/>
        </w:rPr>
        <w:t>ŽIV</w:t>
      </w:r>
      <w:r w:rsidR="00DD3D03" w:rsidRPr="001839C2">
        <w:rPr>
          <w:rFonts w:eastAsiaTheme="minorEastAsia"/>
          <w:snapToGrid/>
          <w:szCs w:val="22"/>
          <w:lang w:val="lt-LT" w:eastAsia="en-IN"/>
        </w:rPr>
        <w:noBreakHyphen/>
      </w:r>
      <w:r w:rsidRPr="001839C2">
        <w:rPr>
          <w:rFonts w:eastAsiaTheme="minorEastAsia"/>
          <w:snapToGrid/>
          <w:szCs w:val="22"/>
          <w:lang w:val="lt-LT" w:eastAsia="en-IN"/>
        </w:rPr>
        <w:t>1 rizikai sumažinti tik tiems asmenims, kuriems patvirtinta, jog jie nėra užsikrėtę</w:t>
      </w:r>
      <w:r w:rsidR="00867CED" w:rsidRPr="001839C2">
        <w:rPr>
          <w:rFonts w:eastAsiaTheme="minorEastAsia"/>
          <w:snapToGrid/>
          <w:szCs w:val="22"/>
          <w:lang w:val="lt-LT" w:eastAsia="en-IN"/>
        </w:rPr>
        <w:t> </w:t>
      </w:r>
      <w:r w:rsidRPr="001839C2">
        <w:rPr>
          <w:rFonts w:eastAsiaTheme="minorEastAsia"/>
          <w:snapToGrid/>
          <w:szCs w:val="22"/>
          <w:lang w:val="lt-LT" w:eastAsia="en-IN"/>
        </w:rPr>
        <w:t>ŽIV (žr.</w:t>
      </w:r>
      <w:r w:rsidR="00DD3D03" w:rsidRPr="001839C2">
        <w:rPr>
          <w:rFonts w:eastAsiaTheme="minorEastAsia"/>
          <w:snapToGrid/>
          <w:szCs w:val="22"/>
          <w:lang w:val="lt-LT" w:eastAsia="en-IN"/>
        </w:rPr>
        <w:t> </w:t>
      </w:r>
      <w:r w:rsidRPr="001839C2">
        <w:rPr>
          <w:rFonts w:eastAsiaTheme="minorEastAsia"/>
          <w:snapToGrid/>
          <w:szCs w:val="22"/>
          <w:lang w:val="lt-LT" w:eastAsia="en-IN"/>
        </w:rPr>
        <w:t>4.3</w:t>
      </w:r>
      <w:r w:rsidR="00DD3D03" w:rsidRPr="001839C2">
        <w:rPr>
          <w:rFonts w:eastAsiaTheme="minorEastAsia"/>
          <w:snapToGrid/>
          <w:szCs w:val="22"/>
          <w:lang w:val="lt-LT" w:eastAsia="en-IN"/>
        </w:rPr>
        <w:t> </w:t>
      </w:r>
      <w:r w:rsidRPr="001839C2">
        <w:rPr>
          <w:rFonts w:eastAsiaTheme="minorEastAsia"/>
          <w:snapToGrid/>
          <w:szCs w:val="22"/>
          <w:lang w:val="lt-LT" w:eastAsia="en-IN"/>
        </w:rPr>
        <w:t>skyrių). Jeigu emtricitabino</w:t>
      </w:r>
      <w:r w:rsidR="00DD3D03"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DD3D03"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vartojama priešekspozicinei profilaktikai, reikia reguliariai ir dažnai (pvz., ne rečiau kaip kas 3</w:t>
      </w:r>
      <w:r w:rsidR="00DD3D03" w:rsidRPr="001839C2">
        <w:rPr>
          <w:rFonts w:eastAsiaTheme="minorEastAsia"/>
          <w:snapToGrid/>
          <w:szCs w:val="22"/>
          <w:lang w:val="lt-LT" w:eastAsia="en-IN"/>
        </w:rPr>
        <w:t> </w:t>
      </w:r>
      <w:r w:rsidRPr="001839C2">
        <w:rPr>
          <w:rFonts w:eastAsiaTheme="minorEastAsia"/>
          <w:snapToGrid/>
          <w:szCs w:val="22"/>
          <w:lang w:val="lt-LT" w:eastAsia="en-IN"/>
        </w:rPr>
        <w:t xml:space="preserve">mėnesius) atliekant sudėtinį antigenų </w:t>
      </w:r>
      <w:r w:rsidR="00DD3D03" w:rsidRPr="001839C2">
        <w:rPr>
          <w:rFonts w:eastAsiaTheme="minorEastAsia"/>
          <w:snapToGrid/>
          <w:szCs w:val="22"/>
          <w:lang w:val="lt-LT" w:eastAsia="en-IN"/>
        </w:rPr>
        <w:t>ir</w:t>
      </w:r>
      <w:r w:rsidRPr="001839C2">
        <w:rPr>
          <w:rFonts w:eastAsiaTheme="minorEastAsia"/>
          <w:snapToGrid/>
          <w:szCs w:val="22"/>
          <w:lang w:val="lt-LT" w:eastAsia="en-IN"/>
        </w:rPr>
        <w:t xml:space="preserve"> antikūnų tyrimą tikrinti, siekiant patvirtinti, kad asmenys vis dar nėra užsikrėtę</w:t>
      </w:r>
      <w:r w:rsidR="00867CED" w:rsidRPr="001839C2">
        <w:rPr>
          <w:rFonts w:eastAsiaTheme="minorEastAsia"/>
          <w:snapToGrid/>
          <w:szCs w:val="22"/>
          <w:lang w:val="lt-LT" w:eastAsia="en-IN"/>
        </w:rPr>
        <w:t> </w:t>
      </w:r>
      <w:r w:rsidRPr="001839C2">
        <w:rPr>
          <w:rFonts w:eastAsiaTheme="minorEastAsia"/>
          <w:snapToGrid/>
          <w:szCs w:val="22"/>
          <w:lang w:val="lt-LT" w:eastAsia="en-IN"/>
        </w:rPr>
        <w:t>ŽIV.</w:t>
      </w:r>
    </w:p>
    <w:p w14:paraId="3F67E27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F674952" w14:textId="77777777"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Vien tik emtricitabino</w:t>
      </w:r>
      <w:r w:rsidR="00DD3D03"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00DD3D03" w:rsidRPr="001839C2">
        <w:rPr>
          <w:rFonts w:eastAsiaTheme="minorEastAsia"/>
          <w:snapToGrid/>
          <w:szCs w:val="22"/>
          <w:lang w:val="lt-LT" w:eastAsia="en-IN"/>
        </w:rPr>
        <w:t>o derinys</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nesudaro viso ŽIV</w:t>
      </w:r>
      <w:r w:rsidR="00DD3D03" w:rsidRPr="001839C2">
        <w:rPr>
          <w:rFonts w:eastAsiaTheme="minorEastAsia"/>
          <w:snapToGrid/>
          <w:szCs w:val="22"/>
          <w:lang w:val="lt-LT" w:eastAsia="en-IN"/>
        </w:rPr>
        <w:noBreakHyphen/>
      </w:r>
      <w:r w:rsidRPr="001839C2">
        <w:rPr>
          <w:rFonts w:eastAsiaTheme="minorEastAsia"/>
          <w:snapToGrid/>
          <w:szCs w:val="22"/>
          <w:lang w:val="lt-LT" w:eastAsia="en-IN"/>
        </w:rPr>
        <w:t>1</w:t>
      </w:r>
      <w:r w:rsidR="00867CED" w:rsidRPr="001839C2">
        <w:rPr>
          <w:rFonts w:eastAsiaTheme="minorEastAsia"/>
          <w:snapToGrid/>
          <w:szCs w:val="22"/>
          <w:lang w:val="lt-LT" w:eastAsia="en-IN"/>
        </w:rPr>
        <w:t> </w:t>
      </w:r>
      <w:r w:rsidRPr="001839C2">
        <w:rPr>
          <w:rFonts w:eastAsiaTheme="minorEastAsia"/>
          <w:snapToGrid/>
          <w:szCs w:val="22"/>
          <w:lang w:val="lt-LT" w:eastAsia="en-IN"/>
        </w:rPr>
        <w:t>gydymo režimo, o vien emtricitabino</w:t>
      </w:r>
      <w:r w:rsidR="00DD3D03"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DD3D03"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vartojantiems pacientams, turintiems neaptiktą ŽIV</w:t>
      </w:r>
      <w:r w:rsidR="00DD3D03" w:rsidRPr="001839C2">
        <w:rPr>
          <w:rFonts w:eastAsiaTheme="minorEastAsia"/>
          <w:snapToGrid/>
          <w:szCs w:val="22"/>
          <w:lang w:val="lt-LT" w:eastAsia="en-IN"/>
        </w:rPr>
        <w:noBreakHyphen/>
      </w:r>
      <w:r w:rsidRPr="001839C2">
        <w:rPr>
          <w:rFonts w:eastAsiaTheme="minorEastAsia"/>
          <w:snapToGrid/>
          <w:szCs w:val="22"/>
          <w:lang w:val="lt-LT" w:eastAsia="en-IN"/>
        </w:rPr>
        <w:t>1</w:t>
      </w:r>
      <w:r w:rsidR="00DD3D03" w:rsidRPr="001839C2">
        <w:rPr>
          <w:rFonts w:eastAsiaTheme="minorEastAsia"/>
          <w:snapToGrid/>
          <w:szCs w:val="22"/>
          <w:lang w:val="lt-LT" w:eastAsia="en-IN"/>
        </w:rPr>
        <w:t> </w:t>
      </w:r>
      <w:r w:rsidRPr="001839C2">
        <w:rPr>
          <w:rFonts w:eastAsiaTheme="minorEastAsia"/>
          <w:snapToGrid/>
          <w:szCs w:val="22"/>
          <w:lang w:val="lt-LT" w:eastAsia="en-IN"/>
        </w:rPr>
        <w:t>infekciją, atsirado rezistentiškų ŽIV</w:t>
      </w:r>
      <w:r w:rsidR="00DD3D03" w:rsidRPr="001839C2">
        <w:rPr>
          <w:rFonts w:eastAsiaTheme="minorEastAsia"/>
          <w:snapToGrid/>
          <w:szCs w:val="22"/>
          <w:lang w:val="lt-LT" w:eastAsia="en-IN"/>
        </w:rPr>
        <w:noBreakHyphen/>
      </w:r>
      <w:r w:rsidRPr="001839C2">
        <w:rPr>
          <w:rFonts w:eastAsiaTheme="minorEastAsia"/>
          <w:snapToGrid/>
          <w:szCs w:val="22"/>
          <w:lang w:val="lt-LT" w:eastAsia="en-IN"/>
        </w:rPr>
        <w:t>1</w:t>
      </w:r>
      <w:r w:rsidR="00DD3D03" w:rsidRPr="001839C2">
        <w:rPr>
          <w:rFonts w:eastAsiaTheme="minorEastAsia"/>
          <w:snapToGrid/>
          <w:szCs w:val="22"/>
          <w:lang w:val="lt-LT" w:eastAsia="en-IN"/>
        </w:rPr>
        <w:t> </w:t>
      </w:r>
      <w:r w:rsidRPr="001839C2">
        <w:rPr>
          <w:rFonts w:eastAsiaTheme="minorEastAsia"/>
          <w:snapToGrid/>
          <w:szCs w:val="22"/>
          <w:lang w:val="lt-LT" w:eastAsia="en-IN"/>
        </w:rPr>
        <w:t>mutacijų.</w:t>
      </w:r>
    </w:p>
    <w:p w14:paraId="087485B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93A766C"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yra klinikinių simptomų, atitinkančių ūminę virusinę infekciją, ir įtariama, kad neseniai</w:t>
      </w:r>
      <w:r w:rsidR="00DD3D03" w:rsidRPr="001839C2">
        <w:rPr>
          <w:rFonts w:eastAsiaTheme="minorEastAsia"/>
          <w:snapToGrid/>
          <w:szCs w:val="22"/>
          <w:lang w:val="lt-LT" w:eastAsia="en-IN"/>
        </w:rPr>
        <w:t xml:space="preserve"> </w:t>
      </w:r>
      <w:r w:rsidRPr="001839C2">
        <w:rPr>
          <w:rFonts w:eastAsiaTheme="minorEastAsia"/>
          <w:snapToGrid/>
          <w:szCs w:val="22"/>
          <w:lang w:val="lt-LT" w:eastAsia="en-IN"/>
        </w:rPr>
        <w:t>(&lt;</w:t>
      </w:r>
      <w:r w:rsidR="00DD3D03" w:rsidRPr="001839C2">
        <w:rPr>
          <w:rFonts w:eastAsiaTheme="minorEastAsia"/>
          <w:snapToGrid/>
          <w:szCs w:val="22"/>
          <w:lang w:val="lt-LT" w:eastAsia="en-IN"/>
        </w:rPr>
        <w:t> </w:t>
      </w:r>
      <w:r w:rsidRPr="001839C2">
        <w:rPr>
          <w:rFonts w:eastAsiaTheme="minorEastAsia"/>
          <w:snapToGrid/>
          <w:szCs w:val="22"/>
          <w:lang w:val="lt-LT" w:eastAsia="en-IN"/>
        </w:rPr>
        <w:t>1</w:t>
      </w:r>
      <w:r w:rsidR="00DD3D03" w:rsidRPr="001839C2">
        <w:rPr>
          <w:rFonts w:eastAsiaTheme="minorEastAsia"/>
          <w:snapToGrid/>
          <w:szCs w:val="22"/>
          <w:lang w:val="lt-LT" w:eastAsia="en-IN"/>
        </w:rPr>
        <w:t> </w:t>
      </w:r>
      <w:r w:rsidRPr="001839C2">
        <w:rPr>
          <w:rFonts w:eastAsiaTheme="minorEastAsia"/>
          <w:snapToGrid/>
          <w:szCs w:val="22"/>
          <w:lang w:val="lt-LT" w:eastAsia="en-IN"/>
        </w:rPr>
        <w:t>mėn.) galėjo būti kontaktas su ŽIV</w:t>
      </w:r>
      <w:r w:rsidR="00DD3D03" w:rsidRPr="001839C2">
        <w:rPr>
          <w:rFonts w:eastAsiaTheme="minorEastAsia"/>
          <w:snapToGrid/>
          <w:szCs w:val="22"/>
          <w:lang w:val="lt-LT" w:eastAsia="en-IN"/>
        </w:rPr>
        <w:noBreakHyphen/>
      </w:r>
      <w:r w:rsidRPr="001839C2">
        <w:rPr>
          <w:rFonts w:eastAsiaTheme="minorEastAsia"/>
          <w:snapToGrid/>
          <w:szCs w:val="22"/>
          <w:lang w:val="lt-LT" w:eastAsia="en-IN"/>
        </w:rPr>
        <w:t>1, reikia atidėti emtricitabino</w:t>
      </w:r>
      <w:r w:rsidR="00DD3D03"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DD3D03"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vartojimą bent vienam</w:t>
      </w:r>
      <w:r w:rsidR="00422758" w:rsidRPr="001839C2">
        <w:rPr>
          <w:rFonts w:eastAsiaTheme="minorEastAsia"/>
          <w:snapToGrid/>
          <w:szCs w:val="22"/>
          <w:lang w:val="lt-LT" w:eastAsia="en-IN"/>
        </w:rPr>
        <w:t> </w:t>
      </w:r>
      <w:r w:rsidRPr="001839C2">
        <w:rPr>
          <w:rFonts w:eastAsiaTheme="minorEastAsia"/>
          <w:snapToGrid/>
          <w:szCs w:val="22"/>
          <w:lang w:val="lt-LT" w:eastAsia="en-IN"/>
        </w:rPr>
        <w:t>mėnesiui ir prieš pradedant vartoti emtricitabino</w:t>
      </w:r>
      <w:r w:rsidR="00DD3D03"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DD3D03"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priešekspozicinei profilaktikai reikia pakartotinai įsitikinti, jog asmuo nėra užsikrėtęs</w:t>
      </w:r>
      <w:r w:rsidR="00867CED" w:rsidRPr="001839C2">
        <w:rPr>
          <w:rFonts w:eastAsiaTheme="minorEastAsia"/>
          <w:snapToGrid/>
          <w:szCs w:val="22"/>
          <w:lang w:val="lt-LT" w:eastAsia="en-IN"/>
        </w:rPr>
        <w:t> </w:t>
      </w:r>
      <w:r w:rsidRPr="001839C2">
        <w:rPr>
          <w:rFonts w:eastAsiaTheme="minorEastAsia"/>
          <w:snapToGrid/>
          <w:szCs w:val="22"/>
          <w:lang w:val="lt-LT" w:eastAsia="en-IN"/>
        </w:rPr>
        <w:t>ŽIV</w:t>
      </w:r>
      <w:r w:rsidR="00DD3D03" w:rsidRPr="001839C2">
        <w:rPr>
          <w:rFonts w:eastAsiaTheme="minorEastAsia"/>
          <w:snapToGrid/>
          <w:szCs w:val="22"/>
          <w:lang w:val="lt-LT" w:eastAsia="en-IN"/>
        </w:rPr>
        <w:noBreakHyphen/>
      </w:r>
      <w:r w:rsidRPr="001839C2">
        <w:rPr>
          <w:rFonts w:eastAsiaTheme="minorEastAsia"/>
          <w:snapToGrid/>
          <w:szCs w:val="22"/>
          <w:lang w:val="lt-LT" w:eastAsia="en-IN"/>
        </w:rPr>
        <w:t>1.</w:t>
      </w:r>
    </w:p>
    <w:p w14:paraId="52DE0F3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BFB5055" w14:textId="77777777" w:rsidR="002A5F50" w:rsidRPr="001839C2" w:rsidRDefault="002A5F50">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Nurodymų laikymosi svarba</w:t>
      </w:r>
    </w:p>
    <w:p w14:paraId="6345970E"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DD3D03"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DD3D03"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veiksmingumas mažinant užsikrėtimo</w:t>
      </w:r>
      <w:r w:rsidR="00422758" w:rsidRPr="001839C2">
        <w:rPr>
          <w:rFonts w:eastAsiaTheme="minorEastAsia"/>
          <w:snapToGrid/>
          <w:szCs w:val="22"/>
          <w:lang w:val="lt-LT" w:eastAsia="en-IN"/>
        </w:rPr>
        <w:t> </w:t>
      </w:r>
      <w:r w:rsidRPr="001839C2">
        <w:rPr>
          <w:rFonts w:eastAsiaTheme="minorEastAsia"/>
          <w:snapToGrid/>
          <w:szCs w:val="22"/>
          <w:lang w:val="lt-LT" w:eastAsia="en-IN"/>
        </w:rPr>
        <w:t>ŽIV</w:t>
      </w:r>
      <w:r w:rsidR="00DD3D03" w:rsidRPr="001839C2">
        <w:rPr>
          <w:rFonts w:eastAsiaTheme="minorEastAsia"/>
          <w:snapToGrid/>
          <w:szCs w:val="22"/>
          <w:lang w:val="lt-LT" w:eastAsia="en-IN"/>
        </w:rPr>
        <w:noBreakHyphen/>
      </w:r>
      <w:r w:rsidRPr="001839C2">
        <w:rPr>
          <w:rFonts w:eastAsiaTheme="minorEastAsia"/>
          <w:snapToGrid/>
          <w:szCs w:val="22"/>
          <w:lang w:val="lt-LT" w:eastAsia="en-IN"/>
        </w:rPr>
        <w:t xml:space="preserve">1 riziką stipriai susijęs su nurodymų laikymusi, </w:t>
      </w:r>
      <w:r w:rsidR="00DD3D03" w:rsidRPr="001839C2">
        <w:rPr>
          <w:rFonts w:eastAsiaTheme="minorEastAsia"/>
          <w:snapToGrid/>
          <w:szCs w:val="22"/>
          <w:lang w:val="lt-LT" w:eastAsia="en-IN"/>
        </w:rPr>
        <w:t>tai</w:t>
      </w:r>
      <w:r w:rsidRPr="001839C2">
        <w:rPr>
          <w:rFonts w:eastAsiaTheme="minorEastAsia"/>
          <w:snapToGrid/>
          <w:szCs w:val="22"/>
          <w:lang w:val="lt-LT" w:eastAsia="en-IN"/>
        </w:rPr>
        <w:t xml:space="preserve"> patvirtina išmatuojama vaist</w:t>
      </w:r>
      <w:r w:rsidR="00DD3D03" w:rsidRPr="001839C2">
        <w:rPr>
          <w:rFonts w:eastAsiaTheme="minorEastAsia"/>
          <w:snapToGrid/>
          <w:szCs w:val="22"/>
          <w:lang w:val="lt-LT" w:eastAsia="en-IN"/>
        </w:rPr>
        <w:t>ini</w:t>
      </w:r>
      <w:r w:rsidRPr="001839C2">
        <w:rPr>
          <w:rFonts w:eastAsiaTheme="minorEastAsia"/>
          <w:snapToGrid/>
          <w:szCs w:val="22"/>
          <w:lang w:val="lt-LT" w:eastAsia="en-IN"/>
        </w:rPr>
        <w:t>o</w:t>
      </w:r>
      <w:r w:rsidR="00DD3D03"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koncentracija </w:t>
      </w:r>
      <w:r w:rsidRPr="001839C2">
        <w:rPr>
          <w:rFonts w:eastAsiaTheme="minorEastAsia"/>
          <w:snapToGrid/>
          <w:szCs w:val="22"/>
          <w:lang w:val="lt-LT" w:eastAsia="en-IN"/>
        </w:rPr>
        <w:lastRenderedPageBreak/>
        <w:t>kraujyje (žr.</w:t>
      </w:r>
      <w:r w:rsidR="00DD3D03" w:rsidRPr="001839C2">
        <w:rPr>
          <w:rFonts w:eastAsiaTheme="minorEastAsia"/>
          <w:snapToGrid/>
          <w:szCs w:val="22"/>
          <w:lang w:val="lt-LT" w:eastAsia="en-IN"/>
        </w:rPr>
        <w:t> </w:t>
      </w:r>
      <w:r w:rsidRPr="001839C2">
        <w:rPr>
          <w:rFonts w:eastAsiaTheme="minorEastAsia"/>
          <w:snapToGrid/>
          <w:szCs w:val="22"/>
          <w:lang w:val="lt-LT" w:eastAsia="en-IN"/>
        </w:rPr>
        <w:t>5.1</w:t>
      </w:r>
      <w:r w:rsidR="00DD3D03" w:rsidRPr="001839C2">
        <w:rPr>
          <w:rFonts w:eastAsiaTheme="minorEastAsia"/>
          <w:snapToGrid/>
          <w:szCs w:val="22"/>
          <w:lang w:val="lt-LT" w:eastAsia="en-IN"/>
        </w:rPr>
        <w:t> </w:t>
      </w:r>
      <w:r w:rsidRPr="001839C2">
        <w:rPr>
          <w:rFonts w:eastAsiaTheme="minorEastAsia"/>
          <w:snapToGrid/>
          <w:szCs w:val="22"/>
          <w:lang w:val="lt-LT" w:eastAsia="en-IN"/>
        </w:rPr>
        <w:t>skyrių). ŽIV</w:t>
      </w:r>
      <w:r w:rsidR="00DD3D03" w:rsidRPr="001839C2">
        <w:rPr>
          <w:rFonts w:eastAsiaTheme="minorEastAsia"/>
          <w:snapToGrid/>
          <w:szCs w:val="22"/>
          <w:lang w:val="lt-LT" w:eastAsia="en-IN"/>
        </w:rPr>
        <w:noBreakHyphen/>
      </w:r>
      <w:r w:rsidRPr="001839C2">
        <w:rPr>
          <w:rFonts w:eastAsiaTheme="minorEastAsia"/>
          <w:snapToGrid/>
          <w:szCs w:val="22"/>
          <w:lang w:val="lt-LT" w:eastAsia="en-IN"/>
        </w:rPr>
        <w:t xml:space="preserve">1 neužsikrėtusiems asmenims reikia dažnai primygtinai nurodyti griežtai laikytis rekomenduojamo </w:t>
      </w:r>
      <w:r w:rsidRPr="001839C2">
        <w:rPr>
          <w:rFonts w:eastAsiaTheme="minorHAnsi"/>
          <w:snapToGrid/>
          <w:szCs w:val="22"/>
          <w:lang w:val="lt-LT"/>
        </w:rPr>
        <w:t xml:space="preserve">Emtricitabine/Tenofovir disoproxil Accordpharma </w:t>
      </w:r>
      <w:r w:rsidRPr="001839C2">
        <w:rPr>
          <w:rFonts w:eastAsiaTheme="minorEastAsia"/>
          <w:snapToGrid/>
          <w:szCs w:val="22"/>
          <w:lang w:val="lt-LT" w:eastAsia="en-IN"/>
        </w:rPr>
        <w:t>kasdienio dozavimo režimo.</w:t>
      </w:r>
    </w:p>
    <w:p w14:paraId="7FC0ED8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p>
    <w:p w14:paraId="2765D832"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Pacientai, infekuoti hepatito</w:t>
      </w:r>
      <w:r w:rsidR="00DD3D03" w:rsidRPr="001839C2">
        <w:rPr>
          <w:rFonts w:eastAsiaTheme="minorEastAsia"/>
          <w:snapToGrid/>
          <w:szCs w:val="22"/>
          <w:u w:val="single"/>
          <w:lang w:val="lt-LT" w:eastAsia="en-IN"/>
        </w:rPr>
        <w:t> </w:t>
      </w:r>
      <w:r w:rsidRPr="001839C2">
        <w:rPr>
          <w:rFonts w:eastAsiaTheme="minorEastAsia"/>
          <w:snapToGrid/>
          <w:szCs w:val="22"/>
          <w:u w:val="single"/>
          <w:lang w:val="lt-LT" w:eastAsia="en-IN"/>
        </w:rPr>
        <w:t>B ar C</w:t>
      </w:r>
      <w:r w:rsidR="00DD3D03" w:rsidRPr="001839C2">
        <w:rPr>
          <w:rFonts w:eastAsiaTheme="minorEastAsia"/>
          <w:snapToGrid/>
          <w:szCs w:val="22"/>
          <w:u w:val="single"/>
          <w:lang w:val="lt-LT" w:eastAsia="en-IN"/>
        </w:rPr>
        <w:t> </w:t>
      </w:r>
      <w:r w:rsidRPr="001839C2">
        <w:rPr>
          <w:rFonts w:eastAsiaTheme="minorEastAsia"/>
          <w:snapToGrid/>
          <w:szCs w:val="22"/>
          <w:u w:val="single"/>
          <w:lang w:val="lt-LT" w:eastAsia="en-IN"/>
        </w:rPr>
        <w:t>virusu</w:t>
      </w:r>
    </w:p>
    <w:p w14:paraId="0923C2D2"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ŽIV</w:t>
      </w:r>
      <w:r w:rsidR="00DD3D03" w:rsidRPr="001839C2">
        <w:rPr>
          <w:rFonts w:eastAsiaTheme="minorEastAsia"/>
          <w:snapToGrid/>
          <w:szCs w:val="22"/>
          <w:lang w:val="lt-LT" w:eastAsia="en-IN"/>
        </w:rPr>
        <w:noBreakHyphen/>
      </w:r>
      <w:r w:rsidRPr="001839C2">
        <w:rPr>
          <w:rFonts w:eastAsiaTheme="minorEastAsia"/>
          <w:snapToGrid/>
          <w:szCs w:val="22"/>
          <w:lang w:val="lt-LT" w:eastAsia="en-IN"/>
        </w:rPr>
        <w:t>1</w:t>
      </w:r>
      <w:r w:rsidR="00DD3D03" w:rsidRPr="001839C2">
        <w:rPr>
          <w:rFonts w:eastAsiaTheme="minorEastAsia"/>
          <w:snapToGrid/>
          <w:szCs w:val="22"/>
          <w:lang w:val="lt-LT" w:eastAsia="en-IN"/>
        </w:rPr>
        <w:t> </w:t>
      </w:r>
      <w:r w:rsidRPr="001839C2">
        <w:rPr>
          <w:rFonts w:eastAsiaTheme="minorEastAsia"/>
          <w:snapToGrid/>
          <w:szCs w:val="22"/>
          <w:lang w:val="lt-LT" w:eastAsia="en-IN"/>
        </w:rPr>
        <w:t>infekuoti, lėtiniu hepatitu</w:t>
      </w:r>
      <w:r w:rsidR="00DD3D03" w:rsidRPr="001839C2">
        <w:rPr>
          <w:rFonts w:eastAsiaTheme="minorEastAsia"/>
          <w:snapToGrid/>
          <w:szCs w:val="22"/>
          <w:lang w:val="lt-LT" w:eastAsia="en-IN"/>
        </w:rPr>
        <w:t> </w:t>
      </w:r>
      <w:r w:rsidRPr="001839C2">
        <w:rPr>
          <w:rFonts w:eastAsiaTheme="minorEastAsia"/>
          <w:snapToGrid/>
          <w:szCs w:val="22"/>
          <w:lang w:val="lt-LT" w:eastAsia="en-IN"/>
        </w:rPr>
        <w:t>B ar C sergantys ir antiretrovirusinį gydymą gaunantys pacientai turi padidėjusią riziką pasireikšti sunkioms nepageidaujamoms reakcijoms kepenims, kurios gali būti mirtinos. Jei pacientas yra infekuotas ir hepatito</w:t>
      </w:r>
      <w:r w:rsidR="00DD3D03" w:rsidRPr="001839C2">
        <w:rPr>
          <w:rFonts w:eastAsiaTheme="minorEastAsia"/>
          <w:snapToGrid/>
          <w:szCs w:val="22"/>
          <w:lang w:val="lt-LT" w:eastAsia="en-IN"/>
        </w:rPr>
        <w:t> </w:t>
      </w:r>
      <w:r w:rsidRPr="001839C2">
        <w:rPr>
          <w:rFonts w:eastAsiaTheme="minorEastAsia"/>
          <w:snapToGrid/>
          <w:szCs w:val="22"/>
          <w:lang w:val="lt-LT" w:eastAsia="en-IN"/>
        </w:rPr>
        <w:t>B virusu (HBV) arba hepatito</w:t>
      </w:r>
      <w:r w:rsidR="00DD3D03" w:rsidRPr="001839C2">
        <w:rPr>
          <w:rFonts w:eastAsiaTheme="minorEastAsia"/>
          <w:snapToGrid/>
          <w:szCs w:val="22"/>
          <w:lang w:val="lt-LT" w:eastAsia="en-IN"/>
        </w:rPr>
        <w:t> </w:t>
      </w:r>
      <w:r w:rsidRPr="001839C2">
        <w:rPr>
          <w:rFonts w:eastAsiaTheme="minorEastAsia"/>
          <w:snapToGrid/>
          <w:szCs w:val="22"/>
          <w:lang w:val="lt-LT" w:eastAsia="en-IN"/>
        </w:rPr>
        <w:t>C virusu (HCV), gydytojas turi vadovautis priimtais ŽIV</w:t>
      </w:r>
      <w:r w:rsidR="00DD3D03" w:rsidRPr="001839C2">
        <w:rPr>
          <w:rFonts w:eastAsiaTheme="minorEastAsia"/>
          <w:snapToGrid/>
          <w:szCs w:val="22"/>
          <w:lang w:val="lt-LT" w:eastAsia="en-IN"/>
        </w:rPr>
        <w:t> </w:t>
      </w:r>
      <w:r w:rsidRPr="001839C2">
        <w:rPr>
          <w:rFonts w:eastAsiaTheme="minorEastAsia"/>
          <w:snapToGrid/>
          <w:szCs w:val="22"/>
          <w:lang w:val="lt-LT" w:eastAsia="en-IN"/>
        </w:rPr>
        <w:t>infekcijos gydymo nurodymais.</w:t>
      </w:r>
    </w:p>
    <w:p w14:paraId="3BF59EC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8D9CDE7"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DD3D03"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DD3D03"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saugumas ir veiksmingumas vartojant priešekspozicinei profilaktikai pacientams, sergantiems</w:t>
      </w:r>
      <w:r w:rsidR="00867CED" w:rsidRPr="001839C2">
        <w:rPr>
          <w:rFonts w:eastAsiaTheme="minorEastAsia"/>
          <w:snapToGrid/>
          <w:szCs w:val="22"/>
          <w:lang w:val="lt-LT" w:eastAsia="en-IN"/>
        </w:rPr>
        <w:t> </w:t>
      </w:r>
      <w:r w:rsidRPr="001839C2">
        <w:rPr>
          <w:rFonts w:eastAsiaTheme="minorEastAsia"/>
          <w:snapToGrid/>
          <w:szCs w:val="22"/>
          <w:lang w:val="lt-LT" w:eastAsia="en-IN"/>
        </w:rPr>
        <w:t>HBV ar HCV</w:t>
      </w:r>
      <w:r w:rsidR="00867CED" w:rsidRPr="001839C2">
        <w:rPr>
          <w:rFonts w:eastAsiaTheme="minorEastAsia"/>
          <w:snapToGrid/>
          <w:szCs w:val="22"/>
          <w:lang w:val="lt-LT" w:eastAsia="en-IN"/>
        </w:rPr>
        <w:t> </w:t>
      </w:r>
      <w:r w:rsidRPr="001839C2">
        <w:rPr>
          <w:rFonts w:eastAsiaTheme="minorEastAsia"/>
          <w:snapToGrid/>
          <w:szCs w:val="22"/>
          <w:lang w:val="lt-LT" w:eastAsia="en-IN"/>
        </w:rPr>
        <w:t>infekcij</w:t>
      </w:r>
      <w:r w:rsidR="00422758" w:rsidRPr="001839C2">
        <w:rPr>
          <w:rFonts w:eastAsiaTheme="minorEastAsia"/>
          <w:snapToGrid/>
          <w:szCs w:val="22"/>
          <w:lang w:val="lt-LT" w:eastAsia="en-IN"/>
        </w:rPr>
        <w:t>a</w:t>
      </w:r>
      <w:r w:rsidRPr="001839C2">
        <w:rPr>
          <w:rFonts w:eastAsiaTheme="minorEastAsia"/>
          <w:snapToGrid/>
          <w:szCs w:val="22"/>
          <w:lang w:val="lt-LT" w:eastAsia="en-IN"/>
        </w:rPr>
        <w:t>, neištirti.</w:t>
      </w:r>
    </w:p>
    <w:p w14:paraId="36BCEFE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94D7593"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tuo pa</w:t>
      </w:r>
      <w:r w:rsidR="00422758" w:rsidRPr="001839C2">
        <w:rPr>
          <w:rFonts w:eastAsiaTheme="minorEastAsia"/>
          <w:snapToGrid/>
          <w:szCs w:val="22"/>
          <w:lang w:val="lt-LT" w:eastAsia="en-IN"/>
        </w:rPr>
        <w:t>čiu</w:t>
      </w:r>
      <w:r w:rsidRPr="001839C2">
        <w:rPr>
          <w:rFonts w:eastAsiaTheme="minorEastAsia"/>
          <w:snapToGrid/>
          <w:szCs w:val="22"/>
          <w:lang w:val="lt-LT" w:eastAsia="en-IN"/>
        </w:rPr>
        <w:t xml:space="preserve"> metu yra skiriamas antivirusinis hepatito</w:t>
      </w:r>
      <w:r w:rsidR="00DD3D03" w:rsidRPr="001839C2">
        <w:rPr>
          <w:rFonts w:eastAsiaTheme="minorEastAsia"/>
          <w:snapToGrid/>
          <w:szCs w:val="22"/>
          <w:lang w:val="lt-LT" w:eastAsia="en-IN"/>
        </w:rPr>
        <w:t> </w:t>
      </w:r>
      <w:r w:rsidRPr="001839C2">
        <w:rPr>
          <w:rFonts w:eastAsiaTheme="minorEastAsia"/>
          <w:snapToGrid/>
          <w:szCs w:val="22"/>
          <w:lang w:val="lt-LT" w:eastAsia="en-IN"/>
        </w:rPr>
        <w:t>B ar C gydymas, žiūrėkite šių vaistinių preparatų charakteristikų santraukas. Taip pat žr.</w:t>
      </w:r>
      <w:r w:rsidR="00DD3D03" w:rsidRPr="001839C2">
        <w:rPr>
          <w:rFonts w:eastAsiaTheme="minorEastAsia"/>
          <w:snapToGrid/>
          <w:szCs w:val="22"/>
          <w:lang w:val="lt-LT" w:eastAsia="en-IN"/>
        </w:rPr>
        <w:t> </w:t>
      </w:r>
      <w:r w:rsidRPr="001839C2">
        <w:rPr>
          <w:rFonts w:eastAsiaTheme="minorEastAsia"/>
          <w:snapToGrid/>
          <w:szCs w:val="22"/>
          <w:lang w:val="lt-LT" w:eastAsia="en-IN"/>
        </w:rPr>
        <w:t>toliau poskyrį „</w:t>
      </w:r>
      <w:r w:rsidRPr="001839C2">
        <w:rPr>
          <w:rFonts w:eastAsiaTheme="minorEastAsia"/>
          <w:iCs/>
          <w:snapToGrid/>
          <w:szCs w:val="22"/>
          <w:lang w:val="lt-LT" w:eastAsia="en-IN"/>
        </w:rPr>
        <w:t>Vartojimas kartu su ledipasviru ir sofosbuviru</w:t>
      </w:r>
      <w:r w:rsidR="00DD3D03" w:rsidRPr="001839C2">
        <w:rPr>
          <w:rFonts w:eastAsiaTheme="minorEastAsia"/>
          <w:iCs/>
          <w:snapToGrid/>
          <w:szCs w:val="22"/>
          <w:lang w:val="lt-LT" w:eastAsia="en-IN"/>
        </w:rPr>
        <w:t>,</w:t>
      </w:r>
      <w:r w:rsidRPr="001839C2">
        <w:rPr>
          <w:rFonts w:eastAsiaTheme="minorEastAsia"/>
          <w:iCs/>
          <w:snapToGrid/>
          <w:szCs w:val="22"/>
          <w:lang w:val="lt-LT" w:eastAsia="en-IN"/>
        </w:rPr>
        <w:t xml:space="preserve"> sofosbuviru ir velpatasviru</w:t>
      </w:r>
      <w:r w:rsidR="00422758" w:rsidRPr="001839C2">
        <w:rPr>
          <w:rFonts w:eastAsiaTheme="minorEastAsia"/>
          <w:iCs/>
          <w:snapToGrid/>
          <w:szCs w:val="22"/>
          <w:lang w:val="lt-LT" w:eastAsia="en-IN"/>
        </w:rPr>
        <w:t xml:space="preserve"> arba sofosbuviru, velpatasviru ir voksilapreviru</w:t>
      </w:r>
      <w:r w:rsidRPr="001839C2">
        <w:rPr>
          <w:rFonts w:eastAsiaTheme="minorEastAsia"/>
          <w:snapToGrid/>
          <w:szCs w:val="22"/>
          <w:lang w:val="lt-LT" w:eastAsia="en-IN"/>
        </w:rPr>
        <w:t>“</w:t>
      </w:r>
      <w:r w:rsidRPr="001839C2">
        <w:rPr>
          <w:rFonts w:eastAsiaTheme="minorEastAsia"/>
          <w:i/>
          <w:iCs/>
          <w:snapToGrid/>
          <w:szCs w:val="22"/>
          <w:lang w:val="lt-LT" w:eastAsia="en-IN"/>
        </w:rPr>
        <w:t>.</w:t>
      </w:r>
    </w:p>
    <w:p w14:paraId="7BA4426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p>
    <w:p w14:paraId="67940D28"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Tenofovir</w:t>
      </w:r>
      <w:r w:rsidR="005D5385" w:rsidRPr="001839C2">
        <w:rPr>
          <w:rFonts w:eastAsiaTheme="minorEastAsia"/>
          <w:snapToGrid/>
          <w:szCs w:val="22"/>
          <w:lang w:val="lt-LT" w:eastAsia="en-IN"/>
        </w:rPr>
        <w:t>as</w:t>
      </w:r>
      <w:r w:rsidRPr="001839C2">
        <w:rPr>
          <w:rFonts w:eastAsiaTheme="minorEastAsia"/>
          <w:snapToGrid/>
          <w:szCs w:val="22"/>
          <w:lang w:val="lt-LT" w:eastAsia="en-IN"/>
        </w:rPr>
        <w:t xml:space="preserve"> dizoproksilis skirtas HBV gydyti, o farmakodinamikos tyrimų metu nustatytas emtricitabino veiksmingumas prieš HBV, tačiau emtricitabino</w:t>
      </w:r>
      <w:r w:rsidR="00FD0B4D"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C37D10" w:rsidRPr="001839C2">
        <w:rPr>
          <w:rFonts w:eastAsiaTheme="minorEastAsia"/>
          <w:snapToGrid/>
          <w:szCs w:val="22"/>
          <w:lang w:val="lt-LT" w:eastAsia="en-IN"/>
        </w:rPr>
        <w:t>i</w:t>
      </w:r>
      <w:r w:rsidRPr="001839C2">
        <w:rPr>
          <w:rFonts w:eastAsiaTheme="minorEastAsia"/>
          <w:snapToGrid/>
          <w:szCs w:val="22"/>
          <w:lang w:val="lt-LT" w:eastAsia="en-IN"/>
        </w:rPr>
        <w:t>o</w:t>
      </w:r>
      <w:r w:rsidR="00FD0B4D"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saugumas ir veiksmingumas lėtine HBV</w:t>
      </w:r>
      <w:r w:rsidR="00FD0B4D" w:rsidRPr="001839C2">
        <w:rPr>
          <w:rFonts w:eastAsiaTheme="minorEastAsia"/>
          <w:snapToGrid/>
          <w:szCs w:val="22"/>
          <w:lang w:val="lt-LT" w:eastAsia="en-IN"/>
        </w:rPr>
        <w:t> </w:t>
      </w:r>
      <w:r w:rsidRPr="001839C2">
        <w:rPr>
          <w:rFonts w:eastAsiaTheme="minorEastAsia"/>
          <w:snapToGrid/>
          <w:szCs w:val="22"/>
          <w:lang w:val="lt-LT" w:eastAsia="en-IN"/>
        </w:rPr>
        <w:t>infekcija sergantiems pacientams specialiai neištirti.</w:t>
      </w:r>
    </w:p>
    <w:p w14:paraId="35C9AA19"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48F5082"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Nutraukus gydymą emtricitabino</w:t>
      </w:r>
      <w:r w:rsidR="00FD0B4D"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00FD0B4D" w:rsidRPr="001839C2">
        <w:rPr>
          <w:rFonts w:eastAsiaTheme="minorEastAsia"/>
          <w:snapToGrid/>
          <w:szCs w:val="22"/>
          <w:lang w:val="lt-LT" w:eastAsia="en-IN"/>
        </w:rPr>
        <w:t>o deriniu</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pacientams, kurie yra infekuoti</w:t>
      </w:r>
      <w:r w:rsidR="00FD0B4D" w:rsidRPr="001839C2">
        <w:rPr>
          <w:rFonts w:eastAsiaTheme="minorEastAsia"/>
          <w:snapToGrid/>
          <w:szCs w:val="22"/>
          <w:lang w:val="lt-LT" w:eastAsia="en-IN"/>
        </w:rPr>
        <w:t> </w:t>
      </w:r>
      <w:r w:rsidRPr="001839C2">
        <w:rPr>
          <w:rFonts w:eastAsiaTheme="minorEastAsia"/>
          <w:snapToGrid/>
          <w:szCs w:val="22"/>
          <w:lang w:val="lt-LT" w:eastAsia="en-IN"/>
        </w:rPr>
        <w:t>HBV, gali pasireikšti sunkių hepatito paūmėjimo atvejų. Mažiausiai kelis</w:t>
      </w:r>
      <w:r w:rsidR="00FD0B4D" w:rsidRPr="001839C2">
        <w:rPr>
          <w:rFonts w:eastAsiaTheme="minorEastAsia"/>
          <w:snapToGrid/>
          <w:szCs w:val="22"/>
          <w:lang w:val="lt-LT" w:eastAsia="en-IN"/>
        </w:rPr>
        <w:t> </w:t>
      </w:r>
      <w:r w:rsidRPr="001839C2">
        <w:rPr>
          <w:rFonts w:eastAsiaTheme="minorEastAsia"/>
          <w:snapToGrid/>
          <w:szCs w:val="22"/>
          <w:lang w:val="lt-LT" w:eastAsia="en-IN"/>
        </w:rPr>
        <w:t>mėnesius po gydymo emtricitabino</w:t>
      </w:r>
      <w:r w:rsidR="00FD0B4D"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00FD0B4D" w:rsidRPr="001839C2">
        <w:rPr>
          <w:rFonts w:eastAsiaTheme="minorEastAsia"/>
          <w:snapToGrid/>
          <w:szCs w:val="22"/>
          <w:lang w:val="lt-LT" w:eastAsia="en-IN"/>
        </w:rPr>
        <w:t>o deriniu</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nutraukimo HBV infekuotus pacientus reikia atidžiai stebėti atliekant klinikinius ir laboratorinius tyrimus. Esant poreikiui,</w:t>
      </w:r>
      <w:r w:rsidR="00FD0B4D" w:rsidRPr="001839C2">
        <w:rPr>
          <w:rFonts w:eastAsiaTheme="minorEastAsia"/>
          <w:snapToGrid/>
          <w:szCs w:val="22"/>
          <w:lang w:val="lt-LT" w:eastAsia="en-IN"/>
        </w:rPr>
        <w:t xml:space="preserve"> </w:t>
      </w:r>
      <w:r w:rsidRPr="001839C2">
        <w:rPr>
          <w:rFonts w:eastAsiaTheme="minorEastAsia"/>
          <w:snapToGrid/>
          <w:szCs w:val="22"/>
          <w:lang w:val="lt-LT" w:eastAsia="en-IN"/>
        </w:rPr>
        <w:t>hepatito</w:t>
      </w:r>
      <w:r w:rsidR="00FD0B4D" w:rsidRPr="001839C2">
        <w:rPr>
          <w:rFonts w:eastAsiaTheme="minorEastAsia"/>
          <w:snapToGrid/>
          <w:szCs w:val="22"/>
          <w:lang w:val="lt-LT" w:eastAsia="en-IN"/>
        </w:rPr>
        <w:t> </w:t>
      </w:r>
      <w:r w:rsidRPr="001839C2">
        <w:rPr>
          <w:rFonts w:eastAsiaTheme="minorEastAsia"/>
          <w:snapToGrid/>
          <w:szCs w:val="22"/>
          <w:lang w:val="lt-LT" w:eastAsia="en-IN"/>
        </w:rPr>
        <w:t>B gydymas turi būti atnaujinamas. Pacientams, sergantiems pažengusia kepenų liga ar ciroze, gydymo nutraukti nerekomenduojama, nes po gydymo pasireiškiantis hepatito paūmėjimas gali sukelti kepenų veiklos nepakankamumą.</w:t>
      </w:r>
    </w:p>
    <w:p w14:paraId="59105362"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25BAD5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Kepenų ligos</w:t>
      </w:r>
    </w:p>
    <w:p w14:paraId="7216D606"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FD0B4D"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FD0B4D"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saugumas ir veiksmingumas pacientams, sergantiems sunkiomis kepenų ligomis, neištirti. Pacientams, sergantiems kepenų funkcijos sutrikimu, tenofoviro farmakokinetika buvo tirta ir nustatyta, kad dozės koreguoti nereikia. Emtricitabino farmakokinetika pacientams, kurių kepenų funkcija yra sutrikusi, tirta nebuvo. Tačiau, remiantis minimaliu emtricitabino metabolizmu kepenyse ir jo šalinimu p</w:t>
      </w:r>
      <w:r w:rsidR="00FD0B4D" w:rsidRPr="001839C2">
        <w:rPr>
          <w:rFonts w:eastAsiaTheme="minorEastAsia"/>
          <w:snapToGrid/>
          <w:szCs w:val="22"/>
          <w:lang w:val="lt-LT" w:eastAsia="en-IN"/>
        </w:rPr>
        <w:t>e</w:t>
      </w:r>
      <w:r w:rsidRPr="001839C2">
        <w:rPr>
          <w:rFonts w:eastAsiaTheme="minorEastAsia"/>
          <w:snapToGrid/>
          <w:szCs w:val="22"/>
          <w:lang w:val="lt-LT" w:eastAsia="en-IN"/>
        </w:rPr>
        <w:t>r inkstus, mažai tikėtina, kad sergantiems kepenų funkcijos sutrikimu pacientams reikėtų koreguoti emtricitabino</w:t>
      </w:r>
      <w:r w:rsidR="00FD0B4D"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FD0B4D"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dozę (žr.</w:t>
      </w:r>
      <w:r w:rsidR="00FD0B4D" w:rsidRPr="001839C2">
        <w:rPr>
          <w:rFonts w:eastAsiaTheme="minorEastAsia"/>
          <w:snapToGrid/>
          <w:szCs w:val="22"/>
          <w:lang w:val="lt-LT" w:eastAsia="en-IN"/>
        </w:rPr>
        <w:t> </w:t>
      </w:r>
      <w:r w:rsidRPr="001839C2">
        <w:rPr>
          <w:rFonts w:eastAsiaTheme="minorEastAsia"/>
          <w:snapToGrid/>
          <w:szCs w:val="22"/>
          <w:lang w:val="lt-LT" w:eastAsia="en-IN"/>
        </w:rPr>
        <w:t>4.2 ir 5.2</w:t>
      </w:r>
      <w:r w:rsidR="00FD0B4D" w:rsidRPr="001839C2">
        <w:rPr>
          <w:rFonts w:eastAsiaTheme="minorEastAsia"/>
          <w:snapToGrid/>
          <w:szCs w:val="22"/>
          <w:lang w:val="lt-LT" w:eastAsia="en-IN"/>
        </w:rPr>
        <w:t> </w:t>
      </w:r>
      <w:r w:rsidRPr="001839C2">
        <w:rPr>
          <w:rFonts w:eastAsiaTheme="minorEastAsia"/>
          <w:snapToGrid/>
          <w:szCs w:val="22"/>
          <w:lang w:val="lt-LT" w:eastAsia="en-IN"/>
        </w:rPr>
        <w:t>skyrius).</w:t>
      </w:r>
    </w:p>
    <w:p w14:paraId="711D8D1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5BA1D7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ŽIV</w:t>
      </w:r>
      <w:r w:rsidR="00FD0B4D" w:rsidRPr="001839C2">
        <w:rPr>
          <w:rFonts w:eastAsiaTheme="minorEastAsia"/>
          <w:snapToGrid/>
          <w:szCs w:val="22"/>
          <w:lang w:val="lt-LT" w:eastAsia="en-IN"/>
        </w:rPr>
        <w:noBreakHyphen/>
      </w:r>
      <w:r w:rsidRPr="001839C2">
        <w:rPr>
          <w:rFonts w:eastAsiaTheme="minorEastAsia"/>
          <w:snapToGrid/>
          <w:szCs w:val="22"/>
          <w:lang w:val="lt-LT" w:eastAsia="en-IN"/>
        </w:rPr>
        <w:t xml:space="preserve">1 infekuotiems pacientams, kuriems jau yra kepenų funkcijos sutrikimų, tarp jų ir lėtinis aktyvus hepatitas, skiriant kombinuotą antiretrovirusinį gydymą (KARG), dažniau pasitaiko kepenų funkcijos sutrikimų, todėl reikia atitinkamai sekti jų būklę. Jeigu kepenų funkcija tokiems pacientams blogėja, reikia pagalvoti </w:t>
      </w:r>
      <w:r w:rsidR="00FD0B4D" w:rsidRPr="001839C2">
        <w:rPr>
          <w:rFonts w:eastAsiaTheme="minorEastAsia"/>
          <w:snapToGrid/>
          <w:szCs w:val="22"/>
          <w:lang w:val="lt-LT" w:eastAsia="en-IN"/>
        </w:rPr>
        <w:t>apie</w:t>
      </w:r>
      <w:r w:rsidRPr="001839C2">
        <w:rPr>
          <w:rFonts w:eastAsiaTheme="minorEastAsia"/>
          <w:snapToGrid/>
          <w:szCs w:val="22"/>
          <w:lang w:val="lt-LT" w:eastAsia="en-IN"/>
        </w:rPr>
        <w:t xml:space="preserve"> laikin</w:t>
      </w:r>
      <w:r w:rsidR="00FD0B4D" w:rsidRPr="001839C2">
        <w:rPr>
          <w:rFonts w:eastAsiaTheme="minorEastAsia"/>
          <w:snapToGrid/>
          <w:szCs w:val="22"/>
          <w:lang w:val="lt-LT" w:eastAsia="en-IN"/>
        </w:rPr>
        <w:t>ą</w:t>
      </w:r>
      <w:r w:rsidRPr="001839C2">
        <w:rPr>
          <w:rFonts w:eastAsiaTheme="minorEastAsia"/>
          <w:snapToGrid/>
          <w:szCs w:val="22"/>
          <w:lang w:val="lt-LT" w:eastAsia="en-IN"/>
        </w:rPr>
        <w:t xml:space="preserve"> ar visišk</w:t>
      </w:r>
      <w:r w:rsidR="00FD0B4D" w:rsidRPr="001839C2">
        <w:rPr>
          <w:rFonts w:eastAsiaTheme="minorEastAsia"/>
          <w:snapToGrid/>
          <w:szCs w:val="22"/>
          <w:lang w:val="lt-LT" w:eastAsia="en-IN"/>
        </w:rPr>
        <w:t>ą</w:t>
      </w:r>
      <w:r w:rsidRPr="001839C2">
        <w:rPr>
          <w:rFonts w:eastAsiaTheme="minorEastAsia"/>
          <w:snapToGrid/>
          <w:szCs w:val="22"/>
          <w:lang w:val="lt-LT" w:eastAsia="en-IN"/>
        </w:rPr>
        <w:t xml:space="preserve"> gydymo nutraukim</w:t>
      </w:r>
      <w:r w:rsidR="00FD0B4D" w:rsidRPr="001839C2">
        <w:rPr>
          <w:rFonts w:eastAsiaTheme="minorEastAsia"/>
          <w:snapToGrid/>
          <w:szCs w:val="22"/>
          <w:lang w:val="lt-LT" w:eastAsia="en-IN"/>
        </w:rPr>
        <w:t>ą</w:t>
      </w:r>
      <w:r w:rsidRPr="001839C2">
        <w:rPr>
          <w:rFonts w:eastAsiaTheme="minorEastAsia"/>
          <w:snapToGrid/>
          <w:szCs w:val="22"/>
          <w:lang w:val="lt-LT" w:eastAsia="en-IN"/>
        </w:rPr>
        <w:t>.</w:t>
      </w:r>
    </w:p>
    <w:p w14:paraId="200A53E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741725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Poveikis inkstams ir kaulams suaugusiesiems</w:t>
      </w:r>
    </w:p>
    <w:p w14:paraId="34CBB6D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r w:rsidRPr="001839C2">
        <w:rPr>
          <w:rFonts w:eastAsiaTheme="minorEastAsia"/>
          <w:i/>
          <w:iCs/>
          <w:snapToGrid/>
          <w:szCs w:val="22"/>
          <w:u w:val="single"/>
          <w:lang w:val="lt-LT" w:eastAsia="en-IN"/>
        </w:rPr>
        <w:t>Poveikis inkstams</w:t>
      </w:r>
    </w:p>
    <w:p w14:paraId="06322409"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Emtricitabinas ir tenofoviras daugiausiai šalinami p</w:t>
      </w:r>
      <w:r w:rsidR="00FD0B4D" w:rsidRPr="001839C2">
        <w:rPr>
          <w:rFonts w:eastAsiaTheme="minorEastAsia"/>
          <w:snapToGrid/>
          <w:szCs w:val="22"/>
          <w:lang w:val="lt-LT" w:eastAsia="en-IN"/>
        </w:rPr>
        <w:t>e</w:t>
      </w:r>
      <w:r w:rsidRPr="001839C2">
        <w:rPr>
          <w:rFonts w:eastAsiaTheme="minorEastAsia"/>
          <w:snapToGrid/>
          <w:szCs w:val="22"/>
          <w:lang w:val="lt-LT" w:eastAsia="en-IN"/>
        </w:rPr>
        <w:t>r inkstus, juos filtruojant glomeruluose ir aktyviai sekretuojant inkstų kanalėliuose. Vartojant tenofoviro dizoproksil</w:t>
      </w:r>
      <w:r w:rsidR="00FD0B4D" w:rsidRPr="001839C2">
        <w:rPr>
          <w:rFonts w:eastAsiaTheme="minorEastAsia"/>
          <w:snapToGrid/>
          <w:szCs w:val="22"/>
          <w:lang w:val="lt-LT" w:eastAsia="en-IN"/>
        </w:rPr>
        <w:t>io</w:t>
      </w:r>
      <w:r w:rsidRPr="001839C2">
        <w:rPr>
          <w:rFonts w:eastAsiaTheme="minorEastAsia"/>
          <w:snapToGrid/>
          <w:szCs w:val="22"/>
          <w:lang w:val="lt-LT" w:eastAsia="en-IN"/>
        </w:rPr>
        <w:t xml:space="preserve"> buvo nustatyta inkstų funkcijos nepakankamumo, inkstų funkcijos sutrikimo, padidėjusio</w:t>
      </w:r>
      <w:r w:rsidR="00C81A01" w:rsidRPr="001839C2">
        <w:rPr>
          <w:rFonts w:eastAsiaTheme="minorEastAsia"/>
          <w:snapToGrid/>
          <w:szCs w:val="22"/>
          <w:lang w:val="lt-LT" w:eastAsia="en-IN"/>
        </w:rPr>
        <w:t>s</w:t>
      </w:r>
      <w:r w:rsidRPr="001839C2">
        <w:rPr>
          <w:rFonts w:eastAsiaTheme="minorEastAsia"/>
          <w:snapToGrid/>
          <w:szCs w:val="22"/>
          <w:lang w:val="lt-LT" w:eastAsia="en-IN"/>
        </w:rPr>
        <w:t xml:space="preserve"> kreatinino k</w:t>
      </w:r>
      <w:r w:rsidR="00C81A01" w:rsidRPr="001839C2">
        <w:rPr>
          <w:rFonts w:eastAsiaTheme="minorEastAsia"/>
          <w:snapToGrid/>
          <w:szCs w:val="22"/>
          <w:lang w:val="lt-LT" w:eastAsia="en-IN"/>
        </w:rPr>
        <w:t>oncentrac</w:t>
      </w:r>
      <w:r w:rsidRPr="001839C2">
        <w:rPr>
          <w:rFonts w:eastAsiaTheme="minorEastAsia"/>
          <w:snapToGrid/>
          <w:szCs w:val="22"/>
          <w:lang w:val="lt-LT" w:eastAsia="en-IN"/>
        </w:rPr>
        <w:t>i</w:t>
      </w:r>
      <w:r w:rsidR="00C81A01" w:rsidRPr="001839C2">
        <w:rPr>
          <w:rFonts w:eastAsiaTheme="minorEastAsia"/>
          <w:snapToGrid/>
          <w:szCs w:val="22"/>
          <w:lang w:val="lt-LT" w:eastAsia="en-IN"/>
        </w:rPr>
        <w:t>j</w:t>
      </w:r>
      <w:r w:rsidRPr="001839C2">
        <w:rPr>
          <w:rFonts w:eastAsiaTheme="minorEastAsia"/>
          <w:snapToGrid/>
          <w:szCs w:val="22"/>
          <w:lang w:val="lt-LT" w:eastAsia="en-IN"/>
        </w:rPr>
        <w:t>o</w:t>
      </w:r>
      <w:r w:rsidR="00C81A01" w:rsidRPr="001839C2">
        <w:rPr>
          <w:rFonts w:eastAsiaTheme="minorEastAsia"/>
          <w:snapToGrid/>
          <w:szCs w:val="22"/>
          <w:lang w:val="lt-LT" w:eastAsia="en-IN"/>
        </w:rPr>
        <w:t>s</w:t>
      </w:r>
      <w:r w:rsidRPr="001839C2">
        <w:rPr>
          <w:rFonts w:eastAsiaTheme="minorEastAsia"/>
          <w:snapToGrid/>
          <w:szCs w:val="22"/>
          <w:lang w:val="lt-LT" w:eastAsia="en-IN"/>
        </w:rPr>
        <w:t>, hipofosfatemijos ir proksimalinės tubulopatijos (įskaitant Fanconi sindromą) atvejų (žr.</w:t>
      </w:r>
      <w:r w:rsidR="00FD0B4D" w:rsidRPr="001839C2">
        <w:rPr>
          <w:rFonts w:eastAsiaTheme="minorEastAsia"/>
          <w:snapToGrid/>
          <w:szCs w:val="22"/>
          <w:lang w:val="lt-LT" w:eastAsia="en-IN"/>
        </w:rPr>
        <w:t> </w:t>
      </w:r>
      <w:r w:rsidRPr="001839C2">
        <w:rPr>
          <w:rFonts w:eastAsiaTheme="minorEastAsia"/>
          <w:snapToGrid/>
          <w:szCs w:val="22"/>
          <w:lang w:val="lt-LT" w:eastAsia="en-IN"/>
        </w:rPr>
        <w:t>4.8</w:t>
      </w:r>
      <w:r w:rsidR="00FD0B4D" w:rsidRPr="001839C2">
        <w:rPr>
          <w:rFonts w:eastAsiaTheme="minorEastAsia"/>
          <w:snapToGrid/>
          <w:szCs w:val="22"/>
          <w:lang w:val="lt-LT" w:eastAsia="en-IN"/>
        </w:rPr>
        <w:t> </w:t>
      </w:r>
      <w:r w:rsidRPr="001839C2">
        <w:rPr>
          <w:rFonts w:eastAsiaTheme="minorEastAsia"/>
          <w:snapToGrid/>
          <w:szCs w:val="22"/>
          <w:lang w:val="lt-LT" w:eastAsia="en-IN"/>
        </w:rPr>
        <w:t>skyrių).</w:t>
      </w:r>
    </w:p>
    <w:p w14:paraId="4C9D1D2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274174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Inkstų funkcijos stebėjimas</w:t>
      </w:r>
    </w:p>
    <w:p w14:paraId="7AAD6B15"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Prieš pradedant vartoti emtricitabino</w:t>
      </w:r>
      <w:r w:rsidR="00FD0B4D"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FD0B4D" w:rsidRPr="001839C2">
        <w:rPr>
          <w:rFonts w:eastAsiaTheme="minorEastAsia"/>
          <w:snapToGrid/>
          <w:szCs w:val="22"/>
          <w:lang w:val="lt-LT" w:eastAsia="en-IN"/>
        </w:rPr>
        <w:t>io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ŽIV</w:t>
      </w:r>
      <w:r w:rsidR="00FD0B4D" w:rsidRPr="001839C2">
        <w:rPr>
          <w:rFonts w:eastAsiaTheme="minorEastAsia"/>
          <w:snapToGrid/>
          <w:szCs w:val="22"/>
          <w:lang w:val="lt-LT" w:eastAsia="en-IN"/>
        </w:rPr>
        <w:noBreakHyphen/>
      </w:r>
      <w:r w:rsidRPr="001839C2">
        <w:rPr>
          <w:rFonts w:eastAsiaTheme="minorEastAsia"/>
          <w:snapToGrid/>
          <w:szCs w:val="22"/>
          <w:lang w:val="lt-LT" w:eastAsia="en-IN"/>
        </w:rPr>
        <w:t>1 infekcijai gydyti arba priešekspozicinei profilaktikai, rekomenduojama visiems asmenims apskaičiuoti kreatinino klirensą.</w:t>
      </w:r>
    </w:p>
    <w:p w14:paraId="69F20D9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60081EC" w14:textId="77777777"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Asmenims, kuriems nėra inkstų funkcijos sutrikimo rizikos veiksnių, rekomenduojama inkstų funkciją (kreatinino klirensą ir fosfatų k</w:t>
      </w:r>
      <w:r w:rsidR="00D71FB0" w:rsidRPr="001839C2">
        <w:rPr>
          <w:rFonts w:eastAsiaTheme="minorEastAsia"/>
          <w:snapToGrid/>
          <w:szCs w:val="22"/>
          <w:lang w:val="lt-LT" w:eastAsia="en-IN"/>
        </w:rPr>
        <w:t>oncentrac</w:t>
      </w:r>
      <w:r w:rsidRPr="001839C2">
        <w:rPr>
          <w:rFonts w:eastAsiaTheme="minorEastAsia"/>
          <w:snapToGrid/>
          <w:szCs w:val="22"/>
          <w:lang w:val="lt-LT" w:eastAsia="en-IN"/>
        </w:rPr>
        <w:t>i</w:t>
      </w:r>
      <w:r w:rsidR="00D71FB0" w:rsidRPr="001839C2">
        <w:rPr>
          <w:rFonts w:eastAsiaTheme="minorEastAsia"/>
          <w:snapToGrid/>
          <w:szCs w:val="22"/>
          <w:lang w:val="lt-LT" w:eastAsia="en-IN"/>
        </w:rPr>
        <w:t>ją</w:t>
      </w:r>
      <w:r w:rsidRPr="001839C2">
        <w:rPr>
          <w:rFonts w:eastAsiaTheme="minorEastAsia"/>
          <w:snapToGrid/>
          <w:szCs w:val="22"/>
          <w:lang w:val="lt-LT" w:eastAsia="en-IN"/>
        </w:rPr>
        <w:t xml:space="preserve"> serume) tirti po dviejų</w:t>
      </w:r>
      <w:r w:rsidR="00D71FB0" w:rsidRPr="001839C2">
        <w:rPr>
          <w:rFonts w:eastAsiaTheme="minorEastAsia"/>
          <w:snapToGrid/>
          <w:szCs w:val="22"/>
          <w:lang w:val="lt-LT" w:eastAsia="en-IN"/>
        </w:rPr>
        <w:noBreakHyphen/>
      </w:r>
      <w:r w:rsidRPr="001839C2">
        <w:rPr>
          <w:rFonts w:eastAsiaTheme="minorEastAsia"/>
          <w:snapToGrid/>
          <w:szCs w:val="22"/>
          <w:lang w:val="lt-LT" w:eastAsia="en-IN"/>
        </w:rPr>
        <w:t>keturių vartojimo savaičių, po trijų vartojimo mėnesių ir paskui kas tris</w:t>
      </w:r>
      <w:r w:rsidR="00D71FB0" w:rsidRPr="001839C2">
        <w:rPr>
          <w:rFonts w:eastAsiaTheme="minorEastAsia"/>
          <w:snapToGrid/>
          <w:szCs w:val="22"/>
          <w:lang w:val="lt-LT" w:eastAsia="en-IN"/>
        </w:rPr>
        <w:noBreakHyphen/>
      </w:r>
      <w:r w:rsidRPr="001839C2">
        <w:rPr>
          <w:rFonts w:eastAsiaTheme="minorEastAsia"/>
          <w:snapToGrid/>
          <w:szCs w:val="22"/>
          <w:lang w:val="lt-LT" w:eastAsia="en-IN"/>
        </w:rPr>
        <w:t>šešis</w:t>
      </w:r>
      <w:r w:rsidR="00D71FB0" w:rsidRPr="001839C2">
        <w:rPr>
          <w:rFonts w:eastAsiaTheme="minorEastAsia"/>
          <w:snapToGrid/>
          <w:szCs w:val="22"/>
          <w:lang w:val="lt-LT" w:eastAsia="en-IN"/>
        </w:rPr>
        <w:t> </w:t>
      </w:r>
      <w:r w:rsidRPr="001839C2">
        <w:rPr>
          <w:rFonts w:eastAsiaTheme="minorEastAsia"/>
          <w:snapToGrid/>
          <w:szCs w:val="22"/>
          <w:lang w:val="lt-LT" w:eastAsia="en-IN"/>
        </w:rPr>
        <w:t>mėnesius.</w:t>
      </w:r>
    </w:p>
    <w:p w14:paraId="5C84FE51"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51D637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Asmenims</w:t>
      </w:r>
      <w:r w:rsidR="007C1F4E" w:rsidRPr="001839C2">
        <w:rPr>
          <w:rFonts w:eastAsiaTheme="minorEastAsia"/>
          <w:snapToGrid/>
          <w:szCs w:val="22"/>
          <w:lang w:val="lt-LT" w:eastAsia="en-IN"/>
        </w:rPr>
        <w:t>,</w:t>
      </w:r>
      <w:r w:rsidRPr="001839C2">
        <w:rPr>
          <w:rFonts w:eastAsiaTheme="minorEastAsia"/>
          <w:snapToGrid/>
          <w:szCs w:val="22"/>
          <w:lang w:val="lt-LT" w:eastAsia="en-IN"/>
        </w:rPr>
        <w:t xml:space="preserve"> </w:t>
      </w:r>
      <w:r w:rsidR="007C1F4E" w:rsidRPr="001839C2">
        <w:rPr>
          <w:rFonts w:eastAsiaTheme="minorEastAsia"/>
          <w:snapToGrid/>
          <w:szCs w:val="22"/>
          <w:lang w:val="lt-LT" w:eastAsia="en-IN"/>
        </w:rPr>
        <w:t>k</w:t>
      </w:r>
      <w:r w:rsidRPr="001839C2">
        <w:rPr>
          <w:rFonts w:eastAsiaTheme="minorEastAsia"/>
          <w:snapToGrid/>
          <w:szCs w:val="22"/>
          <w:lang w:val="lt-LT" w:eastAsia="en-IN"/>
        </w:rPr>
        <w:t>u</w:t>
      </w:r>
      <w:r w:rsidR="007C1F4E" w:rsidRPr="001839C2">
        <w:rPr>
          <w:rFonts w:eastAsiaTheme="minorEastAsia"/>
          <w:snapToGrid/>
          <w:szCs w:val="22"/>
          <w:lang w:val="lt-LT" w:eastAsia="en-IN"/>
        </w:rPr>
        <w:t>rie turi</w:t>
      </w:r>
      <w:r w:rsidRPr="001839C2">
        <w:rPr>
          <w:rFonts w:eastAsiaTheme="minorEastAsia"/>
          <w:snapToGrid/>
          <w:szCs w:val="22"/>
          <w:lang w:val="lt-LT" w:eastAsia="en-IN"/>
        </w:rPr>
        <w:t xml:space="preserve"> inkstų funkcijos sutrikimo rizik</w:t>
      </w:r>
      <w:r w:rsidR="007C1F4E" w:rsidRPr="001839C2">
        <w:rPr>
          <w:rFonts w:eastAsiaTheme="minorEastAsia"/>
          <w:snapToGrid/>
          <w:szCs w:val="22"/>
          <w:lang w:val="lt-LT" w:eastAsia="en-IN"/>
        </w:rPr>
        <w:t>ą,</w:t>
      </w:r>
      <w:r w:rsidRPr="001839C2">
        <w:rPr>
          <w:rFonts w:eastAsiaTheme="minorEastAsia"/>
          <w:snapToGrid/>
          <w:szCs w:val="22"/>
          <w:lang w:val="lt-LT" w:eastAsia="en-IN"/>
        </w:rPr>
        <w:t xml:space="preserve"> reikalingas dažnesnis inkstų funkcijos stebėjimas.</w:t>
      </w:r>
    </w:p>
    <w:p w14:paraId="037E61C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2796E4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Taip pat žr.</w:t>
      </w:r>
      <w:r w:rsidR="00D71FB0" w:rsidRPr="001839C2">
        <w:rPr>
          <w:rFonts w:eastAsiaTheme="minorEastAsia"/>
          <w:snapToGrid/>
          <w:szCs w:val="22"/>
          <w:lang w:val="lt-LT" w:eastAsia="en-IN"/>
        </w:rPr>
        <w:t> </w:t>
      </w:r>
      <w:r w:rsidRPr="001839C2">
        <w:rPr>
          <w:rFonts w:eastAsiaTheme="minorEastAsia"/>
          <w:snapToGrid/>
          <w:szCs w:val="22"/>
          <w:lang w:val="lt-LT" w:eastAsia="en-IN"/>
        </w:rPr>
        <w:t>toliau poskyrį „</w:t>
      </w:r>
      <w:r w:rsidRPr="001839C2">
        <w:rPr>
          <w:rFonts w:eastAsiaTheme="minorEastAsia"/>
          <w:iCs/>
          <w:snapToGrid/>
          <w:szCs w:val="22"/>
          <w:lang w:val="lt-LT" w:eastAsia="en-IN"/>
        </w:rPr>
        <w:t>Vartojimas kartu su kitais vaistiniais preparatais</w:t>
      </w:r>
      <w:r w:rsidRPr="001839C2">
        <w:rPr>
          <w:rFonts w:eastAsiaTheme="minorEastAsia"/>
          <w:snapToGrid/>
          <w:szCs w:val="22"/>
          <w:lang w:val="lt-LT" w:eastAsia="en-IN"/>
        </w:rPr>
        <w:t>“.</w:t>
      </w:r>
    </w:p>
    <w:p w14:paraId="2787631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FF255E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Inkstų funkcijos sutrikimų gydymas ŽIV</w:t>
      </w:r>
      <w:r w:rsidR="00D71FB0" w:rsidRPr="001839C2">
        <w:rPr>
          <w:rFonts w:eastAsiaTheme="minorEastAsia"/>
          <w:snapToGrid/>
          <w:szCs w:val="22"/>
          <w:lang w:val="lt-LT" w:eastAsia="en-IN"/>
        </w:rPr>
        <w:noBreakHyphen/>
      </w:r>
      <w:r w:rsidRPr="001839C2">
        <w:rPr>
          <w:rFonts w:eastAsiaTheme="minorEastAsia"/>
          <w:i/>
          <w:iCs/>
          <w:snapToGrid/>
          <w:szCs w:val="22"/>
          <w:lang w:val="lt-LT" w:eastAsia="en-IN"/>
        </w:rPr>
        <w:t>1</w:t>
      </w:r>
      <w:r w:rsidR="007C1F4E" w:rsidRPr="001839C2">
        <w:rPr>
          <w:rFonts w:eastAsiaTheme="minorEastAsia"/>
          <w:i/>
          <w:iCs/>
          <w:snapToGrid/>
          <w:szCs w:val="22"/>
          <w:lang w:val="lt-LT" w:eastAsia="en-IN"/>
        </w:rPr>
        <w:t> </w:t>
      </w:r>
      <w:r w:rsidRPr="001839C2">
        <w:rPr>
          <w:rFonts w:eastAsiaTheme="minorEastAsia"/>
          <w:i/>
          <w:iCs/>
          <w:snapToGrid/>
          <w:szCs w:val="22"/>
          <w:lang w:val="lt-LT" w:eastAsia="en-IN"/>
        </w:rPr>
        <w:t>infekuotiems pacientams</w:t>
      </w:r>
    </w:p>
    <w:p w14:paraId="5ED58CBA"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serumo fosfatų k</w:t>
      </w:r>
      <w:r w:rsidR="00D71FB0" w:rsidRPr="001839C2">
        <w:rPr>
          <w:rFonts w:eastAsiaTheme="minorEastAsia"/>
          <w:snapToGrid/>
          <w:szCs w:val="22"/>
          <w:lang w:val="lt-LT" w:eastAsia="en-IN"/>
        </w:rPr>
        <w:t>oncentrac</w:t>
      </w:r>
      <w:r w:rsidRPr="001839C2">
        <w:rPr>
          <w:rFonts w:eastAsiaTheme="minorEastAsia"/>
          <w:snapToGrid/>
          <w:szCs w:val="22"/>
          <w:lang w:val="lt-LT" w:eastAsia="en-IN"/>
        </w:rPr>
        <w:t>i</w:t>
      </w:r>
      <w:r w:rsidR="00D71FB0" w:rsidRPr="001839C2">
        <w:rPr>
          <w:rFonts w:eastAsiaTheme="minorEastAsia"/>
          <w:snapToGrid/>
          <w:szCs w:val="22"/>
          <w:lang w:val="lt-LT" w:eastAsia="en-IN"/>
        </w:rPr>
        <w:t>ja</w:t>
      </w:r>
      <w:r w:rsidRPr="001839C2">
        <w:rPr>
          <w:rFonts w:eastAsiaTheme="minorEastAsia"/>
          <w:snapToGrid/>
          <w:szCs w:val="22"/>
          <w:lang w:val="lt-LT" w:eastAsia="en-IN"/>
        </w:rPr>
        <w:t xml:space="preserve"> yra &lt;</w:t>
      </w:r>
      <w:r w:rsidR="00D71FB0" w:rsidRPr="001839C2">
        <w:rPr>
          <w:rFonts w:eastAsiaTheme="minorEastAsia"/>
          <w:snapToGrid/>
          <w:szCs w:val="22"/>
          <w:lang w:val="lt-LT" w:eastAsia="en-IN"/>
        </w:rPr>
        <w:t> </w:t>
      </w:r>
      <w:r w:rsidRPr="001839C2">
        <w:rPr>
          <w:rFonts w:eastAsiaTheme="minorEastAsia"/>
          <w:snapToGrid/>
          <w:szCs w:val="22"/>
          <w:lang w:val="lt-LT" w:eastAsia="en-IN"/>
        </w:rPr>
        <w:t>1,5</w:t>
      </w:r>
      <w:r w:rsidR="00D71FB0" w:rsidRPr="001839C2">
        <w:rPr>
          <w:rFonts w:eastAsiaTheme="minorEastAsia"/>
          <w:snapToGrid/>
          <w:szCs w:val="22"/>
          <w:lang w:val="lt-LT" w:eastAsia="en-IN"/>
        </w:rPr>
        <w:t> </w:t>
      </w:r>
      <w:r w:rsidRPr="001839C2">
        <w:rPr>
          <w:rFonts w:eastAsiaTheme="minorEastAsia"/>
          <w:snapToGrid/>
          <w:szCs w:val="22"/>
          <w:lang w:val="lt-LT" w:eastAsia="en-IN"/>
        </w:rPr>
        <w:t>mg/dl (0,48</w:t>
      </w:r>
      <w:r w:rsidR="00D71FB0" w:rsidRPr="001839C2">
        <w:rPr>
          <w:rFonts w:eastAsiaTheme="minorEastAsia"/>
          <w:snapToGrid/>
          <w:szCs w:val="22"/>
          <w:lang w:val="lt-LT" w:eastAsia="en-IN"/>
        </w:rPr>
        <w:t> </w:t>
      </w:r>
      <w:r w:rsidRPr="001839C2">
        <w:rPr>
          <w:rFonts w:eastAsiaTheme="minorEastAsia"/>
          <w:snapToGrid/>
          <w:szCs w:val="22"/>
          <w:lang w:val="lt-LT" w:eastAsia="en-IN"/>
        </w:rPr>
        <w:t>mmol/l) ar kreatinino klirensas sumažėja iki</w:t>
      </w:r>
      <w:r w:rsidR="00D71FB0" w:rsidRPr="001839C2">
        <w:rPr>
          <w:rFonts w:eastAsiaTheme="minorEastAsia"/>
          <w:snapToGrid/>
          <w:szCs w:val="22"/>
          <w:lang w:val="lt-LT" w:eastAsia="en-IN"/>
        </w:rPr>
        <w:t xml:space="preserve"> </w:t>
      </w:r>
      <w:r w:rsidRPr="001839C2">
        <w:rPr>
          <w:rFonts w:eastAsiaTheme="minorEastAsia"/>
          <w:snapToGrid/>
          <w:szCs w:val="22"/>
          <w:lang w:val="lt-LT" w:eastAsia="en-IN"/>
        </w:rPr>
        <w:t>&lt;</w:t>
      </w:r>
      <w:r w:rsidR="00D71FB0" w:rsidRPr="001839C2">
        <w:rPr>
          <w:rFonts w:eastAsiaTheme="minorEastAsia"/>
          <w:snapToGrid/>
          <w:szCs w:val="22"/>
          <w:lang w:val="lt-LT" w:eastAsia="en-IN"/>
        </w:rPr>
        <w:t> </w:t>
      </w:r>
      <w:r w:rsidRPr="001839C2">
        <w:rPr>
          <w:rFonts w:eastAsiaTheme="minorEastAsia"/>
          <w:snapToGrid/>
          <w:szCs w:val="22"/>
          <w:lang w:val="lt-LT" w:eastAsia="en-IN"/>
        </w:rPr>
        <w:t>50</w:t>
      </w:r>
      <w:r w:rsidR="00D71FB0" w:rsidRPr="001839C2">
        <w:rPr>
          <w:rFonts w:eastAsiaTheme="minorEastAsia"/>
          <w:snapToGrid/>
          <w:szCs w:val="22"/>
          <w:lang w:val="lt-LT" w:eastAsia="en-IN"/>
        </w:rPr>
        <w:t> </w:t>
      </w:r>
      <w:r w:rsidRPr="001839C2">
        <w:rPr>
          <w:rFonts w:eastAsiaTheme="minorEastAsia"/>
          <w:snapToGrid/>
          <w:szCs w:val="22"/>
          <w:lang w:val="lt-LT" w:eastAsia="en-IN"/>
        </w:rPr>
        <w:t>ml/min. bet kuriam pacientui, gaunančiam emtricitabino</w:t>
      </w:r>
      <w:r w:rsidR="00D71FB0"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D71FB0" w:rsidRPr="001839C2">
        <w:rPr>
          <w:rFonts w:eastAsiaTheme="minorEastAsia"/>
          <w:snapToGrid/>
          <w:szCs w:val="22"/>
          <w:lang w:val="lt-LT" w:eastAsia="en-IN"/>
        </w:rPr>
        <w:t xml:space="preserve"> derinio</w:t>
      </w:r>
      <w:r w:rsidRPr="001839C2">
        <w:rPr>
          <w:rFonts w:eastAsiaTheme="minorEastAsia"/>
          <w:snapToGrid/>
          <w:szCs w:val="22"/>
          <w:lang w:val="lt-LT" w:eastAsia="en-IN"/>
        </w:rPr>
        <w:t>, vienos</w:t>
      </w:r>
      <w:r w:rsidR="007C1F4E" w:rsidRPr="001839C2">
        <w:rPr>
          <w:rFonts w:eastAsiaTheme="minorEastAsia"/>
          <w:snapToGrid/>
          <w:szCs w:val="22"/>
          <w:lang w:val="lt-LT" w:eastAsia="en-IN"/>
        </w:rPr>
        <w:t> </w:t>
      </w:r>
      <w:r w:rsidRPr="001839C2">
        <w:rPr>
          <w:rFonts w:eastAsiaTheme="minorEastAsia"/>
          <w:snapToGrid/>
          <w:szCs w:val="22"/>
          <w:lang w:val="lt-LT" w:eastAsia="en-IN"/>
        </w:rPr>
        <w:t>savaitės laikotarpyje reikia pakartotinai ištirti inkstų funkciją, įskaitant ir gliukozės koncentracijos kraujyje, kalio koncentracijos kraujyje bei gliukozės koncentracijos šlapime tyrimus (žr.</w:t>
      </w:r>
      <w:r w:rsidR="00D71FB0" w:rsidRPr="001839C2">
        <w:rPr>
          <w:rFonts w:eastAsiaTheme="minorEastAsia"/>
          <w:snapToGrid/>
          <w:szCs w:val="22"/>
          <w:lang w:val="lt-LT" w:eastAsia="en-IN"/>
        </w:rPr>
        <w:t> </w:t>
      </w:r>
      <w:r w:rsidRPr="001839C2">
        <w:rPr>
          <w:rFonts w:eastAsiaTheme="minorEastAsia"/>
          <w:snapToGrid/>
          <w:szCs w:val="22"/>
          <w:lang w:val="lt-LT" w:eastAsia="en-IN"/>
        </w:rPr>
        <w:t>4.8</w:t>
      </w:r>
      <w:r w:rsidR="00D71FB0" w:rsidRPr="001839C2">
        <w:rPr>
          <w:rFonts w:eastAsiaTheme="minorEastAsia"/>
          <w:snapToGrid/>
          <w:szCs w:val="22"/>
          <w:lang w:val="lt-LT" w:eastAsia="en-IN"/>
        </w:rPr>
        <w:t> </w:t>
      </w:r>
      <w:r w:rsidRPr="001839C2">
        <w:rPr>
          <w:rFonts w:eastAsiaTheme="minorEastAsia"/>
          <w:snapToGrid/>
          <w:szCs w:val="22"/>
          <w:lang w:val="lt-LT" w:eastAsia="en-IN"/>
        </w:rPr>
        <w:t>skyrių apie proksimalinę tubulopatiją). Jeigu paciento kreatinino klirensas sumažėja iki &lt;</w:t>
      </w:r>
      <w:r w:rsidR="00D71FB0" w:rsidRPr="001839C2">
        <w:rPr>
          <w:rFonts w:eastAsiaTheme="minorEastAsia"/>
          <w:snapToGrid/>
          <w:szCs w:val="22"/>
          <w:lang w:val="lt-LT" w:eastAsia="en-IN"/>
        </w:rPr>
        <w:t> </w:t>
      </w:r>
      <w:r w:rsidRPr="001839C2">
        <w:rPr>
          <w:rFonts w:eastAsiaTheme="minorEastAsia"/>
          <w:snapToGrid/>
          <w:szCs w:val="22"/>
          <w:lang w:val="lt-LT" w:eastAsia="en-IN"/>
        </w:rPr>
        <w:t>50</w:t>
      </w:r>
      <w:r w:rsidR="00D71FB0" w:rsidRPr="001839C2">
        <w:rPr>
          <w:rFonts w:eastAsiaTheme="minorEastAsia"/>
          <w:snapToGrid/>
          <w:szCs w:val="22"/>
          <w:lang w:val="lt-LT" w:eastAsia="en-IN"/>
        </w:rPr>
        <w:t> </w:t>
      </w:r>
      <w:r w:rsidRPr="001839C2">
        <w:rPr>
          <w:rFonts w:eastAsiaTheme="minorEastAsia"/>
          <w:snapToGrid/>
          <w:szCs w:val="22"/>
          <w:lang w:val="lt-LT" w:eastAsia="en-IN"/>
        </w:rPr>
        <w:t>ml/min. ar serumo fosfatų k</w:t>
      </w:r>
      <w:r w:rsidR="00D71FB0" w:rsidRPr="001839C2">
        <w:rPr>
          <w:rFonts w:eastAsiaTheme="minorEastAsia"/>
          <w:snapToGrid/>
          <w:szCs w:val="22"/>
          <w:lang w:val="lt-LT" w:eastAsia="en-IN"/>
        </w:rPr>
        <w:t>oncentrac</w:t>
      </w:r>
      <w:r w:rsidRPr="001839C2">
        <w:rPr>
          <w:rFonts w:eastAsiaTheme="minorEastAsia"/>
          <w:snapToGrid/>
          <w:szCs w:val="22"/>
          <w:lang w:val="lt-LT" w:eastAsia="en-IN"/>
        </w:rPr>
        <w:t>i</w:t>
      </w:r>
      <w:r w:rsidR="00D71FB0" w:rsidRPr="001839C2">
        <w:rPr>
          <w:rFonts w:eastAsiaTheme="minorEastAsia"/>
          <w:snapToGrid/>
          <w:szCs w:val="22"/>
          <w:lang w:val="lt-LT" w:eastAsia="en-IN"/>
        </w:rPr>
        <w:t>ja</w:t>
      </w:r>
      <w:r w:rsidRPr="001839C2">
        <w:rPr>
          <w:rFonts w:eastAsiaTheme="minorEastAsia"/>
          <w:snapToGrid/>
          <w:szCs w:val="22"/>
          <w:lang w:val="lt-LT" w:eastAsia="en-IN"/>
        </w:rPr>
        <w:t xml:space="preserve"> sumažėja iki &lt;</w:t>
      </w:r>
      <w:r w:rsidR="00D71FB0" w:rsidRPr="001839C2">
        <w:rPr>
          <w:rFonts w:eastAsiaTheme="minorEastAsia"/>
          <w:snapToGrid/>
          <w:szCs w:val="22"/>
          <w:lang w:val="lt-LT" w:eastAsia="en-IN"/>
        </w:rPr>
        <w:t> </w:t>
      </w:r>
      <w:r w:rsidRPr="001839C2">
        <w:rPr>
          <w:rFonts w:eastAsiaTheme="minorEastAsia"/>
          <w:snapToGrid/>
          <w:szCs w:val="22"/>
          <w:lang w:val="lt-LT" w:eastAsia="en-IN"/>
        </w:rPr>
        <w:t>1,0</w:t>
      </w:r>
      <w:r w:rsidR="00D71FB0" w:rsidRPr="001839C2">
        <w:rPr>
          <w:rFonts w:eastAsiaTheme="minorEastAsia"/>
          <w:snapToGrid/>
          <w:szCs w:val="22"/>
          <w:lang w:val="lt-LT" w:eastAsia="en-IN"/>
        </w:rPr>
        <w:t> </w:t>
      </w:r>
      <w:r w:rsidRPr="001839C2">
        <w:rPr>
          <w:rFonts w:eastAsiaTheme="minorEastAsia"/>
          <w:snapToGrid/>
          <w:szCs w:val="22"/>
          <w:lang w:val="lt-LT" w:eastAsia="en-IN"/>
        </w:rPr>
        <w:t>mg/dl (0,32</w:t>
      </w:r>
      <w:r w:rsidR="00D71FB0" w:rsidRPr="001839C2">
        <w:rPr>
          <w:rFonts w:eastAsiaTheme="minorEastAsia"/>
          <w:snapToGrid/>
          <w:szCs w:val="22"/>
          <w:lang w:val="lt-LT" w:eastAsia="en-IN"/>
        </w:rPr>
        <w:t> </w:t>
      </w:r>
      <w:r w:rsidRPr="001839C2">
        <w:rPr>
          <w:rFonts w:eastAsiaTheme="minorEastAsia"/>
          <w:snapToGrid/>
          <w:szCs w:val="22"/>
          <w:lang w:val="lt-LT" w:eastAsia="en-IN"/>
        </w:rPr>
        <w:t xml:space="preserve">mmol/l), reikia nuspręsti dėl poreikio nutraukti gydymą </w:t>
      </w:r>
      <w:r w:rsidR="00D71FB0" w:rsidRPr="001839C2">
        <w:rPr>
          <w:rFonts w:eastAsiaTheme="minorEastAsia"/>
          <w:snapToGrid/>
          <w:szCs w:val="22"/>
          <w:lang w:val="lt-LT" w:eastAsia="en-IN"/>
        </w:rPr>
        <w:t>emcit</w:t>
      </w:r>
      <w:r w:rsidRPr="001839C2">
        <w:rPr>
          <w:rFonts w:eastAsiaTheme="minorEastAsia"/>
          <w:snapToGrid/>
          <w:szCs w:val="22"/>
          <w:lang w:val="lt-LT" w:eastAsia="en-IN"/>
        </w:rPr>
        <w:t>r</w:t>
      </w:r>
      <w:r w:rsidR="0075564F" w:rsidRPr="001839C2">
        <w:rPr>
          <w:rFonts w:eastAsiaTheme="minorEastAsia"/>
          <w:snapToGrid/>
          <w:szCs w:val="22"/>
          <w:lang w:val="lt-LT" w:eastAsia="en-IN"/>
        </w:rPr>
        <w:t>icit</w:t>
      </w:r>
      <w:r w:rsidR="00D71FB0" w:rsidRPr="001839C2">
        <w:rPr>
          <w:rFonts w:eastAsiaTheme="minorEastAsia"/>
          <w:snapToGrid/>
          <w:szCs w:val="22"/>
          <w:lang w:val="lt-LT" w:eastAsia="en-IN"/>
        </w:rPr>
        <w:t xml:space="preserve">abino ir tenofoviro </w:t>
      </w:r>
      <w:r w:rsidRPr="001839C2">
        <w:rPr>
          <w:rFonts w:eastAsiaTheme="minorEastAsia"/>
          <w:snapToGrid/>
          <w:szCs w:val="22"/>
          <w:lang w:val="lt-LT" w:eastAsia="en-IN"/>
        </w:rPr>
        <w:t>d</w:t>
      </w:r>
      <w:r w:rsidR="00D71FB0" w:rsidRPr="001839C2">
        <w:rPr>
          <w:rFonts w:eastAsiaTheme="minorEastAsia"/>
          <w:snapToGrid/>
          <w:szCs w:val="22"/>
          <w:lang w:val="lt-LT" w:eastAsia="en-IN"/>
        </w:rPr>
        <w:t>isoproksilio deriniu</w:t>
      </w:r>
      <w:r w:rsidRPr="001839C2">
        <w:rPr>
          <w:rFonts w:eastAsiaTheme="minorEastAsia"/>
          <w:snapToGrid/>
          <w:szCs w:val="22"/>
          <w:lang w:val="lt-LT" w:eastAsia="en-IN"/>
        </w:rPr>
        <w:t>. Nuspręsti dėl poreikio nutraukti gydymą emtricitabino</w:t>
      </w:r>
      <w:r w:rsidR="00D71FB0"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00D71FB0" w:rsidRPr="001839C2">
        <w:rPr>
          <w:rFonts w:eastAsiaTheme="minorEastAsia"/>
          <w:snapToGrid/>
          <w:szCs w:val="22"/>
          <w:lang w:val="lt-LT" w:eastAsia="en-IN"/>
        </w:rPr>
        <w:t>o deriniu</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taip pat reikia esant progresuojančiam inkstų funkcijos silpnėjimui, kai nenustatyta jokia kita priežastis.</w:t>
      </w:r>
    </w:p>
    <w:p w14:paraId="41849C4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76D22EC"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D71FB0"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D71FB0"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saugumas inkstams buvo tiriamas tik labai ribotam skaičiui ŽIV</w:t>
      </w:r>
      <w:r w:rsidR="00D71FB0" w:rsidRPr="001839C2">
        <w:rPr>
          <w:rFonts w:eastAsiaTheme="minorEastAsia"/>
          <w:snapToGrid/>
          <w:szCs w:val="22"/>
          <w:lang w:val="lt-LT" w:eastAsia="en-IN"/>
        </w:rPr>
        <w:noBreakHyphen/>
      </w:r>
      <w:r w:rsidRPr="001839C2">
        <w:rPr>
          <w:rFonts w:eastAsiaTheme="minorEastAsia"/>
          <w:snapToGrid/>
          <w:szCs w:val="22"/>
          <w:lang w:val="lt-LT" w:eastAsia="en-IN"/>
        </w:rPr>
        <w:t>1</w:t>
      </w:r>
      <w:r w:rsidR="006828F9" w:rsidRPr="001839C2">
        <w:rPr>
          <w:rFonts w:eastAsiaTheme="minorEastAsia"/>
          <w:snapToGrid/>
          <w:szCs w:val="22"/>
          <w:lang w:val="lt-LT" w:eastAsia="en-IN"/>
        </w:rPr>
        <w:t> </w:t>
      </w:r>
      <w:r w:rsidRPr="001839C2">
        <w:rPr>
          <w:rFonts w:eastAsiaTheme="minorEastAsia"/>
          <w:snapToGrid/>
          <w:szCs w:val="22"/>
          <w:lang w:val="lt-LT" w:eastAsia="en-IN"/>
        </w:rPr>
        <w:t>infekuotų pacientų, kurių inkstų funkcija buvo sutrikusi (kreatinino klirensas &lt;</w:t>
      </w:r>
      <w:r w:rsidR="00D71FB0" w:rsidRPr="001839C2">
        <w:rPr>
          <w:rFonts w:eastAsiaTheme="minorEastAsia"/>
          <w:snapToGrid/>
          <w:szCs w:val="22"/>
          <w:lang w:val="lt-LT" w:eastAsia="en-IN"/>
        </w:rPr>
        <w:t> </w:t>
      </w:r>
      <w:r w:rsidRPr="001839C2">
        <w:rPr>
          <w:rFonts w:eastAsiaTheme="minorEastAsia"/>
          <w:snapToGrid/>
          <w:szCs w:val="22"/>
          <w:lang w:val="lt-LT" w:eastAsia="en-IN"/>
        </w:rPr>
        <w:t>80</w:t>
      </w:r>
      <w:r w:rsidR="00D71FB0" w:rsidRPr="001839C2">
        <w:rPr>
          <w:rFonts w:eastAsiaTheme="minorEastAsia"/>
          <w:snapToGrid/>
          <w:szCs w:val="22"/>
          <w:lang w:val="lt-LT" w:eastAsia="en-IN"/>
        </w:rPr>
        <w:t> </w:t>
      </w:r>
      <w:r w:rsidRPr="001839C2">
        <w:rPr>
          <w:rFonts w:eastAsiaTheme="minorEastAsia"/>
          <w:snapToGrid/>
          <w:szCs w:val="22"/>
          <w:lang w:val="lt-LT" w:eastAsia="en-IN"/>
        </w:rPr>
        <w:t>ml/min.). ŽIV</w:t>
      </w:r>
      <w:r w:rsidR="00D71FB0" w:rsidRPr="001839C2">
        <w:rPr>
          <w:rFonts w:eastAsiaTheme="minorEastAsia"/>
          <w:snapToGrid/>
          <w:szCs w:val="22"/>
          <w:lang w:val="lt-LT" w:eastAsia="en-IN"/>
        </w:rPr>
        <w:noBreakHyphen/>
      </w:r>
      <w:r w:rsidRPr="001839C2">
        <w:rPr>
          <w:rFonts w:eastAsiaTheme="minorEastAsia"/>
          <w:snapToGrid/>
          <w:szCs w:val="22"/>
          <w:lang w:val="lt-LT" w:eastAsia="en-IN"/>
        </w:rPr>
        <w:t>1</w:t>
      </w:r>
      <w:r w:rsidR="006828F9" w:rsidRPr="001839C2">
        <w:rPr>
          <w:rFonts w:eastAsiaTheme="minorEastAsia"/>
          <w:snapToGrid/>
          <w:szCs w:val="22"/>
          <w:lang w:val="lt-LT" w:eastAsia="en-IN"/>
        </w:rPr>
        <w:t> </w:t>
      </w:r>
      <w:r w:rsidRPr="001839C2">
        <w:rPr>
          <w:rFonts w:eastAsiaTheme="minorEastAsia"/>
          <w:snapToGrid/>
          <w:szCs w:val="22"/>
          <w:lang w:val="lt-LT" w:eastAsia="en-IN"/>
        </w:rPr>
        <w:t>infekuotiems pacientams, kurių kreatinino klirensas yra 30</w:t>
      </w:r>
      <w:r w:rsidR="00D71FB0" w:rsidRPr="001839C2">
        <w:rPr>
          <w:rFonts w:eastAsiaTheme="minorEastAsia"/>
          <w:snapToGrid/>
          <w:szCs w:val="22"/>
          <w:lang w:val="lt-LT" w:eastAsia="en-IN"/>
        </w:rPr>
        <w:noBreakHyphen/>
      </w:r>
      <w:r w:rsidRPr="001839C2">
        <w:rPr>
          <w:rFonts w:eastAsiaTheme="minorEastAsia"/>
          <w:snapToGrid/>
          <w:szCs w:val="22"/>
          <w:lang w:val="lt-LT" w:eastAsia="en-IN"/>
        </w:rPr>
        <w:t>49</w:t>
      </w:r>
      <w:r w:rsidR="00D71FB0" w:rsidRPr="001839C2">
        <w:rPr>
          <w:rFonts w:eastAsiaTheme="minorEastAsia"/>
          <w:snapToGrid/>
          <w:szCs w:val="22"/>
          <w:lang w:val="lt-LT" w:eastAsia="en-IN"/>
        </w:rPr>
        <w:t> </w:t>
      </w:r>
      <w:r w:rsidRPr="001839C2">
        <w:rPr>
          <w:rFonts w:eastAsiaTheme="minorEastAsia"/>
          <w:snapToGrid/>
          <w:szCs w:val="22"/>
          <w:lang w:val="lt-LT" w:eastAsia="en-IN"/>
        </w:rPr>
        <w:t>ml/min., rekomenduojama koreguoti dozavimo interval</w:t>
      </w:r>
      <w:r w:rsidR="00D71FB0" w:rsidRPr="001839C2">
        <w:rPr>
          <w:rFonts w:eastAsiaTheme="minorEastAsia"/>
          <w:snapToGrid/>
          <w:szCs w:val="22"/>
          <w:lang w:val="lt-LT" w:eastAsia="en-IN"/>
        </w:rPr>
        <w:t>ą</w:t>
      </w:r>
      <w:r w:rsidRPr="001839C2">
        <w:rPr>
          <w:rFonts w:eastAsiaTheme="minorEastAsia"/>
          <w:snapToGrid/>
          <w:szCs w:val="22"/>
          <w:lang w:val="lt-LT" w:eastAsia="en-IN"/>
        </w:rPr>
        <w:t xml:space="preserve"> (žr.</w:t>
      </w:r>
      <w:r w:rsidR="00D71FB0" w:rsidRPr="001839C2">
        <w:rPr>
          <w:rFonts w:eastAsiaTheme="minorEastAsia"/>
          <w:snapToGrid/>
          <w:szCs w:val="22"/>
          <w:lang w:val="lt-LT" w:eastAsia="en-IN"/>
        </w:rPr>
        <w:t> </w:t>
      </w:r>
      <w:r w:rsidRPr="001839C2">
        <w:rPr>
          <w:rFonts w:eastAsiaTheme="minorEastAsia"/>
          <w:snapToGrid/>
          <w:szCs w:val="22"/>
          <w:lang w:val="lt-LT" w:eastAsia="en-IN"/>
        </w:rPr>
        <w:t>4.2</w:t>
      </w:r>
      <w:r w:rsidR="00D71FB0" w:rsidRPr="001839C2">
        <w:rPr>
          <w:rFonts w:eastAsiaTheme="minorEastAsia"/>
          <w:snapToGrid/>
          <w:szCs w:val="22"/>
          <w:lang w:val="lt-LT" w:eastAsia="en-IN"/>
        </w:rPr>
        <w:t> </w:t>
      </w:r>
      <w:r w:rsidRPr="001839C2">
        <w:rPr>
          <w:rFonts w:eastAsiaTheme="minorEastAsia"/>
          <w:snapToGrid/>
          <w:szCs w:val="22"/>
          <w:lang w:val="lt-LT" w:eastAsia="en-IN"/>
        </w:rPr>
        <w:t>skyrių). Riboti klinikinių tyrimų duomenys rodo, kad ilgesnis dozavimo intervalas nėra optimalus ir gali padidinti toksinį poveikį bei sąlygoti netinkamą atsaką. Be to, atliekant nedidel</w:t>
      </w:r>
      <w:r w:rsidR="00D71FB0" w:rsidRPr="001839C2">
        <w:rPr>
          <w:rFonts w:eastAsiaTheme="minorEastAsia"/>
          <w:snapToGrid/>
          <w:szCs w:val="22"/>
          <w:lang w:val="lt-LT" w:eastAsia="en-IN"/>
        </w:rPr>
        <w:t>ės apimties</w:t>
      </w:r>
      <w:r w:rsidRPr="001839C2">
        <w:rPr>
          <w:rFonts w:eastAsiaTheme="minorEastAsia"/>
          <w:snapToGrid/>
          <w:szCs w:val="22"/>
          <w:lang w:val="lt-LT" w:eastAsia="en-IN"/>
        </w:rPr>
        <w:t xml:space="preserve"> klinikinį tyrimą pacientų pogrupyje su kreatinino klirensu nuo 50 iki 60</w:t>
      </w:r>
      <w:r w:rsidR="00D71FB0" w:rsidRPr="001839C2">
        <w:rPr>
          <w:rFonts w:eastAsiaTheme="minorEastAsia"/>
          <w:snapToGrid/>
          <w:szCs w:val="22"/>
          <w:lang w:val="lt-LT" w:eastAsia="en-IN"/>
        </w:rPr>
        <w:t> </w:t>
      </w:r>
      <w:r w:rsidRPr="001839C2">
        <w:rPr>
          <w:rFonts w:eastAsiaTheme="minorEastAsia"/>
          <w:snapToGrid/>
          <w:szCs w:val="22"/>
          <w:lang w:val="lt-LT" w:eastAsia="en-IN"/>
        </w:rPr>
        <w:t>ml/min., kuriems tenofoviro dizoproksilio bei emtricitabino derin</w:t>
      </w:r>
      <w:r w:rsidR="006828F9" w:rsidRPr="001839C2">
        <w:rPr>
          <w:rFonts w:eastAsiaTheme="minorEastAsia"/>
          <w:snapToGrid/>
          <w:szCs w:val="22"/>
          <w:lang w:val="lt-LT" w:eastAsia="en-IN"/>
        </w:rPr>
        <w:t>io</w:t>
      </w:r>
      <w:r w:rsidRPr="001839C2">
        <w:rPr>
          <w:rFonts w:eastAsiaTheme="minorEastAsia"/>
          <w:snapToGrid/>
          <w:szCs w:val="22"/>
          <w:lang w:val="lt-LT" w:eastAsia="en-IN"/>
        </w:rPr>
        <w:t xml:space="preserve"> buvo skiriama kas 24</w:t>
      </w:r>
      <w:r w:rsidR="00E53677" w:rsidRPr="001839C2">
        <w:rPr>
          <w:rFonts w:eastAsiaTheme="minorEastAsia"/>
          <w:snapToGrid/>
          <w:szCs w:val="22"/>
          <w:lang w:val="lt-LT" w:eastAsia="en-IN"/>
        </w:rPr>
        <w:t> </w:t>
      </w:r>
      <w:r w:rsidRPr="001839C2">
        <w:rPr>
          <w:rFonts w:eastAsiaTheme="minorEastAsia"/>
          <w:snapToGrid/>
          <w:szCs w:val="22"/>
          <w:lang w:val="lt-LT" w:eastAsia="en-IN"/>
        </w:rPr>
        <w:t>valandas, nustatyta 2</w:t>
      </w:r>
      <w:r w:rsidR="00E53677" w:rsidRPr="001839C2">
        <w:rPr>
          <w:rFonts w:eastAsiaTheme="minorEastAsia"/>
          <w:snapToGrid/>
          <w:szCs w:val="22"/>
          <w:lang w:val="lt-LT" w:eastAsia="en-IN"/>
        </w:rPr>
        <w:noBreakHyphen/>
      </w:r>
      <w:r w:rsidRPr="001839C2">
        <w:rPr>
          <w:rFonts w:eastAsiaTheme="minorEastAsia"/>
          <w:snapToGrid/>
          <w:szCs w:val="22"/>
          <w:lang w:val="lt-LT" w:eastAsia="en-IN"/>
        </w:rPr>
        <w:t>4</w:t>
      </w:r>
      <w:r w:rsidR="00E53677" w:rsidRPr="001839C2">
        <w:rPr>
          <w:rFonts w:eastAsiaTheme="minorEastAsia"/>
          <w:snapToGrid/>
          <w:szCs w:val="22"/>
          <w:lang w:val="lt-LT" w:eastAsia="en-IN"/>
        </w:rPr>
        <w:t> </w:t>
      </w:r>
      <w:r w:rsidRPr="001839C2">
        <w:rPr>
          <w:rFonts w:eastAsiaTheme="minorEastAsia"/>
          <w:snapToGrid/>
          <w:szCs w:val="22"/>
          <w:lang w:val="lt-LT" w:eastAsia="en-IN"/>
        </w:rPr>
        <w:t>kartus didesnė tenofoviro ekspozicija ir inkstų funkcijos pablogėjimas (žr.</w:t>
      </w:r>
      <w:r w:rsidR="00E53677" w:rsidRPr="001839C2">
        <w:rPr>
          <w:rFonts w:eastAsiaTheme="minorEastAsia"/>
          <w:snapToGrid/>
          <w:szCs w:val="22"/>
          <w:lang w:val="lt-LT" w:eastAsia="en-IN"/>
        </w:rPr>
        <w:t> </w:t>
      </w:r>
      <w:r w:rsidRPr="001839C2">
        <w:rPr>
          <w:rFonts w:eastAsiaTheme="minorEastAsia"/>
          <w:snapToGrid/>
          <w:szCs w:val="22"/>
          <w:lang w:val="lt-LT" w:eastAsia="en-IN"/>
        </w:rPr>
        <w:t>5.2</w:t>
      </w:r>
      <w:r w:rsidR="00E53677" w:rsidRPr="001839C2">
        <w:rPr>
          <w:rFonts w:eastAsiaTheme="minorEastAsia"/>
          <w:snapToGrid/>
          <w:szCs w:val="22"/>
          <w:lang w:val="lt-LT" w:eastAsia="en-IN"/>
        </w:rPr>
        <w:t> </w:t>
      </w:r>
      <w:r w:rsidRPr="001839C2">
        <w:rPr>
          <w:rFonts w:eastAsiaTheme="minorEastAsia"/>
          <w:snapToGrid/>
          <w:szCs w:val="22"/>
          <w:lang w:val="lt-LT" w:eastAsia="en-IN"/>
        </w:rPr>
        <w:t>skyrių). Todėl atvejais, kai emtricitabino</w:t>
      </w:r>
      <w:r w:rsidR="00E5367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53677"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skiriama pacientams, kurių kreatinino klirensas yra &lt;</w:t>
      </w:r>
      <w:r w:rsidR="00E53677" w:rsidRPr="001839C2">
        <w:rPr>
          <w:rFonts w:eastAsiaTheme="minorEastAsia"/>
          <w:snapToGrid/>
          <w:szCs w:val="22"/>
          <w:lang w:val="lt-LT" w:eastAsia="en-IN"/>
        </w:rPr>
        <w:t> </w:t>
      </w:r>
      <w:r w:rsidRPr="001839C2">
        <w:rPr>
          <w:rFonts w:eastAsiaTheme="minorEastAsia"/>
          <w:snapToGrid/>
          <w:szCs w:val="22"/>
          <w:lang w:val="lt-LT" w:eastAsia="en-IN"/>
        </w:rPr>
        <w:t>60</w:t>
      </w:r>
      <w:r w:rsidR="00E53677" w:rsidRPr="001839C2">
        <w:rPr>
          <w:rFonts w:eastAsiaTheme="minorEastAsia"/>
          <w:snapToGrid/>
          <w:szCs w:val="22"/>
          <w:lang w:val="lt-LT" w:eastAsia="en-IN"/>
        </w:rPr>
        <w:t> </w:t>
      </w:r>
      <w:r w:rsidRPr="001839C2">
        <w:rPr>
          <w:rFonts w:eastAsiaTheme="minorEastAsia"/>
          <w:snapToGrid/>
          <w:szCs w:val="22"/>
          <w:lang w:val="lt-LT" w:eastAsia="en-IN"/>
        </w:rPr>
        <w:t>ml/min., reikia nuodugniai įvertinti naudos ir rizikos santykį bei atidžiai stebėti inkstų funkciją. Be to, reikia atidžiai stebėti klinikinį atsaką į gydymą tiems emtricitabino</w:t>
      </w:r>
      <w:r w:rsidR="00E5367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00E53677" w:rsidRPr="001839C2">
        <w:rPr>
          <w:rFonts w:eastAsiaTheme="minorEastAsia"/>
          <w:snapToGrid/>
          <w:szCs w:val="22"/>
          <w:lang w:val="lt-LT" w:eastAsia="en-IN"/>
        </w:rPr>
        <w:t>o deriniu</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gydomiems pacientams, kuriems laikotarpis tarp atskirų dozių vartojimo yra ilgesnis. Emtricitabino</w:t>
      </w:r>
      <w:r w:rsidR="00E5367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53677"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nerekomenduojama vartoti pacientams, sergantiems sunkiu inkstų funkcijos sutrikimu (kreatinino klirensas &lt;</w:t>
      </w:r>
      <w:r w:rsidR="00E53677" w:rsidRPr="001839C2">
        <w:rPr>
          <w:rFonts w:eastAsiaTheme="minorEastAsia"/>
          <w:snapToGrid/>
          <w:szCs w:val="22"/>
          <w:lang w:val="lt-LT" w:eastAsia="en-IN"/>
        </w:rPr>
        <w:t> </w:t>
      </w:r>
      <w:r w:rsidRPr="001839C2">
        <w:rPr>
          <w:rFonts w:eastAsiaTheme="minorEastAsia"/>
          <w:snapToGrid/>
          <w:szCs w:val="22"/>
          <w:lang w:val="lt-LT" w:eastAsia="en-IN"/>
        </w:rPr>
        <w:t>30</w:t>
      </w:r>
      <w:r w:rsidR="00E53677" w:rsidRPr="001839C2">
        <w:rPr>
          <w:rFonts w:eastAsiaTheme="minorEastAsia"/>
          <w:snapToGrid/>
          <w:szCs w:val="22"/>
          <w:lang w:val="lt-LT" w:eastAsia="en-IN"/>
        </w:rPr>
        <w:t> </w:t>
      </w:r>
      <w:r w:rsidRPr="001839C2">
        <w:rPr>
          <w:rFonts w:eastAsiaTheme="minorEastAsia"/>
          <w:snapToGrid/>
          <w:szCs w:val="22"/>
          <w:lang w:val="lt-LT" w:eastAsia="en-IN"/>
        </w:rPr>
        <w:t>ml/min.), bei pacientams, kuriems reikalinga hemodializė, nes vartojant sudėtinę tabletę negalima tinkamai sumažinti dozės (žr.</w:t>
      </w:r>
      <w:r w:rsidR="00E53677" w:rsidRPr="001839C2">
        <w:rPr>
          <w:rFonts w:eastAsiaTheme="minorEastAsia"/>
          <w:snapToGrid/>
          <w:szCs w:val="22"/>
          <w:lang w:val="lt-LT" w:eastAsia="en-IN"/>
        </w:rPr>
        <w:t> </w:t>
      </w:r>
      <w:r w:rsidRPr="001839C2">
        <w:rPr>
          <w:rFonts w:eastAsiaTheme="minorEastAsia"/>
          <w:snapToGrid/>
          <w:szCs w:val="22"/>
          <w:lang w:val="lt-LT" w:eastAsia="en-IN"/>
        </w:rPr>
        <w:t>4.2 ir 5.2</w:t>
      </w:r>
      <w:r w:rsidR="00E53677" w:rsidRPr="001839C2">
        <w:rPr>
          <w:rFonts w:eastAsiaTheme="minorEastAsia"/>
          <w:snapToGrid/>
          <w:szCs w:val="22"/>
          <w:lang w:val="lt-LT" w:eastAsia="en-IN"/>
        </w:rPr>
        <w:t> </w:t>
      </w:r>
      <w:r w:rsidRPr="001839C2">
        <w:rPr>
          <w:rFonts w:eastAsiaTheme="minorEastAsia"/>
          <w:snapToGrid/>
          <w:szCs w:val="22"/>
          <w:lang w:val="lt-LT" w:eastAsia="en-IN"/>
        </w:rPr>
        <w:t>skyrius).</w:t>
      </w:r>
    </w:p>
    <w:p w14:paraId="50E16F41"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376014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Inkstų funkcijos sutrikimų gydymas, kai vaist</w:t>
      </w:r>
      <w:r w:rsidR="00E53677" w:rsidRPr="001839C2">
        <w:rPr>
          <w:rFonts w:eastAsiaTheme="minorEastAsia"/>
          <w:i/>
          <w:iCs/>
          <w:snapToGrid/>
          <w:szCs w:val="22"/>
          <w:lang w:val="lt-LT" w:eastAsia="en-IN"/>
        </w:rPr>
        <w:t>ini</w:t>
      </w:r>
      <w:r w:rsidRPr="001839C2">
        <w:rPr>
          <w:rFonts w:eastAsiaTheme="minorEastAsia"/>
          <w:i/>
          <w:iCs/>
          <w:snapToGrid/>
          <w:szCs w:val="22"/>
          <w:lang w:val="lt-LT" w:eastAsia="en-IN"/>
        </w:rPr>
        <w:t>o</w:t>
      </w:r>
      <w:r w:rsidR="00E53677" w:rsidRPr="001839C2">
        <w:rPr>
          <w:rFonts w:eastAsiaTheme="minorEastAsia"/>
          <w:i/>
          <w:iCs/>
          <w:snapToGrid/>
          <w:szCs w:val="22"/>
          <w:lang w:val="lt-LT" w:eastAsia="en-IN"/>
        </w:rPr>
        <w:t xml:space="preserve"> preparato</w:t>
      </w:r>
      <w:r w:rsidRPr="001839C2">
        <w:rPr>
          <w:rFonts w:eastAsiaTheme="minorEastAsia"/>
          <w:i/>
          <w:iCs/>
          <w:snapToGrid/>
          <w:szCs w:val="22"/>
          <w:lang w:val="lt-LT" w:eastAsia="en-IN"/>
        </w:rPr>
        <w:t xml:space="preserve"> skiriama priešekspozicinei profilaktikai</w:t>
      </w:r>
    </w:p>
    <w:p w14:paraId="111CEE5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E5367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53677"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tyrimų su ŽIV</w:t>
      </w:r>
      <w:r w:rsidR="00E53677" w:rsidRPr="001839C2">
        <w:rPr>
          <w:rFonts w:eastAsiaTheme="minorEastAsia"/>
          <w:snapToGrid/>
          <w:szCs w:val="22"/>
          <w:lang w:val="lt-LT" w:eastAsia="en-IN"/>
        </w:rPr>
        <w:noBreakHyphen/>
      </w:r>
      <w:r w:rsidRPr="001839C2">
        <w:rPr>
          <w:rFonts w:eastAsiaTheme="minorEastAsia"/>
          <w:snapToGrid/>
          <w:szCs w:val="22"/>
          <w:lang w:val="lt-LT" w:eastAsia="en-IN"/>
        </w:rPr>
        <w:t>1 neinfekuotais asmenimis, kurių kreatinino klirensas yra &lt;</w:t>
      </w:r>
      <w:r w:rsidR="00E53677" w:rsidRPr="001839C2">
        <w:rPr>
          <w:rFonts w:eastAsiaTheme="minorEastAsia"/>
          <w:snapToGrid/>
          <w:szCs w:val="22"/>
          <w:lang w:val="lt-LT" w:eastAsia="en-IN"/>
        </w:rPr>
        <w:t> </w:t>
      </w:r>
      <w:r w:rsidRPr="001839C2">
        <w:rPr>
          <w:rFonts w:eastAsiaTheme="minorEastAsia"/>
          <w:snapToGrid/>
          <w:szCs w:val="22"/>
          <w:lang w:val="lt-LT" w:eastAsia="en-IN"/>
        </w:rPr>
        <w:t>60</w:t>
      </w:r>
      <w:r w:rsidR="00E53677" w:rsidRPr="001839C2">
        <w:rPr>
          <w:rFonts w:eastAsiaTheme="minorEastAsia"/>
          <w:snapToGrid/>
          <w:szCs w:val="22"/>
          <w:lang w:val="lt-LT" w:eastAsia="en-IN"/>
        </w:rPr>
        <w:t> </w:t>
      </w:r>
      <w:r w:rsidRPr="001839C2">
        <w:rPr>
          <w:rFonts w:eastAsiaTheme="minorEastAsia"/>
          <w:snapToGrid/>
          <w:szCs w:val="22"/>
          <w:lang w:val="lt-LT" w:eastAsia="en-IN"/>
        </w:rPr>
        <w:t>ml/min., neatlikta, todėl šis vaist</w:t>
      </w:r>
      <w:r w:rsidR="00E53677" w:rsidRPr="001839C2">
        <w:rPr>
          <w:rFonts w:eastAsiaTheme="minorEastAsia"/>
          <w:snapToGrid/>
          <w:szCs w:val="22"/>
          <w:lang w:val="lt-LT" w:eastAsia="en-IN"/>
        </w:rPr>
        <w:t>inis preparat</w:t>
      </w:r>
      <w:r w:rsidRPr="001839C2">
        <w:rPr>
          <w:rFonts w:eastAsiaTheme="minorEastAsia"/>
          <w:snapToGrid/>
          <w:szCs w:val="22"/>
          <w:lang w:val="lt-LT" w:eastAsia="en-IN"/>
        </w:rPr>
        <w:t>as nerekomenduojamas ši</w:t>
      </w:r>
      <w:r w:rsidR="00E53677" w:rsidRPr="001839C2">
        <w:rPr>
          <w:rFonts w:eastAsiaTheme="minorEastAsia"/>
          <w:snapToGrid/>
          <w:szCs w:val="22"/>
          <w:lang w:val="lt-LT" w:eastAsia="en-IN"/>
        </w:rPr>
        <w:t>ai</w:t>
      </w:r>
      <w:r w:rsidRPr="001839C2">
        <w:rPr>
          <w:rFonts w:eastAsiaTheme="minorEastAsia"/>
          <w:snapToGrid/>
          <w:szCs w:val="22"/>
          <w:lang w:val="lt-LT" w:eastAsia="en-IN"/>
        </w:rPr>
        <w:t xml:space="preserve"> populiacij</w:t>
      </w:r>
      <w:r w:rsidR="00E53677" w:rsidRPr="001839C2">
        <w:rPr>
          <w:rFonts w:eastAsiaTheme="minorEastAsia"/>
          <w:snapToGrid/>
          <w:szCs w:val="22"/>
          <w:lang w:val="lt-LT" w:eastAsia="en-IN"/>
        </w:rPr>
        <w:t>ai</w:t>
      </w:r>
      <w:r w:rsidRPr="001839C2">
        <w:rPr>
          <w:rFonts w:eastAsiaTheme="minorEastAsia"/>
          <w:snapToGrid/>
          <w:szCs w:val="22"/>
          <w:lang w:val="lt-LT" w:eastAsia="en-IN"/>
        </w:rPr>
        <w:t>. Jeigu fosfatų k</w:t>
      </w:r>
      <w:r w:rsidR="00E53677" w:rsidRPr="001839C2">
        <w:rPr>
          <w:rFonts w:eastAsiaTheme="minorEastAsia"/>
          <w:snapToGrid/>
          <w:szCs w:val="22"/>
          <w:lang w:val="lt-LT" w:eastAsia="en-IN"/>
        </w:rPr>
        <w:t>oncentrac</w:t>
      </w:r>
      <w:r w:rsidRPr="001839C2">
        <w:rPr>
          <w:rFonts w:eastAsiaTheme="minorEastAsia"/>
          <w:snapToGrid/>
          <w:szCs w:val="22"/>
          <w:lang w:val="lt-LT" w:eastAsia="en-IN"/>
        </w:rPr>
        <w:t>i</w:t>
      </w:r>
      <w:r w:rsidR="00E53677" w:rsidRPr="001839C2">
        <w:rPr>
          <w:rFonts w:eastAsiaTheme="minorEastAsia"/>
          <w:snapToGrid/>
          <w:szCs w:val="22"/>
          <w:lang w:val="lt-LT" w:eastAsia="en-IN"/>
        </w:rPr>
        <w:t>ja</w:t>
      </w:r>
      <w:r w:rsidRPr="001839C2">
        <w:rPr>
          <w:rFonts w:eastAsiaTheme="minorEastAsia"/>
          <w:snapToGrid/>
          <w:szCs w:val="22"/>
          <w:lang w:val="lt-LT" w:eastAsia="en-IN"/>
        </w:rPr>
        <w:t xml:space="preserve"> serume yra &lt;</w:t>
      </w:r>
      <w:r w:rsidR="00E53677" w:rsidRPr="001839C2">
        <w:rPr>
          <w:rFonts w:eastAsiaTheme="minorEastAsia"/>
          <w:snapToGrid/>
          <w:szCs w:val="22"/>
          <w:lang w:val="lt-LT" w:eastAsia="en-IN"/>
        </w:rPr>
        <w:t> </w:t>
      </w:r>
      <w:r w:rsidRPr="001839C2">
        <w:rPr>
          <w:rFonts w:eastAsiaTheme="minorEastAsia"/>
          <w:snapToGrid/>
          <w:szCs w:val="22"/>
          <w:lang w:val="lt-LT" w:eastAsia="en-IN"/>
        </w:rPr>
        <w:t>1,5</w:t>
      </w:r>
      <w:r w:rsidR="00E53677" w:rsidRPr="001839C2">
        <w:rPr>
          <w:rFonts w:eastAsiaTheme="minorEastAsia"/>
          <w:snapToGrid/>
          <w:szCs w:val="22"/>
          <w:lang w:val="lt-LT" w:eastAsia="en-IN"/>
        </w:rPr>
        <w:t> </w:t>
      </w:r>
      <w:r w:rsidRPr="001839C2">
        <w:rPr>
          <w:rFonts w:eastAsiaTheme="minorEastAsia"/>
          <w:snapToGrid/>
          <w:szCs w:val="22"/>
          <w:lang w:val="lt-LT" w:eastAsia="en-IN"/>
        </w:rPr>
        <w:t>mg/dl (0,48</w:t>
      </w:r>
      <w:r w:rsidR="00E53677" w:rsidRPr="001839C2">
        <w:rPr>
          <w:rFonts w:eastAsiaTheme="minorEastAsia"/>
          <w:snapToGrid/>
          <w:szCs w:val="22"/>
          <w:lang w:val="lt-LT" w:eastAsia="en-IN"/>
        </w:rPr>
        <w:t> </w:t>
      </w:r>
      <w:r w:rsidRPr="001839C2">
        <w:rPr>
          <w:rFonts w:eastAsiaTheme="minorEastAsia"/>
          <w:snapToGrid/>
          <w:szCs w:val="22"/>
          <w:lang w:val="lt-LT" w:eastAsia="en-IN"/>
        </w:rPr>
        <w:t>mmol/l) ar kreatinino klirensas sumažėja iki &lt;</w:t>
      </w:r>
      <w:r w:rsidR="00E53677" w:rsidRPr="001839C2">
        <w:rPr>
          <w:rFonts w:eastAsiaTheme="minorEastAsia"/>
          <w:snapToGrid/>
          <w:szCs w:val="22"/>
          <w:lang w:val="lt-LT" w:eastAsia="en-IN"/>
        </w:rPr>
        <w:t> </w:t>
      </w:r>
      <w:r w:rsidRPr="001839C2">
        <w:rPr>
          <w:rFonts w:eastAsiaTheme="minorEastAsia"/>
          <w:snapToGrid/>
          <w:szCs w:val="22"/>
          <w:lang w:val="lt-LT" w:eastAsia="en-IN"/>
        </w:rPr>
        <w:t>60</w:t>
      </w:r>
      <w:r w:rsidR="00E53677" w:rsidRPr="001839C2">
        <w:rPr>
          <w:rFonts w:eastAsiaTheme="minorEastAsia"/>
          <w:snapToGrid/>
          <w:szCs w:val="22"/>
          <w:lang w:val="lt-LT" w:eastAsia="en-IN"/>
        </w:rPr>
        <w:t> </w:t>
      </w:r>
      <w:r w:rsidRPr="001839C2">
        <w:rPr>
          <w:rFonts w:eastAsiaTheme="minorEastAsia"/>
          <w:snapToGrid/>
          <w:szCs w:val="22"/>
          <w:lang w:val="lt-LT" w:eastAsia="en-IN"/>
        </w:rPr>
        <w:t>ml/min. bet kuriam asmeniui, gaunančiam emtricitabino</w:t>
      </w:r>
      <w:r w:rsidR="00E5367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53677"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priešekspozicinei profilaktikai, vienos</w:t>
      </w:r>
      <w:r w:rsidR="00E53677" w:rsidRPr="001839C2">
        <w:rPr>
          <w:rFonts w:eastAsiaTheme="minorEastAsia"/>
          <w:snapToGrid/>
          <w:szCs w:val="22"/>
          <w:lang w:val="lt-LT" w:eastAsia="en-IN"/>
        </w:rPr>
        <w:t> </w:t>
      </w:r>
      <w:r w:rsidRPr="001839C2">
        <w:rPr>
          <w:rFonts w:eastAsiaTheme="minorEastAsia"/>
          <w:snapToGrid/>
          <w:szCs w:val="22"/>
          <w:lang w:val="lt-LT" w:eastAsia="en-IN"/>
        </w:rPr>
        <w:t>savaitės laikotarpyje reikia pakartotinai ištirti inkstų funkciją, įskaitant ir gliukozės koncentracijos kraujyje, kalio koncentracijos kraujyje ir gliukozės koncentracijos šlapime tyrimus (žr.</w:t>
      </w:r>
      <w:r w:rsidR="00E53677" w:rsidRPr="001839C2">
        <w:rPr>
          <w:rFonts w:eastAsiaTheme="minorEastAsia"/>
          <w:snapToGrid/>
          <w:szCs w:val="22"/>
          <w:lang w:val="lt-LT" w:eastAsia="en-IN"/>
        </w:rPr>
        <w:t> </w:t>
      </w:r>
      <w:r w:rsidRPr="001839C2">
        <w:rPr>
          <w:rFonts w:eastAsiaTheme="minorEastAsia"/>
          <w:snapToGrid/>
          <w:szCs w:val="22"/>
          <w:lang w:val="lt-LT" w:eastAsia="en-IN"/>
        </w:rPr>
        <w:t>4.8</w:t>
      </w:r>
      <w:r w:rsidR="00E53677" w:rsidRPr="001839C2">
        <w:rPr>
          <w:rFonts w:eastAsiaTheme="minorEastAsia"/>
          <w:snapToGrid/>
          <w:szCs w:val="22"/>
          <w:lang w:val="lt-LT" w:eastAsia="en-IN"/>
        </w:rPr>
        <w:t> </w:t>
      </w:r>
      <w:r w:rsidRPr="001839C2">
        <w:rPr>
          <w:rFonts w:eastAsiaTheme="minorEastAsia"/>
          <w:snapToGrid/>
          <w:szCs w:val="22"/>
          <w:lang w:val="lt-LT" w:eastAsia="en-IN"/>
        </w:rPr>
        <w:t>skyrių apie proksimalinę tubulopatiją). Jeigu asmens kreatinino klirensas sumažėja iki &lt;</w:t>
      </w:r>
      <w:r w:rsidR="00E53677" w:rsidRPr="001839C2">
        <w:rPr>
          <w:rFonts w:eastAsiaTheme="minorEastAsia"/>
          <w:snapToGrid/>
          <w:szCs w:val="22"/>
          <w:lang w:val="lt-LT" w:eastAsia="en-IN"/>
        </w:rPr>
        <w:t> </w:t>
      </w:r>
      <w:r w:rsidRPr="001839C2">
        <w:rPr>
          <w:rFonts w:eastAsiaTheme="minorEastAsia"/>
          <w:snapToGrid/>
          <w:szCs w:val="22"/>
          <w:lang w:val="lt-LT" w:eastAsia="en-IN"/>
        </w:rPr>
        <w:t>60</w:t>
      </w:r>
      <w:r w:rsidR="00E53677" w:rsidRPr="001839C2">
        <w:rPr>
          <w:rFonts w:eastAsiaTheme="minorEastAsia"/>
          <w:snapToGrid/>
          <w:szCs w:val="22"/>
          <w:lang w:val="lt-LT" w:eastAsia="en-IN"/>
        </w:rPr>
        <w:t> </w:t>
      </w:r>
      <w:r w:rsidRPr="001839C2">
        <w:rPr>
          <w:rFonts w:eastAsiaTheme="minorEastAsia"/>
          <w:snapToGrid/>
          <w:szCs w:val="22"/>
          <w:lang w:val="lt-LT" w:eastAsia="en-IN"/>
        </w:rPr>
        <w:t>ml/min. ar fosfatų k</w:t>
      </w:r>
      <w:r w:rsidR="00E53677" w:rsidRPr="001839C2">
        <w:rPr>
          <w:rFonts w:eastAsiaTheme="minorEastAsia"/>
          <w:snapToGrid/>
          <w:szCs w:val="22"/>
          <w:lang w:val="lt-LT" w:eastAsia="en-IN"/>
        </w:rPr>
        <w:t>oncentrac</w:t>
      </w:r>
      <w:r w:rsidRPr="001839C2">
        <w:rPr>
          <w:rFonts w:eastAsiaTheme="minorEastAsia"/>
          <w:snapToGrid/>
          <w:szCs w:val="22"/>
          <w:lang w:val="lt-LT" w:eastAsia="en-IN"/>
        </w:rPr>
        <w:t>i</w:t>
      </w:r>
      <w:r w:rsidR="00E53677" w:rsidRPr="001839C2">
        <w:rPr>
          <w:rFonts w:eastAsiaTheme="minorEastAsia"/>
          <w:snapToGrid/>
          <w:szCs w:val="22"/>
          <w:lang w:val="lt-LT" w:eastAsia="en-IN"/>
        </w:rPr>
        <w:t>ja</w:t>
      </w:r>
      <w:r w:rsidRPr="001839C2">
        <w:rPr>
          <w:rFonts w:eastAsiaTheme="minorEastAsia"/>
          <w:snapToGrid/>
          <w:szCs w:val="22"/>
          <w:lang w:val="lt-LT" w:eastAsia="en-IN"/>
        </w:rPr>
        <w:t xml:space="preserve"> serume sumažėja iki &lt;</w:t>
      </w:r>
      <w:r w:rsidR="00E53677" w:rsidRPr="001839C2">
        <w:rPr>
          <w:rFonts w:eastAsiaTheme="minorEastAsia"/>
          <w:snapToGrid/>
          <w:szCs w:val="22"/>
          <w:lang w:val="lt-LT" w:eastAsia="en-IN"/>
        </w:rPr>
        <w:t> </w:t>
      </w:r>
      <w:r w:rsidRPr="001839C2">
        <w:rPr>
          <w:rFonts w:eastAsiaTheme="minorEastAsia"/>
          <w:snapToGrid/>
          <w:szCs w:val="22"/>
          <w:lang w:val="lt-LT" w:eastAsia="en-IN"/>
        </w:rPr>
        <w:t>1,0</w:t>
      </w:r>
      <w:r w:rsidR="00E53677" w:rsidRPr="001839C2">
        <w:rPr>
          <w:rFonts w:eastAsiaTheme="minorEastAsia"/>
          <w:snapToGrid/>
          <w:szCs w:val="22"/>
          <w:lang w:val="lt-LT" w:eastAsia="en-IN"/>
        </w:rPr>
        <w:t> </w:t>
      </w:r>
      <w:r w:rsidRPr="001839C2">
        <w:rPr>
          <w:rFonts w:eastAsiaTheme="minorEastAsia"/>
          <w:snapToGrid/>
          <w:szCs w:val="22"/>
          <w:lang w:val="lt-LT" w:eastAsia="en-IN"/>
        </w:rPr>
        <w:t>mg/dl (0,32</w:t>
      </w:r>
      <w:r w:rsidR="00E53677" w:rsidRPr="001839C2">
        <w:rPr>
          <w:rFonts w:eastAsiaTheme="minorEastAsia"/>
          <w:snapToGrid/>
          <w:szCs w:val="22"/>
          <w:lang w:val="lt-LT" w:eastAsia="en-IN"/>
        </w:rPr>
        <w:t> </w:t>
      </w:r>
      <w:r w:rsidRPr="001839C2">
        <w:rPr>
          <w:rFonts w:eastAsiaTheme="minorEastAsia"/>
          <w:snapToGrid/>
          <w:szCs w:val="22"/>
          <w:lang w:val="lt-LT" w:eastAsia="en-IN"/>
        </w:rPr>
        <w:t>mmol/l), reikia nuspręsti dėl poreikio nutraukti gydymą emtricitabino</w:t>
      </w:r>
      <w:r w:rsidR="00E5367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53677" w:rsidRPr="001839C2">
        <w:rPr>
          <w:rFonts w:eastAsiaTheme="minorEastAsia"/>
          <w:snapToGrid/>
          <w:szCs w:val="22"/>
          <w:lang w:val="lt-LT" w:eastAsia="en-IN"/>
        </w:rPr>
        <w:t xml:space="preserve"> deriniu</w:t>
      </w:r>
      <w:r w:rsidRPr="001839C2">
        <w:rPr>
          <w:rFonts w:eastAsiaTheme="minorEastAsia"/>
          <w:snapToGrid/>
          <w:szCs w:val="22"/>
          <w:lang w:val="lt-LT" w:eastAsia="en-IN"/>
        </w:rPr>
        <w:t>. Nuspręsti dėl poreikio nutraukti emtricitabino</w:t>
      </w:r>
      <w:r w:rsidR="00E5367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53677"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vartojimą taip pat reikia esant progresuojančiam inkstų funkcijos silpnėjimui, kai nenustatyta jokia kita priežastis.</w:t>
      </w:r>
    </w:p>
    <w:p w14:paraId="1DF16EA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22FDD9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r w:rsidRPr="001839C2">
        <w:rPr>
          <w:rFonts w:eastAsiaTheme="minorEastAsia"/>
          <w:i/>
          <w:iCs/>
          <w:snapToGrid/>
          <w:szCs w:val="22"/>
          <w:u w:val="single"/>
          <w:lang w:val="lt-LT" w:eastAsia="en-IN"/>
        </w:rPr>
        <w:t>Poveikis kaulams</w:t>
      </w:r>
    </w:p>
    <w:p w14:paraId="1F0397D8" w14:textId="348E81F2" w:rsidR="00F11FC5"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Kaulų pokyčiai</w:t>
      </w:r>
      <w:r w:rsidR="003C1AD2" w:rsidRPr="001839C2">
        <w:rPr>
          <w:rFonts w:eastAsiaTheme="minorEastAsia"/>
          <w:snapToGrid/>
          <w:szCs w:val="22"/>
          <w:lang w:val="lt-LT" w:eastAsia="en-IN"/>
        </w:rPr>
        <w:t>, pavyzdžiui, osteomaliacija, galinti pasireikšti nuolatiniu ar stiprėjančiu kaulų skausmu ir</w:t>
      </w:r>
      <w:r w:rsidRPr="001839C2">
        <w:rPr>
          <w:rFonts w:eastAsiaTheme="minorEastAsia"/>
          <w:snapToGrid/>
          <w:szCs w:val="22"/>
          <w:lang w:val="lt-LT" w:eastAsia="en-IN"/>
        </w:rPr>
        <w:t xml:space="preserve"> retais atvejais </w:t>
      </w:r>
      <w:r w:rsidR="003C1AD2" w:rsidRPr="001839C2">
        <w:rPr>
          <w:rFonts w:eastAsiaTheme="minorEastAsia"/>
          <w:snapToGrid/>
          <w:szCs w:val="22"/>
          <w:lang w:val="lt-LT" w:eastAsia="en-IN"/>
        </w:rPr>
        <w:t>prisidėti prie kaulų lūžių,</w:t>
      </w:r>
      <w:r w:rsidRPr="001839C2">
        <w:rPr>
          <w:rFonts w:eastAsiaTheme="minorEastAsia"/>
          <w:snapToGrid/>
          <w:szCs w:val="22"/>
          <w:lang w:val="lt-LT" w:eastAsia="en-IN"/>
        </w:rPr>
        <w:t xml:space="preserve"> gali būti </w:t>
      </w:r>
      <w:r w:rsidR="003C1AD2" w:rsidRPr="001839C2">
        <w:rPr>
          <w:rFonts w:eastAsiaTheme="minorEastAsia"/>
          <w:snapToGrid/>
          <w:szCs w:val="22"/>
          <w:lang w:val="lt-LT" w:eastAsia="en-IN"/>
        </w:rPr>
        <w:t xml:space="preserve">susiję </w:t>
      </w:r>
      <w:r w:rsidRPr="001839C2">
        <w:rPr>
          <w:rFonts w:eastAsiaTheme="minorEastAsia"/>
          <w:snapToGrid/>
          <w:szCs w:val="22"/>
          <w:lang w:val="lt-LT" w:eastAsia="en-IN"/>
        </w:rPr>
        <w:t xml:space="preserve">su </w:t>
      </w:r>
      <w:r w:rsidR="003C1AD2" w:rsidRPr="001839C2">
        <w:rPr>
          <w:rFonts w:eastAsiaTheme="minorEastAsia"/>
          <w:snapToGrid/>
          <w:szCs w:val="22"/>
          <w:lang w:val="lt-LT" w:eastAsia="en-IN"/>
        </w:rPr>
        <w:t xml:space="preserve">tenofoviro dizoproksilio sukelta </w:t>
      </w:r>
      <w:r w:rsidRPr="001839C2">
        <w:rPr>
          <w:rFonts w:eastAsiaTheme="minorEastAsia"/>
          <w:snapToGrid/>
          <w:szCs w:val="22"/>
          <w:lang w:val="lt-LT" w:eastAsia="en-IN"/>
        </w:rPr>
        <w:t>proksimaline inkstų tubulopatija (žr.</w:t>
      </w:r>
      <w:r w:rsidR="00E53677" w:rsidRPr="001839C2">
        <w:rPr>
          <w:rFonts w:eastAsiaTheme="minorEastAsia"/>
          <w:snapToGrid/>
          <w:szCs w:val="22"/>
          <w:lang w:val="lt-LT" w:eastAsia="en-IN"/>
        </w:rPr>
        <w:t> </w:t>
      </w:r>
      <w:r w:rsidRPr="001839C2">
        <w:rPr>
          <w:rFonts w:eastAsiaTheme="minorEastAsia"/>
          <w:snapToGrid/>
          <w:szCs w:val="22"/>
          <w:lang w:val="lt-LT" w:eastAsia="en-IN"/>
        </w:rPr>
        <w:t>4.8</w:t>
      </w:r>
      <w:r w:rsidR="00E53677" w:rsidRPr="001839C2">
        <w:rPr>
          <w:rFonts w:eastAsiaTheme="minorEastAsia"/>
          <w:snapToGrid/>
          <w:szCs w:val="22"/>
          <w:lang w:val="lt-LT" w:eastAsia="en-IN"/>
        </w:rPr>
        <w:t> </w:t>
      </w:r>
      <w:r w:rsidRPr="001839C2">
        <w:rPr>
          <w:rFonts w:eastAsiaTheme="minorEastAsia"/>
          <w:snapToGrid/>
          <w:szCs w:val="22"/>
          <w:lang w:val="lt-LT" w:eastAsia="en-IN"/>
        </w:rPr>
        <w:t xml:space="preserve">skyrių). </w:t>
      </w:r>
    </w:p>
    <w:p w14:paraId="7E73CA05" w14:textId="77777777" w:rsidR="00F11FC5" w:rsidRPr="001839C2" w:rsidRDefault="00F11FC5"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48C3C8A" w14:textId="77777777" w:rsidR="00F11FC5" w:rsidRPr="001839C2" w:rsidRDefault="00F11FC5" w:rsidP="00F11FC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įtariami arba nustatomi kaulų pokyčiai, reikia kreiptis į atitinkamą specialistą patarimo.</w:t>
      </w:r>
    </w:p>
    <w:p w14:paraId="0E352C4D" w14:textId="77777777" w:rsidR="00F11FC5" w:rsidRPr="001839C2" w:rsidRDefault="00F11FC5"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7767402" w14:textId="77777777" w:rsidR="00F11FC5" w:rsidRPr="001839C2" w:rsidRDefault="00F11FC5" w:rsidP="00F11FC5">
      <w:pPr>
        <w:keepNext/>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ŽIV-1 infekcijos gydymas</w:t>
      </w:r>
    </w:p>
    <w:p w14:paraId="3A097D73" w14:textId="217F1750" w:rsidR="002A5F50" w:rsidRPr="001839C2" w:rsidRDefault="004D2B4F" w:rsidP="004D2B4F">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4D2B4F">
        <w:rPr>
          <w:rFonts w:eastAsiaTheme="minorEastAsia"/>
          <w:snapToGrid/>
          <w:szCs w:val="22"/>
          <w:lang w:val="lt-LT" w:eastAsia="en-IN"/>
        </w:rPr>
        <w:t>Atsitiktinių imčių kontroliuojamuose klinikiniuose tyrimuose, kurie truko iki 144 savaičių, skiriant</w:t>
      </w:r>
      <w:r>
        <w:rPr>
          <w:rFonts w:eastAsiaTheme="minorEastAsia"/>
          <w:snapToGrid/>
          <w:szCs w:val="22"/>
          <w:lang w:val="lt-LT" w:eastAsia="en-IN"/>
        </w:rPr>
        <w:t xml:space="preserve"> </w:t>
      </w:r>
      <w:r w:rsidRPr="004D2B4F">
        <w:rPr>
          <w:rFonts w:eastAsiaTheme="minorEastAsia"/>
          <w:snapToGrid/>
          <w:szCs w:val="22"/>
          <w:lang w:val="lt-LT" w:eastAsia="en-IN"/>
        </w:rPr>
        <w:lastRenderedPageBreak/>
        <w:t>tenofovirą dizoproksilį ŽIV arba HBV infekuotiems pacientams, stebėtas kaulų mineralinio tankio</w:t>
      </w:r>
      <w:r>
        <w:rPr>
          <w:rFonts w:eastAsiaTheme="minorEastAsia"/>
          <w:snapToGrid/>
          <w:szCs w:val="22"/>
          <w:lang w:val="lt-LT" w:eastAsia="en-IN"/>
        </w:rPr>
        <w:t xml:space="preserve"> </w:t>
      </w:r>
      <w:r w:rsidRPr="004D2B4F">
        <w:rPr>
          <w:rFonts w:eastAsiaTheme="minorEastAsia"/>
          <w:snapToGrid/>
          <w:szCs w:val="22"/>
          <w:lang w:val="lt-LT" w:eastAsia="en-IN"/>
        </w:rPr>
        <w:t>(KMT) sumažėjimas. Šis KMT sumažėjimas paprastai pagerėdavo, nutraukus gydymą.</w:t>
      </w:r>
    </w:p>
    <w:p w14:paraId="191E7FB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AA16888" w14:textId="77777777" w:rsidR="00EF61E2"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Atliekant kitus tyrimus (perspektyvinius ir </w:t>
      </w:r>
      <w:r w:rsidR="00414F59" w:rsidRPr="001839C2">
        <w:rPr>
          <w:rFonts w:eastAsiaTheme="minorEastAsia"/>
          <w:snapToGrid/>
          <w:szCs w:val="22"/>
          <w:lang w:val="lt-LT" w:eastAsia="en-IN"/>
        </w:rPr>
        <w:t>sk</w:t>
      </w:r>
      <w:r w:rsidRPr="001839C2">
        <w:rPr>
          <w:rFonts w:eastAsiaTheme="minorEastAsia"/>
          <w:snapToGrid/>
          <w:szCs w:val="22"/>
          <w:lang w:val="lt-LT" w:eastAsia="en-IN"/>
        </w:rPr>
        <w:t>e</w:t>
      </w:r>
      <w:r w:rsidR="00414F59" w:rsidRPr="001839C2">
        <w:rPr>
          <w:rFonts w:eastAsiaTheme="minorEastAsia"/>
          <w:snapToGrid/>
          <w:szCs w:val="22"/>
          <w:lang w:val="lt-LT" w:eastAsia="en-IN"/>
        </w:rPr>
        <w:t>rspjūv</w:t>
      </w:r>
      <w:r w:rsidRPr="001839C2">
        <w:rPr>
          <w:rFonts w:eastAsiaTheme="minorEastAsia"/>
          <w:snapToGrid/>
          <w:szCs w:val="22"/>
          <w:lang w:val="lt-LT" w:eastAsia="en-IN"/>
        </w:rPr>
        <w:t>i</w:t>
      </w:r>
      <w:r w:rsidR="00414F59" w:rsidRPr="001839C2">
        <w:rPr>
          <w:rFonts w:eastAsiaTheme="minorEastAsia"/>
          <w:snapToGrid/>
          <w:szCs w:val="22"/>
          <w:lang w:val="lt-LT" w:eastAsia="en-IN"/>
        </w:rPr>
        <w:t>o</w:t>
      </w:r>
      <w:r w:rsidRPr="001839C2">
        <w:rPr>
          <w:rFonts w:eastAsiaTheme="minorEastAsia"/>
          <w:snapToGrid/>
          <w:szCs w:val="22"/>
          <w:lang w:val="lt-LT" w:eastAsia="en-IN"/>
        </w:rPr>
        <w:t>), didžiausias KMT</w:t>
      </w:r>
      <w:r w:rsidR="00414F59" w:rsidRPr="001839C2">
        <w:rPr>
          <w:rFonts w:eastAsiaTheme="minorEastAsia"/>
          <w:snapToGrid/>
          <w:szCs w:val="22"/>
          <w:lang w:val="lt-LT" w:eastAsia="en-IN"/>
        </w:rPr>
        <w:t> </w:t>
      </w:r>
      <w:r w:rsidRPr="001839C2">
        <w:rPr>
          <w:rFonts w:eastAsiaTheme="minorEastAsia"/>
          <w:snapToGrid/>
          <w:szCs w:val="22"/>
          <w:lang w:val="lt-LT" w:eastAsia="en-IN"/>
        </w:rPr>
        <w:t>sumažėjimas nustatytas pacientams, kuriems buvo skiriamas gydymas tenofovir</w:t>
      </w:r>
      <w:r w:rsidR="005D5385"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kaip dalis gydymo</w:t>
      </w:r>
      <w:r w:rsidR="00D844AF" w:rsidRPr="001839C2">
        <w:rPr>
          <w:rFonts w:eastAsiaTheme="minorEastAsia"/>
          <w:snapToGrid/>
          <w:szCs w:val="22"/>
          <w:lang w:val="lt-LT" w:eastAsia="en-IN"/>
        </w:rPr>
        <w:t xml:space="preserve"> režimo, kurio sudėtyje buvo</w:t>
      </w:r>
      <w:r w:rsidRPr="001839C2">
        <w:rPr>
          <w:rFonts w:eastAsiaTheme="minorEastAsia"/>
          <w:snapToGrid/>
          <w:szCs w:val="22"/>
          <w:lang w:val="lt-LT" w:eastAsia="en-IN"/>
        </w:rPr>
        <w:t xml:space="preserve"> sustiprint</w:t>
      </w:r>
      <w:r w:rsidR="00414F59" w:rsidRPr="001839C2">
        <w:rPr>
          <w:rFonts w:eastAsiaTheme="minorEastAsia"/>
          <w:snapToGrid/>
          <w:szCs w:val="22"/>
          <w:lang w:val="lt-LT" w:eastAsia="en-IN"/>
        </w:rPr>
        <w:t>as</w:t>
      </w:r>
      <w:r w:rsidRPr="001839C2">
        <w:rPr>
          <w:rFonts w:eastAsiaTheme="minorEastAsia"/>
          <w:snapToGrid/>
          <w:szCs w:val="22"/>
          <w:lang w:val="lt-LT" w:eastAsia="en-IN"/>
        </w:rPr>
        <w:t xml:space="preserve"> proteazių inhibitoriu</w:t>
      </w:r>
      <w:r w:rsidR="00414F59" w:rsidRPr="001839C2">
        <w:rPr>
          <w:rFonts w:eastAsiaTheme="minorEastAsia"/>
          <w:snapToGrid/>
          <w:szCs w:val="22"/>
          <w:lang w:val="lt-LT" w:eastAsia="en-IN"/>
        </w:rPr>
        <w:t>s</w:t>
      </w:r>
      <w:r w:rsidRPr="001839C2">
        <w:rPr>
          <w:rFonts w:eastAsiaTheme="minorEastAsia"/>
          <w:snapToGrid/>
          <w:szCs w:val="22"/>
          <w:lang w:val="lt-LT" w:eastAsia="en-IN"/>
        </w:rPr>
        <w:t xml:space="preserve">. </w:t>
      </w:r>
    </w:p>
    <w:p w14:paraId="1FCF152A" w14:textId="77777777" w:rsidR="00EF61E2" w:rsidRPr="001839C2" w:rsidRDefault="00EF61E2"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2176321" w14:textId="23AE27F0" w:rsidR="002A5F50" w:rsidRPr="001839C2" w:rsidRDefault="003C1AD2" w:rsidP="004D2B4F">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Apskritai, atsižvelgiant į su tenofoviru dizoproksiliu siejamus kaulų pokyčius ir tai, kad ilgalaikių duomenų apie tenofovirodizoproksilio įtaką kaulų sveikatai ir lūžių rizikai nepakanka, o</w:t>
      </w:r>
      <w:r w:rsidR="002A5F50" w:rsidRPr="001839C2">
        <w:rPr>
          <w:rFonts w:eastAsiaTheme="minorEastAsia"/>
          <w:snapToGrid/>
          <w:szCs w:val="22"/>
          <w:lang w:val="lt-LT" w:eastAsia="en-IN"/>
        </w:rPr>
        <w:t xml:space="preserve">steoporoze sergantiems </w:t>
      </w:r>
      <w:r w:rsidR="004D2B4F" w:rsidRPr="004D2B4F">
        <w:rPr>
          <w:rFonts w:eastAsiaTheme="minorEastAsia"/>
          <w:snapToGrid/>
          <w:szCs w:val="22"/>
          <w:lang w:val="lt-LT" w:eastAsia="en-IN"/>
        </w:rPr>
        <w:t xml:space="preserve">arba kaulų lūžių patyrusiems </w:t>
      </w:r>
      <w:r w:rsidR="002A5F50" w:rsidRPr="001839C2">
        <w:rPr>
          <w:rFonts w:eastAsiaTheme="minorEastAsia"/>
          <w:snapToGrid/>
          <w:szCs w:val="22"/>
          <w:lang w:val="lt-LT" w:eastAsia="en-IN"/>
        </w:rPr>
        <w:t>pacientams reikia apsvarstyti galimybę skirti kitą gydymą.</w:t>
      </w:r>
    </w:p>
    <w:p w14:paraId="1642D14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EF520D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Priešekspozicinė profilaktika</w:t>
      </w:r>
    </w:p>
    <w:p w14:paraId="4CFB07F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Klinikiniuose tyrimuose su ŽIV</w:t>
      </w:r>
      <w:r w:rsidR="005D5CA5" w:rsidRPr="001839C2">
        <w:rPr>
          <w:rFonts w:eastAsiaTheme="minorEastAsia"/>
          <w:snapToGrid/>
          <w:szCs w:val="22"/>
          <w:lang w:val="lt-LT" w:eastAsia="en-IN"/>
        </w:rPr>
        <w:noBreakHyphen/>
      </w:r>
      <w:r w:rsidRPr="001839C2">
        <w:rPr>
          <w:rFonts w:eastAsiaTheme="minorEastAsia"/>
          <w:snapToGrid/>
          <w:szCs w:val="22"/>
          <w:lang w:val="lt-LT" w:eastAsia="en-IN"/>
        </w:rPr>
        <w:t>1</w:t>
      </w:r>
      <w:r w:rsidR="00414F59" w:rsidRPr="001839C2">
        <w:rPr>
          <w:rFonts w:eastAsiaTheme="minorEastAsia"/>
          <w:snapToGrid/>
          <w:szCs w:val="22"/>
          <w:lang w:val="lt-LT" w:eastAsia="en-IN"/>
        </w:rPr>
        <w:t> </w:t>
      </w:r>
      <w:r w:rsidRPr="001839C2">
        <w:rPr>
          <w:rFonts w:eastAsiaTheme="minorEastAsia"/>
          <w:snapToGrid/>
          <w:szCs w:val="22"/>
          <w:lang w:val="lt-LT" w:eastAsia="en-IN"/>
        </w:rPr>
        <w:t>neinfekuotais asmenimis nustatytas nedidelis KMT</w:t>
      </w:r>
      <w:r w:rsidR="00414F59" w:rsidRPr="001839C2">
        <w:rPr>
          <w:rFonts w:eastAsiaTheme="minorEastAsia"/>
          <w:snapToGrid/>
          <w:szCs w:val="22"/>
          <w:lang w:val="lt-LT" w:eastAsia="en-IN"/>
        </w:rPr>
        <w:t> </w:t>
      </w:r>
      <w:r w:rsidRPr="001839C2">
        <w:rPr>
          <w:rFonts w:eastAsiaTheme="minorEastAsia"/>
          <w:snapToGrid/>
          <w:szCs w:val="22"/>
          <w:lang w:val="lt-LT" w:eastAsia="en-IN"/>
        </w:rPr>
        <w:t>sumažėjimas.</w:t>
      </w:r>
    </w:p>
    <w:p w14:paraId="556E743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Tyrime, kuriame dalyvavo 498</w:t>
      </w:r>
      <w:r w:rsidR="005D5CA5" w:rsidRPr="001839C2">
        <w:rPr>
          <w:rFonts w:eastAsiaTheme="minorEastAsia"/>
          <w:snapToGrid/>
          <w:szCs w:val="22"/>
          <w:lang w:val="lt-LT" w:eastAsia="en-IN"/>
        </w:rPr>
        <w:t> </w:t>
      </w:r>
      <w:r w:rsidRPr="001839C2">
        <w:rPr>
          <w:rFonts w:eastAsiaTheme="minorEastAsia"/>
          <w:snapToGrid/>
          <w:szCs w:val="22"/>
          <w:lang w:val="lt-LT" w:eastAsia="en-IN"/>
        </w:rPr>
        <w:t>vyrai, pacientams, kasdien profilaktiškai vartojusiems</w:t>
      </w:r>
      <w:r w:rsidR="005D5CA5" w:rsidRPr="001839C2">
        <w:rPr>
          <w:rFonts w:eastAsiaTheme="minorEastAsia"/>
          <w:snapToGrid/>
          <w:szCs w:val="22"/>
          <w:lang w:val="lt-LT" w:eastAsia="en-IN"/>
        </w:rPr>
        <w:t xml:space="preserve"> </w:t>
      </w:r>
      <w:r w:rsidR="00414F59" w:rsidRPr="001839C2">
        <w:rPr>
          <w:rFonts w:eastAsiaTheme="minorHAnsi"/>
          <w:snapToGrid/>
          <w:szCs w:val="22"/>
          <w:lang w:val="lt-LT"/>
        </w:rPr>
        <w:t>e</w:t>
      </w:r>
      <w:r w:rsidRPr="001839C2">
        <w:rPr>
          <w:rFonts w:eastAsiaTheme="minorHAnsi"/>
          <w:snapToGrid/>
          <w:szCs w:val="22"/>
          <w:lang w:val="lt-LT"/>
        </w:rPr>
        <w:t>mtricitabin</w:t>
      </w:r>
      <w:r w:rsidR="00414F59" w:rsidRPr="001839C2">
        <w:rPr>
          <w:rFonts w:eastAsiaTheme="minorHAnsi"/>
          <w:snapToGrid/>
          <w:szCs w:val="22"/>
          <w:lang w:val="lt-LT"/>
        </w:rPr>
        <w:t>o ir t</w:t>
      </w:r>
      <w:r w:rsidRPr="001839C2">
        <w:rPr>
          <w:rFonts w:eastAsiaTheme="minorHAnsi"/>
          <w:snapToGrid/>
          <w:szCs w:val="22"/>
          <w:lang w:val="lt-LT"/>
        </w:rPr>
        <w:t>enofovir</w:t>
      </w:r>
      <w:r w:rsidR="00414F59" w:rsidRPr="001839C2">
        <w:rPr>
          <w:rFonts w:eastAsiaTheme="minorHAnsi"/>
          <w:snapToGrid/>
          <w:szCs w:val="22"/>
          <w:lang w:val="lt-LT"/>
        </w:rPr>
        <w:t>o</w:t>
      </w:r>
      <w:r w:rsidRPr="001839C2">
        <w:rPr>
          <w:rFonts w:eastAsiaTheme="minorHAnsi"/>
          <w:snapToGrid/>
          <w:szCs w:val="22"/>
          <w:lang w:val="lt-LT"/>
        </w:rPr>
        <w:t xml:space="preserve"> di</w:t>
      </w:r>
      <w:r w:rsidR="00414F59" w:rsidRPr="001839C2">
        <w:rPr>
          <w:rFonts w:eastAsiaTheme="minorHAnsi"/>
          <w:snapToGrid/>
          <w:szCs w:val="22"/>
          <w:lang w:val="lt-LT"/>
        </w:rPr>
        <w:t>z</w:t>
      </w:r>
      <w:r w:rsidRPr="001839C2">
        <w:rPr>
          <w:rFonts w:eastAsiaTheme="minorHAnsi"/>
          <w:snapToGrid/>
          <w:szCs w:val="22"/>
          <w:lang w:val="lt-LT"/>
        </w:rPr>
        <w:t>opro</w:t>
      </w:r>
      <w:r w:rsidR="00414F59" w:rsidRPr="001839C2">
        <w:rPr>
          <w:rFonts w:eastAsiaTheme="minorHAnsi"/>
          <w:snapToGrid/>
          <w:szCs w:val="22"/>
          <w:lang w:val="lt-LT"/>
        </w:rPr>
        <w:t>ks</w:t>
      </w:r>
      <w:r w:rsidRPr="001839C2">
        <w:rPr>
          <w:rFonts w:eastAsiaTheme="minorHAnsi"/>
          <w:snapToGrid/>
          <w:szCs w:val="22"/>
          <w:lang w:val="lt-LT"/>
        </w:rPr>
        <w:t>il</w:t>
      </w:r>
      <w:r w:rsidR="00414F59" w:rsidRPr="001839C2">
        <w:rPr>
          <w:rFonts w:eastAsiaTheme="minorHAnsi"/>
          <w:snapToGrid/>
          <w:szCs w:val="22"/>
          <w:lang w:val="lt-LT"/>
        </w:rPr>
        <w:t>i</w:t>
      </w:r>
      <w:r w:rsidRPr="001839C2">
        <w:rPr>
          <w:rFonts w:eastAsiaTheme="minorHAnsi"/>
          <w:snapToGrid/>
          <w:szCs w:val="22"/>
          <w:lang w:val="lt-LT"/>
        </w:rPr>
        <w:t>od</w:t>
      </w:r>
      <w:r w:rsidR="00414F59" w:rsidRPr="001839C2">
        <w:rPr>
          <w:rFonts w:eastAsiaTheme="minorHAnsi"/>
          <w:snapToGrid/>
          <w:szCs w:val="22"/>
          <w:lang w:val="lt-LT"/>
        </w:rPr>
        <w:t>e</w:t>
      </w:r>
      <w:r w:rsidRPr="001839C2">
        <w:rPr>
          <w:rFonts w:eastAsiaTheme="minorHAnsi"/>
          <w:snapToGrid/>
          <w:szCs w:val="22"/>
          <w:lang w:val="lt-LT"/>
        </w:rPr>
        <w:t>r</w:t>
      </w:r>
      <w:r w:rsidR="00414F59" w:rsidRPr="001839C2">
        <w:rPr>
          <w:rFonts w:eastAsiaTheme="minorHAnsi"/>
          <w:snapToGrid/>
          <w:szCs w:val="22"/>
          <w:lang w:val="lt-LT"/>
        </w:rPr>
        <w:t>inio 200 </w:t>
      </w:r>
      <w:r w:rsidRPr="001839C2">
        <w:rPr>
          <w:rFonts w:eastAsiaTheme="minorHAnsi"/>
          <w:snapToGrid/>
          <w:szCs w:val="22"/>
          <w:lang w:val="lt-LT"/>
        </w:rPr>
        <w:t>m</w:t>
      </w:r>
      <w:r w:rsidR="00414F59" w:rsidRPr="001839C2">
        <w:rPr>
          <w:rFonts w:eastAsiaTheme="minorHAnsi"/>
          <w:snapToGrid/>
          <w:szCs w:val="22"/>
          <w:lang w:val="lt-LT"/>
        </w:rPr>
        <w:t>g/245 mg plėvele dengtą t</w:t>
      </w:r>
      <w:r w:rsidRPr="001839C2">
        <w:rPr>
          <w:rFonts w:eastAsiaTheme="minorHAnsi"/>
          <w:snapToGrid/>
          <w:szCs w:val="22"/>
          <w:lang w:val="lt-LT"/>
        </w:rPr>
        <w:t>a</w:t>
      </w:r>
      <w:r w:rsidR="00414F59" w:rsidRPr="001839C2">
        <w:rPr>
          <w:rFonts w:eastAsiaTheme="minorHAnsi"/>
          <w:snapToGrid/>
          <w:szCs w:val="22"/>
          <w:lang w:val="lt-LT"/>
        </w:rPr>
        <w:t>bletę</w:t>
      </w:r>
      <w:r w:rsidRPr="001839C2">
        <w:rPr>
          <w:rFonts w:eastAsiaTheme="minorHAnsi"/>
          <w:snapToGrid/>
          <w:szCs w:val="22"/>
          <w:lang w:val="lt-LT"/>
        </w:rPr>
        <w:t xml:space="preserve"> </w:t>
      </w:r>
      <w:r w:rsidRPr="001839C2">
        <w:rPr>
          <w:rFonts w:eastAsiaTheme="minorEastAsia"/>
          <w:snapToGrid/>
          <w:szCs w:val="22"/>
          <w:lang w:val="lt-LT" w:eastAsia="en-IN"/>
        </w:rPr>
        <w:t>(n</w:t>
      </w:r>
      <w:r w:rsidR="005D5CA5" w:rsidRPr="001839C2">
        <w:rPr>
          <w:rFonts w:eastAsiaTheme="minorEastAsia"/>
          <w:snapToGrid/>
          <w:szCs w:val="22"/>
          <w:lang w:val="lt-LT" w:eastAsia="en-IN"/>
        </w:rPr>
        <w:t> </w:t>
      </w:r>
      <w:r w:rsidRPr="001839C2">
        <w:rPr>
          <w:rFonts w:eastAsiaTheme="minorEastAsia"/>
          <w:snapToGrid/>
          <w:szCs w:val="22"/>
          <w:lang w:val="lt-LT" w:eastAsia="en-IN"/>
        </w:rPr>
        <w:t>=</w:t>
      </w:r>
      <w:r w:rsidR="005D5CA5" w:rsidRPr="001839C2">
        <w:rPr>
          <w:rFonts w:eastAsiaTheme="minorEastAsia"/>
          <w:snapToGrid/>
          <w:szCs w:val="22"/>
          <w:lang w:val="lt-LT" w:eastAsia="en-IN"/>
        </w:rPr>
        <w:t> </w:t>
      </w:r>
      <w:r w:rsidRPr="001839C2">
        <w:rPr>
          <w:rFonts w:eastAsiaTheme="minorEastAsia"/>
          <w:snapToGrid/>
          <w:szCs w:val="22"/>
          <w:lang w:val="lt-LT" w:eastAsia="en-IN"/>
        </w:rPr>
        <w:t>247), vidutinis klubų, stuburo, šlaunikaulio kaklelio ir šlaunikaulio gūbrio KMT pokytis nuo pradinio įvertinimo iki 24</w:t>
      </w:r>
      <w:r w:rsidR="005D5CA5" w:rsidRPr="001839C2">
        <w:rPr>
          <w:rFonts w:eastAsiaTheme="minorEastAsia"/>
          <w:snapToGrid/>
          <w:szCs w:val="22"/>
          <w:lang w:val="lt-LT" w:eastAsia="en-IN"/>
        </w:rPr>
        <w:t> </w:t>
      </w:r>
      <w:r w:rsidRPr="001839C2">
        <w:rPr>
          <w:rFonts w:eastAsiaTheme="minorEastAsia"/>
          <w:snapToGrid/>
          <w:szCs w:val="22"/>
          <w:lang w:val="lt-LT" w:eastAsia="en-IN"/>
        </w:rPr>
        <w:t xml:space="preserve">savaitės siekė nuo </w:t>
      </w:r>
      <w:r w:rsidR="005D5CA5" w:rsidRPr="001839C2">
        <w:rPr>
          <w:rFonts w:eastAsiaTheme="minorEastAsia"/>
          <w:snapToGrid/>
          <w:szCs w:val="22"/>
          <w:lang w:val="lt-LT" w:eastAsia="en-IN"/>
        </w:rPr>
        <w:noBreakHyphen/>
      </w:r>
      <w:r w:rsidRPr="001839C2">
        <w:rPr>
          <w:rFonts w:eastAsiaTheme="minorEastAsia"/>
          <w:snapToGrid/>
          <w:szCs w:val="22"/>
          <w:lang w:val="lt-LT" w:eastAsia="en-IN"/>
        </w:rPr>
        <w:t>0,4</w:t>
      </w:r>
      <w:r w:rsidR="005D5CA5" w:rsidRPr="001839C2">
        <w:rPr>
          <w:rFonts w:eastAsiaTheme="minorEastAsia"/>
          <w:snapToGrid/>
          <w:szCs w:val="22"/>
          <w:lang w:val="lt-LT" w:eastAsia="en-IN"/>
        </w:rPr>
        <w:t> </w:t>
      </w:r>
      <w:r w:rsidRPr="001839C2">
        <w:rPr>
          <w:rFonts w:eastAsiaTheme="minorEastAsia"/>
          <w:snapToGrid/>
          <w:szCs w:val="22"/>
          <w:lang w:val="lt-LT" w:eastAsia="en-IN"/>
        </w:rPr>
        <w:t xml:space="preserve">% iki </w:t>
      </w:r>
      <w:r w:rsidR="005D5CA5" w:rsidRPr="001839C2">
        <w:rPr>
          <w:rFonts w:eastAsiaTheme="minorEastAsia"/>
          <w:snapToGrid/>
          <w:szCs w:val="22"/>
          <w:lang w:val="lt-LT" w:eastAsia="en-IN"/>
        </w:rPr>
        <w:noBreakHyphen/>
      </w:r>
      <w:r w:rsidRPr="001839C2">
        <w:rPr>
          <w:rFonts w:eastAsiaTheme="minorEastAsia"/>
          <w:snapToGrid/>
          <w:szCs w:val="22"/>
          <w:lang w:val="lt-LT" w:eastAsia="en-IN"/>
        </w:rPr>
        <w:t>1,0</w:t>
      </w:r>
      <w:r w:rsidR="005D5CA5" w:rsidRPr="001839C2">
        <w:rPr>
          <w:rFonts w:eastAsiaTheme="minorEastAsia"/>
          <w:snapToGrid/>
          <w:szCs w:val="22"/>
          <w:lang w:val="lt-LT" w:eastAsia="en-IN"/>
        </w:rPr>
        <w:t> </w:t>
      </w:r>
      <w:r w:rsidRPr="001839C2">
        <w:rPr>
          <w:rFonts w:eastAsiaTheme="minorEastAsia"/>
          <w:snapToGrid/>
          <w:szCs w:val="22"/>
          <w:lang w:val="lt-LT" w:eastAsia="en-IN"/>
        </w:rPr>
        <w:t>%, palyginti su placebu (n</w:t>
      </w:r>
      <w:r w:rsidR="005D5CA5" w:rsidRPr="001839C2">
        <w:rPr>
          <w:rFonts w:eastAsiaTheme="minorEastAsia"/>
          <w:snapToGrid/>
          <w:szCs w:val="22"/>
          <w:lang w:val="lt-LT" w:eastAsia="en-IN"/>
        </w:rPr>
        <w:t> </w:t>
      </w:r>
      <w:r w:rsidRPr="001839C2">
        <w:rPr>
          <w:rFonts w:eastAsiaTheme="minorEastAsia"/>
          <w:snapToGrid/>
          <w:szCs w:val="22"/>
          <w:lang w:val="lt-LT" w:eastAsia="en-IN"/>
        </w:rPr>
        <w:t>=</w:t>
      </w:r>
      <w:r w:rsidR="005D5CA5" w:rsidRPr="001839C2">
        <w:rPr>
          <w:rFonts w:eastAsiaTheme="minorEastAsia"/>
          <w:snapToGrid/>
          <w:szCs w:val="22"/>
          <w:lang w:val="lt-LT" w:eastAsia="en-IN"/>
        </w:rPr>
        <w:t> </w:t>
      </w:r>
      <w:r w:rsidRPr="001839C2">
        <w:rPr>
          <w:rFonts w:eastAsiaTheme="minorEastAsia"/>
          <w:snapToGrid/>
          <w:szCs w:val="22"/>
          <w:lang w:val="lt-LT" w:eastAsia="en-IN"/>
        </w:rPr>
        <w:t>251).</w:t>
      </w:r>
    </w:p>
    <w:p w14:paraId="096D2CC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C5AF2F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Poveikis inkstams ir kaulams vaikų populiacijai</w:t>
      </w:r>
    </w:p>
    <w:p w14:paraId="08276ABD" w14:textId="3004A901"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Ilgalaikis tenofoviro dizoproksilio poveikis inkstams ir kaulams gydant ŽIV</w:t>
      </w:r>
      <w:r w:rsidR="005D5CA5" w:rsidRPr="001839C2">
        <w:rPr>
          <w:rFonts w:eastAsiaTheme="minorEastAsia"/>
          <w:snapToGrid/>
          <w:szCs w:val="22"/>
          <w:lang w:val="lt-LT" w:eastAsia="en-IN"/>
        </w:rPr>
        <w:noBreakHyphen/>
      </w:r>
      <w:r w:rsidRPr="001839C2">
        <w:rPr>
          <w:rFonts w:eastAsiaTheme="minorEastAsia"/>
          <w:snapToGrid/>
          <w:szCs w:val="22"/>
          <w:lang w:val="lt-LT" w:eastAsia="en-IN"/>
        </w:rPr>
        <w:t>1</w:t>
      </w:r>
      <w:r w:rsidR="005D5CA5" w:rsidRPr="001839C2">
        <w:rPr>
          <w:rFonts w:eastAsiaTheme="minorEastAsia"/>
          <w:snapToGrid/>
          <w:szCs w:val="22"/>
          <w:lang w:val="lt-LT" w:eastAsia="en-IN"/>
        </w:rPr>
        <w:t> </w:t>
      </w:r>
      <w:r w:rsidRPr="001839C2">
        <w:rPr>
          <w:rFonts w:eastAsiaTheme="minorEastAsia"/>
          <w:snapToGrid/>
          <w:szCs w:val="22"/>
          <w:lang w:val="lt-LT" w:eastAsia="en-IN"/>
        </w:rPr>
        <w:t xml:space="preserve">infekciją vaikų populiacijoje </w:t>
      </w:r>
      <w:r w:rsidR="00F11FC5" w:rsidRPr="001839C2">
        <w:rPr>
          <w:rFonts w:eastAsiaTheme="minorEastAsia"/>
          <w:snapToGrid/>
          <w:szCs w:val="22"/>
          <w:lang w:val="lt-LT" w:eastAsia="en-IN"/>
        </w:rPr>
        <w:t>ir</w:t>
      </w:r>
      <w:r w:rsidRPr="001839C2">
        <w:rPr>
          <w:rFonts w:eastAsiaTheme="minorEastAsia"/>
          <w:snapToGrid/>
          <w:szCs w:val="22"/>
          <w:lang w:val="lt-LT" w:eastAsia="en-IN"/>
        </w:rPr>
        <w:t xml:space="preserve"> ilgalaik</w:t>
      </w:r>
      <w:r w:rsidR="00F11FC5" w:rsidRPr="001839C2">
        <w:rPr>
          <w:rFonts w:eastAsiaTheme="minorEastAsia"/>
          <w:snapToGrid/>
          <w:szCs w:val="22"/>
          <w:lang w:val="lt-LT" w:eastAsia="en-IN"/>
        </w:rPr>
        <w:t>is</w:t>
      </w:r>
      <w:r w:rsidRPr="001839C2">
        <w:rPr>
          <w:rFonts w:eastAsiaTheme="minorEastAsia"/>
          <w:snapToGrid/>
          <w:szCs w:val="22"/>
          <w:lang w:val="lt-LT" w:eastAsia="en-IN"/>
        </w:rPr>
        <w:t xml:space="preserve"> emtricitabino</w:t>
      </w:r>
      <w:r w:rsidR="005D5CA5"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5D5CA5"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poveik</w:t>
      </w:r>
      <w:r w:rsidR="00F11FC5" w:rsidRPr="001839C2">
        <w:rPr>
          <w:rFonts w:eastAsiaTheme="minorEastAsia"/>
          <w:snapToGrid/>
          <w:szCs w:val="22"/>
          <w:lang w:val="lt-LT" w:eastAsia="en-IN"/>
        </w:rPr>
        <w:t>is</w:t>
      </w:r>
      <w:r w:rsidRPr="001839C2">
        <w:rPr>
          <w:rFonts w:eastAsiaTheme="minorEastAsia"/>
          <w:snapToGrid/>
          <w:szCs w:val="22"/>
          <w:lang w:val="lt-LT" w:eastAsia="en-IN"/>
        </w:rPr>
        <w:t xml:space="preserve"> inkstams ir kaulams, kai jo skiriama neinfekuotiems paaugliams priešekspozicinei profilaktikai, </w:t>
      </w:r>
      <w:r w:rsidR="00F11FC5" w:rsidRPr="001839C2">
        <w:rPr>
          <w:rFonts w:eastAsiaTheme="minorEastAsia"/>
          <w:snapToGrid/>
          <w:szCs w:val="22"/>
          <w:lang w:val="lt-LT" w:eastAsia="en-IN"/>
        </w:rPr>
        <w:t xml:space="preserve">kelia tam tikrų abejonių </w:t>
      </w:r>
      <w:r w:rsidRPr="001839C2">
        <w:rPr>
          <w:rFonts w:eastAsiaTheme="minorEastAsia"/>
          <w:snapToGrid/>
          <w:szCs w:val="22"/>
          <w:lang w:val="lt-LT" w:eastAsia="en-IN"/>
        </w:rPr>
        <w:t>(žr.</w:t>
      </w:r>
      <w:r w:rsidR="00A72F47" w:rsidRPr="001839C2">
        <w:rPr>
          <w:rFonts w:eastAsiaTheme="minorEastAsia"/>
          <w:snapToGrid/>
          <w:szCs w:val="22"/>
          <w:lang w:val="lt-LT" w:eastAsia="en-IN"/>
        </w:rPr>
        <w:t> </w:t>
      </w:r>
      <w:r w:rsidRPr="001839C2">
        <w:rPr>
          <w:rFonts w:eastAsiaTheme="minorEastAsia"/>
          <w:snapToGrid/>
          <w:szCs w:val="22"/>
          <w:lang w:val="lt-LT" w:eastAsia="en-IN"/>
        </w:rPr>
        <w:t>5.1</w:t>
      </w:r>
      <w:r w:rsidR="00A72F47" w:rsidRPr="001839C2">
        <w:rPr>
          <w:rFonts w:eastAsiaTheme="minorEastAsia"/>
          <w:snapToGrid/>
          <w:szCs w:val="22"/>
          <w:lang w:val="lt-LT" w:eastAsia="en-IN"/>
        </w:rPr>
        <w:t> </w:t>
      </w:r>
      <w:r w:rsidRPr="001839C2">
        <w:rPr>
          <w:rFonts w:eastAsiaTheme="minorEastAsia"/>
          <w:snapToGrid/>
          <w:szCs w:val="22"/>
          <w:lang w:val="lt-LT" w:eastAsia="en-IN"/>
        </w:rPr>
        <w:t>skyrių). Be to, negalima visiškai užtikrinti, kad nutraukus tenofoviro dizoproksilio vartojimą ŽIV</w:t>
      </w:r>
      <w:r w:rsidR="00A72F47" w:rsidRPr="001839C2">
        <w:rPr>
          <w:rFonts w:eastAsiaTheme="minorEastAsia"/>
          <w:snapToGrid/>
          <w:szCs w:val="22"/>
          <w:lang w:val="lt-LT" w:eastAsia="en-IN"/>
        </w:rPr>
        <w:noBreakHyphen/>
      </w:r>
      <w:r w:rsidRPr="001839C2">
        <w:rPr>
          <w:rFonts w:eastAsiaTheme="minorEastAsia"/>
          <w:snapToGrid/>
          <w:szCs w:val="22"/>
          <w:lang w:val="lt-LT" w:eastAsia="en-IN"/>
        </w:rPr>
        <w:t>1</w:t>
      </w:r>
      <w:r w:rsidR="00A72F47" w:rsidRPr="001839C2">
        <w:rPr>
          <w:rFonts w:eastAsiaTheme="minorEastAsia"/>
          <w:snapToGrid/>
          <w:szCs w:val="22"/>
          <w:lang w:val="lt-LT" w:eastAsia="en-IN"/>
        </w:rPr>
        <w:t> </w:t>
      </w:r>
      <w:r w:rsidRPr="001839C2">
        <w:rPr>
          <w:rFonts w:eastAsiaTheme="minorEastAsia"/>
          <w:snapToGrid/>
          <w:szCs w:val="22"/>
          <w:lang w:val="lt-LT" w:eastAsia="en-IN"/>
        </w:rPr>
        <w:t>gydymui arba nutraukus emtricitabino</w:t>
      </w:r>
      <w:r w:rsidR="00A72F4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A72F47"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vartojimą priešekspozicinei profilaktikai toksinis poveikis inkstams išnyks.</w:t>
      </w:r>
    </w:p>
    <w:p w14:paraId="6B367DF1"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48A89FA"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Siekiant įvertinti emtricitabino</w:t>
      </w:r>
      <w:r w:rsidR="00A72F4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A72F47"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vartojimo ŽIV</w:t>
      </w:r>
      <w:r w:rsidR="00A72F47" w:rsidRPr="001839C2">
        <w:rPr>
          <w:rFonts w:eastAsiaTheme="minorEastAsia"/>
          <w:snapToGrid/>
          <w:szCs w:val="22"/>
          <w:lang w:val="lt-LT" w:eastAsia="en-IN"/>
        </w:rPr>
        <w:noBreakHyphen/>
      </w:r>
      <w:r w:rsidRPr="001839C2">
        <w:rPr>
          <w:rFonts w:eastAsiaTheme="minorEastAsia"/>
          <w:snapToGrid/>
          <w:szCs w:val="22"/>
          <w:lang w:val="lt-LT" w:eastAsia="en-IN"/>
        </w:rPr>
        <w:t>1</w:t>
      </w:r>
      <w:r w:rsidR="00A72F47" w:rsidRPr="001839C2">
        <w:rPr>
          <w:rFonts w:eastAsiaTheme="minorEastAsia"/>
          <w:snapToGrid/>
          <w:szCs w:val="22"/>
          <w:lang w:val="lt-LT" w:eastAsia="en-IN"/>
        </w:rPr>
        <w:t> </w:t>
      </w:r>
      <w:r w:rsidRPr="001839C2">
        <w:rPr>
          <w:rFonts w:eastAsiaTheme="minorEastAsia"/>
          <w:snapToGrid/>
          <w:szCs w:val="22"/>
          <w:lang w:val="lt-LT" w:eastAsia="en-IN"/>
        </w:rPr>
        <w:t>infekcijos gydymui arba priešekspozicinei profilaktikai naudos ir rizikos santykį, par</w:t>
      </w:r>
      <w:r w:rsidR="00BB1F23" w:rsidRPr="001839C2">
        <w:rPr>
          <w:rFonts w:eastAsiaTheme="minorEastAsia"/>
          <w:snapToGrid/>
          <w:szCs w:val="22"/>
          <w:lang w:val="lt-LT" w:eastAsia="en-IN"/>
        </w:rPr>
        <w:t>e</w:t>
      </w:r>
      <w:r w:rsidRPr="001839C2">
        <w:rPr>
          <w:rFonts w:eastAsiaTheme="minorEastAsia"/>
          <w:snapToGrid/>
          <w:szCs w:val="22"/>
          <w:lang w:val="lt-LT" w:eastAsia="en-IN"/>
        </w:rPr>
        <w:t>nk</w:t>
      </w:r>
      <w:r w:rsidR="00BB1F23" w:rsidRPr="001839C2">
        <w:rPr>
          <w:rFonts w:eastAsiaTheme="minorEastAsia"/>
          <w:snapToGrid/>
          <w:szCs w:val="22"/>
          <w:lang w:val="lt-LT" w:eastAsia="en-IN"/>
        </w:rPr>
        <w:t>an</w:t>
      </w:r>
      <w:r w:rsidRPr="001839C2">
        <w:rPr>
          <w:rFonts w:eastAsiaTheme="minorEastAsia"/>
          <w:snapToGrid/>
          <w:szCs w:val="22"/>
          <w:lang w:val="lt-LT" w:eastAsia="en-IN"/>
        </w:rPr>
        <w:t>t tinkamą stebėjimą gydymo metu (įskaitant sprendimą nutraukti gydymą) ir svarstant papildomo gydymo poreikį konkrečiu atveju, rekomenduojama taikyti daugiadalykį metodą.</w:t>
      </w:r>
    </w:p>
    <w:p w14:paraId="71DC065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0ED6073"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Vartojant emtricitabino</w:t>
      </w:r>
      <w:r w:rsidR="00A72F4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72F47" w:rsidRPr="001839C2">
        <w:rPr>
          <w:rFonts w:eastAsiaTheme="minorEastAsia"/>
          <w:snapToGrid/>
          <w:szCs w:val="22"/>
          <w:lang w:val="lt-LT" w:eastAsia="en-IN"/>
        </w:rPr>
        <w:t>io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priešekspozicinei profilaktikai, kiekvien</w:t>
      </w:r>
      <w:r w:rsidR="00A72F47" w:rsidRPr="001839C2">
        <w:rPr>
          <w:rFonts w:eastAsiaTheme="minorEastAsia"/>
          <w:snapToGrid/>
          <w:szCs w:val="22"/>
          <w:lang w:val="lt-LT" w:eastAsia="en-IN"/>
        </w:rPr>
        <w:t>o</w:t>
      </w:r>
      <w:r w:rsidRPr="001839C2">
        <w:rPr>
          <w:rFonts w:eastAsiaTheme="minorEastAsia"/>
          <w:snapToGrid/>
          <w:szCs w:val="22"/>
          <w:lang w:val="lt-LT" w:eastAsia="en-IN"/>
        </w:rPr>
        <w:t xml:space="preserve"> vizit</w:t>
      </w:r>
      <w:r w:rsidR="00A72F47" w:rsidRPr="001839C2">
        <w:rPr>
          <w:rFonts w:eastAsiaTheme="minorEastAsia"/>
          <w:snapToGrid/>
          <w:szCs w:val="22"/>
          <w:lang w:val="lt-LT" w:eastAsia="en-IN"/>
        </w:rPr>
        <w:t>o metu</w:t>
      </w:r>
      <w:r w:rsidRPr="001839C2">
        <w:rPr>
          <w:rFonts w:eastAsiaTheme="minorEastAsia"/>
          <w:snapToGrid/>
          <w:szCs w:val="22"/>
          <w:lang w:val="lt-LT" w:eastAsia="en-IN"/>
        </w:rPr>
        <w:t xml:space="preserve"> reikia iš naujo įvertinti, ar asmenims vis dar yra didelė ŽIV</w:t>
      </w:r>
      <w:r w:rsidR="00A72F47" w:rsidRPr="001839C2">
        <w:rPr>
          <w:rFonts w:eastAsiaTheme="minorEastAsia"/>
          <w:snapToGrid/>
          <w:szCs w:val="22"/>
          <w:lang w:val="lt-LT" w:eastAsia="en-IN"/>
        </w:rPr>
        <w:noBreakHyphen/>
      </w:r>
      <w:r w:rsidRPr="001839C2">
        <w:rPr>
          <w:rFonts w:eastAsiaTheme="minorEastAsia"/>
          <w:snapToGrid/>
          <w:szCs w:val="22"/>
          <w:lang w:val="lt-LT" w:eastAsia="en-IN"/>
        </w:rPr>
        <w:t>1</w:t>
      </w:r>
      <w:r w:rsidR="00A72F47" w:rsidRPr="001839C2">
        <w:rPr>
          <w:rFonts w:eastAsiaTheme="minorEastAsia"/>
          <w:snapToGrid/>
          <w:szCs w:val="22"/>
          <w:lang w:val="lt-LT" w:eastAsia="en-IN"/>
        </w:rPr>
        <w:t> </w:t>
      </w:r>
      <w:r w:rsidRPr="001839C2">
        <w:rPr>
          <w:rFonts w:eastAsiaTheme="minorEastAsia"/>
          <w:snapToGrid/>
          <w:szCs w:val="22"/>
          <w:lang w:val="lt-LT" w:eastAsia="en-IN"/>
        </w:rPr>
        <w:t>infekcijos rizika. Būtina palyginti ŽIV</w:t>
      </w:r>
      <w:r w:rsidR="00A72F47" w:rsidRPr="001839C2">
        <w:rPr>
          <w:rFonts w:eastAsiaTheme="minorEastAsia"/>
          <w:snapToGrid/>
          <w:szCs w:val="22"/>
          <w:lang w:val="lt-LT" w:eastAsia="en-IN"/>
        </w:rPr>
        <w:noBreakHyphen/>
      </w:r>
      <w:r w:rsidRPr="001839C2">
        <w:rPr>
          <w:rFonts w:eastAsiaTheme="minorEastAsia"/>
          <w:snapToGrid/>
          <w:szCs w:val="22"/>
          <w:lang w:val="lt-LT" w:eastAsia="en-IN"/>
        </w:rPr>
        <w:t>1 infekcijos riziką ir galimą poveikį inkstams bei kaulams vartojant emtricitabino</w:t>
      </w:r>
      <w:r w:rsidR="00A72F47" w:rsidRPr="001839C2">
        <w:rPr>
          <w:rFonts w:eastAsiaTheme="minorEastAsia"/>
          <w:snapToGrid/>
          <w:szCs w:val="22"/>
          <w:lang w:val="lt-LT" w:eastAsia="en-IN"/>
        </w:rPr>
        <w:t xml:space="preserve"> ir </w:t>
      </w:r>
      <w:r w:rsidRPr="001839C2">
        <w:rPr>
          <w:rFonts w:eastAsiaTheme="minorEastAsia"/>
          <w:snapToGrid/>
          <w:szCs w:val="22"/>
          <w:lang w:val="lt-LT" w:eastAsia="en-IN"/>
        </w:rPr>
        <w:t>tenofovir</w:t>
      </w:r>
      <w:r w:rsidR="00A72F47" w:rsidRPr="001839C2">
        <w:rPr>
          <w:rFonts w:eastAsiaTheme="minorEastAsia"/>
          <w:snapToGrid/>
          <w:szCs w:val="22"/>
          <w:lang w:val="lt-LT" w:eastAsia="en-IN"/>
        </w:rPr>
        <w:t>o</w:t>
      </w:r>
      <w:r w:rsidRPr="001839C2">
        <w:rPr>
          <w:rFonts w:eastAsiaTheme="minorEastAsia"/>
          <w:snapToGrid/>
          <w:szCs w:val="22"/>
          <w:lang w:val="lt-LT" w:eastAsia="en-IN"/>
        </w:rPr>
        <w:t xml:space="preserve"> dizoproksil</w:t>
      </w:r>
      <w:r w:rsidR="00A72F47" w:rsidRPr="001839C2">
        <w:rPr>
          <w:rFonts w:eastAsiaTheme="minorEastAsia"/>
          <w:snapToGrid/>
          <w:szCs w:val="22"/>
          <w:lang w:val="lt-LT" w:eastAsia="en-IN"/>
        </w:rPr>
        <w:t>io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ilgą laiką.</w:t>
      </w:r>
    </w:p>
    <w:p w14:paraId="4D99F20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5E6864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r w:rsidRPr="001839C2">
        <w:rPr>
          <w:rFonts w:eastAsiaTheme="minorEastAsia"/>
          <w:i/>
          <w:iCs/>
          <w:snapToGrid/>
          <w:szCs w:val="22"/>
          <w:u w:val="single"/>
          <w:lang w:val="lt-LT" w:eastAsia="en-IN"/>
        </w:rPr>
        <w:t>Poveikis inkstams</w:t>
      </w:r>
    </w:p>
    <w:p w14:paraId="17BA312E"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Gauta pranešimų apie klinikiniame tyrime</w:t>
      </w:r>
      <w:r w:rsidR="00BB1F23" w:rsidRPr="001839C2">
        <w:rPr>
          <w:rFonts w:eastAsiaTheme="minorEastAsia"/>
          <w:snapToGrid/>
          <w:szCs w:val="22"/>
          <w:lang w:val="lt-LT" w:eastAsia="en-IN"/>
        </w:rPr>
        <w:t> </w:t>
      </w:r>
      <w:r w:rsidRPr="001839C2">
        <w:rPr>
          <w:rFonts w:eastAsiaTheme="minorEastAsia"/>
          <w:snapToGrid/>
          <w:szCs w:val="22"/>
          <w:lang w:val="lt-LT" w:eastAsia="en-IN"/>
        </w:rPr>
        <w:t>GS</w:t>
      </w:r>
      <w:r w:rsidR="00007DA5" w:rsidRPr="001839C2">
        <w:rPr>
          <w:rFonts w:eastAsiaTheme="minorEastAsia"/>
          <w:snapToGrid/>
          <w:szCs w:val="22"/>
          <w:lang w:val="lt-LT" w:eastAsia="en-IN"/>
        </w:rPr>
        <w:noBreakHyphen/>
      </w:r>
      <w:r w:rsidRPr="001839C2">
        <w:rPr>
          <w:rFonts w:eastAsiaTheme="minorEastAsia"/>
          <w:snapToGrid/>
          <w:szCs w:val="22"/>
          <w:lang w:val="lt-LT" w:eastAsia="en-IN"/>
        </w:rPr>
        <w:t>US</w:t>
      </w:r>
      <w:r w:rsidR="00007DA5" w:rsidRPr="001839C2">
        <w:rPr>
          <w:rFonts w:eastAsiaTheme="minorEastAsia"/>
          <w:snapToGrid/>
          <w:szCs w:val="22"/>
          <w:lang w:val="lt-LT" w:eastAsia="en-IN"/>
        </w:rPr>
        <w:noBreakHyphen/>
      </w:r>
      <w:r w:rsidRPr="001839C2">
        <w:rPr>
          <w:rFonts w:eastAsiaTheme="minorEastAsia"/>
          <w:snapToGrid/>
          <w:szCs w:val="22"/>
          <w:lang w:val="lt-LT" w:eastAsia="en-IN"/>
        </w:rPr>
        <w:t>104</w:t>
      </w:r>
      <w:r w:rsidR="00007DA5" w:rsidRPr="001839C2">
        <w:rPr>
          <w:rFonts w:eastAsiaTheme="minorEastAsia"/>
          <w:snapToGrid/>
          <w:szCs w:val="22"/>
          <w:lang w:val="lt-LT" w:eastAsia="en-IN"/>
        </w:rPr>
        <w:noBreakHyphen/>
      </w:r>
      <w:r w:rsidRPr="001839C2">
        <w:rPr>
          <w:rFonts w:eastAsiaTheme="minorEastAsia"/>
          <w:snapToGrid/>
          <w:szCs w:val="22"/>
          <w:lang w:val="lt-LT" w:eastAsia="en-IN"/>
        </w:rPr>
        <w:t>0352 ŽIV</w:t>
      </w:r>
      <w:r w:rsidR="00007DA5" w:rsidRPr="001839C2">
        <w:rPr>
          <w:rFonts w:eastAsiaTheme="minorEastAsia"/>
          <w:snapToGrid/>
          <w:szCs w:val="22"/>
          <w:lang w:val="lt-LT" w:eastAsia="en-IN"/>
        </w:rPr>
        <w:noBreakHyphen/>
      </w:r>
      <w:r w:rsidRPr="001839C2">
        <w:rPr>
          <w:rFonts w:eastAsiaTheme="minorEastAsia"/>
          <w:snapToGrid/>
          <w:szCs w:val="22"/>
          <w:lang w:val="lt-LT" w:eastAsia="en-IN"/>
        </w:rPr>
        <w:t>1</w:t>
      </w:r>
      <w:r w:rsidR="00BB1F23" w:rsidRPr="001839C2">
        <w:rPr>
          <w:rFonts w:eastAsiaTheme="minorEastAsia"/>
          <w:snapToGrid/>
          <w:szCs w:val="22"/>
          <w:lang w:val="lt-LT" w:eastAsia="en-IN"/>
        </w:rPr>
        <w:t> </w:t>
      </w:r>
      <w:r w:rsidRPr="001839C2">
        <w:rPr>
          <w:rFonts w:eastAsiaTheme="minorEastAsia"/>
          <w:snapToGrid/>
          <w:szCs w:val="22"/>
          <w:lang w:val="lt-LT" w:eastAsia="en-IN"/>
        </w:rPr>
        <w:t>infekuotiems vaikams nuo 2 iki</w:t>
      </w:r>
      <w:r w:rsidR="00007DA5" w:rsidRPr="001839C2">
        <w:rPr>
          <w:rFonts w:eastAsiaTheme="minorEastAsia"/>
          <w:snapToGrid/>
          <w:szCs w:val="22"/>
          <w:lang w:val="lt-LT" w:eastAsia="en-IN"/>
        </w:rPr>
        <w:t xml:space="preserve"> </w:t>
      </w:r>
      <w:r w:rsidRPr="001839C2">
        <w:rPr>
          <w:rFonts w:eastAsiaTheme="minorEastAsia"/>
          <w:snapToGrid/>
          <w:szCs w:val="22"/>
          <w:lang w:val="lt-LT" w:eastAsia="en-IN"/>
        </w:rPr>
        <w:t>12</w:t>
      </w:r>
      <w:r w:rsidR="00007DA5" w:rsidRPr="001839C2">
        <w:rPr>
          <w:rFonts w:eastAsiaTheme="minorEastAsia"/>
          <w:snapToGrid/>
          <w:szCs w:val="22"/>
          <w:lang w:val="lt-LT" w:eastAsia="en-IN"/>
        </w:rPr>
        <w:t> </w:t>
      </w:r>
      <w:r w:rsidRPr="001839C2">
        <w:rPr>
          <w:rFonts w:eastAsiaTheme="minorEastAsia"/>
          <w:snapToGrid/>
          <w:szCs w:val="22"/>
          <w:lang w:val="lt-LT" w:eastAsia="en-IN"/>
        </w:rPr>
        <w:t>metų pasireiškusias nepageidaujamas inkstų reakcijas, susijusias su proksimaline inkstų tubulopatija (žr.</w:t>
      </w:r>
      <w:r w:rsidR="00007DA5" w:rsidRPr="001839C2">
        <w:rPr>
          <w:rFonts w:eastAsiaTheme="minorEastAsia"/>
          <w:snapToGrid/>
          <w:szCs w:val="22"/>
          <w:lang w:val="lt-LT" w:eastAsia="en-IN"/>
        </w:rPr>
        <w:t> </w:t>
      </w:r>
      <w:r w:rsidRPr="001839C2">
        <w:rPr>
          <w:rFonts w:eastAsiaTheme="minorEastAsia"/>
          <w:snapToGrid/>
          <w:szCs w:val="22"/>
          <w:lang w:val="lt-LT" w:eastAsia="en-IN"/>
        </w:rPr>
        <w:t>4.8 ir 5.1</w:t>
      </w:r>
      <w:r w:rsidR="00007DA5" w:rsidRPr="001839C2">
        <w:rPr>
          <w:rFonts w:eastAsiaTheme="minorEastAsia"/>
          <w:snapToGrid/>
          <w:szCs w:val="22"/>
          <w:lang w:val="lt-LT" w:eastAsia="en-IN"/>
        </w:rPr>
        <w:t> </w:t>
      </w:r>
      <w:r w:rsidRPr="001839C2">
        <w:rPr>
          <w:rFonts w:eastAsiaTheme="minorEastAsia"/>
          <w:snapToGrid/>
          <w:szCs w:val="22"/>
          <w:lang w:val="lt-LT" w:eastAsia="en-IN"/>
        </w:rPr>
        <w:t>skyrius).</w:t>
      </w:r>
    </w:p>
    <w:p w14:paraId="5CFD6DF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17004F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Inkstų funkcijos stebėjimas</w:t>
      </w:r>
    </w:p>
    <w:p w14:paraId="417BD4C5"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Prieš pradedant vartoti emtricitabino</w:t>
      </w:r>
      <w:r w:rsidR="00007DA5"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007DA5" w:rsidRPr="001839C2">
        <w:rPr>
          <w:rFonts w:eastAsiaTheme="minorEastAsia"/>
          <w:snapToGrid/>
          <w:szCs w:val="22"/>
          <w:lang w:val="lt-LT" w:eastAsia="en-IN"/>
        </w:rPr>
        <w:t>io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ŽIV</w:t>
      </w:r>
      <w:r w:rsidR="00007DA5" w:rsidRPr="001839C2">
        <w:rPr>
          <w:rFonts w:eastAsiaTheme="minorEastAsia"/>
          <w:snapToGrid/>
          <w:szCs w:val="22"/>
          <w:lang w:val="lt-LT" w:eastAsia="en-IN"/>
        </w:rPr>
        <w:noBreakHyphen/>
      </w:r>
      <w:r w:rsidRPr="001839C2">
        <w:rPr>
          <w:rFonts w:eastAsiaTheme="minorEastAsia"/>
          <w:snapToGrid/>
          <w:szCs w:val="22"/>
          <w:lang w:val="lt-LT" w:eastAsia="en-IN"/>
        </w:rPr>
        <w:t>1</w:t>
      </w:r>
      <w:r w:rsidR="00007DA5" w:rsidRPr="001839C2">
        <w:rPr>
          <w:rFonts w:eastAsiaTheme="minorEastAsia"/>
          <w:snapToGrid/>
          <w:szCs w:val="22"/>
          <w:lang w:val="lt-LT" w:eastAsia="en-IN"/>
        </w:rPr>
        <w:t> </w:t>
      </w:r>
      <w:r w:rsidRPr="001839C2">
        <w:rPr>
          <w:rFonts w:eastAsiaTheme="minorEastAsia"/>
          <w:snapToGrid/>
          <w:szCs w:val="22"/>
          <w:lang w:val="lt-LT" w:eastAsia="en-IN"/>
        </w:rPr>
        <w:t>gydymui arba priešekspozicinei profilaktikai reikia įvertinti inkstų funkciją (kreatinino klirensą ir fosfatų k</w:t>
      </w:r>
      <w:r w:rsidR="00E16E64" w:rsidRPr="001839C2">
        <w:rPr>
          <w:rFonts w:eastAsiaTheme="minorEastAsia"/>
          <w:snapToGrid/>
          <w:szCs w:val="22"/>
          <w:lang w:val="lt-LT" w:eastAsia="en-IN"/>
        </w:rPr>
        <w:t>oncentrac</w:t>
      </w:r>
      <w:r w:rsidRPr="001839C2">
        <w:rPr>
          <w:rFonts w:eastAsiaTheme="minorEastAsia"/>
          <w:snapToGrid/>
          <w:szCs w:val="22"/>
          <w:lang w:val="lt-LT" w:eastAsia="en-IN"/>
        </w:rPr>
        <w:t>i</w:t>
      </w:r>
      <w:r w:rsidR="00E16E64" w:rsidRPr="001839C2">
        <w:rPr>
          <w:rFonts w:eastAsiaTheme="minorEastAsia"/>
          <w:snapToGrid/>
          <w:szCs w:val="22"/>
          <w:lang w:val="lt-LT" w:eastAsia="en-IN"/>
        </w:rPr>
        <w:t>ją</w:t>
      </w:r>
      <w:r w:rsidRPr="001839C2">
        <w:rPr>
          <w:rFonts w:eastAsiaTheme="minorEastAsia"/>
          <w:snapToGrid/>
          <w:szCs w:val="22"/>
          <w:lang w:val="lt-LT" w:eastAsia="en-IN"/>
        </w:rPr>
        <w:t xml:space="preserve"> serume) ir ją stebėti vaist</w:t>
      </w:r>
      <w:r w:rsidR="00E16E64" w:rsidRPr="001839C2">
        <w:rPr>
          <w:rFonts w:eastAsiaTheme="minorEastAsia"/>
          <w:snapToGrid/>
          <w:szCs w:val="22"/>
          <w:lang w:val="lt-LT" w:eastAsia="en-IN"/>
        </w:rPr>
        <w:t>ini</w:t>
      </w:r>
      <w:r w:rsidRPr="001839C2">
        <w:rPr>
          <w:rFonts w:eastAsiaTheme="minorEastAsia"/>
          <w:snapToGrid/>
          <w:szCs w:val="22"/>
          <w:lang w:val="lt-LT" w:eastAsia="en-IN"/>
        </w:rPr>
        <w:t>o</w:t>
      </w:r>
      <w:r w:rsidR="00E16E64"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vartojimo metu, kaip ir suaugusiesiems (žr.</w:t>
      </w:r>
      <w:r w:rsidR="00E16E64" w:rsidRPr="001839C2">
        <w:rPr>
          <w:rFonts w:eastAsiaTheme="minorEastAsia"/>
          <w:snapToGrid/>
          <w:szCs w:val="22"/>
          <w:lang w:val="lt-LT" w:eastAsia="en-IN"/>
        </w:rPr>
        <w:t> </w:t>
      </w:r>
      <w:r w:rsidRPr="001839C2">
        <w:rPr>
          <w:rFonts w:eastAsiaTheme="minorEastAsia"/>
          <w:snapToGrid/>
          <w:szCs w:val="22"/>
          <w:lang w:val="lt-LT" w:eastAsia="en-IN"/>
        </w:rPr>
        <w:t>pirmiau).</w:t>
      </w:r>
    </w:p>
    <w:p w14:paraId="469E5D4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46CB48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Inkstų funkcijos sutrikimų gydymas</w:t>
      </w:r>
    </w:p>
    <w:p w14:paraId="195642B6"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Patvirtinus, kad fosfatų k</w:t>
      </w:r>
      <w:r w:rsidR="00E16E64" w:rsidRPr="001839C2">
        <w:rPr>
          <w:rFonts w:eastAsiaTheme="minorEastAsia"/>
          <w:snapToGrid/>
          <w:szCs w:val="22"/>
          <w:lang w:val="lt-LT" w:eastAsia="en-IN"/>
        </w:rPr>
        <w:t>oncentrac</w:t>
      </w:r>
      <w:r w:rsidRPr="001839C2">
        <w:rPr>
          <w:rFonts w:eastAsiaTheme="minorEastAsia"/>
          <w:snapToGrid/>
          <w:szCs w:val="22"/>
          <w:lang w:val="lt-LT" w:eastAsia="en-IN"/>
        </w:rPr>
        <w:t>i</w:t>
      </w:r>
      <w:r w:rsidR="00E16E64" w:rsidRPr="001839C2">
        <w:rPr>
          <w:rFonts w:eastAsiaTheme="minorEastAsia"/>
          <w:snapToGrid/>
          <w:szCs w:val="22"/>
          <w:lang w:val="lt-LT" w:eastAsia="en-IN"/>
        </w:rPr>
        <w:t>ja</w:t>
      </w:r>
      <w:r w:rsidRPr="001839C2">
        <w:rPr>
          <w:rFonts w:eastAsiaTheme="minorEastAsia"/>
          <w:snapToGrid/>
          <w:szCs w:val="22"/>
          <w:lang w:val="lt-LT" w:eastAsia="en-IN"/>
        </w:rPr>
        <w:t xml:space="preserve"> serume yra &lt;</w:t>
      </w:r>
      <w:r w:rsidR="00E16E64" w:rsidRPr="001839C2">
        <w:rPr>
          <w:rFonts w:eastAsiaTheme="minorEastAsia"/>
          <w:snapToGrid/>
          <w:szCs w:val="22"/>
          <w:lang w:val="lt-LT" w:eastAsia="en-IN"/>
        </w:rPr>
        <w:t> </w:t>
      </w:r>
      <w:r w:rsidRPr="001839C2">
        <w:rPr>
          <w:rFonts w:eastAsiaTheme="minorEastAsia"/>
          <w:snapToGrid/>
          <w:szCs w:val="22"/>
          <w:lang w:val="lt-LT" w:eastAsia="en-IN"/>
        </w:rPr>
        <w:t>3,0</w:t>
      </w:r>
      <w:r w:rsidR="00E16E64" w:rsidRPr="001839C2">
        <w:rPr>
          <w:rFonts w:eastAsiaTheme="minorEastAsia"/>
          <w:snapToGrid/>
          <w:szCs w:val="22"/>
          <w:lang w:val="lt-LT" w:eastAsia="en-IN"/>
        </w:rPr>
        <w:t> </w:t>
      </w:r>
      <w:r w:rsidRPr="001839C2">
        <w:rPr>
          <w:rFonts w:eastAsiaTheme="minorEastAsia"/>
          <w:snapToGrid/>
          <w:szCs w:val="22"/>
          <w:lang w:val="lt-LT" w:eastAsia="en-IN"/>
        </w:rPr>
        <w:t>mg/dl (0,96</w:t>
      </w:r>
      <w:r w:rsidR="00E16E64" w:rsidRPr="001839C2">
        <w:rPr>
          <w:rFonts w:eastAsiaTheme="minorEastAsia"/>
          <w:snapToGrid/>
          <w:szCs w:val="22"/>
          <w:lang w:val="lt-LT" w:eastAsia="en-IN"/>
        </w:rPr>
        <w:t> </w:t>
      </w:r>
      <w:r w:rsidRPr="001839C2">
        <w:rPr>
          <w:rFonts w:eastAsiaTheme="minorEastAsia"/>
          <w:snapToGrid/>
          <w:szCs w:val="22"/>
          <w:lang w:val="lt-LT" w:eastAsia="en-IN"/>
        </w:rPr>
        <w:t>mmol/l) bet kuriam pacientui vaikui, gaunančiam emtricitabino</w:t>
      </w:r>
      <w:r w:rsidR="00E16E64"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16E64" w:rsidRPr="001839C2">
        <w:rPr>
          <w:rFonts w:eastAsiaTheme="minorEastAsia"/>
          <w:snapToGrid/>
          <w:szCs w:val="22"/>
          <w:lang w:val="lt-LT" w:eastAsia="en-IN"/>
        </w:rPr>
        <w:t xml:space="preserve"> derinio</w:t>
      </w:r>
      <w:r w:rsidRPr="001839C2">
        <w:rPr>
          <w:rFonts w:eastAsiaTheme="minorEastAsia"/>
          <w:snapToGrid/>
          <w:szCs w:val="22"/>
          <w:lang w:val="lt-LT" w:eastAsia="en-IN"/>
        </w:rPr>
        <w:t>, vienos</w:t>
      </w:r>
      <w:r w:rsidR="00E16E64" w:rsidRPr="001839C2">
        <w:rPr>
          <w:rFonts w:eastAsiaTheme="minorEastAsia"/>
          <w:snapToGrid/>
          <w:szCs w:val="22"/>
          <w:lang w:val="lt-LT" w:eastAsia="en-IN"/>
        </w:rPr>
        <w:t> </w:t>
      </w:r>
      <w:r w:rsidRPr="001839C2">
        <w:rPr>
          <w:rFonts w:eastAsiaTheme="minorEastAsia"/>
          <w:snapToGrid/>
          <w:szCs w:val="22"/>
          <w:lang w:val="lt-LT" w:eastAsia="en-IN"/>
        </w:rPr>
        <w:t>savaitės laikotarpyje reikia pakartotinai ištirti inkstų funkciją, įskaitant ir gliukozės koncentracijos kraujyje, kalio koncentracijos kraujyje ir gliukozės koncentracijos šlapime tyrimus (žr.</w:t>
      </w:r>
      <w:r w:rsidR="00E16E64" w:rsidRPr="001839C2">
        <w:rPr>
          <w:rFonts w:eastAsiaTheme="minorEastAsia"/>
          <w:snapToGrid/>
          <w:szCs w:val="22"/>
          <w:lang w:val="lt-LT" w:eastAsia="en-IN"/>
        </w:rPr>
        <w:t> </w:t>
      </w:r>
      <w:r w:rsidRPr="001839C2">
        <w:rPr>
          <w:rFonts w:eastAsiaTheme="minorEastAsia"/>
          <w:snapToGrid/>
          <w:szCs w:val="22"/>
          <w:lang w:val="lt-LT" w:eastAsia="en-IN"/>
        </w:rPr>
        <w:t>4.8</w:t>
      </w:r>
      <w:r w:rsidR="00E16E64" w:rsidRPr="001839C2">
        <w:rPr>
          <w:rFonts w:eastAsiaTheme="minorEastAsia"/>
          <w:snapToGrid/>
          <w:szCs w:val="22"/>
          <w:lang w:val="lt-LT" w:eastAsia="en-IN"/>
        </w:rPr>
        <w:t> </w:t>
      </w:r>
      <w:r w:rsidRPr="001839C2">
        <w:rPr>
          <w:rFonts w:eastAsiaTheme="minorEastAsia"/>
          <w:snapToGrid/>
          <w:szCs w:val="22"/>
          <w:lang w:val="lt-LT" w:eastAsia="en-IN"/>
        </w:rPr>
        <w:t>skyrių apie proksimalinę tubulopatiją). Jeigu įtariami arba aptinkami inkstų pokyčiai, reikia kreiptis į nefrologą dėl galimo emtricitabino</w:t>
      </w:r>
      <w:r w:rsidR="00E16E64"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16E64"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vartojimo nutraukimo. Nuspręsti dėl poreikio nutraukti emtricitabino</w:t>
      </w:r>
      <w:r w:rsidR="00E16E64"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16E64"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vartojimą taip pat reikia esant progresuojančiam inkstų funkcijos silpnėjimui, kai nenustatyta jokia kita priežastis.</w:t>
      </w:r>
    </w:p>
    <w:p w14:paraId="1D4A054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BB9415F"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lastRenderedPageBreak/>
        <w:t>Skyrimas kartu ir toksinio poveikio inkstams rizika</w:t>
      </w:r>
    </w:p>
    <w:p w14:paraId="4D0DA56A" w14:textId="77777777"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Taikomos tokios pačios rekomendacijos kaip suaugusiesiems (žr.</w:t>
      </w:r>
      <w:r w:rsidR="00E16E64" w:rsidRPr="001839C2">
        <w:rPr>
          <w:rFonts w:eastAsiaTheme="minorEastAsia"/>
          <w:snapToGrid/>
          <w:szCs w:val="22"/>
          <w:lang w:val="lt-LT" w:eastAsia="en-IN"/>
        </w:rPr>
        <w:t> </w:t>
      </w:r>
      <w:r w:rsidRPr="001839C2">
        <w:rPr>
          <w:rFonts w:eastAsiaTheme="minorEastAsia"/>
          <w:snapToGrid/>
          <w:szCs w:val="22"/>
          <w:lang w:val="lt-LT" w:eastAsia="en-IN"/>
        </w:rPr>
        <w:t>poskyrį „Vartojimas kartu su kitais vaistiniais preparatais“ toliau).</w:t>
      </w:r>
    </w:p>
    <w:p w14:paraId="1F8FAD6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5FCE0D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Inkstų funkcijos sutrikimas</w:t>
      </w:r>
    </w:p>
    <w:p w14:paraId="314BC6A5" w14:textId="77777777" w:rsidR="00D844AF"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Jaunesniems kaip 18</w:t>
      </w:r>
      <w:r w:rsidR="00E16E64" w:rsidRPr="001839C2">
        <w:rPr>
          <w:rFonts w:eastAsiaTheme="minorEastAsia"/>
          <w:snapToGrid/>
          <w:szCs w:val="22"/>
          <w:lang w:val="lt-LT" w:eastAsia="en-IN"/>
        </w:rPr>
        <w:t> </w:t>
      </w:r>
      <w:r w:rsidRPr="001839C2">
        <w:rPr>
          <w:rFonts w:eastAsiaTheme="minorEastAsia"/>
          <w:snapToGrid/>
          <w:szCs w:val="22"/>
          <w:lang w:val="lt-LT" w:eastAsia="en-IN"/>
        </w:rPr>
        <w:t>metų asmenims, kurių inkstų funkcija sutrikusi, emtricitabino</w:t>
      </w:r>
      <w:r w:rsidR="00E16E64"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Pr="001839C2">
        <w:rPr>
          <w:rFonts w:eastAsiaTheme="minorEastAsia"/>
          <w:snapToGrid/>
          <w:szCs w:val="22"/>
          <w:lang w:val="lt-LT" w:eastAsia="en-IN"/>
        </w:rPr>
        <w:t>o</w:t>
      </w:r>
      <w:r w:rsidR="00E16E64"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vartoti nerekomenduojama (žr.</w:t>
      </w:r>
      <w:r w:rsidR="00E16E64" w:rsidRPr="001839C2">
        <w:rPr>
          <w:rFonts w:eastAsiaTheme="minorEastAsia"/>
          <w:snapToGrid/>
          <w:szCs w:val="22"/>
          <w:lang w:val="lt-LT" w:eastAsia="en-IN"/>
        </w:rPr>
        <w:t> </w:t>
      </w:r>
      <w:r w:rsidRPr="001839C2">
        <w:rPr>
          <w:rFonts w:eastAsiaTheme="minorEastAsia"/>
          <w:snapToGrid/>
          <w:szCs w:val="22"/>
          <w:lang w:val="lt-LT" w:eastAsia="en-IN"/>
        </w:rPr>
        <w:t>4.2</w:t>
      </w:r>
      <w:r w:rsidR="00E16E64" w:rsidRPr="001839C2">
        <w:rPr>
          <w:rFonts w:eastAsiaTheme="minorEastAsia"/>
          <w:snapToGrid/>
          <w:szCs w:val="22"/>
          <w:lang w:val="lt-LT" w:eastAsia="en-IN"/>
        </w:rPr>
        <w:t> </w:t>
      </w:r>
      <w:r w:rsidRPr="001839C2">
        <w:rPr>
          <w:rFonts w:eastAsiaTheme="minorEastAsia"/>
          <w:snapToGrid/>
          <w:szCs w:val="22"/>
          <w:lang w:val="lt-LT" w:eastAsia="en-IN"/>
        </w:rPr>
        <w:t>skyrių).</w:t>
      </w:r>
    </w:p>
    <w:p w14:paraId="4310768B"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Gydymo emtricitabino</w:t>
      </w:r>
      <w:r w:rsidR="00E16E64"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5D5385" w:rsidRPr="001839C2">
        <w:rPr>
          <w:rFonts w:eastAsiaTheme="minorEastAsia"/>
          <w:snapToGrid/>
          <w:szCs w:val="22"/>
          <w:lang w:val="lt-LT" w:eastAsia="en-IN"/>
        </w:rPr>
        <w:t>i</w:t>
      </w:r>
      <w:r w:rsidR="00E16E64" w:rsidRPr="001839C2">
        <w:rPr>
          <w:rFonts w:eastAsiaTheme="minorEastAsia"/>
          <w:snapToGrid/>
          <w:szCs w:val="22"/>
          <w:lang w:val="lt-LT" w:eastAsia="en-IN"/>
        </w:rPr>
        <w:t>o deriniu</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negalima pradėti pacientams vaikams, kurių inkstų funkcija sutrikusi, ir reikia nutraukti pacientams vaikams, kurių inkstų funkcija sutriko vartojant emtricitabino</w:t>
      </w:r>
      <w:r w:rsidR="00E16E64"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E16E64" w:rsidRPr="001839C2">
        <w:rPr>
          <w:rFonts w:eastAsiaTheme="minorEastAsia"/>
          <w:snapToGrid/>
          <w:szCs w:val="22"/>
          <w:lang w:val="lt-LT" w:eastAsia="en-IN"/>
        </w:rPr>
        <w:t>io derinio</w:t>
      </w:r>
      <w:r w:rsidRPr="001839C2">
        <w:rPr>
          <w:rFonts w:eastAsiaTheme="minorEastAsia"/>
          <w:snapToGrid/>
          <w:szCs w:val="22"/>
          <w:lang w:val="lt-LT" w:eastAsia="en-IN"/>
        </w:rPr>
        <w:t>.</w:t>
      </w:r>
    </w:p>
    <w:p w14:paraId="69A07ABA"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p>
    <w:p w14:paraId="4C910F4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r w:rsidRPr="001839C2">
        <w:rPr>
          <w:rFonts w:eastAsiaTheme="minorEastAsia"/>
          <w:i/>
          <w:iCs/>
          <w:snapToGrid/>
          <w:szCs w:val="22"/>
          <w:u w:val="single"/>
          <w:lang w:val="lt-LT" w:eastAsia="en-IN"/>
        </w:rPr>
        <w:t>Poveikis kaulams</w:t>
      </w:r>
    </w:p>
    <w:p w14:paraId="74050617" w14:textId="081B6264"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Dėl tenofoviro dizoproksilio vartojimo gali sumažėti KMT. Su tenofoviro dizoproksilio poveikiu susijusių KMT pokyčių įtaka ilgalaikei kaulų sveikatai ir būsimų kaulų lūžių rizikai </w:t>
      </w:r>
      <w:r w:rsidR="0045703B" w:rsidRPr="001839C2">
        <w:rPr>
          <w:rFonts w:eastAsiaTheme="minorEastAsia"/>
          <w:snapToGrid/>
          <w:szCs w:val="22"/>
          <w:lang w:val="lt-LT" w:eastAsia="en-IN"/>
        </w:rPr>
        <w:t>nėra aiški</w:t>
      </w:r>
      <w:r w:rsidRPr="001839C2">
        <w:rPr>
          <w:rFonts w:eastAsiaTheme="minorEastAsia"/>
          <w:snapToGrid/>
          <w:szCs w:val="22"/>
          <w:lang w:val="lt-LT" w:eastAsia="en-IN"/>
        </w:rPr>
        <w:t xml:space="preserve"> (žr.</w:t>
      </w:r>
      <w:r w:rsidR="00E16E64" w:rsidRPr="001839C2">
        <w:rPr>
          <w:rFonts w:eastAsiaTheme="minorEastAsia"/>
          <w:snapToGrid/>
          <w:szCs w:val="22"/>
          <w:lang w:val="lt-LT" w:eastAsia="en-IN"/>
        </w:rPr>
        <w:t> </w:t>
      </w:r>
      <w:r w:rsidRPr="001839C2">
        <w:rPr>
          <w:rFonts w:eastAsiaTheme="minorEastAsia"/>
          <w:snapToGrid/>
          <w:szCs w:val="22"/>
          <w:lang w:val="lt-LT" w:eastAsia="en-IN"/>
        </w:rPr>
        <w:t>5.1</w:t>
      </w:r>
      <w:r w:rsidR="00E16E64" w:rsidRPr="001839C2">
        <w:rPr>
          <w:rFonts w:eastAsiaTheme="minorEastAsia"/>
          <w:snapToGrid/>
          <w:szCs w:val="22"/>
          <w:lang w:val="lt-LT" w:eastAsia="en-IN"/>
        </w:rPr>
        <w:t> </w:t>
      </w:r>
      <w:r w:rsidRPr="001839C2">
        <w:rPr>
          <w:rFonts w:eastAsiaTheme="minorEastAsia"/>
          <w:snapToGrid/>
          <w:szCs w:val="22"/>
          <w:lang w:val="lt-LT" w:eastAsia="en-IN"/>
        </w:rPr>
        <w:t>skyrių).</w:t>
      </w:r>
    </w:p>
    <w:p w14:paraId="7FC789A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4F7C746"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įtariami arba aptinkami kaulų pokyčiai bet kuriam emtricitabino</w:t>
      </w:r>
      <w:r w:rsidR="00E16E64"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Pr="001839C2">
        <w:rPr>
          <w:rFonts w:eastAsiaTheme="minorEastAsia"/>
          <w:snapToGrid/>
          <w:szCs w:val="22"/>
          <w:lang w:val="lt-LT" w:eastAsia="en-IN"/>
        </w:rPr>
        <w:t>o</w:t>
      </w:r>
      <w:r w:rsidR="00E16E64"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vartojančiam pacientui vaikui, reikia kreiptis į endokrinologą ir</w:t>
      </w:r>
      <w:r w:rsidR="00E16E64" w:rsidRPr="001839C2">
        <w:rPr>
          <w:rFonts w:eastAsiaTheme="minorEastAsia"/>
          <w:snapToGrid/>
          <w:szCs w:val="22"/>
          <w:lang w:val="lt-LT" w:eastAsia="en-IN"/>
        </w:rPr>
        <w:t> </w:t>
      </w:r>
      <w:r w:rsidRPr="001839C2">
        <w:rPr>
          <w:rFonts w:eastAsiaTheme="minorEastAsia"/>
          <w:snapToGrid/>
          <w:szCs w:val="22"/>
          <w:lang w:val="lt-LT" w:eastAsia="en-IN"/>
        </w:rPr>
        <w:t>(arba) nefrologą.</w:t>
      </w:r>
    </w:p>
    <w:p w14:paraId="50A47D8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171821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Kūno masė ir metabolizmo rod</w:t>
      </w:r>
      <w:r w:rsidR="00E16E64" w:rsidRPr="001839C2">
        <w:rPr>
          <w:rFonts w:eastAsiaTheme="minorEastAsia"/>
          <w:snapToGrid/>
          <w:szCs w:val="22"/>
          <w:u w:val="single"/>
          <w:lang w:val="lt-LT" w:eastAsia="en-IN"/>
        </w:rPr>
        <w:t>ikliai</w:t>
      </w:r>
    </w:p>
    <w:p w14:paraId="0A9937A1"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Gydymo antiretrovirusiniais </w:t>
      </w:r>
      <w:r w:rsidR="00E16E64" w:rsidRPr="001839C2">
        <w:rPr>
          <w:rFonts w:eastAsiaTheme="minorEastAsia"/>
          <w:snapToGrid/>
          <w:szCs w:val="22"/>
          <w:lang w:val="lt-LT" w:eastAsia="en-IN"/>
        </w:rPr>
        <w:t xml:space="preserve">vaistiniais </w:t>
      </w:r>
      <w:r w:rsidRPr="001839C2">
        <w:rPr>
          <w:rFonts w:eastAsiaTheme="minorEastAsia"/>
          <w:snapToGrid/>
          <w:szCs w:val="22"/>
          <w:lang w:val="lt-LT" w:eastAsia="en-IN"/>
        </w:rPr>
        <w:t>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Tiriant lipidų ir gliukozės koncentracijas kraujyje reikia vadovautis nustatytomis ŽIV</w:t>
      </w:r>
      <w:r w:rsidR="00E16E64" w:rsidRPr="001839C2">
        <w:rPr>
          <w:rFonts w:eastAsiaTheme="minorEastAsia"/>
          <w:snapToGrid/>
          <w:szCs w:val="22"/>
          <w:lang w:val="lt-LT" w:eastAsia="en-IN"/>
        </w:rPr>
        <w:t> </w:t>
      </w:r>
      <w:r w:rsidRPr="001839C2">
        <w:rPr>
          <w:rFonts w:eastAsiaTheme="minorEastAsia"/>
          <w:snapToGrid/>
          <w:szCs w:val="22"/>
          <w:lang w:val="lt-LT" w:eastAsia="en-IN"/>
        </w:rPr>
        <w:t>gydymo gairėmis. Lipidų sutrikimus reikia gydyti, atsižvelgiant į klinikinę situaciją.</w:t>
      </w:r>
    </w:p>
    <w:p w14:paraId="32F7CB9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74A513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 xml:space="preserve">Mitochondrijų funkcijos sutrikimas dėl </w:t>
      </w:r>
      <w:r w:rsidR="00E16E64" w:rsidRPr="001839C2">
        <w:rPr>
          <w:rFonts w:eastAsiaTheme="minorEastAsia"/>
          <w:snapToGrid/>
          <w:szCs w:val="22"/>
          <w:u w:val="single"/>
          <w:lang w:val="lt-LT" w:eastAsia="en-IN"/>
        </w:rPr>
        <w:t xml:space="preserve">vaistinio </w:t>
      </w:r>
      <w:r w:rsidRPr="001839C2">
        <w:rPr>
          <w:rFonts w:eastAsiaTheme="minorEastAsia"/>
          <w:snapToGrid/>
          <w:szCs w:val="22"/>
          <w:u w:val="single"/>
          <w:lang w:val="lt-LT" w:eastAsia="en-IN"/>
        </w:rPr>
        <w:t>preparato poveikio prieš gimimą</w:t>
      </w:r>
    </w:p>
    <w:p w14:paraId="291ACABB" w14:textId="77777777"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Nukleozidų </w:t>
      </w:r>
      <w:r w:rsidR="00267C16" w:rsidRPr="001839C2">
        <w:rPr>
          <w:rFonts w:eastAsiaTheme="minorEastAsia"/>
          <w:snapToGrid/>
          <w:szCs w:val="22"/>
          <w:lang w:val="lt-LT" w:eastAsia="en-IN"/>
        </w:rPr>
        <w:t>a</w:t>
      </w:r>
      <w:r w:rsidR="00E16E64" w:rsidRPr="001839C2">
        <w:rPr>
          <w:rFonts w:eastAsiaTheme="minorEastAsia"/>
          <w:snapToGrid/>
          <w:szCs w:val="22"/>
          <w:lang w:val="lt-LT" w:eastAsia="en-IN"/>
        </w:rPr>
        <w:t>r</w:t>
      </w:r>
      <w:r w:rsidRPr="001839C2">
        <w:rPr>
          <w:rFonts w:eastAsiaTheme="minorEastAsia"/>
          <w:snapToGrid/>
          <w:szCs w:val="22"/>
          <w:lang w:val="lt-LT" w:eastAsia="en-IN"/>
        </w:rPr>
        <w:t xml:space="preserve"> nukleotidų analogai gali įvairiu laipsniu paveikti mitochondrijų funkciją, šis poveikis ryškiausias būna vartojant stavudino, didanozino ir zidovudino. Kai kuriems ŽIV neužkrėstiems kūdikiams, paveiktiems nukleozidų analogais prieš gimimą ir</w:t>
      </w:r>
      <w:r w:rsidR="00E16E64" w:rsidRPr="001839C2">
        <w:rPr>
          <w:rFonts w:eastAsiaTheme="minorEastAsia"/>
          <w:snapToGrid/>
          <w:szCs w:val="22"/>
          <w:lang w:val="lt-LT" w:eastAsia="en-IN"/>
        </w:rPr>
        <w:t> (</w:t>
      </w:r>
      <w:r w:rsidRPr="001839C2">
        <w:rPr>
          <w:rFonts w:eastAsiaTheme="minorEastAsia"/>
          <w:snapToGrid/>
          <w:szCs w:val="22"/>
          <w:lang w:val="lt-LT" w:eastAsia="en-IN"/>
        </w:rPr>
        <w:t>ar</w:t>
      </w:r>
      <w:r w:rsidR="00E16E64" w:rsidRPr="001839C2">
        <w:rPr>
          <w:rFonts w:eastAsiaTheme="minorEastAsia"/>
          <w:snapToGrid/>
          <w:szCs w:val="22"/>
          <w:lang w:val="lt-LT" w:eastAsia="en-IN"/>
        </w:rPr>
        <w:t>)</w:t>
      </w:r>
      <w:r w:rsidRPr="001839C2">
        <w:rPr>
          <w:rFonts w:eastAsiaTheme="minorEastAsia"/>
          <w:snapToGrid/>
          <w:szCs w:val="22"/>
          <w:lang w:val="lt-LT" w:eastAsia="en-IN"/>
        </w:rPr>
        <w:t xml:space="preserve"> po jo, pasireiškė mitochondrijų disfunkcija</w:t>
      </w:r>
      <w:r w:rsidR="00E16E64" w:rsidRPr="001839C2">
        <w:rPr>
          <w:rFonts w:eastAsiaTheme="minorEastAsia"/>
          <w:snapToGrid/>
          <w:szCs w:val="22"/>
          <w:lang w:val="lt-LT" w:eastAsia="en-IN"/>
        </w:rPr>
        <w:t>.</w:t>
      </w:r>
      <w:r w:rsidRPr="001839C2">
        <w:rPr>
          <w:rFonts w:eastAsiaTheme="minorEastAsia"/>
          <w:snapToGrid/>
          <w:szCs w:val="22"/>
          <w:lang w:val="lt-LT" w:eastAsia="en-IN"/>
        </w:rPr>
        <w:t xml:space="preserve"> </w:t>
      </w:r>
      <w:r w:rsidR="00E16E64" w:rsidRPr="001839C2">
        <w:rPr>
          <w:rFonts w:eastAsiaTheme="minorEastAsia"/>
          <w:snapToGrid/>
          <w:szCs w:val="22"/>
          <w:lang w:val="lt-LT" w:eastAsia="en-IN"/>
        </w:rPr>
        <w:t>Š</w:t>
      </w:r>
      <w:r w:rsidRPr="001839C2">
        <w:rPr>
          <w:rFonts w:eastAsiaTheme="minorEastAsia"/>
          <w:snapToGrid/>
          <w:szCs w:val="22"/>
          <w:lang w:val="lt-LT" w:eastAsia="en-IN"/>
        </w:rPr>
        <w:t>ie atvejai daugiausia</w:t>
      </w:r>
      <w:r w:rsidR="00E16E64" w:rsidRPr="001839C2">
        <w:rPr>
          <w:rFonts w:eastAsiaTheme="minorEastAsia"/>
          <w:snapToGrid/>
          <w:szCs w:val="22"/>
          <w:lang w:val="lt-LT" w:eastAsia="en-IN"/>
        </w:rPr>
        <w:t>i</w:t>
      </w:r>
      <w:r w:rsidRPr="001839C2">
        <w:rPr>
          <w:rFonts w:eastAsiaTheme="minorEastAsia"/>
          <w:snapToGrid/>
          <w:szCs w:val="22"/>
          <w:lang w:val="lt-LT" w:eastAsia="en-IN"/>
        </w:rPr>
        <w:t xml:space="preserve"> buvo susiję su gydymo režimų, kurių sudėtyje yra zidovudino, taikymu. Svarbiausios nepageidaujamos reakcijos, apie kurias gauta pranešimų, buvo hematologiniai (anemija, neutropenija) ir metabolizmo (hiperlaktatemija, hiperlipazemija) sutrikimai. Šie reiškiniai dažnai būdavo laikini. Retai gauta pranešimų apie vėlyvuosius neurologinius sutrikimus: padidėjusį raumenų tonusą, traukulius, elgesio sutrikimus. Kol kas nėra žinoma, ar tokie neurologiniai sutrikimai yra laikini, ar išlieka visam laikui. Į šiuos duomenis reikia atsižvelgti, tiriant kiekvieną vaiką, kuris iki gimimo buvo paveiktas nukleozidų </w:t>
      </w:r>
      <w:r w:rsidR="00E16E64" w:rsidRPr="001839C2">
        <w:rPr>
          <w:rFonts w:eastAsiaTheme="minorEastAsia"/>
          <w:snapToGrid/>
          <w:szCs w:val="22"/>
          <w:lang w:val="lt-LT" w:eastAsia="en-IN"/>
        </w:rPr>
        <w:t>ar</w:t>
      </w:r>
      <w:r w:rsidRPr="001839C2">
        <w:rPr>
          <w:rFonts w:eastAsiaTheme="minorEastAsia"/>
          <w:snapToGrid/>
          <w:szCs w:val="22"/>
          <w:lang w:val="lt-LT" w:eastAsia="en-IN"/>
        </w:rPr>
        <w:t xml:space="preserve"> nukleotidų analogais ir kuriam nustatoma sunkių nežinomos etiologijos klinikinių reiškinių, ypač neurologinių sutrikimų. Dėl šių duomenų šalyje galiojančių nacionalinių rekomendacijų skirti antiretrovirusinių </w:t>
      </w:r>
      <w:r w:rsidR="00E16E64" w:rsidRPr="001839C2">
        <w:rPr>
          <w:rFonts w:eastAsiaTheme="minorEastAsia"/>
          <w:snapToGrid/>
          <w:szCs w:val="22"/>
          <w:lang w:val="lt-LT" w:eastAsia="en-IN"/>
        </w:rPr>
        <w:t xml:space="preserve">vaistinių </w:t>
      </w:r>
      <w:r w:rsidRPr="001839C2">
        <w:rPr>
          <w:rFonts w:eastAsiaTheme="minorEastAsia"/>
          <w:snapToGrid/>
          <w:szCs w:val="22"/>
          <w:lang w:val="lt-LT" w:eastAsia="en-IN"/>
        </w:rPr>
        <w:t>preparatų nėščioms moterims, kad būtų išvengta vaisiaus užkrėtimo</w:t>
      </w:r>
      <w:r w:rsidR="00E16E64" w:rsidRPr="001839C2">
        <w:rPr>
          <w:rFonts w:eastAsiaTheme="minorEastAsia"/>
          <w:snapToGrid/>
          <w:szCs w:val="22"/>
          <w:lang w:val="lt-LT" w:eastAsia="en-IN"/>
        </w:rPr>
        <w:t> </w:t>
      </w:r>
      <w:r w:rsidRPr="001839C2">
        <w:rPr>
          <w:rFonts w:eastAsiaTheme="minorEastAsia"/>
          <w:snapToGrid/>
          <w:szCs w:val="22"/>
          <w:lang w:val="lt-LT" w:eastAsia="en-IN"/>
        </w:rPr>
        <w:t>ŽIV, keisti nereikia.</w:t>
      </w:r>
    </w:p>
    <w:p w14:paraId="03E0254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903CBB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Imuninės reaktyvacijos sindromas</w:t>
      </w:r>
    </w:p>
    <w:p w14:paraId="31AC30E2" w14:textId="77777777" w:rsidR="00267C16"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ŽIV</w:t>
      </w:r>
      <w:r w:rsidR="00267C16" w:rsidRPr="001839C2">
        <w:rPr>
          <w:rFonts w:eastAsiaTheme="minorEastAsia"/>
          <w:snapToGrid/>
          <w:szCs w:val="22"/>
          <w:lang w:val="lt-LT" w:eastAsia="en-IN"/>
        </w:rPr>
        <w:t> </w:t>
      </w:r>
      <w:r w:rsidRPr="001839C2">
        <w:rPr>
          <w:rFonts w:eastAsiaTheme="minorEastAsia"/>
          <w:snapToGrid/>
          <w:szCs w:val="22"/>
          <w:lang w:val="lt-LT" w:eastAsia="en-IN"/>
        </w:rPr>
        <w:t>infekuotiems pacientams, kuriems yra didelis imuninės sistemos deficitas, pradėjus KARG, gali išsivystyti uždegiminė reakcija į besimptomius arba likusius sąlyginai patogeniškus ligų sukėlėjus ir sukelti sunkias klinikines būkles ar simptomų pa</w:t>
      </w:r>
      <w:r w:rsidR="00267C16" w:rsidRPr="001839C2">
        <w:rPr>
          <w:rFonts w:eastAsiaTheme="minorEastAsia"/>
          <w:snapToGrid/>
          <w:szCs w:val="22"/>
          <w:lang w:val="lt-LT" w:eastAsia="en-IN"/>
        </w:rPr>
        <w:t>sunk</w:t>
      </w:r>
      <w:r w:rsidRPr="001839C2">
        <w:rPr>
          <w:rFonts w:eastAsiaTheme="minorEastAsia"/>
          <w:snapToGrid/>
          <w:szCs w:val="22"/>
          <w:lang w:val="lt-LT" w:eastAsia="en-IN"/>
        </w:rPr>
        <w:t>ėjimą. Paprastai tokios reakcijos stebėtos pirmosiomis KARG savaitėmis ar mėnesiais. Tai gali būti citomegalovirusinis retinitas, generalizuotos ir</w:t>
      </w:r>
      <w:r w:rsidR="00E16E64" w:rsidRPr="001839C2">
        <w:rPr>
          <w:rFonts w:eastAsiaTheme="minorEastAsia"/>
          <w:snapToGrid/>
          <w:szCs w:val="22"/>
          <w:lang w:val="lt-LT" w:eastAsia="en-IN"/>
        </w:rPr>
        <w:t> (</w:t>
      </w:r>
      <w:r w:rsidRPr="001839C2">
        <w:rPr>
          <w:rFonts w:eastAsiaTheme="minorEastAsia"/>
          <w:snapToGrid/>
          <w:szCs w:val="22"/>
          <w:lang w:val="lt-LT" w:eastAsia="en-IN"/>
        </w:rPr>
        <w:t>arba</w:t>
      </w:r>
      <w:r w:rsidR="00E16E64" w:rsidRPr="001839C2">
        <w:rPr>
          <w:rFonts w:eastAsiaTheme="minorEastAsia"/>
          <w:snapToGrid/>
          <w:szCs w:val="22"/>
          <w:lang w:val="lt-LT" w:eastAsia="en-IN"/>
        </w:rPr>
        <w:t>)</w:t>
      </w:r>
      <w:r w:rsidRPr="001839C2">
        <w:rPr>
          <w:rFonts w:eastAsiaTheme="minorEastAsia"/>
          <w:snapToGrid/>
          <w:szCs w:val="22"/>
          <w:lang w:val="lt-LT" w:eastAsia="en-IN"/>
        </w:rPr>
        <w:t xml:space="preserve"> židininės mikobakterinės infekcijos ir </w:t>
      </w:r>
      <w:r w:rsidRPr="001839C2">
        <w:rPr>
          <w:rFonts w:eastAsiaTheme="minorEastAsia"/>
          <w:i/>
          <w:iCs/>
          <w:snapToGrid/>
          <w:szCs w:val="22"/>
          <w:lang w:val="lt-LT" w:eastAsia="en-IN"/>
        </w:rPr>
        <w:t xml:space="preserve">Pneumocystis jirovecii </w:t>
      </w:r>
      <w:r w:rsidRPr="001839C2">
        <w:rPr>
          <w:rFonts w:eastAsiaTheme="minorEastAsia"/>
          <w:snapToGrid/>
          <w:szCs w:val="22"/>
          <w:lang w:val="lt-LT" w:eastAsia="en-IN"/>
        </w:rPr>
        <w:t>pneumonija. Reikia įvertinti bet kokius uždegimo simptomus ir, kai būtina, pradėti gydyti.</w:t>
      </w:r>
    </w:p>
    <w:p w14:paraId="35DC276B"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Buvo pranešta, kad autoimuniniai sutrikimai (pvz., Greivso liga</w:t>
      </w:r>
      <w:r w:rsidR="00D93C87" w:rsidRPr="001839C2">
        <w:rPr>
          <w:rFonts w:eastAsiaTheme="minorEastAsia"/>
          <w:snapToGrid/>
          <w:szCs w:val="22"/>
          <w:lang w:val="lt-LT" w:eastAsia="en-IN"/>
        </w:rPr>
        <w:t xml:space="preserve"> ir autoimuninis hepatitas</w:t>
      </w:r>
      <w:r w:rsidRPr="001839C2">
        <w:rPr>
          <w:rFonts w:eastAsiaTheme="minorEastAsia"/>
          <w:snapToGrid/>
          <w:szCs w:val="22"/>
          <w:lang w:val="lt-LT" w:eastAsia="en-IN"/>
        </w:rPr>
        <w:t>) pasireiškia ir imuninės reaktyvacijos metu, tačiau praneštas jų pradžios laikas yra labiau kintamas ir šie reiškiniai galimi per daug mėnesių nuo gydymo pradžios.</w:t>
      </w:r>
    </w:p>
    <w:p w14:paraId="59E0FB2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70EF0D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Oportunistinės infekcijos</w:t>
      </w:r>
    </w:p>
    <w:p w14:paraId="033B19E4"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ŽIV</w:t>
      </w:r>
      <w:r w:rsidR="00240E1D" w:rsidRPr="001839C2">
        <w:rPr>
          <w:rFonts w:eastAsiaTheme="minorEastAsia"/>
          <w:snapToGrid/>
          <w:szCs w:val="22"/>
          <w:lang w:val="lt-LT" w:eastAsia="en-IN"/>
        </w:rPr>
        <w:noBreakHyphen/>
      </w:r>
      <w:r w:rsidRPr="001839C2">
        <w:rPr>
          <w:rFonts w:eastAsiaTheme="minorEastAsia"/>
          <w:snapToGrid/>
          <w:szCs w:val="22"/>
          <w:lang w:val="lt-LT" w:eastAsia="en-IN"/>
        </w:rPr>
        <w:t>1</w:t>
      </w:r>
      <w:r w:rsidR="00267C16" w:rsidRPr="001839C2">
        <w:rPr>
          <w:rFonts w:eastAsiaTheme="minorEastAsia"/>
          <w:snapToGrid/>
          <w:szCs w:val="22"/>
          <w:lang w:val="lt-LT" w:eastAsia="en-IN"/>
        </w:rPr>
        <w:t> </w:t>
      </w:r>
      <w:r w:rsidRPr="001839C2">
        <w:rPr>
          <w:rFonts w:eastAsiaTheme="minorEastAsia"/>
          <w:snapToGrid/>
          <w:szCs w:val="22"/>
          <w:lang w:val="lt-LT" w:eastAsia="en-IN"/>
        </w:rPr>
        <w:t>infekuotiems pacientams, vartojantiems emtricitabino</w:t>
      </w:r>
      <w:r w:rsidR="00240E1D"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240E1D" w:rsidRPr="001839C2">
        <w:rPr>
          <w:rFonts w:eastAsiaTheme="minorEastAsia"/>
          <w:snapToGrid/>
          <w:szCs w:val="22"/>
          <w:lang w:val="lt-LT" w:eastAsia="en-IN"/>
        </w:rPr>
        <w:t>io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ar bet kok</w:t>
      </w:r>
      <w:r w:rsidR="00240E1D" w:rsidRPr="001839C2">
        <w:rPr>
          <w:rFonts w:eastAsiaTheme="minorEastAsia"/>
          <w:snapToGrid/>
          <w:szCs w:val="22"/>
          <w:lang w:val="lt-LT" w:eastAsia="en-IN"/>
        </w:rPr>
        <w:t>io</w:t>
      </w:r>
      <w:r w:rsidRPr="001839C2">
        <w:rPr>
          <w:rFonts w:eastAsiaTheme="minorEastAsia"/>
          <w:snapToGrid/>
          <w:szCs w:val="22"/>
          <w:lang w:val="lt-LT" w:eastAsia="en-IN"/>
        </w:rPr>
        <w:t xml:space="preserve"> kit</w:t>
      </w:r>
      <w:r w:rsidR="00240E1D" w:rsidRPr="001839C2">
        <w:rPr>
          <w:rFonts w:eastAsiaTheme="minorEastAsia"/>
          <w:snapToGrid/>
          <w:szCs w:val="22"/>
          <w:lang w:val="lt-LT" w:eastAsia="en-IN"/>
        </w:rPr>
        <w:t>o</w:t>
      </w:r>
      <w:r w:rsidRPr="001839C2">
        <w:rPr>
          <w:rFonts w:eastAsiaTheme="minorEastAsia"/>
          <w:snapToGrid/>
          <w:szCs w:val="22"/>
          <w:lang w:val="lt-LT" w:eastAsia="en-IN"/>
        </w:rPr>
        <w:t xml:space="preserve"> antiretrovirusin</w:t>
      </w:r>
      <w:r w:rsidR="00240E1D"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240E1D" w:rsidRPr="001839C2">
        <w:rPr>
          <w:rFonts w:eastAsiaTheme="minorEastAsia"/>
          <w:snapToGrid/>
          <w:szCs w:val="22"/>
          <w:lang w:val="lt-LT" w:eastAsia="en-IN"/>
        </w:rPr>
        <w:t>inio preparato</w:t>
      </w:r>
      <w:r w:rsidRPr="001839C2">
        <w:rPr>
          <w:rFonts w:eastAsiaTheme="minorEastAsia"/>
          <w:snapToGrid/>
          <w:szCs w:val="22"/>
          <w:lang w:val="lt-LT" w:eastAsia="en-IN"/>
        </w:rPr>
        <w:t>, gali ir toliau vystytis oportunistinės infekcijos ar kitos ŽIV</w:t>
      </w:r>
      <w:r w:rsidR="00240E1D" w:rsidRPr="001839C2">
        <w:rPr>
          <w:rFonts w:eastAsiaTheme="minorEastAsia"/>
          <w:snapToGrid/>
          <w:szCs w:val="22"/>
          <w:lang w:val="lt-LT" w:eastAsia="en-IN"/>
        </w:rPr>
        <w:t> </w:t>
      </w:r>
      <w:r w:rsidRPr="001839C2">
        <w:rPr>
          <w:rFonts w:eastAsiaTheme="minorEastAsia"/>
          <w:snapToGrid/>
          <w:szCs w:val="22"/>
          <w:lang w:val="lt-LT" w:eastAsia="en-IN"/>
        </w:rPr>
        <w:t xml:space="preserve">infekcijos komplikacijos. Todėl tokių pacientų klinikinę būklę turi atidžiai stebėti gydytojas, </w:t>
      </w:r>
      <w:r w:rsidRPr="001839C2">
        <w:rPr>
          <w:rFonts w:eastAsiaTheme="minorEastAsia"/>
          <w:snapToGrid/>
          <w:szCs w:val="22"/>
          <w:lang w:val="lt-LT" w:eastAsia="en-IN"/>
        </w:rPr>
        <w:lastRenderedPageBreak/>
        <w:t>turintis patirties gydant pacientus, sergančius su ŽIV</w:t>
      </w:r>
      <w:r w:rsidR="00240E1D" w:rsidRPr="001839C2">
        <w:rPr>
          <w:rFonts w:eastAsiaTheme="minorEastAsia"/>
          <w:snapToGrid/>
          <w:szCs w:val="22"/>
          <w:lang w:val="lt-LT" w:eastAsia="en-IN"/>
        </w:rPr>
        <w:t> </w:t>
      </w:r>
      <w:r w:rsidRPr="001839C2">
        <w:rPr>
          <w:rFonts w:eastAsiaTheme="minorEastAsia"/>
          <w:snapToGrid/>
          <w:szCs w:val="22"/>
          <w:lang w:val="lt-LT" w:eastAsia="en-IN"/>
        </w:rPr>
        <w:t>infekcija susijusiomis ligomis.</w:t>
      </w:r>
    </w:p>
    <w:p w14:paraId="0D5CFDD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38416C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Kaulų nekrozė</w:t>
      </w:r>
    </w:p>
    <w:p w14:paraId="3D6A94B4"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Nepaisant to, kad kaulų nekrozės etiologijoje dalyvauja daug veiksnių (įskaitant kortikosteroidų, alkoholio vartojimą, sunkią imunosupresiją, padidėjusį kūno masės indeksą), ypač daug jos atvejų aprašyta pacientams, sergantiems toli pažengusia ŽIV</w:t>
      </w:r>
      <w:r w:rsidR="00240E1D" w:rsidRPr="001839C2">
        <w:rPr>
          <w:rFonts w:eastAsiaTheme="minorEastAsia"/>
          <w:snapToGrid/>
          <w:szCs w:val="22"/>
          <w:lang w:val="lt-LT" w:eastAsia="en-IN"/>
        </w:rPr>
        <w:t> </w:t>
      </w:r>
      <w:r w:rsidRPr="001839C2">
        <w:rPr>
          <w:rFonts w:eastAsiaTheme="minorEastAsia"/>
          <w:snapToGrid/>
          <w:szCs w:val="22"/>
          <w:lang w:val="lt-LT" w:eastAsia="en-IN"/>
        </w:rPr>
        <w:t>liga ir</w:t>
      </w:r>
      <w:r w:rsidR="00240E1D" w:rsidRPr="001839C2">
        <w:rPr>
          <w:rFonts w:eastAsiaTheme="minorEastAsia"/>
          <w:snapToGrid/>
          <w:szCs w:val="22"/>
          <w:lang w:val="lt-LT" w:eastAsia="en-IN"/>
        </w:rPr>
        <w:t> </w:t>
      </w:r>
      <w:r w:rsidRPr="001839C2">
        <w:rPr>
          <w:rFonts w:eastAsiaTheme="minorEastAsia"/>
          <w:snapToGrid/>
          <w:szCs w:val="22"/>
          <w:lang w:val="lt-LT" w:eastAsia="en-IN"/>
        </w:rPr>
        <w:t>(arba) ilgai gydomiems KARG.</w:t>
      </w:r>
      <w:r w:rsidR="00713C89" w:rsidRPr="001839C2">
        <w:rPr>
          <w:rFonts w:eastAsiaTheme="minorEastAsia"/>
          <w:snapToGrid/>
          <w:szCs w:val="22"/>
          <w:lang w:val="lt-LT" w:eastAsia="en-IN"/>
        </w:rPr>
        <w:t xml:space="preserve"> </w:t>
      </w:r>
      <w:r w:rsidRPr="001839C2">
        <w:rPr>
          <w:rFonts w:eastAsiaTheme="minorEastAsia"/>
          <w:snapToGrid/>
          <w:szCs w:val="22"/>
          <w:lang w:val="lt-LT" w:eastAsia="en-IN"/>
        </w:rPr>
        <w:t>Pacientams reik</w:t>
      </w:r>
      <w:r w:rsidR="00240E1D" w:rsidRPr="001839C2">
        <w:rPr>
          <w:rFonts w:eastAsiaTheme="minorEastAsia"/>
          <w:snapToGrid/>
          <w:szCs w:val="22"/>
          <w:lang w:val="lt-LT" w:eastAsia="en-IN"/>
        </w:rPr>
        <w:t>ia</w:t>
      </w:r>
      <w:r w:rsidRPr="001839C2">
        <w:rPr>
          <w:rFonts w:eastAsiaTheme="minorEastAsia"/>
          <w:snapToGrid/>
          <w:szCs w:val="22"/>
          <w:lang w:val="lt-LT" w:eastAsia="en-IN"/>
        </w:rPr>
        <w:t xml:space="preserve"> patarti kreiptis į gydytoją, jeigu jie jaučia sąnarių skausmus, sustingimą arba jeigu jiems darosi sunku judėti.</w:t>
      </w:r>
    </w:p>
    <w:p w14:paraId="3CD7910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4E2EED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Vartojimas kartu su kitais vaistiniais preparatais</w:t>
      </w:r>
    </w:p>
    <w:p w14:paraId="00F1844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Reikia vengti skirti emtricitabino</w:t>
      </w:r>
      <w:r w:rsidR="00422A28"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422A28" w:rsidRPr="001839C2">
        <w:rPr>
          <w:rFonts w:eastAsiaTheme="minorEastAsia"/>
          <w:snapToGrid/>
          <w:szCs w:val="22"/>
          <w:lang w:val="lt-LT" w:eastAsia="en-IN"/>
        </w:rPr>
        <w:t>io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kartu su nefrotoksiniais vaist</w:t>
      </w:r>
      <w:r w:rsidR="00422A28" w:rsidRPr="001839C2">
        <w:rPr>
          <w:rFonts w:eastAsiaTheme="minorEastAsia"/>
          <w:snapToGrid/>
          <w:szCs w:val="22"/>
          <w:lang w:val="lt-LT" w:eastAsia="en-IN"/>
        </w:rPr>
        <w:t>ini</w:t>
      </w:r>
      <w:r w:rsidRPr="001839C2">
        <w:rPr>
          <w:rFonts w:eastAsiaTheme="minorEastAsia"/>
          <w:snapToGrid/>
          <w:szCs w:val="22"/>
          <w:lang w:val="lt-LT" w:eastAsia="en-IN"/>
        </w:rPr>
        <w:t>ais</w:t>
      </w:r>
      <w:r w:rsidR="00422A28" w:rsidRPr="001839C2">
        <w:rPr>
          <w:rFonts w:eastAsiaTheme="minorEastAsia"/>
          <w:snapToGrid/>
          <w:szCs w:val="22"/>
          <w:lang w:val="lt-LT" w:eastAsia="en-IN"/>
        </w:rPr>
        <w:t xml:space="preserve"> preparatais</w:t>
      </w:r>
      <w:r w:rsidRPr="001839C2">
        <w:rPr>
          <w:rFonts w:eastAsiaTheme="minorEastAsia"/>
          <w:snapToGrid/>
          <w:szCs w:val="22"/>
          <w:lang w:val="lt-LT" w:eastAsia="en-IN"/>
        </w:rPr>
        <w:t xml:space="preserve"> arba jeigu j</w:t>
      </w:r>
      <w:r w:rsidR="00422A28" w:rsidRPr="001839C2">
        <w:rPr>
          <w:rFonts w:eastAsiaTheme="minorEastAsia"/>
          <w:snapToGrid/>
          <w:szCs w:val="22"/>
          <w:lang w:val="lt-LT" w:eastAsia="en-IN"/>
        </w:rPr>
        <w:t>ų</w:t>
      </w:r>
      <w:r w:rsidRPr="001839C2">
        <w:rPr>
          <w:rFonts w:eastAsiaTheme="minorEastAsia"/>
          <w:snapToGrid/>
          <w:szCs w:val="22"/>
          <w:lang w:val="lt-LT" w:eastAsia="en-IN"/>
        </w:rPr>
        <w:t xml:space="preserve"> buvo neseniai vartot</w:t>
      </w:r>
      <w:r w:rsidR="00422A28" w:rsidRPr="001839C2">
        <w:rPr>
          <w:rFonts w:eastAsiaTheme="minorEastAsia"/>
          <w:snapToGrid/>
          <w:szCs w:val="22"/>
          <w:lang w:val="lt-LT" w:eastAsia="en-IN"/>
        </w:rPr>
        <w:t>a</w:t>
      </w:r>
      <w:r w:rsidRPr="001839C2">
        <w:rPr>
          <w:rFonts w:eastAsiaTheme="minorEastAsia"/>
          <w:snapToGrid/>
          <w:szCs w:val="22"/>
          <w:lang w:val="lt-LT" w:eastAsia="en-IN"/>
        </w:rPr>
        <w:t xml:space="preserve"> (žr.</w:t>
      </w:r>
      <w:r w:rsidR="00422A28" w:rsidRPr="001839C2">
        <w:rPr>
          <w:rFonts w:eastAsiaTheme="minorEastAsia"/>
          <w:snapToGrid/>
          <w:szCs w:val="22"/>
          <w:lang w:val="lt-LT" w:eastAsia="en-IN"/>
        </w:rPr>
        <w:t> </w:t>
      </w:r>
      <w:r w:rsidRPr="001839C2">
        <w:rPr>
          <w:rFonts w:eastAsiaTheme="minorEastAsia"/>
          <w:snapToGrid/>
          <w:szCs w:val="22"/>
          <w:lang w:val="lt-LT" w:eastAsia="en-IN"/>
        </w:rPr>
        <w:t>4.5</w:t>
      </w:r>
      <w:r w:rsidR="00422A28" w:rsidRPr="001839C2">
        <w:rPr>
          <w:rFonts w:eastAsiaTheme="minorEastAsia"/>
          <w:snapToGrid/>
          <w:szCs w:val="22"/>
          <w:lang w:val="lt-LT" w:eastAsia="en-IN"/>
        </w:rPr>
        <w:t> </w:t>
      </w:r>
      <w:r w:rsidRPr="001839C2">
        <w:rPr>
          <w:rFonts w:eastAsiaTheme="minorEastAsia"/>
          <w:snapToGrid/>
          <w:szCs w:val="22"/>
          <w:lang w:val="lt-LT" w:eastAsia="en-IN"/>
        </w:rPr>
        <w:t>skyrių). Jeigu yra būtina skirti kartu su nefrotoksiniais vaistiniais preparatais, inkstų funkciją reikia stebėti kas savaitę.</w:t>
      </w:r>
    </w:p>
    <w:p w14:paraId="4C6C46E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0E9AF3D"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Pradėjus skirti didel</w:t>
      </w:r>
      <w:r w:rsidR="00883754" w:rsidRPr="001839C2">
        <w:rPr>
          <w:rFonts w:eastAsiaTheme="minorEastAsia"/>
          <w:snapToGrid/>
          <w:szCs w:val="22"/>
          <w:lang w:val="lt-LT" w:eastAsia="en-IN"/>
        </w:rPr>
        <w:t>ėmis</w:t>
      </w:r>
      <w:r w:rsidRPr="001839C2">
        <w:rPr>
          <w:rFonts w:eastAsiaTheme="minorEastAsia"/>
          <w:snapToGrid/>
          <w:szCs w:val="22"/>
          <w:lang w:val="lt-LT" w:eastAsia="en-IN"/>
        </w:rPr>
        <w:t xml:space="preserve"> doz</w:t>
      </w:r>
      <w:r w:rsidR="00883754" w:rsidRPr="001839C2">
        <w:rPr>
          <w:rFonts w:eastAsiaTheme="minorEastAsia"/>
          <w:snapToGrid/>
          <w:szCs w:val="22"/>
          <w:lang w:val="lt-LT" w:eastAsia="en-IN"/>
        </w:rPr>
        <w:t>ėmis</w:t>
      </w:r>
      <w:r w:rsidRPr="001839C2">
        <w:rPr>
          <w:rFonts w:eastAsiaTheme="minorEastAsia"/>
          <w:snapToGrid/>
          <w:szCs w:val="22"/>
          <w:lang w:val="lt-LT" w:eastAsia="en-IN"/>
        </w:rPr>
        <w:t xml:space="preserve"> arba kartotinai vartojam</w:t>
      </w:r>
      <w:r w:rsidR="00422A28" w:rsidRPr="001839C2">
        <w:rPr>
          <w:rFonts w:eastAsiaTheme="minorEastAsia"/>
          <w:snapToGrid/>
          <w:szCs w:val="22"/>
          <w:lang w:val="lt-LT" w:eastAsia="en-IN"/>
        </w:rPr>
        <w:t>ų</w:t>
      </w:r>
      <w:r w:rsidRPr="001839C2">
        <w:rPr>
          <w:rFonts w:eastAsiaTheme="minorEastAsia"/>
          <w:snapToGrid/>
          <w:szCs w:val="22"/>
          <w:lang w:val="lt-LT" w:eastAsia="en-IN"/>
        </w:rPr>
        <w:t xml:space="preserve"> nesteroidini</w:t>
      </w:r>
      <w:r w:rsidR="00422A28" w:rsidRPr="001839C2">
        <w:rPr>
          <w:rFonts w:eastAsiaTheme="minorEastAsia"/>
          <w:snapToGrid/>
          <w:szCs w:val="22"/>
          <w:lang w:val="lt-LT" w:eastAsia="en-IN"/>
        </w:rPr>
        <w:t>ų</w:t>
      </w:r>
      <w:r w:rsidRPr="001839C2">
        <w:rPr>
          <w:rFonts w:eastAsiaTheme="minorEastAsia"/>
          <w:snapToGrid/>
          <w:szCs w:val="22"/>
          <w:lang w:val="lt-LT" w:eastAsia="en-IN"/>
        </w:rPr>
        <w:t xml:space="preserve"> vaist</w:t>
      </w:r>
      <w:r w:rsidR="00422A28" w:rsidRPr="001839C2">
        <w:rPr>
          <w:rFonts w:eastAsiaTheme="minorEastAsia"/>
          <w:snapToGrid/>
          <w:szCs w:val="22"/>
          <w:lang w:val="lt-LT" w:eastAsia="en-IN"/>
        </w:rPr>
        <w:t>inių preparatų</w:t>
      </w:r>
      <w:r w:rsidRPr="001839C2">
        <w:rPr>
          <w:rFonts w:eastAsiaTheme="minorEastAsia"/>
          <w:snapToGrid/>
          <w:szCs w:val="22"/>
          <w:lang w:val="lt-LT" w:eastAsia="en-IN"/>
        </w:rPr>
        <w:t xml:space="preserve"> nuo uždegimo (NVNU) ŽIV</w:t>
      </w:r>
      <w:r w:rsidR="00422A28" w:rsidRPr="001839C2">
        <w:rPr>
          <w:rFonts w:eastAsiaTheme="minorEastAsia"/>
          <w:snapToGrid/>
          <w:szCs w:val="22"/>
          <w:lang w:val="lt-LT" w:eastAsia="en-IN"/>
        </w:rPr>
        <w:noBreakHyphen/>
      </w:r>
      <w:r w:rsidRPr="001839C2">
        <w:rPr>
          <w:rFonts w:eastAsiaTheme="minorEastAsia"/>
          <w:snapToGrid/>
          <w:szCs w:val="22"/>
          <w:lang w:val="lt-LT" w:eastAsia="en-IN"/>
        </w:rPr>
        <w:t>1 infekuotiems pacientams, kurie buvo gydomi tenofovir</w:t>
      </w:r>
      <w:r w:rsidR="00EB3A05"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ir kuriems </w:t>
      </w:r>
      <w:r w:rsidR="00422A28" w:rsidRPr="001839C2">
        <w:rPr>
          <w:rFonts w:eastAsiaTheme="minorEastAsia"/>
          <w:snapToGrid/>
          <w:szCs w:val="22"/>
          <w:lang w:val="lt-LT" w:eastAsia="en-IN"/>
        </w:rPr>
        <w:t>buvo</w:t>
      </w:r>
      <w:r w:rsidRPr="001839C2">
        <w:rPr>
          <w:rFonts w:eastAsiaTheme="minorEastAsia"/>
          <w:snapToGrid/>
          <w:szCs w:val="22"/>
          <w:lang w:val="lt-LT" w:eastAsia="en-IN"/>
        </w:rPr>
        <w:t xml:space="preserve"> inkstų funkcijos sutrikimo rizikos veiksnių, nustatyti ūminio inkstų nepakankamumo atvejai. Jei emtricitabino</w:t>
      </w:r>
      <w:r w:rsidR="00422A28"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00422A28" w:rsidRPr="001839C2">
        <w:rPr>
          <w:rFonts w:eastAsiaTheme="minorEastAsia"/>
          <w:snapToGrid/>
          <w:szCs w:val="22"/>
          <w:lang w:val="lt-LT" w:eastAsia="en-IN"/>
        </w:rPr>
        <w:t>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skiriama kartu su NVNU, reikia tinkamai stebėti inkstų funkciją.</w:t>
      </w:r>
    </w:p>
    <w:p w14:paraId="4FF4A4D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7653C66"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Didesnė inkstų funkcijos sutrikimo rizika nustatyta ŽIV</w:t>
      </w:r>
      <w:r w:rsidR="00422A28" w:rsidRPr="001839C2">
        <w:rPr>
          <w:rFonts w:eastAsiaTheme="minorEastAsia"/>
          <w:snapToGrid/>
          <w:szCs w:val="22"/>
          <w:lang w:val="lt-LT" w:eastAsia="en-IN"/>
        </w:rPr>
        <w:noBreakHyphen/>
      </w:r>
      <w:r w:rsidRPr="001839C2">
        <w:rPr>
          <w:rFonts w:eastAsiaTheme="minorEastAsia"/>
          <w:snapToGrid/>
          <w:szCs w:val="22"/>
          <w:lang w:val="lt-LT" w:eastAsia="en-IN"/>
        </w:rPr>
        <w:t>1 infekuotiems pacientams, vartojantiems tenofoviro dizoproksil</w:t>
      </w:r>
      <w:r w:rsidR="00422A28" w:rsidRPr="001839C2">
        <w:rPr>
          <w:rFonts w:eastAsiaTheme="minorEastAsia"/>
          <w:snapToGrid/>
          <w:szCs w:val="22"/>
          <w:lang w:val="lt-LT" w:eastAsia="en-IN"/>
        </w:rPr>
        <w:t>io</w:t>
      </w:r>
      <w:r w:rsidRPr="001839C2">
        <w:rPr>
          <w:rFonts w:eastAsiaTheme="minorEastAsia"/>
          <w:snapToGrid/>
          <w:szCs w:val="22"/>
          <w:lang w:val="lt-LT" w:eastAsia="en-IN"/>
        </w:rPr>
        <w:t xml:space="preserve"> kartu su ritonaviru arba kobicistatu sustiprintu proteazių inhibitoriumi. Šiems pacientams reikia atidžiai stebėti inkstų funkciją (žr.</w:t>
      </w:r>
      <w:r w:rsidR="00422A28" w:rsidRPr="001839C2">
        <w:rPr>
          <w:rFonts w:eastAsiaTheme="minorEastAsia"/>
          <w:snapToGrid/>
          <w:szCs w:val="22"/>
          <w:lang w:val="lt-LT" w:eastAsia="en-IN"/>
        </w:rPr>
        <w:t> </w:t>
      </w:r>
      <w:r w:rsidRPr="001839C2">
        <w:rPr>
          <w:rFonts w:eastAsiaTheme="minorEastAsia"/>
          <w:snapToGrid/>
          <w:szCs w:val="22"/>
          <w:lang w:val="lt-LT" w:eastAsia="en-IN"/>
        </w:rPr>
        <w:t>4.5</w:t>
      </w:r>
      <w:r w:rsidR="00422A28" w:rsidRPr="001839C2">
        <w:rPr>
          <w:rFonts w:eastAsiaTheme="minorEastAsia"/>
          <w:snapToGrid/>
          <w:szCs w:val="22"/>
          <w:lang w:val="lt-LT" w:eastAsia="en-IN"/>
        </w:rPr>
        <w:t> </w:t>
      </w:r>
      <w:r w:rsidRPr="001839C2">
        <w:rPr>
          <w:rFonts w:eastAsiaTheme="minorEastAsia"/>
          <w:snapToGrid/>
          <w:szCs w:val="22"/>
          <w:lang w:val="lt-LT" w:eastAsia="en-IN"/>
        </w:rPr>
        <w:t>skyrių). ŽIV</w:t>
      </w:r>
      <w:r w:rsidR="00422A28" w:rsidRPr="001839C2">
        <w:rPr>
          <w:rFonts w:eastAsiaTheme="minorEastAsia"/>
          <w:snapToGrid/>
          <w:szCs w:val="22"/>
          <w:lang w:val="lt-LT" w:eastAsia="en-IN"/>
        </w:rPr>
        <w:noBreakHyphen/>
      </w:r>
      <w:r w:rsidRPr="001839C2">
        <w:rPr>
          <w:rFonts w:eastAsiaTheme="minorEastAsia"/>
          <w:snapToGrid/>
          <w:szCs w:val="22"/>
          <w:lang w:val="lt-LT" w:eastAsia="en-IN"/>
        </w:rPr>
        <w:t>1 infekuotiems pacientams, kuriems yra inkstų funkcijos sutrikimo rizikos veiksnių, tenofoviro dizoproksilio vartojimą kartu su sustiprintu proteazių inhibitoriumi reikia atidžiai įvertinti.</w:t>
      </w:r>
    </w:p>
    <w:p w14:paraId="01CB02E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43B167B"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422A28"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Pr="001839C2">
        <w:rPr>
          <w:rFonts w:eastAsiaTheme="minorEastAsia"/>
          <w:snapToGrid/>
          <w:szCs w:val="22"/>
          <w:lang w:val="lt-LT" w:eastAsia="en-IN"/>
        </w:rPr>
        <w:t>o</w:t>
      </w:r>
      <w:r w:rsidR="00422A28"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negalima vartoti kartu su kitais vaist</w:t>
      </w:r>
      <w:r w:rsidR="00AE649A" w:rsidRPr="001839C2">
        <w:rPr>
          <w:rFonts w:eastAsiaTheme="minorEastAsia"/>
          <w:snapToGrid/>
          <w:szCs w:val="22"/>
          <w:lang w:val="lt-LT" w:eastAsia="en-IN"/>
        </w:rPr>
        <w:t>ini</w:t>
      </w:r>
      <w:r w:rsidRPr="001839C2">
        <w:rPr>
          <w:rFonts w:eastAsiaTheme="minorEastAsia"/>
          <w:snapToGrid/>
          <w:szCs w:val="22"/>
          <w:lang w:val="lt-LT" w:eastAsia="en-IN"/>
        </w:rPr>
        <w:t>ais</w:t>
      </w:r>
      <w:r w:rsidR="00AE649A" w:rsidRPr="001839C2">
        <w:rPr>
          <w:rFonts w:eastAsiaTheme="minorEastAsia"/>
          <w:snapToGrid/>
          <w:szCs w:val="22"/>
          <w:lang w:val="lt-LT" w:eastAsia="en-IN"/>
        </w:rPr>
        <w:t xml:space="preserve"> preparatais</w:t>
      </w:r>
      <w:r w:rsidRPr="001839C2">
        <w:rPr>
          <w:rFonts w:eastAsiaTheme="minorEastAsia"/>
          <w:snapToGrid/>
          <w:szCs w:val="22"/>
          <w:lang w:val="lt-LT" w:eastAsia="en-IN"/>
        </w:rPr>
        <w:t>, kurių sudėtyje yra emtricitabino, tenofoviro dizoproksilio, tenofoviro alafenamido ar kitų citidino analogų, tokių kaip lamivudinas (žr.</w:t>
      </w:r>
      <w:r w:rsidR="00422A28" w:rsidRPr="001839C2">
        <w:rPr>
          <w:rFonts w:eastAsiaTheme="minorEastAsia"/>
          <w:snapToGrid/>
          <w:szCs w:val="22"/>
          <w:lang w:val="lt-LT" w:eastAsia="en-IN"/>
        </w:rPr>
        <w:t> </w:t>
      </w:r>
      <w:r w:rsidRPr="001839C2">
        <w:rPr>
          <w:rFonts w:eastAsiaTheme="minorEastAsia"/>
          <w:snapToGrid/>
          <w:szCs w:val="22"/>
          <w:lang w:val="lt-LT" w:eastAsia="en-IN"/>
        </w:rPr>
        <w:t>4.5</w:t>
      </w:r>
      <w:r w:rsidR="00422A28" w:rsidRPr="001839C2">
        <w:rPr>
          <w:rFonts w:eastAsiaTheme="minorEastAsia"/>
          <w:snapToGrid/>
          <w:szCs w:val="22"/>
          <w:lang w:val="lt-LT" w:eastAsia="en-IN"/>
        </w:rPr>
        <w:t> </w:t>
      </w:r>
      <w:r w:rsidRPr="001839C2">
        <w:rPr>
          <w:rFonts w:eastAsiaTheme="minorEastAsia"/>
          <w:snapToGrid/>
          <w:szCs w:val="22"/>
          <w:lang w:val="lt-LT" w:eastAsia="en-IN"/>
        </w:rPr>
        <w:t>skyrių). Emtricitabino</w:t>
      </w:r>
      <w:r w:rsidR="00422A28"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Pr="001839C2">
        <w:rPr>
          <w:rFonts w:eastAsiaTheme="minorEastAsia"/>
          <w:snapToGrid/>
          <w:szCs w:val="22"/>
          <w:lang w:val="lt-LT" w:eastAsia="en-IN"/>
        </w:rPr>
        <w:t>o</w:t>
      </w:r>
      <w:r w:rsidR="00422A28"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negalima vartoti kartu su adefovir</w:t>
      </w:r>
      <w:r w:rsidR="00422A28" w:rsidRPr="001839C2">
        <w:rPr>
          <w:rFonts w:eastAsiaTheme="minorEastAsia"/>
          <w:snapToGrid/>
          <w:szCs w:val="22"/>
          <w:lang w:val="lt-LT" w:eastAsia="en-IN"/>
        </w:rPr>
        <w:t>u</w:t>
      </w:r>
      <w:r w:rsidRPr="001839C2">
        <w:rPr>
          <w:rFonts w:eastAsiaTheme="minorEastAsia"/>
          <w:snapToGrid/>
          <w:szCs w:val="22"/>
          <w:lang w:val="lt-LT" w:eastAsia="en-IN"/>
        </w:rPr>
        <w:t xml:space="preserve"> dipivoksiliu.</w:t>
      </w:r>
    </w:p>
    <w:p w14:paraId="49DA603A"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9AA5EF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Vartojimas kartu su ledipasviru ir sofosbuviru, sofosbuviru ir velpatasviru arba sofosbuviru, velpatasviru ir voksilapreviru</w:t>
      </w:r>
    </w:p>
    <w:p w14:paraId="780B32E0"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Nustatyta, kad vartojant tenofoviro dizoproksil</w:t>
      </w:r>
      <w:r w:rsidR="00422A28" w:rsidRPr="001839C2">
        <w:rPr>
          <w:rFonts w:eastAsiaTheme="minorEastAsia"/>
          <w:snapToGrid/>
          <w:szCs w:val="22"/>
          <w:lang w:val="lt-LT" w:eastAsia="en-IN"/>
        </w:rPr>
        <w:t>io</w:t>
      </w:r>
      <w:r w:rsidRPr="001839C2">
        <w:rPr>
          <w:rFonts w:eastAsiaTheme="minorEastAsia"/>
          <w:snapToGrid/>
          <w:szCs w:val="22"/>
          <w:lang w:val="lt-LT" w:eastAsia="en-IN"/>
        </w:rPr>
        <w:t xml:space="preserve"> kartu su ledipasvir</w:t>
      </w:r>
      <w:r w:rsidR="00422A28"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422A28" w:rsidRPr="001839C2">
        <w:rPr>
          <w:rFonts w:eastAsiaTheme="minorEastAsia"/>
          <w:snapToGrid/>
          <w:szCs w:val="22"/>
          <w:lang w:val="lt-LT" w:eastAsia="en-IN"/>
        </w:rPr>
        <w:t>ir</w:t>
      </w:r>
      <w:r w:rsidRPr="001839C2">
        <w:rPr>
          <w:rFonts w:eastAsiaTheme="minorEastAsia"/>
          <w:snapToGrid/>
          <w:szCs w:val="22"/>
          <w:lang w:val="lt-LT" w:eastAsia="en-IN"/>
        </w:rPr>
        <w:t xml:space="preserve"> sofosbuvir</w:t>
      </w:r>
      <w:r w:rsidR="00422A28" w:rsidRPr="001839C2">
        <w:rPr>
          <w:rFonts w:eastAsiaTheme="minorEastAsia"/>
          <w:snapToGrid/>
          <w:szCs w:val="22"/>
          <w:lang w:val="lt-LT" w:eastAsia="en-IN"/>
        </w:rPr>
        <w:t>o deriniu</w:t>
      </w:r>
      <w:r w:rsidRPr="001839C2">
        <w:rPr>
          <w:rFonts w:eastAsiaTheme="minorEastAsia"/>
          <w:snapToGrid/>
          <w:szCs w:val="22"/>
          <w:lang w:val="lt-LT" w:eastAsia="en-IN"/>
        </w:rPr>
        <w:t>, sofosbuvir</w:t>
      </w:r>
      <w:r w:rsidR="00422A28"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422A28" w:rsidRPr="001839C2">
        <w:rPr>
          <w:rFonts w:eastAsiaTheme="minorEastAsia"/>
          <w:snapToGrid/>
          <w:szCs w:val="22"/>
          <w:lang w:val="lt-LT" w:eastAsia="en-IN"/>
        </w:rPr>
        <w:t>ir</w:t>
      </w:r>
      <w:r w:rsidRPr="001839C2">
        <w:rPr>
          <w:rFonts w:eastAsiaTheme="minorEastAsia"/>
          <w:snapToGrid/>
          <w:szCs w:val="22"/>
          <w:lang w:val="lt-LT" w:eastAsia="en-IN"/>
        </w:rPr>
        <w:t xml:space="preserve"> velpatasvir</w:t>
      </w:r>
      <w:r w:rsidR="00422A28" w:rsidRPr="001839C2">
        <w:rPr>
          <w:rFonts w:eastAsiaTheme="minorEastAsia"/>
          <w:snapToGrid/>
          <w:szCs w:val="22"/>
          <w:lang w:val="lt-LT" w:eastAsia="en-IN"/>
        </w:rPr>
        <w:t>o deriniu</w:t>
      </w:r>
      <w:r w:rsidRPr="001839C2">
        <w:rPr>
          <w:rFonts w:eastAsiaTheme="minorEastAsia"/>
          <w:snapToGrid/>
          <w:szCs w:val="22"/>
          <w:lang w:val="lt-LT" w:eastAsia="en-IN"/>
        </w:rPr>
        <w:t xml:space="preserve"> arba sofosbuvir</w:t>
      </w:r>
      <w:r w:rsidR="00422A28" w:rsidRPr="001839C2">
        <w:rPr>
          <w:rFonts w:eastAsiaTheme="minorEastAsia"/>
          <w:snapToGrid/>
          <w:szCs w:val="22"/>
          <w:lang w:val="lt-LT" w:eastAsia="en-IN"/>
        </w:rPr>
        <w:t>o,</w:t>
      </w:r>
      <w:r w:rsidRPr="001839C2">
        <w:rPr>
          <w:rFonts w:eastAsiaTheme="minorEastAsia"/>
          <w:snapToGrid/>
          <w:szCs w:val="22"/>
          <w:lang w:val="lt-LT" w:eastAsia="en-IN"/>
        </w:rPr>
        <w:t xml:space="preserve"> velpatasvir</w:t>
      </w:r>
      <w:r w:rsidR="00422A28"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422A28" w:rsidRPr="001839C2">
        <w:rPr>
          <w:rFonts w:eastAsiaTheme="minorEastAsia"/>
          <w:snapToGrid/>
          <w:szCs w:val="22"/>
          <w:lang w:val="lt-LT" w:eastAsia="en-IN"/>
        </w:rPr>
        <w:t>ir</w:t>
      </w:r>
      <w:r w:rsidRPr="001839C2">
        <w:rPr>
          <w:rFonts w:eastAsiaTheme="minorEastAsia"/>
          <w:snapToGrid/>
          <w:szCs w:val="22"/>
          <w:lang w:val="lt-LT" w:eastAsia="en-IN"/>
        </w:rPr>
        <w:t xml:space="preserve"> voksilaprevir</w:t>
      </w:r>
      <w:r w:rsidR="00422A28" w:rsidRPr="001839C2">
        <w:rPr>
          <w:rFonts w:eastAsiaTheme="minorEastAsia"/>
          <w:snapToGrid/>
          <w:szCs w:val="22"/>
          <w:lang w:val="lt-LT" w:eastAsia="en-IN"/>
        </w:rPr>
        <w:t>o deriniu</w:t>
      </w:r>
      <w:r w:rsidRPr="001839C2">
        <w:rPr>
          <w:rFonts w:eastAsiaTheme="minorEastAsia"/>
          <w:snapToGrid/>
          <w:szCs w:val="22"/>
          <w:lang w:val="lt-LT" w:eastAsia="en-IN"/>
        </w:rPr>
        <w:t xml:space="preserve"> padidėja tenofoviro koncentracija plazmoje, ypač kartu taikant ŽIV</w:t>
      </w:r>
      <w:r w:rsidR="00422A28" w:rsidRPr="001839C2">
        <w:rPr>
          <w:rFonts w:eastAsiaTheme="minorEastAsia"/>
          <w:snapToGrid/>
          <w:szCs w:val="22"/>
          <w:lang w:val="lt-LT" w:eastAsia="en-IN"/>
        </w:rPr>
        <w:t> </w:t>
      </w:r>
      <w:r w:rsidRPr="001839C2">
        <w:rPr>
          <w:rFonts w:eastAsiaTheme="minorEastAsia"/>
          <w:snapToGrid/>
          <w:szCs w:val="22"/>
          <w:lang w:val="lt-LT" w:eastAsia="en-IN"/>
        </w:rPr>
        <w:t>gydymo schemą, į kurią įeina tenofovir</w:t>
      </w:r>
      <w:r w:rsidR="00EB3A05" w:rsidRPr="001839C2">
        <w:rPr>
          <w:rFonts w:eastAsiaTheme="minorEastAsia"/>
          <w:snapToGrid/>
          <w:szCs w:val="22"/>
          <w:lang w:val="lt-LT" w:eastAsia="en-IN"/>
        </w:rPr>
        <w:t>as</w:t>
      </w:r>
      <w:r w:rsidRPr="001839C2">
        <w:rPr>
          <w:rFonts w:eastAsiaTheme="minorEastAsia"/>
          <w:snapToGrid/>
          <w:szCs w:val="22"/>
          <w:lang w:val="lt-LT" w:eastAsia="en-IN"/>
        </w:rPr>
        <w:t xml:space="preserve"> dizoproksilis ir farmakokinetiką stiprinanti medžiaga (ritonaviras arba kobicistatas).</w:t>
      </w:r>
    </w:p>
    <w:p w14:paraId="60ABBE3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7AC8A10"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Tenofoviro dizoproksilio saugumas kartu vartojant ledipasvir</w:t>
      </w:r>
      <w:r w:rsidR="00422A28"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422A28" w:rsidRPr="001839C2">
        <w:rPr>
          <w:rFonts w:eastAsiaTheme="minorEastAsia"/>
          <w:snapToGrid/>
          <w:szCs w:val="22"/>
          <w:lang w:val="lt-LT" w:eastAsia="en-IN"/>
        </w:rPr>
        <w:t>ir</w:t>
      </w:r>
      <w:r w:rsidRPr="001839C2">
        <w:rPr>
          <w:rFonts w:eastAsiaTheme="minorEastAsia"/>
          <w:snapToGrid/>
          <w:szCs w:val="22"/>
          <w:lang w:val="lt-LT" w:eastAsia="en-IN"/>
        </w:rPr>
        <w:t xml:space="preserve"> sofosbuvir</w:t>
      </w:r>
      <w:r w:rsidR="00422A28" w:rsidRPr="001839C2">
        <w:rPr>
          <w:rFonts w:eastAsiaTheme="minorEastAsia"/>
          <w:snapToGrid/>
          <w:szCs w:val="22"/>
          <w:lang w:val="lt-LT" w:eastAsia="en-IN"/>
        </w:rPr>
        <w:t>o derinio</w:t>
      </w:r>
      <w:r w:rsidRPr="001839C2">
        <w:rPr>
          <w:rFonts w:eastAsiaTheme="minorEastAsia"/>
          <w:snapToGrid/>
          <w:szCs w:val="22"/>
          <w:lang w:val="lt-LT" w:eastAsia="en-IN"/>
        </w:rPr>
        <w:t>, sofosbuvir</w:t>
      </w:r>
      <w:r w:rsidR="00422A28"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422A28" w:rsidRPr="001839C2">
        <w:rPr>
          <w:rFonts w:eastAsiaTheme="minorEastAsia"/>
          <w:snapToGrid/>
          <w:szCs w:val="22"/>
          <w:lang w:val="lt-LT" w:eastAsia="en-IN"/>
        </w:rPr>
        <w:t>ir</w:t>
      </w:r>
      <w:r w:rsidRPr="001839C2">
        <w:rPr>
          <w:rFonts w:eastAsiaTheme="minorEastAsia"/>
          <w:snapToGrid/>
          <w:szCs w:val="22"/>
          <w:lang w:val="lt-LT" w:eastAsia="en-IN"/>
        </w:rPr>
        <w:t xml:space="preserve"> velpatasvir</w:t>
      </w:r>
      <w:r w:rsidR="00422A28" w:rsidRPr="001839C2">
        <w:rPr>
          <w:rFonts w:eastAsiaTheme="minorEastAsia"/>
          <w:snapToGrid/>
          <w:szCs w:val="22"/>
          <w:lang w:val="lt-LT" w:eastAsia="en-IN"/>
        </w:rPr>
        <w:t>o derinio</w:t>
      </w:r>
      <w:r w:rsidRPr="001839C2">
        <w:rPr>
          <w:rFonts w:eastAsiaTheme="minorEastAsia"/>
          <w:snapToGrid/>
          <w:szCs w:val="22"/>
          <w:lang w:val="lt-LT" w:eastAsia="en-IN"/>
        </w:rPr>
        <w:t xml:space="preserve"> arba sofosbuvir</w:t>
      </w:r>
      <w:r w:rsidR="00422A28" w:rsidRPr="001839C2">
        <w:rPr>
          <w:rFonts w:eastAsiaTheme="minorEastAsia"/>
          <w:snapToGrid/>
          <w:szCs w:val="22"/>
          <w:lang w:val="lt-LT" w:eastAsia="en-IN"/>
        </w:rPr>
        <w:t>o,</w:t>
      </w:r>
      <w:r w:rsidRPr="001839C2">
        <w:rPr>
          <w:rFonts w:eastAsiaTheme="minorEastAsia"/>
          <w:snapToGrid/>
          <w:szCs w:val="22"/>
          <w:lang w:val="lt-LT" w:eastAsia="en-IN"/>
        </w:rPr>
        <w:t xml:space="preserve"> velpatasvir</w:t>
      </w:r>
      <w:r w:rsidR="00422A28"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422A28" w:rsidRPr="001839C2">
        <w:rPr>
          <w:rFonts w:eastAsiaTheme="minorEastAsia"/>
          <w:snapToGrid/>
          <w:szCs w:val="22"/>
          <w:lang w:val="lt-LT" w:eastAsia="en-IN"/>
        </w:rPr>
        <w:t>ir</w:t>
      </w:r>
      <w:r w:rsidRPr="001839C2">
        <w:rPr>
          <w:rFonts w:eastAsiaTheme="minorEastAsia"/>
          <w:snapToGrid/>
          <w:szCs w:val="22"/>
          <w:lang w:val="lt-LT" w:eastAsia="en-IN"/>
        </w:rPr>
        <w:t xml:space="preserve"> voksilaprevir</w:t>
      </w:r>
      <w:r w:rsidR="00422A28" w:rsidRPr="001839C2">
        <w:rPr>
          <w:rFonts w:eastAsiaTheme="minorEastAsia"/>
          <w:snapToGrid/>
          <w:szCs w:val="22"/>
          <w:lang w:val="lt-LT" w:eastAsia="en-IN"/>
        </w:rPr>
        <w:t>o derinio</w:t>
      </w:r>
      <w:r w:rsidRPr="001839C2">
        <w:rPr>
          <w:rFonts w:eastAsiaTheme="minorEastAsia"/>
          <w:snapToGrid/>
          <w:szCs w:val="22"/>
          <w:lang w:val="lt-LT" w:eastAsia="en-IN"/>
        </w:rPr>
        <w:t xml:space="preserve"> ir farmakokinetiką stiprinanči</w:t>
      </w:r>
      <w:r w:rsidR="00422A28" w:rsidRPr="001839C2">
        <w:rPr>
          <w:rFonts w:eastAsiaTheme="minorEastAsia"/>
          <w:snapToGrid/>
          <w:szCs w:val="22"/>
          <w:lang w:val="lt-LT" w:eastAsia="en-IN"/>
        </w:rPr>
        <w:t>ios</w:t>
      </w:r>
      <w:r w:rsidRPr="001839C2">
        <w:rPr>
          <w:rFonts w:eastAsiaTheme="minorEastAsia"/>
          <w:snapToGrid/>
          <w:szCs w:val="22"/>
          <w:lang w:val="lt-LT" w:eastAsia="en-IN"/>
        </w:rPr>
        <w:t xml:space="preserve"> medžiag</w:t>
      </w:r>
      <w:r w:rsidR="00422A28" w:rsidRPr="001839C2">
        <w:rPr>
          <w:rFonts w:eastAsiaTheme="minorEastAsia"/>
          <w:snapToGrid/>
          <w:szCs w:val="22"/>
          <w:lang w:val="lt-LT" w:eastAsia="en-IN"/>
        </w:rPr>
        <w:t>os</w:t>
      </w:r>
      <w:r w:rsidRPr="001839C2">
        <w:rPr>
          <w:rFonts w:eastAsiaTheme="minorEastAsia"/>
          <w:snapToGrid/>
          <w:szCs w:val="22"/>
          <w:lang w:val="lt-LT" w:eastAsia="en-IN"/>
        </w:rPr>
        <w:t xml:space="preserve"> neištirtas.</w:t>
      </w:r>
      <w:r w:rsidR="00D12A77" w:rsidRPr="001839C2">
        <w:rPr>
          <w:rFonts w:eastAsiaTheme="minorEastAsia"/>
          <w:snapToGrid/>
          <w:szCs w:val="22"/>
          <w:lang w:val="lt-LT" w:eastAsia="en-IN"/>
        </w:rPr>
        <w:t xml:space="preserve"> </w:t>
      </w:r>
      <w:r w:rsidRPr="001839C2">
        <w:rPr>
          <w:rFonts w:eastAsiaTheme="minorEastAsia"/>
          <w:snapToGrid/>
          <w:szCs w:val="22"/>
          <w:lang w:val="lt-LT" w:eastAsia="en-IN"/>
        </w:rPr>
        <w:t>Reikia apsvarstyti galimą riziką ir naudą, susijusią su vartojimu kartu, ypač pacientams, kuriems yra padidėjusi inkstų disfunkcijos rizika. Reikia stebėti, ar pacientams, vartojantiems ledipasvir</w:t>
      </w:r>
      <w:r w:rsidR="00E35ACF"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E35ACF" w:rsidRPr="001839C2">
        <w:rPr>
          <w:rFonts w:eastAsiaTheme="minorEastAsia"/>
          <w:snapToGrid/>
          <w:szCs w:val="22"/>
          <w:lang w:val="lt-LT" w:eastAsia="en-IN"/>
        </w:rPr>
        <w:t>ir</w:t>
      </w:r>
      <w:r w:rsidRPr="001839C2">
        <w:rPr>
          <w:rFonts w:eastAsiaTheme="minorEastAsia"/>
          <w:snapToGrid/>
          <w:szCs w:val="22"/>
          <w:lang w:val="lt-LT" w:eastAsia="en-IN"/>
        </w:rPr>
        <w:t xml:space="preserve"> sofosbuvir</w:t>
      </w:r>
      <w:r w:rsidR="00E35ACF" w:rsidRPr="001839C2">
        <w:rPr>
          <w:rFonts w:eastAsiaTheme="minorEastAsia"/>
          <w:snapToGrid/>
          <w:szCs w:val="22"/>
          <w:lang w:val="lt-LT" w:eastAsia="en-IN"/>
        </w:rPr>
        <w:t>o derinio</w:t>
      </w:r>
      <w:r w:rsidRPr="001839C2">
        <w:rPr>
          <w:rFonts w:eastAsiaTheme="minorEastAsia"/>
          <w:snapToGrid/>
          <w:szCs w:val="22"/>
          <w:lang w:val="lt-LT" w:eastAsia="en-IN"/>
        </w:rPr>
        <w:t>, sofosbuvir</w:t>
      </w:r>
      <w:r w:rsidR="00E35ACF"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E35ACF" w:rsidRPr="001839C2">
        <w:rPr>
          <w:rFonts w:eastAsiaTheme="minorEastAsia"/>
          <w:snapToGrid/>
          <w:szCs w:val="22"/>
          <w:lang w:val="lt-LT" w:eastAsia="en-IN"/>
        </w:rPr>
        <w:t>ir</w:t>
      </w:r>
      <w:r w:rsidRPr="001839C2">
        <w:rPr>
          <w:rFonts w:eastAsiaTheme="minorEastAsia"/>
          <w:snapToGrid/>
          <w:szCs w:val="22"/>
          <w:lang w:val="lt-LT" w:eastAsia="en-IN"/>
        </w:rPr>
        <w:t xml:space="preserve"> velpatasvir</w:t>
      </w:r>
      <w:r w:rsidR="00E35ACF" w:rsidRPr="001839C2">
        <w:rPr>
          <w:rFonts w:eastAsiaTheme="minorEastAsia"/>
          <w:snapToGrid/>
          <w:szCs w:val="22"/>
          <w:lang w:val="lt-LT" w:eastAsia="en-IN"/>
        </w:rPr>
        <w:t>o derinio</w:t>
      </w:r>
      <w:r w:rsidRPr="001839C2">
        <w:rPr>
          <w:rFonts w:eastAsiaTheme="minorEastAsia"/>
          <w:snapToGrid/>
          <w:szCs w:val="22"/>
          <w:lang w:val="lt-LT" w:eastAsia="en-IN"/>
        </w:rPr>
        <w:t xml:space="preserve"> arba sofosbuvir</w:t>
      </w:r>
      <w:r w:rsidR="00E35ACF" w:rsidRPr="001839C2">
        <w:rPr>
          <w:rFonts w:eastAsiaTheme="minorEastAsia"/>
          <w:snapToGrid/>
          <w:szCs w:val="22"/>
          <w:lang w:val="lt-LT" w:eastAsia="en-IN"/>
        </w:rPr>
        <w:t>o,</w:t>
      </w:r>
      <w:r w:rsidRPr="001839C2">
        <w:rPr>
          <w:rFonts w:eastAsiaTheme="minorEastAsia"/>
          <w:snapToGrid/>
          <w:szCs w:val="22"/>
          <w:lang w:val="lt-LT" w:eastAsia="en-IN"/>
        </w:rPr>
        <w:t xml:space="preserve"> velpatasvir</w:t>
      </w:r>
      <w:r w:rsidR="00E35ACF"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E35ACF" w:rsidRPr="001839C2">
        <w:rPr>
          <w:rFonts w:eastAsiaTheme="minorEastAsia"/>
          <w:snapToGrid/>
          <w:szCs w:val="22"/>
          <w:lang w:val="lt-LT" w:eastAsia="en-IN"/>
        </w:rPr>
        <w:t>ir</w:t>
      </w:r>
      <w:r w:rsidRPr="001839C2">
        <w:rPr>
          <w:rFonts w:eastAsiaTheme="minorEastAsia"/>
          <w:snapToGrid/>
          <w:szCs w:val="22"/>
          <w:lang w:val="lt-LT" w:eastAsia="en-IN"/>
        </w:rPr>
        <w:t xml:space="preserve"> voksilaprevir</w:t>
      </w:r>
      <w:r w:rsidR="00E35ACF" w:rsidRPr="001839C2">
        <w:rPr>
          <w:rFonts w:eastAsiaTheme="minorEastAsia"/>
          <w:snapToGrid/>
          <w:szCs w:val="22"/>
          <w:lang w:val="lt-LT" w:eastAsia="en-IN"/>
        </w:rPr>
        <w:t>o derinio</w:t>
      </w:r>
      <w:r w:rsidRPr="001839C2">
        <w:rPr>
          <w:rFonts w:eastAsiaTheme="minorEastAsia"/>
          <w:snapToGrid/>
          <w:szCs w:val="22"/>
          <w:lang w:val="lt-LT" w:eastAsia="en-IN"/>
        </w:rPr>
        <w:t xml:space="preserve"> kartu su tenofovir</w:t>
      </w:r>
      <w:r w:rsidR="00EB3A05"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ir sustiprintu ŽIV</w:t>
      </w:r>
      <w:r w:rsidR="00E35ACF" w:rsidRPr="001839C2">
        <w:rPr>
          <w:rFonts w:eastAsiaTheme="minorEastAsia"/>
          <w:snapToGrid/>
          <w:szCs w:val="22"/>
          <w:lang w:val="lt-LT" w:eastAsia="en-IN"/>
        </w:rPr>
        <w:t> </w:t>
      </w:r>
      <w:r w:rsidRPr="001839C2">
        <w:rPr>
          <w:rFonts w:eastAsiaTheme="minorEastAsia"/>
          <w:snapToGrid/>
          <w:szCs w:val="22"/>
          <w:lang w:val="lt-LT" w:eastAsia="en-IN"/>
        </w:rPr>
        <w:t>proteazės inhibitoriumi, nepasireiškia nepageidaujamų reakcijų, susijusių su tenofovir</w:t>
      </w:r>
      <w:r w:rsidR="00EB3A05"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w:t>
      </w:r>
    </w:p>
    <w:p w14:paraId="713951F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F0B505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Tenofoviro dizoproksilio ir didanozino vartojimas kartu</w:t>
      </w:r>
    </w:p>
    <w:p w14:paraId="301710EC" w14:textId="77777777" w:rsidR="00270ABA" w:rsidRPr="001839C2" w:rsidRDefault="00270ABA"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Tenofoviro dizoproksilio ir didanozino vartojimas kartu nerekomenduojamas (žr. 4.5 skyrių).</w:t>
      </w:r>
    </w:p>
    <w:p w14:paraId="7FF1015A"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BCDCECF" w14:textId="77777777" w:rsidR="002A5F50" w:rsidRPr="001839C2" w:rsidRDefault="002A5F50" w:rsidP="00F40AC1">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Gydymas trimis</w:t>
      </w:r>
      <w:r w:rsidR="00E35ACF" w:rsidRPr="001839C2">
        <w:rPr>
          <w:rFonts w:eastAsiaTheme="minorEastAsia"/>
          <w:snapToGrid/>
          <w:szCs w:val="22"/>
          <w:u w:val="single"/>
          <w:lang w:val="lt-LT" w:eastAsia="en-IN"/>
        </w:rPr>
        <w:t> </w:t>
      </w:r>
      <w:r w:rsidRPr="001839C2">
        <w:rPr>
          <w:rFonts w:eastAsiaTheme="minorEastAsia"/>
          <w:snapToGrid/>
          <w:szCs w:val="22"/>
          <w:u w:val="single"/>
          <w:lang w:val="lt-LT" w:eastAsia="en-IN"/>
        </w:rPr>
        <w:t>nukleozidais</w:t>
      </w:r>
    </w:p>
    <w:p w14:paraId="0183B172" w14:textId="77777777" w:rsidR="002A5F50" w:rsidRPr="001839C2" w:rsidRDefault="002A5F50" w:rsidP="00F40AC1">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Esama pranešimų apie dažno virusologinio gydymo neefektyvumo ir atsparumo atsiradimo ankstyvoje stadijoje atvejus, tenofovir</w:t>
      </w:r>
      <w:r w:rsidR="00EB3A05"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gydant ŽIV</w:t>
      </w:r>
      <w:r w:rsidR="00E35ACF" w:rsidRPr="001839C2">
        <w:rPr>
          <w:rFonts w:eastAsiaTheme="minorEastAsia"/>
          <w:snapToGrid/>
          <w:szCs w:val="22"/>
          <w:lang w:val="lt-LT" w:eastAsia="en-IN"/>
        </w:rPr>
        <w:noBreakHyphen/>
      </w:r>
      <w:r w:rsidRPr="001839C2">
        <w:rPr>
          <w:rFonts w:eastAsiaTheme="minorEastAsia"/>
          <w:snapToGrid/>
          <w:szCs w:val="22"/>
          <w:lang w:val="lt-LT" w:eastAsia="en-IN"/>
        </w:rPr>
        <w:t>1 infekuotus pacientus vieną</w:t>
      </w:r>
      <w:r w:rsidR="00E35ACF" w:rsidRPr="001839C2">
        <w:rPr>
          <w:rFonts w:eastAsiaTheme="minorEastAsia"/>
          <w:snapToGrid/>
          <w:szCs w:val="22"/>
          <w:lang w:val="lt-LT" w:eastAsia="en-IN"/>
        </w:rPr>
        <w:t> </w:t>
      </w:r>
      <w:r w:rsidRPr="001839C2">
        <w:rPr>
          <w:rFonts w:eastAsiaTheme="minorEastAsia"/>
          <w:snapToGrid/>
          <w:szCs w:val="22"/>
          <w:lang w:val="lt-LT" w:eastAsia="en-IN"/>
        </w:rPr>
        <w:t>kartą per</w:t>
      </w:r>
      <w:r w:rsidR="00E35ACF" w:rsidRPr="001839C2">
        <w:rPr>
          <w:rFonts w:eastAsiaTheme="minorEastAsia"/>
          <w:snapToGrid/>
          <w:szCs w:val="22"/>
          <w:lang w:val="lt-LT" w:eastAsia="en-IN"/>
        </w:rPr>
        <w:t> </w:t>
      </w:r>
      <w:r w:rsidRPr="001839C2">
        <w:rPr>
          <w:rFonts w:eastAsiaTheme="minorEastAsia"/>
          <w:snapToGrid/>
          <w:szCs w:val="22"/>
          <w:lang w:val="lt-LT" w:eastAsia="en-IN"/>
        </w:rPr>
        <w:t>parą kartu su lamivudinu ir abakaviru, taip pat kartu su lamivudinu ir didanozinu. Lamivudinas ir emtricitabinas struktūriškai labai panašūs, taip pat panaši šių dviejų</w:t>
      </w:r>
      <w:r w:rsidR="005E1C21" w:rsidRPr="001839C2">
        <w:rPr>
          <w:rFonts w:eastAsiaTheme="minorEastAsia"/>
          <w:snapToGrid/>
          <w:szCs w:val="22"/>
          <w:lang w:val="lt-LT" w:eastAsia="en-IN"/>
        </w:rPr>
        <w:t> </w:t>
      </w:r>
      <w:r w:rsidRPr="001839C2">
        <w:rPr>
          <w:rFonts w:eastAsiaTheme="minorEastAsia"/>
          <w:snapToGrid/>
          <w:szCs w:val="22"/>
          <w:lang w:val="lt-LT" w:eastAsia="en-IN"/>
        </w:rPr>
        <w:t>medžiagų farmakokinetika ir farmakodinamika. Todėl tos pačios</w:t>
      </w:r>
      <w:r w:rsidR="005E1C21" w:rsidRPr="001839C2">
        <w:rPr>
          <w:rFonts w:eastAsiaTheme="minorEastAsia"/>
          <w:snapToGrid/>
          <w:szCs w:val="22"/>
          <w:lang w:val="lt-LT" w:eastAsia="en-IN"/>
        </w:rPr>
        <w:t xml:space="preserve"> priežasties</w:t>
      </w:r>
      <w:r w:rsidRPr="001839C2">
        <w:rPr>
          <w:rFonts w:eastAsiaTheme="minorEastAsia"/>
          <w:snapToGrid/>
          <w:szCs w:val="22"/>
          <w:lang w:val="lt-LT" w:eastAsia="en-IN"/>
        </w:rPr>
        <w:t xml:space="preserve"> problemos gali pasireikšti ir vartojant emtricitabino</w:t>
      </w:r>
      <w:r w:rsidR="00E35ACF" w:rsidRPr="001839C2">
        <w:rPr>
          <w:rFonts w:eastAsiaTheme="minorEastAsia"/>
          <w:snapToGrid/>
          <w:szCs w:val="22"/>
          <w:lang w:val="lt-LT" w:eastAsia="en-IN"/>
        </w:rPr>
        <w:t xml:space="preserve"> ir </w:t>
      </w:r>
      <w:r w:rsidRPr="001839C2">
        <w:rPr>
          <w:rFonts w:eastAsiaTheme="minorEastAsia"/>
          <w:snapToGrid/>
          <w:szCs w:val="22"/>
          <w:lang w:val="lt-LT" w:eastAsia="en-IN"/>
        </w:rPr>
        <w:lastRenderedPageBreak/>
        <w:t>tenofoviro dizoproksil</w:t>
      </w:r>
      <w:r w:rsidR="00E35ACF" w:rsidRPr="001839C2">
        <w:rPr>
          <w:rFonts w:eastAsiaTheme="minorEastAsia"/>
          <w:snapToGrid/>
          <w:szCs w:val="22"/>
          <w:lang w:val="lt-LT" w:eastAsia="en-IN"/>
        </w:rPr>
        <w:t>io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kartu su trečiu nukleozidų analogu.</w:t>
      </w:r>
    </w:p>
    <w:p w14:paraId="343B188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p>
    <w:p w14:paraId="5A2838F9"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Senyvi pacientai</w:t>
      </w:r>
    </w:p>
    <w:p w14:paraId="541E9690"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E35ACF"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Pr="001839C2">
        <w:rPr>
          <w:rFonts w:eastAsiaTheme="minorEastAsia"/>
          <w:snapToGrid/>
          <w:szCs w:val="22"/>
          <w:lang w:val="lt-LT" w:eastAsia="en-IN"/>
        </w:rPr>
        <w:t>o</w:t>
      </w:r>
      <w:r w:rsidR="00E35ACF"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poveikis vyresniems nei 65</w:t>
      </w:r>
      <w:r w:rsidR="00E35ACF" w:rsidRPr="001839C2">
        <w:rPr>
          <w:rFonts w:eastAsiaTheme="minorEastAsia"/>
          <w:snapToGrid/>
          <w:szCs w:val="22"/>
          <w:lang w:val="lt-LT" w:eastAsia="en-IN"/>
        </w:rPr>
        <w:t> </w:t>
      </w:r>
      <w:r w:rsidRPr="001839C2">
        <w:rPr>
          <w:rFonts w:eastAsiaTheme="minorEastAsia"/>
          <w:snapToGrid/>
          <w:szCs w:val="22"/>
          <w:lang w:val="lt-LT" w:eastAsia="en-IN"/>
        </w:rPr>
        <w:t>metų asmenims tirtas nebuvo. Vyresniems nei 65</w:t>
      </w:r>
      <w:r w:rsidR="00E35ACF" w:rsidRPr="001839C2">
        <w:rPr>
          <w:rFonts w:eastAsiaTheme="minorEastAsia"/>
          <w:snapToGrid/>
          <w:szCs w:val="22"/>
          <w:lang w:val="lt-LT" w:eastAsia="en-IN"/>
        </w:rPr>
        <w:t> </w:t>
      </w:r>
      <w:r w:rsidRPr="001839C2">
        <w:rPr>
          <w:rFonts w:eastAsiaTheme="minorEastAsia"/>
          <w:snapToGrid/>
          <w:szCs w:val="22"/>
          <w:lang w:val="lt-LT" w:eastAsia="en-IN"/>
        </w:rPr>
        <w:t>metų asmenims dažniau gali būti sutrikusi inkstų funkcija, todėl emtricitabino</w:t>
      </w:r>
      <w:r w:rsidR="00E35ACF"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Pr="001839C2">
        <w:rPr>
          <w:rFonts w:eastAsiaTheme="minorEastAsia"/>
          <w:snapToGrid/>
          <w:szCs w:val="22"/>
          <w:lang w:val="lt-LT" w:eastAsia="en-IN"/>
        </w:rPr>
        <w:t>o</w:t>
      </w:r>
      <w:r w:rsidR="005E1C21" w:rsidRPr="001839C2">
        <w:rPr>
          <w:rFonts w:eastAsiaTheme="minorEastAsia"/>
          <w:snapToGrid/>
          <w:szCs w:val="22"/>
          <w:lang w:val="lt-LT" w:eastAsia="en-IN"/>
        </w:rPr>
        <w:t xml:space="preserve"> derinio</w:t>
      </w:r>
      <w:r w:rsidRPr="001839C2" w:rsidDel="00D27F59">
        <w:rPr>
          <w:rFonts w:eastAsiaTheme="minorEastAsia"/>
          <w:snapToGrid/>
          <w:szCs w:val="22"/>
          <w:lang w:val="lt-LT" w:eastAsia="en-IN"/>
        </w:rPr>
        <w:t xml:space="preserve"> </w:t>
      </w:r>
      <w:r w:rsidRPr="001839C2">
        <w:rPr>
          <w:rFonts w:eastAsiaTheme="minorEastAsia"/>
          <w:snapToGrid/>
          <w:szCs w:val="22"/>
          <w:lang w:val="lt-LT" w:eastAsia="en-IN"/>
        </w:rPr>
        <w:t>skirti senyviems asmenims reikia atsargiai.</w:t>
      </w:r>
    </w:p>
    <w:p w14:paraId="3482FC4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0146A09"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Pagalbinės medžiagos</w:t>
      </w:r>
    </w:p>
    <w:p w14:paraId="4A34B0FD" w14:textId="1D9A533F"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 xml:space="preserve">Emtricitabine/Tenofovir disoproxil Accordpharma </w:t>
      </w:r>
      <w:r w:rsidRPr="001839C2">
        <w:rPr>
          <w:rFonts w:eastAsiaTheme="minorEastAsia"/>
          <w:snapToGrid/>
          <w:szCs w:val="22"/>
          <w:lang w:val="lt-LT" w:eastAsia="en-IN"/>
        </w:rPr>
        <w:t xml:space="preserve">sudėtyje yra laktozės monohidrato. </w:t>
      </w:r>
      <w:r w:rsidR="00D93C87" w:rsidRPr="001839C2">
        <w:rPr>
          <w:rFonts w:eastAsiaTheme="minorEastAsia"/>
          <w:snapToGrid/>
          <w:szCs w:val="22"/>
          <w:lang w:val="lt-LT" w:eastAsia="en-IN"/>
        </w:rPr>
        <w:t>Š</w:t>
      </w:r>
      <w:r w:rsidRPr="001839C2">
        <w:rPr>
          <w:rFonts w:eastAsiaTheme="minorEastAsia"/>
          <w:snapToGrid/>
          <w:szCs w:val="22"/>
          <w:lang w:val="lt-LT" w:eastAsia="en-IN"/>
        </w:rPr>
        <w:t>io vaist</w:t>
      </w:r>
      <w:r w:rsidR="00C37D10" w:rsidRPr="001839C2">
        <w:rPr>
          <w:rFonts w:eastAsiaTheme="minorEastAsia"/>
          <w:snapToGrid/>
          <w:szCs w:val="22"/>
          <w:lang w:val="lt-LT" w:eastAsia="en-IN"/>
        </w:rPr>
        <w:t>ini</w:t>
      </w:r>
      <w:r w:rsidRPr="001839C2">
        <w:rPr>
          <w:rFonts w:eastAsiaTheme="minorEastAsia"/>
          <w:snapToGrid/>
          <w:szCs w:val="22"/>
          <w:lang w:val="lt-LT" w:eastAsia="en-IN"/>
        </w:rPr>
        <w:t>o</w:t>
      </w:r>
      <w:r w:rsidR="00C37D10"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negalima vartoti pacientams, kuriems nustatytas retas paveldimas sutrikimas – galaktozės netoleravimas, visiškas laktazės stygius arba gliukozės ir galaktozės malabsorbcija.</w:t>
      </w:r>
    </w:p>
    <w:p w14:paraId="6276ABF4" w14:textId="77777777" w:rsidR="00C37D10" w:rsidRPr="001839C2" w:rsidRDefault="00C37D1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DAFABDE" w14:textId="1033162D" w:rsidR="002A5F50" w:rsidRPr="001839C2" w:rsidRDefault="00D93C87"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 xml:space="preserve">Šio vaistinio preparato </w:t>
      </w:r>
      <w:r w:rsidR="00C37D10" w:rsidRPr="001839C2">
        <w:rPr>
          <w:rFonts w:eastAsiaTheme="minorHAnsi"/>
          <w:snapToGrid/>
          <w:szCs w:val="22"/>
          <w:lang w:val="lt-LT"/>
        </w:rPr>
        <w:t xml:space="preserve">tabletėje </w:t>
      </w:r>
      <w:r w:rsidR="002A5F50" w:rsidRPr="001839C2">
        <w:rPr>
          <w:rFonts w:eastAsiaTheme="minorHAnsi"/>
          <w:snapToGrid/>
          <w:szCs w:val="22"/>
          <w:lang w:val="lt-LT"/>
        </w:rPr>
        <w:t>yra mažiau kaip 1</w:t>
      </w:r>
      <w:r w:rsidR="006B530F" w:rsidRPr="001839C2">
        <w:rPr>
          <w:rFonts w:eastAsiaTheme="minorHAnsi"/>
          <w:snapToGrid/>
          <w:szCs w:val="22"/>
          <w:lang w:val="lt-LT"/>
        </w:rPr>
        <w:t> </w:t>
      </w:r>
      <w:r w:rsidR="002A5F50" w:rsidRPr="001839C2">
        <w:rPr>
          <w:rFonts w:eastAsiaTheme="minorHAnsi"/>
          <w:snapToGrid/>
          <w:szCs w:val="22"/>
          <w:lang w:val="lt-LT"/>
        </w:rPr>
        <w:t>mmol (23</w:t>
      </w:r>
      <w:r w:rsidR="006B530F" w:rsidRPr="001839C2">
        <w:rPr>
          <w:rFonts w:eastAsiaTheme="minorHAnsi"/>
          <w:snapToGrid/>
          <w:szCs w:val="22"/>
          <w:lang w:val="lt-LT"/>
        </w:rPr>
        <w:t> </w:t>
      </w:r>
      <w:r w:rsidR="002A5F50" w:rsidRPr="001839C2">
        <w:rPr>
          <w:rFonts w:eastAsiaTheme="minorHAnsi"/>
          <w:snapToGrid/>
          <w:szCs w:val="22"/>
          <w:lang w:val="lt-LT"/>
        </w:rPr>
        <w:t>mg) natrio</w:t>
      </w:r>
      <w:r w:rsidR="006B530F" w:rsidRPr="001839C2">
        <w:rPr>
          <w:rFonts w:eastAsiaTheme="minorHAnsi"/>
          <w:snapToGrid/>
          <w:szCs w:val="22"/>
          <w:lang w:val="lt-LT"/>
        </w:rPr>
        <w:t>, t.</w:t>
      </w:r>
      <w:r w:rsidR="00E35ACF" w:rsidRPr="001839C2">
        <w:rPr>
          <w:rFonts w:eastAsiaTheme="minorHAnsi"/>
          <w:snapToGrid/>
          <w:szCs w:val="22"/>
          <w:lang w:val="lt-LT"/>
        </w:rPr>
        <w:t> </w:t>
      </w:r>
      <w:r w:rsidR="006B530F" w:rsidRPr="001839C2">
        <w:rPr>
          <w:rFonts w:eastAsiaTheme="minorHAnsi"/>
          <w:snapToGrid/>
          <w:szCs w:val="22"/>
          <w:lang w:val="lt-LT"/>
        </w:rPr>
        <w:t>y. jis beveik neturi reikšmės</w:t>
      </w:r>
      <w:r w:rsidR="002A5F50" w:rsidRPr="001839C2">
        <w:rPr>
          <w:rFonts w:eastAsiaTheme="minorHAnsi"/>
          <w:snapToGrid/>
          <w:szCs w:val="22"/>
          <w:lang w:val="lt-LT"/>
        </w:rPr>
        <w:t>.</w:t>
      </w:r>
    </w:p>
    <w:p w14:paraId="576169F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F2C2956" w14:textId="77777777" w:rsidR="002A5F50" w:rsidRPr="001839C2" w:rsidRDefault="002A5F50" w:rsidP="00230559">
      <w:pPr>
        <w:widowControl w:val="0"/>
        <w:numPr>
          <w:ilvl w:val="1"/>
          <w:numId w:val="29"/>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Sąveika su kitais vaistiniais preparatais ir kitokia sąveika</w:t>
      </w:r>
    </w:p>
    <w:p w14:paraId="6C3AAFF1"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227C9961"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Sąveikos tyrimai atlikti tik suaugusiesiems.</w:t>
      </w:r>
    </w:p>
    <w:p w14:paraId="2114D63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76AA365"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Šio vaistinio preparato sudėtyje yra emtricitabino ir tenofoviro dizoproksilio, todėl visos vaist</w:t>
      </w:r>
      <w:r w:rsidR="00865A94" w:rsidRPr="001839C2">
        <w:rPr>
          <w:rFonts w:eastAsiaTheme="minorEastAsia"/>
          <w:snapToGrid/>
          <w:szCs w:val="22"/>
          <w:lang w:val="lt-LT" w:eastAsia="en-IN"/>
        </w:rPr>
        <w:t>ini</w:t>
      </w:r>
      <w:r w:rsidRPr="001839C2">
        <w:rPr>
          <w:rFonts w:eastAsiaTheme="minorEastAsia"/>
          <w:snapToGrid/>
          <w:szCs w:val="22"/>
          <w:lang w:val="lt-LT" w:eastAsia="en-IN"/>
        </w:rPr>
        <w:t>ų</w:t>
      </w:r>
      <w:r w:rsidR="00865A94" w:rsidRPr="001839C2">
        <w:rPr>
          <w:rFonts w:eastAsiaTheme="minorEastAsia"/>
          <w:snapToGrid/>
          <w:szCs w:val="22"/>
          <w:lang w:val="lt-LT" w:eastAsia="en-IN"/>
        </w:rPr>
        <w:t xml:space="preserve"> preparatų</w:t>
      </w:r>
      <w:r w:rsidRPr="001839C2">
        <w:rPr>
          <w:rFonts w:eastAsiaTheme="minorEastAsia"/>
          <w:snapToGrid/>
          <w:szCs w:val="22"/>
          <w:lang w:val="lt-LT" w:eastAsia="en-IN"/>
        </w:rPr>
        <w:t xml:space="preserve"> tarpusavio sąveikos, nustatytos kiekvienai iš šių medžiagų individualiai, gali pasireikšti ir vartojant emtricitabino</w:t>
      </w:r>
      <w:r w:rsidR="00865A94"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865A94" w:rsidRPr="001839C2">
        <w:rPr>
          <w:rFonts w:eastAsiaTheme="minorEastAsia"/>
          <w:snapToGrid/>
          <w:szCs w:val="22"/>
          <w:lang w:val="lt-LT" w:eastAsia="en-IN"/>
        </w:rPr>
        <w:t>io derinio</w:t>
      </w:r>
      <w:r w:rsidRPr="001839C2">
        <w:rPr>
          <w:rFonts w:eastAsiaTheme="minorEastAsia"/>
          <w:snapToGrid/>
          <w:szCs w:val="22"/>
          <w:lang w:val="lt-LT" w:eastAsia="en-IN"/>
        </w:rPr>
        <w:t>. Sąveikos tyrimai atlikti tik suaugusiesiems.</w:t>
      </w:r>
    </w:p>
    <w:p w14:paraId="110B220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3241856"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Kartu vartojamų emtricitabino ir tenofoviro, lyginant su vartojamais atskirai, farmakokinetikos pokyčių esant </w:t>
      </w:r>
      <w:r w:rsidR="00D23593" w:rsidRPr="001839C2">
        <w:rPr>
          <w:rFonts w:eastAsiaTheme="minorEastAsia"/>
          <w:snapToGrid/>
          <w:szCs w:val="22"/>
          <w:lang w:val="lt-LT" w:eastAsia="en-IN"/>
        </w:rPr>
        <w:t>nusi</w:t>
      </w:r>
      <w:r w:rsidRPr="001839C2">
        <w:rPr>
          <w:rFonts w:eastAsiaTheme="minorEastAsia"/>
          <w:snapToGrid/>
          <w:szCs w:val="22"/>
          <w:lang w:val="lt-LT" w:eastAsia="en-IN"/>
        </w:rPr>
        <w:t>stov</w:t>
      </w:r>
      <w:r w:rsidR="00D23593" w:rsidRPr="001839C2">
        <w:rPr>
          <w:rFonts w:eastAsiaTheme="minorEastAsia"/>
          <w:snapToGrid/>
          <w:szCs w:val="22"/>
          <w:lang w:val="lt-LT" w:eastAsia="en-IN"/>
        </w:rPr>
        <w:t>ėjus</w:t>
      </w:r>
      <w:r w:rsidRPr="001839C2">
        <w:rPr>
          <w:rFonts w:eastAsiaTheme="minorEastAsia"/>
          <w:snapToGrid/>
          <w:szCs w:val="22"/>
          <w:lang w:val="lt-LT" w:eastAsia="en-IN"/>
        </w:rPr>
        <w:t>iai</w:t>
      </w:r>
      <w:r w:rsidR="00D23593" w:rsidRPr="001839C2">
        <w:rPr>
          <w:rFonts w:eastAsiaTheme="minorEastAsia"/>
          <w:snapToGrid/>
          <w:szCs w:val="22"/>
          <w:lang w:val="lt-LT" w:eastAsia="en-IN"/>
        </w:rPr>
        <w:t xml:space="preserve"> pusiausvyrinei</w:t>
      </w:r>
      <w:r w:rsidRPr="001839C2">
        <w:rPr>
          <w:rFonts w:eastAsiaTheme="minorEastAsia"/>
          <w:snapToGrid/>
          <w:szCs w:val="22"/>
          <w:lang w:val="lt-LT" w:eastAsia="en-IN"/>
        </w:rPr>
        <w:t xml:space="preserve"> koncentracijai nebuvo.</w:t>
      </w:r>
    </w:p>
    <w:p w14:paraId="4AC6A03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0FE2DE2"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In</w:t>
      </w:r>
      <w:r w:rsidR="00A91F01"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vitro </w:t>
      </w:r>
      <w:r w:rsidRPr="001839C2">
        <w:rPr>
          <w:rFonts w:eastAsiaTheme="minorEastAsia"/>
          <w:snapToGrid/>
          <w:szCs w:val="22"/>
          <w:lang w:val="lt-LT" w:eastAsia="en-IN"/>
        </w:rPr>
        <w:t>ir klinikini</w:t>
      </w:r>
      <w:r w:rsidR="00D23593" w:rsidRPr="001839C2">
        <w:rPr>
          <w:rFonts w:eastAsiaTheme="minorEastAsia"/>
          <w:snapToGrid/>
          <w:szCs w:val="22"/>
          <w:lang w:val="lt-LT" w:eastAsia="en-IN"/>
        </w:rPr>
        <w:t>ų</w:t>
      </w:r>
      <w:r w:rsidRPr="001839C2">
        <w:rPr>
          <w:rFonts w:eastAsiaTheme="minorEastAsia"/>
          <w:snapToGrid/>
          <w:szCs w:val="22"/>
          <w:lang w:val="lt-LT" w:eastAsia="en-IN"/>
        </w:rPr>
        <w:t xml:space="preserve"> farmakokinetinės sąveikos tyrimų rezultatai parodė, kad su CYP450</w:t>
      </w:r>
      <w:r w:rsidR="00A91F01" w:rsidRPr="001839C2">
        <w:rPr>
          <w:rFonts w:eastAsiaTheme="minorEastAsia"/>
          <w:snapToGrid/>
          <w:szCs w:val="22"/>
          <w:lang w:val="lt-LT" w:eastAsia="en-IN"/>
        </w:rPr>
        <w:t> </w:t>
      </w:r>
      <w:r w:rsidRPr="001839C2">
        <w:rPr>
          <w:rFonts w:eastAsiaTheme="minorEastAsia"/>
          <w:snapToGrid/>
          <w:szCs w:val="22"/>
          <w:lang w:val="lt-LT" w:eastAsia="en-IN"/>
        </w:rPr>
        <w:t>veikimu susijusios emtricitabino ir tenofoviro dizoproksilio</w:t>
      </w:r>
      <w:r w:rsidR="00A91F01" w:rsidRPr="001839C2">
        <w:rPr>
          <w:rFonts w:eastAsiaTheme="minorEastAsia"/>
          <w:snapToGrid/>
          <w:szCs w:val="22"/>
          <w:lang w:val="lt-LT" w:eastAsia="en-IN"/>
        </w:rPr>
        <w:t>,</w:t>
      </w:r>
      <w:r w:rsidRPr="001839C2">
        <w:rPr>
          <w:rFonts w:eastAsiaTheme="minorEastAsia"/>
          <w:snapToGrid/>
          <w:szCs w:val="22"/>
          <w:lang w:val="lt-LT" w:eastAsia="en-IN"/>
        </w:rPr>
        <w:t xml:space="preserve"> ir kitų vaistinių preparatų sąveikos galimybė yra maža.</w:t>
      </w:r>
    </w:p>
    <w:p w14:paraId="72331C41"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DCFCBB2"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Kartu vartoti nerekomenduojama</w:t>
      </w:r>
    </w:p>
    <w:p w14:paraId="17C63CAA"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w:t>
      </w:r>
      <w:r w:rsidR="00A91F01"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91F01" w:rsidRPr="001839C2">
        <w:rPr>
          <w:rFonts w:eastAsiaTheme="minorEastAsia"/>
          <w:snapToGrid/>
          <w:szCs w:val="22"/>
          <w:lang w:val="lt-LT" w:eastAsia="en-IN"/>
        </w:rPr>
        <w:t>io derinio</w:t>
      </w:r>
      <w:r w:rsidRPr="001839C2">
        <w:rPr>
          <w:rFonts w:eastAsiaTheme="minorEastAsia"/>
          <w:snapToGrid/>
          <w:szCs w:val="22"/>
          <w:lang w:val="lt-LT" w:eastAsia="en-IN"/>
        </w:rPr>
        <w:t xml:space="preserve"> negalima vartoti kartu su kitais vaist</w:t>
      </w:r>
      <w:r w:rsidR="00A91F01" w:rsidRPr="001839C2">
        <w:rPr>
          <w:rFonts w:eastAsiaTheme="minorEastAsia"/>
          <w:snapToGrid/>
          <w:szCs w:val="22"/>
          <w:lang w:val="lt-LT" w:eastAsia="en-IN"/>
        </w:rPr>
        <w:t>ini</w:t>
      </w:r>
      <w:r w:rsidRPr="001839C2">
        <w:rPr>
          <w:rFonts w:eastAsiaTheme="minorEastAsia"/>
          <w:snapToGrid/>
          <w:szCs w:val="22"/>
          <w:lang w:val="lt-LT" w:eastAsia="en-IN"/>
        </w:rPr>
        <w:t>ais</w:t>
      </w:r>
      <w:r w:rsidR="00A91F01" w:rsidRPr="001839C2">
        <w:rPr>
          <w:rFonts w:eastAsiaTheme="minorEastAsia"/>
          <w:snapToGrid/>
          <w:szCs w:val="22"/>
          <w:lang w:val="lt-LT" w:eastAsia="en-IN"/>
        </w:rPr>
        <w:t xml:space="preserve"> preparatais</w:t>
      </w:r>
      <w:r w:rsidRPr="001839C2">
        <w:rPr>
          <w:rFonts w:eastAsiaTheme="minorEastAsia"/>
          <w:snapToGrid/>
          <w:szCs w:val="22"/>
          <w:lang w:val="lt-LT" w:eastAsia="en-IN"/>
        </w:rPr>
        <w:t>, kurių sudėtyje yra emtricitabino, tenofoviro dizoproksilio, tenofoviro alafenamido arba su kitais citidino analogais, tokiais kaip lamivudinas (žr.</w:t>
      </w:r>
      <w:r w:rsidR="00A91F01" w:rsidRPr="001839C2">
        <w:rPr>
          <w:rFonts w:eastAsiaTheme="minorEastAsia"/>
          <w:snapToGrid/>
          <w:szCs w:val="22"/>
          <w:lang w:val="lt-LT" w:eastAsia="en-IN"/>
        </w:rPr>
        <w:t> </w:t>
      </w:r>
      <w:r w:rsidRPr="001839C2">
        <w:rPr>
          <w:rFonts w:eastAsiaTheme="minorEastAsia"/>
          <w:snapToGrid/>
          <w:szCs w:val="22"/>
          <w:lang w:val="lt-LT" w:eastAsia="en-IN"/>
        </w:rPr>
        <w:t>4.4</w:t>
      </w:r>
      <w:r w:rsidR="00A91F01" w:rsidRPr="001839C2">
        <w:rPr>
          <w:rFonts w:eastAsiaTheme="minorEastAsia"/>
          <w:snapToGrid/>
          <w:szCs w:val="22"/>
          <w:lang w:val="lt-LT" w:eastAsia="en-IN"/>
        </w:rPr>
        <w:t> </w:t>
      </w:r>
      <w:r w:rsidRPr="001839C2">
        <w:rPr>
          <w:rFonts w:eastAsiaTheme="minorEastAsia"/>
          <w:snapToGrid/>
          <w:szCs w:val="22"/>
          <w:lang w:val="lt-LT" w:eastAsia="en-IN"/>
        </w:rPr>
        <w:t>skyrių). Emtricitabino</w:t>
      </w:r>
      <w:r w:rsidR="00A91F01"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Pr="001839C2">
        <w:rPr>
          <w:rFonts w:eastAsiaTheme="minorEastAsia"/>
          <w:snapToGrid/>
          <w:szCs w:val="22"/>
          <w:lang w:val="lt-LT" w:eastAsia="en-IN"/>
        </w:rPr>
        <w:t>o</w:t>
      </w:r>
      <w:r w:rsidR="00A91F01"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negalima vartoti kartu su adefovir</w:t>
      </w:r>
      <w:r w:rsidR="00D23593" w:rsidRPr="001839C2">
        <w:rPr>
          <w:rFonts w:eastAsiaTheme="minorEastAsia"/>
          <w:snapToGrid/>
          <w:szCs w:val="22"/>
          <w:lang w:val="lt-LT" w:eastAsia="en-IN"/>
        </w:rPr>
        <w:t>u</w:t>
      </w:r>
      <w:r w:rsidRPr="001839C2">
        <w:rPr>
          <w:rFonts w:eastAsiaTheme="minorEastAsia"/>
          <w:snapToGrid/>
          <w:szCs w:val="22"/>
          <w:lang w:val="lt-LT" w:eastAsia="en-IN"/>
        </w:rPr>
        <w:t xml:space="preserve"> dipivoksiliu.</w:t>
      </w:r>
    </w:p>
    <w:p w14:paraId="2B1206C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D9B8D0F" w14:textId="77777777" w:rsidR="00A91F01" w:rsidRPr="001839C2" w:rsidRDefault="002A5F50" w:rsidP="009D3371">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Didanozinas</w:t>
      </w:r>
    </w:p>
    <w:p w14:paraId="037F6733" w14:textId="77777777" w:rsidR="002A5F50" w:rsidRPr="001839C2" w:rsidRDefault="00A91F01"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w:t>
      </w:r>
      <w:r w:rsidR="002A5F50" w:rsidRPr="001839C2">
        <w:rPr>
          <w:rFonts w:eastAsiaTheme="minorEastAsia"/>
          <w:snapToGrid/>
          <w:szCs w:val="22"/>
          <w:lang w:val="lt-LT" w:eastAsia="en-IN"/>
        </w:rPr>
        <w:t>mtricitabino</w:t>
      </w:r>
      <w:r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002A5F50" w:rsidRPr="001839C2">
        <w:rPr>
          <w:rFonts w:eastAsiaTheme="minorEastAsia"/>
          <w:snapToGrid/>
          <w:szCs w:val="22"/>
          <w:lang w:val="lt-LT" w:eastAsia="en-IN"/>
        </w:rPr>
        <w:t>o</w:t>
      </w:r>
      <w:r w:rsidRPr="001839C2">
        <w:rPr>
          <w:rFonts w:eastAsiaTheme="minorEastAsia"/>
          <w:snapToGrid/>
          <w:szCs w:val="22"/>
          <w:lang w:val="lt-LT" w:eastAsia="en-IN"/>
        </w:rPr>
        <w:t xml:space="preserve"> derinio</w:t>
      </w:r>
      <w:r w:rsidR="00EB3A05" w:rsidRPr="001839C2">
        <w:rPr>
          <w:rFonts w:eastAsiaTheme="minorEastAsia"/>
          <w:snapToGrid/>
          <w:szCs w:val="22"/>
          <w:lang w:val="lt-LT" w:eastAsia="en-IN"/>
        </w:rPr>
        <w:t xml:space="preserve"> </w:t>
      </w:r>
      <w:r w:rsidR="002A5F50" w:rsidRPr="001839C2">
        <w:rPr>
          <w:rFonts w:eastAsiaTheme="minorEastAsia"/>
          <w:snapToGrid/>
          <w:szCs w:val="22"/>
          <w:lang w:val="lt-LT" w:eastAsia="en-IN"/>
        </w:rPr>
        <w:t>ir didanozino vartojimas kartu nerekomenduojamas (žr.</w:t>
      </w:r>
      <w:r w:rsidRPr="001839C2">
        <w:rPr>
          <w:rFonts w:eastAsiaTheme="minorEastAsia"/>
          <w:snapToGrid/>
          <w:szCs w:val="22"/>
          <w:lang w:val="lt-LT" w:eastAsia="en-IN"/>
        </w:rPr>
        <w:t> </w:t>
      </w:r>
      <w:r w:rsidR="002A5F50" w:rsidRPr="001839C2">
        <w:rPr>
          <w:rFonts w:eastAsiaTheme="minorEastAsia"/>
          <w:snapToGrid/>
          <w:szCs w:val="22"/>
          <w:lang w:val="lt-LT" w:eastAsia="en-IN"/>
        </w:rPr>
        <w:t>4.4</w:t>
      </w:r>
      <w:r w:rsidRPr="001839C2">
        <w:rPr>
          <w:rFonts w:eastAsiaTheme="minorEastAsia"/>
          <w:snapToGrid/>
          <w:szCs w:val="22"/>
          <w:lang w:val="lt-LT" w:eastAsia="en-IN"/>
        </w:rPr>
        <w:t> </w:t>
      </w:r>
      <w:r w:rsidR="002A5F50" w:rsidRPr="001839C2">
        <w:rPr>
          <w:rFonts w:eastAsiaTheme="minorEastAsia"/>
          <w:snapToGrid/>
          <w:szCs w:val="22"/>
          <w:lang w:val="lt-LT" w:eastAsia="en-IN"/>
        </w:rPr>
        <w:t>skyrių ir 2</w:t>
      </w:r>
      <w:r w:rsidRPr="001839C2">
        <w:rPr>
          <w:rFonts w:eastAsiaTheme="minorEastAsia"/>
          <w:snapToGrid/>
          <w:szCs w:val="22"/>
          <w:lang w:val="lt-LT" w:eastAsia="en-IN"/>
        </w:rPr>
        <w:t> </w:t>
      </w:r>
      <w:r w:rsidR="002A5F50" w:rsidRPr="001839C2">
        <w:rPr>
          <w:rFonts w:eastAsiaTheme="minorEastAsia"/>
          <w:snapToGrid/>
          <w:szCs w:val="22"/>
          <w:lang w:val="lt-LT" w:eastAsia="en-IN"/>
        </w:rPr>
        <w:t>lentelę).</w:t>
      </w:r>
    </w:p>
    <w:p w14:paraId="49A6AE9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A85F237" w14:textId="77777777" w:rsidR="00A91F01"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Vaistiniai preparatai, šalinami per inkstus</w:t>
      </w:r>
    </w:p>
    <w:p w14:paraId="1FA9E367" w14:textId="77777777" w:rsidR="002A5F50" w:rsidRPr="001839C2" w:rsidRDefault="00A91F01"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w:t>
      </w:r>
      <w:r w:rsidR="002A5F50" w:rsidRPr="001839C2">
        <w:rPr>
          <w:rFonts w:eastAsiaTheme="minorEastAsia"/>
          <w:snapToGrid/>
          <w:szCs w:val="22"/>
          <w:lang w:val="lt-LT" w:eastAsia="en-IN"/>
        </w:rPr>
        <w:t>adangi emtricitabinas ir tenofoviras pirmiausiai šalinami per inkstus, todėl emtricitabino</w:t>
      </w:r>
      <w:r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002A5F50" w:rsidRPr="001839C2">
        <w:rPr>
          <w:rFonts w:eastAsiaTheme="minorEastAsia"/>
          <w:snapToGrid/>
          <w:szCs w:val="22"/>
          <w:lang w:val="lt-LT" w:eastAsia="en-IN"/>
        </w:rPr>
        <w:t>o</w:t>
      </w:r>
      <w:r w:rsidRPr="001839C2">
        <w:rPr>
          <w:rFonts w:eastAsiaTheme="minorEastAsia"/>
          <w:snapToGrid/>
          <w:szCs w:val="22"/>
          <w:lang w:val="lt-LT" w:eastAsia="en-IN"/>
        </w:rPr>
        <w:t xml:space="preserve"> derinio</w:t>
      </w:r>
      <w:r w:rsidR="002A5F50" w:rsidRPr="001839C2">
        <w:rPr>
          <w:rFonts w:eastAsiaTheme="minorEastAsia"/>
          <w:snapToGrid/>
          <w:szCs w:val="22"/>
          <w:lang w:val="lt-LT" w:eastAsia="en-IN"/>
        </w:rPr>
        <w:t xml:space="preserve"> vartojimas kartu su inkstų funkciją slopinančiais ir dėl aktyvios kanalėlių sekrecijos konkuruojančiais vaist</w:t>
      </w:r>
      <w:r w:rsidRPr="001839C2">
        <w:rPr>
          <w:rFonts w:eastAsiaTheme="minorEastAsia"/>
          <w:snapToGrid/>
          <w:szCs w:val="22"/>
          <w:lang w:val="lt-LT" w:eastAsia="en-IN"/>
        </w:rPr>
        <w:t>ini</w:t>
      </w:r>
      <w:r w:rsidR="002A5F50" w:rsidRPr="001839C2">
        <w:rPr>
          <w:rFonts w:eastAsiaTheme="minorEastAsia"/>
          <w:snapToGrid/>
          <w:szCs w:val="22"/>
          <w:lang w:val="lt-LT" w:eastAsia="en-IN"/>
        </w:rPr>
        <w:t>ais</w:t>
      </w:r>
      <w:r w:rsidRPr="001839C2">
        <w:rPr>
          <w:rFonts w:eastAsiaTheme="minorEastAsia"/>
          <w:snapToGrid/>
          <w:szCs w:val="22"/>
          <w:lang w:val="lt-LT" w:eastAsia="en-IN"/>
        </w:rPr>
        <w:t xml:space="preserve"> preparatais</w:t>
      </w:r>
      <w:r w:rsidR="002A5F50" w:rsidRPr="001839C2">
        <w:rPr>
          <w:rFonts w:eastAsiaTheme="minorEastAsia"/>
          <w:snapToGrid/>
          <w:szCs w:val="22"/>
          <w:lang w:val="lt-LT" w:eastAsia="en-IN"/>
        </w:rPr>
        <w:t xml:space="preserve"> (pvz., cidofoviru) gali padidinti emtricitabino, tenofoviro ir</w:t>
      </w:r>
      <w:r w:rsidRPr="001839C2">
        <w:rPr>
          <w:rFonts w:eastAsiaTheme="minorEastAsia"/>
          <w:snapToGrid/>
          <w:szCs w:val="22"/>
          <w:lang w:val="lt-LT" w:eastAsia="en-IN"/>
        </w:rPr>
        <w:t> </w:t>
      </w:r>
      <w:r w:rsidR="002A5F50" w:rsidRPr="001839C2">
        <w:rPr>
          <w:rFonts w:eastAsiaTheme="minorEastAsia"/>
          <w:snapToGrid/>
          <w:szCs w:val="22"/>
          <w:lang w:val="lt-LT" w:eastAsia="en-IN"/>
        </w:rPr>
        <w:t>(arba) kartu vartojamų vaistinių preparatų koncentraciją serume.</w:t>
      </w:r>
    </w:p>
    <w:p w14:paraId="53859B7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7AA1526"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Reikia vengti skirti emtricitabino</w:t>
      </w:r>
      <w:r w:rsidR="00A91F01"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91F01" w:rsidRPr="001839C2">
        <w:rPr>
          <w:rFonts w:eastAsiaTheme="minorEastAsia"/>
          <w:snapToGrid/>
          <w:szCs w:val="22"/>
          <w:lang w:val="lt-LT" w:eastAsia="en-IN"/>
        </w:rPr>
        <w:t>io derin</w:t>
      </w:r>
      <w:r w:rsidR="00D23593" w:rsidRPr="001839C2">
        <w:rPr>
          <w:rFonts w:eastAsiaTheme="minorEastAsia"/>
          <w:snapToGrid/>
          <w:szCs w:val="22"/>
          <w:lang w:val="lt-LT" w:eastAsia="en-IN"/>
        </w:rPr>
        <w:t>io</w:t>
      </w:r>
      <w:r w:rsidRPr="001839C2">
        <w:rPr>
          <w:rFonts w:eastAsiaTheme="minorEastAsia"/>
          <w:snapToGrid/>
          <w:szCs w:val="22"/>
          <w:lang w:val="lt-LT" w:eastAsia="en-IN"/>
        </w:rPr>
        <w:t xml:space="preserve"> kartu su nefrotoksiniais vaist</w:t>
      </w:r>
      <w:r w:rsidR="00A91F01" w:rsidRPr="001839C2">
        <w:rPr>
          <w:rFonts w:eastAsiaTheme="minorEastAsia"/>
          <w:snapToGrid/>
          <w:szCs w:val="22"/>
          <w:lang w:val="lt-LT" w:eastAsia="en-IN"/>
        </w:rPr>
        <w:t>ini</w:t>
      </w:r>
      <w:r w:rsidRPr="001839C2">
        <w:rPr>
          <w:rFonts w:eastAsiaTheme="minorEastAsia"/>
          <w:snapToGrid/>
          <w:szCs w:val="22"/>
          <w:lang w:val="lt-LT" w:eastAsia="en-IN"/>
        </w:rPr>
        <w:t>ais</w:t>
      </w:r>
      <w:r w:rsidR="00A91F01" w:rsidRPr="001839C2">
        <w:rPr>
          <w:rFonts w:eastAsiaTheme="minorEastAsia"/>
          <w:snapToGrid/>
          <w:szCs w:val="22"/>
          <w:lang w:val="lt-LT" w:eastAsia="en-IN"/>
        </w:rPr>
        <w:t xml:space="preserve"> preparatais</w:t>
      </w:r>
      <w:r w:rsidRPr="001839C2">
        <w:rPr>
          <w:rFonts w:eastAsiaTheme="minorEastAsia"/>
          <w:snapToGrid/>
          <w:szCs w:val="22"/>
          <w:lang w:val="lt-LT" w:eastAsia="en-IN"/>
        </w:rPr>
        <w:t xml:space="preserve"> arba jeigu j</w:t>
      </w:r>
      <w:r w:rsidR="00D23593" w:rsidRPr="001839C2">
        <w:rPr>
          <w:rFonts w:eastAsiaTheme="minorEastAsia"/>
          <w:snapToGrid/>
          <w:szCs w:val="22"/>
          <w:lang w:val="lt-LT" w:eastAsia="en-IN"/>
        </w:rPr>
        <w:t>ų</w:t>
      </w:r>
      <w:r w:rsidRPr="001839C2">
        <w:rPr>
          <w:rFonts w:eastAsiaTheme="minorEastAsia"/>
          <w:snapToGrid/>
          <w:szCs w:val="22"/>
          <w:lang w:val="lt-LT" w:eastAsia="en-IN"/>
        </w:rPr>
        <w:t xml:space="preserve"> buvo neseniai vartot</w:t>
      </w:r>
      <w:r w:rsidR="00D23593" w:rsidRPr="001839C2">
        <w:rPr>
          <w:rFonts w:eastAsiaTheme="minorEastAsia"/>
          <w:snapToGrid/>
          <w:szCs w:val="22"/>
          <w:lang w:val="lt-LT" w:eastAsia="en-IN"/>
        </w:rPr>
        <w:t>a</w:t>
      </w:r>
      <w:r w:rsidRPr="001839C2">
        <w:rPr>
          <w:rFonts w:eastAsiaTheme="minorEastAsia"/>
          <w:snapToGrid/>
          <w:szCs w:val="22"/>
          <w:lang w:val="lt-LT" w:eastAsia="en-IN"/>
        </w:rPr>
        <w:t>. Kai kurie tokių vaist</w:t>
      </w:r>
      <w:r w:rsidR="00A91F01" w:rsidRPr="001839C2">
        <w:rPr>
          <w:rFonts w:eastAsiaTheme="minorEastAsia"/>
          <w:snapToGrid/>
          <w:szCs w:val="22"/>
          <w:lang w:val="lt-LT" w:eastAsia="en-IN"/>
        </w:rPr>
        <w:t>ini</w:t>
      </w:r>
      <w:r w:rsidRPr="001839C2">
        <w:rPr>
          <w:rFonts w:eastAsiaTheme="minorEastAsia"/>
          <w:snapToGrid/>
          <w:szCs w:val="22"/>
          <w:lang w:val="lt-LT" w:eastAsia="en-IN"/>
        </w:rPr>
        <w:t>ų</w:t>
      </w:r>
      <w:r w:rsidR="00A91F01" w:rsidRPr="001839C2">
        <w:rPr>
          <w:rFonts w:eastAsiaTheme="minorEastAsia"/>
          <w:snapToGrid/>
          <w:szCs w:val="22"/>
          <w:lang w:val="lt-LT" w:eastAsia="en-IN"/>
        </w:rPr>
        <w:t xml:space="preserve"> preparatų</w:t>
      </w:r>
      <w:r w:rsidRPr="001839C2">
        <w:rPr>
          <w:rFonts w:eastAsiaTheme="minorEastAsia"/>
          <w:snapToGrid/>
          <w:szCs w:val="22"/>
          <w:lang w:val="lt-LT" w:eastAsia="en-IN"/>
        </w:rPr>
        <w:t xml:space="preserve"> pavyzdžiai: aminoglikozidai, amfotericinas</w:t>
      </w:r>
      <w:r w:rsidR="00A91F01" w:rsidRPr="001839C2">
        <w:rPr>
          <w:rFonts w:eastAsiaTheme="minorEastAsia"/>
          <w:snapToGrid/>
          <w:szCs w:val="22"/>
          <w:lang w:val="lt-LT" w:eastAsia="en-IN"/>
        </w:rPr>
        <w:t> </w:t>
      </w:r>
      <w:r w:rsidRPr="001839C2">
        <w:rPr>
          <w:rFonts w:eastAsiaTheme="minorEastAsia"/>
          <w:snapToGrid/>
          <w:szCs w:val="22"/>
          <w:lang w:val="lt-LT" w:eastAsia="en-IN"/>
        </w:rPr>
        <w:t>B, foskarnetas, gancikloviras, pentamidinas, vankomicinas, cidofoviras ar interleukinas</w:t>
      </w:r>
      <w:r w:rsidR="00A91F01" w:rsidRPr="001839C2">
        <w:rPr>
          <w:rFonts w:eastAsiaTheme="minorEastAsia"/>
          <w:snapToGrid/>
          <w:szCs w:val="22"/>
          <w:lang w:val="lt-LT" w:eastAsia="en-IN"/>
        </w:rPr>
        <w:noBreakHyphen/>
      </w:r>
      <w:r w:rsidRPr="001839C2">
        <w:rPr>
          <w:rFonts w:eastAsiaTheme="minorEastAsia"/>
          <w:snapToGrid/>
          <w:szCs w:val="22"/>
          <w:lang w:val="lt-LT" w:eastAsia="en-IN"/>
        </w:rPr>
        <w:t>2 (žr.</w:t>
      </w:r>
      <w:r w:rsidR="00A91F01" w:rsidRPr="001839C2">
        <w:rPr>
          <w:rFonts w:eastAsiaTheme="minorEastAsia"/>
          <w:snapToGrid/>
          <w:szCs w:val="22"/>
          <w:lang w:val="lt-LT" w:eastAsia="en-IN"/>
        </w:rPr>
        <w:t> </w:t>
      </w:r>
      <w:r w:rsidRPr="001839C2">
        <w:rPr>
          <w:rFonts w:eastAsiaTheme="minorEastAsia"/>
          <w:snapToGrid/>
          <w:szCs w:val="22"/>
          <w:lang w:val="lt-LT" w:eastAsia="en-IN"/>
        </w:rPr>
        <w:t>4.4</w:t>
      </w:r>
      <w:r w:rsidR="00A91F01" w:rsidRPr="001839C2">
        <w:rPr>
          <w:rFonts w:eastAsiaTheme="minorEastAsia"/>
          <w:snapToGrid/>
          <w:szCs w:val="22"/>
          <w:lang w:val="lt-LT" w:eastAsia="en-IN"/>
        </w:rPr>
        <w:t> </w:t>
      </w:r>
      <w:r w:rsidRPr="001839C2">
        <w:rPr>
          <w:rFonts w:eastAsiaTheme="minorEastAsia"/>
          <w:snapToGrid/>
          <w:szCs w:val="22"/>
          <w:lang w:val="lt-LT" w:eastAsia="en-IN"/>
        </w:rPr>
        <w:t>skyrių).</w:t>
      </w:r>
    </w:p>
    <w:p w14:paraId="62FA226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105B95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Kita sąveika</w:t>
      </w:r>
    </w:p>
    <w:p w14:paraId="43A3C067"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Sąveikos tarp emtricitabino</w:t>
      </w:r>
      <w:r w:rsidR="00A91F01"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EB3A05" w:rsidRPr="001839C2">
        <w:rPr>
          <w:rFonts w:eastAsiaTheme="minorEastAsia"/>
          <w:snapToGrid/>
          <w:szCs w:val="22"/>
          <w:lang w:val="lt-LT" w:eastAsia="en-IN"/>
        </w:rPr>
        <w:t>i</w:t>
      </w:r>
      <w:r w:rsidRPr="001839C2">
        <w:rPr>
          <w:rFonts w:eastAsiaTheme="minorEastAsia"/>
          <w:snapToGrid/>
          <w:szCs w:val="22"/>
          <w:lang w:val="lt-LT" w:eastAsia="en-IN"/>
        </w:rPr>
        <w:t>o</w:t>
      </w:r>
      <w:r w:rsidR="00A91F01"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ar atskiros</w:t>
      </w:r>
      <w:r w:rsidR="00A91F01" w:rsidRPr="001839C2">
        <w:rPr>
          <w:rFonts w:eastAsiaTheme="minorEastAsia"/>
          <w:snapToGrid/>
          <w:szCs w:val="22"/>
          <w:lang w:val="lt-LT" w:eastAsia="en-IN"/>
        </w:rPr>
        <w:t> </w:t>
      </w:r>
      <w:r w:rsidRPr="001839C2">
        <w:rPr>
          <w:rFonts w:eastAsiaTheme="minorEastAsia"/>
          <w:snapToGrid/>
          <w:szCs w:val="22"/>
          <w:lang w:val="lt-LT" w:eastAsia="en-IN"/>
        </w:rPr>
        <w:t>(</w:t>
      </w:r>
      <w:r w:rsidR="00A91F01" w:rsidRPr="001839C2">
        <w:rPr>
          <w:rFonts w:eastAsiaTheme="minorEastAsia"/>
          <w:snapToGrid/>
          <w:szCs w:val="22"/>
          <w:lang w:val="lt-LT" w:eastAsia="en-IN"/>
        </w:rPr>
        <w:noBreakHyphen/>
      </w:r>
      <w:r w:rsidRPr="001839C2">
        <w:rPr>
          <w:rFonts w:eastAsiaTheme="minorEastAsia"/>
          <w:snapToGrid/>
          <w:szCs w:val="22"/>
          <w:lang w:val="lt-LT" w:eastAsia="en-IN"/>
        </w:rPr>
        <w:t xml:space="preserve">ų) jo </w:t>
      </w:r>
      <w:r w:rsidR="00D23593" w:rsidRPr="001839C2">
        <w:rPr>
          <w:rFonts w:eastAsiaTheme="minorEastAsia"/>
          <w:snapToGrid/>
          <w:szCs w:val="22"/>
          <w:lang w:val="lt-LT" w:eastAsia="en-IN"/>
        </w:rPr>
        <w:t>v</w:t>
      </w:r>
      <w:r w:rsidRPr="001839C2">
        <w:rPr>
          <w:rFonts w:eastAsiaTheme="minorEastAsia"/>
          <w:snapToGrid/>
          <w:szCs w:val="22"/>
          <w:lang w:val="lt-LT" w:eastAsia="en-IN"/>
        </w:rPr>
        <w:t>e</w:t>
      </w:r>
      <w:r w:rsidR="00D23593" w:rsidRPr="001839C2">
        <w:rPr>
          <w:rFonts w:eastAsiaTheme="minorEastAsia"/>
          <w:snapToGrid/>
          <w:szCs w:val="22"/>
          <w:lang w:val="lt-LT" w:eastAsia="en-IN"/>
        </w:rPr>
        <w:t>ikli</w:t>
      </w:r>
      <w:r w:rsidRPr="001839C2">
        <w:rPr>
          <w:rFonts w:eastAsiaTheme="minorEastAsia"/>
          <w:snapToGrid/>
          <w:szCs w:val="22"/>
          <w:lang w:val="lt-LT" w:eastAsia="en-IN"/>
        </w:rPr>
        <w:t>osios</w:t>
      </w:r>
      <w:r w:rsidR="00A91F01" w:rsidRPr="001839C2">
        <w:rPr>
          <w:rFonts w:eastAsiaTheme="minorEastAsia"/>
          <w:snapToGrid/>
          <w:szCs w:val="22"/>
          <w:lang w:val="lt-LT" w:eastAsia="en-IN"/>
        </w:rPr>
        <w:t> </w:t>
      </w:r>
      <w:r w:rsidRPr="001839C2">
        <w:rPr>
          <w:rFonts w:eastAsiaTheme="minorEastAsia"/>
          <w:snapToGrid/>
          <w:szCs w:val="22"/>
          <w:lang w:val="lt-LT" w:eastAsia="en-IN"/>
        </w:rPr>
        <w:t>(</w:t>
      </w:r>
      <w:r w:rsidR="00A91F01" w:rsidRPr="001839C2">
        <w:rPr>
          <w:rFonts w:eastAsiaTheme="minorEastAsia"/>
          <w:snapToGrid/>
          <w:szCs w:val="22"/>
          <w:lang w:val="lt-LT" w:eastAsia="en-IN"/>
        </w:rPr>
        <w:noBreakHyphen/>
      </w:r>
      <w:r w:rsidR="00D23593" w:rsidRPr="001839C2">
        <w:rPr>
          <w:rFonts w:eastAsiaTheme="minorEastAsia"/>
          <w:snapToGrid/>
          <w:szCs w:val="22"/>
          <w:lang w:val="lt-LT" w:eastAsia="en-IN"/>
        </w:rPr>
        <w:t>i</w:t>
      </w:r>
      <w:r w:rsidRPr="001839C2">
        <w:rPr>
          <w:rFonts w:eastAsiaTheme="minorEastAsia"/>
          <w:snapToGrid/>
          <w:szCs w:val="22"/>
          <w:lang w:val="lt-LT" w:eastAsia="en-IN"/>
        </w:rPr>
        <w:t xml:space="preserve">ųjų) </w:t>
      </w:r>
      <w:r w:rsidR="00D23593" w:rsidRPr="001839C2">
        <w:rPr>
          <w:rFonts w:eastAsiaTheme="minorEastAsia"/>
          <w:snapToGrid/>
          <w:szCs w:val="22"/>
          <w:lang w:val="lt-LT" w:eastAsia="en-IN"/>
        </w:rPr>
        <w:t>m</w:t>
      </w:r>
      <w:r w:rsidRPr="001839C2">
        <w:rPr>
          <w:rFonts w:eastAsiaTheme="minorEastAsia"/>
          <w:snapToGrid/>
          <w:szCs w:val="22"/>
          <w:lang w:val="lt-LT" w:eastAsia="en-IN"/>
        </w:rPr>
        <w:t>e</w:t>
      </w:r>
      <w:r w:rsidR="00D23593" w:rsidRPr="001839C2">
        <w:rPr>
          <w:rFonts w:eastAsiaTheme="minorEastAsia"/>
          <w:snapToGrid/>
          <w:szCs w:val="22"/>
          <w:lang w:val="lt-LT" w:eastAsia="en-IN"/>
        </w:rPr>
        <w:t>džiago</w:t>
      </w:r>
      <w:r w:rsidRPr="001839C2">
        <w:rPr>
          <w:rFonts w:eastAsiaTheme="minorEastAsia"/>
          <w:snapToGrid/>
          <w:szCs w:val="22"/>
          <w:lang w:val="lt-LT" w:eastAsia="en-IN"/>
        </w:rPr>
        <w:t>s</w:t>
      </w:r>
      <w:r w:rsidR="00A91F01" w:rsidRPr="001839C2">
        <w:rPr>
          <w:rFonts w:eastAsiaTheme="minorEastAsia"/>
          <w:snapToGrid/>
          <w:szCs w:val="22"/>
          <w:lang w:val="lt-LT" w:eastAsia="en-IN"/>
        </w:rPr>
        <w:t> </w:t>
      </w:r>
      <w:r w:rsidRPr="001839C2">
        <w:rPr>
          <w:rFonts w:eastAsiaTheme="minorEastAsia"/>
          <w:snapToGrid/>
          <w:szCs w:val="22"/>
          <w:lang w:val="lt-LT" w:eastAsia="en-IN"/>
        </w:rPr>
        <w:t>(</w:t>
      </w:r>
      <w:r w:rsidR="00A91F01" w:rsidRPr="001839C2">
        <w:rPr>
          <w:rFonts w:eastAsiaTheme="minorEastAsia"/>
          <w:snapToGrid/>
          <w:szCs w:val="22"/>
          <w:lang w:val="lt-LT" w:eastAsia="en-IN"/>
        </w:rPr>
        <w:noBreakHyphen/>
      </w:r>
      <w:r w:rsidRPr="001839C2">
        <w:rPr>
          <w:rFonts w:eastAsiaTheme="minorEastAsia"/>
          <w:snapToGrid/>
          <w:szCs w:val="22"/>
          <w:lang w:val="lt-LT" w:eastAsia="en-IN"/>
        </w:rPr>
        <w:t xml:space="preserve">ų) ir kitų vaistinių preparatų yra </w:t>
      </w:r>
      <w:r w:rsidR="00D23593" w:rsidRPr="001839C2">
        <w:rPr>
          <w:rFonts w:eastAsiaTheme="minorEastAsia"/>
          <w:snapToGrid/>
          <w:szCs w:val="22"/>
          <w:lang w:val="lt-LT" w:eastAsia="en-IN"/>
        </w:rPr>
        <w:t>tol</w:t>
      </w:r>
      <w:r w:rsidRPr="001839C2">
        <w:rPr>
          <w:rFonts w:eastAsiaTheme="minorEastAsia"/>
          <w:snapToGrid/>
          <w:szCs w:val="22"/>
          <w:lang w:val="lt-LT" w:eastAsia="en-IN"/>
        </w:rPr>
        <w:t>iau pateiktoje 2</w:t>
      </w:r>
      <w:r w:rsidR="00A91F01" w:rsidRPr="001839C2">
        <w:rPr>
          <w:rFonts w:eastAsiaTheme="minorEastAsia"/>
          <w:snapToGrid/>
          <w:szCs w:val="22"/>
          <w:lang w:val="lt-LT" w:eastAsia="en-IN"/>
        </w:rPr>
        <w:t> </w:t>
      </w:r>
      <w:r w:rsidRPr="001839C2">
        <w:rPr>
          <w:rFonts w:eastAsiaTheme="minorEastAsia"/>
          <w:snapToGrid/>
          <w:szCs w:val="22"/>
          <w:lang w:val="lt-LT" w:eastAsia="en-IN"/>
        </w:rPr>
        <w:t xml:space="preserve">lentelėje. Joje naudojamos santrumpos: padidėjimas </w:t>
      </w:r>
      <w:r w:rsidR="00A91F01" w:rsidRPr="001839C2">
        <w:rPr>
          <w:rFonts w:eastAsiaTheme="minorEastAsia"/>
          <w:snapToGrid/>
          <w:szCs w:val="22"/>
          <w:lang w:val="lt-LT" w:eastAsia="en-IN"/>
        </w:rPr>
        <w:t>–</w:t>
      </w:r>
      <w:r w:rsidRPr="001839C2">
        <w:rPr>
          <w:rFonts w:eastAsiaTheme="minorEastAsia"/>
          <w:snapToGrid/>
          <w:szCs w:val="22"/>
          <w:lang w:val="lt-LT" w:eastAsia="en-IN"/>
        </w:rPr>
        <w:t xml:space="preserve"> „↑“, sumažėjimas </w:t>
      </w:r>
      <w:r w:rsidR="00A91F01" w:rsidRPr="001839C2">
        <w:rPr>
          <w:rFonts w:eastAsiaTheme="minorEastAsia"/>
          <w:snapToGrid/>
          <w:szCs w:val="22"/>
          <w:lang w:val="lt-LT" w:eastAsia="en-IN"/>
        </w:rPr>
        <w:t>–</w:t>
      </w:r>
      <w:r w:rsidRPr="001839C2">
        <w:rPr>
          <w:rFonts w:eastAsiaTheme="minorEastAsia"/>
          <w:snapToGrid/>
          <w:szCs w:val="22"/>
          <w:lang w:val="lt-LT" w:eastAsia="en-IN"/>
        </w:rPr>
        <w:t xml:space="preserve"> „↓“, jei pokyčio nebuvo </w:t>
      </w:r>
      <w:r w:rsidR="00A91F01" w:rsidRPr="001839C2">
        <w:rPr>
          <w:rFonts w:eastAsiaTheme="minorEastAsia"/>
          <w:snapToGrid/>
          <w:szCs w:val="22"/>
          <w:lang w:val="lt-LT" w:eastAsia="en-IN"/>
        </w:rPr>
        <w:t>–</w:t>
      </w:r>
      <w:r w:rsidRPr="001839C2">
        <w:rPr>
          <w:rFonts w:eastAsiaTheme="minorEastAsia"/>
          <w:snapToGrid/>
          <w:szCs w:val="22"/>
          <w:lang w:val="lt-LT" w:eastAsia="en-IN"/>
        </w:rPr>
        <w:t xml:space="preserve"> „↔“, du</w:t>
      </w:r>
      <w:r w:rsidR="00A91F01" w:rsidRPr="001839C2">
        <w:rPr>
          <w:rFonts w:eastAsiaTheme="minorEastAsia"/>
          <w:snapToGrid/>
          <w:szCs w:val="22"/>
          <w:lang w:val="lt-LT" w:eastAsia="en-IN"/>
        </w:rPr>
        <w:t> </w:t>
      </w:r>
      <w:r w:rsidRPr="001839C2">
        <w:rPr>
          <w:rFonts w:eastAsiaTheme="minorEastAsia"/>
          <w:snapToGrid/>
          <w:szCs w:val="22"/>
          <w:lang w:val="lt-LT" w:eastAsia="en-IN"/>
        </w:rPr>
        <w:t>kartus per</w:t>
      </w:r>
      <w:r w:rsidR="00A91F01" w:rsidRPr="001839C2">
        <w:rPr>
          <w:rFonts w:eastAsiaTheme="minorEastAsia"/>
          <w:snapToGrid/>
          <w:szCs w:val="22"/>
          <w:lang w:val="lt-LT" w:eastAsia="en-IN"/>
        </w:rPr>
        <w:t> </w:t>
      </w:r>
      <w:r w:rsidRPr="001839C2">
        <w:rPr>
          <w:rFonts w:eastAsiaTheme="minorEastAsia"/>
          <w:snapToGrid/>
          <w:szCs w:val="22"/>
          <w:lang w:val="lt-LT" w:eastAsia="en-IN"/>
        </w:rPr>
        <w:t>parą</w:t>
      </w:r>
      <w:r w:rsidR="00A91F01" w:rsidRPr="001839C2">
        <w:rPr>
          <w:rFonts w:eastAsiaTheme="minorEastAsia"/>
          <w:snapToGrid/>
          <w:szCs w:val="22"/>
          <w:lang w:val="lt-LT" w:eastAsia="en-IN"/>
        </w:rPr>
        <w:t xml:space="preserve"> –</w:t>
      </w:r>
      <w:r w:rsidRPr="001839C2">
        <w:rPr>
          <w:rFonts w:eastAsiaTheme="minorEastAsia"/>
          <w:snapToGrid/>
          <w:szCs w:val="22"/>
          <w:lang w:val="lt-LT" w:eastAsia="en-IN"/>
        </w:rPr>
        <w:t xml:space="preserve"> „b.i.d.“ ir vieną</w:t>
      </w:r>
      <w:r w:rsidR="00A91F01" w:rsidRPr="001839C2">
        <w:rPr>
          <w:rFonts w:eastAsiaTheme="minorEastAsia"/>
          <w:snapToGrid/>
          <w:szCs w:val="22"/>
          <w:lang w:val="lt-LT" w:eastAsia="en-IN"/>
        </w:rPr>
        <w:t> </w:t>
      </w:r>
      <w:r w:rsidRPr="001839C2">
        <w:rPr>
          <w:rFonts w:eastAsiaTheme="minorEastAsia"/>
          <w:snapToGrid/>
          <w:szCs w:val="22"/>
          <w:lang w:val="lt-LT" w:eastAsia="en-IN"/>
        </w:rPr>
        <w:t>kartą per</w:t>
      </w:r>
      <w:r w:rsidR="00A91F01" w:rsidRPr="001839C2">
        <w:rPr>
          <w:rFonts w:eastAsiaTheme="minorEastAsia"/>
          <w:snapToGrid/>
          <w:szCs w:val="22"/>
          <w:lang w:val="lt-LT" w:eastAsia="en-IN"/>
        </w:rPr>
        <w:t> </w:t>
      </w:r>
      <w:r w:rsidRPr="001839C2">
        <w:rPr>
          <w:rFonts w:eastAsiaTheme="minorEastAsia"/>
          <w:snapToGrid/>
          <w:szCs w:val="22"/>
          <w:lang w:val="lt-LT" w:eastAsia="en-IN"/>
        </w:rPr>
        <w:t xml:space="preserve">parą </w:t>
      </w:r>
      <w:r w:rsidR="00A91F01" w:rsidRPr="001839C2">
        <w:rPr>
          <w:rFonts w:eastAsiaTheme="minorEastAsia"/>
          <w:snapToGrid/>
          <w:szCs w:val="22"/>
          <w:lang w:val="lt-LT" w:eastAsia="en-IN"/>
        </w:rPr>
        <w:t>–</w:t>
      </w:r>
      <w:r w:rsidRPr="001839C2">
        <w:rPr>
          <w:rFonts w:eastAsiaTheme="minorEastAsia"/>
          <w:snapToGrid/>
          <w:szCs w:val="22"/>
          <w:lang w:val="lt-LT" w:eastAsia="en-IN"/>
        </w:rPr>
        <w:t xml:space="preserve"> „q.d.“. Jei yra žinomas, skliausteliuose pateikiamas ir 90</w:t>
      </w:r>
      <w:r w:rsidR="00A91F01" w:rsidRPr="001839C2">
        <w:rPr>
          <w:rFonts w:eastAsiaTheme="minorEastAsia"/>
          <w:snapToGrid/>
          <w:szCs w:val="22"/>
          <w:lang w:val="lt-LT" w:eastAsia="en-IN"/>
        </w:rPr>
        <w:t> </w:t>
      </w:r>
      <w:r w:rsidRPr="001839C2">
        <w:rPr>
          <w:rFonts w:eastAsiaTheme="minorEastAsia"/>
          <w:snapToGrid/>
          <w:szCs w:val="22"/>
          <w:lang w:val="lt-LT" w:eastAsia="en-IN"/>
        </w:rPr>
        <w:t>% pasikliautinasis intervalas.</w:t>
      </w:r>
    </w:p>
    <w:p w14:paraId="7C19170A" w14:textId="3F53E029" w:rsidR="002A5F50" w:rsidRPr="001839C2" w:rsidRDefault="003019AE" w:rsidP="00230559">
      <w:pPr>
        <w:widowControl w:val="0"/>
        <w:tabs>
          <w:tab w:val="clear" w:pos="567"/>
          <w:tab w:val="left" w:pos="0"/>
        </w:tabs>
        <w:kinsoku w:val="0"/>
        <w:overflowPunct w:val="0"/>
        <w:autoSpaceDE w:val="0"/>
        <w:autoSpaceDN w:val="0"/>
        <w:adjustRightInd w:val="0"/>
        <w:outlineLvl w:val="0"/>
        <w:rPr>
          <w:rFonts w:eastAsiaTheme="minorEastAsia"/>
          <w:b/>
          <w:bCs/>
          <w:snapToGrid/>
          <w:szCs w:val="22"/>
          <w:lang w:val="lt-LT" w:eastAsia="en-IN"/>
        </w:rPr>
      </w:pPr>
      <w:r w:rsidRPr="001839C2">
        <w:rPr>
          <w:noProof/>
          <w:lang w:val="lt-LT" w:eastAsia="lt-LT"/>
        </w:rPr>
        <w:lastRenderedPageBreak/>
        <mc:AlternateContent>
          <mc:Choice Requires="wpg">
            <w:drawing>
              <wp:anchor distT="0" distB="0" distL="114300" distR="114300" simplePos="0" relativeHeight="251659264" behindDoc="1" locked="0" layoutInCell="0" allowOverlap="1" wp14:anchorId="2B1847C2" wp14:editId="1AEADE03">
                <wp:simplePos x="0" y="0"/>
                <wp:positionH relativeFrom="page">
                  <wp:posOffset>831850</wp:posOffset>
                </wp:positionH>
                <wp:positionV relativeFrom="page">
                  <wp:posOffset>3891915</wp:posOffset>
                </wp:positionV>
                <wp:extent cx="4203700" cy="1270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0" cy="12700"/>
                          <a:chOff x="1310" y="6129"/>
                          <a:chExt cx="6620" cy="20"/>
                        </a:xfrm>
                      </wpg:grpSpPr>
                      <wps:wsp>
                        <wps:cNvPr id="135" name="Rectangle 3"/>
                        <wps:cNvSpPr>
                          <a:spLocks noChangeArrowheads="1"/>
                        </wps:cNvSpPr>
                        <wps:spPr bwMode="auto">
                          <a:xfrm>
                            <a:off x="1310" y="6130"/>
                            <a:ext cx="3260" cy="0"/>
                          </a:xfrm>
                          <a:prstGeom prst="rect">
                            <a:avLst/>
                          </a:prstGeom>
                          <a:noFill/>
                          <a:ln>
                            <a:noFill/>
                          </a:ln>
                        </wps:spPr>
                        <wps:txbx>
                          <w:txbxContent>
                            <w:p w14:paraId="69E2D2B5" w14:textId="77777777" w:rsidR="004D75A0" w:rsidRDefault="004D75A0" w:rsidP="002A5F50">
                              <w:pPr>
                                <w:spacing w:line="240" w:lineRule="atLeast"/>
                              </w:pPr>
                              <w:r>
                                <w:rPr>
                                  <w:noProof/>
                                  <w:lang w:val="lt-LT" w:eastAsia="lt-LT"/>
                                </w:rPr>
                                <w:drawing>
                                  <wp:inline distT="0" distB="0" distL="0" distR="0" wp14:anchorId="15B183FC" wp14:editId="56210F12">
                                    <wp:extent cx="2057400" cy="190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9050"/>
                                            </a:xfrm>
                                            <a:prstGeom prst="rect">
                                              <a:avLst/>
                                            </a:prstGeom>
                                            <a:noFill/>
                                            <a:ln>
                                              <a:noFill/>
                                            </a:ln>
                                          </pic:spPr>
                                        </pic:pic>
                                      </a:graphicData>
                                    </a:graphic>
                                  </wp:inline>
                                </w:drawing>
                              </w:r>
                            </w:p>
                            <w:p w14:paraId="3DBA4E62" w14:textId="77777777" w:rsidR="004D75A0" w:rsidRDefault="004D75A0" w:rsidP="002A5F50"/>
                          </w:txbxContent>
                        </wps:txbx>
                        <wps:bodyPr rot="0" vert="horz" wrap="square" lIns="0" tIns="0" rIns="0" bIns="0" anchor="t" anchorCtr="0" upright="1">
                          <a:noAutofit/>
                        </wps:bodyPr>
                      </wps:wsp>
                      <wps:wsp>
                        <wps:cNvPr id="136" name="Rectangle 4"/>
                        <wps:cNvSpPr>
                          <a:spLocks noChangeArrowheads="1"/>
                        </wps:cNvSpPr>
                        <wps:spPr bwMode="auto">
                          <a:xfrm>
                            <a:off x="4574" y="6130"/>
                            <a:ext cx="3360" cy="0"/>
                          </a:xfrm>
                          <a:prstGeom prst="rect">
                            <a:avLst/>
                          </a:prstGeom>
                          <a:noFill/>
                          <a:ln>
                            <a:noFill/>
                          </a:ln>
                        </wps:spPr>
                        <wps:txbx>
                          <w:txbxContent>
                            <w:p w14:paraId="3EFE6779" w14:textId="77777777" w:rsidR="004D75A0" w:rsidRDefault="004D75A0" w:rsidP="002A5F50">
                              <w:pPr>
                                <w:spacing w:line="240" w:lineRule="atLeast"/>
                              </w:pPr>
                              <w:r>
                                <w:rPr>
                                  <w:noProof/>
                                  <w:lang w:val="lt-LT" w:eastAsia="lt-LT"/>
                                </w:rPr>
                                <w:drawing>
                                  <wp:inline distT="0" distB="0" distL="0" distR="0" wp14:anchorId="4D4C0C0A" wp14:editId="7976C80D">
                                    <wp:extent cx="2152650" cy="190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19050"/>
                                            </a:xfrm>
                                            <a:prstGeom prst="rect">
                                              <a:avLst/>
                                            </a:prstGeom>
                                            <a:noFill/>
                                            <a:ln>
                                              <a:noFill/>
                                            </a:ln>
                                          </pic:spPr>
                                        </pic:pic>
                                      </a:graphicData>
                                    </a:graphic>
                                  </wp:inline>
                                </w:drawing>
                              </w:r>
                            </w:p>
                            <w:p w14:paraId="40D46AC4" w14:textId="77777777" w:rsidR="004D75A0" w:rsidRDefault="004D75A0" w:rsidP="002A5F5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1847C2" id="Group 128" o:spid="_x0000_s1026" style="position:absolute;margin-left:65.5pt;margin-top:306.45pt;width:331pt;height:1pt;z-index:-251657216;mso-position-horizontal-relative:page;mso-position-vertical-relative:page" coordorigin="1310,6129" coordsize="6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" o:allowincell="f">
                <v:rect id="Rectangle 3" o:spid="_x0000_s1027" style="position:absolute;left:1310;top:6130;width:326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69E2D2B5" w14:textId="77777777" w:rsidR="004D75A0" w:rsidRDefault="004D75A0" w:rsidP="002A5F50">
                        <w:pPr>
                          <w:spacing w:line="240" w:lineRule="atLeast"/>
                        </w:pPr>
                        <w:r>
                          <w:rPr>
                            <w:noProof/>
                            <w:lang w:val="lt-LT" w:eastAsia="lt-LT"/>
                          </w:rPr>
                          <w:drawing>
                            <wp:inline distT="0" distB="0" distL="0" distR="0" wp14:anchorId="15B183FC" wp14:editId="56210F12">
                              <wp:extent cx="2057400" cy="190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9050"/>
                                      </a:xfrm>
                                      <a:prstGeom prst="rect">
                                        <a:avLst/>
                                      </a:prstGeom>
                                      <a:noFill/>
                                      <a:ln>
                                        <a:noFill/>
                                      </a:ln>
                                    </pic:spPr>
                                  </pic:pic>
                                </a:graphicData>
                              </a:graphic>
                            </wp:inline>
                          </w:drawing>
                        </w:r>
                      </w:p>
                      <w:p w14:paraId="3DBA4E62" w14:textId="77777777" w:rsidR="004D75A0" w:rsidRDefault="004D75A0" w:rsidP="002A5F50"/>
                    </w:txbxContent>
                  </v:textbox>
                </v:rect>
                <v:rect id="Rectangle 4" o:spid="_x0000_s1028" style="position:absolute;left:4574;top:6130;width:336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FE6779" w14:textId="77777777" w:rsidR="004D75A0" w:rsidRDefault="004D75A0" w:rsidP="002A5F50">
                        <w:pPr>
                          <w:spacing w:line="240" w:lineRule="atLeast"/>
                        </w:pPr>
                        <w:r>
                          <w:rPr>
                            <w:noProof/>
                            <w:lang w:val="lt-LT" w:eastAsia="lt-LT"/>
                          </w:rPr>
                          <w:drawing>
                            <wp:inline distT="0" distB="0" distL="0" distR="0" wp14:anchorId="4D4C0C0A" wp14:editId="7976C80D">
                              <wp:extent cx="2152650" cy="190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19050"/>
                                      </a:xfrm>
                                      <a:prstGeom prst="rect">
                                        <a:avLst/>
                                      </a:prstGeom>
                                      <a:noFill/>
                                      <a:ln>
                                        <a:noFill/>
                                      </a:ln>
                                    </pic:spPr>
                                  </pic:pic>
                                </a:graphicData>
                              </a:graphic>
                            </wp:inline>
                          </w:drawing>
                        </w:r>
                      </w:p>
                      <w:p w14:paraId="40D46AC4" w14:textId="77777777" w:rsidR="004D75A0" w:rsidRDefault="004D75A0" w:rsidP="002A5F50"/>
                    </w:txbxContent>
                  </v:textbox>
                </v:rect>
                <w10:wrap anchorx="page" anchory="page"/>
              </v:group>
            </w:pict>
          </mc:Fallback>
        </mc:AlternateContent>
      </w:r>
      <w:r w:rsidRPr="001839C2">
        <w:rPr>
          <w:noProof/>
          <w:lang w:val="lt-LT" w:eastAsia="lt-LT"/>
        </w:rPr>
        <mc:AlternateContent>
          <mc:Choice Requires="wpg">
            <w:drawing>
              <wp:anchor distT="0" distB="0" distL="114300" distR="114300" simplePos="0" relativeHeight="251660288" behindDoc="1" locked="0" layoutInCell="0" allowOverlap="1" wp14:anchorId="231D0FCE" wp14:editId="60FE9B5D">
                <wp:simplePos x="0" y="0"/>
                <wp:positionH relativeFrom="page">
                  <wp:posOffset>831850</wp:posOffset>
                </wp:positionH>
                <wp:positionV relativeFrom="page">
                  <wp:posOffset>5217795</wp:posOffset>
                </wp:positionV>
                <wp:extent cx="4203700" cy="127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0" cy="12700"/>
                          <a:chOff x="1310" y="8217"/>
                          <a:chExt cx="6620" cy="20"/>
                        </a:xfrm>
                      </wpg:grpSpPr>
                      <wps:wsp>
                        <wps:cNvPr id="30" name="Rectangle 6"/>
                        <wps:cNvSpPr>
                          <a:spLocks noChangeArrowheads="1"/>
                        </wps:cNvSpPr>
                        <wps:spPr bwMode="auto">
                          <a:xfrm>
                            <a:off x="1310" y="8218"/>
                            <a:ext cx="3260" cy="0"/>
                          </a:xfrm>
                          <a:prstGeom prst="rect">
                            <a:avLst/>
                          </a:prstGeom>
                          <a:noFill/>
                          <a:ln>
                            <a:noFill/>
                          </a:ln>
                        </wps:spPr>
                        <wps:txbx>
                          <w:txbxContent>
                            <w:p w14:paraId="0F45CB41" w14:textId="77777777" w:rsidR="004D75A0" w:rsidRDefault="004D75A0" w:rsidP="002A5F50">
                              <w:pPr>
                                <w:spacing w:line="240" w:lineRule="atLeast"/>
                              </w:pPr>
                              <w:r>
                                <w:rPr>
                                  <w:noProof/>
                                  <w:lang w:val="lt-LT" w:eastAsia="lt-LT"/>
                                </w:rPr>
                                <w:drawing>
                                  <wp:inline distT="0" distB="0" distL="0" distR="0" wp14:anchorId="5CE5948E" wp14:editId="6E80F2E9">
                                    <wp:extent cx="2057400" cy="1905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9050"/>
                                            </a:xfrm>
                                            <a:prstGeom prst="rect">
                                              <a:avLst/>
                                            </a:prstGeom>
                                            <a:noFill/>
                                            <a:ln>
                                              <a:noFill/>
                                            </a:ln>
                                          </pic:spPr>
                                        </pic:pic>
                                      </a:graphicData>
                                    </a:graphic>
                                  </wp:inline>
                                </w:drawing>
                              </w:r>
                            </w:p>
                            <w:p w14:paraId="03933856" w14:textId="77777777" w:rsidR="004D75A0" w:rsidRDefault="004D75A0" w:rsidP="002A5F50"/>
                          </w:txbxContent>
                        </wps:txbx>
                        <wps:bodyPr rot="0" vert="horz" wrap="square" lIns="0" tIns="0" rIns="0" bIns="0" anchor="t" anchorCtr="0" upright="1">
                          <a:noAutofit/>
                        </wps:bodyPr>
                      </wps:wsp>
                      <wps:wsp>
                        <wps:cNvPr id="31" name="Rectangle 7"/>
                        <wps:cNvSpPr>
                          <a:spLocks noChangeArrowheads="1"/>
                        </wps:cNvSpPr>
                        <wps:spPr bwMode="auto">
                          <a:xfrm>
                            <a:off x="4574" y="8218"/>
                            <a:ext cx="3360" cy="0"/>
                          </a:xfrm>
                          <a:prstGeom prst="rect">
                            <a:avLst/>
                          </a:prstGeom>
                          <a:noFill/>
                          <a:ln>
                            <a:noFill/>
                          </a:ln>
                        </wps:spPr>
                        <wps:txbx>
                          <w:txbxContent>
                            <w:p w14:paraId="0550C9E9" w14:textId="77777777" w:rsidR="004D75A0" w:rsidRDefault="004D75A0" w:rsidP="002A5F50">
                              <w:pPr>
                                <w:spacing w:line="240" w:lineRule="atLeast"/>
                              </w:pPr>
                              <w:r>
                                <w:rPr>
                                  <w:noProof/>
                                  <w:lang w:val="lt-LT" w:eastAsia="lt-LT"/>
                                </w:rPr>
                                <w:drawing>
                                  <wp:inline distT="0" distB="0" distL="0" distR="0" wp14:anchorId="63F3C0FD" wp14:editId="193F9CEE">
                                    <wp:extent cx="2152650" cy="1905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19050"/>
                                            </a:xfrm>
                                            <a:prstGeom prst="rect">
                                              <a:avLst/>
                                            </a:prstGeom>
                                            <a:noFill/>
                                            <a:ln>
                                              <a:noFill/>
                                            </a:ln>
                                          </pic:spPr>
                                        </pic:pic>
                                      </a:graphicData>
                                    </a:graphic>
                                  </wp:inline>
                                </w:drawing>
                              </w:r>
                            </w:p>
                            <w:p w14:paraId="075E9A5C" w14:textId="77777777" w:rsidR="004D75A0" w:rsidRDefault="004D75A0" w:rsidP="002A5F5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1D0FCE" id="Group 29" o:spid="_x0000_s1029" style="position:absolute;margin-left:65.5pt;margin-top:410.85pt;width:331pt;height:1pt;z-index:-251656192;mso-position-horizontal-relative:page;mso-position-vertical-relative:page" coordorigin="1310,8217" coordsize="6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" o:allowincell="f">
                <v:rect id="Rectangle 6" o:spid="_x0000_s1030" style="position:absolute;left:1310;top:8218;width:326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F45CB41" w14:textId="77777777" w:rsidR="004D75A0" w:rsidRDefault="004D75A0" w:rsidP="002A5F50">
                        <w:pPr>
                          <w:spacing w:line="240" w:lineRule="atLeast"/>
                        </w:pPr>
                        <w:r>
                          <w:rPr>
                            <w:noProof/>
                            <w:lang w:val="lt-LT" w:eastAsia="lt-LT"/>
                          </w:rPr>
                          <w:drawing>
                            <wp:inline distT="0" distB="0" distL="0" distR="0" wp14:anchorId="5CE5948E" wp14:editId="6E80F2E9">
                              <wp:extent cx="2057400" cy="1905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9050"/>
                                      </a:xfrm>
                                      <a:prstGeom prst="rect">
                                        <a:avLst/>
                                      </a:prstGeom>
                                      <a:noFill/>
                                      <a:ln>
                                        <a:noFill/>
                                      </a:ln>
                                    </pic:spPr>
                                  </pic:pic>
                                </a:graphicData>
                              </a:graphic>
                            </wp:inline>
                          </w:drawing>
                        </w:r>
                      </w:p>
                      <w:p w14:paraId="03933856" w14:textId="77777777" w:rsidR="004D75A0" w:rsidRDefault="004D75A0" w:rsidP="002A5F50"/>
                    </w:txbxContent>
                  </v:textbox>
                </v:rect>
                <v:rect id="Rectangle 7" o:spid="_x0000_s1031" style="position:absolute;left:4574;top:8218;width:336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550C9E9" w14:textId="77777777" w:rsidR="004D75A0" w:rsidRDefault="004D75A0" w:rsidP="002A5F50">
                        <w:pPr>
                          <w:spacing w:line="240" w:lineRule="atLeast"/>
                        </w:pPr>
                        <w:r>
                          <w:rPr>
                            <w:noProof/>
                            <w:lang w:val="lt-LT" w:eastAsia="lt-LT"/>
                          </w:rPr>
                          <w:drawing>
                            <wp:inline distT="0" distB="0" distL="0" distR="0" wp14:anchorId="63F3C0FD" wp14:editId="193F9CEE">
                              <wp:extent cx="2152650" cy="1905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19050"/>
                                      </a:xfrm>
                                      <a:prstGeom prst="rect">
                                        <a:avLst/>
                                      </a:prstGeom>
                                      <a:noFill/>
                                      <a:ln>
                                        <a:noFill/>
                                      </a:ln>
                                    </pic:spPr>
                                  </pic:pic>
                                </a:graphicData>
                              </a:graphic>
                            </wp:inline>
                          </w:drawing>
                        </w:r>
                      </w:p>
                      <w:p w14:paraId="075E9A5C" w14:textId="77777777" w:rsidR="004D75A0" w:rsidRDefault="004D75A0" w:rsidP="002A5F50"/>
                    </w:txbxContent>
                  </v:textbox>
                </v:rect>
                <w10:wrap anchorx="page" anchory="page"/>
              </v:group>
            </w:pict>
          </mc:Fallback>
        </mc:AlternateContent>
      </w:r>
      <w:r w:rsidRPr="001839C2">
        <w:rPr>
          <w:noProof/>
          <w:lang w:val="lt-LT" w:eastAsia="lt-LT"/>
        </w:rPr>
        <mc:AlternateContent>
          <mc:Choice Requires="wpg">
            <w:drawing>
              <wp:anchor distT="0" distB="0" distL="114300" distR="114300" simplePos="0" relativeHeight="251661312" behindDoc="1" locked="0" layoutInCell="0" allowOverlap="1" wp14:anchorId="05F4EF51" wp14:editId="2F1CAF6A">
                <wp:simplePos x="0" y="0"/>
                <wp:positionH relativeFrom="page">
                  <wp:posOffset>831850</wp:posOffset>
                </wp:positionH>
                <wp:positionV relativeFrom="page">
                  <wp:posOffset>6837680</wp:posOffset>
                </wp:positionV>
                <wp:extent cx="4203700" cy="127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0" cy="12700"/>
                          <a:chOff x="1310" y="10768"/>
                          <a:chExt cx="6620" cy="20"/>
                        </a:xfrm>
                      </wpg:grpSpPr>
                      <wps:wsp>
                        <wps:cNvPr id="27" name="Rectangle 9"/>
                        <wps:cNvSpPr>
                          <a:spLocks noChangeArrowheads="1"/>
                        </wps:cNvSpPr>
                        <wps:spPr bwMode="auto">
                          <a:xfrm>
                            <a:off x="1310" y="10769"/>
                            <a:ext cx="3260" cy="0"/>
                          </a:xfrm>
                          <a:prstGeom prst="rect">
                            <a:avLst/>
                          </a:prstGeom>
                          <a:noFill/>
                          <a:ln>
                            <a:noFill/>
                          </a:ln>
                        </wps:spPr>
                        <wps:txbx>
                          <w:txbxContent>
                            <w:p w14:paraId="66831E01" w14:textId="77777777" w:rsidR="004D75A0" w:rsidRDefault="004D75A0" w:rsidP="002A5F50">
                              <w:pPr>
                                <w:spacing w:line="240" w:lineRule="atLeast"/>
                              </w:pPr>
                              <w:r>
                                <w:rPr>
                                  <w:noProof/>
                                  <w:lang w:val="lt-LT" w:eastAsia="lt-LT"/>
                                </w:rPr>
                                <w:drawing>
                                  <wp:inline distT="0" distB="0" distL="0" distR="0" wp14:anchorId="387402F8" wp14:editId="55A2B9E3">
                                    <wp:extent cx="2057400" cy="1905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9050"/>
                                            </a:xfrm>
                                            <a:prstGeom prst="rect">
                                              <a:avLst/>
                                            </a:prstGeom>
                                            <a:noFill/>
                                            <a:ln>
                                              <a:noFill/>
                                            </a:ln>
                                          </pic:spPr>
                                        </pic:pic>
                                      </a:graphicData>
                                    </a:graphic>
                                  </wp:inline>
                                </w:drawing>
                              </w:r>
                            </w:p>
                            <w:p w14:paraId="4F22FB7B" w14:textId="77777777" w:rsidR="004D75A0" w:rsidRDefault="004D75A0" w:rsidP="002A5F50"/>
                          </w:txbxContent>
                        </wps:txbx>
                        <wps:bodyPr rot="0" vert="horz" wrap="square" lIns="0" tIns="0" rIns="0" bIns="0" anchor="t" anchorCtr="0" upright="1">
                          <a:noAutofit/>
                        </wps:bodyPr>
                      </wps:wsp>
                      <wps:wsp>
                        <wps:cNvPr id="28" name="Rectangle 10"/>
                        <wps:cNvSpPr>
                          <a:spLocks noChangeArrowheads="1"/>
                        </wps:cNvSpPr>
                        <wps:spPr bwMode="auto">
                          <a:xfrm>
                            <a:off x="4574" y="10769"/>
                            <a:ext cx="3360" cy="0"/>
                          </a:xfrm>
                          <a:prstGeom prst="rect">
                            <a:avLst/>
                          </a:prstGeom>
                          <a:noFill/>
                          <a:ln>
                            <a:noFill/>
                          </a:ln>
                        </wps:spPr>
                        <wps:txbx>
                          <w:txbxContent>
                            <w:p w14:paraId="571928A6" w14:textId="77777777" w:rsidR="004D75A0" w:rsidRDefault="004D75A0" w:rsidP="002A5F50">
                              <w:pPr>
                                <w:spacing w:line="240" w:lineRule="atLeast"/>
                              </w:pPr>
                              <w:r>
                                <w:rPr>
                                  <w:noProof/>
                                  <w:lang w:val="lt-LT" w:eastAsia="lt-LT"/>
                                </w:rPr>
                                <w:drawing>
                                  <wp:inline distT="0" distB="0" distL="0" distR="0" wp14:anchorId="5EC2127A" wp14:editId="564BCA6E">
                                    <wp:extent cx="2152650" cy="190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19050"/>
                                            </a:xfrm>
                                            <a:prstGeom prst="rect">
                                              <a:avLst/>
                                            </a:prstGeom>
                                            <a:noFill/>
                                            <a:ln>
                                              <a:noFill/>
                                            </a:ln>
                                          </pic:spPr>
                                        </pic:pic>
                                      </a:graphicData>
                                    </a:graphic>
                                  </wp:inline>
                                </w:drawing>
                              </w:r>
                            </w:p>
                            <w:p w14:paraId="7B395433" w14:textId="77777777" w:rsidR="004D75A0" w:rsidRDefault="004D75A0" w:rsidP="002A5F5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F4EF51" id="Group 26" o:spid="_x0000_s1032" style="position:absolute;margin-left:65.5pt;margin-top:538.4pt;width:331pt;height:1pt;z-index:-251655168;mso-position-horizontal-relative:page;mso-position-vertical-relative:page" coordorigin="1310,10768" coordsize="6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" o:allowincell="f">
                <v:rect id="Rectangle 9" o:spid="_x0000_s1033" style="position:absolute;left:1310;top:10769;width:326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6831E01" w14:textId="77777777" w:rsidR="004D75A0" w:rsidRDefault="004D75A0" w:rsidP="002A5F50">
                        <w:pPr>
                          <w:spacing w:line="240" w:lineRule="atLeast"/>
                        </w:pPr>
                        <w:r>
                          <w:rPr>
                            <w:noProof/>
                            <w:lang w:val="lt-LT" w:eastAsia="lt-LT"/>
                          </w:rPr>
                          <w:drawing>
                            <wp:inline distT="0" distB="0" distL="0" distR="0" wp14:anchorId="387402F8" wp14:editId="55A2B9E3">
                              <wp:extent cx="2057400" cy="1905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9050"/>
                                      </a:xfrm>
                                      <a:prstGeom prst="rect">
                                        <a:avLst/>
                                      </a:prstGeom>
                                      <a:noFill/>
                                      <a:ln>
                                        <a:noFill/>
                                      </a:ln>
                                    </pic:spPr>
                                  </pic:pic>
                                </a:graphicData>
                              </a:graphic>
                            </wp:inline>
                          </w:drawing>
                        </w:r>
                      </w:p>
                      <w:p w14:paraId="4F22FB7B" w14:textId="77777777" w:rsidR="004D75A0" w:rsidRDefault="004D75A0" w:rsidP="002A5F50"/>
                    </w:txbxContent>
                  </v:textbox>
                </v:rect>
                <v:rect id="Rectangle 10" o:spid="_x0000_s1034" style="position:absolute;left:4574;top:10769;width:336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71928A6" w14:textId="77777777" w:rsidR="004D75A0" w:rsidRDefault="004D75A0" w:rsidP="002A5F50">
                        <w:pPr>
                          <w:spacing w:line="240" w:lineRule="atLeast"/>
                        </w:pPr>
                        <w:r>
                          <w:rPr>
                            <w:noProof/>
                            <w:lang w:val="lt-LT" w:eastAsia="lt-LT"/>
                          </w:rPr>
                          <w:drawing>
                            <wp:inline distT="0" distB="0" distL="0" distR="0" wp14:anchorId="5EC2127A" wp14:editId="564BCA6E">
                              <wp:extent cx="2152650" cy="190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19050"/>
                                      </a:xfrm>
                                      <a:prstGeom prst="rect">
                                        <a:avLst/>
                                      </a:prstGeom>
                                      <a:noFill/>
                                      <a:ln>
                                        <a:noFill/>
                                      </a:ln>
                                    </pic:spPr>
                                  </pic:pic>
                                </a:graphicData>
                              </a:graphic>
                            </wp:inline>
                          </w:drawing>
                        </w:r>
                      </w:p>
                      <w:p w14:paraId="7B395433" w14:textId="77777777" w:rsidR="004D75A0" w:rsidRDefault="004D75A0" w:rsidP="002A5F50"/>
                    </w:txbxContent>
                  </v:textbox>
                </v:rect>
                <w10:wrap anchorx="page" anchory="page"/>
              </v:group>
            </w:pict>
          </mc:Fallback>
        </mc:AlternateContent>
      </w:r>
    </w:p>
    <w:p w14:paraId="6995E2DA" w14:textId="77777777" w:rsidR="002A5F50" w:rsidRPr="001839C2" w:rsidRDefault="002A5F50" w:rsidP="00230559">
      <w:pPr>
        <w:keepNext/>
        <w:tabs>
          <w:tab w:val="clear" w:pos="567"/>
          <w:tab w:val="left" w:pos="0"/>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2</w:t>
      </w:r>
      <w:r w:rsidR="00A91F01" w:rsidRPr="001839C2">
        <w:rPr>
          <w:rFonts w:eastAsiaTheme="minorEastAsia"/>
          <w:b/>
          <w:bCs/>
          <w:snapToGrid/>
          <w:szCs w:val="22"/>
          <w:lang w:val="lt-LT" w:eastAsia="en-IN"/>
        </w:rPr>
        <w:t> </w:t>
      </w:r>
      <w:r w:rsidRPr="001839C2">
        <w:rPr>
          <w:rFonts w:eastAsiaTheme="minorEastAsia"/>
          <w:b/>
          <w:bCs/>
          <w:snapToGrid/>
          <w:szCs w:val="22"/>
          <w:lang w:val="lt-LT" w:eastAsia="en-IN"/>
        </w:rPr>
        <w:t>lentelė. Emtricitabino</w:t>
      </w:r>
      <w:r w:rsidR="00A91F01" w:rsidRPr="001839C2">
        <w:rPr>
          <w:rFonts w:eastAsiaTheme="minorEastAsia"/>
          <w:b/>
          <w:bCs/>
          <w:snapToGrid/>
          <w:szCs w:val="22"/>
          <w:lang w:val="lt-LT" w:eastAsia="en-IN"/>
        </w:rPr>
        <w:t xml:space="preserve"> ir </w:t>
      </w:r>
      <w:r w:rsidRPr="001839C2">
        <w:rPr>
          <w:rFonts w:eastAsiaTheme="minorEastAsia"/>
          <w:b/>
          <w:bCs/>
          <w:snapToGrid/>
          <w:szCs w:val="22"/>
          <w:lang w:val="lt-LT" w:eastAsia="en-IN"/>
        </w:rPr>
        <w:t>tenofoviro dizoproksil</w:t>
      </w:r>
      <w:r w:rsidR="00EB3A05" w:rsidRPr="001839C2">
        <w:rPr>
          <w:rFonts w:eastAsiaTheme="minorEastAsia"/>
          <w:b/>
          <w:bCs/>
          <w:snapToGrid/>
          <w:szCs w:val="22"/>
          <w:lang w:val="lt-LT" w:eastAsia="en-IN"/>
        </w:rPr>
        <w:t>i</w:t>
      </w:r>
      <w:r w:rsidRPr="001839C2">
        <w:rPr>
          <w:rFonts w:eastAsiaTheme="minorEastAsia"/>
          <w:b/>
          <w:bCs/>
          <w:snapToGrid/>
          <w:szCs w:val="22"/>
          <w:lang w:val="lt-LT" w:eastAsia="en-IN"/>
        </w:rPr>
        <w:t>o</w:t>
      </w:r>
      <w:r w:rsidR="00A91F01" w:rsidRPr="001839C2">
        <w:rPr>
          <w:rFonts w:eastAsiaTheme="minorEastAsia"/>
          <w:b/>
          <w:bCs/>
          <w:snapToGrid/>
          <w:szCs w:val="22"/>
          <w:lang w:val="lt-LT" w:eastAsia="en-IN"/>
        </w:rPr>
        <w:t xml:space="preserve"> derinio</w:t>
      </w:r>
      <w:r w:rsidRPr="001839C2">
        <w:rPr>
          <w:rFonts w:eastAsiaTheme="minorEastAsia"/>
          <w:b/>
          <w:bCs/>
          <w:snapToGrid/>
          <w:szCs w:val="22"/>
          <w:lang w:val="lt-LT" w:eastAsia="en-IN"/>
        </w:rPr>
        <w:t xml:space="preserve"> ar atskiros</w:t>
      </w:r>
      <w:r w:rsidR="00A91F01" w:rsidRPr="001839C2">
        <w:rPr>
          <w:rFonts w:eastAsiaTheme="minorEastAsia"/>
          <w:b/>
          <w:bCs/>
          <w:snapToGrid/>
          <w:szCs w:val="22"/>
          <w:lang w:val="lt-LT" w:eastAsia="en-IN"/>
        </w:rPr>
        <w:t> </w:t>
      </w:r>
      <w:r w:rsidRPr="001839C2">
        <w:rPr>
          <w:rFonts w:eastAsiaTheme="minorEastAsia"/>
          <w:b/>
          <w:bCs/>
          <w:snapToGrid/>
          <w:szCs w:val="22"/>
          <w:lang w:val="lt-LT" w:eastAsia="en-IN"/>
        </w:rPr>
        <w:t>(</w:t>
      </w:r>
      <w:r w:rsidR="00A91F01" w:rsidRPr="001839C2">
        <w:rPr>
          <w:rFonts w:eastAsiaTheme="minorEastAsia"/>
          <w:b/>
          <w:bCs/>
          <w:snapToGrid/>
          <w:szCs w:val="22"/>
          <w:lang w:val="lt-LT" w:eastAsia="en-IN"/>
        </w:rPr>
        <w:noBreakHyphen/>
      </w:r>
      <w:r w:rsidRPr="001839C2">
        <w:rPr>
          <w:rFonts w:eastAsiaTheme="minorEastAsia"/>
          <w:b/>
          <w:bCs/>
          <w:snapToGrid/>
          <w:szCs w:val="22"/>
          <w:lang w:val="lt-LT" w:eastAsia="en-IN"/>
        </w:rPr>
        <w:t xml:space="preserve">ų) jo </w:t>
      </w:r>
      <w:r w:rsidR="00594EFD" w:rsidRPr="001839C2">
        <w:rPr>
          <w:rFonts w:eastAsiaTheme="minorEastAsia"/>
          <w:b/>
          <w:bCs/>
          <w:snapToGrid/>
          <w:szCs w:val="22"/>
          <w:lang w:val="lt-LT" w:eastAsia="en-IN"/>
        </w:rPr>
        <w:t>v</w:t>
      </w:r>
      <w:r w:rsidRPr="001839C2">
        <w:rPr>
          <w:rFonts w:eastAsiaTheme="minorEastAsia"/>
          <w:b/>
          <w:bCs/>
          <w:snapToGrid/>
          <w:szCs w:val="22"/>
          <w:lang w:val="lt-LT" w:eastAsia="en-IN"/>
        </w:rPr>
        <w:t>e</w:t>
      </w:r>
      <w:r w:rsidR="00594EFD" w:rsidRPr="001839C2">
        <w:rPr>
          <w:rFonts w:eastAsiaTheme="minorEastAsia"/>
          <w:b/>
          <w:bCs/>
          <w:snapToGrid/>
          <w:szCs w:val="22"/>
          <w:lang w:val="lt-LT" w:eastAsia="en-IN"/>
        </w:rPr>
        <w:t>ikli</w:t>
      </w:r>
      <w:r w:rsidRPr="001839C2">
        <w:rPr>
          <w:rFonts w:eastAsiaTheme="minorEastAsia"/>
          <w:b/>
          <w:bCs/>
          <w:snapToGrid/>
          <w:szCs w:val="22"/>
          <w:lang w:val="lt-LT" w:eastAsia="en-IN"/>
        </w:rPr>
        <w:t>osios</w:t>
      </w:r>
      <w:r w:rsidR="00A91F01" w:rsidRPr="001839C2">
        <w:rPr>
          <w:rFonts w:eastAsiaTheme="minorEastAsia"/>
          <w:b/>
          <w:bCs/>
          <w:snapToGrid/>
          <w:szCs w:val="22"/>
          <w:lang w:val="lt-LT" w:eastAsia="en-IN"/>
        </w:rPr>
        <w:t> </w:t>
      </w:r>
      <w:r w:rsidRPr="001839C2">
        <w:rPr>
          <w:rFonts w:eastAsiaTheme="minorEastAsia"/>
          <w:b/>
          <w:bCs/>
          <w:snapToGrid/>
          <w:szCs w:val="22"/>
          <w:lang w:val="lt-LT" w:eastAsia="en-IN"/>
        </w:rPr>
        <w:t>(</w:t>
      </w:r>
      <w:r w:rsidR="00A91F01" w:rsidRPr="001839C2">
        <w:rPr>
          <w:rFonts w:eastAsiaTheme="minorEastAsia"/>
          <w:b/>
          <w:bCs/>
          <w:snapToGrid/>
          <w:szCs w:val="22"/>
          <w:lang w:val="lt-LT" w:eastAsia="en-IN"/>
        </w:rPr>
        <w:noBreakHyphen/>
      </w:r>
      <w:r w:rsidR="00594EFD" w:rsidRPr="001839C2">
        <w:rPr>
          <w:rFonts w:eastAsiaTheme="minorEastAsia"/>
          <w:b/>
          <w:bCs/>
          <w:snapToGrid/>
          <w:szCs w:val="22"/>
          <w:lang w:val="lt-LT" w:eastAsia="en-IN"/>
        </w:rPr>
        <w:t>i</w:t>
      </w:r>
      <w:r w:rsidRPr="001839C2">
        <w:rPr>
          <w:rFonts w:eastAsiaTheme="minorEastAsia"/>
          <w:b/>
          <w:bCs/>
          <w:snapToGrid/>
          <w:szCs w:val="22"/>
          <w:lang w:val="lt-LT" w:eastAsia="en-IN"/>
        </w:rPr>
        <w:t xml:space="preserve">ųjų) </w:t>
      </w:r>
      <w:r w:rsidR="00594EFD" w:rsidRPr="001839C2">
        <w:rPr>
          <w:rFonts w:eastAsiaTheme="minorEastAsia"/>
          <w:b/>
          <w:bCs/>
          <w:snapToGrid/>
          <w:szCs w:val="22"/>
          <w:lang w:val="lt-LT" w:eastAsia="en-IN"/>
        </w:rPr>
        <w:t>m</w:t>
      </w:r>
      <w:r w:rsidRPr="001839C2">
        <w:rPr>
          <w:rFonts w:eastAsiaTheme="minorEastAsia"/>
          <w:b/>
          <w:bCs/>
          <w:snapToGrid/>
          <w:szCs w:val="22"/>
          <w:lang w:val="lt-LT" w:eastAsia="en-IN"/>
        </w:rPr>
        <w:t>e</w:t>
      </w:r>
      <w:r w:rsidR="00594EFD" w:rsidRPr="001839C2">
        <w:rPr>
          <w:rFonts w:eastAsiaTheme="minorEastAsia"/>
          <w:b/>
          <w:bCs/>
          <w:snapToGrid/>
          <w:szCs w:val="22"/>
          <w:lang w:val="lt-LT" w:eastAsia="en-IN"/>
        </w:rPr>
        <w:t>džiago</w:t>
      </w:r>
      <w:r w:rsidRPr="001839C2">
        <w:rPr>
          <w:rFonts w:eastAsiaTheme="minorEastAsia"/>
          <w:b/>
          <w:bCs/>
          <w:snapToGrid/>
          <w:szCs w:val="22"/>
          <w:lang w:val="lt-LT" w:eastAsia="en-IN"/>
        </w:rPr>
        <w:t>s</w:t>
      </w:r>
      <w:r w:rsidR="00A91F01" w:rsidRPr="001839C2">
        <w:rPr>
          <w:rFonts w:eastAsiaTheme="minorEastAsia"/>
          <w:b/>
          <w:bCs/>
          <w:snapToGrid/>
          <w:szCs w:val="22"/>
          <w:lang w:val="lt-LT" w:eastAsia="en-IN"/>
        </w:rPr>
        <w:t> </w:t>
      </w:r>
      <w:r w:rsidRPr="001839C2">
        <w:rPr>
          <w:rFonts w:eastAsiaTheme="minorEastAsia"/>
          <w:b/>
          <w:bCs/>
          <w:snapToGrid/>
          <w:szCs w:val="22"/>
          <w:lang w:val="lt-LT" w:eastAsia="en-IN"/>
        </w:rPr>
        <w:t>(</w:t>
      </w:r>
      <w:r w:rsidR="00A91F01" w:rsidRPr="001839C2">
        <w:rPr>
          <w:rFonts w:eastAsiaTheme="minorEastAsia"/>
          <w:b/>
          <w:bCs/>
          <w:snapToGrid/>
          <w:szCs w:val="22"/>
          <w:lang w:val="lt-LT" w:eastAsia="en-IN"/>
        </w:rPr>
        <w:noBreakHyphen/>
      </w:r>
      <w:r w:rsidRPr="001839C2">
        <w:rPr>
          <w:rFonts w:eastAsiaTheme="minorEastAsia"/>
          <w:b/>
          <w:bCs/>
          <w:snapToGrid/>
          <w:szCs w:val="22"/>
          <w:lang w:val="lt-LT" w:eastAsia="en-IN"/>
        </w:rPr>
        <w:t>ų) sąveikos su kitais vaistiniais preparatais</w:t>
      </w:r>
    </w:p>
    <w:p w14:paraId="362CA7BA"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W w:w="9548" w:type="dxa"/>
        <w:tblLayout w:type="fixed"/>
        <w:tblCellMar>
          <w:left w:w="0" w:type="dxa"/>
          <w:right w:w="0" w:type="dxa"/>
        </w:tblCellMar>
        <w:tblLook w:val="0000" w:firstRow="0" w:lastRow="0" w:firstColumn="0" w:lastColumn="0" w:noHBand="0" w:noVBand="0"/>
      </w:tblPr>
      <w:tblGrid>
        <w:gridCol w:w="3775"/>
        <w:gridCol w:w="3351"/>
        <w:gridCol w:w="2422"/>
      </w:tblGrid>
      <w:tr w:rsidR="0021610A" w:rsidRPr="00686907" w14:paraId="78EA1D7B" w14:textId="77777777" w:rsidTr="00230559">
        <w:trPr>
          <w:cantSplit/>
          <w:tblHeader/>
        </w:trPr>
        <w:tc>
          <w:tcPr>
            <w:tcW w:w="3775" w:type="dxa"/>
            <w:tcBorders>
              <w:top w:val="single" w:sz="4" w:space="0" w:color="000000"/>
              <w:left w:val="single" w:sz="4" w:space="0" w:color="000000"/>
              <w:bottom w:val="single" w:sz="4" w:space="0" w:color="000000"/>
              <w:right w:val="single" w:sz="4" w:space="0" w:color="000000"/>
            </w:tcBorders>
            <w:vAlign w:val="center"/>
          </w:tcPr>
          <w:p w14:paraId="6A2B5EF0"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Vaistiniai preparatai pagal terapines grupes</w:t>
            </w:r>
          </w:p>
        </w:tc>
        <w:tc>
          <w:tcPr>
            <w:tcW w:w="3351" w:type="dxa"/>
            <w:tcBorders>
              <w:top w:val="single" w:sz="4" w:space="0" w:color="000000"/>
              <w:left w:val="single" w:sz="4" w:space="0" w:color="000000"/>
              <w:bottom w:val="single" w:sz="4" w:space="0" w:color="000000"/>
              <w:right w:val="single" w:sz="4" w:space="0" w:color="000000"/>
            </w:tcBorders>
            <w:vAlign w:val="center"/>
          </w:tcPr>
          <w:p w14:paraId="1CE60B42"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Poveiki</w:t>
            </w:r>
            <w:r w:rsidR="00F95A00" w:rsidRPr="001839C2">
              <w:rPr>
                <w:rFonts w:eastAsiaTheme="minorEastAsia"/>
                <w:b/>
                <w:bCs/>
                <w:snapToGrid/>
                <w:szCs w:val="22"/>
                <w:lang w:val="lt-LT" w:eastAsia="en-IN"/>
              </w:rPr>
              <w:t>s</w:t>
            </w:r>
            <w:r w:rsidRPr="001839C2">
              <w:rPr>
                <w:rFonts w:eastAsiaTheme="minorEastAsia"/>
                <w:b/>
                <w:bCs/>
                <w:snapToGrid/>
                <w:szCs w:val="22"/>
                <w:lang w:val="lt-LT" w:eastAsia="en-IN"/>
              </w:rPr>
              <w:t xml:space="preserve"> vaistinių preparatų koncentracijoms</w:t>
            </w:r>
          </w:p>
          <w:p w14:paraId="404AB64C"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AUC, C</w:t>
            </w:r>
            <w:r w:rsidRPr="001839C2">
              <w:rPr>
                <w:rFonts w:eastAsiaTheme="minorEastAsia"/>
                <w:b/>
                <w:bCs/>
                <w:snapToGrid/>
                <w:szCs w:val="22"/>
                <w:vertAlign w:val="subscript"/>
                <w:lang w:val="lt-LT" w:eastAsia="en-IN"/>
              </w:rPr>
              <w:t>max</w:t>
            </w:r>
            <w:r w:rsidRPr="001839C2">
              <w:rPr>
                <w:rFonts w:eastAsiaTheme="minorEastAsia"/>
                <w:b/>
                <w:bCs/>
                <w:snapToGrid/>
                <w:szCs w:val="22"/>
                <w:lang w:val="lt-LT" w:eastAsia="en-IN"/>
              </w:rPr>
              <w:t>, C</w:t>
            </w:r>
            <w:r w:rsidRPr="001839C2">
              <w:rPr>
                <w:rFonts w:eastAsiaTheme="minorEastAsia"/>
                <w:b/>
                <w:bCs/>
                <w:snapToGrid/>
                <w:szCs w:val="22"/>
                <w:vertAlign w:val="subscript"/>
                <w:lang w:val="lt-LT" w:eastAsia="en-IN"/>
              </w:rPr>
              <w:t>min</w:t>
            </w:r>
            <w:r w:rsidRPr="001839C2">
              <w:rPr>
                <w:rFonts w:eastAsiaTheme="minorEastAsia"/>
                <w:b/>
                <w:bCs/>
                <w:snapToGrid/>
                <w:szCs w:val="22"/>
                <w:lang w:val="lt-LT" w:eastAsia="en-IN"/>
              </w:rPr>
              <w:t xml:space="preserve"> vidutinis procentinis pokytis ir 90</w:t>
            </w:r>
            <w:r w:rsidR="00F95A00" w:rsidRPr="001839C2">
              <w:rPr>
                <w:rFonts w:eastAsiaTheme="minorEastAsia"/>
                <w:b/>
                <w:bCs/>
                <w:snapToGrid/>
                <w:szCs w:val="22"/>
                <w:lang w:val="lt-LT" w:eastAsia="en-IN"/>
              </w:rPr>
              <w:t> </w:t>
            </w:r>
            <w:r w:rsidRPr="001839C2">
              <w:rPr>
                <w:rFonts w:eastAsiaTheme="minorEastAsia"/>
                <w:b/>
                <w:bCs/>
                <w:snapToGrid/>
                <w:szCs w:val="22"/>
                <w:lang w:val="lt-LT" w:eastAsia="en-IN"/>
              </w:rPr>
              <w:t>% pasikliautinasis intervalas (jei yra žinomas) (mechanizmas)</w:t>
            </w:r>
          </w:p>
        </w:tc>
        <w:tc>
          <w:tcPr>
            <w:tcW w:w="2422" w:type="dxa"/>
            <w:tcBorders>
              <w:top w:val="single" w:sz="4" w:space="0" w:color="000000"/>
              <w:left w:val="single" w:sz="4" w:space="0" w:color="000000"/>
              <w:bottom w:val="single" w:sz="4" w:space="0" w:color="000000"/>
              <w:right w:val="single" w:sz="4" w:space="0" w:color="000000"/>
            </w:tcBorders>
            <w:vAlign w:val="center"/>
          </w:tcPr>
          <w:p w14:paraId="0D405ADA"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 xml:space="preserve">Rekomendacijos, kaip vartoti kartu su </w:t>
            </w:r>
            <w:r w:rsidR="00C71803" w:rsidRPr="001839C2">
              <w:rPr>
                <w:rFonts w:eastAsiaTheme="minorEastAsia"/>
                <w:b/>
                <w:bCs/>
                <w:snapToGrid/>
                <w:szCs w:val="22"/>
                <w:lang w:val="lt-LT" w:eastAsia="en-IN"/>
              </w:rPr>
              <w:t xml:space="preserve">Emtricitabine/Tenofovir disoproxil Accordpharma </w:t>
            </w:r>
            <w:r w:rsidRPr="001839C2">
              <w:rPr>
                <w:rFonts w:eastAsiaTheme="minorEastAsia"/>
                <w:b/>
                <w:bCs/>
                <w:snapToGrid/>
                <w:szCs w:val="22"/>
                <w:lang w:val="lt-LT" w:eastAsia="en-IN"/>
              </w:rPr>
              <w:t>(emtricitabino 200</w:t>
            </w:r>
            <w:r w:rsidR="00F95A00" w:rsidRPr="001839C2">
              <w:rPr>
                <w:rFonts w:eastAsiaTheme="minorEastAsia"/>
                <w:b/>
                <w:bCs/>
                <w:snapToGrid/>
                <w:szCs w:val="22"/>
                <w:lang w:val="lt-LT" w:eastAsia="en-IN"/>
              </w:rPr>
              <w:t> </w:t>
            </w:r>
            <w:r w:rsidRPr="001839C2">
              <w:rPr>
                <w:rFonts w:eastAsiaTheme="minorEastAsia"/>
                <w:b/>
                <w:bCs/>
                <w:snapToGrid/>
                <w:szCs w:val="22"/>
                <w:lang w:val="lt-LT" w:eastAsia="en-IN"/>
              </w:rPr>
              <w:t>mg, tenofoviro dizoproksilio 245</w:t>
            </w:r>
            <w:r w:rsidR="00F95A00" w:rsidRPr="001839C2">
              <w:rPr>
                <w:rFonts w:eastAsiaTheme="minorEastAsia"/>
                <w:b/>
                <w:bCs/>
                <w:snapToGrid/>
                <w:szCs w:val="22"/>
                <w:lang w:val="lt-LT" w:eastAsia="en-IN"/>
              </w:rPr>
              <w:t> </w:t>
            </w:r>
            <w:r w:rsidRPr="001839C2">
              <w:rPr>
                <w:rFonts w:eastAsiaTheme="minorEastAsia"/>
                <w:b/>
                <w:bCs/>
                <w:snapToGrid/>
                <w:szCs w:val="22"/>
                <w:lang w:val="lt-LT" w:eastAsia="en-IN"/>
              </w:rPr>
              <w:t>mg dozėmis)</w:t>
            </w:r>
          </w:p>
        </w:tc>
      </w:tr>
      <w:tr w:rsidR="00CB64F1" w:rsidRPr="001839C2" w14:paraId="09475B4D" w14:textId="77777777" w:rsidTr="00230559">
        <w:tc>
          <w:tcPr>
            <w:tcW w:w="9548" w:type="dxa"/>
            <w:gridSpan w:val="3"/>
            <w:tcBorders>
              <w:top w:val="single" w:sz="4" w:space="0" w:color="000000"/>
              <w:left w:val="single" w:sz="4" w:space="0" w:color="000000"/>
              <w:bottom w:val="single" w:sz="4" w:space="0" w:color="000000"/>
              <w:right w:val="single" w:sz="4" w:space="0" w:color="000000"/>
            </w:tcBorders>
          </w:tcPr>
          <w:p w14:paraId="4879F20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i/>
                <w:iCs/>
                <w:snapToGrid/>
                <w:szCs w:val="22"/>
                <w:lang w:val="lt-LT" w:eastAsia="en-IN"/>
              </w:rPr>
              <w:t>ANTIINFEKCINIAI</w:t>
            </w:r>
          </w:p>
        </w:tc>
      </w:tr>
      <w:tr w:rsidR="00CB64F1" w:rsidRPr="001839C2" w14:paraId="6B57651B" w14:textId="77777777" w:rsidTr="00230559">
        <w:tc>
          <w:tcPr>
            <w:tcW w:w="9548" w:type="dxa"/>
            <w:gridSpan w:val="3"/>
            <w:tcBorders>
              <w:top w:val="single" w:sz="4" w:space="0" w:color="000000"/>
              <w:left w:val="single" w:sz="4" w:space="0" w:color="000000"/>
              <w:bottom w:val="single" w:sz="4" w:space="0" w:color="000000"/>
              <w:right w:val="single" w:sz="4" w:space="0" w:color="000000"/>
            </w:tcBorders>
          </w:tcPr>
          <w:p w14:paraId="1186618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i/>
                <w:snapToGrid/>
                <w:szCs w:val="22"/>
                <w:lang w:val="lt-LT" w:eastAsia="en-IN"/>
              </w:rPr>
            </w:pPr>
            <w:r w:rsidRPr="001839C2">
              <w:rPr>
                <w:rFonts w:eastAsiaTheme="minorEastAsia"/>
                <w:b/>
                <w:bCs/>
                <w:i/>
                <w:snapToGrid/>
                <w:szCs w:val="22"/>
                <w:lang w:val="lt-LT" w:eastAsia="en-IN"/>
              </w:rPr>
              <w:t>Antiretrovirusiniai</w:t>
            </w:r>
          </w:p>
        </w:tc>
      </w:tr>
      <w:tr w:rsidR="00CB64F1" w:rsidRPr="001839C2" w14:paraId="1F139AFA" w14:textId="77777777" w:rsidTr="00230559">
        <w:tc>
          <w:tcPr>
            <w:tcW w:w="9548" w:type="dxa"/>
            <w:gridSpan w:val="3"/>
            <w:tcBorders>
              <w:top w:val="single" w:sz="4" w:space="0" w:color="000000"/>
              <w:left w:val="single" w:sz="4" w:space="0" w:color="000000"/>
              <w:bottom w:val="single" w:sz="4" w:space="0" w:color="000000"/>
              <w:right w:val="single" w:sz="4" w:space="0" w:color="000000"/>
            </w:tcBorders>
          </w:tcPr>
          <w:p w14:paraId="12CEB57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i/>
                <w:snapToGrid/>
                <w:szCs w:val="22"/>
                <w:lang w:val="lt-LT" w:eastAsia="en-IN"/>
              </w:rPr>
            </w:pPr>
            <w:r w:rsidRPr="001839C2">
              <w:rPr>
                <w:rFonts w:eastAsiaTheme="minorEastAsia"/>
                <w:bCs/>
                <w:i/>
                <w:snapToGrid/>
                <w:szCs w:val="22"/>
                <w:lang w:val="lt-LT" w:eastAsia="en-IN"/>
              </w:rPr>
              <w:t>Proteazių inhibitoriai</w:t>
            </w:r>
          </w:p>
        </w:tc>
      </w:tr>
      <w:tr w:rsidR="00CB64F1" w:rsidRPr="001839C2" w14:paraId="78B1B421" w14:textId="77777777" w:rsidTr="00230559">
        <w:trPr>
          <w:trHeight w:val="1743"/>
        </w:trPr>
        <w:tc>
          <w:tcPr>
            <w:tcW w:w="3775" w:type="dxa"/>
            <w:tcBorders>
              <w:top w:val="single" w:sz="4" w:space="0" w:color="000000"/>
              <w:left w:val="single" w:sz="4" w:space="0" w:color="000000"/>
              <w:bottom w:val="single" w:sz="4" w:space="0" w:color="auto"/>
              <w:right w:val="single" w:sz="4" w:space="0" w:color="000000"/>
            </w:tcBorders>
          </w:tcPr>
          <w:p w14:paraId="4E2D2403"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Atazanaviro, ritonaviro ir tenofoviro dizoproksilio derinys</w:t>
            </w:r>
          </w:p>
          <w:p w14:paraId="34CB73F6"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(300 mg q.d./100 mg q.d./245 mg q.d.)</w:t>
            </w:r>
          </w:p>
        </w:tc>
        <w:tc>
          <w:tcPr>
            <w:tcW w:w="3351" w:type="dxa"/>
            <w:tcBorders>
              <w:top w:val="single" w:sz="4" w:space="0" w:color="000000"/>
              <w:left w:val="single" w:sz="4" w:space="0" w:color="000000"/>
              <w:bottom w:val="single" w:sz="4" w:space="0" w:color="auto"/>
              <w:right w:val="single" w:sz="4" w:space="0" w:color="000000"/>
            </w:tcBorders>
          </w:tcPr>
          <w:p w14:paraId="7C2C7B48"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Atazanaviras</w:t>
            </w:r>
          </w:p>
          <w:p w14:paraId="51826DF8"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25 % (</w:t>
            </w:r>
            <w:r w:rsidR="00CB64F1" w:rsidRPr="001839C2">
              <w:rPr>
                <w:rFonts w:eastAsiaTheme="minorEastAsia"/>
                <w:snapToGrid/>
                <w:szCs w:val="22"/>
                <w:lang w:val="lt-LT" w:eastAsia="en-IN"/>
              </w:rPr>
              <w:t xml:space="preserve">nuo </w:t>
            </w:r>
            <w:r w:rsidRPr="001839C2">
              <w:rPr>
                <w:rFonts w:eastAsiaTheme="minorEastAsia"/>
                <w:snapToGrid/>
                <w:szCs w:val="22"/>
                <w:lang w:val="lt-LT" w:eastAsia="en-IN"/>
              </w:rPr>
              <w:t>↓ 42 iki ↓ 3)</w:t>
            </w:r>
          </w:p>
          <w:p w14:paraId="13C1A3D4"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28 % (</w:t>
            </w:r>
            <w:r w:rsidR="00CB64F1" w:rsidRPr="001839C2">
              <w:rPr>
                <w:rFonts w:eastAsiaTheme="minorEastAsia"/>
                <w:snapToGrid/>
                <w:szCs w:val="22"/>
                <w:lang w:val="lt-LT" w:eastAsia="en-IN"/>
              </w:rPr>
              <w:t xml:space="preserve">nuo </w:t>
            </w:r>
            <w:r w:rsidRPr="001839C2">
              <w:rPr>
                <w:rFonts w:eastAsiaTheme="minorEastAsia"/>
                <w:snapToGrid/>
                <w:szCs w:val="22"/>
                <w:lang w:val="lt-LT" w:eastAsia="en-IN"/>
              </w:rPr>
              <w:t>↓ 50 iki ↑ 5)</w:t>
            </w:r>
          </w:p>
          <w:p w14:paraId="06B6C29A"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26 % (</w:t>
            </w:r>
            <w:r w:rsidR="00CB64F1" w:rsidRPr="001839C2">
              <w:rPr>
                <w:rFonts w:eastAsiaTheme="minorEastAsia"/>
                <w:snapToGrid/>
                <w:szCs w:val="22"/>
                <w:lang w:val="lt-LT" w:eastAsia="en-IN"/>
              </w:rPr>
              <w:t xml:space="preserve">nuo </w:t>
            </w:r>
            <w:r w:rsidRPr="001839C2">
              <w:rPr>
                <w:rFonts w:eastAsiaTheme="minorEastAsia"/>
                <w:snapToGrid/>
                <w:szCs w:val="22"/>
                <w:lang w:val="lt-LT" w:eastAsia="en-IN"/>
              </w:rPr>
              <w:t>↓ 46 iki ↑ 10)</w:t>
            </w:r>
          </w:p>
          <w:p w14:paraId="2C544578"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b/>
                <w:bCs/>
                <w:snapToGrid/>
                <w:szCs w:val="22"/>
                <w:lang w:val="lt-LT" w:eastAsia="en-IN"/>
              </w:rPr>
            </w:pPr>
          </w:p>
          <w:p w14:paraId="37F9D6EC"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06B6FCC5"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37 %</w:t>
            </w:r>
          </w:p>
          <w:p w14:paraId="350BCDA9"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34 %</w:t>
            </w:r>
          </w:p>
          <w:p w14:paraId="20DD99CC"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29 %</w:t>
            </w:r>
          </w:p>
        </w:tc>
        <w:tc>
          <w:tcPr>
            <w:tcW w:w="2422" w:type="dxa"/>
            <w:vMerge w:val="restart"/>
            <w:tcBorders>
              <w:top w:val="single" w:sz="4" w:space="0" w:color="000000"/>
              <w:left w:val="single" w:sz="4" w:space="0" w:color="000000"/>
              <w:right w:val="single" w:sz="4" w:space="0" w:color="000000"/>
            </w:tcBorders>
          </w:tcPr>
          <w:p w14:paraId="7061F2EF"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Dozės koreguoti nereikia. Didesnė tenofoviro e</w:t>
            </w:r>
            <w:r w:rsidR="00594EFD" w:rsidRPr="001839C2">
              <w:rPr>
                <w:rFonts w:eastAsiaTheme="minorEastAsia"/>
                <w:snapToGrid/>
                <w:szCs w:val="22"/>
                <w:lang w:val="lt-LT" w:eastAsia="en-IN"/>
              </w:rPr>
              <w:t>kspozi</w:t>
            </w:r>
            <w:r w:rsidRPr="001839C2">
              <w:rPr>
                <w:rFonts w:eastAsiaTheme="minorEastAsia"/>
                <w:snapToGrid/>
                <w:szCs w:val="22"/>
                <w:lang w:val="lt-LT" w:eastAsia="en-IN"/>
              </w:rPr>
              <w:t>cij</w:t>
            </w:r>
            <w:r w:rsidR="00594EFD" w:rsidRPr="001839C2">
              <w:rPr>
                <w:rFonts w:eastAsiaTheme="minorEastAsia"/>
                <w:snapToGrid/>
                <w:szCs w:val="22"/>
                <w:lang w:val="lt-LT" w:eastAsia="en-IN"/>
              </w:rPr>
              <w:t>a</w:t>
            </w:r>
            <w:r w:rsidRPr="001839C2">
              <w:rPr>
                <w:rFonts w:eastAsiaTheme="minorEastAsia"/>
                <w:snapToGrid/>
                <w:szCs w:val="22"/>
                <w:lang w:val="lt-LT" w:eastAsia="en-IN"/>
              </w:rPr>
              <w:t xml:space="preserve"> gali stiprinti su tenofoviru susijusius nepageidaujamus reiškinius, įskaitant inkstų sutrikimus. Reikia atidžiai stebėti inkstų funkciją (žr. 4.4 skyrių).</w:t>
            </w:r>
          </w:p>
        </w:tc>
      </w:tr>
      <w:tr w:rsidR="00CB64F1" w:rsidRPr="001839C2" w14:paraId="47D3248F" w14:textId="77777777" w:rsidTr="00230559">
        <w:trPr>
          <w:trHeight w:val="443"/>
        </w:trPr>
        <w:tc>
          <w:tcPr>
            <w:tcW w:w="3775" w:type="dxa"/>
            <w:tcBorders>
              <w:top w:val="single" w:sz="4" w:space="0" w:color="auto"/>
              <w:left w:val="single" w:sz="4" w:space="0" w:color="000000"/>
              <w:right w:val="single" w:sz="4" w:space="0" w:color="000000"/>
            </w:tcBorders>
          </w:tcPr>
          <w:p w14:paraId="54585930" w14:textId="77777777" w:rsidR="009B3EF4" w:rsidRPr="001839C2" w:rsidRDefault="009B3EF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Atazanaviro, ritonaviro ir emtricitabino derinys</w:t>
            </w:r>
          </w:p>
        </w:tc>
        <w:tc>
          <w:tcPr>
            <w:tcW w:w="3351" w:type="dxa"/>
            <w:tcBorders>
              <w:top w:val="single" w:sz="4" w:space="0" w:color="auto"/>
              <w:left w:val="single" w:sz="4" w:space="0" w:color="000000"/>
              <w:right w:val="single" w:sz="4" w:space="0" w:color="000000"/>
            </w:tcBorders>
          </w:tcPr>
          <w:p w14:paraId="5C626260" w14:textId="77777777" w:rsidR="009B3EF4" w:rsidRPr="001839C2" w:rsidRDefault="009B3EF4" w:rsidP="0023055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Sąveika netirta.</w:t>
            </w:r>
          </w:p>
        </w:tc>
        <w:tc>
          <w:tcPr>
            <w:tcW w:w="2422" w:type="dxa"/>
            <w:vMerge/>
            <w:tcBorders>
              <w:left w:val="single" w:sz="4" w:space="0" w:color="000000"/>
              <w:right w:val="single" w:sz="4" w:space="0" w:color="000000"/>
            </w:tcBorders>
          </w:tcPr>
          <w:p w14:paraId="4564D1D8" w14:textId="77777777" w:rsidR="009B3EF4" w:rsidRPr="001839C2" w:rsidRDefault="009B3EF4" w:rsidP="00230559">
            <w:pPr>
              <w:widowControl w:val="0"/>
              <w:tabs>
                <w:tab w:val="left" w:pos="0"/>
              </w:tabs>
              <w:kinsoku w:val="0"/>
              <w:overflowPunct w:val="0"/>
              <w:autoSpaceDE w:val="0"/>
              <w:autoSpaceDN w:val="0"/>
              <w:adjustRightInd w:val="0"/>
              <w:ind w:right="108"/>
              <w:rPr>
                <w:rFonts w:eastAsiaTheme="minorEastAsia"/>
                <w:snapToGrid/>
                <w:szCs w:val="22"/>
                <w:lang w:val="lt-LT" w:eastAsia="en-IN"/>
              </w:rPr>
            </w:pPr>
          </w:p>
        </w:tc>
      </w:tr>
      <w:tr w:rsidR="00CB64F1" w:rsidRPr="001839C2" w14:paraId="1939A5D9" w14:textId="77777777" w:rsidTr="00230559">
        <w:trPr>
          <w:trHeight w:val="1202"/>
        </w:trPr>
        <w:tc>
          <w:tcPr>
            <w:tcW w:w="3775" w:type="dxa"/>
            <w:tcBorders>
              <w:top w:val="single" w:sz="4" w:space="0" w:color="000000"/>
              <w:left w:val="single" w:sz="4" w:space="0" w:color="000000"/>
              <w:bottom w:val="single" w:sz="4" w:space="0" w:color="auto"/>
              <w:right w:val="single" w:sz="4" w:space="0" w:color="000000"/>
            </w:tcBorders>
          </w:tcPr>
          <w:p w14:paraId="0A2E5AAB"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Darunaviro, ritonaviro ir tenofoviro dizoproksilio derinys</w:t>
            </w:r>
          </w:p>
          <w:p w14:paraId="2F5907FF"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(300 mg q.d./100 mg q.d./245 mg q.d.)</w:t>
            </w:r>
          </w:p>
        </w:tc>
        <w:tc>
          <w:tcPr>
            <w:tcW w:w="3351" w:type="dxa"/>
            <w:tcBorders>
              <w:top w:val="single" w:sz="4" w:space="0" w:color="000000"/>
              <w:left w:val="single" w:sz="4" w:space="0" w:color="000000"/>
              <w:bottom w:val="single" w:sz="4" w:space="0" w:color="auto"/>
              <w:right w:val="single" w:sz="4" w:space="0" w:color="000000"/>
            </w:tcBorders>
          </w:tcPr>
          <w:p w14:paraId="05948C1F"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Darunaviras</w:t>
            </w:r>
          </w:p>
          <w:p w14:paraId="2ED02381"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1EEE615"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44FD5B6A"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b/>
                <w:bCs/>
                <w:snapToGrid/>
                <w:szCs w:val="22"/>
                <w:lang w:val="lt-LT" w:eastAsia="en-IN"/>
              </w:rPr>
            </w:pPr>
          </w:p>
          <w:p w14:paraId="46A8DCA8"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57260022"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22 %</w:t>
            </w:r>
          </w:p>
          <w:p w14:paraId="67DFEFCA"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37 %</w:t>
            </w:r>
          </w:p>
        </w:tc>
        <w:tc>
          <w:tcPr>
            <w:tcW w:w="2422" w:type="dxa"/>
            <w:vMerge w:val="restart"/>
            <w:tcBorders>
              <w:top w:val="single" w:sz="4" w:space="0" w:color="000000"/>
              <w:left w:val="single" w:sz="4" w:space="0" w:color="000000"/>
              <w:right w:val="single" w:sz="4" w:space="0" w:color="000000"/>
            </w:tcBorders>
          </w:tcPr>
          <w:p w14:paraId="14FF179D"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Dozės koreguoti nereikia. Didesnė tenofoviro e</w:t>
            </w:r>
            <w:r w:rsidR="00C96BA2" w:rsidRPr="001839C2">
              <w:rPr>
                <w:rFonts w:eastAsiaTheme="minorEastAsia"/>
                <w:snapToGrid/>
                <w:szCs w:val="22"/>
                <w:lang w:val="lt-LT" w:eastAsia="en-IN"/>
              </w:rPr>
              <w:t>kspozi</w:t>
            </w:r>
            <w:r w:rsidRPr="001839C2">
              <w:rPr>
                <w:rFonts w:eastAsiaTheme="minorEastAsia"/>
                <w:snapToGrid/>
                <w:szCs w:val="22"/>
                <w:lang w:val="lt-LT" w:eastAsia="en-IN"/>
              </w:rPr>
              <w:t>cij</w:t>
            </w:r>
            <w:r w:rsidR="00C96BA2" w:rsidRPr="001839C2">
              <w:rPr>
                <w:rFonts w:eastAsiaTheme="minorEastAsia"/>
                <w:snapToGrid/>
                <w:szCs w:val="22"/>
                <w:lang w:val="lt-LT" w:eastAsia="en-IN"/>
              </w:rPr>
              <w:t>a</w:t>
            </w:r>
            <w:r w:rsidRPr="001839C2">
              <w:rPr>
                <w:rFonts w:eastAsiaTheme="minorEastAsia"/>
                <w:snapToGrid/>
                <w:szCs w:val="22"/>
                <w:lang w:val="lt-LT" w:eastAsia="en-IN"/>
              </w:rPr>
              <w:t xml:space="preserve"> gali stiprinti su tenofoviru susijusius nepageidaujamus reiškinius, įskaitant inkstų sutrikimus. Reikia atidžiai stebėti inkstų funkciją (žr. 4.4 skyrių).</w:t>
            </w:r>
          </w:p>
        </w:tc>
      </w:tr>
      <w:tr w:rsidR="00CB64F1" w:rsidRPr="001839C2" w14:paraId="42567A17" w14:textId="77777777" w:rsidTr="00230559">
        <w:trPr>
          <w:trHeight w:val="405"/>
        </w:trPr>
        <w:tc>
          <w:tcPr>
            <w:tcW w:w="3775" w:type="dxa"/>
            <w:tcBorders>
              <w:top w:val="single" w:sz="4" w:space="0" w:color="auto"/>
              <w:left w:val="single" w:sz="4" w:space="0" w:color="000000"/>
              <w:bottom w:val="single" w:sz="4" w:space="0" w:color="000000"/>
              <w:right w:val="single" w:sz="4" w:space="0" w:color="000000"/>
            </w:tcBorders>
          </w:tcPr>
          <w:p w14:paraId="539C3811"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Darunaviro, ritonaviro ir emtricitabino derinys</w:t>
            </w:r>
          </w:p>
        </w:tc>
        <w:tc>
          <w:tcPr>
            <w:tcW w:w="3351" w:type="dxa"/>
            <w:tcBorders>
              <w:top w:val="single" w:sz="4" w:space="0" w:color="auto"/>
              <w:left w:val="single" w:sz="4" w:space="0" w:color="000000"/>
              <w:bottom w:val="single" w:sz="4" w:space="0" w:color="000000"/>
              <w:right w:val="single" w:sz="4" w:space="0" w:color="000000"/>
            </w:tcBorders>
          </w:tcPr>
          <w:p w14:paraId="2B1FD3E5" w14:textId="77777777" w:rsidR="0021610A" w:rsidRPr="001839C2" w:rsidRDefault="0021610A" w:rsidP="0023055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Sąveika netirta.</w:t>
            </w:r>
          </w:p>
        </w:tc>
        <w:tc>
          <w:tcPr>
            <w:tcW w:w="2422" w:type="dxa"/>
            <w:vMerge/>
            <w:tcBorders>
              <w:left w:val="single" w:sz="4" w:space="0" w:color="000000"/>
              <w:bottom w:val="single" w:sz="4" w:space="0" w:color="000000"/>
              <w:right w:val="single" w:sz="4" w:space="0" w:color="000000"/>
            </w:tcBorders>
          </w:tcPr>
          <w:p w14:paraId="7F10CB5C" w14:textId="77777777" w:rsidR="0021610A" w:rsidRPr="001839C2" w:rsidRDefault="0021610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tc>
      </w:tr>
      <w:tr w:rsidR="00236CC2" w:rsidRPr="001839C2" w14:paraId="6B943FA7" w14:textId="77777777" w:rsidTr="00230559">
        <w:trPr>
          <w:trHeight w:val="2028"/>
        </w:trPr>
        <w:tc>
          <w:tcPr>
            <w:tcW w:w="3775" w:type="dxa"/>
            <w:tcBorders>
              <w:top w:val="single" w:sz="4" w:space="0" w:color="000000"/>
              <w:left w:val="single" w:sz="4" w:space="0" w:color="000000"/>
              <w:bottom w:val="single" w:sz="4" w:space="0" w:color="auto"/>
              <w:right w:val="single" w:sz="4" w:space="0" w:color="000000"/>
            </w:tcBorders>
          </w:tcPr>
          <w:p w14:paraId="0A968CF7"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Lopinaviro, ritonaviro ir tenofoviro dizoproksilio derinys</w:t>
            </w:r>
          </w:p>
          <w:p w14:paraId="4CAA9395"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(400 mg b.i.d./100 mg b.i.d./245 mg q.d.)</w:t>
            </w:r>
          </w:p>
        </w:tc>
        <w:tc>
          <w:tcPr>
            <w:tcW w:w="3351" w:type="dxa"/>
            <w:tcBorders>
              <w:top w:val="single" w:sz="4" w:space="0" w:color="000000"/>
              <w:left w:val="single" w:sz="4" w:space="0" w:color="000000"/>
              <w:bottom w:val="single" w:sz="4" w:space="0" w:color="auto"/>
              <w:right w:val="single" w:sz="4" w:space="0" w:color="000000"/>
            </w:tcBorders>
          </w:tcPr>
          <w:p w14:paraId="46EC8947"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Lopinaviro ir ritonaviro derinys</w:t>
            </w:r>
          </w:p>
          <w:p w14:paraId="7B5B53F0"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79B014A5"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31504E2"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0869578D"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b/>
                <w:bCs/>
                <w:snapToGrid/>
                <w:szCs w:val="22"/>
                <w:lang w:val="lt-LT" w:eastAsia="en-IN"/>
              </w:rPr>
            </w:pPr>
          </w:p>
          <w:p w14:paraId="4C508308"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47BF9655"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32 % (nuo ↑ 25 iki ↑ 38)</w:t>
            </w:r>
          </w:p>
          <w:p w14:paraId="1BF71F36"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2751668"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51 % (nuo ↑ 37 iki ↑ 66)</w:t>
            </w:r>
          </w:p>
        </w:tc>
        <w:tc>
          <w:tcPr>
            <w:tcW w:w="2422" w:type="dxa"/>
            <w:vMerge w:val="restart"/>
            <w:tcBorders>
              <w:top w:val="single" w:sz="4" w:space="0" w:color="000000"/>
              <w:left w:val="single" w:sz="4" w:space="0" w:color="000000"/>
              <w:right w:val="single" w:sz="4" w:space="0" w:color="000000"/>
            </w:tcBorders>
          </w:tcPr>
          <w:p w14:paraId="10E9920A"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Dozės koreguoti nereikia. Didesnė tenofoviro e</w:t>
            </w:r>
            <w:r w:rsidR="00C96BA2" w:rsidRPr="001839C2">
              <w:rPr>
                <w:rFonts w:eastAsiaTheme="minorEastAsia"/>
                <w:snapToGrid/>
                <w:szCs w:val="22"/>
                <w:lang w:val="lt-LT" w:eastAsia="en-IN"/>
              </w:rPr>
              <w:t>kspozi</w:t>
            </w:r>
            <w:r w:rsidRPr="001839C2">
              <w:rPr>
                <w:rFonts w:eastAsiaTheme="minorEastAsia"/>
                <w:snapToGrid/>
                <w:szCs w:val="22"/>
                <w:lang w:val="lt-LT" w:eastAsia="en-IN"/>
              </w:rPr>
              <w:t>cij</w:t>
            </w:r>
            <w:r w:rsidR="00C96BA2" w:rsidRPr="001839C2">
              <w:rPr>
                <w:rFonts w:eastAsiaTheme="minorEastAsia"/>
                <w:snapToGrid/>
                <w:szCs w:val="22"/>
                <w:lang w:val="lt-LT" w:eastAsia="en-IN"/>
              </w:rPr>
              <w:t>a</w:t>
            </w:r>
            <w:r w:rsidRPr="001839C2">
              <w:rPr>
                <w:rFonts w:eastAsiaTheme="minorEastAsia"/>
                <w:snapToGrid/>
                <w:szCs w:val="22"/>
                <w:lang w:val="lt-LT" w:eastAsia="en-IN"/>
              </w:rPr>
              <w:t xml:space="preserve"> gali stiprinti su tenofoviru susijusius nepageidaujamus reiškinius, įskaitant inkstų sutrikimus. Reikia atidžiai stebėti inkstų funkciją (žr. 4.4 skyrių).</w:t>
            </w:r>
          </w:p>
        </w:tc>
      </w:tr>
      <w:tr w:rsidR="00236CC2" w:rsidRPr="001839C2" w14:paraId="4BCD111A" w14:textId="77777777" w:rsidTr="00230559">
        <w:trPr>
          <w:trHeight w:val="270"/>
        </w:trPr>
        <w:tc>
          <w:tcPr>
            <w:tcW w:w="3775" w:type="dxa"/>
            <w:tcBorders>
              <w:top w:val="single" w:sz="4" w:space="0" w:color="auto"/>
              <w:left w:val="single" w:sz="4" w:space="0" w:color="000000"/>
              <w:bottom w:val="single" w:sz="4" w:space="0" w:color="auto"/>
              <w:right w:val="single" w:sz="4" w:space="0" w:color="000000"/>
            </w:tcBorders>
          </w:tcPr>
          <w:p w14:paraId="315AE873"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Lopinaviro, ritonaviro ir emtricitabino derinys</w:t>
            </w:r>
          </w:p>
        </w:tc>
        <w:tc>
          <w:tcPr>
            <w:tcW w:w="3351" w:type="dxa"/>
            <w:tcBorders>
              <w:top w:val="single" w:sz="4" w:space="0" w:color="auto"/>
              <w:left w:val="single" w:sz="4" w:space="0" w:color="000000"/>
              <w:bottom w:val="single" w:sz="4" w:space="0" w:color="auto"/>
              <w:right w:val="single" w:sz="4" w:space="0" w:color="000000"/>
            </w:tcBorders>
          </w:tcPr>
          <w:p w14:paraId="07944425" w14:textId="77777777" w:rsidR="00236CC2" w:rsidRPr="001839C2" w:rsidRDefault="00236CC2" w:rsidP="00230559">
            <w:pPr>
              <w:widowControl w:val="0"/>
              <w:tabs>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Sąveika netirta.</w:t>
            </w:r>
          </w:p>
        </w:tc>
        <w:tc>
          <w:tcPr>
            <w:tcW w:w="2422" w:type="dxa"/>
            <w:vMerge/>
            <w:tcBorders>
              <w:left w:val="single" w:sz="4" w:space="0" w:color="000000"/>
              <w:bottom w:val="single" w:sz="4" w:space="0" w:color="auto"/>
              <w:right w:val="single" w:sz="4" w:space="0" w:color="000000"/>
            </w:tcBorders>
          </w:tcPr>
          <w:p w14:paraId="5E06F40A" w14:textId="77777777" w:rsidR="00236CC2" w:rsidRPr="001839C2" w:rsidRDefault="00236CC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tc>
      </w:tr>
      <w:tr w:rsidR="003827E1" w:rsidRPr="001839C2" w14:paraId="0741453C" w14:textId="77777777" w:rsidTr="00230559">
        <w:trPr>
          <w:trHeight w:val="221"/>
        </w:trPr>
        <w:tc>
          <w:tcPr>
            <w:tcW w:w="9548" w:type="dxa"/>
            <w:gridSpan w:val="3"/>
            <w:tcBorders>
              <w:top w:val="single" w:sz="4" w:space="0" w:color="auto"/>
              <w:left w:val="single" w:sz="4" w:space="0" w:color="000000"/>
              <w:bottom w:val="single" w:sz="4" w:space="0" w:color="auto"/>
              <w:right w:val="single" w:sz="4" w:space="0" w:color="000000"/>
            </w:tcBorders>
          </w:tcPr>
          <w:p w14:paraId="1515FAC0" w14:textId="77777777" w:rsidR="003827E1" w:rsidRPr="001839C2" w:rsidRDefault="003827E1" w:rsidP="002E44D9">
            <w:pPr>
              <w:widowControl w:val="0"/>
              <w:tabs>
                <w:tab w:val="left" w:pos="0"/>
              </w:tabs>
              <w:kinsoku w:val="0"/>
              <w:overflowPunct w:val="0"/>
              <w:autoSpaceDE w:val="0"/>
              <w:autoSpaceDN w:val="0"/>
              <w:adjustRightInd w:val="0"/>
              <w:ind w:right="108"/>
              <w:rPr>
                <w:rFonts w:eastAsiaTheme="minorEastAsia"/>
                <w:i/>
                <w:snapToGrid/>
                <w:szCs w:val="22"/>
                <w:lang w:val="lt-LT" w:eastAsia="en-IN"/>
              </w:rPr>
            </w:pPr>
            <w:r w:rsidRPr="001839C2">
              <w:rPr>
                <w:rFonts w:eastAsiaTheme="minorEastAsia"/>
                <w:bCs/>
                <w:i/>
                <w:snapToGrid/>
                <w:szCs w:val="22"/>
                <w:lang w:val="lt-LT" w:eastAsia="en-IN"/>
              </w:rPr>
              <w:t>NATI</w:t>
            </w:r>
          </w:p>
        </w:tc>
      </w:tr>
      <w:tr w:rsidR="00270ABA" w:rsidRPr="00686907" w14:paraId="4844C4C1" w14:textId="77777777" w:rsidTr="00F40AC1">
        <w:trPr>
          <w:trHeight w:val="9160"/>
        </w:trPr>
        <w:tc>
          <w:tcPr>
            <w:tcW w:w="3775" w:type="dxa"/>
            <w:tcBorders>
              <w:top w:val="single" w:sz="4" w:space="0" w:color="auto"/>
              <w:left w:val="single" w:sz="4" w:space="0" w:color="000000"/>
              <w:bottom w:val="single" w:sz="4" w:space="0" w:color="auto"/>
              <w:right w:val="single" w:sz="4" w:space="0" w:color="000000"/>
            </w:tcBorders>
          </w:tcPr>
          <w:p w14:paraId="6E09CC16" w14:textId="77777777" w:rsidR="00270ABA" w:rsidRPr="001839C2" w:rsidRDefault="00270AB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Didanozino ir tenofoviro dizoproksilio derinys</w:t>
            </w:r>
          </w:p>
        </w:tc>
        <w:tc>
          <w:tcPr>
            <w:tcW w:w="3351" w:type="dxa"/>
            <w:tcBorders>
              <w:top w:val="single" w:sz="4" w:space="0" w:color="auto"/>
              <w:left w:val="single" w:sz="4" w:space="0" w:color="000000"/>
              <w:bottom w:val="single" w:sz="4" w:space="0" w:color="auto"/>
              <w:right w:val="single" w:sz="4" w:space="0" w:color="000000"/>
            </w:tcBorders>
          </w:tcPr>
          <w:p w14:paraId="08E7582A" w14:textId="77777777" w:rsidR="00270ABA" w:rsidRPr="001839C2" w:rsidRDefault="00270AB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Kartu vartojant tenofoviro dizoproksilio ir didanozino, 40</w:t>
            </w:r>
            <w:r w:rsidRPr="001839C2">
              <w:rPr>
                <w:rFonts w:eastAsiaTheme="minorEastAsia"/>
                <w:snapToGrid/>
                <w:szCs w:val="22"/>
                <w:lang w:val="lt-LT" w:eastAsia="en-IN"/>
              </w:rPr>
              <w:noBreakHyphen/>
              <w:t xml:space="preserve">60 % padidėja sisteminė didanozino ekspozicija. </w:t>
            </w:r>
          </w:p>
        </w:tc>
        <w:tc>
          <w:tcPr>
            <w:tcW w:w="2422" w:type="dxa"/>
            <w:tcBorders>
              <w:top w:val="single" w:sz="4" w:space="0" w:color="auto"/>
              <w:left w:val="single" w:sz="4" w:space="0" w:color="000000"/>
              <w:bottom w:val="single" w:sz="4" w:space="0" w:color="auto"/>
              <w:right w:val="single" w:sz="4" w:space="0" w:color="000000"/>
            </w:tcBorders>
          </w:tcPr>
          <w:p w14:paraId="2E2DF397" w14:textId="77777777" w:rsidR="00270ABA" w:rsidRPr="001839C2" w:rsidRDefault="00270ABA"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Nerekomenduojama kartu vartoti emtricitabino ir tenofoviro dizopoksilio derinio ir didanozino (žr. 4.4 skyrių).</w:t>
            </w:r>
          </w:p>
          <w:p w14:paraId="33E6A167" w14:textId="77777777" w:rsidR="00270ABA" w:rsidRPr="001839C2" w:rsidRDefault="00270ABA"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p>
          <w:p w14:paraId="31CAB314" w14:textId="77777777" w:rsidR="00270ABA" w:rsidRPr="001839C2" w:rsidRDefault="00270ABA"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Padidėjusi sisteminė didanozino ekspozicija gali padidinti su didanozino vartojimu susijusių nepageidaujamų reakcijų riziką. Retai buvo pranešimų apie pankreatito ir laktatacidozės atvejus, iš kurių keli buvo mirtini. Kartu vartojant tenofoviro dizoproksilo ir 400 mg didanozino dozę kasdien, buvo stebimas reikšmingas CD4 ląstelių kiekio sumažėjimas, galimai dėl intraląstelinės sąveikos, dėl kurios didėja fosforilinto (t. y. aktyvaus) didanozino koncentracija. Skiriant iki 250 mg sumažintą didanozino dozę kartu su tenofoviru dizoproksiliu, buvo dažnai stebimas virusologinis neefektyvumas keliuose išbandytuose ŽIV</w:t>
            </w:r>
            <w:r w:rsidRPr="001839C2">
              <w:rPr>
                <w:rFonts w:eastAsiaTheme="minorEastAsia"/>
                <w:snapToGrid/>
                <w:szCs w:val="22"/>
                <w:lang w:val="lt-LT" w:eastAsia="en-IN"/>
              </w:rPr>
              <w:noBreakHyphen/>
              <w:t>1 infekcijos gydymo deriniuose.</w:t>
            </w:r>
          </w:p>
        </w:tc>
      </w:tr>
      <w:tr w:rsidR="00270ABA" w:rsidRPr="001839C2" w14:paraId="7C471021" w14:textId="77777777" w:rsidTr="00F40AC1">
        <w:trPr>
          <w:trHeight w:val="407"/>
        </w:trPr>
        <w:tc>
          <w:tcPr>
            <w:tcW w:w="3775" w:type="dxa"/>
            <w:tcBorders>
              <w:top w:val="single" w:sz="4" w:space="0" w:color="auto"/>
              <w:left w:val="single" w:sz="4" w:space="0" w:color="auto"/>
              <w:bottom w:val="single" w:sz="4" w:space="0" w:color="auto"/>
              <w:right w:val="single" w:sz="4" w:space="0" w:color="auto"/>
            </w:tcBorders>
          </w:tcPr>
          <w:p w14:paraId="113D0CB0" w14:textId="77777777" w:rsidR="00270ABA" w:rsidRPr="001839C2" w:rsidRDefault="00270ABA"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Didanozino ir emtricitabino derinys</w:t>
            </w:r>
          </w:p>
        </w:tc>
        <w:tc>
          <w:tcPr>
            <w:tcW w:w="3351" w:type="dxa"/>
            <w:tcBorders>
              <w:top w:val="single" w:sz="4" w:space="0" w:color="auto"/>
              <w:left w:val="single" w:sz="4" w:space="0" w:color="auto"/>
              <w:bottom w:val="single" w:sz="4" w:space="0" w:color="auto"/>
              <w:right w:val="single" w:sz="4" w:space="0" w:color="auto"/>
            </w:tcBorders>
          </w:tcPr>
          <w:p w14:paraId="6E1C76FA" w14:textId="77777777" w:rsidR="00270ABA" w:rsidRPr="001839C2" w:rsidRDefault="00270ABA"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Sąveika netirta.</w:t>
            </w:r>
          </w:p>
        </w:tc>
        <w:tc>
          <w:tcPr>
            <w:tcW w:w="2422" w:type="dxa"/>
            <w:tcBorders>
              <w:top w:val="single" w:sz="4" w:space="0" w:color="auto"/>
              <w:left w:val="single" w:sz="4" w:space="0" w:color="auto"/>
              <w:bottom w:val="single" w:sz="4" w:space="0" w:color="auto"/>
              <w:right w:val="single" w:sz="4" w:space="0" w:color="auto"/>
            </w:tcBorders>
          </w:tcPr>
          <w:p w14:paraId="550D5A1E" w14:textId="77777777" w:rsidR="00270ABA" w:rsidRPr="001839C2" w:rsidRDefault="00270ABA"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p>
        </w:tc>
      </w:tr>
      <w:tr w:rsidR="00E32EEC" w:rsidRPr="00686907" w14:paraId="4527FEB4"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4D42BD05"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Lamivudin</w:t>
            </w:r>
            <w:r w:rsidR="0075564F"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75564F" w:rsidRPr="001839C2">
              <w:rPr>
                <w:rFonts w:eastAsiaTheme="minorEastAsia"/>
                <w:snapToGrid/>
                <w:szCs w:val="22"/>
                <w:lang w:val="lt-LT" w:eastAsia="en-IN"/>
              </w:rPr>
              <w:t>ir</w:t>
            </w:r>
            <w:r w:rsidRPr="001839C2">
              <w:rPr>
                <w:rFonts w:eastAsiaTheme="minorEastAsia"/>
                <w:snapToGrid/>
                <w:szCs w:val="22"/>
                <w:lang w:val="lt-LT" w:eastAsia="en-IN"/>
              </w:rPr>
              <w:t xml:space="preserve"> tenofovir</w:t>
            </w:r>
            <w:r w:rsidR="0075564F" w:rsidRPr="001839C2">
              <w:rPr>
                <w:rFonts w:eastAsiaTheme="minorEastAsia"/>
                <w:snapToGrid/>
                <w:szCs w:val="22"/>
                <w:lang w:val="lt-LT" w:eastAsia="en-IN"/>
              </w:rPr>
              <w:t>o</w:t>
            </w:r>
            <w:r w:rsidRPr="001839C2">
              <w:rPr>
                <w:rFonts w:eastAsiaTheme="minorEastAsia"/>
                <w:snapToGrid/>
                <w:szCs w:val="22"/>
                <w:lang w:val="lt-LT" w:eastAsia="en-IN"/>
              </w:rPr>
              <w:t xml:space="preserve"> dizoproksili</w:t>
            </w:r>
            <w:r w:rsidR="0075564F" w:rsidRPr="001839C2">
              <w:rPr>
                <w:rFonts w:eastAsiaTheme="minorEastAsia"/>
                <w:snapToGrid/>
                <w:szCs w:val="22"/>
                <w:lang w:val="lt-LT" w:eastAsia="en-IN"/>
              </w:rPr>
              <w:t>o derinys</w:t>
            </w:r>
          </w:p>
        </w:tc>
        <w:tc>
          <w:tcPr>
            <w:tcW w:w="3351" w:type="dxa"/>
            <w:tcBorders>
              <w:top w:val="single" w:sz="4" w:space="0" w:color="auto"/>
              <w:left w:val="single" w:sz="4" w:space="0" w:color="000000"/>
              <w:bottom w:val="single" w:sz="4" w:space="0" w:color="auto"/>
              <w:right w:val="single" w:sz="4" w:space="0" w:color="000000"/>
            </w:tcBorders>
          </w:tcPr>
          <w:p w14:paraId="145A4C8D"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Lamivudinas</w:t>
            </w:r>
          </w:p>
          <w:p w14:paraId="673767A1" w14:textId="77777777" w:rsidR="0075564F"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75564F" w:rsidRPr="001839C2">
              <w:rPr>
                <w:rFonts w:eastAsiaTheme="minorEastAsia"/>
                <w:snapToGrid/>
                <w:szCs w:val="22"/>
                <w:lang w:val="lt-LT" w:eastAsia="en-IN"/>
              </w:rPr>
              <w:t> </w:t>
            </w:r>
            <w:r w:rsidRPr="001839C2">
              <w:rPr>
                <w:rFonts w:eastAsiaTheme="minorEastAsia"/>
                <w:snapToGrid/>
                <w:szCs w:val="22"/>
                <w:lang w:val="lt-LT" w:eastAsia="en-IN"/>
              </w:rPr>
              <w:t>3</w:t>
            </w:r>
            <w:r w:rsidR="0075564F" w:rsidRPr="001839C2">
              <w:rPr>
                <w:rFonts w:eastAsiaTheme="minorEastAsia"/>
                <w:snapToGrid/>
                <w:szCs w:val="22"/>
                <w:lang w:val="lt-LT" w:eastAsia="en-IN"/>
              </w:rPr>
              <w:t> </w:t>
            </w:r>
            <w:r w:rsidRPr="001839C2">
              <w:rPr>
                <w:rFonts w:eastAsiaTheme="minorEastAsia"/>
                <w:snapToGrid/>
                <w:szCs w:val="22"/>
                <w:lang w:val="lt-LT" w:eastAsia="en-IN"/>
              </w:rPr>
              <w:t>% (nuo ↓</w:t>
            </w:r>
            <w:r w:rsidR="0075564F" w:rsidRPr="001839C2">
              <w:rPr>
                <w:rFonts w:eastAsiaTheme="minorEastAsia"/>
                <w:snapToGrid/>
                <w:szCs w:val="22"/>
                <w:lang w:val="lt-LT" w:eastAsia="en-IN"/>
              </w:rPr>
              <w:t> </w:t>
            </w:r>
            <w:r w:rsidRPr="001839C2">
              <w:rPr>
                <w:rFonts w:eastAsiaTheme="minorEastAsia"/>
                <w:snapToGrid/>
                <w:szCs w:val="22"/>
                <w:lang w:val="lt-LT" w:eastAsia="en-IN"/>
              </w:rPr>
              <w:t>8 iki ↑</w:t>
            </w:r>
            <w:r w:rsidR="0075564F" w:rsidRPr="001839C2">
              <w:rPr>
                <w:rFonts w:eastAsiaTheme="minorEastAsia"/>
                <w:snapToGrid/>
                <w:szCs w:val="22"/>
                <w:lang w:val="lt-LT" w:eastAsia="en-IN"/>
              </w:rPr>
              <w:t> </w:t>
            </w:r>
            <w:r w:rsidRPr="001839C2">
              <w:rPr>
                <w:rFonts w:eastAsiaTheme="minorEastAsia"/>
                <w:snapToGrid/>
                <w:szCs w:val="22"/>
                <w:lang w:val="lt-LT" w:eastAsia="en-IN"/>
              </w:rPr>
              <w:t>15)</w:t>
            </w:r>
          </w:p>
          <w:p w14:paraId="538F8459" w14:textId="77777777" w:rsidR="0075564F"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75564F" w:rsidRPr="001839C2">
              <w:rPr>
                <w:rFonts w:eastAsiaTheme="minorEastAsia"/>
                <w:snapToGrid/>
                <w:szCs w:val="22"/>
                <w:lang w:val="lt-LT" w:eastAsia="en-IN"/>
              </w:rPr>
              <w:t> </w:t>
            </w:r>
            <w:r w:rsidRPr="001839C2">
              <w:rPr>
                <w:rFonts w:eastAsiaTheme="minorEastAsia"/>
                <w:snapToGrid/>
                <w:szCs w:val="22"/>
                <w:lang w:val="lt-LT" w:eastAsia="en-IN"/>
              </w:rPr>
              <w:t>24</w:t>
            </w:r>
            <w:r w:rsidR="0075564F" w:rsidRPr="001839C2">
              <w:rPr>
                <w:rFonts w:eastAsiaTheme="minorEastAsia"/>
                <w:snapToGrid/>
                <w:szCs w:val="22"/>
                <w:lang w:val="lt-LT" w:eastAsia="en-IN"/>
              </w:rPr>
              <w:t> </w:t>
            </w:r>
            <w:r w:rsidRPr="001839C2">
              <w:rPr>
                <w:rFonts w:eastAsiaTheme="minorEastAsia"/>
                <w:snapToGrid/>
                <w:szCs w:val="22"/>
                <w:lang w:val="lt-LT" w:eastAsia="en-IN"/>
              </w:rPr>
              <w:t>% (nuo ↓</w:t>
            </w:r>
            <w:r w:rsidR="0075564F" w:rsidRPr="001839C2">
              <w:rPr>
                <w:rFonts w:eastAsiaTheme="minorEastAsia"/>
                <w:snapToGrid/>
                <w:szCs w:val="22"/>
                <w:lang w:val="lt-LT" w:eastAsia="en-IN"/>
              </w:rPr>
              <w:t> </w:t>
            </w:r>
            <w:r w:rsidRPr="001839C2">
              <w:rPr>
                <w:rFonts w:eastAsiaTheme="minorEastAsia"/>
                <w:snapToGrid/>
                <w:szCs w:val="22"/>
                <w:lang w:val="lt-LT" w:eastAsia="en-IN"/>
              </w:rPr>
              <w:t>44 iki ↓</w:t>
            </w:r>
            <w:r w:rsidR="0075564F" w:rsidRPr="001839C2">
              <w:rPr>
                <w:rFonts w:eastAsiaTheme="minorEastAsia"/>
                <w:snapToGrid/>
                <w:szCs w:val="22"/>
                <w:lang w:val="lt-LT" w:eastAsia="en-IN"/>
              </w:rPr>
              <w:t> </w:t>
            </w:r>
            <w:r w:rsidRPr="001839C2">
              <w:rPr>
                <w:rFonts w:eastAsiaTheme="minorEastAsia"/>
                <w:snapToGrid/>
                <w:szCs w:val="22"/>
                <w:lang w:val="lt-LT" w:eastAsia="en-IN"/>
              </w:rPr>
              <w:t>12)</w:t>
            </w:r>
          </w:p>
          <w:p w14:paraId="43D523A6"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p w14:paraId="62C55E8F"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8C98A30"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76C71F0A" w14:textId="77777777" w:rsidR="0075564F"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75564F" w:rsidRPr="001839C2">
              <w:rPr>
                <w:rFonts w:eastAsiaTheme="minorEastAsia"/>
                <w:snapToGrid/>
                <w:szCs w:val="22"/>
                <w:lang w:val="lt-LT" w:eastAsia="en-IN"/>
              </w:rPr>
              <w:t> </w:t>
            </w:r>
            <w:r w:rsidRPr="001839C2">
              <w:rPr>
                <w:rFonts w:eastAsiaTheme="minorEastAsia"/>
                <w:snapToGrid/>
                <w:szCs w:val="22"/>
                <w:lang w:val="lt-LT" w:eastAsia="en-IN"/>
              </w:rPr>
              <w:t>4</w:t>
            </w:r>
            <w:r w:rsidR="0075564F" w:rsidRPr="001839C2">
              <w:rPr>
                <w:rFonts w:eastAsiaTheme="minorEastAsia"/>
                <w:snapToGrid/>
                <w:szCs w:val="22"/>
                <w:lang w:val="lt-LT" w:eastAsia="en-IN"/>
              </w:rPr>
              <w:t> </w:t>
            </w:r>
            <w:r w:rsidRPr="001839C2">
              <w:rPr>
                <w:rFonts w:eastAsiaTheme="minorEastAsia"/>
                <w:snapToGrid/>
                <w:szCs w:val="22"/>
                <w:lang w:val="lt-LT" w:eastAsia="en-IN"/>
              </w:rPr>
              <w:t>% (nuo ↓</w:t>
            </w:r>
            <w:r w:rsidR="0075564F" w:rsidRPr="001839C2">
              <w:rPr>
                <w:rFonts w:eastAsiaTheme="minorEastAsia"/>
                <w:snapToGrid/>
                <w:szCs w:val="22"/>
                <w:lang w:val="lt-LT" w:eastAsia="en-IN"/>
              </w:rPr>
              <w:t> </w:t>
            </w:r>
            <w:r w:rsidRPr="001839C2">
              <w:rPr>
                <w:rFonts w:eastAsiaTheme="minorEastAsia"/>
                <w:snapToGrid/>
                <w:szCs w:val="22"/>
                <w:lang w:val="lt-LT" w:eastAsia="en-IN"/>
              </w:rPr>
              <w:t>15 iki ↑</w:t>
            </w:r>
            <w:r w:rsidR="0075564F" w:rsidRPr="001839C2">
              <w:rPr>
                <w:rFonts w:eastAsiaTheme="minorEastAsia"/>
                <w:snapToGrid/>
                <w:szCs w:val="22"/>
                <w:lang w:val="lt-LT" w:eastAsia="en-IN"/>
              </w:rPr>
              <w:t> </w:t>
            </w:r>
            <w:r w:rsidRPr="001839C2">
              <w:rPr>
                <w:rFonts w:eastAsiaTheme="minorEastAsia"/>
                <w:snapToGrid/>
                <w:szCs w:val="22"/>
                <w:lang w:val="lt-LT" w:eastAsia="en-IN"/>
              </w:rPr>
              <w:t>8)</w:t>
            </w:r>
          </w:p>
          <w:p w14:paraId="4FFEA709" w14:textId="77777777" w:rsidR="0075564F"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75564F" w:rsidRPr="001839C2">
              <w:rPr>
                <w:rFonts w:eastAsiaTheme="minorEastAsia"/>
                <w:snapToGrid/>
                <w:szCs w:val="22"/>
                <w:lang w:val="lt-LT" w:eastAsia="en-IN"/>
              </w:rPr>
              <w:t> </w:t>
            </w:r>
            <w:r w:rsidRPr="001839C2">
              <w:rPr>
                <w:rFonts w:eastAsiaTheme="minorEastAsia"/>
                <w:snapToGrid/>
                <w:szCs w:val="22"/>
                <w:lang w:val="lt-LT" w:eastAsia="en-IN"/>
              </w:rPr>
              <w:t>102</w:t>
            </w:r>
            <w:r w:rsidR="0075564F" w:rsidRPr="001839C2">
              <w:rPr>
                <w:rFonts w:eastAsiaTheme="minorEastAsia"/>
                <w:snapToGrid/>
                <w:szCs w:val="22"/>
                <w:lang w:val="lt-LT" w:eastAsia="en-IN"/>
              </w:rPr>
              <w:t> </w:t>
            </w:r>
            <w:r w:rsidRPr="001839C2">
              <w:rPr>
                <w:rFonts w:eastAsiaTheme="minorEastAsia"/>
                <w:snapToGrid/>
                <w:szCs w:val="22"/>
                <w:lang w:val="lt-LT" w:eastAsia="en-IN"/>
              </w:rPr>
              <w:t>% (nuo ↓</w:t>
            </w:r>
            <w:r w:rsidR="0075564F" w:rsidRPr="001839C2">
              <w:rPr>
                <w:rFonts w:eastAsiaTheme="minorEastAsia"/>
                <w:snapToGrid/>
                <w:szCs w:val="22"/>
                <w:lang w:val="lt-LT" w:eastAsia="en-IN"/>
              </w:rPr>
              <w:t> </w:t>
            </w:r>
            <w:r w:rsidRPr="001839C2">
              <w:rPr>
                <w:rFonts w:eastAsiaTheme="minorEastAsia"/>
                <w:snapToGrid/>
                <w:szCs w:val="22"/>
                <w:lang w:val="lt-LT" w:eastAsia="en-IN"/>
              </w:rPr>
              <w:t>96 iki ↑</w:t>
            </w:r>
            <w:r w:rsidR="0075564F" w:rsidRPr="001839C2">
              <w:rPr>
                <w:rFonts w:eastAsiaTheme="minorEastAsia"/>
                <w:snapToGrid/>
                <w:szCs w:val="22"/>
                <w:lang w:val="lt-LT" w:eastAsia="en-IN"/>
              </w:rPr>
              <w:t> </w:t>
            </w:r>
            <w:r w:rsidRPr="001839C2">
              <w:rPr>
                <w:rFonts w:eastAsiaTheme="minorEastAsia"/>
                <w:snapToGrid/>
                <w:szCs w:val="22"/>
                <w:lang w:val="lt-LT" w:eastAsia="en-IN"/>
              </w:rPr>
              <w:t>108)</w:t>
            </w:r>
          </w:p>
          <w:p w14:paraId="775AED64"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tc>
        <w:tc>
          <w:tcPr>
            <w:tcW w:w="2422" w:type="dxa"/>
            <w:tcBorders>
              <w:top w:val="single" w:sz="4" w:space="0" w:color="auto"/>
              <w:left w:val="single" w:sz="4" w:space="0" w:color="000000"/>
              <w:bottom w:val="single" w:sz="4" w:space="0" w:color="auto"/>
              <w:right w:val="single" w:sz="4" w:space="0" w:color="000000"/>
            </w:tcBorders>
          </w:tcPr>
          <w:p w14:paraId="76520F75"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Lamivudino ir </w:t>
            </w:r>
            <w:r w:rsidR="0075564F" w:rsidRPr="001839C2">
              <w:rPr>
                <w:rFonts w:eastAsiaTheme="minorEastAsia"/>
                <w:snapToGrid/>
                <w:szCs w:val="22"/>
                <w:lang w:val="lt-LT" w:eastAsia="en-IN"/>
              </w:rPr>
              <w:t>emt</w:t>
            </w:r>
            <w:r w:rsidRPr="001839C2">
              <w:rPr>
                <w:rFonts w:eastAsiaTheme="minorEastAsia"/>
                <w:snapToGrid/>
                <w:szCs w:val="22"/>
                <w:lang w:val="lt-LT" w:eastAsia="en-IN"/>
              </w:rPr>
              <w:t>r</w:t>
            </w:r>
            <w:r w:rsidR="0075564F" w:rsidRPr="001839C2">
              <w:rPr>
                <w:rFonts w:eastAsiaTheme="minorEastAsia"/>
                <w:snapToGrid/>
                <w:szCs w:val="22"/>
                <w:lang w:val="lt-LT" w:eastAsia="en-IN"/>
              </w:rPr>
              <w:t>icit</w:t>
            </w:r>
            <w:r w:rsidR="00C96BA2" w:rsidRPr="001839C2">
              <w:rPr>
                <w:rFonts w:eastAsiaTheme="minorEastAsia"/>
                <w:snapToGrid/>
                <w:szCs w:val="22"/>
                <w:lang w:val="lt-LT" w:eastAsia="en-IN"/>
              </w:rPr>
              <w:t>ab</w:t>
            </w:r>
            <w:r w:rsidR="0075564F" w:rsidRPr="001839C2">
              <w:rPr>
                <w:rFonts w:eastAsiaTheme="minorEastAsia"/>
                <w:snapToGrid/>
                <w:szCs w:val="22"/>
                <w:lang w:val="lt-LT" w:eastAsia="en-IN"/>
              </w:rPr>
              <w:t xml:space="preserve">ino ir tenofoviro </w:t>
            </w:r>
            <w:r w:rsidRPr="001839C2">
              <w:rPr>
                <w:rFonts w:eastAsiaTheme="minorEastAsia"/>
                <w:snapToGrid/>
                <w:szCs w:val="22"/>
                <w:lang w:val="lt-LT" w:eastAsia="en-IN"/>
              </w:rPr>
              <w:t>d</w:t>
            </w:r>
            <w:r w:rsidR="0075564F" w:rsidRPr="001839C2">
              <w:rPr>
                <w:rFonts w:eastAsiaTheme="minorEastAsia"/>
                <w:snapToGrid/>
                <w:szCs w:val="22"/>
                <w:lang w:val="lt-LT" w:eastAsia="en-IN"/>
              </w:rPr>
              <w:t>izopoksilio derinio</w:t>
            </w:r>
            <w:r w:rsidRPr="001839C2">
              <w:rPr>
                <w:rFonts w:eastAsiaTheme="minorEastAsia"/>
                <w:snapToGrid/>
                <w:szCs w:val="22"/>
                <w:lang w:val="lt-LT" w:eastAsia="en-IN"/>
              </w:rPr>
              <w:t xml:space="preserve"> kartu vartoti negalima (žr.</w:t>
            </w:r>
            <w:r w:rsidR="0075564F" w:rsidRPr="001839C2">
              <w:rPr>
                <w:rFonts w:eastAsiaTheme="minorEastAsia"/>
                <w:snapToGrid/>
                <w:szCs w:val="22"/>
                <w:lang w:val="lt-LT" w:eastAsia="en-IN"/>
              </w:rPr>
              <w:t> </w:t>
            </w:r>
            <w:r w:rsidRPr="001839C2">
              <w:rPr>
                <w:rFonts w:eastAsiaTheme="minorEastAsia"/>
                <w:snapToGrid/>
                <w:szCs w:val="22"/>
                <w:lang w:val="lt-LT" w:eastAsia="en-IN"/>
              </w:rPr>
              <w:t>4.4</w:t>
            </w:r>
            <w:r w:rsidR="0075564F"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E32EEC" w:rsidRPr="001839C2" w14:paraId="50FD4B0A"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2A631B54"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Efavirenz</w:t>
            </w:r>
            <w:r w:rsidR="0075564F"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75564F" w:rsidRPr="001839C2">
              <w:rPr>
                <w:rFonts w:eastAsiaTheme="minorEastAsia"/>
                <w:snapToGrid/>
                <w:szCs w:val="22"/>
                <w:lang w:val="lt-LT" w:eastAsia="en-IN"/>
              </w:rPr>
              <w:t>ir</w:t>
            </w:r>
            <w:r w:rsidRPr="001839C2">
              <w:rPr>
                <w:rFonts w:eastAsiaTheme="minorEastAsia"/>
                <w:snapToGrid/>
                <w:szCs w:val="22"/>
                <w:lang w:val="lt-LT" w:eastAsia="en-IN"/>
              </w:rPr>
              <w:t xml:space="preserve"> tenofovir</w:t>
            </w:r>
            <w:r w:rsidR="0075564F" w:rsidRPr="001839C2">
              <w:rPr>
                <w:rFonts w:eastAsiaTheme="minorEastAsia"/>
                <w:snapToGrid/>
                <w:szCs w:val="22"/>
                <w:lang w:val="lt-LT" w:eastAsia="en-IN"/>
              </w:rPr>
              <w:t>o</w:t>
            </w:r>
            <w:r w:rsidRPr="001839C2">
              <w:rPr>
                <w:rFonts w:eastAsiaTheme="minorEastAsia"/>
                <w:snapToGrid/>
                <w:szCs w:val="22"/>
                <w:lang w:val="lt-LT" w:eastAsia="en-IN"/>
              </w:rPr>
              <w:t xml:space="preserve"> dizoproksili</w:t>
            </w:r>
            <w:r w:rsidR="0075564F" w:rsidRPr="001839C2">
              <w:rPr>
                <w:rFonts w:eastAsiaTheme="minorEastAsia"/>
                <w:snapToGrid/>
                <w:szCs w:val="22"/>
                <w:lang w:val="lt-LT" w:eastAsia="en-IN"/>
              </w:rPr>
              <w:t>o derinys</w:t>
            </w:r>
          </w:p>
        </w:tc>
        <w:tc>
          <w:tcPr>
            <w:tcW w:w="3351" w:type="dxa"/>
            <w:tcBorders>
              <w:top w:val="single" w:sz="4" w:space="0" w:color="auto"/>
              <w:left w:val="single" w:sz="4" w:space="0" w:color="000000"/>
              <w:bottom w:val="single" w:sz="4" w:space="0" w:color="auto"/>
              <w:right w:val="single" w:sz="4" w:space="0" w:color="000000"/>
            </w:tcBorders>
          </w:tcPr>
          <w:p w14:paraId="371C3A7C"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Efavirenzas</w:t>
            </w:r>
          </w:p>
          <w:p w14:paraId="50FC8023" w14:textId="77777777" w:rsidR="0075564F"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75564F" w:rsidRPr="001839C2">
              <w:rPr>
                <w:rFonts w:eastAsiaTheme="minorEastAsia"/>
                <w:snapToGrid/>
                <w:szCs w:val="22"/>
                <w:lang w:val="lt-LT" w:eastAsia="en-IN"/>
              </w:rPr>
              <w:t> </w:t>
            </w:r>
            <w:r w:rsidRPr="001839C2">
              <w:rPr>
                <w:rFonts w:eastAsiaTheme="minorEastAsia"/>
                <w:snapToGrid/>
                <w:szCs w:val="22"/>
                <w:lang w:val="lt-LT" w:eastAsia="en-IN"/>
              </w:rPr>
              <w:t>4</w:t>
            </w:r>
            <w:r w:rsidR="0075564F" w:rsidRPr="001839C2">
              <w:rPr>
                <w:rFonts w:eastAsiaTheme="minorEastAsia"/>
                <w:snapToGrid/>
                <w:szCs w:val="22"/>
                <w:lang w:val="lt-LT" w:eastAsia="en-IN"/>
              </w:rPr>
              <w:t> </w:t>
            </w:r>
            <w:r w:rsidRPr="001839C2">
              <w:rPr>
                <w:rFonts w:eastAsiaTheme="minorEastAsia"/>
                <w:snapToGrid/>
                <w:szCs w:val="22"/>
                <w:lang w:val="lt-LT" w:eastAsia="en-IN"/>
              </w:rPr>
              <w:t>% (nuo ↓</w:t>
            </w:r>
            <w:r w:rsidR="0075564F" w:rsidRPr="001839C2">
              <w:rPr>
                <w:rFonts w:eastAsiaTheme="minorEastAsia"/>
                <w:snapToGrid/>
                <w:szCs w:val="22"/>
                <w:lang w:val="lt-LT" w:eastAsia="en-IN"/>
              </w:rPr>
              <w:t> </w:t>
            </w:r>
            <w:r w:rsidRPr="001839C2">
              <w:rPr>
                <w:rFonts w:eastAsiaTheme="minorEastAsia"/>
                <w:snapToGrid/>
                <w:szCs w:val="22"/>
                <w:lang w:val="lt-LT" w:eastAsia="en-IN"/>
              </w:rPr>
              <w:t>7 iki ↓</w:t>
            </w:r>
            <w:r w:rsidR="0075564F" w:rsidRPr="001839C2">
              <w:rPr>
                <w:rFonts w:eastAsiaTheme="minorEastAsia"/>
                <w:snapToGrid/>
                <w:szCs w:val="22"/>
                <w:lang w:val="lt-LT" w:eastAsia="en-IN"/>
              </w:rPr>
              <w:t> </w:t>
            </w:r>
            <w:r w:rsidRPr="001839C2">
              <w:rPr>
                <w:rFonts w:eastAsiaTheme="minorEastAsia"/>
                <w:snapToGrid/>
                <w:szCs w:val="22"/>
                <w:lang w:val="lt-LT" w:eastAsia="en-IN"/>
              </w:rPr>
              <w:t>1)</w:t>
            </w:r>
          </w:p>
          <w:p w14:paraId="01CC976F" w14:textId="77777777" w:rsidR="0075564F"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75564F" w:rsidRPr="001839C2">
              <w:rPr>
                <w:rFonts w:eastAsiaTheme="minorEastAsia"/>
                <w:snapToGrid/>
                <w:szCs w:val="22"/>
                <w:lang w:val="lt-LT" w:eastAsia="en-IN"/>
              </w:rPr>
              <w:t> </w:t>
            </w:r>
            <w:r w:rsidRPr="001839C2">
              <w:rPr>
                <w:rFonts w:eastAsiaTheme="minorEastAsia"/>
                <w:snapToGrid/>
                <w:szCs w:val="22"/>
                <w:lang w:val="lt-LT" w:eastAsia="en-IN"/>
              </w:rPr>
              <w:t>4</w:t>
            </w:r>
            <w:r w:rsidR="0075564F" w:rsidRPr="001839C2">
              <w:rPr>
                <w:rFonts w:eastAsiaTheme="minorEastAsia"/>
                <w:snapToGrid/>
                <w:szCs w:val="22"/>
                <w:lang w:val="lt-LT" w:eastAsia="en-IN"/>
              </w:rPr>
              <w:t> </w:t>
            </w:r>
            <w:r w:rsidRPr="001839C2">
              <w:rPr>
                <w:rFonts w:eastAsiaTheme="minorEastAsia"/>
                <w:snapToGrid/>
                <w:szCs w:val="22"/>
                <w:lang w:val="lt-LT" w:eastAsia="en-IN"/>
              </w:rPr>
              <w:t>% (nuo ↓</w:t>
            </w:r>
            <w:r w:rsidR="0075564F" w:rsidRPr="001839C2">
              <w:rPr>
                <w:rFonts w:eastAsiaTheme="minorEastAsia"/>
                <w:snapToGrid/>
                <w:szCs w:val="22"/>
                <w:lang w:val="lt-LT" w:eastAsia="en-IN"/>
              </w:rPr>
              <w:t> </w:t>
            </w:r>
            <w:r w:rsidRPr="001839C2">
              <w:rPr>
                <w:rFonts w:eastAsiaTheme="minorEastAsia"/>
                <w:snapToGrid/>
                <w:szCs w:val="22"/>
                <w:lang w:val="lt-LT" w:eastAsia="en-IN"/>
              </w:rPr>
              <w:t>9 iki ↑</w:t>
            </w:r>
            <w:r w:rsidR="0075564F" w:rsidRPr="001839C2">
              <w:rPr>
                <w:rFonts w:eastAsiaTheme="minorEastAsia"/>
                <w:snapToGrid/>
                <w:szCs w:val="22"/>
                <w:lang w:val="lt-LT" w:eastAsia="en-IN"/>
              </w:rPr>
              <w:t> </w:t>
            </w:r>
            <w:r w:rsidRPr="001839C2">
              <w:rPr>
                <w:rFonts w:eastAsiaTheme="minorEastAsia"/>
                <w:snapToGrid/>
                <w:szCs w:val="22"/>
                <w:lang w:val="lt-LT" w:eastAsia="en-IN"/>
              </w:rPr>
              <w:t>2)</w:t>
            </w:r>
          </w:p>
          <w:p w14:paraId="20DA3333"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p w14:paraId="6DEAF602"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9EC8A55"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3283D664" w14:textId="77777777" w:rsidR="0075564F"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75564F" w:rsidRPr="001839C2">
              <w:rPr>
                <w:rFonts w:eastAsiaTheme="minorEastAsia"/>
                <w:snapToGrid/>
                <w:szCs w:val="22"/>
                <w:lang w:val="lt-LT" w:eastAsia="en-IN"/>
              </w:rPr>
              <w:t> </w:t>
            </w:r>
            <w:r w:rsidRPr="001839C2">
              <w:rPr>
                <w:rFonts w:eastAsiaTheme="minorEastAsia"/>
                <w:snapToGrid/>
                <w:szCs w:val="22"/>
                <w:lang w:val="lt-LT" w:eastAsia="en-IN"/>
              </w:rPr>
              <w:t>1</w:t>
            </w:r>
            <w:r w:rsidR="0075564F" w:rsidRPr="001839C2">
              <w:rPr>
                <w:rFonts w:eastAsiaTheme="minorEastAsia"/>
                <w:snapToGrid/>
                <w:szCs w:val="22"/>
                <w:lang w:val="lt-LT" w:eastAsia="en-IN"/>
              </w:rPr>
              <w:t> </w:t>
            </w:r>
            <w:r w:rsidRPr="001839C2">
              <w:rPr>
                <w:rFonts w:eastAsiaTheme="minorEastAsia"/>
                <w:snapToGrid/>
                <w:szCs w:val="22"/>
                <w:lang w:val="lt-LT" w:eastAsia="en-IN"/>
              </w:rPr>
              <w:t>% (nuo ↓</w:t>
            </w:r>
            <w:r w:rsidR="0075564F" w:rsidRPr="001839C2">
              <w:rPr>
                <w:rFonts w:eastAsiaTheme="minorEastAsia"/>
                <w:snapToGrid/>
                <w:szCs w:val="22"/>
                <w:lang w:val="lt-LT" w:eastAsia="en-IN"/>
              </w:rPr>
              <w:t> </w:t>
            </w:r>
            <w:r w:rsidRPr="001839C2">
              <w:rPr>
                <w:rFonts w:eastAsiaTheme="minorEastAsia"/>
                <w:snapToGrid/>
                <w:szCs w:val="22"/>
                <w:lang w:val="lt-LT" w:eastAsia="en-IN"/>
              </w:rPr>
              <w:t>8 iki ↑</w:t>
            </w:r>
            <w:r w:rsidR="0075564F" w:rsidRPr="001839C2">
              <w:rPr>
                <w:rFonts w:eastAsiaTheme="minorEastAsia"/>
                <w:snapToGrid/>
                <w:szCs w:val="22"/>
                <w:lang w:val="lt-LT" w:eastAsia="en-IN"/>
              </w:rPr>
              <w:t> </w:t>
            </w:r>
            <w:r w:rsidRPr="001839C2">
              <w:rPr>
                <w:rFonts w:eastAsiaTheme="minorEastAsia"/>
                <w:snapToGrid/>
                <w:szCs w:val="22"/>
                <w:lang w:val="lt-LT" w:eastAsia="en-IN"/>
              </w:rPr>
              <w:t>6)</w:t>
            </w:r>
          </w:p>
          <w:p w14:paraId="06C4894E" w14:textId="77777777" w:rsidR="0075564F"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75564F" w:rsidRPr="001839C2">
              <w:rPr>
                <w:rFonts w:eastAsiaTheme="minorEastAsia"/>
                <w:snapToGrid/>
                <w:szCs w:val="22"/>
                <w:lang w:val="lt-LT" w:eastAsia="en-IN"/>
              </w:rPr>
              <w:t> </w:t>
            </w:r>
            <w:r w:rsidRPr="001839C2">
              <w:rPr>
                <w:rFonts w:eastAsiaTheme="minorEastAsia"/>
                <w:snapToGrid/>
                <w:szCs w:val="22"/>
                <w:lang w:val="lt-LT" w:eastAsia="en-IN"/>
              </w:rPr>
              <w:t>7</w:t>
            </w:r>
            <w:r w:rsidR="0075564F" w:rsidRPr="001839C2">
              <w:rPr>
                <w:rFonts w:eastAsiaTheme="minorEastAsia"/>
                <w:snapToGrid/>
                <w:szCs w:val="22"/>
                <w:lang w:val="lt-LT" w:eastAsia="en-IN"/>
              </w:rPr>
              <w:t> </w:t>
            </w:r>
            <w:r w:rsidRPr="001839C2">
              <w:rPr>
                <w:rFonts w:eastAsiaTheme="minorEastAsia"/>
                <w:snapToGrid/>
                <w:szCs w:val="22"/>
                <w:lang w:val="lt-LT" w:eastAsia="en-IN"/>
              </w:rPr>
              <w:t>% (nuo ↓</w:t>
            </w:r>
            <w:r w:rsidR="0075564F" w:rsidRPr="001839C2">
              <w:rPr>
                <w:rFonts w:eastAsiaTheme="minorEastAsia"/>
                <w:snapToGrid/>
                <w:szCs w:val="22"/>
                <w:lang w:val="lt-LT" w:eastAsia="en-IN"/>
              </w:rPr>
              <w:t> </w:t>
            </w:r>
            <w:r w:rsidRPr="001839C2">
              <w:rPr>
                <w:rFonts w:eastAsiaTheme="minorEastAsia"/>
                <w:snapToGrid/>
                <w:szCs w:val="22"/>
                <w:lang w:val="lt-LT" w:eastAsia="en-IN"/>
              </w:rPr>
              <w:t>6 iki ↑</w:t>
            </w:r>
            <w:r w:rsidR="0075564F" w:rsidRPr="001839C2">
              <w:rPr>
                <w:rFonts w:eastAsiaTheme="minorEastAsia"/>
                <w:snapToGrid/>
                <w:szCs w:val="22"/>
                <w:lang w:val="lt-LT" w:eastAsia="en-IN"/>
              </w:rPr>
              <w:t> </w:t>
            </w:r>
            <w:r w:rsidRPr="001839C2">
              <w:rPr>
                <w:rFonts w:eastAsiaTheme="minorEastAsia"/>
                <w:snapToGrid/>
                <w:szCs w:val="22"/>
                <w:lang w:val="lt-LT" w:eastAsia="en-IN"/>
              </w:rPr>
              <w:t>22)</w:t>
            </w:r>
          </w:p>
          <w:p w14:paraId="3CD43A0C"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tc>
        <w:tc>
          <w:tcPr>
            <w:tcW w:w="2422" w:type="dxa"/>
            <w:tcBorders>
              <w:top w:val="single" w:sz="4" w:space="0" w:color="auto"/>
              <w:left w:val="single" w:sz="4" w:space="0" w:color="000000"/>
              <w:bottom w:val="single" w:sz="4" w:space="0" w:color="auto"/>
              <w:right w:val="single" w:sz="4" w:space="0" w:color="000000"/>
            </w:tcBorders>
          </w:tcPr>
          <w:p w14:paraId="34C3A77E"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Efavirenzo dozės koreguoti nereikia.</w:t>
            </w:r>
          </w:p>
        </w:tc>
      </w:tr>
      <w:tr w:rsidR="00E32EEC" w:rsidRPr="001839C2" w14:paraId="1C76CF62" w14:textId="77777777" w:rsidTr="00230559">
        <w:trPr>
          <w:trHeight w:val="221"/>
        </w:trPr>
        <w:tc>
          <w:tcPr>
            <w:tcW w:w="9548" w:type="dxa"/>
            <w:gridSpan w:val="3"/>
            <w:tcBorders>
              <w:top w:val="single" w:sz="4" w:space="0" w:color="auto"/>
              <w:left w:val="single" w:sz="4" w:space="0" w:color="000000"/>
              <w:bottom w:val="single" w:sz="4" w:space="0" w:color="auto"/>
              <w:right w:val="single" w:sz="4" w:space="0" w:color="000000"/>
            </w:tcBorders>
          </w:tcPr>
          <w:p w14:paraId="2034964D"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i/>
                <w:iCs/>
                <w:snapToGrid/>
                <w:szCs w:val="22"/>
                <w:lang w:val="lt-LT" w:eastAsia="en-IN"/>
              </w:rPr>
              <w:t>ANTIINFEKCINIAI</w:t>
            </w:r>
          </w:p>
        </w:tc>
      </w:tr>
      <w:tr w:rsidR="00E32EEC" w:rsidRPr="00686907" w14:paraId="0668A816" w14:textId="77777777" w:rsidTr="00230559">
        <w:trPr>
          <w:trHeight w:val="221"/>
        </w:trPr>
        <w:tc>
          <w:tcPr>
            <w:tcW w:w="9548" w:type="dxa"/>
            <w:gridSpan w:val="3"/>
            <w:tcBorders>
              <w:top w:val="single" w:sz="4" w:space="0" w:color="auto"/>
              <w:left w:val="single" w:sz="4" w:space="0" w:color="000000"/>
              <w:bottom w:val="single" w:sz="4" w:space="0" w:color="auto"/>
              <w:right w:val="single" w:sz="4" w:space="0" w:color="000000"/>
            </w:tcBorders>
          </w:tcPr>
          <w:p w14:paraId="14FE9A0D"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i/>
                <w:snapToGrid/>
                <w:szCs w:val="22"/>
                <w:lang w:val="lt-LT" w:eastAsia="en-IN"/>
              </w:rPr>
            </w:pPr>
            <w:r w:rsidRPr="001839C2">
              <w:rPr>
                <w:rFonts w:eastAsiaTheme="minorEastAsia"/>
                <w:b/>
                <w:bCs/>
                <w:i/>
                <w:snapToGrid/>
                <w:szCs w:val="22"/>
                <w:lang w:val="lt-LT" w:eastAsia="en-IN"/>
              </w:rPr>
              <w:t>Antivirusin</w:t>
            </w:r>
            <w:r w:rsidR="006B6981" w:rsidRPr="001839C2">
              <w:rPr>
                <w:rFonts w:eastAsiaTheme="minorEastAsia"/>
                <w:b/>
                <w:bCs/>
                <w:i/>
                <w:snapToGrid/>
                <w:szCs w:val="22"/>
                <w:lang w:val="lt-LT" w:eastAsia="en-IN"/>
              </w:rPr>
              <w:t>iai</w:t>
            </w:r>
            <w:r w:rsidRPr="001839C2">
              <w:rPr>
                <w:rFonts w:eastAsiaTheme="minorEastAsia"/>
                <w:b/>
                <w:bCs/>
                <w:i/>
                <w:snapToGrid/>
                <w:szCs w:val="22"/>
                <w:lang w:val="lt-LT" w:eastAsia="en-IN"/>
              </w:rPr>
              <w:t xml:space="preserve"> </w:t>
            </w:r>
            <w:r w:rsidR="006B6981" w:rsidRPr="001839C2">
              <w:rPr>
                <w:rFonts w:eastAsiaTheme="minorEastAsia"/>
                <w:b/>
                <w:bCs/>
                <w:i/>
                <w:snapToGrid/>
                <w:szCs w:val="22"/>
                <w:lang w:val="lt-LT" w:eastAsia="en-IN"/>
              </w:rPr>
              <w:t>vaistin</w:t>
            </w:r>
            <w:r w:rsidRPr="001839C2">
              <w:rPr>
                <w:rFonts w:eastAsiaTheme="minorEastAsia"/>
                <w:b/>
                <w:bCs/>
                <w:i/>
                <w:snapToGrid/>
                <w:szCs w:val="22"/>
                <w:lang w:val="lt-LT" w:eastAsia="en-IN"/>
              </w:rPr>
              <w:t>ia</w:t>
            </w:r>
            <w:r w:rsidR="006B6981" w:rsidRPr="001839C2">
              <w:rPr>
                <w:rFonts w:eastAsiaTheme="minorEastAsia"/>
                <w:b/>
                <w:bCs/>
                <w:i/>
                <w:snapToGrid/>
                <w:szCs w:val="22"/>
                <w:lang w:val="lt-LT" w:eastAsia="en-IN"/>
              </w:rPr>
              <w:t>i preparatai</w:t>
            </w:r>
            <w:r w:rsidRPr="001839C2">
              <w:rPr>
                <w:rFonts w:eastAsiaTheme="minorEastAsia"/>
                <w:b/>
                <w:bCs/>
                <w:i/>
                <w:snapToGrid/>
                <w:szCs w:val="22"/>
                <w:lang w:val="lt-LT" w:eastAsia="en-IN"/>
              </w:rPr>
              <w:t xml:space="preserve"> nuo hepatito</w:t>
            </w:r>
            <w:r w:rsidR="00DF08E7" w:rsidRPr="001839C2">
              <w:rPr>
                <w:rFonts w:eastAsiaTheme="minorEastAsia"/>
                <w:b/>
                <w:bCs/>
                <w:i/>
                <w:snapToGrid/>
                <w:szCs w:val="22"/>
                <w:lang w:val="lt-LT" w:eastAsia="en-IN"/>
              </w:rPr>
              <w:t> </w:t>
            </w:r>
            <w:r w:rsidRPr="001839C2">
              <w:rPr>
                <w:rFonts w:eastAsiaTheme="minorEastAsia"/>
                <w:b/>
                <w:bCs/>
                <w:i/>
                <w:snapToGrid/>
                <w:szCs w:val="22"/>
                <w:lang w:val="lt-LT" w:eastAsia="en-IN"/>
              </w:rPr>
              <w:t>B viruso (HBV)</w:t>
            </w:r>
          </w:p>
        </w:tc>
      </w:tr>
      <w:tr w:rsidR="00E32EEC" w:rsidRPr="00686907" w14:paraId="6BA4B8DF"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780512C7"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Adefovir</w:t>
            </w:r>
            <w:r w:rsidR="00DF08E7" w:rsidRPr="001839C2">
              <w:rPr>
                <w:rFonts w:eastAsiaTheme="minorEastAsia"/>
                <w:snapToGrid/>
                <w:szCs w:val="22"/>
                <w:lang w:val="lt-LT" w:eastAsia="en-IN"/>
              </w:rPr>
              <w:t>o</w:t>
            </w:r>
            <w:r w:rsidRPr="001839C2">
              <w:rPr>
                <w:rFonts w:eastAsiaTheme="minorEastAsia"/>
                <w:snapToGrid/>
                <w:szCs w:val="22"/>
                <w:lang w:val="lt-LT" w:eastAsia="en-IN"/>
              </w:rPr>
              <w:t xml:space="preserve"> dipivoksili</w:t>
            </w:r>
            <w:r w:rsidR="00DF08E7"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DF08E7" w:rsidRPr="001839C2">
              <w:rPr>
                <w:rFonts w:eastAsiaTheme="minorEastAsia"/>
                <w:snapToGrid/>
                <w:szCs w:val="22"/>
                <w:lang w:val="lt-LT" w:eastAsia="en-IN"/>
              </w:rPr>
              <w:t>ir</w:t>
            </w:r>
            <w:r w:rsidRPr="001839C2">
              <w:rPr>
                <w:rFonts w:eastAsiaTheme="minorEastAsia"/>
                <w:snapToGrid/>
                <w:szCs w:val="22"/>
                <w:lang w:val="lt-LT" w:eastAsia="en-IN"/>
              </w:rPr>
              <w:t xml:space="preserve"> tenofovir</w:t>
            </w:r>
            <w:r w:rsidR="00DF08E7" w:rsidRPr="001839C2">
              <w:rPr>
                <w:rFonts w:eastAsiaTheme="minorEastAsia"/>
                <w:snapToGrid/>
                <w:szCs w:val="22"/>
                <w:lang w:val="lt-LT" w:eastAsia="en-IN"/>
              </w:rPr>
              <w:t>o</w:t>
            </w:r>
            <w:r w:rsidRPr="001839C2">
              <w:rPr>
                <w:rFonts w:eastAsiaTheme="minorEastAsia"/>
                <w:snapToGrid/>
                <w:szCs w:val="22"/>
                <w:lang w:val="lt-LT" w:eastAsia="en-IN"/>
              </w:rPr>
              <w:t xml:space="preserve"> dizoproksili</w:t>
            </w:r>
            <w:r w:rsidR="00DF08E7" w:rsidRPr="001839C2">
              <w:rPr>
                <w:rFonts w:eastAsiaTheme="minorEastAsia"/>
                <w:snapToGrid/>
                <w:szCs w:val="22"/>
                <w:lang w:val="lt-LT" w:eastAsia="en-IN"/>
              </w:rPr>
              <w:t>o derinys</w:t>
            </w:r>
          </w:p>
        </w:tc>
        <w:tc>
          <w:tcPr>
            <w:tcW w:w="3351" w:type="dxa"/>
            <w:tcBorders>
              <w:top w:val="single" w:sz="4" w:space="0" w:color="auto"/>
              <w:left w:val="single" w:sz="4" w:space="0" w:color="000000"/>
              <w:bottom w:val="single" w:sz="4" w:space="0" w:color="auto"/>
              <w:right w:val="single" w:sz="4" w:space="0" w:color="000000"/>
            </w:tcBorders>
          </w:tcPr>
          <w:p w14:paraId="75AE64BC"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Adefovir</w:t>
            </w:r>
            <w:r w:rsidR="00DF08E7" w:rsidRPr="001839C2">
              <w:rPr>
                <w:rFonts w:eastAsiaTheme="minorEastAsia"/>
                <w:i/>
                <w:snapToGrid/>
                <w:szCs w:val="22"/>
                <w:u w:val="single"/>
                <w:lang w:val="lt-LT" w:eastAsia="en-IN"/>
              </w:rPr>
              <w:t>as</w:t>
            </w:r>
            <w:r w:rsidRPr="001839C2">
              <w:rPr>
                <w:rFonts w:eastAsiaTheme="minorEastAsia"/>
                <w:i/>
                <w:snapToGrid/>
                <w:szCs w:val="22"/>
                <w:u w:val="single"/>
                <w:lang w:val="lt-LT" w:eastAsia="en-IN"/>
              </w:rPr>
              <w:t xml:space="preserve"> dipivoksilis</w:t>
            </w:r>
          </w:p>
          <w:p w14:paraId="3E5B77A8" w14:textId="77777777" w:rsidR="00DF08E7"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DF08E7" w:rsidRPr="001839C2">
              <w:rPr>
                <w:rFonts w:eastAsiaTheme="minorEastAsia"/>
                <w:snapToGrid/>
                <w:szCs w:val="22"/>
                <w:lang w:val="lt-LT" w:eastAsia="en-IN"/>
              </w:rPr>
              <w:t> </w:t>
            </w:r>
            <w:r w:rsidRPr="001839C2">
              <w:rPr>
                <w:rFonts w:eastAsiaTheme="minorEastAsia"/>
                <w:snapToGrid/>
                <w:szCs w:val="22"/>
                <w:lang w:val="lt-LT" w:eastAsia="en-IN"/>
              </w:rPr>
              <w:t>11</w:t>
            </w:r>
            <w:r w:rsidR="00DF08E7" w:rsidRPr="001839C2">
              <w:rPr>
                <w:rFonts w:eastAsiaTheme="minorEastAsia"/>
                <w:snapToGrid/>
                <w:szCs w:val="22"/>
                <w:lang w:val="lt-LT" w:eastAsia="en-IN"/>
              </w:rPr>
              <w:t> </w:t>
            </w:r>
            <w:r w:rsidRPr="001839C2">
              <w:rPr>
                <w:rFonts w:eastAsiaTheme="minorEastAsia"/>
                <w:snapToGrid/>
                <w:szCs w:val="22"/>
                <w:lang w:val="lt-LT" w:eastAsia="en-IN"/>
              </w:rPr>
              <w:t>% (nuo ↓</w:t>
            </w:r>
            <w:r w:rsidR="00DF08E7" w:rsidRPr="001839C2">
              <w:rPr>
                <w:rFonts w:eastAsiaTheme="minorEastAsia"/>
                <w:snapToGrid/>
                <w:szCs w:val="22"/>
                <w:lang w:val="lt-LT" w:eastAsia="en-IN"/>
              </w:rPr>
              <w:t> </w:t>
            </w:r>
            <w:r w:rsidRPr="001839C2">
              <w:rPr>
                <w:rFonts w:eastAsiaTheme="minorEastAsia"/>
                <w:snapToGrid/>
                <w:szCs w:val="22"/>
                <w:lang w:val="lt-LT" w:eastAsia="en-IN"/>
              </w:rPr>
              <w:t>14 iki ↓</w:t>
            </w:r>
            <w:r w:rsidR="00DF08E7" w:rsidRPr="001839C2">
              <w:rPr>
                <w:rFonts w:eastAsiaTheme="minorEastAsia"/>
                <w:snapToGrid/>
                <w:szCs w:val="22"/>
                <w:lang w:val="lt-LT" w:eastAsia="en-IN"/>
              </w:rPr>
              <w:t> </w:t>
            </w:r>
            <w:r w:rsidRPr="001839C2">
              <w:rPr>
                <w:rFonts w:eastAsiaTheme="minorEastAsia"/>
                <w:snapToGrid/>
                <w:szCs w:val="22"/>
                <w:lang w:val="lt-LT" w:eastAsia="en-IN"/>
              </w:rPr>
              <w:t>7)</w:t>
            </w:r>
          </w:p>
          <w:p w14:paraId="560A4F82" w14:textId="77777777" w:rsidR="00DF08E7"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DF08E7" w:rsidRPr="001839C2">
              <w:rPr>
                <w:rFonts w:eastAsiaTheme="minorEastAsia"/>
                <w:snapToGrid/>
                <w:szCs w:val="22"/>
                <w:lang w:val="lt-LT" w:eastAsia="en-IN"/>
              </w:rPr>
              <w:t> </w:t>
            </w:r>
            <w:r w:rsidRPr="001839C2">
              <w:rPr>
                <w:rFonts w:eastAsiaTheme="minorEastAsia"/>
                <w:snapToGrid/>
                <w:szCs w:val="22"/>
                <w:lang w:val="lt-LT" w:eastAsia="en-IN"/>
              </w:rPr>
              <w:t>7</w:t>
            </w:r>
            <w:r w:rsidR="00DF08E7" w:rsidRPr="001839C2">
              <w:rPr>
                <w:rFonts w:eastAsiaTheme="minorEastAsia"/>
                <w:snapToGrid/>
                <w:szCs w:val="22"/>
                <w:lang w:val="lt-LT" w:eastAsia="en-IN"/>
              </w:rPr>
              <w:t> </w:t>
            </w:r>
            <w:r w:rsidRPr="001839C2">
              <w:rPr>
                <w:rFonts w:eastAsiaTheme="minorEastAsia"/>
                <w:snapToGrid/>
                <w:szCs w:val="22"/>
                <w:lang w:val="lt-LT" w:eastAsia="en-IN"/>
              </w:rPr>
              <w:t>% (nuo ↓</w:t>
            </w:r>
            <w:r w:rsidR="00DF08E7" w:rsidRPr="001839C2">
              <w:rPr>
                <w:rFonts w:eastAsiaTheme="minorEastAsia"/>
                <w:snapToGrid/>
                <w:szCs w:val="22"/>
                <w:lang w:val="lt-LT" w:eastAsia="en-IN"/>
              </w:rPr>
              <w:t> </w:t>
            </w:r>
            <w:r w:rsidRPr="001839C2">
              <w:rPr>
                <w:rFonts w:eastAsiaTheme="minorEastAsia"/>
                <w:snapToGrid/>
                <w:szCs w:val="22"/>
                <w:lang w:val="lt-LT" w:eastAsia="en-IN"/>
              </w:rPr>
              <w:t>13 iki ↓</w:t>
            </w:r>
            <w:r w:rsidR="00DF08E7" w:rsidRPr="001839C2">
              <w:rPr>
                <w:rFonts w:eastAsiaTheme="minorEastAsia"/>
                <w:snapToGrid/>
                <w:szCs w:val="22"/>
                <w:lang w:val="lt-LT" w:eastAsia="en-IN"/>
              </w:rPr>
              <w:t> </w:t>
            </w:r>
            <w:r w:rsidRPr="001839C2">
              <w:rPr>
                <w:rFonts w:eastAsiaTheme="minorEastAsia"/>
                <w:snapToGrid/>
                <w:szCs w:val="22"/>
                <w:lang w:val="lt-LT" w:eastAsia="en-IN"/>
              </w:rPr>
              <w:t>0)</w:t>
            </w:r>
          </w:p>
          <w:p w14:paraId="64990225"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p w14:paraId="5CF43010"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EE4C1DD" w14:textId="77777777" w:rsidR="00E32EEC" w:rsidRPr="001839C2" w:rsidRDefault="00E32EEC"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snapToGrid/>
                <w:szCs w:val="22"/>
                <w:u w:val="single"/>
                <w:lang w:val="lt-LT" w:eastAsia="en-IN"/>
              </w:rPr>
              <w:t>Tenofoviras</w:t>
            </w:r>
          </w:p>
          <w:p w14:paraId="48EDEBEA" w14:textId="77777777" w:rsidR="00DF08E7"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DF08E7" w:rsidRPr="001839C2">
              <w:rPr>
                <w:rFonts w:eastAsiaTheme="minorEastAsia"/>
                <w:snapToGrid/>
                <w:szCs w:val="22"/>
                <w:lang w:val="lt-LT" w:eastAsia="en-IN"/>
              </w:rPr>
              <w:t> </w:t>
            </w:r>
            <w:r w:rsidRPr="001839C2">
              <w:rPr>
                <w:rFonts w:eastAsiaTheme="minorEastAsia"/>
                <w:snapToGrid/>
                <w:szCs w:val="22"/>
                <w:lang w:val="lt-LT" w:eastAsia="en-IN"/>
              </w:rPr>
              <w:t>2</w:t>
            </w:r>
            <w:r w:rsidR="00DF08E7" w:rsidRPr="001839C2">
              <w:rPr>
                <w:rFonts w:eastAsiaTheme="minorEastAsia"/>
                <w:snapToGrid/>
                <w:szCs w:val="22"/>
                <w:lang w:val="lt-LT" w:eastAsia="en-IN"/>
              </w:rPr>
              <w:t> </w:t>
            </w:r>
            <w:r w:rsidRPr="001839C2">
              <w:rPr>
                <w:rFonts w:eastAsiaTheme="minorEastAsia"/>
                <w:snapToGrid/>
                <w:szCs w:val="22"/>
                <w:lang w:val="lt-LT" w:eastAsia="en-IN"/>
              </w:rPr>
              <w:t>% (nuo ↓</w:t>
            </w:r>
            <w:r w:rsidR="00DF08E7" w:rsidRPr="001839C2">
              <w:rPr>
                <w:rFonts w:eastAsiaTheme="minorEastAsia"/>
                <w:snapToGrid/>
                <w:szCs w:val="22"/>
                <w:lang w:val="lt-LT" w:eastAsia="en-IN"/>
              </w:rPr>
              <w:t> </w:t>
            </w:r>
            <w:r w:rsidRPr="001839C2">
              <w:rPr>
                <w:rFonts w:eastAsiaTheme="minorEastAsia"/>
                <w:snapToGrid/>
                <w:szCs w:val="22"/>
                <w:lang w:val="lt-LT" w:eastAsia="en-IN"/>
              </w:rPr>
              <w:t>5 iki ↑</w:t>
            </w:r>
            <w:r w:rsidR="00DF08E7" w:rsidRPr="001839C2">
              <w:rPr>
                <w:rFonts w:eastAsiaTheme="minorEastAsia"/>
                <w:snapToGrid/>
                <w:szCs w:val="22"/>
                <w:lang w:val="lt-LT" w:eastAsia="en-IN"/>
              </w:rPr>
              <w:t> </w:t>
            </w:r>
            <w:r w:rsidRPr="001839C2">
              <w:rPr>
                <w:rFonts w:eastAsiaTheme="minorEastAsia"/>
                <w:snapToGrid/>
                <w:szCs w:val="22"/>
                <w:lang w:val="lt-LT" w:eastAsia="en-IN"/>
              </w:rPr>
              <w:t>0)</w:t>
            </w:r>
          </w:p>
          <w:p w14:paraId="6A80456C" w14:textId="77777777" w:rsidR="00DF08E7"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DF08E7" w:rsidRPr="001839C2">
              <w:rPr>
                <w:rFonts w:eastAsiaTheme="minorEastAsia"/>
                <w:snapToGrid/>
                <w:szCs w:val="22"/>
                <w:lang w:val="lt-LT" w:eastAsia="en-IN"/>
              </w:rPr>
              <w:t> </w:t>
            </w:r>
            <w:r w:rsidRPr="001839C2">
              <w:rPr>
                <w:rFonts w:eastAsiaTheme="minorEastAsia"/>
                <w:snapToGrid/>
                <w:szCs w:val="22"/>
                <w:lang w:val="lt-LT" w:eastAsia="en-IN"/>
              </w:rPr>
              <w:t>1</w:t>
            </w:r>
            <w:r w:rsidR="00DF08E7" w:rsidRPr="001839C2">
              <w:rPr>
                <w:rFonts w:eastAsiaTheme="minorEastAsia"/>
                <w:snapToGrid/>
                <w:szCs w:val="22"/>
                <w:lang w:val="lt-LT" w:eastAsia="en-IN"/>
              </w:rPr>
              <w:t> </w:t>
            </w:r>
            <w:r w:rsidRPr="001839C2">
              <w:rPr>
                <w:rFonts w:eastAsiaTheme="minorEastAsia"/>
                <w:snapToGrid/>
                <w:szCs w:val="22"/>
                <w:lang w:val="lt-LT" w:eastAsia="en-IN"/>
              </w:rPr>
              <w:t>% (nuo ↓</w:t>
            </w:r>
            <w:r w:rsidR="00DF08E7" w:rsidRPr="001839C2">
              <w:rPr>
                <w:rFonts w:eastAsiaTheme="minorEastAsia"/>
                <w:snapToGrid/>
                <w:szCs w:val="22"/>
                <w:lang w:val="lt-LT" w:eastAsia="en-IN"/>
              </w:rPr>
              <w:t> </w:t>
            </w:r>
            <w:r w:rsidRPr="001839C2">
              <w:rPr>
                <w:rFonts w:eastAsiaTheme="minorEastAsia"/>
                <w:snapToGrid/>
                <w:szCs w:val="22"/>
                <w:lang w:val="lt-LT" w:eastAsia="en-IN"/>
              </w:rPr>
              <w:t>7 iki ↑</w:t>
            </w:r>
            <w:r w:rsidR="00DF08E7" w:rsidRPr="001839C2">
              <w:rPr>
                <w:rFonts w:eastAsiaTheme="minorEastAsia"/>
                <w:snapToGrid/>
                <w:szCs w:val="22"/>
                <w:lang w:val="lt-LT" w:eastAsia="en-IN"/>
              </w:rPr>
              <w:t> </w:t>
            </w:r>
            <w:r w:rsidRPr="001839C2">
              <w:rPr>
                <w:rFonts w:eastAsiaTheme="minorEastAsia"/>
                <w:snapToGrid/>
                <w:szCs w:val="22"/>
                <w:lang w:val="lt-LT" w:eastAsia="en-IN"/>
              </w:rPr>
              <w:t>6)</w:t>
            </w:r>
          </w:p>
          <w:p w14:paraId="55F44322"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tc>
        <w:tc>
          <w:tcPr>
            <w:tcW w:w="2422" w:type="dxa"/>
            <w:tcBorders>
              <w:top w:val="single" w:sz="4" w:space="0" w:color="auto"/>
              <w:left w:val="single" w:sz="4" w:space="0" w:color="000000"/>
              <w:bottom w:val="single" w:sz="4" w:space="0" w:color="auto"/>
              <w:right w:val="single" w:sz="4" w:space="0" w:color="000000"/>
            </w:tcBorders>
          </w:tcPr>
          <w:p w14:paraId="16C055B5" w14:textId="77777777" w:rsidR="00E32EEC" w:rsidRPr="001839C2" w:rsidRDefault="00E32EEC"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Adefoviro dipivoksilio ir emtricitabino</w:t>
            </w:r>
            <w:r w:rsidR="00DF08E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540DD" w:rsidRPr="001839C2">
              <w:rPr>
                <w:rFonts w:eastAsiaTheme="minorEastAsia"/>
                <w:snapToGrid/>
                <w:szCs w:val="22"/>
                <w:lang w:val="lt-LT" w:eastAsia="en-IN"/>
              </w:rPr>
              <w:t>i</w:t>
            </w:r>
            <w:r w:rsidRPr="001839C2">
              <w:rPr>
                <w:rFonts w:eastAsiaTheme="minorEastAsia"/>
                <w:snapToGrid/>
                <w:szCs w:val="22"/>
                <w:lang w:val="lt-LT" w:eastAsia="en-IN"/>
              </w:rPr>
              <w:t>o</w:t>
            </w:r>
            <w:r w:rsidR="00DF08E7"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kartu vartoti negalima (žr.</w:t>
            </w:r>
            <w:r w:rsidR="00DF08E7" w:rsidRPr="001839C2">
              <w:rPr>
                <w:rFonts w:eastAsiaTheme="minorEastAsia"/>
                <w:snapToGrid/>
                <w:szCs w:val="22"/>
                <w:lang w:val="lt-LT" w:eastAsia="en-IN"/>
              </w:rPr>
              <w:t> </w:t>
            </w:r>
            <w:r w:rsidRPr="001839C2">
              <w:rPr>
                <w:rFonts w:eastAsiaTheme="minorEastAsia"/>
                <w:snapToGrid/>
                <w:szCs w:val="22"/>
                <w:lang w:val="lt-LT" w:eastAsia="en-IN"/>
              </w:rPr>
              <w:t>4.4</w:t>
            </w:r>
            <w:r w:rsidR="00DF08E7"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463D6F" w:rsidRPr="00686907" w14:paraId="4748436B" w14:textId="77777777" w:rsidTr="00230559">
        <w:trPr>
          <w:trHeight w:val="221"/>
        </w:trPr>
        <w:tc>
          <w:tcPr>
            <w:tcW w:w="9548" w:type="dxa"/>
            <w:gridSpan w:val="3"/>
            <w:tcBorders>
              <w:top w:val="single" w:sz="4" w:space="0" w:color="auto"/>
              <w:left w:val="single" w:sz="4" w:space="0" w:color="000000"/>
              <w:bottom w:val="single" w:sz="4" w:space="0" w:color="auto"/>
              <w:right w:val="single" w:sz="4" w:space="0" w:color="000000"/>
            </w:tcBorders>
          </w:tcPr>
          <w:p w14:paraId="29554517" w14:textId="77777777" w:rsidR="00463D6F" w:rsidRPr="001839C2" w:rsidRDefault="00463D6F" w:rsidP="002E44D9">
            <w:pPr>
              <w:widowControl w:val="0"/>
              <w:tabs>
                <w:tab w:val="left" w:pos="0"/>
              </w:tabs>
              <w:kinsoku w:val="0"/>
              <w:overflowPunct w:val="0"/>
              <w:autoSpaceDE w:val="0"/>
              <w:autoSpaceDN w:val="0"/>
              <w:adjustRightInd w:val="0"/>
              <w:ind w:right="108"/>
              <w:rPr>
                <w:rFonts w:eastAsiaTheme="minorEastAsia"/>
                <w:i/>
                <w:snapToGrid/>
                <w:szCs w:val="22"/>
                <w:lang w:val="lt-LT" w:eastAsia="en-IN"/>
              </w:rPr>
            </w:pPr>
            <w:r w:rsidRPr="001839C2">
              <w:rPr>
                <w:rFonts w:eastAsiaTheme="minorEastAsia"/>
                <w:b/>
                <w:bCs/>
                <w:i/>
                <w:snapToGrid/>
                <w:szCs w:val="22"/>
                <w:lang w:val="lt-LT" w:eastAsia="en-IN"/>
              </w:rPr>
              <w:t>Antivirusin</w:t>
            </w:r>
            <w:r w:rsidR="006B6981" w:rsidRPr="001839C2">
              <w:rPr>
                <w:rFonts w:eastAsiaTheme="minorEastAsia"/>
                <w:b/>
                <w:bCs/>
                <w:i/>
                <w:snapToGrid/>
                <w:szCs w:val="22"/>
                <w:lang w:val="lt-LT" w:eastAsia="en-IN"/>
              </w:rPr>
              <w:t>iai</w:t>
            </w:r>
            <w:r w:rsidRPr="001839C2">
              <w:rPr>
                <w:rFonts w:eastAsiaTheme="minorEastAsia"/>
                <w:b/>
                <w:bCs/>
                <w:i/>
                <w:snapToGrid/>
                <w:szCs w:val="22"/>
                <w:lang w:val="lt-LT" w:eastAsia="en-IN"/>
              </w:rPr>
              <w:t xml:space="preserve"> </w:t>
            </w:r>
            <w:r w:rsidR="006B6981" w:rsidRPr="001839C2">
              <w:rPr>
                <w:rFonts w:eastAsiaTheme="minorEastAsia"/>
                <w:b/>
                <w:bCs/>
                <w:i/>
                <w:snapToGrid/>
                <w:szCs w:val="22"/>
                <w:lang w:val="lt-LT" w:eastAsia="en-IN"/>
              </w:rPr>
              <w:t>vaistin</w:t>
            </w:r>
            <w:r w:rsidRPr="001839C2">
              <w:rPr>
                <w:rFonts w:eastAsiaTheme="minorEastAsia"/>
                <w:b/>
                <w:bCs/>
                <w:i/>
                <w:snapToGrid/>
                <w:szCs w:val="22"/>
                <w:lang w:val="lt-LT" w:eastAsia="en-IN"/>
              </w:rPr>
              <w:t>ia</w:t>
            </w:r>
            <w:r w:rsidR="006B6981" w:rsidRPr="001839C2">
              <w:rPr>
                <w:rFonts w:eastAsiaTheme="minorEastAsia"/>
                <w:b/>
                <w:bCs/>
                <w:i/>
                <w:snapToGrid/>
                <w:szCs w:val="22"/>
                <w:lang w:val="lt-LT" w:eastAsia="en-IN"/>
              </w:rPr>
              <w:t>i preparatai</w:t>
            </w:r>
            <w:r w:rsidRPr="001839C2">
              <w:rPr>
                <w:rFonts w:eastAsiaTheme="minorEastAsia"/>
                <w:b/>
                <w:bCs/>
                <w:i/>
                <w:snapToGrid/>
                <w:szCs w:val="22"/>
                <w:lang w:val="lt-LT" w:eastAsia="en-IN"/>
              </w:rPr>
              <w:t xml:space="preserve"> nuo hepatito C viruso (HCV)</w:t>
            </w:r>
          </w:p>
        </w:tc>
      </w:tr>
      <w:tr w:rsidR="00463D6F" w:rsidRPr="00686907" w14:paraId="550DBABD"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3A4F4553" w14:textId="77777777" w:rsidR="00A540DD" w:rsidRPr="001839C2" w:rsidRDefault="00463D6F"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Ledipasvir</w:t>
            </w:r>
            <w:r w:rsidR="00A540DD"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A540DD" w:rsidRPr="001839C2">
              <w:rPr>
                <w:rFonts w:eastAsiaTheme="minorEastAsia"/>
                <w:snapToGrid/>
                <w:szCs w:val="22"/>
                <w:lang w:val="lt-LT" w:eastAsia="en-IN"/>
              </w:rPr>
              <w:t>ir</w:t>
            </w:r>
            <w:r w:rsidRPr="001839C2">
              <w:rPr>
                <w:rFonts w:eastAsiaTheme="minorEastAsia"/>
                <w:snapToGrid/>
                <w:szCs w:val="22"/>
                <w:lang w:val="lt-LT" w:eastAsia="en-IN"/>
              </w:rPr>
              <w:t xml:space="preserve"> sofosbuvir</w:t>
            </w:r>
            <w:r w:rsidR="00A540DD" w:rsidRPr="001839C2">
              <w:rPr>
                <w:rFonts w:eastAsiaTheme="minorEastAsia"/>
                <w:snapToGrid/>
                <w:szCs w:val="22"/>
                <w:lang w:val="lt-LT" w:eastAsia="en-IN"/>
              </w:rPr>
              <w:t>o derinys</w:t>
            </w:r>
          </w:p>
          <w:p w14:paraId="0E2358BF" w14:textId="77777777" w:rsidR="00A540DD" w:rsidRPr="001839C2" w:rsidRDefault="00463D6F"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(90</w:t>
            </w:r>
            <w:r w:rsidR="00A540DD" w:rsidRPr="001839C2">
              <w:rPr>
                <w:rFonts w:eastAsiaTheme="minorEastAsia"/>
                <w:snapToGrid/>
                <w:szCs w:val="22"/>
                <w:lang w:val="lt-LT" w:eastAsia="en-IN"/>
              </w:rPr>
              <w:t> </w:t>
            </w:r>
            <w:r w:rsidRPr="001839C2">
              <w:rPr>
                <w:rFonts w:eastAsiaTheme="minorEastAsia"/>
                <w:snapToGrid/>
                <w:szCs w:val="22"/>
                <w:lang w:val="lt-LT" w:eastAsia="en-IN"/>
              </w:rPr>
              <w:t>mg/400</w:t>
            </w:r>
            <w:r w:rsidR="00A540DD" w:rsidRPr="001839C2">
              <w:rPr>
                <w:rFonts w:eastAsiaTheme="minorEastAsia"/>
                <w:snapToGrid/>
                <w:szCs w:val="22"/>
                <w:lang w:val="lt-LT" w:eastAsia="en-IN"/>
              </w:rPr>
              <w:t> </w:t>
            </w:r>
            <w:r w:rsidRPr="001839C2">
              <w:rPr>
                <w:rFonts w:eastAsiaTheme="minorEastAsia"/>
                <w:snapToGrid/>
                <w:szCs w:val="22"/>
                <w:lang w:val="lt-LT" w:eastAsia="en-IN"/>
              </w:rPr>
              <w:t>mg</w:t>
            </w:r>
            <w:r w:rsidR="00A540DD" w:rsidRPr="001839C2">
              <w:rPr>
                <w:rFonts w:eastAsiaTheme="minorEastAsia"/>
                <w:snapToGrid/>
                <w:szCs w:val="22"/>
                <w:lang w:val="lt-LT" w:eastAsia="en-IN"/>
              </w:rPr>
              <w:t> </w:t>
            </w:r>
            <w:r w:rsidRPr="001839C2">
              <w:rPr>
                <w:rFonts w:eastAsiaTheme="minorEastAsia"/>
                <w:snapToGrid/>
                <w:szCs w:val="22"/>
                <w:lang w:val="lt-LT" w:eastAsia="en-IN"/>
              </w:rPr>
              <w:t>q.d.)</w:t>
            </w:r>
          </w:p>
          <w:p w14:paraId="7D1057D2" w14:textId="77777777" w:rsidR="00A540DD" w:rsidRPr="001839C2" w:rsidRDefault="00463D6F"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77061B95"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w:t>
            </w:r>
            <w:r w:rsidR="00463D6F" w:rsidRPr="001839C2">
              <w:rPr>
                <w:rFonts w:eastAsiaTheme="minorEastAsia"/>
                <w:snapToGrid/>
                <w:szCs w:val="22"/>
                <w:lang w:val="lt-LT" w:eastAsia="en-IN"/>
              </w:rPr>
              <w:t>tazanavir</w:t>
            </w:r>
            <w:r w:rsidRPr="001839C2">
              <w:rPr>
                <w:rFonts w:eastAsiaTheme="minorEastAsia"/>
                <w:snapToGrid/>
                <w:szCs w:val="22"/>
                <w:lang w:val="lt-LT" w:eastAsia="en-IN"/>
              </w:rPr>
              <w:t>o</w:t>
            </w:r>
            <w:r w:rsidR="00463D6F" w:rsidRPr="001839C2">
              <w:rPr>
                <w:rFonts w:eastAsiaTheme="minorEastAsia"/>
                <w:snapToGrid/>
                <w:szCs w:val="22"/>
                <w:lang w:val="lt-LT" w:eastAsia="en-IN"/>
              </w:rPr>
              <w:t xml:space="preserve"> </w:t>
            </w:r>
            <w:r w:rsidRPr="001839C2">
              <w:rPr>
                <w:rFonts w:eastAsiaTheme="minorEastAsia"/>
                <w:snapToGrid/>
                <w:szCs w:val="22"/>
                <w:lang w:val="lt-LT" w:eastAsia="en-IN"/>
              </w:rPr>
              <w:t>ir</w:t>
            </w:r>
            <w:r w:rsidR="00463D6F" w:rsidRPr="001839C2">
              <w:rPr>
                <w:rFonts w:eastAsiaTheme="minorEastAsia"/>
                <w:snapToGrid/>
                <w:szCs w:val="22"/>
                <w:lang w:val="lt-LT" w:eastAsia="en-IN"/>
              </w:rPr>
              <w:t xml:space="preserve"> ritonavir</w:t>
            </w:r>
            <w:r w:rsidRPr="001839C2">
              <w:rPr>
                <w:rFonts w:eastAsiaTheme="minorEastAsia"/>
                <w:snapToGrid/>
                <w:szCs w:val="22"/>
                <w:lang w:val="lt-LT" w:eastAsia="en-IN"/>
              </w:rPr>
              <w:t>o derinys</w:t>
            </w:r>
          </w:p>
          <w:p w14:paraId="405D0C8E" w14:textId="77777777" w:rsidR="00A540DD" w:rsidRPr="001839C2" w:rsidRDefault="00463D6F"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(300</w:t>
            </w:r>
            <w:r w:rsidR="00A540DD" w:rsidRPr="001839C2">
              <w:rPr>
                <w:rFonts w:eastAsiaTheme="minorEastAsia"/>
                <w:snapToGrid/>
                <w:szCs w:val="22"/>
                <w:lang w:val="lt-LT" w:eastAsia="en-IN"/>
              </w:rPr>
              <w:t> </w:t>
            </w:r>
            <w:r w:rsidRPr="001839C2">
              <w:rPr>
                <w:rFonts w:eastAsiaTheme="minorEastAsia"/>
                <w:snapToGrid/>
                <w:szCs w:val="22"/>
                <w:lang w:val="lt-LT" w:eastAsia="en-IN"/>
              </w:rPr>
              <w:t>mg</w:t>
            </w:r>
            <w:r w:rsidR="00A540DD" w:rsidRPr="001839C2">
              <w:rPr>
                <w:rFonts w:eastAsiaTheme="minorEastAsia"/>
                <w:snapToGrid/>
                <w:szCs w:val="22"/>
                <w:lang w:val="lt-LT" w:eastAsia="en-IN"/>
              </w:rPr>
              <w:t> </w:t>
            </w:r>
            <w:r w:rsidRPr="001839C2">
              <w:rPr>
                <w:rFonts w:eastAsiaTheme="minorEastAsia"/>
                <w:snapToGrid/>
                <w:szCs w:val="22"/>
                <w:lang w:val="lt-LT" w:eastAsia="en-IN"/>
              </w:rPr>
              <w:t>q.d./100</w:t>
            </w:r>
            <w:r w:rsidR="00A540DD" w:rsidRPr="001839C2">
              <w:rPr>
                <w:rFonts w:eastAsiaTheme="minorEastAsia"/>
                <w:snapToGrid/>
                <w:szCs w:val="22"/>
                <w:lang w:val="lt-LT" w:eastAsia="en-IN"/>
              </w:rPr>
              <w:t> </w:t>
            </w:r>
            <w:r w:rsidRPr="001839C2">
              <w:rPr>
                <w:rFonts w:eastAsiaTheme="minorEastAsia"/>
                <w:snapToGrid/>
                <w:szCs w:val="22"/>
                <w:lang w:val="lt-LT" w:eastAsia="en-IN"/>
              </w:rPr>
              <w:t>mg</w:t>
            </w:r>
            <w:r w:rsidR="00A540DD" w:rsidRPr="001839C2">
              <w:rPr>
                <w:rFonts w:eastAsiaTheme="minorEastAsia"/>
                <w:snapToGrid/>
                <w:szCs w:val="22"/>
                <w:lang w:val="lt-LT" w:eastAsia="en-IN"/>
              </w:rPr>
              <w:t> </w:t>
            </w:r>
            <w:r w:rsidRPr="001839C2">
              <w:rPr>
                <w:rFonts w:eastAsiaTheme="minorEastAsia"/>
                <w:snapToGrid/>
                <w:szCs w:val="22"/>
                <w:lang w:val="lt-LT" w:eastAsia="en-IN"/>
              </w:rPr>
              <w:t>q.d.)</w:t>
            </w:r>
          </w:p>
          <w:p w14:paraId="4CB76CF1" w14:textId="77777777" w:rsidR="00A540DD" w:rsidRPr="001839C2" w:rsidRDefault="00463D6F"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33DB2CB9" w14:textId="77777777" w:rsidR="00463D6F"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w:t>
            </w:r>
            <w:r w:rsidR="00463D6F" w:rsidRPr="001839C2">
              <w:rPr>
                <w:rFonts w:eastAsiaTheme="minorEastAsia"/>
                <w:snapToGrid/>
                <w:szCs w:val="22"/>
                <w:lang w:val="lt-LT" w:eastAsia="en-IN"/>
              </w:rPr>
              <w:t>mtricitabin</w:t>
            </w:r>
            <w:r w:rsidRPr="001839C2">
              <w:rPr>
                <w:rFonts w:eastAsiaTheme="minorEastAsia"/>
                <w:snapToGrid/>
                <w:szCs w:val="22"/>
                <w:lang w:val="lt-LT" w:eastAsia="en-IN"/>
              </w:rPr>
              <w:t>o</w:t>
            </w:r>
            <w:r w:rsidR="00463D6F" w:rsidRPr="001839C2">
              <w:rPr>
                <w:rFonts w:eastAsiaTheme="minorEastAsia"/>
                <w:snapToGrid/>
                <w:szCs w:val="22"/>
                <w:lang w:val="lt-LT" w:eastAsia="en-IN"/>
              </w:rPr>
              <w:t xml:space="preserve"> </w:t>
            </w:r>
            <w:r w:rsidRPr="001839C2">
              <w:rPr>
                <w:rFonts w:eastAsiaTheme="minorEastAsia"/>
                <w:snapToGrid/>
                <w:szCs w:val="22"/>
                <w:lang w:val="lt-LT" w:eastAsia="en-IN"/>
              </w:rPr>
              <w:t>ir</w:t>
            </w:r>
            <w:r w:rsidR="00463D6F" w:rsidRPr="001839C2">
              <w:rPr>
                <w:rFonts w:eastAsiaTheme="minorEastAsia"/>
                <w:snapToGrid/>
                <w:szCs w:val="22"/>
                <w:lang w:val="lt-LT" w:eastAsia="en-IN"/>
              </w:rPr>
              <w:t xml:space="preserve"> tenofoviro dizoproksili</w:t>
            </w:r>
            <w:r w:rsidRPr="001839C2">
              <w:rPr>
                <w:rFonts w:eastAsiaTheme="minorEastAsia"/>
                <w:snapToGrid/>
                <w:szCs w:val="22"/>
                <w:lang w:val="lt-LT" w:eastAsia="en-IN"/>
              </w:rPr>
              <w:t>o derinys</w:t>
            </w:r>
          </w:p>
          <w:p w14:paraId="7A4F8082" w14:textId="77777777" w:rsidR="00463D6F" w:rsidRPr="001839C2" w:rsidRDefault="00463D6F" w:rsidP="002E44D9">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w:t>
            </w:r>
            <w:r w:rsidR="00A540DD" w:rsidRPr="001839C2">
              <w:rPr>
                <w:rFonts w:eastAsiaTheme="minorEastAsia"/>
                <w:snapToGrid/>
                <w:szCs w:val="22"/>
                <w:lang w:val="lt-LT" w:eastAsia="en-IN"/>
              </w:rPr>
              <w:t> </w:t>
            </w:r>
            <w:r w:rsidRPr="001839C2">
              <w:rPr>
                <w:rFonts w:eastAsiaTheme="minorEastAsia"/>
                <w:snapToGrid/>
                <w:szCs w:val="22"/>
                <w:lang w:val="lt-LT" w:eastAsia="en-IN"/>
              </w:rPr>
              <w:t>mg/245</w:t>
            </w:r>
            <w:r w:rsidR="00A540DD" w:rsidRPr="001839C2">
              <w:rPr>
                <w:rFonts w:eastAsiaTheme="minorEastAsia"/>
                <w:snapToGrid/>
                <w:szCs w:val="22"/>
                <w:lang w:val="lt-LT" w:eastAsia="en-IN"/>
              </w:rPr>
              <w:t> </w:t>
            </w:r>
            <w:r w:rsidRPr="001839C2">
              <w:rPr>
                <w:rFonts w:eastAsiaTheme="minorEastAsia"/>
                <w:snapToGrid/>
                <w:szCs w:val="22"/>
                <w:lang w:val="lt-LT" w:eastAsia="en-IN"/>
              </w:rPr>
              <w:t>mg</w:t>
            </w:r>
            <w:r w:rsidR="00A540DD" w:rsidRPr="001839C2">
              <w:rPr>
                <w:rFonts w:eastAsiaTheme="minorEastAsia"/>
                <w:snapToGrid/>
                <w:szCs w:val="22"/>
                <w:lang w:val="lt-LT" w:eastAsia="en-IN"/>
              </w:rPr>
              <w:t> </w:t>
            </w:r>
            <w:r w:rsidRPr="001839C2">
              <w:rPr>
                <w:rFonts w:eastAsiaTheme="minorEastAsia"/>
                <w:snapToGrid/>
                <w:szCs w:val="22"/>
                <w:lang w:val="lt-LT" w:eastAsia="en-IN"/>
              </w:rPr>
              <w:t>q.d.)</w:t>
            </w:r>
            <w:r w:rsidRPr="001839C2">
              <w:rPr>
                <w:rFonts w:eastAsiaTheme="minorEastAsia"/>
                <w:snapToGrid/>
                <w:szCs w:val="22"/>
                <w:vertAlign w:val="superscript"/>
                <w:lang w:val="lt-LT" w:eastAsia="en-IN"/>
              </w:rPr>
              <w:t>1</w:t>
            </w:r>
          </w:p>
        </w:tc>
        <w:tc>
          <w:tcPr>
            <w:tcW w:w="3351" w:type="dxa"/>
            <w:tcBorders>
              <w:top w:val="single" w:sz="4" w:space="0" w:color="auto"/>
              <w:left w:val="single" w:sz="4" w:space="0" w:color="000000"/>
              <w:bottom w:val="single" w:sz="4" w:space="0" w:color="auto"/>
              <w:right w:val="single" w:sz="4" w:space="0" w:color="000000"/>
            </w:tcBorders>
          </w:tcPr>
          <w:p w14:paraId="5701EA1F"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Ledipasviras</w:t>
            </w:r>
          </w:p>
          <w:p w14:paraId="7F7F7A81"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96 % (nuo ↑ 74 iki ↑ 121)</w:t>
            </w:r>
          </w:p>
          <w:p w14:paraId="588B9F7F"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68 % (nuo ↑ 54 iki ↑ 84)</w:t>
            </w:r>
          </w:p>
          <w:p w14:paraId="7F72B60E"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118 % (nuo ↑ 91 iki ↑ 150)</w:t>
            </w:r>
          </w:p>
          <w:p w14:paraId="6EBF3F01"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9E0F662" w14:textId="77777777" w:rsidR="00AF50DC" w:rsidRPr="001839C2" w:rsidRDefault="00A540DD" w:rsidP="00230559">
            <w:pPr>
              <w:keepNext/>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0658F289"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1D5D1896"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1784E96B"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0FB66D1" w14:textId="77777777" w:rsidR="00AF50DC"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00AF50DC" w:rsidRPr="001839C2">
              <w:rPr>
                <w:rFonts w:eastAsiaTheme="minorEastAsia"/>
                <w:i/>
                <w:snapToGrid/>
                <w:szCs w:val="22"/>
                <w:u w:val="single"/>
                <w:lang w:val="lt-LT" w:eastAsia="en-IN"/>
              </w:rPr>
              <w:noBreakHyphen/>
            </w:r>
            <w:r w:rsidRPr="001839C2">
              <w:rPr>
                <w:rFonts w:eastAsiaTheme="minorEastAsia"/>
                <w:i/>
                <w:snapToGrid/>
                <w:szCs w:val="22"/>
                <w:u w:val="single"/>
                <w:lang w:val="lt-LT" w:eastAsia="en-IN"/>
              </w:rPr>
              <w:t>331007</w:t>
            </w:r>
            <w:r w:rsidRPr="001839C2">
              <w:rPr>
                <w:rFonts w:eastAsiaTheme="minorEastAsia"/>
                <w:snapToGrid/>
                <w:szCs w:val="22"/>
                <w:vertAlign w:val="superscript"/>
                <w:lang w:val="lt-LT" w:eastAsia="en-IN"/>
              </w:rPr>
              <w:t>2</w:t>
            </w:r>
          </w:p>
          <w:p w14:paraId="27A43B91"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628DE2C5"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8418923"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AF50DC" w:rsidRPr="001839C2">
              <w:rPr>
                <w:rFonts w:eastAsiaTheme="minorEastAsia"/>
                <w:snapToGrid/>
                <w:szCs w:val="22"/>
                <w:lang w:val="lt-LT" w:eastAsia="en-IN"/>
              </w:rPr>
              <w:t> </w:t>
            </w:r>
            <w:r w:rsidRPr="001839C2">
              <w:rPr>
                <w:rFonts w:eastAsiaTheme="minorEastAsia"/>
                <w:snapToGrid/>
                <w:szCs w:val="22"/>
                <w:lang w:val="lt-LT" w:eastAsia="en-IN"/>
              </w:rPr>
              <w:t>42</w:t>
            </w:r>
            <w:r w:rsidR="00AF50DC" w:rsidRPr="001839C2">
              <w:rPr>
                <w:rFonts w:eastAsiaTheme="minorEastAsia"/>
                <w:snapToGrid/>
                <w:szCs w:val="22"/>
                <w:lang w:val="lt-LT" w:eastAsia="en-IN"/>
              </w:rPr>
              <w:t> </w:t>
            </w:r>
            <w:r w:rsidRPr="001839C2">
              <w:rPr>
                <w:rFonts w:eastAsiaTheme="minorEastAsia"/>
                <w:snapToGrid/>
                <w:szCs w:val="22"/>
                <w:lang w:val="lt-LT" w:eastAsia="en-IN"/>
              </w:rPr>
              <w:t>% (nuo ↑</w:t>
            </w:r>
            <w:r w:rsidR="00AF50DC" w:rsidRPr="001839C2">
              <w:rPr>
                <w:rFonts w:eastAsiaTheme="minorEastAsia"/>
                <w:snapToGrid/>
                <w:szCs w:val="22"/>
                <w:lang w:val="lt-LT" w:eastAsia="en-IN"/>
              </w:rPr>
              <w:t> </w:t>
            </w:r>
            <w:r w:rsidRPr="001839C2">
              <w:rPr>
                <w:rFonts w:eastAsiaTheme="minorEastAsia"/>
                <w:snapToGrid/>
                <w:szCs w:val="22"/>
                <w:lang w:val="lt-LT" w:eastAsia="en-IN"/>
              </w:rPr>
              <w:t>34 iki ↑</w:t>
            </w:r>
            <w:r w:rsidR="00AF50DC" w:rsidRPr="001839C2">
              <w:rPr>
                <w:rFonts w:eastAsiaTheme="minorEastAsia"/>
                <w:snapToGrid/>
                <w:szCs w:val="22"/>
                <w:lang w:val="lt-LT" w:eastAsia="en-IN"/>
              </w:rPr>
              <w:t> </w:t>
            </w:r>
            <w:r w:rsidRPr="001839C2">
              <w:rPr>
                <w:rFonts w:eastAsiaTheme="minorEastAsia"/>
                <w:snapToGrid/>
                <w:szCs w:val="22"/>
                <w:lang w:val="lt-LT" w:eastAsia="en-IN"/>
              </w:rPr>
              <w:t>49)</w:t>
            </w:r>
          </w:p>
          <w:p w14:paraId="0537014C"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A398492" w14:textId="77777777" w:rsidR="00AF50DC"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Atazanaviras</w:t>
            </w:r>
          </w:p>
          <w:p w14:paraId="7B9FA536"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3691F018"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17B49CB7"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AF50DC" w:rsidRPr="001839C2">
              <w:rPr>
                <w:rFonts w:eastAsiaTheme="minorEastAsia"/>
                <w:snapToGrid/>
                <w:szCs w:val="22"/>
                <w:lang w:val="lt-LT" w:eastAsia="en-IN"/>
              </w:rPr>
              <w:t> </w:t>
            </w:r>
            <w:r w:rsidRPr="001839C2">
              <w:rPr>
                <w:rFonts w:eastAsiaTheme="minorEastAsia"/>
                <w:snapToGrid/>
                <w:szCs w:val="22"/>
                <w:lang w:val="lt-LT" w:eastAsia="en-IN"/>
              </w:rPr>
              <w:t>63</w:t>
            </w:r>
            <w:r w:rsidR="00AF50DC" w:rsidRPr="001839C2">
              <w:rPr>
                <w:rFonts w:eastAsiaTheme="minorEastAsia"/>
                <w:snapToGrid/>
                <w:szCs w:val="22"/>
                <w:lang w:val="lt-LT" w:eastAsia="en-IN"/>
              </w:rPr>
              <w:t> </w:t>
            </w:r>
            <w:r w:rsidRPr="001839C2">
              <w:rPr>
                <w:rFonts w:eastAsiaTheme="minorEastAsia"/>
                <w:snapToGrid/>
                <w:szCs w:val="22"/>
                <w:lang w:val="lt-LT" w:eastAsia="en-IN"/>
              </w:rPr>
              <w:t>% (nuo ↑</w:t>
            </w:r>
            <w:r w:rsidR="00AF50DC" w:rsidRPr="001839C2">
              <w:rPr>
                <w:rFonts w:eastAsiaTheme="minorEastAsia"/>
                <w:snapToGrid/>
                <w:szCs w:val="22"/>
                <w:lang w:val="lt-LT" w:eastAsia="en-IN"/>
              </w:rPr>
              <w:t> </w:t>
            </w:r>
            <w:r w:rsidRPr="001839C2">
              <w:rPr>
                <w:rFonts w:eastAsiaTheme="minorEastAsia"/>
                <w:snapToGrid/>
                <w:szCs w:val="22"/>
                <w:lang w:val="lt-LT" w:eastAsia="en-IN"/>
              </w:rPr>
              <w:t>45 iki ↑</w:t>
            </w:r>
            <w:r w:rsidR="00AF50DC" w:rsidRPr="001839C2">
              <w:rPr>
                <w:rFonts w:eastAsiaTheme="minorEastAsia"/>
                <w:snapToGrid/>
                <w:szCs w:val="22"/>
                <w:lang w:val="lt-LT" w:eastAsia="en-IN"/>
              </w:rPr>
              <w:t> </w:t>
            </w:r>
            <w:r w:rsidRPr="001839C2">
              <w:rPr>
                <w:rFonts w:eastAsiaTheme="minorEastAsia"/>
                <w:snapToGrid/>
                <w:szCs w:val="22"/>
                <w:lang w:val="lt-LT" w:eastAsia="en-IN"/>
              </w:rPr>
              <w:t>84)</w:t>
            </w:r>
          </w:p>
          <w:p w14:paraId="06ECE3B6"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8E87EAE" w14:textId="77777777" w:rsidR="00AF50DC"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Ritonaviras</w:t>
            </w:r>
          </w:p>
          <w:p w14:paraId="1A50B094"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2492EFAA"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340114B1"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AF50DC" w:rsidRPr="001839C2">
              <w:rPr>
                <w:rFonts w:eastAsiaTheme="minorEastAsia"/>
                <w:snapToGrid/>
                <w:szCs w:val="22"/>
                <w:lang w:val="lt-LT" w:eastAsia="en-IN"/>
              </w:rPr>
              <w:t> </w:t>
            </w:r>
            <w:r w:rsidRPr="001839C2">
              <w:rPr>
                <w:rFonts w:eastAsiaTheme="minorEastAsia"/>
                <w:snapToGrid/>
                <w:szCs w:val="22"/>
                <w:lang w:val="lt-LT" w:eastAsia="en-IN"/>
              </w:rPr>
              <w:t>45</w:t>
            </w:r>
            <w:r w:rsidR="00AF50DC" w:rsidRPr="001839C2">
              <w:rPr>
                <w:rFonts w:eastAsiaTheme="minorEastAsia"/>
                <w:snapToGrid/>
                <w:szCs w:val="22"/>
                <w:lang w:val="lt-LT" w:eastAsia="en-IN"/>
              </w:rPr>
              <w:t> </w:t>
            </w:r>
            <w:r w:rsidRPr="001839C2">
              <w:rPr>
                <w:rFonts w:eastAsiaTheme="minorEastAsia"/>
                <w:snapToGrid/>
                <w:szCs w:val="22"/>
                <w:lang w:val="lt-LT" w:eastAsia="en-IN"/>
              </w:rPr>
              <w:t>% (nuo</w:t>
            </w:r>
            <w:r w:rsidR="00AF50DC" w:rsidRPr="001839C2">
              <w:rPr>
                <w:rFonts w:eastAsiaTheme="minorEastAsia"/>
                <w:snapToGrid/>
                <w:szCs w:val="22"/>
                <w:lang w:val="lt-LT" w:eastAsia="en-IN"/>
              </w:rPr>
              <w:t xml:space="preserve"> </w:t>
            </w:r>
            <w:r w:rsidRPr="001839C2">
              <w:rPr>
                <w:rFonts w:eastAsiaTheme="minorEastAsia"/>
                <w:snapToGrid/>
                <w:szCs w:val="22"/>
                <w:lang w:val="lt-LT" w:eastAsia="en-IN"/>
              </w:rPr>
              <w:t>↑</w:t>
            </w:r>
            <w:r w:rsidR="00AF50DC" w:rsidRPr="001839C2">
              <w:rPr>
                <w:rFonts w:eastAsiaTheme="minorEastAsia"/>
                <w:snapToGrid/>
                <w:szCs w:val="22"/>
                <w:lang w:val="lt-LT" w:eastAsia="en-IN"/>
              </w:rPr>
              <w:t> </w:t>
            </w:r>
            <w:r w:rsidRPr="001839C2">
              <w:rPr>
                <w:rFonts w:eastAsiaTheme="minorEastAsia"/>
                <w:snapToGrid/>
                <w:szCs w:val="22"/>
                <w:lang w:val="lt-LT" w:eastAsia="en-IN"/>
              </w:rPr>
              <w:t>27 iki ↑</w:t>
            </w:r>
            <w:r w:rsidR="00AF50DC" w:rsidRPr="001839C2">
              <w:rPr>
                <w:rFonts w:eastAsiaTheme="minorEastAsia"/>
                <w:snapToGrid/>
                <w:szCs w:val="22"/>
                <w:lang w:val="lt-LT" w:eastAsia="en-IN"/>
              </w:rPr>
              <w:t> </w:t>
            </w:r>
            <w:r w:rsidRPr="001839C2">
              <w:rPr>
                <w:rFonts w:eastAsiaTheme="minorEastAsia"/>
                <w:snapToGrid/>
                <w:szCs w:val="22"/>
                <w:lang w:val="lt-LT" w:eastAsia="en-IN"/>
              </w:rPr>
              <w:t>64)</w:t>
            </w:r>
          </w:p>
          <w:p w14:paraId="28838C2A"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59A4F422" w14:textId="77777777" w:rsidR="00AF50DC"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2836A421"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53434F6B"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584A9602"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4069B846"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2CF1E56" w14:textId="77777777" w:rsidR="00AF50DC"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4ECB98F7"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AUC: ↔</w:t>
            </w:r>
          </w:p>
          <w:p w14:paraId="73B81FC2"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AF50DC" w:rsidRPr="001839C2">
              <w:rPr>
                <w:rFonts w:eastAsiaTheme="minorEastAsia"/>
                <w:snapToGrid/>
                <w:szCs w:val="22"/>
                <w:lang w:val="lt-LT" w:eastAsia="en-IN"/>
              </w:rPr>
              <w:t> </w:t>
            </w:r>
            <w:r w:rsidRPr="001839C2">
              <w:rPr>
                <w:rFonts w:eastAsiaTheme="minorEastAsia"/>
                <w:snapToGrid/>
                <w:szCs w:val="22"/>
                <w:lang w:val="lt-LT" w:eastAsia="en-IN"/>
              </w:rPr>
              <w:t>47</w:t>
            </w:r>
            <w:r w:rsidR="00AF50DC" w:rsidRPr="001839C2">
              <w:rPr>
                <w:rFonts w:eastAsiaTheme="minorEastAsia"/>
                <w:snapToGrid/>
                <w:szCs w:val="22"/>
                <w:lang w:val="lt-LT" w:eastAsia="en-IN"/>
              </w:rPr>
              <w:t> </w:t>
            </w:r>
            <w:r w:rsidRPr="001839C2">
              <w:rPr>
                <w:rFonts w:eastAsiaTheme="minorEastAsia"/>
                <w:snapToGrid/>
                <w:szCs w:val="22"/>
                <w:lang w:val="lt-LT" w:eastAsia="en-IN"/>
              </w:rPr>
              <w:t>% (nuo ↑</w:t>
            </w:r>
            <w:r w:rsidR="00AF50DC" w:rsidRPr="001839C2">
              <w:rPr>
                <w:rFonts w:eastAsiaTheme="minorEastAsia"/>
                <w:snapToGrid/>
                <w:szCs w:val="22"/>
                <w:lang w:val="lt-LT" w:eastAsia="en-IN"/>
              </w:rPr>
              <w:t> </w:t>
            </w:r>
            <w:r w:rsidRPr="001839C2">
              <w:rPr>
                <w:rFonts w:eastAsiaTheme="minorEastAsia"/>
                <w:snapToGrid/>
                <w:szCs w:val="22"/>
                <w:lang w:val="lt-LT" w:eastAsia="en-IN"/>
              </w:rPr>
              <w:t>37 iki ↑</w:t>
            </w:r>
            <w:r w:rsidR="00AF50DC" w:rsidRPr="001839C2">
              <w:rPr>
                <w:rFonts w:eastAsiaTheme="minorEastAsia"/>
                <w:snapToGrid/>
                <w:szCs w:val="22"/>
                <w:lang w:val="lt-LT" w:eastAsia="en-IN"/>
              </w:rPr>
              <w:t> </w:t>
            </w:r>
            <w:r w:rsidRPr="001839C2">
              <w:rPr>
                <w:rFonts w:eastAsiaTheme="minorEastAsia"/>
                <w:snapToGrid/>
                <w:szCs w:val="22"/>
                <w:lang w:val="lt-LT" w:eastAsia="en-IN"/>
              </w:rPr>
              <w:t>58)</w:t>
            </w:r>
          </w:p>
          <w:p w14:paraId="79A7421F" w14:textId="77777777" w:rsidR="00463D6F" w:rsidRPr="001839C2" w:rsidRDefault="00A540DD" w:rsidP="00BE7138">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AF50DC" w:rsidRPr="001839C2">
              <w:rPr>
                <w:rFonts w:eastAsiaTheme="minorEastAsia"/>
                <w:snapToGrid/>
                <w:szCs w:val="22"/>
                <w:lang w:val="lt-LT" w:eastAsia="en-IN"/>
              </w:rPr>
              <w:t> </w:t>
            </w:r>
            <w:r w:rsidRPr="001839C2">
              <w:rPr>
                <w:rFonts w:eastAsiaTheme="minorEastAsia"/>
                <w:snapToGrid/>
                <w:szCs w:val="22"/>
                <w:lang w:val="lt-LT" w:eastAsia="en-IN"/>
              </w:rPr>
              <w:t>47</w:t>
            </w:r>
            <w:r w:rsidR="00AF50DC" w:rsidRPr="001839C2">
              <w:rPr>
                <w:rFonts w:eastAsiaTheme="minorEastAsia"/>
                <w:snapToGrid/>
                <w:szCs w:val="22"/>
                <w:lang w:val="lt-LT" w:eastAsia="en-IN"/>
              </w:rPr>
              <w:t> </w:t>
            </w:r>
            <w:r w:rsidRPr="001839C2">
              <w:rPr>
                <w:rFonts w:eastAsiaTheme="minorEastAsia"/>
                <w:snapToGrid/>
                <w:szCs w:val="22"/>
                <w:lang w:val="lt-LT" w:eastAsia="en-IN"/>
              </w:rPr>
              <w:t>% (nuo ↑</w:t>
            </w:r>
            <w:r w:rsidR="00AF50DC" w:rsidRPr="001839C2">
              <w:rPr>
                <w:rFonts w:eastAsiaTheme="minorEastAsia"/>
                <w:snapToGrid/>
                <w:szCs w:val="22"/>
                <w:lang w:val="lt-LT" w:eastAsia="en-IN"/>
              </w:rPr>
              <w:t> </w:t>
            </w:r>
            <w:r w:rsidRPr="001839C2">
              <w:rPr>
                <w:rFonts w:eastAsiaTheme="minorEastAsia"/>
                <w:snapToGrid/>
                <w:szCs w:val="22"/>
                <w:lang w:val="lt-LT" w:eastAsia="en-IN"/>
              </w:rPr>
              <w:t>38 iki ↑</w:t>
            </w:r>
            <w:r w:rsidR="00AF50DC" w:rsidRPr="001839C2">
              <w:rPr>
                <w:rFonts w:eastAsiaTheme="minorEastAsia"/>
                <w:snapToGrid/>
                <w:szCs w:val="22"/>
                <w:lang w:val="lt-LT" w:eastAsia="en-IN"/>
              </w:rPr>
              <w:t> </w:t>
            </w:r>
            <w:r w:rsidRPr="001839C2">
              <w:rPr>
                <w:rFonts w:eastAsiaTheme="minorEastAsia"/>
                <w:snapToGrid/>
                <w:szCs w:val="22"/>
                <w:lang w:val="lt-LT" w:eastAsia="en-IN"/>
              </w:rPr>
              <w:t>57)</w:t>
            </w:r>
          </w:p>
        </w:tc>
        <w:tc>
          <w:tcPr>
            <w:tcW w:w="2422" w:type="dxa"/>
            <w:tcBorders>
              <w:top w:val="single" w:sz="4" w:space="0" w:color="auto"/>
              <w:left w:val="single" w:sz="4" w:space="0" w:color="000000"/>
              <w:bottom w:val="single" w:sz="4" w:space="0" w:color="auto"/>
              <w:right w:val="single" w:sz="4" w:space="0" w:color="000000"/>
            </w:tcBorders>
          </w:tcPr>
          <w:p w14:paraId="20A087CA"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 xml:space="preserve">Dėl tenofoviro dizoproksilio, ledipasviro </w:t>
            </w:r>
            <w:r w:rsidR="00AF50DC" w:rsidRPr="001839C2">
              <w:rPr>
                <w:rFonts w:eastAsiaTheme="minorEastAsia"/>
                <w:snapToGrid/>
                <w:szCs w:val="22"/>
                <w:lang w:val="lt-LT" w:eastAsia="en-IN"/>
              </w:rPr>
              <w:t>ir</w:t>
            </w:r>
            <w:r w:rsidRPr="001839C2">
              <w:rPr>
                <w:rFonts w:eastAsiaTheme="minorEastAsia"/>
                <w:snapToGrid/>
                <w:szCs w:val="22"/>
                <w:lang w:val="lt-LT" w:eastAsia="en-IN"/>
              </w:rPr>
              <w:t xml:space="preserve"> sofosbuviro</w:t>
            </w:r>
            <w:r w:rsidR="00AF50DC"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ir atazanaviro </w:t>
            </w:r>
            <w:r w:rsidR="00AF50DC" w:rsidRPr="001839C2">
              <w:rPr>
                <w:rFonts w:eastAsiaTheme="minorEastAsia"/>
                <w:snapToGrid/>
                <w:szCs w:val="22"/>
                <w:lang w:val="lt-LT" w:eastAsia="en-IN"/>
              </w:rPr>
              <w:t>ir</w:t>
            </w:r>
            <w:r w:rsidRPr="001839C2">
              <w:rPr>
                <w:rFonts w:eastAsiaTheme="minorEastAsia"/>
                <w:snapToGrid/>
                <w:szCs w:val="22"/>
                <w:lang w:val="lt-LT" w:eastAsia="en-IN"/>
              </w:rPr>
              <w:t xml:space="preserve"> ritonaviro</w:t>
            </w:r>
            <w:r w:rsidR="00AF50DC"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vartojimo kartu padidėjusi tenofoviro koncentracija plazmoje gali padidinti su tenofovir</w:t>
            </w:r>
            <w:r w:rsidR="00AF50DC"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susijusias nepageidaujamas reakcijas, įskaitant inkstų sutrikimus. Tenofoviro dizoproksilio saugumas vartojant kartu su ledipasvir</w:t>
            </w:r>
            <w:r w:rsidR="00AF50DC"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AF50DC" w:rsidRPr="001839C2">
              <w:rPr>
                <w:rFonts w:eastAsiaTheme="minorEastAsia"/>
                <w:snapToGrid/>
                <w:szCs w:val="22"/>
                <w:lang w:val="lt-LT" w:eastAsia="en-IN"/>
              </w:rPr>
              <w:t>ir</w:t>
            </w:r>
            <w:r w:rsidRPr="001839C2">
              <w:rPr>
                <w:rFonts w:eastAsiaTheme="minorEastAsia"/>
                <w:snapToGrid/>
                <w:szCs w:val="22"/>
                <w:lang w:val="lt-LT" w:eastAsia="en-IN"/>
              </w:rPr>
              <w:t xml:space="preserve"> sofosbuvir</w:t>
            </w:r>
            <w:r w:rsidR="00AF50DC" w:rsidRPr="001839C2">
              <w:rPr>
                <w:rFonts w:eastAsiaTheme="minorEastAsia"/>
                <w:snapToGrid/>
                <w:szCs w:val="22"/>
                <w:lang w:val="lt-LT" w:eastAsia="en-IN"/>
              </w:rPr>
              <w:t>o deriniu</w:t>
            </w:r>
            <w:r w:rsidRPr="001839C2">
              <w:rPr>
                <w:rFonts w:eastAsiaTheme="minorEastAsia"/>
                <w:snapToGrid/>
                <w:szCs w:val="22"/>
                <w:lang w:val="lt-LT" w:eastAsia="en-IN"/>
              </w:rPr>
              <w:t xml:space="preserve"> ir farmakokinetiką stiprinančia medžiaga (pvz., ritonaviru arba kobicistatu) neištirtas.</w:t>
            </w:r>
          </w:p>
          <w:p w14:paraId="498612D8" w14:textId="77777777" w:rsidR="00A540DD" w:rsidRPr="001839C2" w:rsidRDefault="00A540DD"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78DC6BB" w14:textId="77777777" w:rsidR="00463D6F" w:rsidRPr="001839C2" w:rsidRDefault="00A540DD" w:rsidP="00BE7138">
            <w:pPr>
              <w:widowControl w:val="0"/>
              <w:tabs>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Jei kitų alternatyvų nėra, tok</w:t>
            </w:r>
            <w:r w:rsidR="006D3B5E" w:rsidRPr="001839C2">
              <w:rPr>
                <w:rFonts w:eastAsiaTheme="minorEastAsia"/>
                <w:snapToGrid/>
                <w:szCs w:val="22"/>
                <w:lang w:val="lt-LT" w:eastAsia="en-IN"/>
              </w:rPr>
              <w:t>io</w:t>
            </w:r>
            <w:r w:rsidRPr="001839C2">
              <w:rPr>
                <w:rFonts w:eastAsiaTheme="minorEastAsia"/>
                <w:snapToGrid/>
                <w:szCs w:val="22"/>
                <w:lang w:val="lt-LT" w:eastAsia="en-IN"/>
              </w:rPr>
              <w:t xml:space="preserve"> derin</w:t>
            </w:r>
            <w:r w:rsidR="006D3B5E" w:rsidRPr="001839C2">
              <w:rPr>
                <w:rFonts w:eastAsiaTheme="minorEastAsia"/>
                <w:snapToGrid/>
                <w:szCs w:val="22"/>
                <w:lang w:val="lt-LT" w:eastAsia="en-IN"/>
              </w:rPr>
              <w:t>io</w:t>
            </w:r>
            <w:r w:rsidRPr="001839C2">
              <w:rPr>
                <w:rFonts w:eastAsiaTheme="minorEastAsia"/>
                <w:snapToGrid/>
                <w:szCs w:val="22"/>
                <w:lang w:val="lt-LT" w:eastAsia="en-IN"/>
              </w:rPr>
              <w:t xml:space="preserve"> reikia vartoti atsargiai, dažnai tikrinant inkstų veiklą (žr.</w:t>
            </w:r>
            <w:r w:rsidR="00AF50DC" w:rsidRPr="001839C2">
              <w:rPr>
                <w:rFonts w:eastAsiaTheme="minorEastAsia"/>
                <w:snapToGrid/>
                <w:szCs w:val="22"/>
                <w:lang w:val="lt-LT" w:eastAsia="en-IN"/>
              </w:rPr>
              <w:t> </w:t>
            </w:r>
            <w:r w:rsidRPr="001839C2">
              <w:rPr>
                <w:rFonts w:eastAsiaTheme="minorEastAsia"/>
                <w:snapToGrid/>
                <w:szCs w:val="22"/>
                <w:lang w:val="lt-LT" w:eastAsia="en-IN"/>
              </w:rPr>
              <w:t>4.4</w:t>
            </w:r>
            <w:r w:rsidR="00AF50DC"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C91ABC" w:rsidRPr="00686907" w14:paraId="7363060B"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0AC1D774"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Ledipasviro ir sofosbuviro derinys</w:t>
            </w:r>
          </w:p>
          <w:p w14:paraId="49733B1B"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(90 mg/400 mg q.d.)</w:t>
            </w:r>
          </w:p>
          <w:p w14:paraId="64AF5CF6"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368E479F"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Darunaviro ir ritonaviro derinys</w:t>
            </w:r>
          </w:p>
          <w:p w14:paraId="0B5E7B14"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(800 mg q.d./100 mg q.d.)</w:t>
            </w:r>
          </w:p>
          <w:p w14:paraId="42A45959"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3604962E"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Emtricitabino ir tenofoviro dizoproksilio derinys</w:t>
            </w:r>
          </w:p>
          <w:p w14:paraId="69023D4C" w14:textId="77777777" w:rsidR="00C91ABC" w:rsidRPr="001839C2" w:rsidRDefault="00300BF7"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 mg/245 mg q.d.)</w:t>
            </w:r>
            <w:r w:rsidRPr="001839C2">
              <w:rPr>
                <w:rFonts w:eastAsiaTheme="minorEastAsia"/>
                <w:bCs/>
                <w:snapToGrid/>
                <w:szCs w:val="22"/>
                <w:vertAlign w:val="superscript"/>
                <w:lang w:val="lt-LT" w:eastAsia="en-IN"/>
              </w:rPr>
              <w:t>1</w:t>
            </w:r>
          </w:p>
        </w:tc>
        <w:tc>
          <w:tcPr>
            <w:tcW w:w="3351" w:type="dxa"/>
            <w:tcBorders>
              <w:top w:val="single" w:sz="4" w:space="0" w:color="auto"/>
              <w:left w:val="single" w:sz="4" w:space="0" w:color="000000"/>
              <w:bottom w:val="single" w:sz="4" w:space="0" w:color="auto"/>
              <w:right w:val="single" w:sz="4" w:space="0" w:color="000000"/>
            </w:tcBorders>
          </w:tcPr>
          <w:p w14:paraId="15F67D9B"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Ledipasviras</w:t>
            </w:r>
          </w:p>
          <w:p w14:paraId="2C3D537D"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7B8B462"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13ECE281"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01BA2C9C"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5E4E038F"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71EB6934"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27 % (nuo ↓ 35 iki ↓ 18)</w:t>
            </w:r>
          </w:p>
          <w:p w14:paraId="6F2FE214"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37 % (nuo ↓ 48 iki ↓ 25)</w:t>
            </w:r>
          </w:p>
          <w:p w14:paraId="1B011294"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3326E3E"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002E44D9" w:rsidRPr="001839C2">
              <w:rPr>
                <w:rFonts w:eastAsiaTheme="minorEastAsia"/>
                <w:i/>
                <w:snapToGrid/>
                <w:szCs w:val="22"/>
                <w:u w:val="single"/>
                <w:lang w:val="lt-LT" w:eastAsia="en-IN"/>
              </w:rPr>
              <w:noBreakHyphen/>
            </w:r>
            <w:r w:rsidRPr="001839C2">
              <w:rPr>
                <w:rFonts w:eastAsiaTheme="minorEastAsia"/>
                <w:i/>
                <w:snapToGrid/>
                <w:szCs w:val="22"/>
                <w:u w:val="single"/>
                <w:lang w:val="lt-LT" w:eastAsia="en-IN"/>
              </w:rPr>
              <w:t>331007</w:t>
            </w:r>
            <w:r w:rsidRPr="001839C2">
              <w:rPr>
                <w:rFonts w:eastAsiaTheme="minorEastAsia"/>
                <w:snapToGrid/>
                <w:szCs w:val="22"/>
                <w:vertAlign w:val="superscript"/>
                <w:lang w:val="lt-LT" w:eastAsia="en-IN"/>
              </w:rPr>
              <w:t>2</w:t>
            </w:r>
          </w:p>
          <w:p w14:paraId="10BBF607"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15DA122F"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69F84BEB"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5857512"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BE939AA"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Darunaviras</w:t>
            </w:r>
          </w:p>
          <w:p w14:paraId="5D55E7A0"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3A3E028"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00DB421D"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684155E"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434B840"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Ritonaviras</w:t>
            </w:r>
          </w:p>
          <w:p w14:paraId="358D536E"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9C6772F"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1DD6FFD9"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48 % (nuo ↑ 34 iki ↑ 63)</w:t>
            </w:r>
          </w:p>
          <w:p w14:paraId="5C21DD08"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A295466"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3E979463"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582470CE"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09087CAF"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25A403FE"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039E684"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684D151E" w14:textId="77777777" w:rsidR="00300BF7" w:rsidRPr="001839C2" w:rsidRDefault="00300BF7"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50 % (nuo ↑ 42 iki ↑ 59)</w:t>
            </w:r>
          </w:p>
          <w:p w14:paraId="702FFE75" w14:textId="77777777" w:rsidR="00300BF7" w:rsidRPr="001839C2" w:rsidRDefault="00300BF7"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64 % (nuo ↑ 54 iki ↑ 74)</w:t>
            </w:r>
          </w:p>
          <w:p w14:paraId="7C41B12E" w14:textId="77777777" w:rsidR="00C91ABC" w:rsidRPr="001839C2" w:rsidRDefault="00300BF7" w:rsidP="00BE7138">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59 % (nuo ↑ 49 iki ↑ 70)</w:t>
            </w:r>
          </w:p>
        </w:tc>
        <w:tc>
          <w:tcPr>
            <w:tcW w:w="2422" w:type="dxa"/>
            <w:tcBorders>
              <w:top w:val="single" w:sz="4" w:space="0" w:color="auto"/>
              <w:left w:val="single" w:sz="4" w:space="0" w:color="000000"/>
              <w:bottom w:val="single" w:sz="4" w:space="0" w:color="auto"/>
              <w:right w:val="single" w:sz="4" w:space="0" w:color="000000"/>
            </w:tcBorders>
          </w:tcPr>
          <w:p w14:paraId="7F373A74"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Dėl tenofoviro dizoproksilio, ledipasviro </w:t>
            </w:r>
            <w:r w:rsidR="00FB6B99" w:rsidRPr="001839C2">
              <w:rPr>
                <w:rFonts w:eastAsiaTheme="minorEastAsia"/>
                <w:snapToGrid/>
                <w:szCs w:val="22"/>
                <w:lang w:val="lt-LT" w:eastAsia="en-IN"/>
              </w:rPr>
              <w:t>ir</w:t>
            </w:r>
            <w:r w:rsidRPr="001839C2">
              <w:rPr>
                <w:rFonts w:eastAsiaTheme="minorEastAsia"/>
                <w:snapToGrid/>
                <w:szCs w:val="22"/>
                <w:lang w:val="lt-LT" w:eastAsia="en-IN"/>
              </w:rPr>
              <w:t xml:space="preserve"> sofosbuviro</w:t>
            </w:r>
            <w:r w:rsidR="00FB6B99"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ir darunaviro </w:t>
            </w:r>
            <w:r w:rsidR="00FB6B99" w:rsidRPr="001839C2">
              <w:rPr>
                <w:rFonts w:eastAsiaTheme="minorEastAsia"/>
                <w:snapToGrid/>
                <w:szCs w:val="22"/>
                <w:lang w:val="lt-LT" w:eastAsia="en-IN"/>
              </w:rPr>
              <w:t>ir</w:t>
            </w:r>
            <w:r w:rsidRPr="001839C2">
              <w:rPr>
                <w:rFonts w:eastAsiaTheme="minorEastAsia"/>
                <w:snapToGrid/>
                <w:szCs w:val="22"/>
                <w:lang w:val="lt-LT" w:eastAsia="en-IN"/>
              </w:rPr>
              <w:t xml:space="preserve"> ritonaviro</w:t>
            </w:r>
            <w:r w:rsidR="00FB6B99"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vartojimo kartu padidėjusi tenofoviro koncentracija plazmoje gali padidinti su tenofovir</w:t>
            </w:r>
            <w:r w:rsidR="00FB6B99"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susijusias nepageidaujamas reakcijas, įskaitant inkstų sutrikimus. Tenofoviro dizoproksilio saugumas vartojant kartu su ledipasvir</w:t>
            </w:r>
            <w:r w:rsidR="00FB6B99"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FB6B99" w:rsidRPr="001839C2">
              <w:rPr>
                <w:rFonts w:eastAsiaTheme="minorEastAsia"/>
                <w:snapToGrid/>
                <w:szCs w:val="22"/>
                <w:lang w:val="lt-LT" w:eastAsia="en-IN"/>
              </w:rPr>
              <w:t>ir</w:t>
            </w:r>
            <w:r w:rsidRPr="001839C2">
              <w:rPr>
                <w:rFonts w:eastAsiaTheme="minorEastAsia"/>
                <w:snapToGrid/>
                <w:szCs w:val="22"/>
                <w:lang w:val="lt-LT" w:eastAsia="en-IN"/>
              </w:rPr>
              <w:t xml:space="preserve"> sofosbuvir</w:t>
            </w:r>
            <w:r w:rsidR="00FB6B99" w:rsidRPr="001839C2">
              <w:rPr>
                <w:rFonts w:eastAsiaTheme="minorEastAsia"/>
                <w:snapToGrid/>
                <w:szCs w:val="22"/>
                <w:lang w:val="lt-LT" w:eastAsia="en-IN"/>
              </w:rPr>
              <w:t>o deriniu</w:t>
            </w:r>
            <w:r w:rsidRPr="001839C2">
              <w:rPr>
                <w:rFonts w:eastAsiaTheme="minorEastAsia"/>
                <w:snapToGrid/>
                <w:szCs w:val="22"/>
                <w:lang w:val="lt-LT" w:eastAsia="en-IN"/>
              </w:rPr>
              <w:t xml:space="preserve"> ir farmakokinetiką stiprinančia medžiaga (pvz., ritonaviru arba kobicistatu) neištirtas.</w:t>
            </w:r>
          </w:p>
          <w:p w14:paraId="04CA6104" w14:textId="77777777" w:rsidR="00300BF7" w:rsidRPr="001839C2" w:rsidRDefault="00300BF7"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2F88714" w14:textId="77777777" w:rsidR="00C91ABC" w:rsidRPr="001839C2" w:rsidRDefault="00300BF7"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Jei kitų alternatyvų nėra, tok</w:t>
            </w:r>
            <w:r w:rsidR="006D3B5E" w:rsidRPr="001839C2">
              <w:rPr>
                <w:rFonts w:eastAsiaTheme="minorEastAsia"/>
                <w:snapToGrid/>
                <w:szCs w:val="22"/>
                <w:lang w:val="lt-LT" w:eastAsia="en-IN"/>
              </w:rPr>
              <w:t>io</w:t>
            </w:r>
            <w:r w:rsidRPr="001839C2">
              <w:rPr>
                <w:rFonts w:eastAsiaTheme="minorEastAsia"/>
                <w:snapToGrid/>
                <w:szCs w:val="22"/>
                <w:lang w:val="lt-LT" w:eastAsia="en-IN"/>
              </w:rPr>
              <w:t xml:space="preserve"> derin</w:t>
            </w:r>
            <w:r w:rsidR="006D3B5E" w:rsidRPr="001839C2">
              <w:rPr>
                <w:rFonts w:eastAsiaTheme="minorEastAsia"/>
                <w:snapToGrid/>
                <w:szCs w:val="22"/>
                <w:lang w:val="lt-LT" w:eastAsia="en-IN"/>
              </w:rPr>
              <w:t>io</w:t>
            </w:r>
            <w:r w:rsidRPr="001839C2">
              <w:rPr>
                <w:rFonts w:eastAsiaTheme="minorEastAsia"/>
                <w:snapToGrid/>
                <w:szCs w:val="22"/>
                <w:lang w:val="lt-LT" w:eastAsia="en-IN"/>
              </w:rPr>
              <w:t xml:space="preserve"> reikia vartoti atsargiai, dažnai tikrinant inkstų veiklą (žr.</w:t>
            </w:r>
            <w:r w:rsidR="00FB6B99" w:rsidRPr="001839C2">
              <w:rPr>
                <w:rFonts w:eastAsiaTheme="minorEastAsia"/>
                <w:snapToGrid/>
                <w:szCs w:val="22"/>
                <w:lang w:val="lt-LT" w:eastAsia="en-IN"/>
              </w:rPr>
              <w:t> </w:t>
            </w:r>
            <w:r w:rsidRPr="001839C2">
              <w:rPr>
                <w:rFonts w:eastAsiaTheme="minorEastAsia"/>
                <w:snapToGrid/>
                <w:szCs w:val="22"/>
                <w:lang w:val="lt-LT" w:eastAsia="en-IN"/>
              </w:rPr>
              <w:t>4.4</w:t>
            </w:r>
            <w:r w:rsidR="00FB6B99"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2E44D9" w:rsidRPr="001839C2" w14:paraId="6DB321C8"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38EBD6E6"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Ledipasviro ir sofosbuviro derinys</w:t>
            </w:r>
          </w:p>
          <w:p w14:paraId="4A9FF59E"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(90 mg/400 mg q.d.)</w:t>
            </w:r>
          </w:p>
          <w:p w14:paraId="759E93D9"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5F9AE9C9"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Efavirenzo, emtricitabino ir tenofoviro dizoproksilio derinys</w:t>
            </w:r>
          </w:p>
          <w:p w14:paraId="5507AAE5" w14:textId="77777777" w:rsidR="002E44D9" w:rsidRPr="001839C2" w:rsidRDefault="002E44D9"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(600 mg/200 mg/245 mg q.d.)</w:t>
            </w:r>
          </w:p>
        </w:tc>
        <w:tc>
          <w:tcPr>
            <w:tcW w:w="3351" w:type="dxa"/>
            <w:tcBorders>
              <w:top w:val="single" w:sz="4" w:space="0" w:color="auto"/>
              <w:left w:val="single" w:sz="4" w:space="0" w:color="000000"/>
              <w:bottom w:val="single" w:sz="4" w:space="0" w:color="auto"/>
              <w:right w:val="single" w:sz="4" w:space="0" w:color="000000"/>
            </w:tcBorders>
          </w:tcPr>
          <w:p w14:paraId="2233FC18"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Ledipasviras</w:t>
            </w:r>
          </w:p>
          <w:p w14:paraId="3F5AE395"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34 % (nuo ↓ 41 iki ↓ 25)</w:t>
            </w:r>
          </w:p>
          <w:p w14:paraId="1CD9B42E"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34 % (nuo ↓ 41 iki ↑ 25)</w:t>
            </w:r>
          </w:p>
          <w:p w14:paraId="66E21583"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34 % (nuo ↓ 43 iki ↑ 24)</w:t>
            </w:r>
          </w:p>
          <w:p w14:paraId="0A602367"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53ACD9C"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5BEE8D12"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69A6DC9B"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416A03D2"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B215D24"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Pr="001839C2">
              <w:rPr>
                <w:rFonts w:eastAsiaTheme="minorEastAsia"/>
                <w:i/>
                <w:snapToGrid/>
                <w:szCs w:val="22"/>
                <w:u w:val="single"/>
                <w:lang w:val="lt-LT" w:eastAsia="en-IN"/>
              </w:rPr>
              <w:noBreakHyphen/>
              <w:t>331007</w:t>
            </w:r>
            <w:r w:rsidRPr="001839C2">
              <w:rPr>
                <w:rFonts w:eastAsiaTheme="minorEastAsia"/>
                <w:snapToGrid/>
                <w:szCs w:val="22"/>
                <w:vertAlign w:val="superscript"/>
                <w:lang w:val="lt-LT" w:eastAsia="en-IN"/>
              </w:rPr>
              <w:t>2</w:t>
            </w:r>
          </w:p>
          <w:p w14:paraId="69FEFD5A"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764A4646"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1A76F0CE"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6000CE99"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A02B387"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Efavirenzas</w:t>
            </w:r>
          </w:p>
          <w:p w14:paraId="74AE03C1"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52D2E86A"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002B1A88"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10A575BA"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6A21B64"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0401A3BB"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DF2DECD"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95A3C34"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15C4A003"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33B5627"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0664DF74" w14:textId="77777777" w:rsidR="002E44D9" w:rsidRPr="001839C2" w:rsidRDefault="002E44D9"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98 % (nuo ↑ 77 iki ↑ 123)</w:t>
            </w:r>
          </w:p>
          <w:p w14:paraId="66DD0AFA" w14:textId="77777777" w:rsidR="002E44D9" w:rsidRPr="001839C2" w:rsidRDefault="002E44D9"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79 % (nuo ↑ 56 iki ↑ 104)</w:t>
            </w:r>
          </w:p>
          <w:p w14:paraId="48FB0E9B" w14:textId="77777777" w:rsidR="002E44D9" w:rsidRPr="001839C2" w:rsidRDefault="002E44D9" w:rsidP="00BE7138">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163 % (nuo ↑ 137 iki ↑ 197)</w:t>
            </w:r>
          </w:p>
        </w:tc>
        <w:tc>
          <w:tcPr>
            <w:tcW w:w="2422" w:type="dxa"/>
            <w:tcBorders>
              <w:top w:val="single" w:sz="4" w:space="0" w:color="auto"/>
              <w:left w:val="single" w:sz="4" w:space="0" w:color="000000"/>
              <w:bottom w:val="single" w:sz="4" w:space="0" w:color="auto"/>
              <w:right w:val="single" w:sz="4" w:space="0" w:color="000000"/>
            </w:tcBorders>
          </w:tcPr>
          <w:p w14:paraId="626C3ED3" w14:textId="77777777" w:rsidR="002E44D9" w:rsidRPr="001839C2" w:rsidRDefault="002E44D9"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Dozės koreguoti nerekomenduojama. Padidėjus tenofoviro ekspozicijai gali sustiprėti su tenofovir</w:t>
            </w:r>
            <w:r w:rsidR="00BE7138"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susijusios nepageidaujamos reakcijos, įskaitant inkstų sutrikimus.</w:t>
            </w:r>
            <w:r w:rsidR="00BE7138" w:rsidRPr="001839C2">
              <w:rPr>
                <w:rFonts w:eastAsiaTheme="minorEastAsia"/>
                <w:snapToGrid/>
                <w:szCs w:val="22"/>
                <w:lang w:val="lt-LT" w:eastAsia="en-IN"/>
              </w:rPr>
              <w:t xml:space="preserve"> </w:t>
            </w:r>
            <w:r w:rsidRPr="001839C2">
              <w:rPr>
                <w:rFonts w:eastAsiaTheme="minorEastAsia"/>
                <w:snapToGrid/>
                <w:szCs w:val="22"/>
                <w:lang w:val="lt-LT" w:eastAsia="en-IN"/>
              </w:rPr>
              <w:t>Reikia atidžiai stebėti inkstų funkciją (žr.</w:t>
            </w:r>
            <w:r w:rsidR="00BE7138" w:rsidRPr="001839C2">
              <w:rPr>
                <w:rFonts w:eastAsiaTheme="minorEastAsia"/>
                <w:snapToGrid/>
                <w:szCs w:val="22"/>
                <w:lang w:val="lt-LT" w:eastAsia="en-IN"/>
              </w:rPr>
              <w:t> </w:t>
            </w:r>
            <w:r w:rsidRPr="001839C2">
              <w:rPr>
                <w:rFonts w:eastAsiaTheme="minorEastAsia"/>
                <w:snapToGrid/>
                <w:szCs w:val="22"/>
                <w:lang w:val="lt-LT" w:eastAsia="en-IN"/>
              </w:rPr>
              <w:t>4.4</w:t>
            </w:r>
            <w:r w:rsidR="00BE7138"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2E44D9" w:rsidRPr="001839C2" w14:paraId="184E1771"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0C23DC89" w14:textId="77777777" w:rsidR="00BE7138"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Ledipasvir</w:t>
            </w:r>
            <w:r w:rsidR="00BE7138"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BE7138" w:rsidRPr="001839C2">
              <w:rPr>
                <w:rFonts w:eastAsiaTheme="minorEastAsia"/>
                <w:snapToGrid/>
                <w:szCs w:val="22"/>
                <w:lang w:val="lt-LT" w:eastAsia="en-IN"/>
              </w:rPr>
              <w:t>ir</w:t>
            </w:r>
            <w:r w:rsidRPr="001839C2">
              <w:rPr>
                <w:rFonts w:eastAsiaTheme="minorEastAsia"/>
                <w:snapToGrid/>
                <w:szCs w:val="22"/>
                <w:lang w:val="lt-LT" w:eastAsia="en-IN"/>
              </w:rPr>
              <w:t xml:space="preserve"> sofosbuvir</w:t>
            </w:r>
            <w:r w:rsidR="00BE7138" w:rsidRPr="001839C2">
              <w:rPr>
                <w:rFonts w:eastAsiaTheme="minorEastAsia"/>
                <w:snapToGrid/>
                <w:szCs w:val="22"/>
                <w:lang w:val="lt-LT" w:eastAsia="en-IN"/>
              </w:rPr>
              <w:t>o deriny</w:t>
            </w:r>
            <w:r w:rsidRPr="001839C2">
              <w:rPr>
                <w:rFonts w:eastAsiaTheme="minorEastAsia"/>
                <w:snapToGrid/>
                <w:szCs w:val="22"/>
                <w:lang w:val="lt-LT" w:eastAsia="en-IN"/>
              </w:rPr>
              <w:t>s</w:t>
            </w:r>
          </w:p>
          <w:p w14:paraId="56D03661" w14:textId="77777777" w:rsidR="00BE7138"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(90</w:t>
            </w:r>
            <w:r w:rsidR="00BE7138" w:rsidRPr="001839C2">
              <w:rPr>
                <w:rFonts w:eastAsiaTheme="minorEastAsia"/>
                <w:snapToGrid/>
                <w:szCs w:val="22"/>
                <w:lang w:val="lt-LT" w:eastAsia="en-IN"/>
              </w:rPr>
              <w:t> </w:t>
            </w:r>
            <w:r w:rsidRPr="001839C2">
              <w:rPr>
                <w:rFonts w:eastAsiaTheme="minorEastAsia"/>
                <w:snapToGrid/>
                <w:szCs w:val="22"/>
                <w:lang w:val="lt-LT" w:eastAsia="en-IN"/>
              </w:rPr>
              <w:t>mg/400</w:t>
            </w:r>
            <w:r w:rsidR="00BE7138" w:rsidRPr="001839C2">
              <w:rPr>
                <w:rFonts w:eastAsiaTheme="minorEastAsia"/>
                <w:snapToGrid/>
                <w:szCs w:val="22"/>
                <w:lang w:val="lt-LT" w:eastAsia="en-IN"/>
              </w:rPr>
              <w:t> </w:t>
            </w:r>
            <w:r w:rsidRPr="001839C2">
              <w:rPr>
                <w:rFonts w:eastAsiaTheme="minorEastAsia"/>
                <w:snapToGrid/>
                <w:szCs w:val="22"/>
                <w:lang w:val="lt-LT" w:eastAsia="en-IN"/>
              </w:rPr>
              <w:t>mg</w:t>
            </w:r>
            <w:r w:rsidR="00BE7138" w:rsidRPr="001839C2">
              <w:rPr>
                <w:rFonts w:eastAsiaTheme="minorEastAsia"/>
                <w:snapToGrid/>
                <w:szCs w:val="22"/>
                <w:lang w:val="lt-LT" w:eastAsia="en-IN"/>
              </w:rPr>
              <w:t> </w:t>
            </w:r>
            <w:r w:rsidRPr="001839C2">
              <w:rPr>
                <w:rFonts w:eastAsiaTheme="minorEastAsia"/>
                <w:snapToGrid/>
                <w:szCs w:val="22"/>
                <w:lang w:val="lt-LT" w:eastAsia="en-IN"/>
              </w:rPr>
              <w:t>q.d.)</w:t>
            </w:r>
          </w:p>
          <w:p w14:paraId="0CC31370" w14:textId="77777777" w:rsidR="00BE7138"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32CD6E41" w14:textId="77777777" w:rsidR="002E44D9" w:rsidRPr="001839C2" w:rsidRDefault="00BE713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w:t>
            </w:r>
            <w:r w:rsidR="002E44D9" w:rsidRPr="001839C2">
              <w:rPr>
                <w:rFonts w:eastAsiaTheme="minorEastAsia"/>
                <w:snapToGrid/>
                <w:szCs w:val="22"/>
                <w:lang w:val="lt-LT" w:eastAsia="en-IN"/>
              </w:rPr>
              <w:t>mtricitabin</w:t>
            </w:r>
            <w:r w:rsidRPr="001839C2">
              <w:rPr>
                <w:rFonts w:eastAsiaTheme="minorEastAsia"/>
                <w:snapToGrid/>
                <w:szCs w:val="22"/>
                <w:lang w:val="lt-LT" w:eastAsia="en-IN"/>
              </w:rPr>
              <w:t>o,</w:t>
            </w:r>
            <w:r w:rsidR="002E44D9" w:rsidRPr="001839C2">
              <w:rPr>
                <w:rFonts w:eastAsiaTheme="minorEastAsia"/>
                <w:snapToGrid/>
                <w:szCs w:val="22"/>
                <w:lang w:val="lt-LT" w:eastAsia="en-IN"/>
              </w:rPr>
              <w:t xml:space="preserve"> rilpivirin</w:t>
            </w:r>
            <w:r w:rsidRPr="001839C2">
              <w:rPr>
                <w:rFonts w:eastAsiaTheme="minorEastAsia"/>
                <w:snapToGrid/>
                <w:szCs w:val="22"/>
                <w:lang w:val="lt-LT" w:eastAsia="en-IN"/>
              </w:rPr>
              <w:t>o</w:t>
            </w:r>
            <w:r w:rsidR="002E44D9" w:rsidRPr="001839C2">
              <w:rPr>
                <w:rFonts w:eastAsiaTheme="minorEastAsia"/>
                <w:snapToGrid/>
                <w:szCs w:val="22"/>
                <w:lang w:val="lt-LT" w:eastAsia="en-IN"/>
              </w:rPr>
              <w:t xml:space="preserve"> </w:t>
            </w:r>
            <w:r w:rsidRPr="001839C2">
              <w:rPr>
                <w:rFonts w:eastAsiaTheme="minorEastAsia"/>
                <w:snapToGrid/>
                <w:szCs w:val="22"/>
                <w:lang w:val="lt-LT" w:eastAsia="en-IN"/>
              </w:rPr>
              <w:t>ir</w:t>
            </w:r>
            <w:r w:rsidR="002E44D9" w:rsidRPr="001839C2">
              <w:rPr>
                <w:rFonts w:eastAsiaTheme="minorEastAsia"/>
                <w:snapToGrid/>
                <w:szCs w:val="22"/>
                <w:lang w:val="lt-LT" w:eastAsia="en-IN"/>
              </w:rPr>
              <w:t xml:space="preserve"> tenofoviro dizoproksili</w:t>
            </w:r>
            <w:r w:rsidRPr="001839C2">
              <w:rPr>
                <w:rFonts w:eastAsiaTheme="minorEastAsia"/>
                <w:snapToGrid/>
                <w:szCs w:val="22"/>
                <w:lang w:val="lt-LT" w:eastAsia="en-IN"/>
              </w:rPr>
              <w:t>o deriny</w:t>
            </w:r>
            <w:r w:rsidR="002E44D9" w:rsidRPr="001839C2">
              <w:rPr>
                <w:rFonts w:eastAsiaTheme="minorEastAsia"/>
                <w:snapToGrid/>
                <w:szCs w:val="22"/>
                <w:lang w:val="lt-LT" w:eastAsia="en-IN"/>
              </w:rPr>
              <w:t>s</w:t>
            </w:r>
          </w:p>
          <w:p w14:paraId="0E0B80CB" w14:textId="77777777" w:rsidR="002E44D9" w:rsidRPr="001839C2" w:rsidRDefault="002E44D9"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w:t>
            </w:r>
            <w:r w:rsidR="00BE7138" w:rsidRPr="001839C2">
              <w:rPr>
                <w:rFonts w:eastAsiaTheme="minorEastAsia"/>
                <w:snapToGrid/>
                <w:szCs w:val="22"/>
                <w:lang w:val="lt-LT" w:eastAsia="en-IN"/>
              </w:rPr>
              <w:t> </w:t>
            </w:r>
            <w:r w:rsidRPr="001839C2">
              <w:rPr>
                <w:rFonts w:eastAsiaTheme="minorEastAsia"/>
                <w:snapToGrid/>
                <w:szCs w:val="22"/>
                <w:lang w:val="lt-LT" w:eastAsia="en-IN"/>
              </w:rPr>
              <w:t>mg/25</w:t>
            </w:r>
            <w:r w:rsidR="00BE7138" w:rsidRPr="001839C2">
              <w:rPr>
                <w:rFonts w:eastAsiaTheme="minorEastAsia"/>
                <w:snapToGrid/>
                <w:szCs w:val="22"/>
                <w:lang w:val="lt-LT" w:eastAsia="en-IN"/>
              </w:rPr>
              <w:t> </w:t>
            </w:r>
            <w:r w:rsidRPr="001839C2">
              <w:rPr>
                <w:rFonts w:eastAsiaTheme="minorEastAsia"/>
                <w:snapToGrid/>
                <w:szCs w:val="22"/>
                <w:lang w:val="lt-LT" w:eastAsia="en-IN"/>
              </w:rPr>
              <w:t>mg/245</w:t>
            </w:r>
            <w:r w:rsidR="00BE7138" w:rsidRPr="001839C2">
              <w:rPr>
                <w:rFonts w:eastAsiaTheme="minorEastAsia"/>
                <w:snapToGrid/>
                <w:szCs w:val="22"/>
                <w:lang w:val="lt-LT" w:eastAsia="en-IN"/>
              </w:rPr>
              <w:t> </w:t>
            </w:r>
            <w:r w:rsidRPr="001839C2">
              <w:rPr>
                <w:rFonts w:eastAsiaTheme="minorEastAsia"/>
                <w:snapToGrid/>
                <w:szCs w:val="22"/>
                <w:lang w:val="lt-LT" w:eastAsia="en-IN"/>
              </w:rPr>
              <w:t>mg</w:t>
            </w:r>
            <w:r w:rsidR="00BE7138" w:rsidRPr="001839C2">
              <w:rPr>
                <w:rFonts w:eastAsiaTheme="minorEastAsia"/>
                <w:snapToGrid/>
                <w:szCs w:val="22"/>
                <w:lang w:val="lt-LT" w:eastAsia="en-IN"/>
              </w:rPr>
              <w:t> </w:t>
            </w:r>
            <w:r w:rsidRPr="001839C2">
              <w:rPr>
                <w:rFonts w:eastAsiaTheme="minorEastAsia"/>
                <w:snapToGrid/>
                <w:szCs w:val="22"/>
                <w:lang w:val="lt-LT" w:eastAsia="en-IN"/>
              </w:rPr>
              <w:t>q.d.)</w:t>
            </w:r>
          </w:p>
        </w:tc>
        <w:tc>
          <w:tcPr>
            <w:tcW w:w="3351" w:type="dxa"/>
            <w:tcBorders>
              <w:top w:val="single" w:sz="4" w:space="0" w:color="auto"/>
              <w:left w:val="single" w:sz="4" w:space="0" w:color="000000"/>
              <w:bottom w:val="single" w:sz="4" w:space="0" w:color="auto"/>
              <w:right w:val="single" w:sz="4" w:space="0" w:color="000000"/>
            </w:tcBorders>
          </w:tcPr>
          <w:p w14:paraId="6A58A2AB" w14:textId="77777777" w:rsidR="00BE7138"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Ledipasviras</w:t>
            </w:r>
          </w:p>
          <w:p w14:paraId="6565596E"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7C24AC98"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25FE490B"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2744EE5C"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A78FE37" w14:textId="77777777" w:rsidR="00BE7138"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2EBD3FB3"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2D4186F4"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45E2F8B6"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F6C2F31" w14:textId="77777777" w:rsidR="00BE7138"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00BE7138" w:rsidRPr="001839C2">
              <w:rPr>
                <w:rFonts w:eastAsiaTheme="minorEastAsia"/>
                <w:i/>
                <w:snapToGrid/>
                <w:szCs w:val="22"/>
                <w:u w:val="single"/>
                <w:lang w:val="lt-LT" w:eastAsia="en-IN"/>
              </w:rPr>
              <w:noBreakHyphen/>
            </w:r>
            <w:r w:rsidRPr="001839C2">
              <w:rPr>
                <w:rFonts w:eastAsiaTheme="minorEastAsia"/>
                <w:i/>
                <w:snapToGrid/>
                <w:szCs w:val="22"/>
                <w:u w:val="single"/>
                <w:lang w:val="lt-LT" w:eastAsia="en-IN"/>
              </w:rPr>
              <w:t>331007</w:t>
            </w:r>
            <w:r w:rsidRPr="001839C2">
              <w:rPr>
                <w:rFonts w:eastAsiaTheme="minorEastAsia"/>
                <w:snapToGrid/>
                <w:szCs w:val="22"/>
                <w:vertAlign w:val="superscript"/>
                <w:lang w:val="lt-LT" w:eastAsia="en-IN"/>
              </w:rPr>
              <w:t>2</w:t>
            </w:r>
          </w:p>
          <w:p w14:paraId="645B32CE"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19B8F808"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681013A9"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4BCF228B"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46D1AC4" w14:textId="77777777" w:rsidR="00BE7138"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48A8BD1A"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C6B5781"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0D08A72A"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2001ABAF"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B241F9A" w14:textId="77777777" w:rsidR="00BE7138" w:rsidRPr="001839C2" w:rsidRDefault="002E44D9" w:rsidP="00230559">
            <w:pPr>
              <w:keepNext/>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Rilpivirinas</w:t>
            </w:r>
          </w:p>
          <w:p w14:paraId="33DD5EA4"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E84919E"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4ED344A5"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19FD5D83"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7F92FD3"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1DAC8533"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BE7138" w:rsidRPr="001839C2">
              <w:rPr>
                <w:rFonts w:eastAsiaTheme="minorEastAsia"/>
                <w:snapToGrid/>
                <w:szCs w:val="22"/>
                <w:lang w:val="lt-LT" w:eastAsia="en-IN"/>
              </w:rPr>
              <w:t> </w:t>
            </w:r>
            <w:r w:rsidRPr="001839C2">
              <w:rPr>
                <w:rFonts w:eastAsiaTheme="minorEastAsia"/>
                <w:snapToGrid/>
                <w:szCs w:val="22"/>
                <w:lang w:val="lt-LT" w:eastAsia="en-IN"/>
              </w:rPr>
              <w:t>40</w:t>
            </w:r>
            <w:r w:rsidR="00BE7138" w:rsidRPr="001839C2">
              <w:rPr>
                <w:rFonts w:eastAsiaTheme="minorEastAsia"/>
                <w:snapToGrid/>
                <w:szCs w:val="22"/>
                <w:lang w:val="lt-LT" w:eastAsia="en-IN"/>
              </w:rPr>
              <w:t> </w:t>
            </w:r>
            <w:r w:rsidRPr="001839C2">
              <w:rPr>
                <w:rFonts w:eastAsiaTheme="minorEastAsia"/>
                <w:snapToGrid/>
                <w:szCs w:val="22"/>
                <w:lang w:val="lt-LT" w:eastAsia="en-IN"/>
              </w:rPr>
              <w:t>% (nuo ↑</w:t>
            </w:r>
            <w:r w:rsidR="00BE7138" w:rsidRPr="001839C2">
              <w:rPr>
                <w:rFonts w:eastAsiaTheme="minorEastAsia"/>
                <w:snapToGrid/>
                <w:szCs w:val="22"/>
                <w:lang w:val="lt-LT" w:eastAsia="en-IN"/>
              </w:rPr>
              <w:t> </w:t>
            </w:r>
            <w:r w:rsidRPr="001839C2">
              <w:rPr>
                <w:rFonts w:eastAsiaTheme="minorEastAsia"/>
                <w:snapToGrid/>
                <w:szCs w:val="22"/>
                <w:lang w:val="lt-LT" w:eastAsia="en-IN"/>
              </w:rPr>
              <w:t>31 iki ↑</w:t>
            </w:r>
            <w:r w:rsidR="00BE7138" w:rsidRPr="001839C2">
              <w:rPr>
                <w:rFonts w:eastAsiaTheme="minorEastAsia"/>
                <w:snapToGrid/>
                <w:szCs w:val="22"/>
                <w:lang w:val="lt-LT" w:eastAsia="en-IN"/>
              </w:rPr>
              <w:t> </w:t>
            </w:r>
            <w:r w:rsidRPr="001839C2">
              <w:rPr>
                <w:rFonts w:eastAsiaTheme="minorEastAsia"/>
                <w:snapToGrid/>
                <w:szCs w:val="22"/>
                <w:lang w:val="lt-LT" w:eastAsia="en-IN"/>
              </w:rPr>
              <w:t>50)</w:t>
            </w:r>
          </w:p>
          <w:p w14:paraId="7E7EBD4E" w14:textId="77777777" w:rsidR="002E44D9" w:rsidRPr="001839C2" w:rsidRDefault="002E44D9"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5F3159FC" w14:textId="77777777" w:rsidR="002E44D9" w:rsidRPr="001839C2" w:rsidRDefault="002E44D9" w:rsidP="00BE7138">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BE7138" w:rsidRPr="001839C2">
              <w:rPr>
                <w:rFonts w:eastAsiaTheme="minorEastAsia"/>
                <w:snapToGrid/>
                <w:szCs w:val="22"/>
                <w:lang w:val="lt-LT" w:eastAsia="en-IN"/>
              </w:rPr>
              <w:t> </w:t>
            </w:r>
            <w:r w:rsidRPr="001839C2">
              <w:rPr>
                <w:rFonts w:eastAsiaTheme="minorEastAsia"/>
                <w:snapToGrid/>
                <w:szCs w:val="22"/>
                <w:lang w:val="lt-LT" w:eastAsia="en-IN"/>
              </w:rPr>
              <w:t>91</w:t>
            </w:r>
            <w:r w:rsidR="00BE7138" w:rsidRPr="001839C2">
              <w:rPr>
                <w:rFonts w:eastAsiaTheme="minorEastAsia"/>
                <w:snapToGrid/>
                <w:szCs w:val="22"/>
                <w:lang w:val="lt-LT" w:eastAsia="en-IN"/>
              </w:rPr>
              <w:t> </w:t>
            </w:r>
            <w:r w:rsidRPr="001839C2">
              <w:rPr>
                <w:rFonts w:eastAsiaTheme="minorEastAsia"/>
                <w:snapToGrid/>
                <w:szCs w:val="22"/>
                <w:lang w:val="lt-LT" w:eastAsia="en-IN"/>
              </w:rPr>
              <w:t>% (nuo ↑</w:t>
            </w:r>
            <w:r w:rsidR="00BE7138" w:rsidRPr="001839C2">
              <w:rPr>
                <w:rFonts w:eastAsiaTheme="minorEastAsia"/>
                <w:snapToGrid/>
                <w:szCs w:val="22"/>
                <w:lang w:val="lt-LT" w:eastAsia="en-IN"/>
              </w:rPr>
              <w:t> </w:t>
            </w:r>
            <w:r w:rsidRPr="001839C2">
              <w:rPr>
                <w:rFonts w:eastAsiaTheme="minorEastAsia"/>
                <w:snapToGrid/>
                <w:szCs w:val="22"/>
                <w:lang w:val="lt-LT" w:eastAsia="en-IN"/>
              </w:rPr>
              <w:t>74 iki ↑</w:t>
            </w:r>
            <w:r w:rsidR="00BE7138" w:rsidRPr="001839C2">
              <w:rPr>
                <w:rFonts w:eastAsiaTheme="minorEastAsia"/>
                <w:snapToGrid/>
                <w:szCs w:val="22"/>
                <w:lang w:val="lt-LT" w:eastAsia="en-IN"/>
              </w:rPr>
              <w:t> </w:t>
            </w:r>
            <w:r w:rsidRPr="001839C2">
              <w:rPr>
                <w:rFonts w:eastAsiaTheme="minorEastAsia"/>
                <w:snapToGrid/>
                <w:szCs w:val="22"/>
                <w:lang w:val="lt-LT" w:eastAsia="en-IN"/>
              </w:rPr>
              <w:t>110)</w:t>
            </w:r>
          </w:p>
        </w:tc>
        <w:tc>
          <w:tcPr>
            <w:tcW w:w="2422" w:type="dxa"/>
            <w:tcBorders>
              <w:top w:val="single" w:sz="4" w:space="0" w:color="auto"/>
              <w:left w:val="single" w:sz="4" w:space="0" w:color="000000"/>
              <w:bottom w:val="single" w:sz="4" w:space="0" w:color="auto"/>
              <w:right w:val="single" w:sz="4" w:space="0" w:color="000000"/>
            </w:tcBorders>
          </w:tcPr>
          <w:p w14:paraId="0356141C" w14:textId="77777777" w:rsidR="002E44D9" w:rsidRPr="001839C2" w:rsidRDefault="002E44D9" w:rsidP="00BE713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Dozės koreguoti nerekomenduojama. Padidėjus tenofoviro ekspozicijai, gali sustiprėti su tenofovir</w:t>
            </w:r>
            <w:r w:rsidR="00BE7138"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susijusios nepageidaujamos reakcijos, įskaitant inkstų sutrikimus.</w:t>
            </w:r>
            <w:r w:rsidR="00BE7138" w:rsidRPr="001839C2">
              <w:rPr>
                <w:rFonts w:eastAsiaTheme="minorEastAsia"/>
                <w:snapToGrid/>
                <w:szCs w:val="22"/>
                <w:lang w:val="lt-LT" w:eastAsia="en-IN"/>
              </w:rPr>
              <w:t xml:space="preserve"> </w:t>
            </w:r>
            <w:r w:rsidRPr="001839C2">
              <w:rPr>
                <w:rFonts w:eastAsiaTheme="minorEastAsia"/>
                <w:snapToGrid/>
                <w:szCs w:val="22"/>
                <w:lang w:val="lt-LT" w:eastAsia="en-IN"/>
              </w:rPr>
              <w:t>Reikia atidžiai stebėti inkstų funkciją (žr.</w:t>
            </w:r>
            <w:r w:rsidR="00BE7138" w:rsidRPr="001839C2">
              <w:rPr>
                <w:rFonts w:eastAsiaTheme="minorEastAsia"/>
                <w:snapToGrid/>
                <w:szCs w:val="22"/>
                <w:lang w:val="lt-LT" w:eastAsia="en-IN"/>
              </w:rPr>
              <w:t> </w:t>
            </w:r>
            <w:r w:rsidRPr="001839C2">
              <w:rPr>
                <w:rFonts w:eastAsiaTheme="minorEastAsia"/>
                <w:snapToGrid/>
                <w:szCs w:val="22"/>
                <w:lang w:val="lt-LT" w:eastAsia="en-IN"/>
              </w:rPr>
              <w:t>4.4</w:t>
            </w:r>
            <w:r w:rsidR="00BE7138"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226B63" w:rsidRPr="001839C2" w14:paraId="5FA5590D"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06E61668"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Ledipasviro ir sofosbuviro derinys</w:t>
            </w:r>
          </w:p>
          <w:p w14:paraId="43F64AC7"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(90 mg/400 mg q.d.)</w:t>
            </w:r>
          </w:p>
          <w:p w14:paraId="5A9F9A92"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37F9AA8E"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Dolutegraviras</w:t>
            </w:r>
          </w:p>
          <w:p w14:paraId="0010E96C"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(50 mg q.d.)</w:t>
            </w:r>
          </w:p>
          <w:p w14:paraId="23D793ED"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2052ADB6" w14:textId="77777777" w:rsidR="00226B63" w:rsidRPr="001839C2" w:rsidRDefault="00226B63" w:rsidP="00226B63">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Emtricitabino ir tenofoviro dizoproksilio derinys</w:t>
            </w:r>
          </w:p>
          <w:p w14:paraId="1EDEF297" w14:textId="77777777" w:rsidR="00226B63" w:rsidRPr="001839C2" w:rsidRDefault="00226B63" w:rsidP="00226B63">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 mg/245 mg q.d.)</w:t>
            </w:r>
          </w:p>
        </w:tc>
        <w:tc>
          <w:tcPr>
            <w:tcW w:w="3351" w:type="dxa"/>
            <w:tcBorders>
              <w:top w:val="single" w:sz="4" w:space="0" w:color="auto"/>
              <w:left w:val="single" w:sz="4" w:space="0" w:color="000000"/>
              <w:bottom w:val="single" w:sz="4" w:space="0" w:color="auto"/>
              <w:right w:val="single" w:sz="4" w:space="0" w:color="000000"/>
            </w:tcBorders>
          </w:tcPr>
          <w:p w14:paraId="6A0D4BAB"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lastRenderedPageBreak/>
              <w:t>Sofosbuviras</w:t>
            </w:r>
          </w:p>
          <w:p w14:paraId="1B1CBD89"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389FDF27"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68409F5A"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22E24C7"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Pr="001839C2">
              <w:rPr>
                <w:rFonts w:eastAsiaTheme="minorEastAsia"/>
                <w:i/>
                <w:snapToGrid/>
                <w:szCs w:val="22"/>
                <w:u w:val="single"/>
                <w:lang w:val="lt-LT" w:eastAsia="en-IN"/>
              </w:rPr>
              <w:noBreakHyphen/>
              <w:t>331007</w:t>
            </w:r>
            <w:r w:rsidRPr="001839C2">
              <w:rPr>
                <w:rFonts w:eastAsiaTheme="minorEastAsia"/>
                <w:snapToGrid/>
                <w:szCs w:val="22"/>
                <w:vertAlign w:val="superscript"/>
                <w:lang w:val="lt-LT" w:eastAsia="en-IN"/>
              </w:rPr>
              <w:t>2</w:t>
            </w:r>
          </w:p>
          <w:p w14:paraId="0F459B0C"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7C59CA09"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1BA8C1B2"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341B780C"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CD9288C"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Ledipasviras</w:t>
            </w:r>
          </w:p>
          <w:p w14:paraId="51F54193"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8E17F84"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0DE5C000"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420379B2"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A607643"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Dolutegraviras</w:t>
            </w:r>
          </w:p>
          <w:p w14:paraId="01A59E98"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9C1CDD0"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2B017EEE"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36F31A5"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0BD08832"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5A05A660"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25CCA444"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36C6940E"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B2A9E45"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D06BE52" w14:textId="77777777" w:rsidR="00226B63" w:rsidRPr="001839C2" w:rsidRDefault="00226B63"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76C01000" w14:textId="77777777" w:rsidR="00226B63" w:rsidRPr="001839C2" w:rsidRDefault="00226B63" w:rsidP="00226B63">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65 % (nuo ↑ 59 iki ↑ 71)</w:t>
            </w:r>
          </w:p>
          <w:p w14:paraId="4132C364" w14:textId="77777777" w:rsidR="00226B63" w:rsidRPr="001839C2" w:rsidRDefault="00226B63" w:rsidP="00226B63">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61 % (nuo ↑ 51 iki ↑ 72)</w:t>
            </w:r>
          </w:p>
          <w:p w14:paraId="537EA2AD" w14:textId="77777777" w:rsidR="00226B63" w:rsidRPr="001839C2" w:rsidRDefault="00226B63" w:rsidP="00226B63">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115 % (nuo ↑ 105 iki ↑ 126)</w:t>
            </w:r>
          </w:p>
        </w:tc>
        <w:tc>
          <w:tcPr>
            <w:tcW w:w="2422" w:type="dxa"/>
            <w:tcBorders>
              <w:top w:val="single" w:sz="4" w:space="0" w:color="auto"/>
              <w:left w:val="single" w:sz="4" w:space="0" w:color="000000"/>
              <w:bottom w:val="single" w:sz="4" w:space="0" w:color="auto"/>
              <w:right w:val="single" w:sz="4" w:space="0" w:color="000000"/>
            </w:tcBorders>
          </w:tcPr>
          <w:p w14:paraId="3C33AE66" w14:textId="77777777" w:rsidR="00E21FD5" w:rsidRPr="001839C2" w:rsidRDefault="00226B63" w:rsidP="00226B63">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Dozės koreguoti nereikia.</w:t>
            </w:r>
          </w:p>
          <w:p w14:paraId="25B659F2" w14:textId="77777777" w:rsidR="00226B63" w:rsidRPr="001839C2" w:rsidRDefault="00226B63" w:rsidP="00226B63">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Padidėjus tenofoviro ekspozicijai, gali sustiprėti su tenofoviru dizoproksiliu susijusios nepageidaujamos </w:t>
            </w:r>
            <w:r w:rsidRPr="001839C2">
              <w:rPr>
                <w:rFonts w:eastAsiaTheme="minorEastAsia"/>
                <w:snapToGrid/>
                <w:szCs w:val="22"/>
                <w:lang w:val="lt-LT" w:eastAsia="en-IN"/>
              </w:rPr>
              <w:lastRenderedPageBreak/>
              <w:t>reakcijos, įskaitant inkstų sutrikimus. Reikia atidžiai stebėti inkstų funkciją (žr. 4.4 skyrių).</w:t>
            </w:r>
          </w:p>
        </w:tc>
      </w:tr>
      <w:tr w:rsidR="00FF7162" w:rsidRPr="00686907" w14:paraId="5C6054FE"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65563424"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Sofosbuviro ir velpatasviro derinys</w:t>
            </w:r>
          </w:p>
          <w:p w14:paraId="371B42EA"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(400 mg/100 mg q.d.)</w:t>
            </w:r>
          </w:p>
          <w:p w14:paraId="2BE2CBD3"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36B215B3"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Atazanaviro ir ritonaviro derinys</w:t>
            </w:r>
          </w:p>
          <w:p w14:paraId="68F748C5"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(300 mg q.d./100 mg q.d.)</w:t>
            </w:r>
          </w:p>
          <w:p w14:paraId="71AF981D"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786B759C"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Emtricitabino ir tenofoviro dizoproksilio derinys</w:t>
            </w:r>
          </w:p>
          <w:p w14:paraId="4D8BE339" w14:textId="77777777" w:rsidR="00FF7162" w:rsidRPr="001839C2" w:rsidRDefault="00FF7162" w:rsidP="009B6A35">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 mg/245 mg q.d.)</w:t>
            </w:r>
          </w:p>
        </w:tc>
        <w:tc>
          <w:tcPr>
            <w:tcW w:w="3351" w:type="dxa"/>
            <w:tcBorders>
              <w:top w:val="single" w:sz="4" w:space="0" w:color="auto"/>
              <w:left w:val="single" w:sz="4" w:space="0" w:color="000000"/>
              <w:bottom w:val="single" w:sz="4" w:space="0" w:color="auto"/>
              <w:right w:val="single" w:sz="4" w:space="0" w:color="000000"/>
            </w:tcBorders>
          </w:tcPr>
          <w:p w14:paraId="0A98DDCC"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258197A7"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77A3B283"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5E044B6A"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5CE1D36"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Pr="001839C2">
              <w:rPr>
                <w:rFonts w:eastAsiaTheme="minorEastAsia"/>
                <w:i/>
                <w:snapToGrid/>
                <w:szCs w:val="22"/>
                <w:u w:val="single"/>
                <w:lang w:val="lt-LT" w:eastAsia="en-IN"/>
              </w:rPr>
              <w:noBreakHyphen/>
              <w:t>331007</w:t>
            </w:r>
            <w:r w:rsidRPr="001839C2">
              <w:rPr>
                <w:rFonts w:eastAsiaTheme="minorEastAsia"/>
                <w:snapToGrid/>
                <w:szCs w:val="22"/>
                <w:vertAlign w:val="superscript"/>
                <w:lang w:val="lt-LT" w:eastAsia="en-IN"/>
              </w:rPr>
              <w:t>2</w:t>
            </w:r>
          </w:p>
          <w:p w14:paraId="2F439C8D"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FD99155"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68A947FD"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42</w:t>
            </w:r>
            <w:r w:rsidR="00E21FD5" w:rsidRPr="001839C2">
              <w:rPr>
                <w:rFonts w:eastAsiaTheme="minorEastAsia"/>
                <w:snapToGrid/>
                <w:szCs w:val="22"/>
                <w:lang w:val="lt-LT" w:eastAsia="en-IN"/>
              </w:rPr>
              <w:t> </w:t>
            </w:r>
            <w:r w:rsidRPr="001839C2">
              <w:rPr>
                <w:rFonts w:eastAsiaTheme="minorEastAsia"/>
                <w:snapToGrid/>
                <w:szCs w:val="22"/>
                <w:lang w:val="lt-LT" w:eastAsia="en-IN"/>
              </w:rPr>
              <w:t>% (nuo ↑ 37 iki ↑ 49)</w:t>
            </w:r>
          </w:p>
          <w:p w14:paraId="413B9425"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5AF241D" w14:textId="77777777" w:rsidR="00FF7162" w:rsidRPr="001839C2" w:rsidRDefault="00FF7162" w:rsidP="00230559">
            <w:pPr>
              <w:keepNext/>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Velpatasviras</w:t>
            </w:r>
          </w:p>
          <w:p w14:paraId="4B0929C0"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142 % (nuo ↑ 123 iki ↑ 164)</w:t>
            </w:r>
          </w:p>
          <w:p w14:paraId="399393F3"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55 % (nuo ↑ 41 iki ↑ 71)</w:t>
            </w:r>
          </w:p>
          <w:p w14:paraId="6D9FAC03"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301 % (nuo ↑ 257 iki ↑ 350)</w:t>
            </w:r>
          </w:p>
          <w:p w14:paraId="2196EE05"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6360444"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Atazanaviras</w:t>
            </w:r>
          </w:p>
          <w:p w14:paraId="514E855C"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C5F0066"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39F2B0F"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39 % (nuo ↑ 20 iki ↑ 61)</w:t>
            </w:r>
          </w:p>
          <w:p w14:paraId="3C43CEC4"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06019D6"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Ritonaviras</w:t>
            </w:r>
          </w:p>
          <w:p w14:paraId="51CBD80B"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142C0BC5"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8CC3C03"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29 % (nuo ↑ 15 iki ↑ 44)</w:t>
            </w:r>
          </w:p>
          <w:p w14:paraId="4E2728D0"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F5598CA"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21D3666F"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60D7D20"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0E861570"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48F110E0"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3213B23"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0CE69EC9"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6663C2C"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55 % (nuo ↑ 43 iki ↑ 68)</w:t>
            </w:r>
          </w:p>
          <w:p w14:paraId="1B1F0B79" w14:textId="77777777" w:rsidR="00FF7162" w:rsidRPr="001839C2" w:rsidRDefault="00FF7162" w:rsidP="009B6A35">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39 % (nuo ↑ 31 iki ↑ 48)</w:t>
            </w:r>
          </w:p>
        </w:tc>
        <w:tc>
          <w:tcPr>
            <w:tcW w:w="2422" w:type="dxa"/>
            <w:tcBorders>
              <w:top w:val="single" w:sz="4" w:space="0" w:color="auto"/>
              <w:left w:val="single" w:sz="4" w:space="0" w:color="000000"/>
              <w:bottom w:val="single" w:sz="4" w:space="0" w:color="auto"/>
              <w:right w:val="single" w:sz="4" w:space="0" w:color="000000"/>
            </w:tcBorders>
          </w:tcPr>
          <w:p w14:paraId="1107F03C"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 xml:space="preserve">Dėl tenofoviro dizoproksilio, sofosbuviro </w:t>
            </w:r>
            <w:r w:rsidR="009B6A35" w:rsidRPr="001839C2">
              <w:rPr>
                <w:rFonts w:eastAsiaTheme="minorEastAsia"/>
                <w:snapToGrid/>
                <w:szCs w:val="22"/>
                <w:lang w:val="lt-LT" w:eastAsia="en-IN"/>
              </w:rPr>
              <w:t>ir</w:t>
            </w:r>
            <w:r w:rsidRPr="001839C2">
              <w:rPr>
                <w:rFonts w:eastAsiaTheme="minorEastAsia"/>
                <w:snapToGrid/>
                <w:szCs w:val="22"/>
                <w:lang w:val="lt-LT" w:eastAsia="en-IN"/>
              </w:rPr>
              <w:t xml:space="preserve"> velpatasviro</w:t>
            </w:r>
            <w:r w:rsidR="009B6A35"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ir atazanaviro </w:t>
            </w:r>
            <w:r w:rsidR="009B6A35" w:rsidRPr="001839C2">
              <w:rPr>
                <w:rFonts w:eastAsiaTheme="minorEastAsia"/>
                <w:snapToGrid/>
                <w:szCs w:val="22"/>
                <w:lang w:val="lt-LT" w:eastAsia="en-IN"/>
              </w:rPr>
              <w:t>ir</w:t>
            </w:r>
            <w:r w:rsidRPr="001839C2">
              <w:rPr>
                <w:rFonts w:eastAsiaTheme="minorEastAsia"/>
                <w:snapToGrid/>
                <w:szCs w:val="22"/>
                <w:lang w:val="lt-LT" w:eastAsia="en-IN"/>
              </w:rPr>
              <w:t xml:space="preserve"> ritonaviro</w:t>
            </w:r>
            <w:r w:rsidR="009B6A35"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vartojimo kartu padidėjusi tenofoviro koncentracija plazmoje gali padidinti su tenofovir</w:t>
            </w:r>
            <w:r w:rsidR="009B6A35"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susijusias nepageidaujamas reakcijas, įskaitant inkstų sutrikimus. Tenofoviro dizoproksilio saugumas vartojant kartu su sofosbuvir</w:t>
            </w:r>
            <w:r w:rsidR="009B6A35"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9B6A35" w:rsidRPr="001839C2">
              <w:rPr>
                <w:rFonts w:eastAsiaTheme="minorEastAsia"/>
                <w:snapToGrid/>
                <w:szCs w:val="22"/>
                <w:lang w:val="lt-LT" w:eastAsia="en-IN"/>
              </w:rPr>
              <w:t>ir</w:t>
            </w:r>
            <w:r w:rsidRPr="001839C2">
              <w:rPr>
                <w:rFonts w:eastAsiaTheme="minorEastAsia"/>
                <w:snapToGrid/>
                <w:szCs w:val="22"/>
                <w:lang w:val="lt-LT" w:eastAsia="en-IN"/>
              </w:rPr>
              <w:t xml:space="preserve"> velpatasvir</w:t>
            </w:r>
            <w:r w:rsidR="009B6A35" w:rsidRPr="001839C2">
              <w:rPr>
                <w:rFonts w:eastAsiaTheme="minorEastAsia"/>
                <w:snapToGrid/>
                <w:szCs w:val="22"/>
                <w:lang w:val="lt-LT" w:eastAsia="en-IN"/>
              </w:rPr>
              <w:t>o deriniu</w:t>
            </w:r>
            <w:r w:rsidRPr="001839C2">
              <w:rPr>
                <w:rFonts w:eastAsiaTheme="minorEastAsia"/>
                <w:snapToGrid/>
                <w:szCs w:val="22"/>
                <w:lang w:val="lt-LT" w:eastAsia="en-IN"/>
              </w:rPr>
              <w:t xml:space="preserve"> ir farmakokinetiką stiprinančia medžiaga (pvz., ritonaviru arba kobicistatu) neištirtas.</w:t>
            </w:r>
          </w:p>
          <w:p w14:paraId="7897E803" w14:textId="77777777" w:rsidR="00FF7162" w:rsidRPr="001839C2" w:rsidRDefault="00FF716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6ACC076" w14:textId="77777777" w:rsidR="00FF7162" w:rsidRPr="001839C2" w:rsidRDefault="00FF7162" w:rsidP="009B6A35">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Tok</w:t>
            </w:r>
            <w:r w:rsidR="00E21FD5" w:rsidRPr="001839C2">
              <w:rPr>
                <w:rFonts w:eastAsiaTheme="minorEastAsia"/>
                <w:snapToGrid/>
                <w:szCs w:val="22"/>
                <w:lang w:val="lt-LT" w:eastAsia="en-IN"/>
              </w:rPr>
              <w:t>io</w:t>
            </w:r>
            <w:r w:rsidRPr="001839C2">
              <w:rPr>
                <w:rFonts w:eastAsiaTheme="minorEastAsia"/>
                <w:snapToGrid/>
                <w:szCs w:val="22"/>
                <w:lang w:val="lt-LT" w:eastAsia="en-IN"/>
              </w:rPr>
              <w:t xml:space="preserve"> derin</w:t>
            </w:r>
            <w:r w:rsidR="00E21FD5" w:rsidRPr="001839C2">
              <w:rPr>
                <w:rFonts w:eastAsiaTheme="minorEastAsia"/>
                <w:snapToGrid/>
                <w:szCs w:val="22"/>
                <w:lang w:val="lt-LT" w:eastAsia="en-IN"/>
              </w:rPr>
              <w:t>io</w:t>
            </w:r>
            <w:r w:rsidRPr="001839C2">
              <w:rPr>
                <w:rFonts w:eastAsiaTheme="minorEastAsia"/>
                <w:snapToGrid/>
                <w:szCs w:val="22"/>
                <w:lang w:val="lt-LT" w:eastAsia="en-IN"/>
              </w:rPr>
              <w:t xml:space="preserve"> reikia vartoti atsargiai, dažnai tikrinant inkstų veiklą (žr.</w:t>
            </w:r>
            <w:r w:rsidR="009B6A35" w:rsidRPr="001839C2">
              <w:rPr>
                <w:rFonts w:eastAsiaTheme="minorEastAsia"/>
                <w:snapToGrid/>
                <w:szCs w:val="22"/>
                <w:lang w:val="lt-LT" w:eastAsia="en-IN"/>
              </w:rPr>
              <w:t> </w:t>
            </w:r>
            <w:r w:rsidRPr="001839C2">
              <w:rPr>
                <w:rFonts w:eastAsiaTheme="minorEastAsia"/>
                <w:snapToGrid/>
                <w:szCs w:val="22"/>
                <w:lang w:val="lt-LT" w:eastAsia="en-IN"/>
              </w:rPr>
              <w:t>4.4</w:t>
            </w:r>
            <w:r w:rsidR="009B6A35"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CC78F8" w:rsidRPr="00686907" w14:paraId="4F59E71C"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76A9844A"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Sofosbuviro ir velpatasviro derinys</w:t>
            </w:r>
          </w:p>
          <w:p w14:paraId="6044F9ED"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(400 mg/100 mg q.d.)</w:t>
            </w:r>
          </w:p>
          <w:p w14:paraId="5134DA6E"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73AC85ED"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Darunaviro ir ritonaviro derinys</w:t>
            </w:r>
          </w:p>
          <w:p w14:paraId="3C9AB861"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(800 mg q.d./100 m q.d.)</w:t>
            </w:r>
          </w:p>
          <w:p w14:paraId="16A02EA4"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1A2A1568"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Emtricitabino ir tenofoviro dizoproksilio derinys</w:t>
            </w:r>
          </w:p>
          <w:p w14:paraId="5B8409BA" w14:textId="77777777" w:rsidR="00CC78F8" w:rsidRPr="001839C2" w:rsidRDefault="00CC78F8" w:rsidP="00CC78F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 mg/245 mg q.d.)</w:t>
            </w:r>
          </w:p>
        </w:tc>
        <w:tc>
          <w:tcPr>
            <w:tcW w:w="3351" w:type="dxa"/>
            <w:tcBorders>
              <w:top w:val="single" w:sz="4" w:space="0" w:color="auto"/>
              <w:left w:val="single" w:sz="4" w:space="0" w:color="000000"/>
              <w:bottom w:val="single" w:sz="4" w:space="0" w:color="auto"/>
              <w:right w:val="single" w:sz="4" w:space="0" w:color="000000"/>
            </w:tcBorders>
          </w:tcPr>
          <w:p w14:paraId="73760154"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111DEEC7"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28 % (nuo ↓ 34 iki ↓ 20)</w:t>
            </w:r>
          </w:p>
          <w:p w14:paraId="445DF420"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38 % (nuo ↓ 46 iki ↓ 29)</w:t>
            </w:r>
          </w:p>
          <w:p w14:paraId="636B536D"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76C7AB4"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Pr="001839C2">
              <w:rPr>
                <w:rFonts w:eastAsiaTheme="minorEastAsia"/>
                <w:i/>
                <w:snapToGrid/>
                <w:szCs w:val="22"/>
                <w:u w:val="single"/>
                <w:lang w:val="lt-LT" w:eastAsia="en-IN"/>
              </w:rPr>
              <w:noBreakHyphen/>
              <w:t>331007</w:t>
            </w:r>
            <w:r w:rsidRPr="001839C2">
              <w:rPr>
                <w:rFonts w:eastAsiaTheme="minorEastAsia"/>
                <w:snapToGrid/>
                <w:szCs w:val="22"/>
                <w:vertAlign w:val="superscript"/>
                <w:lang w:val="lt-LT" w:eastAsia="en-IN"/>
              </w:rPr>
              <w:t>2</w:t>
            </w:r>
          </w:p>
          <w:p w14:paraId="07AC19C5"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70654DE4"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96A0DEC"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4A51EBA"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D98B97B"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Velpatasviras</w:t>
            </w:r>
          </w:p>
          <w:p w14:paraId="6710A3E2"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46C0D37"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24 % (nuo ↓ 35 iki ↓ 11)</w:t>
            </w:r>
          </w:p>
          <w:p w14:paraId="4043B0FA"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FE930EC"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006C03A"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Darunaviras</w:t>
            </w:r>
          </w:p>
          <w:p w14:paraId="0E093988"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12F0BC53"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38756C2F"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0BC40B1D"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AEB084F"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Ritonaviras</w:t>
            </w:r>
          </w:p>
          <w:p w14:paraId="25AAC86B"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23D78551"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1E22431A"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23750BA6"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5C4C928E"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009F34B8"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76B6363B"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474B68E6"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3304217D"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0857B65"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5BDBBA5D" w14:textId="77777777" w:rsidR="00CC78F8" w:rsidRPr="001839C2" w:rsidRDefault="00CC78F8" w:rsidP="00CC78F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39 % (nuo ↑ 33 iki ↑ 44)</w:t>
            </w:r>
          </w:p>
          <w:p w14:paraId="17897879" w14:textId="77777777" w:rsidR="00CC78F8" w:rsidRPr="001839C2" w:rsidRDefault="00CC78F8" w:rsidP="00CC78F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55 % (nuo ↑ 45 iki ↑ 66)</w:t>
            </w:r>
          </w:p>
          <w:p w14:paraId="0FDF8902" w14:textId="77777777" w:rsidR="00CC78F8" w:rsidRPr="001839C2" w:rsidRDefault="00CC78F8" w:rsidP="00CC78F8">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52 % (nuo ↑ 45 iki ↑ 59)</w:t>
            </w:r>
          </w:p>
        </w:tc>
        <w:tc>
          <w:tcPr>
            <w:tcW w:w="2422" w:type="dxa"/>
            <w:tcBorders>
              <w:top w:val="single" w:sz="4" w:space="0" w:color="auto"/>
              <w:left w:val="single" w:sz="4" w:space="0" w:color="000000"/>
              <w:bottom w:val="single" w:sz="4" w:space="0" w:color="auto"/>
              <w:right w:val="single" w:sz="4" w:space="0" w:color="000000"/>
            </w:tcBorders>
          </w:tcPr>
          <w:p w14:paraId="0D97DD68"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Dėl tenofoviro dizoproksilio, sofosbuviro </w:t>
            </w:r>
            <w:r w:rsidR="00720543" w:rsidRPr="001839C2">
              <w:rPr>
                <w:rFonts w:eastAsiaTheme="minorEastAsia"/>
                <w:snapToGrid/>
                <w:szCs w:val="22"/>
                <w:lang w:val="lt-LT" w:eastAsia="en-IN"/>
              </w:rPr>
              <w:t>ir</w:t>
            </w:r>
            <w:r w:rsidRPr="001839C2">
              <w:rPr>
                <w:rFonts w:eastAsiaTheme="minorEastAsia"/>
                <w:snapToGrid/>
                <w:szCs w:val="22"/>
                <w:lang w:val="lt-LT" w:eastAsia="en-IN"/>
              </w:rPr>
              <w:t xml:space="preserve"> velpatasviro</w:t>
            </w:r>
            <w:r w:rsidR="00720543"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ir darunaviro </w:t>
            </w:r>
            <w:r w:rsidR="00720543" w:rsidRPr="001839C2">
              <w:rPr>
                <w:rFonts w:eastAsiaTheme="minorEastAsia"/>
                <w:snapToGrid/>
                <w:szCs w:val="22"/>
                <w:lang w:val="lt-LT" w:eastAsia="en-IN"/>
              </w:rPr>
              <w:t>ir</w:t>
            </w:r>
            <w:r w:rsidRPr="001839C2">
              <w:rPr>
                <w:rFonts w:eastAsiaTheme="minorEastAsia"/>
                <w:snapToGrid/>
                <w:szCs w:val="22"/>
                <w:lang w:val="lt-LT" w:eastAsia="en-IN"/>
              </w:rPr>
              <w:t xml:space="preserve"> ritonaviro</w:t>
            </w:r>
            <w:r w:rsidR="00720543"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vartojimo kartu padidėjusi tenofoviro koncentracija plazmoje gali padidinti su tenofovir</w:t>
            </w:r>
            <w:r w:rsidR="00720543"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susijusias nepageidaujamas reakcijas, įskaitant inkstų sutrikimus. Tenofoviro dizoproksilio saugumas vartojant kartu su sofosbuvir</w:t>
            </w:r>
            <w:r w:rsidR="00720543"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720543" w:rsidRPr="001839C2">
              <w:rPr>
                <w:rFonts w:eastAsiaTheme="minorEastAsia"/>
                <w:snapToGrid/>
                <w:szCs w:val="22"/>
                <w:lang w:val="lt-LT" w:eastAsia="en-IN"/>
              </w:rPr>
              <w:t>ir</w:t>
            </w:r>
            <w:r w:rsidRPr="001839C2">
              <w:rPr>
                <w:rFonts w:eastAsiaTheme="minorEastAsia"/>
                <w:snapToGrid/>
                <w:szCs w:val="22"/>
                <w:lang w:val="lt-LT" w:eastAsia="en-IN"/>
              </w:rPr>
              <w:t xml:space="preserve"> velpatasvir</w:t>
            </w:r>
            <w:r w:rsidR="00720543" w:rsidRPr="001839C2">
              <w:rPr>
                <w:rFonts w:eastAsiaTheme="minorEastAsia"/>
                <w:snapToGrid/>
                <w:szCs w:val="22"/>
                <w:lang w:val="lt-LT" w:eastAsia="en-IN"/>
              </w:rPr>
              <w:t>o derini</w:t>
            </w:r>
            <w:r w:rsidRPr="001839C2">
              <w:rPr>
                <w:rFonts w:eastAsiaTheme="minorEastAsia"/>
                <w:snapToGrid/>
                <w:szCs w:val="22"/>
                <w:lang w:val="lt-LT" w:eastAsia="en-IN"/>
              </w:rPr>
              <w:t>u ir farmakokinetiką stiprinančia medžiaga (pvz., ritonaviru arba kobicistatu) neištirtas.</w:t>
            </w:r>
          </w:p>
          <w:p w14:paraId="1615A3CB" w14:textId="77777777" w:rsidR="00CC78F8" w:rsidRPr="001839C2" w:rsidRDefault="00CC78F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57396163" w14:textId="77777777" w:rsidR="00CC78F8" w:rsidRPr="001839C2" w:rsidRDefault="00CC78F8" w:rsidP="00230559">
            <w:pPr>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Tok</w:t>
            </w:r>
            <w:r w:rsidR="00A87BDF" w:rsidRPr="001839C2">
              <w:rPr>
                <w:rFonts w:eastAsiaTheme="minorEastAsia"/>
                <w:snapToGrid/>
                <w:szCs w:val="22"/>
                <w:lang w:val="lt-LT" w:eastAsia="en-IN"/>
              </w:rPr>
              <w:t>io</w:t>
            </w:r>
            <w:r w:rsidRPr="001839C2">
              <w:rPr>
                <w:rFonts w:eastAsiaTheme="minorEastAsia"/>
                <w:snapToGrid/>
                <w:szCs w:val="22"/>
                <w:lang w:val="lt-LT" w:eastAsia="en-IN"/>
              </w:rPr>
              <w:t xml:space="preserve"> derin</w:t>
            </w:r>
            <w:r w:rsidR="00A87BDF" w:rsidRPr="001839C2">
              <w:rPr>
                <w:rFonts w:eastAsiaTheme="minorEastAsia"/>
                <w:snapToGrid/>
                <w:szCs w:val="22"/>
                <w:lang w:val="lt-LT" w:eastAsia="en-IN"/>
              </w:rPr>
              <w:t>io</w:t>
            </w:r>
            <w:r w:rsidRPr="001839C2">
              <w:rPr>
                <w:rFonts w:eastAsiaTheme="minorEastAsia"/>
                <w:snapToGrid/>
                <w:szCs w:val="22"/>
                <w:lang w:val="lt-LT" w:eastAsia="en-IN"/>
              </w:rPr>
              <w:t xml:space="preserve"> reikia vartoti atsargiai, dažnai tikrinant inkstų veiklą (žr.</w:t>
            </w:r>
            <w:r w:rsidR="00720543" w:rsidRPr="001839C2">
              <w:rPr>
                <w:rFonts w:eastAsiaTheme="minorEastAsia"/>
                <w:snapToGrid/>
                <w:szCs w:val="22"/>
                <w:lang w:val="lt-LT" w:eastAsia="en-IN"/>
              </w:rPr>
              <w:t> </w:t>
            </w:r>
            <w:r w:rsidRPr="001839C2">
              <w:rPr>
                <w:rFonts w:eastAsiaTheme="minorEastAsia"/>
                <w:snapToGrid/>
                <w:szCs w:val="22"/>
                <w:lang w:val="lt-LT" w:eastAsia="en-IN"/>
              </w:rPr>
              <w:t>4.4</w:t>
            </w:r>
            <w:r w:rsidR="00720543"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4C4831" w:rsidRPr="00686907" w14:paraId="02383A18"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4703F656"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Sofosbuviro ir velpatasviro derinys</w:t>
            </w:r>
          </w:p>
          <w:p w14:paraId="7E0E20EC"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(400 mg/100 mg q.d.)</w:t>
            </w:r>
          </w:p>
          <w:p w14:paraId="7F11FC36"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700594D5"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Lopinaviro ir ritonaviro derinys (800 mg/200 mg</w:t>
            </w:r>
            <w:r w:rsidR="00D6492D" w:rsidRPr="001839C2">
              <w:rPr>
                <w:rFonts w:eastAsiaTheme="minorEastAsia"/>
                <w:snapToGrid/>
                <w:szCs w:val="22"/>
                <w:lang w:val="lt-LT" w:eastAsia="en-IN"/>
              </w:rPr>
              <w:t> </w:t>
            </w:r>
            <w:r w:rsidRPr="001839C2">
              <w:rPr>
                <w:rFonts w:eastAsiaTheme="minorEastAsia"/>
                <w:snapToGrid/>
                <w:szCs w:val="22"/>
                <w:lang w:val="lt-LT" w:eastAsia="en-IN"/>
              </w:rPr>
              <w:t>q.d.)</w:t>
            </w:r>
          </w:p>
          <w:p w14:paraId="212B9AE7"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20E25C92"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Emtricitabino ir tenofoviro dizoproksilio derinys</w:t>
            </w:r>
          </w:p>
          <w:p w14:paraId="27061FE9" w14:textId="77777777" w:rsidR="004C4831" w:rsidRPr="001839C2" w:rsidRDefault="004C4831" w:rsidP="0005472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 mg/245 mg q.d.)</w:t>
            </w:r>
          </w:p>
        </w:tc>
        <w:tc>
          <w:tcPr>
            <w:tcW w:w="3351" w:type="dxa"/>
            <w:tcBorders>
              <w:top w:val="single" w:sz="4" w:space="0" w:color="auto"/>
              <w:left w:val="single" w:sz="4" w:space="0" w:color="000000"/>
              <w:bottom w:val="single" w:sz="4" w:space="0" w:color="auto"/>
              <w:right w:val="single" w:sz="4" w:space="0" w:color="000000"/>
            </w:tcBorders>
          </w:tcPr>
          <w:p w14:paraId="31030370"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5BA7B8B3"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29 % (nuo ↓ 36 iki ↓ 22)</w:t>
            </w:r>
          </w:p>
          <w:p w14:paraId="4C65A323"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41 % (nuo ↓ 51 iki ↓ 29)</w:t>
            </w:r>
          </w:p>
          <w:p w14:paraId="72305612"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362E102"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Pr="001839C2">
              <w:rPr>
                <w:rFonts w:eastAsiaTheme="minorEastAsia"/>
                <w:i/>
                <w:snapToGrid/>
                <w:szCs w:val="22"/>
                <w:u w:val="single"/>
                <w:lang w:val="lt-LT" w:eastAsia="en-IN"/>
              </w:rPr>
              <w:noBreakHyphen/>
              <w:t>331007</w:t>
            </w:r>
            <w:r w:rsidRPr="001839C2">
              <w:rPr>
                <w:rFonts w:eastAsiaTheme="minorEastAsia"/>
                <w:snapToGrid/>
                <w:szCs w:val="22"/>
                <w:vertAlign w:val="superscript"/>
                <w:lang w:val="lt-LT" w:eastAsia="en-IN"/>
              </w:rPr>
              <w:t>2</w:t>
            </w:r>
          </w:p>
          <w:p w14:paraId="435ED5EE"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2841DAE3"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0176FEA0"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4D12F087"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AA251EB"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Velpatasviras</w:t>
            </w:r>
          </w:p>
          <w:p w14:paraId="702D98BB"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AUC: ↔</w:t>
            </w:r>
          </w:p>
          <w:p w14:paraId="20494183"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30 % (nuo ↓ 41 iki ↓ 17)</w:t>
            </w:r>
          </w:p>
          <w:p w14:paraId="3562F091"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63 % (nuo ↑ 43 iki ↑ 85)</w:t>
            </w:r>
          </w:p>
          <w:p w14:paraId="2FB3CA6F"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F69E369"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Lopinaviras</w:t>
            </w:r>
          </w:p>
          <w:p w14:paraId="3C45F9E1"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638FF232"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244B509E"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86078D0"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807C557"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Ritonaviras</w:t>
            </w:r>
          </w:p>
          <w:p w14:paraId="4D2A6529"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6E77A577"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F13C2AF"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3420A88A"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3EE7E70"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4F757364"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67D8A1F6"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CCA4403"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6A02BA3"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9B6F27D"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7A81A35D"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5A650DA9"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42 % (nuo ↑ 27 iki ↑ 57)</w:t>
            </w:r>
          </w:p>
          <w:p w14:paraId="71C9F55E" w14:textId="77777777" w:rsidR="004C4831" w:rsidRPr="001839C2" w:rsidRDefault="004C4831" w:rsidP="00054728">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tc>
        <w:tc>
          <w:tcPr>
            <w:tcW w:w="2422" w:type="dxa"/>
            <w:tcBorders>
              <w:top w:val="single" w:sz="4" w:space="0" w:color="auto"/>
              <w:left w:val="single" w:sz="4" w:space="0" w:color="000000"/>
              <w:bottom w:val="single" w:sz="4" w:space="0" w:color="auto"/>
              <w:right w:val="single" w:sz="4" w:space="0" w:color="000000"/>
            </w:tcBorders>
          </w:tcPr>
          <w:p w14:paraId="6BD70358"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 xml:space="preserve">Dėl tenofoviro dizoproksilio, sofosbuviro ir velpatasviro derinio ir lopinaviro ir ritonaviro derinio vartojimo kartu padidėjusi tenofoviro koncentracija plazmoje gali </w:t>
            </w:r>
            <w:r w:rsidR="00073E58" w:rsidRPr="001839C2">
              <w:rPr>
                <w:rFonts w:eastAsiaTheme="minorEastAsia"/>
                <w:snapToGrid/>
                <w:szCs w:val="22"/>
                <w:lang w:val="lt-LT" w:eastAsia="en-IN"/>
              </w:rPr>
              <w:t>sust</w:t>
            </w:r>
            <w:r w:rsidRPr="001839C2">
              <w:rPr>
                <w:rFonts w:eastAsiaTheme="minorEastAsia"/>
                <w:snapToGrid/>
                <w:szCs w:val="22"/>
                <w:lang w:val="lt-LT" w:eastAsia="en-IN"/>
              </w:rPr>
              <w:t>i</w:t>
            </w:r>
            <w:r w:rsidR="00073E58" w:rsidRPr="001839C2">
              <w:rPr>
                <w:rFonts w:eastAsiaTheme="minorEastAsia"/>
                <w:snapToGrid/>
                <w:szCs w:val="22"/>
                <w:lang w:val="lt-LT" w:eastAsia="en-IN"/>
              </w:rPr>
              <w:t>pr</w:t>
            </w:r>
            <w:r w:rsidRPr="001839C2">
              <w:rPr>
                <w:rFonts w:eastAsiaTheme="minorEastAsia"/>
                <w:snapToGrid/>
                <w:szCs w:val="22"/>
                <w:lang w:val="lt-LT" w:eastAsia="en-IN"/>
              </w:rPr>
              <w:t>inti su tenofovir</w:t>
            </w:r>
            <w:r w:rsidR="00574DE6"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w:t>
            </w:r>
            <w:r w:rsidRPr="001839C2">
              <w:rPr>
                <w:rFonts w:eastAsiaTheme="minorEastAsia"/>
                <w:snapToGrid/>
                <w:szCs w:val="22"/>
                <w:lang w:val="lt-LT" w:eastAsia="en-IN"/>
              </w:rPr>
              <w:lastRenderedPageBreak/>
              <w:t>susijusias nepageidaujamas reakcijas, įskaitant inkstų sutrikimus. Tenofoviro dizoproksilio saugumas vartojant kartu su sofosbuvir</w:t>
            </w:r>
            <w:r w:rsidR="00574DE6"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574DE6" w:rsidRPr="001839C2">
              <w:rPr>
                <w:rFonts w:eastAsiaTheme="minorEastAsia"/>
                <w:snapToGrid/>
                <w:szCs w:val="22"/>
                <w:lang w:val="lt-LT" w:eastAsia="en-IN"/>
              </w:rPr>
              <w:t>ir</w:t>
            </w:r>
            <w:r w:rsidRPr="001839C2">
              <w:rPr>
                <w:rFonts w:eastAsiaTheme="minorEastAsia"/>
                <w:snapToGrid/>
                <w:szCs w:val="22"/>
                <w:lang w:val="lt-LT" w:eastAsia="en-IN"/>
              </w:rPr>
              <w:t xml:space="preserve"> velpatasvir</w:t>
            </w:r>
            <w:r w:rsidR="00574DE6" w:rsidRPr="001839C2">
              <w:rPr>
                <w:rFonts w:eastAsiaTheme="minorEastAsia"/>
                <w:snapToGrid/>
                <w:szCs w:val="22"/>
                <w:lang w:val="lt-LT" w:eastAsia="en-IN"/>
              </w:rPr>
              <w:t>o deriniu</w:t>
            </w:r>
            <w:r w:rsidRPr="001839C2">
              <w:rPr>
                <w:rFonts w:eastAsiaTheme="minorEastAsia"/>
                <w:snapToGrid/>
                <w:szCs w:val="22"/>
                <w:lang w:val="lt-LT" w:eastAsia="en-IN"/>
              </w:rPr>
              <w:t xml:space="preserve"> ir farmakokinetiką stiprinančia medžiaga (pvz., ritonaviru arba kobicistatu) neištirtas.</w:t>
            </w:r>
          </w:p>
          <w:p w14:paraId="32A82BE6" w14:textId="77777777" w:rsidR="004C4831" w:rsidRPr="001839C2" w:rsidRDefault="004C483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8A8E3CD" w14:textId="77777777" w:rsidR="004C4831" w:rsidRPr="001839C2" w:rsidRDefault="004C4831" w:rsidP="0005472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Tok</w:t>
            </w:r>
            <w:r w:rsidR="00D6492D" w:rsidRPr="001839C2">
              <w:rPr>
                <w:rFonts w:eastAsiaTheme="minorEastAsia"/>
                <w:snapToGrid/>
                <w:szCs w:val="22"/>
                <w:lang w:val="lt-LT" w:eastAsia="en-IN"/>
              </w:rPr>
              <w:t>io</w:t>
            </w:r>
            <w:r w:rsidRPr="001839C2">
              <w:rPr>
                <w:rFonts w:eastAsiaTheme="minorEastAsia"/>
                <w:snapToGrid/>
                <w:szCs w:val="22"/>
                <w:lang w:val="lt-LT" w:eastAsia="en-IN"/>
              </w:rPr>
              <w:t xml:space="preserve"> derin</w:t>
            </w:r>
            <w:r w:rsidR="00D6492D" w:rsidRPr="001839C2">
              <w:rPr>
                <w:rFonts w:eastAsiaTheme="minorEastAsia"/>
                <w:snapToGrid/>
                <w:szCs w:val="22"/>
                <w:lang w:val="lt-LT" w:eastAsia="en-IN"/>
              </w:rPr>
              <w:t>io</w:t>
            </w:r>
            <w:r w:rsidRPr="001839C2">
              <w:rPr>
                <w:rFonts w:eastAsiaTheme="minorEastAsia"/>
                <w:snapToGrid/>
                <w:szCs w:val="22"/>
                <w:lang w:val="lt-LT" w:eastAsia="en-IN"/>
              </w:rPr>
              <w:t xml:space="preserve"> reikia vartoti atsargiai, dažnai tikrinant inkstų veiklą (žr.</w:t>
            </w:r>
            <w:r w:rsidR="00574DE6" w:rsidRPr="001839C2">
              <w:rPr>
                <w:rFonts w:eastAsiaTheme="minorEastAsia"/>
                <w:snapToGrid/>
                <w:szCs w:val="22"/>
                <w:lang w:val="lt-LT" w:eastAsia="en-IN"/>
              </w:rPr>
              <w:t> </w:t>
            </w:r>
            <w:r w:rsidRPr="001839C2">
              <w:rPr>
                <w:rFonts w:eastAsiaTheme="minorEastAsia"/>
                <w:snapToGrid/>
                <w:szCs w:val="22"/>
                <w:lang w:val="lt-LT" w:eastAsia="en-IN"/>
              </w:rPr>
              <w:t>4.4</w:t>
            </w:r>
            <w:r w:rsidR="00574DE6"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054728" w:rsidRPr="001839C2" w14:paraId="05F2BB89"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42195FB1"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Sofosbuviro ir velpatasviro derinys</w:t>
            </w:r>
          </w:p>
          <w:p w14:paraId="6278F340"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(400 mg/100 mg q.d.)</w:t>
            </w:r>
          </w:p>
          <w:p w14:paraId="5518C8F2"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32E1DEEE"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Raltegraviras</w:t>
            </w:r>
          </w:p>
          <w:p w14:paraId="1E322356"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(400 mg b.i.d)</w:t>
            </w:r>
          </w:p>
          <w:p w14:paraId="048249AD"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15512481"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Emtricitabino ir tenofoviro dizoproksilio derinys</w:t>
            </w:r>
          </w:p>
          <w:p w14:paraId="64F2143F" w14:textId="77777777" w:rsidR="00054728" w:rsidRPr="001839C2" w:rsidRDefault="00054728" w:rsidP="0005472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 mg/245 mg q.d.)</w:t>
            </w:r>
          </w:p>
        </w:tc>
        <w:tc>
          <w:tcPr>
            <w:tcW w:w="3351" w:type="dxa"/>
            <w:tcBorders>
              <w:top w:val="single" w:sz="4" w:space="0" w:color="auto"/>
              <w:left w:val="single" w:sz="4" w:space="0" w:color="000000"/>
              <w:bottom w:val="single" w:sz="4" w:space="0" w:color="auto"/>
              <w:right w:val="single" w:sz="4" w:space="0" w:color="000000"/>
            </w:tcBorders>
          </w:tcPr>
          <w:p w14:paraId="35FF953F"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290D5BFE"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08EEB68"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05E996E1"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D4DDBA7" w14:textId="77777777" w:rsidR="00054728" w:rsidRPr="001839C2" w:rsidRDefault="00054728" w:rsidP="00230559">
            <w:pPr>
              <w:keepNext/>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Pr="001839C2">
              <w:rPr>
                <w:rFonts w:eastAsiaTheme="minorEastAsia"/>
                <w:i/>
                <w:snapToGrid/>
                <w:szCs w:val="22"/>
                <w:u w:val="single"/>
                <w:lang w:val="lt-LT" w:eastAsia="en-IN"/>
              </w:rPr>
              <w:noBreakHyphen/>
              <w:t>331007</w:t>
            </w:r>
            <w:r w:rsidRPr="001839C2">
              <w:rPr>
                <w:rFonts w:eastAsiaTheme="minorEastAsia"/>
                <w:snapToGrid/>
                <w:szCs w:val="22"/>
                <w:vertAlign w:val="superscript"/>
                <w:lang w:val="lt-LT" w:eastAsia="en-IN"/>
              </w:rPr>
              <w:t>2</w:t>
            </w:r>
          </w:p>
          <w:p w14:paraId="5EF0778E"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A27741A"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669DEA67"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53364CE8"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53131CD"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Velpatasviras</w:t>
            </w:r>
          </w:p>
          <w:p w14:paraId="2B50774A"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8FD285A"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3301CFB3"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6789D90C"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E588517"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Raltegraviras</w:t>
            </w:r>
          </w:p>
          <w:p w14:paraId="14F69422"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529D887C"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0089D65E"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21 % (nuo ↓ 58 iki ↑ 48)</w:t>
            </w:r>
          </w:p>
          <w:p w14:paraId="42F1750B"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423F6DF"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32C2A014"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6F83FBA6"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355A0E16"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5ADB225B"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3C1D806"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5E892549" w14:textId="77777777" w:rsidR="00054728" w:rsidRPr="001839C2" w:rsidRDefault="00054728" w:rsidP="00621A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 40 % (nuo ↑ 34 iki ↑ 45)</w:t>
            </w:r>
          </w:p>
          <w:p w14:paraId="4E6849D2" w14:textId="77777777" w:rsidR="00054728" w:rsidRPr="001839C2" w:rsidRDefault="00054728" w:rsidP="00621A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 46 % (nuo ↑ 39 iki ↑ 54)</w:t>
            </w:r>
          </w:p>
          <w:p w14:paraId="11E4D123" w14:textId="77777777" w:rsidR="00054728" w:rsidRPr="001839C2" w:rsidRDefault="00054728" w:rsidP="00AC57A5">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 70 % (nuo ↑ 61 iki ↑ 79)</w:t>
            </w:r>
          </w:p>
        </w:tc>
        <w:tc>
          <w:tcPr>
            <w:tcW w:w="2422" w:type="dxa"/>
            <w:tcBorders>
              <w:top w:val="single" w:sz="4" w:space="0" w:color="auto"/>
              <w:left w:val="single" w:sz="4" w:space="0" w:color="000000"/>
              <w:bottom w:val="single" w:sz="4" w:space="0" w:color="auto"/>
              <w:right w:val="single" w:sz="4" w:space="0" w:color="000000"/>
            </w:tcBorders>
          </w:tcPr>
          <w:p w14:paraId="1237E902" w14:textId="77777777" w:rsidR="00054728" w:rsidRPr="001839C2" w:rsidRDefault="00054728" w:rsidP="00230559">
            <w:pPr>
              <w:widowControl w:val="0"/>
              <w:tabs>
                <w:tab w:val="clear" w:pos="567"/>
                <w:tab w:val="left" w:pos="0"/>
              </w:tabs>
              <w:kinsoku w:val="0"/>
              <w:overflowPunct w:val="0"/>
              <w:autoSpaceDE w:val="0"/>
              <w:autoSpaceDN w:val="0"/>
              <w:adjustRightInd w:val="0"/>
              <w:ind w:right="127"/>
              <w:rPr>
                <w:rFonts w:eastAsiaTheme="minorEastAsia"/>
                <w:snapToGrid/>
                <w:szCs w:val="22"/>
                <w:lang w:val="lt-LT" w:eastAsia="en-IN"/>
              </w:rPr>
            </w:pPr>
            <w:r w:rsidRPr="001839C2">
              <w:rPr>
                <w:rFonts w:eastAsiaTheme="minorEastAsia"/>
                <w:snapToGrid/>
                <w:szCs w:val="22"/>
                <w:lang w:val="lt-LT" w:eastAsia="en-IN"/>
              </w:rPr>
              <w:lastRenderedPageBreak/>
              <w:t>Dozės koreguoti nerekomenduojama. Padidėjus tenofoviro ekspozicijai gali sustiprėti su tenofoviru dizoproksiliu susijusios nepageidaujamos reakcijos, įskaitant inkstų sutrikimus.</w:t>
            </w:r>
            <w:r w:rsidR="001325B2" w:rsidRPr="001839C2">
              <w:rPr>
                <w:rFonts w:eastAsiaTheme="minorEastAsia"/>
                <w:snapToGrid/>
                <w:szCs w:val="22"/>
                <w:lang w:val="lt-LT" w:eastAsia="en-IN"/>
              </w:rPr>
              <w:t xml:space="preserve"> </w:t>
            </w:r>
            <w:r w:rsidRPr="001839C2">
              <w:rPr>
                <w:rFonts w:eastAsiaTheme="minorEastAsia"/>
                <w:snapToGrid/>
                <w:szCs w:val="22"/>
                <w:lang w:val="lt-LT" w:eastAsia="en-IN"/>
              </w:rPr>
              <w:t>Reikia atidžiai stebėti inkstų funkciją (žr.</w:t>
            </w:r>
            <w:r w:rsidR="001325B2" w:rsidRPr="001839C2">
              <w:rPr>
                <w:rFonts w:eastAsiaTheme="minorEastAsia"/>
                <w:snapToGrid/>
                <w:szCs w:val="22"/>
                <w:lang w:val="lt-LT" w:eastAsia="en-IN"/>
              </w:rPr>
              <w:t> </w:t>
            </w:r>
            <w:r w:rsidRPr="001839C2">
              <w:rPr>
                <w:rFonts w:eastAsiaTheme="minorEastAsia"/>
                <w:snapToGrid/>
                <w:szCs w:val="22"/>
                <w:lang w:val="lt-LT" w:eastAsia="en-IN"/>
              </w:rPr>
              <w:t>4.4</w:t>
            </w:r>
            <w:r w:rsidR="001325B2"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054728" w:rsidRPr="00686907" w14:paraId="426B411A"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4C112706" w14:textId="77777777" w:rsidR="001325B2"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Sofosbuvir</w:t>
            </w:r>
            <w:r w:rsidR="001325B2"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1325B2" w:rsidRPr="001839C2">
              <w:rPr>
                <w:rFonts w:eastAsiaTheme="minorEastAsia"/>
                <w:snapToGrid/>
                <w:szCs w:val="22"/>
                <w:lang w:val="lt-LT" w:eastAsia="en-IN"/>
              </w:rPr>
              <w:t>ir</w:t>
            </w:r>
            <w:r w:rsidRPr="001839C2">
              <w:rPr>
                <w:rFonts w:eastAsiaTheme="minorEastAsia"/>
                <w:snapToGrid/>
                <w:szCs w:val="22"/>
                <w:lang w:val="lt-LT" w:eastAsia="en-IN"/>
              </w:rPr>
              <w:t xml:space="preserve"> velpatasvir</w:t>
            </w:r>
            <w:r w:rsidR="001325B2" w:rsidRPr="001839C2">
              <w:rPr>
                <w:rFonts w:eastAsiaTheme="minorEastAsia"/>
                <w:snapToGrid/>
                <w:szCs w:val="22"/>
                <w:lang w:val="lt-LT" w:eastAsia="en-IN"/>
              </w:rPr>
              <w:t>o deriny</w:t>
            </w:r>
            <w:r w:rsidRPr="001839C2">
              <w:rPr>
                <w:rFonts w:eastAsiaTheme="minorEastAsia"/>
                <w:snapToGrid/>
                <w:szCs w:val="22"/>
                <w:lang w:val="lt-LT" w:eastAsia="en-IN"/>
              </w:rPr>
              <w:t>s</w:t>
            </w:r>
          </w:p>
          <w:p w14:paraId="4912EA1F" w14:textId="77777777" w:rsidR="001325B2"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(400</w:t>
            </w:r>
            <w:r w:rsidR="001325B2" w:rsidRPr="001839C2">
              <w:rPr>
                <w:rFonts w:eastAsiaTheme="minorEastAsia"/>
                <w:snapToGrid/>
                <w:szCs w:val="22"/>
                <w:lang w:val="lt-LT" w:eastAsia="en-IN"/>
              </w:rPr>
              <w:t> </w:t>
            </w:r>
            <w:r w:rsidRPr="001839C2">
              <w:rPr>
                <w:rFonts w:eastAsiaTheme="minorEastAsia"/>
                <w:snapToGrid/>
                <w:szCs w:val="22"/>
                <w:lang w:val="lt-LT" w:eastAsia="en-IN"/>
              </w:rPr>
              <w:t>mg/100</w:t>
            </w:r>
            <w:r w:rsidR="001325B2" w:rsidRPr="001839C2">
              <w:rPr>
                <w:rFonts w:eastAsiaTheme="minorEastAsia"/>
                <w:snapToGrid/>
                <w:szCs w:val="22"/>
                <w:lang w:val="lt-LT" w:eastAsia="en-IN"/>
              </w:rPr>
              <w:t> </w:t>
            </w:r>
            <w:r w:rsidRPr="001839C2">
              <w:rPr>
                <w:rFonts w:eastAsiaTheme="minorEastAsia"/>
                <w:snapToGrid/>
                <w:szCs w:val="22"/>
                <w:lang w:val="lt-LT" w:eastAsia="en-IN"/>
              </w:rPr>
              <w:t>mg</w:t>
            </w:r>
            <w:r w:rsidR="001325B2" w:rsidRPr="001839C2">
              <w:rPr>
                <w:rFonts w:eastAsiaTheme="minorEastAsia"/>
                <w:snapToGrid/>
                <w:szCs w:val="22"/>
                <w:lang w:val="lt-LT" w:eastAsia="en-IN"/>
              </w:rPr>
              <w:t> </w:t>
            </w:r>
            <w:r w:rsidRPr="001839C2">
              <w:rPr>
                <w:rFonts w:eastAsiaTheme="minorEastAsia"/>
                <w:snapToGrid/>
                <w:szCs w:val="22"/>
                <w:lang w:val="lt-LT" w:eastAsia="en-IN"/>
              </w:rPr>
              <w:t>q.d.)</w:t>
            </w:r>
          </w:p>
          <w:p w14:paraId="75AC720A" w14:textId="77777777" w:rsidR="001325B2"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739FCE1C" w14:textId="77777777" w:rsidR="00054728" w:rsidRPr="001839C2" w:rsidRDefault="001325B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w:t>
            </w:r>
            <w:r w:rsidR="00054728" w:rsidRPr="001839C2">
              <w:rPr>
                <w:rFonts w:eastAsiaTheme="minorEastAsia"/>
                <w:snapToGrid/>
                <w:szCs w:val="22"/>
                <w:lang w:val="lt-LT" w:eastAsia="en-IN"/>
              </w:rPr>
              <w:t>favirenz</w:t>
            </w:r>
            <w:r w:rsidRPr="001839C2">
              <w:rPr>
                <w:rFonts w:eastAsiaTheme="minorEastAsia"/>
                <w:snapToGrid/>
                <w:szCs w:val="22"/>
                <w:lang w:val="lt-LT" w:eastAsia="en-IN"/>
              </w:rPr>
              <w:t>o,</w:t>
            </w:r>
            <w:r w:rsidR="00054728" w:rsidRPr="001839C2">
              <w:rPr>
                <w:rFonts w:eastAsiaTheme="minorEastAsia"/>
                <w:snapToGrid/>
                <w:szCs w:val="22"/>
                <w:lang w:val="lt-LT" w:eastAsia="en-IN"/>
              </w:rPr>
              <w:t xml:space="preserve"> emtricitabin</w:t>
            </w:r>
            <w:r w:rsidRPr="001839C2">
              <w:rPr>
                <w:rFonts w:eastAsiaTheme="minorEastAsia"/>
                <w:snapToGrid/>
                <w:szCs w:val="22"/>
                <w:lang w:val="lt-LT" w:eastAsia="en-IN"/>
              </w:rPr>
              <w:t>o</w:t>
            </w:r>
            <w:r w:rsidR="00054728" w:rsidRPr="001839C2">
              <w:rPr>
                <w:rFonts w:eastAsiaTheme="minorEastAsia"/>
                <w:snapToGrid/>
                <w:szCs w:val="22"/>
                <w:lang w:val="lt-LT" w:eastAsia="en-IN"/>
              </w:rPr>
              <w:t xml:space="preserve"> </w:t>
            </w:r>
            <w:r w:rsidRPr="001839C2">
              <w:rPr>
                <w:rFonts w:eastAsiaTheme="minorEastAsia"/>
                <w:snapToGrid/>
                <w:szCs w:val="22"/>
                <w:lang w:val="lt-LT" w:eastAsia="en-IN"/>
              </w:rPr>
              <w:t>ir</w:t>
            </w:r>
            <w:r w:rsidR="00054728" w:rsidRPr="001839C2">
              <w:rPr>
                <w:rFonts w:eastAsiaTheme="minorEastAsia"/>
                <w:snapToGrid/>
                <w:szCs w:val="22"/>
                <w:lang w:val="lt-LT" w:eastAsia="en-IN"/>
              </w:rPr>
              <w:t xml:space="preserve"> tenofoviro dizoproksili</w:t>
            </w:r>
            <w:r w:rsidRPr="001839C2">
              <w:rPr>
                <w:rFonts w:eastAsiaTheme="minorEastAsia"/>
                <w:snapToGrid/>
                <w:szCs w:val="22"/>
                <w:lang w:val="lt-LT" w:eastAsia="en-IN"/>
              </w:rPr>
              <w:t>o deriny</w:t>
            </w:r>
            <w:r w:rsidR="00054728" w:rsidRPr="001839C2">
              <w:rPr>
                <w:rFonts w:eastAsiaTheme="minorEastAsia"/>
                <w:snapToGrid/>
                <w:szCs w:val="22"/>
                <w:lang w:val="lt-LT" w:eastAsia="en-IN"/>
              </w:rPr>
              <w:t>s</w:t>
            </w:r>
          </w:p>
          <w:p w14:paraId="54B2F857" w14:textId="77777777" w:rsidR="00054728" w:rsidRPr="001839C2" w:rsidRDefault="00054728" w:rsidP="00621A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(600</w:t>
            </w:r>
            <w:r w:rsidR="001325B2" w:rsidRPr="001839C2">
              <w:rPr>
                <w:rFonts w:eastAsiaTheme="minorEastAsia"/>
                <w:snapToGrid/>
                <w:szCs w:val="22"/>
                <w:lang w:val="lt-LT" w:eastAsia="en-IN"/>
              </w:rPr>
              <w:t> </w:t>
            </w:r>
            <w:r w:rsidRPr="001839C2">
              <w:rPr>
                <w:rFonts w:eastAsiaTheme="minorEastAsia"/>
                <w:snapToGrid/>
                <w:szCs w:val="22"/>
                <w:lang w:val="lt-LT" w:eastAsia="en-IN"/>
              </w:rPr>
              <w:t>mg/200</w:t>
            </w:r>
            <w:r w:rsidR="001325B2" w:rsidRPr="001839C2">
              <w:rPr>
                <w:rFonts w:eastAsiaTheme="minorEastAsia"/>
                <w:snapToGrid/>
                <w:szCs w:val="22"/>
                <w:lang w:val="lt-LT" w:eastAsia="en-IN"/>
              </w:rPr>
              <w:t> </w:t>
            </w:r>
            <w:r w:rsidRPr="001839C2">
              <w:rPr>
                <w:rFonts w:eastAsiaTheme="minorEastAsia"/>
                <w:snapToGrid/>
                <w:szCs w:val="22"/>
                <w:lang w:val="lt-LT" w:eastAsia="en-IN"/>
              </w:rPr>
              <w:t>mg/245</w:t>
            </w:r>
            <w:r w:rsidR="001325B2" w:rsidRPr="001839C2">
              <w:rPr>
                <w:rFonts w:eastAsiaTheme="minorEastAsia"/>
                <w:snapToGrid/>
                <w:szCs w:val="22"/>
                <w:lang w:val="lt-LT" w:eastAsia="en-IN"/>
              </w:rPr>
              <w:t> </w:t>
            </w:r>
            <w:r w:rsidRPr="001839C2">
              <w:rPr>
                <w:rFonts w:eastAsiaTheme="minorEastAsia"/>
                <w:snapToGrid/>
                <w:szCs w:val="22"/>
                <w:lang w:val="lt-LT" w:eastAsia="en-IN"/>
              </w:rPr>
              <w:t>mg</w:t>
            </w:r>
            <w:r w:rsidR="001325B2" w:rsidRPr="001839C2">
              <w:rPr>
                <w:rFonts w:eastAsiaTheme="minorEastAsia"/>
                <w:snapToGrid/>
                <w:szCs w:val="22"/>
                <w:lang w:val="lt-LT" w:eastAsia="en-IN"/>
              </w:rPr>
              <w:t> </w:t>
            </w:r>
            <w:r w:rsidRPr="001839C2">
              <w:rPr>
                <w:rFonts w:eastAsiaTheme="minorEastAsia"/>
                <w:snapToGrid/>
                <w:szCs w:val="22"/>
                <w:lang w:val="lt-LT" w:eastAsia="en-IN"/>
              </w:rPr>
              <w:t>q.d.)</w:t>
            </w:r>
          </w:p>
        </w:tc>
        <w:tc>
          <w:tcPr>
            <w:tcW w:w="3351" w:type="dxa"/>
            <w:tcBorders>
              <w:top w:val="single" w:sz="4" w:space="0" w:color="auto"/>
              <w:left w:val="single" w:sz="4" w:space="0" w:color="000000"/>
              <w:bottom w:val="single" w:sz="4" w:space="0" w:color="auto"/>
              <w:right w:val="single" w:sz="4" w:space="0" w:color="000000"/>
            </w:tcBorders>
          </w:tcPr>
          <w:p w14:paraId="70EDF84B" w14:textId="77777777" w:rsidR="001325B2"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745B5B84"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6FD2C3F9"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1325B2" w:rsidRPr="001839C2">
              <w:rPr>
                <w:rFonts w:eastAsiaTheme="minorEastAsia"/>
                <w:snapToGrid/>
                <w:szCs w:val="22"/>
                <w:lang w:val="lt-LT" w:eastAsia="en-IN"/>
              </w:rPr>
              <w:t> </w:t>
            </w:r>
            <w:r w:rsidRPr="001839C2">
              <w:rPr>
                <w:rFonts w:eastAsiaTheme="minorEastAsia"/>
                <w:snapToGrid/>
                <w:szCs w:val="22"/>
                <w:lang w:val="lt-LT" w:eastAsia="en-IN"/>
              </w:rPr>
              <w:t>38</w:t>
            </w:r>
            <w:r w:rsidR="001325B2" w:rsidRPr="001839C2">
              <w:rPr>
                <w:rFonts w:eastAsiaTheme="minorEastAsia"/>
                <w:snapToGrid/>
                <w:szCs w:val="22"/>
                <w:lang w:val="lt-LT" w:eastAsia="en-IN"/>
              </w:rPr>
              <w:t> </w:t>
            </w:r>
            <w:r w:rsidRPr="001839C2">
              <w:rPr>
                <w:rFonts w:eastAsiaTheme="minorEastAsia"/>
                <w:snapToGrid/>
                <w:szCs w:val="22"/>
                <w:lang w:val="lt-LT" w:eastAsia="en-IN"/>
              </w:rPr>
              <w:t>% (nuo ↑</w:t>
            </w:r>
            <w:r w:rsidR="001325B2" w:rsidRPr="001839C2">
              <w:rPr>
                <w:rFonts w:eastAsiaTheme="minorEastAsia"/>
                <w:snapToGrid/>
                <w:szCs w:val="22"/>
                <w:lang w:val="lt-LT" w:eastAsia="en-IN"/>
              </w:rPr>
              <w:t> </w:t>
            </w:r>
            <w:r w:rsidRPr="001839C2">
              <w:rPr>
                <w:rFonts w:eastAsiaTheme="minorEastAsia"/>
                <w:snapToGrid/>
                <w:szCs w:val="22"/>
                <w:lang w:val="lt-LT" w:eastAsia="en-IN"/>
              </w:rPr>
              <w:t>14 iki ↑</w:t>
            </w:r>
            <w:r w:rsidR="001325B2" w:rsidRPr="001839C2">
              <w:rPr>
                <w:rFonts w:eastAsiaTheme="minorEastAsia"/>
                <w:snapToGrid/>
                <w:szCs w:val="22"/>
                <w:lang w:val="lt-LT" w:eastAsia="en-IN"/>
              </w:rPr>
              <w:t> </w:t>
            </w:r>
            <w:r w:rsidRPr="001839C2">
              <w:rPr>
                <w:rFonts w:eastAsiaTheme="minorEastAsia"/>
                <w:snapToGrid/>
                <w:szCs w:val="22"/>
                <w:lang w:val="lt-LT" w:eastAsia="en-IN"/>
              </w:rPr>
              <w:t>67)</w:t>
            </w:r>
          </w:p>
          <w:p w14:paraId="03B50C64"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53A8FF37" w14:textId="77777777" w:rsidR="001325B2"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001325B2" w:rsidRPr="001839C2">
              <w:rPr>
                <w:rFonts w:eastAsiaTheme="minorEastAsia"/>
                <w:i/>
                <w:snapToGrid/>
                <w:szCs w:val="22"/>
                <w:u w:val="single"/>
                <w:lang w:val="lt-LT" w:eastAsia="en-IN"/>
              </w:rPr>
              <w:noBreakHyphen/>
            </w:r>
            <w:r w:rsidRPr="001839C2">
              <w:rPr>
                <w:rFonts w:eastAsiaTheme="minorEastAsia"/>
                <w:i/>
                <w:snapToGrid/>
                <w:szCs w:val="22"/>
                <w:u w:val="single"/>
                <w:lang w:val="lt-LT" w:eastAsia="en-IN"/>
              </w:rPr>
              <w:t>331007</w:t>
            </w:r>
            <w:r w:rsidRPr="001839C2">
              <w:rPr>
                <w:rFonts w:eastAsiaTheme="minorEastAsia"/>
                <w:snapToGrid/>
                <w:szCs w:val="22"/>
                <w:vertAlign w:val="superscript"/>
                <w:lang w:val="lt-LT" w:eastAsia="en-IN"/>
              </w:rPr>
              <w:t>2</w:t>
            </w:r>
          </w:p>
          <w:p w14:paraId="1553C53D"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9C269FC"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4268C48F"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48497DE3"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66F426F"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Velpatasviras</w:t>
            </w:r>
          </w:p>
          <w:p w14:paraId="3554756A" w14:textId="77777777" w:rsidR="001325B2"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1325B2" w:rsidRPr="001839C2">
              <w:rPr>
                <w:rFonts w:eastAsiaTheme="minorEastAsia"/>
                <w:snapToGrid/>
                <w:szCs w:val="22"/>
                <w:lang w:val="lt-LT" w:eastAsia="en-IN"/>
              </w:rPr>
              <w:t> </w:t>
            </w:r>
            <w:r w:rsidRPr="001839C2">
              <w:rPr>
                <w:rFonts w:eastAsiaTheme="minorEastAsia"/>
                <w:snapToGrid/>
                <w:szCs w:val="22"/>
                <w:lang w:val="lt-LT" w:eastAsia="en-IN"/>
              </w:rPr>
              <w:t>53</w:t>
            </w:r>
            <w:r w:rsidR="001325B2" w:rsidRPr="001839C2">
              <w:rPr>
                <w:rFonts w:eastAsiaTheme="minorEastAsia"/>
                <w:snapToGrid/>
                <w:szCs w:val="22"/>
                <w:lang w:val="lt-LT" w:eastAsia="en-IN"/>
              </w:rPr>
              <w:t> </w:t>
            </w:r>
            <w:r w:rsidRPr="001839C2">
              <w:rPr>
                <w:rFonts w:eastAsiaTheme="minorEastAsia"/>
                <w:snapToGrid/>
                <w:szCs w:val="22"/>
                <w:lang w:val="lt-LT" w:eastAsia="en-IN"/>
              </w:rPr>
              <w:t>% (nuo ↓</w:t>
            </w:r>
            <w:r w:rsidR="001325B2" w:rsidRPr="001839C2">
              <w:rPr>
                <w:rFonts w:eastAsiaTheme="minorEastAsia"/>
                <w:snapToGrid/>
                <w:szCs w:val="22"/>
                <w:lang w:val="lt-LT" w:eastAsia="en-IN"/>
              </w:rPr>
              <w:t> </w:t>
            </w:r>
            <w:r w:rsidRPr="001839C2">
              <w:rPr>
                <w:rFonts w:eastAsiaTheme="minorEastAsia"/>
                <w:snapToGrid/>
                <w:szCs w:val="22"/>
                <w:lang w:val="lt-LT" w:eastAsia="en-IN"/>
              </w:rPr>
              <w:t>61 iki ↓</w:t>
            </w:r>
            <w:r w:rsidR="001325B2" w:rsidRPr="001839C2">
              <w:rPr>
                <w:rFonts w:eastAsiaTheme="minorEastAsia"/>
                <w:snapToGrid/>
                <w:szCs w:val="22"/>
                <w:lang w:val="lt-LT" w:eastAsia="en-IN"/>
              </w:rPr>
              <w:t> </w:t>
            </w:r>
            <w:r w:rsidRPr="001839C2">
              <w:rPr>
                <w:rFonts w:eastAsiaTheme="minorEastAsia"/>
                <w:snapToGrid/>
                <w:szCs w:val="22"/>
                <w:lang w:val="lt-LT" w:eastAsia="en-IN"/>
              </w:rPr>
              <w:t>43)</w:t>
            </w:r>
          </w:p>
          <w:p w14:paraId="04293C3A" w14:textId="77777777" w:rsidR="001325B2"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1325B2" w:rsidRPr="001839C2">
              <w:rPr>
                <w:rFonts w:eastAsiaTheme="minorEastAsia"/>
                <w:snapToGrid/>
                <w:szCs w:val="22"/>
                <w:lang w:val="lt-LT" w:eastAsia="en-IN"/>
              </w:rPr>
              <w:t> </w:t>
            </w:r>
            <w:r w:rsidRPr="001839C2">
              <w:rPr>
                <w:rFonts w:eastAsiaTheme="minorEastAsia"/>
                <w:snapToGrid/>
                <w:szCs w:val="22"/>
                <w:lang w:val="lt-LT" w:eastAsia="en-IN"/>
              </w:rPr>
              <w:t>47</w:t>
            </w:r>
            <w:r w:rsidR="001325B2" w:rsidRPr="001839C2">
              <w:rPr>
                <w:rFonts w:eastAsiaTheme="minorEastAsia"/>
                <w:snapToGrid/>
                <w:szCs w:val="22"/>
                <w:lang w:val="lt-LT" w:eastAsia="en-IN"/>
              </w:rPr>
              <w:t> </w:t>
            </w:r>
            <w:r w:rsidRPr="001839C2">
              <w:rPr>
                <w:rFonts w:eastAsiaTheme="minorEastAsia"/>
                <w:snapToGrid/>
                <w:szCs w:val="22"/>
                <w:lang w:val="lt-LT" w:eastAsia="en-IN"/>
              </w:rPr>
              <w:t>% (nuo ↓</w:t>
            </w:r>
            <w:r w:rsidR="001325B2" w:rsidRPr="001839C2">
              <w:rPr>
                <w:rFonts w:eastAsiaTheme="minorEastAsia"/>
                <w:snapToGrid/>
                <w:szCs w:val="22"/>
                <w:lang w:val="lt-LT" w:eastAsia="en-IN"/>
              </w:rPr>
              <w:t> </w:t>
            </w:r>
            <w:r w:rsidRPr="001839C2">
              <w:rPr>
                <w:rFonts w:eastAsiaTheme="minorEastAsia"/>
                <w:snapToGrid/>
                <w:szCs w:val="22"/>
                <w:lang w:val="lt-LT" w:eastAsia="en-IN"/>
              </w:rPr>
              <w:t>57 iki ↓</w:t>
            </w:r>
            <w:r w:rsidR="001325B2" w:rsidRPr="001839C2">
              <w:rPr>
                <w:rFonts w:eastAsiaTheme="minorEastAsia"/>
                <w:snapToGrid/>
                <w:szCs w:val="22"/>
                <w:lang w:val="lt-LT" w:eastAsia="en-IN"/>
              </w:rPr>
              <w:t> </w:t>
            </w:r>
            <w:r w:rsidRPr="001839C2">
              <w:rPr>
                <w:rFonts w:eastAsiaTheme="minorEastAsia"/>
                <w:snapToGrid/>
                <w:szCs w:val="22"/>
                <w:lang w:val="lt-LT" w:eastAsia="en-IN"/>
              </w:rPr>
              <w:t>36)</w:t>
            </w:r>
          </w:p>
          <w:p w14:paraId="3CF832F2"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1325B2" w:rsidRPr="001839C2">
              <w:rPr>
                <w:rFonts w:eastAsiaTheme="minorEastAsia"/>
                <w:snapToGrid/>
                <w:szCs w:val="22"/>
                <w:lang w:val="lt-LT" w:eastAsia="en-IN"/>
              </w:rPr>
              <w:t> </w:t>
            </w:r>
            <w:r w:rsidRPr="001839C2">
              <w:rPr>
                <w:rFonts w:eastAsiaTheme="minorEastAsia"/>
                <w:snapToGrid/>
                <w:szCs w:val="22"/>
                <w:lang w:val="lt-LT" w:eastAsia="en-IN"/>
              </w:rPr>
              <w:t>57</w:t>
            </w:r>
            <w:r w:rsidR="001325B2" w:rsidRPr="001839C2">
              <w:rPr>
                <w:rFonts w:eastAsiaTheme="minorEastAsia"/>
                <w:snapToGrid/>
                <w:szCs w:val="22"/>
                <w:lang w:val="lt-LT" w:eastAsia="en-IN"/>
              </w:rPr>
              <w:t> </w:t>
            </w:r>
            <w:r w:rsidRPr="001839C2">
              <w:rPr>
                <w:rFonts w:eastAsiaTheme="minorEastAsia"/>
                <w:snapToGrid/>
                <w:szCs w:val="22"/>
                <w:lang w:val="lt-LT" w:eastAsia="en-IN"/>
              </w:rPr>
              <w:t>% (nuo ↓</w:t>
            </w:r>
            <w:r w:rsidR="001325B2" w:rsidRPr="001839C2">
              <w:rPr>
                <w:rFonts w:eastAsiaTheme="minorEastAsia"/>
                <w:snapToGrid/>
                <w:szCs w:val="22"/>
                <w:lang w:val="lt-LT" w:eastAsia="en-IN"/>
              </w:rPr>
              <w:t> </w:t>
            </w:r>
            <w:r w:rsidRPr="001839C2">
              <w:rPr>
                <w:rFonts w:eastAsiaTheme="minorEastAsia"/>
                <w:snapToGrid/>
                <w:szCs w:val="22"/>
                <w:lang w:val="lt-LT" w:eastAsia="en-IN"/>
              </w:rPr>
              <w:t>64 iki ↓</w:t>
            </w:r>
            <w:r w:rsidR="001325B2" w:rsidRPr="001839C2">
              <w:rPr>
                <w:rFonts w:eastAsiaTheme="minorEastAsia"/>
                <w:snapToGrid/>
                <w:szCs w:val="22"/>
                <w:lang w:val="lt-LT" w:eastAsia="en-IN"/>
              </w:rPr>
              <w:t> </w:t>
            </w:r>
            <w:r w:rsidRPr="001839C2">
              <w:rPr>
                <w:rFonts w:eastAsiaTheme="minorEastAsia"/>
                <w:snapToGrid/>
                <w:szCs w:val="22"/>
                <w:lang w:val="lt-LT" w:eastAsia="en-IN"/>
              </w:rPr>
              <w:t>48)</w:t>
            </w:r>
          </w:p>
          <w:p w14:paraId="18C73865"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DCB434C" w14:textId="77777777" w:rsidR="001325B2"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Efavirenzas</w:t>
            </w:r>
          </w:p>
          <w:p w14:paraId="69E194D2"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E1730CE"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2AB8139F"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2D58ADB"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053CFA6F" w14:textId="77777777" w:rsidR="001325B2"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0F602601"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769EB83F"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420F3875"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5CF5A5D0"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56E6F713" w14:textId="77777777" w:rsidR="00054728" w:rsidRPr="001839C2" w:rsidRDefault="00054728"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75A17DEC" w14:textId="77777777" w:rsidR="001325B2" w:rsidRPr="001839C2" w:rsidRDefault="00054728" w:rsidP="00621A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1325B2" w:rsidRPr="001839C2">
              <w:rPr>
                <w:rFonts w:eastAsiaTheme="minorEastAsia"/>
                <w:snapToGrid/>
                <w:szCs w:val="22"/>
                <w:lang w:val="lt-LT" w:eastAsia="en-IN"/>
              </w:rPr>
              <w:t> </w:t>
            </w:r>
            <w:r w:rsidRPr="001839C2">
              <w:rPr>
                <w:rFonts w:eastAsiaTheme="minorEastAsia"/>
                <w:snapToGrid/>
                <w:szCs w:val="22"/>
                <w:lang w:val="lt-LT" w:eastAsia="en-IN"/>
              </w:rPr>
              <w:t>81</w:t>
            </w:r>
            <w:r w:rsidR="001325B2" w:rsidRPr="001839C2">
              <w:rPr>
                <w:rFonts w:eastAsiaTheme="minorEastAsia"/>
                <w:snapToGrid/>
                <w:szCs w:val="22"/>
                <w:lang w:val="lt-LT" w:eastAsia="en-IN"/>
              </w:rPr>
              <w:t> </w:t>
            </w:r>
            <w:r w:rsidRPr="001839C2">
              <w:rPr>
                <w:rFonts w:eastAsiaTheme="minorEastAsia"/>
                <w:snapToGrid/>
                <w:szCs w:val="22"/>
                <w:lang w:val="lt-LT" w:eastAsia="en-IN"/>
              </w:rPr>
              <w:t>% (nuo ↑</w:t>
            </w:r>
            <w:r w:rsidR="001325B2" w:rsidRPr="001839C2">
              <w:rPr>
                <w:rFonts w:eastAsiaTheme="minorEastAsia"/>
                <w:snapToGrid/>
                <w:szCs w:val="22"/>
                <w:lang w:val="lt-LT" w:eastAsia="en-IN"/>
              </w:rPr>
              <w:t> </w:t>
            </w:r>
            <w:r w:rsidRPr="001839C2">
              <w:rPr>
                <w:rFonts w:eastAsiaTheme="minorEastAsia"/>
                <w:snapToGrid/>
                <w:szCs w:val="22"/>
                <w:lang w:val="lt-LT" w:eastAsia="en-IN"/>
              </w:rPr>
              <w:t>68 iki ↑</w:t>
            </w:r>
            <w:r w:rsidR="001325B2" w:rsidRPr="001839C2">
              <w:rPr>
                <w:rFonts w:eastAsiaTheme="minorEastAsia"/>
                <w:snapToGrid/>
                <w:szCs w:val="22"/>
                <w:lang w:val="lt-LT" w:eastAsia="en-IN"/>
              </w:rPr>
              <w:t> </w:t>
            </w:r>
            <w:r w:rsidRPr="001839C2">
              <w:rPr>
                <w:rFonts w:eastAsiaTheme="minorEastAsia"/>
                <w:snapToGrid/>
                <w:szCs w:val="22"/>
                <w:lang w:val="lt-LT" w:eastAsia="en-IN"/>
              </w:rPr>
              <w:t>94)</w:t>
            </w:r>
          </w:p>
          <w:p w14:paraId="4F68C7C3" w14:textId="77777777" w:rsidR="001325B2" w:rsidRPr="001839C2" w:rsidRDefault="00054728" w:rsidP="00621A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1325B2" w:rsidRPr="001839C2">
              <w:rPr>
                <w:rFonts w:eastAsiaTheme="minorEastAsia"/>
                <w:snapToGrid/>
                <w:szCs w:val="22"/>
                <w:lang w:val="lt-LT" w:eastAsia="en-IN"/>
              </w:rPr>
              <w:t> </w:t>
            </w:r>
            <w:r w:rsidRPr="001839C2">
              <w:rPr>
                <w:rFonts w:eastAsiaTheme="minorEastAsia"/>
                <w:snapToGrid/>
                <w:szCs w:val="22"/>
                <w:lang w:val="lt-LT" w:eastAsia="en-IN"/>
              </w:rPr>
              <w:t>77</w:t>
            </w:r>
            <w:r w:rsidR="001325B2" w:rsidRPr="001839C2">
              <w:rPr>
                <w:rFonts w:eastAsiaTheme="minorEastAsia"/>
                <w:snapToGrid/>
                <w:szCs w:val="22"/>
                <w:lang w:val="lt-LT" w:eastAsia="en-IN"/>
              </w:rPr>
              <w:t> </w:t>
            </w:r>
            <w:r w:rsidRPr="001839C2">
              <w:rPr>
                <w:rFonts w:eastAsiaTheme="minorEastAsia"/>
                <w:snapToGrid/>
                <w:szCs w:val="22"/>
                <w:lang w:val="lt-LT" w:eastAsia="en-IN"/>
              </w:rPr>
              <w:t>% (nuo ↑</w:t>
            </w:r>
            <w:r w:rsidR="001325B2" w:rsidRPr="001839C2">
              <w:rPr>
                <w:rFonts w:eastAsiaTheme="minorEastAsia"/>
                <w:snapToGrid/>
                <w:szCs w:val="22"/>
                <w:lang w:val="lt-LT" w:eastAsia="en-IN"/>
              </w:rPr>
              <w:t> </w:t>
            </w:r>
            <w:r w:rsidRPr="001839C2">
              <w:rPr>
                <w:rFonts w:eastAsiaTheme="minorEastAsia"/>
                <w:snapToGrid/>
                <w:szCs w:val="22"/>
                <w:lang w:val="lt-LT" w:eastAsia="en-IN"/>
              </w:rPr>
              <w:t>53 iki ↑</w:t>
            </w:r>
            <w:r w:rsidR="001325B2" w:rsidRPr="001839C2">
              <w:rPr>
                <w:rFonts w:eastAsiaTheme="minorEastAsia"/>
                <w:snapToGrid/>
                <w:szCs w:val="22"/>
                <w:lang w:val="lt-LT" w:eastAsia="en-IN"/>
              </w:rPr>
              <w:t> </w:t>
            </w:r>
            <w:r w:rsidRPr="001839C2">
              <w:rPr>
                <w:rFonts w:eastAsiaTheme="minorEastAsia"/>
                <w:snapToGrid/>
                <w:szCs w:val="22"/>
                <w:lang w:val="lt-LT" w:eastAsia="en-IN"/>
              </w:rPr>
              <w:t>104)</w:t>
            </w:r>
          </w:p>
          <w:p w14:paraId="01C45597" w14:textId="77777777" w:rsidR="00054728" w:rsidRPr="001839C2" w:rsidRDefault="00054728" w:rsidP="00AC57A5">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1325B2" w:rsidRPr="001839C2">
              <w:rPr>
                <w:rFonts w:eastAsiaTheme="minorEastAsia"/>
                <w:snapToGrid/>
                <w:szCs w:val="22"/>
                <w:lang w:val="lt-LT" w:eastAsia="en-IN"/>
              </w:rPr>
              <w:t> </w:t>
            </w:r>
            <w:r w:rsidRPr="001839C2">
              <w:rPr>
                <w:rFonts w:eastAsiaTheme="minorEastAsia"/>
                <w:snapToGrid/>
                <w:szCs w:val="22"/>
                <w:lang w:val="lt-LT" w:eastAsia="en-IN"/>
              </w:rPr>
              <w:t>121</w:t>
            </w:r>
            <w:r w:rsidR="001325B2" w:rsidRPr="001839C2">
              <w:rPr>
                <w:rFonts w:eastAsiaTheme="minorEastAsia"/>
                <w:snapToGrid/>
                <w:szCs w:val="22"/>
                <w:lang w:val="lt-LT" w:eastAsia="en-IN"/>
              </w:rPr>
              <w:t> </w:t>
            </w:r>
            <w:r w:rsidRPr="001839C2">
              <w:rPr>
                <w:rFonts w:eastAsiaTheme="minorEastAsia"/>
                <w:snapToGrid/>
                <w:szCs w:val="22"/>
                <w:lang w:val="lt-LT" w:eastAsia="en-IN"/>
              </w:rPr>
              <w:t>% (nuo ↑</w:t>
            </w:r>
            <w:r w:rsidR="001325B2" w:rsidRPr="001839C2">
              <w:rPr>
                <w:rFonts w:eastAsiaTheme="minorEastAsia"/>
                <w:snapToGrid/>
                <w:szCs w:val="22"/>
                <w:lang w:val="lt-LT" w:eastAsia="en-IN"/>
              </w:rPr>
              <w:t> </w:t>
            </w:r>
            <w:r w:rsidRPr="001839C2">
              <w:rPr>
                <w:rFonts w:eastAsiaTheme="minorEastAsia"/>
                <w:snapToGrid/>
                <w:szCs w:val="22"/>
                <w:lang w:val="lt-LT" w:eastAsia="en-IN"/>
              </w:rPr>
              <w:t>100 iki ↑</w:t>
            </w:r>
            <w:r w:rsidR="001325B2" w:rsidRPr="001839C2">
              <w:rPr>
                <w:rFonts w:eastAsiaTheme="minorEastAsia"/>
                <w:snapToGrid/>
                <w:szCs w:val="22"/>
                <w:lang w:val="lt-LT" w:eastAsia="en-IN"/>
              </w:rPr>
              <w:t> </w:t>
            </w:r>
            <w:r w:rsidRPr="001839C2">
              <w:rPr>
                <w:rFonts w:eastAsiaTheme="minorEastAsia"/>
                <w:snapToGrid/>
                <w:szCs w:val="22"/>
                <w:lang w:val="lt-LT" w:eastAsia="en-IN"/>
              </w:rPr>
              <w:t>143)</w:t>
            </w:r>
          </w:p>
        </w:tc>
        <w:tc>
          <w:tcPr>
            <w:tcW w:w="2422" w:type="dxa"/>
            <w:tcBorders>
              <w:top w:val="single" w:sz="4" w:space="0" w:color="auto"/>
              <w:left w:val="single" w:sz="4" w:space="0" w:color="000000"/>
              <w:bottom w:val="single" w:sz="4" w:space="0" w:color="auto"/>
              <w:right w:val="single" w:sz="4" w:space="0" w:color="000000"/>
            </w:tcBorders>
          </w:tcPr>
          <w:p w14:paraId="64143BD9" w14:textId="77777777" w:rsidR="00054728" w:rsidRPr="001839C2" w:rsidRDefault="00054728" w:rsidP="00054728">
            <w:pPr>
              <w:widowControl w:val="0"/>
              <w:tabs>
                <w:tab w:val="clear" w:pos="567"/>
                <w:tab w:val="left" w:pos="0"/>
              </w:tabs>
              <w:kinsoku w:val="0"/>
              <w:overflowPunct w:val="0"/>
              <w:autoSpaceDE w:val="0"/>
              <w:autoSpaceDN w:val="0"/>
              <w:adjustRightInd w:val="0"/>
              <w:ind w:right="277"/>
              <w:rPr>
                <w:rFonts w:eastAsiaTheme="minorEastAsia"/>
                <w:snapToGrid/>
                <w:szCs w:val="22"/>
                <w:lang w:val="lt-LT" w:eastAsia="en-IN"/>
              </w:rPr>
            </w:pPr>
            <w:r w:rsidRPr="001839C2">
              <w:rPr>
                <w:rFonts w:eastAsiaTheme="minorEastAsia"/>
                <w:snapToGrid/>
                <w:szCs w:val="22"/>
                <w:lang w:val="lt-LT" w:eastAsia="en-IN"/>
              </w:rPr>
              <w:t>Kartu vartojant sofosbuvir</w:t>
            </w:r>
            <w:r w:rsidR="001325B2"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1325B2" w:rsidRPr="001839C2">
              <w:rPr>
                <w:rFonts w:eastAsiaTheme="minorEastAsia"/>
                <w:snapToGrid/>
                <w:szCs w:val="22"/>
                <w:lang w:val="lt-LT" w:eastAsia="en-IN"/>
              </w:rPr>
              <w:t>ir</w:t>
            </w:r>
            <w:r w:rsidRPr="001839C2">
              <w:rPr>
                <w:rFonts w:eastAsiaTheme="minorEastAsia"/>
                <w:snapToGrid/>
                <w:szCs w:val="22"/>
                <w:lang w:val="lt-LT" w:eastAsia="en-IN"/>
              </w:rPr>
              <w:t xml:space="preserve"> velpatasvir</w:t>
            </w:r>
            <w:r w:rsidR="001325B2" w:rsidRPr="001839C2">
              <w:rPr>
                <w:rFonts w:eastAsiaTheme="minorEastAsia"/>
                <w:snapToGrid/>
                <w:szCs w:val="22"/>
                <w:lang w:val="lt-LT" w:eastAsia="en-IN"/>
              </w:rPr>
              <w:t>o derinio</w:t>
            </w:r>
            <w:r w:rsidRPr="001839C2">
              <w:rPr>
                <w:rFonts w:eastAsiaTheme="minorEastAsia"/>
                <w:snapToGrid/>
                <w:szCs w:val="22"/>
                <w:lang w:val="lt-LT" w:eastAsia="en-IN"/>
              </w:rPr>
              <w:t xml:space="preserve"> ir efavirenz</w:t>
            </w:r>
            <w:r w:rsidR="001325B2" w:rsidRPr="001839C2">
              <w:rPr>
                <w:rFonts w:eastAsiaTheme="minorEastAsia"/>
                <w:snapToGrid/>
                <w:szCs w:val="22"/>
                <w:lang w:val="lt-LT" w:eastAsia="en-IN"/>
              </w:rPr>
              <w:t>o</w:t>
            </w:r>
            <w:r w:rsidRPr="001839C2">
              <w:rPr>
                <w:rFonts w:eastAsiaTheme="minorEastAsia"/>
                <w:snapToGrid/>
                <w:szCs w:val="22"/>
                <w:lang w:val="lt-LT" w:eastAsia="en-IN"/>
              </w:rPr>
              <w:t>, tikėtinas velpatasviro koncentracijos kraujo plazmoje sumažėjimas.</w:t>
            </w:r>
          </w:p>
          <w:p w14:paraId="7748E44C" w14:textId="77777777" w:rsidR="00054728" w:rsidRPr="001839C2" w:rsidRDefault="00054728" w:rsidP="00054728">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Gydymo sofosbuvir</w:t>
            </w:r>
            <w:r w:rsidR="001325B2"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1325B2" w:rsidRPr="001839C2">
              <w:rPr>
                <w:rFonts w:eastAsiaTheme="minorEastAsia"/>
                <w:snapToGrid/>
                <w:szCs w:val="22"/>
                <w:lang w:val="lt-LT" w:eastAsia="en-IN"/>
              </w:rPr>
              <w:t>ir</w:t>
            </w:r>
            <w:r w:rsidRPr="001839C2">
              <w:rPr>
                <w:rFonts w:eastAsiaTheme="minorEastAsia"/>
                <w:snapToGrid/>
                <w:szCs w:val="22"/>
                <w:lang w:val="lt-LT" w:eastAsia="en-IN"/>
              </w:rPr>
              <w:t xml:space="preserve"> velpatasvir</w:t>
            </w:r>
            <w:r w:rsidR="001325B2" w:rsidRPr="001839C2">
              <w:rPr>
                <w:rFonts w:eastAsiaTheme="minorEastAsia"/>
                <w:snapToGrid/>
                <w:szCs w:val="22"/>
                <w:lang w:val="lt-LT" w:eastAsia="en-IN"/>
              </w:rPr>
              <w:t>o derni</w:t>
            </w:r>
            <w:r w:rsidRPr="001839C2">
              <w:rPr>
                <w:rFonts w:eastAsiaTheme="minorEastAsia"/>
                <w:snapToGrid/>
                <w:szCs w:val="22"/>
                <w:lang w:val="lt-LT" w:eastAsia="en-IN"/>
              </w:rPr>
              <w:t>u nerekomenduojama derinti su gydymo režimais, kurių metu vartojama efavirenzo.</w:t>
            </w:r>
          </w:p>
        </w:tc>
      </w:tr>
      <w:tr w:rsidR="00621A81" w:rsidRPr="001839C2" w14:paraId="77267C81"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27AD6846"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Sofosbuviro ir velpatasviro derinys</w:t>
            </w:r>
          </w:p>
          <w:p w14:paraId="42861980"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(400 mg/100 mg q.d.)</w:t>
            </w:r>
          </w:p>
          <w:p w14:paraId="2D8D15B3"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18863179"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Emtricitabino, rilpivirino ir tenofoviro dizoproksilio derinys</w:t>
            </w:r>
          </w:p>
          <w:p w14:paraId="6F24A055" w14:textId="77777777" w:rsidR="00621A81" w:rsidRPr="001839C2" w:rsidRDefault="00621A81" w:rsidP="00AC57A5">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 mg/25 mg/245 mg q.d.)</w:t>
            </w:r>
          </w:p>
        </w:tc>
        <w:tc>
          <w:tcPr>
            <w:tcW w:w="3351" w:type="dxa"/>
            <w:tcBorders>
              <w:top w:val="single" w:sz="4" w:space="0" w:color="auto"/>
              <w:left w:val="single" w:sz="4" w:space="0" w:color="000000"/>
              <w:bottom w:val="single" w:sz="4" w:space="0" w:color="auto"/>
              <w:right w:val="single" w:sz="4" w:space="0" w:color="000000"/>
            </w:tcBorders>
          </w:tcPr>
          <w:p w14:paraId="6B27D19D"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71A1743C"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59F519E8"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2AEFB9B7"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9B4728D"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Pr="001839C2">
              <w:rPr>
                <w:rFonts w:eastAsiaTheme="minorEastAsia"/>
                <w:i/>
                <w:snapToGrid/>
                <w:szCs w:val="22"/>
                <w:u w:val="single"/>
                <w:lang w:val="lt-LT" w:eastAsia="en-IN"/>
              </w:rPr>
              <w:noBreakHyphen/>
              <w:t>331007</w:t>
            </w:r>
            <w:r w:rsidRPr="001839C2">
              <w:rPr>
                <w:rFonts w:eastAsiaTheme="minorEastAsia"/>
                <w:snapToGrid/>
                <w:szCs w:val="22"/>
                <w:vertAlign w:val="superscript"/>
                <w:lang w:val="lt-LT" w:eastAsia="en-IN"/>
              </w:rPr>
              <w:t>2</w:t>
            </w:r>
          </w:p>
          <w:p w14:paraId="2A9B7998"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2994850D"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41C10C7A"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26088C79"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101C3DE"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Velpatasviras</w:t>
            </w:r>
          </w:p>
          <w:p w14:paraId="2BC3E12F"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14A29122"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3BA67CA6"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D08C817"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54F107C0"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3DC33215"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4652799"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37ACD580"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C875CD3"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000F5DF" w14:textId="77777777" w:rsidR="001E5EED"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lastRenderedPageBreak/>
              <w:t>Rilpivirinas</w:t>
            </w:r>
          </w:p>
          <w:p w14:paraId="6FE56984"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F0DD062"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60001AF0"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7F165322"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1680396A"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502746F0" w14:textId="77777777" w:rsidR="001E5EED" w:rsidRPr="001839C2" w:rsidRDefault="00621A81" w:rsidP="00AC57A5">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1E5EED" w:rsidRPr="001839C2">
              <w:rPr>
                <w:rFonts w:eastAsiaTheme="minorEastAsia"/>
                <w:snapToGrid/>
                <w:szCs w:val="22"/>
                <w:lang w:val="lt-LT" w:eastAsia="en-IN"/>
              </w:rPr>
              <w:t> </w:t>
            </w:r>
            <w:r w:rsidRPr="001839C2">
              <w:rPr>
                <w:rFonts w:eastAsiaTheme="minorEastAsia"/>
                <w:snapToGrid/>
                <w:szCs w:val="22"/>
                <w:lang w:val="lt-LT" w:eastAsia="en-IN"/>
              </w:rPr>
              <w:t>40</w:t>
            </w:r>
            <w:r w:rsidR="001E5EED" w:rsidRPr="001839C2">
              <w:rPr>
                <w:rFonts w:eastAsiaTheme="minorEastAsia"/>
                <w:snapToGrid/>
                <w:szCs w:val="22"/>
                <w:lang w:val="lt-LT" w:eastAsia="en-IN"/>
              </w:rPr>
              <w:t> </w:t>
            </w:r>
            <w:r w:rsidRPr="001839C2">
              <w:rPr>
                <w:rFonts w:eastAsiaTheme="minorEastAsia"/>
                <w:snapToGrid/>
                <w:szCs w:val="22"/>
                <w:lang w:val="lt-LT" w:eastAsia="en-IN"/>
              </w:rPr>
              <w:t>% (nuo ↑</w:t>
            </w:r>
            <w:r w:rsidR="001E5EED" w:rsidRPr="001839C2">
              <w:rPr>
                <w:rFonts w:eastAsiaTheme="minorEastAsia"/>
                <w:snapToGrid/>
                <w:szCs w:val="22"/>
                <w:lang w:val="lt-LT" w:eastAsia="en-IN"/>
              </w:rPr>
              <w:t> </w:t>
            </w:r>
            <w:r w:rsidRPr="001839C2">
              <w:rPr>
                <w:rFonts w:eastAsiaTheme="minorEastAsia"/>
                <w:snapToGrid/>
                <w:szCs w:val="22"/>
                <w:lang w:val="lt-LT" w:eastAsia="en-IN"/>
              </w:rPr>
              <w:t>34 iki ↑</w:t>
            </w:r>
            <w:r w:rsidR="001E5EED" w:rsidRPr="001839C2">
              <w:rPr>
                <w:rFonts w:eastAsiaTheme="minorEastAsia"/>
                <w:snapToGrid/>
                <w:szCs w:val="22"/>
                <w:lang w:val="lt-LT" w:eastAsia="en-IN"/>
              </w:rPr>
              <w:t> </w:t>
            </w:r>
            <w:r w:rsidRPr="001839C2">
              <w:rPr>
                <w:rFonts w:eastAsiaTheme="minorEastAsia"/>
                <w:snapToGrid/>
                <w:szCs w:val="22"/>
                <w:lang w:val="lt-LT" w:eastAsia="en-IN"/>
              </w:rPr>
              <w:t>46)</w:t>
            </w:r>
          </w:p>
          <w:p w14:paraId="0DD93E35" w14:textId="77777777" w:rsidR="001E5EED" w:rsidRPr="001839C2" w:rsidRDefault="00621A81" w:rsidP="00AC57A5">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1E5EED" w:rsidRPr="001839C2">
              <w:rPr>
                <w:rFonts w:eastAsiaTheme="minorEastAsia"/>
                <w:snapToGrid/>
                <w:szCs w:val="22"/>
                <w:lang w:val="lt-LT" w:eastAsia="en-IN"/>
              </w:rPr>
              <w:t> </w:t>
            </w:r>
            <w:r w:rsidRPr="001839C2">
              <w:rPr>
                <w:rFonts w:eastAsiaTheme="minorEastAsia"/>
                <w:snapToGrid/>
                <w:szCs w:val="22"/>
                <w:lang w:val="lt-LT" w:eastAsia="en-IN"/>
              </w:rPr>
              <w:t>44</w:t>
            </w:r>
            <w:r w:rsidR="001E5EED" w:rsidRPr="001839C2">
              <w:rPr>
                <w:rFonts w:eastAsiaTheme="minorEastAsia"/>
                <w:snapToGrid/>
                <w:szCs w:val="22"/>
                <w:lang w:val="lt-LT" w:eastAsia="en-IN"/>
              </w:rPr>
              <w:t> </w:t>
            </w:r>
            <w:r w:rsidRPr="001839C2">
              <w:rPr>
                <w:rFonts w:eastAsiaTheme="minorEastAsia"/>
                <w:snapToGrid/>
                <w:szCs w:val="22"/>
                <w:lang w:val="lt-LT" w:eastAsia="en-IN"/>
              </w:rPr>
              <w:t>% (nuo ↑</w:t>
            </w:r>
            <w:r w:rsidR="001E5EED" w:rsidRPr="001839C2">
              <w:rPr>
                <w:rFonts w:eastAsiaTheme="minorEastAsia"/>
                <w:snapToGrid/>
                <w:szCs w:val="22"/>
                <w:lang w:val="lt-LT" w:eastAsia="en-IN"/>
              </w:rPr>
              <w:t> </w:t>
            </w:r>
            <w:r w:rsidRPr="001839C2">
              <w:rPr>
                <w:rFonts w:eastAsiaTheme="minorEastAsia"/>
                <w:snapToGrid/>
                <w:szCs w:val="22"/>
                <w:lang w:val="lt-LT" w:eastAsia="en-IN"/>
              </w:rPr>
              <w:t>33 iki ↑</w:t>
            </w:r>
            <w:r w:rsidR="001E5EED" w:rsidRPr="001839C2">
              <w:rPr>
                <w:rFonts w:eastAsiaTheme="minorEastAsia"/>
                <w:snapToGrid/>
                <w:szCs w:val="22"/>
                <w:lang w:val="lt-LT" w:eastAsia="en-IN"/>
              </w:rPr>
              <w:t> </w:t>
            </w:r>
            <w:r w:rsidRPr="001839C2">
              <w:rPr>
                <w:rFonts w:eastAsiaTheme="minorEastAsia"/>
                <w:snapToGrid/>
                <w:szCs w:val="22"/>
                <w:lang w:val="lt-LT" w:eastAsia="en-IN"/>
              </w:rPr>
              <w:t>55)</w:t>
            </w:r>
          </w:p>
          <w:p w14:paraId="623422A3" w14:textId="77777777" w:rsidR="00621A81" w:rsidRPr="001839C2" w:rsidRDefault="00621A81" w:rsidP="005A7242">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1E5EED" w:rsidRPr="001839C2">
              <w:rPr>
                <w:rFonts w:eastAsiaTheme="minorEastAsia"/>
                <w:snapToGrid/>
                <w:szCs w:val="22"/>
                <w:lang w:val="lt-LT" w:eastAsia="en-IN"/>
              </w:rPr>
              <w:t> </w:t>
            </w:r>
            <w:r w:rsidRPr="001839C2">
              <w:rPr>
                <w:rFonts w:eastAsiaTheme="minorEastAsia"/>
                <w:snapToGrid/>
                <w:szCs w:val="22"/>
                <w:lang w:val="lt-LT" w:eastAsia="en-IN"/>
              </w:rPr>
              <w:t>84</w:t>
            </w:r>
            <w:r w:rsidR="001E5EED" w:rsidRPr="001839C2">
              <w:rPr>
                <w:rFonts w:eastAsiaTheme="minorEastAsia"/>
                <w:snapToGrid/>
                <w:szCs w:val="22"/>
                <w:lang w:val="lt-LT" w:eastAsia="en-IN"/>
              </w:rPr>
              <w:t> </w:t>
            </w:r>
            <w:r w:rsidRPr="001839C2">
              <w:rPr>
                <w:rFonts w:eastAsiaTheme="minorEastAsia"/>
                <w:snapToGrid/>
                <w:szCs w:val="22"/>
                <w:lang w:val="lt-LT" w:eastAsia="en-IN"/>
              </w:rPr>
              <w:t>% (nuo ↑</w:t>
            </w:r>
            <w:r w:rsidR="001E5EED" w:rsidRPr="001839C2">
              <w:rPr>
                <w:rFonts w:eastAsiaTheme="minorEastAsia"/>
                <w:snapToGrid/>
                <w:szCs w:val="22"/>
                <w:lang w:val="lt-LT" w:eastAsia="en-IN"/>
              </w:rPr>
              <w:t> </w:t>
            </w:r>
            <w:r w:rsidRPr="001839C2">
              <w:rPr>
                <w:rFonts w:eastAsiaTheme="minorEastAsia"/>
                <w:snapToGrid/>
                <w:szCs w:val="22"/>
                <w:lang w:val="lt-LT" w:eastAsia="en-IN"/>
              </w:rPr>
              <w:t>76 iki ↑</w:t>
            </w:r>
            <w:r w:rsidR="001E5EED" w:rsidRPr="001839C2">
              <w:rPr>
                <w:rFonts w:eastAsiaTheme="minorEastAsia"/>
                <w:snapToGrid/>
                <w:szCs w:val="22"/>
                <w:lang w:val="lt-LT" w:eastAsia="en-IN"/>
              </w:rPr>
              <w:t> </w:t>
            </w:r>
            <w:r w:rsidRPr="001839C2">
              <w:rPr>
                <w:rFonts w:eastAsiaTheme="minorEastAsia"/>
                <w:snapToGrid/>
                <w:szCs w:val="22"/>
                <w:lang w:val="lt-LT" w:eastAsia="en-IN"/>
              </w:rPr>
              <w:t>92)</w:t>
            </w:r>
          </w:p>
        </w:tc>
        <w:tc>
          <w:tcPr>
            <w:tcW w:w="2422" w:type="dxa"/>
            <w:tcBorders>
              <w:top w:val="single" w:sz="4" w:space="0" w:color="auto"/>
              <w:left w:val="single" w:sz="4" w:space="0" w:color="000000"/>
              <w:bottom w:val="single" w:sz="4" w:space="0" w:color="auto"/>
              <w:right w:val="single" w:sz="4" w:space="0" w:color="000000"/>
            </w:tcBorders>
          </w:tcPr>
          <w:p w14:paraId="0521A794" w14:textId="77777777" w:rsidR="00621A81" w:rsidRPr="001839C2" w:rsidRDefault="00621A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Dozės koreguoti nerekomenduojama. Padidėjus tenofoviro ekspozicijai, gali sustiprėti su tenofovir</w:t>
            </w:r>
            <w:r w:rsidR="001E5EED"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susijusios nepageidaujamos reakcijos, įskaitant inkstų sutrikimus.</w:t>
            </w:r>
            <w:r w:rsidR="001E5EED" w:rsidRPr="001839C2">
              <w:rPr>
                <w:rFonts w:eastAsiaTheme="minorEastAsia"/>
                <w:snapToGrid/>
                <w:szCs w:val="22"/>
                <w:lang w:val="lt-LT" w:eastAsia="en-IN"/>
              </w:rPr>
              <w:t xml:space="preserve"> </w:t>
            </w:r>
            <w:r w:rsidRPr="001839C2">
              <w:rPr>
                <w:rFonts w:eastAsiaTheme="minorEastAsia"/>
                <w:snapToGrid/>
                <w:szCs w:val="22"/>
                <w:lang w:val="lt-LT" w:eastAsia="en-IN"/>
              </w:rPr>
              <w:t>Reikia atidžiai stebėti inkstų funkciją (žr.</w:t>
            </w:r>
            <w:r w:rsidR="001E5EED" w:rsidRPr="001839C2">
              <w:rPr>
                <w:rFonts w:eastAsiaTheme="minorEastAsia"/>
                <w:snapToGrid/>
                <w:szCs w:val="22"/>
                <w:lang w:val="lt-LT" w:eastAsia="en-IN"/>
              </w:rPr>
              <w:t> </w:t>
            </w:r>
            <w:r w:rsidRPr="001839C2">
              <w:rPr>
                <w:rFonts w:eastAsiaTheme="minorEastAsia"/>
                <w:snapToGrid/>
                <w:szCs w:val="22"/>
                <w:lang w:val="lt-LT" w:eastAsia="en-IN"/>
              </w:rPr>
              <w:t>4.4</w:t>
            </w:r>
            <w:r w:rsidR="001E5EED"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AC57A5" w:rsidRPr="00686907" w14:paraId="15AD7B0E"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1A83535B" w14:textId="77777777" w:rsidR="00AC57A5" w:rsidRPr="001839C2" w:rsidRDefault="00AC57A5" w:rsidP="005A7242">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Sofosbuviro,velpatasviro ir voksilapreviro derinys</w:t>
            </w:r>
          </w:p>
          <w:p w14:paraId="3B219284" w14:textId="77777777" w:rsidR="00590FE1" w:rsidRPr="001839C2" w:rsidRDefault="00AC57A5"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(400 mg/100 mg/100 mg</w:t>
            </w:r>
            <w:r w:rsidR="00590FE1" w:rsidRPr="001839C2">
              <w:rPr>
                <w:rFonts w:eastAsiaTheme="minorEastAsia"/>
                <w:snapToGrid/>
                <w:szCs w:val="22"/>
                <w:lang w:val="lt-LT" w:eastAsia="en-IN"/>
              </w:rPr>
              <w:t> </w:t>
            </w:r>
            <w:r w:rsidRPr="001839C2">
              <w:rPr>
                <w:rFonts w:eastAsiaTheme="minorEastAsia"/>
                <w:snapToGrid/>
                <w:szCs w:val="22"/>
                <w:lang w:val="lt-LT" w:eastAsia="en-IN"/>
              </w:rPr>
              <w:t>+</w:t>
            </w:r>
            <w:r w:rsidR="00590FE1" w:rsidRPr="001839C2">
              <w:rPr>
                <w:rFonts w:eastAsiaTheme="minorEastAsia"/>
                <w:snapToGrid/>
                <w:szCs w:val="22"/>
                <w:lang w:val="lt-LT" w:eastAsia="en-IN"/>
              </w:rPr>
              <w:t> </w:t>
            </w:r>
            <w:r w:rsidRPr="001839C2">
              <w:rPr>
                <w:rFonts w:eastAsiaTheme="minorEastAsia"/>
                <w:snapToGrid/>
                <w:szCs w:val="22"/>
                <w:lang w:val="lt-LT" w:eastAsia="en-IN"/>
              </w:rPr>
              <w:t>100</w:t>
            </w:r>
            <w:r w:rsidR="00590FE1" w:rsidRPr="001839C2">
              <w:rPr>
                <w:rFonts w:eastAsiaTheme="minorEastAsia"/>
                <w:snapToGrid/>
                <w:szCs w:val="22"/>
                <w:lang w:val="lt-LT" w:eastAsia="en-IN"/>
              </w:rPr>
              <w:t> </w:t>
            </w:r>
            <w:r w:rsidRPr="001839C2">
              <w:rPr>
                <w:rFonts w:eastAsiaTheme="minorEastAsia"/>
                <w:snapToGrid/>
                <w:szCs w:val="22"/>
                <w:lang w:val="lt-LT" w:eastAsia="en-IN"/>
              </w:rPr>
              <w:t>mg</w:t>
            </w:r>
            <w:r w:rsidR="00590FE1" w:rsidRPr="001839C2">
              <w:rPr>
                <w:rFonts w:eastAsiaTheme="minorEastAsia"/>
                <w:snapToGrid/>
                <w:szCs w:val="22"/>
                <w:lang w:val="lt-LT" w:eastAsia="en-IN"/>
              </w:rPr>
              <w:t> </w:t>
            </w:r>
            <w:r w:rsidRPr="001839C2">
              <w:rPr>
                <w:rFonts w:eastAsiaTheme="minorEastAsia"/>
                <w:snapToGrid/>
                <w:szCs w:val="22"/>
                <w:lang w:val="lt-LT" w:eastAsia="en-IN"/>
              </w:rPr>
              <w:t>q.d.)</w:t>
            </w:r>
            <w:r w:rsidRPr="001839C2">
              <w:rPr>
                <w:rFonts w:eastAsiaTheme="minorEastAsia"/>
                <w:snapToGrid/>
                <w:szCs w:val="22"/>
                <w:vertAlign w:val="superscript"/>
                <w:lang w:val="lt-LT" w:eastAsia="en-IN"/>
              </w:rPr>
              <w:t>3</w:t>
            </w:r>
          </w:p>
          <w:p w14:paraId="11FE9E3C" w14:textId="77777777" w:rsidR="00590FE1" w:rsidRPr="001839C2" w:rsidRDefault="00AC57A5"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700913D3" w14:textId="77777777" w:rsidR="00590FE1" w:rsidRPr="001839C2" w:rsidRDefault="00590FE1"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w:t>
            </w:r>
            <w:r w:rsidR="00AC57A5" w:rsidRPr="001839C2">
              <w:rPr>
                <w:rFonts w:eastAsiaTheme="minorEastAsia"/>
                <w:snapToGrid/>
                <w:szCs w:val="22"/>
                <w:lang w:val="lt-LT" w:eastAsia="en-IN"/>
              </w:rPr>
              <w:t>arunaviras</w:t>
            </w:r>
          </w:p>
          <w:p w14:paraId="274A700D" w14:textId="77777777" w:rsidR="00590FE1" w:rsidRPr="001839C2" w:rsidRDefault="00AC57A5"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(800</w:t>
            </w:r>
            <w:r w:rsidR="00590FE1" w:rsidRPr="001839C2">
              <w:rPr>
                <w:rFonts w:eastAsiaTheme="minorEastAsia"/>
                <w:snapToGrid/>
                <w:szCs w:val="22"/>
                <w:lang w:val="lt-LT" w:eastAsia="en-IN"/>
              </w:rPr>
              <w:t> </w:t>
            </w:r>
            <w:r w:rsidRPr="001839C2">
              <w:rPr>
                <w:rFonts w:eastAsiaTheme="minorEastAsia"/>
                <w:snapToGrid/>
                <w:szCs w:val="22"/>
                <w:lang w:val="lt-LT" w:eastAsia="en-IN"/>
              </w:rPr>
              <w:t>mg</w:t>
            </w:r>
            <w:r w:rsidR="00590FE1" w:rsidRPr="001839C2">
              <w:rPr>
                <w:rFonts w:eastAsiaTheme="minorEastAsia"/>
                <w:snapToGrid/>
                <w:szCs w:val="22"/>
                <w:lang w:val="lt-LT" w:eastAsia="en-IN"/>
              </w:rPr>
              <w:t> </w:t>
            </w:r>
            <w:r w:rsidRPr="001839C2">
              <w:rPr>
                <w:rFonts w:eastAsiaTheme="minorEastAsia"/>
                <w:snapToGrid/>
                <w:szCs w:val="22"/>
                <w:lang w:val="lt-LT" w:eastAsia="en-IN"/>
              </w:rPr>
              <w:t>q.d.)</w:t>
            </w:r>
          </w:p>
          <w:p w14:paraId="6DB979DD" w14:textId="77777777" w:rsidR="00590FE1" w:rsidRPr="001839C2" w:rsidRDefault="00AC57A5"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7F84F6A3" w14:textId="77777777" w:rsidR="00590FE1" w:rsidRPr="001839C2" w:rsidRDefault="00590FE1"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w:t>
            </w:r>
            <w:r w:rsidR="00AC57A5" w:rsidRPr="001839C2">
              <w:rPr>
                <w:rFonts w:eastAsiaTheme="minorEastAsia"/>
                <w:snapToGrid/>
                <w:szCs w:val="22"/>
                <w:lang w:val="lt-LT" w:eastAsia="en-IN"/>
              </w:rPr>
              <w:t>itonavir</w:t>
            </w:r>
            <w:r w:rsidRPr="001839C2">
              <w:rPr>
                <w:rFonts w:eastAsiaTheme="minorEastAsia"/>
                <w:snapToGrid/>
                <w:szCs w:val="22"/>
                <w:lang w:val="lt-LT" w:eastAsia="en-IN"/>
              </w:rPr>
              <w:t>as</w:t>
            </w:r>
          </w:p>
          <w:p w14:paraId="2AF6C606" w14:textId="77777777" w:rsidR="00590FE1" w:rsidRPr="001839C2" w:rsidRDefault="00AC57A5"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(100</w:t>
            </w:r>
            <w:r w:rsidR="00590FE1" w:rsidRPr="001839C2">
              <w:rPr>
                <w:rFonts w:eastAsiaTheme="minorEastAsia"/>
                <w:snapToGrid/>
                <w:szCs w:val="22"/>
                <w:lang w:val="lt-LT" w:eastAsia="en-IN"/>
              </w:rPr>
              <w:t> </w:t>
            </w:r>
            <w:r w:rsidRPr="001839C2">
              <w:rPr>
                <w:rFonts w:eastAsiaTheme="minorEastAsia"/>
                <w:snapToGrid/>
                <w:szCs w:val="22"/>
                <w:lang w:val="lt-LT" w:eastAsia="en-IN"/>
              </w:rPr>
              <w:t>mg</w:t>
            </w:r>
            <w:r w:rsidR="00590FE1" w:rsidRPr="001839C2">
              <w:rPr>
                <w:rFonts w:eastAsiaTheme="minorEastAsia"/>
                <w:snapToGrid/>
                <w:szCs w:val="22"/>
                <w:lang w:val="lt-LT" w:eastAsia="en-IN"/>
              </w:rPr>
              <w:t> </w:t>
            </w:r>
            <w:r w:rsidRPr="001839C2">
              <w:rPr>
                <w:rFonts w:eastAsiaTheme="minorEastAsia"/>
                <w:snapToGrid/>
                <w:szCs w:val="22"/>
                <w:lang w:val="lt-LT" w:eastAsia="en-IN"/>
              </w:rPr>
              <w:t>q.d.)</w:t>
            </w:r>
          </w:p>
          <w:p w14:paraId="5817A2EE" w14:textId="77777777" w:rsidR="00590FE1" w:rsidRPr="001839C2" w:rsidRDefault="00AC57A5"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1DD25AA2" w14:textId="77777777" w:rsidR="00590FE1" w:rsidRPr="001839C2" w:rsidRDefault="00590FE1"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w:t>
            </w:r>
            <w:r w:rsidR="00AC57A5" w:rsidRPr="001839C2">
              <w:rPr>
                <w:rFonts w:eastAsiaTheme="minorEastAsia"/>
                <w:snapToGrid/>
                <w:szCs w:val="22"/>
                <w:lang w:val="lt-LT" w:eastAsia="en-IN"/>
              </w:rPr>
              <w:t>mtricitabin</w:t>
            </w:r>
            <w:r w:rsidRPr="001839C2">
              <w:rPr>
                <w:rFonts w:eastAsiaTheme="minorEastAsia"/>
                <w:snapToGrid/>
                <w:szCs w:val="22"/>
                <w:lang w:val="lt-LT" w:eastAsia="en-IN"/>
              </w:rPr>
              <w:t>o</w:t>
            </w:r>
            <w:r w:rsidR="00AC57A5" w:rsidRPr="001839C2">
              <w:rPr>
                <w:rFonts w:eastAsiaTheme="minorEastAsia"/>
                <w:snapToGrid/>
                <w:szCs w:val="22"/>
                <w:lang w:val="lt-LT" w:eastAsia="en-IN"/>
              </w:rPr>
              <w:t xml:space="preserve"> </w:t>
            </w:r>
            <w:r w:rsidRPr="001839C2">
              <w:rPr>
                <w:rFonts w:eastAsiaTheme="minorEastAsia"/>
                <w:snapToGrid/>
                <w:szCs w:val="22"/>
                <w:lang w:val="lt-LT" w:eastAsia="en-IN"/>
              </w:rPr>
              <w:t>ir</w:t>
            </w:r>
            <w:r w:rsidR="00AC57A5" w:rsidRPr="001839C2">
              <w:rPr>
                <w:rFonts w:eastAsiaTheme="minorEastAsia"/>
                <w:snapToGrid/>
                <w:szCs w:val="22"/>
                <w:lang w:val="lt-LT" w:eastAsia="en-IN"/>
              </w:rPr>
              <w:t xml:space="preserve"> tenofoviro dizoproksili</w:t>
            </w:r>
            <w:r w:rsidRPr="001839C2">
              <w:rPr>
                <w:rFonts w:eastAsiaTheme="minorEastAsia"/>
                <w:snapToGrid/>
                <w:szCs w:val="22"/>
                <w:lang w:val="lt-LT" w:eastAsia="en-IN"/>
              </w:rPr>
              <w:t>o deriny</w:t>
            </w:r>
            <w:r w:rsidR="00AC57A5" w:rsidRPr="001839C2">
              <w:rPr>
                <w:rFonts w:eastAsiaTheme="minorEastAsia"/>
                <w:snapToGrid/>
                <w:szCs w:val="22"/>
                <w:lang w:val="lt-LT" w:eastAsia="en-IN"/>
              </w:rPr>
              <w:t>s</w:t>
            </w:r>
          </w:p>
          <w:p w14:paraId="29EBA7FC" w14:textId="77777777" w:rsidR="00AC57A5" w:rsidRPr="001839C2" w:rsidRDefault="00AC57A5"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(200</w:t>
            </w:r>
            <w:r w:rsidR="00590FE1" w:rsidRPr="001839C2">
              <w:rPr>
                <w:rFonts w:eastAsiaTheme="minorEastAsia"/>
                <w:snapToGrid/>
                <w:szCs w:val="22"/>
                <w:lang w:val="lt-LT" w:eastAsia="en-IN"/>
              </w:rPr>
              <w:t> </w:t>
            </w:r>
            <w:r w:rsidRPr="001839C2">
              <w:rPr>
                <w:rFonts w:eastAsiaTheme="minorEastAsia"/>
                <w:snapToGrid/>
                <w:szCs w:val="22"/>
                <w:lang w:val="lt-LT" w:eastAsia="en-IN"/>
              </w:rPr>
              <w:t>mg/245</w:t>
            </w:r>
            <w:r w:rsidR="00590FE1" w:rsidRPr="001839C2">
              <w:rPr>
                <w:rFonts w:eastAsiaTheme="minorEastAsia"/>
                <w:snapToGrid/>
                <w:szCs w:val="22"/>
                <w:lang w:val="lt-LT" w:eastAsia="en-IN"/>
              </w:rPr>
              <w:t> </w:t>
            </w:r>
            <w:r w:rsidRPr="001839C2">
              <w:rPr>
                <w:rFonts w:eastAsiaTheme="minorEastAsia"/>
                <w:snapToGrid/>
                <w:szCs w:val="22"/>
                <w:lang w:val="lt-LT" w:eastAsia="en-IN"/>
              </w:rPr>
              <w:t>mg</w:t>
            </w:r>
            <w:r w:rsidR="00590FE1" w:rsidRPr="001839C2">
              <w:rPr>
                <w:rFonts w:eastAsiaTheme="minorEastAsia"/>
                <w:snapToGrid/>
                <w:szCs w:val="22"/>
                <w:lang w:val="lt-LT" w:eastAsia="en-IN"/>
              </w:rPr>
              <w:t> </w:t>
            </w:r>
            <w:r w:rsidRPr="001839C2">
              <w:rPr>
                <w:rFonts w:eastAsiaTheme="minorEastAsia"/>
                <w:snapToGrid/>
                <w:szCs w:val="22"/>
                <w:lang w:val="lt-LT" w:eastAsia="en-IN"/>
              </w:rPr>
              <w:t>q.d.)</w:t>
            </w:r>
          </w:p>
        </w:tc>
        <w:tc>
          <w:tcPr>
            <w:tcW w:w="3351" w:type="dxa"/>
            <w:tcBorders>
              <w:top w:val="single" w:sz="4" w:space="0" w:color="auto"/>
              <w:left w:val="single" w:sz="4" w:space="0" w:color="000000"/>
              <w:bottom w:val="single" w:sz="4" w:space="0" w:color="auto"/>
              <w:right w:val="single" w:sz="4" w:space="0" w:color="000000"/>
            </w:tcBorders>
          </w:tcPr>
          <w:p w14:paraId="50982BB0"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Sofosbuviras</w:t>
            </w:r>
          </w:p>
          <w:p w14:paraId="78D0E12A"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05B0D7C"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590FE1" w:rsidRPr="001839C2">
              <w:rPr>
                <w:rFonts w:eastAsiaTheme="minorEastAsia"/>
                <w:snapToGrid/>
                <w:szCs w:val="22"/>
                <w:lang w:val="lt-LT" w:eastAsia="en-IN"/>
              </w:rPr>
              <w:t> </w:t>
            </w:r>
            <w:r w:rsidRPr="001839C2">
              <w:rPr>
                <w:rFonts w:eastAsiaTheme="minorEastAsia"/>
                <w:snapToGrid/>
                <w:szCs w:val="22"/>
                <w:lang w:val="lt-LT" w:eastAsia="en-IN"/>
              </w:rPr>
              <w:t>30</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p w14:paraId="40210006"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p w14:paraId="4D0AC5F0"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15875A9"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00590FE1" w:rsidRPr="001839C2">
              <w:rPr>
                <w:rFonts w:eastAsiaTheme="minorEastAsia"/>
                <w:i/>
                <w:snapToGrid/>
                <w:szCs w:val="22"/>
                <w:u w:val="single"/>
                <w:lang w:val="lt-LT" w:eastAsia="en-IN"/>
              </w:rPr>
              <w:noBreakHyphen/>
            </w:r>
            <w:r w:rsidRPr="001839C2">
              <w:rPr>
                <w:rFonts w:eastAsiaTheme="minorEastAsia"/>
                <w:i/>
                <w:snapToGrid/>
                <w:szCs w:val="22"/>
                <w:u w:val="single"/>
                <w:lang w:val="lt-LT" w:eastAsia="en-IN"/>
              </w:rPr>
              <w:t>331007</w:t>
            </w:r>
            <w:r w:rsidRPr="001839C2">
              <w:rPr>
                <w:rFonts w:eastAsiaTheme="minorEastAsia"/>
                <w:snapToGrid/>
                <w:szCs w:val="22"/>
                <w:vertAlign w:val="superscript"/>
                <w:lang w:val="lt-LT" w:eastAsia="en-IN"/>
              </w:rPr>
              <w:t>2</w:t>
            </w:r>
          </w:p>
          <w:p w14:paraId="29A69655"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76E20EB8"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w:t>
            </w:r>
            <w:r w:rsidR="009B4BC3" w:rsidRPr="001839C2">
              <w:rPr>
                <w:rFonts w:eastAsiaTheme="minorEastAsia"/>
                <w:snapToGrid/>
                <w:szCs w:val="22"/>
                <w:lang w:val="lt-LT" w:eastAsia="en-IN"/>
              </w:rPr>
              <w:t xml:space="preserve"> </w:t>
            </w:r>
            <w:r w:rsidRPr="001839C2">
              <w:rPr>
                <w:rFonts w:eastAsiaTheme="minorEastAsia"/>
                <w:snapToGrid/>
                <w:szCs w:val="22"/>
                <w:lang w:val="lt-LT" w:eastAsia="en-IN"/>
              </w:rPr>
              <w:t>↔</w:t>
            </w:r>
          </w:p>
          <w:p w14:paraId="595BB2DC"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p w14:paraId="2DE9923E"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49C12B6"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Velpatasviras</w:t>
            </w:r>
          </w:p>
          <w:p w14:paraId="2286C72E"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2793FB51"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31D1077"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3D0D8E5B"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C1B0CE7"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Voksilapreviras</w:t>
            </w:r>
          </w:p>
          <w:p w14:paraId="44CADD93"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590FE1" w:rsidRPr="001839C2">
              <w:rPr>
                <w:rFonts w:eastAsiaTheme="minorEastAsia"/>
                <w:snapToGrid/>
                <w:szCs w:val="22"/>
                <w:lang w:val="lt-LT" w:eastAsia="en-IN"/>
              </w:rPr>
              <w:t> </w:t>
            </w:r>
            <w:r w:rsidRPr="001839C2">
              <w:rPr>
                <w:rFonts w:eastAsiaTheme="minorEastAsia"/>
                <w:snapToGrid/>
                <w:szCs w:val="22"/>
                <w:lang w:val="lt-LT" w:eastAsia="en-IN"/>
              </w:rPr>
              <w:t>143</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p w14:paraId="35A31A35"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w:t>
            </w:r>
            <w:r w:rsidR="00590FE1" w:rsidRPr="001839C2">
              <w:rPr>
                <w:rFonts w:eastAsiaTheme="minorEastAsia"/>
                <w:snapToGrid/>
                <w:szCs w:val="22"/>
                <w:lang w:val="lt-LT" w:eastAsia="en-IN"/>
              </w:rPr>
              <w:t> </w:t>
            </w:r>
            <w:r w:rsidRPr="001839C2">
              <w:rPr>
                <w:rFonts w:eastAsiaTheme="minorEastAsia"/>
                <w:snapToGrid/>
                <w:szCs w:val="22"/>
                <w:lang w:val="lt-LT" w:eastAsia="en-IN"/>
              </w:rPr>
              <w:t>72</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p w14:paraId="4D3139DF"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590FE1" w:rsidRPr="001839C2">
              <w:rPr>
                <w:rFonts w:eastAsiaTheme="minorEastAsia"/>
                <w:snapToGrid/>
                <w:szCs w:val="22"/>
                <w:lang w:val="lt-LT" w:eastAsia="en-IN"/>
              </w:rPr>
              <w:t> </w:t>
            </w:r>
            <w:r w:rsidRPr="001839C2">
              <w:rPr>
                <w:rFonts w:eastAsiaTheme="minorEastAsia"/>
                <w:snapToGrid/>
                <w:szCs w:val="22"/>
                <w:lang w:val="lt-LT" w:eastAsia="en-IN"/>
              </w:rPr>
              <w:t>300</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p w14:paraId="7485F8F3"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52AC736B"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Darunaviras</w:t>
            </w:r>
          </w:p>
          <w:p w14:paraId="3CD4B480"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71D6A2A"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4E7EBB07"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590FE1" w:rsidRPr="001839C2">
              <w:rPr>
                <w:rFonts w:eastAsiaTheme="minorEastAsia"/>
                <w:snapToGrid/>
                <w:szCs w:val="22"/>
                <w:lang w:val="lt-LT" w:eastAsia="en-IN"/>
              </w:rPr>
              <w:t> </w:t>
            </w:r>
            <w:r w:rsidRPr="001839C2">
              <w:rPr>
                <w:rFonts w:eastAsiaTheme="minorEastAsia"/>
                <w:snapToGrid/>
                <w:szCs w:val="22"/>
                <w:lang w:val="lt-LT" w:eastAsia="en-IN"/>
              </w:rPr>
              <w:t>34</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p w14:paraId="6ED9D95A"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6743B6C"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Ritonaviras</w:t>
            </w:r>
          </w:p>
          <w:p w14:paraId="24185D1A"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590FE1" w:rsidRPr="001839C2">
              <w:rPr>
                <w:rFonts w:eastAsiaTheme="minorEastAsia"/>
                <w:snapToGrid/>
                <w:szCs w:val="22"/>
                <w:lang w:val="lt-LT" w:eastAsia="en-IN"/>
              </w:rPr>
              <w:t> </w:t>
            </w:r>
            <w:r w:rsidRPr="001839C2">
              <w:rPr>
                <w:rFonts w:eastAsiaTheme="minorEastAsia"/>
                <w:snapToGrid/>
                <w:szCs w:val="22"/>
                <w:lang w:val="lt-LT" w:eastAsia="en-IN"/>
              </w:rPr>
              <w:t>45</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p w14:paraId="55B87121"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590FE1" w:rsidRPr="001839C2">
              <w:rPr>
                <w:rFonts w:eastAsiaTheme="minorEastAsia"/>
                <w:snapToGrid/>
                <w:szCs w:val="22"/>
                <w:lang w:val="lt-LT" w:eastAsia="en-IN"/>
              </w:rPr>
              <w:t> </w:t>
            </w:r>
            <w:r w:rsidRPr="001839C2">
              <w:rPr>
                <w:rFonts w:eastAsiaTheme="minorEastAsia"/>
                <w:snapToGrid/>
                <w:szCs w:val="22"/>
                <w:lang w:val="lt-LT" w:eastAsia="en-IN"/>
              </w:rPr>
              <w:t>60</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p w14:paraId="1FD8F228"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60CEA2F9"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24F1E5E"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604CFC46"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476FAA6"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637A7763"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6C42FCEF"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0EE5336" w14:textId="77777777" w:rsidR="00590FE1"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31FB1828"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590FE1" w:rsidRPr="001839C2">
              <w:rPr>
                <w:rFonts w:eastAsiaTheme="minorEastAsia"/>
                <w:snapToGrid/>
                <w:szCs w:val="22"/>
                <w:lang w:val="lt-LT" w:eastAsia="en-IN"/>
              </w:rPr>
              <w:t> </w:t>
            </w:r>
            <w:r w:rsidRPr="001839C2">
              <w:rPr>
                <w:rFonts w:eastAsiaTheme="minorEastAsia"/>
                <w:snapToGrid/>
                <w:szCs w:val="22"/>
                <w:lang w:val="lt-LT" w:eastAsia="en-IN"/>
              </w:rPr>
              <w:t>39</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p w14:paraId="08DA92B2" w14:textId="77777777" w:rsidR="00590FE1" w:rsidRPr="001839C2" w:rsidRDefault="00AC57A5" w:rsidP="005A7242">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590FE1" w:rsidRPr="001839C2">
              <w:rPr>
                <w:rFonts w:eastAsiaTheme="minorEastAsia"/>
                <w:snapToGrid/>
                <w:szCs w:val="22"/>
                <w:lang w:val="lt-LT" w:eastAsia="en-IN"/>
              </w:rPr>
              <w:t> </w:t>
            </w:r>
            <w:r w:rsidRPr="001839C2">
              <w:rPr>
                <w:rFonts w:eastAsiaTheme="minorEastAsia"/>
                <w:snapToGrid/>
                <w:szCs w:val="22"/>
                <w:lang w:val="lt-LT" w:eastAsia="en-IN"/>
              </w:rPr>
              <w:t>48</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p w14:paraId="443A7A2D" w14:textId="77777777" w:rsidR="00AC57A5" w:rsidRPr="001839C2" w:rsidRDefault="00AC57A5" w:rsidP="005A7242">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590FE1" w:rsidRPr="001839C2">
              <w:rPr>
                <w:rFonts w:eastAsiaTheme="minorEastAsia"/>
                <w:snapToGrid/>
                <w:szCs w:val="22"/>
                <w:lang w:val="lt-LT" w:eastAsia="en-IN"/>
              </w:rPr>
              <w:t> </w:t>
            </w:r>
            <w:r w:rsidRPr="001839C2">
              <w:rPr>
                <w:rFonts w:eastAsiaTheme="minorEastAsia"/>
                <w:snapToGrid/>
                <w:szCs w:val="22"/>
                <w:lang w:val="lt-LT" w:eastAsia="en-IN"/>
              </w:rPr>
              <w:t>47</w:t>
            </w:r>
            <w:r w:rsidR="00590FE1" w:rsidRPr="001839C2">
              <w:rPr>
                <w:rFonts w:eastAsiaTheme="minorEastAsia"/>
                <w:snapToGrid/>
                <w:szCs w:val="22"/>
                <w:lang w:val="lt-LT" w:eastAsia="en-IN"/>
              </w:rPr>
              <w:t> </w:t>
            </w:r>
            <w:r w:rsidRPr="001839C2">
              <w:rPr>
                <w:rFonts w:eastAsiaTheme="minorEastAsia"/>
                <w:snapToGrid/>
                <w:szCs w:val="22"/>
                <w:lang w:val="lt-LT" w:eastAsia="en-IN"/>
              </w:rPr>
              <w:t>%</w:t>
            </w:r>
          </w:p>
        </w:tc>
        <w:tc>
          <w:tcPr>
            <w:tcW w:w="2422" w:type="dxa"/>
            <w:tcBorders>
              <w:top w:val="single" w:sz="4" w:space="0" w:color="auto"/>
              <w:left w:val="single" w:sz="4" w:space="0" w:color="000000"/>
              <w:bottom w:val="single" w:sz="4" w:space="0" w:color="auto"/>
              <w:right w:val="single" w:sz="4" w:space="0" w:color="000000"/>
            </w:tcBorders>
          </w:tcPr>
          <w:p w14:paraId="126DDD14" w14:textId="77777777" w:rsidR="009B4BC3"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Padidėjus tenofoviro ekspozicijai plazmoje kartu vartojant tenofoviro dizoproksil</w:t>
            </w:r>
            <w:r w:rsidR="00073E58" w:rsidRPr="001839C2">
              <w:rPr>
                <w:rFonts w:eastAsiaTheme="minorEastAsia"/>
                <w:snapToGrid/>
                <w:szCs w:val="22"/>
                <w:lang w:val="lt-LT" w:eastAsia="en-IN"/>
              </w:rPr>
              <w:t>io</w:t>
            </w:r>
            <w:r w:rsidRPr="001839C2">
              <w:rPr>
                <w:rFonts w:eastAsiaTheme="minorEastAsia"/>
                <w:snapToGrid/>
                <w:szCs w:val="22"/>
                <w:lang w:val="lt-LT" w:eastAsia="en-IN"/>
              </w:rPr>
              <w:t xml:space="preserve"> su sofosbuvir</w:t>
            </w:r>
            <w:r w:rsidR="009B4BC3" w:rsidRPr="001839C2">
              <w:rPr>
                <w:rFonts w:eastAsiaTheme="minorEastAsia"/>
                <w:snapToGrid/>
                <w:szCs w:val="22"/>
                <w:lang w:val="lt-LT" w:eastAsia="en-IN"/>
              </w:rPr>
              <w:t>o</w:t>
            </w:r>
            <w:r w:rsidRPr="001839C2">
              <w:rPr>
                <w:rFonts w:eastAsiaTheme="minorEastAsia"/>
                <w:snapToGrid/>
                <w:szCs w:val="22"/>
                <w:lang w:val="lt-LT" w:eastAsia="en-IN"/>
              </w:rPr>
              <w:t>, velpatasvir</w:t>
            </w:r>
            <w:r w:rsidR="009B4BC3" w:rsidRPr="001839C2">
              <w:rPr>
                <w:rFonts w:eastAsiaTheme="minorEastAsia"/>
                <w:snapToGrid/>
                <w:szCs w:val="22"/>
                <w:lang w:val="lt-LT" w:eastAsia="en-IN"/>
              </w:rPr>
              <w:t>o</w:t>
            </w:r>
            <w:r w:rsidRPr="001839C2">
              <w:rPr>
                <w:rFonts w:eastAsiaTheme="minorEastAsia"/>
                <w:snapToGrid/>
                <w:szCs w:val="22"/>
                <w:lang w:val="lt-LT" w:eastAsia="en-IN"/>
              </w:rPr>
              <w:t xml:space="preserve"> ir voksilaprevir</w:t>
            </w:r>
            <w:r w:rsidR="009B4BC3" w:rsidRPr="001839C2">
              <w:rPr>
                <w:rFonts w:eastAsiaTheme="minorEastAsia"/>
                <w:snapToGrid/>
                <w:szCs w:val="22"/>
                <w:lang w:val="lt-LT" w:eastAsia="en-IN"/>
              </w:rPr>
              <w:t>o derini</w:t>
            </w:r>
            <w:r w:rsidRPr="001839C2">
              <w:rPr>
                <w:rFonts w:eastAsiaTheme="minorEastAsia"/>
                <w:snapToGrid/>
                <w:szCs w:val="22"/>
                <w:lang w:val="lt-LT" w:eastAsia="en-IN"/>
              </w:rPr>
              <w:t>u bei darunavir</w:t>
            </w:r>
            <w:r w:rsidR="009B4BC3" w:rsidRPr="001839C2">
              <w:rPr>
                <w:rFonts w:eastAsiaTheme="minorEastAsia"/>
                <w:snapToGrid/>
                <w:szCs w:val="22"/>
                <w:lang w:val="lt-LT" w:eastAsia="en-IN"/>
              </w:rPr>
              <w:t>o</w:t>
            </w:r>
            <w:r w:rsidRPr="001839C2">
              <w:rPr>
                <w:rFonts w:eastAsiaTheme="minorEastAsia"/>
                <w:snapToGrid/>
                <w:szCs w:val="22"/>
                <w:lang w:val="lt-LT" w:eastAsia="en-IN"/>
              </w:rPr>
              <w:t xml:space="preserve"> ir ritonavir</w:t>
            </w:r>
            <w:r w:rsidR="009B4BC3" w:rsidRPr="001839C2">
              <w:rPr>
                <w:rFonts w:eastAsiaTheme="minorEastAsia"/>
                <w:snapToGrid/>
                <w:szCs w:val="22"/>
                <w:lang w:val="lt-LT" w:eastAsia="en-IN"/>
              </w:rPr>
              <w:t>o deriniu</w:t>
            </w:r>
            <w:r w:rsidRPr="001839C2">
              <w:rPr>
                <w:rFonts w:eastAsiaTheme="minorEastAsia"/>
                <w:snapToGrid/>
                <w:szCs w:val="22"/>
                <w:lang w:val="lt-LT" w:eastAsia="en-IN"/>
              </w:rPr>
              <w:t>, gali sustiprėti su tenofovir</w:t>
            </w:r>
            <w:r w:rsidR="00073E58"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susijusios nepageidaujamos reakcijos, įskaitant inkstų sutrikimus.</w:t>
            </w:r>
          </w:p>
          <w:p w14:paraId="1BC6FBBE" w14:textId="77777777" w:rsidR="00AC57A5" w:rsidRPr="001839C2" w:rsidRDefault="00AC57A5"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Tenofoviro dizoproksilio saugumas, jį skiriant kartu su sofosbuvir</w:t>
            </w:r>
            <w:r w:rsidR="00284AB0" w:rsidRPr="001839C2">
              <w:rPr>
                <w:rFonts w:eastAsiaTheme="minorEastAsia"/>
                <w:snapToGrid/>
                <w:szCs w:val="22"/>
                <w:lang w:val="lt-LT" w:eastAsia="en-IN"/>
              </w:rPr>
              <w:t>o</w:t>
            </w:r>
            <w:r w:rsidRPr="001839C2">
              <w:rPr>
                <w:rFonts w:eastAsiaTheme="minorEastAsia"/>
                <w:snapToGrid/>
                <w:szCs w:val="22"/>
                <w:lang w:val="lt-LT" w:eastAsia="en-IN"/>
              </w:rPr>
              <w:t>, velpatasvir</w:t>
            </w:r>
            <w:r w:rsidR="00284AB0" w:rsidRPr="001839C2">
              <w:rPr>
                <w:rFonts w:eastAsiaTheme="minorEastAsia"/>
                <w:snapToGrid/>
                <w:szCs w:val="22"/>
                <w:lang w:val="lt-LT" w:eastAsia="en-IN"/>
              </w:rPr>
              <w:t>o</w:t>
            </w:r>
            <w:r w:rsidRPr="001839C2">
              <w:rPr>
                <w:rFonts w:eastAsiaTheme="minorEastAsia"/>
                <w:snapToGrid/>
                <w:szCs w:val="22"/>
                <w:lang w:val="lt-LT" w:eastAsia="en-IN"/>
              </w:rPr>
              <w:t xml:space="preserve"> ir voksilaprevir</w:t>
            </w:r>
            <w:r w:rsidR="00284AB0" w:rsidRPr="001839C2">
              <w:rPr>
                <w:rFonts w:eastAsiaTheme="minorEastAsia"/>
                <w:snapToGrid/>
                <w:szCs w:val="22"/>
                <w:lang w:val="lt-LT" w:eastAsia="en-IN"/>
              </w:rPr>
              <w:t>o derini</w:t>
            </w:r>
            <w:r w:rsidRPr="001839C2">
              <w:rPr>
                <w:rFonts w:eastAsiaTheme="minorEastAsia"/>
                <w:snapToGrid/>
                <w:szCs w:val="22"/>
                <w:lang w:val="lt-LT" w:eastAsia="en-IN"/>
              </w:rPr>
              <w:t>u bei farmakokinetiką stiprinančia medžiaga (pvz., ritonaviru ar kobicistatu), nenustatytas.</w:t>
            </w:r>
          </w:p>
          <w:p w14:paraId="3BB479B2" w14:textId="77777777" w:rsidR="00AC57A5" w:rsidRPr="001839C2" w:rsidRDefault="00AC57A5" w:rsidP="005A7242">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Tok</w:t>
            </w:r>
            <w:r w:rsidR="00284AB0" w:rsidRPr="001839C2">
              <w:rPr>
                <w:rFonts w:eastAsiaTheme="minorEastAsia"/>
                <w:snapToGrid/>
                <w:szCs w:val="22"/>
                <w:lang w:val="lt-LT" w:eastAsia="en-IN"/>
              </w:rPr>
              <w:t>io</w:t>
            </w:r>
            <w:r w:rsidRPr="001839C2">
              <w:rPr>
                <w:rFonts w:eastAsiaTheme="minorEastAsia"/>
                <w:snapToGrid/>
                <w:szCs w:val="22"/>
                <w:lang w:val="lt-LT" w:eastAsia="en-IN"/>
              </w:rPr>
              <w:t xml:space="preserve"> derin</w:t>
            </w:r>
            <w:r w:rsidR="00284AB0" w:rsidRPr="001839C2">
              <w:rPr>
                <w:rFonts w:eastAsiaTheme="minorEastAsia"/>
                <w:snapToGrid/>
                <w:szCs w:val="22"/>
                <w:lang w:val="lt-LT" w:eastAsia="en-IN"/>
              </w:rPr>
              <w:t>io</w:t>
            </w:r>
            <w:r w:rsidRPr="001839C2">
              <w:rPr>
                <w:rFonts w:eastAsiaTheme="minorEastAsia"/>
                <w:snapToGrid/>
                <w:szCs w:val="22"/>
                <w:lang w:val="lt-LT" w:eastAsia="en-IN"/>
              </w:rPr>
              <w:t xml:space="preserve"> reikia vartoti atsargiai, dažnai tikrinant inkstų veiklą (žr.</w:t>
            </w:r>
            <w:r w:rsidR="00073E58" w:rsidRPr="001839C2">
              <w:rPr>
                <w:rFonts w:eastAsiaTheme="minorEastAsia"/>
                <w:snapToGrid/>
                <w:szCs w:val="22"/>
                <w:lang w:val="lt-LT" w:eastAsia="en-IN"/>
              </w:rPr>
              <w:t> </w:t>
            </w:r>
            <w:r w:rsidRPr="001839C2">
              <w:rPr>
                <w:rFonts w:eastAsiaTheme="minorEastAsia"/>
                <w:snapToGrid/>
                <w:szCs w:val="22"/>
                <w:lang w:val="lt-LT" w:eastAsia="en-IN"/>
              </w:rPr>
              <w:t>4.4</w:t>
            </w:r>
            <w:r w:rsidR="00073E58" w:rsidRPr="001839C2">
              <w:rPr>
                <w:rFonts w:eastAsiaTheme="minorEastAsia"/>
                <w:snapToGrid/>
                <w:szCs w:val="22"/>
                <w:lang w:val="lt-LT" w:eastAsia="en-IN"/>
              </w:rPr>
              <w:t> </w:t>
            </w:r>
            <w:r w:rsidRPr="001839C2">
              <w:rPr>
                <w:rFonts w:eastAsiaTheme="minorEastAsia"/>
                <w:snapToGrid/>
                <w:szCs w:val="22"/>
                <w:lang w:val="lt-LT" w:eastAsia="en-IN"/>
              </w:rPr>
              <w:t>skyrių).</w:t>
            </w:r>
          </w:p>
        </w:tc>
      </w:tr>
      <w:tr w:rsidR="005A7242" w:rsidRPr="001839C2" w14:paraId="62C7D317"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3B569650"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Sofosbuviras</w:t>
            </w:r>
          </w:p>
          <w:p w14:paraId="03D146D2" w14:textId="77777777" w:rsidR="006B6981"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(400</w:t>
            </w:r>
            <w:r w:rsidR="006B6981" w:rsidRPr="001839C2">
              <w:rPr>
                <w:rFonts w:eastAsiaTheme="minorEastAsia"/>
                <w:snapToGrid/>
                <w:szCs w:val="22"/>
                <w:lang w:val="lt-LT" w:eastAsia="en-IN"/>
              </w:rPr>
              <w:t> </w:t>
            </w:r>
            <w:r w:rsidRPr="001839C2">
              <w:rPr>
                <w:rFonts w:eastAsiaTheme="minorEastAsia"/>
                <w:snapToGrid/>
                <w:szCs w:val="22"/>
                <w:lang w:val="lt-LT" w:eastAsia="en-IN"/>
              </w:rPr>
              <w:t>mg</w:t>
            </w:r>
            <w:r w:rsidR="006B6981" w:rsidRPr="001839C2">
              <w:rPr>
                <w:rFonts w:eastAsiaTheme="minorEastAsia"/>
                <w:snapToGrid/>
                <w:szCs w:val="22"/>
                <w:lang w:val="lt-LT" w:eastAsia="en-IN"/>
              </w:rPr>
              <w:t> </w:t>
            </w:r>
            <w:r w:rsidRPr="001839C2">
              <w:rPr>
                <w:rFonts w:eastAsiaTheme="minorEastAsia"/>
                <w:snapToGrid/>
                <w:szCs w:val="22"/>
                <w:lang w:val="lt-LT" w:eastAsia="en-IN"/>
              </w:rPr>
              <w:t>q.d.)</w:t>
            </w:r>
          </w:p>
          <w:p w14:paraId="0E968BE8"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p>
          <w:p w14:paraId="4081FDCD" w14:textId="77777777" w:rsidR="005A7242" w:rsidRPr="001839C2" w:rsidRDefault="006B6981"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w:t>
            </w:r>
            <w:r w:rsidR="005A7242" w:rsidRPr="001839C2">
              <w:rPr>
                <w:rFonts w:eastAsiaTheme="minorEastAsia"/>
                <w:snapToGrid/>
                <w:szCs w:val="22"/>
                <w:lang w:val="lt-LT" w:eastAsia="en-IN"/>
              </w:rPr>
              <w:t>favirenz</w:t>
            </w:r>
            <w:r w:rsidRPr="001839C2">
              <w:rPr>
                <w:rFonts w:eastAsiaTheme="minorEastAsia"/>
                <w:snapToGrid/>
                <w:szCs w:val="22"/>
                <w:lang w:val="lt-LT" w:eastAsia="en-IN"/>
              </w:rPr>
              <w:t>o,</w:t>
            </w:r>
            <w:r w:rsidR="005A7242" w:rsidRPr="001839C2">
              <w:rPr>
                <w:rFonts w:eastAsiaTheme="minorEastAsia"/>
                <w:snapToGrid/>
                <w:szCs w:val="22"/>
                <w:lang w:val="lt-LT" w:eastAsia="en-IN"/>
              </w:rPr>
              <w:t xml:space="preserve"> emtricitabin</w:t>
            </w:r>
            <w:r w:rsidRPr="001839C2">
              <w:rPr>
                <w:rFonts w:eastAsiaTheme="minorEastAsia"/>
                <w:snapToGrid/>
                <w:szCs w:val="22"/>
                <w:lang w:val="lt-LT" w:eastAsia="en-IN"/>
              </w:rPr>
              <w:t>o</w:t>
            </w:r>
            <w:r w:rsidR="005A7242" w:rsidRPr="001839C2">
              <w:rPr>
                <w:rFonts w:eastAsiaTheme="minorEastAsia"/>
                <w:snapToGrid/>
                <w:szCs w:val="22"/>
                <w:lang w:val="lt-LT" w:eastAsia="en-IN"/>
              </w:rPr>
              <w:t xml:space="preserve"> </w:t>
            </w:r>
            <w:r w:rsidRPr="001839C2">
              <w:rPr>
                <w:rFonts w:eastAsiaTheme="minorEastAsia"/>
                <w:snapToGrid/>
                <w:szCs w:val="22"/>
                <w:lang w:val="lt-LT" w:eastAsia="en-IN"/>
              </w:rPr>
              <w:t xml:space="preserve">ir </w:t>
            </w:r>
            <w:r w:rsidR="005A7242" w:rsidRPr="001839C2">
              <w:rPr>
                <w:rFonts w:eastAsiaTheme="minorEastAsia"/>
                <w:snapToGrid/>
                <w:szCs w:val="22"/>
                <w:lang w:val="lt-LT" w:eastAsia="en-IN"/>
              </w:rPr>
              <w:t>tenofoviro dizoproksili</w:t>
            </w:r>
            <w:r w:rsidRPr="001839C2">
              <w:rPr>
                <w:rFonts w:eastAsiaTheme="minorEastAsia"/>
                <w:snapToGrid/>
                <w:szCs w:val="22"/>
                <w:lang w:val="lt-LT" w:eastAsia="en-IN"/>
              </w:rPr>
              <w:t>o deriny</w:t>
            </w:r>
            <w:r w:rsidR="005A7242" w:rsidRPr="001839C2">
              <w:rPr>
                <w:rFonts w:eastAsiaTheme="minorEastAsia"/>
                <w:snapToGrid/>
                <w:szCs w:val="22"/>
                <w:lang w:val="lt-LT" w:eastAsia="en-IN"/>
              </w:rPr>
              <w:t>s</w:t>
            </w:r>
          </w:p>
          <w:p w14:paraId="55F275FE"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(600</w:t>
            </w:r>
            <w:r w:rsidR="006B6981" w:rsidRPr="001839C2">
              <w:rPr>
                <w:rFonts w:eastAsiaTheme="minorEastAsia"/>
                <w:snapToGrid/>
                <w:szCs w:val="22"/>
                <w:lang w:val="lt-LT" w:eastAsia="en-IN"/>
              </w:rPr>
              <w:t> </w:t>
            </w:r>
            <w:r w:rsidRPr="001839C2">
              <w:rPr>
                <w:rFonts w:eastAsiaTheme="minorEastAsia"/>
                <w:snapToGrid/>
                <w:szCs w:val="22"/>
                <w:lang w:val="lt-LT" w:eastAsia="en-IN"/>
              </w:rPr>
              <w:t>mg/200</w:t>
            </w:r>
            <w:r w:rsidR="006B6981" w:rsidRPr="001839C2">
              <w:rPr>
                <w:rFonts w:eastAsiaTheme="minorEastAsia"/>
                <w:snapToGrid/>
                <w:szCs w:val="22"/>
                <w:lang w:val="lt-LT" w:eastAsia="en-IN"/>
              </w:rPr>
              <w:t> </w:t>
            </w:r>
            <w:r w:rsidRPr="001839C2">
              <w:rPr>
                <w:rFonts w:eastAsiaTheme="minorEastAsia"/>
                <w:snapToGrid/>
                <w:szCs w:val="22"/>
                <w:lang w:val="lt-LT" w:eastAsia="en-IN"/>
              </w:rPr>
              <w:t>mg/245</w:t>
            </w:r>
            <w:r w:rsidR="006B6981" w:rsidRPr="001839C2">
              <w:rPr>
                <w:rFonts w:eastAsiaTheme="minorEastAsia"/>
                <w:snapToGrid/>
                <w:szCs w:val="22"/>
                <w:lang w:val="lt-LT" w:eastAsia="en-IN"/>
              </w:rPr>
              <w:t> </w:t>
            </w:r>
            <w:r w:rsidRPr="001839C2">
              <w:rPr>
                <w:rFonts w:eastAsiaTheme="minorEastAsia"/>
                <w:snapToGrid/>
                <w:szCs w:val="22"/>
                <w:lang w:val="lt-LT" w:eastAsia="en-IN"/>
              </w:rPr>
              <w:t>mg</w:t>
            </w:r>
            <w:r w:rsidR="006B6981" w:rsidRPr="001839C2">
              <w:rPr>
                <w:rFonts w:eastAsiaTheme="minorEastAsia"/>
                <w:snapToGrid/>
                <w:szCs w:val="22"/>
                <w:lang w:val="lt-LT" w:eastAsia="en-IN"/>
              </w:rPr>
              <w:t> </w:t>
            </w:r>
            <w:r w:rsidRPr="001839C2">
              <w:rPr>
                <w:rFonts w:eastAsiaTheme="minorEastAsia"/>
                <w:snapToGrid/>
                <w:szCs w:val="22"/>
                <w:lang w:val="lt-LT" w:eastAsia="en-IN"/>
              </w:rPr>
              <w:t>q.d.)</w:t>
            </w:r>
          </w:p>
        </w:tc>
        <w:tc>
          <w:tcPr>
            <w:tcW w:w="3351" w:type="dxa"/>
            <w:tcBorders>
              <w:top w:val="single" w:sz="4" w:space="0" w:color="auto"/>
              <w:left w:val="single" w:sz="4" w:space="0" w:color="000000"/>
              <w:bottom w:val="single" w:sz="4" w:space="0" w:color="auto"/>
              <w:right w:val="single" w:sz="4" w:space="0" w:color="000000"/>
            </w:tcBorders>
          </w:tcPr>
          <w:p w14:paraId="51A566EA" w14:textId="77777777" w:rsidR="006B6981"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lastRenderedPageBreak/>
              <w:t>Sofosbuviras</w:t>
            </w:r>
          </w:p>
          <w:p w14:paraId="516A1073"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AUC: ↔</w:t>
            </w:r>
          </w:p>
          <w:p w14:paraId="6D05E5C4"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6B6981" w:rsidRPr="001839C2">
              <w:rPr>
                <w:rFonts w:eastAsiaTheme="minorEastAsia"/>
                <w:snapToGrid/>
                <w:szCs w:val="22"/>
                <w:lang w:val="lt-LT" w:eastAsia="en-IN"/>
              </w:rPr>
              <w:t> </w:t>
            </w:r>
            <w:r w:rsidRPr="001839C2">
              <w:rPr>
                <w:rFonts w:eastAsiaTheme="minorEastAsia"/>
                <w:snapToGrid/>
                <w:szCs w:val="22"/>
                <w:lang w:val="lt-LT" w:eastAsia="en-IN"/>
              </w:rPr>
              <w:t>19</w:t>
            </w:r>
            <w:r w:rsidR="006B6981" w:rsidRPr="001839C2">
              <w:rPr>
                <w:rFonts w:eastAsiaTheme="minorEastAsia"/>
                <w:snapToGrid/>
                <w:szCs w:val="22"/>
                <w:lang w:val="lt-LT" w:eastAsia="en-IN"/>
              </w:rPr>
              <w:t> </w:t>
            </w:r>
            <w:r w:rsidRPr="001839C2">
              <w:rPr>
                <w:rFonts w:eastAsiaTheme="minorEastAsia"/>
                <w:snapToGrid/>
                <w:szCs w:val="22"/>
                <w:lang w:val="lt-LT" w:eastAsia="en-IN"/>
              </w:rPr>
              <w:t>% (nuo ↓</w:t>
            </w:r>
            <w:r w:rsidR="006B6981" w:rsidRPr="001839C2">
              <w:rPr>
                <w:rFonts w:eastAsiaTheme="minorEastAsia"/>
                <w:snapToGrid/>
                <w:szCs w:val="22"/>
                <w:lang w:val="lt-LT" w:eastAsia="en-IN"/>
              </w:rPr>
              <w:t> </w:t>
            </w:r>
            <w:r w:rsidRPr="001839C2">
              <w:rPr>
                <w:rFonts w:eastAsiaTheme="minorEastAsia"/>
                <w:snapToGrid/>
                <w:szCs w:val="22"/>
                <w:lang w:val="lt-LT" w:eastAsia="en-IN"/>
              </w:rPr>
              <w:t>40 iki ↑</w:t>
            </w:r>
            <w:r w:rsidR="006B6981" w:rsidRPr="001839C2">
              <w:rPr>
                <w:rFonts w:eastAsiaTheme="minorEastAsia"/>
                <w:snapToGrid/>
                <w:szCs w:val="22"/>
                <w:lang w:val="lt-LT" w:eastAsia="en-IN"/>
              </w:rPr>
              <w:t> </w:t>
            </w:r>
            <w:r w:rsidRPr="001839C2">
              <w:rPr>
                <w:rFonts w:eastAsiaTheme="minorEastAsia"/>
                <w:snapToGrid/>
                <w:szCs w:val="22"/>
                <w:lang w:val="lt-LT" w:eastAsia="en-IN"/>
              </w:rPr>
              <w:t>10)</w:t>
            </w:r>
          </w:p>
          <w:p w14:paraId="164C6FD1"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0D6A4FB7" w14:textId="77777777" w:rsidR="006B6981"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GS</w:t>
            </w:r>
            <w:r w:rsidR="006B6981" w:rsidRPr="001839C2">
              <w:rPr>
                <w:rFonts w:eastAsiaTheme="minorEastAsia"/>
                <w:i/>
                <w:snapToGrid/>
                <w:szCs w:val="22"/>
                <w:u w:val="single"/>
                <w:lang w:val="lt-LT" w:eastAsia="en-IN"/>
              </w:rPr>
              <w:noBreakHyphen/>
            </w:r>
            <w:r w:rsidRPr="001839C2">
              <w:rPr>
                <w:rFonts w:eastAsiaTheme="minorEastAsia"/>
                <w:i/>
                <w:snapToGrid/>
                <w:szCs w:val="22"/>
                <w:u w:val="single"/>
                <w:lang w:val="lt-LT" w:eastAsia="en-IN"/>
              </w:rPr>
              <w:t>331007</w:t>
            </w:r>
            <w:r w:rsidRPr="001839C2">
              <w:rPr>
                <w:rFonts w:eastAsiaTheme="minorEastAsia"/>
                <w:snapToGrid/>
                <w:szCs w:val="22"/>
                <w:vertAlign w:val="superscript"/>
                <w:lang w:val="lt-LT" w:eastAsia="en-IN"/>
              </w:rPr>
              <w:t>2</w:t>
            </w:r>
          </w:p>
          <w:p w14:paraId="4280C817"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6189056D"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6B6981" w:rsidRPr="001839C2">
              <w:rPr>
                <w:rFonts w:eastAsiaTheme="minorEastAsia"/>
                <w:snapToGrid/>
                <w:szCs w:val="22"/>
                <w:lang w:val="lt-LT" w:eastAsia="en-IN"/>
              </w:rPr>
              <w:t> </w:t>
            </w:r>
            <w:r w:rsidRPr="001839C2">
              <w:rPr>
                <w:rFonts w:eastAsiaTheme="minorEastAsia"/>
                <w:snapToGrid/>
                <w:szCs w:val="22"/>
                <w:lang w:val="lt-LT" w:eastAsia="en-IN"/>
              </w:rPr>
              <w:t>23</w:t>
            </w:r>
            <w:r w:rsidR="006B6981" w:rsidRPr="001839C2">
              <w:rPr>
                <w:rFonts w:eastAsiaTheme="minorEastAsia"/>
                <w:snapToGrid/>
                <w:szCs w:val="22"/>
                <w:lang w:val="lt-LT" w:eastAsia="en-IN"/>
              </w:rPr>
              <w:t> </w:t>
            </w:r>
            <w:r w:rsidRPr="001839C2">
              <w:rPr>
                <w:rFonts w:eastAsiaTheme="minorEastAsia"/>
                <w:snapToGrid/>
                <w:szCs w:val="22"/>
                <w:lang w:val="lt-LT" w:eastAsia="en-IN"/>
              </w:rPr>
              <w:t>% (nuo ↓</w:t>
            </w:r>
            <w:r w:rsidR="006B6981" w:rsidRPr="001839C2">
              <w:rPr>
                <w:rFonts w:eastAsiaTheme="minorEastAsia"/>
                <w:snapToGrid/>
                <w:szCs w:val="22"/>
                <w:lang w:val="lt-LT" w:eastAsia="en-IN"/>
              </w:rPr>
              <w:t> </w:t>
            </w:r>
            <w:r w:rsidRPr="001839C2">
              <w:rPr>
                <w:rFonts w:eastAsiaTheme="minorEastAsia"/>
                <w:snapToGrid/>
                <w:szCs w:val="22"/>
                <w:lang w:val="lt-LT" w:eastAsia="en-IN"/>
              </w:rPr>
              <w:t>30 iki ↑</w:t>
            </w:r>
            <w:r w:rsidR="006B6981" w:rsidRPr="001839C2">
              <w:rPr>
                <w:rFonts w:eastAsiaTheme="minorEastAsia"/>
                <w:snapToGrid/>
                <w:szCs w:val="22"/>
                <w:lang w:val="lt-LT" w:eastAsia="en-IN"/>
              </w:rPr>
              <w:t> </w:t>
            </w:r>
            <w:r w:rsidRPr="001839C2">
              <w:rPr>
                <w:rFonts w:eastAsiaTheme="minorEastAsia"/>
                <w:snapToGrid/>
                <w:szCs w:val="22"/>
                <w:lang w:val="lt-LT" w:eastAsia="en-IN"/>
              </w:rPr>
              <w:t>16)</w:t>
            </w:r>
          </w:p>
          <w:p w14:paraId="60A21617"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453654FC" w14:textId="77777777" w:rsidR="006B6981"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Efavirenzas</w:t>
            </w:r>
          </w:p>
          <w:p w14:paraId="50671F36"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1F254864"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7456DBC6"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433A24A7"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89CFFE6" w14:textId="77777777" w:rsidR="006B6981"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2A11DD3E"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0A616054"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p>
          <w:p w14:paraId="54B930F5"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p w14:paraId="5F981AEB"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694D8322" w14:textId="77777777" w:rsidR="006B6981"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5DACA06B"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p>
          <w:p w14:paraId="42930662"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6B6981" w:rsidRPr="001839C2">
              <w:rPr>
                <w:rFonts w:eastAsiaTheme="minorEastAsia"/>
                <w:snapToGrid/>
                <w:szCs w:val="22"/>
                <w:lang w:val="lt-LT" w:eastAsia="en-IN"/>
              </w:rPr>
              <w:t> </w:t>
            </w:r>
            <w:r w:rsidRPr="001839C2">
              <w:rPr>
                <w:rFonts w:eastAsiaTheme="minorEastAsia"/>
                <w:snapToGrid/>
                <w:szCs w:val="22"/>
                <w:lang w:val="lt-LT" w:eastAsia="en-IN"/>
              </w:rPr>
              <w:t>25</w:t>
            </w:r>
            <w:r w:rsidR="006B6981" w:rsidRPr="001839C2">
              <w:rPr>
                <w:rFonts w:eastAsiaTheme="minorEastAsia"/>
                <w:snapToGrid/>
                <w:szCs w:val="22"/>
                <w:lang w:val="lt-LT" w:eastAsia="en-IN"/>
              </w:rPr>
              <w:t> </w:t>
            </w:r>
            <w:r w:rsidRPr="001839C2">
              <w:rPr>
                <w:rFonts w:eastAsiaTheme="minorEastAsia"/>
                <w:snapToGrid/>
                <w:szCs w:val="22"/>
                <w:lang w:val="lt-LT" w:eastAsia="en-IN"/>
              </w:rPr>
              <w:t>% (nuo ↑</w:t>
            </w:r>
            <w:r w:rsidR="006B6981" w:rsidRPr="001839C2">
              <w:rPr>
                <w:rFonts w:eastAsiaTheme="minorEastAsia"/>
                <w:snapToGrid/>
                <w:szCs w:val="22"/>
                <w:lang w:val="lt-LT" w:eastAsia="en-IN"/>
              </w:rPr>
              <w:t> </w:t>
            </w:r>
            <w:r w:rsidRPr="001839C2">
              <w:rPr>
                <w:rFonts w:eastAsiaTheme="minorEastAsia"/>
                <w:snapToGrid/>
                <w:szCs w:val="22"/>
                <w:lang w:val="lt-LT" w:eastAsia="en-IN"/>
              </w:rPr>
              <w:t>8 iki ↑</w:t>
            </w:r>
            <w:r w:rsidR="006B6981" w:rsidRPr="001839C2">
              <w:rPr>
                <w:rFonts w:eastAsiaTheme="minorEastAsia"/>
                <w:snapToGrid/>
                <w:szCs w:val="22"/>
                <w:lang w:val="lt-LT" w:eastAsia="en-IN"/>
              </w:rPr>
              <w:t> </w:t>
            </w:r>
            <w:r w:rsidRPr="001839C2">
              <w:rPr>
                <w:rFonts w:eastAsiaTheme="minorEastAsia"/>
                <w:snapToGrid/>
                <w:szCs w:val="22"/>
                <w:lang w:val="lt-LT" w:eastAsia="en-IN"/>
              </w:rPr>
              <w:t>45)</w:t>
            </w:r>
          </w:p>
          <w:p w14:paraId="1D68AB74"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p>
        </w:tc>
        <w:tc>
          <w:tcPr>
            <w:tcW w:w="2422" w:type="dxa"/>
            <w:tcBorders>
              <w:top w:val="single" w:sz="4" w:space="0" w:color="auto"/>
              <w:left w:val="single" w:sz="4" w:space="0" w:color="000000"/>
              <w:bottom w:val="single" w:sz="4" w:space="0" w:color="auto"/>
              <w:right w:val="single" w:sz="4" w:space="0" w:color="000000"/>
            </w:tcBorders>
          </w:tcPr>
          <w:p w14:paraId="5386506A"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Dozės koreguoti nereikia.</w:t>
            </w:r>
          </w:p>
        </w:tc>
      </w:tr>
      <w:tr w:rsidR="005A7242" w:rsidRPr="001839C2" w14:paraId="6D6632DC"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26F9F85E" w14:textId="77777777" w:rsidR="005A7242" w:rsidRPr="001839C2" w:rsidRDefault="005A7242" w:rsidP="00230559">
            <w:pPr>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Ribavirin</w:t>
            </w:r>
            <w:r w:rsidR="006B6981"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6B6981" w:rsidRPr="001839C2">
              <w:rPr>
                <w:rFonts w:eastAsiaTheme="minorEastAsia"/>
                <w:snapToGrid/>
                <w:szCs w:val="22"/>
                <w:lang w:val="lt-LT" w:eastAsia="en-IN"/>
              </w:rPr>
              <w:t>ir</w:t>
            </w:r>
            <w:r w:rsidRPr="001839C2">
              <w:rPr>
                <w:rFonts w:eastAsiaTheme="minorEastAsia"/>
                <w:snapToGrid/>
                <w:szCs w:val="22"/>
                <w:lang w:val="lt-LT" w:eastAsia="en-IN"/>
              </w:rPr>
              <w:t xml:space="preserve"> tenofoviro dizoproksili</w:t>
            </w:r>
            <w:r w:rsidR="006B6981" w:rsidRPr="001839C2">
              <w:rPr>
                <w:rFonts w:eastAsiaTheme="minorEastAsia"/>
                <w:snapToGrid/>
                <w:szCs w:val="22"/>
                <w:lang w:val="lt-LT" w:eastAsia="en-IN"/>
              </w:rPr>
              <w:t>o deriny</w:t>
            </w:r>
            <w:r w:rsidRPr="001839C2">
              <w:rPr>
                <w:rFonts w:eastAsiaTheme="minorEastAsia"/>
                <w:snapToGrid/>
                <w:szCs w:val="22"/>
                <w:lang w:val="lt-LT" w:eastAsia="en-IN"/>
              </w:rPr>
              <w:t>s</w:t>
            </w:r>
          </w:p>
        </w:tc>
        <w:tc>
          <w:tcPr>
            <w:tcW w:w="3351" w:type="dxa"/>
            <w:tcBorders>
              <w:top w:val="single" w:sz="4" w:space="0" w:color="auto"/>
              <w:left w:val="single" w:sz="4" w:space="0" w:color="000000"/>
              <w:bottom w:val="single" w:sz="4" w:space="0" w:color="auto"/>
              <w:right w:val="single" w:sz="4" w:space="0" w:color="000000"/>
            </w:tcBorders>
          </w:tcPr>
          <w:p w14:paraId="5EB9EDE9"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Ribavirinas</w:t>
            </w:r>
          </w:p>
          <w:p w14:paraId="1DE8F397" w14:textId="77777777" w:rsidR="006B6981"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AUC: </w:t>
            </w:r>
            <w:r w:rsidRPr="001839C2">
              <w:rPr>
                <w:rFonts w:eastAsiaTheme="minorEastAsia"/>
                <w:b/>
                <w:bCs/>
                <w:snapToGrid/>
                <w:szCs w:val="22"/>
                <w:lang w:val="lt-LT" w:eastAsia="en-IN"/>
              </w:rPr>
              <w:t>↑</w:t>
            </w:r>
            <w:r w:rsidR="006B6981" w:rsidRPr="001839C2">
              <w:rPr>
                <w:rFonts w:eastAsiaTheme="minorEastAsia"/>
                <w:bCs/>
                <w:snapToGrid/>
                <w:szCs w:val="22"/>
                <w:lang w:val="lt-LT" w:eastAsia="en-IN"/>
              </w:rPr>
              <w:t> </w:t>
            </w:r>
            <w:r w:rsidRPr="001839C2">
              <w:rPr>
                <w:rFonts w:eastAsiaTheme="minorEastAsia"/>
                <w:snapToGrid/>
                <w:szCs w:val="22"/>
                <w:lang w:val="lt-LT" w:eastAsia="en-IN"/>
              </w:rPr>
              <w:t>26</w:t>
            </w:r>
            <w:r w:rsidR="006B6981" w:rsidRPr="001839C2">
              <w:rPr>
                <w:rFonts w:eastAsiaTheme="minorEastAsia"/>
                <w:snapToGrid/>
                <w:szCs w:val="22"/>
                <w:lang w:val="lt-LT" w:eastAsia="en-IN"/>
              </w:rPr>
              <w:t> </w:t>
            </w:r>
            <w:r w:rsidRPr="001839C2">
              <w:rPr>
                <w:rFonts w:eastAsiaTheme="minorEastAsia"/>
                <w:snapToGrid/>
                <w:szCs w:val="22"/>
                <w:lang w:val="lt-LT" w:eastAsia="en-IN"/>
              </w:rPr>
              <w:t>% (nuo ↑</w:t>
            </w:r>
            <w:r w:rsidR="006B6981" w:rsidRPr="001839C2">
              <w:rPr>
                <w:rFonts w:eastAsiaTheme="minorEastAsia"/>
                <w:snapToGrid/>
                <w:szCs w:val="22"/>
                <w:lang w:val="lt-LT" w:eastAsia="en-IN"/>
              </w:rPr>
              <w:t> </w:t>
            </w:r>
            <w:r w:rsidRPr="001839C2">
              <w:rPr>
                <w:rFonts w:eastAsiaTheme="minorEastAsia"/>
                <w:snapToGrid/>
                <w:szCs w:val="22"/>
                <w:lang w:val="lt-LT" w:eastAsia="en-IN"/>
              </w:rPr>
              <w:t xml:space="preserve">20 iki </w:t>
            </w:r>
            <w:r w:rsidRPr="001839C2">
              <w:rPr>
                <w:rFonts w:eastAsiaTheme="minorEastAsia"/>
                <w:b/>
                <w:bCs/>
                <w:snapToGrid/>
                <w:szCs w:val="22"/>
                <w:lang w:val="lt-LT" w:eastAsia="en-IN"/>
              </w:rPr>
              <w:t>↑</w:t>
            </w:r>
            <w:r w:rsidR="006B6981" w:rsidRPr="001839C2">
              <w:rPr>
                <w:rFonts w:eastAsiaTheme="minorEastAsia"/>
                <w:bCs/>
                <w:snapToGrid/>
                <w:szCs w:val="22"/>
                <w:lang w:val="lt-LT" w:eastAsia="en-IN"/>
              </w:rPr>
              <w:t> </w:t>
            </w:r>
            <w:r w:rsidRPr="001839C2">
              <w:rPr>
                <w:rFonts w:eastAsiaTheme="minorEastAsia"/>
                <w:snapToGrid/>
                <w:szCs w:val="22"/>
                <w:lang w:val="lt-LT" w:eastAsia="en-IN"/>
              </w:rPr>
              <w:t>32)</w:t>
            </w:r>
          </w:p>
          <w:p w14:paraId="0CD5A992" w14:textId="77777777" w:rsidR="006B6981"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6B6981" w:rsidRPr="001839C2">
              <w:rPr>
                <w:rFonts w:eastAsiaTheme="minorEastAsia"/>
                <w:snapToGrid/>
                <w:szCs w:val="22"/>
                <w:lang w:val="lt-LT" w:eastAsia="en-IN"/>
              </w:rPr>
              <w:t> </w:t>
            </w:r>
            <w:r w:rsidRPr="001839C2">
              <w:rPr>
                <w:rFonts w:eastAsiaTheme="minorEastAsia"/>
                <w:snapToGrid/>
                <w:szCs w:val="22"/>
                <w:lang w:val="lt-LT" w:eastAsia="en-IN"/>
              </w:rPr>
              <w:t>5</w:t>
            </w:r>
            <w:r w:rsidR="006B6981" w:rsidRPr="001839C2">
              <w:rPr>
                <w:rFonts w:eastAsiaTheme="minorEastAsia"/>
                <w:snapToGrid/>
                <w:szCs w:val="22"/>
                <w:lang w:val="lt-LT" w:eastAsia="en-IN"/>
              </w:rPr>
              <w:t> </w:t>
            </w:r>
            <w:r w:rsidRPr="001839C2">
              <w:rPr>
                <w:rFonts w:eastAsiaTheme="minorEastAsia"/>
                <w:snapToGrid/>
                <w:szCs w:val="22"/>
                <w:lang w:val="lt-LT" w:eastAsia="en-IN"/>
              </w:rPr>
              <w:t>% (nuo ↓</w:t>
            </w:r>
            <w:r w:rsidR="006B6981" w:rsidRPr="001839C2">
              <w:rPr>
                <w:rFonts w:eastAsiaTheme="minorEastAsia"/>
                <w:snapToGrid/>
                <w:szCs w:val="22"/>
                <w:lang w:val="lt-LT" w:eastAsia="en-IN"/>
              </w:rPr>
              <w:t> </w:t>
            </w:r>
            <w:r w:rsidRPr="001839C2">
              <w:rPr>
                <w:rFonts w:eastAsiaTheme="minorEastAsia"/>
                <w:snapToGrid/>
                <w:szCs w:val="22"/>
                <w:lang w:val="lt-LT" w:eastAsia="en-IN"/>
              </w:rPr>
              <w:t xml:space="preserve">11 iki </w:t>
            </w:r>
            <w:r w:rsidRPr="001839C2">
              <w:rPr>
                <w:rFonts w:eastAsiaTheme="minorEastAsia"/>
                <w:b/>
                <w:bCs/>
                <w:snapToGrid/>
                <w:szCs w:val="22"/>
                <w:lang w:val="lt-LT" w:eastAsia="en-IN"/>
              </w:rPr>
              <w:t>↑</w:t>
            </w:r>
            <w:r w:rsidR="006B6981" w:rsidRPr="001839C2">
              <w:rPr>
                <w:rFonts w:eastAsiaTheme="minorEastAsia"/>
                <w:bCs/>
                <w:snapToGrid/>
                <w:szCs w:val="22"/>
                <w:lang w:val="lt-LT" w:eastAsia="en-IN"/>
              </w:rPr>
              <w:t> </w:t>
            </w:r>
            <w:r w:rsidRPr="001839C2">
              <w:rPr>
                <w:rFonts w:eastAsiaTheme="minorEastAsia"/>
                <w:snapToGrid/>
                <w:szCs w:val="22"/>
                <w:lang w:val="lt-LT" w:eastAsia="en-IN"/>
              </w:rPr>
              <w:t>1)</w:t>
            </w:r>
          </w:p>
          <w:p w14:paraId="7BD704FA"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tc>
        <w:tc>
          <w:tcPr>
            <w:tcW w:w="2422" w:type="dxa"/>
            <w:tcBorders>
              <w:top w:val="single" w:sz="4" w:space="0" w:color="auto"/>
              <w:left w:val="single" w:sz="4" w:space="0" w:color="000000"/>
              <w:bottom w:val="single" w:sz="4" w:space="0" w:color="auto"/>
              <w:right w:val="single" w:sz="4" w:space="0" w:color="000000"/>
            </w:tcBorders>
          </w:tcPr>
          <w:p w14:paraId="02E6DAD8"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Ribavirino dozės koreguoti nereikia.</w:t>
            </w:r>
          </w:p>
        </w:tc>
      </w:tr>
      <w:tr w:rsidR="005A7242" w:rsidRPr="00686907" w14:paraId="702157E3" w14:textId="77777777" w:rsidTr="00EF47C6">
        <w:trPr>
          <w:trHeight w:val="221"/>
        </w:trPr>
        <w:tc>
          <w:tcPr>
            <w:tcW w:w="9548" w:type="dxa"/>
            <w:gridSpan w:val="3"/>
            <w:tcBorders>
              <w:top w:val="single" w:sz="4" w:space="0" w:color="auto"/>
              <w:left w:val="single" w:sz="4" w:space="0" w:color="000000"/>
              <w:bottom w:val="single" w:sz="4" w:space="0" w:color="auto"/>
              <w:right w:val="single" w:sz="4" w:space="0" w:color="000000"/>
            </w:tcBorders>
          </w:tcPr>
          <w:p w14:paraId="04BA0A14"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i/>
                <w:snapToGrid/>
                <w:szCs w:val="22"/>
                <w:lang w:val="lt-LT" w:eastAsia="en-IN"/>
              </w:rPr>
            </w:pPr>
            <w:r w:rsidRPr="001839C2">
              <w:rPr>
                <w:rFonts w:eastAsiaTheme="minorEastAsia"/>
                <w:b/>
                <w:bCs/>
                <w:i/>
                <w:snapToGrid/>
                <w:szCs w:val="22"/>
                <w:lang w:val="lt-LT" w:eastAsia="en-IN"/>
              </w:rPr>
              <w:t>Antivirusi</w:t>
            </w:r>
            <w:r w:rsidR="00284AB0" w:rsidRPr="001839C2">
              <w:rPr>
                <w:rFonts w:eastAsiaTheme="minorEastAsia"/>
                <w:b/>
                <w:bCs/>
                <w:i/>
                <w:snapToGrid/>
                <w:szCs w:val="22"/>
                <w:lang w:val="lt-LT" w:eastAsia="en-IN"/>
              </w:rPr>
              <w:t>n</w:t>
            </w:r>
            <w:r w:rsidR="006B6981" w:rsidRPr="001839C2">
              <w:rPr>
                <w:rFonts w:eastAsiaTheme="minorEastAsia"/>
                <w:b/>
                <w:bCs/>
                <w:i/>
                <w:snapToGrid/>
                <w:szCs w:val="22"/>
                <w:lang w:val="lt-LT" w:eastAsia="en-IN"/>
              </w:rPr>
              <w:t>iai</w:t>
            </w:r>
            <w:r w:rsidRPr="001839C2">
              <w:rPr>
                <w:rFonts w:eastAsiaTheme="minorEastAsia"/>
                <w:b/>
                <w:bCs/>
                <w:i/>
                <w:snapToGrid/>
                <w:szCs w:val="22"/>
                <w:lang w:val="lt-LT" w:eastAsia="en-IN"/>
              </w:rPr>
              <w:t xml:space="preserve"> </w:t>
            </w:r>
            <w:r w:rsidR="006B6981" w:rsidRPr="001839C2">
              <w:rPr>
                <w:rFonts w:eastAsiaTheme="minorEastAsia"/>
                <w:b/>
                <w:bCs/>
                <w:i/>
                <w:snapToGrid/>
                <w:szCs w:val="22"/>
                <w:lang w:val="lt-LT" w:eastAsia="en-IN"/>
              </w:rPr>
              <w:t>vaistin</w:t>
            </w:r>
            <w:r w:rsidRPr="001839C2">
              <w:rPr>
                <w:rFonts w:eastAsiaTheme="minorEastAsia"/>
                <w:b/>
                <w:bCs/>
                <w:i/>
                <w:snapToGrid/>
                <w:szCs w:val="22"/>
                <w:lang w:val="lt-LT" w:eastAsia="en-IN"/>
              </w:rPr>
              <w:t>ia</w:t>
            </w:r>
            <w:r w:rsidR="006B6981" w:rsidRPr="001839C2">
              <w:rPr>
                <w:rFonts w:eastAsiaTheme="minorEastAsia"/>
                <w:b/>
                <w:bCs/>
                <w:i/>
                <w:snapToGrid/>
                <w:szCs w:val="22"/>
                <w:lang w:val="lt-LT" w:eastAsia="en-IN"/>
              </w:rPr>
              <w:t>i preparatai</w:t>
            </w:r>
            <w:r w:rsidRPr="001839C2">
              <w:rPr>
                <w:rFonts w:eastAsiaTheme="minorEastAsia"/>
                <w:b/>
                <w:bCs/>
                <w:i/>
                <w:snapToGrid/>
                <w:szCs w:val="22"/>
                <w:lang w:val="lt-LT" w:eastAsia="en-IN"/>
              </w:rPr>
              <w:t xml:space="preserve"> nuo pūslelinės viruso</w:t>
            </w:r>
          </w:p>
        </w:tc>
      </w:tr>
      <w:tr w:rsidR="005A7242" w:rsidRPr="001839C2" w14:paraId="09184DC1"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4A358943"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Famciklovir</w:t>
            </w:r>
            <w:r w:rsidR="006B6981"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6B6981" w:rsidRPr="001839C2">
              <w:rPr>
                <w:rFonts w:eastAsiaTheme="minorEastAsia"/>
                <w:snapToGrid/>
                <w:szCs w:val="22"/>
                <w:lang w:val="lt-LT" w:eastAsia="en-IN"/>
              </w:rPr>
              <w:t>ir</w:t>
            </w:r>
            <w:r w:rsidRPr="001839C2">
              <w:rPr>
                <w:rFonts w:eastAsiaTheme="minorEastAsia"/>
                <w:snapToGrid/>
                <w:szCs w:val="22"/>
                <w:lang w:val="lt-LT" w:eastAsia="en-IN"/>
              </w:rPr>
              <w:t xml:space="preserve"> emtricitabin</w:t>
            </w:r>
            <w:r w:rsidR="006B6981" w:rsidRPr="001839C2">
              <w:rPr>
                <w:rFonts w:eastAsiaTheme="minorEastAsia"/>
                <w:snapToGrid/>
                <w:szCs w:val="22"/>
                <w:lang w:val="lt-LT" w:eastAsia="en-IN"/>
              </w:rPr>
              <w:t>o deriny</w:t>
            </w:r>
            <w:r w:rsidRPr="001839C2">
              <w:rPr>
                <w:rFonts w:eastAsiaTheme="minorEastAsia"/>
                <w:snapToGrid/>
                <w:szCs w:val="22"/>
                <w:lang w:val="lt-LT" w:eastAsia="en-IN"/>
              </w:rPr>
              <w:t>s</w:t>
            </w:r>
          </w:p>
        </w:tc>
        <w:tc>
          <w:tcPr>
            <w:tcW w:w="3351" w:type="dxa"/>
            <w:tcBorders>
              <w:top w:val="single" w:sz="4" w:space="0" w:color="auto"/>
              <w:left w:val="single" w:sz="4" w:space="0" w:color="000000"/>
              <w:bottom w:val="single" w:sz="4" w:space="0" w:color="auto"/>
              <w:right w:val="single" w:sz="4" w:space="0" w:color="000000"/>
            </w:tcBorders>
          </w:tcPr>
          <w:p w14:paraId="02DFBB77"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Famcikloviras</w:t>
            </w:r>
          </w:p>
          <w:p w14:paraId="5C277BD3" w14:textId="77777777" w:rsidR="006B6981"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6B6981" w:rsidRPr="001839C2">
              <w:rPr>
                <w:rFonts w:eastAsiaTheme="minorEastAsia"/>
                <w:snapToGrid/>
                <w:szCs w:val="22"/>
                <w:lang w:val="lt-LT" w:eastAsia="en-IN"/>
              </w:rPr>
              <w:t> </w:t>
            </w:r>
            <w:r w:rsidRPr="001839C2">
              <w:rPr>
                <w:rFonts w:eastAsiaTheme="minorEastAsia"/>
                <w:snapToGrid/>
                <w:szCs w:val="22"/>
                <w:lang w:val="lt-LT" w:eastAsia="en-IN"/>
              </w:rPr>
              <w:t>9 % (nuo ↓</w:t>
            </w:r>
            <w:r w:rsidR="006B6981" w:rsidRPr="001839C2">
              <w:rPr>
                <w:rFonts w:eastAsiaTheme="minorEastAsia"/>
                <w:snapToGrid/>
                <w:szCs w:val="22"/>
                <w:lang w:val="lt-LT" w:eastAsia="en-IN"/>
              </w:rPr>
              <w:t> </w:t>
            </w:r>
            <w:r w:rsidRPr="001839C2">
              <w:rPr>
                <w:rFonts w:eastAsiaTheme="minorEastAsia"/>
                <w:snapToGrid/>
                <w:szCs w:val="22"/>
                <w:lang w:val="lt-LT" w:eastAsia="en-IN"/>
              </w:rPr>
              <w:t>16 iki ↓</w:t>
            </w:r>
            <w:r w:rsidR="006B6981" w:rsidRPr="001839C2">
              <w:rPr>
                <w:rFonts w:eastAsiaTheme="minorEastAsia"/>
                <w:snapToGrid/>
                <w:szCs w:val="22"/>
                <w:lang w:val="lt-LT" w:eastAsia="en-IN"/>
              </w:rPr>
              <w:t> </w:t>
            </w:r>
            <w:r w:rsidRPr="001839C2">
              <w:rPr>
                <w:rFonts w:eastAsiaTheme="minorEastAsia"/>
                <w:snapToGrid/>
                <w:szCs w:val="22"/>
                <w:lang w:val="lt-LT" w:eastAsia="en-IN"/>
              </w:rPr>
              <w:t>1)</w:t>
            </w:r>
          </w:p>
          <w:p w14:paraId="71C64550" w14:textId="77777777" w:rsidR="006B6981"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6B6981" w:rsidRPr="001839C2">
              <w:rPr>
                <w:rFonts w:eastAsiaTheme="minorEastAsia"/>
                <w:snapToGrid/>
                <w:szCs w:val="22"/>
                <w:lang w:val="lt-LT" w:eastAsia="en-IN"/>
              </w:rPr>
              <w:t> </w:t>
            </w:r>
            <w:r w:rsidRPr="001839C2">
              <w:rPr>
                <w:rFonts w:eastAsiaTheme="minorEastAsia"/>
                <w:snapToGrid/>
                <w:szCs w:val="22"/>
                <w:lang w:val="lt-LT" w:eastAsia="en-IN"/>
              </w:rPr>
              <w:t>7</w:t>
            </w:r>
            <w:r w:rsidR="006B6981" w:rsidRPr="001839C2">
              <w:rPr>
                <w:rFonts w:eastAsiaTheme="minorEastAsia"/>
                <w:snapToGrid/>
                <w:szCs w:val="22"/>
                <w:lang w:val="lt-LT" w:eastAsia="en-IN"/>
              </w:rPr>
              <w:t> </w:t>
            </w:r>
            <w:r w:rsidRPr="001839C2">
              <w:rPr>
                <w:rFonts w:eastAsiaTheme="minorEastAsia"/>
                <w:snapToGrid/>
                <w:szCs w:val="22"/>
                <w:lang w:val="lt-LT" w:eastAsia="en-IN"/>
              </w:rPr>
              <w:t>% (nuo ↓</w:t>
            </w:r>
            <w:r w:rsidR="006B6981" w:rsidRPr="001839C2">
              <w:rPr>
                <w:rFonts w:eastAsiaTheme="minorEastAsia"/>
                <w:snapToGrid/>
                <w:szCs w:val="22"/>
                <w:lang w:val="lt-LT" w:eastAsia="en-IN"/>
              </w:rPr>
              <w:t> </w:t>
            </w:r>
            <w:r w:rsidRPr="001839C2">
              <w:rPr>
                <w:rFonts w:eastAsiaTheme="minorEastAsia"/>
                <w:snapToGrid/>
                <w:szCs w:val="22"/>
                <w:lang w:val="lt-LT" w:eastAsia="en-IN"/>
              </w:rPr>
              <w:t xml:space="preserve">22 iki </w:t>
            </w:r>
            <w:r w:rsidRPr="001839C2">
              <w:rPr>
                <w:rFonts w:eastAsiaTheme="minorEastAsia"/>
                <w:b/>
                <w:bCs/>
                <w:snapToGrid/>
                <w:szCs w:val="22"/>
                <w:lang w:val="lt-LT" w:eastAsia="en-IN"/>
              </w:rPr>
              <w:t>↑</w:t>
            </w:r>
            <w:r w:rsidR="006B6981" w:rsidRPr="001839C2">
              <w:rPr>
                <w:rFonts w:eastAsiaTheme="minorEastAsia"/>
                <w:bCs/>
                <w:snapToGrid/>
                <w:szCs w:val="22"/>
                <w:lang w:val="lt-LT" w:eastAsia="en-IN"/>
              </w:rPr>
              <w:t> </w:t>
            </w:r>
            <w:r w:rsidRPr="001839C2">
              <w:rPr>
                <w:rFonts w:eastAsiaTheme="minorEastAsia"/>
                <w:snapToGrid/>
                <w:szCs w:val="22"/>
                <w:lang w:val="lt-LT" w:eastAsia="en-IN"/>
              </w:rPr>
              <w:t>11)</w:t>
            </w:r>
          </w:p>
          <w:p w14:paraId="5E5E01FA"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p w14:paraId="577EADA9"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1D8FE11"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6C97AB90" w14:textId="77777777" w:rsidR="006B6981"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6B6981" w:rsidRPr="001839C2">
              <w:rPr>
                <w:rFonts w:eastAsiaTheme="minorEastAsia"/>
                <w:snapToGrid/>
                <w:szCs w:val="22"/>
                <w:lang w:val="lt-LT" w:eastAsia="en-IN"/>
              </w:rPr>
              <w:t> </w:t>
            </w:r>
            <w:r w:rsidRPr="001839C2">
              <w:rPr>
                <w:rFonts w:eastAsiaTheme="minorEastAsia"/>
                <w:snapToGrid/>
                <w:szCs w:val="22"/>
                <w:lang w:val="lt-LT" w:eastAsia="en-IN"/>
              </w:rPr>
              <w:t>7</w:t>
            </w:r>
            <w:r w:rsidR="006B6981" w:rsidRPr="001839C2">
              <w:rPr>
                <w:rFonts w:eastAsiaTheme="minorEastAsia"/>
                <w:snapToGrid/>
                <w:szCs w:val="22"/>
                <w:lang w:val="lt-LT" w:eastAsia="en-IN"/>
              </w:rPr>
              <w:t> </w:t>
            </w:r>
            <w:r w:rsidRPr="001839C2">
              <w:rPr>
                <w:rFonts w:eastAsiaTheme="minorEastAsia"/>
                <w:snapToGrid/>
                <w:szCs w:val="22"/>
                <w:lang w:val="lt-LT" w:eastAsia="en-IN"/>
              </w:rPr>
              <w:t>% (nuo ↓</w:t>
            </w:r>
            <w:r w:rsidR="006B6981" w:rsidRPr="001839C2">
              <w:rPr>
                <w:rFonts w:eastAsiaTheme="minorEastAsia"/>
                <w:snapToGrid/>
                <w:szCs w:val="22"/>
                <w:lang w:val="lt-LT" w:eastAsia="en-IN"/>
              </w:rPr>
              <w:t> </w:t>
            </w:r>
            <w:r w:rsidRPr="001839C2">
              <w:rPr>
                <w:rFonts w:eastAsiaTheme="minorEastAsia"/>
                <w:snapToGrid/>
                <w:szCs w:val="22"/>
                <w:lang w:val="lt-LT" w:eastAsia="en-IN"/>
              </w:rPr>
              <w:t>13 iki ↓</w:t>
            </w:r>
            <w:r w:rsidR="006B6981" w:rsidRPr="001839C2">
              <w:rPr>
                <w:rFonts w:eastAsiaTheme="minorEastAsia"/>
                <w:snapToGrid/>
                <w:szCs w:val="22"/>
                <w:lang w:val="lt-LT" w:eastAsia="en-IN"/>
              </w:rPr>
              <w:t> </w:t>
            </w:r>
            <w:r w:rsidRPr="001839C2">
              <w:rPr>
                <w:rFonts w:eastAsiaTheme="minorEastAsia"/>
                <w:snapToGrid/>
                <w:szCs w:val="22"/>
                <w:lang w:val="lt-LT" w:eastAsia="en-IN"/>
              </w:rPr>
              <w:t>1)</w:t>
            </w:r>
          </w:p>
          <w:p w14:paraId="119DA7E7" w14:textId="77777777" w:rsidR="006B6981"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6B6981" w:rsidRPr="001839C2">
              <w:rPr>
                <w:rFonts w:eastAsiaTheme="minorEastAsia"/>
                <w:snapToGrid/>
                <w:szCs w:val="22"/>
                <w:lang w:val="lt-LT" w:eastAsia="en-IN"/>
              </w:rPr>
              <w:t> </w:t>
            </w:r>
            <w:r w:rsidRPr="001839C2">
              <w:rPr>
                <w:rFonts w:eastAsiaTheme="minorEastAsia"/>
                <w:snapToGrid/>
                <w:szCs w:val="22"/>
                <w:lang w:val="lt-LT" w:eastAsia="en-IN"/>
              </w:rPr>
              <w:t>11</w:t>
            </w:r>
            <w:r w:rsidR="006B6981" w:rsidRPr="001839C2">
              <w:rPr>
                <w:rFonts w:eastAsiaTheme="minorEastAsia"/>
                <w:snapToGrid/>
                <w:szCs w:val="22"/>
                <w:lang w:val="lt-LT" w:eastAsia="en-IN"/>
              </w:rPr>
              <w:t> </w:t>
            </w:r>
            <w:r w:rsidRPr="001839C2">
              <w:rPr>
                <w:rFonts w:eastAsiaTheme="minorEastAsia"/>
                <w:snapToGrid/>
                <w:szCs w:val="22"/>
                <w:lang w:val="lt-LT" w:eastAsia="en-IN"/>
              </w:rPr>
              <w:t>% (nuo ↓</w:t>
            </w:r>
            <w:r w:rsidR="006B6981" w:rsidRPr="001839C2">
              <w:rPr>
                <w:rFonts w:eastAsiaTheme="minorEastAsia"/>
                <w:snapToGrid/>
                <w:szCs w:val="22"/>
                <w:lang w:val="lt-LT" w:eastAsia="en-IN"/>
              </w:rPr>
              <w:t> </w:t>
            </w:r>
            <w:r w:rsidRPr="001839C2">
              <w:rPr>
                <w:rFonts w:eastAsiaTheme="minorEastAsia"/>
                <w:snapToGrid/>
                <w:szCs w:val="22"/>
                <w:lang w:val="lt-LT" w:eastAsia="en-IN"/>
              </w:rPr>
              <w:t xml:space="preserve">20 iki </w:t>
            </w:r>
            <w:r w:rsidRPr="001839C2">
              <w:rPr>
                <w:rFonts w:eastAsiaTheme="minorEastAsia"/>
                <w:b/>
                <w:bCs/>
                <w:snapToGrid/>
                <w:szCs w:val="22"/>
                <w:lang w:val="lt-LT" w:eastAsia="en-IN"/>
              </w:rPr>
              <w:t>↑</w:t>
            </w:r>
            <w:r w:rsidR="006B6981" w:rsidRPr="001839C2">
              <w:rPr>
                <w:rFonts w:eastAsiaTheme="minorEastAsia"/>
                <w:b/>
                <w:bCs/>
                <w:snapToGrid/>
                <w:szCs w:val="22"/>
                <w:lang w:val="lt-LT" w:eastAsia="en-IN"/>
              </w:rPr>
              <w:t> </w:t>
            </w:r>
            <w:r w:rsidRPr="001839C2">
              <w:rPr>
                <w:rFonts w:eastAsiaTheme="minorEastAsia"/>
                <w:snapToGrid/>
                <w:szCs w:val="22"/>
                <w:lang w:val="lt-LT" w:eastAsia="en-IN"/>
              </w:rPr>
              <w:t>1)</w:t>
            </w:r>
          </w:p>
          <w:p w14:paraId="683F14AB"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tc>
        <w:tc>
          <w:tcPr>
            <w:tcW w:w="2422" w:type="dxa"/>
            <w:tcBorders>
              <w:top w:val="single" w:sz="4" w:space="0" w:color="auto"/>
              <w:left w:val="single" w:sz="4" w:space="0" w:color="000000"/>
              <w:bottom w:val="single" w:sz="4" w:space="0" w:color="auto"/>
              <w:right w:val="single" w:sz="4" w:space="0" w:color="000000"/>
            </w:tcBorders>
          </w:tcPr>
          <w:p w14:paraId="5708D676"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Famcikloviro dozės koreguoti nereikia.</w:t>
            </w:r>
          </w:p>
        </w:tc>
      </w:tr>
      <w:tr w:rsidR="005A7242" w:rsidRPr="001839C2" w14:paraId="2DFD93B6" w14:textId="77777777" w:rsidTr="00EF47C6">
        <w:trPr>
          <w:trHeight w:val="221"/>
        </w:trPr>
        <w:tc>
          <w:tcPr>
            <w:tcW w:w="9548" w:type="dxa"/>
            <w:gridSpan w:val="3"/>
            <w:tcBorders>
              <w:top w:val="single" w:sz="4" w:space="0" w:color="auto"/>
              <w:left w:val="single" w:sz="4" w:space="0" w:color="000000"/>
              <w:bottom w:val="single" w:sz="4" w:space="0" w:color="auto"/>
              <w:right w:val="single" w:sz="4" w:space="0" w:color="000000"/>
            </w:tcBorders>
          </w:tcPr>
          <w:p w14:paraId="046B9346"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i/>
                <w:snapToGrid/>
                <w:szCs w:val="22"/>
                <w:lang w:val="lt-LT" w:eastAsia="en-IN"/>
              </w:rPr>
            </w:pPr>
            <w:r w:rsidRPr="001839C2">
              <w:rPr>
                <w:rFonts w:eastAsiaTheme="minorEastAsia"/>
                <w:b/>
                <w:bCs/>
                <w:i/>
                <w:snapToGrid/>
                <w:szCs w:val="22"/>
                <w:lang w:val="lt-LT" w:eastAsia="en-IN"/>
              </w:rPr>
              <w:t xml:space="preserve">Antimikobakteriniai </w:t>
            </w:r>
            <w:r w:rsidR="006B6981" w:rsidRPr="001839C2">
              <w:rPr>
                <w:rFonts w:eastAsiaTheme="minorEastAsia"/>
                <w:b/>
                <w:bCs/>
                <w:i/>
                <w:snapToGrid/>
                <w:szCs w:val="22"/>
                <w:lang w:val="lt-LT" w:eastAsia="en-IN"/>
              </w:rPr>
              <w:t xml:space="preserve">vaistiniai </w:t>
            </w:r>
            <w:r w:rsidRPr="001839C2">
              <w:rPr>
                <w:rFonts w:eastAsiaTheme="minorEastAsia"/>
                <w:b/>
                <w:bCs/>
                <w:i/>
                <w:snapToGrid/>
                <w:szCs w:val="22"/>
                <w:lang w:val="lt-LT" w:eastAsia="en-IN"/>
              </w:rPr>
              <w:t>preparatai</w:t>
            </w:r>
          </w:p>
        </w:tc>
      </w:tr>
      <w:tr w:rsidR="005A7242" w:rsidRPr="001839C2" w14:paraId="18D41F10"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74187831"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Rifampicin</w:t>
            </w:r>
            <w:r w:rsidR="006B6981"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6B6981" w:rsidRPr="001839C2">
              <w:rPr>
                <w:rFonts w:eastAsiaTheme="minorEastAsia"/>
                <w:snapToGrid/>
                <w:szCs w:val="22"/>
                <w:lang w:val="lt-LT" w:eastAsia="en-IN"/>
              </w:rPr>
              <w:t>ir</w:t>
            </w:r>
            <w:r w:rsidRPr="001839C2">
              <w:rPr>
                <w:rFonts w:eastAsiaTheme="minorEastAsia"/>
                <w:snapToGrid/>
                <w:szCs w:val="22"/>
                <w:lang w:val="lt-LT" w:eastAsia="en-IN"/>
              </w:rPr>
              <w:t xml:space="preserve"> tenofovir</w:t>
            </w:r>
            <w:r w:rsidR="006B6981" w:rsidRPr="001839C2">
              <w:rPr>
                <w:rFonts w:eastAsiaTheme="minorEastAsia"/>
                <w:snapToGrid/>
                <w:szCs w:val="22"/>
                <w:lang w:val="lt-LT" w:eastAsia="en-IN"/>
              </w:rPr>
              <w:t>o</w:t>
            </w:r>
            <w:r w:rsidRPr="001839C2">
              <w:rPr>
                <w:rFonts w:eastAsiaTheme="minorEastAsia"/>
                <w:snapToGrid/>
                <w:szCs w:val="22"/>
                <w:lang w:val="lt-LT" w:eastAsia="en-IN"/>
              </w:rPr>
              <w:t xml:space="preserve"> dizoproksili</w:t>
            </w:r>
            <w:r w:rsidR="00EF47C6" w:rsidRPr="001839C2">
              <w:rPr>
                <w:rFonts w:eastAsiaTheme="minorEastAsia"/>
                <w:snapToGrid/>
                <w:szCs w:val="22"/>
                <w:lang w:val="lt-LT" w:eastAsia="en-IN"/>
              </w:rPr>
              <w:t>o deriny</w:t>
            </w:r>
            <w:r w:rsidRPr="001839C2">
              <w:rPr>
                <w:rFonts w:eastAsiaTheme="minorEastAsia"/>
                <w:snapToGrid/>
                <w:szCs w:val="22"/>
                <w:lang w:val="lt-LT" w:eastAsia="en-IN"/>
              </w:rPr>
              <w:t>s</w:t>
            </w:r>
          </w:p>
        </w:tc>
        <w:tc>
          <w:tcPr>
            <w:tcW w:w="3351" w:type="dxa"/>
            <w:tcBorders>
              <w:top w:val="single" w:sz="4" w:space="0" w:color="auto"/>
              <w:left w:val="single" w:sz="4" w:space="0" w:color="000000"/>
              <w:bottom w:val="single" w:sz="4" w:space="0" w:color="auto"/>
              <w:right w:val="single" w:sz="4" w:space="0" w:color="000000"/>
            </w:tcBorders>
          </w:tcPr>
          <w:p w14:paraId="69C7F027"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3654E7DA" w14:textId="77777777" w:rsidR="00EF47C6"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EF47C6" w:rsidRPr="001839C2">
              <w:rPr>
                <w:rFonts w:eastAsiaTheme="minorEastAsia"/>
                <w:snapToGrid/>
                <w:szCs w:val="22"/>
                <w:lang w:val="lt-LT" w:eastAsia="en-IN"/>
              </w:rPr>
              <w:t> </w:t>
            </w:r>
            <w:r w:rsidRPr="001839C2">
              <w:rPr>
                <w:rFonts w:eastAsiaTheme="minorEastAsia"/>
                <w:snapToGrid/>
                <w:szCs w:val="22"/>
                <w:lang w:val="lt-LT" w:eastAsia="en-IN"/>
              </w:rPr>
              <w:t>12</w:t>
            </w:r>
            <w:r w:rsidR="00EF47C6" w:rsidRPr="001839C2">
              <w:rPr>
                <w:rFonts w:eastAsiaTheme="minorEastAsia"/>
                <w:snapToGrid/>
                <w:szCs w:val="22"/>
                <w:lang w:val="lt-LT" w:eastAsia="en-IN"/>
              </w:rPr>
              <w:t> </w:t>
            </w:r>
            <w:r w:rsidRPr="001839C2">
              <w:rPr>
                <w:rFonts w:eastAsiaTheme="minorEastAsia"/>
                <w:snapToGrid/>
                <w:szCs w:val="22"/>
                <w:lang w:val="lt-LT" w:eastAsia="en-IN"/>
              </w:rPr>
              <w:t>% (nuo ↓</w:t>
            </w:r>
            <w:r w:rsidR="00EF47C6" w:rsidRPr="001839C2">
              <w:rPr>
                <w:rFonts w:eastAsiaTheme="minorEastAsia"/>
                <w:snapToGrid/>
                <w:szCs w:val="22"/>
                <w:lang w:val="lt-LT" w:eastAsia="en-IN"/>
              </w:rPr>
              <w:t> </w:t>
            </w:r>
            <w:r w:rsidRPr="001839C2">
              <w:rPr>
                <w:rFonts w:eastAsiaTheme="minorEastAsia"/>
                <w:snapToGrid/>
                <w:szCs w:val="22"/>
                <w:lang w:val="lt-LT" w:eastAsia="en-IN"/>
              </w:rPr>
              <w:t>16 iki ↓</w:t>
            </w:r>
            <w:r w:rsidR="00EF47C6" w:rsidRPr="001839C2">
              <w:rPr>
                <w:rFonts w:eastAsiaTheme="minorEastAsia"/>
                <w:snapToGrid/>
                <w:szCs w:val="22"/>
                <w:lang w:val="lt-LT" w:eastAsia="en-IN"/>
              </w:rPr>
              <w:t> </w:t>
            </w:r>
            <w:r w:rsidRPr="001839C2">
              <w:rPr>
                <w:rFonts w:eastAsiaTheme="minorEastAsia"/>
                <w:snapToGrid/>
                <w:szCs w:val="22"/>
                <w:lang w:val="lt-LT" w:eastAsia="en-IN"/>
              </w:rPr>
              <w:t>8)</w:t>
            </w:r>
          </w:p>
          <w:p w14:paraId="724F6E4F" w14:textId="77777777" w:rsidR="00EF47C6"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EF47C6" w:rsidRPr="001839C2">
              <w:rPr>
                <w:rFonts w:eastAsiaTheme="minorEastAsia"/>
                <w:snapToGrid/>
                <w:szCs w:val="22"/>
                <w:lang w:val="lt-LT" w:eastAsia="en-IN"/>
              </w:rPr>
              <w:t> </w:t>
            </w:r>
            <w:r w:rsidRPr="001839C2">
              <w:rPr>
                <w:rFonts w:eastAsiaTheme="minorEastAsia"/>
                <w:snapToGrid/>
                <w:szCs w:val="22"/>
                <w:lang w:val="lt-LT" w:eastAsia="en-IN"/>
              </w:rPr>
              <w:t>16</w:t>
            </w:r>
            <w:r w:rsidR="00EF47C6" w:rsidRPr="001839C2">
              <w:rPr>
                <w:rFonts w:eastAsiaTheme="minorEastAsia"/>
                <w:snapToGrid/>
                <w:szCs w:val="22"/>
                <w:lang w:val="lt-LT" w:eastAsia="en-IN"/>
              </w:rPr>
              <w:t> </w:t>
            </w:r>
            <w:r w:rsidRPr="001839C2">
              <w:rPr>
                <w:rFonts w:eastAsiaTheme="minorEastAsia"/>
                <w:snapToGrid/>
                <w:szCs w:val="22"/>
                <w:lang w:val="lt-LT" w:eastAsia="en-IN"/>
              </w:rPr>
              <w:t>% (nuo ↓</w:t>
            </w:r>
            <w:r w:rsidR="00EF47C6" w:rsidRPr="001839C2">
              <w:rPr>
                <w:rFonts w:eastAsiaTheme="minorEastAsia"/>
                <w:snapToGrid/>
                <w:szCs w:val="22"/>
                <w:lang w:val="lt-LT" w:eastAsia="en-IN"/>
              </w:rPr>
              <w:t> </w:t>
            </w:r>
            <w:r w:rsidRPr="001839C2">
              <w:rPr>
                <w:rFonts w:eastAsiaTheme="minorEastAsia"/>
                <w:snapToGrid/>
                <w:szCs w:val="22"/>
                <w:lang w:val="lt-LT" w:eastAsia="en-IN"/>
              </w:rPr>
              <w:t>22 iki ↓</w:t>
            </w:r>
            <w:r w:rsidR="00EF47C6" w:rsidRPr="001839C2">
              <w:rPr>
                <w:rFonts w:eastAsiaTheme="minorEastAsia"/>
                <w:snapToGrid/>
                <w:szCs w:val="22"/>
                <w:lang w:val="lt-LT" w:eastAsia="en-IN"/>
              </w:rPr>
              <w:t> </w:t>
            </w:r>
            <w:r w:rsidRPr="001839C2">
              <w:rPr>
                <w:rFonts w:eastAsiaTheme="minorEastAsia"/>
                <w:snapToGrid/>
                <w:szCs w:val="22"/>
                <w:lang w:val="lt-LT" w:eastAsia="en-IN"/>
              </w:rPr>
              <w:t>10)</w:t>
            </w:r>
          </w:p>
          <w:p w14:paraId="6C47BDEA"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EF47C6" w:rsidRPr="001839C2">
              <w:rPr>
                <w:rFonts w:eastAsiaTheme="minorEastAsia"/>
                <w:snapToGrid/>
                <w:szCs w:val="22"/>
                <w:lang w:val="lt-LT" w:eastAsia="en-IN"/>
              </w:rPr>
              <w:t> </w:t>
            </w:r>
            <w:r w:rsidRPr="001839C2">
              <w:rPr>
                <w:rFonts w:eastAsiaTheme="minorEastAsia"/>
                <w:snapToGrid/>
                <w:szCs w:val="22"/>
                <w:lang w:val="lt-LT" w:eastAsia="en-IN"/>
              </w:rPr>
              <w:t>15</w:t>
            </w:r>
            <w:r w:rsidR="00EF47C6" w:rsidRPr="001839C2">
              <w:rPr>
                <w:rFonts w:eastAsiaTheme="minorEastAsia"/>
                <w:snapToGrid/>
                <w:szCs w:val="22"/>
                <w:lang w:val="lt-LT" w:eastAsia="en-IN"/>
              </w:rPr>
              <w:t> </w:t>
            </w:r>
            <w:r w:rsidRPr="001839C2">
              <w:rPr>
                <w:rFonts w:eastAsiaTheme="minorEastAsia"/>
                <w:snapToGrid/>
                <w:szCs w:val="22"/>
                <w:lang w:val="lt-LT" w:eastAsia="en-IN"/>
              </w:rPr>
              <w:t>% (nuo ↓</w:t>
            </w:r>
            <w:r w:rsidR="00EF47C6" w:rsidRPr="001839C2">
              <w:rPr>
                <w:rFonts w:eastAsiaTheme="minorEastAsia"/>
                <w:snapToGrid/>
                <w:szCs w:val="22"/>
                <w:lang w:val="lt-LT" w:eastAsia="en-IN"/>
              </w:rPr>
              <w:t> </w:t>
            </w:r>
            <w:r w:rsidRPr="001839C2">
              <w:rPr>
                <w:rFonts w:eastAsiaTheme="minorEastAsia"/>
                <w:snapToGrid/>
                <w:szCs w:val="22"/>
                <w:lang w:val="lt-LT" w:eastAsia="en-IN"/>
              </w:rPr>
              <w:t>12 iki ↓</w:t>
            </w:r>
            <w:r w:rsidR="00EF47C6" w:rsidRPr="001839C2">
              <w:rPr>
                <w:rFonts w:eastAsiaTheme="minorEastAsia"/>
                <w:snapToGrid/>
                <w:szCs w:val="22"/>
                <w:lang w:val="lt-LT" w:eastAsia="en-IN"/>
              </w:rPr>
              <w:t> </w:t>
            </w:r>
            <w:r w:rsidRPr="001839C2">
              <w:rPr>
                <w:rFonts w:eastAsiaTheme="minorEastAsia"/>
                <w:snapToGrid/>
                <w:szCs w:val="22"/>
                <w:lang w:val="lt-LT" w:eastAsia="en-IN"/>
              </w:rPr>
              <w:t>9)</w:t>
            </w:r>
          </w:p>
        </w:tc>
        <w:tc>
          <w:tcPr>
            <w:tcW w:w="2422" w:type="dxa"/>
            <w:tcBorders>
              <w:top w:val="single" w:sz="4" w:space="0" w:color="auto"/>
              <w:left w:val="single" w:sz="4" w:space="0" w:color="000000"/>
              <w:bottom w:val="single" w:sz="4" w:space="0" w:color="auto"/>
              <w:right w:val="single" w:sz="4" w:space="0" w:color="000000"/>
            </w:tcBorders>
          </w:tcPr>
          <w:p w14:paraId="174DA588"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Dozės koreguoti nereikia.</w:t>
            </w:r>
          </w:p>
        </w:tc>
      </w:tr>
      <w:tr w:rsidR="005A7242" w:rsidRPr="001839C2" w14:paraId="66AE0094" w14:textId="77777777" w:rsidTr="00EF47C6">
        <w:trPr>
          <w:trHeight w:val="221"/>
        </w:trPr>
        <w:tc>
          <w:tcPr>
            <w:tcW w:w="9548" w:type="dxa"/>
            <w:gridSpan w:val="3"/>
            <w:tcBorders>
              <w:top w:val="single" w:sz="4" w:space="0" w:color="auto"/>
              <w:left w:val="single" w:sz="4" w:space="0" w:color="000000"/>
              <w:bottom w:val="single" w:sz="4" w:space="0" w:color="auto"/>
              <w:right w:val="single" w:sz="4" w:space="0" w:color="000000"/>
            </w:tcBorders>
          </w:tcPr>
          <w:p w14:paraId="1CB85553"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i/>
                <w:iCs/>
                <w:snapToGrid/>
                <w:szCs w:val="22"/>
                <w:lang w:val="lt-LT" w:eastAsia="en-IN"/>
              </w:rPr>
              <w:t>GERIAMIEJI KONTRACEPTIKAI</w:t>
            </w:r>
          </w:p>
        </w:tc>
      </w:tr>
      <w:tr w:rsidR="005A7242" w:rsidRPr="00686907" w14:paraId="57E2CEA1"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3C592D25"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Norgestimat</w:t>
            </w:r>
            <w:r w:rsidR="00EF47C6" w:rsidRPr="001839C2">
              <w:rPr>
                <w:rFonts w:eastAsiaTheme="minorEastAsia"/>
                <w:snapToGrid/>
                <w:szCs w:val="22"/>
                <w:lang w:val="lt-LT" w:eastAsia="en-IN"/>
              </w:rPr>
              <w:t>o,</w:t>
            </w:r>
            <w:r w:rsidRPr="001839C2">
              <w:rPr>
                <w:rFonts w:eastAsiaTheme="minorEastAsia"/>
                <w:snapToGrid/>
                <w:szCs w:val="22"/>
                <w:lang w:val="lt-LT" w:eastAsia="en-IN"/>
              </w:rPr>
              <w:t xml:space="preserve"> etinilestradioli</w:t>
            </w:r>
            <w:r w:rsidR="00EF47C6"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EF47C6" w:rsidRPr="001839C2">
              <w:rPr>
                <w:rFonts w:eastAsiaTheme="minorEastAsia"/>
                <w:snapToGrid/>
                <w:szCs w:val="22"/>
                <w:lang w:val="lt-LT" w:eastAsia="en-IN"/>
              </w:rPr>
              <w:t xml:space="preserve">ir </w:t>
            </w:r>
            <w:r w:rsidRPr="001839C2">
              <w:rPr>
                <w:rFonts w:eastAsiaTheme="minorEastAsia"/>
                <w:snapToGrid/>
                <w:szCs w:val="22"/>
                <w:lang w:val="lt-LT" w:eastAsia="en-IN"/>
              </w:rPr>
              <w:t>tenofovir</w:t>
            </w:r>
            <w:r w:rsidR="00EF47C6" w:rsidRPr="001839C2">
              <w:rPr>
                <w:rFonts w:eastAsiaTheme="minorEastAsia"/>
                <w:snapToGrid/>
                <w:szCs w:val="22"/>
                <w:lang w:val="lt-LT" w:eastAsia="en-IN"/>
              </w:rPr>
              <w:t>o</w:t>
            </w:r>
            <w:r w:rsidRPr="001839C2">
              <w:rPr>
                <w:rFonts w:eastAsiaTheme="minorEastAsia"/>
                <w:snapToGrid/>
                <w:szCs w:val="22"/>
                <w:lang w:val="lt-LT" w:eastAsia="en-IN"/>
              </w:rPr>
              <w:t xml:space="preserve"> dizoproksili</w:t>
            </w:r>
            <w:r w:rsidR="00EF47C6" w:rsidRPr="001839C2">
              <w:rPr>
                <w:rFonts w:eastAsiaTheme="minorEastAsia"/>
                <w:snapToGrid/>
                <w:szCs w:val="22"/>
                <w:lang w:val="lt-LT" w:eastAsia="en-IN"/>
              </w:rPr>
              <w:t>o deriny</w:t>
            </w:r>
            <w:r w:rsidRPr="001839C2">
              <w:rPr>
                <w:rFonts w:eastAsiaTheme="minorEastAsia"/>
                <w:snapToGrid/>
                <w:szCs w:val="22"/>
                <w:lang w:val="lt-LT" w:eastAsia="en-IN"/>
              </w:rPr>
              <w:t>s</w:t>
            </w:r>
          </w:p>
        </w:tc>
        <w:tc>
          <w:tcPr>
            <w:tcW w:w="3351" w:type="dxa"/>
            <w:tcBorders>
              <w:top w:val="single" w:sz="4" w:space="0" w:color="auto"/>
              <w:left w:val="single" w:sz="4" w:space="0" w:color="000000"/>
              <w:bottom w:val="single" w:sz="4" w:space="0" w:color="auto"/>
              <w:right w:val="single" w:sz="4" w:space="0" w:color="000000"/>
            </w:tcBorders>
          </w:tcPr>
          <w:p w14:paraId="4425B630"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Norgestimatas</w:t>
            </w:r>
          </w:p>
          <w:p w14:paraId="75CB2FCB" w14:textId="77777777" w:rsidR="00EF47C6"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EF47C6" w:rsidRPr="001839C2">
              <w:rPr>
                <w:rFonts w:eastAsiaTheme="minorEastAsia"/>
                <w:snapToGrid/>
                <w:szCs w:val="22"/>
                <w:lang w:val="lt-LT" w:eastAsia="en-IN"/>
              </w:rPr>
              <w:t> </w:t>
            </w:r>
            <w:r w:rsidRPr="001839C2">
              <w:rPr>
                <w:rFonts w:eastAsiaTheme="minorEastAsia"/>
                <w:snapToGrid/>
                <w:szCs w:val="22"/>
                <w:lang w:val="lt-LT" w:eastAsia="en-IN"/>
              </w:rPr>
              <w:t>4</w:t>
            </w:r>
            <w:r w:rsidR="00EF47C6" w:rsidRPr="001839C2">
              <w:rPr>
                <w:rFonts w:eastAsiaTheme="minorEastAsia"/>
                <w:snapToGrid/>
                <w:szCs w:val="22"/>
                <w:lang w:val="lt-LT" w:eastAsia="en-IN"/>
              </w:rPr>
              <w:t> </w:t>
            </w:r>
            <w:r w:rsidRPr="001839C2">
              <w:rPr>
                <w:rFonts w:eastAsiaTheme="minorEastAsia"/>
                <w:snapToGrid/>
                <w:szCs w:val="22"/>
                <w:lang w:val="lt-LT" w:eastAsia="en-IN"/>
              </w:rPr>
              <w:t>% (nuo ↓</w:t>
            </w:r>
            <w:r w:rsidR="00EF47C6" w:rsidRPr="001839C2">
              <w:rPr>
                <w:rFonts w:eastAsiaTheme="minorEastAsia"/>
                <w:snapToGrid/>
                <w:szCs w:val="22"/>
                <w:lang w:val="lt-LT" w:eastAsia="en-IN"/>
              </w:rPr>
              <w:t> </w:t>
            </w:r>
            <w:r w:rsidRPr="001839C2">
              <w:rPr>
                <w:rFonts w:eastAsiaTheme="minorEastAsia"/>
                <w:snapToGrid/>
                <w:szCs w:val="22"/>
                <w:lang w:val="lt-LT" w:eastAsia="en-IN"/>
              </w:rPr>
              <w:t xml:space="preserve">32 iki </w:t>
            </w:r>
            <w:r w:rsidRPr="001839C2">
              <w:rPr>
                <w:rFonts w:eastAsiaTheme="minorEastAsia"/>
                <w:b/>
                <w:bCs/>
                <w:snapToGrid/>
                <w:szCs w:val="22"/>
                <w:lang w:val="lt-LT" w:eastAsia="en-IN"/>
              </w:rPr>
              <w:t>↑</w:t>
            </w:r>
            <w:r w:rsidR="00EF47C6" w:rsidRPr="001839C2">
              <w:rPr>
                <w:rFonts w:eastAsiaTheme="minorEastAsia"/>
                <w:b/>
                <w:bCs/>
                <w:snapToGrid/>
                <w:szCs w:val="22"/>
                <w:lang w:val="lt-LT" w:eastAsia="en-IN"/>
              </w:rPr>
              <w:t> </w:t>
            </w:r>
            <w:r w:rsidRPr="001839C2">
              <w:rPr>
                <w:rFonts w:eastAsiaTheme="minorEastAsia"/>
                <w:snapToGrid/>
                <w:szCs w:val="22"/>
                <w:lang w:val="lt-LT" w:eastAsia="en-IN"/>
              </w:rPr>
              <w:t>34)</w:t>
            </w:r>
          </w:p>
          <w:p w14:paraId="0EF56F37" w14:textId="77777777" w:rsidR="00EF47C6"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EF47C6" w:rsidRPr="001839C2">
              <w:rPr>
                <w:rFonts w:eastAsiaTheme="minorEastAsia"/>
                <w:snapToGrid/>
                <w:szCs w:val="22"/>
                <w:lang w:val="lt-LT" w:eastAsia="en-IN"/>
              </w:rPr>
              <w:t> </w:t>
            </w:r>
            <w:r w:rsidRPr="001839C2">
              <w:rPr>
                <w:rFonts w:eastAsiaTheme="minorEastAsia"/>
                <w:snapToGrid/>
                <w:szCs w:val="22"/>
                <w:lang w:val="lt-LT" w:eastAsia="en-IN"/>
              </w:rPr>
              <w:t>5</w:t>
            </w:r>
            <w:r w:rsidR="00EF47C6" w:rsidRPr="001839C2">
              <w:rPr>
                <w:rFonts w:eastAsiaTheme="minorEastAsia"/>
                <w:snapToGrid/>
                <w:szCs w:val="22"/>
                <w:lang w:val="lt-LT" w:eastAsia="en-IN"/>
              </w:rPr>
              <w:t> </w:t>
            </w:r>
            <w:r w:rsidRPr="001839C2">
              <w:rPr>
                <w:rFonts w:eastAsiaTheme="minorEastAsia"/>
                <w:snapToGrid/>
                <w:szCs w:val="22"/>
                <w:lang w:val="lt-LT" w:eastAsia="en-IN"/>
              </w:rPr>
              <w:t>% (nuo ↓</w:t>
            </w:r>
            <w:r w:rsidR="00EF47C6" w:rsidRPr="001839C2">
              <w:rPr>
                <w:rFonts w:eastAsiaTheme="minorEastAsia"/>
                <w:snapToGrid/>
                <w:szCs w:val="22"/>
                <w:lang w:val="lt-LT" w:eastAsia="en-IN"/>
              </w:rPr>
              <w:t> </w:t>
            </w:r>
            <w:r w:rsidRPr="001839C2">
              <w:rPr>
                <w:rFonts w:eastAsiaTheme="minorEastAsia"/>
                <w:snapToGrid/>
                <w:szCs w:val="22"/>
                <w:lang w:val="lt-LT" w:eastAsia="en-IN"/>
              </w:rPr>
              <w:t xml:space="preserve">27 iki </w:t>
            </w:r>
            <w:r w:rsidRPr="001839C2">
              <w:rPr>
                <w:rFonts w:eastAsiaTheme="minorEastAsia"/>
                <w:b/>
                <w:bCs/>
                <w:snapToGrid/>
                <w:szCs w:val="22"/>
                <w:lang w:val="lt-LT" w:eastAsia="en-IN"/>
              </w:rPr>
              <w:t>↑</w:t>
            </w:r>
            <w:r w:rsidR="00EF47C6" w:rsidRPr="001839C2">
              <w:rPr>
                <w:rFonts w:eastAsiaTheme="minorEastAsia"/>
                <w:b/>
                <w:bCs/>
                <w:snapToGrid/>
                <w:szCs w:val="22"/>
                <w:lang w:val="lt-LT" w:eastAsia="en-IN"/>
              </w:rPr>
              <w:t> </w:t>
            </w:r>
            <w:r w:rsidRPr="001839C2">
              <w:rPr>
                <w:rFonts w:eastAsiaTheme="minorEastAsia"/>
                <w:snapToGrid/>
                <w:szCs w:val="22"/>
                <w:lang w:val="lt-LT" w:eastAsia="en-IN"/>
              </w:rPr>
              <w:t>24)</w:t>
            </w:r>
          </w:p>
          <w:p w14:paraId="78B85D2E"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p w14:paraId="53DBA37F"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2C1C2DA8" w14:textId="77777777" w:rsidR="005A7242" w:rsidRPr="001839C2" w:rsidRDefault="005A7242"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Etinilestradiolis</w:t>
            </w:r>
          </w:p>
          <w:p w14:paraId="50105CCC" w14:textId="77777777" w:rsidR="00EF47C6" w:rsidRPr="001839C2" w:rsidRDefault="005A7242"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AUC: ↓</w:t>
            </w:r>
            <w:r w:rsidR="00EF47C6" w:rsidRPr="001839C2">
              <w:rPr>
                <w:rFonts w:eastAsiaTheme="minorEastAsia"/>
                <w:snapToGrid/>
                <w:szCs w:val="22"/>
                <w:lang w:val="lt-LT" w:eastAsia="en-IN"/>
              </w:rPr>
              <w:t> </w:t>
            </w:r>
            <w:r w:rsidRPr="001839C2">
              <w:rPr>
                <w:rFonts w:eastAsiaTheme="minorEastAsia"/>
                <w:snapToGrid/>
                <w:szCs w:val="22"/>
                <w:lang w:val="lt-LT" w:eastAsia="en-IN"/>
              </w:rPr>
              <w:t>4</w:t>
            </w:r>
            <w:r w:rsidR="00EF47C6" w:rsidRPr="001839C2">
              <w:rPr>
                <w:rFonts w:eastAsiaTheme="minorEastAsia"/>
                <w:snapToGrid/>
                <w:szCs w:val="22"/>
                <w:lang w:val="lt-LT" w:eastAsia="en-IN"/>
              </w:rPr>
              <w:t> </w:t>
            </w:r>
            <w:r w:rsidRPr="001839C2">
              <w:rPr>
                <w:rFonts w:eastAsiaTheme="minorEastAsia"/>
                <w:snapToGrid/>
                <w:szCs w:val="22"/>
                <w:lang w:val="lt-LT" w:eastAsia="en-IN"/>
              </w:rPr>
              <w:t>% (nuo ↓</w:t>
            </w:r>
            <w:r w:rsidR="00EF47C6" w:rsidRPr="001839C2">
              <w:rPr>
                <w:rFonts w:eastAsiaTheme="minorEastAsia"/>
                <w:snapToGrid/>
                <w:szCs w:val="22"/>
                <w:lang w:val="lt-LT" w:eastAsia="en-IN"/>
              </w:rPr>
              <w:t> </w:t>
            </w:r>
            <w:r w:rsidRPr="001839C2">
              <w:rPr>
                <w:rFonts w:eastAsiaTheme="minorEastAsia"/>
                <w:snapToGrid/>
                <w:szCs w:val="22"/>
                <w:lang w:val="lt-LT" w:eastAsia="en-IN"/>
              </w:rPr>
              <w:t xml:space="preserve">9 iki </w:t>
            </w:r>
            <w:r w:rsidRPr="001839C2">
              <w:rPr>
                <w:rFonts w:eastAsiaTheme="minorEastAsia"/>
                <w:b/>
                <w:bCs/>
                <w:snapToGrid/>
                <w:szCs w:val="22"/>
                <w:lang w:val="lt-LT" w:eastAsia="en-IN"/>
              </w:rPr>
              <w:t>↑</w:t>
            </w:r>
            <w:r w:rsidR="00EF47C6" w:rsidRPr="001839C2">
              <w:rPr>
                <w:rFonts w:eastAsiaTheme="minorEastAsia"/>
                <w:b/>
                <w:bCs/>
                <w:snapToGrid/>
                <w:szCs w:val="22"/>
                <w:lang w:val="lt-LT" w:eastAsia="en-IN"/>
              </w:rPr>
              <w:t> </w:t>
            </w:r>
            <w:r w:rsidRPr="001839C2">
              <w:rPr>
                <w:rFonts w:eastAsiaTheme="minorEastAsia"/>
                <w:snapToGrid/>
                <w:szCs w:val="22"/>
                <w:lang w:val="lt-LT" w:eastAsia="en-IN"/>
              </w:rPr>
              <w:t>0)</w:t>
            </w:r>
          </w:p>
          <w:p w14:paraId="1EC4E4FD" w14:textId="77777777" w:rsidR="00EF47C6" w:rsidRPr="001839C2" w:rsidRDefault="005A7242"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w:t>
            </w:r>
            <w:r w:rsidR="00EF47C6" w:rsidRPr="001839C2">
              <w:rPr>
                <w:rFonts w:eastAsiaTheme="minorEastAsia"/>
                <w:snapToGrid/>
                <w:szCs w:val="22"/>
                <w:lang w:val="lt-LT" w:eastAsia="en-IN"/>
              </w:rPr>
              <w:t> </w:t>
            </w:r>
            <w:r w:rsidRPr="001839C2">
              <w:rPr>
                <w:rFonts w:eastAsiaTheme="minorEastAsia"/>
                <w:snapToGrid/>
                <w:szCs w:val="22"/>
                <w:lang w:val="lt-LT" w:eastAsia="en-IN"/>
              </w:rPr>
              <w:t>6</w:t>
            </w:r>
            <w:r w:rsidR="00EF47C6" w:rsidRPr="001839C2">
              <w:rPr>
                <w:rFonts w:eastAsiaTheme="minorEastAsia"/>
                <w:snapToGrid/>
                <w:szCs w:val="22"/>
                <w:lang w:val="lt-LT" w:eastAsia="en-IN"/>
              </w:rPr>
              <w:t> </w:t>
            </w:r>
            <w:r w:rsidRPr="001839C2">
              <w:rPr>
                <w:rFonts w:eastAsiaTheme="minorEastAsia"/>
                <w:snapToGrid/>
                <w:szCs w:val="22"/>
                <w:lang w:val="lt-LT" w:eastAsia="en-IN"/>
              </w:rPr>
              <w:t>% (nuo ↓</w:t>
            </w:r>
            <w:r w:rsidR="00EF47C6" w:rsidRPr="001839C2">
              <w:rPr>
                <w:rFonts w:eastAsiaTheme="minorEastAsia"/>
                <w:snapToGrid/>
                <w:szCs w:val="22"/>
                <w:lang w:val="lt-LT" w:eastAsia="en-IN"/>
              </w:rPr>
              <w:t> </w:t>
            </w:r>
            <w:r w:rsidRPr="001839C2">
              <w:rPr>
                <w:rFonts w:eastAsiaTheme="minorEastAsia"/>
                <w:snapToGrid/>
                <w:szCs w:val="22"/>
                <w:lang w:val="lt-LT" w:eastAsia="en-IN"/>
              </w:rPr>
              <w:t xml:space="preserve">13 iki </w:t>
            </w:r>
            <w:r w:rsidRPr="001839C2">
              <w:rPr>
                <w:rFonts w:eastAsiaTheme="minorEastAsia"/>
                <w:b/>
                <w:bCs/>
                <w:snapToGrid/>
                <w:szCs w:val="22"/>
                <w:lang w:val="lt-LT" w:eastAsia="en-IN"/>
              </w:rPr>
              <w:t>↑</w:t>
            </w:r>
            <w:r w:rsidR="00EF47C6" w:rsidRPr="001839C2">
              <w:rPr>
                <w:rFonts w:eastAsiaTheme="minorEastAsia"/>
                <w:b/>
                <w:bCs/>
                <w:snapToGrid/>
                <w:szCs w:val="22"/>
                <w:lang w:val="lt-LT" w:eastAsia="en-IN"/>
              </w:rPr>
              <w:t> </w:t>
            </w:r>
            <w:r w:rsidRPr="001839C2">
              <w:rPr>
                <w:rFonts w:eastAsiaTheme="minorEastAsia"/>
                <w:snapToGrid/>
                <w:szCs w:val="22"/>
                <w:lang w:val="lt-LT" w:eastAsia="en-IN"/>
              </w:rPr>
              <w:t>0)</w:t>
            </w:r>
          </w:p>
          <w:p w14:paraId="02918073" w14:textId="77777777" w:rsidR="005A7242" w:rsidRPr="001839C2" w:rsidRDefault="005A7242" w:rsidP="00EF47C6">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lastRenderedPageBreak/>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w:t>
            </w:r>
            <w:r w:rsidR="00EF47C6" w:rsidRPr="001839C2">
              <w:rPr>
                <w:rFonts w:eastAsiaTheme="minorEastAsia"/>
                <w:snapToGrid/>
                <w:szCs w:val="22"/>
                <w:lang w:val="lt-LT" w:eastAsia="en-IN"/>
              </w:rPr>
              <w:t> </w:t>
            </w:r>
            <w:r w:rsidRPr="001839C2">
              <w:rPr>
                <w:rFonts w:eastAsiaTheme="minorEastAsia"/>
                <w:snapToGrid/>
                <w:szCs w:val="22"/>
                <w:lang w:val="lt-LT" w:eastAsia="en-IN"/>
              </w:rPr>
              <w:t>2</w:t>
            </w:r>
            <w:r w:rsidR="00EF47C6" w:rsidRPr="001839C2">
              <w:rPr>
                <w:rFonts w:eastAsiaTheme="minorEastAsia"/>
                <w:snapToGrid/>
                <w:szCs w:val="22"/>
                <w:lang w:val="lt-LT" w:eastAsia="en-IN"/>
              </w:rPr>
              <w:t> </w:t>
            </w:r>
            <w:r w:rsidRPr="001839C2">
              <w:rPr>
                <w:rFonts w:eastAsiaTheme="minorEastAsia"/>
                <w:snapToGrid/>
                <w:szCs w:val="22"/>
                <w:lang w:val="lt-LT" w:eastAsia="en-IN"/>
              </w:rPr>
              <w:t>% (nuo ↓</w:t>
            </w:r>
            <w:r w:rsidR="00EF47C6" w:rsidRPr="001839C2">
              <w:rPr>
                <w:rFonts w:eastAsiaTheme="minorEastAsia"/>
                <w:snapToGrid/>
                <w:szCs w:val="22"/>
                <w:lang w:val="lt-LT" w:eastAsia="en-IN"/>
              </w:rPr>
              <w:t> </w:t>
            </w:r>
            <w:r w:rsidRPr="001839C2">
              <w:rPr>
                <w:rFonts w:eastAsiaTheme="minorEastAsia"/>
                <w:snapToGrid/>
                <w:szCs w:val="22"/>
                <w:lang w:val="lt-LT" w:eastAsia="en-IN"/>
              </w:rPr>
              <w:t xml:space="preserve">9 iki </w:t>
            </w:r>
            <w:r w:rsidRPr="001839C2">
              <w:rPr>
                <w:rFonts w:eastAsiaTheme="minorEastAsia"/>
                <w:b/>
                <w:bCs/>
                <w:snapToGrid/>
                <w:szCs w:val="22"/>
                <w:lang w:val="lt-LT" w:eastAsia="en-IN"/>
              </w:rPr>
              <w:t>↑</w:t>
            </w:r>
            <w:r w:rsidR="00EF47C6" w:rsidRPr="001839C2">
              <w:rPr>
                <w:rFonts w:eastAsiaTheme="minorEastAsia"/>
                <w:b/>
                <w:bCs/>
                <w:snapToGrid/>
                <w:szCs w:val="22"/>
                <w:lang w:val="lt-LT" w:eastAsia="en-IN"/>
              </w:rPr>
              <w:t> </w:t>
            </w:r>
            <w:r w:rsidRPr="001839C2">
              <w:rPr>
                <w:rFonts w:eastAsiaTheme="minorEastAsia"/>
                <w:snapToGrid/>
                <w:szCs w:val="22"/>
                <w:lang w:val="lt-LT" w:eastAsia="en-IN"/>
              </w:rPr>
              <w:t>6)</w:t>
            </w:r>
          </w:p>
        </w:tc>
        <w:tc>
          <w:tcPr>
            <w:tcW w:w="2422" w:type="dxa"/>
            <w:tcBorders>
              <w:top w:val="single" w:sz="4" w:space="0" w:color="auto"/>
              <w:left w:val="single" w:sz="4" w:space="0" w:color="000000"/>
              <w:bottom w:val="single" w:sz="4" w:space="0" w:color="auto"/>
              <w:right w:val="single" w:sz="4" w:space="0" w:color="000000"/>
            </w:tcBorders>
          </w:tcPr>
          <w:p w14:paraId="22F97AA5" w14:textId="77777777" w:rsidR="005A7242" w:rsidRPr="001839C2" w:rsidRDefault="005A7242" w:rsidP="006B698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lastRenderedPageBreak/>
              <w:t xml:space="preserve">Norgestimato </w:t>
            </w:r>
            <w:r w:rsidR="00EF47C6" w:rsidRPr="001839C2">
              <w:rPr>
                <w:rFonts w:eastAsiaTheme="minorEastAsia"/>
                <w:snapToGrid/>
                <w:szCs w:val="22"/>
                <w:lang w:val="lt-LT" w:eastAsia="en-IN"/>
              </w:rPr>
              <w:t>ir</w:t>
            </w:r>
            <w:r w:rsidRPr="001839C2">
              <w:rPr>
                <w:rFonts w:eastAsiaTheme="minorEastAsia"/>
                <w:snapToGrid/>
                <w:szCs w:val="22"/>
                <w:lang w:val="lt-LT" w:eastAsia="en-IN"/>
              </w:rPr>
              <w:t xml:space="preserve"> etinilestradiolio</w:t>
            </w:r>
            <w:r w:rsidR="00EF47C6"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dozės koreguoti nereikia.</w:t>
            </w:r>
          </w:p>
        </w:tc>
      </w:tr>
      <w:tr w:rsidR="00EF47C6" w:rsidRPr="001839C2" w14:paraId="1B4C46FD" w14:textId="77777777" w:rsidTr="00EF47C6">
        <w:trPr>
          <w:trHeight w:val="221"/>
        </w:trPr>
        <w:tc>
          <w:tcPr>
            <w:tcW w:w="9548" w:type="dxa"/>
            <w:gridSpan w:val="3"/>
            <w:tcBorders>
              <w:top w:val="single" w:sz="4" w:space="0" w:color="auto"/>
              <w:left w:val="single" w:sz="4" w:space="0" w:color="000000"/>
              <w:bottom w:val="single" w:sz="4" w:space="0" w:color="auto"/>
              <w:right w:val="single" w:sz="4" w:space="0" w:color="000000"/>
            </w:tcBorders>
          </w:tcPr>
          <w:p w14:paraId="331DDA4B" w14:textId="77777777" w:rsidR="00EF47C6" w:rsidRPr="001839C2" w:rsidRDefault="00EF47C6"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i/>
                <w:iCs/>
                <w:snapToGrid/>
                <w:szCs w:val="22"/>
                <w:lang w:val="lt-LT" w:eastAsia="en-IN"/>
              </w:rPr>
              <w:t>IMUNOSUPRESANTAI</w:t>
            </w:r>
          </w:p>
        </w:tc>
      </w:tr>
      <w:tr w:rsidR="00EF47C6" w:rsidRPr="001839C2" w14:paraId="6B080D74" w14:textId="77777777" w:rsidTr="00230559">
        <w:trPr>
          <w:trHeight w:val="221"/>
        </w:trPr>
        <w:tc>
          <w:tcPr>
            <w:tcW w:w="3775" w:type="dxa"/>
            <w:tcBorders>
              <w:top w:val="single" w:sz="4" w:space="0" w:color="auto"/>
              <w:left w:val="single" w:sz="4" w:space="0" w:color="000000"/>
              <w:bottom w:val="single" w:sz="4" w:space="0" w:color="auto"/>
              <w:right w:val="single" w:sz="4" w:space="0" w:color="000000"/>
            </w:tcBorders>
          </w:tcPr>
          <w:p w14:paraId="584C2649" w14:textId="77777777" w:rsidR="00EF47C6" w:rsidRPr="001839C2" w:rsidRDefault="00EF47C6"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Takrolimuzo, tenofoviro dizoproksilio ir emtricitabino derinys</w:t>
            </w:r>
          </w:p>
        </w:tc>
        <w:tc>
          <w:tcPr>
            <w:tcW w:w="3351" w:type="dxa"/>
            <w:tcBorders>
              <w:top w:val="single" w:sz="4" w:space="0" w:color="auto"/>
              <w:left w:val="single" w:sz="4" w:space="0" w:color="000000"/>
              <w:bottom w:val="single" w:sz="4" w:space="0" w:color="auto"/>
              <w:right w:val="single" w:sz="4" w:space="0" w:color="000000"/>
            </w:tcBorders>
          </w:tcPr>
          <w:p w14:paraId="7C659835"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Takrolimuzas</w:t>
            </w:r>
          </w:p>
          <w:p w14:paraId="608D135A"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AUC: </w:t>
            </w:r>
            <w:r w:rsidRPr="001839C2">
              <w:rPr>
                <w:rFonts w:eastAsiaTheme="minorEastAsia"/>
                <w:b/>
                <w:bCs/>
                <w:snapToGrid/>
                <w:szCs w:val="22"/>
                <w:lang w:val="lt-LT" w:eastAsia="en-IN"/>
              </w:rPr>
              <w:t>↑ </w:t>
            </w:r>
            <w:r w:rsidRPr="001839C2">
              <w:rPr>
                <w:rFonts w:eastAsiaTheme="minorEastAsia"/>
                <w:snapToGrid/>
                <w:szCs w:val="22"/>
                <w:lang w:val="lt-LT" w:eastAsia="en-IN"/>
              </w:rPr>
              <w:t xml:space="preserve">4 % (nuo ↓ 3 iki </w:t>
            </w:r>
            <w:r w:rsidRPr="001839C2">
              <w:rPr>
                <w:rFonts w:eastAsiaTheme="minorEastAsia"/>
                <w:b/>
                <w:bCs/>
                <w:snapToGrid/>
                <w:szCs w:val="22"/>
                <w:lang w:val="lt-LT" w:eastAsia="en-IN"/>
              </w:rPr>
              <w:t>↑ </w:t>
            </w:r>
            <w:r w:rsidRPr="001839C2">
              <w:rPr>
                <w:rFonts w:eastAsiaTheme="minorEastAsia"/>
                <w:snapToGrid/>
                <w:szCs w:val="22"/>
                <w:lang w:val="lt-LT" w:eastAsia="en-IN"/>
              </w:rPr>
              <w:t>11)</w:t>
            </w:r>
          </w:p>
          <w:p w14:paraId="1F2C4554"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xml:space="preserve">: </w:t>
            </w:r>
            <w:r w:rsidRPr="001839C2">
              <w:rPr>
                <w:rFonts w:eastAsiaTheme="minorEastAsia"/>
                <w:b/>
                <w:bCs/>
                <w:snapToGrid/>
                <w:szCs w:val="22"/>
                <w:lang w:val="lt-LT" w:eastAsia="en-IN"/>
              </w:rPr>
              <w:t>↑ </w:t>
            </w:r>
            <w:r w:rsidRPr="001839C2">
              <w:rPr>
                <w:rFonts w:eastAsiaTheme="minorEastAsia"/>
                <w:snapToGrid/>
                <w:szCs w:val="22"/>
                <w:lang w:val="lt-LT" w:eastAsia="en-IN"/>
              </w:rPr>
              <w:t xml:space="preserve">3 % (nuo ↓ 3 iki </w:t>
            </w:r>
            <w:r w:rsidRPr="001839C2">
              <w:rPr>
                <w:rFonts w:eastAsiaTheme="minorEastAsia"/>
                <w:b/>
                <w:bCs/>
                <w:snapToGrid/>
                <w:szCs w:val="22"/>
                <w:lang w:val="lt-LT" w:eastAsia="en-IN"/>
              </w:rPr>
              <w:t>↑ </w:t>
            </w:r>
            <w:r w:rsidRPr="001839C2">
              <w:rPr>
                <w:rFonts w:eastAsiaTheme="minorEastAsia"/>
                <w:snapToGrid/>
                <w:szCs w:val="22"/>
                <w:lang w:val="lt-LT" w:eastAsia="en-IN"/>
              </w:rPr>
              <w:t>9)</w:t>
            </w:r>
          </w:p>
          <w:p w14:paraId="006C74FF"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p w14:paraId="5BD10711"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7D090C5D"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Emtricitabinas</w:t>
            </w:r>
          </w:p>
          <w:p w14:paraId="5F2C3462"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AUC: </w:t>
            </w:r>
            <w:r w:rsidRPr="001839C2">
              <w:rPr>
                <w:rFonts w:eastAsiaTheme="minorEastAsia"/>
                <w:b/>
                <w:bCs/>
                <w:snapToGrid/>
                <w:szCs w:val="22"/>
                <w:lang w:val="lt-LT" w:eastAsia="en-IN"/>
              </w:rPr>
              <w:t>↓ </w:t>
            </w:r>
            <w:r w:rsidRPr="001839C2">
              <w:rPr>
                <w:rFonts w:eastAsiaTheme="minorEastAsia"/>
                <w:snapToGrid/>
                <w:szCs w:val="22"/>
                <w:lang w:val="lt-LT" w:eastAsia="en-IN"/>
              </w:rPr>
              <w:t xml:space="preserve">5 % (nuo ↓ 9 iki </w:t>
            </w:r>
            <w:r w:rsidRPr="001839C2">
              <w:rPr>
                <w:rFonts w:eastAsiaTheme="minorEastAsia"/>
                <w:b/>
                <w:bCs/>
                <w:snapToGrid/>
                <w:szCs w:val="22"/>
                <w:lang w:val="lt-LT" w:eastAsia="en-IN"/>
              </w:rPr>
              <w:t>↓ </w:t>
            </w:r>
            <w:r w:rsidRPr="001839C2">
              <w:rPr>
                <w:rFonts w:eastAsiaTheme="minorEastAsia"/>
                <w:snapToGrid/>
                <w:szCs w:val="22"/>
                <w:lang w:val="lt-LT" w:eastAsia="en-IN"/>
              </w:rPr>
              <w:t>1)</w:t>
            </w:r>
          </w:p>
          <w:p w14:paraId="3DE28352"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xml:space="preserve">: </w:t>
            </w:r>
            <w:r w:rsidRPr="001839C2">
              <w:rPr>
                <w:rFonts w:eastAsiaTheme="minorEastAsia"/>
                <w:b/>
                <w:bCs/>
                <w:snapToGrid/>
                <w:szCs w:val="22"/>
                <w:lang w:val="lt-LT" w:eastAsia="en-IN"/>
              </w:rPr>
              <w:t>↓ </w:t>
            </w:r>
            <w:r w:rsidRPr="001839C2">
              <w:rPr>
                <w:rFonts w:eastAsiaTheme="minorEastAsia"/>
                <w:snapToGrid/>
                <w:szCs w:val="22"/>
                <w:lang w:val="lt-LT" w:eastAsia="en-IN"/>
              </w:rPr>
              <w:t xml:space="preserve">11 % (nuo ↓ 17 iki </w:t>
            </w:r>
            <w:r w:rsidRPr="001839C2">
              <w:rPr>
                <w:rFonts w:eastAsiaTheme="minorEastAsia"/>
                <w:b/>
                <w:bCs/>
                <w:snapToGrid/>
                <w:szCs w:val="22"/>
                <w:lang w:val="lt-LT" w:eastAsia="en-IN"/>
              </w:rPr>
              <w:t>↓ </w:t>
            </w:r>
            <w:r w:rsidRPr="001839C2">
              <w:rPr>
                <w:rFonts w:eastAsiaTheme="minorEastAsia"/>
                <w:snapToGrid/>
                <w:szCs w:val="22"/>
                <w:lang w:val="lt-LT" w:eastAsia="en-IN"/>
              </w:rPr>
              <w:t>5)</w:t>
            </w:r>
          </w:p>
          <w:p w14:paraId="35D4B3F6"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p w14:paraId="3C08AFAC"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p w14:paraId="34482204"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Tenofoviras</w:t>
            </w:r>
          </w:p>
          <w:p w14:paraId="4E4DC6B3" w14:textId="77777777" w:rsidR="00EF47C6" w:rsidRPr="001839C2" w:rsidRDefault="00EF47C6"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AUC: </w:t>
            </w:r>
            <w:r w:rsidRPr="001839C2">
              <w:rPr>
                <w:rFonts w:eastAsiaTheme="minorEastAsia"/>
                <w:b/>
                <w:bCs/>
                <w:snapToGrid/>
                <w:szCs w:val="22"/>
                <w:lang w:val="lt-LT" w:eastAsia="en-IN"/>
              </w:rPr>
              <w:t>↑ </w:t>
            </w:r>
            <w:r w:rsidRPr="001839C2">
              <w:rPr>
                <w:rFonts w:eastAsiaTheme="minorEastAsia"/>
                <w:snapToGrid/>
                <w:szCs w:val="22"/>
                <w:lang w:val="lt-LT" w:eastAsia="en-IN"/>
              </w:rPr>
              <w:t xml:space="preserve">6 % (nuo ↓ 1 iki </w:t>
            </w:r>
            <w:r w:rsidRPr="001839C2">
              <w:rPr>
                <w:rFonts w:eastAsiaTheme="minorEastAsia"/>
                <w:b/>
                <w:bCs/>
                <w:snapToGrid/>
                <w:szCs w:val="22"/>
                <w:lang w:val="lt-LT" w:eastAsia="en-IN"/>
              </w:rPr>
              <w:t>↑ </w:t>
            </w:r>
            <w:r w:rsidRPr="001839C2">
              <w:rPr>
                <w:rFonts w:eastAsiaTheme="minorEastAsia"/>
                <w:snapToGrid/>
                <w:szCs w:val="22"/>
                <w:lang w:val="lt-LT" w:eastAsia="en-IN"/>
              </w:rPr>
              <w:t>13)</w:t>
            </w:r>
          </w:p>
          <w:p w14:paraId="18CC934D" w14:textId="77777777" w:rsidR="00EF47C6" w:rsidRPr="001839C2" w:rsidRDefault="00EF47C6"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xml:space="preserve">: </w:t>
            </w:r>
            <w:r w:rsidRPr="001839C2">
              <w:rPr>
                <w:rFonts w:eastAsiaTheme="minorEastAsia"/>
                <w:b/>
                <w:bCs/>
                <w:snapToGrid/>
                <w:szCs w:val="22"/>
                <w:lang w:val="lt-LT" w:eastAsia="en-IN"/>
              </w:rPr>
              <w:t>↑ </w:t>
            </w:r>
            <w:r w:rsidRPr="001839C2">
              <w:rPr>
                <w:rFonts w:eastAsiaTheme="minorEastAsia"/>
                <w:snapToGrid/>
                <w:szCs w:val="22"/>
                <w:lang w:val="lt-LT" w:eastAsia="en-IN"/>
              </w:rPr>
              <w:t xml:space="preserve">13 % (nuo </w:t>
            </w:r>
            <w:r w:rsidRPr="001839C2">
              <w:rPr>
                <w:rFonts w:eastAsiaTheme="minorEastAsia"/>
                <w:b/>
                <w:bCs/>
                <w:snapToGrid/>
                <w:szCs w:val="22"/>
                <w:lang w:val="lt-LT" w:eastAsia="en-IN"/>
              </w:rPr>
              <w:t>↑ </w:t>
            </w:r>
            <w:r w:rsidRPr="001839C2">
              <w:rPr>
                <w:rFonts w:eastAsiaTheme="minorEastAsia"/>
                <w:snapToGrid/>
                <w:szCs w:val="22"/>
                <w:lang w:val="lt-LT" w:eastAsia="en-IN"/>
              </w:rPr>
              <w:t xml:space="preserve">1 iki </w:t>
            </w:r>
            <w:r w:rsidRPr="001839C2">
              <w:rPr>
                <w:rFonts w:eastAsiaTheme="minorEastAsia"/>
                <w:b/>
                <w:bCs/>
                <w:snapToGrid/>
                <w:szCs w:val="22"/>
                <w:lang w:val="lt-LT" w:eastAsia="en-IN"/>
              </w:rPr>
              <w:t>↑ </w:t>
            </w:r>
            <w:r w:rsidRPr="001839C2">
              <w:rPr>
                <w:rFonts w:eastAsiaTheme="minorEastAsia"/>
                <w:snapToGrid/>
                <w:szCs w:val="22"/>
                <w:lang w:val="lt-LT" w:eastAsia="en-IN"/>
              </w:rPr>
              <w:t>27)</w:t>
            </w:r>
          </w:p>
          <w:p w14:paraId="7B3BB561" w14:textId="77777777" w:rsidR="00EF47C6" w:rsidRPr="001839C2" w:rsidRDefault="00EF47C6" w:rsidP="002171E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tc>
        <w:tc>
          <w:tcPr>
            <w:tcW w:w="2422" w:type="dxa"/>
            <w:tcBorders>
              <w:top w:val="single" w:sz="4" w:space="0" w:color="auto"/>
              <w:left w:val="single" w:sz="4" w:space="0" w:color="000000"/>
              <w:bottom w:val="single" w:sz="4" w:space="0" w:color="auto"/>
              <w:right w:val="single" w:sz="4" w:space="0" w:color="000000"/>
            </w:tcBorders>
          </w:tcPr>
          <w:p w14:paraId="3CAA4439" w14:textId="77777777" w:rsidR="00EF47C6" w:rsidRPr="001839C2" w:rsidRDefault="00EF47C6"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Takrolimuzo dozės koreguoti nereikia.</w:t>
            </w:r>
          </w:p>
        </w:tc>
      </w:tr>
      <w:tr w:rsidR="00EF47C6" w:rsidRPr="001839C2" w14:paraId="250DF721" w14:textId="77777777" w:rsidTr="00EF47C6">
        <w:trPr>
          <w:trHeight w:val="221"/>
        </w:trPr>
        <w:tc>
          <w:tcPr>
            <w:tcW w:w="9548" w:type="dxa"/>
            <w:gridSpan w:val="3"/>
            <w:tcBorders>
              <w:top w:val="single" w:sz="4" w:space="0" w:color="auto"/>
              <w:left w:val="single" w:sz="4" w:space="0" w:color="000000"/>
              <w:bottom w:val="single" w:sz="4" w:space="0" w:color="auto"/>
              <w:right w:val="single" w:sz="4" w:space="0" w:color="000000"/>
            </w:tcBorders>
          </w:tcPr>
          <w:p w14:paraId="2EF917AC" w14:textId="77777777" w:rsidR="00EF47C6" w:rsidRPr="001839C2" w:rsidRDefault="00EF47C6"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i/>
                <w:iCs/>
                <w:snapToGrid/>
                <w:szCs w:val="22"/>
                <w:lang w:val="lt-LT" w:eastAsia="en-IN"/>
              </w:rPr>
              <w:t>NARKOTINIAI ANALGETIKAI</w:t>
            </w:r>
          </w:p>
        </w:tc>
      </w:tr>
      <w:tr w:rsidR="00EF47C6" w:rsidRPr="001839C2" w14:paraId="3DB69499" w14:textId="77777777" w:rsidTr="009B6A35">
        <w:trPr>
          <w:trHeight w:val="221"/>
        </w:trPr>
        <w:tc>
          <w:tcPr>
            <w:tcW w:w="3775" w:type="dxa"/>
            <w:tcBorders>
              <w:top w:val="single" w:sz="4" w:space="0" w:color="auto"/>
              <w:left w:val="single" w:sz="4" w:space="0" w:color="000000"/>
              <w:bottom w:val="single" w:sz="4" w:space="0" w:color="000000"/>
              <w:right w:val="single" w:sz="4" w:space="0" w:color="000000"/>
            </w:tcBorders>
          </w:tcPr>
          <w:p w14:paraId="23CE7812" w14:textId="77777777" w:rsidR="00EF47C6" w:rsidRPr="001839C2" w:rsidRDefault="00EF47C6"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Metadono ir tenofoviro dizoproksilio derinys</w:t>
            </w:r>
          </w:p>
        </w:tc>
        <w:tc>
          <w:tcPr>
            <w:tcW w:w="3351" w:type="dxa"/>
            <w:tcBorders>
              <w:top w:val="single" w:sz="4" w:space="0" w:color="auto"/>
              <w:left w:val="single" w:sz="4" w:space="0" w:color="000000"/>
              <w:bottom w:val="single" w:sz="4" w:space="0" w:color="000000"/>
              <w:right w:val="single" w:sz="4" w:space="0" w:color="000000"/>
            </w:tcBorders>
          </w:tcPr>
          <w:p w14:paraId="42E0FE2A" w14:textId="77777777" w:rsidR="00EF47C6" w:rsidRPr="001839C2" w:rsidRDefault="00EF47C6" w:rsidP="0023055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i/>
                <w:snapToGrid/>
                <w:szCs w:val="22"/>
                <w:u w:val="single"/>
                <w:lang w:val="lt-LT" w:eastAsia="en-IN"/>
              </w:rPr>
              <w:t>Metadonas</w:t>
            </w:r>
          </w:p>
          <w:p w14:paraId="4C8370DE" w14:textId="77777777" w:rsidR="00EF47C6" w:rsidRPr="001839C2" w:rsidRDefault="00EF47C6" w:rsidP="002171E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AUC: </w:t>
            </w:r>
            <w:r w:rsidRPr="001839C2">
              <w:rPr>
                <w:rFonts w:eastAsiaTheme="minorEastAsia"/>
                <w:b/>
                <w:bCs/>
                <w:snapToGrid/>
                <w:szCs w:val="22"/>
                <w:lang w:val="lt-LT" w:eastAsia="en-IN"/>
              </w:rPr>
              <w:t>↑ </w:t>
            </w:r>
            <w:r w:rsidRPr="001839C2">
              <w:rPr>
                <w:rFonts w:eastAsiaTheme="minorEastAsia"/>
                <w:snapToGrid/>
                <w:szCs w:val="22"/>
                <w:lang w:val="lt-LT" w:eastAsia="en-IN"/>
              </w:rPr>
              <w:t xml:space="preserve">5 % (nuo ↓ 2 iki </w:t>
            </w:r>
            <w:r w:rsidRPr="001839C2">
              <w:rPr>
                <w:rFonts w:eastAsiaTheme="minorEastAsia"/>
                <w:b/>
                <w:bCs/>
                <w:snapToGrid/>
                <w:szCs w:val="22"/>
                <w:lang w:val="lt-LT" w:eastAsia="en-IN"/>
              </w:rPr>
              <w:t>↑ </w:t>
            </w:r>
            <w:r w:rsidRPr="001839C2">
              <w:rPr>
                <w:rFonts w:eastAsiaTheme="minorEastAsia"/>
                <w:snapToGrid/>
                <w:szCs w:val="22"/>
                <w:lang w:val="lt-LT" w:eastAsia="en-IN"/>
              </w:rPr>
              <w:t>13)</w:t>
            </w:r>
          </w:p>
          <w:p w14:paraId="698DC5CB" w14:textId="77777777" w:rsidR="00EF47C6" w:rsidRPr="001839C2" w:rsidRDefault="00EF47C6" w:rsidP="002171E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xml:space="preserve">: </w:t>
            </w:r>
            <w:r w:rsidRPr="001839C2">
              <w:rPr>
                <w:rFonts w:eastAsiaTheme="minorEastAsia"/>
                <w:b/>
                <w:bCs/>
                <w:snapToGrid/>
                <w:szCs w:val="22"/>
                <w:lang w:val="lt-LT" w:eastAsia="en-IN"/>
              </w:rPr>
              <w:t>↑ </w:t>
            </w:r>
            <w:r w:rsidRPr="001839C2">
              <w:rPr>
                <w:rFonts w:eastAsiaTheme="minorEastAsia"/>
                <w:snapToGrid/>
                <w:szCs w:val="22"/>
                <w:lang w:val="lt-LT" w:eastAsia="en-IN"/>
              </w:rPr>
              <w:t xml:space="preserve">5 % (nuo ↓ 3 iki </w:t>
            </w:r>
            <w:r w:rsidRPr="001839C2">
              <w:rPr>
                <w:rFonts w:eastAsiaTheme="minorEastAsia"/>
                <w:b/>
                <w:bCs/>
                <w:snapToGrid/>
                <w:szCs w:val="22"/>
                <w:lang w:val="lt-LT" w:eastAsia="en-IN"/>
              </w:rPr>
              <w:t>↑ </w:t>
            </w:r>
            <w:r w:rsidRPr="001839C2">
              <w:rPr>
                <w:rFonts w:eastAsiaTheme="minorEastAsia"/>
                <w:snapToGrid/>
                <w:szCs w:val="22"/>
                <w:lang w:val="lt-LT" w:eastAsia="en-IN"/>
              </w:rPr>
              <w:t>14)</w:t>
            </w:r>
          </w:p>
          <w:p w14:paraId="7EE9F215" w14:textId="77777777" w:rsidR="00EF47C6" w:rsidRPr="001839C2" w:rsidRDefault="00EF47C6" w:rsidP="002171E9">
            <w:pPr>
              <w:widowControl w:val="0"/>
              <w:tabs>
                <w:tab w:val="clear" w:pos="567"/>
                <w:tab w:val="left" w:pos="0"/>
              </w:tabs>
              <w:kinsoku w:val="0"/>
              <w:overflowPunct w:val="0"/>
              <w:autoSpaceDE w:val="0"/>
              <w:autoSpaceDN w:val="0"/>
              <w:adjustRightInd w:val="0"/>
              <w:ind w:right="108"/>
              <w:rPr>
                <w:rFonts w:eastAsiaTheme="minorEastAsia"/>
                <w:i/>
                <w:snapToGrid/>
                <w:szCs w:val="22"/>
                <w:u w:val="single"/>
                <w:lang w:val="lt-LT" w:eastAsia="en-IN"/>
              </w:rPr>
            </w:pPr>
            <w:r w:rsidRPr="001839C2">
              <w:rPr>
                <w:rFonts w:eastAsiaTheme="minorEastAsia"/>
                <w:snapToGrid/>
                <w:szCs w:val="22"/>
                <w:lang w:val="lt-LT" w:eastAsia="en-IN"/>
              </w:rPr>
              <w:t>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NA</w:t>
            </w:r>
          </w:p>
        </w:tc>
        <w:tc>
          <w:tcPr>
            <w:tcW w:w="2422" w:type="dxa"/>
            <w:tcBorders>
              <w:top w:val="single" w:sz="4" w:space="0" w:color="auto"/>
              <w:left w:val="single" w:sz="4" w:space="0" w:color="000000"/>
              <w:bottom w:val="single" w:sz="4" w:space="0" w:color="000000"/>
              <w:right w:val="single" w:sz="4" w:space="0" w:color="000000"/>
            </w:tcBorders>
          </w:tcPr>
          <w:p w14:paraId="6FF8FAB3" w14:textId="77777777" w:rsidR="00EF47C6" w:rsidRPr="001839C2" w:rsidRDefault="00EF47C6" w:rsidP="00EF47C6">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Metadono dozės koreguoti nereikia.</w:t>
            </w:r>
          </w:p>
        </w:tc>
      </w:tr>
    </w:tbl>
    <w:p w14:paraId="206F76E5" w14:textId="5D601545" w:rsidR="002A5F50" w:rsidRPr="001839C2" w:rsidRDefault="003019AE"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noProof/>
          <w:lang w:val="lt-LT" w:eastAsia="lt-LT"/>
        </w:rPr>
        <mc:AlternateContent>
          <mc:Choice Requires="wpg">
            <w:drawing>
              <wp:anchor distT="0" distB="0" distL="114300" distR="114300" simplePos="0" relativeHeight="251662336" behindDoc="1" locked="0" layoutInCell="0" allowOverlap="1" wp14:anchorId="0953020A" wp14:editId="0585D8B7">
                <wp:simplePos x="0" y="0"/>
                <wp:positionH relativeFrom="page">
                  <wp:posOffset>831850</wp:posOffset>
                </wp:positionH>
                <wp:positionV relativeFrom="page">
                  <wp:posOffset>4535170</wp:posOffset>
                </wp:positionV>
                <wp:extent cx="4203700" cy="127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0" cy="12700"/>
                          <a:chOff x="1310" y="7142"/>
                          <a:chExt cx="6620" cy="20"/>
                        </a:xfrm>
                      </wpg:grpSpPr>
                      <wps:wsp>
                        <wps:cNvPr id="24" name="Rectangle 12"/>
                        <wps:cNvSpPr>
                          <a:spLocks noChangeArrowheads="1"/>
                        </wps:cNvSpPr>
                        <wps:spPr bwMode="auto">
                          <a:xfrm>
                            <a:off x="1310" y="7142"/>
                            <a:ext cx="3260" cy="0"/>
                          </a:xfrm>
                          <a:prstGeom prst="rect">
                            <a:avLst/>
                          </a:prstGeom>
                          <a:noFill/>
                          <a:ln>
                            <a:noFill/>
                          </a:ln>
                        </wps:spPr>
                        <wps:txbx>
                          <w:txbxContent>
                            <w:p w14:paraId="3E837CA6" w14:textId="77777777" w:rsidR="004D75A0" w:rsidRDefault="004D75A0" w:rsidP="002A5F50">
                              <w:pPr>
                                <w:spacing w:line="240" w:lineRule="atLeast"/>
                              </w:pPr>
                              <w:r>
                                <w:rPr>
                                  <w:noProof/>
                                  <w:lang w:val="lt-LT" w:eastAsia="lt-LT"/>
                                </w:rPr>
                                <w:drawing>
                                  <wp:inline distT="0" distB="0" distL="0" distR="0" wp14:anchorId="34A1BE52" wp14:editId="3C0F19E5">
                                    <wp:extent cx="2057400" cy="19050"/>
                                    <wp:effectExtent l="0" t="0" r="0" b="0"/>
                                    <wp:docPr id="1"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9050"/>
                                            </a:xfrm>
                                            <a:prstGeom prst="rect">
                                              <a:avLst/>
                                            </a:prstGeom>
                                            <a:noFill/>
                                            <a:ln>
                                              <a:noFill/>
                                            </a:ln>
                                          </pic:spPr>
                                        </pic:pic>
                                      </a:graphicData>
                                    </a:graphic>
                                  </wp:inline>
                                </w:drawing>
                              </w:r>
                            </w:p>
                            <w:p w14:paraId="5551CF0F" w14:textId="77777777" w:rsidR="004D75A0" w:rsidRDefault="004D75A0" w:rsidP="002A5F50"/>
                          </w:txbxContent>
                        </wps:txbx>
                        <wps:bodyPr rot="0" vert="horz" wrap="square" lIns="0" tIns="0" rIns="0" bIns="0" anchor="t" anchorCtr="0" upright="1">
                          <a:noAutofit/>
                        </wps:bodyPr>
                      </wps:wsp>
                      <wps:wsp>
                        <wps:cNvPr id="25" name="Rectangle 13"/>
                        <wps:cNvSpPr>
                          <a:spLocks noChangeArrowheads="1"/>
                        </wps:cNvSpPr>
                        <wps:spPr bwMode="auto">
                          <a:xfrm>
                            <a:off x="4574" y="7142"/>
                            <a:ext cx="3360" cy="0"/>
                          </a:xfrm>
                          <a:prstGeom prst="rect">
                            <a:avLst/>
                          </a:prstGeom>
                          <a:noFill/>
                          <a:ln>
                            <a:noFill/>
                          </a:ln>
                        </wps:spPr>
                        <wps:txbx>
                          <w:txbxContent>
                            <w:p w14:paraId="03A8A9EB" w14:textId="77777777" w:rsidR="004D75A0" w:rsidRDefault="004D75A0" w:rsidP="002A5F50">
                              <w:pPr>
                                <w:spacing w:line="240" w:lineRule="atLeast"/>
                              </w:pPr>
                              <w:r>
                                <w:rPr>
                                  <w:noProof/>
                                  <w:lang w:val="lt-LT" w:eastAsia="lt-LT"/>
                                </w:rPr>
                                <w:drawing>
                                  <wp:inline distT="0" distB="0" distL="0" distR="0" wp14:anchorId="2A613252" wp14:editId="6DD43C3E">
                                    <wp:extent cx="2152650" cy="19050"/>
                                    <wp:effectExtent l="0" t="0" r="0" b="0"/>
                                    <wp:docPr id="2"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19050"/>
                                            </a:xfrm>
                                            <a:prstGeom prst="rect">
                                              <a:avLst/>
                                            </a:prstGeom>
                                            <a:noFill/>
                                            <a:ln>
                                              <a:noFill/>
                                            </a:ln>
                                          </pic:spPr>
                                        </pic:pic>
                                      </a:graphicData>
                                    </a:graphic>
                                  </wp:inline>
                                </w:drawing>
                              </w:r>
                            </w:p>
                            <w:p w14:paraId="788B4A73" w14:textId="77777777" w:rsidR="004D75A0" w:rsidRDefault="004D75A0" w:rsidP="002A5F5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53020A" id="Group 23" o:spid="_x0000_s1035" style="position:absolute;margin-left:65.5pt;margin-top:357.1pt;width:331pt;height:1pt;z-index:-251654144;mso-position-horizontal-relative:page;mso-position-vertical-relative:page" coordorigin="1310,7142" coordsize="6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" o:allowincell="f">
                <v:rect id="Rectangle 12" o:spid="_x0000_s1036" style="position:absolute;left:1310;top:7142;width:326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E837CA6" w14:textId="77777777" w:rsidR="004D75A0" w:rsidRDefault="004D75A0" w:rsidP="002A5F50">
                        <w:pPr>
                          <w:spacing w:line="240" w:lineRule="atLeast"/>
                        </w:pPr>
                        <w:r>
                          <w:rPr>
                            <w:noProof/>
                            <w:lang w:val="lt-LT" w:eastAsia="lt-LT"/>
                          </w:rPr>
                          <w:drawing>
                            <wp:inline distT="0" distB="0" distL="0" distR="0" wp14:anchorId="34A1BE52" wp14:editId="3C0F19E5">
                              <wp:extent cx="2057400" cy="19050"/>
                              <wp:effectExtent l="0" t="0" r="0" b="0"/>
                              <wp:docPr id="1"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9050"/>
                                      </a:xfrm>
                                      <a:prstGeom prst="rect">
                                        <a:avLst/>
                                      </a:prstGeom>
                                      <a:noFill/>
                                      <a:ln>
                                        <a:noFill/>
                                      </a:ln>
                                    </pic:spPr>
                                  </pic:pic>
                                </a:graphicData>
                              </a:graphic>
                            </wp:inline>
                          </w:drawing>
                        </w:r>
                      </w:p>
                      <w:p w14:paraId="5551CF0F" w14:textId="77777777" w:rsidR="004D75A0" w:rsidRDefault="004D75A0" w:rsidP="002A5F50"/>
                    </w:txbxContent>
                  </v:textbox>
                </v:rect>
                <v:rect id="Rectangle 13" o:spid="_x0000_s1037" style="position:absolute;left:4574;top:7142;width:336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3A8A9EB" w14:textId="77777777" w:rsidR="004D75A0" w:rsidRDefault="004D75A0" w:rsidP="002A5F50">
                        <w:pPr>
                          <w:spacing w:line="240" w:lineRule="atLeast"/>
                        </w:pPr>
                        <w:r>
                          <w:rPr>
                            <w:noProof/>
                            <w:lang w:val="lt-LT" w:eastAsia="lt-LT"/>
                          </w:rPr>
                          <w:drawing>
                            <wp:inline distT="0" distB="0" distL="0" distR="0" wp14:anchorId="2A613252" wp14:editId="6DD43C3E">
                              <wp:extent cx="2152650" cy="19050"/>
                              <wp:effectExtent l="0" t="0" r="0" b="0"/>
                              <wp:docPr id="2"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19050"/>
                                      </a:xfrm>
                                      <a:prstGeom prst="rect">
                                        <a:avLst/>
                                      </a:prstGeom>
                                      <a:noFill/>
                                      <a:ln>
                                        <a:noFill/>
                                      </a:ln>
                                    </pic:spPr>
                                  </pic:pic>
                                </a:graphicData>
                              </a:graphic>
                            </wp:inline>
                          </w:drawing>
                        </w:r>
                      </w:p>
                      <w:p w14:paraId="788B4A73" w14:textId="77777777" w:rsidR="004D75A0" w:rsidRDefault="004D75A0" w:rsidP="002A5F50"/>
                    </w:txbxContent>
                  </v:textbox>
                </v:rect>
                <w10:wrap anchorx="page" anchory="page"/>
              </v:group>
            </w:pict>
          </mc:Fallback>
        </mc:AlternateContent>
      </w:r>
      <w:r w:rsidR="002A5F50" w:rsidRPr="001839C2">
        <w:rPr>
          <w:rFonts w:eastAsiaTheme="minorEastAsia"/>
          <w:snapToGrid/>
          <w:szCs w:val="22"/>
          <w:lang w:val="lt-LT" w:eastAsia="en-IN"/>
        </w:rPr>
        <w:t xml:space="preserve">NA </w:t>
      </w:r>
      <w:r w:rsidR="00EF47C6" w:rsidRPr="001839C2">
        <w:rPr>
          <w:rFonts w:eastAsiaTheme="minorEastAsia"/>
          <w:snapToGrid/>
          <w:szCs w:val="22"/>
          <w:lang w:val="lt-LT" w:eastAsia="en-IN"/>
        </w:rPr>
        <w:t>–</w:t>
      </w:r>
      <w:r w:rsidR="002A5F50" w:rsidRPr="001839C2">
        <w:rPr>
          <w:rFonts w:eastAsiaTheme="minorEastAsia"/>
          <w:snapToGrid/>
          <w:szCs w:val="22"/>
          <w:lang w:val="lt-LT" w:eastAsia="en-IN"/>
        </w:rPr>
        <w:t xml:space="preserve"> neapskaičiuota.</w:t>
      </w:r>
    </w:p>
    <w:p w14:paraId="6F30E357" w14:textId="77777777" w:rsidR="00D93C87" w:rsidRPr="001839C2" w:rsidRDefault="00D93C87"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N/A – netaikoma.</w:t>
      </w:r>
    </w:p>
    <w:p w14:paraId="418E6AA1"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1</w:t>
      </w:r>
      <w:r w:rsidRPr="001839C2">
        <w:rPr>
          <w:rFonts w:eastAsiaTheme="minorEastAsia"/>
          <w:snapToGrid/>
          <w:szCs w:val="22"/>
          <w:lang w:val="lt-LT" w:eastAsia="en-IN"/>
        </w:rPr>
        <w:t xml:space="preserve"> Duomenys gauti vaistinio preparato skiriant vienu metu su ledipasvir</w:t>
      </w:r>
      <w:r w:rsidR="00620337"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620337" w:rsidRPr="001839C2">
        <w:rPr>
          <w:rFonts w:eastAsiaTheme="minorEastAsia"/>
          <w:snapToGrid/>
          <w:szCs w:val="22"/>
          <w:lang w:val="lt-LT" w:eastAsia="en-IN"/>
        </w:rPr>
        <w:t>ir</w:t>
      </w:r>
      <w:r w:rsidRPr="001839C2">
        <w:rPr>
          <w:rFonts w:eastAsiaTheme="minorEastAsia"/>
          <w:snapToGrid/>
          <w:szCs w:val="22"/>
          <w:lang w:val="lt-LT" w:eastAsia="en-IN"/>
        </w:rPr>
        <w:t xml:space="preserve"> sofosbuvir</w:t>
      </w:r>
      <w:r w:rsidR="00620337" w:rsidRPr="001839C2">
        <w:rPr>
          <w:rFonts w:eastAsiaTheme="minorEastAsia"/>
          <w:snapToGrid/>
          <w:szCs w:val="22"/>
          <w:lang w:val="lt-LT" w:eastAsia="en-IN"/>
        </w:rPr>
        <w:t>o derini</w:t>
      </w:r>
      <w:r w:rsidRPr="001839C2">
        <w:rPr>
          <w:rFonts w:eastAsiaTheme="minorEastAsia"/>
          <w:snapToGrid/>
          <w:szCs w:val="22"/>
          <w:lang w:val="lt-LT" w:eastAsia="en-IN"/>
        </w:rPr>
        <w:t>u. Vartojant ne vienu metu (su 12</w:t>
      </w:r>
      <w:r w:rsidR="00620337" w:rsidRPr="001839C2">
        <w:rPr>
          <w:rFonts w:eastAsiaTheme="minorEastAsia"/>
          <w:snapToGrid/>
          <w:szCs w:val="22"/>
          <w:lang w:val="lt-LT" w:eastAsia="en-IN"/>
        </w:rPr>
        <w:t> </w:t>
      </w:r>
      <w:r w:rsidRPr="001839C2">
        <w:rPr>
          <w:rFonts w:eastAsiaTheme="minorEastAsia"/>
          <w:snapToGrid/>
          <w:szCs w:val="22"/>
          <w:lang w:val="lt-LT" w:eastAsia="en-IN"/>
        </w:rPr>
        <w:t>val. pertrauka), gauti panašūs rezultatai.</w:t>
      </w:r>
    </w:p>
    <w:p w14:paraId="0F9D7D3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2</w:t>
      </w:r>
      <w:r w:rsidRPr="001839C2">
        <w:rPr>
          <w:rFonts w:eastAsiaTheme="minorEastAsia"/>
          <w:snapToGrid/>
          <w:szCs w:val="22"/>
          <w:lang w:val="lt-LT" w:eastAsia="en-IN"/>
        </w:rPr>
        <w:t xml:space="preserve"> Pagrindinis kraujotakos sistemoje esantis sofosbuviro metabolitas.</w:t>
      </w:r>
    </w:p>
    <w:p w14:paraId="27D9F2A3"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3</w:t>
      </w:r>
      <w:r w:rsidRPr="001839C2">
        <w:rPr>
          <w:rFonts w:eastAsiaTheme="minorEastAsia"/>
          <w:snapToGrid/>
          <w:szCs w:val="22"/>
          <w:lang w:val="lt-LT" w:eastAsia="en-IN"/>
        </w:rPr>
        <w:t xml:space="preserve"> Tyrimas atliktas papildomai skiriant 100</w:t>
      </w:r>
      <w:r w:rsidR="00620337" w:rsidRPr="001839C2">
        <w:rPr>
          <w:rFonts w:eastAsiaTheme="minorEastAsia"/>
          <w:snapToGrid/>
          <w:szCs w:val="22"/>
          <w:lang w:val="lt-LT" w:eastAsia="en-IN"/>
        </w:rPr>
        <w:t> </w:t>
      </w:r>
      <w:r w:rsidRPr="001839C2">
        <w:rPr>
          <w:rFonts w:eastAsiaTheme="minorEastAsia"/>
          <w:snapToGrid/>
          <w:szCs w:val="22"/>
          <w:lang w:val="lt-LT" w:eastAsia="en-IN"/>
        </w:rPr>
        <w:t>mg voksilapreviro, kad būtų pasiekta HCV</w:t>
      </w:r>
      <w:r w:rsidR="00284AB0" w:rsidRPr="001839C2">
        <w:rPr>
          <w:rFonts w:eastAsiaTheme="minorEastAsia"/>
          <w:snapToGrid/>
          <w:szCs w:val="22"/>
          <w:lang w:val="lt-LT" w:eastAsia="en-IN"/>
        </w:rPr>
        <w:t> </w:t>
      </w:r>
      <w:r w:rsidRPr="001839C2">
        <w:rPr>
          <w:rFonts w:eastAsiaTheme="minorEastAsia"/>
          <w:snapToGrid/>
          <w:szCs w:val="22"/>
          <w:lang w:val="lt-LT" w:eastAsia="en-IN"/>
        </w:rPr>
        <w:t>infekuotiems pacientams numatoma voksilapreviro ekspozicija.</w:t>
      </w:r>
    </w:p>
    <w:p w14:paraId="6F3E258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E320BAD" w14:textId="77777777" w:rsidR="002A5F50" w:rsidRPr="001839C2" w:rsidRDefault="002A5F50" w:rsidP="00230559">
      <w:pPr>
        <w:widowControl w:val="0"/>
        <w:numPr>
          <w:ilvl w:val="1"/>
          <w:numId w:val="28"/>
        </w:numPr>
        <w:tabs>
          <w:tab w:val="clear" w:pos="567"/>
          <w:tab w:val="left" w:pos="0"/>
          <w:tab w:val="left" w:pos="785"/>
        </w:tabs>
        <w:kinsoku w:val="0"/>
        <w:overflowPunct w:val="0"/>
        <w:autoSpaceDE w:val="0"/>
        <w:autoSpaceDN w:val="0"/>
        <w:adjustRightInd w:val="0"/>
        <w:ind w:left="567"/>
        <w:outlineLvl w:val="0"/>
        <w:rPr>
          <w:rFonts w:eastAsiaTheme="minorEastAsia"/>
          <w:snapToGrid/>
          <w:szCs w:val="22"/>
          <w:lang w:val="lt-LT" w:eastAsia="en-IN"/>
        </w:rPr>
      </w:pPr>
      <w:r w:rsidRPr="001839C2">
        <w:rPr>
          <w:rFonts w:eastAsiaTheme="minorEastAsia"/>
          <w:b/>
          <w:bCs/>
          <w:snapToGrid/>
          <w:szCs w:val="22"/>
          <w:lang w:val="lt-LT" w:eastAsia="en-IN"/>
        </w:rPr>
        <w:t>Vaisingumas, nėštumo ir žindymo laikotarpis</w:t>
      </w:r>
    </w:p>
    <w:p w14:paraId="20F6B3B5"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3358E1A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Nėštumas</w:t>
      </w:r>
    </w:p>
    <w:p w14:paraId="73D56E4D"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Daug duomenų </w:t>
      </w:r>
      <w:r w:rsidR="00FA1D37" w:rsidRPr="001839C2">
        <w:rPr>
          <w:rFonts w:eastAsiaTheme="minorEastAsia"/>
          <w:snapToGrid/>
          <w:szCs w:val="22"/>
          <w:lang w:val="lt-LT" w:eastAsia="en-IN"/>
        </w:rPr>
        <w:t xml:space="preserve">apie nėščias moteris </w:t>
      </w:r>
      <w:r w:rsidRPr="001839C2">
        <w:rPr>
          <w:rFonts w:eastAsiaTheme="minorEastAsia"/>
          <w:snapToGrid/>
          <w:szCs w:val="22"/>
          <w:lang w:val="lt-LT" w:eastAsia="en-IN"/>
        </w:rPr>
        <w:t>(duomenys daugiau nei</w:t>
      </w:r>
      <w:r w:rsidR="007C5F20" w:rsidRPr="001839C2">
        <w:rPr>
          <w:rFonts w:eastAsiaTheme="minorEastAsia"/>
          <w:snapToGrid/>
          <w:szCs w:val="22"/>
          <w:lang w:val="lt-LT" w:eastAsia="en-IN"/>
        </w:rPr>
        <w:t xml:space="preserve"> apie</w:t>
      </w:r>
      <w:r w:rsidRPr="001839C2">
        <w:rPr>
          <w:rFonts w:eastAsiaTheme="minorEastAsia"/>
          <w:snapToGrid/>
          <w:szCs w:val="22"/>
          <w:lang w:val="lt-LT" w:eastAsia="en-IN"/>
        </w:rPr>
        <w:t xml:space="preserve"> 1</w:t>
      </w:r>
      <w:r w:rsidR="002171E9" w:rsidRPr="001839C2">
        <w:rPr>
          <w:rFonts w:eastAsiaTheme="minorEastAsia"/>
          <w:snapToGrid/>
          <w:szCs w:val="22"/>
          <w:lang w:val="lt-LT" w:eastAsia="en-IN"/>
        </w:rPr>
        <w:t> </w:t>
      </w:r>
      <w:r w:rsidRPr="001839C2">
        <w:rPr>
          <w:rFonts w:eastAsiaTheme="minorEastAsia"/>
          <w:snapToGrid/>
          <w:szCs w:val="22"/>
          <w:lang w:val="lt-LT" w:eastAsia="en-IN"/>
        </w:rPr>
        <w:t>000</w:t>
      </w:r>
      <w:r w:rsidR="002171E9" w:rsidRPr="001839C2">
        <w:rPr>
          <w:rFonts w:eastAsiaTheme="minorEastAsia"/>
          <w:snapToGrid/>
          <w:szCs w:val="22"/>
          <w:lang w:val="lt-LT" w:eastAsia="en-IN"/>
        </w:rPr>
        <w:t> </w:t>
      </w:r>
      <w:r w:rsidRPr="001839C2">
        <w:rPr>
          <w:rFonts w:eastAsiaTheme="minorEastAsia"/>
          <w:snapToGrid/>
          <w:szCs w:val="22"/>
          <w:lang w:val="lt-LT" w:eastAsia="en-IN"/>
        </w:rPr>
        <w:t>nėštumų baig</w:t>
      </w:r>
      <w:r w:rsidR="002171E9" w:rsidRPr="001839C2">
        <w:rPr>
          <w:rFonts w:eastAsiaTheme="minorEastAsia"/>
          <w:snapToGrid/>
          <w:szCs w:val="22"/>
          <w:lang w:val="lt-LT" w:eastAsia="en-IN"/>
        </w:rPr>
        <w:t>čių</w:t>
      </w:r>
      <w:r w:rsidRPr="001839C2">
        <w:rPr>
          <w:rFonts w:eastAsiaTheme="minorEastAsia"/>
          <w:snapToGrid/>
          <w:szCs w:val="22"/>
          <w:lang w:val="lt-LT" w:eastAsia="en-IN"/>
        </w:rPr>
        <w:t>) nerodo emtricitabin</w:t>
      </w:r>
      <w:r w:rsidR="007C5F20" w:rsidRPr="001839C2">
        <w:rPr>
          <w:rFonts w:eastAsiaTheme="minorEastAsia"/>
          <w:snapToGrid/>
          <w:szCs w:val="22"/>
          <w:lang w:val="lt-LT" w:eastAsia="en-IN"/>
        </w:rPr>
        <w:t>o</w:t>
      </w:r>
      <w:r w:rsidRPr="001839C2">
        <w:rPr>
          <w:rFonts w:eastAsiaTheme="minorEastAsia"/>
          <w:snapToGrid/>
          <w:szCs w:val="22"/>
          <w:lang w:val="lt-LT" w:eastAsia="en-IN"/>
        </w:rPr>
        <w:t xml:space="preserve"> ir tenofoviro dizoproksiliu poveikio apsigimimams ar toksinio poveikio vaisiui </w:t>
      </w:r>
      <w:r w:rsidR="002171E9" w:rsidRPr="001839C2">
        <w:rPr>
          <w:rFonts w:eastAsiaTheme="minorEastAsia"/>
          <w:snapToGrid/>
          <w:szCs w:val="22"/>
          <w:lang w:val="lt-LT" w:eastAsia="en-IN"/>
        </w:rPr>
        <w:t>ir </w:t>
      </w:r>
      <w:r w:rsidRPr="001839C2">
        <w:rPr>
          <w:rFonts w:eastAsiaTheme="minorEastAsia"/>
          <w:snapToGrid/>
          <w:szCs w:val="22"/>
          <w:lang w:val="lt-LT" w:eastAsia="en-IN"/>
        </w:rPr>
        <w:t>(ar) naujagimiui. Su gyvūnais atlikti emtricitabino ir tenofoviro dizoproksilio tyrimai neparodė toksinio poveikio reprodukcijai (žr.</w:t>
      </w:r>
      <w:r w:rsidR="002171E9" w:rsidRPr="001839C2">
        <w:rPr>
          <w:rFonts w:eastAsiaTheme="minorEastAsia"/>
          <w:snapToGrid/>
          <w:szCs w:val="22"/>
          <w:lang w:val="lt-LT" w:eastAsia="en-IN"/>
        </w:rPr>
        <w:t> </w:t>
      </w:r>
      <w:r w:rsidRPr="001839C2">
        <w:rPr>
          <w:rFonts w:eastAsiaTheme="minorEastAsia"/>
          <w:snapToGrid/>
          <w:szCs w:val="22"/>
          <w:lang w:val="lt-LT" w:eastAsia="en-IN"/>
        </w:rPr>
        <w:t>5.3</w:t>
      </w:r>
      <w:r w:rsidR="002171E9" w:rsidRPr="001839C2">
        <w:rPr>
          <w:rFonts w:eastAsiaTheme="minorEastAsia"/>
          <w:snapToGrid/>
          <w:szCs w:val="22"/>
          <w:lang w:val="lt-LT" w:eastAsia="en-IN"/>
        </w:rPr>
        <w:t> </w:t>
      </w:r>
      <w:r w:rsidRPr="001839C2">
        <w:rPr>
          <w:rFonts w:eastAsiaTheme="minorEastAsia"/>
          <w:snapToGrid/>
          <w:szCs w:val="22"/>
          <w:lang w:val="lt-LT" w:eastAsia="en-IN"/>
        </w:rPr>
        <w:t>skyrių). Todėl jei būtina, galima apsvarstyti emtricitabino</w:t>
      </w:r>
      <w:r w:rsidR="002171E9"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45872" w:rsidRPr="001839C2">
        <w:rPr>
          <w:rFonts w:eastAsiaTheme="minorEastAsia"/>
          <w:snapToGrid/>
          <w:szCs w:val="22"/>
          <w:lang w:val="lt-LT" w:eastAsia="en-IN"/>
        </w:rPr>
        <w:t>i</w:t>
      </w:r>
      <w:r w:rsidRPr="001839C2">
        <w:rPr>
          <w:rFonts w:eastAsiaTheme="minorEastAsia"/>
          <w:snapToGrid/>
          <w:szCs w:val="22"/>
          <w:lang w:val="lt-LT" w:eastAsia="en-IN"/>
        </w:rPr>
        <w:t>o</w:t>
      </w:r>
      <w:r w:rsidR="002171E9" w:rsidRPr="001839C2">
        <w:rPr>
          <w:rFonts w:eastAsiaTheme="minorEastAsia"/>
          <w:snapToGrid/>
          <w:szCs w:val="22"/>
          <w:lang w:val="lt-LT" w:eastAsia="en-IN"/>
        </w:rPr>
        <w:t xml:space="preserve"> derinio</w:t>
      </w:r>
      <w:r w:rsidRPr="001839C2" w:rsidDel="002B71B2">
        <w:rPr>
          <w:rFonts w:eastAsiaTheme="minorEastAsia"/>
          <w:snapToGrid/>
          <w:szCs w:val="22"/>
          <w:lang w:val="lt-LT" w:eastAsia="en-IN"/>
        </w:rPr>
        <w:t xml:space="preserve"> </w:t>
      </w:r>
      <w:r w:rsidRPr="001839C2">
        <w:rPr>
          <w:rFonts w:eastAsiaTheme="minorEastAsia"/>
          <w:snapToGrid/>
          <w:szCs w:val="22"/>
          <w:lang w:val="lt-LT" w:eastAsia="en-IN"/>
        </w:rPr>
        <w:t>vartojimą nėštumo metu.</w:t>
      </w:r>
    </w:p>
    <w:p w14:paraId="5DF5675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A8B9AD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Žindymas</w:t>
      </w:r>
    </w:p>
    <w:p w14:paraId="4AAC10CC" w14:textId="6B8E977B" w:rsidR="005606FA" w:rsidRPr="001839C2" w:rsidRDefault="005606FA"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lang w:val="lt-LT"/>
        </w:rPr>
        <w:t>Nustatyta, kad emtricitabinas ir tenofoviras išsiskiria į gydomų moterų pieną. Nėra pakankamai duomenų apie emtricitabino ir tenofoviro poveikį naujagimiams / kūdikiams. Todėl Emtricitabine/Tenofovir disoproxil Accordpharma neturi būti vartojamas žindymo metu.</w:t>
      </w:r>
    </w:p>
    <w:p w14:paraId="132228A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07DA984" w14:textId="604244B4" w:rsidR="002A5F50" w:rsidRPr="001839C2" w:rsidRDefault="00F11FC5"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Siekiant </w:t>
      </w:r>
      <w:r w:rsidR="002A5F50" w:rsidRPr="001839C2">
        <w:rPr>
          <w:rFonts w:eastAsiaTheme="minorEastAsia"/>
          <w:snapToGrid/>
          <w:szCs w:val="22"/>
          <w:lang w:val="lt-LT" w:eastAsia="en-IN"/>
        </w:rPr>
        <w:t>išvengt</w:t>
      </w:r>
      <w:r w:rsidRPr="001839C2">
        <w:rPr>
          <w:rFonts w:eastAsiaTheme="minorEastAsia"/>
          <w:snapToGrid/>
          <w:szCs w:val="22"/>
          <w:lang w:val="lt-LT" w:eastAsia="en-IN"/>
        </w:rPr>
        <w:t>i</w:t>
      </w:r>
      <w:r w:rsidR="002A5F50" w:rsidRPr="001839C2">
        <w:rPr>
          <w:rFonts w:eastAsiaTheme="minorEastAsia"/>
          <w:snapToGrid/>
          <w:szCs w:val="22"/>
          <w:lang w:val="lt-LT" w:eastAsia="en-IN"/>
        </w:rPr>
        <w:t xml:space="preserve"> ŽIV</w:t>
      </w:r>
      <w:r w:rsidR="002171E9" w:rsidRPr="001839C2">
        <w:rPr>
          <w:rFonts w:eastAsiaTheme="minorEastAsia"/>
          <w:snapToGrid/>
          <w:szCs w:val="22"/>
          <w:lang w:val="lt-LT" w:eastAsia="en-IN"/>
        </w:rPr>
        <w:t> </w:t>
      </w:r>
      <w:r w:rsidR="002A5F50" w:rsidRPr="001839C2">
        <w:rPr>
          <w:rFonts w:eastAsiaTheme="minorEastAsia"/>
          <w:snapToGrid/>
          <w:szCs w:val="22"/>
          <w:lang w:val="lt-LT" w:eastAsia="en-IN"/>
        </w:rPr>
        <w:t>perdavimo kūdikiui, ŽIV</w:t>
      </w:r>
      <w:r w:rsidR="007C5F20" w:rsidRPr="001839C2">
        <w:rPr>
          <w:rFonts w:eastAsiaTheme="minorEastAsia"/>
          <w:snapToGrid/>
          <w:szCs w:val="22"/>
          <w:lang w:val="lt-LT" w:eastAsia="en-IN"/>
        </w:rPr>
        <w:t> </w:t>
      </w:r>
      <w:r w:rsidR="002A5F50" w:rsidRPr="001839C2">
        <w:rPr>
          <w:rFonts w:eastAsiaTheme="minorEastAsia"/>
          <w:snapToGrid/>
          <w:szCs w:val="22"/>
          <w:lang w:val="lt-LT" w:eastAsia="en-IN"/>
        </w:rPr>
        <w:t xml:space="preserve">infekuotoms </w:t>
      </w:r>
      <w:r w:rsidR="005606FA" w:rsidRPr="001839C2">
        <w:rPr>
          <w:rFonts w:eastAsiaTheme="minorEastAsia"/>
          <w:snapToGrid/>
          <w:szCs w:val="22"/>
          <w:lang w:val="lt-LT" w:eastAsia="en-IN"/>
        </w:rPr>
        <w:t xml:space="preserve">moterims </w:t>
      </w:r>
      <w:r w:rsidR="002A5F50" w:rsidRPr="001839C2">
        <w:rPr>
          <w:rFonts w:eastAsiaTheme="minorEastAsia"/>
          <w:snapToGrid/>
          <w:szCs w:val="22"/>
          <w:lang w:val="lt-LT" w:eastAsia="en-IN"/>
        </w:rPr>
        <w:t>rekomenduojama ne</w:t>
      </w:r>
      <w:r w:rsidRPr="001839C2">
        <w:rPr>
          <w:rFonts w:eastAsiaTheme="minorEastAsia"/>
          <w:snapToGrid/>
          <w:szCs w:val="22"/>
          <w:lang w:val="lt-LT" w:eastAsia="en-IN"/>
        </w:rPr>
        <w:t>žindyti</w:t>
      </w:r>
      <w:r w:rsidR="002A5F50" w:rsidRPr="001839C2">
        <w:rPr>
          <w:rFonts w:eastAsiaTheme="minorEastAsia"/>
          <w:snapToGrid/>
          <w:szCs w:val="22"/>
          <w:lang w:val="lt-LT" w:eastAsia="en-IN"/>
        </w:rPr>
        <w:t xml:space="preserve"> </w:t>
      </w:r>
      <w:r w:rsidRPr="001839C2">
        <w:rPr>
          <w:rFonts w:eastAsiaTheme="minorEastAsia"/>
          <w:snapToGrid/>
          <w:szCs w:val="22"/>
          <w:lang w:val="lt-LT" w:eastAsia="en-IN"/>
        </w:rPr>
        <w:t xml:space="preserve">savo </w:t>
      </w:r>
      <w:r w:rsidR="002A5F50" w:rsidRPr="001839C2">
        <w:rPr>
          <w:rFonts w:eastAsiaTheme="minorEastAsia"/>
          <w:snapToGrid/>
          <w:szCs w:val="22"/>
          <w:lang w:val="lt-LT" w:eastAsia="en-IN"/>
        </w:rPr>
        <w:t>kūdikių.</w:t>
      </w:r>
    </w:p>
    <w:p w14:paraId="0FDCFE8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C1E39A5" w14:textId="77777777" w:rsidR="002A5F50" w:rsidRPr="001839C2" w:rsidRDefault="002A5F50" w:rsidP="0044686F">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Vaisingumas</w:t>
      </w:r>
    </w:p>
    <w:p w14:paraId="1E96414A" w14:textId="77777777" w:rsidR="002A5F50" w:rsidRPr="001839C2" w:rsidRDefault="002A5F50" w:rsidP="0044686F">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Nėra duomenų apie emtricitabino</w:t>
      </w:r>
      <w:r w:rsidR="002171E9"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45872" w:rsidRPr="001839C2">
        <w:rPr>
          <w:rFonts w:eastAsiaTheme="minorEastAsia"/>
          <w:snapToGrid/>
          <w:szCs w:val="22"/>
          <w:lang w:val="lt-LT" w:eastAsia="en-IN"/>
        </w:rPr>
        <w:t>i</w:t>
      </w:r>
      <w:r w:rsidRPr="001839C2">
        <w:rPr>
          <w:rFonts w:eastAsiaTheme="minorEastAsia"/>
          <w:snapToGrid/>
          <w:szCs w:val="22"/>
          <w:lang w:val="lt-LT" w:eastAsia="en-IN"/>
        </w:rPr>
        <w:t>o</w:t>
      </w:r>
      <w:r w:rsidR="002171E9" w:rsidRPr="001839C2">
        <w:rPr>
          <w:rFonts w:eastAsiaTheme="minorEastAsia"/>
          <w:snapToGrid/>
          <w:szCs w:val="22"/>
          <w:lang w:val="lt-LT" w:eastAsia="en-IN"/>
        </w:rPr>
        <w:t xml:space="preserve"> derinio</w:t>
      </w:r>
      <w:r w:rsidRPr="001839C2" w:rsidDel="002B71B2">
        <w:rPr>
          <w:rFonts w:eastAsiaTheme="minorEastAsia"/>
          <w:snapToGrid/>
          <w:szCs w:val="22"/>
          <w:lang w:val="lt-LT" w:eastAsia="en-IN"/>
        </w:rPr>
        <w:t xml:space="preserve"> </w:t>
      </w:r>
      <w:r w:rsidRPr="001839C2">
        <w:rPr>
          <w:rFonts w:eastAsiaTheme="minorEastAsia"/>
          <w:snapToGrid/>
          <w:szCs w:val="22"/>
          <w:lang w:val="lt-LT" w:eastAsia="en-IN"/>
        </w:rPr>
        <w:t xml:space="preserve">poveikį žmonėms. Tyrimai su </w:t>
      </w:r>
      <w:r w:rsidRPr="001839C2">
        <w:rPr>
          <w:rFonts w:eastAsiaTheme="minorEastAsia"/>
          <w:snapToGrid/>
          <w:szCs w:val="22"/>
          <w:lang w:val="lt-LT" w:eastAsia="en-IN"/>
        </w:rPr>
        <w:lastRenderedPageBreak/>
        <w:t>gyvūnais emtricitabino arba tenofoviro dizoproksilio kenksmingo poveikio vaisingumui neparodė.</w:t>
      </w:r>
    </w:p>
    <w:p w14:paraId="05537F4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F45FCD6" w14:textId="77777777" w:rsidR="002A5F50" w:rsidRPr="001839C2" w:rsidRDefault="002A5F50" w:rsidP="009D3371">
      <w:pPr>
        <w:widowControl w:val="0"/>
        <w:numPr>
          <w:ilvl w:val="1"/>
          <w:numId w:val="28"/>
        </w:numPr>
        <w:tabs>
          <w:tab w:val="left" w:pos="709"/>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Poveikis gebėjimui vairuoti ir valdyti mechanizmus</w:t>
      </w:r>
    </w:p>
    <w:p w14:paraId="6B01933A"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367A1115"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Poveikio gebėjimui vairuoti ir valdyti mechanizmus tyrimų neatlikta. Tačiau </w:t>
      </w:r>
      <w:r w:rsidR="002171E9" w:rsidRPr="001839C2">
        <w:rPr>
          <w:rFonts w:eastAsiaTheme="minorEastAsia"/>
          <w:snapToGrid/>
          <w:szCs w:val="22"/>
          <w:lang w:val="lt-LT" w:eastAsia="en-IN"/>
        </w:rPr>
        <w:t>p</w:t>
      </w:r>
      <w:r w:rsidRPr="001839C2">
        <w:rPr>
          <w:rFonts w:eastAsiaTheme="minorEastAsia"/>
          <w:snapToGrid/>
          <w:szCs w:val="22"/>
          <w:lang w:val="lt-LT" w:eastAsia="en-IN"/>
        </w:rPr>
        <w:t>a</w:t>
      </w:r>
      <w:r w:rsidR="002171E9" w:rsidRPr="001839C2">
        <w:rPr>
          <w:rFonts w:eastAsiaTheme="minorEastAsia"/>
          <w:snapToGrid/>
          <w:szCs w:val="22"/>
          <w:lang w:val="lt-LT" w:eastAsia="en-IN"/>
        </w:rPr>
        <w:t>ci</w:t>
      </w:r>
      <w:r w:rsidRPr="001839C2">
        <w:rPr>
          <w:rFonts w:eastAsiaTheme="minorEastAsia"/>
          <w:snapToGrid/>
          <w:szCs w:val="22"/>
          <w:lang w:val="lt-LT" w:eastAsia="en-IN"/>
        </w:rPr>
        <w:t>en</w:t>
      </w:r>
      <w:r w:rsidR="002171E9" w:rsidRPr="001839C2">
        <w:rPr>
          <w:rFonts w:eastAsiaTheme="minorEastAsia"/>
          <w:snapToGrid/>
          <w:szCs w:val="22"/>
          <w:lang w:val="lt-LT" w:eastAsia="en-IN"/>
        </w:rPr>
        <w:t>tu</w:t>
      </w:r>
      <w:r w:rsidRPr="001839C2">
        <w:rPr>
          <w:rFonts w:eastAsiaTheme="minorEastAsia"/>
          <w:snapToGrid/>
          <w:szCs w:val="22"/>
          <w:lang w:val="lt-LT" w:eastAsia="en-IN"/>
        </w:rPr>
        <w:t>s reikia informuoti, kad gydant emtricitabinu ir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stebėt</w:t>
      </w:r>
      <w:r w:rsidR="002171E9" w:rsidRPr="001839C2">
        <w:rPr>
          <w:rFonts w:eastAsiaTheme="minorEastAsia"/>
          <w:snapToGrid/>
          <w:szCs w:val="22"/>
          <w:lang w:val="lt-LT" w:eastAsia="en-IN"/>
        </w:rPr>
        <w:t>as</w:t>
      </w:r>
      <w:r w:rsidRPr="001839C2">
        <w:rPr>
          <w:rFonts w:eastAsiaTheme="minorEastAsia"/>
          <w:snapToGrid/>
          <w:szCs w:val="22"/>
          <w:lang w:val="lt-LT" w:eastAsia="en-IN"/>
        </w:rPr>
        <w:t xml:space="preserve"> svaig</w:t>
      </w:r>
      <w:r w:rsidR="002171E9" w:rsidRPr="001839C2">
        <w:rPr>
          <w:rFonts w:eastAsiaTheme="minorEastAsia"/>
          <w:snapToGrid/>
          <w:szCs w:val="22"/>
          <w:lang w:val="lt-LT" w:eastAsia="en-IN"/>
        </w:rPr>
        <w:t>ulys</w:t>
      </w:r>
      <w:r w:rsidRPr="001839C2">
        <w:rPr>
          <w:rFonts w:eastAsiaTheme="minorEastAsia"/>
          <w:snapToGrid/>
          <w:szCs w:val="22"/>
          <w:lang w:val="lt-LT" w:eastAsia="en-IN"/>
        </w:rPr>
        <w:t>.</w:t>
      </w:r>
    </w:p>
    <w:p w14:paraId="03EE1399"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F727433" w14:textId="77777777" w:rsidR="002A5F50" w:rsidRPr="001839C2" w:rsidRDefault="002A5F50" w:rsidP="009D3371">
      <w:pPr>
        <w:widowControl w:val="0"/>
        <w:numPr>
          <w:ilvl w:val="1"/>
          <w:numId w:val="28"/>
        </w:numPr>
        <w:tabs>
          <w:tab w:val="left" w:pos="709"/>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Nepageidaujamas poveikis</w:t>
      </w:r>
    </w:p>
    <w:p w14:paraId="44E0BB6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7C81D69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 xml:space="preserve">Saugumo </w:t>
      </w:r>
      <w:r w:rsidR="002171E9" w:rsidRPr="001839C2">
        <w:rPr>
          <w:rFonts w:eastAsiaTheme="minorEastAsia"/>
          <w:snapToGrid/>
          <w:szCs w:val="22"/>
          <w:u w:val="single"/>
          <w:lang w:val="lt-LT" w:eastAsia="en-IN"/>
        </w:rPr>
        <w:t>du</w:t>
      </w:r>
      <w:r w:rsidRPr="001839C2">
        <w:rPr>
          <w:rFonts w:eastAsiaTheme="minorEastAsia"/>
          <w:snapToGrid/>
          <w:szCs w:val="22"/>
          <w:u w:val="single"/>
          <w:lang w:val="lt-LT" w:eastAsia="en-IN"/>
        </w:rPr>
        <w:t>o</w:t>
      </w:r>
      <w:r w:rsidR="002171E9" w:rsidRPr="001839C2">
        <w:rPr>
          <w:rFonts w:eastAsiaTheme="minorEastAsia"/>
          <w:snapToGrid/>
          <w:szCs w:val="22"/>
          <w:u w:val="single"/>
          <w:lang w:val="lt-LT" w:eastAsia="en-IN"/>
        </w:rPr>
        <w:t>menų</w:t>
      </w:r>
      <w:r w:rsidRPr="001839C2">
        <w:rPr>
          <w:rFonts w:eastAsiaTheme="minorEastAsia"/>
          <w:snapToGrid/>
          <w:szCs w:val="22"/>
          <w:u w:val="single"/>
          <w:lang w:val="lt-LT" w:eastAsia="en-IN"/>
        </w:rPr>
        <w:t xml:space="preserve"> santrauka</w:t>
      </w:r>
    </w:p>
    <w:p w14:paraId="1C13962A" w14:textId="77777777" w:rsidR="002171E9"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ŽIV</w:t>
      </w:r>
      <w:r w:rsidR="002171E9" w:rsidRPr="001839C2">
        <w:rPr>
          <w:rFonts w:eastAsiaTheme="minorEastAsia"/>
          <w:i/>
          <w:iCs/>
          <w:snapToGrid/>
          <w:szCs w:val="22"/>
          <w:lang w:val="lt-LT" w:eastAsia="en-IN"/>
        </w:rPr>
        <w:noBreakHyphen/>
      </w:r>
      <w:r w:rsidRPr="001839C2">
        <w:rPr>
          <w:rFonts w:eastAsiaTheme="minorEastAsia"/>
          <w:i/>
          <w:iCs/>
          <w:snapToGrid/>
          <w:szCs w:val="22"/>
          <w:lang w:val="lt-LT" w:eastAsia="en-IN"/>
        </w:rPr>
        <w:t>1</w:t>
      </w:r>
      <w:r w:rsidR="002171E9" w:rsidRPr="001839C2">
        <w:rPr>
          <w:rFonts w:eastAsiaTheme="minorEastAsia"/>
          <w:i/>
          <w:iCs/>
          <w:snapToGrid/>
          <w:szCs w:val="22"/>
          <w:lang w:val="lt-LT" w:eastAsia="en-IN"/>
        </w:rPr>
        <w:t> </w:t>
      </w:r>
      <w:r w:rsidRPr="001839C2">
        <w:rPr>
          <w:rFonts w:eastAsiaTheme="minorEastAsia"/>
          <w:i/>
          <w:iCs/>
          <w:snapToGrid/>
          <w:szCs w:val="22"/>
          <w:lang w:val="lt-LT" w:eastAsia="en-IN"/>
        </w:rPr>
        <w:t>infekcija</w:t>
      </w:r>
    </w:p>
    <w:p w14:paraId="36747B3C" w14:textId="77777777" w:rsidR="002A5F50" w:rsidRPr="001839C2" w:rsidRDefault="003F486D"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Pr</w:t>
      </w:r>
      <w:r w:rsidR="002A5F50" w:rsidRPr="001839C2">
        <w:rPr>
          <w:rFonts w:eastAsiaTheme="minorEastAsia"/>
          <w:snapToGrid/>
          <w:szCs w:val="22"/>
          <w:lang w:val="lt-LT" w:eastAsia="en-IN"/>
        </w:rPr>
        <w:t>an</w:t>
      </w:r>
      <w:r w:rsidRPr="001839C2">
        <w:rPr>
          <w:rFonts w:eastAsiaTheme="minorEastAsia"/>
          <w:snapToGrid/>
          <w:szCs w:val="22"/>
          <w:lang w:val="lt-LT" w:eastAsia="en-IN"/>
        </w:rPr>
        <w:t>ešt</w:t>
      </w:r>
      <w:r w:rsidR="002A5F50" w:rsidRPr="001839C2">
        <w:rPr>
          <w:rFonts w:eastAsiaTheme="minorEastAsia"/>
          <w:snapToGrid/>
          <w:szCs w:val="22"/>
          <w:lang w:val="lt-LT" w:eastAsia="en-IN"/>
        </w:rPr>
        <w:t>a, kad dažniausiai pasitaikančios nepageidaujamos reakcijos, kurių ryšys su emtricitabinu ir</w:t>
      </w:r>
      <w:r w:rsidR="002171E9" w:rsidRPr="001839C2">
        <w:rPr>
          <w:rFonts w:eastAsiaTheme="minorEastAsia"/>
          <w:snapToGrid/>
          <w:szCs w:val="22"/>
          <w:lang w:val="lt-LT" w:eastAsia="en-IN"/>
        </w:rPr>
        <w:t> </w:t>
      </w:r>
      <w:r w:rsidR="002A5F50" w:rsidRPr="001839C2">
        <w:rPr>
          <w:rFonts w:eastAsiaTheme="minorEastAsia"/>
          <w:snapToGrid/>
          <w:szCs w:val="22"/>
          <w:lang w:val="lt-LT" w:eastAsia="en-IN"/>
        </w:rPr>
        <w:t>(arba) tenofovir</w:t>
      </w:r>
      <w:r w:rsidR="00A45872" w:rsidRPr="001839C2">
        <w:rPr>
          <w:rFonts w:eastAsiaTheme="minorEastAsia"/>
          <w:snapToGrid/>
          <w:szCs w:val="22"/>
          <w:lang w:val="lt-LT" w:eastAsia="en-IN"/>
        </w:rPr>
        <w:t>u</w:t>
      </w:r>
      <w:r w:rsidR="002A5F50" w:rsidRPr="001839C2">
        <w:rPr>
          <w:rFonts w:eastAsiaTheme="minorEastAsia"/>
          <w:snapToGrid/>
          <w:szCs w:val="22"/>
          <w:lang w:val="lt-LT" w:eastAsia="en-IN"/>
        </w:rPr>
        <w:t xml:space="preserve"> dizoproksiliu galimas arba tikėtinas, atvirame, atsitiktinių imčių klinikiniame tyrime, kuriame dalyvavo suaugusieji (GS</w:t>
      </w:r>
      <w:r w:rsidR="002171E9" w:rsidRPr="001839C2">
        <w:rPr>
          <w:rFonts w:eastAsiaTheme="minorEastAsia"/>
          <w:snapToGrid/>
          <w:szCs w:val="22"/>
          <w:lang w:val="lt-LT" w:eastAsia="en-IN"/>
        </w:rPr>
        <w:noBreakHyphen/>
      </w:r>
      <w:r w:rsidR="002A5F50" w:rsidRPr="001839C2">
        <w:rPr>
          <w:rFonts w:eastAsiaTheme="minorEastAsia"/>
          <w:snapToGrid/>
          <w:szCs w:val="22"/>
          <w:lang w:val="lt-LT" w:eastAsia="en-IN"/>
        </w:rPr>
        <w:t>01</w:t>
      </w:r>
      <w:r w:rsidR="002171E9" w:rsidRPr="001839C2">
        <w:rPr>
          <w:rFonts w:eastAsiaTheme="minorEastAsia"/>
          <w:snapToGrid/>
          <w:szCs w:val="22"/>
          <w:lang w:val="lt-LT" w:eastAsia="en-IN"/>
        </w:rPr>
        <w:noBreakHyphen/>
      </w:r>
      <w:r w:rsidR="002A5F50" w:rsidRPr="001839C2">
        <w:rPr>
          <w:rFonts w:eastAsiaTheme="minorEastAsia"/>
          <w:snapToGrid/>
          <w:szCs w:val="22"/>
          <w:lang w:val="lt-LT" w:eastAsia="en-IN"/>
        </w:rPr>
        <w:t>934</w:t>
      </w:r>
      <w:r w:rsidR="002171E9" w:rsidRPr="001839C2">
        <w:rPr>
          <w:rFonts w:eastAsiaTheme="minorEastAsia"/>
          <w:snapToGrid/>
          <w:szCs w:val="22"/>
          <w:lang w:val="lt-LT" w:eastAsia="en-IN"/>
        </w:rPr>
        <w:t>,</w:t>
      </w:r>
      <w:r w:rsidR="002A5F50" w:rsidRPr="001839C2">
        <w:rPr>
          <w:rFonts w:eastAsiaTheme="minorEastAsia"/>
          <w:snapToGrid/>
          <w:szCs w:val="22"/>
          <w:lang w:val="lt-LT" w:eastAsia="en-IN"/>
        </w:rPr>
        <w:t xml:space="preserve"> žr.</w:t>
      </w:r>
      <w:r w:rsidR="002171E9" w:rsidRPr="001839C2">
        <w:rPr>
          <w:rFonts w:eastAsiaTheme="minorEastAsia"/>
          <w:snapToGrid/>
          <w:szCs w:val="22"/>
          <w:lang w:val="lt-LT" w:eastAsia="en-IN"/>
        </w:rPr>
        <w:t> </w:t>
      </w:r>
      <w:r w:rsidR="002A5F50" w:rsidRPr="001839C2">
        <w:rPr>
          <w:rFonts w:eastAsiaTheme="minorEastAsia"/>
          <w:snapToGrid/>
          <w:szCs w:val="22"/>
          <w:lang w:val="lt-LT" w:eastAsia="en-IN"/>
        </w:rPr>
        <w:t>5.1</w:t>
      </w:r>
      <w:r w:rsidR="002171E9" w:rsidRPr="001839C2">
        <w:rPr>
          <w:rFonts w:eastAsiaTheme="minorEastAsia"/>
          <w:snapToGrid/>
          <w:szCs w:val="22"/>
          <w:lang w:val="lt-LT" w:eastAsia="en-IN"/>
        </w:rPr>
        <w:t> </w:t>
      </w:r>
      <w:r w:rsidR="002A5F50" w:rsidRPr="001839C2">
        <w:rPr>
          <w:rFonts w:eastAsiaTheme="minorEastAsia"/>
          <w:snapToGrid/>
          <w:szCs w:val="22"/>
          <w:lang w:val="lt-LT" w:eastAsia="en-IN"/>
        </w:rPr>
        <w:t>skyrių) buvo pykinimas (12</w:t>
      </w:r>
      <w:r w:rsidR="002171E9" w:rsidRPr="001839C2">
        <w:rPr>
          <w:rFonts w:eastAsiaTheme="minorEastAsia"/>
          <w:snapToGrid/>
          <w:szCs w:val="22"/>
          <w:lang w:val="lt-LT" w:eastAsia="en-IN"/>
        </w:rPr>
        <w:t> </w:t>
      </w:r>
      <w:r w:rsidR="002A5F50" w:rsidRPr="001839C2">
        <w:rPr>
          <w:rFonts w:eastAsiaTheme="minorEastAsia"/>
          <w:snapToGrid/>
          <w:szCs w:val="22"/>
          <w:lang w:val="lt-LT" w:eastAsia="en-IN"/>
        </w:rPr>
        <w:t>%) ir viduriavimas (7</w:t>
      </w:r>
      <w:r w:rsidR="002171E9" w:rsidRPr="001839C2">
        <w:rPr>
          <w:rFonts w:eastAsiaTheme="minorEastAsia"/>
          <w:snapToGrid/>
          <w:szCs w:val="22"/>
          <w:lang w:val="lt-LT" w:eastAsia="en-IN"/>
        </w:rPr>
        <w:t> </w:t>
      </w:r>
      <w:r w:rsidR="002A5F50" w:rsidRPr="001839C2">
        <w:rPr>
          <w:rFonts w:eastAsiaTheme="minorEastAsia"/>
          <w:snapToGrid/>
          <w:szCs w:val="22"/>
          <w:lang w:val="lt-LT" w:eastAsia="en-IN"/>
        </w:rPr>
        <w:t>%). Emtricitabino ir tenofoviro dizoproksilio saugumo pobūdis šiame tyrime atitiko ankstesnę gydymo patirtį su šiais vaist</w:t>
      </w:r>
      <w:r w:rsidR="002171E9" w:rsidRPr="001839C2">
        <w:rPr>
          <w:rFonts w:eastAsiaTheme="minorEastAsia"/>
          <w:snapToGrid/>
          <w:szCs w:val="22"/>
          <w:lang w:val="lt-LT" w:eastAsia="en-IN"/>
        </w:rPr>
        <w:t>ini</w:t>
      </w:r>
      <w:r w:rsidR="002A5F50" w:rsidRPr="001839C2">
        <w:rPr>
          <w:rFonts w:eastAsiaTheme="minorEastAsia"/>
          <w:snapToGrid/>
          <w:szCs w:val="22"/>
          <w:lang w:val="lt-LT" w:eastAsia="en-IN"/>
        </w:rPr>
        <w:t>ais</w:t>
      </w:r>
      <w:r w:rsidR="002171E9" w:rsidRPr="001839C2">
        <w:rPr>
          <w:rFonts w:eastAsiaTheme="minorEastAsia"/>
          <w:snapToGrid/>
          <w:szCs w:val="22"/>
          <w:lang w:val="lt-LT" w:eastAsia="en-IN"/>
        </w:rPr>
        <w:t xml:space="preserve"> preparatais</w:t>
      </w:r>
      <w:r w:rsidR="002A5F50" w:rsidRPr="001839C2">
        <w:rPr>
          <w:rFonts w:eastAsiaTheme="minorEastAsia"/>
          <w:snapToGrid/>
          <w:szCs w:val="22"/>
          <w:lang w:val="lt-LT" w:eastAsia="en-IN"/>
        </w:rPr>
        <w:t>, kai kiekvienas buvo skiriamas derinyje su kitais antiretrovirusiniais vaist</w:t>
      </w:r>
      <w:r w:rsidR="00457E5B" w:rsidRPr="001839C2">
        <w:rPr>
          <w:rFonts w:eastAsiaTheme="minorEastAsia"/>
          <w:snapToGrid/>
          <w:szCs w:val="22"/>
          <w:lang w:val="lt-LT" w:eastAsia="en-IN"/>
        </w:rPr>
        <w:t>ini</w:t>
      </w:r>
      <w:r w:rsidR="002A5F50" w:rsidRPr="001839C2">
        <w:rPr>
          <w:rFonts w:eastAsiaTheme="minorEastAsia"/>
          <w:snapToGrid/>
          <w:szCs w:val="22"/>
          <w:lang w:val="lt-LT" w:eastAsia="en-IN"/>
        </w:rPr>
        <w:t>ais</w:t>
      </w:r>
      <w:r w:rsidR="00457E5B" w:rsidRPr="001839C2">
        <w:rPr>
          <w:rFonts w:eastAsiaTheme="minorEastAsia"/>
          <w:snapToGrid/>
          <w:szCs w:val="22"/>
          <w:lang w:val="lt-LT" w:eastAsia="en-IN"/>
        </w:rPr>
        <w:t xml:space="preserve"> preparatais</w:t>
      </w:r>
      <w:r w:rsidR="002A5F50" w:rsidRPr="001839C2">
        <w:rPr>
          <w:rFonts w:eastAsiaTheme="minorEastAsia"/>
          <w:snapToGrid/>
          <w:szCs w:val="22"/>
          <w:lang w:val="lt-LT" w:eastAsia="en-IN"/>
        </w:rPr>
        <w:t>.</w:t>
      </w:r>
    </w:p>
    <w:p w14:paraId="2DA88C8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62502AC" w14:textId="77777777" w:rsidR="00457E5B"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Priešekspozicinė profilaktika</w:t>
      </w:r>
    </w:p>
    <w:p w14:paraId="44E44737" w14:textId="77777777" w:rsidR="002A5F50" w:rsidRPr="001839C2" w:rsidRDefault="00457E5B"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w:t>
      </w:r>
      <w:r w:rsidR="002A5F50" w:rsidRPr="001839C2">
        <w:rPr>
          <w:rFonts w:eastAsiaTheme="minorEastAsia"/>
          <w:snapToGrid/>
          <w:szCs w:val="22"/>
          <w:lang w:val="lt-LT" w:eastAsia="en-IN"/>
        </w:rPr>
        <w:t>tlikus du atsitiktinių imčių placebu kontroliuojamus tyrimus (iPrEx, Partners</w:t>
      </w:r>
      <w:r w:rsidR="00C05CF7" w:rsidRPr="001839C2">
        <w:rPr>
          <w:rFonts w:eastAsiaTheme="minorEastAsia"/>
          <w:snapToGrid/>
          <w:szCs w:val="22"/>
          <w:lang w:val="lt-LT" w:eastAsia="en-IN"/>
        </w:rPr>
        <w:t> </w:t>
      </w:r>
      <w:r w:rsidR="002A5F50" w:rsidRPr="001839C2">
        <w:rPr>
          <w:rFonts w:eastAsiaTheme="minorEastAsia"/>
          <w:snapToGrid/>
          <w:szCs w:val="22"/>
          <w:lang w:val="lt-LT" w:eastAsia="en-IN"/>
        </w:rPr>
        <w:t>PrEP), kuriuose 2</w:t>
      </w:r>
      <w:r w:rsidRPr="001839C2">
        <w:rPr>
          <w:rFonts w:eastAsiaTheme="minorEastAsia"/>
          <w:snapToGrid/>
          <w:szCs w:val="22"/>
          <w:lang w:val="lt-LT" w:eastAsia="en-IN"/>
        </w:rPr>
        <w:t> </w:t>
      </w:r>
      <w:r w:rsidR="002A5F50" w:rsidRPr="001839C2">
        <w:rPr>
          <w:rFonts w:eastAsiaTheme="minorEastAsia"/>
          <w:snapToGrid/>
          <w:szCs w:val="22"/>
          <w:lang w:val="lt-LT" w:eastAsia="en-IN"/>
        </w:rPr>
        <w:t>830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w:t>
      </w:r>
      <w:r w:rsidR="002468BD" w:rsidRPr="001839C2">
        <w:rPr>
          <w:rFonts w:eastAsiaTheme="minorEastAsia"/>
          <w:snapToGrid/>
          <w:szCs w:val="22"/>
          <w:lang w:val="lt-LT" w:eastAsia="en-IN"/>
        </w:rPr>
        <w:t> </w:t>
      </w:r>
      <w:r w:rsidR="002A5F50" w:rsidRPr="001839C2">
        <w:rPr>
          <w:rFonts w:eastAsiaTheme="minorEastAsia"/>
          <w:snapToGrid/>
          <w:szCs w:val="22"/>
          <w:lang w:val="lt-LT" w:eastAsia="en-IN"/>
        </w:rPr>
        <w:t>neinfekuotų suaugusiųjų vartojo emtricitabino</w:t>
      </w:r>
      <w:r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Pr="001839C2">
        <w:rPr>
          <w:rFonts w:eastAsiaTheme="minorEastAsia"/>
          <w:snapToGrid/>
          <w:szCs w:val="22"/>
          <w:lang w:val="lt-LT" w:eastAsia="en-IN"/>
        </w:rPr>
        <w:t>io derinio</w:t>
      </w:r>
      <w:r w:rsidR="002A5F50" w:rsidRPr="001839C2" w:rsidDel="002B71B2">
        <w:rPr>
          <w:rFonts w:eastAsiaTheme="minorEastAsia"/>
          <w:snapToGrid/>
          <w:szCs w:val="22"/>
          <w:lang w:val="lt-LT" w:eastAsia="en-IN"/>
        </w:rPr>
        <w:t xml:space="preserve"> </w:t>
      </w:r>
      <w:r w:rsidR="002A5F50" w:rsidRPr="001839C2">
        <w:rPr>
          <w:rFonts w:eastAsiaTheme="minorEastAsia"/>
          <w:snapToGrid/>
          <w:szCs w:val="22"/>
          <w:lang w:val="lt-LT" w:eastAsia="en-IN"/>
        </w:rPr>
        <w:t>kartą per</w:t>
      </w:r>
      <w:r w:rsidRPr="001839C2">
        <w:rPr>
          <w:rFonts w:eastAsiaTheme="minorEastAsia"/>
          <w:snapToGrid/>
          <w:szCs w:val="22"/>
          <w:lang w:val="lt-LT" w:eastAsia="en-IN"/>
        </w:rPr>
        <w:t> </w:t>
      </w:r>
      <w:r w:rsidR="002A5F50" w:rsidRPr="001839C2">
        <w:rPr>
          <w:rFonts w:eastAsiaTheme="minorEastAsia"/>
          <w:snapToGrid/>
          <w:szCs w:val="22"/>
          <w:lang w:val="lt-LT" w:eastAsia="en-IN"/>
        </w:rPr>
        <w:t>parą priešekspozicinei profilaktikai, naujų nepageidaujamų reakcijų į emtricitabino</w:t>
      </w:r>
      <w:r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Pr="001839C2">
        <w:rPr>
          <w:rFonts w:eastAsiaTheme="minorEastAsia"/>
          <w:snapToGrid/>
          <w:szCs w:val="22"/>
          <w:lang w:val="lt-LT" w:eastAsia="en-IN"/>
        </w:rPr>
        <w:t>io derinį</w:t>
      </w:r>
      <w:r w:rsidR="002A5F50" w:rsidRPr="001839C2" w:rsidDel="002B71B2">
        <w:rPr>
          <w:rFonts w:eastAsiaTheme="minorEastAsia"/>
          <w:snapToGrid/>
          <w:szCs w:val="22"/>
          <w:lang w:val="lt-LT" w:eastAsia="en-IN"/>
        </w:rPr>
        <w:t xml:space="preserve"> </w:t>
      </w:r>
      <w:r w:rsidR="002A5F50" w:rsidRPr="001839C2">
        <w:rPr>
          <w:rFonts w:eastAsiaTheme="minorEastAsia"/>
          <w:snapToGrid/>
          <w:szCs w:val="22"/>
          <w:lang w:val="lt-LT" w:eastAsia="en-IN"/>
        </w:rPr>
        <w:t>nenustatyta. Pacientų stebėjimo mediana sudarė atitinkamai 71</w:t>
      </w:r>
      <w:r w:rsidRPr="001839C2">
        <w:rPr>
          <w:rFonts w:eastAsiaTheme="minorEastAsia"/>
          <w:snapToGrid/>
          <w:szCs w:val="22"/>
          <w:lang w:val="lt-LT" w:eastAsia="en-IN"/>
        </w:rPr>
        <w:t> </w:t>
      </w:r>
      <w:r w:rsidR="002A5F50" w:rsidRPr="001839C2">
        <w:rPr>
          <w:rFonts w:eastAsiaTheme="minorEastAsia"/>
          <w:snapToGrid/>
          <w:szCs w:val="22"/>
          <w:lang w:val="lt-LT" w:eastAsia="en-IN"/>
        </w:rPr>
        <w:t>savaitę ir 87</w:t>
      </w:r>
      <w:r w:rsidRPr="001839C2">
        <w:rPr>
          <w:rFonts w:eastAsiaTheme="minorEastAsia"/>
          <w:snapToGrid/>
          <w:szCs w:val="22"/>
          <w:lang w:val="lt-LT" w:eastAsia="en-IN"/>
        </w:rPr>
        <w:t> </w:t>
      </w:r>
      <w:r w:rsidR="002A5F50" w:rsidRPr="001839C2">
        <w:rPr>
          <w:rFonts w:eastAsiaTheme="minorEastAsia"/>
          <w:snapToGrid/>
          <w:szCs w:val="22"/>
          <w:lang w:val="lt-LT" w:eastAsia="en-IN"/>
        </w:rPr>
        <w:t>savaites. Emtricitabino</w:t>
      </w:r>
      <w:r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00A45872" w:rsidRPr="001839C2">
        <w:rPr>
          <w:rFonts w:eastAsiaTheme="minorEastAsia"/>
          <w:snapToGrid/>
          <w:szCs w:val="22"/>
          <w:lang w:val="lt-LT" w:eastAsia="en-IN"/>
        </w:rPr>
        <w:t>i</w:t>
      </w:r>
      <w:r w:rsidR="002A5F50" w:rsidRPr="001839C2">
        <w:rPr>
          <w:rFonts w:eastAsiaTheme="minorEastAsia"/>
          <w:snapToGrid/>
          <w:szCs w:val="22"/>
          <w:lang w:val="lt-LT" w:eastAsia="en-IN"/>
        </w:rPr>
        <w:t>o</w:t>
      </w:r>
      <w:r w:rsidRPr="001839C2">
        <w:rPr>
          <w:rFonts w:eastAsiaTheme="minorEastAsia"/>
          <w:snapToGrid/>
          <w:szCs w:val="22"/>
          <w:lang w:val="lt-LT" w:eastAsia="en-IN"/>
        </w:rPr>
        <w:t xml:space="preserve"> derinio</w:t>
      </w:r>
      <w:r w:rsidR="002A5F50" w:rsidRPr="001839C2" w:rsidDel="002B71B2">
        <w:rPr>
          <w:rFonts w:eastAsiaTheme="minorEastAsia"/>
          <w:snapToGrid/>
          <w:szCs w:val="22"/>
          <w:lang w:val="lt-LT" w:eastAsia="en-IN"/>
        </w:rPr>
        <w:t xml:space="preserve"> </w:t>
      </w:r>
      <w:r w:rsidR="002A5F50" w:rsidRPr="001839C2">
        <w:rPr>
          <w:rFonts w:eastAsiaTheme="minorEastAsia"/>
          <w:snapToGrid/>
          <w:szCs w:val="22"/>
          <w:lang w:val="lt-LT" w:eastAsia="en-IN"/>
        </w:rPr>
        <w:t>grupėje iPrEx</w:t>
      </w:r>
      <w:r w:rsidRPr="001839C2">
        <w:rPr>
          <w:rFonts w:eastAsiaTheme="minorEastAsia"/>
          <w:snapToGrid/>
          <w:szCs w:val="22"/>
          <w:lang w:val="lt-LT" w:eastAsia="en-IN"/>
        </w:rPr>
        <w:t> </w:t>
      </w:r>
      <w:r w:rsidR="002A5F50" w:rsidRPr="001839C2">
        <w:rPr>
          <w:rFonts w:eastAsiaTheme="minorEastAsia"/>
          <w:snapToGrid/>
          <w:szCs w:val="22"/>
          <w:lang w:val="lt-LT" w:eastAsia="en-IN"/>
        </w:rPr>
        <w:t>tyrimo metu dažniausia nepageidaujama reakcija buvo galvos skausmas (1</w:t>
      </w:r>
      <w:r w:rsidRPr="001839C2">
        <w:rPr>
          <w:rFonts w:eastAsiaTheme="minorEastAsia"/>
          <w:snapToGrid/>
          <w:szCs w:val="22"/>
          <w:lang w:val="lt-LT" w:eastAsia="en-IN"/>
        </w:rPr>
        <w:t> </w:t>
      </w:r>
      <w:r w:rsidR="002A5F50" w:rsidRPr="001839C2">
        <w:rPr>
          <w:rFonts w:eastAsiaTheme="minorEastAsia"/>
          <w:snapToGrid/>
          <w:szCs w:val="22"/>
          <w:lang w:val="lt-LT" w:eastAsia="en-IN"/>
        </w:rPr>
        <w:t>%).</w:t>
      </w:r>
    </w:p>
    <w:p w14:paraId="048CF4C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E9844E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Nepageidaujamų reakcijų santrauka</w:t>
      </w:r>
      <w:r w:rsidR="003F486D" w:rsidRPr="001839C2">
        <w:rPr>
          <w:rFonts w:eastAsiaTheme="minorEastAsia"/>
          <w:snapToGrid/>
          <w:szCs w:val="22"/>
          <w:u w:val="single"/>
          <w:lang w:val="lt-LT" w:eastAsia="en-IN"/>
        </w:rPr>
        <w:t xml:space="preserve"> lentelėje</w:t>
      </w:r>
    </w:p>
    <w:p w14:paraId="2298F385"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Nepageidaujamos reakcijos, kurių ryšį su gydymu emtricitabino</w:t>
      </w:r>
      <w:r w:rsidR="00457E5B"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45872" w:rsidRPr="001839C2">
        <w:rPr>
          <w:rFonts w:eastAsiaTheme="minorEastAsia"/>
          <w:snapToGrid/>
          <w:szCs w:val="22"/>
          <w:lang w:val="lt-LT" w:eastAsia="en-IN"/>
        </w:rPr>
        <w:t>i</w:t>
      </w:r>
      <w:r w:rsidRPr="001839C2">
        <w:rPr>
          <w:rFonts w:eastAsiaTheme="minorEastAsia"/>
          <w:snapToGrid/>
          <w:szCs w:val="22"/>
          <w:lang w:val="lt-LT" w:eastAsia="en-IN"/>
        </w:rPr>
        <w:t>o</w:t>
      </w:r>
      <w:r w:rsidR="00457E5B" w:rsidRPr="001839C2">
        <w:rPr>
          <w:rFonts w:eastAsiaTheme="minorEastAsia"/>
          <w:snapToGrid/>
          <w:szCs w:val="22"/>
          <w:lang w:val="lt-LT" w:eastAsia="en-IN"/>
        </w:rPr>
        <w:t xml:space="preserve"> derinio</w:t>
      </w:r>
      <w:r w:rsidRPr="001839C2" w:rsidDel="002B71B2">
        <w:rPr>
          <w:rFonts w:eastAsiaTheme="minorEastAsia"/>
          <w:snapToGrid/>
          <w:szCs w:val="22"/>
          <w:lang w:val="lt-LT" w:eastAsia="en-IN"/>
        </w:rPr>
        <w:t xml:space="preserve"> </w:t>
      </w:r>
      <w:r w:rsidR="00AE649A" w:rsidRPr="001839C2">
        <w:rPr>
          <w:rFonts w:eastAsiaTheme="minorEastAsia"/>
          <w:snapToGrid/>
          <w:szCs w:val="22"/>
          <w:lang w:val="lt-LT" w:eastAsia="en-IN"/>
        </w:rPr>
        <w:t>v</w:t>
      </w:r>
      <w:r w:rsidRPr="001839C2">
        <w:rPr>
          <w:rFonts w:eastAsiaTheme="minorEastAsia"/>
          <w:snapToGrid/>
          <w:szCs w:val="22"/>
          <w:lang w:val="lt-LT" w:eastAsia="en-IN"/>
        </w:rPr>
        <w:t>ei</w:t>
      </w:r>
      <w:r w:rsidR="00AE649A" w:rsidRPr="001839C2">
        <w:rPr>
          <w:rFonts w:eastAsiaTheme="minorEastAsia"/>
          <w:snapToGrid/>
          <w:szCs w:val="22"/>
          <w:lang w:val="lt-LT" w:eastAsia="en-IN"/>
        </w:rPr>
        <w:t>klio</w:t>
      </w:r>
      <w:r w:rsidRPr="001839C2">
        <w:rPr>
          <w:rFonts w:eastAsiaTheme="minorEastAsia"/>
          <w:snapToGrid/>
          <w:szCs w:val="22"/>
          <w:lang w:val="lt-LT" w:eastAsia="en-IN"/>
        </w:rPr>
        <w:t>s</w:t>
      </w:r>
      <w:r w:rsidR="00AE649A" w:rsidRPr="001839C2">
        <w:rPr>
          <w:rFonts w:eastAsiaTheme="minorEastAsia"/>
          <w:snapToGrid/>
          <w:szCs w:val="22"/>
          <w:lang w:val="lt-LT" w:eastAsia="en-IN"/>
        </w:rPr>
        <w:t>iomis medžiagomis</w:t>
      </w:r>
      <w:r w:rsidRPr="001839C2">
        <w:rPr>
          <w:rFonts w:eastAsiaTheme="minorEastAsia"/>
          <w:snapToGrid/>
          <w:szCs w:val="22"/>
          <w:lang w:val="lt-LT" w:eastAsia="en-IN"/>
        </w:rPr>
        <w:t xml:space="preserve"> bent jau galima įtarti remiantis klinikinio tyrimo rezultatais ir duomenimis apie ŽIV</w:t>
      </w:r>
      <w:r w:rsidR="00457E5B" w:rsidRPr="001839C2">
        <w:rPr>
          <w:rFonts w:eastAsiaTheme="minorEastAsia"/>
          <w:snapToGrid/>
          <w:szCs w:val="22"/>
          <w:lang w:val="lt-LT" w:eastAsia="en-IN"/>
        </w:rPr>
        <w:noBreakHyphen/>
      </w:r>
      <w:r w:rsidRPr="001839C2">
        <w:rPr>
          <w:rFonts w:eastAsiaTheme="minorEastAsia"/>
          <w:snapToGrid/>
          <w:szCs w:val="22"/>
          <w:lang w:val="lt-LT" w:eastAsia="en-IN"/>
        </w:rPr>
        <w:t>1 infekuotus pacientus, gautais įdiegus vaist</w:t>
      </w:r>
      <w:r w:rsidR="00457E5B" w:rsidRPr="001839C2">
        <w:rPr>
          <w:rFonts w:eastAsiaTheme="minorEastAsia"/>
          <w:snapToGrid/>
          <w:szCs w:val="22"/>
          <w:lang w:val="lt-LT" w:eastAsia="en-IN"/>
        </w:rPr>
        <w:t>inį preparat</w:t>
      </w:r>
      <w:r w:rsidRPr="001839C2">
        <w:rPr>
          <w:rFonts w:eastAsiaTheme="minorEastAsia"/>
          <w:snapToGrid/>
          <w:szCs w:val="22"/>
          <w:lang w:val="lt-LT" w:eastAsia="en-IN"/>
        </w:rPr>
        <w:t>ą į rinką, išvardytos toliau esančioje 3</w:t>
      </w:r>
      <w:r w:rsidR="00457E5B" w:rsidRPr="001839C2">
        <w:rPr>
          <w:rFonts w:eastAsiaTheme="minorEastAsia"/>
          <w:snapToGrid/>
          <w:szCs w:val="22"/>
          <w:lang w:val="lt-LT" w:eastAsia="en-IN"/>
        </w:rPr>
        <w:t> </w:t>
      </w:r>
      <w:r w:rsidRPr="001839C2">
        <w:rPr>
          <w:rFonts w:eastAsiaTheme="minorEastAsia"/>
          <w:snapToGrid/>
          <w:szCs w:val="22"/>
          <w:lang w:val="lt-LT" w:eastAsia="en-IN"/>
        </w:rPr>
        <w:t>lentelėje pagal organų sistemas ir dažn</w:t>
      </w:r>
      <w:r w:rsidR="002468BD" w:rsidRPr="001839C2">
        <w:rPr>
          <w:rFonts w:eastAsiaTheme="minorEastAsia"/>
          <w:snapToGrid/>
          <w:szCs w:val="22"/>
          <w:lang w:val="lt-LT" w:eastAsia="en-IN"/>
        </w:rPr>
        <w:t>į</w:t>
      </w:r>
      <w:r w:rsidRPr="001839C2">
        <w:rPr>
          <w:rFonts w:eastAsiaTheme="minorEastAsia"/>
          <w:snapToGrid/>
          <w:szCs w:val="22"/>
          <w:lang w:val="lt-LT" w:eastAsia="en-IN"/>
        </w:rPr>
        <w:t xml:space="preserve">. Kiekvienoje dažnio grupėje nepageidaujamas poveikis pateikiamas mažėjančio sunkumo tvarka. </w:t>
      </w:r>
      <w:r w:rsidR="00457E5B" w:rsidRPr="001839C2">
        <w:rPr>
          <w:rFonts w:eastAsiaTheme="minorEastAsia"/>
          <w:snapToGrid/>
          <w:szCs w:val="22"/>
          <w:lang w:val="lt-LT" w:eastAsia="en-IN"/>
        </w:rPr>
        <w:t>N</w:t>
      </w:r>
      <w:r w:rsidRPr="001839C2">
        <w:rPr>
          <w:rFonts w:eastAsiaTheme="minorEastAsia"/>
          <w:snapToGrid/>
          <w:szCs w:val="22"/>
          <w:lang w:val="lt-LT" w:eastAsia="en-IN"/>
        </w:rPr>
        <w:t>e</w:t>
      </w:r>
      <w:r w:rsidR="00457E5B" w:rsidRPr="001839C2">
        <w:rPr>
          <w:rFonts w:eastAsiaTheme="minorEastAsia"/>
          <w:snapToGrid/>
          <w:szCs w:val="22"/>
          <w:lang w:val="lt-LT" w:eastAsia="en-IN"/>
        </w:rPr>
        <w:t>p</w:t>
      </w:r>
      <w:r w:rsidRPr="001839C2">
        <w:rPr>
          <w:rFonts w:eastAsiaTheme="minorEastAsia"/>
          <w:snapToGrid/>
          <w:szCs w:val="22"/>
          <w:lang w:val="lt-LT" w:eastAsia="en-IN"/>
        </w:rPr>
        <w:t>a</w:t>
      </w:r>
      <w:r w:rsidR="00457E5B" w:rsidRPr="001839C2">
        <w:rPr>
          <w:rFonts w:eastAsiaTheme="minorEastAsia"/>
          <w:snapToGrid/>
          <w:szCs w:val="22"/>
          <w:lang w:val="lt-LT" w:eastAsia="en-IN"/>
        </w:rPr>
        <w:t>ge</w:t>
      </w:r>
      <w:r w:rsidRPr="001839C2">
        <w:rPr>
          <w:rFonts w:eastAsiaTheme="minorEastAsia"/>
          <w:snapToGrid/>
          <w:szCs w:val="22"/>
          <w:lang w:val="lt-LT" w:eastAsia="en-IN"/>
        </w:rPr>
        <w:t>i</w:t>
      </w:r>
      <w:r w:rsidR="00457E5B" w:rsidRPr="001839C2">
        <w:rPr>
          <w:rFonts w:eastAsiaTheme="minorEastAsia"/>
          <w:snapToGrid/>
          <w:szCs w:val="22"/>
          <w:lang w:val="lt-LT" w:eastAsia="en-IN"/>
        </w:rPr>
        <w:t>dau</w:t>
      </w:r>
      <w:r w:rsidRPr="001839C2">
        <w:rPr>
          <w:rFonts w:eastAsiaTheme="minorEastAsia"/>
          <w:snapToGrid/>
          <w:szCs w:val="22"/>
          <w:lang w:val="lt-LT" w:eastAsia="en-IN"/>
        </w:rPr>
        <w:t>j</w:t>
      </w:r>
      <w:r w:rsidR="00457E5B" w:rsidRPr="001839C2">
        <w:rPr>
          <w:rFonts w:eastAsiaTheme="minorEastAsia"/>
          <w:snapToGrid/>
          <w:szCs w:val="22"/>
          <w:lang w:val="lt-LT" w:eastAsia="en-IN"/>
        </w:rPr>
        <w:t>am</w:t>
      </w:r>
      <w:r w:rsidRPr="001839C2">
        <w:rPr>
          <w:rFonts w:eastAsiaTheme="minorEastAsia"/>
          <w:snapToGrid/>
          <w:szCs w:val="22"/>
          <w:lang w:val="lt-LT" w:eastAsia="en-IN"/>
        </w:rPr>
        <w:t>o</w:t>
      </w:r>
      <w:r w:rsidR="00457E5B" w:rsidRPr="001839C2">
        <w:rPr>
          <w:rFonts w:eastAsiaTheme="minorEastAsia"/>
          <w:snapToGrid/>
          <w:szCs w:val="22"/>
          <w:lang w:val="lt-LT" w:eastAsia="en-IN"/>
        </w:rPr>
        <w:t xml:space="preserve"> poveikio dažni</w:t>
      </w:r>
      <w:r w:rsidRPr="001839C2">
        <w:rPr>
          <w:rFonts w:eastAsiaTheme="minorEastAsia"/>
          <w:snapToGrid/>
          <w:szCs w:val="22"/>
          <w:lang w:val="lt-LT" w:eastAsia="en-IN"/>
        </w:rPr>
        <w:t>s apibūdinam</w:t>
      </w:r>
      <w:r w:rsidR="00457E5B" w:rsidRPr="001839C2">
        <w:rPr>
          <w:rFonts w:eastAsiaTheme="minorEastAsia"/>
          <w:snapToGrid/>
          <w:szCs w:val="22"/>
          <w:lang w:val="lt-LT" w:eastAsia="en-IN"/>
        </w:rPr>
        <w:t>a</w:t>
      </w:r>
      <w:r w:rsidRPr="001839C2">
        <w:rPr>
          <w:rFonts w:eastAsiaTheme="minorEastAsia"/>
          <w:snapToGrid/>
          <w:szCs w:val="22"/>
          <w:lang w:val="lt-LT" w:eastAsia="en-IN"/>
        </w:rPr>
        <w:t xml:space="preserve">s </w:t>
      </w:r>
      <w:r w:rsidR="00457E5B" w:rsidRPr="001839C2">
        <w:rPr>
          <w:rFonts w:eastAsiaTheme="minorEastAsia"/>
          <w:snapToGrid/>
          <w:szCs w:val="22"/>
          <w:lang w:val="lt-LT" w:eastAsia="en-IN"/>
        </w:rPr>
        <w:t>t</w:t>
      </w:r>
      <w:r w:rsidRPr="001839C2">
        <w:rPr>
          <w:rFonts w:eastAsiaTheme="minorEastAsia"/>
          <w:snapToGrid/>
          <w:szCs w:val="22"/>
          <w:lang w:val="lt-LT" w:eastAsia="en-IN"/>
        </w:rPr>
        <w:t>aip</w:t>
      </w:r>
      <w:r w:rsidR="00457E5B" w:rsidRPr="001839C2">
        <w:rPr>
          <w:rFonts w:eastAsiaTheme="minorEastAsia"/>
          <w:snapToGrid/>
          <w:szCs w:val="22"/>
          <w:lang w:val="lt-LT" w:eastAsia="en-IN"/>
        </w:rPr>
        <w:t>:</w:t>
      </w:r>
      <w:r w:rsidRPr="001839C2">
        <w:rPr>
          <w:rFonts w:eastAsiaTheme="minorEastAsia"/>
          <w:snapToGrid/>
          <w:szCs w:val="22"/>
          <w:lang w:val="lt-LT" w:eastAsia="en-IN"/>
        </w:rPr>
        <w:t xml:space="preserve"> labai dažn</w:t>
      </w:r>
      <w:r w:rsidR="00457E5B" w:rsidRPr="001839C2">
        <w:rPr>
          <w:rFonts w:eastAsiaTheme="minorEastAsia"/>
          <w:snapToGrid/>
          <w:szCs w:val="22"/>
          <w:lang w:val="lt-LT" w:eastAsia="en-IN"/>
        </w:rPr>
        <w:t>a</w:t>
      </w:r>
      <w:r w:rsidRPr="001839C2">
        <w:rPr>
          <w:rFonts w:eastAsiaTheme="minorEastAsia"/>
          <w:snapToGrid/>
          <w:szCs w:val="22"/>
          <w:lang w:val="lt-LT" w:eastAsia="en-IN"/>
        </w:rPr>
        <w:t>s (≥</w:t>
      </w:r>
      <w:r w:rsidR="00457E5B" w:rsidRPr="001839C2">
        <w:rPr>
          <w:rFonts w:eastAsiaTheme="minorEastAsia"/>
          <w:snapToGrid/>
          <w:szCs w:val="22"/>
          <w:lang w:val="lt-LT" w:eastAsia="en-IN"/>
        </w:rPr>
        <w:t> </w:t>
      </w:r>
      <w:r w:rsidRPr="001839C2">
        <w:rPr>
          <w:rFonts w:eastAsiaTheme="minorEastAsia"/>
          <w:snapToGrid/>
          <w:szCs w:val="22"/>
          <w:lang w:val="lt-LT" w:eastAsia="en-IN"/>
        </w:rPr>
        <w:t>1/10), dažn</w:t>
      </w:r>
      <w:r w:rsidR="00457E5B" w:rsidRPr="001839C2">
        <w:rPr>
          <w:rFonts w:eastAsiaTheme="minorEastAsia"/>
          <w:snapToGrid/>
          <w:szCs w:val="22"/>
          <w:lang w:val="lt-LT" w:eastAsia="en-IN"/>
        </w:rPr>
        <w:t>a</w:t>
      </w:r>
      <w:r w:rsidRPr="001839C2">
        <w:rPr>
          <w:rFonts w:eastAsiaTheme="minorEastAsia"/>
          <w:snapToGrid/>
          <w:szCs w:val="22"/>
          <w:lang w:val="lt-LT" w:eastAsia="en-IN"/>
        </w:rPr>
        <w:t>s (nuo ≥</w:t>
      </w:r>
      <w:r w:rsidR="00457E5B" w:rsidRPr="001839C2">
        <w:rPr>
          <w:rFonts w:eastAsiaTheme="minorEastAsia"/>
          <w:snapToGrid/>
          <w:szCs w:val="22"/>
          <w:lang w:val="lt-LT" w:eastAsia="en-IN"/>
        </w:rPr>
        <w:t> </w:t>
      </w:r>
      <w:r w:rsidRPr="001839C2">
        <w:rPr>
          <w:rFonts w:eastAsiaTheme="minorEastAsia"/>
          <w:snapToGrid/>
          <w:szCs w:val="22"/>
          <w:lang w:val="lt-LT" w:eastAsia="en-IN"/>
        </w:rPr>
        <w:t>1/100 iki &lt;</w:t>
      </w:r>
      <w:r w:rsidR="00457E5B" w:rsidRPr="001839C2">
        <w:rPr>
          <w:rFonts w:eastAsiaTheme="minorEastAsia"/>
          <w:snapToGrid/>
          <w:szCs w:val="22"/>
          <w:lang w:val="lt-LT" w:eastAsia="en-IN"/>
        </w:rPr>
        <w:t> </w:t>
      </w:r>
      <w:r w:rsidRPr="001839C2">
        <w:rPr>
          <w:rFonts w:eastAsiaTheme="minorEastAsia"/>
          <w:snapToGrid/>
          <w:szCs w:val="22"/>
          <w:lang w:val="lt-LT" w:eastAsia="en-IN"/>
        </w:rPr>
        <w:t>1/10), nedažn</w:t>
      </w:r>
      <w:r w:rsidR="00457E5B" w:rsidRPr="001839C2">
        <w:rPr>
          <w:rFonts w:eastAsiaTheme="minorEastAsia"/>
          <w:snapToGrid/>
          <w:szCs w:val="22"/>
          <w:lang w:val="lt-LT" w:eastAsia="en-IN"/>
        </w:rPr>
        <w:t>a</w:t>
      </w:r>
      <w:r w:rsidRPr="001839C2">
        <w:rPr>
          <w:rFonts w:eastAsiaTheme="minorEastAsia"/>
          <w:snapToGrid/>
          <w:szCs w:val="22"/>
          <w:lang w:val="lt-LT" w:eastAsia="en-IN"/>
        </w:rPr>
        <w:t>s (nuo ≥</w:t>
      </w:r>
      <w:r w:rsidR="00457E5B" w:rsidRPr="001839C2">
        <w:rPr>
          <w:rFonts w:eastAsiaTheme="minorEastAsia"/>
          <w:snapToGrid/>
          <w:szCs w:val="22"/>
          <w:lang w:val="lt-LT" w:eastAsia="en-IN"/>
        </w:rPr>
        <w:t> </w:t>
      </w:r>
      <w:r w:rsidRPr="001839C2">
        <w:rPr>
          <w:rFonts w:eastAsiaTheme="minorEastAsia"/>
          <w:snapToGrid/>
          <w:szCs w:val="22"/>
          <w:lang w:val="lt-LT" w:eastAsia="en-IN"/>
        </w:rPr>
        <w:t>1/1</w:t>
      </w:r>
      <w:r w:rsidR="00457E5B" w:rsidRPr="001839C2">
        <w:rPr>
          <w:rFonts w:eastAsiaTheme="minorEastAsia"/>
          <w:snapToGrid/>
          <w:szCs w:val="22"/>
          <w:lang w:val="lt-LT" w:eastAsia="en-IN"/>
        </w:rPr>
        <w:t> </w:t>
      </w:r>
      <w:r w:rsidRPr="001839C2">
        <w:rPr>
          <w:rFonts w:eastAsiaTheme="minorEastAsia"/>
          <w:snapToGrid/>
          <w:szCs w:val="22"/>
          <w:lang w:val="lt-LT" w:eastAsia="en-IN"/>
        </w:rPr>
        <w:t>000 iki &lt;</w:t>
      </w:r>
      <w:r w:rsidR="00457E5B" w:rsidRPr="001839C2">
        <w:rPr>
          <w:rFonts w:eastAsiaTheme="minorEastAsia"/>
          <w:snapToGrid/>
          <w:szCs w:val="22"/>
          <w:lang w:val="lt-LT" w:eastAsia="en-IN"/>
        </w:rPr>
        <w:t> </w:t>
      </w:r>
      <w:r w:rsidRPr="001839C2">
        <w:rPr>
          <w:rFonts w:eastAsiaTheme="minorEastAsia"/>
          <w:snapToGrid/>
          <w:szCs w:val="22"/>
          <w:lang w:val="lt-LT" w:eastAsia="en-IN"/>
        </w:rPr>
        <w:t>1/100)</w:t>
      </w:r>
      <w:r w:rsidR="00457E5B" w:rsidRPr="001839C2">
        <w:rPr>
          <w:rFonts w:eastAsiaTheme="minorEastAsia"/>
          <w:snapToGrid/>
          <w:szCs w:val="22"/>
          <w:lang w:val="lt-LT" w:eastAsia="en-IN"/>
        </w:rPr>
        <w:t>,</w:t>
      </w:r>
      <w:r w:rsidRPr="001839C2">
        <w:rPr>
          <w:rFonts w:eastAsiaTheme="minorEastAsia"/>
          <w:snapToGrid/>
          <w:szCs w:val="22"/>
          <w:lang w:val="lt-LT" w:eastAsia="en-IN"/>
        </w:rPr>
        <w:t xml:space="preserve"> ret</w:t>
      </w:r>
      <w:r w:rsidR="00457E5B" w:rsidRPr="001839C2">
        <w:rPr>
          <w:rFonts w:eastAsiaTheme="minorEastAsia"/>
          <w:snapToGrid/>
          <w:szCs w:val="22"/>
          <w:lang w:val="lt-LT" w:eastAsia="en-IN"/>
        </w:rPr>
        <w:t>a</w:t>
      </w:r>
      <w:r w:rsidRPr="001839C2">
        <w:rPr>
          <w:rFonts w:eastAsiaTheme="minorEastAsia"/>
          <w:snapToGrid/>
          <w:szCs w:val="22"/>
          <w:lang w:val="lt-LT" w:eastAsia="en-IN"/>
        </w:rPr>
        <w:t>s (nuo ≥</w:t>
      </w:r>
      <w:r w:rsidR="00457E5B" w:rsidRPr="001839C2">
        <w:rPr>
          <w:rFonts w:eastAsiaTheme="minorEastAsia"/>
          <w:snapToGrid/>
          <w:szCs w:val="22"/>
          <w:lang w:val="lt-LT" w:eastAsia="en-IN"/>
        </w:rPr>
        <w:t> </w:t>
      </w:r>
      <w:r w:rsidRPr="001839C2">
        <w:rPr>
          <w:rFonts w:eastAsiaTheme="minorEastAsia"/>
          <w:snapToGrid/>
          <w:szCs w:val="22"/>
          <w:lang w:val="lt-LT" w:eastAsia="en-IN"/>
        </w:rPr>
        <w:t>1/10</w:t>
      </w:r>
      <w:r w:rsidR="00457E5B" w:rsidRPr="001839C2">
        <w:rPr>
          <w:rFonts w:eastAsiaTheme="minorEastAsia"/>
          <w:snapToGrid/>
          <w:szCs w:val="22"/>
          <w:lang w:val="lt-LT" w:eastAsia="en-IN"/>
        </w:rPr>
        <w:t> </w:t>
      </w:r>
      <w:r w:rsidRPr="001839C2">
        <w:rPr>
          <w:rFonts w:eastAsiaTheme="minorEastAsia"/>
          <w:snapToGrid/>
          <w:szCs w:val="22"/>
          <w:lang w:val="lt-LT" w:eastAsia="en-IN"/>
        </w:rPr>
        <w:t>000 iki &lt;</w:t>
      </w:r>
      <w:r w:rsidR="00457E5B" w:rsidRPr="001839C2">
        <w:rPr>
          <w:rFonts w:eastAsiaTheme="minorEastAsia"/>
          <w:snapToGrid/>
          <w:szCs w:val="22"/>
          <w:lang w:val="lt-LT" w:eastAsia="en-IN"/>
        </w:rPr>
        <w:t> </w:t>
      </w:r>
      <w:r w:rsidRPr="001839C2">
        <w:rPr>
          <w:rFonts w:eastAsiaTheme="minorEastAsia"/>
          <w:snapToGrid/>
          <w:szCs w:val="22"/>
          <w:lang w:val="lt-LT" w:eastAsia="en-IN"/>
        </w:rPr>
        <w:t>1/1</w:t>
      </w:r>
      <w:r w:rsidR="00457E5B" w:rsidRPr="001839C2">
        <w:rPr>
          <w:rFonts w:eastAsiaTheme="minorEastAsia"/>
          <w:snapToGrid/>
          <w:szCs w:val="22"/>
          <w:lang w:val="lt-LT" w:eastAsia="en-IN"/>
        </w:rPr>
        <w:t> </w:t>
      </w:r>
      <w:r w:rsidRPr="001839C2">
        <w:rPr>
          <w:rFonts w:eastAsiaTheme="minorEastAsia"/>
          <w:snapToGrid/>
          <w:szCs w:val="22"/>
          <w:lang w:val="lt-LT" w:eastAsia="en-IN"/>
        </w:rPr>
        <w:t>000)</w:t>
      </w:r>
      <w:r w:rsidR="00457E5B" w:rsidRPr="001839C2">
        <w:rPr>
          <w:rFonts w:eastAsiaTheme="minorEastAsia"/>
          <w:snapToGrid/>
          <w:szCs w:val="22"/>
          <w:lang w:val="lt-LT" w:eastAsia="en-IN"/>
        </w:rPr>
        <w:t>, labia retas (&lt; 10 000) ir nežinomas (negali būti apskaičiuotas pagal turimus duomenis)</w:t>
      </w:r>
      <w:r w:rsidRPr="001839C2">
        <w:rPr>
          <w:rFonts w:eastAsiaTheme="minorEastAsia"/>
          <w:snapToGrid/>
          <w:szCs w:val="22"/>
          <w:lang w:val="lt-LT" w:eastAsia="en-IN"/>
        </w:rPr>
        <w:t>.</w:t>
      </w:r>
    </w:p>
    <w:p w14:paraId="60C2EA5D"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0A5E2B4" w14:textId="77777777" w:rsidR="002A5F50" w:rsidRPr="001839C2" w:rsidRDefault="002A5F50" w:rsidP="00230559">
      <w:pPr>
        <w:keepNext/>
        <w:keepLines/>
        <w:tabs>
          <w:tab w:val="clear" w:pos="567"/>
          <w:tab w:val="left" w:pos="0"/>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3</w:t>
      </w:r>
      <w:r w:rsidR="00457E5B" w:rsidRPr="001839C2">
        <w:rPr>
          <w:rFonts w:eastAsiaTheme="minorEastAsia"/>
          <w:b/>
          <w:bCs/>
          <w:snapToGrid/>
          <w:szCs w:val="22"/>
          <w:lang w:val="lt-LT" w:eastAsia="en-IN"/>
        </w:rPr>
        <w:t> </w:t>
      </w:r>
      <w:r w:rsidRPr="001839C2">
        <w:rPr>
          <w:rFonts w:eastAsiaTheme="minorEastAsia"/>
          <w:b/>
          <w:bCs/>
          <w:snapToGrid/>
          <w:szCs w:val="22"/>
          <w:lang w:val="lt-LT" w:eastAsia="en-IN"/>
        </w:rPr>
        <w:t>lentelė. Su atskirų emtricitabino</w:t>
      </w:r>
      <w:r w:rsidR="00457E5B" w:rsidRPr="001839C2">
        <w:rPr>
          <w:rFonts w:eastAsiaTheme="minorEastAsia"/>
          <w:b/>
          <w:bCs/>
          <w:snapToGrid/>
          <w:szCs w:val="22"/>
          <w:lang w:val="lt-LT" w:eastAsia="en-IN"/>
        </w:rPr>
        <w:t xml:space="preserve"> ir </w:t>
      </w:r>
      <w:r w:rsidRPr="001839C2">
        <w:rPr>
          <w:rFonts w:eastAsiaTheme="minorEastAsia"/>
          <w:b/>
          <w:bCs/>
          <w:snapToGrid/>
          <w:szCs w:val="22"/>
          <w:lang w:val="lt-LT" w:eastAsia="en-IN"/>
        </w:rPr>
        <w:t>tenofoviro dizoproksil</w:t>
      </w:r>
      <w:r w:rsidR="00A45872" w:rsidRPr="001839C2">
        <w:rPr>
          <w:rFonts w:eastAsiaTheme="minorEastAsia"/>
          <w:b/>
          <w:bCs/>
          <w:snapToGrid/>
          <w:szCs w:val="22"/>
          <w:lang w:val="lt-LT" w:eastAsia="en-IN"/>
        </w:rPr>
        <w:t>i</w:t>
      </w:r>
      <w:r w:rsidRPr="001839C2">
        <w:rPr>
          <w:rFonts w:eastAsiaTheme="minorEastAsia"/>
          <w:b/>
          <w:bCs/>
          <w:snapToGrid/>
          <w:szCs w:val="22"/>
          <w:lang w:val="lt-LT" w:eastAsia="en-IN"/>
        </w:rPr>
        <w:t>o</w:t>
      </w:r>
      <w:r w:rsidR="00457E5B" w:rsidRPr="001839C2">
        <w:rPr>
          <w:rFonts w:eastAsiaTheme="minorEastAsia"/>
          <w:b/>
          <w:bCs/>
          <w:snapToGrid/>
          <w:szCs w:val="22"/>
          <w:lang w:val="lt-LT" w:eastAsia="en-IN"/>
        </w:rPr>
        <w:t xml:space="preserve"> derinio</w:t>
      </w:r>
      <w:r w:rsidRPr="001839C2" w:rsidDel="002B71B2">
        <w:rPr>
          <w:rFonts w:eastAsiaTheme="minorEastAsia"/>
          <w:b/>
          <w:bCs/>
          <w:snapToGrid/>
          <w:szCs w:val="22"/>
          <w:lang w:val="lt-LT" w:eastAsia="en-IN"/>
        </w:rPr>
        <w:t xml:space="preserve"> </w:t>
      </w:r>
      <w:r w:rsidRPr="001839C2">
        <w:rPr>
          <w:rFonts w:eastAsiaTheme="minorEastAsia"/>
          <w:b/>
          <w:bCs/>
          <w:snapToGrid/>
          <w:szCs w:val="22"/>
          <w:lang w:val="lt-LT" w:eastAsia="en-IN"/>
        </w:rPr>
        <w:t>200</w:t>
      </w:r>
      <w:r w:rsidR="00457E5B" w:rsidRPr="001839C2">
        <w:rPr>
          <w:rFonts w:eastAsiaTheme="minorEastAsia"/>
          <w:b/>
          <w:bCs/>
          <w:snapToGrid/>
          <w:szCs w:val="22"/>
          <w:lang w:val="lt-LT" w:eastAsia="en-IN"/>
        </w:rPr>
        <w:t> </w:t>
      </w:r>
      <w:r w:rsidRPr="001839C2">
        <w:rPr>
          <w:rFonts w:eastAsiaTheme="minorEastAsia"/>
          <w:b/>
          <w:bCs/>
          <w:snapToGrid/>
          <w:szCs w:val="22"/>
          <w:lang w:val="lt-LT" w:eastAsia="en-IN"/>
        </w:rPr>
        <w:t>mg/245</w:t>
      </w:r>
      <w:r w:rsidR="00457E5B" w:rsidRPr="001839C2">
        <w:rPr>
          <w:rFonts w:eastAsiaTheme="minorEastAsia"/>
          <w:b/>
          <w:bCs/>
          <w:snapToGrid/>
          <w:szCs w:val="22"/>
          <w:lang w:val="lt-LT" w:eastAsia="en-IN"/>
        </w:rPr>
        <w:t> </w:t>
      </w:r>
      <w:r w:rsidRPr="001839C2">
        <w:rPr>
          <w:rFonts w:eastAsiaTheme="minorEastAsia"/>
          <w:b/>
          <w:bCs/>
          <w:snapToGrid/>
          <w:szCs w:val="22"/>
          <w:lang w:val="lt-LT" w:eastAsia="en-IN"/>
        </w:rPr>
        <w:t xml:space="preserve">mg plėvele dengtų tablečių </w:t>
      </w:r>
      <w:r w:rsidR="00AE649A" w:rsidRPr="001839C2">
        <w:rPr>
          <w:rFonts w:eastAsiaTheme="minorEastAsia"/>
          <w:b/>
          <w:bCs/>
          <w:snapToGrid/>
          <w:szCs w:val="22"/>
          <w:lang w:val="lt-LT" w:eastAsia="en-IN"/>
        </w:rPr>
        <w:t>v</w:t>
      </w:r>
      <w:r w:rsidRPr="001839C2">
        <w:rPr>
          <w:rFonts w:eastAsiaTheme="minorEastAsia"/>
          <w:b/>
          <w:bCs/>
          <w:snapToGrid/>
          <w:szCs w:val="22"/>
          <w:lang w:val="lt-LT" w:eastAsia="en-IN"/>
        </w:rPr>
        <w:t>e</w:t>
      </w:r>
      <w:r w:rsidR="00AE649A" w:rsidRPr="001839C2">
        <w:rPr>
          <w:rFonts w:eastAsiaTheme="minorEastAsia"/>
          <w:b/>
          <w:bCs/>
          <w:snapToGrid/>
          <w:szCs w:val="22"/>
          <w:lang w:val="lt-LT" w:eastAsia="en-IN"/>
        </w:rPr>
        <w:t>ikli</w:t>
      </w:r>
      <w:r w:rsidRPr="001839C2">
        <w:rPr>
          <w:rFonts w:eastAsiaTheme="minorEastAsia"/>
          <w:b/>
          <w:bCs/>
          <w:snapToGrid/>
          <w:szCs w:val="22"/>
          <w:lang w:val="lt-LT" w:eastAsia="en-IN"/>
        </w:rPr>
        <w:t>ų</w:t>
      </w:r>
      <w:r w:rsidR="00AE649A" w:rsidRPr="001839C2">
        <w:rPr>
          <w:rFonts w:eastAsiaTheme="minorEastAsia"/>
          <w:b/>
          <w:bCs/>
          <w:snapToGrid/>
          <w:szCs w:val="22"/>
          <w:lang w:val="lt-LT" w:eastAsia="en-IN"/>
        </w:rPr>
        <w:t>jų medžiagų</w:t>
      </w:r>
      <w:r w:rsidRPr="001839C2">
        <w:rPr>
          <w:rFonts w:eastAsiaTheme="minorEastAsia"/>
          <w:b/>
          <w:bCs/>
          <w:snapToGrid/>
          <w:szCs w:val="22"/>
          <w:lang w:val="lt-LT" w:eastAsia="en-IN"/>
        </w:rPr>
        <w:t xml:space="preserve"> vartojimu susijusių nepageidaujamų reakcijų santrauka, remiantis klinikinių tyrimų metu ir po vaist</w:t>
      </w:r>
      <w:r w:rsidR="00457E5B" w:rsidRPr="001839C2">
        <w:rPr>
          <w:rFonts w:eastAsiaTheme="minorEastAsia"/>
          <w:b/>
          <w:bCs/>
          <w:snapToGrid/>
          <w:szCs w:val="22"/>
          <w:lang w:val="lt-LT" w:eastAsia="en-IN"/>
        </w:rPr>
        <w:t>ini</w:t>
      </w:r>
      <w:r w:rsidRPr="001839C2">
        <w:rPr>
          <w:rFonts w:eastAsiaTheme="minorEastAsia"/>
          <w:b/>
          <w:bCs/>
          <w:snapToGrid/>
          <w:szCs w:val="22"/>
          <w:lang w:val="lt-LT" w:eastAsia="en-IN"/>
        </w:rPr>
        <w:t>o</w:t>
      </w:r>
      <w:r w:rsidR="00457E5B" w:rsidRPr="001839C2">
        <w:rPr>
          <w:rFonts w:eastAsiaTheme="minorEastAsia"/>
          <w:b/>
          <w:bCs/>
          <w:snapToGrid/>
          <w:szCs w:val="22"/>
          <w:lang w:val="lt-LT" w:eastAsia="en-IN"/>
        </w:rPr>
        <w:t xml:space="preserve"> preparato</w:t>
      </w:r>
      <w:r w:rsidRPr="001839C2">
        <w:rPr>
          <w:rFonts w:eastAsiaTheme="minorEastAsia"/>
          <w:b/>
          <w:bCs/>
          <w:snapToGrid/>
          <w:szCs w:val="22"/>
          <w:lang w:val="lt-LT" w:eastAsia="en-IN"/>
        </w:rPr>
        <w:t xml:space="preserve"> pateikimo į rinką gautais duomenimis</w:t>
      </w:r>
    </w:p>
    <w:p w14:paraId="66F6E2F6"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pPr w:leftFromText="180" w:rightFromText="180" w:vertAnchor="text" w:tblpX="105" w:tblpY="1"/>
        <w:tblOverlap w:val="never"/>
        <w:tblW w:w="9275" w:type="dxa"/>
        <w:tblLayout w:type="fixed"/>
        <w:tblCellMar>
          <w:left w:w="0" w:type="dxa"/>
          <w:right w:w="0" w:type="dxa"/>
        </w:tblCellMar>
        <w:tblLook w:val="0000" w:firstRow="0" w:lastRow="0" w:firstColumn="0" w:lastColumn="0" w:noHBand="0" w:noVBand="0"/>
      </w:tblPr>
      <w:tblGrid>
        <w:gridCol w:w="1275"/>
        <w:gridCol w:w="4003"/>
        <w:gridCol w:w="3997"/>
      </w:tblGrid>
      <w:tr w:rsidR="00DC41B7" w:rsidRPr="001839C2" w14:paraId="4A2B7750"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286DF3D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Dažnis</w:t>
            </w:r>
          </w:p>
        </w:tc>
        <w:tc>
          <w:tcPr>
            <w:tcW w:w="4003" w:type="dxa"/>
            <w:tcBorders>
              <w:top w:val="single" w:sz="4" w:space="0" w:color="000000"/>
              <w:left w:val="single" w:sz="4" w:space="0" w:color="000000"/>
              <w:bottom w:val="single" w:sz="4" w:space="0" w:color="000000"/>
              <w:right w:val="single" w:sz="4" w:space="0" w:color="000000"/>
            </w:tcBorders>
          </w:tcPr>
          <w:p w14:paraId="1D2FB42E"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Emtricitabinas</w:t>
            </w:r>
          </w:p>
        </w:tc>
        <w:tc>
          <w:tcPr>
            <w:tcW w:w="3997" w:type="dxa"/>
            <w:tcBorders>
              <w:top w:val="single" w:sz="4" w:space="0" w:color="000000"/>
              <w:left w:val="single" w:sz="4" w:space="0" w:color="000000"/>
              <w:bottom w:val="single" w:sz="4" w:space="0" w:color="000000"/>
              <w:right w:val="single" w:sz="4" w:space="0" w:color="000000"/>
            </w:tcBorders>
          </w:tcPr>
          <w:p w14:paraId="4A2009F9"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Tenofovir</w:t>
            </w:r>
            <w:r w:rsidR="00A45872" w:rsidRPr="001839C2">
              <w:rPr>
                <w:rFonts w:eastAsiaTheme="minorEastAsia"/>
                <w:b/>
                <w:bCs/>
                <w:snapToGrid/>
                <w:szCs w:val="22"/>
                <w:lang w:val="lt-LT" w:eastAsia="en-IN"/>
              </w:rPr>
              <w:t>as</w:t>
            </w:r>
            <w:r w:rsidRPr="001839C2">
              <w:rPr>
                <w:rFonts w:eastAsiaTheme="minorEastAsia"/>
                <w:b/>
                <w:bCs/>
                <w:snapToGrid/>
                <w:szCs w:val="22"/>
                <w:lang w:val="lt-LT" w:eastAsia="en-IN"/>
              </w:rPr>
              <w:t xml:space="preserve"> dizoproksilis</w:t>
            </w:r>
          </w:p>
        </w:tc>
      </w:tr>
      <w:tr w:rsidR="00DC41B7" w:rsidRPr="00686907" w14:paraId="403C4DD9"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CECEC"/>
          </w:tcPr>
          <w:p w14:paraId="008D1A7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Kraujo ir limfinės sistemos sutrikimai</w:t>
            </w:r>
          </w:p>
        </w:tc>
      </w:tr>
      <w:tr w:rsidR="00DC41B7" w:rsidRPr="001839C2" w14:paraId="70BC4077"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64834DC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1C4BCFB2"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w:t>
            </w:r>
            <w:r w:rsidR="002A5F50" w:rsidRPr="001839C2">
              <w:rPr>
                <w:rFonts w:eastAsiaTheme="minorEastAsia"/>
                <w:snapToGrid/>
                <w:szCs w:val="22"/>
                <w:lang w:val="lt-LT" w:eastAsia="en-IN"/>
              </w:rPr>
              <w:t>eutropenija</w:t>
            </w:r>
          </w:p>
        </w:tc>
        <w:tc>
          <w:tcPr>
            <w:tcW w:w="3997" w:type="dxa"/>
            <w:tcBorders>
              <w:top w:val="single" w:sz="4" w:space="0" w:color="000000"/>
              <w:left w:val="single" w:sz="4" w:space="0" w:color="000000"/>
              <w:bottom w:val="single" w:sz="4" w:space="0" w:color="000000"/>
              <w:right w:val="single" w:sz="4" w:space="0" w:color="000000"/>
            </w:tcBorders>
          </w:tcPr>
          <w:p w14:paraId="236B9192"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r>
      <w:tr w:rsidR="00DC41B7" w:rsidRPr="001839C2" w14:paraId="5E162BC3"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0101F87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43A4A70C"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w:t>
            </w:r>
            <w:r w:rsidR="002A5F50" w:rsidRPr="001839C2">
              <w:rPr>
                <w:rFonts w:eastAsiaTheme="minorEastAsia"/>
                <w:snapToGrid/>
                <w:szCs w:val="22"/>
                <w:lang w:val="lt-LT" w:eastAsia="en-IN"/>
              </w:rPr>
              <w:t>nemija</w:t>
            </w:r>
            <w:r w:rsidR="002A5F50" w:rsidRPr="001839C2">
              <w:rPr>
                <w:rFonts w:eastAsiaTheme="minorEastAsia"/>
                <w:snapToGrid/>
                <w:szCs w:val="22"/>
                <w:vertAlign w:val="superscript"/>
                <w:lang w:val="lt-LT" w:eastAsia="en-IN"/>
              </w:rPr>
              <w:t>2</w:t>
            </w:r>
          </w:p>
        </w:tc>
        <w:tc>
          <w:tcPr>
            <w:tcW w:w="3997" w:type="dxa"/>
            <w:tcBorders>
              <w:top w:val="single" w:sz="4" w:space="0" w:color="000000"/>
              <w:left w:val="single" w:sz="4" w:space="0" w:color="000000"/>
              <w:bottom w:val="single" w:sz="4" w:space="0" w:color="000000"/>
              <w:right w:val="single" w:sz="4" w:space="0" w:color="000000"/>
            </w:tcBorders>
          </w:tcPr>
          <w:p w14:paraId="1EA94058"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r>
      <w:tr w:rsidR="00DC41B7" w:rsidRPr="001839C2" w14:paraId="09F77540"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1399AFB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Imuninės sistemos sutrikimai</w:t>
            </w:r>
          </w:p>
        </w:tc>
      </w:tr>
      <w:tr w:rsidR="00DC41B7" w:rsidRPr="001839C2" w14:paraId="79082F43"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7559C35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0FA77EBB"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w:t>
            </w:r>
            <w:r w:rsidR="002A5F50" w:rsidRPr="001839C2">
              <w:rPr>
                <w:rFonts w:eastAsiaTheme="minorEastAsia"/>
                <w:snapToGrid/>
                <w:szCs w:val="22"/>
                <w:lang w:val="lt-LT" w:eastAsia="en-IN"/>
              </w:rPr>
              <w:t>lerginė reakcij</w:t>
            </w:r>
            <w:r w:rsidR="002468BD" w:rsidRPr="001839C2">
              <w:rPr>
                <w:rFonts w:eastAsiaTheme="minorEastAsia"/>
                <w:snapToGrid/>
                <w:szCs w:val="22"/>
                <w:lang w:val="lt-LT" w:eastAsia="en-IN"/>
              </w:rPr>
              <w:t>a</w:t>
            </w:r>
          </w:p>
        </w:tc>
        <w:tc>
          <w:tcPr>
            <w:tcW w:w="3997" w:type="dxa"/>
            <w:tcBorders>
              <w:top w:val="single" w:sz="4" w:space="0" w:color="000000"/>
              <w:left w:val="single" w:sz="4" w:space="0" w:color="000000"/>
              <w:bottom w:val="single" w:sz="4" w:space="0" w:color="000000"/>
              <w:right w:val="single" w:sz="4" w:space="0" w:color="000000"/>
            </w:tcBorders>
          </w:tcPr>
          <w:p w14:paraId="27B5804F"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r>
      <w:tr w:rsidR="00DC41B7" w:rsidRPr="001839C2" w14:paraId="7F618328"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4A0A120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Metabolizmo ir mitybos sutrikimai</w:t>
            </w:r>
          </w:p>
        </w:tc>
      </w:tr>
      <w:tr w:rsidR="00DC41B7" w:rsidRPr="001839C2" w14:paraId="2F01FA9E"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5AF18AB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Labai 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7F6391FA"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29E41B8F"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H</w:t>
            </w:r>
            <w:r w:rsidR="002A5F50" w:rsidRPr="001839C2">
              <w:rPr>
                <w:rFonts w:eastAsiaTheme="minorEastAsia"/>
                <w:snapToGrid/>
                <w:szCs w:val="22"/>
                <w:lang w:val="lt-LT" w:eastAsia="en-IN"/>
              </w:rPr>
              <w:t>ipofosfatemija</w:t>
            </w:r>
            <w:r w:rsidR="002A5F50" w:rsidRPr="001839C2">
              <w:rPr>
                <w:rFonts w:eastAsiaTheme="minorEastAsia"/>
                <w:snapToGrid/>
                <w:szCs w:val="22"/>
                <w:vertAlign w:val="superscript"/>
                <w:lang w:val="lt-LT" w:eastAsia="en-IN"/>
              </w:rPr>
              <w:t>1</w:t>
            </w:r>
          </w:p>
        </w:tc>
      </w:tr>
      <w:tr w:rsidR="00DC41B7" w:rsidRPr="001839C2" w14:paraId="4A3ABCBD"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79F845AE"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44960C96"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H</w:t>
            </w:r>
            <w:r w:rsidR="002A5F50" w:rsidRPr="001839C2">
              <w:rPr>
                <w:rFonts w:eastAsiaTheme="minorEastAsia"/>
                <w:snapToGrid/>
                <w:szCs w:val="22"/>
                <w:lang w:val="lt-LT" w:eastAsia="en-IN"/>
              </w:rPr>
              <w:t>iperglikemija, hipertrigliceridemija</w:t>
            </w:r>
          </w:p>
        </w:tc>
        <w:tc>
          <w:tcPr>
            <w:tcW w:w="3997" w:type="dxa"/>
            <w:tcBorders>
              <w:top w:val="single" w:sz="4" w:space="0" w:color="000000"/>
              <w:left w:val="single" w:sz="4" w:space="0" w:color="000000"/>
              <w:bottom w:val="single" w:sz="4" w:space="0" w:color="000000"/>
              <w:right w:val="single" w:sz="4" w:space="0" w:color="000000"/>
            </w:tcBorders>
          </w:tcPr>
          <w:p w14:paraId="4B6DB161"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r>
      <w:tr w:rsidR="00DC41B7" w:rsidRPr="001839C2" w14:paraId="23C44864"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4A678B1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014F781A"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60BF3E42"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H</w:t>
            </w:r>
            <w:r w:rsidR="002A5F50" w:rsidRPr="001839C2">
              <w:rPr>
                <w:rFonts w:eastAsiaTheme="minorEastAsia"/>
                <w:snapToGrid/>
                <w:szCs w:val="22"/>
                <w:lang w:val="lt-LT" w:eastAsia="en-IN"/>
              </w:rPr>
              <w:t>ipokalemija</w:t>
            </w:r>
            <w:r w:rsidR="002A5F50" w:rsidRPr="001839C2">
              <w:rPr>
                <w:rFonts w:eastAsiaTheme="minorEastAsia"/>
                <w:snapToGrid/>
                <w:szCs w:val="22"/>
                <w:vertAlign w:val="superscript"/>
                <w:lang w:val="lt-LT" w:eastAsia="en-IN"/>
              </w:rPr>
              <w:t>1</w:t>
            </w:r>
          </w:p>
        </w:tc>
      </w:tr>
      <w:tr w:rsidR="00DC41B7" w:rsidRPr="001839C2" w14:paraId="526803DC"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3C19DE2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Ret</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476D2084"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40853C53"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w:t>
            </w:r>
            <w:r w:rsidR="002A5F50" w:rsidRPr="001839C2">
              <w:rPr>
                <w:rFonts w:eastAsiaTheme="minorEastAsia"/>
                <w:snapToGrid/>
                <w:szCs w:val="22"/>
                <w:lang w:val="lt-LT" w:eastAsia="en-IN"/>
              </w:rPr>
              <w:t>aktatacidozė</w:t>
            </w:r>
          </w:p>
        </w:tc>
      </w:tr>
      <w:tr w:rsidR="00DC41B7" w:rsidRPr="001839C2" w14:paraId="01BC3DC4"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7B68E23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Psichikos sutrikimai</w:t>
            </w:r>
          </w:p>
        </w:tc>
      </w:tr>
      <w:tr w:rsidR="00DC41B7" w:rsidRPr="001839C2" w14:paraId="4BF2B12C"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2D9A489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12DEBDA5"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w:t>
            </w:r>
            <w:r w:rsidR="002A5F50" w:rsidRPr="001839C2">
              <w:rPr>
                <w:rFonts w:eastAsiaTheme="minorEastAsia"/>
                <w:snapToGrid/>
                <w:szCs w:val="22"/>
                <w:lang w:val="lt-LT" w:eastAsia="en-IN"/>
              </w:rPr>
              <w:t>emiga, nenormalūs sapnai</w:t>
            </w:r>
          </w:p>
        </w:tc>
        <w:tc>
          <w:tcPr>
            <w:tcW w:w="3997" w:type="dxa"/>
            <w:tcBorders>
              <w:top w:val="single" w:sz="4" w:space="0" w:color="000000"/>
              <w:left w:val="single" w:sz="4" w:space="0" w:color="000000"/>
              <w:bottom w:val="single" w:sz="4" w:space="0" w:color="000000"/>
              <w:right w:val="single" w:sz="4" w:space="0" w:color="000000"/>
            </w:tcBorders>
          </w:tcPr>
          <w:p w14:paraId="061E1AB1"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r>
      <w:tr w:rsidR="00DC41B7" w:rsidRPr="001839C2" w14:paraId="30761F40"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3883B9A7"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Nervų sistemos sutrikimai</w:t>
            </w:r>
          </w:p>
        </w:tc>
      </w:tr>
      <w:tr w:rsidR="00DC41B7" w:rsidRPr="001839C2" w14:paraId="325089CD"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3E999D1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Labai 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262C2FBB"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G</w:t>
            </w:r>
            <w:r w:rsidR="002A5F50" w:rsidRPr="001839C2">
              <w:rPr>
                <w:rFonts w:eastAsiaTheme="minorEastAsia"/>
                <w:snapToGrid/>
                <w:szCs w:val="22"/>
                <w:lang w:val="lt-LT" w:eastAsia="en-IN"/>
              </w:rPr>
              <w:t>alvos skausmas</w:t>
            </w:r>
          </w:p>
        </w:tc>
        <w:tc>
          <w:tcPr>
            <w:tcW w:w="3997" w:type="dxa"/>
            <w:tcBorders>
              <w:top w:val="single" w:sz="4" w:space="0" w:color="000000"/>
              <w:left w:val="single" w:sz="4" w:space="0" w:color="000000"/>
              <w:bottom w:val="single" w:sz="4" w:space="0" w:color="000000"/>
              <w:right w:val="single" w:sz="4" w:space="0" w:color="000000"/>
            </w:tcBorders>
          </w:tcPr>
          <w:p w14:paraId="082FF181"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w:t>
            </w:r>
            <w:r w:rsidR="002A5F50" w:rsidRPr="001839C2">
              <w:rPr>
                <w:rFonts w:eastAsiaTheme="minorEastAsia"/>
                <w:snapToGrid/>
                <w:szCs w:val="22"/>
                <w:lang w:val="lt-LT" w:eastAsia="en-IN"/>
              </w:rPr>
              <w:t>vaig</w:t>
            </w:r>
            <w:r w:rsidRPr="001839C2">
              <w:rPr>
                <w:rFonts w:eastAsiaTheme="minorEastAsia"/>
                <w:snapToGrid/>
                <w:szCs w:val="22"/>
                <w:lang w:val="lt-LT" w:eastAsia="en-IN"/>
              </w:rPr>
              <w:t>uly</w:t>
            </w:r>
            <w:r w:rsidR="002A5F50" w:rsidRPr="001839C2">
              <w:rPr>
                <w:rFonts w:eastAsiaTheme="minorEastAsia"/>
                <w:snapToGrid/>
                <w:szCs w:val="22"/>
                <w:lang w:val="lt-LT" w:eastAsia="en-IN"/>
              </w:rPr>
              <w:t>s</w:t>
            </w:r>
          </w:p>
        </w:tc>
      </w:tr>
      <w:tr w:rsidR="00DC41B7" w:rsidRPr="001839C2" w14:paraId="21D2ACE7"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56C3503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1DE85606"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w:t>
            </w:r>
            <w:r w:rsidR="002A5F50" w:rsidRPr="001839C2">
              <w:rPr>
                <w:rFonts w:eastAsiaTheme="minorEastAsia"/>
                <w:snapToGrid/>
                <w:szCs w:val="22"/>
                <w:lang w:val="lt-LT" w:eastAsia="en-IN"/>
              </w:rPr>
              <w:t>vaig</w:t>
            </w:r>
            <w:r w:rsidRPr="001839C2">
              <w:rPr>
                <w:rFonts w:eastAsiaTheme="minorEastAsia"/>
                <w:snapToGrid/>
                <w:szCs w:val="22"/>
                <w:lang w:val="lt-LT" w:eastAsia="en-IN"/>
              </w:rPr>
              <w:t>uly</w:t>
            </w:r>
            <w:r w:rsidR="002A5F50" w:rsidRPr="001839C2">
              <w:rPr>
                <w:rFonts w:eastAsiaTheme="minorEastAsia"/>
                <w:snapToGrid/>
                <w:szCs w:val="22"/>
                <w:lang w:val="lt-LT" w:eastAsia="en-IN"/>
              </w:rPr>
              <w:t>s</w:t>
            </w:r>
          </w:p>
        </w:tc>
        <w:tc>
          <w:tcPr>
            <w:tcW w:w="3997" w:type="dxa"/>
            <w:tcBorders>
              <w:top w:val="single" w:sz="4" w:space="0" w:color="000000"/>
              <w:left w:val="single" w:sz="4" w:space="0" w:color="000000"/>
              <w:bottom w:val="single" w:sz="4" w:space="0" w:color="000000"/>
              <w:right w:val="single" w:sz="4" w:space="0" w:color="000000"/>
            </w:tcBorders>
          </w:tcPr>
          <w:p w14:paraId="7538DF12"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G</w:t>
            </w:r>
            <w:r w:rsidR="002A5F50" w:rsidRPr="001839C2">
              <w:rPr>
                <w:rFonts w:eastAsiaTheme="minorEastAsia"/>
                <w:snapToGrid/>
                <w:szCs w:val="22"/>
                <w:lang w:val="lt-LT" w:eastAsia="en-IN"/>
              </w:rPr>
              <w:t>alvos skausmas</w:t>
            </w:r>
          </w:p>
        </w:tc>
      </w:tr>
      <w:tr w:rsidR="00DC41B7" w:rsidRPr="001839C2" w14:paraId="6EC295D3"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2A3FDB0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lastRenderedPageBreak/>
              <w:t>Virškinimo trakto sutrikimai</w:t>
            </w:r>
          </w:p>
        </w:tc>
      </w:tr>
      <w:tr w:rsidR="00DC41B7" w:rsidRPr="001839C2" w14:paraId="7BE3425E"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39FAAA47"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Labai dažn</w:t>
            </w:r>
            <w:r w:rsidR="00457E5B"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60632B8D"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V</w:t>
            </w:r>
            <w:r w:rsidR="002A5F50" w:rsidRPr="001839C2">
              <w:rPr>
                <w:rFonts w:eastAsiaTheme="minorEastAsia"/>
                <w:snapToGrid/>
                <w:szCs w:val="22"/>
                <w:lang w:val="lt-LT" w:eastAsia="en-IN"/>
              </w:rPr>
              <w:t>iduriavimas, pykinimas</w:t>
            </w:r>
          </w:p>
        </w:tc>
        <w:tc>
          <w:tcPr>
            <w:tcW w:w="3997" w:type="dxa"/>
            <w:tcBorders>
              <w:top w:val="single" w:sz="4" w:space="0" w:color="000000"/>
              <w:left w:val="single" w:sz="4" w:space="0" w:color="000000"/>
              <w:bottom w:val="single" w:sz="4" w:space="0" w:color="000000"/>
              <w:right w:val="single" w:sz="4" w:space="0" w:color="000000"/>
            </w:tcBorders>
          </w:tcPr>
          <w:p w14:paraId="578A9E2E"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V</w:t>
            </w:r>
            <w:r w:rsidR="002A5F50" w:rsidRPr="001839C2">
              <w:rPr>
                <w:rFonts w:eastAsiaTheme="minorEastAsia"/>
                <w:snapToGrid/>
                <w:szCs w:val="22"/>
                <w:lang w:val="lt-LT" w:eastAsia="en-IN"/>
              </w:rPr>
              <w:t>iduriavimas, vėmimas, pykinimas</w:t>
            </w:r>
          </w:p>
        </w:tc>
      </w:tr>
      <w:tr w:rsidR="00DC41B7" w:rsidRPr="00686907" w14:paraId="06A8B5AD"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5876136C"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Cs/>
                <w:snapToGrid/>
                <w:szCs w:val="22"/>
                <w:lang w:val="lt-LT" w:eastAsia="en-IN"/>
              </w:rPr>
              <w:t>Dažn</w:t>
            </w:r>
            <w:r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44D3F911" w14:textId="77777777" w:rsidR="002A5F50" w:rsidRPr="001839C2" w:rsidRDefault="00457E5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adidėjęs amilazės</w:t>
            </w:r>
            <w:r w:rsidR="002468BD" w:rsidRPr="001839C2">
              <w:rPr>
                <w:rFonts w:eastAsiaTheme="minorEastAsia"/>
                <w:snapToGrid/>
                <w:szCs w:val="22"/>
                <w:lang w:val="lt-LT" w:eastAsia="en-IN"/>
              </w:rPr>
              <w:t>,</w:t>
            </w:r>
            <w:r w:rsidR="002A5F50" w:rsidRPr="001839C2">
              <w:rPr>
                <w:rFonts w:eastAsiaTheme="minorEastAsia"/>
                <w:snapToGrid/>
                <w:szCs w:val="22"/>
                <w:lang w:val="lt-LT" w:eastAsia="en-IN"/>
              </w:rPr>
              <w:t xml:space="preserve"> taip pat ir kasos amilazės aktyvumas, padidėjęs serumo lipazės aktyvumas, vėmimas, pilvo skausmas, dispepsija</w:t>
            </w:r>
          </w:p>
        </w:tc>
        <w:tc>
          <w:tcPr>
            <w:tcW w:w="3997" w:type="dxa"/>
            <w:tcBorders>
              <w:top w:val="single" w:sz="4" w:space="0" w:color="000000"/>
              <w:left w:val="single" w:sz="4" w:space="0" w:color="000000"/>
              <w:bottom w:val="single" w:sz="4" w:space="0" w:color="000000"/>
              <w:right w:val="single" w:sz="4" w:space="0" w:color="000000"/>
            </w:tcBorders>
          </w:tcPr>
          <w:p w14:paraId="1306CB0F"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Pilvo skausmas, </w:t>
            </w:r>
            <w:r w:rsidR="002468BD" w:rsidRPr="001839C2">
              <w:rPr>
                <w:rFonts w:eastAsiaTheme="minorEastAsia"/>
                <w:snapToGrid/>
                <w:szCs w:val="22"/>
                <w:lang w:val="lt-LT" w:eastAsia="en-IN"/>
              </w:rPr>
              <w:t>p</w:t>
            </w:r>
            <w:r w:rsidRPr="001839C2">
              <w:rPr>
                <w:rFonts w:eastAsiaTheme="minorEastAsia"/>
                <w:snapToGrid/>
                <w:szCs w:val="22"/>
                <w:lang w:val="lt-LT" w:eastAsia="en-IN"/>
              </w:rPr>
              <w:t>i</w:t>
            </w:r>
            <w:r w:rsidR="002468BD" w:rsidRPr="001839C2">
              <w:rPr>
                <w:rFonts w:eastAsiaTheme="minorEastAsia"/>
                <w:snapToGrid/>
                <w:szCs w:val="22"/>
                <w:lang w:val="lt-LT" w:eastAsia="en-IN"/>
              </w:rPr>
              <w:t>lvo tem</w:t>
            </w:r>
            <w:r w:rsidRPr="001839C2">
              <w:rPr>
                <w:rFonts w:eastAsiaTheme="minorEastAsia"/>
                <w:snapToGrid/>
                <w:szCs w:val="22"/>
                <w:lang w:val="lt-LT" w:eastAsia="en-IN"/>
              </w:rPr>
              <w:t>pimas, pilvo pūtimas</w:t>
            </w:r>
          </w:p>
        </w:tc>
      </w:tr>
      <w:tr w:rsidR="00DC41B7" w:rsidRPr="001839C2" w14:paraId="272DFCA3"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114E5C4E"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Nedažn</w:t>
            </w:r>
            <w:r w:rsidR="00665F64"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0637E77E"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29B8875E"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ankreatitas</w:t>
            </w:r>
          </w:p>
        </w:tc>
      </w:tr>
      <w:tr w:rsidR="00DC41B7" w:rsidRPr="00686907" w14:paraId="390B801D"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2A41CAB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Kepenų, tulžies pūslės ir latakų sutrikimai</w:t>
            </w:r>
          </w:p>
        </w:tc>
      </w:tr>
      <w:tr w:rsidR="00DC41B7" w:rsidRPr="001839C2" w14:paraId="70779E59"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093EAF02"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Dažnas</w:t>
            </w:r>
          </w:p>
        </w:tc>
        <w:tc>
          <w:tcPr>
            <w:tcW w:w="4003" w:type="dxa"/>
            <w:tcBorders>
              <w:top w:val="single" w:sz="4" w:space="0" w:color="000000"/>
              <w:left w:val="single" w:sz="4" w:space="0" w:color="000000"/>
              <w:bottom w:val="single" w:sz="4" w:space="0" w:color="000000"/>
              <w:right w:val="single" w:sz="4" w:space="0" w:color="000000"/>
            </w:tcBorders>
          </w:tcPr>
          <w:p w14:paraId="44CC845E"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adidėjęs aspartataminotransferazės</w:t>
            </w:r>
            <w:r w:rsidR="0059735E" w:rsidRPr="001839C2">
              <w:rPr>
                <w:rFonts w:eastAsiaTheme="minorEastAsia"/>
                <w:snapToGrid/>
                <w:szCs w:val="22"/>
                <w:lang w:val="lt-LT" w:eastAsia="en-IN"/>
              </w:rPr>
              <w:t> </w:t>
            </w:r>
            <w:r w:rsidR="002A5F50" w:rsidRPr="001839C2">
              <w:rPr>
                <w:rFonts w:eastAsiaTheme="minorEastAsia"/>
                <w:snapToGrid/>
                <w:szCs w:val="22"/>
                <w:lang w:val="lt-LT" w:eastAsia="en-IN"/>
              </w:rPr>
              <w:t xml:space="preserve">(AST) </w:t>
            </w:r>
            <w:r w:rsidRPr="001839C2">
              <w:rPr>
                <w:rFonts w:eastAsiaTheme="minorEastAsia"/>
                <w:snapToGrid/>
                <w:szCs w:val="22"/>
                <w:lang w:val="lt-LT" w:eastAsia="en-IN"/>
              </w:rPr>
              <w:t>a</w:t>
            </w:r>
            <w:r w:rsidR="002A5F50" w:rsidRPr="001839C2">
              <w:rPr>
                <w:rFonts w:eastAsiaTheme="minorEastAsia"/>
                <w:snapToGrid/>
                <w:szCs w:val="22"/>
                <w:lang w:val="lt-LT" w:eastAsia="en-IN"/>
              </w:rPr>
              <w:t>k</w:t>
            </w:r>
            <w:r w:rsidRPr="001839C2">
              <w:rPr>
                <w:rFonts w:eastAsiaTheme="minorEastAsia"/>
                <w:snapToGrid/>
                <w:szCs w:val="22"/>
                <w:lang w:val="lt-LT" w:eastAsia="en-IN"/>
              </w:rPr>
              <w:t>tyvuma</w:t>
            </w:r>
            <w:r w:rsidR="002A5F50" w:rsidRPr="001839C2">
              <w:rPr>
                <w:rFonts w:eastAsiaTheme="minorEastAsia"/>
                <w:snapToGrid/>
                <w:szCs w:val="22"/>
                <w:lang w:val="lt-LT" w:eastAsia="en-IN"/>
              </w:rPr>
              <w:t>s serume ir</w:t>
            </w:r>
            <w:r w:rsidRPr="001839C2">
              <w:rPr>
                <w:rFonts w:eastAsiaTheme="minorEastAsia"/>
                <w:snapToGrid/>
                <w:szCs w:val="22"/>
                <w:lang w:val="lt-LT" w:eastAsia="en-IN"/>
              </w:rPr>
              <w:t> </w:t>
            </w:r>
            <w:r w:rsidR="002A5F50" w:rsidRPr="001839C2">
              <w:rPr>
                <w:rFonts w:eastAsiaTheme="minorEastAsia"/>
                <w:snapToGrid/>
                <w:szCs w:val="22"/>
                <w:lang w:val="lt-LT" w:eastAsia="en-IN"/>
              </w:rPr>
              <w:t>(arba) padidėjęs alaninaminotransferazės</w:t>
            </w:r>
            <w:r w:rsidR="0059735E" w:rsidRPr="001839C2">
              <w:rPr>
                <w:rFonts w:eastAsiaTheme="minorEastAsia"/>
                <w:snapToGrid/>
                <w:szCs w:val="22"/>
                <w:lang w:val="lt-LT" w:eastAsia="en-IN"/>
              </w:rPr>
              <w:t> </w:t>
            </w:r>
            <w:r w:rsidR="002A5F50" w:rsidRPr="001839C2">
              <w:rPr>
                <w:rFonts w:eastAsiaTheme="minorEastAsia"/>
                <w:snapToGrid/>
                <w:szCs w:val="22"/>
                <w:lang w:val="lt-LT" w:eastAsia="en-IN"/>
              </w:rPr>
              <w:t xml:space="preserve">(ALT) </w:t>
            </w:r>
            <w:r w:rsidRPr="001839C2">
              <w:rPr>
                <w:rFonts w:eastAsiaTheme="minorEastAsia"/>
                <w:snapToGrid/>
                <w:szCs w:val="22"/>
                <w:lang w:val="lt-LT" w:eastAsia="en-IN"/>
              </w:rPr>
              <w:t>a</w:t>
            </w:r>
            <w:r w:rsidR="002A5F50" w:rsidRPr="001839C2">
              <w:rPr>
                <w:rFonts w:eastAsiaTheme="minorEastAsia"/>
                <w:snapToGrid/>
                <w:szCs w:val="22"/>
                <w:lang w:val="lt-LT" w:eastAsia="en-IN"/>
              </w:rPr>
              <w:t>k</w:t>
            </w:r>
            <w:r w:rsidRPr="001839C2">
              <w:rPr>
                <w:rFonts w:eastAsiaTheme="minorEastAsia"/>
                <w:snapToGrid/>
                <w:szCs w:val="22"/>
                <w:lang w:val="lt-LT" w:eastAsia="en-IN"/>
              </w:rPr>
              <w:t>tyvuma</w:t>
            </w:r>
            <w:r w:rsidR="002A5F50" w:rsidRPr="001839C2">
              <w:rPr>
                <w:rFonts w:eastAsiaTheme="minorEastAsia"/>
                <w:snapToGrid/>
                <w:szCs w:val="22"/>
                <w:lang w:val="lt-LT" w:eastAsia="en-IN"/>
              </w:rPr>
              <w:t>s serume, hiperbilirubinemija</w:t>
            </w:r>
          </w:p>
        </w:tc>
        <w:tc>
          <w:tcPr>
            <w:tcW w:w="3997" w:type="dxa"/>
            <w:tcBorders>
              <w:top w:val="single" w:sz="4" w:space="0" w:color="000000"/>
              <w:left w:val="single" w:sz="4" w:space="0" w:color="000000"/>
              <w:bottom w:val="single" w:sz="4" w:space="0" w:color="000000"/>
              <w:right w:val="single" w:sz="4" w:space="0" w:color="000000"/>
            </w:tcBorders>
          </w:tcPr>
          <w:p w14:paraId="74FEDD2B"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Padidėjęs transaminazių aktyvumas</w:t>
            </w:r>
          </w:p>
        </w:tc>
      </w:tr>
      <w:tr w:rsidR="00DC41B7" w:rsidRPr="001839C2" w14:paraId="44F1C3D6"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3802B38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Ret</w:t>
            </w:r>
            <w:r w:rsidR="00665F64"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5AAEB509"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7B63F66E"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K</w:t>
            </w:r>
            <w:r w:rsidR="002A5F50" w:rsidRPr="001839C2">
              <w:rPr>
                <w:rFonts w:eastAsiaTheme="minorEastAsia"/>
                <w:snapToGrid/>
                <w:szCs w:val="22"/>
                <w:lang w:val="lt-LT" w:eastAsia="en-IN"/>
              </w:rPr>
              <w:t>epenų steatozė, hepatitas</w:t>
            </w:r>
          </w:p>
        </w:tc>
      </w:tr>
      <w:tr w:rsidR="00DC41B7" w:rsidRPr="00686907" w14:paraId="3F2B764E"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09F2B58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Odos ir poodinio audinio sutrikimai</w:t>
            </w:r>
          </w:p>
        </w:tc>
      </w:tr>
      <w:tr w:rsidR="00DC41B7" w:rsidRPr="001839C2" w14:paraId="3AC416B1"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01665BE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Labai dažn</w:t>
            </w:r>
            <w:r w:rsidR="00665F64"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4EDFED3A"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7F9CBB22"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Iš</w:t>
            </w:r>
            <w:r w:rsidR="002A5F50" w:rsidRPr="001839C2">
              <w:rPr>
                <w:rFonts w:eastAsiaTheme="minorEastAsia"/>
                <w:snapToGrid/>
                <w:szCs w:val="22"/>
                <w:lang w:val="lt-LT" w:eastAsia="en-IN"/>
              </w:rPr>
              <w:t>bėrimas</w:t>
            </w:r>
          </w:p>
        </w:tc>
      </w:tr>
      <w:tr w:rsidR="00DC41B7" w:rsidRPr="00686907" w14:paraId="405EDC5E"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0FA74A36"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Dažnas</w:t>
            </w:r>
          </w:p>
        </w:tc>
        <w:tc>
          <w:tcPr>
            <w:tcW w:w="4003" w:type="dxa"/>
            <w:tcBorders>
              <w:top w:val="single" w:sz="4" w:space="0" w:color="000000"/>
              <w:left w:val="single" w:sz="4" w:space="0" w:color="000000"/>
              <w:bottom w:val="single" w:sz="4" w:space="0" w:color="000000"/>
              <w:right w:val="single" w:sz="4" w:space="0" w:color="000000"/>
            </w:tcBorders>
          </w:tcPr>
          <w:p w14:paraId="1FD6BF27"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ūsl</w:t>
            </w:r>
            <w:r w:rsidR="00BD6053" w:rsidRPr="001839C2">
              <w:rPr>
                <w:rFonts w:eastAsiaTheme="minorEastAsia"/>
                <w:snapToGrid/>
                <w:szCs w:val="22"/>
                <w:lang w:val="lt-LT" w:eastAsia="en-IN"/>
              </w:rPr>
              <w:t>el</w:t>
            </w:r>
            <w:r w:rsidR="002A5F50" w:rsidRPr="001839C2">
              <w:rPr>
                <w:rFonts w:eastAsiaTheme="minorEastAsia"/>
                <w:snapToGrid/>
                <w:szCs w:val="22"/>
                <w:lang w:val="lt-LT" w:eastAsia="en-IN"/>
              </w:rPr>
              <w:t>inis ir pū</w:t>
            </w:r>
            <w:r w:rsidR="00BD6053" w:rsidRPr="001839C2">
              <w:rPr>
                <w:rFonts w:eastAsiaTheme="minorEastAsia"/>
                <w:snapToGrid/>
                <w:szCs w:val="22"/>
                <w:lang w:val="lt-LT" w:eastAsia="en-IN"/>
              </w:rPr>
              <w:t>s</w:t>
            </w:r>
            <w:r w:rsidR="002A5F50" w:rsidRPr="001839C2">
              <w:rPr>
                <w:rFonts w:eastAsiaTheme="minorEastAsia"/>
                <w:snapToGrid/>
                <w:szCs w:val="22"/>
                <w:lang w:val="lt-LT" w:eastAsia="en-IN"/>
              </w:rPr>
              <w:t xml:space="preserve">linis </w:t>
            </w:r>
            <w:r w:rsidRPr="001839C2">
              <w:rPr>
                <w:rFonts w:eastAsiaTheme="minorEastAsia"/>
                <w:snapToGrid/>
                <w:szCs w:val="22"/>
                <w:lang w:val="lt-LT" w:eastAsia="en-IN"/>
              </w:rPr>
              <w:t>iš</w:t>
            </w:r>
            <w:r w:rsidR="002A5F50" w:rsidRPr="001839C2">
              <w:rPr>
                <w:rFonts w:eastAsiaTheme="minorEastAsia"/>
                <w:snapToGrid/>
                <w:szCs w:val="22"/>
                <w:lang w:val="lt-LT" w:eastAsia="en-IN"/>
              </w:rPr>
              <w:t xml:space="preserve">bėrimas, makulopapulinis </w:t>
            </w:r>
            <w:r w:rsidRPr="001839C2">
              <w:rPr>
                <w:rFonts w:eastAsiaTheme="minorEastAsia"/>
                <w:snapToGrid/>
                <w:szCs w:val="22"/>
                <w:lang w:val="lt-LT" w:eastAsia="en-IN"/>
              </w:rPr>
              <w:t>iš</w:t>
            </w:r>
            <w:r w:rsidR="002A5F50" w:rsidRPr="001839C2">
              <w:rPr>
                <w:rFonts w:eastAsiaTheme="minorEastAsia"/>
                <w:snapToGrid/>
                <w:szCs w:val="22"/>
                <w:lang w:val="lt-LT" w:eastAsia="en-IN"/>
              </w:rPr>
              <w:t xml:space="preserve">bėrimas, </w:t>
            </w:r>
            <w:r w:rsidRPr="001839C2">
              <w:rPr>
                <w:rFonts w:eastAsiaTheme="minorEastAsia"/>
                <w:snapToGrid/>
                <w:szCs w:val="22"/>
                <w:lang w:val="lt-LT" w:eastAsia="en-IN"/>
              </w:rPr>
              <w:t>iš</w:t>
            </w:r>
            <w:r w:rsidR="002A5F50" w:rsidRPr="001839C2">
              <w:rPr>
                <w:rFonts w:eastAsiaTheme="minorEastAsia"/>
                <w:snapToGrid/>
                <w:szCs w:val="22"/>
                <w:lang w:val="lt-LT" w:eastAsia="en-IN"/>
              </w:rPr>
              <w:t>bėrimas, niež</w:t>
            </w:r>
            <w:r w:rsidRPr="001839C2">
              <w:rPr>
                <w:rFonts w:eastAsiaTheme="minorEastAsia"/>
                <w:snapToGrid/>
                <w:szCs w:val="22"/>
                <w:lang w:val="lt-LT" w:eastAsia="en-IN"/>
              </w:rPr>
              <w:t>ėjima</w:t>
            </w:r>
            <w:r w:rsidR="002A5F50" w:rsidRPr="001839C2">
              <w:rPr>
                <w:rFonts w:eastAsiaTheme="minorEastAsia"/>
                <w:snapToGrid/>
                <w:szCs w:val="22"/>
                <w:lang w:val="lt-LT" w:eastAsia="en-IN"/>
              </w:rPr>
              <w:t>s, dilgėlinė, odos spalvos pokyčiai (hiperpigmentacija)</w:t>
            </w:r>
            <w:r w:rsidR="002A5F50" w:rsidRPr="001839C2">
              <w:rPr>
                <w:rFonts w:eastAsiaTheme="minorEastAsia"/>
                <w:snapToGrid/>
                <w:szCs w:val="22"/>
                <w:vertAlign w:val="superscript"/>
                <w:lang w:val="lt-LT" w:eastAsia="en-IN"/>
              </w:rPr>
              <w:t>2</w:t>
            </w:r>
          </w:p>
        </w:tc>
        <w:tc>
          <w:tcPr>
            <w:tcW w:w="3997" w:type="dxa"/>
            <w:tcBorders>
              <w:top w:val="single" w:sz="4" w:space="0" w:color="000000"/>
              <w:left w:val="single" w:sz="4" w:space="0" w:color="000000"/>
              <w:bottom w:val="single" w:sz="4" w:space="0" w:color="000000"/>
              <w:right w:val="single" w:sz="4" w:space="0" w:color="000000"/>
            </w:tcBorders>
          </w:tcPr>
          <w:p w14:paraId="0C70043A"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r>
      <w:tr w:rsidR="00DC41B7" w:rsidRPr="001839C2" w14:paraId="206E54D1"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1238DDF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Nedažn</w:t>
            </w:r>
            <w:r w:rsidR="00665F64"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2AA70739"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w:t>
            </w:r>
            <w:r w:rsidR="002A5F50" w:rsidRPr="001839C2">
              <w:rPr>
                <w:rFonts w:eastAsiaTheme="minorEastAsia"/>
                <w:snapToGrid/>
                <w:szCs w:val="22"/>
                <w:lang w:val="lt-LT" w:eastAsia="en-IN"/>
              </w:rPr>
              <w:t>ngio</w:t>
            </w:r>
            <w:r w:rsidRPr="001839C2">
              <w:rPr>
                <w:rFonts w:eastAsiaTheme="minorEastAsia"/>
                <w:snapToGrid/>
                <w:szCs w:val="22"/>
                <w:lang w:val="lt-LT" w:eastAsia="en-IN"/>
              </w:rPr>
              <w:t xml:space="preserve">neurozinė </w:t>
            </w:r>
            <w:r w:rsidR="002A5F50" w:rsidRPr="001839C2">
              <w:rPr>
                <w:rFonts w:eastAsiaTheme="minorEastAsia"/>
                <w:snapToGrid/>
                <w:szCs w:val="22"/>
                <w:lang w:val="lt-LT" w:eastAsia="en-IN"/>
              </w:rPr>
              <w:t>edema</w:t>
            </w:r>
            <w:r w:rsidR="002A5F50" w:rsidRPr="001839C2">
              <w:rPr>
                <w:rFonts w:eastAsiaTheme="minorEastAsia"/>
                <w:snapToGrid/>
                <w:szCs w:val="22"/>
                <w:vertAlign w:val="superscript"/>
                <w:lang w:val="lt-LT" w:eastAsia="en-IN"/>
              </w:rPr>
              <w:t>3</w:t>
            </w:r>
          </w:p>
        </w:tc>
        <w:tc>
          <w:tcPr>
            <w:tcW w:w="3997" w:type="dxa"/>
            <w:tcBorders>
              <w:top w:val="single" w:sz="4" w:space="0" w:color="000000"/>
              <w:left w:val="single" w:sz="4" w:space="0" w:color="000000"/>
              <w:bottom w:val="single" w:sz="4" w:space="0" w:color="000000"/>
              <w:right w:val="single" w:sz="4" w:space="0" w:color="000000"/>
            </w:tcBorders>
          </w:tcPr>
          <w:p w14:paraId="64CCD0AC"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r>
      <w:tr w:rsidR="00DC41B7" w:rsidRPr="001839C2" w14:paraId="0794DC2A" w14:textId="77777777" w:rsidTr="00844559">
        <w:tc>
          <w:tcPr>
            <w:tcW w:w="1275" w:type="dxa"/>
            <w:tcBorders>
              <w:top w:val="single" w:sz="4" w:space="0" w:color="000000"/>
              <w:left w:val="single" w:sz="4" w:space="0" w:color="000000"/>
              <w:bottom w:val="single" w:sz="4" w:space="0" w:color="000000"/>
              <w:right w:val="single" w:sz="4" w:space="0" w:color="000000"/>
            </w:tcBorders>
          </w:tcPr>
          <w:p w14:paraId="43B892D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Ret</w:t>
            </w:r>
            <w:r w:rsidR="00665F64"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1AE635CC"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0CAA97F9"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w:t>
            </w:r>
            <w:r w:rsidR="002A5F50" w:rsidRPr="001839C2">
              <w:rPr>
                <w:rFonts w:eastAsiaTheme="minorEastAsia"/>
                <w:snapToGrid/>
                <w:szCs w:val="22"/>
                <w:lang w:val="lt-LT" w:eastAsia="en-IN"/>
              </w:rPr>
              <w:t>ngio</w:t>
            </w:r>
            <w:r w:rsidRPr="001839C2">
              <w:rPr>
                <w:rFonts w:eastAsiaTheme="minorEastAsia"/>
                <w:snapToGrid/>
                <w:szCs w:val="22"/>
                <w:lang w:val="lt-LT" w:eastAsia="en-IN"/>
              </w:rPr>
              <w:t xml:space="preserve">neurozinė </w:t>
            </w:r>
            <w:r w:rsidR="002A5F50" w:rsidRPr="001839C2">
              <w:rPr>
                <w:rFonts w:eastAsiaTheme="minorEastAsia"/>
                <w:snapToGrid/>
                <w:szCs w:val="22"/>
                <w:lang w:val="lt-LT" w:eastAsia="en-IN"/>
              </w:rPr>
              <w:t>edema</w:t>
            </w:r>
          </w:p>
        </w:tc>
      </w:tr>
      <w:tr w:rsidR="00DC41B7" w:rsidRPr="00686907" w14:paraId="4171BB92"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74CEED47"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Skeleto, raumenų ir jungiamojo audinio sutrikimai</w:t>
            </w:r>
          </w:p>
        </w:tc>
      </w:tr>
      <w:tr w:rsidR="00DC41B7" w:rsidRPr="001839C2" w14:paraId="5AAA37F2"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4335B6C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Labai dažn</w:t>
            </w:r>
            <w:r w:rsidR="00665F64"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7EB1582A"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adidėjęs kreatinkinazės aktyvumas</w:t>
            </w:r>
          </w:p>
        </w:tc>
        <w:tc>
          <w:tcPr>
            <w:tcW w:w="3997" w:type="dxa"/>
            <w:tcBorders>
              <w:top w:val="single" w:sz="4" w:space="0" w:color="000000"/>
              <w:left w:val="single" w:sz="4" w:space="0" w:color="000000"/>
              <w:bottom w:val="single" w:sz="4" w:space="0" w:color="000000"/>
              <w:right w:val="single" w:sz="4" w:space="0" w:color="000000"/>
            </w:tcBorders>
          </w:tcPr>
          <w:p w14:paraId="749030BA"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r>
      <w:tr w:rsidR="004D2B4F" w:rsidRPr="001839C2" w14:paraId="4F0307D2"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287D8A86" w14:textId="6C6FFA83" w:rsidR="004D2B4F" w:rsidRPr="001839C2" w:rsidRDefault="004D2B4F"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Pr>
                <w:rFonts w:eastAsiaTheme="minorEastAsia"/>
                <w:snapToGrid/>
                <w:szCs w:val="22"/>
                <w:lang w:val="lt-LT" w:eastAsia="en-IN"/>
              </w:rPr>
              <w:t>Dažnas</w:t>
            </w:r>
          </w:p>
        </w:tc>
        <w:tc>
          <w:tcPr>
            <w:tcW w:w="4003" w:type="dxa"/>
            <w:tcBorders>
              <w:top w:val="single" w:sz="4" w:space="0" w:color="000000"/>
              <w:left w:val="single" w:sz="4" w:space="0" w:color="000000"/>
              <w:bottom w:val="single" w:sz="4" w:space="0" w:color="000000"/>
              <w:right w:val="single" w:sz="4" w:space="0" w:color="000000"/>
            </w:tcBorders>
          </w:tcPr>
          <w:p w14:paraId="7337FC49" w14:textId="77777777" w:rsidR="004D2B4F" w:rsidRPr="001839C2" w:rsidRDefault="004D2B4F"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45D672E8" w14:textId="30A10A14" w:rsidR="004D2B4F" w:rsidRPr="001839C2" w:rsidRDefault="004D2B4F" w:rsidP="00230559">
            <w:pPr>
              <w:widowControl w:val="0"/>
              <w:tabs>
                <w:tab w:val="clear" w:pos="567"/>
                <w:tab w:val="left" w:pos="0"/>
              </w:tabs>
              <w:autoSpaceDE w:val="0"/>
              <w:autoSpaceDN w:val="0"/>
              <w:adjustRightInd w:val="0"/>
              <w:ind w:right="108"/>
              <w:rPr>
                <w:rFonts w:eastAsiaTheme="minorEastAsia"/>
                <w:snapToGrid/>
                <w:szCs w:val="22"/>
                <w:lang w:val="lt-LT" w:eastAsia="en-IN"/>
              </w:rPr>
            </w:pPr>
            <w:r>
              <w:t>Sumažėjęs kaulų mineralinis tankis</w:t>
            </w:r>
          </w:p>
        </w:tc>
      </w:tr>
      <w:tr w:rsidR="00DC41B7" w:rsidRPr="001839C2" w14:paraId="5EB8E235"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4F3119C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Nedažn</w:t>
            </w:r>
            <w:r w:rsidR="00665F64" w:rsidRPr="001839C2">
              <w:rPr>
                <w:rFonts w:eastAsiaTheme="minorEastAsia"/>
                <w:snapToGrid/>
                <w:szCs w:val="22"/>
                <w:lang w:val="lt-LT" w:eastAsia="en-IN"/>
              </w:rPr>
              <w:t>as</w:t>
            </w:r>
          </w:p>
        </w:tc>
        <w:tc>
          <w:tcPr>
            <w:tcW w:w="4003" w:type="dxa"/>
            <w:tcBorders>
              <w:top w:val="single" w:sz="4" w:space="0" w:color="000000"/>
              <w:left w:val="single" w:sz="4" w:space="0" w:color="000000"/>
              <w:bottom w:val="single" w:sz="4" w:space="0" w:color="000000"/>
              <w:right w:val="single" w:sz="4" w:space="0" w:color="000000"/>
            </w:tcBorders>
          </w:tcPr>
          <w:p w14:paraId="29B7B3FA"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078043E2"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w:t>
            </w:r>
            <w:r w:rsidR="002A5F50" w:rsidRPr="001839C2">
              <w:rPr>
                <w:rFonts w:eastAsiaTheme="minorEastAsia"/>
                <w:snapToGrid/>
                <w:szCs w:val="22"/>
                <w:lang w:val="lt-LT" w:eastAsia="en-IN"/>
              </w:rPr>
              <w:t>abdomiolizė</w:t>
            </w:r>
            <w:r w:rsidR="002A5F50" w:rsidRPr="001839C2">
              <w:rPr>
                <w:rFonts w:eastAsiaTheme="minorEastAsia"/>
                <w:snapToGrid/>
                <w:szCs w:val="22"/>
                <w:vertAlign w:val="superscript"/>
                <w:lang w:val="lt-LT" w:eastAsia="en-IN"/>
              </w:rPr>
              <w:t>1</w:t>
            </w:r>
            <w:r w:rsidR="002A5F50" w:rsidRPr="001839C2">
              <w:rPr>
                <w:rFonts w:eastAsiaTheme="minorEastAsia"/>
                <w:snapToGrid/>
                <w:szCs w:val="22"/>
                <w:lang w:val="lt-LT" w:eastAsia="en-IN"/>
              </w:rPr>
              <w:t>, raumenų silpnumas</w:t>
            </w:r>
            <w:r w:rsidR="002A5F50" w:rsidRPr="001839C2">
              <w:rPr>
                <w:rFonts w:eastAsiaTheme="minorEastAsia"/>
                <w:snapToGrid/>
                <w:szCs w:val="22"/>
                <w:vertAlign w:val="superscript"/>
                <w:lang w:val="lt-LT" w:eastAsia="en-IN"/>
              </w:rPr>
              <w:t>1</w:t>
            </w:r>
          </w:p>
        </w:tc>
      </w:tr>
      <w:tr w:rsidR="00DC41B7" w:rsidRPr="00686907" w14:paraId="63F63929"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75CAF26D"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Retas</w:t>
            </w:r>
          </w:p>
        </w:tc>
        <w:tc>
          <w:tcPr>
            <w:tcW w:w="4003" w:type="dxa"/>
            <w:tcBorders>
              <w:top w:val="single" w:sz="4" w:space="0" w:color="000000"/>
              <w:left w:val="single" w:sz="4" w:space="0" w:color="000000"/>
              <w:bottom w:val="single" w:sz="4" w:space="0" w:color="000000"/>
              <w:right w:val="single" w:sz="4" w:space="0" w:color="000000"/>
            </w:tcBorders>
          </w:tcPr>
          <w:p w14:paraId="05C34460"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2F22C542" w14:textId="77777777" w:rsidR="002A5F50" w:rsidRPr="001839C2" w:rsidRDefault="00665F6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O</w:t>
            </w:r>
            <w:r w:rsidR="002A5F50" w:rsidRPr="001839C2">
              <w:rPr>
                <w:rFonts w:eastAsiaTheme="minorEastAsia"/>
                <w:snapToGrid/>
                <w:szCs w:val="22"/>
                <w:lang w:val="lt-LT" w:eastAsia="en-IN"/>
              </w:rPr>
              <w:t>steomaliacija (pasireiškianti kaulų skausmu ir retais atvejais sukelianti lūžius)</w:t>
            </w:r>
            <w:r w:rsidR="002A5F50" w:rsidRPr="001839C2">
              <w:rPr>
                <w:rFonts w:eastAsiaTheme="minorEastAsia"/>
                <w:snapToGrid/>
                <w:szCs w:val="22"/>
                <w:vertAlign w:val="superscript"/>
                <w:lang w:val="lt-LT" w:eastAsia="en-IN"/>
              </w:rPr>
              <w:t>1,3</w:t>
            </w:r>
            <w:r w:rsidR="002A5F50" w:rsidRPr="001839C2">
              <w:rPr>
                <w:rFonts w:eastAsiaTheme="minorEastAsia"/>
                <w:snapToGrid/>
                <w:szCs w:val="22"/>
                <w:lang w:val="lt-LT" w:eastAsia="en-IN"/>
              </w:rPr>
              <w:t>,</w:t>
            </w:r>
            <w:r w:rsidR="00BF3462" w:rsidRPr="001839C2">
              <w:rPr>
                <w:rFonts w:eastAsiaTheme="minorEastAsia"/>
                <w:snapToGrid/>
                <w:szCs w:val="22"/>
                <w:lang w:val="lt-LT" w:eastAsia="en-IN"/>
              </w:rPr>
              <w:t xml:space="preserve"> </w:t>
            </w:r>
            <w:r w:rsidR="002A5F50" w:rsidRPr="001839C2">
              <w:rPr>
                <w:rFonts w:eastAsiaTheme="minorEastAsia"/>
                <w:snapToGrid/>
                <w:szCs w:val="22"/>
                <w:lang w:val="lt-LT" w:eastAsia="en-IN"/>
              </w:rPr>
              <w:t>miopatija</w:t>
            </w:r>
            <w:r w:rsidR="002A5F50" w:rsidRPr="001839C2">
              <w:rPr>
                <w:rFonts w:eastAsiaTheme="minorEastAsia"/>
                <w:snapToGrid/>
                <w:szCs w:val="22"/>
                <w:vertAlign w:val="superscript"/>
                <w:lang w:val="lt-LT" w:eastAsia="en-IN"/>
              </w:rPr>
              <w:t>1</w:t>
            </w:r>
          </w:p>
        </w:tc>
      </w:tr>
      <w:tr w:rsidR="00844559" w:rsidRPr="00686907" w14:paraId="0FDA3193"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77FBBEF8"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Inkstų ir šlapimo takų sutrikimai</w:t>
            </w:r>
          </w:p>
        </w:tc>
      </w:tr>
      <w:tr w:rsidR="00844559" w:rsidRPr="00686907" w14:paraId="1B129E05"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40AC8315"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Nedažnas</w:t>
            </w:r>
          </w:p>
        </w:tc>
        <w:tc>
          <w:tcPr>
            <w:tcW w:w="4003" w:type="dxa"/>
            <w:tcBorders>
              <w:top w:val="single" w:sz="4" w:space="0" w:color="000000"/>
              <w:left w:val="single" w:sz="4" w:space="0" w:color="000000"/>
              <w:bottom w:val="single" w:sz="4" w:space="0" w:color="000000"/>
              <w:right w:val="single" w:sz="4" w:space="0" w:color="000000"/>
            </w:tcBorders>
          </w:tcPr>
          <w:p w14:paraId="352D9CB0" w14:textId="77777777" w:rsidR="00844559" w:rsidRPr="001839C2" w:rsidRDefault="00844559" w:rsidP="00844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31E0E088"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Padidėjusi kreatinino koncentracija, proteinurija, proksimalinė inkstų tubulopatija, įskaitant Fanconi sindromą</w:t>
            </w:r>
          </w:p>
        </w:tc>
      </w:tr>
      <w:tr w:rsidR="00844559" w:rsidRPr="00686907" w14:paraId="1B9A86C9"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3444ECC6"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Retas</w:t>
            </w:r>
          </w:p>
        </w:tc>
        <w:tc>
          <w:tcPr>
            <w:tcW w:w="4003" w:type="dxa"/>
            <w:tcBorders>
              <w:top w:val="single" w:sz="4" w:space="0" w:color="000000"/>
              <w:left w:val="single" w:sz="4" w:space="0" w:color="000000"/>
              <w:bottom w:val="single" w:sz="4" w:space="0" w:color="000000"/>
              <w:right w:val="single" w:sz="4" w:space="0" w:color="000000"/>
            </w:tcBorders>
          </w:tcPr>
          <w:p w14:paraId="533C424B" w14:textId="77777777" w:rsidR="00844559" w:rsidRPr="001839C2" w:rsidRDefault="00844559" w:rsidP="00844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49C81355"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Inkstų nepakankamumas (ūminis ir lėtinis), ūminė kanalėlių nekrozė, nefritas (įskaitant ūminį intersticinį nefritą)</w:t>
            </w:r>
            <w:r w:rsidRPr="001839C2">
              <w:rPr>
                <w:rFonts w:eastAsiaTheme="minorEastAsia"/>
                <w:snapToGrid/>
                <w:szCs w:val="22"/>
                <w:vertAlign w:val="superscript"/>
                <w:lang w:val="lt-LT" w:eastAsia="en-IN"/>
              </w:rPr>
              <w:t>3</w:t>
            </w:r>
            <w:r w:rsidRPr="001839C2">
              <w:rPr>
                <w:rFonts w:eastAsiaTheme="minorEastAsia"/>
                <w:snapToGrid/>
                <w:szCs w:val="22"/>
                <w:lang w:val="lt-LT" w:eastAsia="en-IN"/>
              </w:rPr>
              <w:t>, nefrogeninis necukrinis diabetas</w:t>
            </w:r>
          </w:p>
        </w:tc>
      </w:tr>
      <w:tr w:rsidR="00844559" w:rsidRPr="00686907" w14:paraId="1482271E" w14:textId="77777777" w:rsidTr="0059735E">
        <w:tc>
          <w:tcPr>
            <w:tcW w:w="9275" w:type="dxa"/>
            <w:gridSpan w:val="3"/>
            <w:tcBorders>
              <w:top w:val="single" w:sz="4" w:space="0" w:color="000000"/>
              <w:left w:val="single" w:sz="4" w:space="0" w:color="000000"/>
              <w:bottom w:val="single" w:sz="4" w:space="0" w:color="000000"/>
              <w:right w:val="single" w:sz="4" w:space="0" w:color="000000"/>
            </w:tcBorders>
            <w:shd w:val="clear" w:color="auto" w:fill="E7E7E7"/>
          </w:tcPr>
          <w:p w14:paraId="12319DDF"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i/>
                <w:iCs/>
                <w:snapToGrid/>
                <w:szCs w:val="22"/>
                <w:lang w:val="lt-LT" w:eastAsia="en-IN"/>
              </w:rPr>
              <w:t>Bendrieji sutrikimai ir vartojimo vietos pažeidimai</w:t>
            </w:r>
          </w:p>
        </w:tc>
      </w:tr>
      <w:tr w:rsidR="00844559" w:rsidRPr="001839C2" w14:paraId="0175A1E8"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602358BA"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Labai dažnas</w:t>
            </w:r>
          </w:p>
        </w:tc>
        <w:tc>
          <w:tcPr>
            <w:tcW w:w="4003" w:type="dxa"/>
            <w:tcBorders>
              <w:top w:val="single" w:sz="4" w:space="0" w:color="000000"/>
              <w:left w:val="single" w:sz="4" w:space="0" w:color="000000"/>
              <w:bottom w:val="single" w:sz="4" w:space="0" w:color="000000"/>
              <w:right w:val="single" w:sz="4" w:space="0" w:color="000000"/>
            </w:tcBorders>
          </w:tcPr>
          <w:p w14:paraId="470FC591" w14:textId="77777777" w:rsidR="00844559" w:rsidRPr="001839C2" w:rsidRDefault="00844559" w:rsidP="00844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997" w:type="dxa"/>
            <w:tcBorders>
              <w:top w:val="single" w:sz="4" w:space="0" w:color="000000"/>
              <w:left w:val="single" w:sz="4" w:space="0" w:color="000000"/>
              <w:bottom w:val="single" w:sz="4" w:space="0" w:color="000000"/>
              <w:right w:val="single" w:sz="4" w:space="0" w:color="000000"/>
            </w:tcBorders>
          </w:tcPr>
          <w:p w14:paraId="431B1807"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Astenija</w:t>
            </w:r>
          </w:p>
        </w:tc>
      </w:tr>
      <w:tr w:rsidR="00844559" w:rsidRPr="001839C2" w14:paraId="0A94D133" w14:textId="77777777" w:rsidTr="0059735E">
        <w:tc>
          <w:tcPr>
            <w:tcW w:w="1275" w:type="dxa"/>
            <w:tcBorders>
              <w:top w:val="single" w:sz="4" w:space="0" w:color="000000"/>
              <w:left w:val="single" w:sz="4" w:space="0" w:color="000000"/>
              <w:bottom w:val="single" w:sz="4" w:space="0" w:color="000000"/>
              <w:right w:val="single" w:sz="4" w:space="0" w:color="000000"/>
            </w:tcBorders>
          </w:tcPr>
          <w:p w14:paraId="18D10133"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Dažnas</w:t>
            </w:r>
          </w:p>
        </w:tc>
        <w:tc>
          <w:tcPr>
            <w:tcW w:w="4003" w:type="dxa"/>
            <w:tcBorders>
              <w:top w:val="single" w:sz="4" w:space="0" w:color="000000"/>
              <w:left w:val="single" w:sz="4" w:space="0" w:color="000000"/>
              <w:bottom w:val="single" w:sz="4" w:space="0" w:color="000000"/>
              <w:right w:val="single" w:sz="4" w:space="0" w:color="000000"/>
            </w:tcBorders>
          </w:tcPr>
          <w:p w14:paraId="2527B2AF" w14:textId="77777777" w:rsidR="00844559" w:rsidRPr="001839C2" w:rsidRDefault="00844559" w:rsidP="00844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Skausmas, astenija</w:t>
            </w:r>
          </w:p>
        </w:tc>
        <w:tc>
          <w:tcPr>
            <w:tcW w:w="3997" w:type="dxa"/>
            <w:tcBorders>
              <w:top w:val="single" w:sz="4" w:space="0" w:color="000000"/>
              <w:left w:val="single" w:sz="4" w:space="0" w:color="000000"/>
              <w:bottom w:val="single" w:sz="4" w:space="0" w:color="000000"/>
              <w:right w:val="single" w:sz="4" w:space="0" w:color="000000"/>
            </w:tcBorders>
          </w:tcPr>
          <w:p w14:paraId="7EFEA88B" w14:textId="77777777" w:rsidR="00844559" w:rsidRPr="001839C2" w:rsidRDefault="00844559" w:rsidP="00844559">
            <w:pPr>
              <w:widowControl w:val="0"/>
              <w:tabs>
                <w:tab w:val="clear" w:pos="567"/>
                <w:tab w:val="left" w:pos="0"/>
              </w:tabs>
              <w:autoSpaceDE w:val="0"/>
              <w:autoSpaceDN w:val="0"/>
              <w:adjustRightInd w:val="0"/>
              <w:ind w:right="108"/>
              <w:rPr>
                <w:rFonts w:eastAsiaTheme="minorEastAsia"/>
                <w:snapToGrid/>
                <w:szCs w:val="22"/>
                <w:lang w:val="lt-LT" w:eastAsia="en-IN"/>
              </w:rPr>
            </w:pPr>
          </w:p>
        </w:tc>
      </w:tr>
    </w:tbl>
    <w:p w14:paraId="0A2A5497"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1</w:t>
      </w:r>
      <w:r w:rsidRPr="001839C2">
        <w:rPr>
          <w:rFonts w:eastAsiaTheme="minorEastAsia"/>
          <w:snapToGrid/>
          <w:szCs w:val="22"/>
          <w:lang w:val="lt-LT" w:eastAsia="en-IN"/>
        </w:rPr>
        <w:t xml:space="preserve"> Ši nepageidaujama reakcija gali pasireikšti kaip proksimalinės inkstų tubulopatijos pasekmė. Jeigu nėra šios būklės,</w:t>
      </w:r>
      <w:r w:rsidR="00BF3462" w:rsidRPr="001839C2">
        <w:rPr>
          <w:rFonts w:eastAsiaTheme="minorEastAsia"/>
          <w:snapToGrid/>
          <w:szCs w:val="22"/>
          <w:lang w:val="lt-LT" w:eastAsia="en-IN"/>
        </w:rPr>
        <w:t xml:space="preserve"> </w:t>
      </w:r>
      <w:r w:rsidRPr="001839C2">
        <w:rPr>
          <w:rFonts w:eastAsiaTheme="minorEastAsia"/>
          <w:snapToGrid/>
          <w:szCs w:val="22"/>
          <w:lang w:val="lt-LT" w:eastAsia="en-IN"/>
        </w:rPr>
        <w:t>manoma, kad reakcija nėra susijusi su tenofoviro dizoproksilio vartojimu.</w:t>
      </w:r>
    </w:p>
    <w:p w14:paraId="14FBEE23"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2</w:t>
      </w:r>
      <w:r w:rsidRPr="001839C2">
        <w:rPr>
          <w:rFonts w:eastAsiaTheme="minorEastAsia"/>
          <w:snapToGrid/>
          <w:szCs w:val="22"/>
          <w:lang w:val="lt-LT" w:eastAsia="en-IN"/>
        </w:rPr>
        <w:t xml:space="preserve"> Dažnai pasitaikė anemija ir labai dažnai – odos spalvos pokyčiai (hiperpigmentacija), kai emtricitabin</w:t>
      </w:r>
      <w:r w:rsidR="00BF3462" w:rsidRPr="001839C2">
        <w:rPr>
          <w:rFonts w:eastAsiaTheme="minorEastAsia"/>
          <w:snapToGrid/>
          <w:szCs w:val="22"/>
          <w:lang w:val="lt-LT" w:eastAsia="en-IN"/>
        </w:rPr>
        <w:t>o</w:t>
      </w:r>
      <w:r w:rsidRPr="001839C2">
        <w:rPr>
          <w:rFonts w:eastAsiaTheme="minorEastAsia"/>
          <w:snapToGrid/>
          <w:szCs w:val="22"/>
          <w:lang w:val="lt-LT" w:eastAsia="en-IN"/>
        </w:rPr>
        <w:t xml:space="preserve"> buvo skiriama vaikams.</w:t>
      </w:r>
    </w:p>
    <w:p w14:paraId="1FEB80EB" w14:textId="77777777" w:rsidR="002A5F50" w:rsidRPr="001839C2" w:rsidRDefault="00BF3462"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3</w:t>
      </w:r>
      <w:r w:rsidR="002A5F50" w:rsidRPr="001839C2">
        <w:rPr>
          <w:rFonts w:eastAsiaTheme="minorEastAsia"/>
          <w:snapToGrid/>
          <w:szCs w:val="22"/>
          <w:lang w:val="lt-LT" w:eastAsia="en-IN"/>
        </w:rPr>
        <w:t xml:space="preserve"> Ši nepageidaujama reakcija nustatyta po vaist</w:t>
      </w:r>
      <w:r w:rsidRPr="001839C2">
        <w:rPr>
          <w:rFonts w:eastAsiaTheme="minorEastAsia"/>
          <w:snapToGrid/>
          <w:szCs w:val="22"/>
          <w:lang w:val="lt-LT" w:eastAsia="en-IN"/>
        </w:rPr>
        <w:t>ini</w:t>
      </w:r>
      <w:r w:rsidR="002A5F50" w:rsidRPr="001839C2">
        <w:rPr>
          <w:rFonts w:eastAsiaTheme="minorEastAsia"/>
          <w:snapToGrid/>
          <w:szCs w:val="22"/>
          <w:lang w:val="lt-LT" w:eastAsia="en-IN"/>
        </w:rPr>
        <w:t>o</w:t>
      </w:r>
      <w:r w:rsidRPr="001839C2">
        <w:rPr>
          <w:rFonts w:eastAsiaTheme="minorEastAsia"/>
          <w:snapToGrid/>
          <w:szCs w:val="22"/>
          <w:lang w:val="lt-LT" w:eastAsia="en-IN"/>
        </w:rPr>
        <w:t xml:space="preserve"> preparato</w:t>
      </w:r>
      <w:r w:rsidR="002A5F50" w:rsidRPr="001839C2">
        <w:rPr>
          <w:rFonts w:eastAsiaTheme="minorEastAsia"/>
          <w:snapToGrid/>
          <w:szCs w:val="22"/>
          <w:lang w:val="lt-LT" w:eastAsia="en-IN"/>
        </w:rPr>
        <w:t xml:space="preserve"> pateikimo į rinką, bet nebuvo pastebėta emtricitabino atsitiktinių imčių kontroliuojamų klinikinių tyrimų su ŽIV</w:t>
      </w:r>
      <w:r w:rsidR="005A1075" w:rsidRPr="001839C2">
        <w:rPr>
          <w:rFonts w:eastAsiaTheme="minorEastAsia"/>
          <w:snapToGrid/>
          <w:szCs w:val="22"/>
          <w:lang w:val="lt-LT" w:eastAsia="en-IN"/>
        </w:rPr>
        <w:t> </w:t>
      </w:r>
      <w:r w:rsidR="002A5F50" w:rsidRPr="001839C2">
        <w:rPr>
          <w:rFonts w:eastAsiaTheme="minorEastAsia"/>
          <w:snapToGrid/>
          <w:szCs w:val="22"/>
          <w:lang w:val="lt-LT" w:eastAsia="en-IN"/>
        </w:rPr>
        <w:t>infekuotais suaugusiaisiais ar vaikais metu ar</w:t>
      </w:r>
      <w:r w:rsidR="005A1075" w:rsidRPr="001839C2">
        <w:rPr>
          <w:rFonts w:eastAsiaTheme="minorEastAsia"/>
          <w:snapToGrid/>
          <w:szCs w:val="22"/>
          <w:lang w:val="lt-LT" w:eastAsia="en-IN"/>
        </w:rPr>
        <w:t xml:space="preserve"> tenofoviro dizoproksilio</w:t>
      </w:r>
      <w:r w:rsidR="002A5F50" w:rsidRPr="001839C2">
        <w:rPr>
          <w:rFonts w:eastAsiaTheme="minorEastAsia"/>
          <w:snapToGrid/>
          <w:szCs w:val="22"/>
          <w:lang w:val="lt-LT" w:eastAsia="en-IN"/>
        </w:rPr>
        <w:t xml:space="preserve"> atsitiktinių imčių kontroliuojamų klinikinių tyrimų, ar tenofoviro dizoproksilio išplėstinio vartojimo programos metu. Dažnio kategorija buvo vertinama pagal statistinius skaičiavimus, remiantis bendru pacientų, vartojusių emtricitabin</w:t>
      </w:r>
      <w:r w:rsidRPr="001839C2">
        <w:rPr>
          <w:rFonts w:eastAsiaTheme="minorEastAsia"/>
          <w:snapToGrid/>
          <w:szCs w:val="22"/>
          <w:lang w:val="lt-LT" w:eastAsia="en-IN"/>
        </w:rPr>
        <w:t>o</w:t>
      </w:r>
      <w:r w:rsidR="002A5F50" w:rsidRPr="001839C2">
        <w:rPr>
          <w:rFonts w:eastAsiaTheme="minorEastAsia"/>
          <w:snapToGrid/>
          <w:szCs w:val="22"/>
          <w:lang w:val="lt-LT" w:eastAsia="en-IN"/>
        </w:rPr>
        <w:t xml:space="preserve"> atsitiktinių imčių kontroliuojamų klinikinių tyrimų metu, skaičiumi (n</w:t>
      </w:r>
      <w:r w:rsidRPr="001839C2">
        <w:rPr>
          <w:rFonts w:eastAsiaTheme="minorEastAsia"/>
          <w:snapToGrid/>
          <w:szCs w:val="22"/>
          <w:lang w:val="lt-LT" w:eastAsia="en-IN"/>
        </w:rPr>
        <w:t> </w:t>
      </w:r>
      <w:r w:rsidR="002A5F50" w:rsidRPr="001839C2">
        <w:rPr>
          <w:rFonts w:eastAsiaTheme="minorEastAsia"/>
          <w:snapToGrid/>
          <w:szCs w:val="22"/>
          <w:lang w:val="lt-LT" w:eastAsia="en-IN"/>
        </w:rPr>
        <w:t>=</w:t>
      </w:r>
      <w:r w:rsidRPr="001839C2">
        <w:rPr>
          <w:rFonts w:eastAsiaTheme="minorEastAsia"/>
          <w:snapToGrid/>
          <w:szCs w:val="22"/>
          <w:lang w:val="lt-LT" w:eastAsia="en-IN"/>
        </w:rPr>
        <w:t> </w:t>
      </w:r>
      <w:r w:rsidR="002A5F50" w:rsidRPr="001839C2">
        <w:rPr>
          <w:rFonts w:eastAsiaTheme="minorEastAsia"/>
          <w:snapToGrid/>
          <w:szCs w:val="22"/>
          <w:lang w:val="lt-LT" w:eastAsia="en-IN"/>
        </w:rPr>
        <w:t>1</w:t>
      </w:r>
      <w:r w:rsidRPr="001839C2">
        <w:rPr>
          <w:rFonts w:eastAsiaTheme="minorEastAsia"/>
          <w:snapToGrid/>
          <w:szCs w:val="22"/>
          <w:lang w:val="lt-LT" w:eastAsia="en-IN"/>
        </w:rPr>
        <w:t> </w:t>
      </w:r>
      <w:r w:rsidR="002A5F50" w:rsidRPr="001839C2">
        <w:rPr>
          <w:rFonts w:eastAsiaTheme="minorEastAsia"/>
          <w:snapToGrid/>
          <w:szCs w:val="22"/>
          <w:lang w:val="lt-LT" w:eastAsia="en-IN"/>
        </w:rPr>
        <w:t>563) ar</w:t>
      </w:r>
      <w:r w:rsidR="005A1075" w:rsidRPr="001839C2">
        <w:rPr>
          <w:rFonts w:eastAsiaTheme="minorEastAsia"/>
          <w:snapToGrid/>
          <w:szCs w:val="22"/>
          <w:lang w:val="lt-LT" w:eastAsia="en-IN"/>
        </w:rPr>
        <w:t>,</w:t>
      </w:r>
      <w:r w:rsidR="002A5F50" w:rsidRPr="001839C2">
        <w:rPr>
          <w:rFonts w:eastAsiaTheme="minorEastAsia"/>
          <w:snapToGrid/>
          <w:szCs w:val="22"/>
          <w:lang w:val="lt-LT" w:eastAsia="en-IN"/>
        </w:rPr>
        <w:t xml:space="preserve"> </w:t>
      </w:r>
      <w:r w:rsidR="005A1075" w:rsidRPr="001839C2">
        <w:rPr>
          <w:rFonts w:eastAsiaTheme="minorEastAsia"/>
          <w:snapToGrid/>
          <w:szCs w:val="22"/>
          <w:lang w:val="lt-LT" w:eastAsia="en-IN"/>
        </w:rPr>
        <w:t xml:space="preserve">vartojusių </w:t>
      </w:r>
      <w:r w:rsidR="002A5F50" w:rsidRPr="001839C2">
        <w:rPr>
          <w:rFonts w:eastAsiaTheme="minorEastAsia"/>
          <w:snapToGrid/>
          <w:szCs w:val="22"/>
          <w:lang w:val="lt-LT" w:eastAsia="en-IN"/>
        </w:rPr>
        <w:t>tenofoviro dizoproksil</w:t>
      </w:r>
      <w:r w:rsidRPr="001839C2">
        <w:rPr>
          <w:rFonts w:eastAsiaTheme="minorEastAsia"/>
          <w:snapToGrid/>
          <w:szCs w:val="22"/>
          <w:lang w:val="lt-LT" w:eastAsia="en-IN"/>
        </w:rPr>
        <w:t>io</w:t>
      </w:r>
      <w:r w:rsidR="002A5F50" w:rsidRPr="001839C2">
        <w:rPr>
          <w:rFonts w:eastAsiaTheme="minorEastAsia"/>
          <w:snapToGrid/>
          <w:szCs w:val="22"/>
          <w:lang w:val="lt-LT" w:eastAsia="en-IN"/>
        </w:rPr>
        <w:t xml:space="preserve"> a</w:t>
      </w:r>
      <w:r w:rsidR="005A1075" w:rsidRPr="001839C2">
        <w:rPr>
          <w:rFonts w:eastAsiaTheme="minorEastAsia"/>
          <w:snapToGrid/>
          <w:szCs w:val="22"/>
          <w:lang w:val="lt-LT" w:eastAsia="en-IN"/>
        </w:rPr>
        <w:t>ts</w:t>
      </w:r>
      <w:r w:rsidR="002A5F50" w:rsidRPr="001839C2">
        <w:rPr>
          <w:rFonts w:eastAsiaTheme="minorEastAsia"/>
          <w:snapToGrid/>
          <w:szCs w:val="22"/>
          <w:lang w:val="lt-LT" w:eastAsia="en-IN"/>
        </w:rPr>
        <w:t>it</w:t>
      </w:r>
      <w:r w:rsidR="005A1075" w:rsidRPr="001839C2">
        <w:rPr>
          <w:rFonts w:eastAsiaTheme="minorEastAsia"/>
          <w:snapToGrid/>
          <w:szCs w:val="22"/>
          <w:lang w:val="lt-LT" w:eastAsia="en-IN"/>
        </w:rPr>
        <w:t>iktini</w:t>
      </w:r>
      <w:r w:rsidR="002A5F50" w:rsidRPr="001839C2">
        <w:rPr>
          <w:rFonts w:eastAsiaTheme="minorEastAsia"/>
          <w:snapToGrid/>
          <w:szCs w:val="22"/>
          <w:lang w:val="lt-LT" w:eastAsia="en-IN"/>
        </w:rPr>
        <w:t>ų</w:t>
      </w:r>
      <w:r w:rsidR="005A1075" w:rsidRPr="001839C2">
        <w:rPr>
          <w:rFonts w:eastAsiaTheme="minorEastAsia"/>
          <w:snapToGrid/>
          <w:szCs w:val="22"/>
          <w:lang w:val="lt-LT" w:eastAsia="en-IN"/>
        </w:rPr>
        <w:t xml:space="preserve"> imčių</w:t>
      </w:r>
      <w:r w:rsidR="002A5F50" w:rsidRPr="001839C2">
        <w:rPr>
          <w:rFonts w:eastAsiaTheme="minorEastAsia"/>
          <w:snapToGrid/>
          <w:szCs w:val="22"/>
          <w:lang w:val="lt-LT" w:eastAsia="en-IN"/>
        </w:rPr>
        <w:t xml:space="preserve"> kontroliuojamų klinikinių tyrimų ir išplėstinio vartojimo programos metu, skaičiumi (n</w:t>
      </w:r>
      <w:r w:rsidRPr="001839C2">
        <w:rPr>
          <w:rFonts w:eastAsiaTheme="minorEastAsia"/>
          <w:snapToGrid/>
          <w:szCs w:val="22"/>
          <w:lang w:val="lt-LT" w:eastAsia="en-IN"/>
        </w:rPr>
        <w:t> </w:t>
      </w:r>
      <w:r w:rsidR="002A5F50" w:rsidRPr="001839C2">
        <w:rPr>
          <w:rFonts w:eastAsiaTheme="minorEastAsia"/>
          <w:snapToGrid/>
          <w:szCs w:val="22"/>
          <w:lang w:val="lt-LT" w:eastAsia="en-IN"/>
        </w:rPr>
        <w:t>=</w:t>
      </w:r>
      <w:r w:rsidRPr="001839C2">
        <w:rPr>
          <w:rFonts w:eastAsiaTheme="minorEastAsia"/>
          <w:snapToGrid/>
          <w:szCs w:val="22"/>
          <w:lang w:val="lt-LT" w:eastAsia="en-IN"/>
        </w:rPr>
        <w:t> </w:t>
      </w:r>
      <w:r w:rsidR="002A5F50" w:rsidRPr="001839C2">
        <w:rPr>
          <w:rFonts w:eastAsiaTheme="minorEastAsia"/>
          <w:snapToGrid/>
          <w:szCs w:val="22"/>
          <w:lang w:val="lt-LT" w:eastAsia="en-IN"/>
        </w:rPr>
        <w:t>7</w:t>
      </w:r>
      <w:r w:rsidRPr="001839C2">
        <w:rPr>
          <w:rFonts w:eastAsiaTheme="minorEastAsia"/>
          <w:snapToGrid/>
          <w:szCs w:val="22"/>
          <w:lang w:val="lt-LT" w:eastAsia="en-IN"/>
        </w:rPr>
        <w:t> </w:t>
      </w:r>
      <w:r w:rsidR="002A5F50" w:rsidRPr="001839C2">
        <w:rPr>
          <w:rFonts w:eastAsiaTheme="minorEastAsia"/>
          <w:snapToGrid/>
          <w:szCs w:val="22"/>
          <w:lang w:val="lt-LT" w:eastAsia="en-IN"/>
        </w:rPr>
        <w:t>319).</w:t>
      </w:r>
    </w:p>
    <w:p w14:paraId="28BD86C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9E90845" w14:textId="77777777" w:rsidR="002A5F50" w:rsidRPr="001839C2" w:rsidRDefault="00BF3462" w:rsidP="00B67510">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At</w:t>
      </w:r>
      <w:r w:rsidR="002A5F50" w:rsidRPr="001839C2">
        <w:rPr>
          <w:rFonts w:eastAsiaTheme="minorEastAsia"/>
          <w:snapToGrid/>
          <w:szCs w:val="22"/>
          <w:u w:val="single"/>
          <w:lang w:val="lt-LT" w:eastAsia="en-IN"/>
        </w:rPr>
        <w:t>rinktų nepageidaujamų reakcijų ap</w:t>
      </w:r>
      <w:r w:rsidRPr="001839C2">
        <w:rPr>
          <w:rFonts w:eastAsiaTheme="minorEastAsia"/>
          <w:snapToGrid/>
          <w:szCs w:val="22"/>
          <w:u w:val="single"/>
          <w:lang w:val="lt-LT" w:eastAsia="en-IN"/>
        </w:rPr>
        <w:t>ibūdini</w:t>
      </w:r>
      <w:r w:rsidR="002A5F50" w:rsidRPr="001839C2">
        <w:rPr>
          <w:rFonts w:eastAsiaTheme="minorEastAsia"/>
          <w:snapToGrid/>
          <w:szCs w:val="22"/>
          <w:u w:val="single"/>
          <w:lang w:val="lt-LT" w:eastAsia="en-IN"/>
        </w:rPr>
        <w:t>mas</w:t>
      </w:r>
    </w:p>
    <w:p w14:paraId="4BEEEF78" w14:textId="77777777" w:rsidR="00BF3462" w:rsidRPr="001839C2" w:rsidRDefault="002A5F50" w:rsidP="00B67510">
      <w:pPr>
        <w:keepNext/>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Inkstų funkcijos sutrikimas</w:t>
      </w:r>
    </w:p>
    <w:p w14:paraId="2865B579" w14:textId="77777777" w:rsidR="002A5F50" w:rsidRPr="001839C2" w:rsidRDefault="002A5F50" w:rsidP="00B67510">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Kadangi emtricitabino</w:t>
      </w:r>
      <w:r w:rsidR="00BF3462"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45872" w:rsidRPr="001839C2">
        <w:rPr>
          <w:rFonts w:eastAsiaTheme="minorEastAsia"/>
          <w:snapToGrid/>
          <w:szCs w:val="22"/>
          <w:lang w:val="lt-LT" w:eastAsia="en-IN"/>
        </w:rPr>
        <w:t>i</w:t>
      </w:r>
      <w:r w:rsidR="00BF3462" w:rsidRPr="001839C2">
        <w:rPr>
          <w:rFonts w:eastAsiaTheme="minorEastAsia"/>
          <w:snapToGrid/>
          <w:szCs w:val="22"/>
          <w:lang w:val="lt-LT" w:eastAsia="en-IN"/>
        </w:rPr>
        <w:t>o derinys</w:t>
      </w:r>
      <w:r w:rsidRPr="001839C2" w:rsidDel="002B71B2">
        <w:rPr>
          <w:rFonts w:eastAsiaTheme="minorEastAsia"/>
          <w:snapToGrid/>
          <w:szCs w:val="22"/>
          <w:lang w:val="lt-LT" w:eastAsia="en-IN"/>
        </w:rPr>
        <w:t xml:space="preserve"> </w:t>
      </w:r>
      <w:r w:rsidRPr="001839C2">
        <w:rPr>
          <w:rFonts w:eastAsiaTheme="minorEastAsia"/>
          <w:snapToGrid/>
          <w:szCs w:val="22"/>
          <w:lang w:val="lt-LT" w:eastAsia="en-IN"/>
        </w:rPr>
        <w:t>gali pakenkti inkstams, rekomenduojama stebėti pacientų inkstų funkciją (žr.</w:t>
      </w:r>
      <w:r w:rsidR="00BF3462" w:rsidRPr="001839C2">
        <w:rPr>
          <w:rFonts w:eastAsiaTheme="minorEastAsia"/>
          <w:snapToGrid/>
          <w:szCs w:val="22"/>
          <w:lang w:val="lt-LT" w:eastAsia="en-IN"/>
        </w:rPr>
        <w:t> </w:t>
      </w:r>
      <w:r w:rsidRPr="001839C2">
        <w:rPr>
          <w:rFonts w:eastAsiaTheme="minorEastAsia"/>
          <w:snapToGrid/>
          <w:szCs w:val="22"/>
          <w:lang w:val="lt-LT" w:eastAsia="en-IN"/>
        </w:rPr>
        <w:t>4.4</w:t>
      </w:r>
      <w:r w:rsidR="00BF3462" w:rsidRPr="001839C2">
        <w:rPr>
          <w:rFonts w:eastAsiaTheme="minorEastAsia"/>
          <w:snapToGrid/>
          <w:szCs w:val="22"/>
          <w:lang w:val="lt-LT" w:eastAsia="en-IN"/>
        </w:rPr>
        <w:t> </w:t>
      </w:r>
      <w:r w:rsidRPr="001839C2">
        <w:rPr>
          <w:rFonts w:eastAsiaTheme="minorEastAsia"/>
          <w:snapToGrid/>
          <w:szCs w:val="22"/>
          <w:lang w:val="lt-LT" w:eastAsia="en-IN"/>
        </w:rPr>
        <w:t xml:space="preserve">skyrių). Proksimalinė inkstų tubulopatija paprastai praeidavo </w:t>
      </w:r>
      <w:r w:rsidRPr="001839C2">
        <w:rPr>
          <w:rFonts w:eastAsiaTheme="minorEastAsia"/>
          <w:snapToGrid/>
          <w:szCs w:val="22"/>
          <w:lang w:val="lt-LT" w:eastAsia="en-IN"/>
        </w:rPr>
        <w:lastRenderedPageBreak/>
        <w:t>arba p</w:t>
      </w:r>
      <w:r w:rsidR="007E0E67" w:rsidRPr="001839C2">
        <w:rPr>
          <w:rFonts w:eastAsiaTheme="minorEastAsia"/>
          <w:snapToGrid/>
          <w:szCs w:val="22"/>
          <w:lang w:val="lt-LT" w:eastAsia="en-IN"/>
        </w:rPr>
        <w:t>ale</w:t>
      </w:r>
      <w:r w:rsidRPr="001839C2">
        <w:rPr>
          <w:rFonts w:eastAsiaTheme="minorEastAsia"/>
          <w:snapToGrid/>
          <w:szCs w:val="22"/>
          <w:lang w:val="lt-LT" w:eastAsia="en-IN"/>
        </w:rPr>
        <w:t>n</w:t>
      </w:r>
      <w:r w:rsidR="007E0E67" w:rsidRPr="001839C2">
        <w:rPr>
          <w:rFonts w:eastAsiaTheme="minorEastAsia"/>
          <w:snapToGrid/>
          <w:szCs w:val="22"/>
          <w:lang w:val="lt-LT" w:eastAsia="en-IN"/>
        </w:rPr>
        <w:t>gv</w:t>
      </w:r>
      <w:r w:rsidRPr="001839C2">
        <w:rPr>
          <w:rFonts w:eastAsiaTheme="minorEastAsia"/>
          <w:snapToGrid/>
          <w:szCs w:val="22"/>
          <w:lang w:val="lt-LT" w:eastAsia="en-IN"/>
        </w:rPr>
        <w:t>ėdavo, nutraukus tenofoviro dizoproksilio vartojimą. Tačiau kai kuriems ŽIV</w:t>
      </w:r>
      <w:r w:rsidR="00BF3462" w:rsidRPr="001839C2">
        <w:rPr>
          <w:rFonts w:eastAsiaTheme="minorEastAsia"/>
          <w:snapToGrid/>
          <w:szCs w:val="22"/>
          <w:lang w:val="lt-LT" w:eastAsia="en-IN"/>
        </w:rPr>
        <w:noBreakHyphen/>
      </w:r>
      <w:r w:rsidRPr="001839C2">
        <w:rPr>
          <w:rFonts w:eastAsiaTheme="minorEastAsia"/>
          <w:snapToGrid/>
          <w:szCs w:val="22"/>
          <w:lang w:val="lt-LT" w:eastAsia="en-IN"/>
        </w:rPr>
        <w:t>1</w:t>
      </w:r>
      <w:r w:rsidR="007E0E67" w:rsidRPr="001839C2">
        <w:rPr>
          <w:rFonts w:eastAsiaTheme="minorEastAsia"/>
          <w:snapToGrid/>
          <w:szCs w:val="22"/>
          <w:lang w:val="lt-LT" w:eastAsia="en-IN"/>
        </w:rPr>
        <w:t> </w:t>
      </w:r>
      <w:r w:rsidRPr="001839C2">
        <w:rPr>
          <w:rFonts w:eastAsiaTheme="minorEastAsia"/>
          <w:snapToGrid/>
          <w:szCs w:val="22"/>
          <w:lang w:val="lt-LT" w:eastAsia="en-IN"/>
        </w:rPr>
        <w:t>infekuotiems pacientams, nepaisant tenofoviro dizoproksilio vartojimo nutraukimo, kreatinino klirenso sumažėjimas visiškai nepraėjo. Pacientams, kuriems yra inkstų funkcijos sutrikimo rizika (pvz., pacientams, kuriems yra pradinių inkstų funkcijos sutrikimo rizikos faktorių, pažengusi ŽIV</w:t>
      </w:r>
      <w:r w:rsidR="00BF3462" w:rsidRPr="001839C2">
        <w:rPr>
          <w:rFonts w:eastAsiaTheme="minorEastAsia"/>
          <w:snapToGrid/>
          <w:szCs w:val="22"/>
          <w:lang w:val="lt-LT" w:eastAsia="en-IN"/>
        </w:rPr>
        <w:t> </w:t>
      </w:r>
      <w:r w:rsidRPr="001839C2">
        <w:rPr>
          <w:rFonts w:eastAsiaTheme="minorEastAsia"/>
          <w:snapToGrid/>
          <w:szCs w:val="22"/>
          <w:lang w:val="lt-LT" w:eastAsia="en-IN"/>
        </w:rPr>
        <w:t>liga, arba pacientams, kurie kartu vartoja nefrotoksini</w:t>
      </w:r>
      <w:r w:rsidR="007E0E67" w:rsidRPr="001839C2">
        <w:rPr>
          <w:rFonts w:eastAsiaTheme="minorEastAsia"/>
          <w:snapToGrid/>
          <w:szCs w:val="22"/>
          <w:lang w:val="lt-LT" w:eastAsia="en-IN"/>
        </w:rPr>
        <w:t>ų</w:t>
      </w:r>
      <w:r w:rsidRPr="001839C2">
        <w:rPr>
          <w:rFonts w:eastAsiaTheme="minorEastAsia"/>
          <w:snapToGrid/>
          <w:szCs w:val="22"/>
          <w:lang w:val="lt-LT" w:eastAsia="en-IN"/>
        </w:rPr>
        <w:t xml:space="preserve"> vaist</w:t>
      </w:r>
      <w:r w:rsidR="00BF3462" w:rsidRPr="001839C2">
        <w:rPr>
          <w:rFonts w:eastAsiaTheme="minorEastAsia"/>
          <w:snapToGrid/>
          <w:szCs w:val="22"/>
          <w:lang w:val="lt-LT" w:eastAsia="en-IN"/>
        </w:rPr>
        <w:t>ini</w:t>
      </w:r>
      <w:r w:rsidR="007E0E67" w:rsidRPr="001839C2">
        <w:rPr>
          <w:rFonts w:eastAsiaTheme="minorEastAsia"/>
          <w:snapToGrid/>
          <w:szCs w:val="22"/>
          <w:lang w:val="lt-LT" w:eastAsia="en-IN"/>
        </w:rPr>
        <w:t>ų preparatų</w:t>
      </w:r>
      <w:r w:rsidRPr="001839C2">
        <w:rPr>
          <w:rFonts w:eastAsiaTheme="minorEastAsia"/>
          <w:snapToGrid/>
          <w:szCs w:val="22"/>
          <w:lang w:val="lt-LT" w:eastAsia="en-IN"/>
        </w:rPr>
        <w:t>), yra padidėjusi rizika, kad inkstų funkcijos sutrikimo visiškai išgydyti nepavyks, nepaisant tenofoviro dizoproksilio vartojimo nutraukimo (žr.</w:t>
      </w:r>
      <w:r w:rsidR="00BF3462" w:rsidRPr="001839C2">
        <w:rPr>
          <w:rFonts w:eastAsiaTheme="minorEastAsia"/>
          <w:snapToGrid/>
          <w:szCs w:val="22"/>
          <w:lang w:val="lt-LT" w:eastAsia="en-IN"/>
        </w:rPr>
        <w:t> </w:t>
      </w:r>
      <w:r w:rsidRPr="001839C2">
        <w:rPr>
          <w:rFonts w:eastAsiaTheme="minorEastAsia"/>
          <w:snapToGrid/>
          <w:szCs w:val="22"/>
          <w:lang w:val="lt-LT" w:eastAsia="en-IN"/>
        </w:rPr>
        <w:t>4.4</w:t>
      </w:r>
      <w:r w:rsidR="00BF3462" w:rsidRPr="001839C2">
        <w:rPr>
          <w:rFonts w:eastAsiaTheme="minorEastAsia"/>
          <w:snapToGrid/>
          <w:szCs w:val="22"/>
          <w:lang w:val="lt-LT" w:eastAsia="en-IN"/>
        </w:rPr>
        <w:t> </w:t>
      </w:r>
      <w:r w:rsidRPr="001839C2">
        <w:rPr>
          <w:rFonts w:eastAsiaTheme="minorEastAsia"/>
          <w:snapToGrid/>
          <w:szCs w:val="22"/>
          <w:lang w:val="lt-LT" w:eastAsia="en-IN"/>
        </w:rPr>
        <w:t>skyrių).</w:t>
      </w:r>
    </w:p>
    <w:p w14:paraId="60EFA57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4ACB800" w14:textId="77777777" w:rsidR="009537DC" w:rsidRPr="001839C2" w:rsidRDefault="009537DC"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Laktatacidozė</w:t>
      </w:r>
    </w:p>
    <w:p w14:paraId="511BC10C" w14:textId="77777777" w:rsidR="009537DC" w:rsidRPr="001839C2" w:rsidRDefault="009537DC" w:rsidP="00230559">
      <w:pPr>
        <w:widowControl w:val="0"/>
        <w:tabs>
          <w:tab w:val="clear" w:pos="567"/>
          <w:tab w:val="left" w:pos="0"/>
        </w:tabs>
        <w:kinsoku w:val="0"/>
        <w:overflowPunct w:val="0"/>
        <w:autoSpaceDE w:val="0"/>
        <w:autoSpaceDN w:val="0"/>
        <w:adjustRightInd w:val="0"/>
        <w:rPr>
          <w:lang w:val="lt-LT"/>
        </w:rPr>
      </w:pPr>
      <w:r w:rsidRPr="001839C2">
        <w:rPr>
          <w:lang w:val="lt-LT"/>
        </w:rPr>
        <w:t>Vartojant tenofovirą dizoproksilį vieną arba kartu su kitais antiretrovirusiniais vaistiniais preparatais, nustatyta laktatacidozės atvejų. Polinkį turintiems pacientams, pavyzdžiui, sergantiems nekompensuota kepenų liga arba kartu vartojantiems vaistinių preparatų, kurie žinomi kaip sukeliantys laktatacidozę, gydymo tenofoviru dizoproksiliu laikotarpiu yra padidėjusi sunkios laktatacidozės, kuri gali būti mirtina, rizika.</w:t>
      </w:r>
    </w:p>
    <w:p w14:paraId="30C9DC87"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p>
    <w:p w14:paraId="0C68C822" w14:textId="77777777" w:rsidR="00BF3462"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Metabolizmo rod</w:t>
      </w:r>
      <w:r w:rsidR="00BF3462" w:rsidRPr="001839C2">
        <w:rPr>
          <w:rFonts w:eastAsiaTheme="minorEastAsia"/>
          <w:i/>
          <w:iCs/>
          <w:snapToGrid/>
          <w:szCs w:val="22"/>
          <w:lang w:val="lt-LT" w:eastAsia="en-IN"/>
        </w:rPr>
        <w:t>ikliai</w:t>
      </w:r>
    </w:p>
    <w:p w14:paraId="2AD28B0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Gydymo antiretrovirusiniais </w:t>
      </w:r>
      <w:r w:rsidR="00BF3462" w:rsidRPr="001839C2">
        <w:rPr>
          <w:rFonts w:eastAsiaTheme="minorEastAsia"/>
          <w:snapToGrid/>
          <w:szCs w:val="22"/>
          <w:lang w:val="lt-LT" w:eastAsia="en-IN"/>
        </w:rPr>
        <w:t xml:space="preserve">vaistiniais </w:t>
      </w:r>
      <w:r w:rsidRPr="001839C2">
        <w:rPr>
          <w:rFonts w:eastAsiaTheme="minorEastAsia"/>
          <w:snapToGrid/>
          <w:szCs w:val="22"/>
          <w:lang w:val="lt-LT" w:eastAsia="en-IN"/>
        </w:rPr>
        <w:t>preparatais metu gali padidėti kūno masė ir lipidų bei gliukozės koncentracijos kraujyje (žr.</w:t>
      </w:r>
      <w:r w:rsidR="00BF3462" w:rsidRPr="001839C2">
        <w:rPr>
          <w:rFonts w:eastAsiaTheme="minorEastAsia"/>
          <w:snapToGrid/>
          <w:szCs w:val="22"/>
          <w:lang w:val="lt-LT" w:eastAsia="en-IN"/>
        </w:rPr>
        <w:t> </w:t>
      </w:r>
      <w:r w:rsidRPr="001839C2">
        <w:rPr>
          <w:rFonts w:eastAsiaTheme="minorEastAsia"/>
          <w:snapToGrid/>
          <w:szCs w:val="22"/>
          <w:lang w:val="lt-LT" w:eastAsia="en-IN"/>
        </w:rPr>
        <w:t>4.4</w:t>
      </w:r>
      <w:r w:rsidR="00BF3462" w:rsidRPr="001839C2">
        <w:rPr>
          <w:rFonts w:eastAsiaTheme="minorEastAsia"/>
          <w:snapToGrid/>
          <w:szCs w:val="22"/>
          <w:lang w:val="lt-LT" w:eastAsia="en-IN"/>
        </w:rPr>
        <w:t> </w:t>
      </w:r>
      <w:r w:rsidRPr="001839C2">
        <w:rPr>
          <w:rFonts w:eastAsiaTheme="minorEastAsia"/>
          <w:snapToGrid/>
          <w:szCs w:val="22"/>
          <w:lang w:val="lt-LT" w:eastAsia="en-IN"/>
        </w:rPr>
        <w:t>skyrių).</w:t>
      </w:r>
    </w:p>
    <w:p w14:paraId="6A2D759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D053C6E" w14:textId="77777777" w:rsidR="00BF3462"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Imuninės reaktyvacijos sindromas</w:t>
      </w:r>
    </w:p>
    <w:p w14:paraId="7CEC3D98"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ŽIV</w:t>
      </w:r>
      <w:r w:rsidR="007E0E67" w:rsidRPr="001839C2">
        <w:rPr>
          <w:rFonts w:eastAsiaTheme="minorEastAsia"/>
          <w:snapToGrid/>
          <w:szCs w:val="22"/>
          <w:lang w:val="lt-LT" w:eastAsia="en-IN"/>
        </w:rPr>
        <w:t> </w:t>
      </w:r>
      <w:r w:rsidRPr="001839C2">
        <w:rPr>
          <w:rFonts w:eastAsiaTheme="minorEastAsia"/>
          <w:snapToGrid/>
          <w:szCs w:val="22"/>
          <w:lang w:val="lt-LT" w:eastAsia="en-IN"/>
        </w:rPr>
        <w:t>infekuotiems pacientams, kuriems yra didelis imuninės sistemos deficitas, pradėjus KARG, gali išsivystyti uždegiminė reakcija į besimptomes arba likusias infekcijas, sukeltas sąlyginai patogeninių mikroorganizmų. Taip pat buvo pranešta apie autoimuninius sutrikimus (pvz., Greivso ligą</w:t>
      </w:r>
      <w:r w:rsidR="003E7B5B" w:rsidRPr="001839C2">
        <w:rPr>
          <w:rFonts w:eastAsiaTheme="minorEastAsia"/>
          <w:snapToGrid/>
          <w:szCs w:val="22"/>
          <w:lang w:val="lt-LT" w:eastAsia="en-IN"/>
        </w:rPr>
        <w:t xml:space="preserve"> ir autoimuninį hepatitą</w:t>
      </w:r>
      <w:r w:rsidRPr="001839C2">
        <w:rPr>
          <w:rFonts w:eastAsiaTheme="minorEastAsia"/>
          <w:snapToGrid/>
          <w:szCs w:val="22"/>
          <w:lang w:val="lt-LT" w:eastAsia="en-IN"/>
        </w:rPr>
        <w:t>), tačiau praneštas jų pradžios laikas yra labiau kintamas ir šie reiškiniai galimi per daug mėnesių nuo gydymo pradžios (žr.</w:t>
      </w:r>
      <w:r w:rsidR="00BF3462" w:rsidRPr="001839C2">
        <w:rPr>
          <w:rFonts w:eastAsiaTheme="minorEastAsia"/>
          <w:snapToGrid/>
          <w:szCs w:val="22"/>
          <w:lang w:val="lt-LT" w:eastAsia="en-IN"/>
        </w:rPr>
        <w:t> </w:t>
      </w:r>
      <w:r w:rsidRPr="001839C2">
        <w:rPr>
          <w:rFonts w:eastAsiaTheme="minorEastAsia"/>
          <w:snapToGrid/>
          <w:szCs w:val="22"/>
          <w:lang w:val="lt-LT" w:eastAsia="en-IN"/>
        </w:rPr>
        <w:t>4.4</w:t>
      </w:r>
      <w:r w:rsidR="00BF3462" w:rsidRPr="001839C2">
        <w:rPr>
          <w:rFonts w:eastAsiaTheme="minorEastAsia"/>
          <w:snapToGrid/>
          <w:szCs w:val="22"/>
          <w:lang w:val="lt-LT" w:eastAsia="en-IN"/>
        </w:rPr>
        <w:t> </w:t>
      </w:r>
      <w:r w:rsidRPr="001839C2">
        <w:rPr>
          <w:rFonts w:eastAsiaTheme="minorEastAsia"/>
          <w:snapToGrid/>
          <w:szCs w:val="22"/>
          <w:lang w:val="lt-LT" w:eastAsia="en-IN"/>
        </w:rPr>
        <w:t>skyrių).</w:t>
      </w:r>
    </w:p>
    <w:p w14:paraId="0E03F751"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933A515" w14:textId="77777777" w:rsidR="00BF3462"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Kaulų nekrozė</w:t>
      </w:r>
    </w:p>
    <w:p w14:paraId="5D50FB7B" w14:textId="77777777" w:rsidR="002A5F50" w:rsidRPr="001839C2" w:rsidRDefault="00BF3462"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Y</w:t>
      </w:r>
      <w:r w:rsidR="002A5F50" w:rsidRPr="001839C2">
        <w:rPr>
          <w:rFonts w:eastAsiaTheme="minorEastAsia"/>
          <w:snapToGrid/>
          <w:szCs w:val="22"/>
          <w:lang w:val="lt-LT" w:eastAsia="en-IN"/>
        </w:rPr>
        <w:t>ra duomenų apie kaulų nekrozės atvejus, ypač pacientams, kuriems yra gerai žinomų rizikos veiksnių, toli pažengusi ŽIV</w:t>
      </w:r>
      <w:r w:rsidRPr="001839C2">
        <w:rPr>
          <w:rFonts w:eastAsiaTheme="minorEastAsia"/>
          <w:snapToGrid/>
          <w:szCs w:val="22"/>
          <w:lang w:val="lt-LT" w:eastAsia="en-IN"/>
        </w:rPr>
        <w:t> </w:t>
      </w:r>
      <w:r w:rsidR="002A5F50" w:rsidRPr="001839C2">
        <w:rPr>
          <w:rFonts w:eastAsiaTheme="minorEastAsia"/>
          <w:snapToGrid/>
          <w:szCs w:val="22"/>
          <w:lang w:val="lt-LT" w:eastAsia="en-IN"/>
        </w:rPr>
        <w:t>liga arba ilgai taikomas KARG. Kaulų nekrozės atvejų dažnis nežinomas (žr.</w:t>
      </w:r>
      <w:r w:rsidRPr="001839C2">
        <w:rPr>
          <w:rFonts w:eastAsiaTheme="minorEastAsia"/>
          <w:snapToGrid/>
          <w:szCs w:val="22"/>
          <w:lang w:val="lt-LT" w:eastAsia="en-IN"/>
        </w:rPr>
        <w:t> </w:t>
      </w:r>
      <w:r w:rsidR="002A5F50" w:rsidRPr="001839C2">
        <w:rPr>
          <w:rFonts w:eastAsiaTheme="minorEastAsia"/>
          <w:snapToGrid/>
          <w:szCs w:val="22"/>
          <w:lang w:val="lt-LT" w:eastAsia="en-IN"/>
        </w:rPr>
        <w:t>4.4</w:t>
      </w:r>
      <w:r w:rsidRPr="001839C2">
        <w:rPr>
          <w:rFonts w:eastAsiaTheme="minorEastAsia"/>
          <w:snapToGrid/>
          <w:szCs w:val="22"/>
          <w:lang w:val="lt-LT" w:eastAsia="en-IN"/>
        </w:rPr>
        <w:t> </w:t>
      </w:r>
      <w:r w:rsidR="002A5F50" w:rsidRPr="001839C2">
        <w:rPr>
          <w:rFonts w:eastAsiaTheme="minorEastAsia"/>
          <w:snapToGrid/>
          <w:szCs w:val="22"/>
          <w:lang w:val="lt-LT" w:eastAsia="en-IN"/>
        </w:rPr>
        <w:t>skyrių).</w:t>
      </w:r>
    </w:p>
    <w:p w14:paraId="06CC8A42"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FE0C10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Vaikų populiacija</w:t>
      </w:r>
    </w:p>
    <w:p w14:paraId="1C59BBC1"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Nepageidaujamų reakcijų, susijusių su emtricitabinu, vertinimas pagrįstas trijų</w:t>
      </w:r>
      <w:r w:rsidR="00BF3462" w:rsidRPr="001839C2">
        <w:rPr>
          <w:rFonts w:eastAsiaTheme="minorEastAsia"/>
          <w:snapToGrid/>
          <w:szCs w:val="22"/>
          <w:lang w:val="lt-LT" w:eastAsia="en-IN"/>
        </w:rPr>
        <w:t> </w:t>
      </w:r>
      <w:r w:rsidRPr="001839C2">
        <w:rPr>
          <w:rFonts w:eastAsiaTheme="minorEastAsia"/>
          <w:snapToGrid/>
          <w:szCs w:val="22"/>
          <w:lang w:val="lt-LT" w:eastAsia="en-IN"/>
        </w:rPr>
        <w:t>tyrimų, kuriuose dalyvavo vaikai (n</w:t>
      </w:r>
      <w:r w:rsidR="00BF3462" w:rsidRPr="001839C2">
        <w:rPr>
          <w:rFonts w:eastAsiaTheme="minorEastAsia"/>
          <w:snapToGrid/>
          <w:szCs w:val="22"/>
          <w:lang w:val="lt-LT" w:eastAsia="en-IN"/>
        </w:rPr>
        <w:t> </w:t>
      </w:r>
      <w:r w:rsidRPr="001839C2">
        <w:rPr>
          <w:rFonts w:eastAsiaTheme="minorEastAsia"/>
          <w:snapToGrid/>
          <w:szCs w:val="22"/>
          <w:lang w:val="lt-LT" w:eastAsia="en-IN"/>
        </w:rPr>
        <w:t>=</w:t>
      </w:r>
      <w:r w:rsidR="00BF3462" w:rsidRPr="001839C2">
        <w:rPr>
          <w:rFonts w:eastAsiaTheme="minorEastAsia"/>
          <w:snapToGrid/>
          <w:szCs w:val="22"/>
          <w:lang w:val="lt-LT" w:eastAsia="en-IN"/>
        </w:rPr>
        <w:t> </w:t>
      </w:r>
      <w:r w:rsidRPr="001839C2">
        <w:rPr>
          <w:rFonts w:eastAsiaTheme="minorEastAsia"/>
          <w:snapToGrid/>
          <w:szCs w:val="22"/>
          <w:lang w:val="lt-LT" w:eastAsia="en-IN"/>
        </w:rPr>
        <w:t>169), patirtimi. Jų metu anksčiau negydyti (n</w:t>
      </w:r>
      <w:r w:rsidR="00BF3462" w:rsidRPr="001839C2">
        <w:rPr>
          <w:rFonts w:eastAsiaTheme="minorEastAsia"/>
          <w:snapToGrid/>
          <w:szCs w:val="22"/>
          <w:lang w:val="lt-LT" w:eastAsia="en-IN"/>
        </w:rPr>
        <w:t> </w:t>
      </w:r>
      <w:r w:rsidRPr="001839C2">
        <w:rPr>
          <w:rFonts w:eastAsiaTheme="minorEastAsia"/>
          <w:snapToGrid/>
          <w:szCs w:val="22"/>
          <w:lang w:val="lt-LT" w:eastAsia="en-IN"/>
        </w:rPr>
        <w:t>=</w:t>
      </w:r>
      <w:r w:rsidR="00BF3462" w:rsidRPr="001839C2">
        <w:rPr>
          <w:rFonts w:eastAsiaTheme="minorEastAsia"/>
          <w:snapToGrid/>
          <w:szCs w:val="22"/>
          <w:lang w:val="lt-LT" w:eastAsia="en-IN"/>
        </w:rPr>
        <w:t> </w:t>
      </w:r>
      <w:r w:rsidRPr="001839C2">
        <w:rPr>
          <w:rFonts w:eastAsiaTheme="minorEastAsia"/>
          <w:snapToGrid/>
          <w:szCs w:val="22"/>
          <w:lang w:val="lt-LT" w:eastAsia="en-IN"/>
        </w:rPr>
        <w:t>123) ir anksčiau gydyti (n</w:t>
      </w:r>
      <w:r w:rsidR="00BF3462" w:rsidRPr="001839C2">
        <w:rPr>
          <w:rFonts w:eastAsiaTheme="minorEastAsia"/>
          <w:snapToGrid/>
          <w:szCs w:val="22"/>
          <w:lang w:val="lt-LT" w:eastAsia="en-IN"/>
        </w:rPr>
        <w:t> </w:t>
      </w:r>
      <w:r w:rsidRPr="001839C2">
        <w:rPr>
          <w:rFonts w:eastAsiaTheme="minorEastAsia"/>
          <w:snapToGrid/>
          <w:szCs w:val="22"/>
          <w:lang w:val="lt-LT" w:eastAsia="en-IN"/>
        </w:rPr>
        <w:t>=</w:t>
      </w:r>
      <w:r w:rsidR="00BF3462" w:rsidRPr="001839C2">
        <w:rPr>
          <w:rFonts w:eastAsiaTheme="minorEastAsia"/>
          <w:snapToGrid/>
          <w:szCs w:val="22"/>
          <w:lang w:val="lt-LT" w:eastAsia="en-IN"/>
        </w:rPr>
        <w:t> </w:t>
      </w:r>
      <w:r w:rsidRPr="001839C2">
        <w:rPr>
          <w:rFonts w:eastAsiaTheme="minorEastAsia"/>
          <w:snapToGrid/>
          <w:szCs w:val="22"/>
          <w:lang w:val="lt-LT" w:eastAsia="en-IN"/>
        </w:rPr>
        <w:t>46) ŽIV</w:t>
      </w:r>
      <w:r w:rsidR="007E0E67" w:rsidRPr="001839C2">
        <w:rPr>
          <w:rFonts w:eastAsiaTheme="minorEastAsia"/>
          <w:snapToGrid/>
          <w:szCs w:val="22"/>
          <w:lang w:val="lt-LT" w:eastAsia="en-IN"/>
        </w:rPr>
        <w:t> </w:t>
      </w:r>
      <w:r w:rsidRPr="001839C2">
        <w:rPr>
          <w:rFonts w:eastAsiaTheme="minorEastAsia"/>
          <w:snapToGrid/>
          <w:szCs w:val="22"/>
          <w:lang w:val="lt-LT" w:eastAsia="en-IN"/>
        </w:rPr>
        <w:t>infekuoti pacientai vaikai nuo 4</w:t>
      </w:r>
      <w:r w:rsidR="00BF3462" w:rsidRPr="001839C2">
        <w:rPr>
          <w:rFonts w:eastAsiaTheme="minorEastAsia"/>
          <w:snapToGrid/>
          <w:szCs w:val="22"/>
          <w:lang w:val="lt-LT" w:eastAsia="en-IN"/>
        </w:rPr>
        <w:t> </w:t>
      </w:r>
      <w:r w:rsidRPr="001839C2">
        <w:rPr>
          <w:rFonts w:eastAsiaTheme="minorEastAsia"/>
          <w:snapToGrid/>
          <w:szCs w:val="22"/>
          <w:lang w:val="lt-LT" w:eastAsia="en-IN"/>
        </w:rPr>
        <w:t>mėnesių iki 18</w:t>
      </w:r>
      <w:r w:rsidR="00BF3462" w:rsidRPr="001839C2">
        <w:rPr>
          <w:rFonts w:eastAsiaTheme="minorEastAsia"/>
          <w:snapToGrid/>
          <w:szCs w:val="22"/>
          <w:lang w:val="lt-LT" w:eastAsia="en-IN"/>
        </w:rPr>
        <w:t> </w:t>
      </w:r>
      <w:r w:rsidRPr="001839C2">
        <w:rPr>
          <w:rFonts w:eastAsiaTheme="minorEastAsia"/>
          <w:snapToGrid/>
          <w:szCs w:val="22"/>
          <w:lang w:val="lt-LT" w:eastAsia="en-IN"/>
        </w:rPr>
        <w:t>metų buvo gydomi emtricitabinu kartu su kitais antiretrovirusiniais vaistiniais preparatais. Be suaugusiesiems nustatytų nepageidaujamų reakcijų, pacientams vaikams klinikiniuose tyrimuose dažniau nei suaugusiesiems pasireiškė anemija (9,5</w:t>
      </w:r>
      <w:r w:rsidR="00BF3462" w:rsidRPr="001839C2">
        <w:rPr>
          <w:rFonts w:eastAsiaTheme="minorEastAsia"/>
          <w:snapToGrid/>
          <w:szCs w:val="22"/>
          <w:lang w:val="lt-LT" w:eastAsia="en-IN"/>
        </w:rPr>
        <w:t> </w:t>
      </w:r>
      <w:r w:rsidRPr="001839C2">
        <w:rPr>
          <w:rFonts w:eastAsiaTheme="minorEastAsia"/>
          <w:snapToGrid/>
          <w:szCs w:val="22"/>
          <w:lang w:val="lt-LT" w:eastAsia="en-IN"/>
        </w:rPr>
        <w:t>%) ir odos spalvos pokyčiai (31,8</w:t>
      </w:r>
      <w:r w:rsidR="00BF3462" w:rsidRPr="001839C2">
        <w:rPr>
          <w:rFonts w:eastAsiaTheme="minorEastAsia"/>
          <w:snapToGrid/>
          <w:szCs w:val="22"/>
          <w:lang w:val="lt-LT" w:eastAsia="en-IN"/>
        </w:rPr>
        <w:t> </w:t>
      </w:r>
      <w:r w:rsidRPr="001839C2">
        <w:rPr>
          <w:rFonts w:eastAsiaTheme="minorEastAsia"/>
          <w:snapToGrid/>
          <w:szCs w:val="22"/>
          <w:lang w:val="lt-LT" w:eastAsia="en-IN"/>
        </w:rPr>
        <w:t>%) (žr.</w:t>
      </w:r>
      <w:r w:rsidR="00BF3462" w:rsidRPr="001839C2">
        <w:rPr>
          <w:rFonts w:eastAsiaTheme="minorEastAsia"/>
          <w:snapToGrid/>
          <w:szCs w:val="22"/>
          <w:lang w:val="lt-LT" w:eastAsia="en-IN"/>
        </w:rPr>
        <w:t> poskyrį</w:t>
      </w:r>
      <w:r w:rsidRPr="001839C2">
        <w:rPr>
          <w:rFonts w:eastAsiaTheme="minorEastAsia"/>
          <w:snapToGrid/>
          <w:szCs w:val="22"/>
          <w:lang w:val="lt-LT" w:eastAsia="en-IN"/>
        </w:rPr>
        <w:t xml:space="preserve"> </w:t>
      </w:r>
      <w:r w:rsidR="00BF3462" w:rsidRPr="001839C2">
        <w:rPr>
          <w:rFonts w:eastAsiaTheme="minorEastAsia"/>
          <w:snapToGrid/>
          <w:szCs w:val="22"/>
          <w:lang w:val="lt-LT" w:eastAsia="en-IN"/>
        </w:rPr>
        <w:t>„</w:t>
      </w:r>
      <w:r w:rsidRPr="001839C2">
        <w:rPr>
          <w:rFonts w:eastAsiaTheme="minorEastAsia"/>
          <w:iCs/>
          <w:snapToGrid/>
          <w:szCs w:val="22"/>
          <w:lang w:val="lt-LT" w:eastAsia="en-IN"/>
        </w:rPr>
        <w:t>Nepageidaujamų reakcijų santrauka</w:t>
      </w:r>
      <w:r w:rsidR="007E0E67" w:rsidRPr="001839C2">
        <w:rPr>
          <w:rFonts w:eastAsiaTheme="minorEastAsia"/>
          <w:iCs/>
          <w:snapToGrid/>
          <w:szCs w:val="22"/>
          <w:lang w:val="lt-LT" w:eastAsia="en-IN"/>
        </w:rPr>
        <w:t xml:space="preserve"> lentelėje</w:t>
      </w:r>
      <w:r w:rsidR="00BF3462" w:rsidRPr="001839C2">
        <w:rPr>
          <w:rFonts w:eastAsiaTheme="minorEastAsia"/>
          <w:snapToGrid/>
          <w:szCs w:val="22"/>
          <w:lang w:val="lt-LT" w:eastAsia="en-IN"/>
        </w:rPr>
        <w:t>“</w:t>
      </w:r>
      <w:r w:rsidRPr="001839C2">
        <w:rPr>
          <w:rFonts w:eastAsiaTheme="minorEastAsia"/>
          <w:i/>
          <w:iCs/>
          <w:snapToGrid/>
          <w:szCs w:val="22"/>
          <w:lang w:val="lt-LT" w:eastAsia="en-IN"/>
        </w:rPr>
        <w:t xml:space="preserve"> </w:t>
      </w:r>
      <w:r w:rsidRPr="001839C2">
        <w:rPr>
          <w:rFonts w:eastAsiaTheme="minorEastAsia"/>
          <w:snapToGrid/>
          <w:szCs w:val="22"/>
          <w:lang w:val="lt-LT" w:eastAsia="en-IN"/>
        </w:rPr>
        <w:t>4.8</w:t>
      </w:r>
      <w:r w:rsidR="00BF3462" w:rsidRPr="001839C2">
        <w:rPr>
          <w:rFonts w:eastAsiaTheme="minorEastAsia"/>
          <w:snapToGrid/>
          <w:szCs w:val="22"/>
          <w:lang w:val="lt-LT" w:eastAsia="en-IN"/>
        </w:rPr>
        <w:t> </w:t>
      </w:r>
      <w:r w:rsidRPr="001839C2">
        <w:rPr>
          <w:rFonts w:eastAsiaTheme="minorEastAsia"/>
          <w:snapToGrid/>
          <w:szCs w:val="22"/>
          <w:lang w:val="lt-LT" w:eastAsia="en-IN"/>
        </w:rPr>
        <w:t>skyriuje).</w:t>
      </w:r>
    </w:p>
    <w:p w14:paraId="398493F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E2DFF3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Nepageidaujamų reakcijų, susijusių su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vertinimas pagrįstas dviejų atsitiktinių imčių tyrimų (tyrimų</w:t>
      </w:r>
      <w:r w:rsidR="007E0E67" w:rsidRPr="001839C2">
        <w:rPr>
          <w:rFonts w:eastAsiaTheme="minorEastAsia"/>
          <w:snapToGrid/>
          <w:szCs w:val="22"/>
          <w:lang w:val="lt-LT" w:eastAsia="en-IN"/>
        </w:rPr>
        <w:t> </w:t>
      </w:r>
      <w:r w:rsidRPr="001839C2">
        <w:rPr>
          <w:rFonts w:eastAsiaTheme="minorEastAsia"/>
          <w:snapToGrid/>
          <w:szCs w:val="22"/>
          <w:lang w:val="lt-LT" w:eastAsia="en-IN"/>
        </w:rPr>
        <w:t>GS</w:t>
      </w:r>
      <w:r w:rsidR="00BF3462" w:rsidRPr="001839C2">
        <w:rPr>
          <w:rFonts w:eastAsiaTheme="minorEastAsia"/>
          <w:snapToGrid/>
          <w:szCs w:val="22"/>
          <w:lang w:val="lt-LT" w:eastAsia="en-IN"/>
        </w:rPr>
        <w:noBreakHyphen/>
      </w:r>
      <w:r w:rsidRPr="001839C2">
        <w:rPr>
          <w:rFonts w:eastAsiaTheme="minorEastAsia"/>
          <w:snapToGrid/>
          <w:szCs w:val="22"/>
          <w:lang w:val="lt-LT" w:eastAsia="en-IN"/>
        </w:rPr>
        <w:t>US</w:t>
      </w:r>
      <w:r w:rsidR="00BF3462" w:rsidRPr="001839C2">
        <w:rPr>
          <w:rFonts w:eastAsiaTheme="minorEastAsia"/>
          <w:snapToGrid/>
          <w:szCs w:val="22"/>
          <w:lang w:val="lt-LT" w:eastAsia="en-IN"/>
        </w:rPr>
        <w:noBreakHyphen/>
      </w:r>
      <w:r w:rsidRPr="001839C2">
        <w:rPr>
          <w:rFonts w:eastAsiaTheme="minorEastAsia"/>
          <w:snapToGrid/>
          <w:szCs w:val="22"/>
          <w:lang w:val="lt-LT" w:eastAsia="en-IN"/>
        </w:rPr>
        <w:t>104</w:t>
      </w:r>
      <w:r w:rsidR="00BF3462" w:rsidRPr="001839C2">
        <w:rPr>
          <w:rFonts w:eastAsiaTheme="minorEastAsia"/>
          <w:snapToGrid/>
          <w:szCs w:val="22"/>
          <w:lang w:val="lt-LT" w:eastAsia="en-IN"/>
        </w:rPr>
        <w:noBreakHyphen/>
      </w:r>
      <w:r w:rsidRPr="001839C2">
        <w:rPr>
          <w:rFonts w:eastAsiaTheme="minorEastAsia"/>
          <w:snapToGrid/>
          <w:szCs w:val="22"/>
          <w:lang w:val="lt-LT" w:eastAsia="en-IN"/>
        </w:rPr>
        <w:t>0321 ir GS</w:t>
      </w:r>
      <w:r w:rsidR="00BF3462" w:rsidRPr="001839C2">
        <w:rPr>
          <w:rFonts w:eastAsiaTheme="minorEastAsia"/>
          <w:snapToGrid/>
          <w:szCs w:val="22"/>
          <w:lang w:val="lt-LT" w:eastAsia="en-IN"/>
        </w:rPr>
        <w:noBreakHyphen/>
      </w:r>
      <w:r w:rsidRPr="001839C2">
        <w:rPr>
          <w:rFonts w:eastAsiaTheme="minorEastAsia"/>
          <w:snapToGrid/>
          <w:szCs w:val="22"/>
          <w:lang w:val="lt-LT" w:eastAsia="en-IN"/>
        </w:rPr>
        <w:t>US</w:t>
      </w:r>
      <w:r w:rsidR="00BF3462" w:rsidRPr="001839C2">
        <w:rPr>
          <w:rFonts w:eastAsiaTheme="minorEastAsia"/>
          <w:snapToGrid/>
          <w:szCs w:val="22"/>
          <w:lang w:val="lt-LT" w:eastAsia="en-IN"/>
        </w:rPr>
        <w:noBreakHyphen/>
      </w:r>
      <w:r w:rsidRPr="001839C2">
        <w:rPr>
          <w:rFonts w:eastAsiaTheme="minorEastAsia"/>
          <w:snapToGrid/>
          <w:szCs w:val="22"/>
          <w:lang w:val="lt-LT" w:eastAsia="en-IN"/>
        </w:rPr>
        <w:t>104</w:t>
      </w:r>
      <w:r w:rsidR="00BF3462" w:rsidRPr="001839C2">
        <w:rPr>
          <w:rFonts w:eastAsiaTheme="minorEastAsia"/>
          <w:snapToGrid/>
          <w:szCs w:val="22"/>
          <w:lang w:val="lt-LT" w:eastAsia="en-IN"/>
        </w:rPr>
        <w:noBreakHyphen/>
      </w:r>
      <w:r w:rsidRPr="001839C2">
        <w:rPr>
          <w:rFonts w:eastAsiaTheme="minorEastAsia"/>
          <w:snapToGrid/>
          <w:szCs w:val="22"/>
          <w:lang w:val="lt-LT" w:eastAsia="en-IN"/>
        </w:rPr>
        <w:t>0352) duomenimis. Juose dalyvavo 184 ŽIV</w:t>
      </w:r>
      <w:r w:rsidR="00BF3462" w:rsidRPr="001839C2">
        <w:rPr>
          <w:rFonts w:eastAsiaTheme="minorEastAsia"/>
          <w:snapToGrid/>
          <w:szCs w:val="22"/>
          <w:lang w:val="lt-LT" w:eastAsia="en-IN"/>
        </w:rPr>
        <w:noBreakHyphen/>
      </w:r>
      <w:r w:rsidRPr="001839C2">
        <w:rPr>
          <w:rFonts w:eastAsiaTheme="minorEastAsia"/>
          <w:snapToGrid/>
          <w:szCs w:val="22"/>
          <w:lang w:val="lt-LT" w:eastAsia="en-IN"/>
        </w:rPr>
        <w:t>1</w:t>
      </w:r>
      <w:r w:rsidR="007E0E67" w:rsidRPr="001839C2">
        <w:rPr>
          <w:rFonts w:eastAsiaTheme="minorEastAsia"/>
          <w:snapToGrid/>
          <w:szCs w:val="22"/>
          <w:lang w:val="lt-LT" w:eastAsia="en-IN"/>
        </w:rPr>
        <w:t> </w:t>
      </w:r>
      <w:r w:rsidRPr="001839C2">
        <w:rPr>
          <w:rFonts w:eastAsiaTheme="minorEastAsia"/>
          <w:snapToGrid/>
          <w:szCs w:val="22"/>
          <w:lang w:val="lt-LT" w:eastAsia="en-IN"/>
        </w:rPr>
        <w:t>infekuoti pacientai vaikai (nuo 2 iki 18</w:t>
      </w:r>
      <w:r w:rsidR="00BF3462" w:rsidRPr="001839C2">
        <w:rPr>
          <w:rFonts w:eastAsiaTheme="minorEastAsia"/>
          <w:snapToGrid/>
          <w:szCs w:val="22"/>
          <w:lang w:val="lt-LT" w:eastAsia="en-IN"/>
        </w:rPr>
        <w:t> </w:t>
      </w:r>
      <w:r w:rsidRPr="001839C2">
        <w:rPr>
          <w:rFonts w:eastAsiaTheme="minorEastAsia"/>
          <w:snapToGrid/>
          <w:szCs w:val="22"/>
          <w:lang w:val="lt-LT" w:eastAsia="en-IN"/>
        </w:rPr>
        <w:t>metų), kurie buvo gydomi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(n</w:t>
      </w:r>
      <w:r w:rsidR="00BF3462" w:rsidRPr="001839C2">
        <w:rPr>
          <w:rFonts w:eastAsiaTheme="minorEastAsia"/>
          <w:snapToGrid/>
          <w:szCs w:val="22"/>
          <w:lang w:val="lt-LT" w:eastAsia="en-IN"/>
        </w:rPr>
        <w:t> </w:t>
      </w:r>
      <w:r w:rsidRPr="001839C2">
        <w:rPr>
          <w:rFonts w:eastAsiaTheme="minorEastAsia"/>
          <w:snapToGrid/>
          <w:szCs w:val="22"/>
          <w:lang w:val="lt-LT" w:eastAsia="en-IN"/>
        </w:rPr>
        <w:t>=</w:t>
      </w:r>
      <w:r w:rsidR="00BF3462" w:rsidRPr="001839C2">
        <w:rPr>
          <w:rFonts w:eastAsiaTheme="minorEastAsia"/>
          <w:snapToGrid/>
          <w:szCs w:val="22"/>
          <w:lang w:val="lt-LT" w:eastAsia="en-IN"/>
        </w:rPr>
        <w:t> </w:t>
      </w:r>
      <w:r w:rsidRPr="001839C2">
        <w:rPr>
          <w:rFonts w:eastAsiaTheme="minorEastAsia"/>
          <w:snapToGrid/>
          <w:szCs w:val="22"/>
          <w:lang w:val="lt-LT" w:eastAsia="en-IN"/>
        </w:rPr>
        <w:t xml:space="preserve">93) arba placebu </w:t>
      </w:r>
      <w:r w:rsidR="00BF3462" w:rsidRPr="001839C2">
        <w:rPr>
          <w:rFonts w:eastAsiaTheme="minorEastAsia"/>
          <w:snapToGrid/>
          <w:szCs w:val="22"/>
          <w:lang w:val="lt-LT" w:eastAsia="en-IN"/>
        </w:rPr>
        <w:t>ar</w:t>
      </w:r>
      <w:r w:rsidRPr="001839C2">
        <w:rPr>
          <w:rFonts w:eastAsiaTheme="minorEastAsia"/>
          <w:snapToGrid/>
          <w:szCs w:val="22"/>
          <w:lang w:val="lt-LT" w:eastAsia="en-IN"/>
        </w:rPr>
        <w:t xml:space="preserve"> lyginamąja veikliąja medžiaga (n</w:t>
      </w:r>
      <w:r w:rsidR="00BF3462" w:rsidRPr="001839C2">
        <w:rPr>
          <w:rFonts w:eastAsiaTheme="minorEastAsia"/>
          <w:snapToGrid/>
          <w:szCs w:val="22"/>
          <w:lang w:val="lt-LT" w:eastAsia="en-IN"/>
        </w:rPr>
        <w:t> </w:t>
      </w:r>
      <w:r w:rsidRPr="001839C2">
        <w:rPr>
          <w:rFonts w:eastAsiaTheme="minorEastAsia"/>
          <w:snapToGrid/>
          <w:szCs w:val="22"/>
          <w:lang w:val="lt-LT" w:eastAsia="en-IN"/>
        </w:rPr>
        <w:t>=</w:t>
      </w:r>
      <w:r w:rsidR="00BF3462" w:rsidRPr="001839C2">
        <w:rPr>
          <w:rFonts w:eastAsiaTheme="minorEastAsia"/>
          <w:snapToGrid/>
          <w:szCs w:val="22"/>
          <w:lang w:val="lt-LT" w:eastAsia="en-IN"/>
        </w:rPr>
        <w:t> </w:t>
      </w:r>
      <w:r w:rsidRPr="001839C2">
        <w:rPr>
          <w:rFonts w:eastAsiaTheme="minorEastAsia"/>
          <w:snapToGrid/>
          <w:szCs w:val="22"/>
          <w:lang w:val="lt-LT" w:eastAsia="en-IN"/>
        </w:rPr>
        <w:t>91) kartu su kitais antiretrovirusiniais vaistiniais preparatais 48</w:t>
      </w:r>
      <w:r w:rsidR="00BF3462" w:rsidRPr="001839C2">
        <w:rPr>
          <w:rFonts w:eastAsiaTheme="minorEastAsia"/>
          <w:snapToGrid/>
          <w:szCs w:val="22"/>
          <w:lang w:val="lt-LT" w:eastAsia="en-IN"/>
        </w:rPr>
        <w:t> </w:t>
      </w:r>
      <w:r w:rsidRPr="001839C2">
        <w:rPr>
          <w:rFonts w:eastAsiaTheme="minorEastAsia"/>
          <w:snapToGrid/>
          <w:szCs w:val="22"/>
          <w:lang w:val="lt-LT" w:eastAsia="en-IN"/>
        </w:rPr>
        <w:t>savaites (žr.</w:t>
      </w:r>
      <w:r w:rsidR="00BF3462" w:rsidRPr="001839C2">
        <w:rPr>
          <w:rFonts w:eastAsiaTheme="minorEastAsia"/>
          <w:snapToGrid/>
          <w:szCs w:val="22"/>
          <w:lang w:val="lt-LT" w:eastAsia="en-IN"/>
        </w:rPr>
        <w:t> </w:t>
      </w:r>
      <w:r w:rsidRPr="001839C2">
        <w:rPr>
          <w:rFonts w:eastAsiaTheme="minorEastAsia"/>
          <w:snapToGrid/>
          <w:szCs w:val="22"/>
          <w:lang w:val="lt-LT" w:eastAsia="en-IN"/>
        </w:rPr>
        <w:t>5.1</w:t>
      </w:r>
      <w:r w:rsidR="00BF3462" w:rsidRPr="001839C2">
        <w:rPr>
          <w:rFonts w:eastAsiaTheme="minorEastAsia"/>
          <w:snapToGrid/>
          <w:szCs w:val="22"/>
          <w:lang w:val="lt-LT" w:eastAsia="en-IN"/>
        </w:rPr>
        <w:t> </w:t>
      </w:r>
      <w:r w:rsidRPr="001839C2">
        <w:rPr>
          <w:rFonts w:eastAsiaTheme="minorEastAsia"/>
          <w:snapToGrid/>
          <w:szCs w:val="22"/>
          <w:lang w:val="lt-LT" w:eastAsia="en-IN"/>
        </w:rPr>
        <w:t>skyrių). Nepageidaujamos reakcijos, nustatytos tenofovir</w:t>
      </w:r>
      <w:r w:rsidR="00A45872" w:rsidRPr="001839C2">
        <w:rPr>
          <w:rFonts w:eastAsiaTheme="minorEastAsia"/>
          <w:snapToGrid/>
          <w:szCs w:val="22"/>
          <w:lang w:val="lt-LT" w:eastAsia="en-IN"/>
        </w:rPr>
        <w:t xml:space="preserve">u </w:t>
      </w:r>
      <w:r w:rsidRPr="001839C2">
        <w:rPr>
          <w:rFonts w:eastAsiaTheme="minorEastAsia"/>
          <w:snapToGrid/>
          <w:szCs w:val="22"/>
          <w:lang w:val="lt-LT" w:eastAsia="en-IN"/>
        </w:rPr>
        <w:t>dizoproksiliu gydytiems pacientams vaikams, atitiko nustatytas suaugusiesiems tenofoviro dizoproksilio klinikinių tyrimų metu (žr.</w:t>
      </w:r>
      <w:r w:rsidR="005619F0" w:rsidRPr="001839C2">
        <w:rPr>
          <w:rFonts w:eastAsiaTheme="minorEastAsia"/>
          <w:snapToGrid/>
          <w:szCs w:val="22"/>
          <w:lang w:val="lt-LT" w:eastAsia="en-IN"/>
        </w:rPr>
        <w:t> poskyrį</w:t>
      </w:r>
      <w:r w:rsidRPr="001839C2">
        <w:rPr>
          <w:rFonts w:eastAsiaTheme="minorEastAsia"/>
          <w:snapToGrid/>
          <w:szCs w:val="22"/>
          <w:lang w:val="lt-LT" w:eastAsia="en-IN"/>
        </w:rPr>
        <w:t xml:space="preserve"> </w:t>
      </w:r>
      <w:r w:rsidR="005619F0" w:rsidRPr="001839C2">
        <w:rPr>
          <w:rFonts w:eastAsiaTheme="minorEastAsia"/>
          <w:snapToGrid/>
          <w:szCs w:val="22"/>
          <w:lang w:val="lt-LT" w:eastAsia="en-IN"/>
        </w:rPr>
        <w:t>„</w:t>
      </w:r>
      <w:r w:rsidRPr="001839C2">
        <w:rPr>
          <w:rFonts w:eastAsiaTheme="minorEastAsia"/>
          <w:iCs/>
          <w:snapToGrid/>
          <w:szCs w:val="22"/>
          <w:lang w:val="lt-LT" w:eastAsia="en-IN"/>
        </w:rPr>
        <w:t>Nepageidaujamų reakcijų santrauka</w:t>
      </w:r>
      <w:r w:rsidR="00BF074D" w:rsidRPr="001839C2">
        <w:rPr>
          <w:rFonts w:eastAsiaTheme="minorEastAsia"/>
          <w:iCs/>
          <w:snapToGrid/>
          <w:szCs w:val="22"/>
          <w:lang w:val="lt-LT" w:eastAsia="en-IN"/>
        </w:rPr>
        <w:t xml:space="preserve"> lentelėje</w:t>
      </w:r>
      <w:r w:rsidR="005619F0" w:rsidRPr="001839C2">
        <w:rPr>
          <w:rFonts w:eastAsiaTheme="minorEastAsia"/>
          <w:snapToGrid/>
          <w:szCs w:val="22"/>
          <w:lang w:val="lt-LT" w:eastAsia="en-IN"/>
        </w:rPr>
        <w:t>“</w:t>
      </w:r>
      <w:r w:rsidRPr="001839C2">
        <w:rPr>
          <w:rFonts w:eastAsiaTheme="minorEastAsia"/>
          <w:i/>
          <w:iCs/>
          <w:snapToGrid/>
          <w:szCs w:val="22"/>
          <w:lang w:val="lt-LT" w:eastAsia="en-IN"/>
        </w:rPr>
        <w:t xml:space="preserve"> </w:t>
      </w:r>
      <w:r w:rsidRPr="001839C2">
        <w:rPr>
          <w:rFonts w:eastAsiaTheme="minorEastAsia"/>
          <w:snapToGrid/>
          <w:szCs w:val="22"/>
          <w:lang w:val="lt-LT" w:eastAsia="en-IN"/>
        </w:rPr>
        <w:t>4.8</w:t>
      </w:r>
      <w:r w:rsidR="005619F0" w:rsidRPr="001839C2">
        <w:rPr>
          <w:rFonts w:eastAsiaTheme="minorEastAsia"/>
          <w:snapToGrid/>
          <w:szCs w:val="22"/>
          <w:lang w:val="lt-LT" w:eastAsia="en-IN"/>
        </w:rPr>
        <w:t> </w:t>
      </w:r>
      <w:r w:rsidRPr="001839C2">
        <w:rPr>
          <w:rFonts w:eastAsiaTheme="minorEastAsia"/>
          <w:snapToGrid/>
          <w:szCs w:val="22"/>
          <w:lang w:val="lt-LT" w:eastAsia="en-IN"/>
        </w:rPr>
        <w:t>skyriuje ir</w:t>
      </w:r>
      <w:r w:rsidR="005619F0" w:rsidRPr="001839C2">
        <w:rPr>
          <w:rFonts w:eastAsiaTheme="minorEastAsia"/>
          <w:snapToGrid/>
          <w:szCs w:val="22"/>
          <w:lang w:val="lt-LT" w:eastAsia="en-IN"/>
        </w:rPr>
        <w:t xml:space="preserve"> </w:t>
      </w:r>
      <w:r w:rsidRPr="001839C2">
        <w:rPr>
          <w:rFonts w:eastAsiaTheme="minorEastAsia"/>
          <w:snapToGrid/>
          <w:szCs w:val="22"/>
          <w:lang w:val="lt-LT" w:eastAsia="en-IN"/>
        </w:rPr>
        <w:t>5.1</w:t>
      </w:r>
      <w:r w:rsidR="005619F0" w:rsidRPr="001839C2">
        <w:rPr>
          <w:rFonts w:eastAsiaTheme="minorEastAsia"/>
          <w:snapToGrid/>
          <w:szCs w:val="22"/>
          <w:lang w:val="lt-LT" w:eastAsia="en-IN"/>
        </w:rPr>
        <w:t> </w:t>
      </w:r>
      <w:r w:rsidRPr="001839C2">
        <w:rPr>
          <w:rFonts w:eastAsiaTheme="minorEastAsia"/>
          <w:snapToGrid/>
          <w:szCs w:val="22"/>
          <w:lang w:val="lt-LT" w:eastAsia="en-IN"/>
        </w:rPr>
        <w:t>skyrių).</w:t>
      </w:r>
    </w:p>
    <w:p w14:paraId="35A4C49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D158B27"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Pranešta apie pacientams vaikams sumažėjusį</w:t>
      </w:r>
      <w:r w:rsidR="00BF074D" w:rsidRPr="001839C2">
        <w:rPr>
          <w:rFonts w:eastAsiaTheme="minorEastAsia"/>
          <w:snapToGrid/>
          <w:szCs w:val="22"/>
          <w:lang w:val="lt-LT" w:eastAsia="en-IN"/>
        </w:rPr>
        <w:t> </w:t>
      </w:r>
      <w:r w:rsidRPr="001839C2">
        <w:rPr>
          <w:rFonts w:eastAsiaTheme="minorEastAsia"/>
          <w:snapToGrid/>
          <w:szCs w:val="22"/>
          <w:lang w:val="lt-LT" w:eastAsia="en-IN"/>
        </w:rPr>
        <w:t>KMT. ŽIV</w:t>
      </w:r>
      <w:r w:rsidR="005619F0" w:rsidRPr="001839C2">
        <w:rPr>
          <w:rFonts w:eastAsiaTheme="minorEastAsia"/>
          <w:snapToGrid/>
          <w:szCs w:val="22"/>
          <w:lang w:val="lt-LT" w:eastAsia="en-IN"/>
        </w:rPr>
        <w:noBreakHyphen/>
      </w:r>
      <w:r w:rsidRPr="001839C2">
        <w:rPr>
          <w:rFonts w:eastAsiaTheme="minorEastAsia"/>
          <w:snapToGrid/>
          <w:szCs w:val="22"/>
          <w:lang w:val="lt-LT" w:eastAsia="en-IN"/>
        </w:rPr>
        <w:t>1</w:t>
      </w:r>
      <w:r w:rsidR="00BF074D" w:rsidRPr="001839C2">
        <w:rPr>
          <w:rFonts w:eastAsiaTheme="minorEastAsia"/>
          <w:snapToGrid/>
          <w:szCs w:val="22"/>
          <w:lang w:val="lt-LT" w:eastAsia="en-IN"/>
        </w:rPr>
        <w:t> </w:t>
      </w:r>
      <w:r w:rsidRPr="001839C2">
        <w:rPr>
          <w:rFonts w:eastAsiaTheme="minorEastAsia"/>
          <w:snapToGrid/>
          <w:szCs w:val="22"/>
          <w:lang w:val="lt-LT" w:eastAsia="en-IN"/>
        </w:rPr>
        <w:t>infekuotiems paaugliams (nuo 12 iki</w:t>
      </w:r>
      <w:r w:rsidR="005619F0" w:rsidRPr="001839C2">
        <w:rPr>
          <w:rFonts w:eastAsiaTheme="minorEastAsia"/>
          <w:snapToGrid/>
          <w:szCs w:val="22"/>
          <w:lang w:val="lt-LT" w:eastAsia="en-IN"/>
        </w:rPr>
        <w:t xml:space="preserve"> </w:t>
      </w:r>
      <w:r w:rsidRPr="001839C2">
        <w:rPr>
          <w:rFonts w:eastAsiaTheme="minorEastAsia"/>
          <w:snapToGrid/>
          <w:szCs w:val="22"/>
          <w:lang w:val="lt-LT" w:eastAsia="en-IN"/>
        </w:rPr>
        <w:t>18</w:t>
      </w:r>
      <w:r w:rsidR="005619F0" w:rsidRPr="001839C2">
        <w:rPr>
          <w:rFonts w:eastAsiaTheme="minorEastAsia"/>
          <w:snapToGrid/>
          <w:szCs w:val="22"/>
          <w:lang w:val="lt-LT" w:eastAsia="en-IN"/>
        </w:rPr>
        <w:t> </w:t>
      </w:r>
      <w:r w:rsidRPr="001839C2">
        <w:rPr>
          <w:rFonts w:eastAsiaTheme="minorEastAsia"/>
          <w:snapToGrid/>
          <w:szCs w:val="22"/>
          <w:lang w:val="lt-LT" w:eastAsia="en-IN"/>
        </w:rPr>
        <w:t>metų) KMT</w:t>
      </w:r>
      <w:r w:rsidR="005619F0" w:rsidRPr="001839C2">
        <w:rPr>
          <w:rFonts w:eastAsiaTheme="minorEastAsia"/>
          <w:snapToGrid/>
          <w:szCs w:val="22"/>
          <w:lang w:val="lt-LT" w:eastAsia="en-IN"/>
        </w:rPr>
        <w:t> </w:t>
      </w:r>
      <w:r w:rsidRPr="001839C2">
        <w:rPr>
          <w:rFonts w:eastAsiaTheme="minorEastAsia"/>
          <w:snapToGrid/>
          <w:szCs w:val="22"/>
          <w:lang w:val="lt-LT" w:eastAsia="en-IN"/>
        </w:rPr>
        <w:t>Z</w:t>
      </w:r>
      <w:r w:rsidR="00BF074D" w:rsidRPr="001839C2">
        <w:rPr>
          <w:rFonts w:eastAsiaTheme="minorEastAsia"/>
          <w:snapToGrid/>
          <w:szCs w:val="22"/>
          <w:lang w:val="lt-LT" w:eastAsia="en-IN"/>
        </w:rPr>
        <w:t> </w:t>
      </w:r>
      <w:r w:rsidRPr="001839C2">
        <w:rPr>
          <w:rFonts w:eastAsiaTheme="minorEastAsia"/>
          <w:snapToGrid/>
          <w:szCs w:val="22"/>
          <w:lang w:val="lt-LT" w:eastAsia="en-IN"/>
        </w:rPr>
        <w:t>rodikliai, nustatyti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gyd</w:t>
      </w:r>
      <w:r w:rsidR="005619F0" w:rsidRPr="001839C2">
        <w:rPr>
          <w:rFonts w:eastAsiaTheme="minorEastAsia"/>
          <w:snapToGrid/>
          <w:szCs w:val="22"/>
          <w:lang w:val="lt-LT" w:eastAsia="en-IN"/>
        </w:rPr>
        <w:t>yt</w:t>
      </w:r>
      <w:r w:rsidRPr="001839C2">
        <w:rPr>
          <w:rFonts w:eastAsiaTheme="minorEastAsia"/>
          <w:snapToGrid/>
          <w:szCs w:val="22"/>
          <w:lang w:val="lt-LT" w:eastAsia="en-IN"/>
        </w:rPr>
        <w:t>iems tiriamiesiems, buvo mažesni nei placeb</w:t>
      </w:r>
      <w:r w:rsidR="00BF074D" w:rsidRPr="001839C2">
        <w:rPr>
          <w:rFonts w:eastAsiaTheme="minorEastAsia"/>
          <w:snapToGrid/>
          <w:szCs w:val="22"/>
          <w:lang w:val="lt-LT" w:eastAsia="en-IN"/>
        </w:rPr>
        <w:t>o</w:t>
      </w:r>
      <w:r w:rsidRPr="001839C2">
        <w:rPr>
          <w:rFonts w:eastAsiaTheme="minorEastAsia"/>
          <w:snapToGrid/>
          <w:szCs w:val="22"/>
          <w:lang w:val="lt-LT" w:eastAsia="en-IN"/>
        </w:rPr>
        <w:t xml:space="preserve"> vartojusių tiriamųjų. ŽIV</w:t>
      </w:r>
      <w:r w:rsidR="005619F0" w:rsidRPr="001839C2">
        <w:rPr>
          <w:rFonts w:eastAsiaTheme="minorEastAsia"/>
          <w:snapToGrid/>
          <w:szCs w:val="22"/>
          <w:lang w:val="lt-LT" w:eastAsia="en-IN"/>
        </w:rPr>
        <w:noBreakHyphen/>
      </w:r>
      <w:r w:rsidRPr="001839C2">
        <w:rPr>
          <w:rFonts w:eastAsiaTheme="minorEastAsia"/>
          <w:snapToGrid/>
          <w:szCs w:val="22"/>
          <w:lang w:val="lt-LT" w:eastAsia="en-IN"/>
        </w:rPr>
        <w:t>1</w:t>
      </w:r>
      <w:r w:rsidR="00BF074D" w:rsidRPr="001839C2">
        <w:rPr>
          <w:rFonts w:eastAsiaTheme="minorEastAsia"/>
          <w:snapToGrid/>
          <w:szCs w:val="22"/>
          <w:lang w:val="lt-LT" w:eastAsia="en-IN"/>
        </w:rPr>
        <w:t> </w:t>
      </w:r>
      <w:r w:rsidRPr="001839C2">
        <w:rPr>
          <w:rFonts w:eastAsiaTheme="minorEastAsia"/>
          <w:snapToGrid/>
          <w:szCs w:val="22"/>
          <w:lang w:val="lt-LT" w:eastAsia="en-IN"/>
        </w:rPr>
        <w:t>infekuotiems vaikams (nuo 2 iki 15</w:t>
      </w:r>
      <w:r w:rsidR="005619F0" w:rsidRPr="001839C2">
        <w:rPr>
          <w:rFonts w:eastAsiaTheme="minorEastAsia"/>
          <w:snapToGrid/>
          <w:szCs w:val="22"/>
          <w:lang w:val="lt-LT" w:eastAsia="en-IN"/>
        </w:rPr>
        <w:t> </w:t>
      </w:r>
      <w:r w:rsidRPr="001839C2">
        <w:rPr>
          <w:rFonts w:eastAsiaTheme="minorEastAsia"/>
          <w:snapToGrid/>
          <w:szCs w:val="22"/>
          <w:lang w:val="lt-LT" w:eastAsia="en-IN"/>
        </w:rPr>
        <w:t>metų) KMT</w:t>
      </w:r>
      <w:r w:rsidR="005619F0" w:rsidRPr="001839C2">
        <w:rPr>
          <w:rFonts w:eastAsiaTheme="minorEastAsia"/>
          <w:snapToGrid/>
          <w:szCs w:val="22"/>
          <w:lang w:val="lt-LT" w:eastAsia="en-IN"/>
        </w:rPr>
        <w:t> </w:t>
      </w:r>
      <w:r w:rsidRPr="001839C2">
        <w:rPr>
          <w:rFonts w:eastAsiaTheme="minorEastAsia"/>
          <w:snapToGrid/>
          <w:szCs w:val="22"/>
          <w:lang w:val="lt-LT" w:eastAsia="en-IN"/>
        </w:rPr>
        <w:t>Z</w:t>
      </w:r>
      <w:r w:rsidR="00BF074D" w:rsidRPr="001839C2">
        <w:rPr>
          <w:rFonts w:eastAsiaTheme="minorEastAsia"/>
          <w:snapToGrid/>
          <w:szCs w:val="22"/>
          <w:lang w:val="lt-LT" w:eastAsia="en-IN"/>
        </w:rPr>
        <w:t> </w:t>
      </w:r>
      <w:r w:rsidRPr="001839C2">
        <w:rPr>
          <w:rFonts w:eastAsiaTheme="minorEastAsia"/>
          <w:snapToGrid/>
          <w:szCs w:val="22"/>
          <w:lang w:val="lt-LT" w:eastAsia="en-IN"/>
        </w:rPr>
        <w:t>rodikliai, nustatyti į tenofoviro dizoproksilio grupę perėjusiems tiriamiesiems, buvo mažesni nei tiriamųjų, kuriems toliau buvo taikomas gydymo režimas, kurio sudėtyje buvo stavudino arba zidovudino (žr.</w:t>
      </w:r>
      <w:r w:rsidR="005619F0" w:rsidRPr="001839C2">
        <w:rPr>
          <w:rFonts w:eastAsiaTheme="minorEastAsia"/>
          <w:snapToGrid/>
          <w:szCs w:val="22"/>
          <w:lang w:val="lt-LT" w:eastAsia="en-IN"/>
        </w:rPr>
        <w:t> </w:t>
      </w:r>
      <w:r w:rsidRPr="001839C2">
        <w:rPr>
          <w:rFonts w:eastAsiaTheme="minorEastAsia"/>
          <w:snapToGrid/>
          <w:szCs w:val="22"/>
          <w:lang w:val="lt-LT" w:eastAsia="en-IN"/>
        </w:rPr>
        <w:t>4.4 ir 5.1</w:t>
      </w:r>
      <w:r w:rsidR="005619F0" w:rsidRPr="001839C2">
        <w:rPr>
          <w:rFonts w:eastAsiaTheme="minorEastAsia"/>
          <w:snapToGrid/>
          <w:szCs w:val="22"/>
          <w:lang w:val="lt-LT" w:eastAsia="en-IN"/>
        </w:rPr>
        <w:t> </w:t>
      </w:r>
      <w:r w:rsidRPr="001839C2">
        <w:rPr>
          <w:rFonts w:eastAsiaTheme="minorEastAsia"/>
          <w:snapToGrid/>
          <w:szCs w:val="22"/>
          <w:lang w:val="lt-LT" w:eastAsia="en-IN"/>
        </w:rPr>
        <w:t>skyrius).</w:t>
      </w:r>
    </w:p>
    <w:p w14:paraId="0E880B8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42FAC10" w14:textId="460CE49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Tyrime GS</w:t>
      </w:r>
      <w:r w:rsidR="005619F0" w:rsidRPr="001839C2">
        <w:rPr>
          <w:rFonts w:eastAsiaTheme="minorEastAsia"/>
          <w:snapToGrid/>
          <w:szCs w:val="22"/>
          <w:lang w:val="lt-LT" w:eastAsia="en-IN"/>
        </w:rPr>
        <w:noBreakHyphen/>
      </w:r>
      <w:r w:rsidRPr="001839C2">
        <w:rPr>
          <w:rFonts w:eastAsiaTheme="minorEastAsia"/>
          <w:snapToGrid/>
          <w:szCs w:val="22"/>
          <w:lang w:val="lt-LT" w:eastAsia="en-IN"/>
        </w:rPr>
        <w:t>US</w:t>
      </w:r>
      <w:r w:rsidR="005619F0" w:rsidRPr="001839C2">
        <w:rPr>
          <w:rFonts w:eastAsiaTheme="minorEastAsia"/>
          <w:snapToGrid/>
          <w:szCs w:val="22"/>
          <w:lang w:val="lt-LT" w:eastAsia="en-IN"/>
        </w:rPr>
        <w:noBreakHyphen/>
      </w:r>
      <w:r w:rsidRPr="001839C2">
        <w:rPr>
          <w:rFonts w:eastAsiaTheme="minorEastAsia"/>
          <w:snapToGrid/>
          <w:szCs w:val="22"/>
          <w:lang w:val="lt-LT" w:eastAsia="en-IN"/>
        </w:rPr>
        <w:t>104</w:t>
      </w:r>
      <w:r w:rsidR="005619F0" w:rsidRPr="001839C2">
        <w:rPr>
          <w:rFonts w:eastAsiaTheme="minorEastAsia"/>
          <w:snapToGrid/>
          <w:szCs w:val="22"/>
          <w:lang w:val="lt-LT" w:eastAsia="en-IN"/>
        </w:rPr>
        <w:noBreakHyphen/>
      </w:r>
      <w:r w:rsidRPr="001839C2">
        <w:rPr>
          <w:rFonts w:eastAsiaTheme="minorEastAsia"/>
          <w:snapToGrid/>
          <w:szCs w:val="22"/>
          <w:lang w:val="lt-LT" w:eastAsia="en-IN"/>
        </w:rPr>
        <w:t>0352 dalyvavusių 89 ŽIV</w:t>
      </w:r>
      <w:r w:rsidR="005619F0" w:rsidRPr="001839C2">
        <w:rPr>
          <w:rFonts w:eastAsiaTheme="minorEastAsia"/>
          <w:snapToGrid/>
          <w:szCs w:val="22"/>
          <w:lang w:val="lt-LT" w:eastAsia="en-IN"/>
        </w:rPr>
        <w:noBreakHyphen/>
      </w:r>
      <w:r w:rsidRPr="001839C2">
        <w:rPr>
          <w:rFonts w:eastAsiaTheme="minorEastAsia"/>
          <w:snapToGrid/>
          <w:szCs w:val="22"/>
          <w:lang w:val="lt-LT" w:eastAsia="en-IN"/>
        </w:rPr>
        <w:t>1</w:t>
      </w:r>
      <w:r w:rsidR="00BF074D" w:rsidRPr="001839C2">
        <w:rPr>
          <w:rFonts w:eastAsiaTheme="minorEastAsia"/>
          <w:snapToGrid/>
          <w:szCs w:val="22"/>
          <w:lang w:val="lt-LT" w:eastAsia="en-IN"/>
        </w:rPr>
        <w:t> </w:t>
      </w:r>
      <w:r w:rsidRPr="001839C2">
        <w:rPr>
          <w:rFonts w:eastAsiaTheme="minorEastAsia"/>
          <w:snapToGrid/>
          <w:szCs w:val="22"/>
          <w:lang w:val="lt-LT" w:eastAsia="en-IN"/>
        </w:rPr>
        <w:t xml:space="preserve">infekuotų pacientų vaikų, kurių amžiaus mediana </w:t>
      </w:r>
      <w:r w:rsidRPr="001839C2">
        <w:rPr>
          <w:rFonts w:eastAsiaTheme="minorEastAsia"/>
          <w:snapToGrid/>
          <w:szCs w:val="22"/>
          <w:lang w:val="lt-LT" w:eastAsia="en-IN"/>
        </w:rPr>
        <w:lastRenderedPageBreak/>
        <w:t>buvo 7</w:t>
      </w:r>
      <w:r w:rsidR="005619F0" w:rsidRPr="001839C2">
        <w:rPr>
          <w:rFonts w:eastAsiaTheme="minorEastAsia"/>
          <w:snapToGrid/>
          <w:szCs w:val="22"/>
          <w:lang w:val="lt-LT" w:eastAsia="en-IN"/>
        </w:rPr>
        <w:t> </w:t>
      </w:r>
      <w:r w:rsidRPr="001839C2">
        <w:rPr>
          <w:rFonts w:eastAsiaTheme="minorEastAsia"/>
          <w:snapToGrid/>
          <w:szCs w:val="22"/>
          <w:lang w:val="lt-LT" w:eastAsia="en-IN"/>
        </w:rPr>
        <w:t>metai (nuo 2 iki 15</w:t>
      </w:r>
      <w:r w:rsidR="005619F0" w:rsidRPr="001839C2">
        <w:rPr>
          <w:rFonts w:eastAsiaTheme="minorEastAsia"/>
          <w:snapToGrid/>
          <w:szCs w:val="22"/>
          <w:lang w:val="lt-LT" w:eastAsia="en-IN"/>
        </w:rPr>
        <w:t> </w:t>
      </w:r>
      <w:r w:rsidRPr="001839C2">
        <w:rPr>
          <w:rFonts w:eastAsiaTheme="minorEastAsia"/>
          <w:snapToGrid/>
          <w:szCs w:val="22"/>
          <w:lang w:val="lt-LT" w:eastAsia="en-IN"/>
        </w:rPr>
        <w:t>metų intervalas), tenofoviro dizoproksilio vartojimo trukmės mediana buvo 3</w:t>
      </w:r>
      <w:r w:rsidR="003E7B5B" w:rsidRPr="001839C2">
        <w:rPr>
          <w:rFonts w:eastAsiaTheme="minorEastAsia"/>
          <w:snapToGrid/>
          <w:szCs w:val="22"/>
          <w:lang w:val="lt-LT" w:eastAsia="en-IN"/>
        </w:rPr>
        <w:t>31</w:t>
      </w:r>
      <w:r w:rsidR="005619F0" w:rsidRPr="001839C2">
        <w:rPr>
          <w:rFonts w:eastAsiaTheme="minorEastAsia"/>
          <w:snapToGrid/>
          <w:szCs w:val="22"/>
          <w:lang w:val="lt-LT" w:eastAsia="en-IN"/>
        </w:rPr>
        <w:t> </w:t>
      </w:r>
      <w:r w:rsidRPr="001839C2">
        <w:rPr>
          <w:rFonts w:eastAsiaTheme="minorEastAsia"/>
          <w:snapToGrid/>
          <w:szCs w:val="22"/>
          <w:lang w:val="lt-LT" w:eastAsia="en-IN"/>
        </w:rPr>
        <w:t>savai</w:t>
      </w:r>
      <w:r w:rsidR="003E7B5B" w:rsidRPr="001839C2">
        <w:rPr>
          <w:rFonts w:eastAsiaTheme="minorEastAsia"/>
          <w:snapToGrid/>
          <w:szCs w:val="22"/>
          <w:lang w:val="lt-LT" w:eastAsia="en-IN"/>
        </w:rPr>
        <w:t>tė</w:t>
      </w:r>
      <w:r w:rsidRPr="001839C2">
        <w:rPr>
          <w:rFonts w:eastAsiaTheme="minorEastAsia"/>
          <w:snapToGrid/>
          <w:szCs w:val="22"/>
          <w:lang w:val="lt-LT" w:eastAsia="en-IN"/>
        </w:rPr>
        <w:t xml:space="preserve">. </w:t>
      </w:r>
      <w:r w:rsidR="003E7B5B" w:rsidRPr="001839C2">
        <w:rPr>
          <w:rFonts w:eastAsiaTheme="minorEastAsia"/>
          <w:snapToGrid/>
          <w:szCs w:val="22"/>
          <w:lang w:val="lt-LT" w:eastAsia="en-IN"/>
        </w:rPr>
        <w:t>Aštuoniems</w:t>
      </w:r>
      <w:r w:rsidRPr="001839C2">
        <w:rPr>
          <w:rFonts w:eastAsiaTheme="minorEastAsia"/>
          <w:snapToGrid/>
          <w:szCs w:val="22"/>
          <w:lang w:val="lt-LT" w:eastAsia="en-IN"/>
        </w:rPr>
        <w:t xml:space="preserve"> iš 89</w:t>
      </w:r>
      <w:r w:rsidR="005619F0" w:rsidRPr="001839C2">
        <w:rPr>
          <w:rFonts w:eastAsiaTheme="minorEastAsia"/>
          <w:snapToGrid/>
          <w:szCs w:val="22"/>
          <w:lang w:val="lt-LT" w:eastAsia="en-IN"/>
        </w:rPr>
        <w:t> </w:t>
      </w:r>
      <w:r w:rsidRPr="001839C2">
        <w:rPr>
          <w:rFonts w:eastAsiaTheme="minorEastAsia"/>
          <w:snapToGrid/>
          <w:szCs w:val="22"/>
          <w:lang w:val="lt-LT" w:eastAsia="en-IN"/>
        </w:rPr>
        <w:t xml:space="preserve">pacientų </w:t>
      </w:r>
      <w:r w:rsidR="003E7B5B" w:rsidRPr="001839C2">
        <w:rPr>
          <w:rFonts w:eastAsiaTheme="minorEastAsia"/>
          <w:snapToGrid/>
          <w:szCs w:val="22"/>
          <w:lang w:val="lt-LT" w:eastAsia="en-IN"/>
        </w:rPr>
        <w:t>(9,0</w:t>
      </w:r>
      <w:r w:rsidR="00BF22A9" w:rsidRPr="001839C2">
        <w:rPr>
          <w:rFonts w:eastAsiaTheme="minorEastAsia"/>
          <w:snapToGrid/>
          <w:szCs w:val="22"/>
          <w:lang w:val="lt-LT" w:eastAsia="en-IN"/>
        </w:rPr>
        <w:t> </w:t>
      </w:r>
      <w:r w:rsidR="003E7B5B" w:rsidRPr="001839C2">
        <w:rPr>
          <w:rFonts w:eastAsiaTheme="minorEastAsia"/>
          <w:snapToGrid/>
          <w:szCs w:val="22"/>
          <w:lang w:val="lt-LT" w:eastAsia="en-IN"/>
        </w:rPr>
        <w:t xml:space="preserve">%) </w:t>
      </w:r>
      <w:r w:rsidRPr="001839C2">
        <w:rPr>
          <w:rFonts w:eastAsiaTheme="minorEastAsia"/>
          <w:snapToGrid/>
          <w:szCs w:val="22"/>
          <w:lang w:val="lt-LT" w:eastAsia="en-IN"/>
        </w:rPr>
        <w:t xml:space="preserve">tiriamojo </w:t>
      </w:r>
      <w:r w:rsidR="003E7B5B" w:rsidRPr="001839C2">
        <w:rPr>
          <w:rFonts w:eastAsiaTheme="minorEastAsia"/>
          <w:snapToGrid/>
          <w:szCs w:val="22"/>
          <w:lang w:val="lt-LT" w:eastAsia="en-IN"/>
        </w:rPr>
        <w:t>vaisto</w:t>
      </w:r>
      <w:r w:rsidRPr="001839C2">
        <w:rPr>
          <w:rFonts w:eastAsiaTheme="minorEastAsia"/>
          <w:snapToGrid/>
          <w:szCs w:val="22"/>
          <w:lang w:val="lt-LT" w:eastAsia="en-IN"/>
        </w:rPr>
        <w:t xml:space="preserve"> vartojimas buvo nutrauktas dėl nepageidaujamų reiškinių, susijusių su </w:t>
      </w:r>
      <w:r w:rsidR="003E7B5B" w:rsidRPr="001839C2">
        <w:rPr>
          <w:rFonts w:eastAsiaTheme="minorEastAsia"/>
          <w:snapToGrid/>
          <w:szCs w:val="22"/>
          <w:lang w:val="lt-LT" w:eastAsia="en-IN"/>
        </w:rPr>
        <w:t>inkstais</w:t>
      </w:r>
      <w:r w:rsidRPr="001839C2">
        <w:rPr>
          <w:rFonts w:eastAsiaTheme="minorEastAsia"/>
          <w:snapToGrid/>
          <w:szCs w:val="22"/>
          <w:lang w:val="lt-LT" w:eastAsia="en-IN"/>
        </w:rPr>
        <w:t>.</w:t>
      </w:r>
      <w:r w:rsidR="003E7B5B" w:rsidRPr="001839C2">
        <w:rPr>
          <w:rFonts w:eastAsiaTheme="minorEastAsia"/>
          <w:snapToGrid/>
          <w:szCs w:val="22"/>
          <w:lang w:val="lt-LT" w:eastAsia="en-IN"/>
        </w:rPr>
        <w:t xml:space="preserve"> Penkių tiriamųjų (5,6</w:t>
      </w:r>
      <w:r w:rsidR="00BF22A9" w:rsidRPr="001839C2">
        <w:rPr>
          <w:rFonts w:eastAsiaTheme="minorEastAsia"/>
          <w:snapToGrid/>
          <w:szCs w:val="22"/>
          <w:lang w:val="lt-LT" w:eastAsia="en-IN"/>
        </w:rPr>
        <w:t> </w:t>
      </w:r>
      <w:r w:rsidR="003E7B5B" w:rsidRPr="001839C2">
        <w:rPr>
          <w:rFonts w:eastAsiaTheme="minorEastAsia"/>
          <w:snapToGrid/>
          <w:szCs w:val="22"/>
          <w:lang w:val="lt-LT" w:eastAsia="en-IN"/>
        </w:rPr>
        <w:t>%) laboratoriniai rodikliai kliniškai atitikto proksimalinę inkstų tubulopatiją, 4 iš jų tenofoviro dizoproksilio vartojimą nutraukė.</w:t>
      </w:r>
      <w:r w:rsidRPr="001839C2">
        <w:rPr>
          <w:rFonts w:eastAsiaTheme="minorEastAsia"/>
          <w:snapToGrid/>
          <w:szCs w:val="22"/>
          <w:lang w:val="lt-LT" w:eastAsia="en-IN"/>
        </w:rPr>
        <w:t xml:space="preserve"> Septynių</w:t>
      </w:r>
      <w:r w:rsidR="005619F0" w:rsidRPr="001839C2">
        <w:rPr>
          <w:rFonts w:eastAsiaTheme="minorEastAsia"/>
          <w:snapToGrid/>
          <w:szCs w:val="22"/>
          <w:lang w:val="lt-LT" w:eastAsia="en-IN"/>
        </w:rPr>
        <w:t> </w:t>
      </w:r>
      <w:r w:rsidRPr="001839C2">
        <w:rPr>
          <w:rFonts w:eastAsiaTheme="minorEastAsia"/>
          <w:snapToGrid/>
          <w:szCs w:val="22"/>
          <w:lang w:val="lt-LT" w:eastAsia="en-IN"/>
        </w:rPr>
        <w:t>pacientų apskaičiuotojo glomerulų filtracijos greičio (GFG) vertės buvo nuo 70 iki</w:t>
      </w:r>
      <w:r w:rsidR="005619F0" w:rsidRPr="001839C2">
        <w:rPr>
          <w:rFonts w:eastAsiaTheme="minorEastAsia"/>
          <w:snapToGrid/>
          <w:szCs w:val="22"/>
          <w:lang w:val="lt-LT" w:eastAsia="en-IN"/>
        </w:rPr>
        <w:t xml:space="preserve"> </w:t>
      </w:r>
      <w:r w:rsidRPr="001839C2">
        <w:rPr>
          <w:rFonts w:eastAsiaTheme="minorEastAsia"/>
          <w:snapToGrid/>
          <w:szCs w:val="22"/>
          <w:lang w:val="lt-LT" w:eastAsia="en-IN"/>
        </w:rPr>
        <w:t>90</w:t>
      </w:r>
      <w:r w:rsidR="005619F0" w:rsidRPr="001839C2">
        <w:rPr>
          <w:rFonts w:eastAsiaTheme="minorEastAsia"/>
          <w:snapToGrid/>
          <w:szCs w:val="22"/>
          <w:lang w:val="lt-LT" w:eastAsia="en-IN"/>
        </w:rPr>
        <w:t> </w:t>
      </w:r>
      <w:r w:rsidRPr="001839C2">
        <w:rPr>
          <w:rFonts w:eastAsiaTheme="minorEastAsia"/>
          <w:snapToGrid/>
          <w:szCs w:val="22"/>
          <w:lang w:val="lt-LT" w:eastAsia="en-IN"/>
        </w:rPr>
        <w:t>ml/min./1,73</w:t>
      </w:r>
      <w:r w:rsidR="005619F0" w:rsidRPr="001839C2">
        <w:rPr>
          <w:rFonts w:eastAsiaTheme="minorEastAsia"/>
          <w:snapToGrid/>
          <w:szCs w:val="22"/>
          <w:lang w:val="lt-LT" w:eastAsia="en-IN"/>
        </w:rPr>
        <w:t> </w:t>
      </w:r>
      <w:r w:rsidRPr="001839C2">
        <w:rPr>
          <w:rFonts w:eastAsiaTheme="minorEastAsia"/>
          <w:snapToGrid/>
          <w:szCs w:val="22"/>
          <w:lang w:val="lt-LT" w:eastAsia="en-IN"/>
        </w:rPr>
        <w:t>m</w:t>
      </w:r>
      <w:r w:rsidRPr="001839C2">
        <w:rPr>
          <w:rFonts w:eastAsiaTheme="minorEastAsia"/>
          <w:snapToGrid/>
          <w:szCs w:val="22"/>
          <w:vertAlign w:val="superscript"/>
          <w:lang w:val="lt-LT" w:eastAsia="en-IN"/>
        </w:rPr>
        <w:t>2</w:t>
      </w:r>
      <w:r w:rsidRPr="001839C2">
        <w:rPr>
          <w:rFonts w:eastAsiaTheme="minorEastAsia"/>
          <w:snapToGrid/>
          <w:szCs w:val="22"/>
          <w:lang w:val="lt-LT" w:eastAsia="en-IN"/>
        </w:rPr>
        <w:t xml:space="preserve">. Iš jų </w:t>
      </w:r>
      <w:r w:rsidR="003E7B5B" w:rsidRPr="001839C2">
        <w:rPr>
          <w:rFonts w:eastAsiaTheme="minorEastAsia"/>
          <w:snapToGrid/>
          <w:szCs w:val="22"/>
          <w:lang w:val="lt-LT" w:eastAsia="en-IN"/>
        </w:rPr>
        <w:t>3 </w:t>
      </w:r>
      <w:r w:rsidRPr="001839C2">
        <w:rPr>
          <w:rFonts w:eastAsiaTheme="minorEastAsia"/>
          <w:snapToGrid/>
          <w:szCs w:val="22"/>
          <w:lang w:val="lt-LT" w:eastAsia="en-IN"/>
        </w:rPr>
        <w:t>pacientams gydymo metu kliniškai reikšmingai sumažėjo apskaičiuotasis</w:t>
      </w:r>
      <w:r w:rsidR="005619F0" w:rsidRPr="001839C2">
        <w:rPr>
          <w:rFonts w:eastAsiaTheme="minorEastAsia"/>
          <w:snapToGrid/>
          <w:szCs w:val="22"/>
          <w:lang w:val="lt-LT" w:eastAsia="en-IN"/>
        </w:rPr>
        <w:t> </w:t>
      </w:r>
      <w:r w:rsidRPr="001839C2">
        <w:rPr>
          <w:rFonts w:eastAsiaTheme="minorEastAsia"/>
          <w:snapToGrid/>
          <w:szCs w:val="22"/>
          <w:lang w:val="lt-LT" w:eastAsia="en-IN"/>
        </w:rPr>
        <w:t>GFG, kuris nutraukus tenofoviro dizoproksilio vartojimą padidėjo.</w:t>
      </w:r>
    </w:p>
    <w:p w14:paraId="03E8B01E"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0B91B42"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snapToGrid/>
          <w:szCs w:val="22"/>
          <w:u w:val="single"/>
          <w:lang w:val="lt-LT" w:eastAsia="en-IN"/>
        </w:rPr>
        <w:t>Kitos ypatingos p</w:t>
      </w:r>
      <w:r w:rsidR="005619F0" w:rsidRPr="001839C2">
        <w:rPr>
          <w:rFonts w:eastAsiaTheme="minorEastAsia"/>
          <w:i/>
          <w:snapToGrid/>
          <w:szCs w:val="22"/>
          <w:u w:val="single"/>
          <w:lang w:val="lt-LT" w:eastAsia="en-IN"/>
        </w:rPr>
        <w:t>opulia</w:t>
      </w:r>
      <w:r w:rsidRPr="001839C2">
        <w:rPr>
          <w:rFonts w:eastAsiaTheme="minorEastAsia"/>
          <w:i/>
          <w:snapToGrid/>
          <w:szCs w:val="22"/>
          <w:u w:val="single"/>
          <w:lang w:val="lt-LT" w:eastAsia="en-IN"/>
        </w:rPr>
        <w:t>ci</w:t>
      </w:r>
      <w:r w:rsidR="005619F0" w:rsidRPr="001839C2">
        <w:rPr>
          <w:rFonts w:eastAsiaTheme="minorEastAsia"/>
          <w:i/>
          <w:snapToGrid/>
          <w:szCs w:val="22"/>
          <w:u w:val="single"/>
          <w:lang w:val="lt-LT" w:eastAsia="en-IN"/>
        </w:rPr>
        <w:t>jo</w:t>
      </w:r>
      <w:r w:rsidRPr="001839C2">
        <w:rPr>
          <w:rFonts w:eastAsiaTheme="minorEastAsia"/>
          <w:i/>
          <w:snapToGrid/>
          <w:szCs w:val="22"/>
          <w:u w:val="single"/>
          <w:lang w:val="lt-LT" w:eastAsia="en-IN"/>
        </w:rPr>
        <w:t>s</w:t>
      </w:r>
    </w:p>
    <w:p w14:paraId="28577AD6" w14:textId="77777777" w:rsidR="005619F0" w:rsidRPr="001839C2" w:rsidRDefault="005619F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Paci</w:t>
      </w:r>
      <w:r w:rsidR="002A5F50" w:rsidRPr="001839C2">
        <w:rPr>
          <w:rFonts w:eastAsiaTheme="minorEastAsia"/>
          <w:i/>
          <w:iCs/>
          <w:snapToGrid/>
          <w:szCs w:val="22"/>
          <w:lang w:val="lt-LT" w:eastAsia="en-IN"/>
        </w:rPr>
        <w:t>en</w:t>
      </w:r>
      <w:r w:rsidRPr="001839C2">
        <w:rPr>
          <w:rFonts w:eastAsiaTheme="minorEastAsia"/>
          <w:i/>
          <w:iCs/>
          <w:snapToGrid/>
          <w:szCs w:val="22"/>
          <w:lang w:val="lt-LT" w:eastAsia="en-IN"/>
        </w:rPr>
        <w:t>tai</w:t>
      </w:r>
      <w:r w:rsidR="002A5F50" w:rsidRPr="001839C2">
        <w:rPr>
          <w:rFonts w:eastAsiaTheme="minorEastAsia"/>
          <w:i/>
          <w:iCs/>
          <w:snapToGrid/>
          <w:szCs w:val="22"/>
          <w:lang w:val="lt-LT" w:eastAsia="en-IN"/>
        </w:rPr>
        <w:t>, kurių inkstų funkcija sutrikusi</w:t>
      </w:r>
    </w:p>
    <w:p w14:paraId="3F101EA3" w14:textId="77777777" w:rsidR="002A5F50" w:rsidRPr="001839C2" w:rsidRDefault="005619F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w:t>
      </w:r>
      <w:r w:rsidR="002A5F50" w:rsidRPr="001839C2">
        <w:rPr>
          <w:rFonts w:eastAsiaTheme="minorEastAsia"/>
          <w:snapToGrid/>
          <w:szCs w:val="22"/>
          <w:lang w:val="lt-LT" w:eastAsia="en-IN"/>
        </w:rPr>
        <w:t>adangi tenofovir</w:t>
      </w:r>
      <w:r w:rsidR="00A45872" w:rsidRPr="001839C2">
        <w:rPr>
          <w:rFonts w:eastAsiaTheme="minorEastAsia"/>
          <w:snapToGrid/>
          <w:szCs w:val="22"/>
          <w:lang w:val="lt-LT" w:eastAsia="en-IN"/>
        </w:rPr>
        <w:t>as</w:t>
      </w:r>
      <w:r w:rsidR="002A5F50" w:rsidRPr="001839C2">
        <w:rPr>
          <w:rFonts w:eastAsiaTheme="minorEastAsia"/>
          <w:snapToGrid/>
          <w:szCs w:val="22"/>
          <w:lang w:val="lt-LT" w:eastAsia="en-IN"/>
        </w:rPr>
        <w:t xml:space="preserve"> dizoproksilis gali sukelti toksinį poveikį inkstams, emtricitabino</w:t>
      </w:r>
      <w:r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Pr="001839C2">
        <w:rPr>
          <w:rFonts w:eastAsiaTheme="minorEastAsia"/>
          <w:snapToGrid/>
          <w:szCs w:val="22"/>
          <w:lang w:val="lt-LT" w:eastAsia="en-IN"/>
        </w:rPr>
        <w:t>io derinio</w:t>
      </w:r>
      <w:r w:rsidR="002A5F50" w:rsidRPr="001839C2" w:rsidDel="002B71B2">
        <w:rPr>
          <w:rFonts w:eastAsiaTheme="minorEastAsia"/>
          <w:snapToGrid/>
          <w:szCs w:val="22"/>
          <w:lang w:val="lt-LT" w:eastAsia="en-IN"/>
        </w:rPr>
        <w:t xml:space="preserve"> </w:t>
      </w:r>
      <w:r w:rsidR="002A5F50" w:rsidRPr="001839C2">
        <w:rPr>
          <w:rFonts w:eastAsiaTheme="minorEastAsia"/>
          <w:snapToGrid/>
          <w:szCs w:val="22"/>
          <w:lang w:val="lt-LT" w:eastAsia="en-IN"/>
        </w:rPr>
        <w:t>vartojantiems suaugusiesiems, kurių inkstų funkcija sutrikusi, reikia atidžiai stebėti inkstų funkciją (žr.</w:t>
      </w:r>
      <w:r w:rsidRPr="001839C2">
        <w:rPr>
          <w:rFonts w:eastAsiaTheme="minorEastAsia"/>
          <w:snapToGrid/>
          <w:szCs w:val="22"/>
          <w:lang w:val="lt-LT" w:eastAsia="en-IN"/>
        </w:rPr>
        <w:t> </w:t>
      </w:r>
      <w:r w:rsidR="002A5F50" w:rsidRPr="001839C2">
        <w:rPr>
          <w:rFonts w:eastAsiaTheme="minorEastAsia"/>
          <w:snapToGrid/>
          <w:szCs w:val="22"/>
          <w:lang w:val="lt-LT" w:eastAsia="en-IN"/>
        </w:rPr>
        <w:t>4.2, 4.4 ir 5.2</w:t>
      </w:r>
      <w:r w:rsidRPr="001839C2">
        <w:rPr>
          <w:rFonts w:eastAsiaTheme="minorEastAsia"/>
          <w:snapToGrid/>
          <w:szCs w:val="22"/>
          <w:lang w:val="lt-LT" w:eastAsia="en-IN"/>
        </w:rPr>
        <w:t> </w:t>
      </w:r>
      <w:r w:rsidR="002A5F50" w:rsidRPr="001839C2">
        <w:rPr>
          <w:rFonts w:eastAsiaTheme="minorEastAsia"/>
          <w:snapToGrid/>
          <w:szCs w:val="22"/>
          <w:lang w:val="lt-LT" w:eastAsia="en-IN"/>
        </w:rPr>
        <w:t>skyrius). Jaunesniems kaip 18</w:t>
      </w:r>
      <w:r w:rsidRPr="001839C2">
        <w:rPr>
          <w:rFonts w:eastAsiaTheme="minorEastAsia"/>
          <w:snapToGrid/>
          <w:szCs w:val="22"/>
          <w:lang w:val="lt-LT" w:eastAsia="en-IN"/>
        </w:rPr>
        <w:t> </w:t>
      </w:r>
      <w:r w:rsidR="002A5F50" w:rsidRPr="001839C2">
        <w:rPr>
          <w:rFonts w:eastAsiaTheme="minorEastAsia"/>
          <w:snapToGrid/>
          <w:szCs w:val="22"/>
          <w:lang w:val="lt-LT" w:eastAsia="en-IN"/>
        </w:rPr>
        <w:t>metų asmenims, kurių inkstų funkcija sutrikusi, emtricitabino</w:t>
      </w:r>
      <w:r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Pr="001839C2">
        <w:rPr>
          <w:rFonts w:eastAsiaTheme="minorEastAsia"/>
          <w:snapToGrid/>
          <w:szCs w:val="22"/>
          <w:lang w:val="lt-LT" w:eastAsia="en-IN"/>
        </w:rPr>
        <w:t>io derinio</w:t>
      </w:r>
      <w:r w:rsidR="002A5F50" w:rsidRPr="001839C2" w:rsidDel="002B71B2">
        <w:rPr>
          <w:rFonts w:eastAsiaTheme="minorEastAsia"/>
          <w:snapToGrid/>
          <w:szCs w:val="22"/>
          <w:lang w:val="lt-LT" w:eastAsia="en-IN"/>
        </w:rPr>
        <w:t xml:space="preserve"> </w:t>
      </w:r>
      <w:r w:rsidR="002A5F50" w:rsidRPr="001839C2">
        <w:rPr>
          <w:rFonts w:eastAsiaTheme="minorEastAsia"/>
          <w:snapToGrid/>
          <w:szCs w:val="22"/>
          <w:lang w:val="lt-LT" w:eastAsia="en-IN"/>
        </w:rPr>
        <w:t>vartoti nerekomenduojama (žr.</w:t>
      </w:r>
      <w:r w:rsidRPr="001839C2">
        <w:rPr>
          <w:rFonts w:eastAsiaTheme="minorEastAsia"/>
          <w:snapToGrid/>
          <w:szCs w:val="22"/>
          <w:lang w:val="lt-LT" w:eastAsia="en-IN"/>
        </w:rPr>
        <w:t> </w:t>
      </w:r>
      <w:r w:rsidR="002A5F50" w:rsidRPr="001839C2">
        <w:rPr>
          <w:rFonts w:eastAsiaTheme="minorEastAsia"/>
          <w:snapToGrid/>
          <w:szCs w:val="22"/>
          <w:lang w:val="lt-LT" w:eastAsia="en-IN"/>
        </w:rPr>
        <w:t>4.2 ir 4.4</w:t>
      </w:r>
      <w:r w:rsidRPr="001839C2">
        <w:rPr>
          <w:rFonts w:eastAsiaTheme="minorEastAsia"/>
          <w:snapToGrid/>
          <w:szCs w:val="22"/>
          <w:lang w:val="lt-LT" w:eastAsia="en-IN"/>
        </w:rPr>
        <w:t> </w:t>
      </w:r>
      <w:r w:rsidR="002A5F50" w:rsidRPr="001839C2">
        <w:rPr>
          <w:rFonts w:eastAsiaTheme="minorEastAsia"/>
          <w:snapToGrid/>
          <w:szCs w:val="22"/>
          <w:lang w:val="lt-LT" w:eastAsia="en-IN"/>
        </w:rPr>
        <w:t>skyrius).</w:t>
      </w:r>
    </w:p>
    <w:p w14:paraId="68742436"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A9E1305" w14:textId="77777777" w:rsidR="005619F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ŽIV ir kartu HBV arba HCV</w:t>
      </w:r>
      <w:r w:rsidR="003F486D" w:rsidRPr="001839C2">
        <w:rPr>
          <w:rFonts w:eastAsiaTheme="minorEastAsia"/>
          <w:i/>
          <w:iCs/>
          <w:snapToGrid/>
          <w:szCs w:val="22"/>
          <w:lang w:val="lt-LT" w:eastAsia="en-IN"/>
        </w:rPr>
        <w:t> </w:t>
      </w:r>
      <w:r w:rsidRPr="001839C2">
        <w:rPr>
          <w:rFonts w:eastAsiaTheme="minorEastAsia"/>
          <w:i/>
          <w:iCs/>
          <w:snapToGrid/>
          <w:szCs w:val="22"/>
          <w:lang w:val="lt-LT" w:eastAsia="en-IN"/>
        </w:rPr>
        <w:t>infekuoti pacientai</w:t>
      </w:r>
    </w:p>
    <w:p w14:paraId="2D4C73C5" w14:textId="77777777"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GS</w:t>
      </w:r>
      <w:r w:rsidR="005619F0" w:rsidRPr="001839C2">
        <w:rPr>
          <w:rFonts w:eastAsiaTheme="minorEastAsia"/>
          <w:snapToGrid/>
          <w:szCs w:val="22"/>
          <w:lang w:val="lt-LT" w:eastAsia="en-IN"/>
        </w:rPr>
        <w:noBreakHyphen/>
      </w:r>
      <w:r w:rsidRPr="001839C2">
        <w:rPr>
          <w:rFonts w:eastAsiaTheme="minorEastAsia"/>
          <w:snapToGrid/>
          <w:szCs w:val="22"/>
          <w:lang w:val="lt-LT" w:eastAsia="en-IN"/>
        </w:rPr>
        <w:t>01</w:t>
      </w:r>
      <w:r w:rsidR="005619F0" w:rsidRPr="001839C2">
        <w:rPr>
          <w:rFonts w:eastAsiaTheme="minorEastAsia"/>
          <w:snapToGrid/>
          <w:szCs w:val="22"/>
          <w:lang w:val="lt-LT" w:eastAsia="en-IN"/>
        </w:rPr>
        <w:noBreakHyphen/>
      </w:r>
      <w:r w:rsidRPr="001839C2">
        <w:rPr>
          <w:rFonts w:eastAsiaTheme="minorEastAsia"/>
          <w:snapToGrid/>
          <w:szCs w:val="22"/>
          <w:lang w:val="lt-LT" w:eastAsia="en-IN"/>
        </w:rPr>
        <w:t>934 tyrime nepageidaujamų emtricitabino ir tenofoviro dizoproksilio reakcijų pobūdis nedideliam skaičiui ŽIV</w:t>
      </w:r>
      <w:r w:rsidR="00BF074D" w:rsidRPr="001839C2">
        <w:rPr>
          <w:rFonts w:eastAsiaTheme="minorEastAsia"/>
          <w:snapToGrid/>
          <w:szCs w:val="22"/>
          <w:lang w:val="lt-LT" w:eastAsia="en-IN"/>
        </w:rPr>
        <w:t> </w:t>
      </w:r>
      <w:r w:rsidRPr="001839C2">
        <w:rPr>
          <w:rFonts w:eastAsiaTheme="minorEastAsia"/>
          <w:snapToGrid/>
          <w:szCs w:val="22"/>
          <w:lang w:val="lt-LT" w:eastAsia="en-IN"/>
        </w:rPr>
        <w:t>infekuotų pacientų, kurie buvo kartu infekuoti ir HBV (n</w:t>
      </w:r>
      <w:r w:rsidR="005619F0" w:rsidRPr="001839C2">
        <w:rPr>
          <w:rFonts w:eastAsiaTheme="minorEastAsia"/>
          <w:snapToGrid/>
          <w:szCs w:val="22"/>
          <w:lang w:val="lt-LT" w:eastAsia="en-IN"/>
        </w:rPr>
        <w:t> </w:t>
      </w:r>
      <w:r w:rsidRPr="001839C2">
        <w:rPr>
          <w:rFonts w:eastAsiaTheme="minorEastAsia"/>
          <w:snapToGrid/>
          <w:szCs w:val="22"/>
          <w:lang w:val="lt-LT" w:eastAsia="en-IN"/>
        </w:rPr>
        <w:t>=</w:t>
      </w:r>
      <w:r w:rsidR="005619F0" w:rsidRPr="001839C2">
        <w:rPr>
          <w:rFonts w:eastAsiaTheme="minorEastAsia"/>
          <w:snapToGrid/>
          <w:szCs w:val="22"/>
          <w:lang w:val="lt-LT" w:eastAsia="en-IN"/>
        </w:rPr>
        <w:t> </w:t>
      </w:r>
      <w:r w:rsidRPr="001839C2">
        <w:rPr>
          <w:rFonts w:eastAsiaTheme="minorEastAsia"/>
          <w:snapToGrid/>
          <w:szCs w:val="22"/>
          <w:lang w:val="lt-LT" w:eastAsia="en-IN"/>
        </w:rPr>
        <w:t xml:space="preserve">13) arba HCV (n </w:t>
      </w:r>
      <w:r w:rsidR="005619F0" w:rsidRPr="001839C2">
        <w:rPr>
          <w:rFonts w:eastAsiaTheme="minorEastAsia"/>
          <w:snapToGrid/>
          <w:szCs w:val="22"/>
          <w:lang w:val="lt-LT" w:eastAsia="en-IN"/>
        </w:rPr>
        <w:t> </w:t>
      </w:r>
      <w:r w:rsidRPr="001839C2">
        <w:rPr>
          <w:rFonts w:eastAsiaTheme="minorEastAsia"/>
          <w:snapToGrid/>
          <w:szCs w:val="22"/>
          <w:lang w:val="lt-LT" w:eastAsia="en-IN"/>
        </w:rPr>
        <w:t>=</w:t>
      </w:r>
      <w:r w:rsidR="005619F0" w:rsidRPr="001839C2">
        <w:rPr>
          <w:rFonts w:eastAsiaTheme="minorEastAsia"/>
          <w:snapToGrid/>
          <w:szCs w:val="22"/>
          <w:lang w:val="lt-LT" w:eastAsia="en-IN"/>
        </w:rPr>
        <w:t> </w:t>
      </w:r>
      <w:r w:rsidRPr="001839C2">
        <w:rPr>
          <w:rFonts w:eastAsiaTheme="minorEastAsia"/>
          <w:snapToGrid/>
          <w:szCs w:val="22"/>
          <w:lang w:val="lt-LT" w:eastAsia="en-IN"/>
        </w:rPr>
        <w:t>26), buvo panašus kaip ir pacientams, infekuotiems tik</w:t>
      </w:r>
      <w:r w:rsidR="005619F0" w:rsidRPr="001839C2">
        <w:rPr>
          <w:rFonts w:eastAsiaTheme="minorEastAsia"/>
          <w:snapToGrid/>
          <w:szCs w:val="22"/>
          <w:lang w:val="lt-LT" w:eastAsia="en-IN"/>
        </w:rPr>
        <w:t xml:space="preserve"> </w:t>
      </w:r>
      <w:r w:rsidRPr="001839C2">
        <w:rPr>
          <w:rFonts w:eastAsiaTheme="minorEastAsia"/>
          <w:snapToGrid/>
          <w:szCs w:val="22"/>
          <w:lang w:val="lt-LT" w:eastAsia="en-IN"/>
        </w:rPr>
        <w:t>ŽIV. Tačiau pirmoje pacientų grupėje, kaip ir galima buvo tikėtis, dažniau nei vien tik ŽIV</w:t>
      </w:r>
      <w:r w:rsidR="00BF074D" w:rsidRPr="001839C2">
        <w:rPr>
          <w:rFonts w:eastAsiaTheme="minorEastAsia"/>
          <w:snapToGrid/>
          <w:szCs w:val="22"/>
          <w:lang w:val="lt-LT" w:eastAsia="en-IN"/>
        </w:rPr>
        <w:t> </w:t>
      </w:r>
      <w:r w:rsidRPr="001839C2">
        <w:rPr>
          <w:rFonts w:eastAsiaTheme="minorEastAsia"/>
          <w:snapToGrid/>
          <w:szCs w:val="22"/>
          <w:lang w:val="lt-LT" w:eastAsia="en-IN"/>
        </w:rPr>
        <w:t>infekuotų pacientų grupėje, padidėj</w:t>
      </w:r>
      <w:r w:rsidR="005619F0" w:rsidRPr="001839C2">
        <w:rPr>
          <w:rFonts w:eastAsiaTheme="minorEastAsia"/>
          <w:snapToGrid/>
          <w:szCs w:val="22"/>
          <w:lang w:val="lt-LT" w:eastAsia="en-IN"/>
        </w:rPr>
        <w:t>o</w:t>
      </w:r>
      <w:r w:rsidRPr="001839C2">
        <w:rPr>
          <w:rFonts w:eastAsiaTheme="minorEastAsia"/>
          <w:snapToGrid/>
          <w:szCs w:val="22"/>
          <w:lang w:val="lt-LT" w:eastAsia="en-IN"/>
        </w:rPr>
        <w:t xml:space="preserve"> AST ir ALT</w:t>
      </w:r>
      <w:r w:rsidR="00BF074D" w:rsidRPr="001839C2">
        <w:rPr>
          <w:rFonts w:eastAsiaTheme="minorEastAsia"/>
          <w:snapToGrid/>
          <w:szCs w:val="22"/>
          <w:lang w:val="lt-LT" w:eastAsia="en-IN"/>
        </w:rPr>
        <w:t> </w:t>
      </w:r>
      <w:r w:rsidRPr="001839C2">
        <w:rPr>
          <w:rFonts w:eastAsiaTheme="minorEastAsia"/>
          <w:snapToGrid/>
          <w:szCs w:val="22"/>
          <w:lang w:val="lt-LT" w:eastAsia="en-IN"/>
        </w:rPr>
        <w:t>aktyvumas.</w:t>
      </w:r>
    </w:p>
    <w:p w14:paraId="690214F2"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FEA7397" w14:textId="77777777" w:rsidR="005619F0"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Hepatito paūmėjimo atvejai po visiško gydymo nutraukimo</w:t>
      </w:r>
    </w:p>
    <w:p w14:paraId="30611C02"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HBV</w:t>
      </w:r>
      <w:r w:rsidR="00BF074D" w:rsidRPr="001839C2">
        <w:rPr>
          <w:rFonts w:eastAsiaTheme="minorEastAsia"/>
          <w:snapToGrid/>
          <w:szCs w:val="22"/>
          <w:lang w:val="lt-LT" w:eastAsia="en-IN"/>
        </w:rPr>
        <w:t> </w:t>
      </w:r>
      <w:r w:rsidRPr="001839C2">
        <w:rPr>
          <w:rFonts w:eastAsiaTheme="minorEastAsia"/>
          <w:snapToGrid/>
          <w:szCs w:val="22"/>
          <w:lang w:val="lt-LT" w:eastAsia="en-IN"/>
        </w:rPr>
        <w:t>infekuotiems pacientams klinikinių ir laboratorinių hepatito požymių atsirado po gydymo nutraukimo (žr.</w:t>
      </w:r>
      <w:r w:rsidR="005619F0" w:rsidRPr="001839C2">
        <w:rPr>
          <w:rFonts w:eastAsiaTheme="minorEastAsia"/>
          <w:snapToGrid/>
          <w:szCs w:val="22"/>
          <w:lang w:val="lt-LT" w:eastAsia="en-IN"/>
        </w:rPr>
        <w:t> </w:t>
      </w:r>
      <w:r w:rsidRPr="001839C2">
        <w:rPr>
          <w:rFonts w:eastAsiaTheme="minorEastAsia"/>
          <w:snapToGrid/>
          <w:szCs w:val="22"/>
          <w:lang w:val="lt-LT" w:eastAsia="en-IN"/>
        </w:rPr>
        <w:t>4.4</w:t>
      </w:r>
      <w:r w:rsidR="005619F0" w:rsidRPr="001839C2">
        <w:rPr>
          <w:rFonts w:eastAsiaTheme="minorEastAsia"/>
          <w:snapToGrid/>
          <w:szCs w:val="22"/>
          <w:lang w:val="lt-LT" w:eastAsia="en-IN"/>
        </w:rPr>
        <w:t> </w:t>
      </w:r>
      <w:r w:rsidRPr="001839C2">
        <w:rPr>
          <w:rFonts w:eastAsiaTheme="minorEastAsia"/>
          <w:snapToGrid/>
          <w:szCs w:val="22"/>
          <w:lang w:val="lt-LT" w:eastAsia="en-IN"/>
        </w:rPr>
        <w:t>skyrių).</w:t>
      </w:r>
    </w:p>
    <w:p w14:paraId="187C3C6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1257CA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Pranešimas apie įtariamas nepageidaujamas reakcijas</w:t>
      </w:r>
    </w:p>
    <w:p w14:paraId="462AFE16" w14:textId="49E8FCB9" w:rsidR="002A5F50" w:rsidRPr="001839C2" w:rsidRDefault="002A5F50" w:rsidP="00686907">
      <w:pPr>
        <w:widowControl w:val="0"/>
        <w:tabs>
          <w:tab w:val="clear" w:pos="567"/>
          <w:tab w:val="left" w:pos="0"/>
        </w:tabs>
        <w:kinsoku w:val="0"/>
        <w:overflowPunct w:val="0"/>
        <w:autoSpaceDE w:val="0"/>
        <w:autoSpaceDN w:val="0"/>
        <w:adjustRightInd w:val="0"/>
        <w:jc w:val="both"/>
        <w:rPr>
          <w:rFonts w:eastAsiaTheme="minorEastAsia"/>
          <w:snapToGrid/>
          <w:szCs w:val="22"/>
          <w:lang w:val="lt-LT" w:eastAsia="en-IN"/>
        </w:rPr>
      </w:pPr>
      <w:r w:rsidRPr="001839C2">
        <w:rPr>
          <w:rFonts w:eastAsiaTheme="minorEastAsia"/>
          <w:snapToGrid/>
          <w:szCs w:val="22"/>
          <w:lang w:val="lt-LT" w:eastAsia="en-IN"/>
        </w:rPr>
        <w:t xml:space="preserve">Svarbu pranešti apie įtariamas nepageidaujamas reakcijas, pastebėtas po vaistinio preparato registracijos, nes tai leidžia nuolat stebėti vaistinio preparato naudos ir rizikos santykį. </w:t>
      </w:r>
      <w:r w:rsidR="00BF22A9" w:rsidRPr="001839C2">
        <w:rPr>
          <w:rFonts w:eastAsiaTheme="minorEastAsia"/>
          <w:lang w:val="lt-LT"/>
        </w:rPr>
        <w:t xml:space="preserve">Sveikatos priežiūros </w:t>
      </w:r>
      <w:r w:rsidR="00BF22A9" w:rsidRPr="001839C2">
        <w:rPr>
          <w:rFonts w:eastAsiaTheme="minorEastAsia"/>
          <w:snapToGrid/>
          <w:szCs w:val="22"/>
          <w:lang w:val="lt-LT" w:eastAsia="en-IN"/>
        </w:rPr>
        <w:t xml:space="preserve">ar farmacijos </w:t>
      </w:r>
      <w:r w:rsidR="00BF22A9" w:rsidRPr="001839C2">
        <w:rPr>
          <w:rFonts w:eastAsiaTheme="minorEastAsia"/>
          <w:lang w:val="lt-LT"/>
        </w:rPr>
        <w:t xml:space="preserve">specialistai turi pranešti apie bet kokias įtariamas nepageidaujamas reakcijas, </w:t>
      </w:r>
      <w:r w:rsidR="006523CB" w:rsidRPr="006523CB">
        <w:rPr>
          <w:rFonts w:eastAsiaTheme="minorEastAsia"/>
          <w:snapToGrid/>
          <w:szCs w:val="22"/>
          <w:lang w:val="lt-LT" w:eastAsia="en-IN"/>
        </w:rPr>
        <w:t xml:space="preserve">sveikatos apsaugos ministerijos tinklalapyje </w:t>
      </w:r>
      <w:r w:rsidR="006523CB" w:rsidRPr="006523CB">
        <w:rPr>
          <w:rFonts w:eastAsiaTheme="minorEastAsia"/>
          <w:snapToGrid/>
          <w:szCs w:val="22"/>
          <w:u w:val="single"/>
          <w:lang w:val="lt-LT" w:eastAsia="en-IN"/>
        </w:rPr>
        <w:t>https://vvkt.lrv.lt/lt/</w:t>
      </w:r>
      <w:r w:rsidR="006523CB" w:rsidRPr="006523CB">
        <w:rPr>
          <w:rFonts w:eastAsiaTheme="minorEastAsia"/>
          <w:snapToGrid/>
          <w:szCs w:val="22"/>
          <w:lang w:val="lt-LT" w:eastAsia="en-IN"/>
        </w:rPr>
        <w:t xml:space="preserve"> nurodytais būdais.</w:t>
      </w:r>
    </w:p>
    <w:p w14:paraId="7A62647C"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BB5E8BA" w14:textId="77777777" w:rsidR="002A5F50" w:rsidRPr="001839C2" w:rsidRDefault="002A5F50" w:rsidP="00230559">
      <w:pPr>
        <w:widowControl w:val="0"/>
        <w:tabs>
          <w:tab w:val="left" w:pos="0"/>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4.9</w:t>
      </w:r>
      <w:r w:rsidRPr="001839C2">
        <w:rPr>
          <w:rFonts w:eastAsiaTheme="minorEastAsia"/>
          <w:b/>
          <w:bCs/>
          <w:snapToGrid/>
          <w:szCs w:val="22"/>
          <w:lang w:val="lt-LT" w:eastAsia="en-IN"/>
        </w:rPr>
        <w:tab/>
        <w:t>Perdozavimas</w:t>
      </w:r>
    </w:p>
    <w:p w14:paraId="7CADEED3"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37B00AE4"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Perdozavimo atveju </w:t>
      </w:r>
      <w:r w:rsidR="005619F0" w:rsidRPr="001839C2">
        <w:rPr>
          <w:rFonts w:eastAsiaTheme="minorEastAsia"/>
          <w:snapToGrid/>
          <w:szCs w:val="22"/>
          <w:lang w:val="lt-LT" w:eastAsia="en-IN"/>
        </w:rPr>
        <w:t>p</w:t>
      </w:r>
      <w:r w:rsidRPr="001839C2">
        <w:rPr>
          <w:rFonts w:eastAsiaTheme="minorEastAsia"/>
          <w:snapToGrid/>
          <w:szCs w:val="22"/>
          <w:lang w:val="lt-LT" w:eastAsia="en-IN"/>
        </w:rPr>
        <w:t>a</w:t>
      </w:r>
      <w:r w:rsidR="005619F0" w:rsidRPr="001839C2">
        <w:rPr>
          <w:rFonts w:eastAsiaTheme="minorEastAsia"/>
          <w:snapToGrid/>
          <w:szCs w:val="22"/>
          <w:lang w:val="lt-LT" w:eastAsia="en-IN"/>
        </w:rPr>
        <w:t>ci</w:t>
      </w:r>
      <w:r w:rsidRPr="001839C2">
        <w:rPr>
          <w:rFonts w:eastAsiaTheme="minorEastAsia"/>
          <w:snapToGrid/>
          <w:szCs w:val="22"/>
          <w:lang w:val="lt-LT" w:eastAsia="en-IN"/>
        </w:rPr>
        <w:t>en</w:t>
      </w:r>
      <w:r w:rsidR="005619F0" w:rsidRPr="001839C2">
        <w:rPr>
          <w:rFonts w:eastAsiaTheme="minorEastAsia"/>
          <w:snapToGrid/>
          <w:szCs w:val="22"/>
          <w:lang w:val="lt-LT" w:eastAsia="en-IN"/>
        </w:rPr>
        <w:t>tą</w:t>
      </w:r>
      <w:r w:rsidRPr="001839C2">
        <w:rPr>
          <w:rFonts w:eastAsiaTheme="minorEastAsia"/>
          <w:snapToGrid/>
          <w:szCs w:val="22"/>
          <w:lang w:val="lt-LT" w:eastAsia="en-IN"/>
        </w:rPr>
        <w:t xml:space="preserve"> reikia stebėti dėl toksinio poveikio simptomų (žr.</w:t>
      </w:r>
      <w:r w:rsidR="005619F0" w:rsidRPr="001839C2">
        <w:rPr>
          <w:rFonts w:eastAsiaTheme="minorEastAsia"/>
          <w:snapToGrid/>
          <w:szCs w:val="22"/>
          <w:lang w:val="lt-LT" w:eastAsia="en-IN"/>
        </w:rPr>
        <w:t> </w:t>
      </w:r>
      <w:r w:rsidRPr="001839C2">
        <w:rPr>
          <w:rFonts w:eastAsiaTheme="minorEastAsia"/>
          <w:snapToGrid/>
          <w:szCs w:val="22"/>
          <w:lang w:val="lt-LT" w:eastAsia="en-IN"/>
        </w:rPr>
        <w:t>4.8</w:t>
      </w:r>
      <w:r w:rsidR="005619F0" w:rsidRPr="001839C2">
        <w:rPr>
          <w:rFonts w:eastAsiaTheme="minorEastAsia"/>
          <w:snapToGrid/>
          <w:szCs w:val="22"/>
          <w:lang w:val="lt-LT" w:eastAsia="en-IN"/>
        </w:rPr>
        <w:t> </w:t>
      </w:r>
      <w:r w:rsidRPr="001839C2">
        <w:rPr>
          <w:rFonts w:eastAsiaTheme="minorEastAsia"/>
          <w:snapToGrid/>
          <w:szCs w:val="22"/>
          <w:lang w:val="lt-LT" w:eastAsia="en-IN"/>
        </w:rPr>
        <w:t>skyrių) ir, jeigu reikia, taikyti įprast</w:t>
      </w:r>
      <w:r w:rsidR="005619F0" w:rsidRPr="001839C2">
        <w:rPr>
          <w:rFonts w:eastAsiaTheme="minorEastAsia"/>
          <w:snapToGrid/>
          <w:szCs w:val="22"/>
          <w:lang w:val="lt-LT" w:eastAsia="en-IN"/>
        </w:rPr>
        <w:t>ą</w:t>
      </w:r>
      <w:r w:rsidRPr="001839C2">
        <w:rPr>
          <w:rFonts w:eastAsiaTheme="minorEastAsia"/>
          <w:snapToGrid/>
          <w:szCs w:val="22"/>
          <w:lang w:val="lt-LT" w:eastAsia="en-IN"/>
        </w:rPr>
        <w:t xml:space="preserve"> palaikomąjį gydymą.</w:t>
      </w:r>
    </w:p>
    <w:p w14:paraId="779E989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A50581C"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Iki 30</w:t>
      </w:r>
      <w:r w:rsidR="005619F0" w:rsidRPr="001839C2">
        <w:rPr>
          <w:rFonts w:eastAsiaTheme="minorEastAsia"/>
          <w:snapToGrid/>
          <w:szCs w:val="22"/>
          <w:lang w:val="lt-LT" w:eastAsia="en-IN"/>
        </w:rPr>
        <w:t> </w:t>
      </w:r>
      <w:r w:rsidRPr="001839C2">
        <w:rPr>
          <w:rFonts w:eastAsiaTheme="minorEastAsia"/>
          <w:snapToGrid/>
          <w:szCs w:val="22"/>
          <w:lang w:val="lt-LT" w:eastAsia="en-IN"/>
        </w:rPr>
        <w:t>% emtricitabino ir a</w:t>
      </w:r>
      <w:r w:rsidR="005619F0" w:rsidRPr="001839C2">
        <w:rPr>
          <w:rFonts w:eastAsiaTheme="minorEastAsia"/>
          <w:snapToGrid/>
          <w:szCs w:val="22"/>
          <w:lang w:val="lt-LT" w:eastAsia="en-IN"/>
        </w:rPr>
        <w:t>pytiksli</w:t>
      </w:r>
      <w:r w:rsidRPr="001839C2">
        <w:rPr>
          <w:rFonts w:eastAsiaTheme="minorEastAsia"/>
          <w:snapToGrid/>
          <w:szCs w:val="22"/>
          <w:lang w:val="lt-LT" w:eastAsia="en-IN"/>
        </w:rPr>
        <w:t>a</w:t>
      </w:r>
      <w:r w:rsidR="005619F0" w:rsidRPr="001839C2">
        <w:rPr>
          <w:rFonts w:eastAsiaTheme="minorEastAsia"/>
          <w:snapToGrid/>
          <w:szCs w:val="22"/>
          <w:lang w:val="lt-LT" w:eastAsia="en-IN"/>
        </w:rPr>
        <w:t>i</w:t>
      </w:r>
      <w:r w:rsidRPr="001839C2">
        <w:rPr>
          <w:rFonts w:eastAsiaTheme="minorEastAsia"/>
          <w:snapToGrid/>
          <w:szCs w:val="22"/>
          <w:lang w:val="lt-LT" w:eastAsia="en-IN"/>
        </w:rPr>
        <w:t xml:space="preserve"> 10</w:t>
      </w:r>
      <w:r w:rsidR="005619F0" w:rsidRPr="001839C2">
        <w:rPr>
          <w:rFonts w:eastAsiaTheme="minorEastAsia"/>
          <w:snapToGrid/>
          <w:szCs w:val="22"/>
          <w:lang w:val="lt-LT" w:eastAsia="en-IN"/>
        </w:rPr>
        <w:t> </w:t>
      </w:r>
      <w:r w:rsidRPr="001839C2">
        <w:rPr>
          <w:rFonts w:eastAsiaTheme="minorEastAsia"/>
          <w:snapToGrid/>
          <w:szCs w:val="22"/>
          <w:lang w:val="lt-LT" w:eastAsia="en-IN"/>
        </w:rPr>
        <w:t>% tenofoviro dozės gali būti pašalinta taikant hemodializę. Nėra žinoma, ar emtricitabinas ir tenofoviras gali būti pašalinti peritoninės dializės būdu.</w:t>
      </w:r>
    </w:p>
    <w:p w14:paraId="1750E4D8"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567EE9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F37D7B6" w14:textId="77777777" w:rsidR="002A5F50" w:rsidRPr="001839C2" w:rsidRDefault="002A5F50" w:rsidP="00230559">
      <w:pPr>
        <w:widowControl w:val="0"/>
        <w:numPr>
          <w:ilvl w:val="0"/>
          <w:numId w:val="29"/>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FARMAKOLOGINĖS SAVYBĖS</w:t>
      </w:r>
    </w:p>
    <w:p w14:paraId="2C5B534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4697D0A5" w14:textId="77777777" w:rsidR="002A5F50" w:rsidRPr="001839C2" w:rsidRDefault="002A5F50" w:rsidP="00230559">
      <w:pPr>
        <w:widowControl w:val="0"/>
        <w:numPr>
          <w:ilvl w:val="1"/>
          <w:numId w:val="29"/>
        </w:numPr>
        <w:tabs>
          <w:tab w:val="left" w:pos="0"/>
        </w:tabs>
        <w:kinsoku w:val="0"/>
        <w:overflowPunct w:val="0"/>
        <w:autoSpaceDE w:val="0"/>
        <w:autoSpaceDN w:val="0"/>
        <w:adjustRightInd w:val="0"/>
        <w:ind w:left="0" w:firstLine="0"/>
        <w:rPr>
          <w:rFonts w:eastAsiaTheme="minorEastAsia"/>
          <w:snapToGrid/>
          <w:szCs w:val="22"/>
          <w:lang w:val="lt-LT" w:eastAsia="en-IN"/>
        </w:rPr>
      </w:pPr>
      <w:r w:rsidRPr="001839C2">
        <w:rPr>
          <w:rFonts w:eastAsiaTheme="minorEastAsia"/>
          <w:b/>
          <w:bCs/>
          <w:snapToGrid/>
          <w:szCs w:val="22"/>
          <w:lang w:val="lt-LT" w:eastAsia="en-IN"/>
        </w:rPr>
        <w:t>Farmakodinaminės savybės</w:t>
      </w:r>
    </w:p>
    <w:p w14:paraId="492C26B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3DD59C49"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Farmakoterapinė grupė – sistemiškai veikiantys priešvirusiniai vaist</w:t>
      </w:r>
      <w:r w:rsidR="00603466" w:rsidRPr="001839C2">
        <w:rPr>
          <w:rFonts w:eastAsiaTheme="minorEastAsia"/>
          <w:snapToGrid/>
          <w:szCs w:val="22"/>
          <w:lang w:val="lt-LT" w:eastAsia="en-IN"/>
        </w:rPr>
        <w:t>ini</w:t>
      </w:r>
      <w:r w:rsidRPr="001839C2">
        <w:rPr>
          <w:rFonts w:eastAsiaTheme="minorEastAsia"/>
          <w:snapToGrid/>
          <w:szCs w:val="22"/>
          <w:lang w:val="lt-LT" w:eastAsia="en-IN"/>
        </w:rPr>
        <w:t>ai</w:t>
      </w:r>
      <w:r w:rsidR="00603466" w:rsidRPr="001839C2">
        <w:rPr>
          <w:rFonts w:eastAsiaTheme="minorEastAsia"/>
          <w:snapToGrid/>
          <w:szCs w:val="22"/>
          <w:lang w:val="lt-LT" w:eastAsia="en-IN"/>
        </w:rPr>
        <w:t xml:space="preserve"> preparatai,</w:t>
      </w:r>
      <w:r w:rsidRPr="001839C2">
        <w:rPr>
          <w:rFonts w:eastAsiaTheme="minorEastAsia"/>
          <w:snapToGrid/>
          <w:szCs w:val="22"/>
          <w:lang w:val="lt-LT" w:eastAsia="en-IN"/>
        </w:rPr>
        <w:t xml:space="preserve"> priešvirusiniai vaist</w:t>
      </w:r>
      <w:r w:rsidR="00603466" w:rsidRPr="001839C2">
        <w:rPr>
          <w:rFonts w:eastAsiaTheme="minorEastAsia"/>
          <w:snapToGrid/>
          <w:szCs w:val="22"/>
          <w:lang w:val="lt-LT" w:eastAsia="en-IN"/>
        </w:rPr>
        <w:t>ini</w:t>
      </w:r>
      <w:r w:rsidRPr="001839C2">
        <w:rPr>
          <w:rFonts w:eastAsiaTheme="minorEastAsia"/>
          <w:snapToGrid/>
          <w:szCs w:val="22"/>
          <w:lang w:val="lt-LT" w:eastAsia="en-IN"/>
        </w:rPr>
        <w:t>ai</w:t>
      </w:r>
      <w:r w:rsidR="00603466" w:rsidRPr="001839C2">
        <w:rPr>
          <w:rFonts w:eastAsiaTheme="minorEastAsia"/>
          <w:snapToGrid/>
          <w:szCs w:val="22"/>
          <w:lang w:val="lt-LT" w:eastAsia="en-IN"/>
        </w:rPr>
        <w:t xml:space="preserve"> preparatai</w:t>
      </w:r>
      <w:r w:rsidRPr="001839C2">
        <w:rPr>
          <w:rFonts w:eastAsiaTheme="minorEastAsia"/>
          <w:snapToGrid/>
          <w:szCs w:val="22"/>
          <w:lang w:val="lt-LT" w:eastAsia="en-IN"/>
        </w:rPr>
        <w:t>, skirti ŽIV</w:t>
      </w:r>
      <w:r w:rsidR="00603466" w:rsidRPr="001839C2">
        <w:rPr>
          <w:rFonts w:eastAsiaTheme="minorEastAsia"/>
          <w:snapToGrid/>
          <w:szCs w:val="22"/>
          <w:lang w:val="lt-LT" w:eastAsia="en-IN"/>
        </w:rPr>
        <w:t> </w:t>
      </w:r>
      <w:r w:rsidRPr="001839C2">
        <w:rPr>
          <w:rFonts w:eastAsiaTheme="minorEastAsia"/>
          <w:snapToGrid/>
          <w:szCs w:val="22"/>
          <w:lang w:val="lt-LT" w:eastAsia="en-IN"/>
        </w:rPr>
        <w:t>infekcijoms gydyti, deriniai</w:t>
      </w:r>
      <w:r w:rsidR="00603466" w:rsidRPr="001839C2">
        <w:rPr>
          <w:rFonts w:eastAsiaTheme="minorEastAsia"/>
          <w:snapToGrid/>
          <w:szCs w:val="22"/>
          <w:lang w:val="lt-LT" w:eastAsia="en-IN"/>
        </w:rPr>
        <w:t>,</w:t>
      </w:r>
      <w:r w:rsidRPr="001839C2">
        <w:rPr>
          <w:rFonts w:eastAsiaTheme="minorEastAsia"/>
          <w:snapToGrid/>
          <w:szCs w:val="22"/>
          <w:lang w:val="lt-LT" w:eastAsia="en-IN"/>
        </w:rPr>
        <w:t xml:space="preserve"> ATC</w:t>
      </w:r>
      <w:r w:rsidR="00603466" w:rsidRPr="001839C2">
        <w:rPr>
          <w:rFonts w:eastAsiaTheme="minorEastAsia"/>
          <w:snapToGrid/>
          <w:szCs w:val="22"/>
          <w:lang w:val="lt-LT" w:eastAsia="en-IN"/>
        </w:rPr>
        <w:t> </w:t>
      </w:r>
      <w:r w:rsidRPr="001839C2">
        <w:rPr>
          <w:rFonts w:eastAsiaTheme="minorEastAsia"/>
          <w:snapToGrid/>
          <w:szCs w:val="22"/>
          <w:lang w:val="lt-LT" w:eastAsia="en-IN"/>
        </w:rPr>
        <w:t>kodas – J05AR03.</w:t>
      </w:r>
    </w:p>
    <w:p w14:paraId="46D96EA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E76666B" w14:textId="77777777" w:rsidR="002A5F50" w:rsidRPr="001839C2" w:rsidRDefault="002A5F50" w:rsidP="004D75A0">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Veikimo mechanizmas</w:t>
      </w:r>
    </w:p>
    <w:p w14:paraId="3F43CC5F" w14:textId="77777777" w:rsidR="002A5F50" w:rsidRPr="001839C2" w:rsidRDefault="002A5F50" w:rsidP="004D75A0">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Emtricitabinas yra nukleozido citidino analogas. Tenofovir</w:t>
      </w:r>
      <w:r w:rsidR="00A45872" w:rsidRPr="001839C2">
        <w:rPr>
          <w:rFonts w:eastAsiaTheme="minorEastAsia"/>
          <w:snapToGrid/>
          <w:szCs w:val="22"/>
          <w:lang w:val="lt-LT" w:eastAsia="en-IN"/>
        </w:rPr>
        <w:t>as</w:t>
      </w:r>
      <w:r w:rsidRPr="001839C2">
        <w:rPr>
          <w:rFonts w:eastAsiaTheme="minorEastAsia"/>
          <w:snapToGrid/>
          <w:szCs w:val="22"/>
          <w:lang w:val="lt-LT" w:eastAsia="en-IN"/>
        </w:rPr>
        <w:t xml:space="preserve"> dizoproksilis </w:t>
      </w:r>
      <w:r w:rsidRPr="001839C2">
        <w:rPr>
          <w:rFonts w:eastAsiaTheme="minorEastAsia"/>
          <w:i/>
          <w:iCs/>
          <w:snapToGrid/>
          <w:szCs w:val="22"/>
          <w:lang w:val="lt-LT" w:eastAsia="en-IN"/>
        </w:rPr>
        <w:t>in</w:t>
      </w:r>
      <w:r w:rsidR="00603466"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vivo </w:t>
      </w:r>
      <w:r w:rsidRPr="001839C2">
        <w:rPr>
          <w:rFonts w:eastAsiaTheme="minorEastAsia"/>
          <w:snapToGrid/>
          <w:szCs w:val="22"/>
          <w:lang w:val="lt-LT" w:eastAsia="en-IN"/>
        </w:rPr>
        <w:t>yra ver</w:t>
      </w:r>
      <w:r w:rsidR="00EA0BD1" w:rsidRPr="001839C2">
        <w:rPr>
          <w:rFonts w:eastAsiaTheme="minorEastAsia"/>
          <w:snapToGrid/>
          <w:szCs w:val="22"/>
          <w:lang w:val="lt-LT" w:eastAsia="en-IN"/>
        </w:rPr>
        <w:t>čia</w:t>
      </w:r>
      <w:r w:rsidRPr="001839C2">
        <w:rPr>
          <w:rFonts w:eastAsiaTheme="minorEastAsia"/>
          <w:snapToGrid/>
          <w:szCs w:val="22"/>
          <w:lang w:val="lt-LT" w:eastAsia="en-IN"/>
        </w:rPr>
        <w:t>amas į tenofovirą, kuris yra nukleozido monofosfatas (nukleotidas), adenozino monofosfato analogas. Tiek emtricitabinas, tiek tenofoviras yra specifiškai aktyvūs prieš žmogaus imunodeficito virusą (ŽIV</w:t>
      </w:r>
      <w:r w:rsidR="00603466" w:rsidRPr="001839C2">
        <w:rPr>
          <w:rFonts w:eastAsiaTheme="minorEastAsia"/>
          <w:snapToGrid/>
          <w:szCs w:val="22"/>
          <w:lang w:val="lt-LT" w:eastAsia="en-IN"/>
        </w:rPr>
        <w:noBreakHyphen/>
      </w:r>
      <w:r w:rsidRPr="001839C2">
        <w:rPr>
          <w:rFonts w:eastAsiaTheme="minorEastAsia"/>
          <w:snapToGrid/>
          <w:szCs w:val="22"/>
          <w:lang w:val="lt-LT" w:eastAsia="en-IN"/>
        </w:rPr>
        <w:t>1 ir ŽIV</w:t>
      </w:r>
      <w:r w:rsidR="00603466" w:rsidRPr="001839C2">
        <w:rPr>
          <w:rFonts w:eastAsiaTheme="minorEastAsia"/>
          <w:snapToGrid/>
          <w:szCs w:val="22"/>
          <w:lang w:val="lt-LT" w:eastAsia="en-IN"/>
        </w:rPr>
        <w:noBreakHyphen/>
      </w:r>
      <w:r w:rsidRPr="001839C2">
        <w:rPr>
          <w:rFonts w:eastAsiaTheme="minorEastAsia"/>
          <w:snapToGrid/>
          <w:szCs w:val="22"/>
          <w:lang w:val="lt-LT" w:eastAsia="en-IN"/>
        </w:rPr>
        <w:t>2) bei hepatito</w:t>
      </w:r>
      <w:r w:rsidR="00603466" w:rsidRPr="001839C2">
        <w:rPr>
          <w:rFonts w:eastAsiaTheme="minorEastAsia"/>
          <w:snapToGrid/>
          <w:szCs w:val="22"/>
          <w:lang w:val="lt-LT" w:eastAsia="en-IN"/>
        </w:rPr>
        <w:t> </w:t>
      </w:r>
      <w:r w:rsidRPr="001839C2">
        <w:rPr>
          <w:rFonts w:eastAsiaTheme="minorEastAsia"/>
          <w:snapToGrid/>
          <w:szCs w:val="22"/>
          <w:lang w:val="lt-LT" w:eastAsia="en-IN"/>
        </w:rPr>
        <w:t>B virusą.</w:t>
      </w:r>
    </w:p>
    <w:p w14:paraId="2704268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5464CCC"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Emtricitabinas ir tenofoviras ląstelių fermentų fosforilinami iki emtricitabino trifosfato ir tenofoviro difosfato. </w:t>
      </w:r>
      <w:r w:rsidRPr="001839C2">
        <w:rPr>
          <w:rFonts w:eastAsiaTheme="minorEastAsia"/>
          <w:i/>
          <w:iCs/>
          <w:snapToGrid/>
          <w:szCs w:val="22"/>
          <w:lang w:val="lt-LT" w:eastAsia="en-IN"/>
        </w:rPr>
        <w:t>In</w:t>
      </w:r>
      <w:r w:rsidR="00603466"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vitro </w:t>
      </w:r>
      <w:r w:rsidRPr="001839C2">
        <w:rPr>
          <w:rFonts w:eastAsiaTheme="minorEastAsia"/>
          <w:snapToGrid/>
          <w:szCs w:val="22"/>
          <w:lang w:val="lt-LT" w:eastAsia="en-IN"/>
        </w:rPr>
        <w:t xml:space="preserve">tyrimai rodo, kad būdami kartu ląstelėse tiek emtricitabinas, tiek tenofoviras gali </w:t>
      </w:r>
      <w:r w:rsidRPr="001839C2">
        <w:rPr>
          <w:rFonts w:eastAsiaTheme="minorEastAsia"/>
          <w:snapToGrid/>
          <w:szCs w:val="22"/>
          <w:lang w:val="lt-LT" w:eastAsia="en-IN"/>
        </w:rPr>
        <w:lastRenderedPageBreak/>
        <w:t>būti visiškai fosforilinami. Emtricitabino trifosfatas ir tenofoviro difosfatas konkurenciniu būdu slopina ŽIV</w:t>
      </w:r>
      <w:r w:rsidR="00603466" w:rsidRPr="001839C2">
        <w:rPr>
          <w:rFonts w:eastAsiaTheme="minorEastAsia"/>
          <w:snapToGrid/>
          <w:szCs w:val="22"/>
          <w:lang w:val="lt-LT" w:eastAsia="en-IN"/>
        </w:rPr>
        <w:noBreakHyphen/>
      </w:r>
      <w:r w:rsidRPr="001839C2">
        <w:rPr>
          <w:rFonts w:eastAsiaTheme="minorEastAsia"/>
          <w:snapToGrid/>
          <w:szCs w:val="22"/>
          <w:lang w:val="lt-LT" w:eastAsia="en-IN"/>
        </w:rPr>
        <w:t xml:space="preserve">1 atvirkštinę transkriptazę, dėl </w:t>
      </w:r>
      <w:r w:rsidR="00603466" w:rsidRPr="001839C2">
        <w:rPr>
          <w:rFonts w:eastAsiaTheme="minorEastAsia"/>
          <w:snapToGrid/>
          <w:szCs w:val="22"/>
          <w:lang w:val="lt-LT" w:eastAsia="en-IN"/>
        </w:rPr>
        <w:t>t</w:t>
      </w:r>
      <w:r w:rsidRPr="001839C2">
        <w:rPr>
          <w:rFonts w:eastAsiaTheme="minorEastAsia"/>
          <w:snapToGrid/>
          <w:szCs w:val="22"/>
          <w:lang w:val="lt-LT" w:eastAsia="en-IN"/>
        </w:rPr>
        <w:t>o nutrūksta DNR</w:t>
      </w:r>
      <w:r w:rsidR="00603466" w:rsidRPr="001839C2">
        <w:rPr>
          <w:rFonts w:eastAsiaTheme="minorEastAsia"/>
          <w:snapToGrid/>
          <w:szCs w:val="22"/>
          <w:lang w:val="lt-LT" w:eastAsia="en-IN"/>
        </w:rPr>
        <w:t> </w:t>
      </w:r>
      <w:r w:rsidRPr="001839C2">
        <w:rPr>
          <w:rFonts w:eastAsiaTheme="minorEastAsia"/>
          <w:snapToGrid/>
          <w:szCs w:val="22"/>
          <w:lang w:val="lt-LT" w:eastAsia="en-IN"/>
        </w:rPr>
        <w:t>grandinė.</w:t>
      </w:r>
    </w:p>
    <w:p w14:paraId="54FD2CD0"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FAD0753"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Tiek emtricitabino trifosfatas, tiek tenofoviro difosfatas silpnai slopina žinduolių DNR</w:t>
      </w:r>
      <w:r w:rsidR="00603466" w:rsidRPr="001839C2">
        <w:rPr>
          <w:rFonts w:eastAsiaTheme="minorEastAsia"/>
          <w:snapToGrid/>
          <w:szCs w:val="22"/>
          <w:lang w:val="lt-LT" w:eastAsia="en-IN"/>
        </w:rPr>
        <w:t> </w:t>
      </w:r>
      <w:r w:rsidRPr="001839C2">
        <w:rPr>
          <w:rFonts w:eastAsiaTheme="minorEastAsia"/>
          <w:snapToGrid/>
          <w:szCs w:val="22"/>
          <w:lang w:val="lt-LT" w:eastAsia="en-IN"/>
        </w:rPr>
        <w:t xml:space="preserve">polimerazę ir neturi toksinio poveikio mitochondrijoms </w:t>
      </w:r>
      <w:r w:rsidRPr="001839C2">
        <w:rPr>
          <w:rFonts w:eastAsiaTheme="minorEastAsia"/>
          <w:i/>
          <w:iCs/>
          <w:snapToGrid/>
          <w:szCs w:val="22"/>
          <w:lang w:val="lt-LT" w:eastAsia="en-IN"/>
        </w:rPr>
        <w:t>in</w:t>
      </w:r>
      <w:r w:rsidR="00603466"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vitro </w:t>
      </w:r>
      <w:r w:rsidRPr="001839C2">
        <w:rPr>
          <w:rFonts w:eastAsiaTheme="minorEastAsia"/>
          <w:snapToGrid/>
          <w:szCs w:val="22"/>
          <w:lang w:val="lt-LT" w:eastAsia="en-IN"/>
        </w:rPr>
        <w:t xml:space="preserve">ir </w:t>
      </w:r>
      <w:r w:rsidRPr="001839C2">
        <w:rPr>
          <w:rFonts w:eastAsiaTheme="minorEastAsia"/>
          <w:i/>
          <w:iCs/>
          <w:snapToGrid/>
          <w:szCs w:val="22"/>
          <w:lang w:val="lt-LT" w:eastAsia="en-IN"/>
        </w:rPr>
        <w:t>in</w:t>
      </w:r>
      <w:r w:rsidR="00603466" w:rsidRPr="001839C2">
        <w:rPr>
          <w:rFonts w:eastAsiaTheme="minorEastAsia"/>
          <w:i/>
          <w:iCs/>
          <w:snapToGrid/>
          <w:szCs w:val="22"/>
          <w:lang w:val="lt-LT" w:eastAsia="en-IN"/>
        </w:rPr>
        <w:t> </w:t>
      </w:r>
      <w:r w:rsidRPr="001839C2">
        <w:rPr>
          <w:rFonts w:eastAsiaTheme="minorEastAsia"/>
          <w:i/>
          <w:iCs/>
          <w:snapToGrid/>
          <w:szCs w:val="22"/>
          <w:lang w:val="lt-LT" w:eastAsia="en-IN"/>
        </w:rPr>
        <w:t>vivo</w:t>
      </w:r>
      <w:r w:rsidRPr="001839C2">
        <w:rPr>
          <w:rFonts w:eastAsiaTheme="minorEastAsia"/>
          <w:snapToGrid/>
          <w:szCs w:val="22"/>
          <w:lang w:val="lt-LT" w:eastAsia="en-IN"/>
        </w:rPr>
        <w:t>.</w:t>
      </w:r>
    </w:p>
    <w:p w14:paraId="7BFEB3DF"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5475F1B"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snapToGrid/>
          <w:szCs w:val="22"/>
          <w:u w:val="single"/>
          <w:lang w:val="lt-LT" w:eastAsia="en-IN"/>
        </w:rPr>
        <w:t xml:space="preserve">Antivirusinis aktyvumas </w:t>
      </w:r>
      <w:r w:rsidRPr="001839C2">
        <w:rPr>
          <w:rFonts w:eastAsiaTheme="minorEastAsia"/>
          <w:i/>
          <w:iCs/>
          <w:snapToGrid/>
          <w:szCs w:val="22"/>
          <w:u w:val="single"/>
          <w:lang w:val="lt-LT" w:eastAsia="en-IN"/>
        </w:rPr>
        <w:t>in</w:t>
      </w:r>
      <w:r w:rsidR="00603466" w:rsidRPr="001839C2">
        <w:rPr>
          <w:rFonts w:eastAsiaTheme="minorEastAsia"/>
          <w:i/>
          <w:iCs/>
          <w:snapToGrid/>
          <w:szCs w:val="22"/>
          <w:u w:val="single"/>
          <w:lang w:val="lt-LT" w:eastAsia="en-IN"/>
        </w:rPr>
        <w:t> </w:t>
      </w:r>
      <w:r w:rsidRPr="001839C2">
        <w:rPr>
          <w:rFonts w:eastAsiaTheme="minorEastAsia"/>
          <w:i/>
          <w:iCs/>
          <w:snapToGrid/>
          <w:szCs w:val="22"/>
          <w:u w:val="single"/>
          <w:lang w:val="lt-LT" w:eastAsia="en-IN"/>
        </w:rPr>
        <w:t>vitro</w:t>
      </w:r>
    </w:p>
    <w:p w14:paraId="4E187AA1"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Vartojant emtricitabiną kartu su tenofoviru </w:t>
      </w:r>
      <w:r w:rsidRPr="001839C2">
        <w:rPr>
          <w:rFonts w:eastAsiaTheme="minorEastAsia"/>
          <w:i/>
          <w:iCs/>
          <w:snapToGrid/>
          <w:szCs w:val="22"/>
          <w:lang w:val="lt-LT" w:eastAsia="en-IN"/>
        </w:rPr>
        <w:t>in</w:t>
      </w:r>
      <w:r w:rsidR="00603466"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vitro </w:t>
      </w:r>
      <w:r w:rsidRPr="001839C2">
        <w:rPr>
          <w:rFonts w:eastAsiaTheme="minorEastAsia"/>
          <w:snapToGrid/>
          <w:szCs w:val="22"/>
          <w:lang w:val="lt-LT" w:eastAsia="en-IN"/>
        </w:rPr>
        <w:t>stebėtas sinergistinis antivirusinis poveikis. Kombinuotame tyrime su proteazių inhibitoriais ir su nukleozidų ir nenukleozidų analogų ŽIV atvirkštinės transkriptazės inhibitoriais, buvo stebimas adityvus</w:t>
      </w:r>
      <w:r w:rsidR="00603466" w:rsidRPr="001839C2">
        <w:rPr>
          <w:rFonts w:eastAsiaTheme="minorEastAsia"/>
          <w:snapToGrid/>
          <w:szCs w:val="22"/>
          <w:lang w:val="lt-LT" w:eastAsia="en-IN"/>
        </w:rPr>
        <w:noBreakHyphen/>
      </w:r>
      <w:r w:rsidRPr="001839C2">
        <w:rPr>
          <w:rFonts w:eastAsiaTheme="minorEastAsia"/>
          <w:snapToGrid/>
          <w:szCs w:val="22"/>
          <w:lang w:val="lt-LT" w:eastAsia="en-IN"/>
        </w:rPr>
        <w:t>sinergistinis veikimas.</w:t>
      </w:r>
    </w:p>
    <w:p w14:paraId="1C255B04" w14:textId="77777777" w:rsidR="002A5F50" w:rsidRPr="001839C2" w:rsidRDefault="002A5F50" w:rsidP="009D3371">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0216AD7"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r w:rsidRPr="001839C2">
        <w:rPr>
          <w:rFonts w:eastAsiaTheme="minorEastAsia"/>
          <w:i/>
          <w:snapToGrid/>
          <w:szCs w:val="22"/>
          <w:u w:val="single"/>
          <w:lang w:val="lt-LT" w:eastAsia="en-IN"/>
        </w:rPr>
        <w:t>Rezistentiškumas</w:t>
      </w:r>
    </w:p>
    <w:p w14:paraId="7D0C9165" w14:textId="77777777" w:rsidR="00603466"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In</w:t>
      </w:r>
      <w:r w:rsidR="00603466" w:rsidRPr="001839C2">
        <w:rPr>
          <w:rFonts w:eastAsiaTheme="minorEastAsia"/>
          <w:i/>
          <w:iCs/>
          <w:snapToGrid/>
          <w:szCs w:val="22"/>
          <w:lang w:val="lt-LT" w:eastAsia="en-IN"/>
        </w:rPr>
        <w:t> </w:t>
      </w:r>
      <w:r w:rsidRPr="001839C2">
        <w:rPr>
          <w:rFonts w:eastAsiaTheme="minorEastAsia"/>
          <w:i/>
          <w:iCs/>
          <w:snapToGrid/>
          <w:szCs w:val="22"/>
          <w:lang w:val="lt-LT" w:eastAsia="en-IN"/>
        </w:rPr>
        <w:t>vitro</w:t>
      </w:r>
    </w:p>
    <w:p w14:paraId="6632C0FB" w14:textId="77777777" w:rsidR="002A5F50" w:rsidRPr="001839C2" w:rsidRDefault="00603466"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R</w:t>
      </w:r>
      <w:r w:rsidR="002A5F50" w:rsidRPr="001839C2">
        <w:rPr>
          <w:rFonts w:eastAsiaTheme="minorEastAsia"/>
          <w:snapToGrid/>
          <w:szCs w:val="22"/>
          <w:lang w:val="lt-LT" w:eastAsia="en-IN"/>
        </w:rPr>
        <w:t xml:space="preserve">ezistentiškumas </w:t>
      </w:r>
      <w:r w:rsidR="002A5F50" w:rsidRPr="001839C2">
        <w:rPr>
          <w:rFonts w:eastAsiaTheme="minorEastAsia"/>
          <w:i/>
          <w:iCs/>
          <w:snapToGrid/>
          <w:szCs w:val="22"/>
          <w:lang w:val="lt-LT" w:eastAsia="en-IN"/>
        </w:rPr>
        <w:t>in</w:t>
      </w:r>
      <w:r w:rsidRPr="001839C2">
        <w:rPr>
          <w:rFonts w:eastAsiaTheme="minorEastAsia"/>
          <w:i/>
          <w:iCs/>
          <w:snapToGrid/>
          <w:szCs w:val="22"/>
          <w:lang w:val="lt-LT" w:eastAsia="en-IN"/>
        </w:rPr>
        <w:t> </w:t>
      </w:r>
      <w:r w:rsidR="002A5F50" w:rsidRPr="001839C2">
        <w:rPr>
          <w:rFonts w:eastAsiaTheme="minorEastAsia"/>
          <w:i/>
          <w:iCs/>
          <w:snapToGrid/>
          <w:szCs w:val="22"/>
          <w:lang w:val="lt-LT" w:eastAsia="en-IN"/>
        </w:rPr>
        <w:t xml:space="preserve">vitro </w:t>
      </w:r>
      <w:r w:rsidR="002A5F50" w:rsidRPr="001839C2">
        <w:rPr>
          <w:rFonts w:eastAsiaTheme="minorEastAsia"/>
          <w:snapToGrid/>
          <w:szCs w:val="22"/>
          <w:lang w:val="lt-LT" w:eastAsia="en-IN"/>
        </w:rPr>
        <w:t>kai kuriems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w:t>
      </w:r>
      <w:r w:rsidR="00EA0BD1" w:rsidRPr="001839C2">
        <w:rPr>
          <w:rFonts w:eastAsiaTheme="minorEastAsia"/>
          <w:snapToGrid/>
          <w:szCs w:val="22"/>
          <w:lang w:val="lt-LT" w:eastAsia="en-IN"/>
        </w:rPr>
        <w:t> </w:t>
      </w:r>
      <w:r w:rsidR="002A5F50" w:rsidRPr="001839C2">
        <w:rPr>
          <w:rFonts w:eastAsiaTheme="minorEastAsia"/>
          <w:snapToGrid/>
          <w:szCs w:val="22"/>
          <w:lang w:val="lt-LT" w:eastAsia="en-IN"/>
        </w:rPr>
        <w:t>infekuotiems pacientams emtricitabinui išsivysto dėl M184V/I</w:t>
      </w:r>
      <w:r w:rsidRPr="001839C2">
        <w:rPr>
          <w:rFonts w:eastAsiaTheme="minorEastAsia"/>
          <w:snapToGrid/>
          <w:szCs w:val="22"/>
          <w:lang w:val="lt-LT" w:eastAsia="en-IN"/>
        </w:rPr>
        <w:t> </w:t>
      </w:r>
      <w:r w:rsidR="002A5F50" w:rsidRPr="001839C2">
        <w:rPr>
          <w:rFonts w:eastAsiaTheme="minorEastAsia"/>
          <w:snapToGrid/>
          <w:szCs w:val="22"/>
          <w:lang w:val="lt-LT" w:eastAsia="en-IN"/>
        </w:rPr>
        <w:t>mutacijos arba tenofovirui dėl K65R</w:t>
      </w:r>
      <w:r w:rsidRPr="001839C2">
        <w:rPr>
          <w:rFonts w:eastAsiaTheme="minorEastAsia"/>
          <w:snapToGrid/>
          <w:szCs w:val="22"/>
          <w:lang w:val="lt-LT" w:eastAsia="en-IN"/>
        </w:rPr>
        <w:t> </w:t>
      </w:r>
      <w:r w:rsidR="002A5F50" w:rsidRPr="001839C2">
        <w:rPr>
          <w:rFonts w:eastAsiaTheme="minorEastAsia"/>
          <w:snapToGrid/>
          <w:szCs w:val="22"/>
          <w:lang w:val="lt-LT" w:eastAsia="en-IN"/>
        </w:rPr>
        <w:t>mutacijos. Emtricitabinui atsparūs virusai su M184V/I</w:t>
      </w:r>
      <w:r w:rsidRPr="001839C2">
        <w:rPr>
          <w:rFonts w:eastAsiaTheme="minorEastAsia"/>
          <w:snapToGrid/>
          <w:szCs w:val="22"/>
          <w:lang w:val="lt-LT" w:eastAsia="en-IN"/>
        </w:rPr>
        <w:t> </w:t>
      </w:r>
      <w:r w:rsidR="002A5F50" w:rsidRPr="001839C2">
        <w:rPr>
          <w:rFonts w:eastAsiaTheme="minorEastAsia"/>
          <w:snapToGrid/>
          <w:szCs w:val="22"/>
          <w:lang w:val="lt-LT" w:eastAsia="en-IN"/>
        </w:rPr>
        <w:t>mutacija pasižymi kryžminiu rezistentiškumu lamivudinui, tačiau išlieka jautrūs didanozinui, stavudinui, tenofovirui ir zidovudinui. K65R</w:t>
      </w:r>
      <w:r w:rsidRPr="001839C2">
        <w:rPr>
          <w:rFonts w:eastAsiaTheme="minorEastAsia"/>
          <w:snapToGrid/>
          <w:szCs w:val="22"/>
          <w:lang w:val="lt-LT" w:eastAsia="en-IN"/>
        </w:rPr>
        <w:t> </w:t>
      </w:r>
      <w:r w:rsidR="002A5F50" w:rsidRPr="001839C2">
        <w:rPr>
          <w:rFonts w:eastAsiaTheme="minorEastAsia"/>
          <w:snapToGrid/>
          <w:szCs w:val="22"/>
          <w:lang w:val="lt-LT" w:eastAsia="en-IN"/>
        </w:rPr>
        <w:t xml:space="preserve">mutaciją gali selekcionuoti abakaviras ar didanozinas, </w:t>
      </w:r>
      <w:r w:rsidRPr="001839C2">
        <w:rPr>
          <w:rFonts w:eastAsiaTheme="minorEastAsia"/>
          <w:snapToGrid/>
          <w:szCs w:val="22"/>
          <w:lang w:val="lt-LT" w:eastAsia="en-IN"/>
        </w:rPr>
        <w:t>t</w:t>
      </w:r>
      <w:r w:rsidR="002A5F50" w:rsidRPr="001839C2">
        <w:rPr>
          <w:rFonts w:eastAsiaTheme="minorEastAsia"/>
          <w:snapToGrid/>
          <w:szCs w:val="22"/>
          <w:lang w:val="lt-LT" w:eastAsia="en-IN"/>
        </w:rPr>
        <w:t>a</w:t>
      </w:r>
      <w:r w:rsidRPr="001839C2">
        <w:rPr>
          <w:rFonts w:eastAsiaTheme="minorEastAsia"/>
          <w:snapToGrid/>
          <w:szCs w:val="22"/>
          <w:lang w:val="lt-LT" w:eastAsia="en-IN"/>
        </w:rPr>
        <w:t>i</w:t>
      </w:r>
      <w:r w:rsidR="002A5F50" w:rsidRPr="001839C2">
        <w:rPr>
          <w:rFonts w:eastAsiaTheme="minorEastAsia"/>
          <w:snapToGrid/>
          <w:szCs w:val="22"/>
          <w:lang w:val="lt-LT" w:eastAsia="en-IN"/>
        </w:rPr>
        <w:t xml:space="preserve"> sąlygoja sumažėjusį jautrumą šioms medžiagoms</w:t>
      </w:r>
      <w:r w:rsidRPr="001839C2">
        <w:rPr>
          <w:rFonts w:eastAsiaTheme="minorEastAsia"/>
          <w:snapToGrid/>
          <w:szCs w:val="22"/>
          <w:lang w:val="lt-LT" w:eastAsia="en-IN"/>
        </w:rPr>
        <w:t>,</w:t>
      </w:r>
      <w:r w:rsidR="002A5F50" w:rsidRPr="001839C2">
        <w:rPr>
          <w:rFonts w:eastAsiaTheme="minorEastAsia"/>
          <w:snapToGrid/>
          <w:szCs w:val="22"/>
          <w:lang w:val="lt-LT" w:eastAsia="en-IN"/>
        </w:rPr>
        <w:t xml:space="preserve"> be to</w:t>
      </w:r>
      <w:r w:rsidRPr="001839C2">
        <w:rPr>
          <w:rFonts w:eastAsiaTheme="minorEastAsia"/>
          <w:snapToGrid/>
          <w:szCs w:val="22"/>
          <w:lang w:val="lt-LT" w:eastAsia="en-IN"/>
        </w:rPr>
        <w:t>,</w:t>
      </w:r>
      <w:r w:rsidR="002A5F50" w:rsidRPr="001839C2">
        <w:rPr>
          <w:rFonts w:eastAsiaTheme="minorEastAsia"/>
          <w:snapToGrid/>
          <w:szCs w:val="22"/>
          <w:lang w:val="lt-LT" w:eastAsia="en-IN"/>
        </w:rPr>
        <w:t xml:space="preserve"> lamivudinui, emtricitabinui ir tenofovirui. Tenofoviro dizoproksilio reikia vengti skirti pacientams, turintiems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 padermių su K65R</w:t>
      </w:r>
      <w:r w:rsidRPr="001839C2">
        <w:rPr>
          <w:rFonts w:eastAsiaTheme="minorEastAsia"/>
          <w:snapToGrid/>
          <w:szCs w:val="22"/>
          <w:lang w:val="lt-LT" w:eastAsia="en-IN"/>
        </w:rPr>
        <w:t> </w:t>
      </w:r>
      <w:r w:rsidR="002A5F50" w:rsidRPr="001839C2">
        <w:rPr>
          <w:rFonts w:eastAsiaTheme="minorEastAsia"/>
          <w:snapToGrid/>
          <w:szCs w:val="22"/>
          <w:lang w:val="lt-LT" w:eastAsia="en-IN"/>
        </w:rPr>
        <w:t>mutacija. Be to, tenofoviras selekcionavo K70E</w:t>
      </w:r>
      <w:r w:rsidRPr="001839C2">
        <w:rPr>
          <w:rFonts w:eastAsiaTheme="minorEastAsia"/>
          <w:snapToGrid/>
          <w:szCs w:val="22"/>
          <w:lang w:val="lt-LT" w:eastAsia="en-IN"/>
        </w:rPr>
        <w:t> </w:t>
      </w:r>
      <w:r w:rsidR="002A5F50" w:rsidRPr="001839C2">
        <w:rPr>
          <w:rFonts w:eastAsiaTheme="minorEastAsia"/>
          <w:snapToGrid/>
          <w:szCs w:val="22"/>
          <w:lang w:val="lt-LT" w:eastAsia="en-IN"/>
        </w:rPr>
        <w:t>pakaitą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 atvirkštinėje transkriptazėje ir šiek tiek sumažino jautrumą abakavirui, emtricitabinui, lamivudinui ir tenofovirui. Pacientai, kurių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 turėjo tris ar daugiau su timidino analogais susijusių mutacijų (TAM), įskaitant arba M41L, arba L210W atvirkštinės transkriptazės mutaciją, buvo mažiau jautrūs gydymui tenofovir</w:t>
      </w:r>
      <w:r w:rsidR="00A45872" w:rsidRPr="001839C2">
        <w:rPr>
          <w:rFonts w:eastAsiaTheme="minorEastAsia"/>
          <w:snapToGrid/>
          <w:szCs w:val="22"/>
          <w:lang w:val="lt-LT" w:eastAsia="en-IN"/>
        </w:rPr>
        <w:t>u</w:t>
      </w:r>
      <w:r w:rsidR="002A5F50" w:rsidRPr="001839C2">
        <w:rPr>
          <w:rFonts w:eastAsiaTheme="minorEastAsia"/>
          <w:snapToGrid/>
          <w:szCs w:val="22"/>
          <w:lang w:val="lt-LT" w:eastAsia="en-IN"/>
        </w:rPr>
        <w:t xml:space="preserve"> dizoproksiliu.</w:t>
      </w:r>
    </w:p>
    <w:p w14:paraId="44224F99"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354886E" w14:textId="77777777" w:rsidR="00C05CF7"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In vivo</w:t>
      </w:r>
      <w:r w:rsidRPr="001839C2">
        <w:rPr>
          <w:rFonts w:eastAsiaTheme="minorEastAsia"/>
          <w:iCs/>
          <w:snapToGrid/>
          <w:szCs w:val="22"/>
          <w:lang w:val="lt-LT" w:eastAsia="en-IN"/>
        </w:rPr>
        <w:t xml:space="preserve"> </w:t>
      </w:r>
      <w:r w:rsidRPr="001839C2">
        <w:rPr>
          <w:rFonts w:eastAsiaTheme="minorEastAsia"/>
          <w:i/>
          <w:iCs/>
          <w:snapToGrid/>
          <w:szCs w:val="22"/>
          <w:lang w:val="lt-LT" w:eastAsia="en-IN"/>
        </w:rPr>
        <w:t>– ŽIV</w:t>
      </w:r>
      <w:r w:rsidR="00603466" w:rsidRPr="001839C2">
        <w:rPr>
          <w:rFonts w:eastAsiaTheme="minorEastAsia"/>
          <w:i/>
          <w:iCs/>
          <w:snapToGrid/>
          <w:szCs w:val="22"/>
          <w:lang w:val="lt-LT" w:eastAsia="en-IN"/>
        </w:rPr>
        <w:noBreakHyphen/>
      </w:r>
      <w:r w:rsidRPr="001839C2">
        <w:rPr>
          <w:rFonts w:eastAsiaTheme="minorEastAsia"/>
          <w:i/>
          <w:iCs/>
          <w:snapToGrid/>
          <w:szCs w:val="22"/>
          <w:lang w:val="lt-LT" w:eastAsia="en-IN"/>
        </w:rPr>
        <w:t>1</w:t>
      </w:r>
      <w:r w:rsidR="00603466" w:rsidRPr="001839C2">
        <w:rPr>
          <w:rFonts w:eastAsiaTheme="minorEastAsia"/>
          <w:i/>
          <w:iCs/>
          <w:snapToGrid/>
          <w:szCs w:val="22"/>
          <w:lang w:val="lt-LT" w:eastAsia="en-IN"/>
        </w:rPr>
        <w:t> </w:t>
      </w:r>
      <w:r w:rsidRPr="001839C2">
        <w:rPr>
          <w:rFonts w:eastAsiaTheme="minorEastAsia"/>
          <w:i/>
          <w:iCs/>
          <w:snapToGrid/>
          <w:szCs w:val="22"/>
          <w:lang w:val="lt-LT" w:eastAsia="en-IN"/>
        </w:rPr>
        <w:t>gydymas</w:t>
      </w:r>
    </w:p>
    <w:p w14:paraId="0D02DABA" w14:textId="77777777" w:rsidR="002A5F50" w:rsidRPr="001839C2" w:rsidRDefault="00C05CF7"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w:t>
      </w:r>
      <w:r w:rsidR="002A5F50" w:rsidRPr="001839C2">
        <w:rPr>
          <w:rFonts w:eastAsiaTheme="minorEastAsia"/>
          <w:snapToGrid/>
          <w:szCs w:val="22"/>
          <w:lang w:val="lt-LT" w:eastAsia="en-IN"/>
        </w:rPr>
        <w:t>tvirame atsitiktinių imčių klinikiniame tyrime</w:t>
      </w:r>
      <w:r w:rsidR="00BE047A" w:rsidRPr="001839C2">
        <w:rPr>
          <w:rFonts w:eastAsiaTheme="minorEastAsia"/>
          <w:snapToGrid/>
          <w:szCs w:val="22"/>
          <w:lang w:val="lt-LT" w:eastAsia="en-IN"/>
        </w:rPr>
        <w:t> </w:t>
      </w:r>
      <w:r w:rsidR="002A5F50" w:rsidRPr="001839C2">
        <w:rPr>
          <w:rFonts w:eastAsiaTheme="minorEastAsia"/>
          <w:snapToGrid/>
          <w:szCs w:val="22"/>
          <w:lang w:val="lt-LT" w:eastAsia="en-IN"/>
        </w:rPr>
        <w:t>(GS</w:t>
      </w:r>
      <w:r w:rsidR="00603466" w:rsidRPr="001839C2">
        <w:rPr>
          <w:rFonts w:eastAsiaTheme="minorEastAsia"/>
          <w:snapToGrid/>
          <w:szCs w:val="22"/>
          <w:lang w:val="lt-LT" w:eastAsia="en-IN"/>
        </w:rPr>
        <w:noBreakHyphen/>
      </w:r>
      <w:r w:rsidR="002A5F50" w:rsidRPr="001839C2">
        <w:rPr>
          <w:rFonts w:eastAsiaTheme="minorEastAsia"/>
          <w:snapToGrid/>
          <w:szCs w:val="22"/>
          <w:lang w:val="lt-LT" w:eastAsia="en-IN"/>
        </w:rPr>
        <w:t>01</w:t>
      </w:r>
      <w:r w:rsidR="00603466" w:rsidRPr="001839C2">
        <w:rPr>
          <w:rFonts w:eastAsiaTheme="minorEastAsia"/>
          <w:snapToGrid/>
          <w:szCs w:val="22"/>
          <w:lang w:val="lt-LT" w:eastAsia="en-IN"/>
        </w:rPr>
        <w:noBreakHyphen/>
      </w:r>
      <w:r w:rsidR="002A5F50" w:rsidRPr="001839C2">
        <w:rPr>
          <w:rFonts w:eastAsiaTheme="minorEastAsia"/>
          <w:snapToGrid/>
          <w:szCs w:val="22"/>
          <w:lang w:val="lt-LT" w:eastAsia="en-IN"/>
        </w:rPr>
        <w:t>934) su antiretrovirusiniais vaist</w:t>
      </w:r>
      <w:r w:rsidR="00603466" w:rsidRPr="001839C2">
        <w:rPr>
          <w:rFonts w:eastAsiaTheme="minorEastAsia"/>
          <w:snapToGrid/>
          <w:szCs w:val="22"/>
          <w:lang w:val="lt-LT" w:eastAsia="en-IN"/>
        </w:rPr>
        <w:t>ini</w:t>
      </w:r>
      <w:r w:rsidR="002A5F50" w:rsidRPr="001839C2">
        <w:rPr>
          <w:rFonts w:eastAsiaTheme="minorEastAsia"/>
          <w:snapToGrid/>
          <w:szCs w:val="22"/>
          <w:lang w:val="lt-LT" w:eastAsia="en-IN"/>
        </w:rPr>
        <w:t>ais</w:t>
      </w:r>
      <w:r w:rsidR="00603466" w:rsidRPr="001839C2">
        <w:rPr>
          <w:rFonts w:eastAsiaTheme="minorEastAsia"/>
          <w:snapToGrid/>
          <w:szCs w:val="22"/>
          <w:lang w:val="lt-LT" w:eastAsia="en-IN"/>
        </w:rPr>
        <w:t xml:space="preserve"> preparatais</w:t>
      </w:r>
      <w:r w:rsidR="002A5F50" w:rsidRPr="001839C2">
        <w:rPr>
          <w:rFonts w:eastAsiaTheme="minorEastAsia"/>
          <w:snapToGrid/>
          <w:szCs w:val="22"/>
          <w:lang w:val="lt-LT" w:eastAsia="en-IN"/>
        </w:rPr>
        <w:t xml:space="preserve"> dar negydytais pacientais, buvo atliktas plazmos ŽIV</w:t>
      </w:r>
      <w:r w:rsidR="00603466" w:rsidRPr="001839C2">
        <w:rPr>
          <w:rFonts w:eastAsiaTheme="minorEastAsia"/>
          <w:snapToGrid/>
          <w:szCs w:val="22"/>
          <w:lang w:val="lt-LT" w:eastAsia="en-IN"/>
        </w:rPr>
        <w:noBreakHyphen/>
      </w:r>
      <w:r w:rsidR="002A5F50" w:rsidRPr="001839C2">
        <w:rPr>
          <w:rFonts w:eastAsiaTheme="minorEastAsia"/>
          <w:snapToGrid/>
          <w:szCs w:val="22"/>
          <w:lang w:val="lt-LT" w:eastAsia="en-IN"/>
        </w:rPr>
        <w:t>1, išskirto iš visų pacientų, kuriems 48, 96 arba 144</w:t>
      </w:r>
      <w:r w:rsidR="00603466" w:rsidRPr="001839C2">
        <w:rPr>
          <w:rFonts w:eastAsiaTheme="minorEastAsia"/>
          <w:snapToGrid/>
          <w:szCs w:val="22"/>
          <w:lang w:val="lt-LT" w:eastAsia="en-IN"/>
        </w:rPr>
        <w:t> </w:t>
      </w:r>
      <w:r w:rsidR="002A5F50" w:rsidRPr="001839C2">
        <w:rPr>
          <w:rFonts w:eastAsiaTheme="minorEastAsia"/>
          <w:snapToGrid/>
          <w:szCs w:val="22"/>
          <w:lang w:val="lt-LT" w:eastAsia="en-IN"/>
        </w:rPr>
        <w:t>savait</w:t>
      </w:r>
      <w:r w:rsidR="00BE047A" w:rsidRPr="001839C2">
        <w:rPr>
          <w:rFonts w:eastAsiaTheme="minorEastAsia"/>
          <w:snapToGrid/>
          <w:szCs w:val="22"/>
          <w:lang w:val="lt-LT" w:eastAsia="en-IN"/>
        </w:rPr>
        <w:t>ę</w:t>
      </w:r>
      <w:r w:rsidR="002A5F50" w:rsidRPr="001839C2">
        <w:rPr>
          <w:rFonts w:eastAsiaTheme="minorEastAsia"/>
          <w:snapToGrid/>
          <w:szCs w:val="22"/>
          <w:lang w:val="lt-LT" w:eastAsia="en-IN"/>
        </w:rPr>
        <w:t xml:space="preserve"> arba ankstyvo tiriamojo vaist</w:t>
      </w:r>
      <w:r w:rsidR="00603466" w:rsidRPr="001839C2">
        <w:rPr>
          <w:rFonts w:eastAsiaTheme="minorEastAsia"/>
          <w:snapToGrid/>
          <w:szCs w:val="22"/>
          <w:lang w:val="lt-LT" w:eastAsia="en-IN"/>
        </w:rPr>
        <w:t>ini</w:t>
      </w:r>
      <w:r w:rsidR="002A5F50" w:rsidRPr="001839C2">
        <w:rPr>
          <w:rFonts w:eastAsiaTheme="minorEastAsia"/>
          <w:snapToGrid/>
          <w:szCs w:val="22"/>
          <w:lang w:val="lt-LT" w:eastAsia="en-IN"/>
        </w:rPr>
        <w:t>o</w:t>
      </w:r>
      <w:r w:rsidR="00603466" w:rsidRPr="001839C2">
        <w:rPr>
          <w:rFonts w:eastAsiaTheme="minorEastAsia"/>
          <w:snapToGrid/>
          <w:szCs w:val="22"/>
          <w:lang w:val="lt-LT" w:eastAsia="en-IN"/>
        </w:rPr>
        <w:t xml:space="preserve"> preparato</w:t>
      </w:r>
      <w:r w:rsidR="002A5F50" w:rsidRPr="001839C2">
        <w:rPr>
          <w:rFonts w:eastAsiaTheme="minorEastAsia"/>
          <w:snapToGrid/>
          <w:szCs w:val="22"/>
          <w:lang w:val="lt-LT" w:eastAsia="en-IN"/>
        </w:rPr>
        <w:t xml:space="preserve"> vartojimo nutraukimo metu buvo patvirtinta ŽIV</w:t>
      </w:r>
      <w:r w:rsidRPr="001839C2">
        <w:rPr>
          <w:rFonts w:eastAsiaTheme="minorEastAsia"/>
          <w:snapToGrid/>
          <w:szCs w:val="22"/>
          <w:lang w:val="lt-LT" w:eastAsia="en-IN"/>
        </w:rPr>
        <w:t> </w:t>
      </w:r>
      <w:r w:rsidR="002A5F50" w:rsidRPr="001839C2">
        <w:rPr>
          <w:rFonts w:eastAsiaTheme="minorEastAsia"/>
          <w:snapToGrid/>
          <w:szCs w:val="22"/>
          <w:lang w:val="lt-LT" w:eastAsia="en-IN"/>
        </w:rPr>
        <w:t>RNR k</w:t>
      </w:r>
      <w:r w:rsidR="00EE33EC" w:rsidRPr="001839C2">
        <w:rPr>
          <w:rFonts w:eastAsiaTheme="minorEastAsia"/>
          <w:snapToGrid/>
          <w:szCs w:val="22"/>
          <w:lang w:val="lt-LT" w:eastAsia="en-IN"/>
        </w:rPr>
        <w:t>oncentrac</w:t>
      </w:r>
      <w:r w:rsidR="002A5F50" w:rsidRPr="001839C2">
        <w:rPr>
          <w:rFonts w:eastAsiaTheme="minorEastAsia"/>
          <w:snapToGrid/>
          <w:szCs w:val="22"/>
          <w:lang w:val="lt-LT" w:eastAsia="en-IN"/>
        </w:rPr>
        <w:t>i</w:t>
      </w:r>
      <w:r w:rsidR="00EE33EC" w:rsidRPr="001839C2">
        <w:rPr>
          <w:rFonts w:eastAsiaTheme="minorEastAsia"/>
          <w:snapToGrid/>
          <w:szCs w:val="22"/>
          <w:lang w:val="lt-LT" w:eastAsia="en-IN"/>
        </w:rPr>
        <w:t>ja</w:t>
      </w:r>
      <w:r w:rsidR="002A5F50" w:rsidRPr="001839C2">
        <w:rPr>
          <w:rFonts w:eastAsiaTheme="minorEastAsia"/>
          <w:snapToGrid/>
          <w:szCs w:val="22"/>
          <w:lang w:val="lt-LT" w:eastAsia="en-IN"/>
        </w:rPr>
        <w:t xml:space="preserve"> &gt;</w:t>
      </w:r>
      <w:r w:rsidRPr="001839C2">
        <w:rPr>
          <w:rFonts w:eastAsiaTheme="minorEastAsia"/>
          <w:snapToGrid/>
          <w:szCs w:val="22"/>
          <w:lang w:val="lt-LT" w:eastAsia="en-IN"/>
        </w:rPr>
        <w:t> </w:t>
      </w:r>
      <w:r w:rsidR="002A5F50" w:rsidRPr="001839C2">
        <w:rPr>
          <w:rFonts w:eastAsiaTheme="minorEastAsia"/>
          <w:snapToGrid/>
          <w:szCs w:val="22"/>
          <w:lang w:val="lt-LT" w:eastAsia="en-IN"/>
        </w:rPr>
        <w:t>400</w:t>
      </w:r>
      <w:r w:rsidRPr="001839C2">
        <w:rPr>
          <w:rFonts w:eastAsiaTheme="minorEastAsia"/>
          <w:snapToGrid/>
          <w:szCs w:val="22"/>
          <w:lang w:val="lt-LT" w:eastAsia="en-IN"/>
        </w:rPr>
        <w:t> </w:t>
      </w:r>
      <w:r w:rsidR="002A5F50" w:rsidRPr="001839C2">
        <w:rPr>
          <w:rFonts w:eastAsiaTheme="minorEastAsia"/>
          <w:snapToGrid/>
          <w:szCs w:val="22"/>
          <w:lang w:val="lt-LT" w:eastAsia="en-IN"/>
        </w:rPr>
        <w:t>kopijų/ml, genotipavimas. Po 144</w:t>
      </w:r>
      <w:r w:rsidRPr="001839C2">
        <w:rPr>
          <w:rFonts w:eastAsiaTheme="minorEastAsia"/>
          <w:snapToGrid/>
          <w:szCs w:val="22"/>
          <w:lang w:val="lt-LT" w:eastAsia="en-IN"/>
        </w:rPr>
        <w:t> </w:t>
      </w:r>
      <w:r w:rsidR="002A5F50" w:rsidRPr="001839C2">
        <w:rPr>
          <w:rFonts w:eastAsiaTheme="minorEastAsia"/>
          <w:snapToGrid/>
          <w:szCs w:val="22"/>
          <w:lang w:val="lt-LT" w:eastAsia="en-IN"/>
        </w:rPr>
        <w:t>savaitės:</w:t>
      </w:r>
    </w:p>
    <w:p w14:paraId="418DC14D"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63D757F" w14:textId="77777777" w:rsidR="002A5F50" w:rsidRPr="001839C2" w:rsidRDefault="002A5F50" w:rsidP="00230559">
      <w:pPr>
        <w:widowControl w:val="0"/>
        <w:numPr>
          <w:ilvl w:val="0"/>
          <w:numId w:val="27"/>
        </w:numPr>
        <w:tabs>
          <w:tab w:val="clear" w:pos="567"/>
          <w:tab w:val="left" w:pos="0"/>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M184V/I</w:t>
      </w:r>
      <w:r w:rsidR="00C05CF7" w:rsidRPr="001839C2">
        <w:rPr>
          <w:rFonts w:eastAsiaTheme="minorEastAsia"/>
          <w:snapToGrid/>
          <w:szCs w:val="22"/>
          <w:lang w:val="lt-LT" w:eastAsia="en-IN"/>
        </w:rPr>
        <w:t> </w:t>
      </w:r>
      <w:r w:rsidRPr="001839C2">
        <w:rPr>
          <w:rFonts w:eastAsiaTheme="minorEastAsia"/>
          <w:snapToGrid/>
          <w:szCs w:val="22"/>
          <w:lang w:val="lt-LT" w:eastAsia="en-IN"/>
        </w:rPr>
        <w:t>mutacija nustatyta 2/19</w:t>
      </w:r>
      <w:r w:rsidR="00BE047A" w:rsidRPr="001839C2">
        <w:rPr>
          <w:rFonts w:eastAsiaTheme="minorEastAsia"/>
          <w:snapToGrid/>
          <w:szCs w:val="22"/>
          <w:lang w:val="lt-LT" w:eastAsia="en-IN"/>
        </w:rPr>
        <w:t> </w:t>
      </w:r>
      <w:r w:rsidRPr="001839C2">
        <w:rPr>
          <w:rFonts w:eastAsiaTheme="minorEastAsia"/>
          <w:snapToGrid/>
          <w:szCs w:val="22"/>
          <w:lang w:val="lt-LT" w:eastAsia="en-IN"/>
        </w:rPr>
        <w:t>(10,5</w:t>
      </w:r>
      <w:r w:rsidR="00C05CF7" w:rsidRPr="001839C2">
        <w:rPr>
          <w:rFonts w:eastAsiaTheme="minorEastAsia"/>
          <w:snapToGrid/>
          <w:szCs w:val="22"/>
          <w:lang w:val="lt-LT" w:eastAsia="en-IN"/>
        </w:rPr>
        <w:t> </w:t>
      </w:r>
      <w:r w:rsidRPr="001839C2">
        <w:rPr>
          <w:rFonts w:eastAsiaTheme="minorEastAsia"/>
          <w:snapToGrid/>
          <w:szCs w:val="22"/>
          <w:lang w:val="lt-LT" w:eastAsia="en-IN"/>
        </w:rPr>
        <w:t>%) bandinių, išskirtų iš pacientų emtricitabino</w:t>
      </w:r>
      <w:r w:rsidR="00C05CF7" w:rsidRPr="001839C2">
        <w:rPr>
          <w:rFonts w:eastAsiaTheme="minorEastAsia"/>
          <w:snapToGrid/>
          <w:szCs w:val="22"/>
          <w:lang w:val="lt-LT" w:eastAsia="en-IN"/>
        </w:rPr>
        <w:t xml:space="preserve">, </w:t>
      </w:r>
      <w:r w:rsidRPr="001839C2">
        <w:rPr>
          <w:rFonts w:eastAsiaTheme="minorEastAsia"/>
          <w:snapToGrid/>
          <w:szCs w:val="22"/>
          <w:lang w:val="lt-LT" w:eastAsia="en-IN"/>
        </w:rPr>
        <w:t xml:space="preserve">tenofoviro dizoproksilio </w:t>
      </w:r>
      <w:r w:rsidR="00C05CF7" w:rsidRPr="001839C2">
        <w:rPr>
          <w:rFonts w:eastAsiaTheme="minorEastAsia"/>
          <w:snapToGrid/>
          <w:szCs w:val="22"/>
          <w:lang w:val="lt-LT" w:eastAsia="en-IN"/>
        </w:rPr>
        <w:t>ir</w:t>
      </w:r>
      <w:r w:rsidRPr="001839C2">
        <w:rPr>
          <w:rFonts w:eastAsiaTheme="minorEastAsia"/>
          <w:snapToGrid/>
          <w:szCs w:val="22"/>
          <w:lang w:val="lt-LT" w:eastAsia="en-IN"/>
        </w:rPr>
        <w:t xml:space="preserve"> efavirenzo</w:t>
      </w:r>
      <w:r w:rsidR="00C05CF7"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grupės, ir 10/29</w:t>
      </w:r>
      <w:r w:rsidR="00BE047A" w:rsidRPr="001839C2">
        <w:rPr>
          <w:rFonts w:eastAsiaTheme="minorEastAsia"/>
          <w:snapToGrid/>
          <w:szCs w:val="22"/>
          <w:lang w:val="lt-LT" w:eastAsia="en-IN"/>
        </w:rPr>
        <w:t> </w:t>
      </w:r>
      <w:r w:rsidRPr="001839C2">
        <w:rPr>
          <w:rFonts w:eastAsiaTheme="minorEastAsia"/>
          <w:snapToGrid/>
          <w:szCs w:val="22"/>
          <w:lang w:val="lt-LT" w:eastAsia="en-IN"/>
        </w:rPr>
        <w:t>(34,5</w:t>
      </w:r>
      <w:r w:rsidR="00C05CF7" w:rsidRPr="001839C2">
        <w:rPr>
          <w:rFonts w:eastAsiaTheme="minorEastAsia"/>
          <w:snapToGrid/>
          <w:szCs w:val="22"/>
          <w:lang w:val="lt-LT" w:eastAsia="en-IN"/>
        </w:rPr>
        <w:t> </w:t>
      </w:r>
      <w:r w:rsidRPr="001839C2">
        <w:rPr>
          <w:rFonts w:eastAsiaTheme="minorEastAsia"/>
          <w:snapToGrid/>
          <w:szCs w:val="22"/>
          <w:lang w:val="lt-LT" w:eastAsia="en-IN"/>
        </w:rPr>
        <w:t>%) bandinių, išskirtų iš lamivudino</w:t>
      </w:r>
      <w:r w:rsidR="00C05CF7" w:rsidRPr="001839C2">
        <w:rPr>
          <w:rFonts w:eastAsiaTheme="minorEastAsia"/>
          <w:snapToGrid/>
          <w:szCs w:val="22"/>
          <w:lang w:val="lt-LT" w:eastAsia="en-IN"/>
        </w:rPr>
        <w:t>,</w:t>
      </w:r>
      <w:r w:rsidRPr="001839C2">
        <w:rPr>
          <w:rFonts w:eastAsiaTheme="minorEastAsia"/>
          <w:snapToGrid/>
          <w:szCs w:val="22"/>
          <w:lang w:val="lt-LT" w:eastAsia="en-IN"/>
        </w:rPr>
        <w:t xml:space="preserve"> zidovudino </w:t>
      </w:r>
      <w:r w:rsidR="00C05CF7" w:rsidRPr="001839C2">
        <w:rPr>
          <w:rFonts w:eastAsiaTheme="minorEastAsia"/>
          <w:snapToGrid/>
          <w:szCs w:val="22"/>
          <w:lang w:val="lt-LT" w:eastAsia="en-IN"/>
        </w:rPr>
        <w:t>ir</w:t>
      </w:r>
      <w:r w:rsidRPr="001839C2">
        <w:rPr>
          <w:rFonts w:eastAsiaTheme="minorEastAsia"/>
          <w:snapToGrid/>
          <w:szCs w:val="22"/>
          <w:lang w:val="lt-LT" w:eastAsia="en-IN"/>
        </w:rPr>
        <w:t xml:space="preserve"> efavirenzo</w:t>
      </w:r>
      <w:r w:rsidR="00C05CF7"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grupės (p</w:t>
      </w:r>
      <w:r w:rsidR="00C05CF7" w:rsidRPr="001839C2">
        <w:rPr>
          <w:rFonts w:eastAsiaTheme="minorEastAsia"/>
          <w:snapToGrid/>
          <w:szCs w:val="22"/>
          <w:lang w:val="lt-LT" w:eastAsia="en-IN"/>
        </w:rPr>
        <w:t> </w:t>
      </w:r>
      <w:r w:rsidRPr="001839C2">
        <w:rPr>
          <w:rFonts w:eastAsiaTheme="minorEastAsia"/>
          <w:snapToGrid/>
          <w:szCs w:val="22"/>
          <w:lang w:val="lt-LT" w:eastAsia="en-IN"/>
        </w:rPr>
        <w:t>r</w:t>
      </w:r>
      <w:r w:rsidR="008762F8" w:rsidRPr="001839C2">
        <w:rPr>
          <w:rFonts w:eastAsiaTheme="minorEastAsia"/>
          <w:snapToGrid/>
          <w:szCs w:val="22"/>
          <w:lang w:val="lt-LT" w:eastAsia="en-IN"/>
        </w:rPr>
        <w:t>eikšm</w:t>
      </w:r>
      <w:r w:rsidRPr="001839C2">
        <w:rPr>
          <w:rFonts w:eastAsiaTheme="minorEastAsia"/>
          <w:snapToGrid/>
          <w:szCs w:val="22"/>
          <w:lang w:val="lt-LT" w:eastAsia="en-IN"/>
        </w:rPr>
        <w:t>ė &lt;</w:t>
      </w:r>
      <w:r w:rsidR="00C05CF7" w:rsidRPr="001839C2">
        <w:rPr>
          <w:rFonts w:eastAsiaTheme="minorEastAsia"/>
          <w:snapToGrid/>
          <w:szCs w:val="22"/>
          <w:lang w:val="lt-LT" w:eastAsia="en-IN"/>
        </w:rPr>
        <w:t> </w:t>
      </w:r>
      <w:r w:rsidRPr="001839C2">
        <w:rPr>
          <w:rFonts w:eastAsiaTheme="minorEastAsia"/>
          <w:snapToGrid/>
          <w:szCs w:val="22"/>
          <w:lang w:val="lt-LT" w:eastAsia="en-IN"/>
        </w:rPr>
        <w:t>0,05, Fišerio tikslusis testas, palyginantis visus emtricitabino</w:t>
      </w:r>
      <w:r w:rsidR="00C05CF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dizoproksilio</w:t>
      </w:r>
      <w:r w:rsidR="00C05CF7"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grupės ir lamivudino </w:t>
      </w:r>
      <w:r w:rsidR="00C05CF7" w:rsidRPr="001839C2">
        <w:rPr>
          <w:rFonts w:eastAsiaTheme="minorEastAsia"/>
          <w:snapToGrid/>
          <w:szCs w:val="22"/>
          <w:lang w:val="lt-LT" w:eastAsia="en-IN"/>
        </w:rPr>
        <w:t>ir</w:t>
      </w:r>
      <w:r w:rsidRPr="001839C2">
        <w:rPr>
          <w:rFonts w:eastAsiaTheme="minorEastAsia"/>
          <w:snapToGrid/>
          <w:szCs w:val="22"/>
          <w:lang w:val="lt-LT" w:eastAsia="en-IN"/>
        </w:rPr>
        <w:t xml:space="preserve"> zidovudino</w:t>
      </w:r>
      <w:r w:rsidR="00C05CF7"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grupės pacientus)</w:t>
      </w:r>
      <w:r w:rsidR="00C05CF7" w:rsidRPr="001839C2">
        <w:rPr>
          <w:rFonts w:eastAsiaTheme="minorEastAsia"/>
          <w:snapToGrid/>
          <w:szCs w:val="22"/>
          <w:lang w:val="lt-LT" w:eastAsia="en-IN"/>
        </w:rPr>
        <w:t>;</w:t>
      </w:r>
    </w:p>
    <w:p w14:paraId="2ED170C4" w14:textId="77777777" w:rsidR="002A5F50" w:rsidRPr="001839C2" w:rsidRDefault="00C05CF7" w:rsidP="00230559">
      <w:pPr>
        <w:widowControl w:val="0"/>
        <w:numPr>
          <w:ilvl w:val="0"/>
          <w:numId w:val="27"/>
        </w:numPr>
        <w:tabs>
          <w:tab w:val="clear" w:pos="567"/>
          <w:tab w:val="left" w:pos="0"/>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t</w:t>
      </w:r>
      <w:r w:rsidR="002A5F50" w:rsidRPr="001839C2">
        <w:rPr>
          <w:rFonts w:eastAsiaTheme="minorEastAsia"/>
          <w:snapToGrid/>
          <w:szCs w:val="22"/>
          <w:lang w:val="lt-LT" w:eastAsia="en-IN"/>
        </w:rPr>
        <w:t>irtuose virusuose nebuvo K65R arba K70E</w:t>
      </w:r>
      <w:r w:rsidRPr="001839C2">
        <w:rPr>
          <w:rFonts w:eastAsiaTheme="minorEastAsia"/>
          <w:snapToGrid/>
          <w:szCs w:val="22"/>
          <w:lang w:val="lt-LT" w:eastAsia="en-IN"/>
        </w:rPr>
        <w:t> </w:t>
      </w:r>
      <w:r w:rsidR="002A5F50" w:rsidRPr="001839C2">
        <w:rPr>
          <w:rFonts w:eastAsiaTheme="minorEastAsia"/>
          <w:snapToGrid/>
          <w:szCs w:val="22"/>
          <w:lang w:val="lt-LT" w:eastAsia="en-IN"/>
        </w:rPr>
        <w:t>mutacijos</w:t>
      </w:r>
      <w:r w:rsidRPr="001839C2">
        <w:rPr>
          <w:rFonts w:eastAsiaTheme="minorEastAsia"/>
          <w:snapToGrid/>
          <w:szCs w:val="22"/>
          <w:lang w:val="lt-LT" w:eastAsia="en-IN"/>
        </w:rPr>
        <w:t>;</w:t>
      </w:r>
    </w:p>
    <w:p w14:paraId="33DFCAC6" w14:textId="77777777" w:rsidR="002A5F50" w:rsidRPr="001839C2" w:rsidRDefault="00C05CF7" w:rsidP="00230559">
      <w:pPr>
        <w:widowControl w:val="0"/>
        <w:numPr>
          <w:ilvl w:val="0"/>
          <w:numId w:val="27"/>
        </w:numPr>
        <w:tabs>
          <w:tab w:val="clear" w:pos="567"/>
          <w:tab w:val="left" w:pos="0"/>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g</w:t>
      </w:r>
      <w:r w:rsidR="002A5F50" w:rsidRPr="001839C2">
        <w:rPr>
          <w:rFonts w:eastAsiaTheme="minorEastAsia"/>
          <w:snapToGrid/>
          <w:szCs w:val="22"/>
          <w:lang w:val="lt-LT" w:eastAsia="en-IN"/>
        </w:rPr>
        <w:t>enotipinis viruso rezistentiškumas efavirenzui, daugiausia</w:t>
      </w:r>
      <w:r w:rsidRPr="001839C2">
        <w:rPr>
          <w:rFonts w:eastAsiaTheme="minorEastAsia"/>
          <w:snapToGrid/>
          <w:szCs w:val="22"/>
          <w:lang w:val="lt-LT" w:eastAsia="en-IN"/>
        </w:rPr>
        <w:t>i</w:t>
      </w:r>
      <w:r w:rsidR="002A5F50" w:rsidRPr="001839C2">
        <w:rPr>
          <w:rFonts w:eastAsiaTheme="minorEastAsia"/>
          <w:snapToGrid/>
          <w:szCs w:val="22"/>
          <w:lang w:val="lt-LT" w:eastAsia="en-IN"/>
        </w:rPr>
        <w:t xml:space="preserve"> K103N</w:t>
      </w:r>
      <w:r w:rsidRPr="001839C2">
        <w:rPr>
          <w:rFonts w:eastAsiaTheme="minorEastAsia"/>
          <w:snapToGrid/>
          <w:szCs w:val="22"/>
          <w:lang w:val="lt-LT" w:eastAsia="en-IN"/>
        </w:rPr>
        <w:t> </w:t>
      </w:r>
      <w:r w:rsidR="002A5F50" w:rsidRPr="001839C2">
        <w:rPr>
          <w:rFonts w:eastAsiaTheme="minorEastAsia"/>
          <w:snapToGrid/>
          <w:szCs w:val="22"/>
          <w:lang w:val="lt-LT" w:eastAsia="en-IN"/>
        </w:rPr>
        <w:t>mutacija, išsivystė 13/19</w:t>
      </w:r>
      <w:r w:rsidR="00BE047A" w:rsidRPr="001839C2">
        <w:rPr>
          <w:rFonts w:eastAsiaTheme="minorEastAsia"/>
          <w:snapToGrid/>
          <w:szCs w:val="22"/>
          <w:lang w:val="lt-LT" w:eastAsia="en-IN"/>
        </w:rPr>
        <w:t> </w:t>
      </w:r>
      <w:r w:rsidR="002A5F50" w:rsidRPr="001839C2">
        <w:rPr>
          <w:rFonts w:eastAsiaTheme="minorEastAsia"/>
          <w:snapToGrid/>
          <w:szCs w:val="22"/>
          <w:lang w:val="lt-LT" w:eastAsia="en-IN"/>
        </w:rPr>
        <w:t>(68</w:t>
      </w:r>
      <w:r w:rsidRPr="001839C2">
        <w:rPr>
          <w:rFonts w:eastAsiaTheme="minorEastAsia"/>
          <w:snapToGrid/>
          <w:szCs w:val="22"/>
          <w:lang w:val="lt-LT" w:eastAsia="en-IN"/>
        </w:rPr>
        <w:t> </w:t>
      </w:r>
      <w:r w:rsidR="002A5F50" w:rsidRPr="001839C2">
        <w:rPr>
          <w:rFonts w:eastAsiaTheme="minorEastAsia"/>
          <w:snapToGrid/>
          <w:szCs w:val="22"/>
          <w:lang w:val="lt-LT" w:eastAsia="en-IN"/>
        </w:rPr>
        <w:t>%) emtricitabino</w:t>
      </w:r>
      <w:r w:rsidRPr="001839C2">
        <w:rPr>
          <w:rFonts w:eastAsiaTheme="minorEastAsia"/>
          <w:snapToGrid/>
          <w:szCs w:val="22"/>
          <w:lang w:val="lt-LT" w:eastAsia="en-IN"/>
        </w:rPr>
        <w:t>,</w:t>
      </w:r>
      <w:r w:rsidR="002A5F50" w:rsidRPr="001839C2">
        <w:rPr>
          <w:rFonts w:eastAsiaTheme="minorEastAsia"/>
          <w:snapToGrid/>
          <w:szCs w:val="22"/>
          <w:lang w:val="lt-LT" w:eastAsia="en-IN"/>
        </w:rPr>
        <w:t xml:space="preserve"> tenofoviro dizoproksilio </w:t>
      </w:r>
      <w:r w:rsidRPr="001839C2">
        <w:rPr>
          <w:rFonts w:eastAsiaTheme="minorEastAsia"/>
          <w:snapToGrid/>
          <w:szCs w:val="22"/>
          <w:lang w:val="lt-LT" w:eastAsia="en-IN"/>
        </w:rPr>
        <w:t>ir</w:t>
      </w:r>
      <w:r w:rsidR="002A5F50" w:rsidRPr="001839C2">
        <w:rPr>
          <w:rFonts w:eastAsiaTheme="minorEastAsia"/>
          <w:snapToGrid/>
          <w:szCs w:val="22"/>
          <w:lang w:val="lt-LT" w:eastAsia="en-IN"/>
        </w:rPr>
        <w:t xml:space="preserve"> efavirenzo</w:t>
      </w:r>
      <w:r w:rsidRPr="001839C2">
        <w:rPr>
          <w:rFonts w:eastAsiaTheme="minorEastAsia"/>
          <w:snapToGrid/>
          <w:szCs w:val="22"/>
          <w:lang w:val="lt-LT" w:eastAsia="en-IN"/>
        </w:rPr>
        <w:t xml:space="preserve"> derinio</w:t>
      </w:r>
      <w:r w:rsidR="002A5F50" w:rsidRPr="001839C2">
        <w:rPr>
          <w:rFonts w:eastAsiaTheme="minorEastAsia"/>
          <w:snapToGrid/>
          <w:szCs w:val="22"/>
          <w:lang w:val="lt-LT" w:eastAsia="en-IN"/>
        </w:rPr>
        <w:t xml:space="preserve"> grupės pacient</w:t>
      </w:r>
      <w:r w:rsidRPr="001839C2">
        <w:rPr>
          <w:rFonts w:eastAsiaTheme="minorEastAsia"/>
          <w:snapToGrid/>
          <w:szCs w:val="22"/>
          <w:lang w:val="lt-LT" w:eastAsia="en-IN"/>
        </w:rPr>
        <w:t>ų</w:t>
      </w:r>
      <w:r w:rsidR="002A5F50" w:rsidRPr="001839C2">
        <w:rPr>
          <w:rFonts w:eastAsiaTheme="minorEastAsia"/>
          <w:snapToGrid/>
          <w:szCs w:val="22"/>
          <w:lang w:val="lt-LT" w:eastAsia="en-IN"/>
        </w:rPr>
        <w:t xml:space="preserve"> ir 21/29</w:t>
      </w:r>
      <w:r w:rsidR="00BE047A" w:rsidRPr="001839C2">
        <w:rPr>
          <w:rFonts w:eastAsiaTheme="minorEastAsia"/>
          <w:snapToGrid/>
          <w:szCs w:val="22"/>
          <w:lang w:val="lt-LT" w:eastAsia="en-IN"/>
        </w:rPr>
        <w:t> </w:t>
      </w:r>
      <w:r w:rsidR="002A5F50" w:rsidRPr="001839C2">
        <w:rPr>
          <w:rFonts w:eastAsiaTheme="minorEastAsia"/>
          <w:snapToGrid/>
          <w:szCs w:val="22"/>
          <w:lang w:val="lt-LT" w:eastAsia="en-IN"/>
        </w:rPr>
        <w:t>(72</w:t>
      </w:r>
      <w:r w:rsidRPr="001839C2">
        <w:rPr>
          <w:rFonts w:eastAsiaTheme="minorEastAsia"/>
          <w:snapToGrid/>
          <w:szCs w:val="22"/>
          <w:lang w:val="lt-LT" w:eastAsia="en-IN"/>
        </w:rPr>
        <w:t> </w:t>
      </w:r>
      <w:r w:rsidR="002A5F50" w:rsidRPr="001839C2">
        <w:rPr>
          <w:rFonts w:eastAsiaTheme="minorEastAsia"/>
          <w:snapToGrid/>
          <w:szCs w:val="22"/>
          <w:lang w:val="lt-LT" w:eastAsia="en-IN"/>
        </w:rPr>
        <w:t>%) lyginamosios grupės pacient</w:t>
      </w:r>
      <w:r w:rsidRPr="001839C2">
        <w:rPr>
          <w:rFonts w:eastAsiaTheme="minorEastAsia"/>
          <w:snapToGrid/>
          <w:szCs w:val="22"/>
          <w:lang w:val="lt-LT" w:eastAsia="en-IN"/>
        </w:rPr>
        <w:t>ų</w:t>
      </w:r>
      <w:r w:rsidR="002A5F50" w:rsidRPr="001839C2">
        <w:rPr>
          <w:rFonts w:eastAsiaTheme="minorEastAsia"/>
          <w:snapToGrid/>
          <w:szCs w:val="22"/>
          <w:lang w:val="lt-LT" w:eastAsia="en-IN"/>
        </w:rPr>
        <w:t>.</w:t>
      </w:r>
    </w:p>
    <w:p w14:paraId="2B72D0EB"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EC589AE" w14:textId="77777777" w:rsidR="00C05CF7"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In</w:t>
      </w:r>
      <w:r w:rsidR="00C05CF7" w:rsidRPr="001839C2">
        <w:rPr>
          <w:rFonts w:eastAsiaTheme="minorEastAsia"/>
          <w:i/>
          <w:iCs/>
          <w:snapToGrid/>
          <w:szCs w:val="22"/>
          <w:lang w:val="lt-LT" w:eastAsia="en-IN"/>
        </w:rPr>
        <w:t> </w:t>
      </w:r>
      <w:r w:rsidRPr="001839C2">
        <w:rPr>
          <w:rFonts w:eastAsiaTheme="minorEastAsia"/>
          <w:i/>
          <w:iCs/>
          <w:snapToGrid/>
          <w:szCs w:val="22"/>
          <w:lang w:val="lt-LT" w:eastAsia="en-IN"/>
        </w:rPr>
        <w:t>vivo – priešekspozicinė profilaktika</w:t>
      </w:r>
    </w:p>
    <w:p w14:paraId="2B3FCEE6" w14:textId="77777777" w:rsidR="002A5F50" w:rsidRPr="001839C2" w:rsidRDefault="00C05CF7"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lazmos mėginiai iš 2 klinikinių tyrimų su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 xml:space="preserve">1 neinfekuotais </w:t>
      </w:r>
      <w:r w:rsidR="007F5678" w:rsidRPr="001839C2">
        <w:rPr>
          <w:rFonts w:eastAsiaTheme="minorEastAsia"/>
          <w:snapToGrid/>
          <w:szCs w:val="22"/>
          <w:lang w:val="lt-LT" w:eastAsia="en-IN"/>
        </w:rPr>
        <w:t>p</w:t>
      </w:r>
      <w:r w:rsidR="002A5F50" w:rsidRPr="001839C2">
        <w:rPr>
          <w:rFonts w:eastAsiaTheme="minorEastAsia"/>
          <w:snapToGrid/>
          <w:szCs w:val="22"/>
          <w:lang w:val="lt-LT" w:eastAsia="en-IN"/>
        </w:rPr>
        <w:t>a</w:t>
      </w:r>
      <w:r w:rsidRPr="001839C2">
        <w:rPr>
          <w:rFonts w:eastAsiaTheme="minorEastAsia"/>
          <w:snapToGrid/>
          <w:szCs w:val="22"/>
          <w:lang w:val="lt-LT" w:eastAsia="en-IN"/>
        </w:rPr>
        <w:t>ci</w:t>
      </w:r>
      <w:r w:rsidR="002A5F50" w:rsidRPr="001839C2">
        <w:rPr>
          <w:rFonts w:eastAsiaTheme="minorEastAsia"/>
          <w:snapToGrid/>
          <w:szCs w:val="22"/>
          <w:lang w:val="lt-LT" w:eastAsia="en-IN"/>
        </w:rPr>
        <w:t>en</w:t>
      </w:r>
      <w:r w:rsidRPr="001839C2">
        <w:rPr>
          <w:rFonts w:eastAsiaTheme="minorEastAsia"/>
          <w:snapToGrid/>
          <w:szCs w:val="22"/>
          <w:lang w:val="lt-LT" w:eastAsia="en-IN"/>
        </w:rPr>
        <w:t>ta</w:t>
      </w:r>
      <w:r w:rsidR="002A5F50" w:rsidRPr="001839C2">
        <w:rPr>
          <w:rFonts w:eastAsiaTheme="minorEastAsia"/>
          <w:snapToGrid/>
          <w:szCs w:val="22"/>
          <w:lang w:val="lt-LT" w:eastAsia="en-IN"/>
        </w:rPr>
        <w:t>is (tyrimai</w:t>
      </w:r>
      <w:r w:rsidR="00750CB9" w:rsidRPr="001839C2">
        <w:rPr>
          <w:rFonts w:eastAsiaTheme="minorEastAsia"/>
          <w:snapToGrid/>
          <w:szCs w:val="22"/>
          <w:lang w:val="lt-LT" w:eastAsia="en-IN"/>
        </w:rPr>
        <w:t> </w:t>
      </w:r>
      <w:r w:rsidR="002A5F50" w:rsidRPr="001839C2">
        <w:rPr>
          <w:rFonts w:eastAsiaTheme="minorEastAsia"/>
          <w:snapToGrid/>
          <w:szCs w:val="22"/>
          <w:lang w:val="lt-LT" w:eastAsia="en-IN"/>
        </w:rPr>
        <w:t>iPrEx ir Partners</w:t>
      </w:r>
      <w:r w:rsidRPr="001839C2">
        <w:rPr>
          <w:rFonts w:eastAsiaTheme="minorEastAsia"/>
          <w:snapToGrid/>
          <w:szCs w:val="22"/>
          <w:lang w:val="lt-LT" w:eastAsia="en-IN"/>
        </w:rPr>
        <w:t> </w:t>
      </w:r>
      <w:r w:rsidR="002A5F50" w:rsidRPr="001839C2">
        <w:rPr>
          <w:rFonts w:eastAsiaTheme="minorEastAsia"/>
          <w:snapToGrid/>
          <w:szCs w:val="22"/>
          <w:lang w:val="lt-LT" w:eastAsia="en-IN"/>
        </w:rPr>
        <w:t>PrEP) išanalizuoti dėl 4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w:t>
      </w:r>
      <w:r w:rsidRPr="001839C2">
        <w:rPr>
          <w:rFonts w:eastAsiaTheme="minorEastAsia"/>
          <w:snapToGrid/>
          <w:szCs w:val="22"/>
          <w:lang w:val="lt-LT" w:eastAsia="en-IN"/>
        </w:rPr>
        <w:t> </w:t>
      </w:r>
      <w:r w:rsidR="002A5F50" w:rsidRPr="001839C2">
        <w:rPr>
          <w:rFonts w:eastAsiaTheme="minorEastAsia"/>
          <w:snapToGrid/>
          <w:szCs w:val="22"/>
          <w:lang w:val="lt-LT" w:eastAsia="en-IN"/>
        </w:rPr>
        <w:t>variantų, išreiškiančių aminorūgščių pakaitas (t.</w:t>
      </w:r>
      <w:r w:rsidRPr="001839C2">
        <w:rPr>
          <w:rFonts w:eastAsiaTheme="minorEastAsia"/>
          <w:snapToGrid/>
          <w:szCs w:val="22"/>
          <w:lang w:val="lt-LT" w:eastAsia="en-IN"/>
        </w:rPr>
        <w:t> </w:t>
      </w:r>
      <w:r w:rsidR="002A5F50" w:rsidRPr="001839C2">
        <w:rPr>
          <w:rFonts w:eastAsiaTheme="minorEastAsia"/>
          <w:snapToGrid/>
          <w:szCs w:val="22"/>
          <w:lang w:val="lt-LT" w:eastAsia="en-IN"/>
        </w:rPr>
        <w:t>y. K65R, K70E, M184V ir M184I), kurios gali sukelti atsparumą tenofovirui arba emtricitabinui. Klinikiniame tyrime</w:t>
      </w:r>
      <w:r w:rsidR="00750CB9" w:rsidRPr="001839C2">
        <w:rPr>
          <w:rFonts w:eastAsiaTheme="minorEastAsia"/>
          <w:snapToGrid/>
          <w:szCs w:val="22"/>
          <w:lang w:val="lt-LT" w:eastAsia="en-IN"/>
        </w:rPr>
        <w:t> </w:t>
      </w:r>
      <w:r w:rsidR="002A5F50" w:rsidRPr="001839C2">
        <w:rPr>
          <w:rFonts w:eastAsiaTheme="minorEastAsia"/>
          <w:snapToGrid/>
          <w:szCs w:val="22"/>
          <w:lang w:val="lt-LT" w:eastAsia="en-IN"/>
        </w:rPr>
        <w:t>iPrEx serokonversijos, pasireiškusios ŽIV</w:t>
      </w:r>
      <w:r w:rsidR="007F5678" w:rsidRPr="001839C2">
        <w:rPr>
          <w:rFonts w:eastAsiaTheme="minorEastAsia"/>
          <w:snapToGrid/>
          <w:szCs w:val="22"/>
          <w:lang w:val="lt-LT" w:eastAsia="en-IN"/>
        </w:rPr>
        <w:noBreakHyphen/>
      </w:r>
      <w:r w:rsidR="002A5F50" w:rsidRPr="001839C2">
        <w:rPr>
          <w:rFonts w:eastAsiaTheme="minorEastAsia"/>
          <w:snapToGrid/>
          <w:szCs w:val="22"/>
          <w:lang w:val="lt-LT" w:eastAsia="en-IN"/>
        </w:rPr>
        <w:t xml:space="preserve">1 po įtraukimo į tyrimą užsikrėtusiems </w:t>
      </w:r>
      <w:r w:rsidR="007F5678" w:rsidRPr="001839C2">
        <w:rPr>
          <w:rFonts w:eastAsiaTheme="minorEastAsia"/>
          <w:snapToGrid/>
          <w:szCs w:val="22"/>
          <w:lang w:val="lt-LT" w:eastAsia="en-IN"/>
        </w:rPr>
        <w:t>p</w:t>
      </w:r>
      <w:r w:rsidR="002A5F50" w:rsidRPr="001839C2">
        <w:rPr>
          <w:rFonts w:eastAsiaTheme="minorEastAsia"/>
          <w:snapToGrid/>
          <w:szCs w:val="22"/>
          <w:lang w:val="lt-LT" w:eastAsia="en-IN"/>
        </w:rPr>
        <w:t>a</w:t>
      </w:r>
      <w:r w:rsidR="007F5678" w:rsidRPr="001839C2">
        <w:rPr>
          <w:rFonts w:eastAsiaTheme="minorEastAsia"/>
          <w:snapToGrid/>
          <w:szCs w:val="22"/>
          <w:lang w:val="lt-LT" w:eastAsia="en-IN"/>
        </w:rPr>
        <w:t>ci</w:t>
      </w:r>
      <w:r w:rsidR="002A5F50" w:rsidRPr="001839C2">
        <w:rPr>
          <w:rFonts w:eastAsiaTheme="minorEastAsia"/>
          <w:snapToGrid/>
          <w:szCs w:val="22"/>
          <w:lang w:val="lt-LT" w:eastAsia="en-IN"/>
        </w:rPr>
        <w:t>en</w:t>
      </w:r>
      <w:r w:rsidR="007F5678" w:rsidRPr="001839C2">
        <w:rPr>
          <w:rFonts w:eastAsiaTheme="minorEastAsia"/>
          <w:snapToGrid/>
          <w:szCs w:val="22"/>
          <w:lang w:val="lt-LT" w:eastAsia="en-IN"/>
        </w:rPr>
        <w:t>ta</w:t>
      </w:r>
      <w:r w:rsidR="002A5F50" w:rsidRPr="001839C2">
        <w:rPr>
          <w:rFonts w:eastAsiaTheme="minorEastAsia"/>
          <w:snapToGrid/>
          <w:szCs w:val="22"/>
          <w:lang w:val="lt-LT" w:eastAsia="en-IN"/>
        </w:rPr>
        <w:t xml:space="preserve">ms, </w:t>
      </w:r>
      <w:r w:rsidR="00750CB9" w:rsidRPr="001839C2">
        <w:rPr>
          <w:rFonts w:eastAsiaTheme="minorEastAsia"/>
          <w:snapToGrid/>
          <w:szCs w:val="22"/>
          <w:lang w:val="lt-LT" w:eastAsia="en-IN"/>
        </w:rPr>
        <w:t>met</w:t>
      </w:r>
      <w:r w:rsidR="002A5F50" w:rsidRPr="001839C2">
        <w:rPr>
          <w:rFonts w:eastAsiaTheme="minorEastAsia"/>
          <w:snapToGrid/>
          <w:szCs w:val="22"/>
          <w:lang w:val="lt-LT" w:eastAsia="en-IN"/>
        </w:rPr>
        <w:t>u ŽIV</w:t>
      </w:r>
      <w:r w:rsidR="007F5678" w:rsidRPr="001839C2">
        <w:rPr>
          <w:rFonts w:eastAsiaTheme="minorEastAsia"/>
          <w:snapToGrid/>
          <w:szCs w:val="22"/>
          <w:lang w:val="lt-LT" w:eastAsia="en-IN"/>
        </w:rPr>
        <w:noBreakHyphen/>
      </w:r>
      <w:r w:rsidR="002A5F50" w:rsidRPr="001839C2">
        <w:rPr>
          <w:rFonts w:eastAsiaTheme="minorEastAsia"/>
          <w:snapToGrid/>
          <w:szCs w:val="22"/>
          <w:lang w:val="lt-LT" w:eastAsia="en-IN"/>
        </w:rPr>
        <w:t>1</w:t>
      </w:r>
      <w:r w:rsidR="007F5678" w:rsidRPr="001839C2">
        <w:rPr>
          <w:rFonts w:eastAsiaTheme="minorEastAsia"/>
          <w:snapToGrid/>
          <w:szCs w:val="22"/>
          <w:lang w:val="lt-LT" w:eastAsia="en-IN"/>
        </w:rPr>
        <w:t> </w:t>
      </w:r>
      <w:r w:rsidR="002A5F50" w:rsidRPr="001839C2">
        <w:rPr>
          <w:rFonts w:eastAsiaTheme="minorEastAsia"/>
          <w:snapToGrid/>
          <w:szCs w:val="22"/>
          <w:lang w:val="lt-LT" w:eastAsia="en-IN"/>
        </w:rPr>
        <w:t>variantų, išreiškiančių K65R, K70E, M184V arba M184I, nenustatyta. 3 iš 10 tiriamųjų, įtraukimo į tyrimą metu turėjusiems ūminę ŽIV</w:t>
      </w:r>
      <w:r w:rsidR="007F5678" w:rsidRPr="001839C2">
        <w:rPr>
          <w:rFonts w:eastAsiaTheme="minorEastAsia"/>
          <w:snapToGrid/>
          <w:szCs w:val="22"/>
          <w:lang w:val="lt-LT" w:eastAsia="en-IN"/>
        </w:rPr>
        <w:t> </w:t>
      </w:r>
      <w:r w:rsidR="002A5F50" w:rsidRPr="001839C2">
        <w:rPr>
          <w:rFonts w:eastAsiaTheme="minorEastAsia"/>
          <w:snapToGrid/>
          <w:szCs w:val="22"/>
          <w:lang w:val="lt-LT" w:eastAsia="en-IN"/>
        </w:rPr>
        <w:t>infekciją,</w:t>
      </w:r>
      <w:r w:rsidR="007F5678" w:rsidRPr="001839C2">
        <w:rPr>
          <w:rFonts w:eastAsiaTheme="minorEastAsia"/>
          <w:snapToGrid/>
          <w:szCs w:val="22"/>
          <w:lang w:val="lt-LT" w:eastAsia="en-IN"/>
        </w:rPr>
        <w:t xml:space="preserve"> </w:t>
      </w:r>
      <w:r w:rsidR="002A5F50" w:rsidRPr="001839C2">
        <w:rPr>
          <w:rFonts w:eastAsiaTheme="minorEastAsia"/>
          <w:snapToGrid/>
          <w:szCs w:val="22"/>
          <w:lang w:val="lt-LT" w:eastAsia="en-IN"/>
        </w:rPr>
        <w:t>M184I ir M184V</w:t>
      </w:r>
      <w:r w:rsidR="00750CB9" w:rsidRPr="001839C2">
        <w:rPr>
          <w:rFonts w:eastAsiaTheme="minorEastAsia"/>
          <w:snapToGrid/>
          <w:szCs w:val="22"/>
          <w:lang w:val="lt-LT" w:eastAsia="en-IN"/>
        </w:rPr>
        <w:t> </w:t>
      </w:r>
      <w:r w:rsidR="002A5F50" w:rsidRPr="001839C2">
        <w:rPr>
          <w:rFonts w:eastAsiaTheme="minorEastAsia"/>
          <w:snapToGrid/>
          <w:szCs w:val="22"/>
          <w:lang w:val="lt-LT" w:eastAsia="en-IN"/>
        </w:rPr>
        <w:t>mutacijų aptikta 2 iš 2 ŽIV turintiems tiriamiesiems emtricitabino</w:t>
      </w:r>
      <w:r w:rsidR="007F5678"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00A45872" w:rsidRPr="001839C2">
        <w:rPr>
          <w:rFonts w:eastAsiaTheme="minorEastAsia"/>
          <w:snapToGrid/>
          <w:szCs w:val="22"/>
          <w:lang w:val="lt-LT" w:eastAsia="en-IN"/>
        </w:rPr>
        <w:t>i</w:t>
      </w:r>
      <w:r w:rsidR="002A5F50" w:rsidRPr="001839C2">
        <w:rPr>
          <w:rFonts w:eastAsiaTheme="minorEastAsia"/>
          <w:snapToGrid/>
          <w:szCs w:val="22"/>
          <w:lang w:val="lt-LT" w:eastAsia="en-IN"/>
        </w:rPr>
        <w:t>o</w:t>
      </w:r>
      <w:r w:rsidR="007F5678" w:rsidRPr="001839C2">
        <w:rPr>
          <w:rFonts w:eastAsiaTheme="minorEastAsia"/>
          <w:snapToGrid/>
          <w:szCs w:val="22"/>
          <w:lang w:val="lt-LT" w:eastAsia="en-IN"/>
        </w:rPr>
        <w:t xml:space="preserve"> derinio</w:t>
      </w:r>
      <w:r w:rsidR="002A5F50" w:rsidRPr="001839C2" w:rsidDel="002B71B2">
        <w:rPr>
          <w:rFonts w:eastAsiaTheme="minorEastAsia"/>
          <w:snapToGrid/>
          <w:szCs w:val="22"/>
          <w:lang w:val="lt-LT" w:eastAsia="en-IN"/>
        </w:rPr>
        <w:t xml:space="preserve"> </w:t>
      </w:r>
      <w:r w:rsidR="002A5F50" w:rsidRPr="001839C2">
        <w:rPr>
          <w:rFonts w:eastAsiaTheme="minorEastAsia"/>
          <w:snapToGrid/>
          <w:szCs w:val="22"/>
          <w:lang w:val="lt-LT" w:eastAsia="en-IN"/>
        </w:rPr>
        <w:t>200</w:t>
      </w:r>
      <w:r w:rsidR="007F5678" w:rsidRPr="001839C2">
        <w:rPr>
          <w:rFonts w:eastAsiaTheme="minorEastAsia"/>
          <w:snapToGrid/>
          <w:szCs w:val="22"/>
          <w:lang w:val="lt-LT" w:eastAsia="en-IN"/>
        </w:rPr>
        <w:t> </w:t>
      </w:r>
      <w:r w:rsidR="002A5F50" w:rsidRPr="001839C2">
        <w:rPr>
          <w:rFonts w:eastAsiaTheme="minorEastAsia"/>
          <w:snapToGrid/>
          <w:szCs w:val="22"/>
          <w:lang w:val="lt-LT" w:eastAsia="en-IN"/>
        </w:rPr>
        <w:t>mg/245</w:t>
      </w:r>
      <w:r w:rsidR="007F5678" w:rsidRPr="001839C2">
        <w:rPr>
          <w:rFonts w:eastAsiaTheme="minorEastAsia"/>
          <w:snapToGrid/>
          <w:szCs w:val="22"/>
          <w:lang w:val="lt-LT" w:eastAsia="en-IN"/>
        </w:rPr>
        <w:t> </w:t>
      </w:r>
      <w:r w:rsidR="002A5F50" w:rsidRPr="001839C2">
        <w:rPr>
          <w:rFonts w:eastAsiaTheme="minorEastAsia"/>
          <w:snapToGrid/>
          <w:szCs w:val="22"/>
          <w:lang w:val="lt-LT" w:eastAsia="en-IN"/>
        </w:rPr>
        <w:t>mg tablečių grupėje ir 1 iš 8</w:t>
      </w:r>
      <w:r w:rsidR="007F5678" w:rsidRPr="001839C2">
        <w:rPr>
          <w:rFonts w:eastAsiaTheme="minorEastAsia"/>
          <w:snapToGrid/>
          <w:szCs w:val="22"/>
          <w:lang w:val="lt-LT" w:eastAsia="en-IN"/>
        </w:rPr>
        <w:t> </w:t>
      </w:r>
      <w:r w:rsidR="002A5F50" w:rsidRPr="001839C2">
        <w:rPr>
          <w:rFonts w:eastAsiaTheme="minorEastAsia"/>
          <w:snapToGrid/>
          <w:szCs w:val="22"/>
          <w:lang w:val="lt-LT" w:eastAsia="en-IN"/>
        </w:rPr>
        <w:t>tiriamųjų placebo grupėje.</w:t>
      </w:r>
    </w:p>
    <w:p w14:paraId="49F11C9B"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1E331FD"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Klinikiniame tyrime</w:t>
      </w:r>
      <w:r w:rsidR="00750CB9" w:rsidRPr="001839C2">
        <w:rPr>
          <w:rFonts w:eastAsiaTheme="minorEastAsia"/>
          <w:snapToGrid/>
          <w:szCs w:val="22"/>
          <w:lang w:val="lt-LT" w:eastAsia="en-IN"/>
        </w:rPr>
        <w:t> </w:t>
      </w:r>
      <w:r w:rsidRPr="001839C2">
        <w:rPr>
          <w:rFonts w:eastAsiaTheme="minorEastAsia"/>
          <w:snapToGrid/>
          <w:szCs w:val="22"/>
          <w:lang w:val="lt-LT" w:eastAsia="en-IN"/>
        </w:rPr>
        <w:t>Partners</w:t>
      </w:r>
      <w:r w:rsidR="007F5678" w:rsidRPr="001839C2">
        <w:rPr>
          <w:rFonts w:eastAsiaTheme="minorEastAsia"/>
          <w:snapToGrid/>
          <w:szCs w:val="22"/>
          <w:lang w:val="lt-LT" w:eastAsia="en-IN"/>
        </w:rPr>
        <w:t> </w:t>
      </w:r>
      <w:r w:rsidRPr="001839C2">
        <w:rPr>
          <w:rFonts w:eastAsiaTheme="minorEastAsia"/>
          <w:snapToGrid/>
          <w:szCs w:val="22"/>
          <w:lang w:val="lt-LT" w:eastAsia="en-IN"/>
        </w:rPr>
        <w:t>PrEP tiriamiesiems, užsikrėtusiems ŽIV</w:t>
      </w:r>
      <w:r w:rsidR="007F5678" w:rsidRPr="001839C2">
        <w:rPr>
          <w:rFonts w:eastAsiaTheme="minorEastAsia"/>
          <w:snapToGrid/>
          <w:szCs w:val="22"/>
          <w:lang w:val="lt-LT" w:eastAsia="en-IN"/>
        </w:rPr>
        <w:noBreakHyphen/>
      </w:r>
      <w:r w:rsidRPr="001839C2">
        <w:rPr>
          <w:rFonts w:eastAsiaTheme="minorEastAsia"/>
          <w:snapToGrid/>
          <w:szCs w:val="22"/>
          <w:lang w:val="lt-LT" w:eastAsia="en-IN"/>
        </w:rPr>
        <w:t>1 tyrimo metu, ŽIV</w:t>
      </w:r>
      <w:r w:rsidR="007F5678" w:rsidRPr="001839C2">
        <w:rPr>
          <w:rFonts w:eastAsiaTheme="minorEastAsia"/>
          <w:snapToGrid/>
          <w:szCs w:val="22"/>
          <w:lang w:val="lt-LT" w:eastAsia="en-IN"/>
        </w:rPr>
        <w:noBreakHyphen/>
      </w:r>
      <w:r w:rsidRPr="001839C2">
        <w:rPr>
          <w:rFonts w:eastAsiaTheme="minorEastAsia"/>
          <w:snapToGrid/>
          <w:szCs w:val="22"/>
          <w:lang w:val="lt-LT" w:eastAsia="en-IN"/>
        </w:rPr>
        <w:t>1</w:t>
      </w:r>
      <w:r w:rsidR="007F5678" w:rsidRPr="001839C2">
        <w:rPr>
          <w:rFonts w:eastAsiaTheme="minorEastAsia"/>
          <w:snapToGrid/>
          <w:szCs w:val="22"/>
          <w:lang w:val="lt-LT" w:eastAsia="en-IN"/>
        </w:rPr>
        <w:t> </w:t>
      </w:r>
      <w:r w:rsidRPr="001839C2">
        <w:rPr>
          <w:rFonts w:eastAsiaTheme="minorEastAsia"/>
          <w:snapToGrid/>
          <w:szCs w:val="22"/>
          <w:lang w:val="lt-LT" w:eastAsia="en-IN"/>
        </w:rPr>
        <w:t>variantų, išreiškiančių K65R, K70E, M184V arba M184I, serokonversijos metu nenustatyta. 2 iš 14</w:t>
      </w:r>
      <w:r w:rsidR="007F5678" w:rsidRPr="001839C2">
        <w:rPr>
          <w:rFonts w:eastAsiaTheme="minorEastAsia"/>
          <w:snapToGrid/>
          <w:szCs w:val="22"/>
          <w:lang w:val="lt-LT" w:eastAsia="en-IN"/>
        </w:rPr>
        <w:t> </w:t>
      </w:r>
      <w:r w:rsidRPr="001839C2">
        <w:rPr>
          <w:rFonts w:eastAsiaTheme="minorEastAsia"/>
          <w:snapToGrid/>
          <w:szCs w:val="22"/>
          <w:lang w:val="lt-LT" w:eastAsia="en-IN"/>
        </w:rPr>
        <w:t>tiriamųjų, įtraukimo į tyrimą metu turėjusiems ūminę ŽIV</w:t>
      </w:r>
      <w:r w:rsidR="007F5678" w:rsidRPr="001839C2">
        <w:rPr>
          <w:rFonts w:eastAsiaTheme="minorEastAsia"/>
          <w:snapToGrid/>
          <w:szCs w:val="22"/>
          <w:lang w:val="lt-LT" w:eastAsia="en-IN"/>
        </w:rPr>
        <w:t> </w:t>
      </w:r>
      <w:r w:rsidRPr="001839C2">
        <w:rPr>
          <w:rFonts w:eastAsiaTheme="minorEastAsia"/>
          <w:snapToGrid/>
          <w:szCs w:val="22"/>
          <w:lang w:val="lt-LT" w:eastAsia="en-IN"/>
        </w:rPr>
        <w:t>infekciją, K65R</w:t>
      </w:r>
      <w:r w:rsidR="007F5678" w:rsidRPr="001839C2">
        <w:rPr>
          <w:rFonts w:eastAsiaTheme="minorEastAsia"/>
          <w:snapToGrid/>
          <w:szCs w:val="22"/>
          <w:lang w:val="lt-LT" w:eastAsia="en-IN"/>
        </w:rPr>
        <w:t> </w:t>
      </w:r>
      <w:r w:rsidRPr="001839C2">
        <w:rPr>
          <w:rFonts w:eastAsiaTheme="minorEastAsia"/>
          <w:snapToGrid/>
          <w:szCs w:val="22"/>
          <w:lang w:val="lt-LT" w:eastAsia="en-IN"/>
        </w:rPr>
        <w:t>mutacija aptikta 1 iš 5 ŽIV turinčių tiriamųjų 245</w:t>
      </w:r>
      <w:r w:rsidR="007F5678" w:rsidRPr="001839C2">
        <w:rPr>
          <w:rFonts w:eastAsiaTheme="minorEastAsia"/>
          <w:snapToGrid/>
          <w:szCs w:val="22"/>
          <w:lang w:val="lt-LT" w:eastAsia="en-IN"/>
        </w:rPr>
        <w:t> </w:t>
      </w:r>
      <w:r w:rsidRPr="001839C2">
        <w:rPr>
          <w:rFonts w:eastAsiaTheme="minorEastAsia"/>
          <w:snapToGrid/>
          <w:szCs w:val="22"/>
          <w:lang w:val="lt-LT" w:eastAsia="en-IN"/>
        </w:rPr>
        <w:t>mg tenofoviro dizoproksilio dozės grupėje, o M184V</w:t>
      </w:r>
      <w:r w:rsidR="007F5678" w:rsidRPr="001839C2">
        <w:rPr>
          <w:rFonts w:eastAsiaTheme="minorEastAsia"/>
          <w:snapToGrid/>
          <w:szCs w:val="22"/>
          <w:lang w:val="lt-LT" w:eastAsia="en-IN"/>
        </w:rPr>
        <w:t> </w:t>
      </w:r>
      <w:r w:rsidRPr="001839C2">
        <w:rPr>
          <w:rFonts w:eastAsiaTheme="minorEastAsia"/>
          <w:snapToGrid/>
          <w:szCs w:val="22"/>
          <w:lang w:val="lt-LT" w:eastAsia="en-IN"/>
        </w:rPr>
        <w:t>mutacija (susijusi su atsparumu emtricitabinui) aptikta 1 iš 3 ŽIV turinčių tiriamųjų emtricitabino</w:t>
      </w:r>
      <w:r w:rsidR="007F5678"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A45872" w:rsidRPr="001839C2">
        <w:rPr>
          <w:rFonts w:eastAsiaTheme="minorEastAsia"/>
          <w:snapToGrid/>
          <w:szCs w:val="22"/>
          <w:lang w:val="lt-LT" w:eastAsia="en-IN"/>
        </w:rPr>
        <w:t>i</w:t>
      </w:r>
      <w:r w:rsidRPr="001839C2">
        <w:rPr>
          <w:rFonts w:eastAsiaTheme="minorEastAsia"/>
          <w:snapToGrid/>
          <w:szCs w:val="22"/>
          <w:lang w:val="lt-LT" w:eastAsia="en-IN"/>
        </w:rPr>
        <w:t>o</w:t>
      </w:r>
      <w:r w:rsidR="007F5678" w:rsidRPr="001839C2">
        <w:rPr>
          <w:rFonts w:eastAsiaTheme="minorEastAsia"/>
          <w:snapToGrid/>
          <w:szCs w:val="22"/>
          <w:lang w:val="lt-LT" w:eastAsia="en-IN"/>
        </w:rPr>
        <w:t xml:space="preserve"> derinio</w:t>
      </w:r>
      <w:r w:rsidRPr="001839C2" w:rsidDel="002B71B2">
        <w:rPr>
          <w:rFonts w:eastAsiaTheme="minorEastAsia"/>
          <w:snapToGrid/>
          <w:szCs w:val="22"/>
          <w:lang w:val="lt-LT" w:eastAsia="en-IN"/>
        </w:rPr>
        <w:t xml:space="preserve"> </w:t>
      </w:r>
      <w:r w:rsidRPr="001839C2">
        <w:rPr>
          <w:rFonts w:eastAsiaTheme="minorEastAsia"/>
          <w:snapToGrid/>
          <w:szCs w:val="22"/>
          <w:lang w:val="lt-LT" w:eastAsia="en-IN"/>
        </w:rPr>
        <w:t>200</w:t>
      </w:r>
      <w:r w:rsidR="007F5678" w:rsidRPr="001839C2">
        <w:rPr>
          <w:rFonts w:eastAsiaTheme="minorEastAsia"/>
          <w:snapToGrid/>
          <w:szCs w:val="22"/>
          <w:lang w:val="lt-LT" w:eastAsia="en-IN"/>
        </w:rPr>
        <w:t> </w:t>
      </w:r>
      <w:r w:rsidRPr="001839C2">
        <w:rPr>
          <w:rFonts w:eastAsiaTheme="minorEastAsia"/>
          <w:snapToGrid/>
          <w:szCs w:val="22"/>
          <w:lang w:val="lt-LT" w:eastAsia="en-IN"/>
        </w:rPr>
        <w:t>mg/245</w:t>
      </w:r>
      <w:r w:rsidR="007F5678" w:rsidRPr="001839C2">
        <w:rPr>
          <w:rFonts w:eastAsiaTheme="minorEastAsia"/>
          <w:snapToGrid/>
          <w:szCs w:val="22"/>
          <w:lang w:val="lt-LT" w:eastAsia="en-IN"/>
        </w:rPr>
        <w:t> </w:t>
      </w:r>
      <w:r w:rsidRPr="001839C2">
        <w:rPr>
          <w:rFonts w:eastAsiaTheme="minorEastAsia"/>
          <w:snapToGrid/>
          <w:szCs w:val="22"/>
          <w:lang w:val="lt-LT" w:eastAsia="en-IN"/>
        </w:rPr>
        <w:t>mg tablečių</w:t>
      </w:r>
      <w:r w:rsidRPr="001839C2" w:rsidDel="006B715B">
        <w:rPr>
          <w:rFonts w:eastAsiaTheme="minorEastAsia"/>
          <w:snapToGrid/>
          <w:szCs w:val="22"/>
          <w:lang w:val="lt-LT" w:eastAsia="en-IN"/>
        </w:rPr>
        <w:t xml:space="preserve"> </w:t>
      </w:r>
      <w:r w:rsidRPr="001839C2">
        <w:rPr>
          <w:rFonts w:eastAsiaTheme="minorEastAsia"/>
          <w:snapToGrid/>
          <w:szCs w:val="22"/>
          <w:lang w:val="lt-LT" w:eastAsia="en-IN"/>
        </w:rPr>
        <w:t>grupėje.</w:t>
      </w:r>
    </w:p>
    <w:p w14:paraId="44017BEB"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7FBCB61"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Klinikini</w:t>
      </w:r>
      <w:r w:rsidR="00AF531C" w:rsidRPr="001839C2">
        <w:rPr>
          <w:rFonts w:eastAsiaTheme="minorEastAsia"/>
          <w:snapToGrid/>
          <w:szCs w:val="22"/>
          <w:u w:val="single"/>
          <w:lang w:val="lt-LT" w:eastAsia="en-IN"/>
        </w:rPr>
        <w:t>s veiksm</w:t>
      </w:r>
      <w:r w:rsidR="007F5678" w:rsidRPr="001839C2">
        <w:rPr>
          <w:rFonts w:eastAsiaTheme="minorEastAsia"/>
          <w:snapToGrid/>
          <w:szCs w:val="22"/>
          <w:u w:val="single"/>
          <w:lang w:val="lt-LT" w:eastAsia="en-IN"/>
        </w:rPr>
        <w:t>ingum</w:t>
      </w:r>
      <w:r w:rsidRPr="001839C2">
        <w:rPr>
          <w:rFonts w:eastAsiaTheme="minorEastAsia"/>
          <w:snapToGrid/>
          <w:szCs w:val="22"/>
          <w:u w:val="single"/>
          <w:lang w:val="lt-LT" w:eastAsia="en-IN"/>
        </w:rPr>
        <w:t>a</w:t>
      </w:r>
      <w:r w:rsidR="007F5678" w:rsidRPr="001839C2">
        <w:rPr>
          <w:rFonts w:eastAsiaTheme="minorEastAsia"/>
          <w:snapToGrid/>
          <w:szCs w:val="22"/>
          <w:u w:val="single"/>
          <w:lang w:val="lt-LT" w:eastAsia="en-IN"/>
        </w:rPr>
        <w:t xml:space="preserve">s </w:t>
      </w:r>
      <w:r w:rsidRPr="001839C2">
        <w:rPr>
          <w:rFonts w:eastAsiaTheme="minorEastAsia"/>
          <w:snapToGrid/>
          <w:szCs w:val="22"/>
          <w:u w:val="single"/>
          <w:lang w:val="lt-LT" w:eastAsia="en-IN"/>
        </w:rPr>
        <w:t>i</w:t>
      </w:r>
      <w:r w:rsidR="007F5678" w:rsidRPr="001839C2">
        <w:rPr>
          <w:rFonts w:eastAsiaTheme="minorEastAsia"/>
          <w:snapToGrid/>
          <w:szCs w:val="22"/>
          <w:u w:val="single"/>
          <w:lang w:val="lt-LT" w:eastAsia="en-IN"/>
        </w:rPr>
        <w:t>r</w:t>
      </w:r>
      <w:r w:rsidRPr="001839C2">
        <w:rPr>
          <w:rFonts w:eastAsiaTheme="minorEastAsia"/>
          <w:snapToGrid/>
          <w:szCs w:val="22"/>
          <w:u w:val="single"/>
          <w:lang w:val="lt-LT" w:eastAsia="en-IN"/>
        </w:rPr>
        <w:t xml:space="preserve"> </w:t>
      </w:r>
      <w:r w:rsidR="007F5678" w:rsidRPr="001839C2">
        <w:rPr>
          <w:rFonts w:eastAsiaTheme="minorEastAsia"/>
          <w:snapToGrid/>
          <w:szCs w:val="22"/>
          <w:u w:val="single"/>
          <w:lang w:val="lt-LT" w:eastAsia="en-IN"/>
        </w:rPr>
        <w:t>sa</w:t>
      </w:r>
      <w:r w:rsidRPr="001839C2">
        <w:rPr>
          <w:rFonts w:eastAsiaTheme="minorEastAsia"/>
          <w:snapToGrid/>
          <w:szCs w:val="22"/>
          <w:u w:val="single"/>
          <w:lang w:val="lt-LT" w:eastAsia="en-IN"/>
        </w:rPr>
        <w:t>u</w:t>
      </w:r>
      <w:r w:rsidR="007F5678" w:rsidRPr="001839C2">
        <w:rPr>
          <w:rFonts w:eastAsiaTheme="minorEastAsia"/>
          <w:snapToGrid/>
          <w:szCs w:val="22"/>
          <w:u w:val="single"/>
          <w:lang w:val="lt-LT" w:eastAsia="en-IN"/>
        </w:rPr>
        <w:t>gu</w:t>
      </w:r>
      <w:r w:rsidRPr="001839C2">
        <w:rPr>
          <w:rFonts w:eastAsiaTheme="minorEastAsia"/>
          <w:snapToGrid/>
          <w:szCs w:val="22"/>
          <w:u w:val="single"/>
          <w:lang w:val="lt-LT" w:eastAsia="en-IN"/>
        </w:rPr>
        <w:t>m</w:t>
      </w:r>
      <w:r w:rsidR="007F5678" w:rsidRPr="001839C2">
        <w:rPr>
          <w:rFonts w:eastAsiaTheme="minorEastAsia"/>
          <w:snapToGrid/>
          <w:szCs w:val="22"/>
          <w:u w:val="single"/>
          <w:lang w:val="lt-LT" w:eastAsia="en-IN"/>
        </w:rPr>
        <w:t>a</w:t>
      </w:r>
      <w:r w:rsidRPr="001839C2">
        <w:rPr>
          <w:rFonts w:eastAsiaTheme="minorEastAsia"/>
          <w:snapToGrid/>
          <w:szCs w:val="22"/>
          <w:u w:val="single"/>
          <w:lang w:val="lt-LT" w:eastAsia="en-IN"/>
        </w:rPr>
        <w:t>s</w:t>
      </w:r>
    </w:p>
    <w:p w14:paraId="61B5F605" w14:textId="77777777" w:rsidR="007F5678"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ŽIV</w:t>
      </w:r>
      <w:r w:rsidR="007F5678" w:rsidRPr="001839C2">
        <w:rPr>
          <w:rFonts w:eastAsiaTheme="minorEastAsia"/>
          <w:i/>
          <w:iCs/>
          <w:snapToGrid/>
          <w:szCs w:val="22"/>
          <w:lang w:val="lt-LT" w:eastAsia="en-IN"/>
        </w:rPr>
        <w:noBreakHyphen/>
      </w:r>
      <w:r w:rsidRPr="001839C2">
        <w:rPr>
          <w:rFonts w:eastAsiaTheme="minorEastAsia"/>
          <w:i/>
          <w:iCs/>
          <w:snapToGrid/>
          <w:szCs w:val="22"/>
          <w:lang w:val="lt-LT" w:eastAsia="en-IN"/>
        </w:rPr>
        <w:t>1</w:t>
      </w:r>
      <w:r w:rsidR="007F5678" w:rsidRPr="001839C2">
        <w:rPr>
          <w:rFonts w:eastAsiaTheme="minorEastAsia"/>
          <w:i/>
          <w:iCs/>
          <w:snapToGrid/>
          <w:szCs w:val="22"/>
          <w:lang w:val="lt-LT" w:eastAsia="en-IN"/>
        </w:rPr>
        <w:t> </w:t>
      </w:r>
      <w:r w:rsidRPr="001839C2">
        <w:rPr>
          <w:rFonts w:eastAsiaTheme="minorEastAsia"/>
          <w:i/>
          <w:iCs/>
          <w:snapToGrid/>
          <w:szCs w:val="22"/>
          <w:lang w:val="lt-LT" w:eastAsia="en-IN"/>
        </w:rPr>
        <w:t>infekcijos gydymas</w:t>
      </w:r>
    </w:p>
    <w:p w14:paraId="1CABF6FC" w14:textId="77777777" w:rsidR="002A5F50" w:rsidRPr="001839C2" w:rsidRDefault="007F5678"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w:t>
      </w:r>
      <w:r w:rsidR="002A5F50" w:rsidRPr="001839C2">
        <w:rPr>
          <w:rFonts w:eastAsiaTheme="minorEastAsia"/>
          <w:snapToGrid/>
          <w:szCs w:val="22"/>
          <w:lang w:val="lt-LT" w:eastAsia="en-IN"/>
        </w:rPr>
        <w:t>tvirame, atsitiktinių imčių klinikiniame tyrime</w:t>
      </w:r>
      <w:r w:rsidR="00E06572" w:rsidRPr="001839C2">
        <w:rPr>
          <w:rFonts w:eastAsiaTheme="minorEastAsia"/>
          <w:snapToGrid/>
          <w:szCs w:val="22"/>
          <w:lang w:val="lt-LT" w:eastAsia="en-IN"/>
        </w:rPr>
        <w:t> </w:t>
      </w:r>
      <w:r w:rsidR="002A5F50" w:rsidRPr="001839C2">
        <w:rPr>
          <w:rFonts w:eastAsiaTheme="minorEastAsia"/>
          <w:snapToGrid/>
          <w:szCs w:val="22"/>
          <w:lang w:val="lt-LT" w:eastAsia="en-IN"/>
        </w:rPr>
        <w:t>(GS</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01</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934) antiretrovirusiniais vaist</w:t>
      </w:r>
      <w:r w:rsidRPr="001839C2">
        <w:rPr>
          <w:rFonts w:eastAsiaTheme="minorEastAsia"/>
          <w:snapToGrid/>
          <w:szCs w:val="22"/>
          <w:lang w:val="lt-LT" w:eastAsia="en-IN"/>
        </w:rPr>
        <w:t>ini</w:t>
      </w:r>
      <w:r w:rsidR="002A5F50" w:rsidRPr="001839C2">
        <w:rPr>
          <w:rFonts w:eastAsiaTheme="minorEastAsia"/>
          <w:snapToGrid/>
          <w:szCs w:val="22"/>
          <w:lang w:val="lt-LT" w:eastAsia="en-IN"/>
        </w:rPr>
        <w:t>ais</w:t>
      </w:r>
      <w:r w:rsidRPr="001839C2">
        <w:rPr>
          <w:rFonts w:eastAsiaTheme="minorEastAsia"/>
          <w:snapToGrid/>
          <w:szCs w:val="22"/>
          <w:lang w:val="lt-LT" w:eastAsia="en-IN"/>
        </w:rPr>
        <w:t xml:space="preserve"> preparatais</w:t>
      </w:r>
      <w:r w:rsidR="002A5F50" w:rsidRPr="001839C2">
        <w:rPr>
          <w:rFonts w:eastAsiaTheme="minorEastAsia"/>
          <w:snapToGrid/>
          <w:szCs w:val="22"/>
          <w:lang w:val="lt-LT" w:eastAsia="en-IN"/>
        </w:rPr>
        <w:t xml:space="preserve"> dar negydyti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 infekuoti suaug</w:t>
      </w:r>
      <w:r w:rsidRPr="001839C2">
        <w:rPr>
          <w:rFonts w:eastAsiaTheme="minorEastAsia"/>
          <w:snapToGrid/>
          <w:szCs w:val="22"/>
          <w:lang w:val="lt-LT" w:eastAsia="en-IN"/>
        </w:rPr>
        <w:t>us</w:t>
      </w:r>
      <w:r w:rsidR="002A5F50" w:rsidRPr="001839C2">
        <w:rPr>
          <w:rFonts w:eastAsiaTheme="minorEastAsia"/>
          <w:snapToGrid/>
          <w:szCs w:val="22"/>
          <w:lang w:val="lt-LT" w:eastAsia="en-IN"/>
        </w:rPr>
        <w:t>ie</w:t>
      </w:r>
      <w:r w:rsidRPr="001839C2">
        <w:rPr>
          <w:rFonts w:eastAsiaTheme="minorEastAsia"/>
          <w:snapToGrid/>
          <w:szCs w:val="22"/>
          <w:lang w:val="lt-LT" w:eastAsia="en-IN"/>
        </w:rPr>
        <w:t>j</w:t>
      </w:r>
      <w:r w:rsidR="002A5F50" w:rsidRPr="001839C2">
        <w:rPr>
          <w:rFonts w:eastAsiaTheme="minorEastAsia"/>
          <w:snapToGrid/>
          <w:szCs w:val="22"/>
          <w:lang w:val="lt-LT" w:eastAsia="en-IN"/>
        </w:rPr>
        <w:t>i buvo gydyti emtricitabinu, tenofovir</w:t>
      </w:r>
      <w:r w:rsidR="00A45872" w:rsidRPr="001839C2">
        <w:rPr>
          <w:rFonts w:eastAsiaTheme="minorEastAsia"/>
          <w:snapToGrid/>
          <w:szCs w:val="22"/>
          <w:lang w:val="lt-LT" w:eastAsia="en-IN"/>
        </w:rPr>
        <w:t>u</w:t>
      </w:r>
      <w:r w:rsidR="002A5F50" w:rsidRPr="001839C2">
        <w:rPr>
          <w:rFonts w:eastAsiaTheme="minorEastAsia"/>
          <w:snapToGrid/>
          <w:szCs w:val="22"/>
          <w:lang w:val="lt-LT" w:eastAsia="en-IN"/>
        </w:rPr>
        <w:t xml:space="preserve"> dizoproksiliu ir efavirenzu, kurių kiekvienas skiriamas vieną</w:t>
      </w:r>
      <w:r w:rsidRPr="001839C2">
        <w:rPr>
          <w:rFonts w:eastAsiaTheme="minorEastAsia"/>
          <w:snapToGrid/>
          <w:szCs w:val="22"/>
          <w:lang w:val="lt-LT" w:eastAsia="en-IN"/>
        </w:rPr>
        <w:t> </w:t>
      </w:r>
      <w:r w:rsidR="002A5F50" w:rsidRPr="001839C2">
        <w:rPr>
          <w:rFonts w:eastAsiaTheme="minorEastAsia"/>
          <w:snapToGrid/>
          <w:szCs w:val="22"/>
          <w:lang w:val="lt-LT" w:eastAsia="en-IN"/>
        </w:rPr>
        <w:t>kartą per</w:t>
      </w:r>
      <w:r w:rsidRPr="001839C2">
        <w:rPr>
          <w:rFonts w:eastAsiaTheme="minorEastAsia"/>
          <w:snapToGrid/>
          <w:szCs w:val="22"/>
          <w:lang w:val="lt-LT" w:eastAsia="en-IN"/>
        </w:rPr>
        <w:t> </w:t>
      </w:r>
      <w:r w:rsidR="002A5F50" w:rsidRPr="001839C2">
        <w:rPr>
          <w:rFonts w:eastAsiaTheme="minorEastAsia"/>
          <w:snapToGrid/>
          <w:szCs w:val="22"/>
          <w:lang w:val="lt-LT" w:eastAsia="en-IN"/>
        </w:rPr>
        <w:t>parą (n</w:t>
      </w:r>
      <w:r w:rsidRPr="001839C2">
        <w:rPr>
          <w:rFonts w:eastAsiaTheme="minorEastAsia"/>
          <w:snapToGrid/>
          <w:szCs w:val="22"/>
          <w:lang w:val="lt-LT" w:eastAsia="en-IN"/>
        </w:rPr>
        <w:t> </w:t>
      </w:r>
      <w:r w:rsidR="002A5F50" w:rsidRPr="001839C2">
        <w:rPr>
          <w:rFonts w:eastAsiaTheme="minorEastAsia"/>
          <w:snapToGrid/>
          <w:szCs w:val="22"/>
          <w:lang w:val="lt-LT" w:eastAsia="en-IN"/>
        </w:rPr>
        <w:t>=</w:t>
      </w:r>
      <w:r w:rsidRPr="001839C2">
        <w:rPr>
          <w:rFonts w:eastAsiaTheme="minorEastAsia"/>
          <w:snapToGrid/>
          <w:szCs w:val="22"/>
          <w:lang w:val="lt-LT" w:eastAsia="en-IN"/>
        </w:rPr>
        <w:t> </w:t>
      </w:r>
      <w:r w:rsidR="002A5F50" w:rsidRPr="001839C2">
        <w:rPr>
          <w:rFonts w:eastAsiaTheme="minorEastAsia"/>
          <w:snapToGrid/>
          <w:szCs w:val="22"/>
          <w:lang w:val="lt-LT" w:eastAsia="en-IN"/>
        </w:rPr>
        <w:t>255), arba fiksuota lamivudino ir zidovudino derinio doze, kai derinys skiriamas du</w:t>
      </w:r>
      <w:r w:rsidRPr="001839C2">
        <w:rPr>
          <w:rFonts w:eastAsiaTheme="minorEastAsia"/>
          <w:snapToGrid/>
          <w:szCs w:val="22"/>
          <w:lang w:val="lt-LT" w:eastAsia="en-IN"/>
        </w:rPr>
        <w:t> </w:t>
      </w:r>
      <w:r w:rsidR="002A5F50" w:rsidRPr="001839C2">
        <w:rPr>
          <w:rFonts w:eastAsiaTheme="minorEastAsia"/>
          <w:snapToGrid/>
          <w:szCs w:val="22"/>
          <w:lang w:val="lt-LT" w:eastAsia="en-IN"/>
        </w:rPr>
        <w:t>kartus per</w:t>
      </w:r>
      <w:r w:rsidRPr="001839C2">
        <w:rPr>
          <w:rFonts w:eastAsiaTheme="minorEastAsia"/>
          <w:snapToGrid/>
          <w:szCs w:val="22"/>
          <w:lang w:val="lt-LT" w:eastAsia="en-IN"/>
        </w:rPr>
        <w:t> </w:t>
      </w:r>
      <w:r w:rsidR="002A5F50" w:rsidRPr="001839C2">
        <w:rPr>
          <w:rFonts w:eastAsiaTheme="minorEastAsia"/>
          <w:snapToGrid/>
          <w:szCs w:val="22"/>
          <w:lang w:val="lt-LT" w:eastAsia="en-IN"/>
        </w:rPr>
        <w:t>parą, o efavirenzas</w:t>
      </w:r>
      <w:r w:rsidRPr="001839C2">
        <w:rPr>
          <w:rFonts w:eastAsiaTheme="minorEastAsia"/>
          <w:snapToGrid/>
          <w:szCs w:val="22"/>
          <w:lang w:val="lt-LT" w:eastAsia="en-IN"/>
        </w:rPr>
        <w:t xml:space="preserve"> </w:t>
      </w:r>
      <w:r w:rsidR="002A5F50" w:rsidRPr="001839C2">
        <w:rPr>
          <w:rFonts w:eastAsiaTheme="minorEastAsia"/>
          <w:snapToGrid/>
          <w:szCs w:val="22"/>
          <w:lang w:val="lt-LT" w:eastAsia="en-IN"/>
        </w:rPr>
        <w:t>– kartą per</w:t>
      </w:r>
      <w:r w:rsidRPr="001839C2">
        <w:rPr>
          <w:rFonts w:eastAsiaTheme="minorEastAsia"/>
          <w:snapToGrid/>
          <w:szCs w:val="22"/>
          <w:lang w:val="lt-LT" w:eastAsia="en-IN"/>
        </w:rPr>
        <w:t> </w:t>
      </w:r>
      <w:r w:rsidR="002A5F50" w:rsidRPr="001839C2">
        <w:rPr>
          <w:rFonts w:eastAsiaTheme="minorEastAsia"/>
          <w:snapToGrid/>
          <w:szCs w:val="22"/>
          <w:lang w:val="lt-LT" w:eastAsia="en-IN"/>
        </w:rPr>
        <w:t>parą (n</w:t>
      </w:r>
      <w:r w:rsidRPr="001839C2">
        <w:rPr>
          <w:rFonts w:eastAsiaTheme="minorEastAsia"/>
          <w:snapToGrid/>
          <w:szCs w:val="22"/>
          <w:lang w:val="lt-LT" w:eastAsia="en-IN"/>
        </w:rPr>
        <w:t> </w:t>
      </w:r>
      <w:r w:rsidR="002A5F50" w:rsidRPr="001839C2">
        <w:rPr>
          <w:rFonts w:eastAsiaTheme="minorEastAsia"/>
          <w:snapToGrid/>
          <w:szCs w:val="22"/>
          <w:lang w:val="lt-LT" w:eastAsia="en-IN"/>
        </w:rPr>
        <w:t>=</w:t>
      </w:r>
      <w:r w:rsidRPr="001839C2">
        <w:rPr>
          <w:rFonts w:eastAsiaTheme="minorEastAsia"/>
          <w:snapToGrid/>
          <w:szCs w:val="22"/>
          <w:lang w:val="lt-LT" w:eastAsia="en-IN"/>
        </w:rPr>
        <w:t> </w:t>
      </w:r>
      <w:r w:rsidR="002A5F50" w:rsidRPr="001839C2">
        <w:rPr>
          <w:rFonts w:eastAsiaTheme="minorEastAsia"/>
          <w:snapToGrid/>
          <w:szCs w:val="22"/>
          <w:lang w:val="lt-LT" w:eastAsia="en-IN"/>
        </w:rPr>
        <w:t>254). Emtricitabino ir tenofoviro dizoproksilio grupės pacientams nuo 96 iki</w:t>
      </w:r>
      <w:r w:rsidRPr="001839C2">
        <w:rPr>
          <w:rFonts w:eastAsiaTheme="minorEastAsia"/>
          <w:snapToGrid/>
          <w:szCs w:val="22"/>
          <w:lang w:val="lt-LT" w:eastAsia="en-IN"/>
        </w:rPr>
        <w:t xml:space="preserve"> </w:t>
      </w:r>
      <w:r w:rsidR="002A5F50" w:rsidRPr="001839C2">
        <w:rPr>
          <w:rFonts w:eastAsiaTheme="minorEastAsia"/>
          <w:snapToGrid/>
          <w:szCs w:val="22"/>
          <w:lang w:val="lt-LT" w:eastAsia="en-IN"/>
        </w:rPr>
        <w:t>144</w:t>
      </w:r>
      <w:r w:rsidRPr="001839C2">
        <w:rPr>
          <w:rFonts w:eastAsiaTheme="minorEastAsia"/>
          <w:snapToGrid/>
          <w:szCs w:val="22"/>
          <w:lang w:val="lt-LT" w:eastAsia="en-IN"/>
        </w:rPr>
        <w:t> </w:t>
      </w:r>
      <w:r w:rsidR="002A5F50" w:rsidRPr="001839C2">
        <w:rPr>
          <w:rFonts w:eastAsiaTheme="minorEastAsia"/>
          <w:snapToGrid/>
          <w:szCs w:val="22"/>
          <w:lang w:val="lt-LT" w:eastAsia="en-IN"/>
        </w:rPr>
        <w:t>savaitės buvo skirt</w:t>
      </w:r>
      <w:r w:rsidRPr="001839C2">
        <w:rPr>
          <w:rFonts w:eastAsiaTheme="minorEastAsia"/>
          <w:snapToGrid/>
          <w:szCs w:val="22"/>
          <w:lang w:val="lt-LT" w:eastAsia="en-IN"/>
        </w:rPr>
        <w:t>a</w:t>
      </w:r>
      <w:r w:rsidR="002A5F50" w:rsidRPr="001839C2">
        <w:rPr>
          <w:rFonts w:eastAsiaTheme="minorEastAsia"/>
          <w:snapToGrid/>
          <w:szCs w:val="22"/>
          <w:lang w:val="lt-LT" w:eastAsia="en-IN"/>
        </w:rPr>
        <w:t xml:space="preserve"> emtricitabino</w:t>
      </w:r>
      <w:r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00A45872" w:rsidRPr="001839C2">
        <w:rPr>
          <w:rFonts w:eastAsiaTheme="minorEastAsia"/>
          <w:snapToGrid/>
          <w:szCs w:val="22"/>
          <w:lang w:val="lt-LT" w:eastAsia="en-IN"/>
        </w:rPr>
        <w:t>i</w:t>
      </w:r>
      <w:r w:rsidR="002A5F50" w:rsidRPr="001839C2">
        <w:rPr>
          <w:rFonts w:eastAsiaTheme="minorEastAsia"/>
          <w:snapToGrid/>
          <w:szCs w:val="22"/>
          <w:lang w:val="lt-LT" w:eastAsia="en-IN"/>
        </w:rPr>
        <w:t>o</w:t>
      </w:r>
      <w:r w:rsidRPr="001839C2">
        <w:rPr>
          <w:rFonts w:eastAsiaTheme="minorEastAsia"/>
          <w:snapToGrid/>
          <w:szCs w:val="22"/>
          <w:lang w:val="lt-LT" w:eastAsia="en-IN"/>
        </w:rPr>
        <w:t xml:space="preserve"> derinio</w:t>
      </w:r>
      <w:r w:rsidR="002A5F50" w:rsidRPr="001839C2" w:rsidDel="002B71B2">
        <w:rPr>
          <w:rFonts w:eastAsiaTheme="minorEastAsia"/>
          <w:snapToGrid/>
          <w:szCs w:val="22"/>
          <w:lang w:val="lt-LT" w:eastAsia="en-IN"/>
        </w:rPr>
        <w:t xml:space="preserve"> </w:t>
      </w:r>
      <w:r w:rsidR="002A5F50" w:rsidRPr="001839C2">
        <w:rPr>
          <w:rFonts w:eastAsiaTheme="minorEastAsia"/>
          <w:snapToGrid/>
          <w:szCs w:val="22"/>
          <w:lang w:val="lt-LT" w:eastAsia="en-IN"/>
        </w:rPr>
        <w:t>200</w:t>
      </w:r>
      <w:r w:rsidRPr="001839C2">
        <w:rPr>
          <w:rFonts w:eastAsiaTheme="minorEastAsia"/>
          <w:snapToGrid/>
          <w:szCs w:val="22"/>
          <w:lang w:val="lt-LT" w:eastAsia="en-IN"/>
        </w:rPr>
        <w:t> </w:t>
      </w:r>
      <w:r w:rsidR="002A5F50" w:rsidRPr="001839C2">
        <w:rPr>
          <w:rFonts w:eastAsiaTheme="minorEastAsia"/>
          <w:snapToGrid/>
          <w:szCs w:val="22"/>
          <w:lang w:val="lt-LT" w:eastAsia="en-IN"/>
        </w:rPr>
        <w:t>mg/245</w:t>
      </w:r>
      <w:r w:rsidRPr="001839C2">
        <w:rPr>
          <w:rFonts w:eastAsiaTheme="minorEastAsia"/>
          <w:snapToGrid/>
          <w:szCs w:val="22"/>
          <w:lang w:val="lt-LT" w:eastAsia="en-IN"/>
        </w:rPr>
        <w:t> </w:t>
      </w:r>
      <w:r w:rsidR="002A5F50" w:rsidRPr="001839C2">
        <w:rPr>
          <w:rFonts w:eastAsiaTheme="minorEastAsia"/>
          <w:snapToGrid/>
          <w:szCs w:val="22"/>
          <w:lang w:val="lt-LT" w:eastAsia="en-IN"/>
        </w:rPr>
        <w:t>mg tablet</w:t>
      </w:r>
      <w:r w:rsidRPr="001839C2">
        <w:rPr>
          <w:rFonts w:eastAsiaTheme="minorEastAsia"/>
          <w:snapToGrid/>
          <w:szCs w:val="22"/>
          <w:lang w:val="lt-LT" w:eastAsia="en-IN"/>
        </w:rPr>
        <w:t>čių</w:t>
      </w:r>
      <w:r w:rsidR="002A5F50" w:rsidRPr="001839C2" w:rsidDel="006B715B">
        <w:rPr>
          <w:rFonts w:eastAsiaTheme="minorEastAsia"/>
          <w:snapToGrid/>
          <w:szCs w:val="22"/>
          <w:lang w:val="lt-LT" w:eastAsia="en-IN"/>
        </w:rPr>
        <w:t xml:space="preserve"> </w:t>
      </w:r>
      <w:r w:rsidR="002A5F50" w:rsidRPr="001839C2">
        <w:rPr>
          <w:rFonts w:eastAsiaTheme="minorEastAsia"/>
          <w:snapToGrid/>
          <w:szCs w:val="22"/>
          <w:lang w:val="lt-LT" w:eastAsia="en-IN"/>
        </w:rPr>
        <w:t>ir efavirenz</w:t>
      </w:r>
      <w:r w:rsidRPr="001839C2">
        <w:rPr>
          <w:rFonts w:eastAsiaTheme="minorEastAsia"/>
          <w:snapToGrid/>
          <w:szCs w:val="22"/>
          <w:lang w:val="lt-LT" w:eastAsia="en-IN"/>
        </w:rPr>
        <w:t>o</w:t>
      </w:r>
      <w:r w:rsidR="002A5F50" w:rsidRPr="001839C2">
        <w:rPr>
          <w:rFonts w:eastAsiaTheme="minorEastAsia"/>
          <w:snapToGrid/>
          <w:szCs w:val="22"/>
          <w:lang w:val="lt-LT" w:eastAsia="en-IN"/>
        </w:rPr>
        <w:t>. Pradinės atsitiktinių imčių grupių plazmos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w:t>
      </w:r>
      <w:r w:rsidRPr="001839C2">
        <w:rPr>
          <w:rFonts w:eastAsiaTheme="minorEastAsia"/>
          <w:snapToGrid/>
          <w:szCs w:val="22"/>
          <w:lang w:val="lt-LT" w:eastAsia="en-IN"/>
        </w:rPr>
        <w:t> </w:t>
      </w:r>
      <w:r w:rsidR="002A5F50" w:rsidRPr="001839C2">
        <w:rPr>
          <w:rFonts w:eastAsiaTheme="minorEastAsia"/>
          <w:snapToGrid/>
          <w:szCs w:val="22"/>
          <w:lang w:val="lt-LT" w:eastAsia="en-IN"/>
        </w:rPr>
        <w:t>RNR</w:t>
      </w:r>
      <w:r w:rsidR="00E06572" w:rsidRPr="001839C2">
        <w:rPr>
          <w:rFonts w:eastAsiaTheme="minorEastAsia"/>
          <w:snapToGrid/>
          <w:szCs w:val="22"/>
          <w:lang w:val="lt-LT" w:eastAsia="en-IN"/>
        </w:rPr>
        <w:t> koncentracijos</w:t>
      </w:r>
      <w:r w:rsidR="002A5F50" w:rsidRPr="001839C2">
        <w:rPr>
          <w:rFonts w:eastAsiaTheme="minorEastAsia"/>
          <w:snapToGrid/>
          <w:szCs w:val="22"/>
          <w:lang w:val="lt-LT" w:eastAsia="en-IN"/>
        </w:rPr>
        <w:t xml:space="preserve"> (5,02 ir 5,00</w:t>
      </w:r>
      <w:r w:rsidRPr="001839C2">
        <w:rPr>
          <w:rFonts w:eastAsiaTheme="minorEastAsia"/>
          <w:snapToGrid/>
          <w:szCs w:val="22"/>
          <w:lang w:val="lt-LT" w:eastAsia="en-IN"/>
        </w:rPr>
        <w:t> </w:t>
      </w:r>
      <w:r w:rsidR="002A5F50" w:rsidRPr="001839C2">
        <w:rPr>
          <w:rFonts w:eastAsiaTheme="minorEastAsia"/>
          <w:snapToGrid/>
          <w:szCs w:val="22"/>
          <w:lang w:val="lt-LT" w:eastAsia="en-IN"/>
        </w:rPr>
        <w:t>log</w:t>
      </w:r>
      <w:r w:rsidR="002A5F50" w:rsidRPr="001839C2">
        <w:rPr>
          <w:rFonts w:eastAsiaTheme="minorEastAsia"/>
          <w:snapToGrid/>
          <w:szCs w:val="22"/>
          <w:vertAlign w:val="subscript"/>
          <w:lang w:val="lt-LT" w:eastAsia="en-IN"/>
        </w:rPr>
        <w:t>10</w:t>
      </w:r>
      <w:r w:rsidRPr="001839C2">
        <w:rPr>
          <w:rFonts w:eastAsiaTheme="minorEastAsia"/>
          <w:snapToGrid/>
          <w:szCs w:val="22"/>
          <w:lang w:val="lt-LT" w:eastAsia="en-IN"/>
        </w:rPr>
        <w:t> </w:t>
      </w:r>
      <w:r w:rsidR="002A5F50" w:rsidRPr="001839C2">
        <w:rPr>
          <w:rFonts w:eastAsiaTheme="minorEastAsia"/>
          <w:snapToGrid/>
          <w:szCs w:val="22"/>
          <w:lang w:val="lt-LT" w:eastAsia="en-IN"/>
        </w:rPr>
        <w:t>kopijų/ml) ir CD4</w:t>
      </w:r>
      <w:r w:rsidRPr="001839C2">
        <w:rPr>
          <w:rFonts w:eastAsiaTheme="minorEastAsia"/>
          <w:snapToGrid/>
          <w:szCs w:val="22"/>
          <w:lang w:val="lt-LT" w:eastAsia="en-IN"/>
        </w:rPr>
        <w:t> </w:t>
      </w:r>
      <w:r w:rsidR="002A5F50" w:rsidRPr="001839C2">
        <w:rPr>
          <w:rFonts w:eastAsiaTheme="minorEastAsia"/>
          <w:snapToGrid/>
          <w:szCs w:val="22"/>
          <w:lang w:val="lt-LT" w:eastAsia="en-IN"/>
        </w:rPr>
        <w:t>kiekio (233 ir 241</w:t>
      </w:r>
      <w:r w:rsidRPr="001839C2">
        <w:rPr>
          <w:rFonts w:eastAsiaTheme="minorEastAsia"/>
          <w:snapToGrid/>
          <w:szCs w:val="22"/>
          <w:lang w:val="lt-LT" w:eastAsia="en-IN"/>
        </w:rPr>
        <w:t> </w:t>
      </w:r>
      <w:r w:rsidR="002A5F50" w:rsidRPr="001839C2">
        <w:rPr>
          <w:rFonts w:eastAsiaTheme="minorEastAsia"/>
          <w:snapToGrid/>
          <w:szCs w:val="22"/>
          <w:lang w:val="lt-LT" w:eastAsia="en-IN"/>
        </w:rPr>
        <w:t>ląstelių/mm</w:t>
      </w:r>
      <w:r w:rsidR="002A5F50" w:rsidRPr="001839C2">
        <w:rPr>
          <w:rFonts w:eastAsiaTheme="minorEastAsia"/>
          <w:snapToGrid/>
          <w:szCs w:val="22"/>
          <w:vertAlign w:val="superscript"/>
          <w:lang w:val="lt-LT" w:eastAsia="en-IN"/>
        </w:rPr>
        <w:t>3</w:t>
      </w:r>
      <w:r w:rsidR="002A5F50" w:rsidRPr="001839C2">
        <w:rPr>
          <w:rFonts w:eastAsiaTheme="minorEastAsia"/>
          <w:snapToGrid/>
          <w:szCs w:val="22"/>
          <w:lang w:val="lt-LT" w:eastAsia="en-IN"/>
        </w:rPr>
        <w:t>) medianos buvo panašios. Šio tyrimo pirminė veiksmingumo išeitis buvo pasiekti ir daugiau nei 48</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savaites išlaikyti ŽIV</w:t>
      </w:r>
      <w:r w:rsidR="00525C91" w:rsidRPr="001839C2">
        <w:rPr>
          <w:rFonts w:eastAsiaTheme="minorEastAsia"/>
          <w:snapToGrid/>
          <w:szCs w:val="22"/>
          <w:lang w:val="lt-LT" w:eastAsia="en-IN"/>
        </w:rPr>
        <w:noBreakHyphen/>
      </w:r>
      <w:r w:rsidR="002A5F50" w:rsidRPr="001839C2">
        <w:rPr>
          <w:rFonts w:eastAsiaTheme="minorEastAsia"/>
          <w:snapToGrid/>
          <w:szCs w:val="22"/>
          <w:lang w:val="lt-LT" w:eastAsia="en-IN"/>
        </w:rPr>
        <w:t>1</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RNR &lt;</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400</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kopijų/ml koncentraciją. Antrinės veiksmingumo analizės po 144</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savaitės įtraukė pacientų su ŽIV</w:t>
      </w:r>
      <w:r w:rsidR="00525C91" w:rsidRPr="001839C2">
        <w:rPr>
          <w:rFonts w:eastAsiaTheme="minorEastAsia"/>
          <w:snapToGrid/>
          <w:szCs w:val="22"/>
          <w:lang w:val="lt-LT" w:eastAsia="en-IN"/>
        </w:rPr>
        <w:noBreakHyphen/>
      </w:r>
      <w:r w:rsidR="002A5F50" w:rsidRPr="001839C2">
        <w:rPr>
          <w:rFonts w:eastAsiaTheme="minorEastAsia"/>
          <w:snapToGrid/>
          <w:szCs w:val="22"/>
          <w:lang w:val="lt-LT" w:eastAsia="en-IN"/>
        </w:rPr>
        <w:t>1</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RNR</w:t>
      </w:r>
      <w:r w:rsidR="00E06572" w:rsidRPr="001839C2">
        <w:rPr>
          <w:rFonts w:eastAsiaTheme="minorEastAsia"/>
          <w:snapToGrid/>
          <w:szCs w:val="22"/>
          <w:lang w:val="lt-LT" w:eastAsia="en-IN"/>
        </w:rPr>
        <w:t> koncentracija</w:t>
      </w:r>
      <w:r w:rsidR="002A5F50" w:rsidRPr="001839C2">
        <w:rPr>
          <w:rFonts w:eastAsiaTheme="minorEastAsia"/>
          <w:snapToGrid/>
          <w:szCs w:val="22"/>
          <w:lang w:val="lt-LT" w:eastAsia="en-IN"/>
        </w:rPr>
        <w:t xml:space="preserve"> &lt;</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400 ar &lt;</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50</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kopijų/ml dalį ir CD4</w:t>
      </w:r>
      <w:r w:rsidR="00525C91" w:rsidRPr="001839C2">
        <w:rPr>
          <w:rFonts w:eastAsiaTheme="minorEastAsia"/>
          <w:snapToGrid/>
          <w:szCs w:val="22"/>
          <w:lang w:val="lt-LT" w:eastAsia="en-IN"/>
        </w:rPr>
        <w:t> </w:t>
      </w:r>
      <w:r w:rsidR="002A5F50" w:rsidRPr="001839C2">
        <w:rPr>
          <w:rFonts w:eastAsiaTheme="minorEastAsia"/>
          <w:snapToGrid/>
          <w:szCs w:val="22"/>
          <w:lang w:val="lt-LT" w:eastAsia="en-IN"/>
        </w:rPr>
        <w:t>ląstelių kiekio pokytį, lyginant su pradiniu.</w:t>
      </w:r>
    </w:p>
    <w:p w14:paraId="0C2EDADF"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C8F4EC3"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48</w:t>
      </w:r>
      <w:r w:rsidR="00525C91" w:rsidRPr="001839C2">
        <w:rPr>
          <w:rFonts w:eastAsiaTheme="minorEastAsia"/>
          <w:snapToGrid/>
          <w:szCs w:val="22"/>
          <w:lang w:val="lt-LT" w:eastAsia="en-IN"/>
        </w:rPr>
        <w:t> </w:t>
      </w:r>
      <w:r w:rsidRPr="001839C2">
        <w:rPr>
          <w:rFonts w:eastAsiaTheme="minorEastAsia"/>
          <w:snapToGrid/>
          <w:szCs w:val="22"/>
          <w:lang w:val="lt-LT" w:eastAsia="en-IN"/>
        </w:rPr>
        <w:t>savaitės pirminės išeities duomenys parodė, kad emtricitabino, tenofoviro dizoproksilio ir efavirenzo derinio antivirusinis veiksmingumas didesnis, lyginant su fiksuotu lamivudino, zidovudino ir efavirenzo deriniu, kaip parodyta 4</w:t>
      </w:r>
      <w:r w:rsidR="00525C91" w:rsidRPr="001839C2">
        <w:rPr>
          <w:rFonts w:eastAsiaTheme="minorEastAsia"/>
          <w:snapToGrid/>
          <w:szCs w:val="22"/>
          <w:lang w:val="lt-LT" w:eastAsia="en-IN"/>
        </w:rPr>
        <w:t> </w:t>
      </w:r>
      <w:r w:rsidRPr="001839C2">
        <w:rPr>
          <w:rFonts w:eastAsiaTheme="minorEastAsia"/>
          <w:snapToGrid/>
          <w:szCs w:val="22"/>
          <w:lang w:val="lt-LT" w:eastAsia="en-IN"/>
        </w:rPr>
        <w:t>lentelėje. 144</w:t>
      </w:r>
      <w:r w:rsidR="00525C91" w:rsidRPr="001839C2">
        <w:rPr>
          <w:rFonts w:eastAsiaTheme="minorEastAsia"/>
          <w:snapToGrid/>
          <w:szCs w:val="22"/>
          <w:lang w:val="lt-LT" w:eastAsia="en-IN"/>
        </w:rPr>
        <w:t> </w:t>
      </w:r>
      <w:r w:rsidRPr="001839C2">
        <w:rPr>
          <w:rFonts w:eastAsiaTheme="minorEastAsia"/>
          <w:snapToGrid/>
          <w:szCs w:val="22"/>
          <w:lang w:val="lt-LT" w:eastAsia="en-IN"/>
        </w:rPr>
        <w:t>savaitės antrinės</w:t>
      </w:r>
      <w:r w:rsidR="00525C91" w:rsidRPr="001839C2">
        <w:rPr>
          <w:rFonts w:eastAsiaTheme="minorEastAsia"/>
          <w:snapToGrid/>
          <w:szCs w:val="22"/>
          <w:lang w:val="lt-LT" w:eastAsia="en-IN"/>
        </w:rPr>
        <w:t> </w:t>
      </w:r>
      <w:r w:rsidRPr="001839C2">
        <w:rPr>
          <w:rFonts w:eastAsiaTheme="minorEastAsia"/>
          <w:snapToGrid/>
          <w:szCs w:val="22"/>
          <w:lang w:val="lt-LT" w:eastAsia="en-IN"/>
        </w:rPr>
        <w:t>išeities duomenys taip pateikti</w:t>
      </w:r>
      <w:r w:rsidR="00525C91" w:rsidRPr="001839C2">
        <w:rPr>
          <w:rFonts w:eastAsiaTheme="minorEastAsia"/>
          <w:snapToGrid/>
          <w:szCs w:val="22"/>
          <w:lang w:val="lt-LT" w:eastAsia="en-IN"/>
        </w:rPr>
        <w:t xml:space="preserve"> </w:t>
      </w:r>
      <w:r w:rsidRPr="001839C2">
        <w:rPr>
          <w:rFonts w:eastAsiaTheme="minorEastAsia"/>
          <w:snapToGrid/>
          <w:szCs w:val="22"/>
          <w:lang w:val="lt-LT" w:eastAsia="en-IN"/>
        </w:rPr>
        <w:t>4</w:t>
      </w:r>
      <w:r w:rsidR="00525C91" w:rsidRPr="001839C2">
        <w:rPr>
          <w:rFonts w:eastAsiaTheme="minorEastAsia"/>
          <w:snapToGrid/>
          <w:szCs w:val="22"/>
          <w:lang w:val="lt-LT" w:eastAsia="en-IN"/>
        </w:rPr>
        <w:t> </w:t>
      </w:r>
      <w:r w:rsidRPr="001839C2">
        <w:rPr>
          <w:rFonts w:eastAsiaTheme="minorEastAsia"/>
          <w:snapToGrid/>
          <w:szCs w:val="22"/>
          <w:lang w:val="lt-LT" w:eastAsia="en-IN"/>
        </w:rPr>
        <w:t>lentelėje.</w:t>
      </w:r>
    </w:p>
    <w:p w14:paraId="20CD800F" w14:textId="77777777" w:rsidR="002A5F50" w:rsidRPr="001839C2" w:rsidRDefault="002A5F50" w:rsidP="00230559">
      <w:pPr>
        <w:widowControl w:val="0"/>
        <w:tabs>
          <w:tab w:val="clear" w:pos="567"/>
          <w:tab w:val="left" w:pos="0"/>
        </w:tabs>
        <w:kinsoku w:val="0"/>
        <w:overflowPunct w:val="0"/>
        <w:autoSpaceDE w:val="0"/>
        <w:autoSpaceDN w:val="0"/>
        <w:adjustRightInd w:val="0"/>
        <w:outlineLvl w:val="0"/>
        <w:rPr>
          <w:rFonts w:eastAsiaTheme="minorEastAsia"/>
          <w:b/>
          <w:bCs/>
          <w:snapToGrid/>
          <w:szCs w:val="22"/>
          <w:lang w:val="lt-LT" w:eastAsia="en-IN"/>
        </w:rPr>
      </w:pPr>
    </w:p>
    <w:p w14:paraId="06B6849D" w14:textId="77777777" w:rsidR="002A5F50" w:rsidRPr="001839C2" w:rsidRDefault="002A5F50" w:rsidP="00230559">
      <w:pPr>
        <w:keepNext/>
        <w:keepLines/>
        <w:tabs>
          <w:tab w:val="clear" w:pos="567"/>
          <w:tab w:val="left" w:pos="0"/>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4</w:t>
      </w:r>
      <w:r w:rsidR="00525C91" w:rsidRPr="001839C2">
        <w:rPr>
          <w:rFonts w:eastAsiaTheme="minorEastAsia"/>
          <w:b/>
          <w:bCs/>
          <w:snapToGrid/>
          <w:szCs w:val="22"/>
          <w:lang w:val="lt-LT" w:eastAsia="en-IN"/>
        </w:rPr>
        <w:t> </w:t>
      </w:r>
      <w:r w:rsidRPr="001839C2">
        <w:rPr>
          <w:rFonts w:eastAsiaTheme="minorEastAsia"/>
          <w:b/>
          <w:bCs/>
          <w:snapToGrid/>
          <w:szCs w:val="22"/>
          <w:lang w:val="lt-LT" w:eastAsia="en-IN"/>
        </w:rPr>
        <w:t>lentelė. GS</w:t>
      </w:r>
      <w:r w:rsidR="00525C91" w:rsidRPr="001839C2">
        <w:rPr>
          <w:rFonts w:eastAsiaTheme="minorEastAsia"/>
          <w:b/>
          <w:bCs/>
          <w:snapToGrid/>
          <w:szCs w:val="22"/>
          <w:lang w:val="lt-LT" w:eastAsia="en-IN"/>
        </w:rPr>
        <w:noBreakHyphen/>
      </w:r>
      <w:r w:rsidRPr="001839C2">
        <w:rPr>
          <w:rFonts w:eastAsiaTheme="minorEastAsia"/>
          <w:b/>
          <w:bCs/>
          <w:snapToGrid/>
          <w:szCs w:val="22"/>
          <w:lang w:val="lt-LT" w:eastAsia="en-IN"/>
        </w:rPr>
        <w:t>01</w:t>
      </w:r>
      <w:r w:rsidR="00525C91" w:rsidRPr="001839C2">
        <w:rPr>
          <w:rFonts w:eastAsiaTheme="minorEastAsia"/>
          <w:b/>
          <w:bCs/>
          <w:snapToGrid/>
          <w:szCs w:val="22"/>
          <w:lang w:val="lt-LT" w:eastAsia="en-IN"/>
        </w:rPr>
        <w:noBreakHyphen/>
      </w:r>
      <w:r w:rsidRPr="001839C2">
        <w:rPr>
          <w:rFonts w:eastAsiaTheme="minorEastAsia"/>
          <w:b/>
          <w:bCs/>
          <w:snapToGrid/>
          <w:szCs w:val="22"/>
          <w:lang w:val="lt-LT" w:eastAsia="en-IN"/>
        </w:rPr>
        <w:t>934</w:t>
      </w:r>
      <w:r w:rsidR="00525C91" w:rsidRPr="001839C2">
        <w:rPr>
          <w:rFonts w:eastAsiaTheme="minorEastAsia"/>
          <w:b/>
          <w:bCs/>
          <w:snapToGrid/>
          <w:szCs w:val="22"/>
          <w:lang w:val="lt-LT" w:eastAsia="en-IN"/>
        </w:rPr>
        <w:t> </w:t>
      </w:r>
      <w:r w:rsidRPr="001839C2">
        <w:rPr>
          <w:rFonts w:eastAsiaTheme="minorEastAsia"/>
          <w:b/>
          <w:bCs/>
          <w:snapToGrid/>
          <w:szCs w:val="22"/>
          <w:lang w:val="lt-LT" w:eastAsia="en-IN"/>
        </w:rPr>
        <w:t>tyrimo, kuriame antiretrovirusiniais vaist</w:t>
      </w:r>
      <w:r w:rsidR="00525C91" w:rsidRPr="001839C2">
        <w:rPr>
          <w:rFonts w:eastAsiaTheme="minorEastAsia"/>
          <w:b/>
          <w:bCs/>
          <w:snapToGrid/>
          <w:szCs w:val="22"/>
          <w:lang w:val="lt-LT" w:eastAsia="en-IN"/>
        </w:rPr>
        <w:t>ini</w:t>
      </w:r>
      <w:r w:rsidRPr="001839C2">
        <w:rPr>
          <w:rFonts w:eastAsiaTheme="minorEastAsia"/>
          <w:b/>
          <w:bCs/>
          <w:snapToGrid/>
          <w:szCs w:val="22"/>
          <w:lang w:val="lt-LT" w:eastAsia="en-IN"/>
        </w:rPr>
        <w:t>ais</w:t>
      </w:r>
      <w:r w:rsidR="00525C91" w:rsidRPr="001839C2">
        <w:rPr>
          <w:rFonts w:eastAsiaTheme="minorEastAsia"/>
          <w:b/>
          <w:bCs/>
          <w:snapToGrid/>
          <w:szCs w:val="22"/>
          <w:lang w:val="lt-LT" w:eastAsia="en-IN"/>
        </w:rPr>
        <w:t xml:space="preserve"> preparatais</w:t>
      </w:r>
      <w:r w:rsidRPr="001839C2">
        <w:rPr>
          <w:rFonts w:eastAsiaTheme="minorEastAsia"/>
          <w:b/>
          <w:bCs/>
          <w:snapToGrid/>
          <w:szCs w:val="22"/>
          <w:lang w:val="lt-LT" w:eastAsia="en-IN"/>
        </w:rPr>
        <w:t xml:space="preserve"> dar negydytiems ŽIV</w:t>
      </w:r>
      <w:r w:rsidR="00525C91" w:rsidRPr="001839C2">
        <w:rPr>
          <w:rFonts w:eastAsiaTheme="minorEastAsia"/>
          <w:b/>
          <w:bCs/>
          <w:snapToGrid/>
          <w:szCs w:val="22"/>
          <w:lang w:val="lt-LT" w:eastAsia="en-IN"/>
        </w:rPr>
        <w:noBreakHyphen/>
      </w:r>
      <w:r w:rsidRPr="001839C2">
        <w:rPr>
          <w:rFonts w:eastAsiaTheme="minorEastAsia"/>
          <w:b/>
          <w:bCs/>
          <w:snapToGrid/>
          <w:szCs w:val="22"/>
          <w:lang w:val="lt-LT" w:eastAsia="en-IN"/>
        </w:rPr>
        <w:t>1</w:t>
      </w:r>
      <w:r w:rsidR="00E06572" w:rsidRPr="001839C2">
        <w:rPr>
          <w:rFonts w:eastAsiaTheme="minorEastAsia"/>
          <w:b/>
          <w:bCs/>
          <w:snapToGrid/>
          <w:szCs w:val="22"/>
          <w:lang w:val="lt-LT" w:eastAsia="en-IN"/>
        </w:rPr>
        <w:t> </w:t>
      </w:r>
      <w:r w:rsidRPr="001839C2">
        <w:rPr>
          <w:rFonts w:eastAsiaTheme="minorEastAsia"/>
          <w:b/>
          <w:bCs/>
          <w:snapToGrid/>
          <w:szCs w:val="22"/>
          <w:lang w:val="lt-LT" w:eastAsia="en-IN"/>
        </w:rPr>
        <w:t>infekuotiems pacientams skirtas emtricitabinas, tenofovir</w:t>
      </w:r>
      <w:r w:rsidR="00A45872" w:rsidRPr="001839C2">
        <w:rPr>
          <w:rFonts w:eastAsiaTheme="minorEastAsia"/>
          <w:b/>
          <w:bCs/>
          <w:snapToGrid/>
          <w:szCs w:val="22"/>
          <w:lang w:val="lt-LT" w:eastAsia="en-IN"/>
        </w:rPr>
        <w:t>as</w:t>
      </w:r>
      <w:r w:rsidRPr="001839C2">
        <w:rPr>
          <w:rFonts w:eastAsiaTheme="minorEastAsia"/>
          <w:b/>
          <w:bCs/>
          <w:snapToGrid/>
          <w:szCs w:val="22"/>
          <w:lang w:val="lt-LT" w:eastAsia="en-IN"/>
        </w:rPr>
        <w:t xml:space="preserve"> dizoproksilis ir efavirenzas, 48 ir 144</w:t>
      </w:r>
      <w:r w:rsidR="00525C91" w:rsidRPr="001839C2">
        <w:rPr>
          <w:rFonts w:eastAsiaTheme="minorEastAsia"/>
          <w:b/>
          <w:bCs/>
          <w:snapToGrid/>
          <w:szCs w:val="22"/>
          <w:lang w:val="lt-LT" w:eastAsia="en-IN"/>
        </w:rPr>
        <w:t> </w:t>
      </w:r>
      <w:r w:rsidRPr="001839C2">
        <w:rPr>
          <w:rFonts w:eastAsiaTheme="minorEastAsia"/>
          <w:b/>
          <w:bCs/>
          <w:snapToGrid/>
          <w:szCs w:val="22"/>
          <w:lang w:val="lt-LT" w:eastAsia="en-IN"/>
        </w:rPr>
        <w:t>savaitės veiksmingumo duomenys</w:t>
      </w:r>
    </w:p>
    <w:p w14:paraId="230A2140"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pPr w:leftFromText="180" w:rightFromText="180" w:vertAnchor="text" w:tblpX="105" w:tblpY="1"/>
        <w:tblOverlap w:val="never"/>
        <w:tblW w:w="9416" w:type="dxa"/>
        <w:tblLayout w:type="fixed"/>
        <w:tblCellMar>
          <w:left w:w="0" w:type="dxa"/>
          <w:right w:w="0" w:type="dxa"/>
        </w:tblCellMar>
        <w:tblLook w:val="0000" w:firstRow="0" w:lastRow="0" w:firstColumn="0" w:lastColumn="0" w:noHBand="0" w:noVBand="0"/>
      </w:tblPr>
      <w:tblGrid>
        <w:gridCol w:w="2126"/>
        <w:gridCol w:w="2375"/>
        <w:gridCol w:w="1270"/>
        <w:gridCol w:w="2375"/>
        <w:gridCol w:w="1270"/>
      </w:tblGrid>
      <w:tr w:rsidR="00DC41B7" w:rsidRPr="001839C2" w14:paraId="525227B3"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56AA6027"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6137921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GS</w:t>
            </w:r>
            <w:r w:rsidR="00525C91" w:rsidRPr="001839C2">
              <w:rPr>
                <w:rFonts w:eastAsiaTheme="minorEastAsia"/>
                <w:b/>
                <w:bCs/>
                <w:snapToGrid/>
                <w:szCs w:val="22"/>
                <w:lang w:val="lt-LT" w:eastAsia="en-IN"/>
              </w:rPr>
              <w:noBreakHyphen/>
            </w:r>
            <w:r w:rsidRPr="001839C2">
              <w:rPr>
                <w:rFonts w:eastAsiaTheme="minorEastAsia"/>
                <w:b/>
                <w:bCs/>
                <w:snapToGrid/>
                <w:szCs w:val="22"/>
                <w:lang w:val="lt-LT" w:eastAsia="en-IN"/>
              </w:rPr>
              <w:t>01</w:t>
            </w:r>
            <w:r w:rsidR="00525C91" w:rsidRPr="001839C2">
              <w:rPr>
                <w:rFonts w:eastAsiaTheme="minorEastAsia"/>
                <w:b/>
                <w:bCs/>
                <w:snapToGrid/>
                <w:szCs w:val="22"/>
                <w:lang w:val="lt-LT" w:eastAsia="en-IN"/>
              </w:rPr>
              <w:noBreakHyphen/>
            </w:r>
            <w:r w:rsidRPr="001839C2">
              <w:rPr>
                <w:rFonts w:eastAsiaTheme="minorEastAsia"/>
                <w:b/>
                <w:bCs/>
                <w:snapToGrid/>
                <w:szCs w:val="22"/>
                <w:lang w:val="lt-LT" w:eastAsia="en-IN"/>
              </w:rPr>
              <w:t>934</w:t>
            </w:r>
          </w:p>
          <w:p w14:paraId="2BEC084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48</w:t>
            </w:r>
            <w:r w:rsidR="00525C91" w:rsidRPr="001839C2">
              <w:rPr>
                <w:rFonts w:eastAsiaTheme="minorEastAsia"/>
                <w:b/>
                <w:bCs/>
                <w:snapToGrid/>
                <w:szCs w:val="22"/>
                <w:lang w:val="lt-LT" w:eastAsia="en-IN"/>
              </w:rPr>
              <w:t> </w:t>
            </w:r>
            <w:r w:rsidRPr="001839C2">
              <w:rPr>
                <w:rFonts w:eastAsiaTheme="minorEastAsia"/>
                <w:b/>
                <w:bCs/>
                <w:snapToGrid/>
                <w:szCs w:val="22"/>
                <w:lang w:val="lt-LT" w:eastAsia="en-IN"/>
              </w:rPr>
              <w:t>savaičių gydymas</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1906145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GS</w:t>
            </w:r>
            <w:r w:rsidR="00525C91" w:rsidRPr="001839C2">
              <w:rPr>
                <w:rFonts w:eastAsiaTheme="minorEastAsia"/>
                <w:b/>
                <w:bCs/>
                <w:snapToGrid/>
                <w:szCs w:val="22"/>
                <w:lang w:val="lt-LT" w:eastAsia="en-IN"/>
              </w:rPr>
              <w:noBreakHyphen/>
            </w:r>
            <w:r w:rsidRPr="001839C2">
              <w:rPr>
                <w:rFonts w:eastAsiaTheme="minorEastAsia"/>
                <w:b/>
                <w:bCs/>
                <w:snapToGrid/>
                <w:szCs w:val="22"/>
                <w:lang w:val="lt-LT" w:eastAsia="en-IN"/>
              </w:rPr>
              <w:t>01</w:t>
            </w:r>
            <w:r w:rsidR="00525C91" w:rsidRPr="001839C2">
              <w:rPr>
                <w:rFonts w:eastAsiaTheme="minorEastAsia"/>
                <w:b/>
                <w:bCs/>
                <w:snapToGrid/>
                <w:szCs w:val="22"/>
                <w:lang w:val="lt-LT" w:eastAsia="en-IN"/>
              </w:rPr>
              <w:noBreakHyphen/>
            </w:r>
            <w:r w:rsidRPr="001839C2">
              <w:rPr>
                <w:rFonts w:eastAsiaTheme="minorEastAsia"/>
                <w:b/>
                <w:bCs/>
                <w:snapToGrid/>
                <w:szCs w:val="22"/>
                <w:lang w:val="lt-LT" w:eastAsia="en-IN"/>
              </w:rPr>
              <w:t>934</w:t>
            </w:r>
          </w:p>
          <w:p w14:paraId="1946F5D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144</w:t>
            </w:r>
            <w:r w:rsidR="00525C91" w:rsidRPr="001839C2">
              <w:rPr>
                <w:rFonts w:eastAsiaTheme="minorEastAsia"/>
                <w:b/>
                <w:bCs/>
                <w:snapToGrid/>
                <w:szCs w:val="22"/>
                <w:lang w:val="lt-LT" w:eastAsia="en-IN"/>
              </w:rPr>
              <w:t> </w:t>
            </w:r>
            <w:r w:rsidRPr="001839C2">
              <w:rPr>
                <w:rFonts w:eastAsiaTheme="minorEastAsia"/>
                <w:b/>
                <w:bCs/>
                <w:snapToGrid/>
                <w:szCs w:val="22"/>
                <w:lang w:val="lt-LT" w:eastAsia="en-IN"/>
              </w:rPr>
              <w:t>savaičių gydymas</w:t>
            </w:r>
          </w:p>
        </w:tc>
      </w:tr>
      <w:tr w:rsidR="00DC41B7" w:rsidRPr="001839C2" w14:paraId="240FB438"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34C9DBC3"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2375" w:type="dxa"/>
            <w:tcBorders>
              <w:top w:val="single" w:sz="4" w:space="0" w:color="000000"/>
              <w:left w:val="single" w:sz="4" w:space="0" w:color="000000"/>
              <w:bottom w:val="single" w:sz="4" w:space="0" w:color="000000"/>
              <w:right w:val="single" w:sz="4" w:space="0" w:color="000000"/>
            </w:tcBorders>
            <w:vAlign w:val="center"/>
          </w:tcPr>
          <w:p w14:paraId="3F00AA99"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Emtricitabinas</w:t>
            </w:r>
          </w:p>
          <w:p w14:paraId="179D727F"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p w14:paraId="0E3E2D7C" w14:textId="77777777" w:rsidR="00525C91" w:rsidRPr="001839C2" w:rsidRDefault="00525C91"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T</w:t>
            </w:r>
            <w:r w:rsidR="002A5F50" w:rsidRPr="001839C2">
              <w:rPr>
                <w:rFonts w:eastAsiaTheme="minorEastAsia"/>
                <w:snapToGrid/>
                <w:szCs w:val="22"/>
                <w:lang w:val="lt-LT" w:eastAsia="en-IN"/>
              </w:rPr>
              <w:t>enofovir</w:t>
            </w:r>
            <w:r w:rsidR="00A45872" w:rsidRPr="001839C2">
              <w:rPr>
                <w:rFonts w:eastAsiaTheme="minorEastAsia"/>
                <w:snapToGrid/>
                <w:szCs w:val="22"/>
                <w:lang w:val="lt-LT" w:eastAsia="en-IN"/>
              </w:rPr>
              <w:t>as</w:t>
            </w:r>
            <w:r w:rsidR="002A5F50" w:rsidRPr="001839C2">
              <w:rPr>
                <w:rFonts w:eastAsiaTheme="minorEastAsia"/>
                <w:snapToGrid/>
                <w:szCs w:val="22"/>
                <w:lang w:val="lt-LT" w:eastAsia="en-IN"/>
              </w:rPr>
              <w:t xml:space="preserve"> dizoproksilis</w:t>
            </w:r>
          </w:p>
          <w:p w14:paraId="02639C22"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p w14:paraId="42696CAA" w14:textId="77777777" w:rsidR="002A5F50" w:rsidRPr="001839C2" w:rsidRDefault="00525C91"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E</w:t>
            </w:r>
            <w:r w:rsidR="002A5F50" w:rsidRPr="001839C2">
              <w:rPr>
                <w:rFonts w:eastAsiaTheme="minorEastAsia"/>
                <w:snapToGrid/>
                <w:szCs w:val="22"/>
                <w:lang w:val="lt-LT" w:eastAsia="en-IN"/>
              </w:rPr>
              <w:t>favirenzas</w:t>
            </w:r>
          </w:p>
        </w:tc>
        <w:tc>
          <w:tcPr>
            <w:tcW w:w="1270" w:type="dxa"/>
            <w:tcBorders>
              <w:top w:val="single" w:sz="4" w:space="0" w:color="000000"/>
              <w:left w:val="single" w:sz="4" w:space="0" w:color="000000"/>
              <w:bottom w:val="single" w:sz="4" w:space="0" w:color="000000"/>
              <w:right w:val="single" w:sz="4" w:space="0" w:color="000000"/>
            </w:tcBorders>
            <w:vAlign w:val="center"/>
          </w:tcPr>
          <w:p w14:paraId="617A84F5" w14:textId="77777777" w:rsidR="00E06572"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Lamivudinas</w:t>
            </w:r>
          </w:p>
          <w:p w14:paraId="344B9B9F"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p w14:paraId="539DFCD3" w14:textId="77777777" w:rsidR="00525C91" w:rsidRPr="001839C2" w:rsidRDefault="00525C91"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Z</w:t>
            </w:r>
            <w:r w:rsidR="002A5F50" w:rsidRPr="001839C2">
              <w:rPr>
                <w:rFonts w:eastAsiaTheme="minorEastAsia"/>
                <w:snapToGrid/>
                <w:szCs w:val="22"/>
                <w:lang w:val="lt-LT" w:eastAsia="en-IN"/>
              </w:rPr>
              <w:t>idovudinas</w:t>
            </w:r>
          </w:p>
          <w:p w14:paraId="6EF9113A"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p w14:paraId="6416D175" w14:textId="77777777" w:rsidR="002A5F50" w:rsidRPr="001839C2" w:rsidRDefault="00525C91"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E</w:t>
            </w:r>
            <w:r w:rsidR="002A5F50" w:rsidRPr="001839C2">
              <w:rPr>
                <w:rFonts w:eastAsiaTheme="minorEastAsia"/>
                <w:snapToGrid/>
                <w:szCs w:val="22"/>
                <w:lang w:val="lt-LT" w:eastAsia="en-IN"/>
              </w:rPr>
              <w:t>favirenzas</w:t>
            </w:r>
          </w:p>
        </w:tc>
        <w:tc>
          <w:tcPr>
            <w:tcW w:w="2375" w:type="dxa"/>
            <w:tcBorders>
              <w:top w:val="single" w:sz="4" w:space="0" w:color="000000"/>
              <w:left w:val="single" w:sz="4" w:space="0" w:color="000000"/>
              <w:bottom w:val="single" w:sz="4" w:space="0" w:color="000000"/>
              <w:right w:val="single" w:sz="4" w:space="0" w:color="000000"/>
            </w:tcBorders>
            <w:vAlign w:val="center"/>
          </w:tcPr>
          <w:p w14:paraId="5A6E6B37"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Emtricitabinas</w:t>
            </w:r>
          </w:p>
          <w:p w14:paraId="59140488"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p w14:paraId="6FFEB04B" w14:textId="77777777" w:rsidR="00525C91" w:rsidRPr="001839C2" w:rsidRDefault="00525C91"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T</w:t>
            </w:r>
            <w:r w:rsidR="002A5F50" w:rsidRPr="001839C2">
              <w:rPr>
                <w:rFonts w:eastAsiaTheme="minorEastAsia"/>
                <w:snapToGrid/>
                <w:szCs w:val="22"/>
                <w:lang w:val="lt-LT" w:eastAsia="en-IN"/>
              </w:rPr>
              <w:t>enofovir</w:t>
            </w:r>
            <w:r w:rsidR="00A45872" w:rsidRPr="001839C2">
              <w:rPr>
                <w:rFonts w:eastAsiaTheme="minorEastAsia"/>
                <w:snapToGrid/>
                <w:szCs w:val="22"/>
                <w:lang w:val="lt-LT" w:eastAsia="en-IN"/>
              </w:rPr>
              <w:t>as</w:t>
            </w:r>
            <w:r w:rsidR="002A5F50" w:rsidRPr="001839C2">
              <w:rPr>
                <w:rFonts w:eastAsiaTheme="minorEastAsia"/>
                <w:snapToGrid/>
                <w:szCs w:val="22"/>
                <w:lang w:val="lt-LT" w:eastAsia="en-IN"/>
              </w:rPr>
              <w:t xml:space="preserve"> dizoproksilis</w:t>
            </w:r>
          </w:p>
          <w:p w14:paraId="18BE13C0"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p w14:paraId="4F0872CF" w14:textId="77777777" w:rsidR="002A5F50" w:rsidRPr="001839C2" w:rsidRDefault="00525C91"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E</w:t>
            </w:r>
            <w:r w:rsidR="002A5F50" w:rsidRPr="001839C2">
              <w:rPr>
                <w:rFonts w:eastAsiaTheme="minorEastAsia"/>
                <w:snapToGrid/>
                <w:szCs w:val="22"/>
                <w:lang w:val="lt-LT" w:eastAsia="en-IN"/>
              </w:rPr>
              <w:t>favirenzas*</w:t>
            </w:r>
          </w:p>
        </w:tc>
        <w:tc>
          <w:tcPr>
            <w:tcW w:w="1270" w:type="dxa"/>
            <w:tcBorders>
              <w:top w:val="single" w:sz="4" w:space="0" w:color="000000"/>
              <w:left w:val="single" w:sz="4" w:space="0" w:color="000000"/>
              <w:bottom w:val="single" w:sz="4" w:space="0" w:color="000000"/>
              <w:right w:val="single" w:sz="4" w:space="0" w:color="000000"/>
            </w:tcBorders>
            <w:vAlign w:val="center"/>
          </w:tcPr>
          <w:p w14:paraId="122942AC" w14:textId="77777777" w:rsidR="000C0D49"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Lamivudinas</w:t>
            </w:r>
          </w:p>
          <w:p w14:paraId="53EF814C"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p w14:paraId="26401F05" w14:textId="77777777" w:rsidR="00525C91" w:rsidRPr="001839C2" w:rsidRDefault="00525C91"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Z</w:t>
            </w:r>
            <w:r w:rsidR="002A5F50" w:rsidRPr="001839C2">
              <w:rPr>
                <w:rFonts w:eastAsiaTheme="minorEastAsia"/>
                <w:snapToGrid/>
                <w:szCs w:val="22"/>
                <w:lang w:val="lt-LT" w:eastAsia="en-IN"/>
              </w:rPr>
              <w:t>idovudinas</w:t>
            </w:r>
          </w:p>
          <w:p w14:paraId="04F2D790" w14:textId="77777777" w:rsidR="00525C91"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p w14:paraId="7344737F" w14:textId="77777777" w:rsidR="002A5F50" w:rsidRPr="001839C2" w:rsidRDefault="00525C91"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E</w:t>
            </w:r>
            <w:r w:rsidR="002A5F50" w:rsidRPr="001839C2">
              <w:rPr>
                <w:rFonts w:eastAsiaTheme="minorEastAsia"/>
                <w:snapToGrid/>
                <w:szCs w:val="22"/>
                <w:lang w:val="lt-LT" w:eastAsia="en-IN"/>
              </w:rPr>
              <w:t>favirenzas</w:t>
            </w:r>
          </w:p>
        </w:tc>
      </w:tr>
      <w:tr w:rsidR="00DC41B7" w:rsidRPr="001839C2" w14:paraId="2F3D666A"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09817D2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ŽIV</w:t>
            </w:r>
            <w:r w:rsidR="00525C91" w:rsidRPr="001839C2">
              <w:rPr>
                <w:rFonts w:eastAsiaTheme="minorEastAsia"/>
                <w:snapToGrid/>
                <w:szCs w:val="22"/>
                <w:lang w:val="lt-LT" w:eastAsia="en-IN"/>
              </w:rPr>
              <w:noBreakHyphen/>
            </w:r>
            <w:r w:rsidRPr="001839C2">
              <w:rPr>
                <w:rFonts w:eastAsiaTheme="minorEastAsia"/>
                <w:snapToGrid/>
                <w:szCs w:val="22"/>
                <w:lang w:val="lt-LT" w:eastAsia="en-IN"/>
              </w:rPr>
              <w:t>1</w:t>
            </w:r>
            <w:r w:rsidR="00525C91" w:rsidRPr="001839C2">
              <w:rPr>
                <w:rFonts w:eastAsiaTheme="minorEastAsia"/>
                <w:snapToGrid/>
                <w:szCs w:val="22"/>
                <w:lang w:val="lt-LT" w:eastAsia="en-IN"/>
              </w:rPr>
              <w:t> </w:t>
            </w:r>
            <w:r w:rsidRPr="001839C2">
              <w:rPr>
                <w:rFonts w:eastAsiaTheme="minorEastAsia"/>
                <w:snapToGrid/>
                <w:szCs w:val="22"/>
                <w:lang w:val="lt-LT" w:eastAsia="en-IN"/>
              </w:rPr>
              <w:t>RNR</w:t>
            </w:r>
          </w:p>
          <w:p w14:paraId="47ABB6A2" w14:textId="77777777" w:rsidR="00C37417"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&lt;</w:t>
            </w:r>
            <w:r w:rsidR="00525C91" w:rsidRPr="001839C2">
              <w:rPr>
                <w:rFonts w:eastAsiaTheme="minorEastAsia"/>
                <w:snapToGrid/>
                <w:szCs w:val="22"/>
                <w:lang w:val="lt-LT" w:eastAsia="en-IN"/>
              </w:rPr>
              <w:t> </w:t>
            </w:r>
            <w:r w:rsidRPr="001839C2">
              <w:rPr>
                <w:rFonts w:eastAsiaTheme="minorEastAsia"/>
                <w:snapToGrid/>
                <w:szCs w:val="22"/>
                <w:lang w:val="lt-LT" w:eastAsia="en-IN"/>
              </w:rPr>
              <w:t>400</w:t>
            </w:r>
            <w:r w:rsidR="00525C91" w:rsidRPr="001839C2">
              <w:rPr>
                <w:rFonts w:eastAsiaTheme="minorEastAsia"/>
                <w:snapToGrid/>
                <w:szCs w:val="22"/>
                <w:lang w:val="lt-LT" w:eastAsia="en-IN"/>
              </w:rPr>
              <w:t> </w:t>
            </w:r>
            <w:r w:rsidRPr="001839C2">
              <w:rPr>
                <w:rFonts w:eastAsiaTheme="minorEastAsia"/>
                <w:snapToGrid/>
                <w:szCs w:val="22"/>
                <w:lang w:val="lt-LT" w:eastAsia="en-IN"/>
              </w:rPr>
              <w:t>kopijų/ml</w:t>
            </w:r>
          </w:p>
          <w:p w14:paraId="218A40C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(VAPL)</w:t>
            </w:r>
          </w:p>
        </w:tc>
        <w:tc>
          <w:tcPr>
            <w:tcW w:w="2375" w:type="dxa"/>
            <w:tcBorders>
              <w:top w:val="single" w:sz="4" w:space="0" w:color="000000"/>
              <w:left w:val="single" w:sz="4" w:space="0" w:color="000000"/>
              <w:bottom w:val="single" w:sz="4" w:space="0" w:color="000000"/>
              <w:right w:val="single" w:sz="4" w:space="0" w:color="000000"/>
            </w:tcBorders>
            <w:vAlign w:val="center"/>
          </w:tcPr>
          <w:p w14:paraId="4FE45A5A" w14:textId="77777777" w:rsidR="00C37417"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84</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p w14:paraId="066B07C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(206/244)</w:t>
            </w:r>
          </w:p>
        </w:tc>
        <w:tc>
          <w:tcPr>
            <w:tcW w:w="1270" w:type="dxa"/>
            <w:tcBorders>
              <w:top w:val="single" w:sz="4" w:space="0" w:color="000000"/>
              <w:left w:val="single" w:sz="4" w:space="0" w:color="000000"/>
              <w:bottom w:val="single" w:sz="4" w:space="0" w:color="000000"/>
              <w:right w:val="single" w:sz="4" w:space="0" w:color="000000"/>
            </w:tcBorders>
            <w:vAlign w:val="center"/>
          </w:tcPr>
          <w:p w14:paraId="531682B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73</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p w14:paraId="21A24289"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(177/243)</w:t>
            </w:r>
          </w:p>
        </w:tc>
        <w:tc>
          <w:tcPr>
            <w:tcW w:w="2375" w:type="dxa"/>
            <w:tcBorders>
              <w:top w:val="single" w:sz="4" w:space="0" w:color="000000"/>
              <w:left w:val="single" w:sz="4" w:space="0" w:color="000000"/>
              <w:bottom w:val="single" w:sz="4" w:space="0" w:color="000000"/>
              <w:right w:val="single" w:sz="4" w:space="0" w:color="000000"/>
            </w:tcBorders>
            <w:vAlign w:val="center"/>
          </w:tcPr>
          <w:p w14:paraId="68DF4C3F" w14:textId="77777777" w:rsidR="00C37417"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71</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p w14:paraId="597CFBD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(161/227)</w:t>
            </w:r>
          </w:p>
        </w:tc>
        <w:tc>
          <w:tcPr>
            <w:tcW w:w="1270" w:type="dxa"/>
            <w:tcBorders>
              <w:top w:val="single" w:sz="4" w:space="0" w:color="000000"/>
              <w:left w:val="single" w:sz="4" w:space="0" w:color="000000"/>
              <w:bottom w:val="single" w:sz="4" w:space="0" w:color="000000"/>
              <w:right w:val="single" w:sz="4" w:space="0" w:color="000000"/>
            </w:tcBorders>
            <w:vAlign w:val="center"/>
          </w:tcPr>
          <w:p w14:paraId="2AD6DAC6" w14:textId="77777777" w:rsidR="00C37417"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58</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p w14:paraId="0F93AC1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(133/229)</w:t>
            </w:r>
          </w:p>
        </w:tc>
      </w:tr>
      <w:tr w:rsidR="00DC41B7" w:rsidRPr="001839C2" w14:paraId="12A6FCFB"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618EC09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w:t>
            </w:r>
            <w:r w:rsidR="00C37417" w:rsidRPr="001839C2">
              <w:rPr>
                <w:rFonts w:eastAsiaTheme="minorEastAsia"/>
                <w:snapToGrid/>
                <w:szCs w:val="22"/>
                <w:lang w:val="lt-LT" w:eastAsia="en-IN"/>
              </w:rPr>
              <w:t> </w:t>
            </w:r>
            <w:r w:rsidRPr="001839C2">
              <w:rPr>
                <w:rFonts w:eastAsiaTheme="minorEastAsia"/>
                <w:snapToGrid/>
                <w:szCs w:val="22"/>
                <w:lang w:val="lt-LT" w:eastAsia="en-IN"/>
              </w:rPr>
              <w:t>r</w:t>
            </w:r>
            <w:r w:rsidR="008762F8" w:rsidRPr="001839C2">
              <w:rPr>
                <w:rFonts w:eastAsiaTheme="minorEastAsia"/>
                <w:snapToGrid/>
                <w:szCs w:val="22"/>
                <w:lang w:val="lt-LT" w:eastAsia="en-IN"/>
              </w:rPr>
              <w:t>eikšm</w:t>
            </w:r>
            <w:r w:rsidRPr="001839C2">
              <w:rPr>
                <w:rFonts w:eastAsiaTheme="minorEastAsia"/>
                <w:snapToGrid/>
                <w:szCs w:val="22"/>
                <w:lang w:val="lt-LT" w:eastAsia="en-IN"/>
              </w:rPr>
              <w:t>ė</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3C7FDAD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0,002**</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0FFA5BF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0,004**</w:t>
            </w:r>
          </w:p>
        </w:tc>
      </w:tr>
      <w:tr w:rsidR="00DC41B7" w:rsidRPr="001839C2" w14:paraId="3AA26DB4"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2B43F26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r w:rsidR="00C37417" w:rsidRPr="001839C2">
              <w:rPr>
                <w:rFonts w:eastAsiaTheme="minorEastAsia"/>
                <w:snapToGrid/>
                <w:szCs w:val="22"/>
                <w:lang w:val="lt-LT" w:eastAsia="en-IN"/>
              </w:rPr>
              <w:t> </w:t>
            </w:r>
            <w:r w:rsidRPr="001839C2">
              <w:rPr>
                <w:rFonts w:eastAsiaTheme="minorEastAsia"/>
                <w:snapToGrid/>
                <w:szCs w:val="22"/>
                <w:lang w:val="lt-LT" w:eastAsia="en-IN"/>
              </w:rPr>
              <w:t>skirtumas (95</w:t>
            </w:r>
            <w:r w:rsidR="00C37417" w:rsidRPr="001839C2">
              <w:rPr>
                <w:rFonts w:eastAsiaTheme="minorEastAsia"/>
                <w:snapToGrid/>
                <w:szCs w:val="22"/>
                <w:lang w:val="lt-LT" w:eastAsia="en-IN"/>
              </w:rPr>
              <w:t> </w:t>
            </w:r>
            <w:r w:rsidRPr="001839C2">
              <w:rPr>
                <w:rFonts w:eastAsiaTheme="minorEastAsia"/>
                <w:snapToGrid/>
                <w:szCs w:val="22"/>
                <w:lang w:val="lt-LT" w:eastAsia="en-IN"/>
              </w:rPr>
              <w:t>%</w:t>
            </w:r>
            <w:r w:rsidR="00C37417" w:rsidRPr="001839C2">
              <w:rPr>
                <w:rFonts w:eastAsiaTheme="minorEastAsia"/>
                <w:snapToGrid/>
                <w:szCs w:val="22"/>
                <w:lang w:val="lt-LT" w:eastAsia="en-IN"/>
              </w:rPr>
              <w:t> </w:t>
            </w:r>
            <w:r w:rsidRPr="001839C2">
              <w:rPr>
                <w:rFonts w:eastAsiaTheme="minorEastAsia"/>
                <w:snapToGrid/>
                <w:szCs w:val="22"/>
                <w:lang w:val="lt-LT" w:eastAsia="en-IN"/>
              </w:rPr>
              <w:t>PI)</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68B6AB8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11</w:t>
            </w:r>
            <w:r w:rsidR="00C37417" w:rsidRPr="001839C2">
              <w:rPr>
                <w:rFonts w:eastAsiaTheme="minorEastAsia"/>
                <w:snapToGrid/>
                <w:szCs w:val="22"/>
                <w:lang w:val="lt-LT" w:eastAsia="en-IN"/>
              </w:rPr>
              <w:t> </w:t>
            </w:r>
            <w:r w:rsidRPr="001839C2">
              <w:rPr>
                <w:rFonts w:eastAsiaTheme="minorEastAsia"/>
                <w:snapToGrid/>
                <w:szCs w:val="22"/>
                <w:lang w:val="lt-LT" w:eastAsia="en-IN"/>
              </w:rPr>
              <w:t>% (nuo 4</w:t>
            </w:r>
            <w:r w:rsidR="00C37417" w:rsidRPr="001839C2">
              <w:rPr>
                <w:rFonts w:eastAsiaTheme="minorEastAsia"/>
                <w:snapToGrid/>
                <w:szCs w:val="22"/>
                <w:lang w:val="lt-LT" w:eastAsia="en-IN"/>
              </w:rPr>
              <w:t> </w:t>
            </w:r>
            <w:r w:rsidRPr="001839C2">
              <w:rPr>
                <w:rFonts w:eastAsiaTheme="minorEastAsia"/>
                <w:snapToGrid/>
                <w:szCs w:val="22"/>
                <w:lang w:val="lt-LT" w:eastAsia="en-IN"/>
              </w:rPr>
              <w:t>% iki 19</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42E086D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13</w:t>
            </w:r>
            <w:r w:rsidR="00C37417" w:rsidRPr="001839C2">
              <w:rPr>
                <w:rFonts w:eastAsiaTheme="minorEastAsia"/>
                <w:snapToGrid/>
                <w:szCs w:val="22"/>
                <w:lang w:val="lt-LT" w:eastAsia="en-IN"/>
              </w:rPr>
              <w:t> </w:t>
            </w:r>
            <w:r w:rsidRPr="001839C2">
              <w:rPr>
                <w:rFonts w:eastAsiaTheme="minorEastAsia"/>
                <w:snapToGrid/>
                <w:szCs w:val="22"/>
                <w:lang w:val="lt-LT" w:eastAsia="en-IN"/>
              </w:rPr>
              <w:t>% (nuo 4</w:t>
            </w:r>
            <w:r w:rsidR="00C37417" w:rsidRPr="001839C2">
              <w:rPr>
                <w:rFonts w:eastAsiaTheme="minorEastAsia"/>
                <w:snapToGrid/>
                <w:szCs w:val="22"/>
                <w:lang w:val="lt-LT" w:eastAsia="en-IN"/>
              </w:rPr>
              <w:t> </w:t>
            </w:r>
            <w:r w:rsidRPr="001839C2">
              <w:rPr>
                <w:rFonts w:eastAsiaTheme="minorEastAsia"/>
                <w:snapToGrid/>
                <w:szCs w:val="22"/>
                <w:lang w:val="lt-LT" w:eastAsia="en-IN"/>
              </w:rPr>
              <w:t>% iki 22</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tc>
      </w:tr>
      <w:tr w:rsidR="00DC41B7" w:rsidRPr="001839C2" w14:paraId="1A0C0915"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04576CA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ŽIV</w:t>
            </w:r>
            <w:r w:rsidR="00C37417" w:rsidRPr="001839C2">
              <w:rPr>
                <w:rFonts w:eastAsiaTheme="minorEastAsia"/>
                <w:snapToGrid/>
                <w:szCs w:val="22"/>
                <w:lang w:val="lt-LT" w:eastAsia="en-IN"/>
              </w:rPr>
              <w:noBreakHyphen/>
            </w:r>
            <w:r w:rsidRPr="001839C2">
              <w:rPr>
                <w:rFonts w:eastAsiaTheme="minorEastAsia"/>
                <w:snapToGrid/>
                <w:szCs w:val="22"/>
                <w:lang w:val="lt-LT" w:eastAsia="en-IN"/>
              </w:rPr>
              <w:t>1</w:t>
            </w:r>
            <w:r w:rsidR="00C37417" w:rsidRPr="001839C2">
              <w:rPr>
                <w:rFonts w:eastAsiaTheme="minorEastAsia"/>
                <w:snapToGrid/>
                <w:szCs w:val="22"/>
                <w:lang w:val="lt-LT" w:eastAsia="en-IN"/>
              </w:rPr>
              <w:t> </w:t>
            </w:r>
            <w:r w:rsidRPr="001839C2">
              <w:rPr>
                <w:rFonts w:eastAsiaTheme="minorEastAsia"/>
                <w:snapToGrid/>
                <w:szCs w:val="22"/>
                <w:lang w:val="lt-LT" w:eastAsia="en-IN"/>
              </w:rPr>
              <w:t>RNR</w:t>
            </w:r>
          </w:p>
          <w:p w14:paraId="28F12455" w14:textId="77777777" w:rsidR="00C37417"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&lt;</w:t>
            </w:r>
            <w:r w:rsidR="00C37417" w:rsidRPr="001839C2">
              <w:rPr>
                <w:rFonts w:eastAsiaTheme="minorEastAsia"/>
                <w:snapToGrid/>
                <w:szCs w:val="22"/>
                <w:lang w:val="lt-LT" w:eastAsia="en-IN"/>
              </w:rPr>
              <w:t> </w:t>
            </w:r>
            <w:r w:rsidRPr="001839C2">
              <w:rPr>
                <w:rFonts w:eastAsiaTheme="minorEastAsia"/>
                <w:snapToGrid/>
                <w:szCs w:val="22"/>
                <w:lang w:val="lt-LT" w:eastAsia="en-IN"/>
              </w:rPr>
              <w:t>50</w:t>
            </w:r>
            <w:r w:rsidR="00C37417" w:rsidRPr="001839C2">
              <w:rPr>
                <w:rFonts w:eastAsiaTheme="minorEastAsia"/>
                <w:snapToGrid/>
                <w:szCs w:val="22"/>
                <w:lang w:val="lt-LT" w:eastAsia="en-IN"/>
              </w:rPr>
              <w:t> </w:t>
            </w:r>
            <w:r w:rsidRPr="001839C2">
              <w:rPr>
                <w:rFonts w:eastAsiaTheme="minorEastAsia"/>
                <w:snapToGrid/>
                <w:szCs w:val="22"/>
                <w:lang w:val="lt-LT" w:eastAsia="en-IN"/>
              </w:rPr>
              <w:t>kopijų/ml</w:t>
            </w:r>
          </w:p>
          <w:p w14:paraId="460B918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(VAPL)</w:t>
            </w:r>
          </w:p>
        </w:tc>
        <w:tc>
          <w:tcPr>
            <w:tcW w:w="2375" w:type="dxa"/>
            <w:tcBorders>
              <w:top w:val="single" w:sz="4" w:space="0" w:color="000000"/>
              <w:left w:val="single" w:sz="4" w:space="0" w:color="000000"/>
              <w:bottom w:val="single" w:sz="4" w:space="0" w:color="000000"/>
              <w:right w:val="single" w:sz="4" w:space="0" w:color="000000"/>
            </w:tcBorders>
            <w:vAlign w:val="center"/>
          </w:tcPr>
          <w:p w14:paraId="44DB51F8" w14:textId="77777777" w:rsidR="00C37417"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80</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p w14:paraId="2CE4741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(194/244)</w:t>
            </w:r>
          </w:p>
        </w:tc>
        <w:tc>
          <w:tcPr>
            <w:tcW w:w="1270" w:type="dxa"/>
            <w:tcBorders>
              <w:top w:val="single" w:sz="4" w:space="0" w:color="000000"/>
              <w:left w:val="single" w:sz="4" w:space="0" w:color="000000"/>
              <w:bottom w:val="single" w:sz="4" w:space="0" w:color="000000"/>
              <w:right w:val="single" w:sz="4" w:space="0" w:color="000000"/>
            </w:tcBorders>
            <w:vAlign w:val="center"/>
          </w:tcPr>
          <w:p w14:paraId="53460D1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70</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p w14:paraId="41700AE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(171/243)</w:t>
            </w:r>
          </w:p>
        </w:tc>
        <w:tc>
          <w:tcPr>
            <w:tcW w:w="2375" w:type="dxa"/>
            <w:tcBorders>
              <w:top w:val="single" w:sz="4" w:space="0" w:color="000000"/>
              <w:left w:val="single" w:sz="4" w:space="0" w:color="000000"/>
              <w:bottom w:val="single" w:sz="4" w:space="0" w:color="000000"/>
              <w:right w:val="single" w:sz="4" w:space="0" w:color="000000"/>
            </w:tcBorders>
            <w:vAlign w:val="center"/>
          </w:tcPr>
          <w:p w14:paraId="026050CA" w14:textId="77777777" w:rsidR="00C37417"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64</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p w14:paraId="4408005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(146/227)</w:t>
            </w:r>
          </w:p>
        </w:tc>
        <w:tc>
          <w:tcPr>
            <w:tcW w:w="1270" w:type="dxa"/>
            <w:tcBorders>
              <w:top w:val="single" w:sz="4" w:space="0" w:color="000000"/>
              <w:left w:val="single" w:sz="4" w:space="0" w:color="000000"/>
              <w:bottom w:val="single" w:sz="4" w:space="0" w:color="000000"/>
              <w:right w:val="single" w:sz="4" w:space="0" w:color="000000"/>
            </w:tcBorders>
            <w:vAlign w:val="center"/>
          </w:tcPr>
          <w:p w14:paraId="0201005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56</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p w14:paraId="7B76DD1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(130/231)</w:t>
            </w:r>
          </w:p>
        </w:tc>
      </w:tr>
      <w:tr w:rsidR="00DC41B7" w:rsidRPr="001839C2" w14:paraId="6D8034BE"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5AC539A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w:t>
            </w:r>
            <w:r w:rsidR="00C37417" w:rsidRPr="001839C2">
              <w:rPr>
                <w:rFonts w:eastAsiaTheme="minorEastAsia"/>
                <w:snapToGrid/>
                <w:szCs w:val="22"/>
                <w:lang w:val="lt-LT" w:eastAsia="en-IN"/>
              </w:rPr>
              <w:t> </w:t>
            </w:r>
            <w:r w:rsidRPr="001839C2">
              <w:rPr>
                <w:rFonts w:eastAsiaTheme="minorEastAsia"/>
                <w:snapToGrid/>
                <w:szCs w:val="22"/>
                <w:lang w:val="lt-LT" w:eastAsia="en-IN"/>
              </w:rPr>
              <w:t>r</w:t>
            </w:r>
            <w:r w:rsidR="008762F8" w:rsidRPr="001839C2">
              <w:rPr>
                <w:rFonts w:eastAsiaTheme="minorEastAsia"/>
                <w:snapToGrid/>
                <w:szCs w:val="22"/>
                <w:lang w:val="lt-LT" w:eastAsia="en-IN"/>
              </w:rPr>
              <w:t>eikšm</w:t>
            </w:r>
            <w:r w:rsidRPr="001839C2">
              <w:rPr>
                <w:rFonts w:eastAsiaTheme="minorEastAsia"/>
                <w:snapToGrid/>
                <w:szCs w:val="22"/>
                <w:lang w:val="lt-LT" w:eastAsia="en-IN"/>
              </w:rPr>
              <w:t>ė</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5B4293E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0,021**</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243056D7"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0,082**</w:t>
            </w:r>
          </w:p>
        </w:tc>
      </w:tr>
      <w:tr w:rsidR="00DC41B7" w:rsidRPr="001839C2" w14:paraId="55B4F836"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6A745787"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w:t>
            </w:r>
            <w:r w:rsidR="00C37417" w:rsidRPr="001839C2">
              <w:rPr>
                <w:rFonts w:eastAsiaTheme="minorEastAsia"/>
                <w:snapToGrid/>
                <w:szCs w:val="22"/>
                <w:lang w:val="lt-LT" w:eastAsia="en-IN"/>
              </w:rPr>
              <w:t> </w:t>
            </w:r>
            <w:r w:rsidRPr="001839C2">
              <w:rPr>
                <w:rFonts w:eastAsiaTheme="minorEastAsia"/>
                <w:snapToGrid/>
                <w:szCs w:val="22"/>
                <w:lang w:val="lt-LT" w:eastAsia="en-IN"/>
              </w:rPr>
              <w:t>skirtumas (95</w:t>
            </w:r>
            <w:r w:rsidR="00C37417" w:rsidRPr="001839C2">
              <w:rPr>
                <w:rFonts w:eastAsiaTheme="minorEastAsia"/>
                <w:snapToGrid/>
                <w:szCs w:val="22"/>
                <w:lang w:val="lt-LT" w:eastAsia="en-IN"/>
              </w:rPr>
              <w:t> </w:t>
            </w:r>
            <w:r w:rsidRPr="001839C2">
              <w:rPr>
                <w:rFonts w:eastAsiaTheme="minorEastAsia"/>
                <w:snapToGrid/>
                <w:szCs w:val="22"/>
                <w:lang w:val="lt-LT" w:eastAsia="en-IN"/>
              </w:rPr>
              <w:t>%</w:t>
            </w:r>
            <w:r w:rsidR="00C37417" w:rsidRPr="001839C2">
              <w:rPr>
                <w:rFonts w:eastAsiaTheme="minorEastAsia"/>
                <w:snapToGrid/>
                <w:szCs w:val="22"/>
                <w:lang w:val="lt-LT" w:eastAsia="en-IN"/>
              </w:rPr>
              <w:t> </w:t>
            </w:r>
            <w:r w:rsidRPr="001839C2">
              <w:rPr>
                <w:rFonts w:eastAsiaTheme="minorEastAsia"/>
                <w:snapToGrid/>
                <w:szCs w:val="22"/>
                <w:lang w:val="lt-LT" w:eastAsia="en-IN"/>
              </w:rPr>
              <w:t>PI)</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0C4ED5A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9</w:t>
            </w:r>
            <w:r w:rsidR="00C37417" w:rsidRPr="001839C2">
              <w:rPr>
                <w:rFonts w:eastAsiaTheme="minorEastAsia"/>
                <w:snapToGrid/>
                <w:szCs w:val="22"/>
                <w:lang w:val="lt-LT" w:eastAsia="en-IN"/>
              </w:rPr>
              <w:t> </w:t>
            </w:r>
            <w:r w:rsidRPr="001839C2">
              <w:rPr>
                <w:rFonts w:eastAsiaTheme="minorEastAsia"/>
                <w:snapToGrid/>
                <w:szCs w:val="22"/>
                <w:lang w:val="lt-LT" w:eastAsia="en-IN"/>
              </w:rPr>
              <w:t>% (nuo 2</w:t>
            </w:r>
            <w:r w:rsidR="00C37417" w:rsidRPr="001839C2">
              <w:rPr>
                <w:rFonts w:eastAsiaTheme="minorEastAsia"/>
                <w:snapToGrid/>
                <w:szCs w:val="22"/>
                <w:lang w:val="lt-LT" w:eastAsia="en-IN"/>
              </w:rPr>
              <w:t> </w:t>
            </w:r>
            <w:r w:rsidRPr="001839C2">
              <w:rPr>
                <w:rFonts w:eastAsiaTheme="minorEastAsia"/>
                <w:snapToGrid/>
                <w:szCs w:val="22"/>
                <w:lang w:val="lt-LT" w:eastAsia="en-IN"/>
              </w:rPr>
              <w:t>% iki 17</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4767019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8</w:t>
            </w:r>
            <w:r w:rsidR="00C37417" w:rsidRPr="001839C2">
              <w:rPr>
                <w:rFonts w:eastAsiaTheme="minorEastAsia"/>
                <w:snapToGrid/>
                <w:szCs w:val="22"/>
                <w:lang w:val="lt-LT" w:eastAsia="en-IN"/>
              </w:rPr>
              <w:t> </w:t>
            </w:r>
            <w:r w:rsidRPr="001839C2">
              <w:rPr>
                <w:rFonts w:eastAsiaTheme="minorEastAsia"/>
                <w:snapToGrid/>
                <w:szCs w:val="22"/>
                <w:lang w:val="lt-LT" w:eastAsia="en-IN"/>
              </w:rPr>
              <w:t xml:space="preserve">% (nuo </w:t>
            </w:r>
            <w:r w:rsidR="00C37417" w:rsidRPr="001839C2">
              <w:rPr>
                <w:rFonts w:eastAsiaTheme="minorEastAsia"/>
                <w:snapToGrid/>
                <w:szCs w:val="22"/>
                <w:lang w:val="lt-LT" w:eastAsia="en-IN"/>
              </w:rPr>
              <w:noBreakHyphen/>
            </w:r>
            <w:r w:rsidRPr="001839C2">
              <w:rPr>
                <w:rFonts w:eastAsiaTheme="minorEastAsia"/>
                <w:snapToGrid/>
                <w:szCs w:val="22"/>
                <w:lang w:val="lt-LT" w:eastAsia="en-IN"/>
              </w:rPr>
              <w:t>1</w:t>
            </w:r>
            <w:r w:rsidR="00C37417" w:rsidRPr="001839C2">
              <w:rPr>
                <w:rFonts w:eastAsiaTheme="minorEastAsia"/>
                <w:snapToGrid/>
                <w:szCs w:val="22"/>
                <w:lang w:val="lt-LT" w:eastAsia="en-IN"/>
              </w:rPr>
              <w:t> </w:t>
            </w:r>
            <w:r w:rsidRPr="001839C2">
              <w:rPr>
                <w:rFonts w:eastAsiaTheme="minorEastAsia"/>
                <w:snapToGrid/>
                <w:szCs w:val="22"/>
                <w:lang w:val="lt-LT" w:eastAsia="en-IN"/>
              </w:rPr>
              <w:t>% iki 17</w:t>
            </w:r>
            <w:r w:rsidR="00C37417" w:rsidRPr="001839C2">
              <w:rPr>
                <w:rFonts w:eastAsiaTheme="minorEastAsia"/>
                <w:snapToGrid/>
                <w:szCs w:val="22"/>
                <w:lang w:val="lt-LT" w:eastAsia="en-IN"/>
              </w:rPr>
              <w:t> </w:t>
            </w:r>
            <w:r w:rsidRPr="001839C2">
              <w:rPr>
                <w:rFonts w:eastAsiaTheme="minorEastAsia"/>
                <w:snapToGrid/>
                <w:szCs w:val="22"/>
                <w:lang w:val="lt-LT" w:eastAsia="en-IN"/>
              </w:rPr>
              <w:t>%)</w:t>
            </w:r>
          </w:p>
        </w:tc>
      </w:tr>
      <w:tr w:rsidR="00DC41B7" w:rsidRPr="001839C2" w14:paraId="66F16672"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1AA3213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Vidutinis CD4</w:t>
            </w:r>
            <w:r w:rsidR="00C37417" w:rsidRPr="001839C2">
              <w:rPr>
                <w:rFonts w:eastAsiaTheme="minorEastAsia"/>
                <w:snapToGrid/>
                <w:szCs w:val="22"/>
                <w:lang w:val="lt-LT" w:eastAsia="en-IN"/>
              </w:rPr>
              <w:t> </w:t>
            </w:r>
            <w:r w:rsidRPr="001839C2">
              <w:rPr>
                <w:rFonts w:eastAsiaTheme="minorEastAsia"/>
                <w:snapToGrid/>
                <w:szCs w:val="22"/>
                <w:lang w:val="lt-LT" w:eastAsia="en-IN"/>
              </w:rPr>
              <w:t>ląstelių kiekio pokytis, lyginant su pradiniu (ląstelės/mm</w:t>
            </w:r>
            <w:r w:rsidRPr="001839C2">
              <w:rPr>
                <w:rFonts w:eastAsiaTheme="minorEastAsia"/>
                <w:snapToGrid/>
                <w:szCs w:val="22"/>
                <w:vertAlign w:val="superscript"/>
                <w:lang w:val="lt-LT" w:eastAsia="en-IN"/>
              </w:rPr>
              <w:t>3</w:t>
            </w:r>
            <w:r w:rsidRPr="001839C2">
              <w:rPr>
                <w:rFonts w:eastAsiaTheme="minorEastAsia"/>
                <w:snapToGrid/>
                <w:szCs w:val="22"/>
                <w:lang w:val="lt-LT" w:eastAsia="en-IN"/>
              </w:rPr>
              <w:t>)</w:t>
            </w:r>
          </w:p>
        </w:tc>
        <w:tc>
          <w:tcPr>
            <w:tcW w:w="2375" w:type="dxa"/>
            <w:tcBorders>
              <w:top w:val="single" w:sz="4" w:space="0" w:color="000000"/>
              <w:left w:val="single" w:sz="4" w:space="0" w:color="000000"/>
              <w:bottom w:val="single" w:sz="4" w:space="0" w:color="000000"/>
              <w:right w:val="single" w:sz="4" w:space="0" w:color="000000"/>
            </w:tcBorders>
            <w:vAlign w:val="center"/>
          </w:tcPr>
          <w:p w14:paraId="7F3DD62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+190</w:t>
            </w:r>
          </w:p>
        </w:tc>
        <w:tc>
          <w:tcPr>
            <w:tcW w:w="1270" w:type="dxa"/>
            <w:tcBorders>
              <w:top w:val="single" w:sz="4" w:space="0" w:color="000000"/>
              <w:left w:val="single" w:sz="4" w:space="0" w:color="000000"/>
              <w:bottom w:val="single" w:sz="4" w:space="0" w:color="000000"/>
              <w:right w:val="single" w:sz="4" w:space="0" w:color="000000"/>
            </w:tcBorders>
            <w:vAlign w:val="center"/>
          </w:tcPr>
          <w:p w14:paraId="024E7A1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+158</w:t>
            </w:r>
          </w:p>
        </w:tc>
        <w:tc>
          <w:tcPr>
            <w:tcW w:w="2375" w:type="dxa"/>
            <w:tcBorders>
              <w:top w:val="single" w:sz="4" w:space="0" w:color="000000"/>
              <w:left w:val="single" w:sz="4" w:space="0" w:color="000000"/>
              <w:bottom w:val="single" w:sz="4" w:space="0" w:color="000000"/>
              <w:right w:val="single" w:sz="4" w:space="0" w:color="000000"/>
            </w:tcBorders>
            <w:vAlign w:val="center"/>
          </w:tcPr>
          <w:p w14:paraId="17AE235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+312</w:t>
            </w:r>
          </w:p>
        </w:tc>
        <w:tc>
          <w:tcPr>
            <w:tcW w:w="1270" w:type="dxa"/>
            <w:tcBorders>
              <w:top w:val="single" w:sz="4" w:space="0" w:color="000000"/>
              <w:left w:val="single" w:sz="4" w:space="0" w:color="000000"/>
              <w:bottom w:val="single" w:sz="4" w:space="0" w:color="000000"/>
              <w:right w:val="single" w:sz="4" w:space="0" w:color="000000"/>
            </w:tcBorders>
            <w:vAlign w:val="center"/>
          </w:tcPr>
          <w:p w14:paraId="0E8D89F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+271</w:t>
            </w:r>
          </w:p>
        </w:tc>
      </w:tr>
      <w:tr w:rsidR="00DC41B7" w:rsidRPr="001839C2" w14:paraId="5A566419"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55F40E5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p</w:t>
            </w:r>
            <w:r w:rsidR="00C37417" w:rsidRPr="001839C2">
              <w:rPr>
                <w:rFonts w:eastAsiaTheme="minorEastAsia"/>
                <w:snapToGrid/>
                <w:szCs w:val="22"/>
                <w:lang w:val="lt-LT" w:eastAsia="en-IN"/>
              </w:rPr>
              <w:t> </w:t>
            </w:r>
            <w:r w:rsidRPr="001839C2">
              <w:rPr>
                <w:rFonts w:eastAsiaTheme="minorEastAsia"/>
                <w:snapToGrid/>
                <w:szCs w:val="22"/>
                <w:lang w:val="lt-LT" w:eastAsia="en-IN"/>
              </w:rPr>
              <w:t>r</w:t>
            </w:r>
            <w:r w:rsidR="008762F8" w:rsidRPr="001839C2">
              <w:rPr>
                <w:rFonts w:eastAsiaTheme="minorEastAsia"/>
                <w:snapToGrid/>
                <w:szCs w:val="22"/>
                <w:lang w:val="lt-LT" w:eastAsia="en-IN"/>
              </w:rPr>
              <w:t>eikšm</w:t>
            </w:r>
            <w:r w:rsidRPr="001839C2">
              <w:rPr>
                <w:rFonts w:eastAsiaTheme="minorEastAsia"/>
                <w:snapToGrid/>
                <w:szCs w:val="22"/>
                <w:lang w:val="lt-LT" w:eastAsia="en-IN"/>
              </w:rPr>
              <w:t>ė</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0ED6DAC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0,002</w:t>
            </w:r>
            <w:r w:rsidRPr="001839C2">
              <w:rPr>
                <w:rFonts w:eastAsiaTheme="minorEastAsia"/>
                <w:snapToGrid/>
                <w:szCs w:val="22"/>
                <w:vertAlign w:val="superscript"/>
                <w:lang w:val="lt-LT" w:eastAsia="en-IN"/>
              </w:rPr>
              <w:t>a</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6394B0F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0,089</w:t>
            </w:r>
            <w:r w:rsidRPr="001839C2">
              <w:rPr>
                <w:rFonts w:eastAsiaTheme="minorEastAsia"/>
                <w:snapToGrid/>
                <w:szCs w:val="22"/>
                <w:vertAlign w:val="superscript"/>
                <w:lang w:val="lt-LT" w:eastAsia="en-IN"/>
              </w:rPr>
              <w:t>a</w:t>
            </w:r>
          </w:p>
        </w:tc>
      </w:tr>
      <w:tr w:rsidR="00DC41B7" w:rsidRPr="001839C2" w14:paraId="15910535" w14:textId="77777777" w:rsidTr="000C0D49">
        <w:tc>
          <w:tcPr>
            <w:tcW w:w="2126" w:type="dxa"/>
            <w:tcBorders>
              <w:top w:val="single" w:sz="4" w:space="0" w:color="000000"/>
              <w:left w:val="single" w:sz="4" w:space="0" w:color="000000"/>
              <w:bottom w:val="single" w:sz="4" w:space="0" w:color="000000"/>
              <w:right w:val="single" w:sz="4" w:space="0" w:color="000000"/>
            </w:tcBorders>
          </w:tcPr>
          <w:p w14:paraId="3F4B07E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Skirtumas (95</w:t>
            </w:r>
            <w:r w:rsidR="00C37417" w:rsidRPr="001839C2">
              <w:rPr>
                <w:rFonts w:eastAsiaTheme="minorEastAsia"/>
                <w:snapToGrid/>
                <w:szCs w:val="22"/>
                <w:lang w:val="lt-LT" w:eastAsia="en-IN"/>
              </w:rPr>
              <w:t> </w:t>
            </w:r>
            <w:r w:rsidRPr="001839C2">
              <w:rPr>
                <w:rFonts w:eastAsiaTheme="minorEastAsia"/>
                <w:snapToGrid/>
                <w:szCs w:val="22"/>
                <w:lang w:val="lt-LT" w:eastAsia="en-IN"/>
              </w:rPr>
              <w:t>%</w:t>
            </w:r>
            <w:r w:rsidR="00C37417" w:rsidRPr="001839C2">
              <w:rPr>
                <w:rFonts w:eastAsiaTheme="minorEastAsia"/>
                <w:snapToGrid/>
                <w:szCs w:val="22"/>
                <w:lang w:val="lt-LT" w:eastAsia="en-IN"/>
              </w:rPr>
              <w:t> </w:t>
            </w:r>
            <w:r w:rsidRPr="001839C2">
              <w:rPr>
                <w:rFonts w:eastAsiaTheme="minorEastAsia"/>
                <w:snapToGrid/>
                <w:szCs w:val="22"/>
                <w:lang w:val="lt-LT" w:eastAsia="en-IN"/>
              </w:rPr>
              <w:t>PI)</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3C7ABCD9"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32 (nuo 9 iki 55)</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4BABB6C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41 (nuo 4 iki 79)</w:t>
            </w:r>
          </w:p>
        </w:tc>
      </w:tr>
    </w:tbl>
    <w:p w14:paraId="77818C34" w14:textId="77777777" w:rsidR="002A5F50" w:rsidRPr="001839C2" w:rsidRDefault="002A5F50" w:rsidP="00230559">
      <w:pPr>
        <w:widowControl w:val="0"/>
        <w:tabs>
          <w:tab w:val="clear" w:pos="567"/>
          <w:tab w:val="left" w:pos="0"/>
          <w:tab w:val="left" w:pos="312"/>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w:t>
      </w:r>
      <w:r w:rsidR="00C37417" w:rsidRPr="001839C2">
        <w:rPr>
          <w:rFonts w:eastAsiaTheme="minorEastAsia"/>
          <w:snapToGrid/>
          <w:szCs w:val="22"/>
          <w:lang w:val="lt-LT" w:eastAsia="en-IN"/>
        </w:rPr>
        <w:tab/>
      </w:r>
      <w:r w:rsidRPr="001839C2">
        <w:rPr>
          <w:rFonts w:eastAsiaTheme="minorEastAsia"/>
          <w:snapToGrid/>
          <w:szCs w:val="22"/>
          <w:lang w:val="lt-LT" w:eastAsia="en-IN"/>
        </w:rPr>
        <w:t>Pacientams, gydytiems emtricitabinu,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ir efavirenzu, nuo 96 iki 144</w:t>
      </w:r>
      <w:r w:rsidR="00C37417" w:rsidRPr="001839C2">
        <w:rPr>
          <w:rFonts w:eastAsiaTheme="minorEastAsia"/>
          <w:snapToGrid/>
          <w:szCs w:val="22"/>
          <w:lang w:val="lt-LT" w:eastAsia="en-IN"/>
        </w:rPr>
        <w:t> </w:t>
      </w:r>
      <w:r w:rsidRPr="001839C2">
        <w:rPr>
          <w:rFonts w:eastAsiaTheme="minorEastAsia"/>
          <w:snapToGrid/>
          <w:szCs w:val="22"/>
          <w:lang w:val="lt-LT" w:eastAsia="en-IN"/>
        </w:rPr>
        <w:t>savaitės skirtas emtricitabino</w:t>
      </w:r>
      <w:r w:rsidR="00C37417" w:rsidRPr="001839C2">
        <w:rPr>
          <w:rFonts w:eastAsiaTheme="minorEastAsia"/>
          <w:snapToGrid/>
          <w:szCs w:val="22"/>
          <w:lang w:val="lt-LT" w:eastAsia="en-IN"/>
        </w:rPr>
        <w:t xml:space="preserve"> ir </w:t>
      </w:r>
      <w:r w:rsidRPr="001839C2">
        <w:rPr>
          <w:rFonts w:eastAsiaTheme="minorEastAsia"/>
          <w:snapToGrid/>
          <w:szCs w:val="22"/>
          <w:lang w:val="lt-LT" w:eastAsia="en-IN"/>
        </w:rPr>
        <w:t>tenofoviro dizoproksil</w:t>
      </w:r>
      <w:r w:rsidR="00C37D10" w:rsidRPr="001839C2">
        <w:rPr>
          <w:rFonts w:eastAsiaTheme="minorEastAsia"/>
          <w:snapToGrid/>
          <w:szCs w:val="22"/>
          <w:lang w:val="lt-LT" w:eastAsia="en-IN"/>
        </w:rPr>
        <w:t>i</w:t>
      </w:r>
      <w:r w:rsidR="00C37417" w:rsidRPr="001839C2">
        <w:rPr>
          <w:rFonts w:eastAsiaTheme="minorEastAsia"/>
          <w:snapToGrid/>
          <w:szCs w:val="22"/>
          <w:lang w:val="lt-LT" w:eastAsia="en-IN"/>
        </w:rPr>
        <w:t>o derinys</w:t>
      </w:r>
      <w:r w:rsidRPr="001839C2" w:rsidDel="006B715B">
        <w:rPr>
          <w:rFonts w:eastAsiaTheme="minorEastAsia"/>
          <w:snapToGrid/>
          <w:szCs w:val="22"/>
          <w:lang w:val="lt-LT" w:eastAsia="en-IN"/>
        </w:rPr>
        <w:t xml:space="preserve"> </w:t>
      </w:r>
      <w:r w:rsidRPr="001839C2">
        <w:rPr>
          <w:rFonts w:eastAsiaTheme="minorEastAsia"/>
          <w:snapToGrid/>
          <w:szCs w:val="22"/>
          <w:lang w:val="lt-LT" w:eastAsia="en-IN"/>
        </w:rPr>
        <w:t>ir efavirenzas.</w:t>
      </w:r>
    </w:p>
    <w:p w14:paraId="3FECB1CF" w14:textId="77777777" w:rsidR="002A5F50" w:rsidRPr="001839C2" w:rsidRDefault="002A5F50" w:rsidP="00230559">
      <w:pPr>
        <w:widowControl w:val="0"/>
        <w:tabs>
          <w:tab w:val="clear" w:pos="567"/>
          <w:tab w:val="left" w:pos="0"/>
          <w:tab w:val="left" w:pos="312"/>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w:t>
      </w:r>
      <w:r w:rsidR="00C37417" w:rsidRPr="001839C2">
        <w:rPr>
          <w:rFonts w:eastAsiaTheme="minorEastAsia"/>
          <w:snapToGrid/>
          <w:szCs w:val="22"/>
          <w:lang w:val="lt-LT" w:eastAsia="en-IN"/>
        </w:rPr>
        <w:tab/>
      </w:r>
      <w:r w:rsidRPr="001839C2">
        <w:rPr>
          <w:rFonts w:eastAsiaTheme="minorEastAsia"/>
          <w:snapToGrid/>
          <w:szCs w:val="22"/>
          <w:lang w:val="lt-LT" w:eastAsia="en-IN"/>
        </w:rPr>
        <w:t>p</w:t>
      </w:r>
      <w:r w:rsidR="00C37417" w:rsidRPr="001839C2">
        <w:rPr>
          <w:rFonts w:eastAsiaTheme="minorEastAsia"/>
          <w:snapToGrid/>
          <w:szCs w:val="22"/>
          <w:lang w:val="lt-LT" w:eastAsia="en-IN"/>
        </w:rPr>
        <w:t> </w:t>
      </w:r>
      <w:r w:rsidRPr="001839C2">
        <w:rPr>
          <w:rFonts w:eastAsiaTheme="minorEastAsia"/>
          <w:snapToGrid/>
          <w:szCs w:val="22"/>
          <w:lang w:val="lt-LT" w:eastAsia="en-IN"/>
        </w:rPr>
        <w:t>r</w:t>
      </w:r>
      <w:r w:rsidR="008762F8" w:rsidRPr="001839C2">
        <w:rPr>
          <w:rFonts w:eastAsiaTheme="minorEastAsia"/>
          <w:snapToGrid/>
          <w:szCs w:val="22"/>
          <w:lang w:val="lt-LT" w:eastAsia="en-IN"/>
        </w:rPr>
        <w:t>eikšm</w:t>
      </w:r>
      <w:r w:rsidRPr="001839C2">
        <w:rPr>
          <w:rFonts w:eastAsiaTheme="minorEastAsia"/>
          <w:snapToGrid/>
          <w:szCs w:val="22"/>
          <w:lang w:val="lt-LT" w:eastAsia="en-IN"/>
        </w:rPr>
        <w:t>ė paremta Cochran</w:t>
      </w:r>
      <w:r w:rsidR="00C37417" w:rsidRPr="001839C2">
        <w:rPr>
          <w:rFonts w:eastAsiaTheme="minorEastAsia"/>
          <w:snapToGrid/>
          <w:szCs w:val="22"/>
          <w:lang w:val="lt-LT" w:eastAsia="en-IN"/>
        </w:rPr>
        <w:noBreakHyphen/>
      </w:r>
      <w:r w:rsidRPr="001839C2">
        <w:rPr>
          <w:rFonts w:eastAsiaTheme="minorEastAsia"/>
          <w:snapToGrid/>
          <w:szCs w:val="22"/>
          <w:lang w:val="lt-LT" w:eastAsia="en-IN"/>
        </w:rPr>
        <w:t>Mantel</w:t>
      </w:r>
      <w:r w:rsidR="00C37417" w:rsidRPr="001839C2">
        <w:rPr>
          <w:rFonts w:eastAsiaTheme="minorEastAsia"/>
          <w:snapToGrid/>
          <w:szCs w:val="22"/>
          <w:lang w:val="lt-LT" w:eastAsia="en-IN"/>
        </w:rPr>
        <w:noBreakHyphen/>
      </w:r>
      <w:r w:rsidRPr="001839C2">
        <w:rPr>
          <w:rFonts w:eastAsiaTheme="minorEastAsia"/>
          <w:snapToGrid/>
          <w:szCs w:val="22"/>
          <w:lang w:val="lt-LT" w:eastAsia="en-IN"/>
        </w:rPr>
        <w:t>Haenszel</w:t>
      </w:r>
      <w:r w:rsidR="00C37417" w:rsidRPr="001839C2">
        <w:rPr>
          <w:rFonts w:eastAsiaTheme="minorEastAsia"/>
          <w:snapToGrid/>
          <w:szCs w:val="22"/>
          <w:lang w:val="lt-LT" w:eastAsia="en-IN"/>
        </w:rPr>
        <w:t> </w:t>
      </w:r>
      <w:r w:rsidRPr="001839C2">
        <w:rPr>
          <w:rFonts w:eastAsiaTheme="minorEastAsia"/>
          <w:snapToGrid/>
          <w:szCs w:val="22"/>
          <w:lang w:val="lt-LT" w:eastAsia="en-IN"/>
        </w:rPr>
        <w:t xml:space="preserve">testu, </w:t>
      </w:r>
      <w:r w:rsidR="00CC4CA6" w:rsidRPr="001839C2">
        <w:rPr>
          <w:rFonts w:eastAsiaTheme="minorEastAsia"/>
          <w:snapToGrid/>
          <w:szCs w:val="22"/>
          <w:lang w:val="lt-LT" w:eastAsia="en-IN"/>
        </w:rPr>
        <w:t>išski</w:t>
      </w:r>
      <w:r w:rsidRPr="001839C2">
        <w:rPr>
          <w:rFonts w:eastAsiaTheme="minorEastAsia"/>
          <w:snapToGrid/>
          <w:szCs w:val="22"/>
          <w:lang w:val="lt-LT" w:eastAsia="en-IN"/>
        </w:rPr>
        <w:t>r</w:t>
      </w:r>
      <w:r w:rsidR="00CC4CA6" w:rsidRPr="001839C2">
        <w:rPr>
          <w:rFonts w:eastAsiaTheme="minorEastAsia"/>
          <w:snapToGrid/>
          <w:szCs w:val="22"/>
          <w:lang w:val="lt-LT" w:eastAsia="en-IN"/>
        </w:rPr>
        <w:t>s</w:t>
      </w:r>
      <w:r w:rsidRPr="001839C2">
        <w:rPr>
          <w:rFonts w:eastAsiaTheme="minorEastAsia"/>
          <w:snapToGrid/>
          <w:szCs w:val="22"/>
          <w:lang w:val="lt-LT" w:eastAsia="en-IN"/>
        </w:rPr>
        <w:t>t</w:t>
      </w:r>
      <w:r w:rsidR="00CC4CA6" w:rsidRPr="001839C2">
        <w:rPr>
          <w:rFonts w:eastAsiaTheme="minorEastAsia"/>
          <w:snapToGrid/>
          <w:szCs w:val="22"/>
          <w:lang w:val="lt-LT" w:eastAsia="en-IN"/>
        </w:rPr>
        <w:t>ytu sl</w:t>
      </w:r>
      <w:r w:rsidRPr="001839C2">
        <w:rPr>
          <w:rFonts w:eastAsiaTheme="minorEastAsia"/>
          <w:snapToGrid/>
          <w:szCs w:val="22"/>
          <w:lang w:val="lt-LT" w:eastAsia="en-IN"/>
        </w:rPr>
        <w:t>uo</w:t>
      </w:r>
      <w:r w:rsidR="00CC4CA6" w:rsidRPr="001839C2">
        <w:rPr>
          <w:rFonts w:eastAsiaTheme="minorEastAsia"/>
          <w:snapToGrid/>
          <w:szCs w:val="22"/>
          <w:lang w:val="lt-LT" w:eastAsia="en-IN"/>
        </w:rPr>
        <w:t>ksniais</w:t>
      </w:r>
      <w:r w:rsidRPr="001839C2">
        <w:rPr>
          <w:rFonts w:eastAsiaTheme="minorEastAsia"/>
          <w:snapToGrid/>
          <w:szCs w:val="22"/>
          <w:lang w:val="lt-LT" w:eastAsia="en-IN"/>
        </w:rPr>
        <w:t xml:space="preserve"> pradiniam CD4</w:t>
      </w:r>
      <w:r w:rsidR="00C37417" w:rsidRPr="001839C2">
        <w:rPr>
          <w:rFonts w:eastAsiaTheme="minorEastAsia"/>
          <w:snapToGrid/>
          <w:szCs w:val="22"/>
          <w:lang w:val="lt-LT" w:eastAsia="en-IN"/>
        </w:rPr>
        <w:t> </w:t>
      </w:r>
      <w:r w:rsidRPr="001839C2">
        <w:rPr>
          <w:rFonts w:eastAsiaTheme="minorEastAsia"/>
          <w:snapToGrid/>
          <w:szCs w:val="22"/>
          <w:lang w:val="lt-LT" w:eastAsia="en-IN"/>
        </w:rPr>
        <w:t>ląstelių kiekiui.</w:t>
      </w:r>
    </w:p>
    <w:p w14:paraId="766E230B" w14:textId="77777777" w:rsidR="00C37417"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VAPL </w:t>
      </w:r>
      <w:r w:rsidR="00C37417" w:rsidRPr="001839C2">
        <w:rPr>
          <w:rFonts w:eastAsiaTheme="minorEastAsia"/>
          <w:snapToGrid/>
          <w:szCs w:val="22"/>
          <w:lang w:val="lt-LT" w:eastAsia="en-IN"/>
        </w:rPr>
        <w:t>–</w:t>
      </w:r>
      <w:r w:rsidRPr="001839C2">
        <w:rPr>
          <w:rFonts w:eastAsiaTheme="minorEastAsia"/>
          <w:snapToGrid/>
          <w:szCs w:val="22"/>
          <w:lang w:val="lt-LT" w:eastAsia="en-IN"/>
        </w:rPr>
        <w:t xml:space="preserve"> virusologinio atsako </w:t>
      </w:r>
      <w:r w:rsidR="00C37417" w:rsidRPr="001839C2">
        <w:rPr>
          <w:rFonts w:eastAsiaTheme="minorEastAsia"/>
          <w:snapToGrid/>
          <w:szCs w:val="22"/>
          <w:lang w:val="lt-LT" w:eastAsia="en-IN"/>
        </w:rPr>
        <w:t>p</w:t>
      </w:r>
      <w:r w:rsidRPr="001839C2">
        <w:rPr>
          <w:rFonts w:eastAsiaTheme="minorEastAsia"/>
          <w:snapToGrid/>
          <w:szCs w:val="22"/>
          <w:lang w:val="lt-LT" w:eastAsia="en-IN"/>
        </w:rPr>
        <w:t>raradimo laikas</w:t>
      </w:r>
      <w:r w:rsidR="00CC4CA6" w:rsidRPr="001839C2">
        <w:rPr>
          <w:rFonts w:eastAsiaTheme="minorEastAsia"/>
          <w:snapToGrid/>
          <w:szCs w:val="22"/>
          <w:lang w:val="lt-LT" w:eastAsia="en-IN"/>
        </w:rPr>
        <w:t>.</w:t>
      </w:r>
    </w:p>
    <w:p w14:paraId="7A435CD2"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a</w:t>
      </w:r>
      <w:r w:rsidR="00C37417" w:rsidRPr="001839C2">
        <w:rPr>
          <w:rFonts w:eastAsiaTheme="minorEastAsia"/>
          <w:snapToGrid/>
          <w:szCs w:val="22"/>
          <w:lang w:val="lt-LT" w:eastAsia="en-IN"/>
        </w:rPr>
        <w:tab/>
      </w:r>
      <w:r w:rsidRPr="001839C2">
        <w:rPr>
          <w:rFonts w:eastAsiaTheme="minorEastAsia"/>
          <w:snapToGrid/>
          <w:szCs w:val="22"/>
          <w:lang w:val="lt-LT" w:eastAsia="en-IN"/>
        </w:rPr>
        <w:t>Van</w:t>
      </w:r>
      <w:r w:rsidR="00C37417" w:rsidRPr="001839C2">
        <w:rPr>
          <w:rFonts w:eastAsiaTheme="minorEastAsia"/>
          <w:snapToGrid/>
          <w:szCs w:val="22"/>
          <w:lang w:val="lt-LT" w:eastAsia="en-IN"/>
        </w:rPr>
        <w:t> </w:t>
      </w:r>
      <w:r w:rsidRPr="001839C2">
        <w:rPr>
          <w:rFonts w:eastAsiaTheme="minorEastAsia"/>
          <w:snapToGrid/>
          <w:szCs w:val="22"/>
          <w:lang w:val="lt-LT" w:eastAsia="en-IN"/>
        </w:rPr>
        <w:t>Eltereno</w:t>
      </w:r>
      <w:r w:rsidR="008762F8" w:rsidRPr="001839C2">
        <w:rPr>
          <w:rFonts w:eastAsiaTheme="minorEastAsia"/>
          <w:snapToGrid/>
          <w:szCs w:val="22"/>
          <w:lang w:val="lt-LT" w:eastAsia="en-IN"/>
        </w:rPr>
        <w:t> </w:t>
      </w:r>
      <w:r w:rsidRPr="001839C2">
        <w:rPr>
          <w:rFonts w:eastAsiaTheme="minorEastAsia"/>
          <w:snapToGrid/>
          <w:szCs w:val="22"/>
          <w:lang w:val="lt-LT" w:eastAsia="en-IN"/>
        </w:rPr>
        <w:t>testas</w:t>
      </w:r>
      <w:r w:rsidR="00CC4CA6" w:rsidRPr="001839C2">
        <w:rPr>
          <w:rFonts w:eastAsiaTheme="minorEastAsia"/>
          <w:snapToGrid/>
          <w:szCs w:val="22"/>
          <w:lang w:val="lt-LT" w:eastAsia="en-IN"/>
        </w:rPr>
        <w:t>.</w:t>
      </w:r>
    </w:p>
    <w:p w14:paraId="054CE000"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13A0F47"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Atsitiktinių imčių klinikinio tyrimo</w:t>
      </w:r>
      <w:r w:rsidR="000C0D49" w:rsidRPr="001839C2">
        <w:rPr>
          <w:rFonts w:eastAsiaTheme="minorEastAsia"/>
          <w:snapToGrid/>
          <w:szCs w:val="22"/>
          <w:lang w:val="lt-LT" w:eastAsia="en-IN"/>
        </w:rPr>
        <w:t> </w:t>
      </w:r>
      <w:r w:rsidRPr="001839C2">
        <w:rPr>
          <w:rFonts w:eastAsiaTheme="minorEastAsia"/>
          <w:snapToGrid/>
          <w:szCs w:val="22"/>
          <w:lang w:val="lt-LT" w:eastAsia="en-IN"/>
        </w:rPr>
        <w:t>(M02</w:t>
      </w:r>
      <w:r w:rsidR="008762F8" w:rsidRPr="001839C2">
        <w:rPr>
          <w:rFonts w:eastAsiaTheme="minorEastAsia"/>
          <w:snapToGrid/>
          <w:szCs w:val="22"/>
          <w:lang w:val="lt-LT" w:eastAsia="en-IN"/>
        </w:rPr>
        <w:noBreakHyphen/>
      </w:r>
      <w:r w:rsidRPr="001839C2">
        <w:rPr>
          <w:rFonts w:eastAsiaTheme="minorEastAsia"/>
          <w:snapToGrid/>
          <w:szCs w:val="22"/>
          <w:lang w:val="lt-LT" w:eastAsia="en-IN"/>
        </w:rPr>
        <w:t>418) metu 190 antiretrovirusiniais vaist</w:t>
      </w:r>
      <w:r w:rsidR="008762F8" w:rsidRPr="001839C2">
        <w:rPr>
          <w:rFonts w:eastAsiaTheme="minorEastAsia"/>
          <w:snapToGrid/>
          <w:szCs w:val="22"/>
          <w:lang w:val="lt-LT" w:eastAsia="en-IN"/>
        </w:rPr>
        <w:t>ini</w:t>
      </w:r>
      <w:r w:rsidRPr="001839C2">
        <w:rPr>
          <w:rFonts w:eastAsiaTheme="minorEastAsia"/>
          <w:snapToGrid/>
          <w:szCs w:val="22"/>
          <w:lang w:val="lt-LT" w:eastAsia="en-IN"/>
        </w:rPr>
        <w:t>ais</w:t>
      </w:r>
      <w:r w:rsidR="008762F8" w:rsidRPr="001839C2">
        <w:rPr>
          <w:rFonts w:eastAsiaTheme="minorEastAsia"/>
          <w:snapToGrid/>
          <w:szCs w:val="22"/>
          <w:lang w:val="lt-LT" w:eastAsia="en-IN"/>
        </w:rPr>
        <w:t xml:space="preserve"> preparatais</w:t>
      </w:r>
      <w:r w:rsidRPr="001839C2">
        <w:rPr>
          <w:rFonts w:eastAsiaTheme="minorEastAsia"/>
          <w:snapToGrid/>
          <w:szCs w:val="22"/>
          <w:lang w:val="lt-LT" w:eastAsia="en-IN"/>
        </w:rPr>
        <w:t xml:space="preserve"> anksčiau dar negydytų suaugusiųjų buvo gydyti vieną</w:t>
      </w:r>
      <w:r w:rsidR="008762F8" w:rsidRPr="001839C2">
        <w:rPr>
          <w:rFonts w:eastAsiaTheme="minorEastAsia"/>
          <w:snapToGrid/>
          <w:szCs w:val="22"/>
          <w:lang w:val="lt-LT" w:eastAsia="en-IN"/>
        </w:rPr>
        <w:t> </w:t>
      </w:r>
      <w:r w:rsidRPr="001839C2">
        <w:rPr>
          <w:rFonts w:eastAsiaTheme="minorEastAsia"/>
          <w:snapToGrid/>
          <w:szCs w:val="22"/>
          <w:lang w:val="lt-LT" w:eastAsia="en-IN"/>
        </w:rPr>
        <w:t>kartą per</w:t>
      </w:r>
      <w:r w:rsidR="008762F8" w:rsidRPr="001839C2">
        <w:rPr>
          <w:rFonts w:eastAsiaTheme="minorEastAsia"/>
          <w:snapToGrid/>
          <w:szCs w:val="22"/>
          <w:lang w:val="lt-LT" w:eastAsia="en-IN"/>
        </w:rPr>
        <w:t> </w:t>
      </w:r>
      <w:r w:rsidRPr="001839C2">
        <w:rPr>
          <w:rFonts w:eastAsiaTheme="minorEastAsia"/>
          <w:snapToGrid/>
          <w:szCs w:val="22"/>
          <w:lang w:val="lt-LT" w:eastAsia="en-IN"/>
        </w:rPr>
        <w:t>parą emtricitabinu ir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w:t>
      </w:r>
      <w:r w:rsidR="008762F8" w:rsidRPr="001839C2">
        <w:rPr>
          <w:rFonts w:eastAsiaTheme="minorEastAsia"/>
          <w:snapToGrid/>
          <w:szCs w:val="22"/>
          <w:lang w:val="lt-LT" w:eastAsia="en-IN"/>
        </w:rPr>
        <w:t>ka</w:t>
      </w:r>
      <w:r w:rsidRPr="001839C2">
        <w:rPr>
          <w:rFonts w:eastAsiaTheme="minorEastAsia"/>
          <w:snapToGrid/>
          <w:szCs w:val="22"/>
          <w:lang w:val="lt-LT" w:eastAsia="en-IN"/>
        </w:rPr>
        <w:t>r</w:t>
      </w:r>
      <w:r w:rsidR="008762F8" w:rsidRPr="001839C2">
        <w:rPr>
          <w:rFonts w:eastAsiaTheme="minorEastAsia"/>
          <w:snapToGrid/>
          <w:szCs w:val="22"/>
          <w:lang w:val="lt-LT" w:eastAsia="en-IN"/>
        </w:rPr>
        <w:t>tu</w:t>
      </w:r>
      <w:r w:rsidRPr="001839C2">
        <w:rPr>
          <w:rFonts w:eastAsiaTheme="minorEastAsia"/>
          <w:snapToGrid/>
          <w:szCs w:val="22"/>
          <w:lang w:val="lt-LT" w:eastAsia="en-IN"/>
        </w:rPr>
        <w:t xml:space="preserve"> su lopinavir</w:t>
      </w:r>
      <w:r w:rsidR="008762F8"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8762F8" w:rsidRPr="001839C2">
        <w:rPr>
          <w:rFonts w:eastAsiaTheme="minorEastAsia"/>
          <w:snapToGrid/>
          <w:szCs w:val="22"/>
          <w:lang w:val="lt-LT" w:eastAsia="en-IN"/>
        </w:rPr>
        <w:t>ir</w:t>
      </w:r>
      <w:r w:rsidRPr="001839C2">
        <w:rPr>
          <w:rFonts w:eastAsiaTheme="minorEastAsia"/>
          <w:snapToGrid/>
          <w:szCs w:val="22"/>
          <w:lang w:val="lt-LT" w:eastAsia="en-IN"/>
        </w:rPr>
        <w:t xml:space="preserve"> ritonavir</w:t>
      </w:r>
      <w:r w:rsidR="008762F8" w:rsidRPr="001839C2">
        <w:rPr>
          <w:rFonts w:eastAsiaTheme="minorEastAsia"/>
          <w:snapToGrid/>
          <w:szCs w:val="22"/>
          <w:lang w:val="lt-LT" w:eastAsia="en-IN"/>
        </w:rPr>
        <w:t>o derini</w:t>
      </w:r>
      <w:r w:rsidRPr="001839C2">
        <w:rPr>
          <w:rFonts w:eastAsiaTheme="minorEastAsia"/>
          <w:snapToGrid/>
          <w:szCs w:val="22"/>
          <w:lang w:val="lt-LT" w:eastAsia="en-IN"/>
        </w:rPr>
        <w:t>u, vartojam</w:t>
      </w:r>
      <w:r w:rsidR="008762F8" w:rsidRPr="001839C2">
        <w:rPr>
          <w:rFonts w:eastAsiaTheme="minorEastAsia"/>
          <w:snapToGrid/>
          <w:szCs w:val="22"/>
          <w:lang w:val="lt-LT" w:eastAsia="en-IN"/>
        </w:rPr>
        <w:t>u</w:t>
      </w:r>
      <w:r w:rsidRPr="001839C2">
        <w:rPr>
          <w:rFonts w:eastAsiaTheme="minorEastAsia"/>
          <w:snapToGrid/>
          <w:szCs w:val="22"/>
          <w:lang w:val="lt-LT" w:eastAsia="en-IN"/>
        </w:rPr>
        <w:t xml:space="preserve"> vieną arba du</w:t>
      </w:r>
      <w:r w:rsidR="008762F8" w:rsidRPr="001839C2">
        <w:rPr>
          <w:rFonts w:eastAsiaTheme="minorEastAsia"/>
          <w:snapToGrid/>
          <w:szCs w:val="22"/>
          <w:lang w:val="lt-LT" w:eastAsia="en-IN"/>
        </w:rPr>
        <w:t> </w:t>
      </w:r>
      <w:r w:rsidRPr="001839C2">
        <w:rPr>
          <w:rFonts w:eastAsiaTheme="minorEastAsia"/>
          <w:snapToGrid/>
          <w:szCs w:val="22"/>
          <w:lang w:val="lt-LT" w:eastAsia="en-IN"/>
        </w:rPr>
        <w:t>kartus per</w:t>
      </w:r>
      <w:r w:rsidR="008762F8" w:rsidRPr="001839C2">
        <w:rPr>
          <w:rFonts w:eastAsiaTheme="minorEastAsia"/>
          <w:snapToGrid/>
          <w:szCs w:val="22"/>
          <w:lang w:val="lt-LT" w:eastAsia="en-IN"/>
        </w:rPr>
        <w:t> </w:t>
      </w:r>
      <w:r w:rsidRPr="001839C2">
        <w:rPr>
          <w:rFonts w:eastAsiaTheme="minorEastAsia"/>
          <w:snapToGrid/>
          <w:szCs w:val="22"/>
          <w:lang w:val="lt-LT" w:eastAsia="en-IN"/>
        </w:rPr>
        <w:t xml:space="preserve">parą. Po 48 </w:t>
      </w:r>
      <w:r w:rsidRPr="001839C2">
        <w:rPr>
          <w:rFonts w:eastAsiaTheme="minorEastAsia"/>
          <w:snapToGrid/>
          <w:szCs w:val="22"/>
          <w:lang w:val="lt-LT" w:eastAsia="en-IN"/>
        </w:rPr>
        <w:lastRenderedPageBreak/>
        <w:t>gydymo savaičių stebėta ŽIV</w:t>
      </w:r>
      <w:r w:rsidR="008762F8" w:rsidRPr="001839C2">
        <w:rPr>
          <w:rFonts w:eastAsiaTheme="minorEastAsia"/>
          <w:snapToGrid/>
          <w:szCs w:val="22"/>
          <w:lang w:val="lt-LT" w:eastAsia="en-IN"/>
        </w:rPr>
        <w:noBreakHyphen/>
      </w:r>
      <w:r w:rsidRPr="001839C2">
        <w:rPr>
          <w:rFonts w:eastAsiaTheme="minorEastAsia"/>
          <w:snapToGrid/>
          <w:szCs w:val="22"/>
          <w:lang w:val="lt-LT" w:eastAsia="en-IN"/>
        </w:rPr>
        <w:t>1</w:t>
      </w:r>
      <w:r w:rsidR="008762F8" w:rsidRPr="001839C2">
        <w:rPr>
          <w:rFonts w:eastAsiaTheme="minorEastAsia"/>
          <w:snapToGrid/>
          <w:szCs w:val="22"/>
          <w:lang w:val="lt-LT" w:eastAsia="en-IN"/>
        </w:rPr>
        <w:t> </w:t>
      </w:r>
      <w:r w:rsidRPr="001839C2">
        <w:rPr>
          <w:rFonts w:eastAsiaTheme="minorEastAsia"/>
          <w:snapToGrid/>
          <w:szCs w:val="22"/>
          <w:lang w:val="lt-LT" w:eastAsia="en-IN"/>
        </w:rPr>
        <w:t>RNR</w:t>
      </w:r>
      <w:r w:rsidR="000C0D49" w:rsidRPr="001839C2">
        <w:rPr>
          <w:rFonts w:eastAsiaTheme="minorEastAsia"/>
          <w:snapToGrid/>
          <w:szCs w:val="22"/>
          <w:lang w:val="lt-LT" w:eastAsia="en-IN"/>
        </w:rPr>
        <w:t> </w:t>
      </w:r>
      <w:r w:rsidRPr="001839C2">
        <w:rPr>
          <w:rFonts w:eastAsiaTheme="minorEastAsia"/>
          <w:snapToGrid/>
          <w:szCs w:val="22"/>
          <w:lang w:val="lt-LT" w:eastAsia="en-IN"/>
        </w:rPr>
        <w:t>k</w:t>
      </w:r>
      <w:r w:rsidR="00EE33EC" w:rsidRPr="001839C2">
        <w:rPr>
          <w:rFonts w:eastAsiaTheme="minorEastAsia"/>
          <w:snapToGrid/>
          <w:szCs w:val="22"/>
          <w:lang w:val="lt-LT" w:eastAsia="en-IN"/>
        </w:rPr>
        <w:t>oncentrac</w:t>
      </w:r>
      <w:r w:rsidRPr="001839C2">
        <w:rPr>
          <w:rFonts w:eastAsiaTheme="minorEastAsia"/>
          <w:snapToGrid/>
          <w:szCs w:val="22"/>
          <w:lang w:val="lt-LT" w:eastAsia="en-IN"/>
        </w:rPr>
        <w:t>i</w:t>
      </w:r>
      <w:r w:rsidR="00EE33EC" w:rsidRPr="001839C2">
        <w:rPr>
          <w:rFonts w:eastAsiaTheme="minorEastAsia"/>
          <w:snapToGrid/>
          <w:szCs w:val="22"/>
          <w:lang w:val="lt-LT" w:eastAsia="en-IN"/>
        </w:rPr>
        <w:t>ja</w:t>
      </w:r>
      <w:r w:rsidRPr="001839C2">
        <w:rPr>
          <w:rFonts w:eastAsiaTheme="minorEastAsia"/>
          <w:snapToGrid/>
          <w:szCs w:val="22"/>
          <w:lang w:val="lt-LT" w:eastAsia="en-IN"/>
        </w:rPr>
        <w:t xml:space="preserve"> &lt;</w:t>
      </w:r>
      <w:r w:rsidR="008762F8" w:rsidRPr="001839C2">
        <w:rPr>
          <w:rFonts w:eastAsiaTheme="minorEastAsia"/>
          <w:snapToGrid/>
          <w:szCs w:val="22"/>
          <w:lang w:val="lt-LT" w:eastAsia="en-IN"/>
        </w:rPr>
        <w:t> </w:t>
      </w:r>
      <w:r w:rsidRPr="001839C2">
        <w:rPr>
          <w:rFonts w:eastAsiaTheme="minorEastAsia"/>
          <w:snapToGrid/>
          <w:szCs w:val="22"/>
          <w:lang w:val="lt-LT" w:eastAsia="en-IN"/>
        </w:rPr>
        <w:t>50</w:t>
      </w:r>
      <w:r w:rsidR="008762F8" w:rsidRPr="001839C2">
        <w:rPr>
          <w:rFonts w:eastAsiaTheme="minorEastAsia"/>
          <w:snapToGrid/>
          <w:szCs w:val="22"/>
          <w:lang w:val="lt-LT" w:eastAsia="en-IN"/>
        </w:rPr>
        <w:t> </w:t>
      </w:r>
      <w:r w:rsidRPr="001839C2">
        <w:rPr>
          <w:rFonts w:eastAsiaTheme="minorEastAsia"/>
          <w:snapToGrid/>
          <w:szCs w:val="22"/>
          <w:lang w:val="lt-LT" w:eastAsia="en-IN"/>
        </w:rPr>
        <w:t>kopijų/ml 70</w:t>
      </w:r>
      <w:r w:rsidR="008762F8" w:rsidRPr="001839C2">
        <w:rPr>
          <w:rFonts w:eastAsiaTheme="minorEastAsia"/>
          <w:snapToGrid/>
          <w:szCs w:val="22"/>
          <w:lang w:val="lt-LT" w:eastAsia="en-IN"/>
        </w:rPr>
        <w:t> </w:t>
      </w:r>
      <w:r w:rsidRPr="001839C2">
        <w:rPr>
          <w:rFonts w:eastAsiaTheme="minorEastAsia"/>
          <w:snapToGrid/>
          <w:szCs w:val="22"/>
          <w:lang w:val="lt-LT" w:eastAsia="en-IN"/>
        </w:rPr>
        <w:t>% ir 64</w:t>
      </w:r>
      <w:r w:rsidR="008762F8" w:rsidRPr="001839C2">
        <w:rPr>
          <w:rFonts w:eastAsiaTheme="minorEastAsia"/>
          <w:snapToGrid/>
          <w:szCs w:val="22"/>
          <w:lang w:val="lt-LT" w:eastAsia="en-IN"/>
        </w:rPr>
        <w:t> </w:t>
      </w:r>
      <w:r w:rsidRPr="001839C2">
        <w:rPr>
          <w:rFonts w:eastAsiaTheme="minorEastAsia"/>
          <w:snapToGrid/>
          <w:szCs w:val="22"/>
          <w:lang w:val="lt-LT" w:eastAsia="en-IN"/>
        </w:rPr>
        <w:t xml:space="preserve">% lopinaviro </w:t>
      </w:r>
      <w:r w:rsidR="008762F8" w:rsidRPr="001839C2">
        <w:rPr>
          <w:rFonts w:eastAsiaTheme="minorEastAsia"/>
          <w:snapToGrid/>
          <w:szCs w:val="22"/>
          <w:lang w:val="lt-LT" w:eastAsia="en-IN"/>
        </w:rPr>
        <w:t>ir</w:t>
      </w:r>
      <w:r w:rsidRPr="001839C2">
        <w:rPr>
          <w:rFonts w:eastAsiaTheme="minorEastAsia"/>
          <w:snapToGrid/>
          <w:szCs w:val="22"/>
          <w:lang w:val="lt-LT" w:eastAsia="en-IN"/>
        </w:rPr>
        <w:t xml:space="preserve"> ritonaviro</w:t>
      </w:r>
      <w:r w:rsidR="008762F8"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grupėje atitinkamai vaist</w:t>
      </w:r>
      <w:r w:rsidR="008762F8" w:rsidRPr="001839C2">
        <w:rPr>
          <w:rFonts w:eastAsiaTheme="minorEastAsia"/>
          <w:snapToGrid/>
          <w:szCs w:val="22"/>
          <w:lang w:val="lt-LT" w:eastAsia="en-IN"/>
        </w:rPr>
        <w:t>inį preparat</w:t>
      </w:r>
      <w:r w:rsidRPr="001839C2">
        <w:rPr>
          <w:rFonts w:eastAsiaTheme="minorEastAsia"/>
          <w:snapToGrid/>
          <w:szCs w:val="22"/>
          <w:lang w:val="lt-LT" w:eastAsia="en-IN"/>
        </w:rPr>
        <w:t>ą skiriant vieną arba du</w:t>
      </w:r>
      <w:r w:rsidR="008762F8" w:rsidRPr="001839C2">
        <w:rPr>
          <w:rFonts w:eastAsiaTheme="minorEastAsia"/>
          <w:snapToGrid/>
          <w:szCs w:val="22"/>
          <w:lang w:val="lt-LT" w:eastAsia="en-IN"/>
        </w:rPr>
        <w:t> </w:t>
      </w:r>
      <w:r w:rsidRPr="001839C2">
        <w:rPr>
          <w:rFonts w:eastAsiaTheme="minorEastAsia"/>
          <w:snapToGrid/>
          <w:szCs w:val="22"/>
          <w:lang w:val="lt-LT" w:eastAsia="en-IN"/>
        </w:rPr>
        <w:t>kartus per</w:t>
      </w:r>
      <w:r w:rsidR="008762F8" w:rsidRPr="001839C2">
        <w:rPr>
          <w:rFonts w:eastAsiaTheme="minorEastAsia"/>
          <w:snapToGrid/>
          <w:szCs w:val="22"/>
          <w:lang w:val="lt-LT" w:eastAsia="en-IN"/>
        </w:rPr>
        <w:t> </w:t>
      </w:r>
      <w:r w:rsidRPr="001839C2">
        <w:rPr>
          <w:rFonts w:eastAsiaTheme="minorEastAsia"/>
          <w:snapToGrid/>
          <w:szCs w:val="22"/>
          <w:lang w:val="lt-LT" w:eastAsia="en-IN"/>
        </w:rPr>
        <w:t>parą. Vidutinis CD4</w:t>
      </w:r>
      <w:r w:rsidR="008762F8" w:rsidRPr="001839C2">
        <w:rPr>
          <w:rFonts w:eastAsiaTheme="minorEastAsia"/>
          <w:snapToGrid/>
          <w:szCs w:val="22"/>
          <w:lang w:val="lt-LT" w:eastAsia="en-IN"/>
        </w:rPr>
        <w:t> </w:t>
      </w:r>
      <w:r w:rsidRPr="001839C2">
        <w:rPr>
          <w:rFonts w:eastAsiaTheme="minorEastAsia"/>
          <w:snapToGrid/>
          <w:szCs w:val="22"/>
          <w:lang w:val="lt-LT" w:eastAsia="en-IN"/>
        </w:rPr>
        <w:t>ląstelių kiekio pokytis, lyginant su pradiniu, atitinkamai buvo +185</w:t>
      </w:r>
      <w:r w:rsidR="008762F8" w:rsidRPr="001839C2">
        <w:rPr>
          <w:rFonts w:eastAsiaTheme="minorEastAsia"/>
          <w:snapToGrid/>
          <w:szCs w:val="22"/>
          <w:lang w:val="lt-LT" w:eastAsia="en-IN"/>
        </w:rPr>
        <w:t> </w:t>
      </w:r>
      <w:r w:rsidRPr="001839C2">
        <w:rPr>
          <w:rFonts w:eastAsiaTheme="minorEastAsia"/>
          <w:snapToGrid/>
          <w:szCs w:val="22"/>
          <w:lang w:val="lt-LT" w:eastAsia="en-IN"/>
        </w:rPr>
        <w:t>ląstelės/mm</w:t>
      </w:r>
      <w:r w:rsidRPr="001839C2">
        <w:rPr>
          <w:rFonts w:eastAsiaTheme="minorEastAsia"/>
          <w:snapToGrid/>
          <w:szCs w:val="22"/>
          <w:vertAlign w:val="superscript"/>
          <w:lang w:val="lt-LT" w:eastAsia="en-IN"/>
        </w:rPr>
        <w:t>3</w:t>
      </w:r>
      <w:r w:rsidRPr="001839C2">
        <w:rPr>
          <w:rFonts w:eastAsiaTheme="minorEastAsia"/>
          <w:snapToGrid/>
          <w:szCs w:val="22"/>
          <w:lang w:val="lt-LT" w:eastAsia="en-IN"/>
        </w:rPr>
        <w:t xml:space="preserve"> ir +196</w:t>
      </w:r>
      <w:r w:rsidR="008762F8" w:rsidRPr="001839C2">
        <w:rPr>
          <w:rFonts w:eastAsiaTheme="minorEastAsia"/>
          <w:snapToGrid/>
          <w:szCs w:val="22"/>
          <w:lang w:val="lt-LT" w:eastAsia="en-IN"/>
        </w:rPr>
        <w:t> </w:t>
      </w:r>
      <w:r w:rsidRPr="001839C2">
        <w:rPr>
          <w:rFonts w:eastAsiaTheme="minorEastAsia"/>
          <w:snapToGrid/>
          <w:szCs w:val="22"/>
          <w:lang w:val="lt-LT" w:eastAsia="en-IN"/>
        </w:rPr>
        <w:t>ląstelės/mm</w:t>
      </w:r>
      <w:r w:rsidRPr="001839C2">
        <w:rPr>
          <w:rFonts w:eastAsiaTheme="minorEastAsia"/>
          <w:snapToGrid/>
          <w:szCs w:val="22"/>
          <w:vertAlign w:val="superscript"/>
          <w:lang w:val="lt-LT" w:eastAsia="en-IN"/>
        </w:rPr>
        <w:t>3</w:t>
      </w:r>
      <w:r w:rsidRPr="001839C2">
        <w:rPr>
          <w:rFonts w:eastAsiaTheme="minorEastAsia"/>
          <w:snapToGrid/>
          <w:szCs w:val="22"/>
          <w:lang w:val="lt-LT" w:eastAsia="en-IN"/>
        </w:rPr>
        <w:t>.</w:t>
      </w:r>
    </w:p>
    <w:p w14:paraId="5B69083C"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76DBFEF"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Remiantis ribota klinikine patirtimi su pacientais, infekuotais ir ŽIV, ir HBV</w:t>
      </w:r>
      <w:r w:rsidR="000C0D49" w:rsidRPr="001839C2">
        <w:rPr>
          <w:rFonts w:eastAsiaTheme="minorEastAsia"/>
          <w:snapToGrid/>
          <w:szCs w:val="22"/>
          <w:lang w:val="lt-LT" w:eastAsia="en-IN"/>
        </w:rPr>
        <w:t>,</w:t>
      </w:r>
      <w:r w:rsidRPr="001839C2">
        <w:rPr>
          <w:rFonts w:eastAsiaTheme="minorEastAsia"/>
          <w:snapToGrid/>
          <w:szCs w:val="22"/>
          <w:lang w:val="lt-LT" w:eastAsia="en-IN"/>
        </w:rPr>
        <w:t xml:space="preserve"> nustatyta, kad, skiriant emtricitabin</w:t>
      </w:r>
      <w:r w:rsidR="008762F8" w:rsidRPr="001839C2">
        <w:rPr>
          <w:rFonts w:eastAsiaTheme="minorEastAsia"/>
          <w:snapToGrid/>
          <w:szCs w:val="22"/>
          <w:lang w:val="lt-LT" w:eastAsia="en-IN"/>
        </w:rPr>
        <w:t>o</w:t>
      </w:r>
      <w:r w:rsidRPr="001839C2">
        <w:rPr>
          <w:rFonts w:eastAsiaTheme="minorEastAsia"/>
          <w:snapToGrid/>
          <w:szCs w:val="22"/>
          <w:lang w:val="lt-LT" w:eastAsia="en-IN"/>
        </w:rPr>
        <w:t xml:space="preserve"> arba tenofoviro dizoproksil</w:t>
      </w:r>
      <w:r w:rsidR="008762F8" w:rsidRPr="001839C2">
        <w:rPr>
          <w:rFonts w:eastAsiaTheme="minorEastAsia"/>
          <w:snapToGrid/>
          <w:szCs w:val="22"/>
          <w:lang w:val="lt-LT" w:eastAsia="en-IN"/>
        </w:rPr>
        <w:t>io</w:t>
      </w:r>
      <w:r w:rsidRPr="001839C2">
        <w:rPr>
          <w:rFonts w:eastAsiaTheme="minorEastAsia"/>
          <w:snapToGrid/>
          <w:szCs w:val="22"/>
          <w:lang w:val="lt-LT" w:eastAsia="en-IN"/>
        </w:rPr>
        <w:t xml:space="preserve"> kombinuotam antiretrovirusiniam ŽIV</w:t>
      </w:r>
      <w:r w:rsidR="008762F8" w:rsidRPr="001839C2">
        <w:rPr>
          <w:rFonts w:eastAsiaTheme="minorEastAsia"/>
          <w:snapToGrid/>
          <w:szCs w:val="22"/>
          <w:lang w:val="lt-LT" w:eastAsia="en-IN"/>
        </w:rPr>
        <w:t> </w:t>
      </w:r>
      <w:r w:rsidRPr="001839C2">
        <w:rPr>
          <w:rFonts w:eastAsiaTheme="minorEastAsia"/>
          <w:snapToGrid/>
          <w:szCs w:val="22"/>
          <w:lang w:val="lt-LT" w:eastAsia="en-IN"/>
        </w:rPr>
        <w:t>infekcijos gydymui, sumažėja HBV</w:t>
      </w:r>
      <w:r w:rsidR="008762F8" w:rsidRPr="001839C2">
        <w:rPr>
          <w:rFonts w:eastAsiaTheme="minorEastAsia"/>
          <w:snapToGrid/>
          <w:szCs w:val="22"/>
          <w:lang w:val="lt-LT" w:eastAsia="en-IN"/>
        </w:rPr>
        <w:t> </w:t>
      </w:r>
      <w:r w:rsidRPr="001839C2">
        <w:rPr>
          <w:rFonts w:eastAsiaTheme="minorEastAsia"/>
          <w:snapToGrid/>
          <w:szCs w:val="22"/>
          <w:lang w:val="lt-LT" w:eastAsia="en-IN"/>
        </w:rPr>
        <w:t>DNR (3</w:t>
      </w:r>
      <w:r w:rsidR="008762F8" w:rsidRPr="001839C2">
        <w:rPr>
          <w:rFonts w:eastAsiaTheme="minorEastAsia"/>
          <w:snapToGrid/>
          <w:szCs w:val="22"/>
          <w:lang w:val="lt-LT" w:eastAsia="en-IN"/>
        </w:rPr>
        <w:t> </w:t>
      </w:r>
      <w:r w:rsidRPr="001839C2">
        <w:rPr>
          <w:rFonts w:eastAsiaTheme="minorEastAsia"/>
          <w:snapToGrid/>
          <w:szCs w:val="22"/>
          <w:lang w:val="lt-LT" w:eastAsia="en-IN"/>
        </w:rPr>
        <w:t>log</w:t>
      </w:r>
      <w:r w:rsidRPr="001839C2">
        <w:rPr>
          <w:rFonts w:eastAsiaTheme="minorEastAsia"/>
          <w:snapToGrid/>
          <w:szCs w:val="22"/>
          <w:vertAlign w:val="subscript"/>
          <w:lang w:val="lt-LT" w:eastAsia="en-IN"/>
        </w:rPr>
        <w:t>10</w:t>
      </w:r>
      <w:r w:rsidRPr="001839C2">
        <w:rPr>
          <w:rFonts w:eastAsiaTheme="minorEastAsia"/>
          <w:snapToGrid/>
          <w:szCs w:val="22"/>
          <w:lang w:val="lt-LT" w:eastAsia="en-IN"/>
        </w:rPr>
        <w:t xml:space="preserve"> sumažėjimas arba, atitinkamai, nuo 4 iki 5</w:t>
      </w:r>
      <w:r w:rsidR="008762F8" w:rsidRPr="001839C2">
        <w:rPr>
          <w:rFonts w:eastAsiaTheme="minorEastAsia"/>
          <w:snapToGrid/>
          <w:szCs w:val="22"/>
          <w:lang w:val="lt-LT" w:eastAsia="en-IN"/>
        </w:rPr>
        <w:t> </w:t>
      </w:r>
      <w:r w:rsidRPr="001839C2">
        <w:rPr>
          <w:rFonts w:eastAsiaTheme="minorEastAsia"/>
          <w:snapToGrid/>
          <w:szCs w:val="22"/>
          <w:lang w:val="lt-LT" w:eastAsia="en-IN"/>
        </w:rPr>
        <w:t>log</w:t>
      </w:r>
      <w:r w:rsidRPr="001839C2">
        <w:rPr>
          <w:rFonts w:eastAsiaTheme="minorEastAsia"/>
          <w:snapToGrid/>
          <w:szCs w:val="22"/>
          <w:vertAlign w:val="subscript"/>
          <w:lang w:val="lt-LT" w:eastAsia="en-IN"/>
        </w:rPr>
        <w:t>10</w:t>
      </w:r>
      <w:r w:rsidRPr="001839C2">
        <w:rPr>
          <w:rFonts w:eastAsiaTheme="minorEastAsia"/>
          <w:snapToGrid/>
          <w:szCs w:val="22"/>
          <w:lang w:val="lt-LT" w:eastAsia="en-IN"/>
        </w:rPr>
        <w:t xml:space="preserve"> sumažėjimas)</w:t>
      </w:r>
      <w:r w:rsidR="008762F8" w:rsidRPr="001839C2">
        <w:rPr>
          <w:rFonts w:eastAsiaTheme="minorEastAsia"/>
          <w:snapToGrid/>
          <w:szCs w:val="22"/>
          <w:lang w:val="lt-LT" w:eastAsia="en-IN"/>
        </w:rPr>
        <w:t xml:space="preserve"> </w:t>
      </w:r>
      <w:r w:rsidRPr="001839C2">
        <w:rPr>
          <w:rFonts w:eastAsiaTheme="minorEastAsia"/>
          <w:snapToGrid/>
          <w:szCs w:val="22"/>
          <w:lang w:val="lt-LT" w:eastAsia="en-IN"/>
        </w:rPr>
        <w:t>(žr.</w:t>
      </w:r>
      <w:r w:rsidR="008762F8" w:rsidRPr="001839C2">
        <w:rPr>
          <w:rFonts w:eastAsiaTheme="minorEastAsia"/>
          <w:snapToGrid/>
          <w:szCs w:val="22"/>
          <w:lang w:val="lt-LT" w:eastAsia="en-IN"/>
        </w:rPr>
        <w:t> </w:t>
      </w:r>
      <w:r w:rsidRPr="001839C2">
        <w:rPr>
          <w:rFonts w:eastAsiaTheme="minorEastAsia"/>
          <w:snapToGrid/>
          <w:szCs w:val="22"/>
          <w:lang w:val="lt-LT" w:eastAsia="en-IN"/>
        </w:rPr>
        <w:t>4.4</w:t>
      </w:r>
      <w:r w:rsidR="008762F8" w:rsidRPr="001839C2">
        <w:rPr>
          <w:rFonts w:eastAsiaTheme="minorEastAsia"/>
          <w:snapToGrid/>
          <w:szCs w:val="22"/>
          <w:lang w:val="lt-LT" w:eastAsia="en-IN"/>
        </w:rPr>
        <w:t> </w:t>
      </w:r>
      <w:r w:rsidRPr="001839C2">
        <w:rPr>
          <w:rFonts w:eastAsiaTheme="minorEastAsia"/>
          <w:snapToGrid/>
          <w:szCs w:val="22"/>
          <w:lang w:val="lt-LT" w:eastAsia="en-IN"/>
        </w:rPr>
        <w:t>skyrių).</w:t>
      </w:r>
    </w:p>
    <w:p w14:paraId="7869215E"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432026A" w14:textId="77777777" w:rsidR="008762F8"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Priešekspozicinė profilaktika</w:t>
      </w:r>
    </w:p>
    <w:p w14:paraId="3D9392AC" w14:textId="77777777" w:rsidR="002A5F50" w:rsidRPr="001839C2" w:rsidRDefault="008762F8"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w:t>
      </w:r>
      <w:r w:rsidR="002A5F50" w:rsidRPr="001839C2">
        <w:rPr>
          <w:rFonts w:eastAsiaTheme="minorEastAsia"/>
          <w:snapToGrid/>
          <w:szCs w:val="22"/>
          <w:lang w:val="lt-LT" w:eastAsia="en-IN"/>
        </w:rPr>
        <w:t>yrimu</w:t>
      </w:r>
      <w:r w:rsidRPr="001839C2">
        <w:rPr>
          <w:rFonts w:eastAsiaTheme="minorEastAsia"/>
          <w:snapToGrid/>
          <w:szCs w:val="22"/>
          <w:lang w:val="lt-LT" w:eastAsia="en-IN"/>
        </w:rPr>
        <w:t> </w:t>
      </w:r>
      <w:r w:rsidR="002A5F50" w:rsidRPr="001839C2">
        <w:rPr>
          <w:rFonts w:eastAsiaTheme="minorEastAsia"/>
          <w:snapToGrid/>
          <w:szCs w:val="22"/>
          <w:lang w:val="lt-LT" w:eastAsia="en-IN"/>
        </w:rPr>
        <w:t>iPrEx</w:t>
      </w:r>
      <w:r w:rsidR="000C0D49" w:rsidRPr="001839C2">
        <w:rPr>
          <w:rFonts w:eastAsiaTheme="minorEastAsia"/>
          <w:snapToGrid/>
          <w:szCs w:val="22"/>
          <w:lang w:val="lt-LT" w:eastAsia="en-IN"/>
        </w:rPr>
        <w:t> </w:t>
      </w:r>
      <w:r w:rsidR="002A5F50" w:rsidRPr="001839C2">
        <w:rPr>
          <w:rFonts w:eastAsiaTheme="minorEastAsia"/>
          <w:snapToGrid/>
          <w:szCs w:val="22"/>
          <w:lang w:val="lt-LT" w:eastAsia="en-IN"/>
        </w:rPr>
        <w:t>(CO</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US</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104</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0288) buvo vertinamas emtricitabino</w:t>
      </w:r>
      <w:r w:rsidRPr="001839C2">
        <w:rPr>
          <w:rFonts w:eastAsiaTheme="minorEastAsia"/>
          <w:snapToGrid/>
          <w:szCs w:val="22"/>
          <w:lang w:val="lt-LT" w:eastAsia="en-IN"/>
        </w:rPr>
        <w:t xml:space="preserve"> ir </w:t>
      </w:r>
      <w:r w:rsidR="002A5F50" w:rsidRPr="001839C2">
        <w:rPr>
          <w:rFonts w:eastAsiaTheme="minorEastAsia"/>
          <w:snapToGrid/>
          <w:szCs w:val="22"/>
          <w:lang w:val="lt-LT" w:eastAsia="en-IN"/>
        </w:rPr>
        <w:t>tenofoviro dizoproksil</w:t>
      </w:r>
      <w:r w:rsidR="00A45872" w:rsidRPr="001839C2">
        <w:rPr>
          <w:rFonts w:eastAsiaTheme="minorEastAsia"/>
          <w:snapToGrid/>
          <w:szCs w:val="22"/>
          <w:lang w:val="lt-LT" w:eastAsia="en-IN"/>
        </w:rPr>
        <w:t>i</w:t>
      </w:r>
      <w:r w:rsidR="002A5F50" w:rsidRPr="001839C2">
        <w:rPr>
          <w:rFonts w:eastAsiaTheme="minorEastAsia"/>
          <w:snapToGrid/>
          <w:szCs w:val="22"/>
          <w:lang w:val="lt-LT" w:eastAsia="en-IN"/>
        </w:rPr>
        <w:t>o</w:t>
      </w:r>
      <w:r w:rsidRPr="001839C2">
        <w:rPr>
          <w:rFonts w:eastAsiaTheme="minorEastAsia"/>
          <w:snapToGrid/>
          <w:szCs w:val="22"/>
          <w:lang w:val="lt-LT" w:eastAsia="en-IN"/>
        </w:rPr>
        <w:t xml:space="preserve"> derinio</w:t>
      </w:r>
      <w:r w:rsidR="002A5F50" w:rsidRPr="001839C2" w:rsidDel="002B71B2">
        <w:rPr>
          <w:rFonts w:eastAsiaTheme="minorEastAsia"/>
          <w:snapToGrid/>
          <w:szCs w:val="22"/>
          <w:lang w:val="lt-LT" w:eastAsia="en-IN"/>
        </w:rPr>
        <w:t xml:space="preserve"> </w:t>
      </w:r>
      <w:r w:rsidR="002A5F50" w:rsidRPr="001839C2">
        <w:rPr>
          <w:rFonts w:eastAsiaTheme="minorEastAsia"/>
          <w:snapToGrid/>
          <w:szCs w:val="22"/>
          <w:lang w:val="lt-LT" w:eastAsia="en-IN"/>
        </w:rPr>
        <w:t>200</w:t>
      </w:r>
      <w:r w:rsidRPr="001839C2">
        <w:rPr>
          <w:rFonts w:eastAsiaTheme="minorEastAsia"/>
          <w:snapToGrid/>
          <w:szCs w:val="22"/>
          <w:lang w:val="lt-LT" w:eastAsia="en-IN"/>
        </w:rPr>
        <w:t> </w:t>
      </w:r>
      <w:r w:rsidR="002A5F50" w:rsidRPr="001839C2">
        <w:rPr>
          <w:rFonts w:eastAsiaTheme="minorEastAsia"/>
          <w:snapToGrid/>
          <w:szCs w:val="22"/>
          <w:lang w:val="lt-LT" w:eastAsia="en-IN"/>
        </w:rPr>
        <w:t>mg/245</w:t>
      </w:r>
      <w:r w:rsidRPr="001839C2">
        <w:rPr>
          <w:rFonts w:eastAsiaTheme="minorEastAsia"/>
          <w:snapToGrid/>
          <w:szCs w:val="22"/>
          <w:lang w:val="lt-LT" w:eastAsia="en-IN"/>
        </w:rPr>
        <w:t> </w:t>
      </w:r>
      <w:r w:rsidR="002A5F50" w:rsidRPr="001839C2">
        <w:rPr>
          <w:rFonts w:eastAsiaTheme="minorEastAsia"/>
          <w:snapToGrid/>
          <w:szCs w:val="22"/>
          <w:lang w:val="lt-LT" w:eastAsia="en-IN"/>
        </w:rPr>
        <w:t>mg tablečių</w:t>
      </w:r>
      <w:r w:rsidR="002A5F50" w:rsidRPr="001839C2" w:rsidDel="00F46CAA">
        <w:rPr>
          <w:rFonts w:eastAsiaTheme="minorEastAsia"/>
          <w:snapToGrid/>
          <w:szCs w:val="22"/>
          <w:lang w:val="lt-LT" w:eastAsia="en-IN"/>
        </w:rPr>
        <w:t xml:space="preserve"> </w:t>
      </w:r>
      <w:r w:rsidR="002A5F50" w:rsidRPr="001839C2">
        <w:rPr>
          <w:rFonts w:eastAsiaTheme="minorEastAsia"/>
          <w:snapToGrid/>
          <w:szCs w:val="22"/>
          <w:lang w:val="lt-LT" w:eastAsia="en-IN"/>
        </w:rPr>
        <w:t>arba placebo poveikis 2</w:t>
      </w:r>
      <w:r w:rsidRPr="001839C2">
        <w:rPr>
          <w:rFonts w:eastAsiaTheme="minorEastAsia"/>
          <w:snapToGrid/>
          <w:szCs w:val="22"/>
          <w:lang w:val="lt-LT" w:eastAsia="en-IN"/>
        </w:rPr>
        <w:t> </w:t>
      </w:r>
      <w:r w:rsidR="002A5F50" w:rsidRPr="001839C2">
        <w:rPr>
          <w:rFonts w:eastAsiaTheme="minorEastAsia"/>
          <w:snapToGrid/>
          <w:szCs w:val="22"/>
          <w:lang w:val="lt-LT" w:eastAsia="en-IN"/>
        </w:rPr>
        <w:t>499 ŽIV</w:t>
      </w:r>
      <w:r w:rsidR="000C0D49" w:rsidRPr="001839C2">
        <w:rPr>
          <w:rFonts w:eastAsiaTheme="minorEastAsia"/>
          <w:snapToGrid/>
          <w:szCs w:val="22"/>
          <w:lang w:val="lt-LT" w:eastAsia="en-IN"/>
        </w:rPr>
        <w:t> </w:t>
      </w:r>
      <w:r w:rsidR="002A5F50" w:rsidRPr="001839C2">
        <w:rPr>
          <w:rFonts w:eastAsiaTheme="minorEastAsia"/>
          <w:snapToGrid/>
          <w:szCs w:val="22"/>
          <w:lang w:val="lt-LT" w:eastAsia="en-IN"/>
        </w:rPr>
        <w:t>neinfekuotiems vyrams (arba translytėms moterims), turintiems lytinių santykių su vyrais ir priklausantiems didelės ŽIV</w:t>
      </w:r>
      <w:r w:rsidRPr="001839C2">
        <w:rPr>
          <w:rFonts w:eastAsiaTheme="minorEastAsia"/>
          <w:snapToGrid/>
          <w:szCs w:val="22"/>
          <w:lang w:val="lt-LT" w:eastAsia="en-IN"/>
        </w:rPr>
        <w:t> </w:t>
      </w:r>
      <w:r w:rsidR="002A5F50" w:rsidRPr="001839C2">
        <w:rPr>
          <w:rFonts w:eastAsiaTheme="minorEastAsia"/>
          <w:snapToGrid/>
          <w:szCs w:val="22"/>
          <w:lang w:val="lt-LT" w:eastAsia="en-IN"/>
        </w:rPr>
        <w:t>infekcijos rizikos grupei. Tiriamieji buvo stebimi 4</w:t>
      </w:r>
      <w:r w:rsidR="00586A0A" w:rsidRPr="001839C2">
        <w:rPr>
          <w:rFonts w:eastAsiaTheme="minorEastAsia"/>
          <w:snapToGrid/>
          <w:szCs w:val="22"/>
          <w:lang w:val="lt-LT" w:eastAsia="en-IN"/>
        </w:rPr>
        <w:t> </w:t>
      </w:r>
      <w:r w:rsidR="002A5F50" w:rsidRPr="001839C2">
        <w:rPr>
          <w:rFonts w:eastAsiaTheme="minorEastAsia"/>
          <w:snapToGrid/>
          <w:szCs w:val="22"/>
          <w:lang w:val="lt-LT" w:eastAsia="en-IN"/>
        </w:rPr>
        <w:t>237</w:t>
      </w:r>
      <w:r w:rsidR="00586A0A" w:rsidRPr="001839C2">
        <w:rPr>
          <w:rFonts w:eastAsiaTheme="minorEastAsia"/>
          <w:snapToGrid/>
          <w:szCs w:val="22"/>
          <w:lang w:val="lt-LT" w:eastAsia="en-IN"/>
        </w:rPr>
        <w:t> </w:t>
      </w:r>
      <w:r w:rsidR="002A5F50" w:rsidRPr="001839C2">
        <w:rPr>
          <w:rFonts w:eastAsiaTheme="minorEastAsia"/>
          <w:snapToGrid/>
          <w:szCs w:val="22"/>
          <w:lang w:val="lt-LT" w:eastAsia="en-IN"/>
        </w:rPr>
        <w:t>žmogaus</w:t>
      </w:r>
      <w:r w:rsidR="00586A0A" w:rsidRPr="001839C2">
        <w:rPr>
          <w:rFonts w:eastAsiaTheme="minorEastAsia"/>
          <w:snapToGrid/>
          <w:szCs w:val="22"/>
          <w:lang w:val="lt-LT" w:eastAsia="en-IN"/>
        </w:rPr>
        <w:t> </w:t>
      </w:r>
      <w:r w:rsidR="002A5F50" w:rsidRPr="001839C2">
        <w:rPr>
          <w:rFonts w:eastAsiaTheme="minorEastAsia"/>
          <w:snapToGrid/>
          <w:szCs w:val="22"/>
          <w:lang w:val="lt-LT" w:eastAsia="en-IN"/>
        </w:rPr>
        <w:t>metus. Prieš pradedant tyrimą nustatytų savybių suvestinė pateikiama 5</w:t>
      </w:r>
      <w:r w:rsidRPr="001839C2">
        <w:rPr>
          <w:rFonts w:eastAsiaTheme="minorEastAsia"/>
          <w:snapToGrid/>
          <w:szCs w:val="22"/>
          <w:lang w:val="lt-LT" w:eastAsia="en-IN"/>
        </w:rPr>
        <w:t> </w:t>
      </w:r>
      <w:r w:rsidR="002A5F50" w:rsidRPr="001839C2">
        <w:rPr>
          <w:rFonts w:eastAsiaTheme="minorEastAsia"/>
          <w:snapToGrid/>
          <w:szCs w:val="22"/>
          <w:lang w:val="lt-LT" w:eastAsia="en-IN"/>
        </w:rPr>
        <w:t>lentelėje.</w:t>
      </w:r>
    </w:p>
    <w:p w14:paraId="616E9531"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A5E684B" w14:textId="77777777" w:rsidR="002A5F50" w:rsidRPr="001839C2" w:rsidRDefault="00022CC4" w:rsidP="00230559">
      <w:pPr>
        <w:keepNext/>
        <w:keepLines/>
        <w:tabs>
          <w:tab w:val="clear" w:pos="567"/>
          <w:tab w:val="left" w:pos="0"/>
          <w:tab w:val="left" w:pos="384"/>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5 </w:t>
      </w:r>
      <w:r w:rsidR="002A5F50" w:rsidRPr="001839C2">
        <w:rPr>
          <w:rFonts w:eastAsiaTheme="minorEastAsia"/>
          <w:b/>
          <w:bCs/>
          <w:snapToGrid/>
          <w:szCs w:val="22"/>
          <w:lang w:val="lt-LT" w:eastAsia="en-IN"/>
        </w:rPr>
        <w:t>lentelė. Tyrimo</w:t>
      </w:r>
      <w:r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CO</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US</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104</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0288</w:t>
      </w:r>
      <w:r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(iPrEx) tiriamoji populiacija</w:t>
      </w:r>
    </w:p>
    <w:p w14:paraId="42D3E9E0"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W w:w="9271" w:type="dxa"/>
        <w:tblLayout w:type="fixed"/>
        <w:tblCellMar>
          <w:left w:w="0" w:type="dxa"/>
          <w:right w:w="0" w:type="dxa"/>
        </w:tblCellMar>
        <w:tblLook w:val="0000" w:firstRow="0" w:lastRow="0" w:firstColumn="0" w:lastColumn="0" w:noHBand="0" w:noVBand="0"/>
      </w:tblPr>
      <w:tblGrid>
        <w:gridCol w:w="6098"/>
        <w:gridCol w:w="1428"/>
        <w:gridCol w:w="1745"/>
      </w:tblGrid>
      <w:tr w:rsidR="00DC41B7" w:rsidRPr="001839C2" w14:paraId="01E2A783"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56C00E0A"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1428" w:type="dxa"/>
            <w:tcBorders>
              <w:top w:val="single" w:sz="4" w:space="0" w:color="000000"/>
              <w:left w:val="single" w:sz="4" w:space="0" w:color="000000"/>
              <w:bottom w:val="single" w:sz="4" w:space="0" w:color="000000"/>
              <w:right w:val="single" w:sz="4" w:space="0" w:color="000000"/>
            </w:tcBorders>
            <w:vAlign w:val="center"/>
          </w:tcPr>
          <w:p w14:paraId="20E7836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Placebas</w:t>
            </w:r>
          </w:p>
          <w:p w14:paraId="6CA8E43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(n</w:t>
            </w:r>
            <w:r w:rsidR="00022CC4" w:rsidRPr="001839C2">
              <w:rPr>
                <w:rFonts w:eastAsiaTheme="minorEastAsia"/>
                <w:b/>
                <w:bCs/>
                <w:snapToGrid/>
                <w:szCs w:val="22"/>
                <w:lang w:val="lt-LT" w:eastAsia="en-IN"/>
              </w:rPr>
              <w:t> </w:t>
            </w:r>
            <w:r w:rsidRPr="001839C2">
              <w:rPr>
                <w:rFonts w:eastAsiaTheme="minorEastAsia"/>
                <w:b/>
                <w:bCs/>
                <w:snapToGrid/>
                <w:szCs w:val="22"/>
                <w:lang w:val="lt-LT" w:eastAsia="en-IN"/>
              </w:rPr>
              <w:t>=</w:t>
            </w:r>
            <w:r w:rsidR="00022CC4" w:rsidRPr="001839C2">
              <w:rPr>
                <w:rFonts w:eastAsiaTheme="minorEastAsia"/>
                <w:b/>
                <w:bCs/>
                <w:snapToGrid/>
                <w:szCs w:val="22"/>
                <w:lang w:val="lt-LT" w:eastAsia="en-IN"/>
              </w:rPr>
              <w:t> </w:t>
            </w:r>
            <w:r w:rsidRPr="001839C2">
              <w:rPr>
                <w:rFonts w:eastAsiaTheme="minorEastAsia"/>
                <w:b/>
                <w:bCs/>
                <w:snapToGrid/>
                <w:szCs w:val="22"/>
                <w:lang w:val="lt-LT" w:eastAsia="en-IN"/>
              </w:rPr>
              <w:t>1</w:t>
            </w:r>
            <w:r w:rsidR="00022CC4" w:rsidRPr="001839C2">
              <w:rPr>
                <w:rFonts w:eastAsiaTheme="minorEastAsia"/>
                <w:b/>
                <w:bCs/>
                <w:snapToGrid/>
                <w:szCs w:val="22"/>
                <w:lang w:val="lt-LT" w:eastAsia="en-IN"/>
              </w:rPr>
              <w:t> </w:t>
            </w:r>
            <w:r w:rsidRPr="001839C2">
              <w:rPr>
                <w:rFonts w:eastAsiaTheme="minorEastAsia"/>
                <w:b/>
                <w:bCs/>
                <w:snapToGrid/>
                <w:szCs w:val="22"/>
                <w:lang w:val="lt-LT" w:eastAsia="en-IN"/>
              </w:rPr>
              <w:t>248)</w:t>
            </w:r>
          </w:p>
        </w:tc>
        <w:tc>
          <w:tcPr>
            <w:tcW w:w="1745" w:type="dxa"/>
            <w:tcBorders>
              <w:top w:val="single" w:sz="4" w:space="0" w:color="000000"/>
              <w:left w:val="single" w:sz="4" w:space="0" w:color="000000"/>
              <w:bottom w:val="single" w:sz="4" w:space="0" w:color="000000"/>
              <w:right w:val="single" w:sz="4" w:space="0" w:color="000000"/>
            </w:tcBorders>
            <w:vAlign w:val="center"/>
          </w:tcPr>
          <w:p w14:paraId="26486ECC" w14:textId="77777777" w:rsidR="00022CC4"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Emtricitabin</w:t>
            </w:r>
            <w:r w:rsidR="00022CC4" w:rsidRPr="001839C2">
              <w:rPr>
                <w:rFonts w:eastAsiaTheme="minorEastAsia"/>
                <w:b/>
                <w:bCs/>
                <w:snapToGrid/>
                <w:szCs w:val="22"/>
                <w:lang w:val="lt-LT" w:eastAsia="en-IN"/>
              </w:rPr>
              <w:t>o ir t</w:t>
            </w:r>
            <w:r w:rsidRPr="001839C2">
              <w:rPr>
                <w:rFonts w:eastAsiaTheme="minorEastAsia"/>
                <w:b/>
                <w:bCs/>
                <w:snapToGrid/>
                <w:szCs w:val="22"/>
                <w:lang w:val="lt-LT" w:eastAsia="en-IN"/>
              </w:rPr>
              <w:t>enofovir</w:t>
            </w:r>
            <w:r w:rsidR="00022CC4" w:rsidRPr="001839C2">
              <w:rPr>
                <w:rFonts w:eastAsiaTheme="minorEastAsia"/>
                <w:b/>
                <w:bCs/>
                <w:snapToGrid/>
                <w:szCs w:val="22"/>
                <w:lang w:val="lt-LT" w:eastAsia="en-IN"/>
              </w:rPr>
              <w:t>o</w:t>
            </w:r>
            <w:r w:rsidRPr="001839C2">
              <w:rPr>
                <w:rFonts w:eastAsiaTheme="minorEastAsia"/>
                <w:b/>
                <w:bCs/>
                <w:snapToGrid/>
                <w:szCs w:val="22"/>
                <w:lang w:val="lt-LT" w:eastAsia="en-IN"/>
              </w:rPr>
              <w:t xml:space="preserve"> di</w:t>
            </w:r>
            <w:r w:rsidR="00022CC4" w:rsidRPr="001839C2">
              <w:rPr>
                <w:rFonts w:eastAsiaTheme="minorEastAsia"/>
                <w:b/>
                <w:bCs/>
                <w:snapToGrid/>
                <w:szCs w:val="22"/>
                <w:lang w:val="lt-LT" w:eastAsia="en-IN"/>
              </w:rPr>
              <w:t>z</w:t>
            </w:r>
            <w:r w:rsidRPr="001839C2">
              <w:rPr>
                <w:rFonts w:eastAsiaTheme="minorEastAsia"/>
                <w:b/>
                <w:bCs/>
                <w:snapToGrid/>
                <w:szCs w:val="22"/>
                <w:lang w:val="lt-LT" w:eastAsia="en-IN"/>
              </w:rPr>
              <w:t>opro</w:t>
            </w:r>
            <w:r w:rsidR="00022CC4" w:rsidRPr="001839C2">
              <w:rPr>
                <w:rFonts w:eastAsiaTheme="minorEastAsia"/>
                <w:b/>
                <w:bCs/>
                <w:snapToGrid/>
                <w:szCs w:val="22"/>
                <w:lang w:val="lt-LT" w:eastAsia="en-IN"/>
              </w:rPr>
              <w:t>ks</w:t>
            </w:r>
            <w:r w:rsidRPr="001839C2">
              <w:rPr>
                <w:rFonts w:eastAsiaTheme="minorEastAsia"/>
                <w:b/>
                <w:bCs/>
                <w:snapToGrid/>
                <w:szCs w:val="22"/>
                <w:lang w:val="lt-LT" w:eastAsia="en-IN"/>
              </w:rPr>
              <w:t>i</w:t>
            </w:r>
            <w:r w:rsidRPr="001839C2">
              <w:rPr>
                <w:rFonts w:eastAsiaTheme="minorHAnsi"/>
                <w:b/>
                <w:snapToGrid/>
                <w:szCs w:val="22"/>
                <w:lang w:val="lt-LT"/>
              </w:rPr>
              <w:t>l</w:t>
            </w:r>
            <w:r w:rsidR="000D7B29" w:rsidRPr="001839C2">
              <w:rPr>
                <w:rFonts w:eastAsiaTheme="minorHAnsi"/>
                <w:b/>
                <w:snapToGrid/>
                <w:szCs w:val="22"/>
                <w:lang w:val="lt-LT"/>
              </w:rPr>
              <w:t>io derin</w:t>
            </w:r>
            <w:r w:rsidR="00FA02ED" w:rsidRPr="001839C2">
              <w:rPr>
                <w:rFonts w:eastAsiaTheme="minorHAnsi"/>
                <w:b/>
                <w:snapToGrid/>
                <w:szCs w:val="22"/>
                <w:lang w:val="lt-LT"/>
              </w:rPr>
              <w:t>io</w:t>
            </w:r>
            <w:r w:rsidRPr="001839C2">
              <w:rPr>
                <w:rFonts w:eastAsiaTheme="minorHAnsi"/>
                <w:b/>
                <w:snapToGrid/>
                <w:szCs w:val="22"/>
                <w:lang w:val="lt-LT"/>
              </w:rPr>
              <w:t xml:space="preserve"> </w:t>
            </w:r>
            <w:r w:rsidRPr="001839C2">
              <w:rPr>
                <w:rFonts w:eastAsiaTheme="minorEastAsia"/>
                <w:b/>
                <w:bCs/>
                <w:snapToGrid/>
                <w:szCs w:val="22"/>
                <w:lang w:val="lt-LT" w:eastAsia="en-IN"/>
              </w:rPr>
              <w:t>200</w:t>
            </w:r>
            <w:r w:rsidR="00022CC4" w:rsidRPr="001839C2">
              <w:rPr>
                <w:rFonts w:eastAsiaTheme="minorEastAsia"/>
                <w:b/>
                <w:bCs/>
                <w:snapToGrid/>
                <w:szCs w:val="22"/>
                <w:lang w:val="lt-LT" w:eastAsia="en-IN"/>
              </w:rPr>
              <w:t> </w:t>
            </w:r>
            <w:r w:rsidRPr="001839C2">
              <w:rPr>
                <w:rFonts w:eastAsiaTheme="minorEastAsia"/>
                <w:b/>
                <w:bCs/>
                <w:snapToGrid/>
                <w:szCs w:val="22"/>
                <w:lang w:val="lt-LT" w:eastAsia="en-IN"/>
              </w:rPr>
              <w:t>mg/245</w:t>
            </w:r>
            <w:r w:rsidR="00022CC4" w:rsidRPr="001839C2">
              <w:rPr>
                <w:rFonts w:eastAsiaTheme="minorEastAsia"/>
                <w:b/>
                <w:bCs/>
                <w:snapToGrid/>
                <w:szCs w:val="22"/>
                <w:lang w:val="lt-LT" w:eastAsia="en-IN"/>
              </w:rPr>
              <w:t> </w:t>
            </w:r>
            <w:r w:rsidRPr="001839C2">
              <w:rPr>
                <w:rFonts w:eastAsiaTheme="minorEastAsia"/>
                <w:b/>
                <w:bCs/>
                <w:snapToGrid/>
                <w:szCs w:val="22"/>
                <w:lang w:val="lt-LT" w:eastAsia="en-IN"/>
              </w:rPr>
              <w:t>mg</w:t>
            </w:r>
            <w:r w:rsidRPr="001839C2">
              <w:rPr>
                <w:rFonts w:eastAsiaTheme="minorHAnsi"/>
                <w:snapToGrid/>
                <w:szCs w:val="22"/>
                <w:lang w:val="lt-LT"/>
              </w:rPr>
              <w:t xml:space="preserve"> </w:t>
            </w:r>
            <w:r w:rsidRPr="001839C2">
              <w:rPr>
                <w:rFonts w:eastAsiaTheme="minorEastAsia"/>
                <w:b/>
                <w:bCs/>
                <w:snapToGrid/>
                <w:szCs w:val="22"/>
                <w:lang w:val="lt-LT" w:eastAsia="en-IN"/>
              </w:rPr>
              <w:t>plėvele dengtos tabletės</w:t>
            </w:r>
          </w:p>
          <w:p w14:paraId="43CF46F9"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w:t>
            </w:r>
            <w:r w:rsidR="00022CC4" w:rsidRPr="001839C2">
              <w:rPr>
                <w:rFonts w:eastAsiaTheme="minorEastAsia"/>
                <w:b/>
                <w:bCs/>
                <w:snapToGrid/>
                <w:szCs w:val="22"/>
                <w:lang w:val="lt-LT" w:eastAsia="en-IN"/>
              </w:rPr>
              <w:t>n </w:t>
            </w:r>
            <w:r w:rsidRPr="001839C2">
              <w:rPr>
                <w:rFonts w:eastAsiaTheme="minorEastAsia"/>
                <w:b/>
                <w:bCs/>
                <w:snapToGrid/>
                <w:szCs w:val="22"/>
                <w:lang w:val="lt-LT" w:eastAsia="en-IN"/>
              </w:rPr>
              <w:t>=</w:t>
            </w:r>
            <w:r w:rsidR="00022CC4" w:rsidRPr="001839C2">
              <w:rPr>
                <w:rFonts w:eastAsiaTheme="minorEastAsia"/>
                <w:b/>
                <w:bCs/>
                <w:snapToGrid/>
                <w:szCs w:val="22"/>
                <w:lang w:val="lt-LT" w:eastAsia="en-IN"/>
              </w:rPr>
              <w:t> </w:t>
            </w:r>
            <w:r w:rsidRPr="001839C2">
              <w:rPr>
                <w:rFonts w:eastAsiaTheme="minorEastAsia"/>
                <w:b/>
                <w:bCs/>
                <w:snapToGrid/>
                <w:szCs w:val="22"/>
                <w:lang w:val="lt-LT" w:eastAsia="en-IN"/>
              </w:rPr>
              <w:t>1</w:t>
            </w:r>
            <w:r w:rsidR="00022CC4" w:rsidRPr="001839C2">
              <w:rPr>
                <w:rFonts w:eastAsiaTheme="minorEastAsia"/>
                <w:b/>
                <w:bCs/>
                <w:snapToGrid/>
                <w:szCs w:val="22"/>
                <w:lang w:val="lt-LT" w:eastAsia="en-IN"/>
              </w:rPr>
              <w:t> </w:t>
            </w:r>
            <w:r w:rsidRPr="001839C2">
              <w:rPr>
                <w:rFonts w:eastAsiaTheme="minorEastAsia"/>
                <w:b/>
                <w:bCs/>
                <w:snapToGrid/>
                <w:szCs w:val="22"/>
                <w:lang w:val="lt-LT" w:eastAsia="en-IN"/>
              </w:rPr>
              <w:t>251)</w:t>
            </w:r>
          </w:p>
        </w:tc>
      </w:tr>
      <w:tr w:rsidR="00DC41B7" w:rsidRPr="001839C2" w14:paraId="6A1958D1"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6F40F307"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Amžius</w:t>
            </w:r>
            <w:r w:rsidR="00022CC4" w:rsidRPr="001839C2">
              <w:rPr>
                <w:rFonts w:eastAsiaTheme="minorEastAsia"/>
                <w:b/>
                <w:bCs/>
                <w:snapToGrid/>
                <w:szCs w:val="22"/>
                <w:lang w:val="lt-LT" w:eastAsia="en-IN"/>
              </w:rPr>
              <w:t> </w:t>
            </w:r>
            <w:r w:rsidRPr="001839C2">
              <w:rPr>
                <w:rFonts w:eastAsiaTheme="minorEastAsia"/>
                <w:b/>
                <w:bCs/>
                <w:snapToGrid/>
                <w:szCs w:val="22"/>
                <w:lang w:val="lt-LT" w:eastAsia="en-IN"/>
              </w:rPr>
              <w:t>(metai), vidurkis</w:t>
            </w:r>
            <w:r w:rsidR="00022CC4" w:rsidRPr="001839C2">
              <w:rPr>
                <w:rFonts w:eastAsiaTheme="minorEastAsia"/>
                <w:b/>
                <w:bCs/>
                <w:snapToGrid/>
                <w:szCs w:val="22"/>
                <w:lang w:val="lt-LT" w:eastAsia="en-IN"/>
              </w:rPr>
              <w:t> </w:t>
            </w:r>
            <w:r w:rsidRPr="001839C2">
              <w:rPr>
                <w:rFonts w:eastAsiaTheme="minorEastAsia"/>
                <w:b/>
                <w:bCs/>
                <w:snapToGrid/>
                <w:szCs w:val="22"/>
                <w:lang w:val="lt-LT" w:eastAsia="en-IN"/>
              </w:rPr>
              <w:t>(SN)</w:t>
            </w:r>
          </w:p>
        </w:tc>
        <w:tc>
          <w:tcPr>
            <w:tcW w:w="1428" w:type="dxa"/>
            <w:tcBorders>
              <w:top w:val="single" w:sz="4" w:space="0" w:color="000000"/>
              <w:left w:val="single" w:sz="4" w:space="0" w:color="000000"/>
              <w:bottom w:val="single" w:sz="4" w:space="0" w:color="000000"/>
              <w:right w:val="single" w:sz="4" w:space="0" w:color="000000"/>
            </w:tcBorders>
            <w:vAlign w:val="center"/>
          </w:tcPr>
          <w:p w14:paraId="29B8345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27</w:t>
            </w:r>
            <w:r w:rsidR="00022CC4" w:rsidRPr="001839C2">
              <w:rPr>
                <w:rFonts w:eastAsiaTheme="minorEastAsia"/>
                <w:snapToGrid/>
                <w:szCs w:val="22"/>
                <w:lang w:val="lt-LT" w:eastAsia="en-IN"/>
              </w:rPr>
              <w:t> </w:t>
            </w:r>
            <w:r w:rsidRPr="001839C2">
              <w:rPr>
                <w:rFonts w:eastAsiaTheme="minorEastAsia"/>
                <w:snapToGrid/>
                <w:szCs w:val="22"/>
                <w:lang w:val="lt-LT" w:eastAsia="en-IN"/>
              </w:rPr>
              <w:t>(8,5)</w:t>
            </w:r>
          </w:p>
        </w:tc>
        <w:tc>
          <w:tcPr>
            <w:tcW w:w="1745" w:type="dxa"/>
            <w:tcBorders>
              <w:top w:val="single" w:sz="4" w:space="0" w:color="000000"/>
              <w:left w:val="single" w:sz="4" w:space="0" w:color="000000"/>
              <w:bottom w:val="single" w:sz="4" w:space="0" w:color="000000"/>
              <w:right w:val="single" w:sz="4" w:space="0" w:color="000000"/>
            </w:tcBorders>
            <w:vAlign w:val="center"/>
          </w:tcPr>
          <w:p w14:paraId="1ABD455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27</w:t>
            </w:r>
            <w:r w:rsidR="00022CC4" w:rsidRPr="001839C2">
              <w:rPr>
                <w:rFonts w:eastAsiaTheme="minorEastAsia"/>
                <w:snapToGrid/>
                <w:szCs w:val="22"/>
                <w:lang w:val="lt-LT" w:eastAsia="en-IN"/>
              </w:rPr>
              <w:t> </w:t>
            </w:r>
            <w:r w:rsidRPr="001839C2">
              <w:rPr>
                <w:rFonts w:eastAsiaTheme="minorEastAsia"/>
                <w:snapToGrid/>
                <w:szCs w:val="22"/>
                <w:lang w:val="lt-LT" w:eastAsia="en-IN"/>
              </w:rPr>
              <w:t>(8,6)</w:t>
            </w:r>
          </w:p>
        </w:tc>
      </w:tr>
      <w:tr w:rsidR="00DC41B7" w:rsidRPr="001839C2" w14:paraId="3772857A" w14:textId="77777777" w:rsidTr="002579D1">
        <w:tc>
          <w:tcPr>
            <w:tcW w:w="9271" w:type="dxa"/>
            <w:gridSpan w:val="3"/>
            <w:tcBorders>
              <w:top w:val="single" w:sz="4" w:space="0" w:color="000000"/>
              <w:left w:val="single" w:sz="4" w:space="0" w:color="000000"/>
              <w:bottom w:val="single" w:sz="4" w:space="0" w:color="000000"/>
              <w:right w:val="single" w:sz="4" w:space="0" w:color="000000"/>
            </w:tcBorders>
          </w:tcPr>
          <w:p w14:paraId="697137B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 xml:space="preserve">Rasė, </w:t>
            </w:r>
            <w:r w:rsidR="00022CC4" w:rsidRPr="001839C2">
              <w:rPr>
                <w:rFonts w:eastAsiaTheme="minorEastAsia"/>
                <w:b/>
                <w:bCs/>
                <w:snapToGrid/>
                <w:szCs w:val="22"/>
                <w:lang w:val="lt-LT" w:eastAsia="en-IN"/>
              </w:rPr>
              <w:t>n </w:t>
            </w:r>
            <w:r w:rsidRPr="001839C2">
              <w:rPr>
                <w:rFonts w:eastAsiaTheme="minorEastAsia"/>
                <w:b/>
                <w:bCs/>
                <w:snapToGrid/>
                <w:szCs w:val="22"/>
                <w:lang w:val="lt-LT" w:eastAsia="en-IN"/>
              </w:rPr>
              <w:t>(%)</w:t>
            </w:r>
          </w:p>
        </w:tc>
      </w:tr>
      <w:tr w:rsidR="00DC41B7" w:rsidRPr="001839C2" w14:paraId="5ED78692"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3F775CAE" w14:textId="77777777" w:rsidR="002A5F50" w:rsidRPr="001839C2" w:rsidRDefault="00022CC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Negri</w:t>
            </w:r>
            <w:r w:rsidR="002A5F50" w:rsidRPr="001839C2">
              <w:rPr>
                <w:rFonts w:eastAsiaTheme="minorEastAsia"/>
                <w:snapToGrid/>
                <w:szCs w:val="22"/>
                <w:lang w:val="lt-LT" w:eastAsia="en-IN"/>
              </w:rPr>
              <w:t>dai</w:t>
            </w:r>
          </w:p>
        </w:tc>
        <w:tc>
          <w:tcPr>
            <w:tcW w:w="1428" w:type="dxa"/>
            <w:tcBorders>
              <w:top w:val="single" w:sz="4" w:space="0" w:color="000000"/>
              <w:left w:val="single" w:sz="4" w:space="0" w:color="000000"/>
              <w:bottom w:val="single" w:sz="4" w:space="0" w:color="000000"/>
              <w:right w:val="single" w:sz="4" w:space="0" w:color="000000"/>
            </w:tcBorders>
            <w:vAlign w:val="center"/>
          </w:tcPr>
          <w:p w14:paraId="612B645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97</w:t>
            </w:r>
            <w:r w:rsidR="00022CC4" w:rsidRPr="001839C2">
              <w:rPr>
                <w:rFonts w:eastAsiaTheme="minorEastAsia"/>
                <w:snapToGrid/>
                <w:szCs w:val="22"/>
                <w:lang w:val="lt-LT" w:eastAsia="en-IN"/>
              </w:rPr>
              <w:t> </w:t>
            </w:r>
            <w:r w:rsidRPr="001839C2">
              <w:rPr>
                <w:rFonts w:eastAsiaTheme="minorEastAsia"/>
                <w:snapToGrid/>
                <w:szCs w:val="22"/>
                <w:lang w:val="lt-LT" w:eastAsia="en-IN"/>
              </w:rPr>
              <w:t>(8)</w:t>
            </w:r>
          </w:p>
        </w:tc>
        <w:tc>
          <w:tcPr>
            <w:tcW w:w="1745" w:type="dxa"/>
            <w:tcBorders>
              <w:top w:val="single" w:sz="4" w:space="0" w:color="000000"/>
              <w:left w:val="single" w:sz="4" w:space="0" w:color="000000"/>
              <w:bottom w:val="single" w:sz="4" w:space="0" w:color="000000"/>
              <w:right w:val="single" w:sz="4" w:space="0" w:color="000000"/>
            </w:tcBorders>
            <w:vAlign w:val="center"/>
          </w:tcPr>
          <w:p w14:paraId="58B625D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117</w:t>
            </w:r>
            <w:r w:rsidR="00022CC4" w:rsidRPr="001839C2">
              <w:rPr>
                <w:rFonts w:eastAsiaTheme="minorEastAsia"/>
                <w:snapToGrid/>
                <w:szCs w:val="22"/>
                <w:lang w:val="lt-LT" w:eastAsia="en-IN"/>
              </w:rPr>
              <w:t> </w:t>
            </w:r>
            <w:r w:rsidRPr="001839C2">
              <w:rPr>
                <w:rFonts w:eastAsiaTheme="minorEastAsia"/>
                <w:snapToGrid/>
                <w:szCs w:val="22"/>
                <w:lang w:val="lt-LT" w:eastAsia="en-IN"/>
              </w:rPr>
              <w:t>(9)</w:t>
            </w:r>
          </w:p>
        </w:tc>
      </w:tr>
      <w:tr w:rsidR="00DC41B7" w:rsidRPr="001839C2" w14:paraId="1A67A1D7"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0D526F7A" w14:textId="77777777" w:rsidR="002A5F50" w:rsidRPr="001839C2" w:rsidRDefault="00022CC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Eur</w:t>
            </w:r>
            <w:r w:rsidR="002A5F50" w:rsidRPr="001839C2">
              <w:rPr>
                <w:rFonts w:eastAsiaTheme="minorEastAsia"/>
                <w:snapToGrid/>
                <w:szCs w:val="22"/>
                <w:lang w:val="lt-LT" w:eastAsia="en-IN"/>
              </w:rPr>
              <w:t>o</w:t>
            </w:r>
            <w:r w:rsidRPr="001839C2">
              <w:rPr>
                <w:rFonts w:eastAsiaTheme="minorEastAsia"/>
                <w:snapToGrid/>
                <w:szCs w:val="22"/>
                <w:lang w:val="lt-LT" w:eastAsia="en-IN"/>
              </w:rPr>
              <w:t>pi</w:t>
            </w:r>
            <w:r w:rsidR="002A5F50" w:rsidRPr="001839C2">
              <w:rPr>
                <w:rFonts w:eastAsiaTheme="minorEastAsia"/>
                <w:snapToGrid/>
                <w:szCs w:val="22"/>
                <w:lang w:val="lt-LT" w:eastAsia="en-IN"/>
              </w:rPr>
              <w:t>dai</w:t>
            </w:r>
          </w:p>
        </w:tc>
        <w:tc>
          <w:tcPr>
            <w:tcW w:w="1428" w:type="dxa"/>
            <w:tcBorders>
              <w:top w:val="single" w:sz="4" w:space="0" w:color="000000"/>
              <w:left w:val="single" w:sz="4" w:space="0" w:color="000000"/>
              <w:bottom w:val="single" w:sz="4" w:space="0" w:color="000000"/>
              <w:right w:val="single" w:sz="4" w:space="0" w:color="000000"/>
            </w:tcBorders>
            <w:vAlign w:val="center"/>
          </w:tcPr>
          <w:p w14:paraId="2E8B460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208</w:t>
            </w:r>
            <w:r w:rsidR="00022CC4" w:rsidRPr="001839C2">
              <w:rPr>
                <w:rFonts w:eastAsiaTheme="minorEastAsia"/>
                <w:snapToGrid/>
                <w:szCs w:val="22"/>
                <w:lang w:val="lt-LT" w:eastAsia="en-IN"/>
              </w:rPr>
              <w:t> </w:t>
            </w:r>
            <w:r w:rsidRPr="001839C2">
              <w:rPr>
                <w:rFonts w:eastAsiaTheme="minorEastAsia"/>
                <w:snapToGrid/>
                <w:szCs w:val="22"/>
                <w:lang w:val="lt-LT" w:eastAsia="en-IN"/>
              </w:rPr>
              <w:t>(17)</w:t>
            </w:r>
          </w:p>
        </w:tc>
        <w:tc>
          <w:tcPr>
            <w:tcW w:w="1745" w:type="dxa"/>
            <w:tcBorders>
              <w:top w:val="single" w:sz="4" w:space="0" w:color="000000"/>
              <w:left w:val="single" w:sz="4" w:space="0" w:color="000000"/>
              <w:bottom w:val="single" w:sz="4" w:space="0" w:color="000000"/>
              <w:right w:val="single" w:sz="4" w:space="0" w:color="000000"/>
            </w:tcBorders>
            <w:vAlign w:val="center"/>
          </w:tcPr>
          <w:p w14:paraId="300A68E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223</w:t>
            </w:r>
            <w:r w:rsidR="00022CC4" w:rsidRPr="001839C2">
              <w:rPr>
                <w:rFonts w:eastAsiaTheme="minorEastAsia"/>
                <w:snapToGrid/>
                <w:szCs w:val="22"/>
                <w:lang w:val="lt-LT" w:eastAsia="en-IN"/>
              </w:rPr>
              <w:t> </w:t>
            </w:r>
            <w:r w:rsidRPr="001839C2">
              <w:rPr>
                <w:rFonts w:eastAsiaTheme="minorEastAsia"/>
                <w:snapToGrid/>
                <w:szCs w:val="22"/>
                <w:lang w:val="lt-LT" w:eastAsia="en-IN"/>
              </w:rPr>
              <w:t>(18)</w:t>
            </w:r>
          </w:p>
        </w:tc>
      </w:tr>
      <w:tr w:rsidR="00DC41B7" w:rsidRPr="001839C2" w14:paraId="26F3A819"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14B87DD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Mišrieji </w:t>
            </w:r>
            <w:r w:rsidR="00022CC4" w:rsidRPr="001839C2">
              <w:rPr>
                <w:rFonts w:eastAsiaTheme="minorEastAsia"/>
                <w:snapToGrid/>
                <w:szCs w:val="22"/>
                <w:lang w:val="lt-LT" w:eastAsia="en-IN"/>
              </w:rPr>
              <w:t>(</w:t>
            </w:r>
            <w:r w:rsidRPr="001839C2">
              <w:rPr>
                <w:rFonts w:eastAsiaTheme="minorEastAsia"/>
                <w:snapToGrid/>
                <w:szCs w:val="22"/>
                <w:lang w:val="lt-LT" w:eastAsia="en-IN"/>
              </w:rPr>
              <w:t>kiti</w:t>
            </w:r>
            <w:r w:rsidR="00022CC4" w:rsidRPr="001839C2">
              <w:rPr>
                <w:rFonts w:eastAsiaTheme="minorEastAsia"/>
                <w:snapToGrid/>
                <w:szCs w:val="22"/>
                <w:lang w:val="lt-LT" w:eastAsia="en-IN"/>
              </w:rPr>
              <w:t>)</w:t>
            </w:r>
          </w:p>
        </w:tc>
        <w:tc>
          <w:tcPr>
            <w:tcW w:w="1428" w:type="dxa"/>
            <w:tcBorders>
              <w:top w:val="single" w:sz="4" w:space="0" w:color="000000"/>
              <w:left w:val="single" w:sz="4" w:space="0" w:color="000000"/>
              <w:bottom w:val="single" w:sz="4" w:space="0" w:color="000000"/>
              <w:right w:val="single" w:sz="4" w:space="0" w:color="000000"/>
            </w:tcBorders>
            <w:vAlign w:val="center"/>
          </w:tcPr>
          <w:p w14:paraId="04C1491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878</w:t>
            </w:r>
            <w:r w:rsidR="00022CC4" w:rsidRPr="001839C2">
              <w:rPr>
                <w:rFonts w:eastAsiaTheme="minorEastAsia"/>
                <w:snapToGrid/>
                <w:szCs w:val="22"/>
                <w:lang w:val="lt-LT" w:eastAsia="en-IN"/>
              </w:rPr>
              <w:t> </w:t>
            </w:r>
            <w:r w:rsidRPr="001839C2">
              <w:rPr>
                <w:rFonts w:eastAsiaTheme="minorEastAsia"/>
                <w:snapToGrid/>
                <w:szCs w:val="22"/>
                <w:lang w:val="lt-LT" w:eastAsia="en-IN"/>
              </w:rPr>
              <w:t>(70)</w:t>
            </w:r>
          </w:p>
        </w:tc>
        <w:tc>
          <w:tcPr>
            <w:tcW w:w="1745" w:type="dxa"/>
            <w:tcBorders>
              <w:top w:val="single" w:sz="4" w:space="0" w:color="000000"/>
              <w:left w:val="single" w:sz="4" w:space="0" w:color="000000"/>
              <w:bottom w:val="single" w:sz="4" w:space="0" w:color="000000"/>
              <w:right w:val="single" w:sz="4" w:space="0" w:color="000000"/>
            </w:tcBorders>
            <w:vAlign w:val="center"/>
          </w:tcPr>
          <w:p w14:paraId="061D23D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849</w:t>
            </w:r>
            <w:r w:rsidR="00022CC4" w:rsidRPr="001839C2">
              <w:rPr>
                <w:rFonts w:eastAsiaTheme="minorEastAsia"/>
                <w:snapToGrid/>
                <w:szCs w:val="22"/>
                <w:lang w:val="lt-LT" w:eastAsia="en-IN"/>
              </w:rPr>
              <w:t> </w:t>
            </w:r>
            <w:r w:rsidRPr="001839C2">
              <w:rPr>
                <w:rFonts w:eastAsiaTheme="minorEastAsia"/>
                <w:snapToGrid/>
                <w:szCs w:val="22"/>
                <w:lang w:val="lt-LT" w:eastAsia="en-IN"/>
              </w:rPr>
              <w:t>(68)</w:t>
            </w:r>
          </w:p>
        </w:tc>
      </w:tr>
      <w:tr w:rsidR="00DC41B7" w:rsidRPr="001839C2" w14:paraId="62405288"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6C849022" w14:textId="77777777" w:rsidR="002A5F50" w:rsidRPr="001839C2" w:rsidRDefault="00022CC4"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Mongol</w:t>
            </w:r>
            <w:r w:rsidR="002A5F50" w:rsidRPr="001839C2">
              <w:rPr>
                <w:rFonts w:eastAsiaTheme="minorEastAsia"/>
                <w:snapToGrid/>
                <w:szCs w:val="22"/>
                <w:lang w:val="lt-LT" w:eastAsia="en-IN"/>
              </w:rPr>
              <w:t>i</w:t>
            </w:r>
            <w:r w:rsidRPr="001839C2">
              <w:rPr>
                <w:rFonts w:eastAsiaTheme="minorEastAsia"/>
                <w:snapToGrid/>
                <w:szCs w:val="22"/>
                <w:lang w:val="lt-LT" w:eastAsia="en-IN"/>
              </w:rPr>
              <w:t>d</w:t>
            </w:r>
            <w:r w:rsidR="002A5F50" w:rsidRPr="001839C2">
              <w:rPr>
                <w:rFonts w:eastAsiaTheme="minorEastAsia"/>
                <w:snapToGrid/>
                <w:szCs w:val="22"/>
                <w:lang w:val="lt-LT" w:eastAsia="en-IN"/>
              </w:rPr>
              <w:t>ai</w:t>
            </w:r>
          </w:p>
        </w:tc>
        <w:tc>
          <w:tcPr>
            <w:tcW w:w="1428" w:type="dxa"/>
            <w:tcBorders>
              <w:top w:val="single" w:sz="4" w:space="0" w:color="000000"/>
              <w:left w:val="single" w:sz="4" w:space="0" w:color="000000"/>
              <w:bottom w:val="single" w:sz="4" w:space="0" w:color="000000"/>
              <w:right w:val="single" w:sz="4" w:space="0" w:color="000000"/>
            </w:tcBorders>
            <w:vAlign w:val="center"/>
          </w:tcPr>
          <w:p w14:paraId="349A6C6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65</w:t>
            </w:r>
            <w:r w:rsidR="00022CC4" w:rsidRPr="001839C2">
              <w:rPr>
                <w:rFonts w:eastAsiaTheme="minorEastAsia"/>
                <w:snapToGrid/>
                <w:szCs w:val="22"/>
                <w:lang w:val="lt-LT" w:eastAsia="en-IN"/>
              </w:rPr>
              <w:t> </w:t>
            </w:r>
            <w:r w:rsidRPr="001839C2">
              <w:rPr>
                <w:rFonts w:eastAsiaTheme="minorEastAsia"/>
                <w:snapToGrid/>
                <w:szCs w:val="22"/>
                <w:lang w:val="lt-LT" w:eastAsia="en-IN"/>
              </w:rPr>
              <w:t>(5)</w:t>
            </w:r>
          </w:p>
        </w:tc>
        <w:tc>
          <w:tcPr>
            <w:tcW w:w="1745" w:type="dxa"/>
            <w:tcBorders>
              <w:top w:val="single" w:sz="4" w:space="0" w:color="000000"/>
              <w:left w:val="single" w:sz="4" w:space="0" w:color="000000"/>
              <w:bottom w:val="single" w:sz="4" w:space="0" w:color="000000"/>
              <w:right w:val="single" w:sz="4" w:space="0" w:color="000000"/>
            </w:tcBorders>
            <w:vAlign w:val="center"/>
          </w:tcPr>
          <w:p w14:paraId="233C7AD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62</w:t>
            </w:r>
            <w:r w:rsidR="00022CC4" w:rsidRPr="001839C2">
              <w:rPr>
                <w:rFonts w:eastAsiaTheme="minorEastAsia"/>
                <w:snapToGrid/>
                <w:szCs w:val="22"/>
                <w:lang w:val="lt-LT" w:eastAsia="en-IN"/>
              </w:rPr>
              <w:t> </w:t>
            </w:r>
            <w:r w:rsidRPr="001839C2">
              <w:rPr>
                <w:rFonts w:eastAsiaTheme="minorEastAsia"/>
                <w:snapToGrid/>
                <w:szCs w:val="22"/>
                <w:lang w:val="lt-LT" w:eastAsia="en-IN"/>
              </w:rPr>
              <w:t>(5)</w:t>
            </w:r>
          </w:p>
        </w:tc>
      </w:tr>
      <w:tr w:rsidR="00DC41B7" w:rsidRPr="001839C2" w14:paraId="538F6BCD"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58AB047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i/>
                <w:snapToGrid/>
                <w:szCs w:val="22"/>
                <w:lang w:val="lt-LT" w:eastAsia="en-IN"/>
              </w:rPr>
            </w:pPr>
            <w:r w:rsidRPr="001839C2">
              <w:rPr>
                <w:rFonts w:eastAsiaTheme="minorEastAsia"/>
                <w:bCs/>
                <w:i/>
                <w:snapToGrid/>
                <w:szCs w:val="22"/>
                <w:lang w:val="lt-LT" w:eastAsia="en-IN"/>
              </w:rPr>
              <w:t xml:space="preserve">Ispanų </w:t>
            </w:r>
            <w:r w:rsidR="00022CC4" w:rsidRPr="001839C2">
              <w:rPr>
                <w:rFonts w:eastAsiaTheme="minorEastAsia"/>
                <w:bCs/>
                <w:i/>
                <w:snapToGrid/>
                <w:szCs w:val="22"/>
                <w:lang w:val="lt-LT" w:eastAsia="en-IN"/>
              </w:rPr>
              <w:t>ar</w:t>
            </w:r>
            <w:r w:rsidRPr="001839C2">
              <w:rPr>
                <w:rFonts w:eastAsiaTheme="minorEastAsia"/>
                <w:bCs/>
                <w:i/>
                <w:snapToGrid/>
                <w:szCs w:val="22"/>
                <w:lang w:val="lt-LT" w:eastAsia="en-IN"/>
              </w:rPr>
              <w:t xml:space="preserve"> Lotynų Amerikos kilmės, </w:t>
            </w:r>
            <w:r w:rsidR="00022CC4" w:rsidRPr="001839C2">
              <w:rPr>
                <w:rFonts w:eastAsiaTheme="minorEastAsia"/>
                <w:bCs/>
                <w:i/>
                <w:snapToGrid/>
                <w:szCs w:val="22"/>
                <w:lang w:val="lt-LT" w:eastAsia="en-IN"/>
              </w:rPr>
              <w:t>n </w:t>
            </w:r>
            <w:r w:rsidRPr="001839C2">
              <w:rPr>
                <w:rFonts w:eastAsiaTheme="minorEastAsia"/>
                <w:bCs/>
                <w:i/>
                <w:snapToGrid/>
                <w:szCs w:val="22"/>
                <w:lang w:val="lt-LT" w:eastAsia="en-IN"/>
              </w:rPr>
              <w:t>(%)</w:t>
            </w:r>
          </w:p>
        </w:tc>
        <w:tc>
          <w:tcPr>
            <w:tcW w:w="1428" w:type="dxa"/>
            <w:tcBorders>
              <w:top w:val="single" w:sz="4" w:space="0" w:color="000000"/>
              <w:left w:val="single" w:sz="4" w:space="0" w:color="000000"/>
              <w:bottom w:val="single" w:sz="4" w:space="0" w:color="000000"/>
              <w:right w:val="single" w:sz="4" w:space="0" w:color="000000"/>
            </w:tcBorders>
            <w:vAlign w:val="center"/>
          </w:tcPr>
          <w:p w14:paraId="33D854D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906</w:t>
            </w:r>
            <w:r w:rsidR="00022CC4" w:rsidRPr="001839C2">
              <w:rPr>
                <w:rFonts w:eastAsiaTheme="minorEastAsia"/>
                <w:snapToGrid/>
                <w:szCs w:val="22"/>
                <w:lang w:val="lt-LT" w:eastAsia="en-IN"/>
              </w:rPr>
              <w:t> </w:t>
            </w:r>
            <w:r w:rsidRPr="001839C2">
              <w:rPr>
                <w:rFonts w:eastAsiaTheme="minorEastAsia"/>
                <w:snapToGrid/>
                <w:szCs w:val="22"/>
                <w:lang w:val="lt-LT" w:eastAsia="en-IN"/>
              </w:rPr>
              <w:t>(73)</w:t>
            </w:r>
          </w:p>
        </w:tc>
        <w:tc>
          <w:tcPr>
            <w:tcW w:w="1745" w:type="dxa"/>
            <w:tcBorders>
              <w:top w:val="single" w:sz="4" w:space="0" w:color="000000"/>
              <w:left w:val="single" w:sz="4" w:space="0" w:color="000000"/>
              <w:bottom w:val="single" w:sz="4" w:space="0" w:color="000000"/>
              <w:right w:val="single" w:sz="4" w:space="0" w:color="000000"/>
            </w:tcBorders>
            <w:vAlign w:val="center"/>
          </w:tcPr>
          <w:p w14:paraId="0D3C0B6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900</w:t>
            </w:r>
            <w:r w:rsidR="00022CC4" w:rsidRPr="001839C2">
              <w:rPr>
                <w:rFonts w:eastAsiaTheme="minorEastAsia"/>
                <w:snapToGrid/>
                <w:szCs w:val="22"/>
                <w:lang w:val="lt-LT" w:eastAsia="en-IN"/>
              </w:rPr>
              <w:t> </w:t>
            </w:r>
            <w:r w:rsidRPr="001839C2">
              <w:rPr>
                <w:rFonts w:eastAsiaTheme="minorEastAsia"/>
                <w:snapToGrid/>
                <w:szCs w:val="22"/>
                <w:lang w:val="lt-LT" w:eastAsia="en-IN"/>
              </w:rPr>
              <w:t>(72)</w:t>
            </w:r>
          </w:p>
        </w:tc>
      </w:tr>
      <w:tr w:rsidR="00DC41B7" w:rsidRPr="00686907" w14:paraId="475D7744" w14:textId="77777777" w:rsidTr="00230559">
        <w:trPr>
          <w:cantSplit/>
        </w:trPr>
        <w:tc>
          <w:tcPr>
            <w:tcW w:w="9271" w:type="dxa"/>
            <w:gridSpan w:val="3"/>
            <w:tcBorders>
              <w:top w:val="single" w:sz="4" w:space="0" w:color="000000"/>
              <w:left w:val="single" w:sz="4" w:space="0" w:color="000000"/>
              <w:bottom w:val="single" w:sz="4" w:space="0" w:color="000000"/>
              <w:right w:val="single" w:sz="4" w:space="0" w:color="000000"/>
            </w:tcBorders>
          </w:tcPr>
          <w:p w14:paraId="40278671" w14:textId="77777777" w:rsidR="002579D1" w:rsidRPr="001839C2" w:rsidRDefault="002579D1" w:rsidP="002579D1">
            <w:pPr>
              <w:keepNext/>
              <w:keepLines/>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Su lytiniais santykiais susijusios rizikos veiksniai atrankos metu</w:t>
            </w:r>
          </w:p>
        </w:tc>
      </w:tr>
      <w:tr w:rsidR="00DC41B7" w:rsidRPr="001839C2" w14:paraId="4E1C4FAF" w14:textId="77777777" w:rsidTr="002579D1">
        <w:tc>
          <w:tcPr>
            <w:tcW w:w="6098" w:type="dxa"/>
            <w:tcBorders>
              <w:top w:val="single" w:sz="4" w:space="0" w:color="000000"/>
              <w:left w:val="single" w:sz="4" w:space="0" w:color="000000"/>
              <w:bottom w:val="single" w:sz="4" w:space="0" w:color="000000"/>
              <w:right w:val="single" w:sz="4" w:space="0" w:color="auto"/>
            </w:tcBorders>
          </w:tcPr>
          <w:p w14:paraId="67B539D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Partnerių skaičius per </w:t>
            </w:r>
            <w:r w:rsidR="00735856" w:rsidRPr="001839C2">
              <w:rPr>
                <w:rFonts w:eastAsiaTheme="minorEastAsia"/>
                <w:snapToGrid/>
                <w:szCs w:val="22"/>
                <w:lang w:val="lt-LT" w:eastAsia="en-IN"/>
              </w:rPr>
              <w:t>p</w:t>
            </w:r>
            <w:r w:rsidRPr="001839C2">
              <w:rPr>
                <w:rFonts w:eastAsiaTheme="minorEastAsia"/>
                <w:snapToGrid/>
                <w:szCs w:val="22"/>
                <w:lang w:val="lt-LT" w:eastAsia="en-IN"/>
              </w:rPr>
              <w:t>as</w:t>
            </w:r>
            <w:r w:rsidR="00735856" w:rsidRPr="001839C2">
              <w:rPr>
                <w:rFonts w:eastAsiaTheme="minorEastAsia"/>
                <w:snapToGrid/>
                <w:szCs w:val="22"/>
                <w:lang w:val="lt-LT" w:eastAsia="en-IN"/>
              </w:rPr>
              <w:t>ku</w:t>
            </w:r>
            <w:r w:rsidRPr="001839C2">
              <w:rPr>
                <w:rFonts w:eastAsiaTheme="minorEastAsia"/>
                <w:snapToGrid/>
                <w:szCs w:val="22"/>
                <w:lang w:val="lt-LT" w:eastAsia="en-IN"/>
              </w:rPr>
              <w:t>t</w:t>
            </w:r>
            <w:r w:rsidR="00735856" w:rsidRPr="001839C2">
              <w:rPr>
                <w:rFonts w:eastAsiaTheme="minorEastAsia"/>
                <w:snapToGrid/>
                <w:szCs w:val="22"/>
                <w:lang w:val="lt-LT" w:eastAsia="en-IN"/>
              </w:rPr>
              <w:t>i</w:t>
            </w:r>
            <w:r w:rsidRPr="001839C2">
              <w:rPr>
                <w:rFonts w:eastAsiaTheme="minorEastAsia"/>
                <w:snapToGrid/>
                <w:szCs w:val="22"/>
                <w:lang w:val="lt-LT" w:eastAsia="en-IN"/>
              </w:rPr>
              <w:t>nes 12</w:t>
            </w:r>
            <w:r w:rsidR="00022CC4" w:rsidRPr="001839C2">
              <w:rPr>
                <w:rFonts w:eastAsiaTheme="minorEastAsia"/>
                <w:snapToGrid/>
                <w:szCs w:val="22"/>
                <w:lang w:val="lt-LT" w:eastAsia="en-IN"/>
              </w:rPr>
              <w:t> </w:t>
            </w:r>
            <w:r w:rsidRPr="001839C2">
              <w:rPr>
                <w:rFonts w:eastAsiaTheme="minorEastAsia"/>
                <w:snapToGrid/>
                <w:szCs w:val="22"/>
                <w:lang w:val="lt-LT" w:eastAsia="en-IN"/>
              </w:rPr>
              <w:t>savaičių, vidurkis</w:t>
            </w:r>
            <w:r w:rsidR="00022CC4" w:rsidRPr="001839C2">
              <w:rPr>
                <w:rFonts w:eastAsiaTheme="minorEastAsia"/>
                <w:snapToGrid/>
                <w:szCs w:val="22"/>
                <w:lang w:val="lt-LT" w:eastAsia="en-IN"/>
              </w:rPr>
              <w:t> </w:t>
            </w:r>
            <w:r w:rsidRPr="001839C2">
              <w:rPr>
                <w:rFonts w:eastAsiaTheme="minorEastAsia"/>
                <w:snapToGrid/>
                <w:szCs w:val="22"/>
                <w:lang w:val="lt-LT" w:eastAsia="en-IN"/>
              </w:rPr>
              <w:t>(SN)</w:t>
            </w:r>
          </w:p>
        </w:tc>
        <w:tc>
          <w:tcPr>
            <w:tcW w:w="1428" w:type="dxa"/>
            <w:tcBorders>
              <w:top w:val="single" w:sz="4" w:space="0" w:color="000000"/>
              <w:left w:val="single" w:sz="4" w:space="0" w:color="auto"/>
              <w:bottom w:val="single" w:sz="4" w:space="0" w:color="000000"/>
              <w:right w:val="single" w:sz="4" w:space="0" w:color="000000"/>
            </w:tcBorders>
            <w:vAlign w:val="center"/>
          </w:tcPr>
          <w:p w14:paraId="2E794B5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18</w:t>
            </w:r>
            <w:r w:rsidR="00022CC4" w:rsidRPr="001839C2">
              <w:rPr>
                <w:rFonts w:eastAsiaTheme="minorEastAsia"/>
                <w:snapToGrid/>
                <w:szCs w:val="22"/>
                <w:lang w:val="lt-LT" w:eastAsia="en-IN"/>
              </w:rPr>
              <w:t> </w:t>
            </w:r>
            <w:r w:rsidRPr="001839C2">
              <w:rPr>
                <w:rFonts w:eastAsiaTheme="minorEastAsia"/>
                <w:snapToGrid/>
                <w:szCs w:val="22"/>
                <w:lang w:val="lt-LT" w:eastAsia="en-IN"/>
              </w:rPr>
              <w:t>(43)</w:t>
            </w:r>
          </w:p>
        </w:tc>
        <w:tc>
          <w:tcPr>
            <w:tcW w:w="1740" w:type="dxa"/>
            <w:tcBorders>
              <w:top w:val="single" w:sz="4" w:space="0" w:color="000000"/>
              <w:left w:val="single" w:sz="4" w:space="0" w:color="000000"/>
              <w:bottom w:val="single" w:sz="4" w:space="0" w:color="000000"/>
              <w:right w:val="single" w:sz="4" w:space="0" w:color="000000"/>
            </w:tcBorders>
            <w:vAlign w:val="center"/>
          </w:tcPr>
          <w:p w14:paraId="7E4C3F1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18</w:t>
            </w:r>
            <w:r w:rsidR="00022CC4" w:rsidRPr="001839C2">
              <w:rPr>
                <w:rFonts w:eastAsiaTheme="minorEastAsia"/>
                <w:snapToGrid/>
                <w:szCs w:val="22"/>
                <w:lang w:val="lt-LT" w:eastAsia="en-IN"/>
              </w:rPr>
              <w:t> </w:t>
            </w:r>
            <w:r w:rsidRPr="001839C2">
              <w:rPr>
                <w:rFonts w:eastAsiaTheme="minorEastAsia"/>
                <w:snapToGrid/>
                <w:szCs w:val="22"/>
                <w:lang w:val="lt-LT" w:eastAsia="en-IN"/>
              </w:rPr>
              <w:t>(35)</w:t>
            </w:r>
          </w:p>
        </w:tc>
      </w:tr>
      <w:tr w:rsidR="00DC41B7" w:rsidRPr="001839C2" w14:paraId="173766E2"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2F29C49E"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ASGbA per </w:t>
            </w:r>
            <w:r w:rsidR="00735856" w:rsidRPr="001839C2">
              <w:rPr>
                <w:rFonts w:eastAsiaTheme="minorEastAsia"/>
                <w:snapToGrid/>
                <w:szCs w:val="22"/>
                <w:lang w:val="lt-LT" w:eastAsia="en-IN"/>
              </w:rPr>
              <w:t>p</w:t>
            </w:r>
            <w:r w:rsidRPr="001839C2">
              <w:rPr>
                <w:rFonts w:eastAsiaTheme="minorEastAsia"/>
                <w:snapToGrid/>
                <w:szCs w:val="22"/>
                <w:lang w:val="lt-LT" w:eastAsia="en-IN"/>
              </w:rPr>
              <w:t>a</w:t>
            </w:r>
            <w:r w:rsidR="00735856" w:rsidRPr="001839C2">
              <w:rPr>
                <w:rFonts w:eastAsiaTheme="minorEastAsia"/>
                <w:snapToGrid/>
                <w:szCs w:val="22"/>
                <w:lang w:val="lt-LT" w:eastAsia="en-IN"/>
              </w:rPr>
              <w:t>s</w:t>
            </w:r>
            <w:r w:rsidRPr="001839C2">
              <w:rPr>
                <w:rFonts w:eastAsiaTheme="minorEastAsia"/>
                <w:snapToGrid/>
                <w:szCs w:val="22"/>
                <w:lang w:val="lt-LT" w:eastAsia="en-IN"/>
              </w:rPr>
              <w:t>k</w:t>
            </w:r>
            <w:r w:rsidR="00735856" w:rsidRPr="001839C2">
              <w:rPr>
                <w:rFonts w:eastAsiaTheme="minorEastAsia"/>
                <w:snapToGrid/>
                <w:szCs w:val="22"/>
                <w:lang w:val="lt-LT" w:eastAsia="en-IN"/>
              </w:rPr>
              <w:t>u</w:t>
            </w:r>
            <w:r w:rsidRPr="001839C2">
              <w:rPr>
                <w:rFonts w:eastAsiaTheme="minorEastAsia"/>
                <w:snapToGrid/>
                <w:szCs w:val="22"/>
                <w:lang w:val="lt-LT" w:eastAsia="en-IN"/>
              </w:rPr>
              <w:t>t</w:t>
            </w:r>
            <w:r w:rsidR="00735856" w:rsidRPr="001839C2">
              <w:rPr>
                <w:rFonts w:eastAsiaTheme="minorEastAsia"/>
                <w:snapToGrid/>
                <w:szCs w:val="22"/>
                <w:lang w:val="lt-LT" w:eastAsia="en-IN"/>
              </w:rPr>
              <w:t>i</w:t>
            </w:r>
            <w:r w:rsidRPr="001839C2">
              <w:rPr>
                <w:rFonts w:eastAsiaTheme="minorEastAsia"/>
                <w:snapToGrid/>
                <w:szCs w:val="22"/>
                <w:lang w:val="lt-LT" w:eastAsia="en-IN"/>
              </w:rPr>
              <w:t>nes 12</w:t>
            </w:r>
            <w:r w:rsidR="00022CC4" w:rsidRPr="001839C2">
              <w:rPr>
                <w:rFonts w:eastAsiaTheme="minorEastAsia"/>
                <w:snapToGrid/>
                <w:szCs w:val="22"/>
                <w:lang w:val="lt-LT" w:eastAsia="en-IN"/>
              </w:rPr>
              <w:t> </w:t>
            </w:r>
            <w:r w:rsidRPr="001839C2">
              <w:rPr>
                <w:rFonts w:eastAsiaTheme="minorEastAsia"/>
                <w:snapToGrid/>
                <w:szCs w:val="22"/>
                <w:lang w:val="lt-LT" w:eastAsia="en-IN"/>
              </w:rPr>
              <w:t xml:space="preserve">savaičių, </w:t>
            </w:r>
            <w:r w:rsidR="00022CC4" w:rsidRPr="001839C2">
              <w:rPr>
                <w:rFonts w:eastAsiaTheme="minorEastAsia"/>
                <w:snapToGrid/>
                <w:szCs w:val="22"/>
                <w:lang w:val="lt-LT" w:eastAsia="en-IN"/>
              </w:rPr>
              <w:t>n </w:t>
            </w:r>
            <w:r w:rsidRPr="001839C2">
              <w:rPr>
                <w:rFonts w:eastAsiaTheme="minorEastAsia"/>
                <w:snapToGrid/>
                <w:szCs w:val="22"/>
                <w:lang w:val="lt-LT" w:eastAsia="en-IN"/>
              </w:rPr>
              <w:t>(%)</w:t>
            </w:r>
          </w:p>
        </w:tc>
        <w:tc>
          <w:tcPr>
            <w:tcW w:w="1428" w:type="dxa"/>
            <w:tcBorders>
              <w:top w:val="single" w:sz="4" w:space="0" w:color="000000"/>
              <w:left w:val="single" w:sz="4" w:space="0" w:color="000000"/>
              <w:bottom w:val="single" w:sz="4" w:space="0" w:color="000000"/>
              <w:right w:val="single" w:sz="4" w:space="0" w:color="000000"/>
            </w:tcBorders>
            <w:vAlign w:val="center"/>
          </w:tcPr>
          <w:p w14:paraId="7068A54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753</w:t>
            </w:r>
            <w:r w:rsidR="00022CC4" w:rsidRPr="001839C2">
              <w:rPr>
                <w:rFonts w:eastAsiaTheme="minorEastAsia"/>
                <w:snapToGrid/>
                <w:szCs w:val="22"/>
                <w:lang w:val="lt-LT" w:eastAsia="en-IN"/>
              </w:rPr>
              <w:t> </w:t>
            </w:r>
            <w:r w:rsidRPr="001839C2">
              <w:rPr>
                <w:rFonts w:eastAsiaTheme="minorEastAsia"/>
                <w:snapToGrid/>
                <w:szCs w:val="22"/>
                <w:lang w:val="lt-LT" w:eastAsia="en-IN"/>
              </w:rPr>
              <w:t>(60)</w:t>
            </w:r>
          </w:p>
        </w:tc>
        <w:tc>
          <w:tcPr>
            <w:tcW w:w="1740" w:type="dxa"/>
            <w:tcBorders>
              <w:top w:val="single" w:sz="4" w:space="0" w:color="000000"/>
              <w:left w:val="single" w:sz="4" w:space="0" w:color="000000"/>
              <w:bottom w:val="single" w:sz="4" w:space="0" w:color="000000"/>
              <w:right w:val="single" w:sz="4" w:space="0" w:color="000000"/>
            </w:tcBorders>
            <w:vAlign w:val="center"/>
          </w:tcPr>
          <w:p w14:paraId="7999AAB9"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732</w:t>
            </w:r>
            <w:r w:rsidR="00022CC4" w:rsidRPr="001839C2">
              <w:rPr>
                <w:rFonts w:eastAsiaTheme="minorEastAsia"/>
                <w:snapToGrid/>
                <w:szCs w:val="22"/>
                <w:lang w:val="lt-LT" w:eastAsia="en-IN"/>
              </w:rPr>
              <w:t> </w:t>
            </w:r>
            <w:r w:rsidRPr="001839C2">
              <w:rPr>
                <w:rFonts w:eastAsiaTheme="minorEastAsia"/>
                <w:snapToGrid/>
                <w:szCs w:val="22"/>
                <w:lang w:val="lt-LT" w:eastAsia="en-IN"/>
              </w:rPr>
              <w:t>(59)</w:t>
            </w:r>
          </w:p>
        </w:tc>
      </w:tr>
      <w:tr w:rsidR="00DC41B7" w:rsidRPr="001839C2" w14:paraId="4C0D1B85"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4372A05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ASGbA su ŽIV+ (arba nežinomos</w:t>
            </w:r>
            <w:r w:rsidR="002579D1" w:rsidRPr="001839C2">
              <w:rPr>
                <w:rFonts w:eastAsiaTheme="minorEastAsia"/>
                <w:snapToGrid/>
                <w:szCs w:val="22"/>
                <w:lang w:val="lt-LT" w:eastAsia="en-IN"/>
              </w:rPr>
              <w:t>)</w:t>
            </w:r>
            <w:r w:rsidRPr="001839C2">
              <w:rPr>
                <w:rFonts w:eastAsiaTheme="minorEastAsia"/>
                <w:snapToGrid/>
                <w:szCs w:val="22"/>
                <w:lang w:val="lt-LT" w:eastAsia="en-IN"/>
              </w:rPr>
              <w:t xml:space="preserve"> būklės partneriu per </w:t>
            </w:r>
            <w:r w:rsidR="00735856" w:rsidRPr="001839C2">
              <w:rPr>
                <w:rFonts w:eastAsiaTheme="minorEastAsia"/>
                <w:snapToGrid/>
                <w:szCs w:val="22"/>
                <w:lang w:val="lt-LT" w:eastAsia="en-IN"/>
              </w:rPr>
              <w:t>p</w:t>
            </w:r>
            <w:r w:rsidRPr="001839C2">
              <w:rPr>
                <w:rFonts w:eastAsiaTheme="minorEastAsia"/>
                <w:snapToGrid/>
                <w:szCs w:val="22"/>
                <w:lang w:val="lt-LT" w:eastAsia="en-IN"/>
              </w:rPr>
              <w:t>a</w:t>
            </w:r>
            <w:r w:rsidR="00735856" w:rsidRPr="001839C2">
              <w:rPr>
                <w:rFonts w:eastAsiaTheme="minorEastAsia"/>
                <w:snapToGrid/>
                <w:szCs w:val="22"/>
                <w:lang w:val="lt-LT" w:eastAsia="en-IN"/>
              </w:rPr>
              <w:t>s</w:t>
            </w:r>
            <w:r w:rsidRPr="001839C2">
              <w:rPr>
                <w:rFonts w:eastAsiaTheme="minorEastAsia"/>
                <w:snapToGrid/>
                <w:szCs w:val="22"/>
                <w:lang w:val="lt-LT" w:eastAsia="en-IN"/>
              </w:rPr>
              <w:t>k</w:t>
            </w:r>
            <w:r w:rsidR="00735856" w:rsidRPr="001839C2">
              <w:rPr>
                <w:rFonts w:eastAsiaTheme="minorEastAsia"/>
                <w:snapToGrid/>
                <w:szCs w:val="22"/>
                <w:lang w:val="lt-LT" w:eastAsia="en-IN"/>
              </w:rPr>
              <w:t>u</w:t>
            </w:r>
            <w:r w:rsidRPr="001839C2">
              <w:rPr>
                <w:rFonts w:eastAsiaTheme="minorEastAsia"/>
                <w:snapToGrid/>
                <w:szCs w:val="22"/>
                <w:lang w:val="lt-LT" w:eastAsia="en-IN"/>
              </w:rPr>
              <w:t>t</w:t>
            </w:r>
            <w:r w:rsidR="00735856" w:rsidRPr="001839C2">
              <w:rPr>
                <w:rFonts w:eastAsiaTheme="minorEastAsia"/>
                <w:snapToGrid/>
                <w:szCs w:val="22"/>
                <w:lang w:val="lt-LT" w:eastAsia="en-IN"/>
              </w:rPr>
              <w:t>i</w:t>
            </w:r>
            <w:r w:rsidRPr="001839C2">
              <w:rPr>
                <w:rFonts w:eastAsiaTheme="minorEastAsia"/>
                <w:snapToGrid/>
                <w:szCs w:val="22"/>
                <w:lang w:val="lt-LT" w:eastAsia="en-IN"/>
              </w:rPr>
              <w:t>nius 6</w:t>
            </w:r>
            <w:r w:rsidR="00735856" w:rsidRPr="001839C2">
              <w:rPr>
                <w:rFonts w:eastAsiaTheme="minorEastAsia"/>
                <w:snapToGrid/>
                <w:szCs w:val="22"/>
                <w:lang w:val="lt-LT" w:eastAsia="en-IN"/>
              </w:rPr>
              <w:t> </w:t>
            </w:r>
            <w:r w:rsidRPr="001839C2">
              <w:rPr>
                <w:rFonts w:eastAsiaTheme="minorEastAsia"/>
                <w:snapToGrid/>
                <w:szCs w:val="22"/>
                <w:lang w:val="lt-LT" w:eastAsia="en-IN"/>
              </w:rPr>
              <w:t xml:space="preserve">mėn., </w:t>
            </w:r>
            <w:r w:rsidR="00735856" w:rsidRPr="001839C2">
              <w:rPr>
                <w:rFonts w:eastAsiaTheme="minorEastAsia"/>
                <w:snapToGrid/>
                <w:szCs w:val="22"/>
                <w:lang w:val="lt-LT" w:eastAsia="en-IN"/>
              </w:rPr>
              <w:t>n </w:t>
            </w:r>
            <w:r w:rsidRPr="001839C2">
              <w:rPr>
                <w:rFonts w:eastAsiaTheme="minorEastAsia"/>
                <w:snapToGrid/>
                <w:szCs w:val="22"/>
                <w:lang w:val="lt-LT" w:eastAsia="en-IN"/>
              </w:rPr>
              <w:t>(%)</w:t>
            </w:r>
          </w:p>
        </w:tc>
        <w:tc>
          <w:tcPr>
            <w:tcW w:w="1428" w:type="dxa"/>
            <w:tcBorders>
              <w:top w:val="single" w:sz="4" w:space="0" w:color="000000"/>
              <w:left w:val="single" w:sz="4" w:space="0" w:color="000000"/>
              <w:bottom w:val="single" w:sz="4" w:space="0" w:color="000000"/>
              <w:right w:val="single" w:sz="4" w:space="0" w:color="000000"/>
            </w:tcBorders>
            <w:vAlign w:val="center"/>
          </w:tcPr>
          <w:p w14:paraId="1F7D812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w:t>
            </w:r>
            <w:r w:rsidR="00735856" w:rsidRPr="001839C2">
              <w:rPr>
                <w:rFonts w:eastAsiaTheme="minorEastAsia"/>
                <w:snapToGrid/>
                <w:szCs w:val="22"/>
                <w:lang w:val="lt-LT" w:eastAsia="en-IN"/>
              </w:rPr>
              <w:t> </w:t>
            </w:r>
            <w:r w:rsidRPr="001839C2">
              <w:rPr>
                <w:rFonts w:eastAsiaTheme="minorEastAsia"/>
                <w:snapToGrid/>
                <w:szCs w:val="22"/>
                <w:lang w:val="lt-LT" w:eastAsia="en-IN"/>
              </w:rPr>
              <w:t>009</w:t>
            </w:r>
            <w:r w:rsidR="00735856" w:rsidRPr="001839C2">
              <w:rPr>
                <w:rFonts w:eastAsiaTheme="minorEastAsia"/>
                <w:snapToGrid/>
                <w:szCs w:val="22"/>
                <w:lang w:val="lt-LT" w:eastAsia="en-IN"/>
              </w:rPr>
              <w:t> </w:t>
            </w:r>
            <w:r w:rsidRPr="001839C2">
              <w:rPr>
                <w:rFonts w:eastAsiaTheme="minorEastAsia"/>
                <w:snapToGrid/>
                <w:szCs w:val="22"/>
                <w:lang w:val="lt-LT" w:eastAsia="en-IN"/>
              </w:rPr>
              <w:t>(81)</w:t>
            </w:r>
          </w:p>
        </w:tc>
        <w:tc>
          <w:tcPr>
            <w:tcW w:w="1740" w:type="dxa"/>
            <w:tcBorders>
              <w:top w:val="single" w:sz="4" w:space="0" w:color="000000"/>
              <w:left w:val="single" w:sz="4" w:space="0" w:color="000000"/>
              <w:bottom w:val="single" w:sz="4" w:space="0" w:color="000000"/>
              <w:right w:val="single" w:sz="4" w:space="0" w:color="000000"/>
            </w:tcBorders>
            <w:vAlign w:val="center"/>
          </w:tcPr>
          <w:p w14:paraId="2CD03EF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992</w:t>
            </w:r>
            <w:r w:rsidR="00735856" w:rsidRPr="001839C2">
              <w:rPr>
                <w:rFonts w:eastAsiaTheme="minorEastAsia"/>
                <w:snapToGrid/>
                <w:szCs w:val="22"/>
                <w:lang w:val="lt-LT" w:eastAsia="en-IN"/>
              </w:rPr>
              <w:t> </w:t>
            </w:r>
            <w:r w:rsidRPr="001839C2">
              <w:rPr>
                <w:rFonts w:eastAsiaTheme="minorEastAsia"/>
                <w:snapToGrid/>
                <w:szCs w:val="22"/>
                <w:lang w:val="lt-LT" w:eastAsia="en-IN"/>
              </w:rPr>
              <w:t>(79)</w:t>
            </w:r>
          </w:p>
        </w:tc>
      </w:tr>
      <w:tr w:rsidR="00DC41B7" w:rsidRPr="001839C2" w14:paraId="2E32B1C7"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2DE58C3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Mokamų lytinių paslaugų teikimas ar gavimas per paskutinius 6</w:t>
            </w:r>
            <w:r w:rsidR="00735856" w:rsidRPr="001839C2">
              <w:rPr>
                <w:rFonts w:eastAsiaTheme="minorEastAsia"/>
                <w:snapToGrid/>
                <w:szCs w:val="22"/>
                <w:lang w:val="lt-LT" w:eastAsia="en-IN"/>
              </w:rPr>
              <w:t> </w:t>
            </w:r>
            <w:r w:rsidRPr="001839C2">
              <w:rPr>
                <w:rFonts w:eastAsiaTheme="minorEastAsia"/>
                <w:snapToGrid/>
                <w:szCs w:val="22"/>
                <w:lang w:val="lt-LT" w:eastAsia="en-IN"/>
              </w:rPr>
              <w:t xml:space="preserve">mėnesius, </w:t>
            </w:r>
            <w:r w:rsidR="00735856" w:rsidRPr="001839C2">
              <w:rPr>
                <w:rFonts w:eastAsiaTheme="minorEastAsia"/>
                <w:snapToGrid/>
                <w:szCs w:val="22"/>
                <w:lang w:val="lt-LT" w:eastAsia="en-IN"/>
              </w:rPr>
              <w:t>n </w:t>
            </w:r>
            <w:r w:rsidRPr="001839C2">
              <w:rPr>
                <w:rFonts w:eastAsiaTheme="minorEastAsia"/>
                <w:snapToGrid/>
                <w:szCs w:val="22"/>
                <w:lang w:val="lt-LT" w:eastAsia="en-IN"/>
              </w:rPr>
              <w:t>(%)</w:t>
            </w:r>
          </w:p>
        </w:tc>
        <w:tc>
          <w:tcPr>
            <w:tcW w:w="1428" w:type="dxa"/>
            <w:tcBorders>
              <w:top w:val="single" w:sz="4" w:space="0" w:color="000000"/>
              <w:left w:val="single" w:sz="4" w:space="0" w:color="000000"/>
              <w:bottom w:val="single" w:sz="4" w:space="0" w:color="000000"/>
              <w:right w:val="single" w:sz="4" w:space="0" w:color="000000"/>
            </w:tcBorders>
            <w:vAlign w:val="center"/>
          </w:tcPr>
          <w:p w14:paraId="5A40FE1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510</w:t>
            </w:r>
            <w:r w:rsidR="00735856" w:rsidRPr="001839C2">
              <w:rPr>
                <w:rFonts w:eastAsiaTheme="minorEastAsia"/>
                <w:snapToGrid/>
                <w:szCs w:val="22"/>
                <w:lang w:val="lt-LT" w:eastAsia="en-IN"/>
              </w:rPr>
              <w:t> </w:t>
            </w:r>
            <w:r w:rsidRPr="001839C2">
              <w:rPr>
                <w:rFonts w:eastAsiaTheme="minorEastAsia"/>
                <w:snapToGrid/>
                <w:szCs w:val="22"/>
                <w:lang w:val="lt-LT" w:eastAsia="en-IN"/>
              </w:rPr>
              <w:t>(41)</w:t>
            </w:r>
          </w:p>
        </w:tc>
        <w:tc>
          <w:tcPr>
            <w:tcW w:w="1740" w:type="dxa"/>
            <w:tcBorders>
              <w:top w:val="single" w:sz="4" w:space="0" w:color="000000"/>
              <w:left w:val="single" w:sz="4" w:space="0" w:color="000000"/>
              <w:bottom w:val="single" w:sz="4" w:space="0" w:color="000000"/>
              <w:right w:val="single" w:sz="4" w:space="0" w:color="000000"/>
            </w:tcBorders>
            <w:vAlign w:val="center"/>
          </w:tcPr>
          <w:p w14:paraId="0A605F3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517</w:t>
            </w:r>
            <w:r w:rsidR="00735856" w:rsidRPr="001839C2">
              <w:rPr>
                <w:rFonts w:eastAsiaTheme="minorEastAsia"/>
                <w:snapToGrid/>
                <w:szCs w:val="22"/>
                <w:lang w:val="lt-LT" w:eastAsia="en-IN"/>
              </w:rPr>
              <w:t> </w:t>
            </w:r>
            <w:r w:rsidRPr="001839C2">
              <w:rPr>
                <w:rFonts w:eastAsiaTheme="minorEastAsia"/>
                <w:snapToGrid/>
                <w:szCs w:val="22"/>
                <w:lang w:val="lt-LT" w:eastAsia="en-IN"/>
              </w:rPr>
              <w:t>(41)</w:t>
            </w:r>
          </w:p>
        </w:tc>
      </w:tr>
      <w:tr w:rsidR="00DC41B7" w:rsidRPr="001839C2" w14:paraId="247A4CEA"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69DAFA7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Žinomos ŽIV+</w:t>
            </w:r>
            <w:r w:rsidR="00735856" w:rsidRPr="001839C2">
              <w:rPr>
                <w:rFonts w:eastAsiaTheme="minorEastAsia"/>
                <w:snapToGrid/>
                <w:szCs w:val="22"/>
                <w:lang w:val="lt-LT" w:eastAsia="en-IN"/>
              </w:rPr>
              <w:t> </w:t>
            </w:r>
            <w:r w:rsidRPr="001839C2">
              <w:rPr>
                <w:rFonts w:eastAsiaTheme="minorEastAsia"/>
                <w:snapToGrid/>
                <w:szCs w:val="22"/>
                <w:lang w:val="lt-LT" w:eastAsia="en-IN"/>
              </w:rPr>
              <w:t>būklės partneris per paskutinius 6</w:t>
            </w:r>
            <w:r w:rsidR="00735856" w:rsidRPr="001839C2">
              <w:rPr>
                <w:rFonts w:eastAsiaTheme="minorEastAsia"/>
                <w:snapToGrid/>
                <w:szCs w:val="22"/>
                <w:lang w:val="lt-LT" w:eastAsia="en-IN"/>
              </w:rPr>
              <w:t> </w:t>
            </w:r>
            <w:r w:rsidRPr="001839C2">
              <w:rPr>
                <w:rFonts w:eastAsiaTheme="minorEastAsia"/>
                <w:snapToGrid/>
                <w:szCs w:val="22"/>
                <w:lang w:val="lt-LT" w:eastAsia="en-IN"/>
              </w:rPr>
              <w:t xml:space="preserve">mėnesius, </w:t>
            </w:r>
            <w:r w:rsidR="00735856" w:rsidRPr="001839C2">
              <w:rPr>
                <w:rFonts w:eastAsiaTheme="minorEastAsia"/>
                <w:snapToGrid/>
                <w:szCs w:val="22"/>
                <w:lang w:val="lt-LT" w:eastAsia="en-IN"/>
              </w:rPr>
              <w:t>n </w:t>
            </w:r>
            <w:r w:rsidRPr="001839C2">
              <w:rPr>
                <w:rFonts w:eastAsiaTheme="minorEastAsia"/>
                <w:snapToGrid/>
                <w:szCs w:val="22"/>
                <w:lang w:val="lt-LT" w:eastAsia="en-IN"/>
              </w:rPr>
              <w:t>(%)</w:t>
            </w:r>
          </w:p>
        </w:tc>
        <w:tc>
          <w:tcPr>
            <w:tcW w:w="1428" w:type="dxa"/>
            <w:tcBorders>
              <w:top w:val="single" w:sz="4" w:space="0" w:color="000000"/>
              <w:left w:val="single" w:sz="4" w:space="0" w:color="000000"/>
              <w:bottom w:val="single" w:sz="4" w:space="0" w:color="000000"/>
              <w:right w:val="single" w:sz="4" w:space="0" w:color="000000"/>
            </w:tcBorders>
            <w:vAlign w:val="center"/>
          </w:tcPr>
          <w:p w14:paraId="10C81CB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32</w:t>
            </w:r>
            <w:r w:rsidR="00735856" w:rsidRPr="001839C2">
              <w:rPr>
                <w:rFonts w:eastAsiaTheme="minorEastAsia"/>
                <w:snapToGrid/>
                <w:szCs w:val="22"/>
                <w:lang w:val="lt-LT" w:eastAsia="en-IN"/>
              </w:rPr>
              <w:t> </w:t>
            </w:r>
            <w:r w:rsidRPr="001839C2">
              <w:rPr>
                <w:rFonts w:eastAsiaTheme="minorEastAsia"/>
                <w:snapToGrid/>
                <w:szCs w:val="22"/>
                <w:lang w:val="lt-LT" w:eastAsia="en-IN"/>
              </w:rPr>
              <w:t>(3)</w:t>
            </w:r>
          </w:p>
        </w:tc>
        <w:tc>
          <w:tcPr>
            <w:tcW w:w="1740" w:type="dxa"/>
            <w:tcBorders>
              <w:top w:val="single" w:sz="4" w:space="0" w:color="000000"/>
              <w:left w:val="single" w:sz="4" w:space="0" w:color="000000"/>
              <w:bottom w:val="single" w:sz="4" w:space="0" w:color="000000"/>
              <w:right w:val="single" w:sz="4" w:space="0" w:color="000000"/>
            </w:tcBorders>
            <w:vAlign w:val="center"/>
          </w:tcPr>
          <w:p w14:paraId="6801B499"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23</w:t>
            </w:r>
            <w:r w:rsidR="00735856" w:rsidRPr="001839C2">
              <w:rPr>
                <w:rFonts w:eastAsiaTheme="minorEastAsia"/>
                <w:snapToGrid/>
                <w:szCs w:val="22"/>
                <w:lang w:val="lt-LT" w:eastAsia="en-IN"/>
              </w:rPr>
              <w:t> </w:t>
            </w:r>
            <w:r w:rsidRPr="001839C2">
              <w:rPr>
                <w:rFonts w:eastAsiaTheme="minorEastAsia"/>
                <w:snapToGrid/>
                <w:szCs w:val="22"/>
                <w:lang w:val="lt-LT" w:eastAsia="en-IN"/>
              </w:rPr>
              <w:t>(2)</w:t>
            </w:r>
          </w:p>
        </w:tc>
      </w:tr>
      <w:tr w:rsidR="00DC41B7" w:rsidRPr="001839C2" w14:paraId="65E25AD0"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02E5861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Serologinis reaktyvumas, susijęs su sifiliu, </w:t>
            </w:r>
            <w:r w:rsidR="00735856" w:rsidRPr="001839C2">
              <w:rPr>
                <w:rFonts w:eastAsiaTheme="minorEastAsia"/>
                <w:snapToGrid/>
                <w:szCs w:val="22"/>
                <w:lang w:val="lt-LT" w:eastAsia="en-IN"/>
              </w:rPr>
              <w:t>n </w:t>
            </w:r>
            <w:r w:rsidRPr="001839C2">
              <w:rPr>
                <w:rFonts w:eastAsiaTheme="minorEastAsia"/>
                <w:snapToGrid/>
                <w:szCs w:val="22"/>
                <w:lang w:val="lt-LT" w:eastAsia="en-IN"/>
              </w:rPr>
              <w:t>(%)</w:t>
            </w:r>
          </w:p>
        </w:tc>
        <w:tc>
          <w:tcPr>
            <w:tcW w:w="1428" w:type="dxa"/>
            <w:tcBorders>
              <w:top w:val="single" w:sz="4" w:space="0" w:color="000000"/>
              <w:left w:val="single" w:sz="4" w:space="0" w:color="000000"/>
              <w:bottom w:val="single" w:sz="4" w:space="0" w:color="000000"/>
              <w:right w:val="single" w:sz="4" w:space="0" w:color="000000"/>
            </w:tcBorders>
            <w:vAlign w:val="center"/>
          </w:tcPr>
          <w:p w14:paraId="3A5645C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162/1</w:t>
            </w:r>
            <w:r w:rsidR="00735856" w:rsidRPr="001839C2">
              <w:rPr>
                <w:rFonts w:eastAsiaTheme="minorEastAsia"/>
                <w:snapToGrid/>
                <w:szCs w:val="22"/>
                <w:lang w:val="lt-LT" w:eastAsia="en-IN"/>
              </w:rPr>
              <w:t> </w:t>
            </w:r>
            <w:r w:rsidRPr="001839C2">
              <w:rPr>
                <w:rFonts w:eastAsiaTheme="minorEastAsia"/>
                <w:snapToGrid/>
                <w:szCs w:val="22"/>
                <w:lang w:val="lt-LT" w:eastAsia="en-IN"/>
              </w:rPr>
              <w:t>239</w:t>
            </w:r>
            <w:r w:rsidR="00735856" w:rsidRPr="001839C2">
              <w:rPr>
                <w:rFonts w:eastAsiaTheme="minorEastAsia"/>
                <w:snapToGrid/>
                <w:szCs w:val="22"/>
                <w:lang w:val="lt-LT" w:eastAsia="en-IN"/>
              </w:rPr>
              <w:t> </w:t>
            </w:r>
            <w:r w:rsidRPr="001839C2">
              <w:rPr>
                <w:rFonts w:eastAsiaTheme="minorEastAsia"/>
                <w:snapToGrid/>
                <w:szCs w:val="22"/>
                <w:lang w:val="lt-LT" w:eastAsia="en-IN"/>
              </w:rPr>
              <w:t>(13)</w:t>
            </w:r>
          </w:p>
        </w:tc>
        <w:tc>
          <w:tcPr>
            <w:tcW w:w="1740" w:type="dxa"/>
            <w:tcBorders>
              <w:top w:val="single" w:sz="4" w:space="0" w:color="000000"/>
              <w:left w:val="single" w:sz="4" w:space="0" w:color="000000"/>
              <w:bottom w:val="single" w:sz="4" w:space="0" w:color="000000"/>
              <w:right w:val="single" w:sz="4" w:space="0" w:color="000000"/>
            </w:tcBorders>
            <w:vAlign w:val="center"/>
          </w:tcPr>
          <w:p w14:paraId="1AC07F5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164/1</w:t>
            </w:r>
            <w:r w:rsidR="00735856" w:rsidRPr="001839C2">
              <w:rPr>
                <w:rFonts w:eastAsiaTheme="minorEastAsia"/>
                <w:snapToGrid/>
                <w:szCs w:val="22"/>
                <w:lang w:val="lt-LT" w:eastAsia="en-IN"/>
              </w:rPr>
              <w:t> </w:t>
            </w:r>
            <w:r w:rsidRPr="001839C2">
              <w:rPr>
                <w:rFonts w:eastAsiaTheme="minorEastAsia"/>
                <w:snapToGrid/>
                <w:szCs w:val="22"/>
                <w:lang w:val="lt-LT" w:eastAsia="en-IN"/>
              </w:rPr>
              <w:t>240</w:t>
            </w:r>
            <w:r w:rsidR="00735856" w:rsidRPr="001839C2">
              <w:rPr>
                <w:rFonts w:eastAsiaTheme="minorEastAsia"/>
                <w:snapToGrid/>
                <w:szCs w:val="22"/>
                <w:lang w:val="lt-LT" w:eastAsia="en-IN"/>
              </w:rPr>
              <w:t> </w:t>
            </w:r>
            <w:r w:rsidRPr="001839C2">
              <w:rPr>
                <w:rFonts w:eastAsiaTheme="minorEastAsia"/>
                <w:snapToGrid/>
                <w:szCs w:val="22"/>
                <w:lang w:val="lt-LT" w:eastAsia="en-IN"/>
              </w:rPr>
              <w:t>(13)</w:t>
            </w:r>
          </w:p>
        </w:tc>
      </w:tr>
      <w:tr w:rsidR="00DC41B7" w:rsidRPr="001839C2" w14:paraId="1D26B942"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37C2C377"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Serume nustatyta 2</w:t>
            </w:r>
            <w:r w:rsidR="00735856" w:rsidRPr="001839C2">
              <w:rPr>
                <w:rFonts w:eastAsiaTheme="minorEastAsia"/>
                <w:snapToGrid/>
                <w:szCs w:val="22"/>
                <w:lang w:val="lt-LT" w:eastAsia="en-IN"/>
              </w:rPr>
              <w:t> </w:t>
            </w:r>
            <w:r w:rsidRPr="001839C2">
              <w:rPr>
                <w:rFonts w:eastAsiaTheme="minorEastAsia"/>
                <w:snapToGrid/>
                <w:szCs w:val="22"/>
                <w:lang w:val="lt-LT" w:eastAsia="en-IN"/>
              </w:rPr>
              <w:t xml:space="preserve">tipo </w:t>
            </w:r>
            <w:r w:rsidRPr="001839C2">
              <w:rPr>
                <w:rFonts w:eastAsiaTheme="minorEastAsia"/>
                <w:i/>
                <w:iCs/>
                <w:snapToGrid/>
                <w:szCs w:val="22"/>
                <w:lang w:val="lt-LT" w:eastAsia="en-IN"/>
              </w:rPr>
              <w:t xml:space="preserve">Herpes Simplex </w:t>
            </w:r>
            <w:r w:rsidRPr="001839C2">
              <w:rPr>
                <w:rFonts w:eastAsiaTheme="minorEastAsia"/>
                <w:snapToGrid/>
                <w:szCs w:val="22"/>
                <w:lang w:val="lt-LT" w:eastAsia="en-IN"/>
              </w:rPr>
              <w:t xml:space="preserve">viruso infekcija, </w:t>
            </w:r>
            <w:r w:rsidR="00735856" w:rsidRPr="001839C2">
              <w:rPr>
                <w:rFonts w:eastAsiaTheme="minorEastAsia"/>
                <w:snapToGrid/>
                <w:szCs w:val="22"/>
                <w:lang w:val="lt-LT" w:eastAsia="en-IN"/>
              </w:rPr>
              <w:t>n </w:t>
            </w:r>
            <w:r w:rsidRPr="001839C2">
              <w:rPr>
                <w:rFonts w:eastAsiaTheme="minorEastAsia"/>
                <w:snapToGrid/>
                <w:szCs w:val="22"/>
                <w:lang w:val="lt-LT" w:eastAsia="en-IN"/>
              </w:rPr>
              <w:t>(%)</w:t>
            </w:r>
          </w:p>
        </w:tc>
        <w:tc>
          <w:tcPr>
            <w:tcW w:w="1428" w:type="dxa"/>
            <w:tcBorders>
              <w:top w:val="single" w:sz="4" w:space="0" w:color="000000"/>
              <w:left w:val="single" w:sz="4" w:space="0" w:color="000000"/>
              <w:bottom w:val="single" w:sz="4" w:space="0" w:color="000000"/>
              <w:right w:val="single" w:sz="4" w:space="0" w:color="000000"/>
            </w:tcBorders>
            <w:vAlign w:val="center"/>
          </w:tcPr>
          <w:p w14:paraId="45D1874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430/1</w:t>
            </w:r>
            <w:r w:rsidR="00735856" w:rsidRPr="001839C2">
              <w:rPr>
                <w:rFonts w:eastAsiaTheme="minorEastAsia"/>
                <w:snapToGrid/>
                <w:szCs w:val="22"/>
                <w:lang w:val="lt-LT" w:eastAsia="en-IN"/>
              </w:rPr>
              <w:t> </w:t>
            </w:r>
            <w:r w:rsidRPr="001839C2">
              <w:rPr>
                <w:rFonts w:eastAsiaTheme="minorEastAsia"/>
                <w:snapToGrid/>
                <w:szCs w:val="22"/>
                <w:lang w:val="lt-LT" w:eastAsia="en-IN"/>
              </w:rPr>
              <w:t>243</w:t>
            </w:r>
            <w:r w:rsidR="00735856" w:rsidRPr="001839C2">
              <w:rPr>
                <w:rFonts w:eastAsiaTheme="minorEastAsia"/>
                <w:snapToGrid/>
                <w:szCs w:val="22"/>
                <w:lang w:val="lt-LT" w:eastAsia="en-IN"/>
              </w:rPr>
              <w:t> </w:t>
            </w:r>
            <w:r w:rsidRPr="001839C2">
              <w:rPr>
                <w:rFonts w:eastAsiaTheme="minorEastAsia"/>
                <w:snapToGrid/>
                <w:szCs w:val="22"/>
                <w:lang w:val="lt-LT" w:eastAsia="en-IN"/>
              </w:rPr>
              <w:t>(35)</w:t>
            </w:r>
          </w:p>
        </w:tc>
        <w:tc>
          <w:tcPr>
            <w:tcW w:w="1740" w:type="dxa"/>
            <w:tcBorders>
              <w:top w:val="single" w:sz="4" w:space="0" w:color="000000"/>
              <w:left w:val="single" w:sz="4" w:space="0" w:color="000000"/>
              <w:bottom w:val="single" w:sz="4" w:space="0" w:color="000000"/>
              <w:right w:val="single" w:sz="4" w:space="0" w:color="000000"/>
            </w:tcBorders>
            <w:vAlign w:val="center"/>
          </w:tcPr>
          <w:p w14:paraId="123F302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458/1</w:t>
            </w:r>
            <w:r w:rsidR="00735856" w:rsidRPr="001839C2">
              <w:rPr>
                <w:rFonts w:eastAsiaTheme="minorEastAsia"/>
                <w:snapToGrid/>
                <w:szCs w:val="22"/>
                <w:lang w:val="lt-LT" w:eastAsia="en-IN"/>
              </w:rPr>
              <w:t> </w:t>
            </w:r>
            <w:r w:rsidRPr="001839C2">
              <w:rPr>
                <w:rFonts w:eastAsiaTheme="minorEastAsia"/>
                <w:snapToGrid/>
                <w:szCs w:val="22"/>
                <w:lang w:val="lt-LT" w:eastAsia="en-IN"/>
              </w:rPr>
              <w:t>241</w:t>
            </w:r>
            <w:r w:rsidR="00735856" w:rsidRPr="001839C2">
              <w:rPr>
                <w:rFonts w:eastAsiaTheme="minorEastAsia"/>
                <w:snapToGrid/>
                <w:szCs w:val="22"/>
                <w:lang w:val="lt-LT" w:eastAsia="en-IN"/>
              </w:rPr>
              <w:t> </w:t>
            </w:r>
            <w:r w:rsidRPr="001839C2">
              <w:rPr>
                <w:rFonts w:eastAsiaTheme="minorEastAsia"/>
                <w:snapToGrid/>
                <w:szCs w:val="22"/>
                <w:lang w:val="lt-LT" w:eastAsia="en-IN"/>
              </w:rPr>
              <w:t>(37)</w:t>
            </w:r>
          </w:p>
        </w:tc>
      </w:tr>
      <w:tr w:rsidR="00DC41B7" w:rsidRPr="001839C2" w14:paraId="6AE0A258" w14:textId="77777777" w:rsidTr="002579D1">
        <w:tc>
          <w:tcPr>
            <w:tcW w:w="6098" w:type="dxa"/>
            <w:tcBorders>
              <w:top w:val="single" w:sz="4" w:space="0" w:color="000000"/>
              <w:left w:val="single" w:sz="4" w:space="0" w:color="000000"/>
              <w:bottom w:val="single" w:sz="4" w:space="0" w:color="000000"/>
              <w:right w:val="single" w:sz="4" w:space="0" w:color="000000"/>
            </w:tcBorders>
          </w:tcPr>
          <w:p w14:paraId="719DED3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 xml:space="preserve">Teigiamas leukocitų esterazės šlapime tyrimo rezultatas, </w:t>
            </w:r>
            <w:r w:rsidR="00735856" w:rsidRPr="001839C2">
              <w:rPr>
                <w:rFonts w:eastAsiaTheme="minorEastAsia"/>
                <w:snapToGrid/>
                <w:szCs w:val="22"/>
                <w:lang w:val="lt-LT" w:eastAsia="en-IN"/>
              </w:rPr>
              <w:t>n </w:t>
            </w:r>
            <w:r w:rsidRPr="001839C2">
              <w:rPr>
                <w:rFonts w:eastAsiaTheme="minorEastAsia"/>
                <w:snapToGrid/>
                <w:szCs w:val="22"/>
                <w:lang w:val="lt-LT" w:eastAsia="en-IN"/>
              </w:rPr>
              <w:t>(%)</w:t>
            </w:r>
          </w:p>
        </w:tc>
        <w:tc>
          <w:tcPr>
            <w:tcW w:w="1428" w:type="dxa"/>
            <w:tcBorders>
              <w:top w:val="single" w:sz="4" w:space="0" w:color="000000"/>
              <w:left w:val="single" w:sz="4" w:space="0" w:color="000000"/>
              <w:bottom w:val="single" w:sz="4" w:space="0" w:color="000000"/>
              <w:right w:val="single" w:sz="4" w:space="0" w:color="000000"/>
            </w:tcBorders>
            <w:vAlign w:val="center"/>
          </w:tcPr>
          <w:p w14:paraId="52A1774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22</w:t>
            </w:r>
            <w:r w:rsidR="00735856" w:rsidRPr="001839C2">
              <w:rPr>
                <w:rFonts w:eastAsiaTheme="minorEastAsia"/>
                <w:snapToGrid/>
                <w:szCs w:val="22"/>
                <w:lang w:val="lt-LT" w:eastAsia="en-IN"/>
              </w:rPr>
              <w:t> </w:t>
            </w:r>
            <w:r w:rsidRPr="001839C2">
              <w:rPr>
                <w:rFonts w:eastAsiaTheme="minorEastAsia"/>
                <w:snapToGrid/>
                <w:szCs w:val="22"/>
                <w:lang w:val="lt-LT" w:eastAsia="en-IN"/>
              </w:rPr>
              <w:t>(2)</w:t>
            </w:r>
          </w:p>
        </w:tc>
        <w:tc>
          <w:tcPr>
            <w:tcW w:w="1740" w:type="dxa"/>
            <w:tcBorders>
              <w:top w:val="single" w:sz="4" w:space="0" w:color="000000"/>
              <w:left w:val="single" w:sz="4" w:space="0" w:color="000000"/>
              <w:bottom w:val="single" w:sz="4" w:space="0" w:color="000000"/>
              <w:right w:val="single" w:sz="4" w:space="0" w:color="000000"/>
            </w:tcBorders>
            <w:vAlign w:val="center"/>
          </w:tcPr>
          <w:p w14:paraId="176A7A4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23</w:t>
            </w:r>
            <w:r w:rsidR="00735856" w:rsidRPr="001839C2">
              <w:rPr>
                <w:rFonts w:eastAsiaTheme="minorEastAsia"/>
                <w:snapToGrid/>
                <w:szCs w:val="22"/>
                <w:lang w:val="lt-LT" w:eastAsia="en-IN"/>
              </w:rPr>
              <w:t> </w:t>
            </w:r>
            <w:r w:rsidRPr="001839C2">
              <w:rPr>
                <w:rFonts w:eastAsiaTheme="minorEastAsia"/>
                <w:snapToGrid/>
                <w:szCs w:val="22"/>
                <w:lang w:val="lt-LT" w:eastAsia="en-IN"/>
              </w:rPr>
              <w:t>(2)</w:t>
            </w:r>
          </w:p>
        </w:tc>
      </w:tr>
    </w:tbl>
    <w:p w14:paraId="46C0F38B"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ASGbA </w:t>
      </w:r>
      <w:r w:rsidR="00735856" w:rsidRPr="001839C2">
        <w:rPr>
          <w:rFonts w:eastAsiaTheme="minorEastAsia"/>
          <w:snapToGrid/>
          <w:szCs w:val="22"/>
          <w:lang w:val="lt-LT" w:eastAsia="en-IN"/>
        </w:rPr>
        <w:t>–</w:t>
      </w:r>
      <w:r w:rsidRPr="001839C2">
        <w:rPr>
          <w:rFonts w:eastAsiaTheme="minorEastAsia"/>
          <w:snapToGrid/>
          <w:szCs w:val="22"/>
          <w:lang w:val="lt-LT" w:eastAsia="en-IN"/>
        </w:rPr>
        <w:t xml:space="preserve"> analinė sueitis gavėjo vaidmenyje be apsaugos</w:t>
      </w:r>
      <w:r w:rsidR="00CC4CA6" w:rsidRPr="001839C2">
        <w:rPr>
          <w:rFonts w:eastAsiaTheme="minorEastAsia"/>
          <w:snapToGrid/>
          <w:szCs w:val="22"/>
          <w:lang w:val="lt-LT" w:eastAsia="en-IN"/>
        </w:rPr>
        <w:t>.</w:t>
      </w:r>
    </w:p>
    <w:p w14:paraId="734BF2C9"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3ADFA50"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Bendrasis ir atskiro pogrupio, kuriame pranešta apie analinę sueitį gavėjo vaidmenyje be apsaugos, ŽIV</w:t>
      </w:r>
      <w:r w:rsidR="00735856" w:rsidRPr="001839C2">
        <w:rPr>
          <w:rFonts w:eastAsiaTheme="minorEastAsia"/>
          <w:snapToGrid/>
          <w:szCs w:val="22"/>
          <w:lang w:val="lt-LT" w:eastAsia="en-IN"/>
        </w:rPr>
        <w:t> </w:t>
      </w:r>
      <w:r w:rsidRPr="001839C2">
        <w:rPr>
          <w:rFonts w:eastAsiaTheme="minorEastAsia"/>
          <w:snapToGrid/>
          <w:szCs w:val="22"/>
          <w:lang w:val="lt-LT" w:eastAsia="en-IN"/>
        </w:rPr>
        <w:t>serokonversijos dažnis pateikiamas 6</w:t>
      </w:r>
      <w:r w:rsidR="00735856" w:rsidRPr="001839C2">
        <w:rPr>
          <w:rFonts w:eastAsiaTheme="minorEastAsia"/>
          <w:snapToGrid/>
          <w:szCs w:val="22"/>
          <w:lang w:val="lt-LT" w:eastAsia="en-IN"/>
        </w:rPr>
        <w:t> </w:t>
      </w:r>
      <w:r w:rsidRPr="001839C2">
        <w:rPr>
          <w:rFonts w:eastAsiaTheme="minorEastAsia"/>
          <w:snapToGrid/>
          <w:szCs w:val="22"/>
          <w:lang w:val="lt-LT" w:eastAsia="en-IN"/>
        </w:rPr>
        <w:t>lentelėje. Atvejo</w:t>
      </w:r>
      <w:r w:rsidR="00735856" w:rsidRPr="001839C2">
        <w:rPr>
          <w:rFonts w:eastAsiaTheme="minorEastAsia"/>
          <w:snapToGrid/>
          <w:szCs w:val="22"/>
          <w:lang w:val="lt-LT" w:eastAsia="en-IN"/>
        </w:rPr>
        <w:noBreakHyphen/>
      </w:r>
      <w:r w:rsidRPr="001839C2">
        <w:rPr>
          <w:rFonts w:eastAsiaTheme="minorEastAsia"/>
          <w:snapToGrid/>
          <w:szCs w:val="22"/>
          <w:lang w:val="lt-LT" w:eastAsia="en-IN"/>
        </w:rPr>
        <w:t>kontrolės tyrime veiksmingumas buvo labai susijęs su vaist</w:t>
      </w:r>
      <w:r w:rsidR="00735856" w:rsidRPr="001839C2">
        <w:rPr>
          <w:rFonts w:eastAsiaTheme="minorEastAsia"/>
          <w:snapToGrid/>
          <w:szCs w:val="22"/>
          <w:lang w:val="lt-LT" w:eastAsia="en-IN"/>
        </w:rPr>
        <w:t>ini</w:t>
      </w:r>
      <w:r w:rsidRPr="001839C2">
        <w:rPr>
          <w:rFonts w:eastAsiaTheme="minorEastAsia"/>
          <w:snapToGrid/>
          <w:szCs w:val="22"/>
          <w:lang w:val="lt-LT" w:eastAsia="en-IN"/>
        </w:rPr>
        <w:t>o</w:t>
      </w:r>
      <w:r w:rsidR="00735856"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vartojimo nurodymų laikymusi, įvertintu ištyrus vaist</w:t>
      </w:r>
      <w:r w:rsidR="00735856" w:rsidRPr="001839C2">
        <w:rPr>
          <w:rFonts w:eastAsiaTheme="minorEastAsia"/>
          <w:snapToGrid/>
          <w:szCs w:val="22"/>
          <w:lang w:val="lt-LT" w:eastAsia="en-IN"/>
        </w:rPr>
        <w:t>ini</w:t>
      </w:r>
      <w:r w:rsidRPr="001839C2">
        <w:rPr>
          <w:rFonts w:eastAsiaTheme="minorEastAsia"/>
          <w:snapToGrid/>
          <w:szCs w:val="22"/>
          <w:lang w:val="lt-LT" w:eastAsia="en-IN"/>
        </w:rPr>
        <w:t>o</w:t>
      </w:r>
      <w:r w:rsidR="00735856"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koncentraciją plazmoje arba ląstel</w:t>
      </w:r>
      <w:r w:rsidR="00735856" w:rsidRPr="001839C2">
        <w:rPr>
          <w:rFonts w:eastAsiaTheme="minorEastAsia"/>
          <w:snapToGrid/>
          <w:szCs w:val="22"/>
          <w:lang w:val="lt-LT" w:eastAsia="en-IN"/>
        </w:rPr>
        <w:t>ės</w:t>
      </w:r>
      <w:r w:rsidRPr="001839C2">
        <w:rPr>
          <w:rFonts w:eastAsiaTheme="minorEastAsia"/>
          <w:snapToGrid/>
          <w:szCs w:val="22"/>
          <w:lang w:val="lt-LT" w:eastAsia="en-IN"/>
        </w:rPr>
        <w:t>e (7</w:t>
      </w:r>
      <w:r w:rsidR="00735856" w:rsidRPr="001839C2">
        <w:rPr>
          <w:rFonts w:eastAsiaTheme="minorEastAsia"/>
          <w:snapToGrid/>
          <w:szCs w:val="22"/>
          <w:lang w:val="lt-LT" w:eastAsia="en-IN"/>
        </w:rPr>
        <w:t> </w:t>
      </w:r>
      <w:r w:rsidRPr="001839C2">
        <w:rPr>
          <w:rFonts w:eastAsiaTheme="minorEastAsia"/>
          <w:snapToGrid/>
          <w:szCs w:val="22"/>
          <w:lang w:val="lt-LT" w:eastAsia="en-IN"/>
        </w:rPr>
        <w:t>lentelė).</w:t>
      </w:r>
    </w:p>
    <w:p w14:paraId="04689B1E"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C138F63" w14:textId="77777777" w:rsidR="002A5F50" w:rsidRPr="001839C2" w:rsidRDefault="00735856" w:rsidP="00230559">
      <w:pPr>
        <w:keepNext/>
        <w:keepLines/>
        <w:tabs>
          <w:tab w:val="clear" w:pos="567"/>
          <w:tab w:val="left" w:pos="0"/>
          <w:tab w:val="left" w:pos="384"/>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lastRenderedPageBreak/>
        <w:t>6 </w:t>
      </w:r>
      <w:r w:rsidR="002A5F50" w:rsidRPr="001839C2">
        <w:rPr>
          <w:rFonts w:eastAsiaTheme="minorEastAsia"/>
          <w:b/>
          <w:bCs/>
          <w:snapToGrid/>
          <w:szCs w:val="22"/>
          <w:lang w:val="lt-LT" w:eastAsia="en-IN"/>
        </w:rPr>
        <w:t>lentelė. Veiksmingumas tyrimo</w:t>
      </w:r>
      <w:r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CO</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US</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104</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0288</w:t>
      </w:r>
      <w:r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(iPrEx) metu</w:t>
      </w:r>
    </w:p>
    <w:p w14:paraId="5570995D"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W w:w="9273" w:type="dxa"/>
        <w:tblLayout w:type="fixed"/>
        <w:tblCellMar>
          <w:left w:w="0" w:type="dxa"/>
          <w:right w:w="0" w:type="dxa"/>
        </w:tblCellMar>
        <w:tblLook w:val="0000" w:firstRow="0" w:lastRow="0" w:firstColumn="0" w:lastColumn="0" w:noHBand="0" w:noVBand="0"/>
      </w:tblPr>
      <w:tblGrid>
        <w:gridCol w:w="5014"/>
        <w:gridCol w:w="941"/>
        <w:gridCol w:w="2055"/>
        <w:gridCol w:w="1263"/>
      </w:tblGrid>
      <w:tr w:rsidR="00DC41B7" w:rsidRPr="001839C2" w14:paraId="01E10782" w14:textId="77777777" w:rsidTr="00230559">
        <w:trPr>
          <w:cantSplit/>
        </w:trPr>
        <w:tc>
          <w:tcPr>
            <w:tcW w:w="5014" w:type="dxa"/>
            <w:tcBorders>
              <w:top w:val="single" w:sz="4" w:space="0" w:color="000000"/>
              <w:left w:val="single" w:sz="4" w:space="0" w:color="000000"/>
              <w:bottom w:val="single" w:sz="4" w:space="0" w:color="000000"/>
              <w:right w:val="single" w:sz="4" w:space="0" w:color="000000"/>
            </w:tcBorders>
          </w:tcPr>
          <w:p w14:paraId="5BB85ACD" w14:textId="77777777" w:rsidR="002A5F50" w:rsidRPr="001839C2" w:rsidRDefault="002A5F50" w:rsidP="00230559">
            <w:pPr>
              <w:keepNext/>
              <w:keepLines/>
              <w:tabs>
                <w:tab w:val="clear" w:pos="567"/>
                <w:tab w:val="left" w:pos="0"/>
              </w:tabs>
              <w:autoSpaceDE w:val="0"/>
              <w:autoSpaceDN w:val="0"/>
              <w:adjustRightInd w:val="0"/>
              <w:ind w:right="108"/>
              <w:rPr>
                <w:rFonts w:eastAsiaTheme="minorEastAsia"/>
                <w:snapToGrid/>
                <w:szCs w:val="22"/>
                <w:lang w:val="lt-LT" w:eastAsia="en-IN"/>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4A805864"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Placebas</w:t>
            </w:r>
          </w:p>
        </w:tc>
        <w:tc>
          <w:tcPr>
            <w:tcW w:w="2055" w:type="dxa"/>
            <w:tcBorders>
              <w:top w:val="single" w:sz="4" w:space="0" w:color="000000"/>
              <w:left w:val="single" w:sz="4" w:space="0" w:color="000000"/>
              <w:bottom w:val="single" w:sz="4" w:space="0" w:color="000000"/>
              <w:right w:val="single" w:sz="4" w:space="0" w:color="000000"/>
            </w:tcBorders>
            <w:vAlign w:val="center"/>
          </w:tcPr>
          <w:p w14:paraId="38CBE013"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Emtricitabin</w:t>
            </w:r>
            <w:r w:rsidR="00653DE1" w:rsidRPr="001839C2">
              <w:rPr>
                <w:rFonts w:eastAsiaTheme="minorEastAsia"/>
                <w:b/>
                <w:bCs/>
                <w:snapToGrid/>
                <w:szCs w:val="22"/>
                <w:lang w:val="lt-LT" w:eastAsia="en-IN"/>
              </w:rPr>
              <w:t>o ir t</w:t>
            </w:r>
            <w:r w:rsidRPr="001839C2">
              <w:rPr>
                <w:rFonts w:eastAsiaTheme="minorEastAsia"/>
                <w:b/>
                <w:bCs/>
                <w:snapToGrid/>
                <w:szCs w:val="22"/>
                <w:lang w:val="lt-LT" w:eastAsia="en-IN"/>
              </w:rPr>
              <w:t>enofovir</w:t>
            </w:r>
            <w:r w:rsidR="00653DE1" w:rsidRPr="001839C2">
              <w:rPr>
                <w:rFonts w:eastAsiaTheme="minorEastAsia"/>
                <w:b/>
                <w:bCs/>
                <w:snapToGrid/>
                <w:szCs w:val="22"/>
                <w:lang w:val="lt-LT" w:eastAsia="en-IN"/>
              </w:rPr>
              <w:t>o</w:t>
            </w:r>
            <w:r w:rsidRPr="001839C2">
              <w:rPr>
                <w:rFonts w:eastAsiaTheme="minorEastAsia"/>
                <w:b/>
                <w:bCs/>
                <w:snapToGrid/>
                <w:szCs w:val="22"/>
                <w:lang w:val="lt-LT" w:eastAsia="en-IN"/>
              </w:rPr>
              <w:t xml:space="preserve"> di</w:t>
            </w:r>
            <w:r w:rsidR="00653DE1" w:rsidRPr="001839C2">
              <w:rPr>
                <w:rFonts w:eastAsiaTheme="minorEastAsia"/>
                <w:b/>
                <w:bCs/>
                <w:snapToGrid/>
                <w:szCs w:val="22"/>
                <w:lang w:val="lt-LT" w:eastAsia="en-IN"/>
              </w:rPr>
              <w:t>z</w:t>
            </w:r>
            <w:r w:rsidRPr="001839C2">
              <w:rPr>
                <w:rFonts w:eastAsiaTheme="minorEastAsia"/>
                <w:b/>
                <w:bCs/>
                <w:snapToGrid/>
                <w:szCs w:val="22"/>
                <w:lang w:val="lt-LT" w:eastAsia="en-IN"/>
              </w:rPr>
              <w:t>opro</w:t>
            </w:r>
            <w:r w:rsidR="00653DE1" w:rsidRPr="001839C2">
              <w:rPr>
                <w:rFonts w:eastAsiaTheme="minorEastAsia"/>
                <w:b/>
                <w:bCs/>
                <w:snapToGrid/>
                <w:szCs w:val="22"/>
                <w:lang w:val="lt-LT" w:eastAsia="en-IN"/>
              </w:rPr>
              <w:t>ks</w:t>
            </w:r>
            <w:r w:rsidRPr="001839C2">
              <w:rPr>
                <w:rFonts w:eastAsiaTheme="minorEastAsia"/>
                <w:b/>
                <w:bCs/>
                <w:snapToGrid/>
                <w:szCs w:val="22"/>
                <w:lang w:val="lt-LT" w:eastAsia="en-IN"/>
              </w:rPr>
              <w:t>il</w:t>
            </w:r>
            <w:r w:rsidR="00653DE1" w:rsidRPr="001839C2">
              <w:rPr>
                <w:rFonts w:eastAsiaTheme="minorEastAsia"/>
                <w:b/>
                <w:bCs/>
                <w:snapToGrid/>
                <w:szCs w:val="22"/>
                <w:lang w:val="lt-LT" w:eastAsia="en-IN"/>
              </w:rPr>
              <w:t>io derin</w:t>
            </w:r>
            <w:r w:rsidR="00FA02ED" w:rsidRPr="001839C2">
              <w:rPr>
                <w:rFonts w:eastAsiaTheme="minorEastAsia"/>
                <w:b/>
                <w:bCs/>
                <w:snapToGrid/>
                <w:szCs w:val="22"/>
                <w:lang w:val="lt-LT" w:eastAsia="en-IN"/>
              </w:rPr>
              <w:t>io</w:t>
            </w:r>
            <w:r w:rsidRPr="001839C2">
              <w:rPr>
                <w:rFonts w:eastAsiaTheme="minorEastAsia"/>
                <w:b/>
                <w:bCs/>
                <w:snapToGrid/>
                <w:szCs w:val="22"/>
                <w:lang w:val="lt-LT" w:eastAsia="en-IN"/>
              </w:rPr>
              <w:t xml:space="preserve"> 200</w:t>
            </w:r>
            <w:r w:rsidR="00653DE1" w:rsidRPr="001839C2">
              <w:rPr>
                <w:rFonts w:eastAsiaTheme="minorEastAsia"/>
                <w:b/>
                <w:bCs/>
                <w:snapToGrid/>
                <w:szCs w:val="22"/>
                <w:lang w:val="lt-LT" w:eastAsia="en-IN"/>
              </w:rPr>
              <w:t> </w:t>
            </w:r>
            <w:r w:rsidRPr="001839C2">
              <w:rPr>
                <w:rFonts w:eastAsiaTheme="minorEastAsia"/>
                <w:b/>
                <w:bCs/>
                <w:snapToGrid/>
                <w:szCs w:val="22"/>
                <w:lang w:val="lt-LT" w:eastAsia="en-IN"/>
              </w:rPr>
              <w:t>mg/245</w:t>
            </w:r>
            <w:r w:rsidR="00653DE1" w:rsidRPr="001839C2">
              <w:rPr>
                <w:rFonts w:eastAsiaTheme="minorEastAsia"/>
                <w:b/>
                <w:bCs/>
                <w:snapToGrid/>
                <w:szCs w:val="22"/>
                <w:lang w:val="lt-LT" w:eastAsia="en-IN"/>
              </w:rPr>
              <w:t> </w:t>
            </w:r>
            <w:r w:rsidRPr="001839C2">
              <w:rPr>
                <w:rFonts w:eastAsiaTheme="minorEastAsia"/>
                <w:b/>
                <w:bCs/>
                <w:snapToGrid/>
                <w:szCs w:val="22"/>
                <w:lang w:val="lt-LT" w:eastAsia="en-IN"/>
              </w:rPr>
              <w:t>mg plėvele dengtos tabletės</w:t>
            </w:r>
          </w:p>
        </w:tc>
        <w:tc>
          <w:tcPr>
            <w:tcW w:w="1263" w:type="dxa"/>
            <w:tcBorders>
              <w:top w:val="single" w:sz="4" w:space="0" w:color="000000"/>
              <w:left w:val="single" w:sz="4" w:space="0" w:color="000000"/>
              <w:bottom w:val="single" w:sz="4" w:space="0" w:color="000000"/>
              <w:right w:val="single" w:sz="4" w:space="0" w:color="000000"/>
            </w:tcBorders>
            <w:vAlign w:val="center"/>
          </w:tcPr>
          <w:p w14:paraId="00601A63" w14:textId="77777777" w:rsidR="002A5F50" w:rsidRPr="001839C2" w:rsidRDefault="00653DE1"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p </w:t>
            </w:r>
            <w:r w:rsidR="002A5F50" w:rsidRPr="001839C2">
              <w:rPr>
                <w:rFonts w:eastAsiaTheme="minorEastAsia"/>
                <w:b/>
                <w:bCs/>
                <w:snapToGrid/>
                <w:szCs w:val="22"/>
                <w:lang w:val="lt-LT" w:eastAsia="en-IN"/>
              </w:rPr>
              <w:t>r</w:t>
            </w:r>
            <w:r w:rsidRPr="001839C2">
              <w:rPr>
                <w:rFonts w:eastAsiaTheme="minorEastAsia"/>
                <w:b/>
                <w:bCs/>
                <w:snapToGrid/>
                <w:szCs w:val="22"/>
                <w:lang w:val="lt-LT" w:eastAsia="en-IN"/>
              </w:rPr>
              <w:t>eikšm</w:t>
            </w:r>
            <w:r w:rsidR="002A5F50" w:rsidRPr="001839C2">
              <w:rPr>
                <w:rFonts w:eastAsiaTheme="minorEastAsia"/>
                <w:b/>
                <w:bCs/>
                <w:snapToGrid/>
                <w:szCs w:val="22"/>
                <w:lang w:val="lt-LT" w:eastAsia="en-IN"/>
              </w:rPr>
              <w:t>ė</w:t>
            </w:r>
            <w:r w:rsidR="002A5F50" w:rsidRPr="001839C2">
              <w:rPr>
                <w:rFonts w:eastAsiaTheme="minorEastAsia"/>
                <w:b/>
                <w:bCs/>
                <w:snapToGrid/>
                <w:szCs w:val="22"/>
                <w:vertAlign w:val="superscript"/>
                <w:lang w:val="lt-LT" w:eastAsia="en-IN"/>
              </w:rPr>
              <w:t>a, b</w:t>
            </w:r>
          </w:p>
        </w:tc>
      </w:tr>
      <w:tr w:rsidR="00DC41B7" w:rsidRPr="001839C2" w14:paraId="11B40C5F" w14:textId="77777777" w:rsidTr="00230559">
        <w:trPr>
          <w:cantSplit/>
        </w:trPr>
        <w:tc>
          <w:tcPr>
            <w:tcW w:w="9273" w:type="dxa"/>
            <w:gridSpan w:val="4"/>
            <w:tcBorders>
              <w:top w:val="single" w:sz="4" w:space="0" w:color="000000"/>
              <w:left w:val="single" w:sz="4" w:space="0" w:color="000000"/>
              <w:bottom w:val="single" w:sz="4" w:space="0" w:color="000000"/>
              <w:right w:val="single" w:sz="4" w:space="0" w:color="000000"/>
            </w:tcBorders>
          </w:tcPr>
          <w:p w14:paraId="30E9BAE7"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mITT</w:t>
            </w:r>
            <w:r w:rsidR="00653DE1" w:rsidRPr="001839C2">
              <w:rPr>
                <w:rFonts w:eastAsiaTheme="minorEastAsia"/>
                <w:b/>
                <w:bCs/>
                <w:snapToGrid/>
                <w:szCs w:val="22"/>
                <w:lang w:val="lt-LT" w:eastAsia="en-IN"/>
              </w:rPr>
              <w:t> </w:t>
            </w:r>
            <w:r w:rsidRPr="001839C2">
              <w:rPr>
                <w:rFonts w:eastAsiaTheme="minorEastAsia"/>
                <w:b/>
                <w:bCs/>
                <w:snapToGrid/>
                <w:szCs w:val="22"/>
                <w:lang w:val="lt-LT" w:eastAsia="en-IN"/>
              </w:rPr>
              <w:t>analizė</w:t>
            </w:r>
          </w:p>
        </w:tc>
      </w:tr>
      <w:tr w:rsidR="00DC41B7" w:rsidRPr="001839C2" w14:paraId="4FCC72BD" w14:textId="77777777" w:rsidTr="00230559">
        <w:tc>
          <w:tcPr>
            <w:tcW w:w="5014" w:type="dxa"/>
            <w:tcBorders>
              <w:top w:val="single" w:sz="4" w:space="0" w:color="000000"/>
              <w:left w:val="single" w:sz="4" w:space="0" w:color="000000"/>
              <w:bottom w:val="single" w:sz="4" w:space="0" w:color="000000"/>
              <w:right w:val="single" w:sz="4" w:space="0" w:color="000000"/>
            </w:tcBorders>
          </w:tcPr>
          <w:p w14:paraId="434B51A5"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Serokonversijos, n</w:t>
            </w:r>
          </w:p>
        </w:tc>
        <w:tc>
          <w:tcPr>
            <w:tcW w:w="941" w:type="dxa"/>
            <w:tcBorders>
              <w:top w:val="single" w:sz="4" w:space="0" w:color="000000"/>
              <w:left w:val="single" w:sz="4" w:space="0" w:color="000000"/>
              <w:bottom w:val="single" w:sz="4" w:space="0" w:color="000000"/>
              <w:right w:val="single" w:sz="4" w:space="0" w:color="000000"/>
            </w:tcBorders>
            <w:vAlign w:val="center"/>
          </w:tcPr>
          <w:p w14:paraId="3B8800D2"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83/1 217</w:t>
            </w:r>
          </w:p>
        </w:tc>
        <w:tc>
          <w:tcPr>
            <w:tcW w:w="2055" w:type="dxa"/>
            <w:tcBorders>
              <w:top w:val="single" w:sz="4" w:space="0" w:color="000000"/>
              <w:left w:val="single" w:sz="4" w:space="0" w:color="000000"/>
              <w:bottom w:val="single" w:sz="4" w:space="0" w:color="000000"/>
              <w:right w:val="single" w:sz="4" w:space="0" w:color="000000"/>
            </w:tcBorders>
            <w:vAlign w:val="center"/>
          </w:tcPr>
          <w:p w14:paraId="6B943A39"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48/1 224</w:t>
            </w:r>
          </w:p>
        </w:tc>
        <w:tc>
          <w:tcPr>
            <w:tcW w:w="1263" w:type="dxa"/>
            <w:vMerge w:val="restart"/>
            <w:tcBorders>
              <w:top w:val="single" w:sz="4" w:space="0" w:color="000000"/>
              <w:left w:val="single" w:sz="4" w:space="0" w:color="000000"/>
              <w:right w:val="single" w:sz="4" w:space="0" w:color="000000"/>
            </w:tcBorders>
            <w:vAlign w:val="center"/>
          </w:tcPr>
          <w:p w14:paraId="308A96EB"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0,002</w:t>
            </w:r>
          </w:p>
        </w:tc>
      </w:tr>
      <w:tr w:rsidR="00DC41B7" w:rsidRPr="001839C2" w14:paraId="4EF7236F" w14:textId="77777777" w:rsidTr="00230559">
        <w:tc>
          <w:tcPr>
            <w:tcW w:w="5014" w:type="dxa"/>
            <w:tcBorders>
              <w:top w:val="single" w:sz="4" w:space="0" w:color="000000"/>
              <w:left w:val="single" w:sz="4" w:space="0" w:color="000000"/>
              <w:bottom w:val="single" w:sz="4" w:space="0" w:color="000000"/>
              <w:right w:val="single" w:sz="4" w:space="0" w:color="000000"/>
            </w:tcBorders>
          </w:tcPr>
          <w:p w14:paraId="715A8D6E"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Santykin</w:t>
            </w:r>
            <w:r w:rsidR="00BD4D42" w:rsidRPr="001839C2">
              <w:rPr>
                <w:rFonts w:eastAsiaTheme="minorEastAsia"/>
                <w:snapToGrid/>
                <w:szCs w:val="22"/>
                <w:lang w:val="lt-LT" w:eastAsia="en-IN"/>
              </w:rPr>
              <w:t>ė</w:t>
            </w:r>
            <w:r w:rsidRPr="001839C2">
              <w:rPr>
                <w:rFonts w:eastAsiaTheme="minorEastAsia"/>
                <w:snapToGrid/>
                <w:szCs w:val="22"/>
                <w:lang w:val="lt-LT" w:eastAsia="en-IN"/>
              </w:rPr>
              <w:t>s rizikos sumažėjimas (95 % PI)</w:t>
            </w:r>
            <w:r w:rsidRPr="001839C2">
              <w:rPr>
                <w:rFonts w:eastAsiaTheme="minorEastAsia"/>
                <w:snapToGrid/>
                <w:szCs w:val="22"/>
                <w:vertAlign w:val="superscript"/>
                <w:lang w:val="lt-LT" w:eastAsia="en-IN"/>
              </w:rPr>
              <w:t>b</w:t>
            </w:r>
          </w:p>
        </w:tc>
        <w:tc>
          <w:tcPr>
            <w:tcW w:w="2996" w:type="dxa"/>
            <w:gridSpan w:val="2"/>
            <w:tcBorders>
              <w:top w:val="single" w:sz="4" w:space="0" w:color="000000"/>
              <w:left w:val="single" w:sz="4" w:space="0" w:color="000000"/>
              <w:bottom w:val="single" w:sz="4" w:space="0" w:color="000000"/>
              <w:right w:val="single" w:sz="4" w:space="0" w:color="000000"/>
            </w:tcBorders>
            <w:vAlign w:val="center"/>
          </w:tcPr>
          <w:p w14:paraId="39F0ADD2"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42 % (18 %, 60 %)</w:t>
            </w:r>
          </w:p>
        </w:tc>
        <w:tc>
          <w:tcPr>
            <w:tcW w:w="1263" w:type="dxa"/>
            <w:vMerge/>
            <w:tcBorders>
              <w:left w:val="single" w:sz="4" w:space="0" w:color="000000"/>
              <w:bottom w:val="single" w:sz="4" w:space="0" w:color="000000"/>
              <w:right w:val="single" w:sz="4" w:space="0" w:color="000000"/>
            </w:tcBorders>
          </w:tcPr>
          <w:p w14:paraId="61492AAD"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tc>
      </w:tr>
      <w:tr w:rsidR="00DC41B7" w:rsidRPr="001839C2" w14:paraId="6AB5FA07" w14:textId="77777777" w:rsidTr="002579D1">
        <w:tc>
          <w:tcPr>
            <w:tcW w:w="9269" w:type="dxa"/>
            <w:gridSpan w:val="4"/>
            <w:tcBorders>
              <w:top w:val="single" w:sz="4" w:space="0" w:color="000000"/>
              <w:left w:val="single" w:sz="4" w:space="0" w:color="000000"/>
              <w:bottom w:val="single" w:sz="4" w:space="0" w:color="000000"/>
              <w:right w:val="single" w:sz="4" w:space="0" w:color="000000"/>
            </w:tcBorders>
          </w:tcPr>
          <w:p w14:paraId="7A174B70" w14:textId="77777777" w:rsidR="00653DE1" w:rsidRPr="001839C2" w:rsidRDefault="00653DE1" w:rsidP="002579D1">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ASGbA per 12 savaičių prieš atranką, mITT analizė</w:t>
            </w:r>
          </w:p>
        </w:tc>
      </w:tr>
      <w:tr w:rsidR="00230559" w:rsidRPr="001839C2" w14:paraId="52000821" w14:textId="77777777" w:rsidTr="002579D1">
        <w:tc>
          <w:tcPr>
            <w:tcW w:w="5014" w:type="dxa"/>
            <w:tcBorders>
              <w:top w:val="single" w:sz="4" w:space="0" w:color="000000"/>
              <w:left w:val="single" w:sz="4" w:space="0" w:color="000000"/>
              <w:bottom w:val="single" w:sz="4" w:space="0" w:color="000000"/>
              <w:right w:val="single" w:sz="4" w:space="0" w:color="auto"/>
            </w:tcBorders>
          </w:tcPr>
          <w:p w14:paraId="6245BF93"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Serokonversijos, n</w:t>
            </w:r>
          </w:p>
        </w:tc>
        <w:tc>
          <w:tcPr>
            <w:tcW w:w="941" w:type="dxa"/>
            <w:tcBorders>
              <w:top w:val="single" w:sz="4" w:space="0" w:color="000000"/>
              <w:left w:val="single" w:sz="4" w:space="0" w:color="auto"/>
              <w:bottom w:val="single" w:sz="4" w:space="0" w:color="000000"/>
              <w:right w:val="single" w:sz="4" w:space="0" w:color="000000"/>
            </w:tcBorders>
            <w:vAlign w:val="center"/>
          </w:tcPr>
          <w:p w14:paraId="28D34CDC"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72/753</w:t>
            </w:r>
          </w:p>
        </w:tc>
        <w:tc>
          <w:tcPr>
            <w:tcW w:w="2055" w:type="dxa"/>
            <w:tcBorders>
              <w:top w:val="single" w:sz="4" w:space="0" w:color="000000"/>
              <w:left w:val="single" w:sz="4" w:space="0" w:color="000000"/>
              <w:bottom w:val="single" w:sz="4" w:space="0" w:color="000000"/>
              <w:right w:val="single" w:sz="4" w:space="0" w:color="000000"/>
            </w:tcBorders>
            <w:vAlign w:val="center"/>
          </w:tcPr>
          <w:p w14:paraId="4D386153"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34/732</w:t>
            </w:r>
          </w:p>
        </w:tc>
        <w:tc>
          <w:tcPr>
            <w:tcW w:w="1263" w:type="dxa"/>
            <w:vMerge w:val="restart"/>
            <w:tcBorders>
              <w:top w:val="single" w:sz="4" w:space="0" w:color="000000"/>
              <w:left w:val="single" w:sz="4" w:space="0" w:color="000000"/>
              <w:right w:val="single" w:sz="4" w:space="0" w:color="000000"/>
            </w:tcBorders>
            <w:vAlign w:val="center"/>
          </w:tcPr>
          <w:p w14:paraId="06FA78FC"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0,0349</w:t>
            </w:r>
          </w:p>
        </w:tc>
      </w:tr>
      <w:tr w:rsidR="00DC41B7" w:rsidRPr="001839C2" w14:paraId="2A5E96A6" w14:textId="77777777" w:rsidTr="00230559">
        <w:tc>
          <w:tcPr>
            <w:tcW w:w="5014" w:type="dxa"/>
            <w:tcBorders>
              <w:top w:val="single" w:sz="4" w:space="0" w:color="000000"/>
              <w:left w:val="single" w:sz="4" w:space="0" w:color="000000"/>
              <w:bottom w:val="single" w:sz="4" w:space="0" w:color="000000"/>
              <w:right w:val="single" w:sz="4" w:space="0" w:color="000000"/>
            </w:tcBorders>
          </w:tcPr>
          <w:p w14:paraId="6644B6BF"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Santykinės rizikos sumažėjimas (95 % PI)</w:t>
            </w:r>
            <w:r w:rsidRPr="001839C2">
              <w:rPr>
                <w:rFonts w:eastAsiaTheme="minorEastAsia"/>
                <w:snapToGrid/>
                <w:szCs w:val="22"/>
                <w:vertAlign w:val="superscript"/>
                <w:lang w:val="lt-LT" w:eastAsia="en-IN"/>
              </w:rPr>
              <w:t>b</w:t>
            </w:r>
          </w:p>
        </w:tc>
        <w:tc>
          <w:tcPr>
            <w:tcW w:w="2996" w:type="dxa"/>
            <w:gridSpan w:val="2"/>
            <w:tcBorders>
              <w:top w:val="single" w:sz="4" w:space="0" w:color="000000"/>
              <w:left w:val="single" w:sz="4" w:space="0" w:color="000000"/>
              <w:bottom w:val="single" w:sz="4" w:space="0" w:color="000000"/>
              <w:right w:val="single" w:sz="4" w:space="0" w:color="000000"/>
            </w:tcBorders>
            <w:vAlign w:val="center"/>
          </w:tcPr>
          <w:p w14:paraId="7523B8A4"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52 % (28 %, 68 %)</w:t>
            </w:r>
          </w:p>
        </w:tc>
        <w:tc>
          <w:tcPr>
            <w:tcW w:w="1263" w:type="dxa"/>
            <w:vMerge/>
            <w:tcBorders>
              <w:left w:val="single" w:sz="4" w:space="0" w:color="000000"/>
              <w:bottom w:val="single" w:sz="4" w:space="0" w:color="000000"/>
              <w:right w:val="single" w:sz="4" w:space="0" w:color="000000"/>
            </w:tcBorders>
          </w:tcPr>
          <w:p w14:paraId="766F640F" w14:textId="77777777" w:rsidR="00CC4CA6" w:rsidRPr="001839C2" w:rsidRDefault="00CC4CA6"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tc>
      </w:tr>
    </w:tbl>
    <w:p w14:paraId="09C63A3F"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a</w:t>
      </w:r>
      <w:r w:rsidRPr="001839C2">
        <w:rPr>
          <w:rFonts w:eastAsiaTheme="minorEastAsia"/>
          <w:snapToGrid/>
          <w:szCs w:val="22"/>
          <w:lang w:val="lt-LT" w:eastAsia="en-IN"/>
        </w:rPr>
        <w:t xml:space="preserve"> </w:t>
      </w:r>
      <w:r w:rsidR="00CC4CA6" w:rsidRPr="001839C2">
        <w:rPr>
          <w:rFonts w:eastAsiaTheme="minorEastAsia"/>
          <w:snapToGrid/>
          <w:szCs w:val="22"/>
          <w:lang w:val="lt-LT" w:eastAsia="en-IN"/>
        </w:rPr>
        <w:t>p </w:t>
      </w:r>
      <w:r w:rsidRPr="001839C2">
        <w:rPr>
          <w:rFonts w:eastAsiaTheme="minorEastAsia"/>
          <w:snapToGrid/>
          <w:szCs w:val="22"/>
          <w:lang w:val="lt-LT" w:eastAsia="en-IN"/>
        </w:rPr>
        <w:t>r</w:t>
      </w:r>
      <w:r w:rsidR="00CC4CA6" w:rsidRPr="001839C2">
        <w:rPr>
          <w:rFonts w:eastAsiaTheme="minorEastAsia"/>
          <w:snapToGrid/>
          <w:szCs w:val="22"/>
          <w:lang w:val="lt-LT" w:eastAsia="en-IN"/>
        </w:rPr>
        <w:t>eikšm</w:t>
      </w:r>
      <w:r w:rsidRPr="001839C2">
        <w:rPr>
          <w:rFonts w:eastAsiaTheme="minorEastAsia"/>
          <w:snapToGrid/>
          <w:szCs w:val="22"/>
          <w:lang w:val="lt-LT" w:eastAsia="en-IN"/>
        </w:rPr>
        <w:t xml:space="preserve">ės, nustatytos </w:t>
      </w:r>
      <w:r w:rsidRPr="001839C2">
        <w:rPr>
          <w:rFonts w:eastAsiaTheme="minorEastAsia"/>
          <w:i/>
          <w:iCs/>
          <w:snapToGrid/>
          <w:szCs w:val="22"/>
          <w:lang w:val="lt-LT" w:eastAsia="en-IN"/>
        </w:rPr>
        <w:t>log</w:t>
      </w:r>
      <w:r w:rsidR="00CC4CA6" w:rsidRPr="001839C2">
        <w:rPr>
          <w:rFonts w:eastAsiaTheme="minorEastAsia"/>
          <w:i/>
          <w:iCs/>
          <w:snapToGrid/>
          <w:szCs w:val="22"/>
          <w:lang w:val="lt-LT" w:eastAsia="en-IN"/>
        </w:rPr>
        <w:t> </w:t>
      </w:r>
      <w:r w:rsidRPr="001839C2">
        <w:rPr>
          <w:rFonts w:eastAsiaTheme="minorEastAsia"/>
          <w:i/>
          <w:iCs/>
          <w:snapToGrid/>
          <w:szCs w:val="22"/>
          <w:lang w:val="lt-LT" w:eastAsia="en-IN"/>
        </w:rPr>
        <w:t>rank</w:t>
      </w:r>
      <w:r w:rsidR="00CC4CA6" w:rsidRPr="001839C2">
        <w:rPr>
          <w:rFonts w:eastAsiaTheme="minorEastAsia"/>
          <w:i/>
          <w:iCs/>
          <w:snapToGrid/>
          <w:szCs w:val="22"/>
          <w:lang w:val="lt-LT" w:eastAsia="en-IN"/>
        </w:rPr>
        <w:t> </w:t>
      </w:r>
      <w:r w:rsidRPr="001839C2">
        <w:rPr>
          <w:rFonts w:eastAsiaTheme="minorEastAsia"/>
          <w:snapToGrid/>
          <w:szCs w:val="22"/>
          <w:lang w:val="lt-LT" w:eastAsia="en-IN"/>
        </w:rPr>
        <w:t xml:space="preserve">testo būdu. ASGbA </w:t>
      </w:r>
      <w:r w:rsidR="00CC4CA6" w:rsidRPr="001839C2">
        <w:rPr>
          <w:rFonts w:eastAsiaTheme="minorEastAsia"/>
          <w:snapToGrid/>
          <w:szCs w:val="22"/>
          <w:lang w:val="lt-LT" w:eastAsia="en-IN"/>
        </w:rPr>
        <w:t>p </w:t>
      </w:r>
      <w:r w:rsidRPr="001839C2">
        <w:rPr>
          <w:rFonts w:eastAsiaTheme="minorEastAsia"/>
          <w:snapToGrid/>
          <w:szCs w:val="22"/>
          <w:lang w:val="lt-LT" w:eastAsia="en-IN"/>
        </w:rPr>
        <w:t>r</w:t>
      </w:r>
      <w:r w:rsidR="00CC4CA6" w:rsidRPr="001839C2">
        <w:rPr>
          <w:rFonts w:eastAsiaTheme="minorEastAsia"/>
          <w:snapToGrid/>
          <w:szCs w:val="22"/>
          <w:lang w:val="lt-LT" w:eastAsia="en-IN"/>
        </w:rPr>
        <w:t>eikšm</w:t>
      </w:r>
      <w:r w:rsidRPr="001839C2">
        <w:rPr>
          <w:rFonts w:eastAsiaTheme="minorEastAsia"/>
          <w:snapToGrid/>
          <w:szCs w:val="22"/>
          <w:lang w:val="lt-LT" w:eastAsia="en-IN"/>
        </w:rPr>
        <w:t>ės susijusios su nuline</w:t>
      </w:r>
      <w:r w:rsidR="00CC4CA6" w:rsidRPr="001839C2">
        <w:rPr>
          <w:rFonts w:eastAsiaTheme="minorEastAsia"/>
          <w:snapToGrid/>
          <w:szCs w:val="22"/>
          <w:lang w:val="lt-LT" w:eastAsia="en-IN"/>
        </w:rPr>
        <w:t> </w:t>
      </w:r>
      <w:r w:rsidRPr="001839C2">
        <w:rPr>
          <w:rFonts w:eastAsiaTheme="minorEastAsia"/>
          <w:snapToGrid/>
          <w:szCs w:val="22"/>
          <w:lang w:val="lt-LT" w:eastAsia="en-IN"/>
        </w:rPr>
        <w:t>hipoteze, kad veiksmingumas pogrupių sluoksniuose (ASGbA, ne ASGbA) skiriasi</w:t>
      </w:r>
      <w:r w:rsidR="00CC4CA6" w:rsidRPr="001839C2">
        <w:rPr>
          <w:rFonts w:eastAsiaTheme="minorEastAsia"/>
          <w:snapToGrid/>
          <w:szCs w:val="22"/>
          <w:lang w:val="lt-LT" w:eastAsia="en-IN"/>
        </w:rPr>
        <w:t>.</w:t>
      </w:r>
    </w:p>
    <w:p w14:paraId="14B5317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b</w:t>
      </w:r>
      <w:r w:rsidRPr="001839C2">
        <w:rPr>
          <w:rFonts w:eastAsiaTheme="minorEastAsia"/>
          <w:snapToGrid/>
          <w:szCs w:val="22"/>
          <w:lang w:val="lt-LT" w:eastAsia="en-IN"/>
        </w:rPr>
        <w:t xml:space="preserve"> Santykinės rizikos sumažėjimas, apskaičiuotas mITT, remiantis atsiradusia serokonversija, t.</w:t>
      </w:r>
      <w:r w:rsidR="00CC4CA6" w:rsidRPr="001839C2">
        <w:rPr>
          <w:rFonts w:eastAsiaTheme="minorEastAsia"/>
          <w:snapToGrid/>
          <w:szCs w:val="22"/>
          <w:lang w:val="lt-LT" w:eastAsia="en-IN"/>
        </w:rPr>
        <w:t> </w:t>
      </w:r>
      <w:r w:rsidRPr="001839C2">
        <w:rPr>
          <w:rFonts w:eastAsiaTheme="minorEastAsia"/>
          <w:snapToGrid/>
          <w:szCs w:val="22"/>
          <w:lang w:val="lt-LT" w:eastAsia="en-IN"/>
        </w:rPr>
        <w:t>y. atsiradusia po pradinio vertinimo per pirmąjį</w:t>
      </w:r>
      <w:r w:rsidR="00CC4CA6" w:rsidRPr="001839C2">
        <w:rPr>
          <w:rFonts w:eastAsiaTheme="minorEastAsia"/>
          <w:snapToGrid/>
          <w:szCs w:val="22"/>
          <w:lang w:val="lt-LT" w:eastAsia="en-IN"/>
        </w:rPr>
        <w:t> </w:t>
      </w:r>
      <w:r w:rsidRPr="001839C2">
        <w:rPr>
          <w:rFonts w:eastAsiaTheme="minorEastAsia"/>
          <w:snapToGrid/>
          <w:szCs w:val="22"/>
          <w:lang w:val="lt-LT" w:eastAsia="en-IN"/>
        </w:rPr>
        <w:t>apsilankymą po gydymo (praėjus a</w:t>
      </w:r>
      <w:r w:rsidR="00CC4CA6" w:rsidRPr="001839C2">
        <w:rPr>
          <w:rFonts w:eastAsiaTheme="minorEastAsia"/>
          <w:snapToGrid/>
          <w:szCs w:val="22"/>
          <w:lang w:val="lt-LT" w:eastAsia="en-IN"/>
        </w:rPr>
        <w:t>pytiksli</w:t>
      </w:r>
      <w:r w:rsidRPr="001839C2">
        <w:rPr>
          <w:rFonts w:eastAsiaTheme="minorEastAsia"/>
          <w:snapToGrid/>
          <w:szCs w:val="22"/>
          <w:lang w:val="lt-LT" w:eastAsia="en-IN"/>
        </w:rPr>
        <w:t>a</w:t>
      </w:r>
      <w:r w:rsidR="00CC4CA6" w:rsidRPr="001839C2">
        <w:rPr>
          <w:rFonts w:eastAsiaTheme="minorEastAsia"/>
          <w:snapToGrid/>
          <w:szCs w:val="22"/>
          <w:lang w:val="lt-LT" w:eastAsia="en-IN"/>
        </w:rPr>
        <w:t>i</w:t>
      </w:r>
      <w:r w:rsidRPr="001839C2">
        <w:rPr>
          <w:rFonts w:eastAsiaTheme="minorEastAsia"/>
          <w:snapToGrid/>
          <w:szCs w:val="22"/>
          <w:lang w:val="lt-LT" w:eastAsia="en-IN"/>
        </w:rPr>
        <w:t xml:space="preserve"> 1</w:t>
      </w:r>
      <w:r w:rsidR="00CC4CA6" w:rsidRPr="001839C2">
        <w:rPr>
          <w:rFonts w:eastAsiaTheme="minorEastAsia"/>
          <w:snapToGrid/>
          <w:szCs w:val="22"/>
          <w:lang w:val="lt-LT" w:eastAsia="en-IN"/>
        </w:rPr>
        <w:t> </w:t>
      </w:r>
      <w:r w:rsidRPr="001839C2">
        <w:rPr>
          <w:rFonts w:eastAsiaTheme="minorEastAsia"/>
          <w:snapToGrid/>
          <w:szCs w:val="22"/>
          <w:lang w:val="lt-LT" w:eastAsia="en-IN"/>
        </w:rPr>
        <w:t>mėnesiui po paskutinio tiriamojo vaist</w:t>
      </w:r>
      <w:r w:rsidR="00CC4CA6" w:rsidRPr="001839C2">
        <w:rPr>
          <w:rFonts w:eastAsiaTheme="minorEastAsia"/>
          <w:snapToGrid/>
          <w:szCs w:val="22"/>
          <w:lang w:val="lt-LT" w:eastAsia="en-IN"/>
        </w:rPr>
        <w:t>ini</w:t>
      </w:r>
      <w:r w:rsidRPr="001839C2">
        <w:rPr>
          <w:rFonts w:eastAsiaTheme="minorEastAsia"/>
          <w:snapToGrid/>
          <w:szCs w:val="22"/>
          <w:lang w:val="lt-LT" w:eastAsia="en-IN"/>
        </w:rPr>
        <w:t>o</w:t>
      </w:r>
      <w:r w:rsidR="00CC4CA6"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suvartojimo).</w:t>
      </w:r>
    </w:p>
    <w:p w14:paraId="063887DE"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1C10200" w14:textId="77777777" w:rsidR="002A5F50" w:rsidRPr="001839C2" w:rsidRDefault="00F31572" w:rsidP="00230559">
      <w:pPr>
        <w:keepNext/>
        <w:keepLines/>
        <w:tabs>
          <w:tab w:val="clear" w:pos="567"/>
          <w:tab w:val="left" w:pos="0"/>
          <w:tab w:val="left" w:pos="384"/>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7 </w:t>
      </w:r>
      <w:r w:rsidR="002A5F50" w:rsidRPr="001839C2">
        <w:rPr>
          <w:rFonts w:eastAsiaTheme="minorEastAsia"/>
          <w:b/>
          <w:bCs/>
          <w:snapToGrid/>
          <w:szCs w:val="22"/>
          <w:lang w:val="lt-LT" w:eastAsia="en-IN"/>
        </w:rPr>
        <w:t>lentelė. Veiksmingumas ir nurodymų laikymasis tyrimo</w:t>
      </w:r>
      <w:r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CO</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US</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104</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0288</w:t>
      </w:r>
      <w:r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(iPrEx) metu (pritaikytoji atvejo</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kontrolės analizė)</w:t>
      </w:r>
    </w:p>
    <w:p w14:paraId="2476963D"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W w:w="0" w:type="auto"/>
        <w:tblLayout w:type="fixed"/>
        <w:tblCellMar>
          <w:left w:w="0" w:type="dxa"/>
          <w:right w:w="0" w:type="dxa"/>
        </w:tblCellMar>
        <w:tblLook w:val="0000" w:firstRow="0" w:lastRow="0" w:firstColumn="0" w:lastColumn="0" w:noHBand="0" w:noVBand="0"/>
      </w:tblPr>
      <w:tblGrid>
        <w:gridCol w:w="3603"/>
        <w:gridCol w:w="1308"/>
        <w:gridCol w:w="1488"/>
        <w:gridCol w:w="2184"/>
      </w:tblGrid>
      <w:tr w:rsidR="00DC41B7" w:rsidRPr="00686907" w14:paraId="1C1D7D77" w14:textId="77777777" w:rsidTr="00D41C21">
        <w:tc>
          <w:tcPr>
            <w:tcW w:w="3603" w:type="dxa"/>
            <w:tcBorders>
              <w:top w:val="single" w:sz="4" w:space="0" w:color="000000"/>
              <w:left w:val="single" w:sz="4" w:space="0" w:color="000000"/>
              <w:bottom w:val="single" w:sz="4" w:space="0" w:color="000000"/>
              <w:right w:val="single" w:sz="4" w:space="0" w:color="000000"/>
            </w:tcBorders>
            <w:vAlign w:val="center"/>
          </w:tcPr>
          <w:p w14:paraId="746E6CA3" w14:textId="77777777" w:rsidR="002A5F50" w:rsidRPr="001839C2" w:rsidRDefault="00F31572"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Kohorta</w:t>
            </w:r>
          </w:p>
        </w:tc>
        <w:tc>
          <w:tcPr>
            <w:tcW w:w="1308" w:type="dxa"/>
            <w:tcBorders>
              <w:top w:val="single" w:sz="4" w:space="0" w:color="000000"/>
              <w:left w:val="single" w:sz="4" w:space="0" w:color="000000"/>
              <w:bottom w:val="single" w:sz="4" w:space="0" w:color="000000"/>
              <w:right w:val="single" w:sz="4" w:space="0" w:color="000000"/>
            </w:tcBorders>
            <w:vAlign w:val="center"/>
          </w:tcPr>
          <w:p w14:paraId="4B4A982F" w14:textId="77777777" w:rsidR="002A5F50" w:rsidRPr="001839C2" w:rsidRDefault="00F31572"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Vaistinio preparato aptikta</w:t>
            </w:r>
          </w:p>
        </w:tc>
        <w:tc>
          <w:tcPr>
            <w:tcW w:w="1488" w:type="dxa"/>
            <w:tcBorders>
              <w:top w:val="single" w:sz="4" w:space="0" w:color="000000"/>
              <w:left w:val="single" w:sz="4" w:space="0" w:color="000000"/>
              <w:bottom w:val="single" w:sz="4" w:space="0" w:color="000000"/>
              <w:right w:val="single" w:sz="4" w:space="0" w:color="000000"/>
            </w:tcBorders>
            <w:vAlign w:val="center"/>
          </w:tcPr>
          <w:p w14:paraId="07BD1D5E" w14:textId="77777777" w:rsidR="002A5F50" w:rsidRPr="001839C2" w:rsidRDefault="00F31572"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Vaistinio preparato neaptikta</w:t>
            </w:r>
          </w:p>
        </w:tc>
        <w:tc>
          <w:tcPr>
            <w:tcW w:w="2184" w:type="dxa"/>
            <w:tcBorders>
              <w:top w:val="single" w:sz="4" w:space="0" w:color="000000"/>
              <w:left w:val="single" w:sz="4" w:space="0" w:color="000000"/>
              <w:bottom w:val="single" w:sz="4" w:space="0" w:color="000000"/>
              <w:right w:val="single" w:sz="4" w:space="0" w:color="000000"/>
            </w:tcBorders>
            <w:vAlign w:val="center"/>
          </w:tcPr>
          <w:p w14:paraId="7D1C4DE6" w14:textId="77777777" w:rsidR="00F31572"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Santykinės rizikos sumažėjimas</w:t>
            </w:r>
          </w:p>
          <w:p w14:paraId="41E57DF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(dvipusis 95</w:t>
            </w:r>
            <w:r w:rsidR="00F31572" w:rsidRPr="001839C2">
              <w:rPr>
                <w:rFonts w:eastAsiaTheme="minorEastAsia"/>
                <w:b/>
                <w:bCs/>
                <w:snapToGrid/>
                <w:szCs w:val="22"/>
                <w:lang w:val="lt-LT" w:eastAsia="en-IN"/>
              </w:rPr>
              <w:t> </w:t>
            </w:r>
            <w:r w:rsidRPr="001839C2">
              <w:rPr>
                <w:rFonts w:eastAsiaTheme="minorEastAsia"/>
                <w:b/>
                <w:bCs/>
                <w:snapToGrid/>
                <w:szCs w:val="22"/>
                <w:lang w:val="lt-LT" w:eastAsia="en-IN"/>
              </w:rPr>
              <w:t>%</w:t>
            </w:r>
            <w:r w:rsidR="00F31572" w:rsidRPr="001839C2">
              <w:rPr>
                <w:rFonts w:eastAsiaTheme="minorEastAsia"/>
                <w:b/>
                <w:bCs/>
                <w:snapToGrid/>
                <w:szCs w:val="22"/>
                <w:lang w:val="lt-LT" w:eastAsia="en-IN"/>
              </w:rPr>
              <w:t> </w:t>
            </w:r>
            <w:r w:rsidRPr="001839C2">
              <w:rPr>
                <w:rFonts w:eastAsiaTheme="minorEastAsia"/>
                <w:b/>
                <w:bCs/>
                <w:snapToGrid/>
                <w:szCs w:val="22"/>
                <w:lang w:val="lt-LT" w:eastAsia="en-IN"/>
              </w:rPr>
              <w:t>PI)</w:t>
            </w:r>
            <w:r w:rsidRPr="001839C2">
              <w:rPr>
                <w:rFonts w:eastAsiaTheme="minorEastAsia"/>
                <w:b/>
                <w:bCs/>
                <w:snapToGrid/>
                <w:szCs w:val="22"/>
                <w:vertAlign w:val="superscript"/>
                <w:lang w:val="lt-LT" w:eastAsia="en-IN"/>
              </w:rPr>
              <w:t>a</w:t>
            </w:r>
          </w:p>
        </w:tc>
      </w:tr>
      <w:tr w:rsidR="00DC41B7" w:rsidRPr="001839C2" w14:paraId="1A4D095C" w14:textId="77777777" w:rsidTr="00D41C21">
        <w:tc>
          <w:tcPr>
            <w:tcW w:w="3603" w:type="dxa"/>
            <w:tcBorders>
              <w:top w:val="single" w:sz="4" w:space="0" w:color="000000"/>
              <w:left w:val="single" w:sz="4" w:space="0" w:color="000000"/>
              <w:bottom w:val="single" w:sz="4" w:space="0" w:color="000000"/>
              <w:right w:val="single" w:sz="4" w:space="0" w:color="000000"/>
            </w:tcBorders>
          </w:tcPr>
          <w:p w14:paraId="3262FBD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ŽIV</w:t>
            </w:r>
            <w:r w:rsidR="00F31572" w:rsidRPr="001839C2">
              <w:rPr>
                <w:rFonts w:eastAsiaTheme="minorEastAsia"/>
                <w:snapToGrid/>
                <w:szCs w:val="22"/>
                <w:lang w:val="lt-LT" w:eastAsia="en-IN"/>
              </w:rPr>
              <w:t> </w:t>
            </w:r>
            <w:r w:rsidRPr="001839C2">
              <w:rPr>
                <w:rFonts w:eastAsiaTheme="minorEastAsia"/>
                <w:snapToGrid/>
                <w:szCs w:val="22"/>
                <w:lang w:val="lt-LT" w:eastAsia="en-IN"/>
              </w:rPr>
              <w:t>teigiami suaugusieji</w:t>
            </w:r>
          </w:p>
        </w:tc>
        <w:tc>
          <w:tcPr>
            <w:tcW w:w="1308" w:type="dxa"/>
            <w:tcBorders>
              <w:top w:val="single" w:sz="4" w:space="0" w:color="000000"/>
              <w:left w:val="single" w:sz="4" w:space="0" w:color="000000"/>
              <w:bottom w:val="single" w:sz="4" w:space="0" w:color="000000"/>
              <w:right w:val="single" w:sz="4" w:space="0" w:color="000000"/>
            </w:tcBorders>
            <w:vAlign w:val="center"/>
          </w:tcPr>
          <w:p w14:paraId="1A638CF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4</w:t>
            </w:r>
            <w:r w:rsidR="00F31572" w:rsidRPr="001839C2">
              <w:rPr>
                <w:rFonts w:eastAsiaTheme="minorEastAsia"/>
                <w:snapToGrid/>
                <w:szCs w:val="22"/>
                <w:lang w:val="lt-LT" w:eastAsia="en-IN"/>
              </w:rPr>
              <w:t> </w:t>
            </w:r>
            <w:r w:rsidRPr="001839C2">
              <w:rPr>
                <w:rFonts w:eastAsiaTheme="minorEastAsia"/>
                <w:snapToGrid/>
                <w:szCs w:val="22"/>
                <w:lang w:val="lt-LT" w:eastAsia="en-IN"/>
              </w:rPr>
              <w:t>(8</w:t>
            </w:r>
            <w:r w:rsidR="00F3157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7823CC39"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44</w:t>
            </w:r>
            <w:r w:rsidR="00F31572" w:rsidRPr="001839C2">
              <w:rPr>
                <w:rFonts w:eastAsiaTheme="minorEastAsia"/>
                <w:snapToGrid/>
                <w:szCs w:val="22"/>
                <w:lang w:val="lt-LT" w:eastAsia="en-IN"/>
              </w:rPr>
              <w:t> </w:t>
            </w:r>
            <w:r w:rsidRPr="001839C2">
              <w:rPr>
                <w:rFonts w:eastAsiaTheme="minorEastAsia"/>
                <w:snapToGrid/>
                <w:szCs w:val="22"/>
                <w:lang w:val="lt-LT" w:eastAsia="en-IN"/>
              </w:rPr>
              <w:t>(92</w:t>
            </w:r>
            <w:r w:rsidR="00F3157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2184" w:type="dxa"/>
            <w:tcBorders>
              <w:top w:val="single" w:sz="4" w:space="0" w:color="000000"/>
              <w:left w:val="single" w:sz="4" w:space="0" w:color="000000"/>
              <w:bottom w:val="single" w:sz="4" w:space="0" w:color="000000"/>
              <w:right w:val="single" w:sz="4" w:space="0" w:color="000000"/>
            </w:tcBorders>
            <w:vAlign w:val="center"/>
          </w:tcPr>
          <w:p w14:paraId="105EA78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94</w:t>
            </w:r>
            <w:r w:rsidR="00F31572" w:rsidRPr="001839C2">
              <w:rPr>
                <w:rFonts w:eastAsiaTheme="minorEastAsia"/>
                <w:snapToGrid/>
                <w:szCs w:val="22"/>
                <w:lang w:val="lt-LT" w:eastAsia="en-IN"/>
              </w:rPr>
              <w:t> </w:t>
            </w:r>
            <w:r w:rsidRPr="001839C2">
              <w:rPr>
                <w:rFonts w:eastAsiaTheme="minorEastAsia"/>
                <w:snapToGrid/>
                <w:szCs w:val="22"/>
                <w:lang w:val="lt-LT" w:eastAsia="en-IN"/>
              </w:rPr>
              <w:t>% (78</w:t>
            </w:r>
            <w:r w:rsidR="00F31572" w:rsidRPr="001839C2">
              <w:rPr>
                <w:rFonts w:eastAsiaTheme="minorEastAsia"/>
                <w:snapToGrid/>
                <w:szCs w:val="22"/>
                <w:lang w:val="lt-LT" w:eastAsia="en-IN"/>
              </w:rPr>
              <w:t> </w:t>
            </w:r>
            <w:r w:rsidRPr="001839C2">
              <w:rPr>
                <w:rFonts w:eastAsiaTheme="minorEastAsia"/>
                <w:snapToGrid/>
                <w:szCs w:val="22"/>
                <w:lang w:val="lt-LT" w:eastAsia="en-IN"/>
              </w:rPr>
              <w:t>%, 99</w:t>
            </w:r>
            <w:r w:rsidR="00F31572" w:rsidRPr="001839C2">
              <w:rPr>
                <w:rFonts w:eastAsiaTheme="minorEastAsia"/>
                <w:snapToGrid/>
                <w:szCs w:val="22"/>
                <w:lang w:val="lt-LT" w:eastAsia="en-IN"/>
              </w:rPr>
              <w:t> </w:t>
            </w:r>
            <w:r w:rsidRPr="001839C2">
              <w:rPr>
                <w:rFonts w:eastAsiaTheme="minorEastAsia"/>
                <w:snapToGrid/>
                <w:szCs w:val="22"/>
                <w:lang w:val="lt-LT" w:eastAsia="en-IN"/>
              </w:rPr>
              <w:t>%)</w:t>
            </w:r>
          </w:p>
        </w:tc>
      </w:tr>
      <w:tr w:rsidR="00DC41B7" w:rsidRPr="001839C2" w14:paraId="30C7E938" w14:textId="77777777" w:rsidTr="00D41C21">
        <w:tc>
          <w:tcPr>
            <w:tcW w:w="3603" w:type="dxa"/>
            <w:tcBorders>
              <w:top w:val="single" w:sz="4" w:space="0" w:color="000000"/>
              <w:left w:val="single" w:sz="4" w:space="0" w:color="000000"/>
              <w:bottom w:val="single" w:sz="4" w:space="0" w:color="000000"/>
              <w:right w:val="single" w:sz="4" w:space="0" w:color="000000"/>
            </w:tcBorders>
          </w:tcPr>
          <w:p w14:paraId="186CCDD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ŽIV</w:t>
            </w:r>
            <w:r w:rsidR="00F31572" w:rsidRPr="001839C2">
              <w:rPr>
                <w:rFonts w:eastAsiaTheme="minorEastAsia"/>
                <w:snapToGrid/>
                <w:szCs w:val="22"/>
                <w:lang w:val="lt-LT" w:eastAsia="en-IN"/>
              </w:rPr>
              <w:t> </w:t>
            </w:r>
            <w:r w:rsidRPr="001839C2">
              <w:rPr>
                <w:rFonts w:eastAsiaTheme="minorEastAsia"/>
                <w:snapToGrid/>
                <w:szCs w:val="22"/>
                <w:lang w:val="lt-LT" w:eastAsia="en-IN"/>
              </w:rPr>
              <w:t>neigiami pritaikytosios kontrolės grupės s</w:t>
            </w:r>
            <w:r w:rsidR="00F31572" w:rsidRPr="001839C2">
              <w:rPr>
                <w:rFonts w:eastAsiaTheme="minorEastAsia"/>
                <w:snapToGrid/>
                <w:szCs w:val="22"/>
                <w:lang w:val="lt-LT" w:eastAsia="en-IN"/>
              </w:rPr>
              <w:t>uaugusi</w:t>
            </w:r>
            <w:r w:rsidRPr="001839C2">
              <w:rPr>
                <w:rFonts w:eastAsiaTheme="minorEastAsia"/>
                <w:snapToGrid/>
                <w:szCs w:val="22"/>
                <w:lang w:val="lt-LT" w:eastAsia="en-IN"/>
              </w:rPr>
              <w:t>e</w:t>
            </w:r>
            <w:r w:rsidR="00F31572" w:rsidRPr="001839C2">
              <w:rPr>
                <w:rFonts w:eastAsiaTheme="minorEastAsia"/>
                <w:snapToGrid/>
                <w:szCs w:val="22"/>
                <w:lang w:val="lt-LT" w:eastAsia="en-IN"/>
              </w:rPr>
              <w:t>ji</w:t>
            </w:r>
          </w:p>
        </w:tc>
        <w:tc>
          <w:tcPr>
            <w:tcW w:w="1308" w:type="dxa"/>
            <w:tcBorders>
              <w:top w:val="single" w:sz="4" w:space="0" w:color="000000"/>
              <w:left w:val="single" w:sz="4" w:space="0" w:color="000000"/>
              <w:bottom w:val="single" w:sz="4" w:space="0" w:color="000000"/>
              <w:right w:val="single" w:sz="4" w:space="0" w:color="000000"/>
            </w:tcBorders>
            <w:vAlign w:val="center"/>
          </w:tcPr>
          <w:p w14:paraId="212071A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63</w:t>
            </w:r>
            <w:r w:rsidR="00F31572" w:rsidRPr="001839C2">
              <w:rPr>
                <w:rFonts w:eastAsiaTheme="minorEastAsia"/>
                <w:snapToGrid/>
                <w:szCs w:val="22"/>
                <w:lang w:val="lt-LT" w:eastAsia="en-IN"/>
              </w:rPr>
              <w:t> </w:t>
            </w:r>
            <w:r w:rsidRPr="001839C2">
              <w:rPr>
                <w:rFonts w:eastAsiaTheme="minorEastAsia"/>
                <w:snapToGrid/>
                <w:szCs w:val="22"/>
                <w:lang w:val="lt-LT" w:eastAsia="en-IN"/>
              </w:rPr>
              <w:t>(44</w:t>
            </w:r>
            <w:r w:rsidR="00F3157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1488" w:type="dxa"/>
            <w:tcBorders>
              <w:top w:val="single" w:sz="4" w:space="0" w:color="000000"/>
              <w:left w:val="single" w:sz="4" w:space="0" w:color="000000"/>
              <w:bottom w:val="single" w:sz="4" w:space="0" w:color="000000"/>
              <w:right w:val="single" w:sz="4" w:space="0" w:color="000000"/>
            </w:tcBorders>
            <w:vAlign w:val="center"/>
          </w:tcPr>
          <w:p w14:paraId="74B55D1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81</w:t>
            </w:r>
            <w:r w:rsidR="00F31572" w:rsidRPr="001839C2">
              <w:rPr>
                <w:rFonts w:eastAsiaTheme="minorEastAsia"/>
                <w:snapToGrid/>
                <w:szCs w:val="22"/>
                <w:lang w:val="lt-LT" w:eastAsia="en-IN"/>
              </w:rPr>
              <w:t> </w:t>
            </w:r>
            <w:r w:rsidRPr="001839C2">
              <w:rPr>
                <w:rFonts w:eastAsiaTheme="minorEastAsia"/>
                <w:snapToGrid/>
                <w:szCs w:val="22"/>
                <w:lang w:val="lt-LT" w:eastAsia="en-IN"/>
              </w:rPr>
              <w:t>(56</w:t>
            </w:r>
            <w:r w:rsidR="00F3157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2184" w:type="dxa"/>
            <w:tcBorders>
              <w:top w:val="single" w:sz="4" w:space="0" w:color="000000"/>
              <w:left w:val="single" w:sz="4" w:space="0" w:color="000000"/>
              <w:bottom w:val="single" w:sz="4" w:space="0" w:color="000000"/>
              <w:right w:val="single" w:sz="4" w:space="0" w:color="000000"/>
            </w:tcBorders>
            <w:vAlign w:val="center"/>
          </w:tcPr>
          <w:p w14:paraId="6CC0855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tc>
      </w:tr>
    </w:tbl>
    <w:p w14:paraId="004ACD02"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a</w:t>
      </w:r>
      <w:r w:rsidRPr="001839C2">
        <w:rPr>
          <w:rFonts w:eastAsiaTheme="minorEastAsia"/>
          <w:snapToGrid/>
          <w:szCs w:val="22"/>
          <w:lang w:val="lt-LT" w:eastAsia="en-IN"/>
        </w:rPr>
        <w:t xml:space="preserve"> Santykinės rizikos sumažėjimas, apskaičiuotas pagal atsiradusią (po pradinio vertinimo) serokonversiją per dvigubai</w:t>
      </w:r>
      <w:r w:rsidR="00F31572" w:rsidRPr="001839C2">
        <w:rPr>
          <w:rFonts w:eastAsiaTheme="minorEastAsia"/>
          <w:snapToGrid/>
          <w:szCs w:val="22"/>
          <w:lang w:val="lt-LT" w:eastAsia="en-IN"/>
        </w:rPr>
        <w:t> </w:t>
      </w:r>
      <w:r w:rsidRPr="001839C2">
        <w:rPr>
          <w:rFonts w:eastAsiaTheme="minorEastAsia"/>
          <w:snapToGrid/>
          <w:szCs w:val="22"/>
          <w:lang w:val="lt-LT" w:eastAsia="en-IN"/>
        </w:rPr>
        <w:t>koduotą gydymo fazę ir 8</w:t>
      </w:r>
      <w:r w:rsidR="00F31572" w:rsidRPr="001839C2">
        <w:rPr>
          <w:rFonts w:eastAsiaTheme="minorEastAsia"/>
          <w:snapToGrid/>
          <w:szCs w:val="22"/>
          <w:lang w:val="lt-LT" w:eastAsia="en-IN"/>
        </w:rPr>
        <w:t> </w:t>
      </w:r>
      <w:r w:rsidRPr="001839C2">
        <w:rPr>
          <w:rFonts w:eastAsiaTheme="minorEastAsia"/>
          <w:snapToGrid/>
          <w:szCs w:val="22"/>
          <w:lang w:val="lt-LT" w:eastAsia="en-IN"/>
        </w:rPr>
        <w:t xml:space="preserve">savaičių trukmės stebėjimo laikotarpį. Tik tiriamųjų, atsitiktinių imčių būdu atrinktų į </w:t>
      </w:r>
      <w:r w:rsidR="00F31572" w:rsidRPr="001839C2">
        <w:rPr>
          <w:rFonts w:eastAsiaTheme="minorEastAsia"/>
          <w:snapToGrid/>
          <w:szCs w:val="22"/>
          <w:lang w:val="lt-LT" w:eastAsia="en-IN"/>
        </w:rPr>
        <w:t>emt</w:t>
      </w:r>
      <w:r w:rsidRPr="001839C2">
        <w:rPr>
          <w:rFonts w:eastAsiaTheme="minorEastAsia"/>
          <w:snapToGrid/>
          <w:szCs w:val="22"/>
          <w:lang w:val="lt-LT" w:eastAsia="en-IN"/>
        </w:rPr>
        <w:t>r</w:t>
      </w:r>
      <w:r w:rsidR="00F31572" w:rsidRPr="001839C2">
        <w:rPr>
          <w:rFonts w:eastAsiaTheme="minorEastAsia"/>
          <w:snapToGrid/>
          <w:szCs w:val="22"/>
          <w:lang w:val="lt-LT" w:eastAsia="en-IN"/>
        </w:rPr>
        <w:t>icit</w:t>
      </w:r>
      <w:r w:rsidRPr="001839C2">
        <w:rPr>
          <w:rFonts w:eastAsiaTheme="minorEastAsia"/>
          <w:snapToGrid/>
          <w:szCs w:val="22"/>
          <w:lang w:val="lt-LT" w:eastAsia="en-IN"/>
        </w:rPr>
        <w:t>a</w:t>
      </w:r>
      <w:r w:rsidR="00F44887" w:rsidRPr="001839C2">
        <w:rPr>
          <w:rFonts w:eastAsiaTheme="minorEastAsia"/>
          <w:snapToGrid/>
          <w:szCs w:val="22"/>
          <w:lang w:val="lt-LT" w:eastAsia="en-IN"/>
        </w:rPr>
        <w:t>bin</w:t>
      </w:r>
      <w:r w:rsidR="00F31572" w:rsidRPr="001839C2">
        <w:rPr>
          <w:rFonts w:eastAsiaTheme="minorEastAsia"/>
          <w:snapToGrid/>
          <w:szCs w:val="22"/>
          <w:lang w:val="lt-LT" w:eastAsia="en-IN"/>
        </w:rPr>
        <w:t xml:space="preserve">o ir tenofoviro </w:t>
      </w:r>
      <w:r w:rsidRPr="001839C2">
        <w:rPr>
          <w:rFonts w:eastAsiaTheme="minorEastAsia"/>
          <w:snapToGrid/>
          <w:szCs w:val="22"/>
          <w:lang w:val="lt-LT" w:eastAsia="en-IN"/>
        </w:rPr>
        <w:t>d</w:t>
      </w:r>
      <w:r w:rsidR="00F31572" w:rsidRPr="001839C2">
        <w:rPr>
          <w:rFonts w:eastAsiaTheme="minorEastAsia"/>
          <w:snapToGrid/>
          <w:szCs w:val="22"/>
          <w:lang w:val="lt-LT" w:eastAsia="en-IN"/>
        </w:rPr>
        <w:t>izoproksilio derinio</w:t>
      </w:r>
      <w:r w:rsidRPr="001839C2">
        <w:rPr>
          <w:rFonts w:eastAsiaTheme="minorEastAsia"/>
          <w:snapToGrid/>
          <w:szCs w:val="22"/>
          <w:lang w:val="lt-LT" w:eastAsia="en-IN"/>
        </w:rPr>
        <w:t xml:space="preserve"> grupę, mėginiai buvo įvertinti nustatant aptinkamą tenofoviro dizoproksilio</w:t>
      </w:r>
      <w:r w:rsidR="00F44887" w:rsidRPr="001839C2">
        <w:rPr>
          <w:rFonts w:eastAsiaTheme="minorEastAsia"/>
          <w:snapToGrid/>
          <w:szCs w:val="22"/>
          <w:lang w:val="lt-LT" w:eastAsia="en-IN"/>
        </w:rPr>
        <w:t xml:space="preserve"> fumar</w:t>
      </w:r>
      <w:r w:rsidR="001E32EA" w:rsidRPr="001839C2">
        <w:rPr>
          <w:rFonts w:eastAsiaTheme="minorEastAsia"/>
          <w:snapToGrid/>
          <w:szCs w:val="22"/>
          <w:lang w:val="lt-LT" w:eastAsia="en-IN"/>
        </w:rPr>
        <w:t>ato</w:t>
      </w:r>
      <w:r w:rsidR="00F44887" w:rsidRPr="001839C2">
        <w:rPr>
          <w:rFonts w:eastAsiaTheme="minorEastAsia"/>
          <w:snapToGrid/>
          <w:szCs w:val="22"/>
          <w:lang w:val="lt-LT" w:eastAsia="en-IN"/>
        </w:rPr>
        <w:t xml:space="preserve"> </w:t>
      </w:r>
      <w:r w:rsidR="001E32EA" w:rsidRPr="001839C2">
        <w:rPr>
          <w:rFonts w:eastAsiaTheme="minorEastAsia"/>
          <w:snapToGrid/>
          <w:szCs w:val="22"/>
          <w:lang w:val="lt-LT" w:eastAsia="en-IN"/>
        </w:rPr>
        <w:t>difosfato</w:t>
      </w:r>
      <w:r w:rsidRPr="001839C2">
        <w:rPr>
          <w:rFonts w:eastAsiaTheme="minorEastAsia"/>
          <w:snapToGrid/>
          <w:szCs w:val="22"/>
          <w:lang w:val="lt-LT" w:eastAsia="en-IN"/>
        </w:rPr>
        <w:t xml:space="preserve"> koncentraciją plazmoje arba ląstel</w:t>
      </w:r>
      <w:r w:rsidR="001E32EA" w:rsidRPr="001839C2">
        <w:rPr>
          <w:rFonts w:eastAsiaTheme="minorEastAsia"/>
          <w:snapToGrid/>
          <w:szCs w:val="22"/>
          <w:lang w:val="lt-LT" w:eastAsia="en-IN"/>
        </w:rPr>
        <w:t>ės</w:t>
      </w:r>
      <w:r w:rsidRPr="001839C2">
        <w:rPr>
          <w:rFonts w:eastAsiaTheme="minorEastAsia"/>
          <w:snapToGrid/>
          <w:szCs w:val="22"/>
          <w:lang w:val="lt-LT" w:eastAsia="en-IN"/>
        </w:rPr>
        <w:t>e.</w:t>
      </w:r>
    </w:p>
    <w:p w14:paraId="50A77A07"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4013024"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Klinikiniu tyrimu</w:t>
      </w:r>
      <w:r w:rsidR="001E32EA" w:rsidRPr="001839C2">
        <w:rPr>
          <w:rFonts w:eastAsiaTheme="minorEastAsia"/>
          <w:snapToGrid/>
          <w:szCs w:val="22"/>
          <w:lang w:val="lt-LT" w:eastAsia="en-IN"/>
        </w:rPr>
        <w:t> </w:t>
      </w:r>
      <w:r w:rsidRPr="001839C2">
        <w:rPr>
          <w:rFonts w:eastAsiaTheme="minorEastAsia"/>
          <w:snapToGrid/>
          <w:szCs w:val="22"/>
          <w:lang w:val="lt-LT" w:eastAsia="en-IN"/>
        </w:rPr>
        <w:t>Partners</w:t>
      </w:r>
      <w:r w:rsidR="001E32EA" w:rsidRPr="001839C2">
        <w:rPr>
          <w:rFonts w:eastAsiaTheme="minorEastAsia"/>
          <w:snapToGrid/>
          <w:szCs w:val="22"/>
          <w:lang w:val="lt-LT" w:eastAsia="en-IN"/>
        </w:rPr>
        <w:t> </w:t>
      </w:r>
      <w:r w:rsidRPr="001839C2">
        <w:rPr>
          <w:rFonts w:eastAsiaTheme="minorEastAsia"/>
          <w:snapToGrid/>
          <w:szCs w:val="22"/>
          <w:lang w:val="lt-LT" w:eastAsia="en-IN"/>
        </w:rPr>
        <w:t>PrEP</w:t>
      </w:r>
      <w:r w:rsidR="001E32EA" w:rsidRPr="001839C2">
        <w:rPr>
          <w:rFonts w:eastAsiaTheme="minorEastAsia"/>
          <w:snapToGrid/>
          <w:szCs w:val="22"/>
          <w:lang w:val="lt-LT" w:eastAsia="en-IN"/>
        </w:rPr>
        <w:t> </w:t>
      </w:r>
      <w:r w:rsidRPr="001839C2">
        <w:rPr>
          <w:rFonts w:eastAsiaTheme="minorEastAsia"/>
          <w:snapToGrid/>
          <w:szCs w:val="22"/>
          <w:lang w:val="lt-LT" w:eastAsia="en-IN"/>
        </w:rPr>
        <w:t>(CO</w:t>
      </w:r>
      <w:r w:rsidR="001E32EA" w:rsidRPr="001839C2">
        <w:rPr>
          <w:rFonts w:eastAsiaTheme="minorEastAsia"/>
          <w:snapToGrid/>
          <w:szCs w:val="22"/>
          <w:lang w:val="lt-LT" w:eastAsia="en-IN"/>
        </w:rPr>
        <w:noBreakHyphen/>
      </w:r>
      <w:r w:rsidRPr="001839C2">
        <w:rPr>
          <w:rFonts w:eastAsiaTheme="minorEastAsia"/>
          <w:snapToGrid/>
          <w:szCs w:val="22"/>
          <w:lang w:val="lt-LT" w:eastAsia="en-IN"/>
        </w:rPr>
        <w:t>US</w:t>
      </w:r>
      <w:r w:rsidR="001E32EA" w:rsidRPr="001839C2">
        <w:rPr>
          <w:rFonts w:eastAsiaTheme="minorEastAsia"/>
          <w:snapToGrid/>
          <w:szCs w:val="22"/>
          <w:lang w:val="lt-LT" w:eastAsia="en-IN"/>
        </w:rPr>
        <w:noBreakHyphen/>
      </w:r>
      <w:r w:rsidRPr="001839C2">
        <w:rPr>
          <w:rFonts w:eastAsiaTheme="minorEastAsia"/>
          <w:snapToGrid/>
          <w:szCs w:val="22"/>
          <w:lang w:val="lt-LT" w:eastAsia="en-IN"/>
        </w:rPr>
        <w:t>104</w:t>
      </w:r>
      <w:r w:rsidR="001E32EA" w:rsidRPr="001839C2">
        <w:rPr>
          <w:rFonts w:eastAsiaTheme="minorEastAsia"/>
          <w:snapToGrid/>
          <w:szCs w:val="22"/>
          <w:lang w:val="lt-LT" w:eastAsia="en-IN"/>
        </w:rPr>
        <w:noBreakHyphen/>
      </w:r>
      <w:r w:rsidRPr="001839C2">
        <w:rPr>
          <w:rFonts w:eastAsiaTheme="minorEastAsia"/>
          <w:snapToGrid/>
          <w:szCs w:val="22"/>
          <w:lang w:val="lt-LT" w:eastAsia="en-IN"/>
        </w:rPr>
        <w:t xml:space="preserve">0380) vertintas </w:t>
      </w:r>
      <w:r w:rsidR="001E32EA" w:rsidRPr="001839C2">
        <w:rPr>
          <w:rFonts w:eastAsiaTheme="minorHAnsi"/>
          <w:snapToGrid/>
          <w:szCs w:val="22"/>
          <w:lang w:val="lt-LT"/>
        </w:rPr>
        <w:t>e</w:t>
      </w:r>
      <w:r w:rsidRPr="001839C2">
        <w:rPr>
          <w:rFonts w:eastAsiaTheme="minorHAnsi"/>
          <w:snapToGrid/>
          <w:szCs w:val="22"/>
          <w:lang w:val="lt-LT"/>
        </w:rPr>
        <w:t>mtricitabin</w:t>
      </w:r>
      <w:r w:rsidR="001E32EA" w:rsidRPr="001839C2">
        <w:rPr>
          <w:rFonts w:eastAsiaTheme="minorHAnsi"/>
          <w:snapToGrid/>
          <w:szCs w:val="22"/>
          <w:lang w:val="lt-LT"/>
        </w:rPr>
        <w:t>o ir t</w:t>
      </w:r>
      <w:r w:rsidRPr="001839C2">
        <w:rPr>
          <w:rFonts w:eastAsiaTheme="minorHAnsi"/>
          <w:snapToGrid/>
          <w:szCs w:val="22"/>
          <w:lang w:val="lt-LT"/>
        </w:rPr>
        <w:t>enofovir</w:t>
      </w:r>
      <w:r w:rsidR="001E32EA" w:rsidRPr="001839C2">
        <w:rPr>
          <w:rFonts w:eastAsiaTheme="minorHAnsi"/>
          <w:snapToGrid/>
          <w:szCs w:val="22"/>
          <w:lang w:val="lt-LT"/>
        </w:rPr>
        <w:t>o</w:t>
      </w:r>
      <w:r w:rsidRPr="001839C2">
        <w:rPr>
          <w:rFonts w:eastAsiaTheme="minorHAnsi"/>
          <w:snapToGrid/>
          <w:szCs w:val="22"/>
          <w:lang w:val="lt-LT"/>
        </w:rPr>
        <w:t xml:space="preserve"> di</w:t>
      </w:r>
      <w:r w:rsidR="001E32EA" w:rsidRPr="001839C2">
        <w:rPr>
          <w:rFonts w:eastAsiaTheme="minorHAnsi"/>
          <w:snapToGrid/>
          <w:szCs w:val="22"/>
          <w:lang w:val="lt-LT"/>
        </w:rPr>
        <w:t>z</w:t>
      </w:r>
      <w:r w:rsidRPr="001839C2">
        <w:rPr>
          <w:rFonts w:eastAsiaTheme="minorHAnsi"/>
          <w:snapToGrid/>
          <w:szCs w:val="22"/>
          <w:lang w:val="lt-LT"/>
        </w:rPr>
        <w:t>opro</w:t>
      </w:r>
      <w:r w:rsidR="001E32EA" w:rsidRPr="001839C2">
        <w:rPr>
          <w:rFonts w:eastAsiaTheme="minorHAnsi"/>
          <w:snapToGrid/>
          <w:szCs w:val="22"/>
          <w:lang w:val="lt-LT"/>
        </w:rPr>
        <w:t>ks</w:t>
      </w:r>
      <w:r w:rsidRPr="001839C2">
        <w:rPr>
          <w:rFonts w:eastAsiaTheme="minorHAnsi"/>
          <w:snapToGrid/>
          <w:szCs w:val="22"/>
          <w:lang w:val="lt-LT"/>
        </w:rPr>
        <w:t>il</w:t>
      </w:r>
      <w:r w:rsidR="001E32EA" w:rsidRPr="001839C2">
        <w:rPr>
          <w:rFonts w:eastAsiaTheme="minorHAnsi"/>
          <w:snapToGrid/>
          <w:szCs w:val="22"/>
          <w:lang w:val="lt-LT"/>
        </w:rPr>
        <w:t>i</w:t>
      </w:r>
      <w:r w:rsidRPr="001839C2">
        <w:rPr>
          <w:rFonts w:eastAsiaTheme="minorHAnsi"/>
          <w:snapToGrid/>
          <w:szCs w:val="22"/>
          <w:lang w:val="lt-LT"/>
        </w:rPr>
        <w:t>o</w:t>
      </w:r>
      <w:r w:rsidR="001E32EA" w:rsidRPr="001839C2">
        <w:rPr>
          <w:rFonts w:eastAsiaTheme="minorHAnsi"/>
          <w:snapToGrid/>
          <w:szCs w:val="22"/>
          <w:lang w:val="lt-LT"/>
        </w:rPr>
        <w:t xml:space="preserve"> </w:t>
      </w:r>
      <w:r w:rsidRPr="001839C2">
        <w:rPr>
          <w:rFonts w:eastAsiaTheme="minorHAnsi"/>
          <w:snapToGrid/>
          <w:szCs w:val="22"/>
          <w:lang w:val="lt-LT"/>
        </w:rPr>
        <w:t>d</w:t>
      </w:r>
      <w:r w:rsidR="001E32EA" w:rsidRPr="001839C2">
        <w:rPr>
          <w:rFonts w:eastAsiaTheme="minorHAnsi"/>
          <w:snapToGrid/>
          <w:szCs w:val="22"/>
          <w:lang w:val="lt-LT"/>
        </w:rPr>
        <w:t>e</w:t>
      </w:r>
      <w:r w:rsidRPr="001839C2">
        <w:rPr>
          <w:rFonts w:eastAsiaTheme="minorHAnsi"/>
          <w:snapToGrid/>
          <w:szCs w:val="22"/>
          <w:lang w:val="lt-LT"/>
        </w:rPr>
        <w:t>r</w:t>
      </w:r>
      <w:r w:rsidR="001E32EA" w:rsidRPr="001839C2">
        <w:rPr>
          <w:rFonts w:eastAsiaTheme="minorHAnsi"/>
          <w:snapToGrid/>
          <w:szCs w:val="22"/>
          <w:lang w:val="lt-LT"/>
        </w:rPr>
        <w:t>inio</w:t>
      </w:r>
      <w:r w:rsidRPr="001839C2">
        <w:rPr>
          <w:rFonts w:eastAsiaTheme="minorEastAsia"/>
          <w:snapToGrid/>
          <w:szCs w:val="22"/>
          <w:lang w:val="lt-LT" w:eastAsia="en-IN"/>
        </w:rPr>
        <w:t xml:space="preserve"> </w:t>
      </w:r>
      <w:r w:rsidR="00F44887" w:rsidRPr="001839C2">
        <w:rPr>
          <w:rFonts w:eastAsiaTheme="minorEastAsia"/>
          <w:snapToGrid/>
          <w:szCs w:val="22"/>
          <w:lang w:val="lt-LT" w:eastAsia="en-IN"/>
        </w:rPr>
        <w:t>200 mg/</w:t>
      </w:r>
      <w:r w:rsidRPr="001839C2">
        <w:rPr>
          <w:rFonts w:eastAsiaTheme="minorEastAsia"/>
          <w:snapToGrid/>
          <w:szCs w:val="22"/>
          <w:lang w:val="lt-LT" w:eastAsia="en-IN"/>
        </w:rPr>
        <w:t>245</w:t>
      </w:r>
      <w:r w:rsidR="001E32EA" w:rsidRPr="001839C2">
        <w:rPr>
          <w:rFonts w:eastAsiaTheme="minorEastAsia"/>
          <w:snapToGrid/>
          <w:szCs w:val="22"/>
          <w:lang w:val="lt-LT" w:eastAsia="en-IN"/>
        </w:rPr>
        <w:t> </w:t>
      </w:r>
      <w:r w:rsidRPr="001839C2">
        <w:rPr>
          <w:rFonts w:eastAsiaTheme="minorEastAsia"/>
          <w:snapToGrid/>
          <w:szCs w:val="22"/>
          <w:lang w:val="lt-LT" w:eastAsia="en-IN"/>
        </w:rPr>
        <w:t>mg dozės</w:t>
      </w:r>
      <w:r w:rsidR="001E32EA" w:rsidRPr="001839C2">
        <w:rPr>
          <w:rFonts w:eastAsiaTheme="minorEastAsia"/>
          <w:snapToGrid/>
          <w:szCs w:val="22"/>
          <w:lang w:val="lt-LT" w:eastAsia="en-IN"/>
        </w:rPr>
        <w:t xml:space="preserve"> tablečių</w:t>
      </w:r>
      <w:r w:rsidR="00F44887" w:rsidRPr="001839C2">
        <w:rPr>
          <w:rFonts w:eastAsiaTheme="minorEastAsia"/>
          <w:snapToGrid/>
          <w:szCs w:val="22"/>
          <w:lang w:val="lt-LT" w:eastAsia="en-IN"/>
        </w:rPr>
        <w:t>, tenofoviro dizoproksilio 245 mg dozės</w:t>
      </w:r>
      <w:r w:rsidRPr="001839C2">
        <w:rPr>
          <w:rFonts w:eastAsiaTheme="minorEastAsia"/>
          <w:snapToGrid/>
          <w:szCs w:val="22"/>
          <w:lang w:val="lt-LT" w:eastAsia="en-IN"/>
        </w:rPr>
        <w:t xml:space="preserve"> arba placebo poveikis 4</w:t>
      </w:r>
      <w:r w:rsidR="001E32EA" w:rsidRPr="001839C2">
        <w:rPr>
          <w:rFonts w:eastAsiaTheme="minorEastAsia"/>
          <w:snapToGrid/>
          <w:szCs w:val="22"/>
          <w:lang w:val="lt-LT" w:eastAsia="en-IN"/>
        </w:rPr>
        <w:t> </w:t>
      </w:r>
      <w:r w:rsidRPr="001839C2">
        <w:rPr>
          <w:rFonts w:eastAsiaTheme="minorEastAsia"/>
          <w:snapToGrid/>
          <w:szCs w:val="22"/>
          <w:lang w:val="lt-LT" w:eastAsia="en-IN"/>
        </w:rPr>
        <w:t>758 ŽIV</w:t>
      </w:r>
      <w:r w:rsidR="001E32EA" w:rsidRPr="001839C2">
        <w:rPr>
          <w:rFonts w:eastAsiaTheme="minorEastAsia"/>
          <w:snapToGrid/>
          <w:szCs w:val="22"/>
          <w:lang w:val="lt-LT" w:eastAsia="en-IN"/>
        </w:rPr>
        <w:t> </w:t>
      </w:r>
      <w:r w:rsidRPr="001839C2">
        <w:rPr>
          <w:rFonts w:eastAsiaTheme="minorEastAsia"/>
          <w:snapToGrid/>
          <w:szCs w:val="22"/>
          <w:lang w:val="lt-LT" w:eastAsia="en-IN"/>
        </w:rPr>
        <w:t xml:space="preserve">neinfekuotiems </w:t>
      </w:r>
      <w:r w:rsidR="001E32EA" w:rsidRPr="001839C2">
        <w:rPr>
          <w:rFonts w:eastAsiaTheme="minorEastAsia"/>
          <w:snapToGrid/>
          <w:szCs w:val="22"/>
          <w:lang w:val="lt-LT" w:eastAsia="en-IN"/>
        </w:rPr>
        <w:t>p</w:t>
      </w:r>
      <w:r w:rsidRPr="001839C2">
        <w:rPr>
          <w:rFonts w:eastAsiaTheme="minorEastAsia"/>
          <w:snapToGrid/>
          <w:szCs w:val="22"/>
          <w:lang w:val="lt-LT" w:eastAsia="en-IN"/>
        </w:rPr>
        <w:t>a</w:t>
      </w:r>
      <w:r w:rsidR="001E32EA" w:rsidRPr="001839C2">
        <w:rPr>
          <w:rFonts w:eastAsiaTheme="minorEastAsia"/>
          <w:snapToGrid/>
          <w:szCs w:val="22"/>
          <w:lang w:val="lt-LT" w:eastAsia="en-IN"/>
        </w:rPr>
        <w:t>ci</w:t>
      </w:r>
      <w:r w:rsidRPr="001839C2">
        <w:rPr>
          <w:rFonts w:eastAsiaTheme="minorEastAsia"/>
          <w:snapToGrid/>
          <w:szCs w:val="22"/>
          <w:lang w:val="lt-LT" w:eastAsia="en-IN"/>
        </w:rPr>
        <w:t>en</w:t>
      </w:r>
      <w:r w:rsidR="001E32EA" w:rsidRPr="001839C2">
        <w:rPr>
          <w:rFonts w:eastAsiaTheme="minorEastAsia"/>
          <w:snapToGrid/>
          <w:szCs w:val="22"/>
          <w:lang w:val="lt-LT" w:eastAsia="en-IN"/>
        </w:rPr>
        <w:t>ta</w:t>
      </w:r>
      <w:r w:rsidRPr="001839C2">
        <w:rPr>
          <w:rFonts w:eastAsiaTheme="minorEastAsia"/>
          <w:snapToGrid/>
          <w:szCs w:val="22"/>
          <w:lang w:val="lt-LT" w:eastAsia="en-IN"/>
        </w:rPr>
        <w:t>ms iš Kenijos arba Ugandos heteroseksualiose porose, kurių partnerių serologinė būklė buvo priešinga. Tiriamieji buvo stebimi 7</w:t>
      </w:r>
      <w:r w:rsidR="00586A0A" w:rsidRPr="001839C2">
        <w:rPr>
          <w:rFonts w:eastAsiaTheme="minorEastAsia"/>
          <w:snapToGrid/>
          <w:szCs w:val="22"/>
          <w:lang w:val="lt-LT" w:eastAsia="en-IN"/>
        </w:rPr>
        <w:t> </w:t>
      </w:r>
      <w:r w:rsidRPr="001839C2">
        <w:rPr>
          <w:rFonts w:eastAsiaTheme="minorEastAsia"/>
          <w:snapToGrid/>
          <w:szCs w:val="22"/>
          <w:lang w:val="lt-LT" w:eastAsia="en-IN"/>
        </w:rPr>
        <w:t>830</w:t>
      </w:r>
      <w:r w:rsidR="00586A0A" w:rsidRPr="001839C2">
        <w:rPr>
          <w:rFonts w:eastAsiaTheme="minorEastAsia"/>
          <w:snapToGrid/>
          <w:szCs w:val="22"/>
          <w:lang w:val="lt-LT" w:eastAsia="en-IN"/>
        </w:rPr>
        <w:t> </w:t>
      </w:r>
      <w:r w:rsidRPr="001839C2">
        <w:rPr>
          <w:rFonts w:eastAsiaTheme="minorEastAsia"/>
          <w:snapToGrid/>
          <w:szCs w:val="22"/>
          <w:lang w:val="lt-LT" w:eastAsia="en-IN"/>
        </w:rPr>
        <w:t>žmogaus</w:t>
      </w:r>
      <w:r w:rsidR="00586A0A" w:rsidRPr="001839C2">
        <w:rPr>
          <w:rFonts w:eastAsiaTheme="minorEastAsia"/>
          <w:snapToGrid/>
          <w:szCs w:val="22"/>
          <w:lang w:val="lt-LT" w:eastAsia="en-IN"/>
        </w:rPr>
        <w:t> </w:t>
      </w:r>
      <w:r w:rsidRPr="001839C2">
        <w:rPr>
          <w:rFonts w:eastAsiaTheme="minorEastAsia"/>
          <w:snapToGrid/>
          <w:szCs w:val="22"/>
          <w:lang w:val="lt-LT" w:eastAsia="en-IN"/>
        </w:rPr>
        <w:t>metų. Prieš pradedant tyrimą nustatytų savybių suvestinė pateikiama 8</w:t>
      </w:r>
      <w:r w:rsidR="001E32EA" w:rsidRPr="001839C2">
        <w:rPr>
          <w:rFonts w:eastAsiaTheme="minorEastAsia"/>
          <w:snapToGrid/>
          <w:szCs w:val="22"/>
          <w:lang w:val="lt-LT" w:eastAsia="en-IN"/>
        </w:rPr>
        <w:t> </w:t>
      </w:r>
      <w:r w:rsidRPr="001839C2">
        <w:rPr>
          <w:rFonts w:eastAsiaTheme="minorEastAsia"/>
          <w:snapToGrid/>
          <w:szCs w:val="22"/>
          <w:lang w:val="lt-LT" w:eastAsia="en-IN"/>
        </w:rPr>
        <w:t>lentelėje.</w:t>
      </w:r>
    </w:p>
    <w:p w14:paraId="7CA0B5E2" w14:textId="77777777" w:rsidR="001E32EA" w:rsidRPr="001839C2" w:rsidRDefault="001E32EA"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C6E9304" w14:textId="77777777" w:rsidR="002A5F50" w:rsidRPr="001839C2" w:rsidRDefault="002A5F50" w:rsidP="00230559">
      <w:pPr>
        <w:keepNext/>
        <w:keepLines/>
        <w:tabs>
          <w:tab w:val="clear" w:pos="567"/>
          <w:tab w:val="left" w:pos="0"/>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8</w:t>
      </w:r>
      <w:r w:rsidR="001E32EA" w:rsidRPr="001839C2">
        <w:rPr>
          <w:rFonts w:eastAsiaTheme="minorEastAsia"/>
          <w:b/>
          <w:bCs/>
          <w:snapToGrid/>
          <w:szCs w:val="22"/>
          <w:lang w:val="lt-LT" w:eastAsia="en-IN"/>
        </w:rPr>
        <w:t> </w:t>
      </w:r>
      <w:r w:rsidRPr="001839C2">
        <w:rPr>
          <w:rFonts w:eastAsiaTheme="minorEastAsia"/>
          <w:b/>
          <w:bCs/>
          <w:snapToGrid/>
          <w:szCs w:val="22"/>
          <w:lang w:val="lt-LT" w:eastAsia="en-IN"/>
        </w:rPr>
        <w:t>lentelė. Tyrimo</w:t>
      </w:r>
      <w:r w:rsidR="001E32EA" w:rsidRPr="001839C2">
        <w:rPr>
          <w:rFonts w:eastAsiaTheme="minorEastAsia"/>
          <w:b/>
          <w:bCs/>
          <w:snapToGrid/>
          <w:szCs w:val="22"/>
          <w:lang w:val="lt-LT" w:eastAsia="en-IN"/>
        </w:rPr>
        <w:t> </w:t>
      </w:r>
      <w:r w:rsidRPr="001839C2">
        <w:rPr>
          <w:rFonts w:eastAsiaTheme="minorEastAsia"/>
          <w:b/>
          <w:bCs/>
          <w:snapToGrid/>
          <w:szCs w:val="22"/>
          <w:lang w:val="lt-LT" w:eastAsia="en-IN"/>
        </w:rPr>
        <w:t>CO</w:t>
      </w:r>
      <w:r w:rsidR="001E32EA" w:rsidRPr="001839C2">
        <w:rPr>
          <w:rFonts w:eastAsiaTheme="minorEastAsia"/>
          <w:b/>
          <w:bCs/>
          <w:snapToGrid/>
          <w:szCs w:val="22"/>
          <w:lang w:val="lt-LT" w:eastAsia="en-IN"/>
        </w:rPr>
        <w:noBreakHyphen/>
      </w:r>
      <w:r w:rsidRPr="001839C2">
        <w:rPr>
          <w:rFonts w:eastAsiaTheme="minorEastAsia"/>
          <w:b/>
          <w:bCs/>
          <w:snapToGrid/>
          <w:szCs w:val="22"/>
          <w:lang w:val="lt-LT" w:eastAsia="en-IN"/>
        </w:rPr>
        <w:t>US</w:t>
      </w:r>
      <w:r w:rsidR="001E32EA" w:rsidRPr="001839C2">
        <w:rPr>
          <w:rFonts w:eastAsiaTheme="minorEastAsia"/>
          <w:b/>
          <w:bCs/>
          <w:snapToGrid/>
          <w:szCs w:val="22"/>
          <w:lang w:val="lt-LT" w:eastAsia="en-IN"/>
        </w:rPr>
        <w:noBreakHyphen/>
      </w:r>
      <w:r w:rsidRPr="001839C2">
        <w:rPr>
          <w:rFonts w:eastAsiaTheme="minorEastAsia"/>
          <w:b/>
          <w:bCs/>
          <w:snapToGrid/>
          <w:szCs w:val="22"/>
          <w:lang w:val="lt-LT" w:eastAsia="en-IN"/>
        </w:rPr>
        <w:t>104</w:t>
      </w:r>
      <w:r w:rsidR="001E32EA" w:rsidRPr="001839C2">
        <w:rPr>
          <w:rFonts w:eastAsiaTheme="minorEastAsia"/>
          <w:b/>
          <w:bCs/>
          <w:snapToGrid/>
          <w:szCs w:val="22"/>
          <w:lang w:val="lt-LT" w:eastAsia="en-IN"/>
        </w:rPr>
        <w:noBreakHyphen/>
      </w:r>
      <w:r w:rsidRPr="001839C2">
        <w:rPr>
          <w:rFonts w:eastAsiaTheme="minorEastAsia"/>
          <w:b/>
          <w:bCs/>
          <w:snapToGrid/>
          <w:szCs w:val="22"/>
          <w:lang w:val="lt-LT" w:eastAsia="en-IN"/>
        </w:rPr>
        <w:t>0380</w:t>
      </w:r>
      <w:r w:rsidR="001E32EA" w:rsidRPr="001839C2">
        <w:rPr>
          <w:rFonts w:eastAsiaTheme="minorEastAsia"/>
          <w:b/>
          <w:bCs/>
          <w:snapToGrid/>
          <w:szCs w:val="22"/>
          <w:lang w:val="lt-LT" w:eastAsia="en-IN"/>
        </w:rPr>
        <w:t> </w:t>
      </w:r>
      <w:r w:rsidRPr="001839C2">
        <w:rPr>
          <w:rFonts w:eastAsiaTheme="minorEastAsia"/>
          <w:b/>
          <w:bCs/>
          <w:snapToGrid/>
          <w:szCs w:val="22"/>
          <w:lang w:val="lt-LT" w:eastAsia="en-IN"/>
        </w:rPr>
        <w:t>(Partners</w:t>
      </w:r>
      <w:r w:rsidR="001E32EA" w:rsidRPr="001839C2">
        <w:rPr>
          <w:rFonts w:eastAsiaTheme="minorEastAsia"/>
          <w:b/>
          <w:bCs/>
          <w:snapToGrid/>
          <w:szCs w:val="22"/>
          <w:lang w:val="lt-LT" w:eastAsia="en-IN"/>
        </w:rPr>
        <w:t> </w:t>
      </w:r>
      <w:r w:rsidRPr="001839C2">
        <w:rPr>
          <w:rFonts w:eastAsiaTheme="minorEastAsia"/>
          <w:b/>
          <w:bCs/>
          <w:snapToGrid/>
          <w:szCs w:val="22"/>
          <w:lang w:val="lt-LT" w:eastAsia="en-IN"/>
        </w:rPr>
        <w:t>PrEP) tiriamoji populiacija</w:t>
      </w:r>
    </w:p>
    <w:p w14:paraId="790ADA4A"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W w:w="9274" w:type="dxa"/>
        <w:tblLayout w:type="fixed"/>
        <w:tblCellMar>
          <w:left w:w="0" w:type="dxa"/>
          <w:right w:w="0" w:type="dxa"/>
        </w:tblCellMar>
        <w:tblLook w:val="0000" w:firstRow="0" w:lastRow="0" w:firstColumn="0" w:lastColumn="0" w:noHBand="0" w:noVBand="0"/>
      </w:tblPr>
      <w:tblGrid>
        <w:gridCol w:w="4008"/>
        <w:gridCol w:w="1366"/>
        <w:gridCol w:w="1950"/>
        <w:gridCol w:w="1950"/>
      </w:tblGrid>
      <w:tr w:rsidR="00DC41B7" w:rsidRPr="001839C2" w14:paraId="2549D5E7" w14:textId="77777777" w:rsidTr="00230559">
        <w:trPr>
          <w:cantSplit/>
        </w:trPr>
        <w:tc>
          <w:tcPr>
            <w:tcW w:w="4008" w:type="dxa"/>
            <w:tcBorders>
              <w:top w:val="single" w:sz="4" w:space="0" w:color="000000"/>
              <w:left w:val="single" w:sz="4" w:space="0" w:color="000000"/>
              <w:bottom w:val="single" w:sz="4" w:space="0" w:color="000000"/>
              <w:right w:val="single" w:sz="4" w:space="0" w:color="000000"/>
            </w:tcBorders>
          </w:tcPr>
          <w:p w14:paraId="306540EB" w14:textId="77777777" w:rsidR="002A5F50" w:rsidRPr="001839C2" w:rsidRDefault="002A5F50" w:rsidP="00230559">
            <w:pPr>
              <w:keepNext/>
              <w:keepLines/>
              <w:tabs>
                <w:tab w:val="clear" w:pos="567"/>
                <w:tab w:val="left" w:pos="0"/>
              </w:tabs>
              <w:autoSpaceDE w:val="0"/>
              <w:autoSpaceDN w:val="0"/>
              <w:adjustRightInd w:val="0"/>
              <w:ind w:right="108"/>
              <w:rPr>
                <w:rFonts w:eastAsiaTheme="minorEastAsia"/>
                <w:snapToGrid/>
                <w:szCs w:val="22"/>
                <w:lang w:val="lt-LT" w:eastAsia="en-I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77850E9" w14:textId="77777777" w:rsidR="001E32EA" w:rsidRPr="001839C2" w:rsidRDefault="001E32EA"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Placebas</w:t>
            </w:r>
          </w:p>
          <w:p w14:paraId="1DC4D6CF" w14:textId="77777777" w:rsidR="002A5F50" w:rsidRPr="001839C2" w:rsidRDefault="001E32EA"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(n = 1 584)</w:t>
            </w:r>
          </w:p>
        </w:tc>
        <w:tc>
          <w:tcPr>
            <w:tcW w:w="1950" w:type="dxa"/>
            <w:tcBorders>
              <w:top w:val="single" w:sz="4" w:space="0" w:color="000000"/>
              <w:left w:val="single" w:sz="4" w:space="0" w:color="000000"/>
              <w:bottom w:val="single" w:sz="4" w:space="0" w:color="000000"/>
              <w:right w:val="single" w:sz="4" w:space="0" w:color="000000"/>
            </w:tcBorders>
            <w:vAlign w:val="center"/>
          </w:tcPr>
          <w:p w14:paraId="237186B6"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Tenofoviro dizoproksili</w:t>
            </w:r>
            <w:r w:rsidR="00F44887" w:rsidRPr="001839C2">
              <w:rPr>
                <w:rFonts w:eastAsiaTheme="minorEastAsia"/>
                <w:b/>
                <w:bCs/>
                <w:snapToGrid/>
                <w:szCs w:val="22"/>
                <w:lang w:val="lt-LT" w:eastAsia="en-IN"/>
              </w:rPr>
              <w:t>o</w:t>
            </w:r>
            <w:r w:rsidRPr="001839C2">
              <w:rPr>
                <w:rFonts w:eastAsiaTheme="minorEastAsia"/>
                <w:b/>
                <w:bCs/>
                <w:snapToGrid/>
                <w:szCs w:val="22"/>
                <w:lang w:val="lt-LT" w:eastAsia="en-IN"/>
              </w:rPr>
              <w:t xml:space="preserve"> 245</w:t>
            </w:r>
            <w:r w:rsidR="001E32EA" w:rsidRPr="001839C2">
              <w:rPr>
                <w:rFonts w:eastAsiaTheme="minorEastAsia"/>
                <w:b/>
                <w:bCs/>
                <w:snapToGrid/>
                <w:szCs w:val="22"/>
                <w:lang w:val="lt-LT" w:eastAsia="en-IN"/>
              </w:rPr>
              <w:t> </w:t>
            </w:r>
            <w:r w:rsidRPr="001839C2">
              <w:rPr>
                <w:rFonts w:eastAsiaTheme="minorEastAsia"/>
                <w:b/>
                <w:bCs/>
                <w:snapToGrid/>
                <w:szCs w:val="22"/>
                <w:lang w:val="lt-LT" w:eastAsia="en-IN"/>
              </w:rPr>
              <w:t>mg (fumarato pavidalu)</w:t>
            </w:r>
          </w:p>
          <w:p w14:paraId="5549C0D8"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(n</w:t>
            </w:r>
            <w:r w:rsidR="001E32EA" w:rsidRPr="001839C2">
              <w:rPr>
                <w:rFonts w:eastAsiaTheme="minorEastAsia"/>
                <w:b/>
                <w:bCs/>
                <w:snapToGrid/>
                <w:szCs w:val="22"/>
                <w:lang w:val="lt-LT" w:eastAsia="en-IN"/>
              </w:rPr>
              <w:t> </w:t>
            </w:r>
            <w:r w:rsidRPr="001839C2">
              <w:rPr>
                <w:rFonts w:eastAsiaTheme="minorEastAsia"/>
                <w:b/>
                <w:bCs/>
                <w:snapToGrid/>
                <w:szCs w:val="22"/>
                <w:lang w:val="lt-LT" w:eastAsia="en-IN"/>
              </w:rPr>
              <w:t>=</w:t>
            </w:r>
            <w:r w:rsidR="001E32EA" w:rsidRPr="001839C2">
              <w:rPr>
                <w:rFonts w:eastAsiaTheme="minorEastAsia"/>
                <w:b/>
                <w:bCs/>
                <w:snapToGrid/>
                <w:szCs w:val="22"/>
                <w:lang w:val="lt-LT" w:eastAsia="en-IN"/>
              </w:rPr>
              <w:t> </w:t>
            </w:r>
            <w:r w:rsidRPr="001839C2">
              <w:rPr>
                <w:rFonts w:eastAsiaTheme="minorEastAsia"/>
                <w:b/>
                <w:bCs/>
                <w:snapToGrid/>
                <w:szCs w:val="22"/>
                <w:lang w:val="lt-LT" w:eastAsia="en-IN"/>
              </w:rPr>
              <w:t>1</w:t>
            </w:r>
            <w:r w:rsidR="001E32EA" w:rsidRPr="001839C2">
              <w:rPr>
                <w:rFonts w:eastAsiaTheme="minorEastAsia"/>
                <w:b/>
                <w:bCs/>
                <w:snapToGrid/>
                <w:szCs w:val="22"/>
                <w:lang w:val="lt-LT" w:eastAsia="en-IN"/>
              </w:rPr>
              <w:t> </w:t>
            </w:r>
            <w:r w:rsidRPr="001839C2">
              <w:rPr>
                <w:rFonts w:eastAsiaTheme="minorEastAsia"/>
                <w:b/>
                <w:bCs/>
                <w:snapToGrid/>
                <w:szCs w:val="22"/>
                <w:lang w:val="lt-LT" w:eastAsia="en-IN"/>
              </w:rPr>
              <w:t>584)</w:t>
            </w:r>
          </w:p>
        </w:tc>
        <w:tc>
          <w:tcPr>
            <w:tcW w:w="1950" w:type="dxa"/>
            <w:tcBorders>
              <w:top w:val="single" w:sz="4" w:space="0" w:color="000000"/>
              <w:left w:val="single" w:sz="4" w:space="0" w:color="000000"/>
              <w:bottom w:val="single" w:sz="4" w:space="0" w:color="000000"/>
              <w:right w:val="single" w:sz="4" w:space="0" w:color="000000"/>
            </w:tcBorders>
            <w:vAlign w:val="center"/>
          </w:tcPr>
          <w:p w14:paraId="0977F850" w14:textId="77777777" w:rsidR="001E32EA" w:rsidRPr="001839C2" w:rsidRDefault="001E32EA" w:rsidP="00230559">
            <w:pPr>
              <w:keepNext/>
              <w:keepLines/>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Emtricitabino ir tenofoviro dizoproksil</w:t>
            </w:r>
            <w:r w:rsidR="00FA02ED" w:rsidRPr="001839C2">
              <w:rPr>
                <w:rFonts w:eastAsiaTheme="minorEastAsia"/>
                <w:b/>
                <w:bCs/>
                <w:snapToGrid/>
                <w:szCs w:val="22"/>
                <w:lang w:val="lt-LT" w:eastAsia="en-IN"/>
              </w:rPr>
              <w:t>io derinio</w:t>
            </w:r>
            <w:r w:rsidRPr="001839C2">
              <w:rPr>
                <w:rFonts w:eastAsiaTheme="minorEastAsia"/>
                <w:b/>
                <w:bCs/>
                <w:snapToGrid/>
                <w:szCs w:val="22"/>
                <w:lang w:val="lt-LT" w:eastAsia="en-IN"/>
              </w:rPr>
              <w:t xml:space="preserve"> 200 mg/245 mg plėvele dengtos tabletės</w:t>
            </w:r>
          </w:p>
          <w:p w14:paraId="5A7DC05F" w14:textId="77777777" w:rsidR="002A5F50" w:rsidRPr="001839C2" w:rsidRDefault="001E32EA" w:rsidP="00230559">
            <w:pPr>
              <w:keepNext/>
              <w:keepLines/>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(n = 1 579)</w:t>
            </w:r>
          </w:p>
        </w:tc>
      </w:tr>
      <w:tr w:rsidR="00DC41B7" w:rsidRPr="001839C2" w14:paraId="74E7ECE2" w14:textId="77777777" w:rsidTr="00D41C21">
        <w:tc>
          <w:tcPr>
            <w:tcW w:w="4008" w:type="dxa"/>
            <w:tcBorders>
              <w:top w:val="single" w:sz="4" w:space="0" w:color="000000"/>
              <w:left w:val="single" w:sz="4" w:space="0" w:color="000000"/>
              <w:bottom w:val="single" w:sz="4" w:space="0" w:color="000000"/>
              <w:right w:val="single" w:sz="4" w:space="0" w:color="000000"/>
            </w:tcBorders>
          </w:tcPr>
          <w:p w14:paraId="1C9FCD2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Amžius</w:t>
            </w:r>
            <w:r w:rsidR="001E32EA" w:rsidRPr="001839C2">
              <w:rPr>
                <w:rFonts w:eastAsiaTheme="minorEastAsia"/>
                <w:b/>
                <w:bCs/>
                <w:snapToGrid/>
                <w:szCs w:val="22"/>
                <w:lang w:val="lt-LT" w:eastAsia="en-IN"/>
              </w:rPr>
              <w:t> </w:t>
            </w:r>
            <w:r w:rsidRPr="001839C2">
              <w:rPr>
                <w:rFonts w:eastAsiaTheme="minorEastAsia"/>
                <w:b/>
                <w:bCs/>
                <w:snapToGrid/>
                <w:szCs w:val="22"/>
                <w:lang w:val="lt-LT" w:eastAsia="en-IN"/>
              </w:rPr>
              <w:t>(metai), mediana (Q1, Q3)</w:t>
            </w:r>
          </w:p>
        </w:tc>
        <w:tc>
          <w:tcPr>
            <w:tcW w:w="1366" w:type="dxa"/>
            <w:tcBorders>
              <w:top w:val="single" w:sz="4" w:space="0" w:color="000000"/>
              <w:left w:val="single" w:sz="4" w:space="0" w:color="000000"/>
              <w:bottom w:val="single" w:sz="4" w:space="0" w:color="000000"/>
              <w:right w:val="single" w:sz="4" w:space="0" w:color="000000"/>
            </w:tcBorders>
            <w:vAlign w:val="center"/>
          </w:tcPr>
          <w:p w14:paraId="398DD03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34 (28</w:t>
            </w:r>
            <w:r w:rsidR="001E32EA" w:rsidRPr="001839C2">
              <w:rPr>
                <w:rFonts w:eastAsiaTheme="minorEastAsia"/>
                <w:snapToGrid/>
                <w:szCs w:val="22"/>
                <w:lang w:val="lt-LT" w:eastAsia="en-IN"/>
              </w:rPr>
              <w:t>,</w:t>
            </w:r>
            <w:r w:rsidRPr="001839C2">
              <w:rPr>
                <w:rFonts w:eastAsiaTheme="minorEastAsia"/>
                <w:snapToGrid/>
                <w:szCs w:val="22"/>
                <w:lang w:val="lt-LT" w:eastAsia="en-IN"/>
              </w:rPr>
              <w:t xml:space="preserve"> 40)</w:t>
            </w:r>
          </w:p>
        </w:tc>
        <w:tc>
          <w:tcPr>
            <w:tcW w:w="1950" w:type="dxa"/>
            <w:tcBorders>
              <w:top w:val="single" w:sz="4" w:space="0" w:color="000000"/>
              <w:left w:val="single" w:sz="4" w:space="0" w:color="000000"/>
              <w:bottom w:val="single" w:sz="4" w:space="0" w:color="000000"/>
              <w:right w:val="single" w:sz="4" w:space="0" w:color="000000"/>
            </w:tcBorders>
            <w:vAlign w:val="center"/>
          </w:tcPr>
          <w:p w14:paraId="1078DA2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33 (28</w:t>
            </w:r>
            <w:r w:rsidR="001E32EA" w:rsidRPr="001839C2">
              <w:rPr>
                <w:rFonts w:eastAsiaTheme="minorEastAsia"/>
                <w:snapToGrid/>
                <w:szCs w:val="22"/>
                <w:lang w:val="lt-LT" w:eastAsia="en-IN"/>
              </w:rPr>
              <w:t>,</w:t>
            </w:r>
            <w:r w:rsidRPr="001839C2">
              <w:rPr>
                <w:rFonts w:eastAsiaTheme="minorEastAsia"/>
                <w:snapToGrid/>
                <w:szCs w:val="22"/>
                <w:lang w:val="lt-LT" w:eastAsia="en-IN"/>
              </w:rPr>
              <w:t xml:space="preserve"> 39)</w:t>
            </w:r>
          </w:p>
        </w:tc>
        <w:tc>
          <w:tcPr>
            <w:tcW w:w="1950" w:type="dxa"/>
            <w:tcBorders>
              <w:top w:val="single" w:sz="4" w:space="0" w:color="000000"/>
              <w:left w:val="single" w:sz="4" w:space="0" w:color="000000"/>
              <w:bottom w:val="single" w:sz="4" w:space="0" w:color="000000"/>
              <w:right w:val="single" w:sz="4" w:space="0" w:color="000000"/>
            </w:tcBorders>
            <w:vAlign w:val="center"/>
          </w:tcPr>
          <w:p w14:paraId="075577F7"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33 (28</w:t>
            </w:r>
            <w:r w:rsidR="001E32EA" w:rsidRPr="001839C2">
              <w:rPr>
                <w:rFonts w:eastAsiaTheme="minorEastAsia"/>
                <w:snapToGrid/>
                <w:szCs w:val="22"/>
                <w:lang w:val="lt-LT" w:eastAsia="en-IN"/>
              </w:rPr>
              <w:t>,</w:t>
            </w:r>
            <w:r w:rsidRPr="001839C2">
              <w:rPr>
                <w:rFonts w:eastAsiaTheme="minorEastAsia"/>
                <w:snapToGrid/>
                <w:szCs w:val="22"/>
                <w:lang w:val="lt-LT" w:eastAsia="en-IN"/>
              </w:rPr>
              <w:t xml:space="preserve"> 40)</w:t>
            </w:r>
          </w:p>
        </w:tc>
      </w:tr>
      <w:tr w:rsidR="00DC41B7" w:rsidRPr="001839C2" w14:paraId="06C67B54" w14:textId="77777777" w:rsidTr="00D41C21">
        <w:tc>
          <w:tcPr>
            <w:tcW w:w="9274" w:type="dxa"/>
            <w:gridSpan w:val="4"/>
            <w:tcBorders>
              <w:top w:val="single" w:sz="4" w:space="0" w:color="000000"/>
              <w:left w:val="single" w:sz="4" w:space="0" w:color="000000"/>
              <w:bottom w:val="single" w:sz="4" w:space="0" w:color="000000"/>
              <w:right w:val="single" w:sz="4" w:space="0" w:color="000000"/>
            </w:tcBorders>
          </w:tcPr>
          <w:p w14:paraId="0077961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 xml:space="preserve">Lytis, </w:t>
            </w:r>
            <w:r w:rsidR="001E32EA" w:rsidRPr="001839C2">
              <w:rPr>
                <w:rFonts w:eastAsiaTheme="minorEastAsia"/>
                <w:b/>
                <w:bCs/>
                <w:snapToGrid/>
                <w:szCs w:val="22"/>
                <w:lang w:val="lt-LT" w:eastAsia="en-IN"/>
              </w:rPr>
              <w:t>n </w:t>
            </w:r>
            <w:r w:rsidRPr="001839C2">
              <w:rPr>
                <w:rFonts w:eastAsiaTheme="minorEastAsia"/>
                <w:b/>
                <w:bCs/>
                <w:snapToGrid/>
                <w:szCs w:val="22"/>
                <w:lang w:val="lt-LT" w:eastAsia="en-IN"/>
              </w:rPr>
              <w:t>(%)</w:t>
            </w:r>
          </w:p>
        </w:tc>
      </w:tr>
      <w:tr w:rsidR="00DC41B7" w:rsidRPr="001839C2" w14:paraId="4D835B4F" w14:textId="77777777" w:rsidTr="00D41C21">
        <w:tc>
          <w:tcPr>
            <w:tcW w:w="4008" w:type="dxa"/>
            <w:tcBorders>
              <w:top w:val="single" w:sz="4" w:space="0" w:color="000000"/>
              <w:left w:val="single" w:sz="4" w:space="0" w:color="000000"/>
              <w:bottom w:val="single" w:sz="4" w:space="0" w:color="000000"/>
              <w:right w:val="single" w:sz="4" w:space="0" w:color="000000"/>
            </w:tcBorders>
          </w:tcPr>
          <w:p w14:paraId="0776001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Vyrai</w:t>
            </w:r>
          </w:p>
        </w:tc>
        <w:tc>
          <w:tcPr>
            <w:tcW w:w="1366" w:type="dxa"/>
            <w:tcBorders>
              <w:top w:val="single" w:sz="4" w:space="0" w:color="000000"/>
              <w:left w:val="single" w:sz="4" w:space="0" w:color="000000"/>
              <w:bottom w:val="single" w:sz="4" w:space="0" w:color="000000"/>
              <w:right w:val="single" w:sz="4" w:space="0" w:color="000000"/>
            </w:tcBorders>
            <w:vAlign w:val="center"/>
          </w:tcPr>
          <w:p w14:paraId="54EF1929"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963</w:t>
            </w:r>
            <w:r w:rsidR="001E32EA" w:rsidRPr="001839C2">
              <w:rPr>
                <w:rFonts w:eastAsiaTheme="minorEastAsia"/>
                <w:snapToGrid/>
                <w:szCs w:val="22"/>
                <w:lang w:val="lt-LT" w:eastAsia="en-IN"/>
              </w:rPr>
              <w:t> </w:t>
            </w:r>
            <w:r w:rsidRPr="001839C2">
              <w:rPr>
                <w:rFonts w:eastAsiaTheme="minorEastAsia"/>
                <w:snapToGrid/>
                <w:szCs w:val="22"/>
                <w:lang w:val="lt-LT" w:eastAsia="en-IN"/>
              </w:rPr>
              <w:t>(61)</w:t>
            </w:r>
          </w:p>
        </w:tc>
        <w:tc>
          <w:tcPr>
            <w:tcW w:w="1950" w:type="dxa"/>
            <w:tcBorders>
              <w:top w:val="single" w:sz="4" w:space="0" w:color="000000"/>
              <w:left w:val="single" w:sz="4" w:space="0" w:color="000000"/>
              <w:bottom w:val="single" w:sz="4" w:space="0" w:color="000000"/>
              <w:right w:val="single" w:sz="4" w:space="0" w:color="000000"/>
            </w:tcBorders>
            <w:vAlign w:val="center"/>
          </w:tcPr>
          <w:p w14:paraId="73A51A1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986</w:t>
            </w:r>
            <w:r w:rsidR="001E32EA" w:rsidRPr="001839C2">
              <w:rPr>
                <w:rFonts w:eastAsiaTheme="minorEastAsia"/>
                <w:snapToGrid/>
                <w:szCs w:val="22"/>
                <w:lang w:val="lt-LT" w:eastAsia="en-IN"/>
              </w:rPr>
              <w:t> </w:t>
            </w:r>
            <w:r w:rsidRPr="001839C2">
              <w:rPr>
                <w:rFonts w:eastAsiaTheme="minorEastAsia"/>
                <w:snapToGrid/>
                <w:szCs w:val="22"/>
                <w:lang w:val="lt-LT" w:eastAsia="en-IN"/>
              </w:rPr>
              <w:t>(62)</w:t>
            </w:r>
          </w:p>
        </w:tc>
        <w:tc>
          <w:tcPr>
            <w:tcW w:w="1950" w:type="dxa"/>
            <w:tcBorders>
              <w:top w:val="single" w:sz="4" w:space="0" w:color="000000"/>
              <w:left w:val="single" w:sz="4" w:space="0" w:color="000000"/>
              <w:bottom w:val="single" w:sz="4" w:space="0" w:color="000000"/>
              <w:right w:val="single" w:sz="4" w:space="0" w:color="000000"/>
            </w:tcBorders>
            <w:vAlign w:val="center"/>
          </w:tcPr>
          <w:p w14:paraId="1FE5CA0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w:t>
            </w:r>
            <w:r w:rsidR="001E32EA" w:rsidRPr="001839C2">
              <w:rPr>
                <w:rFonts w:eastAsiaTheme="minorEastAsia"/>
                <w:snapToGrid/>
                <w:szCs w:val="22"/>
                <w:lang w:val="lt-LT" w:eastAsia="en-IN"/>
              </w:rPr>
              <w:t> </w:t>
            </w:r>
            <w:r w:rsidRPr="001839C2">
              <w:rPr>
                <w:rFonts w:eastAsiaTheme="minorEastAsia"/>
                <w:snapToGrid/>
                <w:szCs w:val="22"/>
                <w:lang w:val="lt-LT" w:eastAsia="en-IN"/>
              </w:rPr>
              <w:t>013</w:t>
            </w:r>
            <w:r w:rsidR="001E32EA" w:rsidRPr="001839C2">
              <w:rPr>
                <w:rFonts w:eastAsiaTheme="minorEastAsia"/>
                <w:snapToGrid/>
                <w:szCs w:val="22"/>
                <w:lang w:val="lt-LT" w:eastAsia="en-IN"/>
              </w:rPr>
              <w:t> </w:t>
            </w:r>
            <w:r w:rsidRPr="001839C2">
              <w:rPr>
                <w:rFonts w:eastAsiaTheme="minorEastAsia"/>
                <w:snapToGrid/>
                <w:szCs w:val="22"/>
                <w:lang w:val="lt-LT" w:eastAsia="en-IN"/>
              </w:rPr>
              <w:t>(64)</w:t>
            </w:r>
          </w:p>
        </w:tc>
      </w:tr>
      <w:tr w:rsidR="00DC41B7" w:rsidRPr="001839C2" w14:paraId="0AB403C2" w14:textId="77777777" w:rsidTr="00D41C21">
        <w:tc>
          <w:tcPr>
            <w:tcW w:w="4008" w:type="dxa"/>
            <w:tcBorders>
              <w:top w:val="single" w:sz="4" w:space="0" w:color="000000"/>
              <w:left w:val="single" w:sz="4" w:space="0" w:color="000000"/>
              <w:bottom w:val="single" w:sz="4" w:space="0" w:color="000000"/>
              <w:right w:val="single" w:sz="4" w:space="0" w:color="000000"/>
            </w:tcBorders>
          </w:tcPr>
          <w:p w14:paraId="4352C27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Moterys</w:t>
            </w:r>
          </w:p>
        </w:tc>
        <w:tc>
          <w:tcPr>
            <w:tcW w:w="1366" w:type="dxa"/>
            <w:tcBorders>
              <w:top w:val="single" w:sz="4" w:space="0" w:color="000000"/>
              <w:left w:val="single" w:sz="4" w:space="0" w:color="000000"/>
              <w:bottom w:val="single" w:sz="4" w:space="0" w:color="000000"/>
              <w:right w:val="single" w:sz="4" w:space="0" w:color="000000"/>
            </w:tcBorders>
            <w:vAlign w:val="center"/>
          </w:tcPr>
          <w:p w14:paraId="58FAFDC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621</w:t>
            </w:r>
            <w:r w:rsidR="001E32EA" w:rsidRPr="001839C2">
              <w:rPr>
                <w:rFonts w:eastAsiaTheme="minorEastAsia"/>
                <w:snapToGrid/>
                <w:szCs w:val="22"/>
                <w:lang w:val="lt-LT" w:eastAsia="en-IN"/>
              </w:rPr>
              <w:t> </w:t>
            </w:r>
            <w:r w:rsidRPr="001839C2">
              <w:rPr>
                <w:rFonts w:eastAsiaTheme="minorEastAsia"/>
                <w:snapToGrid/>
                <w:szCs w:val="22"/>
                <w:lang w:val="lt-LT" w:eastAsia="en-IN"/>
              </w:rPr>
              <w:t>(39)</w:t>
            </w:r>
          </w:p>
        </w:tc>
        <w:tc>
          <w:tcPr>
            <w:tcW w:w="1950" w:type="dxa"/>
            <w:tcBorders>
              <w:top w:val="single" w:sz="4" w:space="0" w:color="000000"/>
              <w:left w:val="single" w:sz="4" w:space="0" w:color="000000"/>
              <w:bottom w:val="single" w:sz="4" w:space="0" w:color="000000"/>
              <w:right w:val="single" w:sz="4" w:space="0" w:color="000000"/>
            </w:tcBorders>
            <w:vAlign w:val="center"/>
          </w:tcPr>
          <w:p w14:paraId="2FE5F3F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598</w:t>
            </w:r>
            <w:r w:rsidR="001E32EA" w:rsidRPr="001839C2">
              <w:rPr>
                <w:rFonts w:eastAsiaTheme="minorEastAsia"/>
                <w:snapToGrid/>
                <w:szCs w:val="22"/>
                <w:lang w:val="lt-LT" w:eastAsia="en-IN"/>
              </w:rPr>
              <w:t> </w:t>
            </w:r>
            <w:r w:rsidRPr="001839C2">
              <w:rPr>
                <w:rFonts w:eastAsiaTheme="minorEastAsia"/>
                <w:snapToGrid/>
                <w:szCs w:val="22"/>
                <w:lang w:val="lt-LT" w:eastAsia="en-IN"/>
              </w:rPr>
              <w:t>(38)</w:t>
            </w:r>
          </w:p>
        </w:tc>
        <w:tc>
          <w:tcPr>
            <w:tcW w:w="1950" w:type="dxa"/>
            <w:tcBorders>
              <w:top w:val="single" w:sz="4" w:space="0" w:color="000000"/>
              <w:left w:val="single" w:sz="4" w:space="0" w:color="000000"/>
              <w:bottom w:val="single" w:sz="4" w:space="0" w:color="000000"/>
              <w:right w:val="single" w:sz="4" w:space="0" w:color="000000"/>
            </w:tcBorders>
            <w:vAlign w:val="center"/>
          </w:tcPr>
          <w:p w14:paraId="23CD013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566</w:t>
            </w:r>
            <w:r w:rsidR="001E32EA" w:rsidRPr="001839C2">
              <w:rPr>
                <w:rFonts w:eastAsiaTheme="minorEastAsia"/>
                <w:snapToGrid/>
                <w:szCs w:val="22"/>
                <w:lang w:val="lt-LT" w:eastAsia="en-IN"/>
              </w:rPr>
              <w:t> </w:t>
            </w:r>
            <w:r w:rsidRPr="001839C2">
              <w:rPr>
                <w:rFonts w:eastAsiaTheme="minorEastAsia"/>
                <w:snapToGrid/>
                <w:szCs w:val="22"/>
                <w:lang w:val="lt-LT" w:eastAsia="en-IN"/>
              </w:rPr>
              <w:t>(36)</w:t>
            </w:r>
          </w:p>
        </w:tc>
      </w:tr>
      <w:tr w:rsidR="00DC41B7" w:rsidRPr="001839C2" w14:paraId="356322BF" w14:textId="77777777" w:rsidTr="00D41C21">
        <w:tc>
          <w:tcPr>
            <w:tcW w:w="9274" w:type="dxa"/>
            <w:gridSpan w:val="4"/>
            <w:tcBorders>
              <w:top w:val="single" w:sz="4" w:space="0" w:color="000000"/>
              <w:left w:val="single" w:sz="4" w:space="0" w:color="000000"/>
              <w:bottom w:val="single" w:sz="4" w:space="0" w:color="000000"/>
              <w:right w:val="single" w:sz="4" w:space="0" w:color="000000"/>
            </w:tcBorders>
          </w:tcPr>
          <w:p w14:paraId="3700D11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lastRenderedPageBreak/>
              <w:t xml:space="preserve">Pagrindinės partnerystės charakteristikos, </w:t>
            </w:r>
            <w:r w:rsidR="001E32EA" w:rsidRPr="001839C2">
              <w:rPr>
                <w:rFonts w:eastAsiaTheme="minorEastAsia"/>
                <w:b/>
                <w:bCs/>
                <w:snapToGrid/>
                <w:szCs w:val="22"/>
                <w:lang w:val="lt-LT" w:eastAsia="en-IN"/>
              </w:rPr>
              <w:t>n </w:t>
            </w:r>
            <w:r w:rsidRPr="001839C2">
              <w:rPr>
                <w:rFonts w:eastAsiaTheme="minorEastAsia"/>
                <w:b/>
                <w:bCs/>
                <w:snapToGrid/>
                <w:szCs w:val="22"/>
                <w:lang w:val="lt-LT" w:eastAsia="en-IN"/>
              </w:rPr>
              <w:t>(%) arba mediana (Q1, Q3)</w:t>
            </w:r>
          </w:p>
        </w:tc>
      </w:tr>
      <w:tr w:rsidR="00DC41B7" w:rsidRPr="001839C2" w14:paraId="026443AC" w14:textId="77777777" w:rsidTr="00D41C21">
        <w:tc>
          <w:tcPr>
            <w:tcW w:w="4008" w:type="dxa"/>
            <w:tcBorders>
              <w:top w:val="single" w:sz="4" w:space="0" w:color="000000"/>
              <w:left w:val="single" w:sz="4" w:space="0" w:color="000000"/>
              <w:bottom w:val="single" w:sz="4" w:space="0" w:color="000000"/>
              <w:right w:val="single" w:sz="4" w:space="0" w:color="000000"/>
            </w:tcBorders>
          </w:tcPr>
          <w:p w14:paraId="3738D1B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Susituokę su tyrime dalyvaujančiu partneriu</w:t>
            </w:r>
          </w:p>
        </w:tc>
        <w:tc>
          <w:tcPr>
            <w:tcW w:w="1366" w:type="dxa"/>
            <w:tcBorders>
              <w:top w:val="single" w:sz="4" w:space="0" w:color="000000"/>
              <w:left w:val="single" w:sz="4" w:space="0" w:color="000000"/>
              <w:bottom w:val="single" w:sz="4" w:space="0" w:color="000000"/>
              <w:right w:val="single" w:sz="4" w:space="0" w:color="000000"/>
            </w:tcBorders>
            <w:vAlign w:val="center"/>
          </w:tcPr>
          <w:p w14:paraId="19D2AC5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w:t>
            </w:r>
            <w:r w:rsidR="00586A0A" w:rsidRPr="001839C2">
              <w:rPr>
                <w:rFonts w:eastAsiaTheme="minorEastAsia"/>
                <w:snapToGrid/>
                <w:szCs w:val="22"/>
                <w:lang w:val="lt-LT" w:eastAsia="en-IN"/>
              </w:rPr>
              <w:t> </w:t>
            </w:r>
            <w:r w:rsidRPr="001839C2">
              <w:rPr>
                <w:rFonts w:eastAsiaTheme="minorEastAsia"/>
                <w:snapToGrid/>
                <w:szCs w:val="22"/>
                <w:lang w:val="lt-LT" w:eastAsia="en-IN"/>
              </w:rPr>
              <w:t>552</w:t>
            </w:r>
            <w:r w:rsidR="00586A0A" w:rsidRPr="001839C2">
              <w:rPr>
                <w:rFonts w:eastAsiaTheme="minorEastAsia"/>
                <w:snapToGrid/>
                <w:szCs w:val="22"/>
                <w:lang w:val="lt-LT" w:eastAsia="en-IN"/>
              </w:rPr>
              <w:t> </w:t>
            </w:r>
            <w:r w:rsidRPr="001839C2">
              <w:rPr>
                <w:rFonts w:eastAsiaTheme="minorEastAsia"/>
                <w:snapToGrid/>
                <w:szCs w:val="22"/>
                <w:lang w:val="lt-LT" w:eastAsia="en-IN"/>
              </w:rPr>
              <w:t>(98)</w:t>
            </w:r>
          </w:p>
        </w:tc>
        <w:tc>
          <w:tcPr>
            <w:tcW w:w="1950" w:type="dxa"/>
            <w:tcBorders>
              <w:top w:val="single" w:sz="4" w:space="0" w:color="000000"/>
              <w:left w:val="single" w:sz="4" w:space="0" w:color="000000"/>
              <w:bottom w:val="single" w:sz="4" w:space="0" w:color="000000"/>
              <w:right w:val="single" w:sz="4" w:space="0" w:color="000000"/>
            </w:tcBorders>
            <w:vAlign w:val="center"/>
          </w:tcPr>
          <w:p w14:paraId="4229F19A"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w:t>
            </w:r>
            <w:r w:rsidR="00586A0A" w:rsidRPr="001839C2">
              <w:rPr>
                <w:rFonts w:eastAsiaTheme="minorEastAsia"/>
                <w:snapToGrid/>
                <w:szCs w:val="22"/>
                <w:lang w:val="lt-LT" w:eastAsia="en-IN"/>
              </w:rPr>
              <w:t> </w:t>
            </w:r>
            <w:r w:rsidRPr="001839C2">
              <w:rPr>
                <w:rFonts w:eastAsiaTheme="minorEastAsia"/>
                <w:snapToGrid/>
                <w:szCs w:val="22"/>
                <w:lang w:val="lt-LT" w:eastAsia="en-IN"/>
              </w:rPr>
              <w:t>543</w:t>
            </w:r>
            <w:r w:rsidR="00586A0A" w:rsidRPr="001839C2">
              <w:rPr>
                <w:rFonts w:eastAsiaTheme="minorEastAsia"/>
                <w:snapToGrid/>
                <w:szCs w:val="22"/>
                <w:lang w:val="lt-LT" w:eastAsia="en-IN"/>
              </w:rPr>
              <w:t> </w:t>
            </w:r>
            <w:r w:rsidRPr="001839C2">
              <w:rPr>
                <w:rFonts w:eastAsiaTheme="minorEastAsia"/>
                <w:snapToGrid/>
                <w:szCs w:val="22"/>
                <w:lang w:val="lt-LT" w:eastAsia="en-IN"/>
              </w:rPr>
              <w:t>(97)</w:t>
            </w:r>
          </w:p>
        </w:tc>
        <w:tc>
          <w:tcPr>
            <w:tcW w:w="1950" w:type="dxa"/>
            <w:tcBorders>
              <w:top w:val="single" w:sz="4" w:space="0" w:color="000000"/>
              <w:left w:val="single" w:sz="4" w:space="0" w:color="000000"/>
              <w:bottom w:val="single" w:sz="4" w:space="0" w:color="000000"/>
              <w:right w:val="single" w:sz="4" w:space="0" w:color="000000"/>
            </w:tcBorders>
            <w:vAlign w:val="center"/>
          </w:tcPr>
          <w:p w14:paraId="5E2667A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w:t>
            </w:r>
            <w:r w:rsidR="00586A0A" w:rsidRPr="001839C2">
              <w:rPr>
                <w:rFonts w:eastAsiaTheme="minorEastAsia"/>
                <w:snapToGrid/>
                <w:szCs w:val="22"/>
                <w:lang w:val="lt-LT" w:eastAsia="en-IN"/>
              </w:rPr>
              <w:t> </w:t>
            </w:r>
            <w:r w:rsidRPr="001839C2">
              <w:rPr>
                <w:rFonts w:eastAsiaTheme="minorEastAsia"/>
                <w:snapToGrid/>
                <w:szCs w:val="22"/>
                <w:lang w:val="lt-LT" w:eastAsia="en-IN"/>
              </w:rPr>
              <w:t>540</w:t>
            </w:r>
            <w:r w:rsidR="00586A0A" w:rsidRPr="001839C2">
              <w:rPr>
                <w:rFonts w:eastAsiaTheme="minorEastAsia"/>
                <w:snapToGrid/>
                <w:szCs w:val="22"/>
                <w:lang w:val="lt-LT" w:eastAsia="en-IN"/>
              </w:rPr>
              <w:t> </w:t>
            </w:r>
            <w:r w:rsidRPr="001839C2">
              <w:rPr>
                <w:rFonts w:eastAsiaTheme="minorEastAsia"/>
                <w:snapToGrid/>
                <w:szCs w:val="22"/>
                <w:lang w:val="lt-LT" w:eastAsia="en-IN"/>
              </w:rPr>
              <w:t>(98)</w:t>
            </w:r>
          </w:p>
        </w:tc>
      </w:tr>
      <w:tr w:rsidR="00DC41B7" w:rsidRPr="001839C2" w14:paraId="3C8AEB12" w14:textId="77777777" w:rsidTr="00D41C21">
        <w:tc>
          <w:tcPr>
            <w:tcW w:w="4008" w:type="dxa"/>
            <w:tcBorders>
              <w:top w:val="single" w:sz="4" w:space="0" w:color="000000"/>
              <w:left w:val="single" w:sz="4" w:space="0" w:color="000000"/>
              <w:bottom w:val="single" w:sz="4" w:space="0" w:color="000000"/>
              <w:right w:val="single" w:sz="4" w:space="0" w:color="000000"/>
            </w:tcBorders>
          </w:tcPr>
          <w:p w14:paraId="5B84DF9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Met</w:t>
            </w:r>
            <w:r w:rsidR="00D719BE" w:rsidRPr="001839C2">
              <w:rPr>
                <w:rFonts w:eastAsiaTheme="minorEastAsia"/>
                <w:snapToGrid/>
                <w:szCs w:val="22"/>
                <w:lang w:val="lt-LT" w:eastAsia="en-IN"/>
              </w:rPr>
              <w:t>ai</w:t>
            </w:r>
            <w:r w:rsidRPr="001839C2">
              <w:rPr>
                <w:rFonts w:eastAsiaTheme="minorEastAsia"/>
                <w:snapToGrid/>
                <w:szCs w:val="22"/>
                <w:lang w:val="lt-LT" w:eastAsia="en-IN"/>
              </w:rPr>
              <w:t>, kuriuos gyvena su tyrime dalyvaujančiu partneriu</w:t>
            </w:r>
          </w:p>
        </w:tc>
        <w:tc>
          <w:tcPr>
            <w:tcW w:w="1366" w:type="dxa"/>
            <w:tcBorders>
              <w:top w:val="single" w:sz="4" w:space="0" w:color="000000"/>
              <w:left w:val="single" w:sz="4" w:space="0" w:color="000000"/>
              <w:bottom w:val="single" w:sz="4" w:space="0" w:color="000000"/>
              <w:right w:val="single" w:sz="4" w:space="0" w:color="000000"/>
            </w:tcBorders>
            <w:vAlign w:val="center"/>
          </w:tcPr>
          <w:p w14:paraId="1381C5D3"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7,1 (3,0</w:t>
            </w:r>
            <w:r w:rsidR="00586A0A" w:rsidRPr="001839C2">
              <w:rPr>
                <w:rFonts w:eastAsiaTheme="minorEastAsia"/>
                <w:snapToGrid/>
                <w:szCs w:val="22"/>
                <w:lang w:val="lt-LT" w:eastAsia="en-IN"/>
              </w:rPr>
              <w:t>,</w:t>
            </w:r>
            <w:r w:rsidRPr="001839C2">
              <w:rPr>
                <w:rFonts w:eastAsiaTheme="minorEastAsia"/>
                <w:snapToGrid/>
                <w:szCs w:val="22"/>
                <w:lang w:val="lt-LT" w:eastAsia="en-IN"/>
              </w:rPr>
              <w:t xml:space="preserve"> 14,0)</w:t>
            </w:r>
          </w:p>
        </w:tc>
        <w:tc>
          <w:tcPr>
            <w:tcW w:w="1950" w:type="dxa"/>
            <w:tcBorders>
              <w:top w:val="single" w:sz="4" w:space="0" w:color="000000"/>
              <w:left w:val="single" w:sz="4" w:space="0" w:color="000000"/>
              <w:bottom w:val="single" w:sz="4" w:space="0" w:color="000000"/>
              <w:right w:val="single" w:sz="4" w:space="0" w:color="000000"/>
            </w:tcBorders>
            <w:vAlign w:val="center"/>
          </w:tcPr>
          <w:p w14:paraId="748EFBB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7,0 (3,0</w:t>
            </w:r>
            <w:r w:rsidR="00586A0A" w:rsidRPr="001839C2">
              <w:rPr>
                <w:rFonts w:eastAsiaTheme="minorEastAsia"/>
                <w:snapToGrid/>
                <w:szCs w:val="22"/>
                <w:lang w:val="lt-LT" w:eastAsia="en-IN"/>
              </w:rPr>
              <w:t>,</w:t>
            </w:r>
            <w:r w:rsidRPr="001839C2">
              <w:rPr>
                <w:rFonts w:eastAsiaTheme="minorEastAsia"/>
                <w:snapToGrid/>
                <w:szCs w:val="22"/>
                <w:lang w:val="lt-LT" w:eastAsia="en-IN"/>
              </w:rPr>
              <w:t xml:space="preserve"> 13,5)</w:t>
            </w:r>
          </w:p>
        </w:tc>
        <w:tc>
          <w:tcPr>
            <w:tcW w:w="1950" w:type="dxa"/>
            <w:tcBorders>
              <w:top w:val="single" w:sz="4" w:space="0" w:color="000000"/>
              <w:left w:val="single" w:sz="4" w:space="0" w:color="000000"/>
              <w:bottom w:val="single" w:sz="4" w:space="0" w:color="000000"/>
              <w:right w:val="single" w:sz="4" w:space="0" w:color="000000"/>
            </w:tcBorders>
            <w:vAlign w:val="center"/>
          </w:tcPr>
          <w:p w14:paraId="2C5B103E"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7,1 (3,0</w:t>
            </w:r>
            <w:r w:rsidR="00586A0A" w:rsidRPr="001839C2">
              <w:rPr>
                <w:rFonts w:eastAsiaTheme="minorEastAsia"/>
                <w:snapToGrid/>
                <w:szCs w:val="22"/>
                <w:lang w:val="lt-LT" w:eastAsia="en-IN"/>
              </w:rPr>
              <w:t>,</w:t>
            </w:r>
            <w:r w:rsidRPr="001839C2">
              <w:rPr>
                <w:rFonts w:eastAsiaTheme="minorEastAsia"/>
                <w:snapToGrid/>
                <w:szCs w:val="22"/>
                <w:lang w:val="lt-LT" w:eastAsia="en-IN"/>
              </w:rPr>
              <w:t xml:space="preserve"> 14,0)</w:t>
            </w:r>
          </w:p>
        </w:tc>
      </w:tr>
      <w:tr w:rsidR="00DC41B7" w:rsidRPr="001839C2" w14:paraId="182212B5" w14:textId="77777777" w:rsidTr="00D41C21">
        <w:tc>
          <w:tcPr>
            <w:tcW w:w="4008" w:type="dxa"/>
            <w:tcBorders>
              <w:top w:val="single" w:sz="4" w:space="0" w:color="000000"/>
              <w:left w:val="single" w:sz="4" w:space="0" w:color="000000"/>
              <w:bottom w:val="single" w:sz="4" w:space="0" w:color="000000"/>
              <w:right w:val="single" w:sz="4" w:space="0" w:color="000000"/>
            </w:tcBorders>
          </w:tcPr>
          <w:p w14:paraId="3868F57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Met</w:t>
            </w:r>
            <w:r w:rsidR="00D719BE" w:rsidRPr="001839C2">
              <w:rPr>
                <w:rFonts w:eastAsiaTheme="minorEastAsia"/>
                <w:snapToGrid/>
                <w:szCs w:val="22"/>
                <w:lang w:val="lt-LT" w:eastAsia="en-IN"/>
              </w:rPr>
              <w:t>ai</w:t>
            </w:r>
            <w:r w:rsidRPr="001839C2">
              <w:rPr>
                <w:rFonts w:eastAsiaTheme="minorEastAsia"/>
                <w:snapToGrid/>
                <w:szCs w:val="22"/>
                <w:lang w:val="lt-LT" w:eastAsia="en-IN"/>
              </w:rPr>
              <w:t>, kuriuos žino apie priešingą užsikrėtimo būklę</w:t>
            </w:r>
          </w:p>
        </w:tc>
        <w:tc>
          <w:tcPr>
            <w:tcW w:w="1366" w:type="dxa"/>
            <w:tcBorders>
              <w:top w:val="single" w:sz="4" w:space="0" w:color="000000"/>
              <w:left w:val="single" w:sz="4" w:space="0" w:color="000000"/>
              <w:bottom w:val="single" w:sz="4" w:space="0" w:color="000000"/>
              <w:right w:val="single" w:sz="4" w:space="0" w:color="000000"/>
            </w:tcBorders>
            <w:vAlign w:val="center"/>
          </w:tcPr>
          <w:p w14:paraId="2D9EC87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0,4 (0,1</w:t>
            </w:r>
            <w:r w:rsidR="00586A0A" w:rsidRPr="001839C2">
              <w:rPr>
                <w:rFonts w:eastAsiaTheme="minorEastAsia"/>
                <w:snapToGrid/>
                <w:szCs w:val="22"/>
                <w:lang w:val="lt-LT" w:eastAsia="en-IN"/>
              </w:rPr>
              <w:t>,</w:t>
            </w:r>
            <w:r w:rsidRPr="001839C2">
              <w:rPr>
                <w:rFonts w:eastAsiaTheme="minorEastAsia"/>
                <w:snapToGrid/>
                <w:szCs w:val="22"/>
                <w:lang w:val="lt-LT" w:eastAsia="en-IN"/>
              </w:rPr>
              <w:t xml:space="preserve"> 2,0)</w:t>
            </w:r>
          </w:p>
        </w:tc>
        <w:tc>
          <w:tcPr>
            <w:tcW w:w="1950" w:type="dxa"/>
            <w:tcBorders>
              <w:top w:val="single" w:sz="4" w:space="0" w:color="000000"/>
              <w:left w:val="single" w:sz="4" w:space="0" w:color="000000"/>
              <w:bottom w:val="single" w:sz="4" w:space="0" w:color="000000"/>
              <w:right w:val="single" w:sz="4" w:space="0" w:color="000000"/>
            </w:tcBorders>
            <w:vAlign w:val="center"/>
          </w:tcPr>
          <w:p w14:paraId="3F7CD04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0,5 (0,1</w:t>
            </w:r>
            <w:r w:rsidR="00586A0A" w:rsidRPr="001839C2">
              <w:rPr>
                <w:rFonts w:eastAsiaTheme="minorEastAsia"/>
                <w:snapToGrid/>
                <w:szCs w:val="22"/>
                <w:lang w:val="lt-LT" w:eastAsia="en-IN"/>
              </w:rPr>
              <w:t>,</w:t>
            </w:r>
            <w:r w:rsidRPr="001839C2">
              <w:rPr>
                <w:rFonts w:eastAsiaTheme="minorEastAsia"/>
                <w:snapToGrid/>
                <w:szCs w:val="22"/>
                <w:lang w:val="lt-LT" w:eastAsia="en-IN"/>
              </w:rPr>
              <w:t xml:space="preserve"> 2,0)</w:t>
            </w:r>
          </w:p>
        </w:tc>
        <w:tc>
          <w:tcPr>
            <w:tcW w:w="1950" w:type="dxa"/>
            <w:tcBorders>
              <w:top w:val="single" w:sz="4" w:space="0" w:color="000000"/>
              <w:left w:val="single" w:sz="4" w:space="0" w:color="000000"/>
              <w:bottom w:val="single" w:sz="4" w:space="0" w:color="000000"/>
              <w:right w:val="single" w:sz="4" w:space="0" w:color="000000"/>
            </w:tcBorders>
            <w:vAlign w:val="center"/>
          </w:tcPr>
          <w:p w14:paraId="324EE7D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0,4 (0,1</w:t>
            </w:r>
            <w:r w:rsidR="00586A0A" w:rsidRPr="001839C2">
              <w:rPr>
                <w:rFonts w:eastAsiaTheme="minorEastAsia"/>
                <w:snapToGrid/>
                <w:szCs w:val="22"/>
                <w:lang w:val="lt-LT" w:eastAsia="en-IN"/>
              </w:rPr>
              <w:t>,</w:t>
            </w:r>
            <w:r w:rsidRPr="001839C2">
              <w:rPr>
                <w:rFonts w:eastAsiaTheme="minorEastAsia"/>
                <w:snapToGrid/>
                <w:szCs w:val="22"/>
                <w:lang w:val="lt-LT" w:eastAsia="en-IN"/>
              </w:rPr>
              <w:t xml:space="preserve"> 2,0)</w:t>
            </w:r>
          </w:p>
        </w:tc>
      </w:tr>
    </w:tbl>
    <w:p w14:paraId="6E34622C" w14:textId="77777777" w:rsidR="002A5F50" w:rsidRPr="001839C2" w:rsidRDefault="002A5F50" w:rsidP="002A5F50">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6AA72991"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ŽIV</w:t>
      </w:r>
      <w:r w:rsidR="00586A0A" w:rsidRPr="001839C2">
        <w:rPr>
          <w:rFonts w:eastAsiaTheme="minorEastAsia"/>
          <w:snapToGrid/>
          <w:szCs w:val="22"/>
          <w:lang w:val="lt-LT" w:eastAsia="en-IN"/>
        </w:rPr>
        <w:t> </w:t>
      </w:r>
      <w:r w:rsidRPr="001839C2">
        <w:rPr>
          <w:rFonts w:eastAsiaTheme="minorEastAsia"/>
          <w:snapToGrid/>
          <w:szCs w:val="22"/>
          <w:lang w:val="lt-LT" w:eastAsia="en-IN"/>
        </w:rPr>
        <w:t>serokonversijos dažnis pateiktas 9</w:t>
      </w:r>
      <w:r w:rsidR="00586A0A" w:rsidRPr="001839C2">
        <w:rPr>
          <w:rFonts w:eastAsiaTheme="minorEastAsia"/>
          <w:snapToGrid/>
          <w:szCs w:val="22"/>
          <w:lang w:val="lt-LT" w:eastAsia="en-IN"/>
        </w:rPr>
        <w:t> </w:t>
      </w:r>
      <w:r w:rsidRPr="001839C2">
        <w:rPr>
          <w:rFonts w:eastAsiaTheme="minorEastAsia"/>
          <w:snapToGrid/>
          <w:szCs w:val="22"/>
          <w:lang w:val="lt-LT" w:eastAsia="en-IN"/>
        </w:rPr>
        <w:t>lentelėje. ŽIV</w:t>
      </w:r>
      <w:r w:rsidR="00586A0A" w:rsidRPr="001839C2">
        <w:rPr>
          <w:rFonts w:eastAsiaTheme="minorEastAsia"/>
          <w:snapToGrid/>
          <w:szCs w:val="22"/>
          <w:lang w:val="lt-LT" w:eastAsia="en-IN"/>
        </w:rPr>
        <w:noBreakHyphen/>
      </w:r>
      <w:r w:rsidRPr="001839C2">
        <w:rPr>
          <w:rFonts w:eastAsiaTheme="minorEastAsia"/>
          <w:snapToGrid/>
          <w:szCs w:val="22"/>
          <w:lang w:val="lt-LT" w:eastAsia="en-IN"/>
        </w:rPr>
        <w:t>1</w:t>
      </w:r>
      <w:r w:rsidR="00586A0A" w:rsidRPr="001839C2">
        <w:rPr>
          <w:rFonts w:eastAsiaTheme="minorEastAsia"/>
          <w:snapToGrid/>
          <w:szCs w:val="22"/>
          <w:lang w:val="lt-LT" w:eastAsia="en-IN"/>
        </w:rPr>
        <w:t> </w:t>
      </w:r>
      <w:r w:rsidRPr="001839C2">
        <w:rPr>
          <w:rFonts w:eastAsiaTheme="minorEastAsia"/>
          <w:snapToGrid/>
          <w:szCs w:val="22"/>
          <w:lang w:val="lt-LT" w:eastAsia="en-IN"/>
        </w:rPr>
        <w:t>serokonversijos dažnis vyrams buvo 0,24/100</w:t>
      </w:r>
      <w:r w:rsidR="00586A0A" w:rsidRPr="001839C2">
        <w:rPr>
          <w:rFonts w:eastAsiaTheme="minorEastAsia"/>
          <w:snapToGrid/>
          <w:szCs w:val="22"/>
          <w:lang w:val="lt-LT" w:eastAsia="en-IN"/>
        </w:rPr>
        <w:t> </w:t>
      </w:r>
      <w:r w:rsidRPr="001839C2">
        <w:rPr>
          <w:rFonts w:eastAsiaTheme="minorEastAsia"/>
          <w:snapToGrid/>
          <w:szCs w:val="22"/>
          <w:lang w:val="lt-LT" w:eastAsia="en-IN"/>
        </w:rPr>
        <w:t>žmogaus</w:t>
      </w:r>
      <w:r w:rsidR="00586A0A" w:rsidRPr="001839C2">
        <w:rPr>
          <w:rFonts w:eastAsiaTheme="minorEastAsia"/>
          <w:snapToGrid/>
          <w:szCs w:val="22"/>
          <w:lang w:val="lt-LT" w:eastAsia="en-IN"/>
        </w:rPr>
        <w:t> </w:t>
      </w:r>
      <w:r w:rsidRPr="001839C2">
        <w:rPr>
          <w:rFonts w:eastAsiaTheme="minorEastAsia"/>
          <w:snapToGrid/>
          <w:szCs w:val="22"/>
          <w:lang w:val="lt-LT" w:eastAsia="en-IN"/>
        </w:rPr>
        <w:t xml:space="preserve">metų </w:t>
      </w:r>
      <w:r w:rsidR="00586A0A" w:rsidRPr="001839C2">
        <w:rPr>
          <w:rFonts w:eastAsiaTheme="minorHAnsi"/>
          <w:snapToGrid/>
          <w:szCs w:val="22"/>
          <w:lang w:val="lt-LT"/>
        </w:rPr>
        <w:t>e</w:t>
      </w:r>
      <w:r w:rsidRPr="001839C2">
        <w:rPr>
          <w:rFonts w:eastAsiaTheme="minorHAnsi"/>
          <w:snapToGrid/>
          <w:szCs w:val="22"/>
          <w:lang w:val="lt-LT"/>
        </w:rPr>
        <w:t>mtricitabin</w:t>
      </w:r>
      <w:r w:rsidR="00586A0A" w:rsidRPr="001839C2">
        <w:rPr>
          <w:rFonts w:eastAsiaTheme="minorHAnsi"/>
          <w:snapToGrid/>
          <w:szCs w:val="22"/>
          <w:lang w:val="lt-LT"/>
        </w:rPr>
        <w:t>o ir t</w:t>
      </w:r>
      <w:r w:rsidRPr="001839C2">
        <w:rPr>
          <w:rFonts w:eastAsiaTheme="minorHAnsi"/>
          <w:snapToGrid/>
          <w:szCs w:val="22"/>
          <w:lang w:val="lt-LT"/>
        </w:rPr>
        <w:t>enofovir</w:t>
      </w:r>
      <w:r w:rsidR="00586A0A" w:rsidRPr="001839C2">
        <w:rPr>
          <w:rFonts w:eastAsiaTheme="minorHAnsi"/>
          <w:snapToGrid/>
          <w:szCs w:val="22"/>
          <w:lang w:val="lt-LT"/>
        </w:rPr>
        <w:t>o</w:t>
      </w:r>
      <w:r w:rsidRPr="001839C2">
        <w:rPr>
          <w:rFonts w:eastAsiaTheme="minorHAnsi"/>
          <w:snapToGrid/>
          <w:szCs w:val="22"/>
          <w:lang w:val="lt-LT"/>
        </w:rPr>
        <w:t xml:space="preserve"> di</w:t>
      </w:r>
      <w:r w:rsidR="00586A0A" w:rsidRPr="001839C2">
        <w:rPr>
          <w:rFonts w:eastAsiaTheme="minorHAnsi"/>
          <w:snapToGrid/>
          <w:szCs w:val="22"/>
          <w:lang w:val="lt-LT"/>
        </w:rPr>
        <w:t>z</w:t>
      </w:r>
      <w:r w:rsidRPr="001839C2">
        <w:rPr>
          <w:rFonts w:eastAsiaTheme="minorHAnsi"/>
          <w:snapToGrid/>
          <w:szCs w:val="22"/>
          <w:lang w:val="lt-LT"/>
        </w:rPr>
        <w:t>opro</w:t>
      </w:r>
      <w:r w:rsidR="00586A0A" w:rsidRPr="001839C2">
        <w:rPr>
          <w:rFonts w:eastAsiaTheme="minorHAnsi"/>
          <w:snapToGrid/>
          <w:szCs w:val="22"/>
          <w:lang w:val="lt-LT"/>
        </w:rPr>
        <w:t>ks</w:t>
      </w:r>
      <w:r w:rsidRPr="001839C2">
        <w:rPr>
          <w:rFonts w:eastAsiaTheme="minorHAnsi"/>
          <w:snapToGrid/>
          <w:szCs w:val="22"/>
          <w:lang w:val="lt-LT"/>
        </w:rPr>
        <w:t>il</w:t>
      </w:r>
      <w:r w:rsidR="00586A0A" w:rsidRPr="001839C2">
        <w:rPr>
          <w:rFonts w:eastAsiaTheme="minorHAnsi"/>
          <w:snapToGrid/>
          <w:szCs w:val="22"/>
          <w:lang w:val="lt-LT"/>
        </w:rPr>
        <w:t>i</w:t>
      </w:r>
      <w:r w:rsidRPr="001839C2">
        <w:rPr>
          <w:rFonts w:eastAsiaTheme="minorHAnsi"/>
          <w:snapToGrid/>
          <w:szCs w:val="22"/>
          <w:lang w:val="lt-LT"/>
        </w:rPr>
        <w:t>o</w:t>
      </w:r>
      <w:r w:rsidR="00586A0A" w:rsidRPr="001839C2">
        <w:rPr>
          <w:rFonts w:eastAsiaTheme="minorHAnsi"/>
          <w:snapToGrid/>
          <w:szCs w:val="22"/>
          <w:lang w:val="lt-LT"/>
        </w:rPr>
        <w:t xml:space="preserve"> </w:t>
      </w:r>
      <w:r w:rsidRPr="001839C2">
        <w:rPr>
          <w:rFonts w:eastAsiaTheme="minorHAnsi"/>
          <w:snapToGrid/>
          <w:szCs w:val="22"/>
          <w:lang w:val="lt-LT"/>
        </w:rPr>
        <w:t>d</w:t>
      </w:r>
      <w:r w:rsidR="00586A0A" w:rsidRPr="001839C2">
        <w:rPr>
          <w:rFonts w:eastAsiaTheme="minorHAnsi"/>
          <w:snapToGrid/>
          <w:szCs w:val="22"/>
          <w:lang w:val="lt-LT"/>
        </w:rPr>
        <w:t>e</w:t>
      </w:r>
      <w:r w:rsidRPr="001839C2">
        <w:rPr>
          <w:rFonts w:eastAsiaTheme="minorHAnsi"/>
          <w:snapToGrid/>
          <w:szCs w:val="22"/>
          <w:lang w:val="lt-LT"/>
        </w:rPr>
        <w:t>r</w:t>
      </w:r>
      <w:r w:rsidR="00586A0A" w:rsidRPr="001839C2">
        <w:rPr>
          <w:rFonts w:eastAsiaTheme="minorHAnsi"/>
          <w:snapToGrid/>
          <w:szCs w:val="22"/>
          <w:lang w:val="lt-LT"/>
        </w:rPr>
        <w:t>inio</w:t>
      </w:r>
      <w:r w:rsidR="00D719BE" w:rsidRPr="001839C2">
        <w:rPr>
          <w:rFonts w:eastAsiaTheme="minorHAnsi"/>
          <w:snapToGrid/>
          <w:szCs w:val="22"/>
          <w:lang w:val="lt-LT"/>
        </w:rPr>
        <w:t xml:space="preserve"> 200 mg/245 mg tabečių</w:t>
      </w:r>
      <w:r w:rsidRPr="001839C2">
        <w:rPr>
          <w:rFonts w:eastAsiaTheme="minorHAnsi"/>
          <w:snapToGrid/>
          <w:szCs w:val="22"/>
          <w:lang w:val="lt-LT"/>
        </w:rPr>
        <w:t xml:space="preserve"> </w:t>
      </w:r>
      <w:r w:rsidRPr="001839C2">
        <w:rPr>
          <w:rFonts w:eastAsiaTheme="minorEastAsia"/>
          <w:snapToGrid/>
          <w:szCs w:val="22"/>
          <w:lang w:val="lt-LT" w:eastAsia="en-IN"/>
        </w:rPr>
        <w:t>ekspozicijos</w:t>
      </w:r>
      <w:r w:rsidR="00D719BE" w:rsidRPr="001839C2">
        <w:rPr>
          <w:rFonts w:eastAsiaTheme="minorEastAsia"/>
          <w:snapToGrid/>
          <w:szCs w:val="22"/>
          <w:lang w:val="lt-LT" w:eastAsia="en-IN"/>
        </w:rPr>
        <w:t xml:space="preserve"> grupėje</w:t>
      </w:r>
      <w:r w:rsidRPr="001839C2">
        <w:rPr>
          <w:rFonts w:eastAsiaTheme="minorEastAsia"/>
          <w:snapToGrid/>
          <w:szCs w:val="22"/>
          <w:lang w:val="lt-LT" w:eastAsia="en-IN"/>
        </w:rPr>
        <w:t>, ŽIV</w:t>
      </w:r>
      <w:r w:rsidR="00947116" w:rsidRPr="001839C2">
        <w:rPr>
          <w:rFonts w:eastAsiaTheme="minorEastAsia"/>
          <w:snapToGrid/>
          <w:szCs w:val="22"/>
          <w:lang w:val="lt-LT" w:eastAsia="en-IN"/>
        </w:rPr>
        <w:noBreakHyphen/>
      </w:r>
      <w:r w:rsidRPr="001839C2">
        <w:rPr>
          <w:rFonts w:eastAsiaTheme="minorEastAsia"/>
          <w:snapToGrid/>
          <w:szCs w:val="22"/>
          <w:lang w:val="lt-LT" w:eastAsia="en-IN"/>
        </w:rPr>
        <w:t>1</w:t>
      </w:r>
      <w:r w:rsidR="00947116" w:rsidRPr="001839C2">
        <w:rPr>
          <w:rFonts w:eastAsiaTheme="minorEastAsia"/>
          <w:snapToGrid/>
          <w:szCs w:val="22"/>
          <w:lang w:val="lt-LT" w:eastAsia="en-IN"/>
        </w:rPr>
        <w:t> </w:t>
      </w:r>
      <w:r w:rsidRPr="001839C2">
        <w:rPr>
          <w:rFonts w:eastAsiaTheme="minorEastAsia"/>
          <w:snapToGrid/>
          <w:szCs w:val="22"/>
          <w:lang w:val="lt-LT" w:eastAsia="en-IN"/>
        </w:rPr>
        <w:t>serokonversijos dažnis moterims buvo 0,95/100</w:t>
      </w:r>
      <w:r w:rsidR="00947116" w:rsidRPr="001839C2">
        <w:rPr>
          <w:rFonts w:eastAsiaTheme="minorEastAsia"/>
          <w:snapToGrid/>
          <w:szCs w:val="22"/>
          <w:lang w:val="lt-LT" w:eastAsia="en-IN"/>
        </w:rPr>
        <w:t> </w:t>
      </w:r>
      <w:r w:rsidRPr="001839C2">
        <w:rPr>
          <w:rFonts w:eastAsiaTheme="minorEastAsia"/>
          <w:snapToGrid/>
          <w:szCs w:val="22"/>
          <w:lang w:val="lt-LT" w:eastAsia="en-IN"/>
        </w:rPr>
        <w:t>žmogaus</w:t>
      </w:r>
      <w:r w:rsidR="00947116" w:rsidRPr="001839C2">
        <w:rPr>
          <w:rFonts w:eastAsiaTheme="minorEastAsia"/>
          <w:snapToGrid/>
          <w:szCs w:val="22"/>
          <w:lang w:val="lt-LT" w:eastAsia="en-IN"/>
        </w:rPr>
        <w:t> </w:t>
      </w:r>
      <w:r w:rsidRPr="001839C2">
        <w:rPr>
          <w:rFonts w:eastAsiaTheme="minorEastAsia"/>
          <w:snapToGrid/>
          <w:szCs w:val="22"/>
          <w:lang w:val="lt-LT" w:eastAsia="en-IN"/>
        </w:rPr>
        <w:t xml:space="preserve">metų </w:t>
      </w:r>
      <w:r w:rsidR="00947116" w:rsidRPr="001839C2">
        <w:rPr>
          <w:rFonts w:eastAsiaTheme="minorHAnsi"/>
          <w:snapToGrid/>
          <w:szCs w:val="22"/>
          <w:lang w:val="lt-LT"/>
        </w:rPr>
        <w:t>e</w:t>
      </w:r>
      <w:r w:rsidRPr="001839C2">
        <w:rPr>
          <w:rFonts w:eastAsiaTheme="minorHAnsi"/>
          <w:snapToGrid/>
          <w:szCs w:val="22"/>
          <w:lang w:val="lt-LT"/>
        </w:rPr>
        <w:t>mtricitabin</w:t>
      </w:r>
      <w:r w:rsidR="00947116" w:rsidRPr="001839C2">
        <w:rPr>
          <w:rFonts w:eastAsiaTheme="minorHAnsi"/>
          <w:snapToGrid/>
          <w:szCs w:val="22"/>
          <w:lang w:val="lt-LT"/>
        </w:rPr>
        <w:t>o ir t</w:t>
      </w:r>
      <w:r w:rsidRPr="001839C2">
        <w:rPr>
          <w:rFonts w:eastAsiaTheme="minorHAnsi"/>
          <w:snapToGrid/>
          <w:szCs w:val="22"/>
          <w:lang w:val="lt-LT"/>
        </w:rPr>
        <w:t>enofovir</w:t>
      </w:r>
      <w:r w:rsidR="00947116" w:rsidRPr="001839C2">
        <w:rPr>
          <w:rFonts w:eastAsiaTheme="minorHAnsi"/>
          <w:snapToGrid/>
          <w:szCs w:val="22"/>
          <w:lang w:val="lt-LT"/>
        </w:rPr>
        <w:t>o</w:t>
      </w:r>
      <w:r w:rsidRPr="001839C2">
        <w:rPr>
          <w:rFonts w:eastAsiaTheme="minorHAnsi"/>
          <w:snapToGrid/>
          <w:szCs w:val="22"/>
          <w:lang w:val="lt-LT"/>
        </w:rPr>
        <w:t xml:space="preserve"> di</w:t>
      </w:r>
      <w:r w:rsidR="00947116" w:rsidRPr="001839C2">
        <w:rPr>
          <w:rFonts w:eastAsiaTheme="minorHAnsi"/>
          <w:snapToGrid/>
          <w:szCs w:val="22"/>
          <w:lang w:val="lt-LT"/>
        </w:rPr>
        <w:t>z</w:t>
      </w:r>
      <w:r w:rsidRPr="001839C2">
        <w:rPr>
          <w:rFonts w:eastAsiaTheme="minorHAnsi"/>
          <w:snapToGrid/>
          <w:szCs w:val="22"/>
          <w:lang w:val="lt-LT"/>
        </w:rPr>
        <w:t>opro</w:t>
      </w:r>
      <w:r w:rsidR="00947116" w:rsidRPr="001839C2">
        <w:rPr>
          <w:rFonts w:eastAsiaTheme="minorHAnsi"/>
          <w:snapToGrid/>
          <w:szCs w:val="22"/>
          <w:lang w:val="lt-LT"/>
        </w:rPr>
        <w:t>ks</w:t>
      </w:r>
      <w:r w:rsidRPr="001839C2">
        <w:rPr>
          <w:rFonts w:eastAsiaTheme="minorHAnsi"/>
          <w:snapToGrid/>
          <w:szCs w:val="22"/>
          <w:lang w:val="lt-LT"/>
        </w:rPr>
        <w:t>il</w:t>
      </w:r>
      <w:r w:rsidR="00947116" w:rsidRPr="001839C2">
        <w:rPr>
          <w:rFonts w:eastAsiaTheme="minorHAnsi"/>
          <w:snapToGrid/>
          <w:szCs w:val="22"/>
          <w:lang w:val="lt-LT"/>
        </w:rPr>
        <w:t>i</w:t>
      </w:r>
      <w:r w:rsidRPr="001839C2">
        <w:rPr>
          <w:rFonts w:eastAsiaTheme="minorHAnsi"/>
          <w:snapToGrid/>
          <w:szCs w:val="22"/>
          <w:lang w:val="lt-LT"/>
        </w:rPr>
        <w:t>o</w:t>
      </w:r>
      <w:r w:rsidR="00947116" w:rsidRPr="001839C2">
        <w:rPr>
          <w:rFonts w:eastAsiaTheme="minorHAnsi"/>
          <w:snapToGrid/>
          <w:szCs w:val="22"/>
          <w:lang w:val="lt-LT"/>
        </w:rPr>
        <w:t xml:space="preserve"> </w:t>
      </w:r>
      <w:r w:rsidRPr="001839C2">
        <w:rPr>
          <w:rFonts w:eastAsiaTheme="minorHAnsi"/>
          <w:snapToGrid/>
          <w:szCs w:val="22"/>
          <w:lang w:val="lt-LT"/>
        </w:rPr>
        <w:t>d</w:t>
      </w:r>
      <w:r w:rsidR="00947116" w:rsidRPr="001839C2">
        <w:rPr>
          <w:rFonts w:eastAsiaTheme="minorHAnsi"/>
          <w:snapToGrid/>
          <w:szCs w:val="22"/>
          <w:lang w:val="lt-LT"/>
        </w:rPr>
        <w:t>e</w:t>
      </w:r>
      <w:r w:rsidRPr="001839C2">
        <w:rPr>
          <w:rFonts w:eastAsiaTheme="minorHAnsi"/>
          <w:snapToGrid/>
          <w:szCs w:val="22"/>
          <w:lang w:val="lt-LT"/>
        </w:rPr>
        <w:t>r</w:t>
      </w:r>
      <w:r w:rsidR="00947116" w:rsidRPr="001839C2">
        <w:rPr>
          <w:rFonts w:eastAsiaTheme="minorHAnsi"/>
          <w:snapToGrid/>
          <w:szCs w:val="22"/>
          <w:lang w:val="lt-LT"/>
        </w:rPr>
        <w:t>inio</w:t>
      </w:r>
      <w:r w:rsidR="00D719BE" w:rsidRPr="001839C2">
        <w:rPr>
          <w:rFonts w:eastAsiaTheme="minorHAnsi"/>
          <w:snapToGrid/>
          <w:szCs w:val="22"/>
          <w:lang w:val="lt-LT"/>
        </w:rPr>
        <w:t xml:space="preserve"> 200 mg/245 mg tablečių</w:t>
      </w:r>
      <w:r w:rsidRPr="001839C2">
        <w:rPr>
          <w:rFonts w:eastAsiaTheme="minorHAnsi"/>
          <w:snapToGrid/>
          <w:szCs w:val="22"/>
          <w:lang w:val="lt-LT"/>
        </w:rPr>
        <w:t xml:space="preserve"> </w:t>
      </w:r>
      <w:r w:rsidRPr="001839C2">
        <w:rPr>
          <w:rFonts w:eastAsiaTheme="minorEastAsia"/>
          <w:snapToGrid/>
          <w:szCs w:val="22"/>
          <w:lang w:val="lt-LT" w:eastAsia="en-IN"/>
        </w:rPr>
        <w:t>ekspozicijos</w:t>
      </w:r>
      <w:r w:rsidR="00D719BE" w:rsidRPr="001839C2">
        <w:rPr>
          <w:rFonts w:eastAsiaTheme="minorEastAsia"/>
          <w:snapToGrid/>
          <w:szCs w:val="22"/>
          <w:lang w:val="lt-LT" w:eastAsia="en-IN"/>
        </w:rPr>
        <w:t xml:space="preserve"> grupėje</w:t>
      </w:r>
      <w:r w:rsidRPr="001839C2">
        <w:rPr>
          <w:rFonts w:eastAsiaTheme="minorEastAsia"/>
          <w:snapToGrid/>
          <w:szCs w:val="22"/>
          <w:lang w:val="lt-LT" w:eastAsia="en-IN"/>
        </w:rPr>
        <w:t>. Veiksmingumas buvo labai susijęs su vaist</w:t>
      </w:r>
      <w:r w:rsidR="00947116" w:rsidRPr="001839C2">
        <w:rPr>
          <w:rFonts w:eastAsiaTheme="minorEastAsia"/>
          <w:snapToGrid/>
          <w:szCs w:val="22"/>
          <w:lang w:val="lt-LT" w:eastAsia="en-IN"/>
        </w:rPr>
        <w:t>ini</w:t>
      </w:r>
      <w:r w:rsidRPr="001839C2">
        <w:rPr>
          <w:rFonts w:eastAsiaTheme="minorEastAsia"/>
          <w:snapToGrid/>
          <w:szCs w:val="22"/>
          <w:lang w:val="lt-LT" w:eastAsia="en-IN"/>
        </w:rPr>
        <w:t>o</w:t>
      </w:r>
      <w:r w:rsidR="00947116"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vartojimo nurodymų laikymusi, įvertintu ištyrus vaist</w:t>
      </w:r>
      <w:r w:rsidR="00947116" w:rsidRPr="001839C2">
        <w:rPr>
          <w:rFonts w:eastAsiaTheme="minorEastAsia"/>
          <w:snapToGrid/>
          <w:szCs w:val="22"/>
          <w:lang w:val="lt-LT" w:eastAsia="en-IN"/>
        </w:rPr>
        <w:t>ini</w:t>
      </w:r>
      <w:r w:rsidRPr="001839C2">
        <w:rPr>
          <w:rFonts w:eastAsiaTheme="minorEastAsia"/>
          <w:snapToGrid/>
          <w:szCs w:val="22"/>
          <w:lang w:val="lt-LT" w:eastAsia="en-IN"/>
        </w:rPr>
        <w:t>o</w:t>
      </w:r>
      <w:r w:rsidR="00947116"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koncentraciją plazmoje arba ląstel</w:t>
      </w:r>
      <w:r w:rsidR="00947116" w:rsidRPr="001839C2">
        <w:rPr>
          <w:rFonts w:eastAsiaTheme="minorEastAsia"/>
          <w:snapToGrid/>
          <w:szCs w:val="22"/>
          <w:lang w:val="lt-LT" w:eastAsia="en-IN"/>
        </w:rPr>
        <w:t>ės</w:t>
      </w:r>
      <w:r w:rsidRPr="001839C2">
        <w:rPr>
          <w:rFonts w:eastAsiaTheme="minorEastAsia"/>
          <w:snapToGrid/>
          <w:szCs w:val="22"/>
          <w:lang w:val="lt-LT" w:eastAsia="en-IN"/>
        </w:rPr>
        <w:t>e, ir buvo didesnis tyrimo pogrupio dalyviams, dalyvavusiems aktyviuose nurodymų laikymosi mokymuose, kaip parodyta 10</w:t>
      </w:r>
      <w:r w:rsidR="00947116" w:rsidRPr="001839C2">
        <w:rPr>
          <w:rFonts w:eastAsiaTheme="minorEastAsia"/>
          <w:snapToGrid/>
          <w:szCs w:val="22"/>
          <w:lang w:val="lt-LT" w:eastAsia="en-IN"/>
        </w:rPr>
        <w:t> </w:t>
      </w:r>
      <w:r w:rsidRPr="001839C2">
        <w:rPr>
          <w:rFonts w:eastAsiaTheme="minorEastAsia"/>
          <w:snapToGrid/>
          <w:szCs w:val="22"/>
          <w:lang w:val="lt-LT" w:eastAsia="en-IN"/>
        </w:rPr>
        <w:t>lentelėje.</w:t>
      </w:r>
    </w:p>
    <w:p w14:paraId="29F29BFC" w14:textId="77777777" w:rsidR="002A5F50" w:rsidRPr="001839C2" w:rsidRDefault="002A5F50" w:rsidP="002A5F50">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B56D322" w14:textId="77777777" w:rsidR="002A5F50" w:rsidRPr="001839C2" w:rsidRDefault="00947116" w:rsidP="00230559">
      <w:pPr>
        <w:keepNext/>
        <w:keepLines/>
        <w:tabs>
          <w:tab w:val="clear" w:pos="567"/>
          <w:tab w:val="left" w:pos="0"/>
          <w:tab w:val="left" w:pos="384"/>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9 </w:t>
      </w:r>
      <w:r w:rsidR="002A5F50" w:rsidRPr="001839C2">
        <w:rPr>
          <w:rFonts w:eastAsiaTheme="minorEastAsia"/>
          <w:b/>
          <w:bCs/>
          <w:snapToGrid/>
          <w:szCs w:val="22"/>
          <w:lang w:val="lt-LT" w:eastAsia="en-IN"/>
        </w:rPr>
        <w:t>lentelė. Veiksmingumas tyrimo</w:t>
      </w:r>
      <w:r w:rsidR="000D7B29"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CO</w:t>
      </w:r>
      <w:r w:rsidR="000D7B29"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US</w:t>
      </w:r>
      <w:r w:rsidR="000D7B29"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104</w:t>
      </w:r>
      <w:r w:rsidR="000D7B29"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0380</w:t>
      </w:r>
      <w:r w:rsidR="000D7B29"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(Partners</w:t>
      </w:r>
      <w:r w:rsidR="000D7B29"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PrEP) metu</w:t>
      </w:r>
    </w:p>
    <w:p w14:paraId="2CEEAF39"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pPr w:leftFromText="180" w:rightFromText="180" w:vertAnchor="text" w:tblpX="102" w:tblpY="1"/>
        <w:tblOverlap w:val="never"/>
        <w:tblW w:w="9275" w:type="dxa"/>
        <w:tblLayout w:type="fixed"/>
        <w:tblCellMar>
          <w:left w:w="0" w:type="dxa"/>
          <w:right w:w="0" w:type="dxa"/>
        </w:tblCellMar>
        <w:tblLook w:val="0000" w:firstRow="0" w:lastRow="0" w:firstColumn="0" w:lastColumn="0" w:noHBand="0" w:noVBand="0"/>
      </w:tblPr>
      <w:tblGrid>
        <w:gridCol w:w="3844"/>
        <w:gridCol w:w="1587"/>
        <w:gridCol w:w="1922"/>
        <w:gridCol w:w="1922"/>
      </w:tblGrid>
      <w:tr w:rsidR="00DC41B7" w:rsidRPr="00686907" w14:paraId="647E99EF" w14:textId="77777777" w:rsidTr="00D719BE">
        <w:tc>
          <w:tcPr>
            <w:tcW w:w="3844" w:type="dxa"/>
            <w:tcBorders>
              <w:top w:val="single" w:sz="4" w:space="0" w:color="000000"/>
              <w:left w:val="single" w:sz="4" w:space="0" w:color="000000"/>
              <w:bottom w:val="single" w:sz="4" w:space="0" w:color="000000"/>
              <w:right w:val="single" w:sz="4" w:space="0" w:color="000000"/>
            </w:tcBorders>
          </w:tcPr>
          <w:p w14:paraId="5BC4D873" w14:textId="77777777" w:rsidR="002A5F50" w:rsidRPr="001839C2" w:rsidRDefault="002A5F50"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29B09D34" w14:textId="77777777" w:rsidR="002A5F50" w:rsidRPr="001839C2" w:rsidRDefault="000D7B29"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Placebas</w:t>
            </w:r>
          </w:p>
        </w:tc>
        <w:tc>
          <w:tcPr>
            <w:tcW w:w="1922" w:type="dxa"/>
            <w:tcBorders>
              <w:top w:val="single" w:sz="4" w:space="0" w:color="000000"/>
              <w:left w:val="single" w:sz="4" w:space="0" w:color="000000"/>
              <w:bottom w:val="single" w:sz="4" w:space="0" w:color="000000"/>
              <w:right w:val="single" w:sz="4" w:space="0" w:color="000000"/>
            </w:tcBorders>
            <w:vAlign w:val="center"/>
          </w:tcPr>
          <w:p w14:paraId="778B9D2B" w14:textId="77777777" w:rsidR="002A5F50" w:rsidRPr="001839C2" w:rsidRDefault="000D7B29"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T</w:t>
            </w:r>
            <w:r w:rsidR="002A5F50" w:rsidRPr="001839C2">
              <w:rPr>
                <w:rFonts w:eastAsiaTheme="minorEastAsia"/>
                <w:b/>
                <w:bCs/>
                <w:snapToGrid/>
                <w:szCs w:val="22"/>
                <w:lang w:val="lt-LT" w:eastAsia="en-IN"/>
              </w:rPr>
              <w:t>enofoviro dizoproksilio</w:t>
            </w:r>
            <w:r w:rsidR="00D719BE" w:rsidRPr="001839C2">
              <w:rPr>
                <w:rFonts w:eastAsiaTheme="minorEastAsia"/>
                <w:b/>
                <w:bCs/>
                <w:snapToGrid/>
                <w:szCs w:val="22"/>
                <w:lang w:val="lt-LT" w:eastAsia="en-IN"/>
              </w:rPr>
              <w:t xml:space="preserve"> 245 mg</w:t>
            </w:r>
            <w:r w:rsidR="002A5F50" w:rsidRPr="001839C2">
              <w:rPr>
                <w:rFonts w:eastAsiaTheme="minorEastAsia"/>
                <w:b/>
                <w:bCs/>
                <w:snapToGrid/>
                <w:szCs w:val="22"/>
                <w:lang w:val="lt-LT" w:eastAsia="en-IN"/>
              </w:rPr>
              <w:t xml:space="preserve"> (fumarato pavidalu)</w:t>
            </w:r>
          </w:p>
        </w:tc>
        <w:tc>
          <w:tcPr>
            <w:tcW w:w="1922" w:type="dxa"/>
            <w:tcBorders>
              <w:top w:val="single" w:sz="4" w:space="0" w:color="000000"/>
              <w:left w:val="single" w:sz="4" w:space="0" w:color="000000"/>
              <w:bottom w:val="single" w:sz="4" w:space="0" w:color="000000"/>
              <w:right w:val="single" w:sz="4" w:space="0" w:color="000000"/>
            </w:tcBorders>
            <w:vAlign w:val="center"/>
          </w:tcPr>
          <w:p w14:paraId="42196D30" w14:textId="77777777" w:rsidR="002A5F50" w:rsidRPr="001839C2" w:rsidRDefault="000D7B29" w:rsidP="00230559">
            <w:pPr>
              <w:widowControl w:val="0"/>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Emtricitabino ir tenofoviro dizoproksil</w:t>
            </w:r>
            <w:r w:rsidR="00FA02ED" w:rsidRPr="001839C2">
              <w:rPr>
                <w:rFonts w:eastAsiaTheme="minorEastAsia"/>
                <w:b/>
                <w:bCs/>
                <w:snapToGrid/>
                <w:szCs w:val="22"/>
                <w:lang w:val="lt-LT" w:eastAsia="en-IN"/>
              </w:rPr>
              <w:t>io derinio</w:t>
            </w:r>
            <w:r w:rsidRPr="001839C2">
              <w:rPr>
                <w:rFonts w:eastAsiaTheme="minorEastAsia"/>
                <w:b/>
                <w:bCs/>
                <w:snapToGrid/>
                <w:szCs w:val="22"/>
                <w:lang w:val="lt-LT" w:eastAsia="en-IN"/>
              </w:rPr>
              <w:t xml:space="preserve"> 200 mg/245 mg plėvele dengtos tabletės</w:t>
            </w:r>
          </w:p>
        </w:tc>
      </w:tr>
      <w:tr w:rsidR="00DC41B7" w:rsidRPr="001839C2" w14:paraId="0F601DA6" w14:textId="77777777" w:rsidTr="0026580E">
        <w:tc>
          <w:tcPr>
            <w:tcW w:w="3844" w:type="dxa"/>
            <w:tcBorders>
              <w:top w:val="single" w:sz="4" w:space="0" w:color="000000"/>
              <w:left w:val="single" w:sz="4" w:space="0" w:color="000000"/>
              <w:bottom w:val="single" w:sz="4" w:space="0" w:color="000000"/>
              <w:right w:val="single" w:sz="4" w:space="0" w:color="000000"/>
            </w:tcBorders>
          </w:tcPr>
          <w:p w14:paraId="67E45B4F"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b/>
                <w:bCs/>
                <w:snapToGrid/>
                <w:szCs w:val="22"/>
                <w:lang w:val="lt-LT" w:eastAsia="en-IN"/>
              </w:rPr>
              <w:t>Serokonversijos</w:t>
            </w:r>
            <w:r w:rsidR="000D7B29" w:rsidRPr="001839C2">
              <w:rPr>
                <w:rFonts w:eastAsiaTheme="minorEastAsia"/>
                <w:b/>
                <w:bCs/>
                <w:snapToGrid/>
                <w:szCs w:val="22"/>
                <w:lang w:val="lt-LT" w:eastAsia="en-IN"/>
              </w:rPr>
              <w:t>,</w:t>
            </w:r>
            <w:r w:rsidRPr="001839C2">
              <w:rPr>
                <w:rFonts w:eastAsiaTheme="minorEastAsia"/>
                <w:b/>
                <w:bCs/>
                <w:snapToGrid/>
                <w:szCs w:val="22"/>
                <w:lang w:val="lt-LT" w:eastAsia="en-IN"/>
              </w:rPr>
              <w:t xml:space="preserve"> </w:t>
            </w:r>
            <w:r w:rsidR="000D7B29" w:rsidRPr="001839C2">
              <w:rPr>
                <w:rFonts w:eastAsiaTheme="minorEastAsia"/>
                <w:b/>
                <w:bCs/>
                <w:snapToGrid/>
                <w:szCs w:val="22"/>
                <w:lang w:val="lt-LT" w:eastAsia="en-IN"/>
              </w:rPr>
              <w:t>n</w:t>
            </w:r>
            <w:r w:rsidRPr="001839C2">
              <w:rPr>
                <w:rFonts w:eastAsiaTheme="minorEastAsia"/>
                <w:b/>
                <w:bCs/>
                <w:snapToGrid/>
                <w:szCs w:val="22"/>
                <w:vertAlign w:val="superscript"/>
                <w:lang w:val="lt-LT" w:eastAsia="en-IN"/>
              </w:rPr>
              <w:t>a</w:t>
            </w:r>
          </w:p>
        </w:tc>
        <w:tc>
          <w:tcPr>
            <w:tcW w:w="1587" w:type="dxa"/>
            <w:tcBorders>
              <w:top w:val="single" w:sz="4" w:space="0" w:color="000000"/>
              <w:left w:val="single" w:sz="4" w:space="0" w:color="000000"/>
              <w:bottom w:val="single" w:sz="4" w:space="0" w:color="000000"/>
              <w:right w:val="single" w:sz="4" w:space="0" w:color="000000"/>
            </w:tcBorders>
            <w:vAlign w:val="center"/>
          </w:tcPr>
          <w:p w14:paraId="3E8FDEB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52/1</w:t>
            </w:r>
            <w:r w:rsidR="000D7B29" w:rsidRPr="001839C2">
              <w:rPr>
                <w:rFonts w:eastAsiaTheme="minorEastAsia"/>
                <w:snapToGrid/>
                <w:szCs w:val="22"/>
                <w:lang w:val="lt-LT" w:eastAsia="en-IN"/>
              </w:rPr>
              <w:t> </w:t>
            </w:r>
            <w:r w:rsidRPr="001839C2">
              <w:rPr>
                <w:rFonts w:eastAsiaTheme="minorEastAsia"/>
                <w:snapToGrid/>
                <w:szCs w:val="22"/>
                <w:lang w:val="lt-LT" w:eastAsia="en-IN"/>
              </w:rPr>
              <w:t>578</w:t>
            </w:r>
          </w:p>
        </w:tc>
        <w:tc>
          <w:tcPr>
            <w:tcW w:w="1922" w:type="dxa"/>
            <w:tcBorders>
              <w:top w:val="single" w:sz="4" w:space="0" w:color="000000"/>
              <w:left w:val="single" w:sz="4" w:space="0" w:color="000000"/>
              <w:bottom w:val="single" w:sz="4" w:space="0" w:color="000000"/>
              <w:right w:val="single" w:sz="4" w:space="0" w:color="000000"/>
            </w:tcBorders>
            <w:vAlign w:val="center"/>
          </w:tcPr>
          <w:p w14:paraId="305FAD0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17/1</w:t>
            </w:r>
            <w:r w:rsidR="000D7B29" w:rsidRPr="001839C2">
              <w:rPr>
                <w:rFonts w:eastAsiaTheme="minorEastAsia"/>
                <w:snapToGrid/>
                <w:szCs w:val="22"/>
                <w:lang w:val="lt-LT" w:eastAsia="en-IN"/>
              </w:rPr>
              <w:t> </w:t>
            </w:r>
            <w:r w:rsidRPr="001839C2">
              <w:rPr>
                <w:rFonts w:eastAsiaTheme="minorEastAsia"/>
                <w:snapToGrid/>
                <w:szCs w:val="22"/>
                <w:lang w:val="lt-LT" w:eastAsia="en-IN"/>
              </w:rPr>
              <w:t>579</w:t>
            </w:r>
          </w:p>
        </w:tc>
        <w:tc>
          <w:tcPr>
            <w:tcW w:w="1922" w:type="dxa"/>
            <w:tcBorders>
              <w:top w:val="single" w:sz="4" w:space="0" w:color="000000"/>
              <w:left w:val="single" w:sz="4" w:space="0" w:color="000000"/>
              <w:bottom w:val="single" w:sz="4" w:space="0" w:color="000000"/>
              <w:right w:val="single" w:sz="4" w:space="0" w:color="000000"/>
            </w:tcBorders>
            <w:vAlign w:val="center"/>
          </w:tcPr>
          <w:p w14:paraId="617CE4BD"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13/1</w:t>
            </w:r>
            <w:r w:rsidR="000D7B29" w:rsidRPr="001839C2">
              <w:rPr>
                <w:rFonts w:eastAsiaTheme="minorEastAsia"/>
                <w:snapToGrid/>
                <w:szCs w:val="22"/>
                <w:lang w:val="lt-LT" w:eastAsia="en-IN"/>
              </w:rPr>
              <w:t> </w:t>
            </w:r>
            <w:r w:rsidRPr="001839C2">
              <w:rPr>
                <w:rFonts w:eastAsiaTheme="minorEastAsia"/>
                <w:snapToGrid/>
                <w:szCs w:val="22"/>
                <w:lang w:val="lt-LT" w:eastAsia="en-IN"/>
              </w:rPr>
              <w:t>576</w:t>
            </w:r>
          </w:p>
        </w:tc>
      </w:tr>
      <w:tr w:rsidR="00DC41B7" w:rsidRPr="001839C2" w14:paraId="508AE9E4" w14:textId="77777777" w:rsidTr="0026580E">
        <w:tc>
          <w:tcPr>
            <w:tcW w:w="3844" w:type="dxa"/>
            <w:tcBorders>
              <w:top w:val="single" w:sz="4" w:space="0" w:color="000000"/>
              <w:left w:val="single" w:sz="4" w:space="0" w:color="000000"/>
              <w:bottom w:val="single" w:sz="4" w:space="0" w:color="000000"/>
              <w:right w:val="single" w:sz="4" w:space="0" w:color="000000"/>
            </w:tcBorders>
          </w:tcPr>
          <w:p w14:paraId="755E2DD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Dažnis per 100</w:t>
            </w:r>
            <w:r w:rsidR="000D7B29" w:rsidRPr="001839C2">
              <w:rPr>
                <w:rFonts w:eastAsiaTheme="minorEastAsia"/>
                <w:snapToGrid/>
                <w:szCs w:val="22"/>
                <w:lang w:val="lt-LT" w:eastAsia="en-IN"/>
              </w:rPr>
              <w:t> </w:t>
            </w:r>
            <w:r w:rsidRPr="001839C2">
              <w:rPr>
                <w:rFonts w:eastAsiaTheme="minorEastAsia"/>
                <w:snapToGrid/>
                <w:szCs w:val="22"/>
                <w:lang w:val="lt-LT" w:eastAsia="en-IN"/>
              </w:rPr>
              <w:t>žmogaus</w:t>
            </w:r>
            <w:r w:rsidR="000D7B29" w:rsidRPr="001839C2">
              <w:rPr>
                <w:rFonts w:eastAsiaTheme="minorEastAsia"/>
                <w:snapToGrid/>
                <w:szCs w:val="22"/>
                <w:lang w:val="lt-LT" w:eastAsia="en-IN"/>
              </w:rPr>
              <w:t> </w:t>
            </w:r>
            <w:r w:rsidRPr="001839C2">
              <w:rPr>
                <w:rFonts w:eastAsiaTheme="minorEastAsia"/>
                <w:snapToGrid/>
                <w:szCs w:val="22"/>
                <w:lang w:val="lt-LT" w:eastAsia="en-IN"/>
              </w:rPr>
              <w:t>metų (95</w:t>
            </w:r>
            <w:r w:rsidR="000D7B29" w:rsidRPr="001839C2">
              <w:rPr>
                <w:rFonts w:eastAsiaTheme="minorEastAsia"/>
                <w:snapToGrid/>
                <w:szCs w:val="22"/>
                <w:lang w:val="lt-LT" w:eastAsia="en-IN"/>
              </w:rPr>
              <w:t> </w:t>
            </w:r>
            <w:r w:rsidRPr="001839C2">
              <w:rPr>
                <w:rFonts w:eastAsiaTheme="minorEastAsia"/>
                <w:snapToGrid/>
                <w:szCs w:val="22"/>
                <w:lang w:val="lt-LT" w:eastAsia="en-IN"/>
              </w:rPr>
              <w:t>%</w:t>
            </w:r>
            <w:r w:rsidR="000D7B29" w:rsidRPr="001839C2">
              <w:rPr>
                <w:rFonts w:eastAsiaTheme="minorEastAsia"/>
                <w:snapToGrid/>
                <w:szCs w:val="22"/>
                <w:lang w:val="lt-LT" w:eastAsia="en-IN"/>
              </w:rPr>
              <w:t> </w:t>
            </w:r>
            <w:r w:rsidRPr="001839C2">
              <w:rPr>
                <w:rFonts w:eastAsiaTheme="minorEastAsia"/>
                <w:snapToGrid/>
                <w:szCs w:val="22"/>
                <w:lang w:val="lt-LT" w:eastAsia="en-IN"/>
              </w:rPr>
              <w:t>PI)</w:t>
            </w:r>
          </w:p>
        </w:tc>
        <w:tc>
          <w:tcPr>
            <w:tcW w:w="1587" w:type="dxa"/>
            <w:tcBorders>
              <w:top w:val="single" w:sz="4" w:space="0" w:color="000000"/>
              <w:left w:val="single" w:sz="4" w:space="0" w:color="000000"/>
              <w:bottom w:val="single" w:sz="4" w:space="0" w:color="000000"/>
              <w:right w:val="single" w:sz="4" w:space="0" w:color="000000"/>
            </w:tcBorders>
            <w:vAlign w:val="center"/>
          </w:tcPr>
          <w:p w14:paraId="391258D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1,99 (1,49</w:t>
            </w:r>
            <w:r w:rsidR="000D7B29" w:rsidRPr="001839C2">
              <w:rPr>
                <w:rFonts w:eastAsiaTheme="minorEastAsia"/>
                <w:snapToGrid/>
                <w:szCs w:val="22"/>
                <w:lang w:val="lt-LT" w:eastAsia="en-IN"/>
              </w:rPr>
              <w:t>,</w:t>
            </w:r>
            <w:r w:rsidRPr="001839C2">
              <w:rPr>
                <w:rFonts w:eastAsiaTheme="minorEastAsia"/>
                <w:snapToGrid/>
                <w:szCs w:val="22"/>
                <w:lang w:val="lt-LT" w:eastAsia="en-IN"/>
              </w:rPr>
              <w:t xml:space="preserve"> 2,62)</w:t>
            </w:r>
          </w:p>
        </w:tc>
        <w:tc>
          <w:tcPr>
            <w:tcW w:w="1922" w:type="dxa"/>
            <w:tcBorders>
              <w:top w:val="single" w:sz="4" w:space="0" w:color="000000"/>
              <w:left w:val="single" w:sz="4" w:space="0" w:color="000000"/>
              <w:bottom w:val="single" w:sz="4" w:space="0" w:color="000000"/>
              <w:right w:val="single" w:sz="4" w:space="0" w:color="000000"/>
            </w:tcBorders>
            <w:vAlign w:val="center"/>
          </w:tcPr>
          <w:p w14:paraId="0FE71D21"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0,65 (0,38</w:t>
            </w:r>
            <w:r w:rsidR="000D7B29" w:rsidRPr="001839C2">
              <w:rPr>
                <w:rFonts w:eastAsiaTheme="minorEastAsia"/>
                <w:snapToGrid/>
                <w:szCs w:val="22"/>
                <w:lang w:val="lt-LT" w:eastAsia="en-IN"/>
              </w:rPr>
              <w:t>,</w:t>
            </w:r>
            <w:r w:rsidRPr="001839C2">
              <w:rPr>
                <w:rFonts w:eastAsiaTheme="minorEastAsia"/>
                <w:snapToGrid/>
                <w:szCs w:val="22"/>
                <w:lang w:val="lt-LT" w:eastAsia="en-IN"/>
              </w:rPr>
              <w:t xml:space="preserve"> 1,05)</w:t>
            </w:r>
          </w:p>
        </w:tc>
        <w:tc>
          <w:tcPr>
            <w:tcW w:w="1922" w:type="dxa"/>
            <w:tcBorders>
              <w:top w:val="single" w:sz="4" w:space="0" w:color="000000"/>
              <w:left w:val="single" w:sz="4" w:space="0" w:color="000000"/>
              <w:bottom w:val="single" w:sz="4" w:space="0" w:color="000000"/>
              <w:right w:val="single" w:sz="4" w:space="0" w:color="000000"/>
            </w:tcBorders>
            <w:vAlign w:val="center"/>
          </w:tcPr>
          <w:p w14:paraId="3055397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0,50 (0,27</w:t>
            </w:r>
            <w:r w:rsidR="000D7B29" w:rsidRPr="001839C2">
              <w:rPr>
                <w:rFonts w:eastAsiaTheme="minorEastAsia"/>
                <w:snapToGrid/>
                <w:szCs w:val="22"/>
                <w:lang w:val="lt-LT" w:eastAsia="en-IN"/>
              </w:rPr>
              <w:t>,</w:t>
            </w:r>
            <w:r w:rsidRPr="001839C2">
              <w:rPr>
                <w:rFonts w:eastAsiaTheme="minorEastAsia"/>
                <w:snapToGrid/>
                <w:szCs w:val="22"/>
                <w:lang w:val="lt-LT" w:eastAsia="en-IN"/>
              </w:rPr>
              <w:t xml:space="preserve"> 0,85)</w:t>
            </w:r>
          </w:p>
        </w:tc>
      </w:tr>
      <w:tr w:rsidR="00DC41B7" w:rsidRPr="001839C2" w14:paraId="2CE90277" w14:textId="77777777" w:rsidTr="0026580E">
        <w:tc>
          <w:tcPr>
            <w:tcW w:w="3844" w:type="dxa"/>
            <w:tcBorders>
              <w:top w:val="single" w:sz="4" w:space="0" w:color="000000"/>
              <w:left w:val="single" w:sz="4" w:space="0" w:color="000000"/>
              <w:bottom w:val="single" w:sz="4" w:space="0" w:color="000000"/>
              <w:right w:val="single" w:sz="4" w:space="0" w:color="000000"/>
            </w:tcBorders>
          </w:tcPr>
          <w:p w14:paraId="7C3BB13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Santykinės rizikos sumažėjimas (95</w:t>
            </w:r>
            <w:r w:rsidR="000D7B29" w:rsidRPr="001839C2">
              <w:rPr>
                <w:rFonts w:eastAsiaTheme="minorEastAsia"/>
                <w:snapToGrid/>
                <w:szCs w:val="22"/>
                <w:lang w:val="lt-LT" w:eastAsia="en-IN"/>
              </w:rPr>
              <w:t> </w:t>
            </w:r>
            <w:r w:rsidRPr="001839C2">
              <w:rPr>
                <w:rFonts w:eastAsiaTheme="minorEastAsia"/>
                <w:snapToGrid/>
                <w:szCs w:val="22"/>
                <w:lang w:val="lt-LT" w:eastAsia="en-IN"/>
              </w:rPr>
              <w:t>%</w:t>
            </w:r>
            <w:r w:rsidR="000D7B29" w:rsidRPr="001839C2">
              <w:rPr>
                <w:rFonts w:eastAsiaTheme="minorEastAsia"/>
                <w:snapToGrid/>
                <w:szCs w:val="22"/>
                <w:lang w:val="lt-LT" w:eastAsia="en-IN"/>
              </w:rPr>
              <w:t> </w:t>
            </w:r>
            <w:r w:rsidRPr="001839C2">
              <w:rPr>
                <w:rFonts w:eastAsiaTheme="minorEastAsia"/>
                <w:snapToGrid/>
                <w:szCs w:val="22"/>
                <w:lang w:val="lt-LT" w:eastAsia="en-IN"/>
              </w:rPr>
              <w:t>PI)</w:t>
            </w:r>
          </w:p>
        </w:tc>
        <w:tc>
          <w:tcPr>
            <w:tcW w:w="1587" w:type="dxa"/>
            <w:tcBorders>
              <w:top w:val="single" w:sz="4" w:space="0" w:color="000000"/>
              <w:left w:val="single" w:sz="4" w:space="0" w:color="000000"/>
              <w:bottom w:val="single" w:sz="4" w:space="0" w:color="000000"/>
              <w:right w:val="single" w:sz="4" w:space="0" w:color="000000"/>
            </w:tcBorders>
            <w:vAlign w:val="center"/>
          </w:tcPr>
          <w:p w14:paraId="190B29B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w:t>
            </w:r>
          </w:p>
        </w:tc>
        <w:tc>
          <w:tcPr>
            <w:tcW w:w="1922" w:type="dxa"/>
            <w:tcBorders>
              <w:top w:val="single" w:sz="4" w:space="0" w:color="000000"/>
              <w:left w:val="single" w:sz="4" w:space="0" w:color="000000"/>
              <w:bottom w:val="single" w:sz="4" w:space="0" w:color="000000"/>
              <w:right w:val="single" w:sz="4" w:space="0" w:color="000000"/>
            </w:tcBorders>
            <w:vAlign w:val="center"/>
          </w:tcPr>
          <w:p w14:paraId="5C4CCA2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67</w:t>
            </w:r>
            <w:r w:rsidR="000D7B29" w:rsidRPr="001839C2">
              <w:rPr>
                <w:rFonts w:eastAsiaTheme="minorEastAsia"/>
                <w:snapToGrid/>
                <w:szCs w:val="22"/>
                <w:lang w:val="lt-LT" w:eastAsia="en-IN"/>
              </w:rPr>
              <w:t> </w:t>
            </w:r>
            <w:r w:rsidRPr="001839C2">
              <w:rPr>
                <w:rFonts w:eastAsiaTheme="minorEastAsia"/>
                <w:snapToGrid/>
                <w:szCs w:val="22"/>
                <w:lang w:val="lt-LT" w:eastAsia="en-IN"/>
              </w:rPr>
              <w:t>% (44</w:t>
            </w:r>
            <w:r w:rsidR="000D7B29" w:rsidRPr="001839C2">
              <w:rPr>
                <w:rFonts w:eastAsiaTheme="minorEastAsia"/>
                <w:snapToGrid/>
                <w:szCs w:val="22"/>
                <w:lang w:val="lt-LT" w:eastAsia="en-IN"/>
              </w:rPr>
              <w:t> </w:t>
            </w:r>
            <w:r w:rsidRPr="001839C2">
              <w:rPr>
                <w:rFonts w:eastAsiaTheme="minorEastAsia"/>
                <w:snapToGrid/>
                <w:szCs w:val="22"/>
                <w:lang w:val="lt-LT" w:eastAsia="en-IN"/>
              </w:rPr>
              <w:t>%, 81</w:t>
            </w:r>
            <w:r w:rsidR="000D7B29" w:rsidRPr="001839C2">
              <w:rPr>
                <w:rFonts w:eastAsiaTheme="minorEastAsia"/>
                <w:snapToGrid/>
                <w:szCs w:val="22"/>
                <w:lang w:val="lt-LT" w:eastAsia="en-IN"/>
              </w:rPr>
              <w:t> </w:t>
            </w:r>
            <w:r w:rsidRPr="001839C2">
              <w:rPr>
                <w:rFonts w:eastAsiaTheme="minorEastAsia"/>
                <w:snapToGrid/>
                <w:szCs w:val="22"/>
                <w:lang w:val="lt-LT" w:eastAsia="en-IN"/>
              </w:rPr>
              <w:t>%)</w:t>
            </w:r>
          </w:p>
        </w:tc>
        <w:tc>
          <w:tcPr>
            <w:tcW w:w="1922" w:type="dxa"/>
            <w:tcBorders>
              <w:top w:val="single" w:sz="4" w:space="0" w:color="000000"/>
              <w:left w:val="single" w:sz="4" w:space="0" w:color="000000"/>
              <w:bottom w:val="single" w:sz="4" w:space="0" w:color="000000"/>
              <w:right w:val="single" w:sz="4" w:space="0" w:color="000000"/>
            </w:tcBorders>
            <w:vAlign w:val="center"/>
          </w:tcPr>
          <w:p w14:paraId="08F4A84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75</w:t>
            </w:r>
            <w:r w:rsidR="000D7B29" w:rsidRPr="001839C2">
              <w:rPr>
                <w:rFonts w:eastAsiaTheme="minorEastAsia"/>
                <w:snapToGrid/>
                <w:szCs w:val="22"/>
                <w:lang w:val="lt-LT" w:eastAsia="en-IN"/>
              </w:rPr>
              <w:t> </w:t>
            </w:r>
            <w:r w:rsidRPr="001839C2">
              <w:rPr>
                <w:rFonts w:eastAsiaTheme="minorEastAsia"/>
                <w:snapToGrid/>
                <w:szCs w:val="22"/>
                <w:lang w:val="lt-LT" w:eastAsia="en-IN"/>
              </w:rPr>
              <w:t>% (55</w:t>
            </w:r>
            <w:r w:rsidR="000D7B29" w:rsidRPr="001839C2">
              <w:rPr>
                <w:rFonts w:eastAsiaTheme="minorEastAsia"/>
                <w:snapToGrid/>
                <w:szCs w:val="22"/>
                <w:lang w:val="lt-LT" w:eastAsia="en-IN"/>
              </w:rPr>
              <w:t> </w:t>
            </w:r>
            <w:r w:rsidRPr="001839C2">
              <w:rPr>
                <w:rFonts w:eastAsiaTheme="minorEastAsia"/>
                <w:snapToGrid/>
                <w:szCs w:val="22"/>
                <w:lang w:val="lt-LT" w:eastAsia="en-IN"/>
              </w:rPr>
              <w:t>%, 87</w:t>
            </w:r>
            <w:r w:rsidR="000D7B29" w:rsidRPr="001839C2">
              <w:rPr>
                <w:rFonts w:eastAsiaTheme="minorEastAsia"/>
                <w:snapToGrid/>
                <w:szCs w:val="22"/>
                <w:lang w:val="lt-LT" w:eastAsia="en-IN"/>
              </w:rPr>
              <w:t> </w:t>
            </w:r>
            <w:r w:rsidRPr="001839C2">
              <w:rPr>
                <w:rFonts w:eastAsiaTheme="minorEastAsia"/>
                <w:snapToGrid/>
                <w:szCs w:val="22"/>
                <w:lang w:val="lt-LT" w:eastAsia="en-IN"/>
              </w:rPr>
              <w:t>%)</w:t>
            </w:r>
          </w:p>
        </w:tc>
      </w:tr>
    </w:tbl>
    <w:p w14:paraId="02105212" w14:textId="77777777" w:rsidR="002A5F50" w:rsidRPr="001839C2" w:rsidRDefault="002A5F50" w:rsidP="002A5F50">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a</w:t>
      </w:r>
      <w:r w:rsidRPr="001839C2">
        <w:rPr>
          <w:rFonts w:eastAsiaTheme="minorEastAsia"/>
          <w:snapToGrid/>
          <w:szCs w:val="22"/>
          <w:lang w:val="lt-LT" w:eastAsia="en-IN"/>
        </w:rPr>
        <w:t xml:space="preserve"> Santykinės rizikos sumažėjimas apskaičiuotas mITT</w:t>
      </w:r>
      <w:r w:rsidR="00BD4D42" w:rsidRPr="001839C2">
        <w:rPr>
          <w:rFonts w:eastAsiaTheme="minorEastAsia"/>
          <w:snapToGrid/>
          <w:szCs w:val="22"/>
          <w:lang w:val="lt-LT" w:eastAsia="en-IN"/>
        </w:rPr>
        <w:t> </w:t>
      </w:r>
      <w:r w:rsidRPr="001839C2">
        <w:rPr>
          <w:rFonts w:eastAsiaTheme="minorEastAsia"/>
          <w:snapToGrid/>
          <w:szCs w:val="22"/>
          <w:lang w:val="lt-LT" w:eastAsia="en-IN"/>
        </w:rPr>
        <w:t>kohortai, remiantis atsiradusia (po pradinio tyrimo) serokonversija.</w:t>
      </w:r>
      <w:r w:rsidR="00BD4D42" w:rsidRPr="001839C2">
        <w:rPr>
          <w:rFonts w:eastAsiaTheme="minorEastAsia"/>
          <w:snapToGrid/>
          <w:szCs w:val="22"/>
          <w:lang w:val="lt-LT" w:eastAsia="en-IN"/>
        </w:rPr>
        <w:t xml:space="preserve"> </w:t>
      </w:r>
      <w:r w:rsidRPr="001839C2">
        <w:rPr>
          <w:rFonts w:eastAsiaTheme="minorEastAsia"/>
          <w:snapToGrid/>
          <w:szCs w:val="22"/>
          <w:lang w:val="lt-LT" w:eastAsia="en-IN"/>
        </w:rPr>
        <w:t>Palyginimai su veikliosios medžiagos tyrimo grupėmis atlikti lyginant su placeb</w:t>
      </w:r>
      <w:r w:rsidR="00BD4D42" w:rsidRPr="001839C2">
        <w:rPr>
          <w:rFonts w:eastAsiaTheme="minorEastAsia"/>
          <w:snapToGrid/>
          <w:szCs w:val="22"/>
          <w:lang w:val="lt-LT" w:eastAsia="en-IN"/>
        </w:rPr>
        <w:t>u</w:t>
      </w:r>
      <w:r w:rsidRPr="001839C2">
        <w:rPr>
          <w:rFonts w:eastAsiaTheme="minorEastAsia"/>
          <w:snapToGrid/>
          <w:szCs w:val="22"/>
          <w:lang w:val="lt-LT" w:eastAsia="en-IN"/>
        </w:rPr>
        <w:t>.</w:t>
      </w:r>
    </w:p>
    <w:p w14:paraId="472930EA" w14:textId="77777777" w:rsidR="002A5F50" w:rsidRPr="001839C2" w:rsidRDefault="002A5F50" w:rsidP="002A5F50">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2465994" w14:textId="77777777" w:rsidR="002A5F50" w:rsidRPr="001839C2" w:rsidRDefault="00BD4D42" w:rsidP="00230559">
      <w:pPr>
        <w:keepNext/>
        <w:keepLines/>
        <w:tabs>
          <w:tab w:val="clear" w:pos="567"/>
          <w:tab w:val="left" w:pos="0"/>
          <w:tab w:val="left" w:pos="495"/>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10 </w:t>
      </w:r>
      <w:r w:rsidR="002A5F50" w:rsidRPr="001839C2">
        <w:rPr>
          <w:rFonts w:eastAsiaTheme="minorEastAsia"/>
          <w:b/>
          <w:bCs/>
          <w:snapToGrid/>
          <w:szCs w:val="22"/>
          <w:lang w:val="lt-LT" w:eastAsia="en-IN"/>
        </w:rPr>
        <w:t>lentelė. Veiksmingumas ir nurodymų laikymasis tyrimo</w:t>
      </w:r>
      <w:r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CO</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US</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104</w:t>
      </w:r>
      <w:r w:rsidRPr="001839C2">
        <w:rPr>
          <w:rFonts w:eastAsiaTheme="minorEastAsia"/>
          <w:b/>
          <w:bCs/>
          <w:snapToGrid/>
          <w:szCs w:val="22"/>
          <w:lang w:val="lt-LT" w:eastAsia="en-IN"/>
        </w:rPr>
        <w:noBreakHyphen/>
      </w:r>
      <w:r w:rsidR="002A5F50" w:rsidRPr="001839C2">
        <w:rPr>
          <w:rFonts w:eastAsiaTheme="minorEastAsia"/>
          <w:b/>
          <w:bCs/>
          <w:snapToGrid/>
          <w:szCs w:val="22"/>
          <w:lang w:val="lt-LT" w:eastAsia="en-IN"/>
        </w:rPr>
        <w:t>0380</w:t>
      </w:r>
      <w:r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(Partners</w:t>
      </w:r>
      <w:r w:rsidRPr="001839C2">
        <w:rPr>
          <w:rFonts w:eastAsiaTheme="minorEastAsia"/>
          <w:b/>
          <w:bCs/>
          <w:snapToGrid/>
          <w:szCs w:val="22"/>
          <w:lang w:val="lt-LT" w:eastAsia="en-IN"/>
        </w:rPr>
        <w:t> </w:t>
      </w:r>
      <w:r w:rsidR="002A5F50" w:rsidRPr="001839C2">
        <w:rPr>
          <w:rFonts w:eastAsiaTheme="minorEastAsia"/>
          <w:b/>
          <w:bCs/>
          <w:snapToGrid/>
          <w:szCs w:val="22"/>
          <w:lang w:val="lt-LT" w:eastAsia="en-IN"/>
        </w:rPr>
        <w:t>PrEP) metu</w:t>
      </w:r>
    </w:p>
    <w:p w14:paraId="2FE741B5"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tbl>
      <w:tblPr>
        <w:tblW w:w="9281" w:type="dxa"/>
        <w:tblLayout w:type="fixed"/>
        <w:tblCellMar>
          <w:left w:w="0" w:type="dxa"/>
          <w:right w:w="0" w:type="dxa"/>
        </w:tblCellMar>
        <w:tblLook w:val="0000" w:firstRow="0" w:lastRow="0" w:firstColumn="0" w:lastColumn="0" w:noHBand="0" w:noVBand="0"/>
      </w:tblPr>
      <w:tblGrid>
        <w:gridCol w:w="1826"/>
        <w:gridCol w:w="1446"/>
        <w:gridCol w:w="2936"/>
        <w:gridCol w:w="2030"/>
        <w:gridCol w:w="1043"/>
      </w:tblGrid>
      <w:tr w:rsidR="00DC41B7" w:rsidRPr="00686907" w14:paraId="6FCB40C5" w14:textId="77777777" w:rsidTr="00230559">
        <w:trPr>
          <w:cantSplit/>
        </w:trPr>
        <w:tc>
          <w:tcPr>
            <w:tcW w:w="1826" w:type="dxa"/>
            <w:vMerge w:val="restart"/>
            <w:tcBorders>
              <w:top w:val="single" w:sz="4" w:space="0" w:color="000000"/>
              <w:left w:val="single" w:sz="4" w:space="0" w:color="000000"/>
              <w:bottom w:val="single" w:sz="4" w:space="0" w:color="000000"/>
              <w:right w:val="single" w:sz="4" w:space="0" w:color="000000"/>
            </w:tcBorders>
            <w:vAlign w:val="center"/>
          </w:tcPr>
          <w:p w14:paraId="55D08668" w14:textId="77777777" w:rsidR="002A5F50" w:rsidRPr="001839C2" w:rsidRDefault="00BD4D42"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Tiriamojo vaistinio preparato kiekybinis vertinimas</w:t>
            </w:r>
          </w:p>
        </w:tc>
        <w:tc>
          <w:tcPr>
            <w:tcW w:w="4382" w:type="dxa"/>
            <w:gridSpan w:val="2"/>
            <w:tcBorders>
              <w:top w:val="single" w:sz="4" w:space="0" w:color="000000"/>
              <w:left w:val="single" w:sz="4" w:space="0" w:color="000000"/>
              <w:bottom w:val="single" w:sz="4" w:space="0" w:color="000000"/>
              <w:right w:val="single" w:sz="4" w:space="0" w:color="000000"/>
            </w:tcBorders>
            <w:vAlign w:val="center"/>
          </w:tcPr>
          <w:p w14:paraId="3BC132D3"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Mėginių, kuriuose aptikta tenofoviro, skaiči</w:t>
            </w:r>
            <w:r w:rsidR="00BD4D42" w:rsidRPr="001839C2">
              <w:rPr>
                <w:rFonts w:eastAsiaTheme="minorEastAsia"/>
                <w:b/>
                <w:bCs/>
                <w:snapToGrid/>
                <w:szCs w:val="22"/>
                <w:lang w:val="lt-LT" w:eastAsia="en-IN"/>
              </w:rPr>
              <w:t>a</w:t>
            </w:r>
            <w:r w:rsidRPr="001839C2">
              <w:rPr>
                <w:rFonts w:eastAsiaTheme="minorEastAsia"/>
                <w:b/>
                <w:bCs/>
                <w:snapToGrid/>
                <w:szCs w:val="22"/>
                <w:lang w:val="lt-LT" w:eastAsia="en-IN"/>
              </w:rPr>
              <w:t>us</w:t>
            </w:r>
            <w:r w:rsidR="00BD4D42" w:rsidRPr="001839C2">
              <w:rPr>
                <w:rFonts w:eastAsiaTheme="minorEastAsia"/>
                <w:b/>
                <w:bCs/>
                <w:snapToGrid/>
                <w:szCs w:val="22"/>
                <w:lang w:val="lt-LT" w:eastAsia="en-IN"/>
              </w:rPr>
              <w:t xml:space="preserve"> ir </w:t>
            </w:r>
            <w:r w:rsidRPr="001839C2">
              <w:rPr>
                <w:rFonts w:eastAsiaTheme="minorEastAsia"/>
                <w:b/>
                <w:bCs/>
                <w:snapToGrid/>
                <w:szCs w:val="22"/>
                <w:lang w:val="lt-LT" w:eastAsia="en-IN"/>
              </w:rPr>
              <w:t>vis</w:t>
            </w:r>
            <w:r w:rsidR="00BD4D42" w:rsidRPr="001839C2">
              <w:rPr>
                <w:rFonts w:eastAsiaTheme="minorEastAsia"/>
                <w:b/>
                <w:bCs/>
                <w:snapToGrid/>
                <w:szCs w:val="22"/>
                <w:lang w:val="lt-LT" w:eastAsia="en-IN"/>
              </w:rPr>
              <w:t>ų</w:t>
            </w:r>
            <w:r w:rsidRPr="001839C2">
              <w:rPr>
                <w:rFonts w:eastAsiaTheme="minorEastAsia"/>
                <w:b/>
                <w:bCs/>
                <w:snapToGrid/>
                <w:szCs w:val="22"/>
                <w:lang w:val="lt-LT" w:eastAsia="en-IN"/>
              </w:rPr>
              <w:t xml:space="preserve"> mėginių skaiči</w:t>
            </w:r>
            <w:r w:rsidR="00BD4D42" w:rsidRPr="001839C2">
              <w:rPr>
                <w:rFonts w:eastAsiaTheme="minorEastAsia"/>
                <w:b/>
                <w:bCs/>
                <w:snapToGrid/>
                <w:szCs w:val="22"/>
                <w:lang w:val="lt-LT" w:eastAsia="en-IN"/>
              </w:rPr>
              <w:t>a</w:t>
            </w:r>
            <w:r w:rsidRPr="001839C2">
              <w:rPr>
                <w:rFonts w:eastAsiaTheme="minorEastAsia"/>
                <w:b/>
                <w:bCs/>
                <w:snapToGrid/>
                <w:szCs w:val="22"/>
                <w:lang w:val="lt-LT" w:eastAsia="en-IN"/>
              </w:rPr>
              <w:t>us</w:t>
            </w:r>
            <w:r w:rsidR="00BD4D42" w:rsidRPr="001839C2">
              <w:rPr>
                <w:rFonts w:eastAsiaTheme="minorEastAsia"/>
                <w:b/>
                <w:bCs/>
                <w:snapToGrid/>
                <w:szCs w:val="22"/>
                <w:lang w:val="lt-LT" w:eastAsia="en-IN"/>
              </w:rPr>
              <w:t xml:space="preserve"> santykis</w:t>
            </w:r>
            <w:r w:rsidRPr="001839C2">
              <w:rPr>
                <w:rFonts w:eastAsiaTheme="minorEastAsia"/>
                <w:b/>
                <w:bCs/>
                <w:snapToGrid/>
                <w:szCs w:val="22"/>
                <w:lang w:val="lt-LT" w:eastAsia="en-IN"/>
              </w:rPr>
              <w:t xml:space="preserve"> (%)</w:t>
            </w:r>
          </w:p>
        </w:tc>
        <w:tc>
          <w:tcPr>
            <w:tcW w:w="3073" w:type="dxa"/>
            <w:gridSpan w:val="2"/>
            <w:tcBorders>
              <w:top w:val="single" w:sz="4" w:space="0" w:color="000000"/>
              <w:left w:val="single" w:sz="4" w:space="0" w:color="000000"/>
              <w:bottom w:val="single" w:sz="4" w:space="0" w:color="000000"/>
              <w:right w:val="single" w:sz="4" w:space="0" w:color="000000"/>
            </w:tcBorders>
            <w:vAlign w:val="center"/>
          </w:tcPr>
          <w:p w14:paraId="7DC7A9D5"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Rizikos įvertis pagal ŽIV</w:t>
            </w:r>
            <w:r w:rsidR="00BD4D42" w:rsidRPr="001839C2">
              <w:rPr>
                <w:rFonts w:eastAsiaTheme="minorEastAsia"/>
                <w:b/>
                <w:bCs/>
                <w:snapToGrid/>
                <w:szCs w:val="22"/>
                <w:lang w:val="lt-LT" w:eastAsia="en-IN"/>
              </w:rPr>
              <w:noBreakHyphen/>
            </w:r>
            <w:r w:rsidRPr="001839C2">
              <w:rPr>
                <w:rFonts w:eastAsiaTheme="minorEastAsia"/>
                <w:b/>
                <w:bCs/>
                <w:snapToGrid/>
                <w:szCs w:val="22"/>
                <w:lang w:val="lt-LT" w:eastAsia="en-IN"/>
              </w:rPr>
              <w:t>1</w:t>
            </w:r>
            <w:r w:rsidR="00BD4D42" w:rsidRPr="001839C2">
              <w:rPr>
                <w:rFonts w:eastAsiaTheme="minorEastAsia"/>
                <w:b/>
                <w:bCs/>
                <w:snapToGrid/>
                <w:szCs w:val="22"/>
                <w:lang w:val="lt-LT" w:eastAsia="en-IN"/>
              </w:rPr>
              <w:t> </w:t>
            </w:r>
            <w:r w:rsidRPr="001839C2">
              <w:rPr>
                <w:rFonts w:eastAsiaTheme="minorEastAsia"/>
                <w:b/>
                <w:bCs/>
                <w:snapToGrid/>
                <w:szCs w:val="22"/>
                <w:lang w:val="lt-LT" w:eastAsia="en-IN"/>
              </w:rPr>
              <w:t>apsaugą: tenofoviro aptikimo atvejų ir jo neaptikimo atvejų santykis</w:t>
            </w:r>
          </w:p>
        </w:tc>
      </w:tr>
      <w:tr w:rsidR="00DC41B7" w:rsidRPr="001839C2" w14:paraId="557680C2" w14:textId="77777777" w:rsidTr="00230559">
        <w:trPr>
          <w:cantSplit/>
        </w:trPr>
        <w:tc>
          <w:tcPr>
            <w:tcW w:w="1826" w:type="dxa"/>
            <w:vMerge/>
            <w:tcBorders>
              <w:top w:val="single" w:sz="4" w:space="0" w:color="000000"/>
              <w:left w:val="single" w:sz="4" w:space="0" w:color="000000"/>
              <w:bottom w:val="single" w:sz="4" w:space="0" w:color="000000"/>
              <w:right w:val="single" w:sz="4" w:space="0" w:color="000000"/>
            </w:tcBorders>
            <w:vAlign w:val="center"/>
          </w:tcPr>
          <w:p w14:paraId="6380B116"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B168C01" w14:textId="77777777" w:rsidR="002A5F50" w:rsidRPr="001839C2" w:rsidRDefault="00BD4D42"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Atveji</w:t>
            </w:r>
            <w:r w:rsidR="00B37D3F" w:rsidRPr="001839C2">
              <w:rPr>
                <w:rFonts w:eastAsiaTheme="minorEastAsia"/>
                <w:b/>
                <w:bCs/>
                <w:snapToGrid/>
                <w:szCs w:val="22"/>
                <w:lang w:val="lt-LT" w:eastAsia="en-IN"/>
              </w:rPr>
              <w:t>s</w:t>
            </w:r>
          </w:p>
        </w:tc>
        <w:tc>
          <w:tcPr>
            <w:tcW w:w="2936" w:type="dxa"/>
            <w:tcBorders>
              <w:top w:val="single" w:sz="4" w:space="0" w:color="000000"/>
              <w:left w:val="single" w:sz="4" w:space="0" w:color="000000"/>
              <w:bottom w:val="single" w:sz="4" w:space="0" w:color="000000"/>
              <w:right w:val="single" w:sz="4" w:space="0" w:color="000000"/>
            </w:tcBorders>
            <w:vAlign w:val="center"/>
          </w:tcPr>
          <w:p w14:paraId="0B05FB9A" w14:textId="77777777" w:rsidR="002A5F50" w:rsidRPr="001839C2" w:rsidRDefault="00BD4D42"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Kohorta</w:t>
            </w:r>
          </w:p>
        </w:tc>
        <w:tc>
          <w:tcPr>
            <w:tcW w:w="2030" w:type="dxa"/>
            <w:tcBorders>
              <w:top w:val="single" w:sz="4" w:space="0" w:color="000000"/>
              <w:left w:val="single" w:sz="4" w:space="0" w:color="000000"/>
              <w:bottom w:val="single" w:sz="4" w:space="0" w:color="000000"/>
              <w:right w:val="single" w:sz="4" w:space="0" w:color="000000"/>
            </w:tcBorders>
            <w:vAlign w:val="center"/>
          </w:tcPr>
          <w:p w14:paraId="7F91F25F" w14:textId="77777777" w:rsidR="0035596B"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Santykinės rizikos sumažėjimas</w:t>
            </w:r>
          </w:p>
          <w:p w14:paraId="1D0C25E4" w14:textId="77777777" w:rsidR="002A5F50" w:rsidRPr="001839C2" w:rsidRDefault="002A5F50"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(95</w:t>
            </w:r>
            <w:r w:rsidR="00BD4D42" w:rsidRPr="001839C2">
              <w:rPr>
                <w:rFonts w:eastAsiaTheme="minorEastAsia"/>
                <w:b/>
                <w:bCs/>
                <w:snapToGrid/>
                <w:szCs w:val="22"/>
                <w:lang w:val="lt-LT" w:eastAsia="en-IN"/>
              </w:rPr>
              <w:t> </w:t>
            </w:r>
            <w:r w:rsidRPr="001839C2">
              <w:rPr>
                <w:rFonts w:eastAsiaTheme="minorEastAsia"/>
                <w:b/>
                <w:bCs/>
                <w:snapToGrid/>
                <w:szCs w:val="22"/>
                <w:lang w:val="lt-LT" w:eastAsia="en-IN"/>
              </w:rPr>
              <w:t>%</w:t>
            </w:r>
            <w:r w:rsidR="00BD4D42" w:rsidRPr="001839C2">
              <w:rPr>
                <w:rFonts w:eastAsiaTheme="minorEastAsia"/>
                <w:b/>
                <w:bCs/>
                <w:snapToGrid/>
                <w:szCs w:val="22"/>
                <w:lang w:val="lt-LT" w:eastAsia="en-IN"/>
              </w:rPr>
              <w:t> </w:t>
            </w:r>
            <w:r w:rsidRPr="001839C2">
              <w:rPr>
                <w:rFonts w:eastAsiaTheme="minorEastAsia"/>
                <w:b/>
                <w:bCs/>
                <w:snapToGrid/>
                <w:szCs w:val="22"/>
                <w:lang w:val="lt-LT" w:eastAsia="en-IN"/>
              </w:rPr>
              <w:t>PI)</w:t>
            </w:r>
          </w:p>
        </w:tc>
        <w:tc>
          <w:tcPr>
            <w:tcW w:w="1043" w:type="dxa"/>
            <w:tcBorders>
              <w:top w:val="single" w:sz="4" w:space="0" w:color="000000"/>
              <w:left w:val="single" w:sz="4" w:space="0" w:color="000000"/>
              <w:bottom w:val="single" w:sz="4" w:space="0" w:color="000000"/>
              <w:right w:val="single" w:sz="4" w:space="0" w:color="000000"/>
            </w:tcBorders>
            <w:vAlign w:val="center"/>
          </w:tcPr>
          <w:p w14:paraId="76166D92" w14:textId="77777777" w:rsidR="002A5F50" w:rsidRPr="001839C2" w:rsidRDefault="00BD4D42"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p reikšmė</w:t>
            </w:r>
          </w:p>
        </w:tc>
      </w:tr>
      <w:tr w:rsidR="00DC41B7" w:rsidRPr="001839C2" w14:paraId="16C72B8E" w14:textId="77777777" w:rsidTr="0035596B">
        <w:tc>
          <w:tcPr>
            <w:tcW w:w="1826" w:type="dxa"/>
            <w:tcBorders>
              <w:top w:val="single" w:sz="4" w:space="0" w:color="000000"/>
              <w:left w:val="single" w:sz="4" w:space="0" w:color="000000"/>
              <w:bottom w:val="single" w:sz="4" w:space="0" w:color="000000"/>
              <w:right w:val="single" w:sz="4" w:space="0" w:color="000000"/>
            </w:tcBorders>
          </w:tcPr>
          <w:p w14:paraId="3E36831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FTC</w:t>
            </w:r>
            <w:r w:rsidR="00BD4D42" w:rsidRPr="001839C2">
              <w:rPr>
                <w:rFonts w:eastAsiaTheme="minorEastAsia"/>
                <w:snapToGrid/>
                <w:szCs w:val="22"/>
                <w:lang w:val="lt-LT" w:eastAsia="en-IN"/>
              </w:rPr>
              <w:t>/TFD </w:t>
            </w:r>
            <w:r w:rsidRPr="001839C2">
              <w:rPr>
                <w:rFonts w:eastAsiaTheme="minorEastAsia"/>
                <w:snapToGrid/>
                <w:szCs w:val="22"/>
                <w:lang w:val="lt-LT" w:eastAsia="en-IN"/>
              </w:rPr>
              <w:t>grupė</w:t>
            </w:r>
            <w:r w:rsidRPr="001839C2">
              <w:rPr>
                <w:rFonts w:eastAsiaTheme="minorEastAsia"/>
                <w:snapToGrid/>
                <w:szCs w:val="22"/>
                <w:vertAlign w:val="superscript"/>
                <w:lang w:val="lt-LT" w:eastAsia="en-IN"/>
              </w:rPr>
              <w:t>a</w:t>
            </w:r>
          </w:p>
        </w:tc>
        <w:tc>
          <w:tcPr>
            <w:tcW w:w="1446" w:type="dxa"/>
            <w:tcBorders>
              <w:top w:val="single" w:sz="4" w:space="0" w:color="000000"/>
              <w:left w:val="single" w:sz="4" w:space="0" w:color="000000"/>
              <w:bottom w:val="single" w:sz="4" w:space="0" w:color="000000"/>
              <w:right w:val="single" w:sz="4" w:space="0" w:color="000000"/>
            </w:tcBorders>
            <w:vAlign w:val="center"/>
          </w:tcPr>
          <w:p w14:paraId="4C5009C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3/12</w:t>
            </w:r>
            <w:r w:rsidR="00BD4D42" w:rsidRPr="001839C2">
              <w:rPr>
                <w:rFonts w:eastAsiaTheme="minorEastAsia"/>
                <w:snapToGrid/>
                <w:szCs w:val="22"/>
                <w:lang w:val="lt-LT" w:eastAsia="en-IN"/>
              </w:rPr>
              <w:t> </w:t>
            </w:r>
            <w:r w:rsidRPr="001839C2">
              <w:rPr>
                <w:rFonts w:eastAsiaTheme="minorEastAsia"/>
                <w:snapToGrid/>
                <w:szCs w:val="22"/>
                <w:lang w:val="lt-LT" w:eastAsia="en-IN"/>
              </w:rPr>
              <w:t>(25</w:t>
            </w:r>
            <w:r w:rsidR="00BD4D4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2936" w:type="dxa"/>
            <w:tcBorders>
              <w:top w:val="single" w:sz="4" w:space="0" w:color="000000"/>
              <w:left w:val="single" w:sz="4" w:space="0" w:color="000000"/>
              <w:bottom w:val="single" w:sz="4" w:space="0" w:color="000000"/>
              <w:right w:val="single" w:sz="4" w:space="0" w:color="000000"/>
            </w:tcBorders>
            <w:vAlign w:val="center"/>
          </w:tcPr>
          <w:p w14:paraId="3594243C"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375/465</w:t>
            </w:r>
            <w:r w:rsidR="00BD4D42" w:rsidRPr="001839C2">
              <w:rPr>
                <w:rFonts w:eastAsiaTheme="minorEastAsia"/>
                <w:snapToGrid/>
                <w:szCs w:val="22"/>
                <w:lang w:val="lt-LT" w:eastAsia="en-IN"/>
              </w:rPr>
              <w:t> </w:t>
            </w:r>
            <w:r w:rsidRPr="001839C2">
              <w:rPr>
                <w:rFonts w:eastAsiaTheme="minorEastAsia"/>
                <w:snapToGrid/>
                <w:szCs w:val="22"/>
                <w:lang w:val="lt-LT" w:eastAsia="en-IN"/>
              </w:rPr>
              <w:t>(81</w:t>
            </w:r>
            <w:r w:rsidR="00BD4D4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2030" w:type="dxa"/>
            <w:tcBorders>
              <w:top w:val="single" w:sz="4" w:space="0" w:color="000000"/>
              <w:left w:val="single" w:sz="4" w:space="0" w:color="000000"/>
              <w:bottom w:val="single" w:sz="4" w:space="0" w:color="000000"/>
              <w:right w:val="single" w:sz="4" w:space="0" w:color="000000"/>
            </w:tcBorders>
            <w:vAlign w:val="center"/>
          </w:tcPr>
          <w:p w14:paraId="0F3EDED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90</w:t>
            </w:r>
            <w:r w:rsidR="00BD4D42" w:rsidRPr="001839C2">
              <w:rPr>
                <w:rFonts w:eastAsiaTheme="minorEastAsia"/>
                <w:snapToGrid/>
                <w:szCs w:val="22"/>
                <w:lang w:val="lt-LT" w:eastAsia="en-IN"/>
              </w:rPr>
              <w:t> </w:t>
            </w:r>
            <w:r w:rsidRPr="001839C2">
              <w:rPr>
                <w:rFonts w:eastAsiaTheme="minorEastAsia"/>
                <w:snapToGrid/>
                <w:szCs w:val="22"/>
                <w:lang w:val="lt-LT" w:eastAsia="en-IN"/>
              </w:rPr>
              <w:t>% (56</w:t>
            </w:r>
            <w:r w:rsidR="00BD4D42" w:rsidRPr="001839C2">
              <w:rPr>
                <w:rFonts w:eastAsiaTheme="minorEastAsia"/>
                <w:snapToGrid/>
                <w:szCs w:val="22"/>
                <w:lang w:val="lt-LT" w:eastAsia="en-IN"/>
              </w:rPr>
              <w:t> </w:t>
            </w:r>
            <w:r w:rsidRPr="001839C2">
              <w:rPr>
                <w:rFonts w:eastAsiaTheme="minorEastAsia"/>
                <w:snapToGrid/>
                <w:szCs w:val="22"/>
                <w:lang w:val="lt-LT" w:eastAsia="en-IN"/>
              </w:rPr>
              <w:t>%, 98</w:t>
            </w:r>
            <w:r w:rsidR="00BD4D4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1043" w:type="dxa"/>
            <w:tcBorders>
              <w:top w:val="single" w:sz="4" w:space="0" w:color="000000"/>
              <w:left w:val="single" w:sz="4" w:space="0" w:color="000000"/>
              <w:bottom w:val="single" w:sz="4" w:space="0" w:color="000000"/>
              <w:right w:val="single" w:sz="4" w:space="0" w:color="000000"/>
            </w:tcBorders>
            <w:vAlign w:val="center"/>
          </w:tcPr>
          <w:p w14:paraId="79F71400"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0,002</w:t>
            </w:r>
          </w:p>
        </w:tc>
      </w:tr>
      <w:tr w:rsidR="00DC41B7" w:rsidRPr="001839C2" w14:paraId="157124BB" w14:textId="77777777" w:rsidTr="0035596B">
        <w:tc>
          <w:tcPr>
            <w:tcW w:w="1826" w:type="dxa"/>
            <w:tcBorders>
              <w:top w:val="single" w:sz="4" w:space="0" w:color="000000"/>
              <w:left w:val="single" w:sz="4" w:space="0" w:color="000000"/>
              <w:bottom w:val="single" w:sz="4" w:space="0" w:color="000000"/>
              <w:right w:val="single" w:sz="4" w:space="0" w:color="000000"/>
            </w:tcBorders>
          </w:tcPr>
          <w:p w14:paraId="71DE9B4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TDF</w:t>
            </w:r>
            <w:r w:rsidR="00BD4D42" w:rsidRPr="001839C2">
              <w:rPr>
                <w:rFonts w:eastAsiaTheme="minorEastAsia"/>
                <w:snapToGrid/>
                <w:szCs w:val="22"/>
                <w:lang w:val="lt-LT" w:eastAsia="en-IN"/>
              </w:rPr>
              <w:t> </w:t>
            </w:r>
            <w:r w:rsidRPr="001839C2">
              <w:rPr>
                <w:rFonts w:eastAsiaTheme="minorEastAsia"/>
                <w:snapToGrid/>
                <w:szCs w:val="22"/>
                <w:lang w:val="lt-LT" w:eastAsia="en-IN"/>
              </w:rPr>
              <w:t>grupė</w:t>
            </w:r>
            <w:r w:rsidRPr="001839C2">
              <w:rPr>
                <w:rFonts w:eastAsiaTheme="minorEastAsia"/>
                <w:snapToGrid/>
                <w:szCs w:val="22"/>
                <w:vertAlign w:val="superscript"/>
                <w:lang w:val="lt-LT" w:eastAsia="en-IN"/>
              </w:rPr>
              <w:t>a</w:t>
            </w:r>
          </w:p>
        </w:tc>
        <w:tc>
          <w:tcPr>
            <w:tcW w:w="1446" w:type="dxa"/>
            <w:tcBorders>
              <w:top w:val="single" w:sz="4" w:space="0" w:color="000000"/>
              <w:left w:val="single" w:sz="4" w:space="0" w:color="000000"/>
              <w:bottom w:val="single" w:sz="4" w:space="0" w:color="000000"/>
              <w:right w:val="single" w:sz="4" w:space="0" w:color="000000"/>
            </w:tcBorders>
            <w:vAlign w:val="center"/>
          </w:tcPr>
          <w:p w14:paraId="03F7276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6/17</w:t>
            </w:r>
            <w:r w:rsidR="00BD4D42" w:rsidRPr="001839C2">
              <w:rPr>
                <w:rFonts w:eastAsiaTheme="minorEastAsia"/>
                <w:snapToGrid/>
                <w:szCs w:val="22"/>
                <w:lang w:val="lt-LT" w:eastAsia="en-IN"/>
              </w:rPr>
              <w:t> </w:t>
            </w:r>
            <w:r w:rsidRPr="001839C2">
              <w:rPr>
                <w:rFonts w:eastAsiaTheme="minorEastAsia"/>
                <w:snapToGrid/>
                <w:szCs w:val="22"/>
                <w:lang w:val="lt-LT" w:eastAsia="en-IN"/>
              </w:rPr>
              <w:t>(35</w:t>
            </w:r>
            <w:r w:rsidR="00BD4D4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2936" w:type="dxa"/>
            <w:tcBorders>
              <w:top w:val="single" w:sz="4" w:space="0" w:color="000000"/>
              <w:left w:val="single" w:sz="4" w:space="0" w:color="000000"/>
              <w:bottom w:val="single" w:sz="4" w:space="0" w:color="000000"/>
              <w:right w:val="single" w:sz="4" w:space="0" w:color="000000"/>
            </w:tcBorders>
            <w:vAlign w:val="center"/>
          </w:tcPr>
          <w:p w14:paraId="3BAFF1D6"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363/437</w:t>
            </w:r>
            <w:r w:rsidR="00BD4D42" w:rsidRPr="001839C2">
              <w:rPr>
                <w:rFonts w:eastAsiaTheme="minorEastAsia"/>
                <w:snapToGrid/>
                <w:szCs w:val="22"/>
                <w:lang w:val="lt-LT" w:eastAsia="en-IN"/>
              </w:rPr>
              <w:t> </w:t>
            </w:r>
            <w:r w:rsidRPr="001839C2">
              <w:rPr>
                <w:rFonts w:eastAsiaTheme="minorEastAsia"/>
                <w:snapToGrid/>
                <w:szCs w:val="22"/>
                <w:lang w:val="lt-LT" w:eastAsia="en-IN"/>
              </w:rPr>
              <w:t>(83</w:t>
            </w:r>
            <w:r w:rsidR="00BD4D4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2030" w:type="dxa"/>
            <w:tcBorders>
              <w:top w:val="single" w:sz="4" w:space="0" w:color="000000"/>
              <w:left w:val="single" w:sz="4" w:space="0" w:color="000000"/>
              <w:bottom w:val="single" w:sz="4" w:space="0" w:color="000000"/>
              <w:right w:val="single" w:sz="4" w:space="0" w:color="000000"/>
            </w:tcBorders>
            <w:vAlign w:val="center"/>
          </w:tcPr>
          <w:p w14:paraId="67DD80E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86</w:t>
            </w:r>
            <w:r w:rsidR="00BD4D42" w:rsidRPr="001839C2">
              <w:rPr>
                <w:rFonts w:eastAsiaTheme="minorEastAsia"/>
                <w:snapToGrid/>
                <w:szCs w:val="22"/>
                <w:lang w:val="lt-LT" w:eastAsia="en-IN"/>
              </w:rPr>
              <w:t> </w:t>
            </w:r>
            <w:r w:rsidRPr="001839C2">
              <w:rPr>
                <w:rFonts w:eastAsiaTheme="minorEastAsia"/>
                <w:snapToGrid/>
                <w:szCs w:val="22"/>
                <w:lang w:val="lt-LT" w:eastAsia="en-IN"/>
              </w:rPr>
              <w:t>% (67</w:t>
            </w:r>
            <w:r w:rsidR="00BD4D42" w:rsidRPr="001839C2">
              <w:rPr>
                <w:rFonts w:eastAsiaTheme="minorEastAsia"/>
                <w:snapToGrid/>
                <w:szCs w:val="22"/>
                <w:lang w:val="lt-LT" w:eastAsia="en-IN"/>
              </w:rPr>
              <w:t> </w:t>
            </w:r>
            <w:r w:rsidRPr="001839C2">
              <w:rPr>
                <w:rFonts w:eastAsiaTheme="minorEastAsia"/>
                <w:snapToGrid/>
                <w:szCs w:val="22"/>
                <w:lang w:val="lt-LT" w:eastAsia="en-IN"/>
              </w:rPr>
              <w:t>%, 95</w:t>
            </w:r>
            <w:r w:rsidR="00BD4D42" w:rsidRPr="001839C2">
              <w:rPr>
                <w:rFonts w:eastAsiaTheme="minorEastAsia"/>
                <w:snapToGrid/>
                <w:szCs w:val="22"/>
                <w:lang w:val="lt-LT" w:eastAsia="en-IN"/>
              </w:rPr>
              <w:t> </w:t>
            </w:r>
            <w:r w:rsidRPr="001839C2">
              <w:rPr>
                <w:rFonts w:eastAsiaTheme="minorEastAsia"/>
                <w:snapToGrid/>
                <w:szCs w:val="22"/>
                <w:lang w:val="lt-LT" w:eastAsia="en-IN"/>
              </w:rPr>
              <w:t>%)</w:t>
            </w:r>
          </w:p>
        </w:tc>
        <w:tc>
          <w:tcPr>
            <w:tcW w:w="1043" w:type="dxa"/>
            <w:tcBorders>
              <w:top w:val="single" w:sz="4" w:space="0" w:color="000000"/>
              <w:left w:val="single" w:sz="4" w:space="0" w:color="000000"/>
              <w:bottom w:val="single" w:sz="4" w:space="0" w:color="000000"/>
              <w:right w:val="single" w:sz="4" w:space="0" w:color="000000"/>
            </w:tcBorders>
            <w:vAlign w:val="center"/>
          </w:tcPr>
          <w:p w14:paraId="37A6CF7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&lt;</w:t>
            </w:r>
            <w:r w:rsidR="00BD4D42" w:rsidRPr="001839C2">
              <w:rPr>
                <w:rFonts w:eastAsiaTheme="minorEastAsia"/>
                <w:snapToGrid/>
                <w:szCs w:val="22"/>
                <w:lang w:val="lt-LT" w:eastAsia="en-IN"/>
              </w:rPr>
              <w:t> </w:t>
            </w:r>
            <w:r w:rsidRPr="001839C2">
              <w:rPr>
                <w:rFonts w:eastAsiaTheme="minorEastAsia"/>
                <w:snapToGrid/>
                <w:szCs w:val="22"/>
                <w:lang w:val="lt-LT" w:eastAsia="en-IN"/>
              </w:rPr>
              <w:t>0,001</w:t>
            </w:r>
          </w:p>
        </w:tc>
      </w:tr>
      <w:tr w:rsidR="00DC41B7" w:rsidRPr="001839C2" w14:paraId="2525F5B2" w14:textId="77777777" w:rsidTr="00230559">
        <w:trPr>
          <w:cantSplit/>
        </w:trPr>
        <w:tc>
          <w:tcPr>
            <w:tcW w:w="1826" w:type="dxa"/>
            <w:vMerge w:val="restart"/>
            <w:tcBorders>
              <w:top w:val="single" w:sz="4" w:space="0" w:color="000000"/>
              <w:left w:val="single" w:sz="4" w:space="0" w:color="000000"/>
              <w:bottom w:val="single" w:sz="4" w:space="0" w:color="000000"/>
              <w:right w:val="single" w:sz="4" w:space="0" w:color="000000"/>
            </w:tcBorders>
            <w:vAlign w:val="center"/>
          </w:tcPr>
          <w:p w14:paraId="309AC505" w14:textId="77777777" w:rsidR="0035596B" w:rsidRPr="001839C2" w:rsidRDefault="0035596B"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Nurodymų laikymosi tyrimo pogrupis</w:t>
            </w:r>
          </w:p>
        </w:tc>
        <w:tc>
          <w:tcPr>
            <w:tcW w:w="4382" w:type="dxa"/>
            <w:gridSpan w:val="2"/>
            <w:tcBorders>
              <w:top w:val="single" w:sz="4" w:space="0" w:color="000000"/>
              <w:left w:val="single" w:sz="4" w:space="0" w:color="000000"/>
              <w:bottom w:val="single" w:sz="4" w:space="0" w:color="000000"/>
              <w:right w:val="single" w:sz="4" w:space="0" w:color="000000"/>
            </w:tcBorders>
            <w:vAlign w:val="center"/>
          </w:tcPr>
          <w:p w14:paraId="3C85154D" w14:textId="77777777" w:rsidR="0035596B" w:rsidRPr="001839C2" w:rsidRDefault="0035596B"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Nurodymų laikymosi tyrimo pogrupio dalyviai</w:t>
            </w:r>
            <w:r w:rsidRPr="001839C2">
              <w:rPr>
                <w:rFonts w:eastAsiaTheme="minorEastAsia"/>
                <w:b/>
                <w:bCs/>
                <w:snapToGrid/>
                <w:szCs w:val="22"/>
                <w:vertAlign w:val="superscript"/>
                <w:lang w:val="lt-LT" w:eastAsia="en-IN"/>
              </w:rPr>
              <w:t>b</w:t>
            </w:r>
          </w:p>
        </w:tc>
        <w:tc>
          <w:tcPr>
            <w:tcW w:w="2030" w:type="dxa"/>
            <w:vMerge w:val="restart"/>
            <w:tcBorders>
              <w:top w:val="single" w:sz="4" w:space="0" w:color="000000"/>
              <w:left w:val="single" w:sz="4" w:space="0" w:color="000000"/>
              <w:right w:val="single" w:sz="4" w:space="0" w:color="000000"/>
            </w:tcBorders>
            <w:vAlign w:val="center"/>
          </w:tcPr>
          <w:p w14:paraId="588F058F" w14:textId="77777777" w:rsidR="0035596B" w:rsidRPr="001839C2" w:rsidRDefault="0035596B" w:rsidP="00230559">
            <w:pPr>
              <w:keepNext/>
              <w:keepLines/>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Santykinės rizikos sumažėjimas</w:t>
            </w:r>
          </w:p>
          <w:p w14:paraId="01D52FF2" w14:textId="77777777" w:rsidR="0035596B" w:rsidRPr="001839C2" w:rsidRDefault="0035596B" w:rsidP="00230559">
            <w:pPr>
              <w:keepNext/>
              <w:keepLines/>
              <w:tabs>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(95 % PI)</w:t>
            </w:r>
          </w:p>
        </w:tc>
        <w:tc>
          <w:tcPr>
            <w:tcW w:w="1043" w:type="dxa"/>
            <w:vMerge w:val="restart"/>
            <w:tcBorders>
              <w:top w:val="single" w:sz="4" w:space="0" w:color="000000"/>
              <w:left w:val="single" w:sz="4" w:space="0" w:color="000000"/>
              <w:right w:val="single" w:sz="4" w:space="0" w:color="000000"/>
            </w:tcBorders>
            <w:vAlign w:val="center"/>
          </w:tcPr>
          <w:p w14:paraId="6A9D0717" w14:textId="77777777" w:rsidR="0035596B" w:rsidRPr="001839C2" w:rsidRDefault="0035596B" w:rsidP="00230559">
            <w:pPr>
              <w:keepNext/>
              <w:keepLines/>
              <w:tabs>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p reikšmė</w:t>
            </w:r>
          </w:p>
        </w:tc>
      </w:tr>
      <w:tr w:rsidR="00DC41B7" w:rsidRPr="00686907" w14:paraId="564901FA" w14:textId="77777777" w:rsidTr="00230559">
        <w:trPr>
          <w:cantSplit/>
        </w:trPr>
        <w:tc>
          <w:tcPr>
            <w:tcW w:w="1826" w:type="dxa"/>
            <w:vMerge/>
            <w:tcBorders>
              <w:top w:val="single" w:sz="4" w:space="0" w:color="000000"/>
              <w:left w:val="single" w:sz="4" w:space="0" w:color="000000"/>
              <w:bottom w:val="single" w:sz="4" w:space="0" w:color="000000"/>
              <w:right w:val="single" w:sz="4" w:space="0" w:color="000000"/>
            </w:tcBorders>
          </w:tcPr>
          <w:p w14:paraId="3C4F6D34" w14:textId="77777777" w:rsidR="0035596B" w:rsidRPr="001839C2" w:rsidRDefault="0035596B" w:rsidP="00230559">
            <w:pPr>
              <w:widowControl w:val="0"/>
              <w:tabs>
                <w:tab w:val="clear" w:pos="567"/>
                <w:tab w:val="left" w:pos="0"/>
              </w:tabs>
              <w:autoSpaceDE w:val="0"/>
              <w:autoSpaceDN w:val="0"/>
              <w:adjustRightInd w:val="0"/>
              <w:ind w:right="108"/>
              <w:rPr>
                <w:rFonts w:eastAsiaTheme="minorEastAsia"/>
                <w:snapToGrid/>
                <w:szCs w:val="22"/>
                <w:lang w:val="lt-LT" w:eastAsia="en-IN"/>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E1D3EEE" w14:textId="77777777" w:rsidR="0035596B" w:rsidRPr="001839C2" w:rsidRDefault="0035596B"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Placebas</w:t>
            </w:r>
          </w:p>
        </w:tc>
        <w:tc>
          <w:tcPr>
            <w:tcW w:w="2936" w:type="dxa"/>
            <w:tcBorders>
              <w:top w:val="single" w:sz="4" w:space="0" w:color="000000"/>
              <w:left w:val="single" w:sz="4" w:space="0" w:color="000000"/>
              <w:bottom w:val="single" w:sz="4" w:space="0" w:color="000000"/>
              <w:right w:val="single" w:sz="4" w:space="0" w:color="000000"/>
            </w:tcBorders>
            <w:vAlign w:val="center"/>
          </w:tcPr>
          <w:p w14:paraId="5303FE89" w14:textId="77777777" w:rsidR="0035596B" w:rsidRPr="001839C2" w:rsidRDefault="0035596B" w:rsidP="00230559">
            <w:pPr>
              <w:keepNext/>
              <w:keepLines/>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Tenofoviro dizoproksilio 245 mg (fumarato pavidalu)</w:t>
            </w:r>
          </w:p>
          <w:p w14:paraId="5B48B1F3" w14:textId="77777777" w:rsidR="0035596B" w:rsidRPr="001839C2" w:rsidRDefault="0035596B" w:rsidP="00230559">
            <w:pPr>
              <w:keepNext/>
              <w:keepLines/>
              <w:tabs>
                <w:tab w:val="clear" w:pos="567"/>
                <w:tab w:val="left" w:pos="0"/>
              </w:tabs>
              <w:kinsoku w:val="0"/>
              <w:overflowPunct w:val="0"/>
              <w:autoSpaceDE w:val="0"/>
              <w:autoSpaceDN w:val="0"/>
              <w:adjustRightInd w:val="0"/>
              <w:ind w:right="108"/>
              <w:jc w:val="center"/>
              <w:rPr>
                <w:rFonts w:eastAsiaTheme="minorEastAsia"/>
                <w:b/>
                <w:bCs/>
                <w:snapToGrid/>
                <w:szCs w:val="22"/>
                <w:lang w:val="lt-LT" w:eastAsia="en-IN"/>
              </w:rPr>
            </w:pPr>
            <w:r w:rsidRPr="001839C2">
              <w:rPr>
                <w:rFonts w:eastAsiaTheme="minorEastAsia"/>
                <w:b/>
                <w:bCs/>
                <w:snapToGrid/>
                <w:szCs w:val="22"/>
                <w:lang w:val="lt-LT" w:eastAsia="en-IN"/>
              </w:rPr>
              <w:t>+</w:t>
            </w:r>
          </w:p>
          <w:p w14:paraId="0EDF8B80" w14:textId="77777777" w:rsidR="0035596B" w:rsidRPr="001839C2" w:rsidRDefault="0035596B" w:rsidP="00230559">
            <w:pPr>
              <w:keepNext/>
              <w:keepLines/>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b/>
                <w:bCs/>
                <w:snapToGrid/>
                <w:szCs w:val="22"/>
                <w:lang w:val="lt-LT" w:eastAsia="en-IN"/>
              </w:rPr>
              <w:t>Emtricitabino ir tenofoviro dizoproksil</w:t>
            </w:r>
            <w:r w:rsidR="00D0456B" w:rsidRPr="001839C2">
              <w:rPr>
                <w:rFonts w:eastAsiaTheme="minorEastAsia"/>
                <w:b/>
                <w:bCs/>
                <w:snapToGrid/>
                <w:szCs w:val="22"/>
                <w:lang w:val="lt-LT" w:eastAsia="en-IN"/>
              </w:rPr>
              <w:t>io derinio</w:t>
            </w:r>
            <w:r w:rsidRPr="001839C2">
              <w:rPr>
                <w:rFonts w:eastAsiaTheme="minorEastAsia"/>
                <w:b/>
                <w:bCs/>
                <w:snapToGrid/>
                <w:szCs w:val="22"/>
                <w:lang w:val="lt-LT" w:eastAsia="en-IN"/>
              </w:rPr>
              <w:t xml:space="preserve"> 200</w:t>
            </w:r>
            <w:r w:rsidRPr="001839C2">
              <w:rPr>
                <w:rFonts w:eastAsiaTheme="minorHAnsi"/>
                <w:snapToGrid/>
                <w:szCs w:val="22"/>
                <w:lang w:val="lt-LT"/>
              </w:rPr>
              <w:t> </w:t>
            </w:r>
            <w:r w:rsidRPr="001839C2">
              <w:rPr>
                <w:rFonts w:eastAsiaTheme="minorEastAsia"/>
                <w:b/>
                <w:bCs/>
                <w:snapToGrid/>
                <w:szCs w:val="22"/>
                <w:lang w:val="lt-LT" w:eastAsia="en-IN"/>
              </w:rPr>
              <w:t>mg/245 mg plėvele</w:t>
            </w:r>
            <w:r w:rsidRPr="001839C2">
              <w:rPr>
                <w:rFonts w:eastAsiaTheme="minorHAnsi"/>
                <w:snapToGrid/>
                <w:szCs w:val="22"/>
                <w:lang w:val="lt-LT"/>
              </w:rPr>
              <w:t xml:space="preserve"> </w:t>
            </w:r>
            <w:r w:rsidRPr="001839C2">
              <w:rPr>
                <w:rFonts w:eastAsiaTheme="minorEastAsia"/>
                <w:b/>
                <w:bCs/>
                <w:snapToGrid/>
                <w:szCs w:val="22"/>
                <w:lang w:val="lt-LT" w:eastAsia="en-IN"/>
              </w:rPr>
              <w:t>dengtos tabletės</w:t>
            </w:r>
          </w:p>
        </w:tc>
        <w:tc>
          <w:tcPr>
            <w:tcW w:w="2030" w:type="dxa"/>
            <w:vMerge/>
            <w:tcBorders>
              <w:left w:val="single" w:sz="4" w:space="0" w:color="000000"/>
              <w:bottom w:val="single" w:sz="4" w:space="0" w:color="000000"/>
              <w:right w:val="single" w:sz="4" w:space="0" w:color="000000"/>
            </w:tcBorders>
          </w:tcPr>
          <w:p w14:paraId="30F76745" w14:textId="77777777" w:rsidR="0035596B" w:rsidRPr="001839C2" w:rsidRDefault="0035596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tc>
        <w:tc>
          <w:tcPr>
            <w:tcW w:w="1043" w:type="dxa"/>
            <w:vMerge/>
            <w:tcBorders>
              <w:left w:val="single" w:sz="4" w:space="0" w:color="000000"/>
              <w:bottom w:val="single" w:sz="4" w:space="0" w:color="000000"/>
              <w:right w:val="single" w:sz="4" w:space="0" w:color="000000"/>
            </w:tcBorders>
          </w:tcPr>
          <w:p w14:paraId="1E419DA2" w14:textId="77777777" w:rsidR="0035596B" w:rsidRPr="001839C2" w:rsidRDefault="0035596B"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p>
        </w:tc>
      </w:tr>
      <w:tr w:rsidR="00DC41B7" w:rsidRPr="001839C2" w14:paraId="6ED72FBE" w14:textId="77777777" w:rsidTr="0035596B">
        <w:tc>
          <w:tcPr>
            <w:tcW w:w="1826" w:type="dxa"/>
            <w:tcBorders>
              <w:top w:val="single" w:sz="4" w:space="0" w:color="000000"/>
              <w:left w:val="single" w:sz="4" w:space="0" w:color="000000"/>
              <w:bottom w:val="single" w:sz="4" w:space="0" w:color="000000"/>
              <w:right w:val="single" w:sz="4" w:space="0" w:color="000000"/>
            </w:tcBorders>
          </w:tcPr>
          <w:p w14:paraId="49DDC184"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rPr>
                <w:rFonts w:eastAsiaTheme="minorEastAsia"/>
                <w:snapToGrid/>
                <w:szCs w:val="22"/>
                <w:lang w:val="lt-LT" w:eastAsia="en-IN"/>
              </w:rPr>
            </w:pPr>
            <w:r w:rsidRPr="001839C2">
              <w:rPr>
                <w:rFonts w:eastAsiaTheme="minorEastAsia"/>
                <w:snapToGrid/>
                <w:szCs w:val="22"/>
                <w:lang w:val="lt-LT" w:eastAsia="en-IN"/>
              </w:rPr>
              <w:t>Serokonversijos</w:t>
            </w:r>
            <w:r w:rsidR="0026580E" w:rsidRPr="001839C2">
              <w:rPr>
                <w:rFonts w:eastAsiaTheme="minorEastAsia"/>
                <w:snapToGrid/>
                <w:szCs w:val="22"/>
                <w:lang w:val="lt-LT" w:eastAsia="en-IN"/>
              </w:rPr>
              <w:t>,</w:t>
            </w:r>
            <w:r w:rsidRPr="001839C2">
              <w:rPr>
                <w:rFonts w:eastAsiaTheme="minorEastAsia"/>
                <w:snapToGrid/>
                <w:szCs w:val="22"/>
                <w:lang w:val="lt-LT" w:eastAsia="en-IN"/>
              </w:rPr>
              <w:t xml:space="preserve"> </w:t>
            </w:r>
            <w:r w:rsidR="0026580E" w:rsidRPr="001839C2">
              <w:rPr>
                <w:rFonts w:eastAsiaTheme="minorEastAsia"/>
                <w:snapToGrid/>
                <w:szCs w:val="22"/>
                <w:lang w:val="lt-LT" w:eastAsia="en-IN"/>
              </w:rPr>
              <w:t>n</w:t>
            </w:r>
            <w:r w:rsidRPr="001839C2">
              <w:rPr>
                <w:rFonts w:eastAsiaTheme="minorEastAsia"/>
                <w:snapToGrid/>
                <w:szCs w:val="22"/>
                <w:vertAlign w:val="superscript"/>
                <w:lang w:val="lt-LT" w:eastAsia="en-IN"/>
              </w:rPr>
              <w:t>b</w:t>
            </w:r>
          </w:p>
        </w:tc>
        <w:tc>
          <w:tcPr>
            <w:tcW w:w="1446" w:type="dxa"/>
            <w:tcBorders>
              <w:top w:val="single" w:sz="4" w:space="0" w:color="000000"/>
              <w:left w:val="single" w:sz="4" w:space="0" w:color="000000"/>
              <w:bottom w:val="single" w:sz="4" w:space="0" w:color="000000"/>
              <w:right w:val="single" w:sz="4" w:space="0" w:color="000000"/>
            </w:tcBorders>
            <w:vAlign w:val="center"/>
          </w:tcPr>
          <w:p w14:paraId="5B55BBCB"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14/404</w:t>
            </w:r>
            <w:r w:rsidR="0026580E" w:rsidRPr="001839C2">
              <w:rPr>
                <w:rFonts w:eastAsiaTheme="minorEastAsia"/>
                <w:snapToGrid/>
                <w:szCs w:val="22"/>
                <w:lang w:val="lt-LT" w:eastAsia="en-IN"/>
              </w:rPr>
              <w:t> </w:t>
            </w:r>
            <w:r w:rsidRPr="001839C2">
              <w:rPr>
                <w:rFonts w:eastAsiaTheme="minorEastAsia"/>
                <w:snapToGrid/>
                <w:szCs w:val="22"/>
                <w:lang w:val="lt-LT" w:eastAsia="en-IN"/>
              </w:rPr>
              <w:t>(3,5</w:t>
            </w:r>
            <w:r w:rsidR="0026580E" w:rsidRPr="001839C2">
              <w:rPr>
                <w:rFonts w:eastAsiaTheme="minorEastAsia"/>
                <w:snapToGrid/>
                <w:szCs w:val="22"/>
                <w:lang w:val="lt-LT" w:eastAsia="en-IN"/>
              </w:rPr>
              <w:t> </w:t>
            </w:r>
            <w:r w:rsidRPr="001839C2">
              <w:rPr>
                <w:rFonts w:eastAsiaTheme="minorEastAsia"/>
                <w:snapToGrid/>
                <w:szCs w:val="22"/>
                <w:lang w:val="lt-LT" w:eastAsia="en-IN"/>
              </w:rPr>
              <w:t>%)</w:t>
            </w:r>
          </w:p>
        </w:tc>
        <w:tc>
          <w:tcPr>
            <w:tcW w:w="2936" w:type="dxa"/>
            <w:tcBorders>
              <w:top w:val="single" w:sz="4" w:space="0" w:color="000000"/>
              <w:left w:val="single" w:sz="4" w:space="0" w:color="000000"/>
              <w:bottom w:val="single" w:sz="4" w:space="0" w:color="000000"/>
              <w:right w:val="single" w:sz="4" w:space="0" w:color="000000"/>
            </w:tcBorders>
            <w:vAlign w:val="center"/>
          </w:tcPr>
          <w:p w14:paraId="03124898"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0/745</w:t>
            </w:r>
            <w:r w:rsidR="0026580E" w:rsidRPr="001839C2">
              <w:rPr>
                <w:rFonts w:eastAsiaTheme="minorEastAsia"/>
                <w:snapToGrid/>
                <w:szCs w:val="22"/>
                <w:lang w:val="lt-LT" w:eastAsia="en-IN"/>
              </w:rPr>
              <w:t> </w:t>
            </w:r>
            <w:r w:rsidRPr="001839C2">
              <w:rPr>
                <w:rFonts w:eastAsiaTheme="minorEastAsia"/>
                <w:snapToGrid/>
                <w:szCs w:val="22"/>
                <w:lang w:val="lt-LT" w:eastAsia="en-IN"/>
              </w:rPr>
              <w:t>(0</w:t>
            </w:r>
            <w:r w:rsidR="0026580E" w:rsidRPr="001839C2">
              <w:rPr>
                <w:rFonts w:eastAsiaTheme="minorEastAsia"/>
                <w:snapToGrid/>
                <w:szCs w:val="22"/>
                <w:lang w:val="lt-LT" w:eastAsia="en-IN"/>
              </w:rPr>
              <w:t> </w:t>
            </w:r>
            <w:r w:rsidRPr="001839C2">
              <w:rPr>
                <w:rFonts w:eastAsiaTheme="minorEastAsia"/>
                <w:snapToGrid/>
                <w:szCs w:val="22"/>
                <w:lang w:val="lt-LT" w:eastAsia="en-IN"/>
              </w:rPr>
              <w:t>%)</w:t>
            </w:r>
          </w:p>
        </w:tc>
        <w:tc>
          <w:tcPr>
            <w:tcW w:w="2030" w:type="dxa"/>
            <w:tcBorders>
              <w:top w:val="single" w:sz="4" w:space="0" w:color="000000"/>
              <w:left w:val="single" w:sz="4" w:space="0" w:color="000000"/>
              <w:bottom w:val="single" w:sz="4" w:space="0" w:color="000000"/>
              <w:right w:val="single" w:sz="4" w:space="0" w:color="000000"/>
            </w:tcBorders>
            <w:vAlign w:val="center"/>
          </w:tcPr>
          <w:p w14:paraId="6F77ADA2"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100</w:t>
            </w:r>
            <w:r w:rsidR="0026580E" w:rsidRPr="001839C2">
              <w:rPr>
                <w:rFonts w:eastAsiaTheme="minorEastAsia"/>
                <w:snapToGrid/>
                <w:szCs w:val="22"/>
                <w:lang w:val="lt-LT" w:eastAsia="en-IN"/>
              </w:rPr>
              <w:t> </w:t>
            </w:r>
            <w:r w:rsidRPr="001839C2">
              <w:rPr>
                <w:rFonts w:eastAsiaTheme="minorEastAsia"/>
                <w:snapToGrid/>
                <w:szCs w:val="22"/>
                <w:lang w:val="lt-LT" w:eastAsia="en-IN"/>
              </w:rPr>
              <w:t>% (87</w:t>
            </w:r>
            <w:r w:rsidR="0026580E" w:rsidRPr="001839C2">
              <w:rPr>
                <w:rFonts w:eastAsiaTheme="minorEastAsia"/>
                <w:snapToGrid/>
                <w:szCs w:val="22"/>
                <w:lang w:val="lt-LT" w:eastAsia="en-IN"/>
              </w:rPr>
              <w:t> </w:t>
            </w:r>
            <w:r w:rsidRPr="001839C2">
              <w:rPr>
                <w:rFonts w:eastAsiaTheme="minorEastAsia"/>
                <w:snapToGrid/>
                <w:szCs w:val="22"/>
                <w:lang w:val="lt-LT" w:eastAsia="en-IN"/>
              </w:rPr>
              <w:t>%, 100</w:t>
            </w:r>
            <w:r w:rsidR="0026580E" w:rsidRPr="001839C2">
              <w:rPr>
                <w:rFonts w:eastAsiaTheme="minorEastAsia"/>
                <w:snapToGrid/>
                <w:szCs w:val="22"/>
                <w:lang w:val="lt-LT" w:eastAsia="en-IN"/>
              </w:rPr>
              <w:t> </w:t>
            </w:r>
            <w:r w:rsidRPr="001839C2">
              <w:rPr>
                <w:rFonts w:eastAsiaTheme="minorEastAsia"/>
                <w:snapToGrid/>
                <w:szCs w:val="22"/>
                <w:lang w:val="lt-LT" w:eastAsia="en-IN"/>
              </w:rPr>
              <w:t>%)</w:t>
            </w:r>
          </w:p>
        </w:tc>
        <w:tc>
          <w:tcPr>
            <w:tcW w:w="1043" w:type="dxa"/>
            <w:tcBorders>
              <w:top w:val="single" w:sz="4" w:space="0" w:color="000000"/>
              <w:left w:val="single" w:sz="4" w:space="0" w:color="000000"/>
              <w:bottom w:val="single" w:sz="4" w:space="0" w:color="000000"/>
              <w:right w:val="single" w:sz="4" w:space="0" w:color="000000"/>
            </w:tcBorders>
            <w:vAlign w:val="center"/>
          </w:tcPr>
          <w:p w14:paraId="5D4D0575" w14:textId="77777777" w:rsidR="002A5F50" w:rsidRPr="001839C2" w:rsidRDefault="002A5F50" w:rsidP="00230559">
            <w:pPr>
              <w:widowControl w:val="0"/>
              <w:tabs>
                <w:tab w:val="clear" w:pos="567"/>
                <w:tab w:val="left" w:pos="0"/>
              </w:tabs>
              <w:kinsoku w:val="0"/>
              <w:overflowPunct w:val="0"/>
              <w:autoSpaceDE w:val="0"/>
              <w:autoSpaceDN w:val="0"/>
              <w:adjustRightInd w:val="0"/>
              <w:ind w:right="108"/>
              <w:jc w:val="center"/>
              <w:rPr>
                <w:rFonts w:eastAsiaTheme="minorEastAsia"/>
                <w:snapToGrid/>
                <w:szCs w:val="22"/>
                <w:lang w:val="lt-LT" w:eastAsia="en-IN"/>
              </w:rPr>
            </w:pPr>
            <w:r w:rsidRPr="001839C2">
              <w:rPr>
                <w:rFonts w:eastAsiaTheme="minorEastAsia"/>
                <w:snapToGrid/>
                <w:szCs w:val="22"/>
                <w:lang w:val="lt-LT" w:eastAsia="en-IN"/>
              </w:rPr>
              <w:t>&lt;</w:t>
            </w:r>
            <w:r w:rsidR="0026580E" w:rsidRPr="001839C2">
              <w:rPr>
                <w:rFonts w:eastAsiaTheme="minorEastAsia"/>
                <w:snapToGrid/>
                <w:szCs w:val="22"/>
                <w:lang w:val="lt-LT" w:eastAsia="en-IN"/>
              </w:rPr>
              <w:t> </w:t>
            </w:r>
            <w:r w:rsidRPr="001839C2">
              <w:rPr>
                <w:rFonts w:eastAsiaTheme="minorEastAsia"/>
                <w:snapToGrid/>
                <w:szCs w:val="22"/>
                <w:lang w:val="lt-LT" w:eastAsia="en-IN"/>
              </w:rPr>
              <w:t>0,001</w:t>
            </w:r>
          </w:p>
        </w:tc>
      </w:tr>
    </w:tbl>
    <w:p w14:paraId="504F8ED9" w14:textId="77777777"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a</w:t>
      </w:r>
      <w:r w:rsidRPr="001839C2">
        <w:rPr>
          <w:rFonts w:eastAsiaTheme="minorEastAsia"/>
          <w:snapToGrid/>
          <w:szCs w:val="22"/>
          <w:lang w:val="lt-LT" w:eastAsia="en-IN"/>
        </w:rPr>
        <w:t xml:space="preserve"> Atvejis </w:t>
      </w:r>
      <w:r w:rsidR="0035596B" w:rsidRPr="001839C2">
        <w:rPr>
          <w:rFonts w:eastAsiaTheme="minorEastAsia"/>
          <w:snapToGrid/>
          <w:szCs w:val="22"/>
          <w:lang w:val="lt-LT" w:eastAsia="en-IN"/>
        </w:rPr>
        <w:t>–</w:t>
      </w:r>
      <w:r w:rsidRPr="001839C2">
        <w:rPr>
          <w:rFonts w:eastAsiaTheme="minorEastAsia"/>
          <w:snapToGrid/>
          <w:szCs w:val="22"/>
          <w:lang w:val="lt-LT" w:eastAsia="en-IN"/>
        </w:rPr>
        <w:t xml:space="preserve"> ŽIV</w:t>
      </w:r>
      <w:r w:rsidR="0035596B" w:rsidRPr="001839C2">
        <w:rPr>
          <w:rFonts w:eastAsiaTheme="minorEastAsia"/>
          <w:snapToGrid/>
          <w:szCs w:val="22"/>
          <w:lang w:val="lt-LT" w:eastAsia="en-IN"/>
        </w:rPr>
        <w:t> </w:t>
      </w:r>
      <w:r w:rsidRPr="001839C2">
        <w:rPr>
          <w:rFonts w:eastAsiaTheme="minorEastAsia"/>
          <w:snapToGrid/>
          <w:szCs w:val="22"/>
          <w:lang w:val="lt-LT" w:eastAsia="en-IN"/>
        </w:rPr>
        <w:t>serokonverteris</w:t>
      </w:r>
      <w:r w:rsidR="0035596B" w:rsidRPr="001839C2">
        <w:rPr>
          <w:rFonts w:eastAsiaTheme="minorEastAsia"/>
          <w:snapToGrid/>
          <w:szCs w:val="22"/>
          <w:lang w:val="lt-LT" w:eastAsia="en-IN"/>
        </w:rPr>
        <w:t>,</w:t>
      </w:r>
      <w:r w:rsidRPr="001839C2">
        <w:rPr>
          <w:rFonts w:eastAsiaTheme="minorEastAsia"/>
          <w:snapToGrid/>
          <w:szCs w:val="22"/>
          <w:lang w:val="lt-LT" w:eastAsia="en-IN"/>
        </w:rPr>
        <w:t xml:space="preserve"> kohorta </w:t>
      </w:r>
      <w:r w:rsidR="00C81A01" w:rsidRPr="001839C2">
        <w:rPr>
          <w:rFonts w:eastAsiaTheme="minorEastAsia"/>
          <w:snapToGrid/>
          <w:szCs w:val="22"/>
          <w:lang w:val="lt-LT" w:eastAsia="en-IN"/>
        </w:rPr>
        <w:t>–</w:t>
      </w:r>
      <w:r w:rsidRPr="001839C2">
        <w:rPr>
          <w:rFonts w:eastAsiaTheme="minorEastAsia"/>
          <w:snapToGrid/>
          <w:szCs w:val="22"/>
          <w:lang w:val="lt-LT" w:eastAsia="en-IN"/>
        </w:rPr>
        <w:t xml:space="preserve"> 100 atsitiktinių imčių būdu atrinktų tiriamųjų iš kiekvienos</w:t>
      </w:r>
      <w:r w:rsidR="00D0456B" w:rsidRPr="001839C2">
        <w:rPr>
          <w:rFonts w:eastAsiaTheme="minorEastAsia"/>
          <w:snapToGrid/>
          <w:szCs w:val="22"/>
          <w:lang w:val="lt-LT" w:eastAsia="en-IN"/>
        </w:rPr>
        <w:t>,</w:t>
      </w:r>
      <w:r w:rsidRPr="001839C2">
        <w:rPr>
          <w:rFonts w:eastAsiaTheme="minorEastAsia"/>
          <w:snapToGrid/>
          <w:szCs w:val="22"/>
          <w:lang w:val="lt-LT" w:eastAsia="en-IN"/>
        </w:rPr>
        <w:t xml:space="preserve"> 245</w:t>
      </w:r>
      <w:r w:rsidR="00C81A01" w:rsidRPr="001839C2">
        <w:rPr>
          <w:rFonts w:eastAsiaTheme="minorEastAsia"/>
          <w:snapToGrid/>
          <w:szCs w:val="22"/>
          <w:lang w:val="lt-LT" w:eastAsia="en-IN"/>
        </w:rPr>
        <w:t> </w:t>
      </w:r>
      <w:r w:rsidRPr="001839C2">
        <w:rPr>
          <w:rFonts w:eastAsiaTheme="minorEastAsia"/>
          <w:snapToGrid/>
          <w:szCs w:val="22"/>
          <w:lang w:val="lt-LT" w:eastAsia="en-IN"/>
        </w:rPr>
        <w:t>mg tenofoviro</w:t>
      </w:r>
      <w:r w:rsidR="00C81A01" w:rsidRPr="001839C2">
        <w:rPr>
          <w:rFonts w:eastAsiaTheme="minorEastAsia"/>
          <w:snapToGrid/>
          <w:szCs w:val="22"/>
          <w:lang w:val="lt-LT" w:eastAsia="en-IN"/>
        </w:rPr>
        <w:t xml:space="preserve"> </w:t>
      </w:r>
      <w:r w:rsidRPr="001839C2">
        <w:rPr>
          <w:rFonts w:eastAsiaTheme="minorEastAsia"/>
          <w:snapToGrid/>
          <w:szCs w:val="22"/>
          <w:lang w:val="lt-LT" w:eastAsia="en-IN"/>
        </w:rPr>
        <w:t xml:space="preserve">dizoproksilio ir </w:t>
      </w:r>
      <w:r w:rsidR="00C81A01" w:rsidRPr="001839C2">
        <w:rPr>
          <w:rFonts w:eastAsiaTheme="minorEastAsia"/>
          <w:snapToGrid/>
          <w:szCs w:val="22"/>
          <w:lang w:val="lt-LT" w:eastAsia="en-IN"/>
        </w:rPr>
        <w:t>e</w:t>
      </w:r>
      <w:r w:rsidRPr="001839C2">
        <w:rPr>
          <w:rFonts w:eastAsiaTheme="minorEastAsia"/>
          <w:snapToGrid/>
          <w:szCs w:val="22"/>
          <w:lang w:val="lt-LT" w:eastAsia="en-IN"/>
        </w:rPr>
        <w:t>mtricitabin</w:t>
      </w:r>
      <w:r w:rsidR="00C81A01" w:rsidRPr="001839C2">
        <w:rPr>
          <w:rFonts w:eastAsiaTheme="minorEastAsia"/>
          <w:snapToGrid/>
          <w:szCs w:val="22"/>
          <w:lang w:val="lt-LT" w:eastAsia="en-IN"/>
        </w:rPr>
        <w:t>o ir t</w:t>
      </w:r>
      <w:r w:rsidRPr="001839C2">
        <w:rPr>
          <w:rFonts w:eastAsiaTheme="minorEastAsia"/>
          <w:snapToGrid/>
          <w:szCs w:val="22"/>
          <w:lang w:val="lt-LT" w:eastAsia="en-IN"/>
        </w:rPr>
        <w:t>enofovir</w:t>
      </w:r>
      <w:r w:rsidR="00C81A01" w:rsidRPr="001839C2">
        <w:rPr>
          <w:rFonts w:eastAsiaTheme="minorEastAsia"/>
          <w:snapToGrid/>
          <w:szCs w:val="22"/>
          <w:lang w:val="lt-LT" w:eastAsia="en-IN"/>
        </w:rPr>
        <w:t>o</w:t>
      </w:r>
      <w:r w:rsidRPr="001839C2">
        <w:rPr>
          <w:rFonts w:eastAsiaTheme="minorEastAsia"/>
          <w:snapToGrid/>
          <w:szCs w:val="22"/>
          <w:lang w:val="lt-LT" w:eastAsia="en-IN"/>
        </w:rPr>
        <w:t xml:space="preserve"> di</w:t>
      </w:r>
      <w:r w:rsidR="00C81A01" w:rsidRPr="001839C2">
        <w:rPr>
          <w:rFonts w:eastAsiaTheme="minorEastAsia"/>
          <w:snapToGrid/>
          <w:szCs w:val="22"/>
          <w:lang w:val="lt-LT" w:eastAsia="en-IN"/>
        </w:rPr>
        <w:t>z</w:t>
      </w:r>
      <w:r w:rsidRPr="001839C2">
        <w:rPr>
          <w:rFonts w:eastAsiaTheme="minorEastAsia"/>
          <w:snapToGrid/>
          <w:szCs w:val="22"/>
          <w:lang w:val="lt-LT" w:eastAsia="en-IN"/>
        </w:rPr>
        <w:t>opro</w:t>
      </w:r>
      <w:r w:rsidR="00C81A01" w:rsidRPr="001839C2">
        <w:rPr>
          <w:rFonts w:eastAsiaTheme="minorEastAsia"/>
          <w:snapToGrid/>
          <w:szCs w:val="22"/>
          <w:lang w:val="lt-LT" w:eastAsia="en-IN"/>
        </w:rPr>
        <w:t>ks</w:t>
      </w:r>
      <w:r w:rsidRPr="001839C2">
        <w:rPr>
          <w:rFonts w:eastAsiaTheme="minorEastAsia"/>
          <w:snapToGrid/>
          <w:szCs w:val="22"/>
          <w:lang w:val="lt-LT" w:eastAsia="en-IN"/>
        </w:rPr>
        <w:t>il</w:t>
      </w:r>
      <w:r w:rsidR="00C81A01" w:rsidRPr="001839C2">
        <w:rPr>
          <w:rFonts w:eastAsiaTheme="minorEastAsia"/>
          <w:snapToGrid/>
          <w:szCs w:val="22"/>
          <w:lang w:val="lt-LT" w:eastAsia="en-IN"/>
        </w:rPr>
        <w:t>i</w:t>
      </w:r>
      <w:r w:rsidRPr="001839C2">
        <w:rPr>
          <w:rFonts w:eastAsiaTheme="minorEastAsia"/>
          <w:snapToGrid/>
          <w:szCs w:val="22"/>
          <w:lang w:val="lt-LT" w:eastAsia="en-IN"/>
        </w:rPr>
        <w:t>o</w:t>
      </w:r>
      <w:r w:rsidR="00C81A01" w:rsidRPr="001839C2">
        <w:rPr>
          <w:rFonts w:eastAsiaTheme="minorEastAsia"/>
          <w:snapToGrid/>
          <w:szCs w:val="22"/>
          <w:lang w:val="lt-LT" w:eastAsia="en-IN"/>
        </w:rPr>
        <w:t xml:space="preserve"> </w:t>
      </w:r>
      <w:r w:rsidRPr="001839C2">
        <w:rPr>
          <w:rFonts w:eastAsiaTheme="minorEastAsia"/>
          <w:snapToGrid/>
          <w:szCs w:val="22"/>
          <w:lang w:val="lt-LT" w:eastAsia="en-IN"/>
        </w:rPr>
        <w:t>d</w:t>
      </w:r>
      <w:r w:rsidR="00C81A01" w:rsidRPr="001839C2">
        <w:rPr>
          <w:rFonts w:eastAsiaTheme="minorEastAsia"/>
          <w:snapToGrid/>
          <w:szCs w:val="22"/>
          <w:lang w:val="lt-LT" w:eastAsia="en-IN"/>
        </w:rPr>
        <w:t>e</w:t>
      </w:r>
      <w:r w:rsidRPr="001839C2">
        <w:rPr>
          <w:rFonts w:eastAsiaTheme="minorEastAsia"/>
          <w:snapToGrid/>
          <w:szCs w:val="22"/>
          <w:lang w:val="lt-LT" w:eastAsia="en-IN"/>
        </w:rPr>
        <w:t>r</w:t>
      </w:r>
      <w:r w:rsidR="00C81A01" w:rsidRPr="001839C2">
        <w:rPr>
          <w:rFonts w:eastAsiaTheme="minorEastAsia"/>
          <w:snapToGrid/>
          <w:szCs w:val="22"/>
          <w:lang w:val="lt-LT" w:eastAsia="en-IN"/>
        </w:rPr>
        <w:t>inio</w:t>
      </w:r>
      <w:r w:rsidR="00D0456B" w:rsidRPr="001839C2">
        <w:rPr>
          <w:rFonts w:eastAsiaTheme="minorEastAsia"/>
          <w:snapToGrid/>
          <w:szCs w:val="22"/>
          <w:lang w:val="lt-LT" w:eastAsia="en-IN"/>
        </w:rPr>
        <w:t xml:space="preserve"> 200 mg/245 mg tablečių,</w:t>
      </w:r>
      <w:r w:rsidRPr="001839C2">
        <w:rPr>
          <w:rFonts w:eastAsiaTheme="minorEastAsia"/>
          <w:snapToGrid/>
          <w:szCs w:val="22"/>
          <w:lang w:val="lt-LT" w:eastAsia="en-IN"/>
        </w:rPr>
        <w:t xml:space="preserve"> grup</w:t>
      </w:r>
      <w:r w:rsidR="00D0456B" w:rsidRPr="001839C2">
        <w:rPr>
          <w:rFonts w:eastAsiaTheme="minorEastAsia"/>
          <w:snapToGrid/>
          <w:szCs w:val="22"/>
          <w:lang w:val="lt-LT" w:eastAsia="en-IN"/>
        </w:rPr>
        <w:t>ės</w:t>
      </w:r>
      <w:r w:rsidRPr="001839C2">
        <w:rPr>
          <w:rFonts w:eastAsiaTheme="minorEastAsia"/>
          <w:snapToGrid/>
          <w:szCs w:val="22"/>
          <w:lang w:val="lt-LT" w:eastAsia="en-IN"/>
        </w:rPr>
        <w:t>. Aptinkama tenofoviro k</w:t>
      </w:r>
      <w:r w:rsidR="00C81A01" w:rsidRPr="001839C2">
        <w:rPr>
          <w:rFonts w:eastAsiaTheme="minorEastAsia"/>
          <w:snapToGrid/>
          <w:szCs w:val="22"/>
          <w:lang w:val="lt-LT" w:eastAsia="en-IN"/>
        </w:rPr>
        <w:t>oncentrac</w:t>
      </w:r>
      <w:r w:rsidRPr="001839C2">
        <w:rPr>
          <w:rFonts w:eastAsiaTheme="minorEastAsia"/>
          <w:snapToGrid/>
          <w:szCs w:val="22"/>
          <w:lang w:val="lt-LT" w:eastAsia="en-IN"/>
        </w:rPr>
        <w:t>i</w:t>
      </w:r>
      <w:r w:rsidR="00C81A01" w:rsidRPr="001839C2">
        <w:rPr>
          <w:rFonts w:eastAsiaTheme="minorEastAsia"/>
          <w:snapToGrid/>
          <w:szCs w:val="22"/>
          <w:lang w:val="lt-LT" w:eastAsia="en-IN"/>
        </w:rPr>
        <w:t>ja</w:t>
      </w:r>
      <w:r w:rsidRPr="001839C2">
        <w:rPr>
          <w:rFonts w:eastAsiaTheme="minorEastAsia"/>
          <w:snapToGrid/>
          <w:szCs w:val="22"/>
          <w:lang w:val="lt-LT" w:eastAsia="en-IN"/>
        </w:rPr>
        <w:t xml:space="preserve"> plazmoje įvertinta tik tiriant atvejų arba kohortos </w:t>
      </w:r>
      <w:r w:rsidRPr="001839C2">
        <w:rPr>
          <w:rFonts w:eastAsiaTheme="minorEastAsia"/>
          <w:snapToGrid/>
          <w:szCs w:val="22"/>
          <w:lang w:val="lt-LT" w:eastAsia="en-IN"/>
        </w:rPr>
        <w:lastRenderedPageBreak/>
        <w:t>mėginius, paimtus iš asmenų, atsitiktinių imčių būdu atrinktų į 245</w:t>
      </w:r>
      <w:r w:rsidR="00C81A01" w:rsidRPr="001839C2">
        <w:rPr>
          <w:rFonts w:eastAsiaTheme="minorEastAsia"/>
          <w:snapToGrid/>
          <w:szCs w:val="22"/>
          <w:lang w:val="lt-LT" w:eastAsia="en-IN"/>
        </w:rPr>
        <w:t> </w:t>
      </w:r>
      <w:r w:rsidRPr="001839C2">
        <w:rPr>
          <w:rFonts w:eastAsiaTheme="minorEastAsia"/>
          <w:snapToGrid/>
          <w:szCs w:val="22"/>
          <w:lang w:val="lt-LT" w:eastAsia="en-IN"/>
        </w:rPr>
        <w:t xml:space="preserve">mg tenofoviro dizoproksilio (fumarato pavidalu) arba </w:t>
      </w:r>
      <w:r w:rsidR="00C81A01" w:rsidRPr="001839C2">
        <w:rPr>
          <w:rFonts w:eastAsiaTheme="minorEastAsia"/>
          <w:snapToGrid/>
          <w:szCs w:val="22"/>
          <w:lang w:val="lt-LT" w:eastAsia="en-IN"/>
        </w:rPr>
        <w:t>e</w:t>
      </w:r>
      <w:r w:rsidRPr="001839C2">
        <w:rPr>
          <w:rFonts w:eastAsiaTheme="minorEastAsia"/>
          <w:snapToGrid/>
          <w:szCs w:val="22"/>
          <w:lang w:val="lt-LT" w:eastAsia="en-IN"/>
        </w:rPr>
        <w:t>mtricitabin</w:t>
      </w:r>
      <w:r w:rsidR="00C81A01" w:rsidRPr="001839C2">
        <w:rPr>
          <w:rFonts w:eastAsiaTheme="minorEastAsia"/>
          <w:snapToGrid/>
          <w:szCs w:val="22"/>
          <w:lang w:val="lt-LT" w:eastAsia="en-IN"/>
        </w:rPr>
        <w:t>o ir t</w:t>
      </w:r>
      <w:r w:rsidRPr="001839C2">
        <w:rPr>
          <w:rFonts w:eastAsiaTheme="minorEastAsia"/>
          <w:snapToGrid/>
          <w:szCs w:val="22"/>
          <w:lang w:val="lt-LT" w:eastAsia="en-IN"/>
        </w:rPr>
        <w:t>enofovir</w:t>
      </w:r>
      <w:r w:rsidR="00C81A01" w:rsidRPr="001839C2">
        <w:rPr>
          <w:rFonts w:eastAsiaTheme="minorEastAsia"/>
          <w:snapToGrid/>
          <w:szCs w:val="22"/>
          <w:lang w:val="lt-LT" w:eastAsia="en-IN"/>
        </w:rPr>
        <w:t>o</w:t>
      </w:r>
      <w:r w:rsidRPr="001839C2">
        <w:rPr>
          <w:rFonts w:eastAsiaTheme="minorEastAsia"/>
          <w:snapToGrid/>
          <w:szCs w:val="22"/>
          <w:lang w:val="lt-LT" w:eastAsia="en-IN"/>
        </w:rPr>
        <w:t xml:space="preserve"> di</w:t>
      </w:r>
      <w:r w:rsidR="00C81A01" w:rsidRPr="001839C2">
        <w:rPr>
          <w:rFonts w:eastAsiaTheme="minorEastAsia"/>
          <w:snapToGrid/>
          <w:szCs w:val="22"/>
          <w:lang w:val="lt-LT" w:eastAsia="en-IN"/>
        </w:rPr>
        <w:t>z</w:t>
      </w:r>
      <w:r w:rsidRPr="001839C2">
        <w:rPr>
          <w:rFonts w:eastAsiaTheme="minorEastAsia"/>
          <w:snapToGrid/>
          <w:szCs w:val="22"/>
          <w:lang w:val="lt-LT" w:eastAsia="en-IN"/>
        </w:rPr>
        <w:t>opro</w:t>
      </w:r>
      <w:r w:rsidR="00C81A01" w:rsidRPr="001839C2">
        <w:rPr>
          <w:rFonts w:eastAsiaTheme="minorEastAsia"/>
          <w:snapToGrid/>
          <w:szCs w:val="22"/>
          <w:lang w:val="lt-LT" w:eastAsia="en-IN"/>
        </w:rPr>
        <w:t>ks</w:t>
      </w:r>
      <w:r w:rsidRPr="001839C2">
        <w:rPr>
          <w:rFonts w:eastAsiaTheme="minorEastAsia"/>
          <w:snapToGrid/>
          <w:szCs w:val="22"/>
          <w:lang w:val="lt-LT" w:eastAsia="en-IN"/>
        </w:rPr>
        <w:t>il</w:t>
      </w:r>
      <w:r w:rsidR="00C81A01" w:rsidRPr="001839C2">
        <w:rPr>
          <w:rFonts w:eastAsiaTheme="minorEastAsia"/>
          <w:snapToGrid/>
          <w:szCs w:val="22"/>
          <w:lang w:val="lt-LT" w:eastAsia="en-IN"/>
        </w:rPr>
        <w:t>i</w:t>
      </w:r>
      <w:r w:rsidRPr="001839C2">
        <w:rPr>
          <w:rFonts w:eastAsiaTheme="minorEastAsia"/>
          <w:snapToGrid/>
          <w:szCs w:val="22"/>
          <w:lang w:val="lt-LT" w:eastAsia="en-IN"/>
        </w:rPr>
        <w:t>o</w:t>
      </w:r>
      <w:r w:rsidR="00C81A01" w:rsidRPr="001839C2">
        <w:rPr>
          <w:rFonts w:eastAsiaTheme="minorEastAsia"/>
          <w:snapToGrid/>
          <w:szCs w:val="22"/>
          <w:lang w:val="lt-LT" w:eastAsia="en-IN"/>
        </w:rPr>
        <w:t xml:space="preserve"> </w:t>
      </w:r>
      <w:r w:rsidRPr="001839C2">
        <w:rPr>
          <w:rFonts w:eastAsiaTheme="minorEastAsia"/>
          <w:snapToGrid/>
          <w:szCs w:val="22"/>
          <w:lang w:val="lt-LT" w:eastAsia="en-IN"/>
        </w:rPr>
        <w:t>d</w:t>
      </w:r>
      <w:r w:rsidR="00C81A01" w:rsidRPr="001839C2">
        <w:rPr>
          <w:rFonts w:eastAsiaTheme="minorEastAsia"/>
          <w:snapToGrid/>
          <w:szCs w:val="22"/>
          <w:lang w:val="lt-LT" w:eastAsia="en-IN"/>
        </w:rPr>
        <w:t>e</w:t>
      </w:r>
      <w:r w:rsidRPr="001839C2">
        <w:rPr>
          <w:rFonts w:eastAsiaTheme="minorEastAsia"/>
          <w:snapToGrid/>
          <w:szCs w:val="22"/>
          <w:lang w:val="lt-LT" w:eastAsia="en-IN"/>
        </w:rPr>
        <w:t>r</w:t>
      </w:r>
      <w:r w:rsidR="00C81A01" w:rsidRPr="001839C2">
        <w:rPr>
          <w:rFonts w:eastAsiaTheme="minorEastAsia"/>
          <w:snapToGrid/>
          <w:szCs w:val="22"/>
          <w:lang w:val="lt-LT" w:eastAsia="en-IN"/>
        </w:rPr>
        <w:t>inio</w:t>
      </w:r>
      <w:r w:rsidR="00D0456B" w:rsidRPr="001839C2">
        <w:rPr>
          <w:rFonts w:eastAsiaTheme="minorEastAsia"/>
          <w:snapToGrid/>
          <w:szCs w:val="22"/>
          <w:lang w:val="lt-LT" w:eastAsia="en-IN"/>
        </w:rPr>
        <w:t xml:space="preserve"> 200 mg/245 mg tablečių</w:t>
      </w:r>
      <w:r w:rsidRPr="001839C2">
        <w:rPr>
          <w:rFonts w:eastAsiaTheme="minorEastAsia"/>
          <w:snapToGrid/>
          <w:szCs w:val="22"/>
          <w:lang w:val="lt-LT" w:eastAsia="en-IN"/>
        </w:rPr>
        <w:t xml:space="preserve"> grupes.</w:t>
      </w:r>
    </w:p>
    <w:p w14:paraId="1727FA5E"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vertAlign w:val="superscript"/>
          <w:lang w:val="lt-LT" w:eastAsia="en-IN"/>
        </w:rPr>
        <w:t>b</w:t>
      </w:r>
      <w:r w:rsidRPr="001839C2">
        <w:rPr>
          <w:rFonts w:eastAsiaTheme="minorEastAsia"/>
          <w:snapToGrid/>
          <w:szCs w:val="22"/>
          <w:lang w:val="lt-LT" w:eastAsia="en-IN"/>
        </w:rPr>
        <w:t xml:space="preserve"> Tyrimo pogrupio dalyviai buvo aktyviai stebimi dėl nurodymų laikymosi, pvz., netikėtai apsilankant namuose ir suskaičiuojant tabletes, patariant, kaip pagerinti tiriamojo vaist</w:t>
      </w:r>
      <w:r w:rsidR="00C81A01" w:rsidRPr="001839C2">
        <w:rPr>
          <w:rFonts w:eastAsiaTheme="minorEastAsia"/>
          <w:snapToGrid/>
          <w:szCs w:val="22"/>
          <w:lang w:val="lt-LT" w:eastAsia="en-IN"/>
        </w:rPr>
        <w:t>ini</w:t>
      </w:r>
      <w:r w:rsidRPr="001839C2">
        <w:rPr>
          <w:rFonts w:eastAsiaTheme="minorEastAsia"/>
          <w:snapToGrid/>
          <w:szCs w:val="22"/>
          <w:lang w:val="lt-LT" w:eastAsia="en-IN"/>
        </w:rPr>
        <w:t>o</w:t>
      </w:r>
      <w:r w:rsidR="00C81A01"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vartojimo nurodymų laikymąsi.</w:t>
      </w:r>
    </w:p>
    <w:p w14:paraId="73BCB253"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p>
    <w:p w14:paraId="2912139D"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Vaikų populiacija</w:t>
      </w:r>
    </w:p>
    <w:p w14:paraId="35873272"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Emtricitabino</w:t>
      </w:r>
      <w:r w:rsidR="00C81A01" w:rsidRPr="001839C2">
        <w:rPr>
          <w:rFonts w:eastAsiaTheme="minorHAnsi"/>
          <w:snapToGrid/>
          <w:szCs w:val="22"/>
          <w:lang w:val="lt-LT"/>
        </w:rPr>
        <w:t xml:space="preserve"> ir </w:t>
      </w:r>
      <w:r w:rsidRPr="001839C2">
        <w:rPr>
          <w:rFonts w:eastAsiaTheme="minorHAnsi"/>
          <w:snapToGrid/>
          <w:szCs w:val="22"/>
          <w:lang w:val="lt-LT"/>
        </w:rPr>
        <w:t>tenofoviro dizoproksil</w:t>
      </w:r>
      <w:r w:rsidR="00A45872" w:rsidRPr="001839C2">
        <w:rPr>
          <w:rFonts w:eastAsiaTheme="minorHAnsi"/>
          <w:snapToGrid/>
          <w:szCs w:val="22"/>
          <w:lang w:val="lt-LT"/>
        </w:rPr>
        <w:t>i</w:t>
      </w:r>
      <w:r w:rsidRPr="001839C2">
        <w:rPr>
          <w:rFonts w:eastAsiaTheme="minorHAnsi"/>
          <w:snapToGrid/>
          <w:szCs w:val="22"/>
          <w:lang w:val="lt-LT"/>
        </w:rPr>
        <w:t>o</w:t>
      </w:r>
      <w:r w:rsidR="00C81A01" w:rsidRPr="001839C2">
        <w:rPr>
          <w:rFonts w:eastAsiaTheme="minorHAnsi"/>
          <w:snapToGrid/>
          <w:szCs w:val="22"/>
          <w:lang w:val="lt-LT"/>
        </w:rPr>
        <w:t xml:space="preserve"> derinio</w:t>
      </w:r>
      <w:r w:rsidRPr="001839C2">
        <w:rPr>
          <w:rFonts w:eastAsiaTheme="minorHAnsi"/>
          <w:snapToGrid/>
          <w:szCs w:val="22"/>
          <w:lang w:val="lt-LT"/>
        </w:rPr>
        <w:t xml:space="preserve"> </w:t>
      </w:r>
      <w:r w:rsidRPr="001839C2">
        <w:rPr>
          <w:rFonts w:eastAsiaTheme="minorEastAsia"/>
          <w:snapToGrid/>
          <w:szCs w:val="22"/>
          <w:lang w:val="lt-LT" w:eastAsia="en-IN"/>
        </w:rPr>
        <w:t>saugumas ir veiksmingumas jaunesniems kaip 12</w:t>
      </w:r>
      <w:r w:rsidR="00C81A01" w:rsidRPr="001839C2">
        <w:rPr>
          <w:rFonts w:eastAsiaTheme="minorEastAsia"/>
          <w:snapToGrid/>
          <w:szCs w:val="22"/>
          <w:lang w:val="lt-LT" w:eastAsia="en-IN"/>
        </w:rPr>
        <w:t> </w:t>
      </w:r>
      <w:r w:rsidRPr="001839C2">
        <w:rPr>
          <w:rFonts w:eastAsiaTheme="minorEastAsia"/>
          <w:snapToGrid/>
          <w:szCs w:val="22"/>
          <w:lang w:val="lt-LT" w:eastAsia="en-IN"/>
        </w:rPr>
        <w:t>metų vaikams neištirti.</w:t>
      </w:r>
    </w:p>
    <w:p w14:paraId="1EA71309"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A920F06"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r w:rsidRPr="001839C2">
        <w:rPr>
          <w:rFonts w:eastAsiaTheme="minorEastAsia"/>
          <w:i/>
          <w:iCs/>
          <w:snapToGrid/>
          <w:szCs w:val="22"/>
          <w:u w:val="single"/>
          <w:lang w:val="lt-LT" w:eastAsia="en-IN"/>
        </w:rPr>
        <w:t>ŽIV</w:t>
      </w:r>
      <w:r w:rsidR="00C81A01" w:rsidRPr="001839C2">
        <w:rPr>
          <w:rFonts w:eastAsiaTheme="minorEastAsia"/>
          <w:i/>
          <w:iCs/>
          <w:snapToGrid/>
          <w:szCs w:val="22"/>
          <w:u w:val="single"/>
          <w:lang w:val="lt-LT" w:eastAsia="en-IN"/>
        </w:rPr>
        <w:noBreakHyphen/>
      </w:r>
      <w:r w:rsidRPr="001839C2">
        <w:rPr>
          <w:rFonts w:eastAsiaTheme="minorEastAsia"/>
          <w:i/>
          <w:iCs/>
          <w:snapToGrid/>
          <w:szCs w:val="22"/>
          <w:u w:val="single"/>
          <w:lang w:val="lt-LT" w:eastAsia="en-IN"/>
        </w:rPr>
        <w:t>1</w:t>
      </w:r>
      <w:r w:rsidR="00C81A01" w:rsidRPr="001839C2">
        <w:rPr>
          <w:rFonts w:eastAsiaTheme="minorEastAsia"/>
          <w:i/>
          <w:iCs/>
          <w:snapToGrid/>
          <w:szCs w:val="22"/>
          <w:u w:val="single"/>
          <w:lang w:val="lt-LT" w:eastAsia="en-IN"/>
        </w:rPr>
        <w:t> </w:t>
      </w:r>
      <w:r w:rsidRPr="001839C2">
        <w:rPr>
          <w:rFonts w:eastAsiaTheme="minorEastAsia"/>
          <w:i/>
          <w:iCs/>
          <w:snapToGrid/>
          <w:szCs w:val="22"/>
          <w:u w:val="single"/>
          <w:lang w:val="lt-LT" w:eastAsia="en-IN"/>
        </w:rPr>
        <w:t>infekcijos gydymas vaikų populiacijoje</w:t>
      </w:r>
    </w:p>
    <w:p w14:paraId="205708FC" w14:textId="77777777" w:rsidR="002A5F50" w:rsidRPr="001839C2" w:rsidRDefault="00C81A01"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w:t>
      </w:r>
      <w:r w:rsidR="002A5F50" w:rsidRPr="001839C2">
        <w:rPr>
          <w:rFonts w:eastAsiaTheme="minorEastAsia"/>
          <w:snapToGrid/>
          <w:szCs w:val="22"/>
          <w:lang w:val="lt-LT" w:eastAsia="en-IN"/>
        </w:rPr>
        <w:t>r</w:t>
      </w:r>
      <w:r w:rsidRPr="001839C2">
        <w:rPr>
          <w:rFonts w:eastAsiaTheme="minorEastAsia"/>
          <w:snapToGrid/>
          <w:szCs w:val="22"/>
          <w:lang w:val="lt-LT" w:eastAsia="en-IN"/>
        </w:rPr>
        <w:t xml:space="preserve">icitabino ir tenofoviro </w:t>
      </w:r>
      <w:r w:rsidR="002A5F50" w:rsidRPr="001839C2">
        <w:rPr>
          <w:rFonts w:eastAsiaTheme="minorEastAsia"/>
          <w:snapToGrid/>
          <w:szCs w:val="22"/>
          <w:lang w:val="lt-LT" w:eastAsia="en-IN"/>
        </w:rPr>
        <w:t>d</w:t>
      </w:r>
      <w:r w:rsidRPr="001839C2">
        <w:rPr>
          <w:rFonts w:eastAsiaTheme="minorEastAsia"/>
          <w:snapToGrid/>
          <w:szCs w:val="22"/>
          <w:lang w:val="lt-LT" w:eastAsia="en-IN"/>
        </w:rPr>
        <w:t>izoproksilio derinio</w:t>
      </w:r>
      <w:r w:rsidR="002A5F50" w:rsidRPr="001839C2">
        <w:rPr>
          <w:rFonts w:eastAsiaTheme="minorEastAsia"/>
          <w:snapToGrid/>
          <w:szCs w:val="22"/>
          <w:lang w:val="lt-LT" w:eastAsia="en-IN"/>
        </w:rPr>
        <w:t xml:space="preserve"> klinikinių tyrimų ŽIV</w:t>
      </w:r>
      <w:r w:rsidRPr="001839C2">
        <w:rPr>
          <w:rFonts w:eastAsiaTheme="minorEastAsia"/>
          <w:snapToGrid/>
          <w:szCs w:val="22"/>
          <w:lang w:val="lt-LT" w:eastAsia="en-IN"/>
        </w:rPr>
        <w:noBreakHyphen/>
      </w:r>
      <w:r w:rsidR="002A5F50" w:rsidRPr="001839C2">
        <w:rPr>
          <w:rFonts w:eastAsiaTheme="minorEastAsia"/>
          <w:snapToGrid/>
          <w:szCs w:val="22"/>
          <w:lang w:val="lt-LT" w:eastAsia="en-IN"/>
        </w:rPr>
        <w:t>1</w:t>
      </w:r>
      <w:r w:rsidRPr="001839C2">
        <w:rPr>
          <w:rFonts w:eastAsiaTheme="minorEastAsia"/>
          <w:snapToGrid/>
          <w:szCs w:val="22"/>
          <w:lang w:val="lt-LT" w:eastAsia="en-IN"/>
        </w:rPr>
        <w:t> </w:t>
      </w:r>
      <w:r w:rsidR="002A5F50" w:rsidRPr="001839C2">
        <w:rPr>
          <w:rFonts w:eastAsiaTheme="minorEastAsia"/>
          <w:snapToGrid/>
          <w:szCs w:val="22"/>
          <w:lang w:val="lt-LT" w:eastAsia="en-IN"/>
        </w:rPr>
        <w:t>infekuotų vaikų populiacijai neatlikta.</w:t>
      </w:r>
    </w:p>
    <w:p w14:paraId="4600810A"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C634024"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Emtricitabino</w:t>
      </w:r>
      <w:r w:rsidR="00C81A01" w:rsidRPr="001839C2">
        <w:rPr>
          <w:rFonts w:eastAsiaTheme="minorHAnsi"/>
          <w:snapToGrid/>
          <w:szCs w:val="22"/>
          <w:lang w:val="lt-LT"/>
        </w:rPr>
        <w:t xml:space="preserve"> ir </w:t>
      </w:r>
      <w:r w:rsidRPr="001839C2">
        <w:rPr>
          <w:rFonts w:eastAsiaTheme="minorHAnsi"/>
          <w:snapToGrid/>
          <w:szCs w:val="22"/>
          <w:lang w:val="lt-LT"/>
        </w:rPr>
        <w:t>tenofoviro dizoproksil</w:t>
      </w:r>
      <w:r w:rsidR="00A45872" w:rsidRPr="001839C2">
        <w:rPr>
          <w:rFonts w:eastAsiaTheme="minorHAnsi"/>
          <w:snapToGrid/>
          <w:szCs w:val="22"/>
          <w:lang w:val="lt-LT"/>
        </w:rPr>
        <w:t>i</w:t>
      </w:r>
      <w:r w:rsidRPr="001839C2">
        <w:rPr>
          <w:rFonts w:eastAsiaTheme="minorHAnsi"/>
          <w:snapToGrid/>
          <w:szCs w:val="22"/>
          <w:lang w:val="lt-LT"/>
        </w:rPr>
        <w:t>o</w:t>
      </w:r>
      <w:r w:rsidR="00C81A01" w:rsidRPr="001839C2">
        <w:rPr>
          <w:rFonts w:eastAsiaTheme="minorHAnsi"/>
          <w:snapToGrid/>
          <w:szCs w:val="22"/>
          <w:lang w:val="lt-LT"/>
        </w:rPr>
        <w:t xml:space="preserve"> derinio</w:t>
      </w:r>
      <w:r w:rsidRPr="001839C2" w:rsidDel="00B44473">
        <w:rPr>
          <w:rFonts w:eastAsiaTheme="minorEastAsia"/>
          <w:snapToGrid/>
          <w:szCs w:val="22"/>
          <w:lang w:val="lt-LT" w:eastAsia="en-IN"/>
        </w:rPr>
        <w:t xml:space="preserve"> </w:t>
      </w:r>
      <w:r w:rsidRPr="001839C2">
        <w:rPr>
          <w:rFonts w:eastAsiaTheme="minorEastAsia"/>
          <w:snapToGrid/>
          <w:szCs w:val="22"/>
          <w:lang w:val="lt-LT" w:eastAsia="en-IN"/>
        </w:rPr>
        <w:t>klinikinis veiksmingumas ir saugumas nustatyti pagal tyrimus, atliktus emtricitabiną ir tenofovir</w:t>
      </w:r>
      <w:r w:rsidR="00A45872" w:rsidRPr="001839C2">
        <w:rPr>
          <w:rFonts w:eastAsiaTheme="minorEastAsia"/>
          <w:snapToGrid/>
          <w:szCs w:val="22"/>
          <w:lang w:val="lt-LT" w:eastAsia="en-IN"/>
        </w:rPr>
        <w:t>ą</w:t>
      </w:r>
      <w:r w:rsidRPr="001839C2">
        <w:rPr>
          <w:rFonts w:eastAsiaTheme="minorEastAsia"/>
          <w:snapToGrid/>
          <w:szCs w:val="22"/>
          <w:lang w:val="lt-LT" w:eastAsia="en-IN"/>
        </w:rPr>
        <w:t xml:space="preserve"> dizoproksilį skiriant kaip atskirus vaist</w:t>
      </w:r>
      <w:r w:rsidR="00C81A01" w:rsidRPr="001839C2">
        <w:rPr>
          <w:rFonts w:eastAsiaTheme="minorEastAsia"/>
          <w:snapToGrid/>
          <w:szCs w:val="22"/>
          <w:lang w:val="lt-LT" w:eastAsia="en-IN"/>
        </w:rPr>
        <w:t>ini</w:t>
      </w:r>
      <w:r w:rsidRPr="001839C2">
        <w:rPr>
          <w:rFonts w:eastAsiaTheme="minorEastAsia"/>
          <w:snapToGrid/>
          <w:szCs w:val="22"/>
          <w:lang w:val="lt-LT" w:eastAsia="en-IN"/>
        </w:rPr>
        <w:t>us</w:t>
      </w:r>
      <w:r w:rsidR="00C81A01" w:rsidRPr="001839C2">
        <w:rPr>
          <w:rFonts w:eastAsiaTheme="minorEastAsia"/>
          <w:snapToGrid/>
          <w:szCs w:val="22"/>
          <w:lang w:val="lt-LT" w:eastAsia="en-IN"/>
        </w:rPr>
        <w:t xml:space="preserve"> preparatus</w:t>
      </w:r>
      <w:r w:rsidRPr="001839C2">
        <w:rPr>
          <w:rFonts w:eastAsiaTheme="minorEastAsia"/>
          <w:snapToGrid/>
          <w:szCs w:val="22"/>
          <w:lang w:val="lt-LT" w:eastAsia="en-IN"/>
        </w:rPr>
        <w:t>.</w:t>
      </w:r>
    </w:p>
    <w:p w14:paraId="26A060F3"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1B402C5"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Emtricitabino tyrimai</w:t>
      </w:r>
    </w:p>
    <w:p w14:paraId="21DB3E1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Dauguma emtricitabiną vartojusių vyresnių kaip 4</w:t>
      </w:r>
      <w:r w:rsidR="00C81A01" w:rsidRPr="001839C2">
        <w:rPr>
          <w:rFonts w:eastAsiaTheme="minorEastAsia"/>
          <w:snapToGrid/>
          <w:szCs w:val="22"/>
          <w:lang w:val="lt-LT" w:eastAsia="en-IN"/>
        </w:rPr>
        <w:t> </w:t>
      </w:r>
      <w:r w:rsidRPr="001839C2">
        <w:rPr>
          <w:rFonts w:eastAsiaTheme="minorEastAsia"/>
          <w:snapToGrid/>
          <w:szCs w:val="22"/>
          <w:lang w:val="lt-LT" w:eastAsia="en-IN"/>
        </w:rPr>
        <w:t>mėnesių pacientų kūdikių ir vaikų pasiekė arba išlaikė visišką ŽIV</w:t>
      </w:r>
      <w:r w:rsidR="00C81A01" w:rsidRPr="001839C2">
        <w:rPr>
          <w:rFonts w:eastAsiaTheme="minorEastAsia"/>
          <w:snapToGrid/>
          <w:szCs w:val="22"/>
          <w:lang w:val="lt-LT" w:eastAsia="en-IN"/>
        </w:rPr>
        <w:noBreakHyphen/>
      </w:r>
      <w:r w:rsidRPr="001839C2">
        <w:rPr>
          <w:rFonts w:eastAsiaTheme="minorEastAsia"/>
          <w:snapToGrid/>
          <w:szCs w:val="22"/>
          <w:lang w:val="lt-LT" w:eastAsia="en-IN"/>
        </w:rPr>
        <w:t>1</w:t>
      </w:r>
      <w:r w:rsidR="00C81A01" w:rsidRPr="001839C2">
        <w:rPr>
          <w:rFonts w:eastAsiaTheme="minorEastAsia"/>
          <w:snapToGrid/>
          <w:szCs w:val="22"/>
          <w:lang w:val="lt-LT" w:eastAsia="en-IN"/>
        </w:rPr>
        <w:t> </w:t>
      </w:r>
      <w:r w:rsidRPr="001839C2">
        <w:rPr>
          <w:rFonts w:eastAsiaTheme="minorEastAsia"/>
          <w:snapToGrid/>
          <w:szCs w:val="22"/>
          <w:lang w:val="lt-LT" w:eastAsia="en-IN"/>
        </w:rPr>
        <w:t>RNR</w:t>
      </w:r>
      <w:r w:rsidR="00955879" w:rsidRPr="001839C2">
        <w:rPr>
          <w:rFonts w:eastAsiaTheme="minorEastAsia"/>
          <w:snapToGrid/>
          <w:szCs w:val="22"/>
          <w:lang w:val="lt-LT" w:eastAsia="en-IN"/>
        </w:rPr>
        <w:t> </w:t>
      </w:r>
      <w:r w:rsidRPr="001839C2">
        <w:rPr>
          <w:rFonts w:eastAsiaTheme="minorEastAsia"/>
          <w:snapToGrid/>
          <w:szCs w:val="22"/>
          <w:lang w:val="lt-LT" w:eastAsia="en-IN"/>
        </w:rPr>
        <w:t>slopinimą plazmoje 48</w:t>
      </w:r>
      <w:r w:rsidR="00C81A01" w:rsidRPr="001839C2">
        <w:rPr>
          <w:rFonts w:eastAsiaTheme="minorEastAsia"/>
          <w:snapToGrid/>
          <w:szCs w:val="22"/>
          <w:lang w:val="lt-LT" w:eastAsia="en-IN"/>
        </w:rPr>
        <w:t> </w:t>
      </w:r>
      <w:r w:rsidRPr="001839C2">
        <w:rPr>
          <w:rFonts w:eastAsiaTheme="minorEastAsia"/>
          <w:snapToGrid/>
          <w:szCs w:val="22"/>
          <w:lang w:val="lt-LT" w:eastAsia="en-IN"/>
        </w:rPr>
        <w:t>savaites (89</w:t>
      </w:r>
      <w:r w:rsidR="00C81A01" w:rsidRPr="001839C2">
        <w:rPr>
          <w:rFonts w:eastAsiaTheme="minorEastAsia"/>
          <w:snapToGrid/>
          <w:szCs w:val="22"/>
          <w:lang w:val="lt-LT" w:eastAsia="en-IN"/>
        </w:rPr>
        <w:t> </w:t>
      </w:r>
      <w:r w:rsidRPr="001839C2">
        <w:rPr>
          <w:rFonts w:eastAsiaTheme="minorEastAsia"/>
          <w:snapToGrid/>
          <w:szCs w:val="22"/>
          <w:lang w:val="lt-LT" w:eastAsia="en-IN"/>
        </w:rPr>
        <w:t>% pasiekė ≤</w:t>
      </w:r>
      <w:r w:rsidR="00C81A01" w:rsidRPr="001839C2">
        <w:rPr>
          <w:rFonts w:eastAsiaTheme="minorEastAsia"/>
          <w:snapToGrid/>
          <w:szCs w:val="22"/>
          <w:lang w:val="lt-LT" w:eastAsia="en-IN"/>
        </w:rPr>
        <w:t> </w:t>
      </w:r>
      <w:r w:rsidRPr="001839C2">
        <w:rPr>
          <w:rFonts w:eastAsiaTheme="minorEastAsia"/>
          <w:snapToGrid/>
          <w:szCs w:val="22"/>
          <w:lang w:val="lt-LT" w:eastAsia="en-IN"/>
        </w:rPr>
        <w:t>400</w:t>
      </w:r>
      <w:r w:rsidR="00C81A01" w:rsidRPr="001839C2">
        <w:rPr>
          <w:rFonts w:eastAsiaTheme="minorEastAsia"/>
          <w:snapToGrid/>
          <w:szCs w:val="22"/>
          <w:lang w:val="lt-LT" w:eastAsia="en-IN"/>
        </w:rPr>
        <w:t> </w:t>
      </w:r>
      <w:r w:rsidRPr="001839C2">
        <w:rPr>
          <w:rFonts w:eastAsiaTheme="minorEastAsia"/>
          <w:snapToGrid/>
          <w:szCs w:val="22"/>
          <w:lang w:val="lt-LT" w:eastAsia="en-IN"/>
        </w:rPr>
        <w:t>kopijų/ml vertę, 77</w:t>
      </w:r>
      <w:r w:rsidR="00C81A01" w:rsidRPr="001839C2">
        <w:rPr>
          <w:rFonts w:eastAsiaTheme="minorEastAsia"/>
          <w:snapToGrid/>
          <w:szCs w:val="22"/>
          <w:lang w:val="lt-LT" w:eastAsia="en-IN"/>
        </w:rPr>
        <w:t> </w:t>
      </w:r>
      <w:r w:rsidRPr="001839C2">
        <w:rPr>
          <w:rFonts w:eastAsiaTheme="minorEastAsia"/>
          <w:snapToGrid/>
          <w:szCs w:val="22"/>
          <w:lang w:val="lt-LT" w:eastAsia="en-IN"/>
        </w:rPr>
        <w:t>% pasiekė ≤</w:t>
      </w:r>
      <w:r w:rsidR="00C81A01" w:rsidRPr="001839C2">
        <w:rPr>
          <w:rFonts w:eastAsiaTheme="minorEastAsia"/>
          <w:snapToGrid/>
          <w:szCs w:val="22"/>
          <w:lang w:val="lt-LT" w:eastAsia="en-IN"/>
        </w:rPr>
        <w:t> </w:t>
      </w:r>
      <w:r w:rsidRPr="001839C2">
        <w:rPr>
          <w:rFonts w:eastAsiaTheme="minorEastAsia"/>
          <w:snapToGrid/>
          <w:szCs w:val="22"/>
          <w:lang w:val="lt-LT" w:eastAsia="en-IN"/>
        </w:rPr>
        <w:t>50</w:t>
      </w:r>
      <w:r w:rsidR="00C81A01" w:rsidRPr="001839C2">
        <w:rPr>
          <w:rFonts w:eastAsiaTheme="minorEastAsia"/>
          <w:snapToGrid/>
          <w:szCs w:val="22"/>
          <w:lang w:val="lt-LT" w:eastAsia="en-IN"/>
        </w:rPr>
        <w:t> </w:t>
      </w:r>
      <w:r w:rsidRPr="001839C2">
        <w:rPr>
          <w:rFonts w:eastAsiaTheme="minorEastAsia"/>
          <w:snapToGrid/>
          <w:szCs w:val="22"/>
          <w:lang w:val="lt-LT" w:eastAsia="en-IN"/>
        </w:rPr>
        <w:t>kopijų/ml vertę).</w:t>
      </w:r>
    </w:p>
    <w:p w14:paraId="72EAFD28"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BFED5D4"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Tenofoviro dizoproksilio tyrimai</w:t>
      </w:r>
    </w:p>
    <w:p w14:paraId="3A5DE7E1"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Tyrimo</w:t>
      </w:r>
      <w:r w:rsidR="00C81A01" w:rsidRPr="001839C2">
        <w:rPr>
          <w:rFonts w:eastAsiaTheme="minorEastAsia"/>
          <w:snapToGrid/>
          <w:szCs w:val="22"/>
          <w:lang w:val="lt-LT" w:eastAsia="en-IN"/>
        </w:rPr>
        <w:t> </w:t>
      </w:r>
      <w:r w:rsidRPr="001839C2">
        <w:rPr>
          <w:rFonts w:eastAsiaTheme="minorEastAsia"/>
          <w:snapToGrid/>
          <w:szCs w:val="22"/>
          <w:lang w:val="lt-LT" w:eastAsia="en-IN"/>
        </w:rPr>
        <w:t>GS</w:t>
      </w:r>
      <w:r w:rsidR="00C81A01" w:rsidRPr="001839C2">
        <w:rPr>
          <w:rFonts w:eastAsiaTheme="minorEastAsia"/>
          <w:snapToGrid/>
          <w:szCs w:val="22"/>
          <w:lang w:val="lt-LT" w:eastAsia="en-IN"/>
        </w:rPr>
        <w:noBreakHyphen/>
      </w:r>
      <w:r w:rsidRPr="001839C2">
        <w:rPr>
          <w:rFonts w:eastAsiaTheme="minorEastAsia"/>
          <w:snapToGrid/>
          <w:szCs w:val="22"/>
          <w:lang w:val="lt-LT" w:eastAsia="en-IN"/>
        </w:rPr>
        <w:t>US</w:t>
      </w:r>
      <w:r w:rsidR="00C81A01" w:rsidRPr="001839C2">
        <w:rPr>
          <w:rFonts w:eastAsiaTheme="minorEastAsia"/>
          <w:snapToGrid/>
          <w:szCs w:val="22"/>
          <w:lang w:val="lt-LT" w:eastAsia="en-IN"/>
        </w:rPr>
        <w:noBreakHyphen/>
      </w:r>
      <w:r w:rsidRPr="001839C2">
        <w:rPr>
          <w:rFonts w:eastAsiaTheme="minorEastAsia"/>
          <w:snapToGrid/>
          <w:szCs w:val="22"/>
          <w:lang w:val="lt-LT" w:eastAsia="en-IN"/>
        </w:rPr>
        <w:t>104</w:t>
      </w:r>
      <w:r w:rsidR="00C81A01" w:rsidRPr="001839C2">
        <w:rPr>
          <w:rFonts w:eastAsiaTheme="minorEastAsia"/>
          <w:snapToGrid/>
          <w:szCs w:val="22"/>
          <w:lang w:val="lt-LT" w:eastAsia="en-IN"/>
        </w:rPr>
        <w:noBreakHyphen/>
      </w:r>
      <w:r w:rsidRPr="001839C2">
        <w:rPr>
          <w:rFonts w:eastAsiaTheme="minorEastAsia"/>
          <w:snapToGrid/>
          <w:szCs w:val="22"/>
          <w:lang w:val="lt-LT" w:eastAsia="en-IN"/>
        </w:rPr>
        <w:t>0321 metu 87 ŽIV</w:t>
      </w:r>
      <w:r w:rsidR="00C81A01" w:rsidRPr="001839C2">
        <w:rPr>
          <w:rFonts w:eastAsiaTheme="minorEastAsia"/>
          <w:snapToGrid/>
          <w:szCs w:val="22"/>
          <w:lang w:val="lt-LT" w:eastAsia="en-IN"/>
        </w:rPr>
        <w:t> </w:t>
      </w:r>
      <w:r w:rsidRPr="001839C2">
        <w:rPr>
          <w:rFonts w:eastAsiaTheme="minorEastAsia"/>
          <w:snapToGrid/>
          <w:szCs w:val="22"/>
          <w:lang w:val="lt-LT" w:eastAsia="en-IN"/>
        </w:rPr>
        <w:t>1</w:t>
      </w:r>
      <w:r w:rsidR="00C81A01" w:rsidRPr="001839C2">
        <w:rPr>
          <w:rFonts w:eastAsiaTheme="minorEastAsia"/>
          <w:snapToGrid/>
          <w:szCs w:val="22"/>
          <w:lang w:val="lt-LT" w:eastAsia="en-IN"/>
        </w:rPr>
        <w:t> </w:t>
      </w:r>
      <w:r w:rsidRPr="001839C2">
        <w:rPr>
          <w:rFonts w:eastAsiaTheme="minorEastAsia"/>
          <w:snapToGrid/>
          <w:szCs w:val="22"/>
          <w:lang w:val="lt-LT" w:eastAsia="en-IN"/>
        </w:rPr>
        <w:t>infekuoti anksčiau gydyti pacientai nuo 12 iki 18</w:t>
      </w:r>
      <w:r w:rsidR="00C81A01" w:rsidRPr="001839C2">
        <w:rPr>
          <w:rFonts w:eastAsiaTheme="minorEastAsia"/>
          <w:snapToGrid/>
          <w:szCs w:val="22"/>
          <w:lang w:val="lt-LT" w:eastAsia="en-IN"/>
        </w:rPr>
        <w:t> </w:t>
      </w:r>
      <w:r w:rsidRPr="001839C2">
        <w:rPr>
          <w:rFonts w:eastAsiaTheme="minorEastAsia"/>
          <w:snapToGrid/>
          <w:szCs w:val="22"/>
          <w:lang w:val="lt-LT" w:eastAsia="en-IN"/>
        </w:rPr>
        <w:t>metų 48</w:t>
      </w:r>
      <w:r w:rsidR="00C81A01" w:rsidRPr="001839C2">
        <w:rPr>
          <w:rFonts w:eastAsiaTheme="minorEastAsia"/>
          <w:snapToGrid/>
          <w:szCs w:val="22"/>
          <w:lang w:val="lt-LT" w:eastAsia="en-IN"/>
        </w:rPr>
        <w:t> </w:t>
      </w:r>
      <w:r w:rsidRPr="001839C2">
        <w:rPr>
          <w:rFonts w:eastAsiaTheme="minorEastAsia"/>
          <w:snapToGrid/>
          <w:szCs w:val="22"/>
          <w:lang w:val="lt-LT" w:eastAsia="en-IN"/>
        </w:rPr>
        <w:t>savaites buvo gydomi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(n</w:t>
      </w:r>
      <w:r w:rsidR="00C81A01" w:rsidRPr="001839C2">
        <w:rPr>
          <w:rFonts w:eastAsiaTheme="minorEastAsia"/>
          <w:snapToGrid/>
          <w:szCs w:val="22"/>
          <w:lang w:val="lt-LT" w:eastAsia="en-IN"/>
        </w:rPr>
        <w:t> </w:t>
      </w:r>
      <w:r w:rsidRPr="001839C2">
        <w:rPr>
          <w:rFonts w:eastAsiaTheme="minorEastAsia"/>
          <w:snapToGrid/>
          <w:szCs w:val="22"/>
          <w:lang w:val="lt-LT" w:eastAsia="en-IN"/>
        </w:rPr>
        <w:t>=</w:t>
      </w:r>
      <w:r w:rsidR="00C81A01" w:rsidRPr="001839C2">
        <w:rPr>
          <w:rFonts w:eastAsiaTheme="minorEastAsia"/>
          <w:snapToGrid/>
          <w:szCs w:val="22"/>
          <w:lang w:val="lt-LT" w:eastAsia="en-IN"/>
        </w:rPr>
        <w:t> </w:t>
      </w:r>
      <w:r w:rsidRPr="001839C2">
        <w:rPr>
          <w:rFonts w:eastAsiaTheme="minorEastAsia"/>
          <w:snapToGrid/>
          <w:szCs w:val="22"/>
          <w:lang w:val="lt-LT" w:eastAsia="en-IN"/>
        </w:rPr>
        <w:t>45) arba placebu (n</w:t>
      </w:r>
      <w:r w:rsidR="00C81A01" w:rsidRPr="001839C2">
        <w:rPr>
          <w:rFonts w:eastAsiaTheme="minorEastAsia"/>
          <w:snapToGrid/>
          <w:szCs w:val="22"/>
          <w:lang w:val="lt-LT" w:eastAsia="en-IN"/>
        </w:rPr>
        <w:t> </w:t>
      </w:r>
      <w:r w:rsidRPr="001839C2">
        <w:rPr>
          <w:rFonts w:eastAsiaTheme="minorEastAsia"/>
          <w:snapToGrid/>
          <w:szCs w:val="22"/>
          <w:lang w:val="lt-LT" w:eastAsia="en-IN"/>
        </w:rPr>
        <w:t>=</w:t>
      </w:r>
      <w:r w:rsidR="00C81A01" w:rsidRPr="001839C2">
        <w:rPr>
          <w:rFonts w:eastAsiaTheme="minorEastAsia"/>
          <w:snapToGrid/>
          <w:szCs w:val="22"/>
          <w:lang w:val="lt-LT" w:eastAsia="en-IN"/>
        </w:rPr>
        <w:t> </w:t>
      </w:r>
      <w:r w:rsidRPr="001839C2">
        <w:rPr>
          <w:rFonts w:eastAsiaTheme="minorEastAsia"/>
          <w:snapToGrid/>
          <w:szCs w:val="22"/>
          <w:lang w:val="lt-LT" w:eastAsia="en-IN"/>
        </w:rPr>
        <w:t>42), kartu taikant optimizuoto foninio gydymo (OFG) režimą. Dėl tyrimo apribojimų tenofoviro dizoproksilio nauda, palyginti su placebu, pagal ŽIV</w:t>
      </w:r>
      <w:r w:rsidR="00C81A01" w:rsidRPr="001839C2">
        <w:rPr>
          <w:rFonts w:eastAsiaTheme="minorEastAsia"/>
          <w:snapToGrid/>
          <w:szCs w:val="22"/>
          <w:lang w:val="lt-LT" w:eastAsia="en-IN"/>
        </w:rPr>
        <w:noBreakHyphen/>
      </w:r>
      <w:r w:rsidRPr="001839C2">
        <w:rPr>
          <w:rFonts w:eastAsiaTheme="minorEastAsia"/>
          <w:snapToGrid/>
          <w:szCs w:val="22"/>
          <w:lang w:val="lt-LT" w:eastAsia="en-IN"/>
        </w:rPr>
        <w:t>1</w:t>
      </w:r>
      <w:r w:rsidR="00C81A01" w:rsidRPr="001839C2">
        <w:rPr>
          <w:rFonts w:eastAsiaTheme="minorEastAsia"/>
          <w:snapToGrid/>
          <w:szCs w:val="22"/>
          <w:lang w:val="lt-LT" w:eastAsia="en-IN"/>
        </w:rPr>
        <w:t> </w:t>
      </w:r>
      <w:r w:rsidRPr="001839C2">
        <w:rPr>
          <w:rFonts w:eastAsiaTheme="minorEastAsia"/>
          <w:snapToGrid/>
          <w:szCs w:val="22"/>
          <w:lang w:val="lt-LT" w:eastAsia="en-IN"/>
        </w:rPr>
        <w:t>RNR</w:t>
      </w:r>
      <w:r w:rsidR="00955879" w:rsidRPr="001839C2">
        <w:rPr>
          <w:rFonts w:eastAsiaTheme="minorEastAsia"/>
          <w:snapToGrid/>
          <w:szCs w:val="22"/>
          <w:lang w:val="lt-LT" w:eastAsia="en-IN"/>
        </w:rPr>
        <w:t> </w:t>
      </w:r>
      <w:r w:rsidRPr="001839C2">
        <w:rPr>
          <w:rFonts w:eastAsiaTheme="minorEastAsia"/>
          <w:snapToGrid/>
          <w:szCs w:val="22"/>
          <w:lang w:val="lt-LT" w:eastAsia="en-IN"/>
        </w:rPr>
        <w:t>koncentraciją plazmoje po 24</w:t>
      </w:r>
      <w:r w:rsidR="00C81A01" w:rsidRPr="001839C2">
        <w:rPr>
          <w:rFonts w:eastAsiaTheme="minorEastAsia"/>
          <w:snapToGrid/>
          <w:szCs w:val="22"/>
          <w:lang w:val="lt-LT" w:eastAsia="en-IN"/>
        </w:rPr>
        <w:t> </w:t>
      </w:r>
      <w:r w:rsidRPr="001839C2">
        <w:rPr>
          <w:rFonts w:eastAsiaTheme="minorEastAsia"/>
          <w:snapToGrid/>
          <w:szCs w:val="22"/>
          <w:lang w:val="lt-LT" w:eastAsia="en-IN"/>
        </w:rPr>
        <w:t>savaičių nustatyta nebuvo.</w:t>
      </w:r>
      <w:r w:rsidR="00955879" w:rsidRPr="001839C2">
        <w:rPr>
          <w:rFonts w:eastAsiaTheme="minorEastAsia"/>
          <w:snapToGrid/>
          <w:szCs w:val="22"/>
          <w:lang w:val="lt-LT" w:eastAsia="en-IN"/>
        </w:rPr>
        <w:t xml:space="preserve"> </w:t>
      </w:r>
      <w:r w:rsidRPr="001839C2">
        <w:rPr>
          <w:rFonts w:eastAsiaTheme="minorEastAsia"/>
          <w:snapToGrid/>
          <w:szCs w:val="22"/>
          <w:lang w:val="lt-LT" w:eastAsia="en-IN"/>
        </w:rPr>
        <w:t>Tačiau paauglių populiacijai tikėtina nauda, remiantis suaugusiųjų duomenų ekstrapoliacija ir palyginamaisiais farmakokinetikos duomenimis (žr.</w:t>
      </w:r>
      <w:r w:rsidR="00C81A01" w:rsidRPr="001839C2">
        <w:rPr>
          <w:rFonts w:eastAsiaTheme="minorEastAsia"/>
          <w:snapToGrid/>
          <w:szCs w:val="22"/>
          <w:lang w:val="lt-LT" w:eastAsia="en-IN"/>
        </w:rPr>
        <w:t> </w:t>
      </w:r>
      <w:r w:rsidRPr="001839C2">
        <w:rPr>
          <w:rFonts w:eastAsiaTheme="minorEastAsia"/>
          <w:snapToGrid/>
          <w:szCs w:val="22"/>
          <w:lang w:val="lt-LT" w:eastAsia="en-IN"/>
        </w:rPr>
        <w:t>5.2</w:t>
      </w:r>
      <w:r w:rsidR="00C81A01" w:rsidRPr="001839C2">
        <w:rPr>
          <w:rFonts w:eastAsiaTheme="minorEastAsia"/>
          <w:snapToGrid/>
          <w:szCs w:val="22"/>
          <w:lang w:val="lt-LT" w:eastAsia="en-IN"/>
        </w:rPr>
        <w:t> </w:t>
      </w:r>
      <w:r w:rsidRPr="001839C2">
        <w:rPr>
          <w:rFonts w:eastAsiaTheme="minorEastAsia"/>
          <w:snapToGrid/>
          <w:szCs w:val="22"/>
          <w:lang w:val="lt-LT" w:eastAsia="en-IN"/>
        </w:rPr>
        <w:t>skyri</w:t>
      </w:r>
      <w:r w:rsidR="00C81A01" w:rsidRPr="001839C2">
        <w:rPr>
          <w:rFonts w:eastAsiaTheme="minorEastAsia"/>
          <w:snapToGrid/>
          <w:szCs w:val="22"/>
          <w:lang w:val="lt-LT" w:eastAsia="en-IN"/>
        </w:rPr>
        <w:t>ų</w:t>
      </w:r>
      <w:r w:rsidRPr="001839C2">
        <w:rPr>
          <w:rFonts w:eastAsiaTheme="minorEastAsia"/>
          <w:snapToGrid/>
          <w:szCs w:val="22"/>
          <w:lang w:val="lt-LT" w:eastAsia="en-IN"/>
        </w:rPr>
        <w:t>).</w:t>
      </w:r>
    </w:p>
    <w:p w14:paraId="3F956F9D"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2E7C1C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Pacientų, gydytų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arba placebu, pradinio įvertinimo metu vidutinis juosmeninės stuburo dalies KMT</w:t>
      </w:r>
      <w:r w:rsidR="00EE33EC" w:rsidRPr="001839C2">
        <w:rPr>
          <w:rFonts w:eastAsiaTheme="minorEastAsia"/>
          <w:snapToGrid/>
          <w:szCs w:val="22"/>
          <w:lang w:val="lt-LT" w:eastAsia="en-IN"/>
        </w:rPr>
        <w:t> </w:t>
      </w:r>
      <w:r w:rsidRPr="001839C2">
        <w:rPr>
          <w:rFonts w:eastAsiaTheme="minorEastAsia"/>
          <w:snapToGrid/>
          <w:szCs w:val="22"/>
          <w:lang w:val="lt-LT" w:eastAsia="en-IN"/>
        </w:rPr>
        <w:t>Z</w:t>
      </w:r>
      <w:r w:rsidR="00EE33EC" w:rsidRPr="001839C2">
        <w:rPr>
          <w:rFonts w:eastAsiaTheme="minorEastAsia"/>
          <w:snapToGrid/>
          <w:szCs w:val="22"/>
          <w:lang w:val="lt-LT" w:eastAsia="en-IN"/>
        </w:rPr>
        <w:t> </w:t>
      </w:r>
      <w:r w:rsidRPr="001839C2">
        <w:rPr>
          <w:rFonts w:eastAsiaTheme="minorEastAsia"/>
          <w:snapToGrid/>
          <w:szCs w:val="22"/>
          <w:lang w:val="lt-LT" w:eastAsia="en-IN"/>
        </w:rPr>
        <w:t xml:space="preserve">rodiklis atitinkamai buvo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 xml:space="preserve">1,004 ir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0,809, vidutinis viso kūno KMT</w:t>
      </w:r>
      <w:r w:rsidR="00EE33EC" w:rsidRPr="001839C2">
        <w:rPr>
          <w:rFonts w:eastAsiaTheme="minorEastAsia"/>
          <w:snapToGrid/>
          <w:szCs w:val="22"/>
          <w:lang w:val="lt-LT" w:eastAsia="en-IN"/>
        </w:rPr>
        <w:t> </w:t>
      </w:r>
      <w:r w:rsidRPr="001839C2">
        <w:rPr>
          <w:rFonts w:eastAsiaTheme="minorEastAsia"/>
          <w:snapToGrid/>
          <w:szCs w:val="22"/>
          <w:lang w:val="lt-LT" w:eastAsia="en-IN"/>
        </w:rPr>
        <w:t>Z</w:t>
      </w:r>
      <w:r w:rsidR="00EE33EC" w:rsidRPr="001839C2">
        <w:rPr>
          <w:rFonts w:eastAsiaTheme="minorEastAsia"/>
          <w:snapToGrid/>
          <w:szCs w:val="22"/>
          <w:lang w:val="lt-LT" w:eastAsia="en-IN"/>
        </w:rPr>
        <w:t> </w:t>
      </w:r>
      <w:r w:rsidRPr="001839C2">
        <w:rPr>
          <w:rFonts w:eastAsiaTheme="minorEastAsia"/>
          <w:snapToGrid/>
          <w:szCs w:val="22"/>
          <w:lang w:val="lt-LT" w:eastAsia="en-IN"/>
        </w:rPr>
        <w:t xml:space="preserve">rodiklis buvo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 xml:space="preserve">0,866 ir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0,584. Vidutiniai pokyčiai 48</w:t>
      </w:r>
      <w:r w:rsidR="00EE33EC" w:rsidRPr="001839C2">
        <w:rPr>
          <w:rFonts w:eastAsiaTheme="minorEastAsia"/>
          <w:snapToGrid/>
          <w:szCs w:val="22"/>
          <w:lang w:val="lt-LT" w:eastAsia="en-IN"/>
        </w:rPr>
        <w:t> </w:t>
      </w:r>
      <w:r w:rsidRPr="001839C2">
        <w:rPr>
          <w:rFonts w:eastAsiaTheme="minorEastAsia"/>
          <w:snapToGrid/>
          <w:szCs w:val="22"/>
          <w:lang w:val="lt-LT" w:eastAsia="en-IN"/>
        </w:rPr>
        <w:t>savaitę (dvigubai</w:t>
      </w:r>
      <w:r w:rsidR="00EE33EC" w:rsidRPr="001839C2">
        <w:rPr>
          <w:rFonts w:eastAsiaTheme="minorEastAsia"/>
          <w:snapToGrid/>
          <w:szCs w:val="22"/>
          <w:lang w:val="lt-LT" w:eastAsia="en-IN"/>
        </w:rPr>
        <w:t> </w:t>
      </w:r>
      <w:r w:rsidRPr="001839C2">
        <w:rPr>
          <w:rFonts w:eastAsiaTheme="minorEastAsia"/>
          <w:snapToGrid/>
          <w:szCs w:val="22"/>
          <w:lang w:val="lt-LT" w:eastAsia="en-IN"/>
        </w:rPr>
        <w:t>koduotos fazės pabaigoje) tenofoviro dizoproksilio ir placebo grupėse juosmeninės stuburo dalies KMT</w:t>
      </w:r>
      <w:r w:rsidR="00EE33EC" w:rsidRPr="001839C2">
        <w:rPr>
          <w:rFonts w:eastAsiaTheme="minorEastAsia"/>
          <w:snapToGrid/>
          <w:szCs w:val="22"/>
          <w:lang w:val="lt-LT" w:eastAsia="en-IN"/>
        </w:rPr>
        <w:t> </w:t>
      </w:r>
      <w:r w:rsidRPr="001839C2">
        <w:rPr>
          <w:rFonts w:eastAsiaTheme="minorEastAsia"/>
          <w:snapToGrid/>
          <w:szCs w:val="22"/>
          <w:lang w:val="lt-LT" w:eastAsia="en-IN"/>
        </w:rPr>
        <w:t>Z</w:t>
      </w:r>
      <w:r w:rsidR="00EE33EC" w:rsidRPr="001839C2">
        <w:rPr>
          <w:rFonts w:eastAsiaTheme="minorEastAsia"/>
          <w:snapToGrid/>
          <w:szCs w:val="22"/>
          <w:lang w:val="lt-LT" w:eastAsia="en-IN"/>
        </w:rPr>
        <w:t> </w:t>
      </w:r>
      <w:r w:rsidRPr="001839C2">
        <w:rPr>
          <w:rFonts w:eastAsiaTheme="minorEastAsia"/>
          <w:snapToGrid/>
          <w:szCs w:val="22"/>
          <w:lang w:val="lt-LT" w:eastAsia="en-IN"/>
        </w:rPr>
        <w:t xml:space="preserve">rodiklis atitinkamai buvo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 xml:space="preserve">0,215 ir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0,165, viso kūno KMT</w:t>
      </w:r>
      <w:r w:rsidR="00EE33EC" w:rsidRPr="001839C2">
        <w:rPr>
          <w:rFonts w:eastAsiaTheme="minorEastAsia"/>
          <w:snapToGrid/>
          <w:szCs w:val="22"/>
          <w:lang w:val="lt-LT" w:eastAsia="en-IN"/>
        </w:rPr>
        <w:t> </w:t>
      </w:r>
      <w:r w:rsidRPr="001839C2">
        <w:rPr>
          <w:rFonts w:eastAsiaTheme="minorEastAsia"/>
          <w:snapToGrid/>
          <w:szCs w:val="22"/>
          <w:lang w:val="lt-LT" w:eastAsia="en-IN"/>
        </w:rPr>
        <w:t>Z</w:t>
      </w:r>
      <w:r w:rsidR="00EE33EC" w:rsidRPr="001839C2">
        <w:rPr>
          <w:rFonts w:eastAsiaTheme="minorEastAsia"/>
          <w:snapToGrid/>
          <w:szCs w:val="22"/>
          <w:lang w:val="lt-LT" w:eastAsia="en-IN"/>
        </w:rPr>
        <w:t> </w:t>
      </w:r>
      <w:r w:rsidRPr="001839C2">
        <w:rPr>
          <w:rFonts w:eastAsiaTheme="minorEastAsia"/>
          <w:snapToGrid/>
          <w:szCs w:val="22"/>
          <w:lang w:val="lt-LT" w:eastAsia="en-IN"/>
        </w:rPr>
        <w:t xml:space="preserve">rodiklis buvo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 xml:space="preserve">0,254 bei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0,179. Vidutinis KMT</w:t>
      </w:r>
      <w:r w:rsidR="00EE33EC" w:rsidRPr="001839C2">
        <w:rPr>
          <w:rFonts w:eastAsiaTheme="minorEastAsia"/>
          <w:snapToGrid/>
          <w:szCs w:val="22"/>
          <w:lang w:val="lt-LT" w:eastAsia="en-IN"/>
        </w:rPr>
        <w:t> </w:t>
      </w:r>
      <w:r w:rsidRPr="001839C2">
        <w:rPr>
          <w:rFonts w:eastAsiaTheme="minorEastAsia"/>
          <w:snapToGrid/>
          <w:szCs w:val="22"/>
          <w:lang w:val="lt-LT" w:eastAsia="en-IN"/>
        </w:rPr>
        <w:t>didėjimo greitis tenofoviro dizoproksilio grupėje buvo mažesnis nei placebo grupėje. 48</w:t>
      </w:r>
      <w:r w:rsidR="00EE33EC" w:rsidRPr="001839C2">
        <w:rPr>
          <w:rFonts w:eastAsiaTheme="minorEastAsia"/>
          <w:snapToGrid/>
          <w:szCs w:val="22"/>
          <w:lang w:val="lt-LT" w:eastAsia="en-IN"/>
        </w:rPr>
        <w:t> </w:t>
      </w:r>
      <w:r w:rsidRPr="001839C2">
        <w:rPr>
          <w:rFonts w:eastAsiaTheme="minorEastAsia"/>
          <w:snapToGrid/>
          <w:szCs w:val="22"/>
          <w:lang w:val="lt-LT" w:eastAsia="en-IN"/>
        </w:rPr>
        <w:t>savaitę šešiems tenofoviro dizoproksilio grupės paaugliams ir vienam placebo grupės paaugliui nustatytas reikšmingas juosmeninės stuburo dalies KMT</w:t>
      </w:r>
      <w:r w:rsidR="00EE33EC" w:rsidRPr="001839C2">
        <w:rPr>
          <w:rFonts w:eastAsiaTheme="minorEastAsia"/>
          <w:snapToGrid/>
          <w:szCs w:val="22"/>
          <w:lang w:val="lt-LT" w:eastAsia="en-IN"/>
        </w:rPr>
        <w:t> </w:t>
      </w:r>
      <w:r w:rsidRPr="001839C2">
        <w:rPr>
          <w:rFonts w:eastAsiaTheme="minorEastAsia"/>
          <w:snapToGrid/>
          <w:szCs w:val="22"/>
          <w:lang w:val="lt-LT" w:eastAsia="en-IN"/>
        </w:rPr>
        <w:t>sumažėjimas (apibrėžiamas kaip sumažėjimas &gt;</w:t>
      </w:r>
      <w:r w:rsidR="00EE33EC" w:rsidRPr="001839C2">
        <w:rPr>
          <w:rFonts w:eastAsiaTheme="minorEastAsia"/>
          <w:snapToGrid/>
          <w:szCs w:val="22"/>
          <w:lang w:val="lt-LT" w:eastAsia="en-IN"/>
        </w:rPr>
        <w:t> </w:t>
      </w:r>
      <w:r w:rsidRPr="001839C2">
        <w:rPr>
          <w:rFonts w:eastAsiaTheme="minorEastAsia"/>
          <w:snapToGrid/>
          <w:szCs w:val="22"/>
          <w:lang w:val="lt-LT" w:eastAsia="en-IN"/>
        </w:rPr>
        <w:t>4</w:t>
      </w:r>
      <w:r w:rsidR="00EE33EC" w:rsidRPr="001839C2">
        <w:rPr>
          <w:rFonts w:eastAsiaTheme="minorEastAsia"/>
          <w:snapToGrid/>
          <w:szCs w:val="22"/>
          <w:lang w:val="lt-LT" w:eastAsia="en-IN"/>
        </w:rPr>
        <w:t> </w:t>
      </w:r>
      <w:r w:rsidRPr="001839C2">
        <w:rPr>
          <w:rFonts w:eastAsiaTheme="minorEastAsia"/>
          <w:snapToGrid/>
          <w:szCs w:val="22"/>
          <w:lang w:val="lt-LT" w:eastAsia="en-IN"/>
        </w:rPr>
        <w:t>%). 28</w:t>
      </w:r>
      <w:r w:rsidR="00EE33EC" w:rsidRPr="001839C2">
        <w:rPr>
          <w:rFonts w:eastAsiaTheme="minorEastAsia"/>
          <w:snapToGrid/>
          <w:szCs w:val="22"/>
          <w:lang w:val="lt-LT" w:eastAsia="en-IN"/>
        </w:rPr>
        <w:t> </w:t>
      </w:r>
      <w:r w:rsidRPr="001839C2">
        <w:rPr>
          <w:rFonts w:eastAsiaTheme="minorEastAsia"/>
          <w:snapToGrid/>
          <w:szCs w:val="22"/>
          <w:lang w:val="lt-LT" w:eastAsia="en-IN"/>
        </w:rPr>
        <w:t>pacientams, vartojusiems tenofoviro dizoproksil</w:t>
      </w:r>
      <w:r w:rsidR="00EE33EC" w:rsidRPr="001839C2">
        <w:rPr>
          <w:rFonts w:eastAsiaTheme="minorEastAsia"/>
          <w:snapToGrid/>
          <w:szCs w:val="22"/>
          <w:lang w:val="lt-LT" w:eastAsia="en-IN"/>
        </w:rPr>
        <w:t>io</w:t>
      </w:r>
      <w:r w:rsidRPr="001839C2">
        <w:rPr>
          <w:rFonts w:eastAsiaTheme="minorEastAsia"/>
          <w:snapToGrid/>
          <w:szCs w:val="22"/>
          <w:lang w:val="lt-LT" w:eastAsia="en-IN"/>
        </w:rPr>
        <w:t xml:space="preserve"> 96 gydymo savaites, KMT</w:t>
      </w:r>
      <w:r w:rsidR="00EE33EC" w:rsidRPr="001839C2">
        <w:rPr>
          <w:rFonts w:eastAsiaTheme="minorEastAsia"/>
          <w:snapToGrid/>
          <w:szCs w:val="22"/>
          <w:lang w:val="lt-LT" w:eastAsia="en-IN"/>
        </w:rPr>
        <w:t> </w:t>
      </w:r>
      <w:r w:rsidRPr="001839C2">
        <w:rPr>
          <w:rFonts w:eastAsiaTheme="minorEastAsia"/>
          <w:snapToGrid/>
          <w:szCs w:val="22"/>
          <w:lang w:val="lt-LT" w:eastAsia="en-IN"/>
        </w:rPr>
        <w:t>Z</w:t>
      </w:r>
      <w:r w:rsidR="00EE33EC" w:rsidRPr="001839C2">
        <w:rPr>
          <w:rFonts w:eastAsiaTheme="minorEastAsia"/>
          <w:snapToGrid/>
          <w:szCs w:val="22"/>
          <w:lang w:val="lt-LT" w:eastAsia="en-IN"/>
        </w:rPr>
        <w:t> </w:t>
      </w:r>
      <w:r w:rsidRPr="001839C2">
        <w:rPr>
          <w:rFonts w:eastAsiaTheme="minorEastAsia"/>
          <w:snapToGrid/>
          <w:szCs w:val="22"/>
          <w:lang w:val="lt-LT" w:eastAsia="en-IN"/>
        </w:rPr>
        <w:t xml:space="preserve">rodikliai vertinant juosmeninę stuburo dalį sumažėjo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 xml:space="preserve">0,341, vertinant visą kūną </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0,458.</w:t>
      </w:r>
    </w:p>
    <w:p w14:paraId="700311FD"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0D6176A"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Tyrimo</w:t>
      </w:r>
      <w:r w:rsidR="00EE33EC" w:rsidRPr="001839C2">
        <w:rPr>
          <w:rFonts w:eastAsiaTheme="minorEastAsia"/>
          <w:snapToGrid/>
          <w:szCs w:val="22"/>
          <w:lang w:val="lt-LT" w:eastAsia="en-IN"/>
        </w:rPr>
        <w:t> </w:t>
      </w:r>
      <w:r w:rsidRPr="001839C2">
        <w:rPr>
          <w:rFonts w:eastAsiaTheme="minorEastAsia"/>
          <w:snapToGrid/>
          <w:szCs w:val="22"/>
          <w:lang w:val="lt-LT" w:eastAsia="en-IN"/>
        </w:rPr>
        <w:t>GS</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US</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104</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0352 metu 97 anksčiau gydytiems pacientams nuo 2 iki 12</w:t>
      </w:r>
      <w:r w:rsidR="00EE33EC" w:rsidRPr="001839C2">
        <w:rPr>
          <w:rFonts w:eastAsiaTheme="minorEastAsia"/>
          <w:snapToGrid/>
          <w:szCs w:val="22"/>
          <w:lang w:val="lt-LT" w:eastAsia="en-IN"/>
        </w:rPr>
        <w:t> </w:t>
      </w:r>
      <w:r w:rsidRPr="001839C2">
        <w:rPr>
          <w:rFonts w:eastAsiaTheme="minorEastAsia"/>
          <w:snapToGrid/>
          <w:szCs w:val="22"/>
          <w:lang w:val="lt-LT" w:eastAsia="en-IN"/>
        </w:rPr>
        <w:t>metų, kuriems taikant gydymo režimus, kurių sudėtyje buvo stavudino arba zidovudino, nustatytas stabilus virusų slopinimas, atsitiktinių imčių būdu buvo skirta vietoj stavudino arba zidovudino vartoti tenofoviro dizoproksil</w:t>
      </w:r>
      <w:r w:rsidR="00EE33EC" w:rsidRPr="001839C2">
        <w:rPr>
          <w:rFonts w:eastAsiaTheme="minorEastAsia"/>
          <w:snapToGrid/>
          <w:szCs w:val="22"/>
          <w:lang w:val="lt-LT" w:eastAsia="en-IN"/>
        </w:rPr>
        <w:t>io</w:t>
      </w:r>
      <w:r w:rsidRPr="001839C2">
        <w:rPr>
          <w:rFonts w:eastAsiaTheme="minorEastAsia"/>
          <w:snapToGrid/>
          <w:szCs w:val="22"/>
          <w:lang w:val="lt-LT" w:eastAsia="en-IN"/>
        </w:rPr>
        <w:t xml:space="preserve"> (n</w:t>
      </w:r>
      <w:r w:rsidR="00EE33EC" w:rsidRPr="001839C2">
        <w:rPr>
          <w:rFonts w:eastAsiaTheme="minorEastAsia"/>
          <w:snapToGrid/>
          <w:szCs w:val="22"/>
          <w:lang w:val="lt-LT" w:eastAsia="en-IN"/>
        </w:rPr>
        <w:t> </w:t>
      </w:r>
      <w:r w:rsidRPr="001839C2">
        <w:rPr>
          <w:rFonts w:eastAsiaTheme="minorEastAsia"/>
          <w:snapToGrid/>
          <w:szCs w:val="22"/>
          <w:lang w:val="lt-LT" w:eastAsia="en-IN"/>
        </w:rPr>
        <w:t>=</w:t>
      </w:r>
      <w:r w:rsidR="00EE33EC" w:rsidRPr="001839C2">
        <w:rPr>
          <w:rFonts w:eastAsiaTheme="minorEastAsia"/>
          <w:snapToGrid/>
          <w:szCs w:val="22"/>
          <w:lang w:val="lt-LT" w:eastAsia="en-IN"/>
        </w:rPr>
        <w:t> </w:t>
      </w:r>
      <w:r w:rsidRPr="001839C2">
        <w:rPr>
          <w:rFonts w:eastAsiaTheme="minorEastAsia"/>
          <w:snapToGrid/>
          <w:szCs w:val="22"/>
          <w:lang w:val="lt-LT" w:eastAsia="en-IN"/>
        </w:rPr>
        <w:t>48) arba toliau taikyti ankstesnį gydymo režimą (n</w:t>
      </w:r>
      <w:r w:rsidR="00EE33EC" w:rsidRPr="001839C2">
        <w:rPr>
          <w:rFonts w:eastAsiaTheme="minorEastAsia"/>
          <w:snapToGrid/>
          <w:szCs w:val="22"/>
          <w:lang w:val="lt-LT" w:eastAsia="en-IN"/>
        </w:rPr>
        <w:t> </w:t>
      </w:r>
      <w:r w:rsidRPr="001839C2">
        <w:rPr>
          <w:rFonts w:eastAsiaTheme="minorEastAsia"/>
          <w:snapToGrid/>
          <w:szCs w:val="22"/>
          <w:lang w:val="lt-LT" w:eastAsia="en-IN"/>
        </w:rPr>
        <w:t>=</w:t>
      </w:r>
      <w:r w:rsidR="00EE33EC" w:rsidRPr="001839C2">
        <w:rPr>
          <w:rFonts w:eastAsiaTheme="minorEastAsia"/>
          <w:snapToGrid/>
          <w:szCs w:val="22"/>
          <w:lang w:val="lt-LT" w:eastAsia="en-IN"/>
        </w:rPr>
        <w:t> </w:t>
      </w:r>
      <w:r w:rsidRPr="001839C2">
        <w:rPr>
          <w:rFonts w:eastAsiaTheme="minorEastAsia"/>
          <w:snapToGrid/>
          <w:szCs w:val="22"/>
          <w:lang w:val="lt-LT" w:eastAsia="en-IN"/>
        </w:rPr>
        <w:t>49) 48</w:t>
      </w:r>
      <w:r w:rsidR="00EE33EC" w:rsidRPr="001839C2">
        <w:rPr>
          <w:rFonts w:eastAsiaTheme="minorEastAsia"/>
          <w:snapToGrid/>
          <w:szCs w:val="22"/>
          <w:lang w:val="lt-LT" w:eastAsia="en-IN"/>
        </w:rPr>
        <w:t> </w:t>
      </w:r>
      <w:r w:rsidRPr="001839C2">
        <w:rPr>
          <w:rFonts w:eastAsiaTheme="minorEastAsia"/>
          <w:snapToGrid/>
          <w:szCs w:val="22"/>
          <w:lang w:val="lt-LT" w:eastAsia="en-IN"/>
        </w:rPr>
        <w:t>savaites. 48</w:t>
      </w:r>
      <w:r w:rsidR="00EE33EC" w:rsidRPr="001839C2">
        <w:rPr>
          <w:rFonts w:eastAsiaTheme="minorEastAsia"/>
          <w:snapToGrid/>
          <w:szCs w:val="22"/>
          <w:lang w:val="lt-LT" w:eastAsia="en-IN"/>
        </w:rPr>
        <w:t> </w:t>
      </w:r>
      <w:r w:rsidRPr="001839C2">
        <w:rPr>
          <w:rFonts w:eastAsiaTheme="minorEastAsia"/>
          <w:snapToGrid/>
          <w:szCs w:val="22"/>
          <w:lang w:val="lt-LT" w:eastAsia="en-IN"/>
        </w:rPr>
        <w:t>savaitę 83</w:t>
      </w:r>
      <w:r w:rsidR="00EE33EC" w:rsidRPr="001839C2">
        <w:rPr>
          <w:rFonts w:eastAsiaTheme="minorEastAsia"/>
          <w:snapToGrid/>
          <w:szCs w:val="22"/>
          <w:lang w:val="lt-LT" w:eastAsia="en-IN"/>
        </w:rPr>
        <w:t> </w:t>
      </w:r>
      <w:r w:rsidRPr="001839C2">
        <w:rPr>
          <w:rFonts w:eastAsiaTheme="minorEastAsia"/>
          <w:snapToGrid/>
          <w:szCs w:val="22"/>
          <w:lang w:val="lt-LT" w:eastAsia="en-IN"/>
        </w:rPr>
        <w:t>% tenofoviro dizoproksilio gydymo grupės pacientų ir 92</w:t>
      </w:r>
      <w:r w:rsidR="00EE33EC" w:rsidRPr="001839C2">
        <w:rPr>
          <w:rFonts w:eastAsiaTheme="minorEastAsia"/>
          <w:snapToGrid/>
          <w:szCs w:val="22"/>
          <w:lang w:val="lt-LT" w:eastAsia="en-IN"/>
        </w:rPr>
        <w:t> </w:t>
      </w:r>
      <w:r w:rsidRPr="001839C2">
        <w:rPr>
          <w:rFonts w:eastAsiaTheme="minorEastAsia"/>
          <w:snapToGrid/>
          <w:szCs w:val="22"/>
          <w:lang w:val="lt-LT" w:eastAsia="en-IN"/>
        </w:rPr>
        <w:t>% gydymo stavudinu arba zidovudinu grupės pacientų nustatyta &lt;</w:t>
      </w:r>
      <w:r w:rsidR="00EE33EC" w:rsidRPr="001839C2">
        <w:rPr>
          <w:rFonts w:eastAsiaTheme="minorEastAsia"/>
          <w:snapToGrid/>
          <w:szCs w:val="22"/>
          <w:lang w:val="lt-LT" w:eastAsia="en-IN"/>
        </w:rPr>
        <w:t> </w:t>
      </w:r>
      <w:r w:rsidRPr="001839C2">
        <w:rPr>
          <w:rFonts w:eastAsiaTheme="minorEastAsia"/>
          <w:snapToGrid/>
          <w:szCs w:val="22"/>
          <w:lang w:val="lt-LT" w:eastAsia="en-IN"/>
        </w:rPr>
        <w:t>400</w:t>
      </w:r>
      <w:r w:rsidR="00EE33EC" w:rsidRPr="001839C2">
        <w:rPr>
          <w:rFonts w:eastAsiaTheme="minorEastAsia"/>
          <w:snapToGrid/>
          <w:szCs w:val="22"/>
          <w:lang w:val="lt-LT" w:eastAsia="en-IN"/>
        </w:rPr>
        <w:t> </w:t>
      </w:r>
      <w:r w:rsidRPr="001839C2">
        <w:rPr>
          <w:rFonts w:eastAsiaTheme="minorEastAsia"/>
          <w:snapToGrid/>
          <w:szCs w:val="22"/>
          <w:lang w:val="lt-LT" w:eastAsia="en-IN"/>
        </w:rPr>
        <w:t>kopijų/ml ŽIV</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1</w:t>
      </w:r>
      <w:r w:rsidR="00EE33EC" w:rsidRPr="001839C2">
        <w:rPr>
          <w:rFonts w:eastAsiaTheme="minorEastAsia"/>
          <w:snapToGrid/>
          <w:szCs w:val="22"/>
          <w:lang w:val="lt-LT" w:eastAsia="en-IN"/>
        </w:rPr>
        <w:t> </w:t>
      </w:r>
      <w:r w:rsidRPr="001839C2">
        <w:rPr>
          <w:rFonts w:eastAsiaTheme="minorEastAsia"/>
          <w:snapToGrid/>
          <w:szCs w:val="22"/>
          <w:lang w:val="lt-LT" w:eastAsia="en-IN"/>
        </w:rPr>
        <w:t>RNR</w:t>
      </w:r>
      <w:r w:rsidR="002E11F7" w:rsidRPr="001839C2">
        <w:rPr>
          <w:rFonts w:eastAsiaTheme="minorEastAsia"/>
          <w:snapToGrid/>
          <w:szCs w:val="22"/>
          <w:lang w:val="lt-LT" w:eastAsia="en-IN"/>
        </w:rPr>
        <w:t> </w:t>
      </w:r>
      <w:r w:rsidRPr="001839C2">
        <w:rPr>
          <w:rFonts w:eastAsiaTheme="minorEastAsia"/>
          <w:snapToGrid/>
          <w:szCs w:val="22"/>
          <w:lang w:val="lt-LT" w:eastAsia="en-IN"/>
        </w:rPr>
        <w:t>koncentracija. Pacientų, išlaikusių &lt;</w:t>
      </w:r>
      <w:r w:rsidR="00EE33EC" w:rsidRPr="001839C2">
        <w:rPr>
          <w:rFonts w:eastAsiaTheme="minorEastAsia"/>
          <w:snapToGrid/>
          <w:szCs w:val="22"/>
          <w:lang w:val="lt-LT" w:eastAsia="en-IN"/>
        </w:rPr>
        <w:t> </w:t>
      </w:r>
      <w:r w:rsidRPr="001839C2">
        <w:rPr>
          <w:rFonts w:eastAsiaTheme="minorEastAsia"/>
          <w:snapToGrid/>
          <w:szCs w:val="22"/>
          <w:lang w:val="lt-LT" w:eastAsia="en-IN"/>
        </w:rPr>
        <w:t>400</w:t>
      </w:r>
      <w:r w:rsidR="00EE33EC" w:rsidRPr="001839C2">
        <w:rPr>
          <w:rFonts w:eastAsiaTheme="minorEastAsia"/>
          <w:snapToGrid/>
          <w:szCs w:val="22"/>
          <w:lang w:val="lt-LT" w:eastAsia="en-IN"/>
        </w:rPr>
        <w:t> </w:t>
      </w:r>
      <w:r w:rsidRPr="001839C2">
        <w:rPr>
          <w:rFonts w:eastAsiaTheme="minorEastAsia"/>
          <w:snapToGrid/>
          <w:szCs w:val="22"/>
          <w:lang w:val="lt-LT" w:eastAsia="en-IN"/>
        </w:rPr>
        <w:t>kopijų/ml vertę 48</w:t>
      </w:r>
      <w:r w:rsidR="00EE33EC" w:rsidRPr="001839C2">
        <w:rPr>
          <w:rFonts w:eastAsiaTheme="minorEastAsia"/>
          <w:snapToGrid/>
          <w:szCs w:val="22"/>
          <w:lang w:val="lt-LT" w:eastAsia="en-IN"/>
        </w:rPr>
        <w:t> </w:t>
      </w:r>
      <w:r w:rsidRPr="001839C2">
        <w:rPr>
          <w:rFonts w:eastAsiaTheme="minorEastAsia"/>
          <w:snapToGrid/>
          <w:szCs w:val="22"/>
          <w:lang w:val="lt-LT" w:eastAsia="en-IN"/>
        </w:rPr>
        <w:t>savaitę, dalies skirtumą daugiausiai lėmė tai, kad tenofoviro dizoproksilio gydymo grupėje daugiau pacientų buvo nutrauktas gydymas. Neįtraukus trūkstamų duomenų, 48</w:t>
      </w:r>
      <w:r w:rsidR="00EE33EC" w:rsidRPr="001839C2">
        <w:rPr>
          <w:rFonts w:eastAsiaTheme="minorEastAsia"/>
          <w:snapToGrid/>
          <w:szCs w:val="22"/>
          <w:lang w:val="lt-LT" w:eastAsia="en-IN"/>
        </w:rPr>
        <w:t> </w:t>
      </w:r>
      <w:r w:rsidRPr="001839C2">
        <w:rPr>
          <w:rFonts w:eastAsiaTheme="minorEastAsia"/>
          <w:snapToGrid/>
          <w:szCs w:val="22"/>
          <w:lang w:val="lt-LT" w:eastAsia="en-IN"/>
        </w:rPr>
        <w:t>savaitę</w:t>
      </w:r>
      <w:r w:rsidR="00EE33EC" w:rsidRPr="001839C2">
        <w:rPr>
          <w:rFonts w:eastAsiaTheme="minorEastAsia"/>
          <w:snapToGrid/>
          <w:szCs w:val="22"/>
          <w:lang w:val="lt-LT" w:eastAsia="en-IN"/>
        </w:rPr>
        <w:t xml:space="preserve"> </w:t>
      </w:r>
      <w:r w:rsidRPr="001839C2">
        <w:rPr>
          <w:rFonts w:eastAsiaTheme="minorEastAsia"/>
          <w:snapToGrid/>
          <w:szCs w:val="22"/>
          <w:lang w:val="lt-LT" w:eastAsia="en-IN"/>
        </w:rPr>
        <w:t>&lt;</w:t>
      </w:r>
      <w:r w:rsidR="00EE33EC" w:rsidRPr="001839C2">
        <w:rPr>
          <w:rFonts w:eastAsiaTheme="minorEastAsia"/>
          <w:snapToGrid/>
          <w:szCs w:val="22"/>
          <w:lang w:val="lt-LT" w:eastAsia="en-IN"/>
        </w:rPr>
        <w:t> </w:t>
      </w:r>
      <w:r w:rsidRPr="001839C2">
        <w:rPr>
          <w:rFonts w:eastAsiaTheme="minorEastAsia"/>
          <w:snapToGrid/>
          <w:szCs w:val="22"/>
          <w:lang w:val="lt-LT" w:eastAsia="en-IN"/>
        </w:rPr>
        <w:t>400</w:t>
      </w:r>
      <w:r w:rsidR="00EE33EC" w:rsidRPr="001839C2">
        <w:rPr>
          <w:rFonts w:eastAsiaTheme="minorEastAsia"/>
          <w:snapToGrid/>
          <w:szCs w:val="22"/>
          <w:lang w:val="lt-LT" w:eastAsia="en-IN"/>
        </w:rPr>
        <w:t> </w:t>
      </w:r>
      <w:r w:rsidRPr="001839C2">
        <w:rPr>
          <w:rFonts w:eastAsiaTheme="minorEastAsia"/>
          <w:snapToGrid/>
          <w:szCs w:val="22"/>
          <w:lang w:val="lt-LT" w:eastAsia="en-IN"/>
        </w:rPr>
        <w:t>kopijų/ml ŽIV</w:t>
      </w:r>
      <w:r w:rsidR="00EE33EC" w:rsidRPr="001839C2">
        <w:rPr>
          <w:rFonts w:eastAsiaTheme="minorEastAsia"/>
          <w:snapToGrid/>
          <w:szCs w:val="22"/>
          <w:lang w:val="lt-LT" w:eastAsia="en-IN"/>
        </w:rPr>
        <w:noBreakHyphen/>
      </w:r>
      <w:r w:rsidRPr="001839C2">
        <w:rPr>
          <w:rFonts w:eastAsiaTheme="minorEastAsia"/>
          <w:snapToGrid/>
          <w:szCs w:val="22"/>
          <w:lang w:val="lt-LT" w:eastAsia="en-IN"/>
        </w:rPr>
        <w:t>1</w:t>
      </w:r>
      <w:r w:rsidR="00EE33EC" w:rsidRPr="001839C2">
        <w:rPr>
          <w:rFonts w:eastAsiaTheme="minorEastAsia"/>
          <w:snapToGrid/>
          <w:szCs w:val="22"/>
          <w:lang w:val="lt-LT" w:eastAsia="en-IN"/>
        </w:rPr>
        <w:t> </w:t>
      </w:r>
      <w:r w:rsidRPr="001839C2">
        <w:rPr>
          <w:rFonts w:eastAsiaTheme="minorEastAsia"/>
          <w:snapToGrid/>
          <w:szCs w:val="22"/>
          <w:lang w:val="lt-LT" w:eastAsia="en-IN"/>
        </w:rPr>
        <w:t>RNR</w:t>
      </w:r>
      <w:r w:rsidR="002E11F7" w:rsidRPr="001839C2">
        <w:rPr>
          <w:rFonts w:eastAsiaTheme="minorEastAsia"/>
          <w:snapToGrid/>
          <w:szCs w:val="22"/>
          <w:lang w:val="lt-LT" w:eastAsia="en-IN"/>
        </w:rPr>
        <w:t> </w:t>
      </w:r>
      <w:r w:rsidRPr="001839C2">
        <w:rPr>
          <w:rFonts w:eastAsiaTheme="minorEastAsia"/>
          <w:snapToGrid/>
          <w:szCs w:val="22"/>
          <w:lang w:val="lt-LT" w:eastAsia="en-IN"/>
        </w:rPr>
        <w:t>koncentracija nustatyta 91</w:t>
      </w:r>
      <w:r w:rsidR="00EE33EC" w:rsidRPr="001839C2">
        <w:rPr>
          <w:rFonts w:eastAsiaTheme="minorEastAsia"/>
          <w:snapToGrid/>
          <w:szCs w:val="22"/>
          <w:lang w:val="lt-LT" w:eastAsia="en-IN"/>
        </w:rPr>
        <w:t> </w:t>
      </w:r>
      <w:r w:rsidRPr="001839C2">
        <w:rPr>
          <w:rFonts w:eastAsiaTheme="minorEastAsia"/>
          <w:snapToGrid/>
          <w:szCs w:val="22"/>
          <w:lang w:val="lt-LT" w:eastAsia="en-IN"/>
        </w:rPr>
        <w:t>% tenofoviro dizoproksilio gydymo grupės pacientų ir 94</w:t>
      </w:r>
      <w:r w:rsidR="00EE33EC" w:rsidRPr="001839C2">
        <w:rPr>
          <w:rFonts w:eastAsiaTheme="minorEastAsia"/>
          <w:snapToGrid/>
          <w:szCs w:val="22"/>
          <w:lang w:val="lt-LT" w:eastAsia="en-IN"/>
        </w:rPr>
        <w:t> </w:t>
      </w:r>
      <w:r w:rsidRPr="001839C2">
        <w:rPr>
          <w:rFonts w:eastAsiaTheme="minorEastAsia"/>
          <w:snapToGrid/>
          <w:szCs w:val="22"/>
          <w:lang w:val="lt-LT" w:eastAsia="en-IN"/>
        </w:rPr>
        <w:t>% stavudino arba zidovudino gydymo grupės pacientų.</w:t>
      </w:r>
    </w:p>
    <w:p w14:paraId="704D04C3"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5BCA313"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Pranešta apie pacientams vaikams sumažėjusį</w:t>
      </w:r>
      <w:r w:rsidR="009A00DA" w:rsidRPr="001839C2">
        <w:rPr>
          <w:rFonts w:eastAsiaTheme="minorEastAsia"/>
          <w:snapToGrid/>
          <w:szCs w:val="22"/>
          <w:lang w:val="lt-LT" w:eastAsia="en-IN"/>
        </w:rPr>
        <w:t> </w:t>
      </w:r>
      <w:r w:rsidRPr="001839C2">
        <w:rPr>
          <w:rFonts w:eastAsiaTheme="minorEastAsia"/>
          <w:snapToGrid/>
          <w:szCs w:val="22"/>
          <w:lang w:val="lt-LT" w:eastAsia="en-IN"/>
        </w:rPr>
        <w:t>KMT. Pacientų, gydytų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arba stavudinu ar zidovudinu, pradinio įvertinimo metu vidutinis juosmeninės stuburo dalies KMT</w:t>
      </w:r>
      <w:r w:rsidR="009A00DA" w:rsidRPr="001839C2">
        <w:rPr>
          <w:rFonts w:eastAsiaTheme="minorEastAsia"/>
          <w:snapToGrid/>
          <w:szCs w:val="22"/>
          <w:lang w:val="lt-LT" w:eastAsia="en-IN"/>
        </w:rPr>
        <w:t> </w:t>
      </w:r>
      <w:r w:rsidRPr="001839C2">
        <w:rPr>
          <w:rFonts w:eastAsiaTheme="minorEastAsia"/>
          <w:snapToGrid/>
          <w:szCs w:val="22"/>
          <w:lang w:val="lt-LT" w:eastAsia="en-IN"/>
        </w:rPr>
        <w:t>Z</w:t>
      </w:r>
      <w:r w:rsidR="009A00DA" w:rsidRPr="001839C2">
        <w:rPr>
          <w:rFonts w:eastAsiaTheme="minorEastAsia"/>
          <w:snapToGrid/>
          <w:szCs w:val="22"/>
          <w:lang w:val="lt-LT" w:eastAsia="en-IN"/>
        </w:rPr>
        <w:t> </w:t>
      </w:r>
      <w:r w:rsidRPr="001839C2">
        <w:rPr>
          <w:rFonts w:eastAsiaTheme="minorEastAsia"/>
          <w:snapToGrid/>
          <w:szCs w:val="22"/>
          <w:lang w:val="lt-LT" w:eastAsia="en-IN"/>
        </w:rPr>
        <w:t xml:space="preserve">rodiklis buvo atitinkamai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 xml:space="preserve">1,034 ir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0,498, vidutinis viso kūno KMT</w:t>
      </w:r>
      <w:r w:rsidR="009A00DA" w:rsidRPr="001839C2">
        <w:rPr>
          <w:rFonts w:eastAsiaTheme="minorEastAsia"/>
          <w:snapToGrid/>
          <w:szCs w:val="22"/>
          <w:lang w:val="lt-LT" w:eastAsia="en-IN"/>
        </w:rPr>
        <w:t> </w:t>
      </w:r>
      <w:r w:rsidRPr="001839C2">
        <w:rPr>
          <w:rFonts w:eastAsiaTheme="minorEastAsia"/>
          <w:snapToGrid/>
          <w:szCs w:val="22"/>
          <w:lang w:val="lt-LT" w:eastAsia="en-IN"/>
        </w:rPr>
        <w:t>Z</w:t>
      </w:r>
      <w:r w:rsidR="009A00DA" w:rsidRPr="001839C2">
        <w:rPr>
          <w:rFonts w:eastAsiaTheme="minorEastAsia"/>
          <w:snapToGrid/>
          <w:szCs w:val="22"/>
          <w:lang w:val="lt-LT" w:eastAsia="en-IN"/>
        </w:rPr>
        <w:t> </w:t>
      </w:r>
      <w:r w:rsidRPr="001839C2">
        <w:rPr>
          <w:rFonts w:eastAsiaTheme="minorEastAsia"/>
          <w:snapToGrid/>
          <w:szCs w:val="22"/>
          <w:lang w:val="lt-LT" w:eastAsia="en-IN"/>
        </w:rPr>
        <w:t xml:space="preserve">rodiklis – atitinkamai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 xml:space="preserve">0,471 ir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0,386. Vidutiniai pokyčiai 48</w:t>
      </w:r>
      <w:r w:rsidR="009A00DA" w:rsidRPr="001839C2">
        <w:rPr>
          <w:rFonts w:eastAsiaTheme="minorEastAsia"/>
          <w:snapToGrid/>
          <w:szCs w:val="22"/>
          <w:lang w:val="lt-LT" w:eastAsia="en-IN"/>
        </w:rPr>
        <w:t> </w:t>
      </w:r>
      <w:r w:rsidRPr="001839C2">
        <w:rPr>
          <w:rFonts w:eastAsiaTheme="minorEastAsia"/>
          <w:snapToGrid/>
          <w:szCs w:val="22"/>
          <w:lang w:val="lt-LT" w:eastAsia="en-IN"/>
        </w:rPr>
        <w:t>savaitę (dvigubai</w:t>
      </w:r>
      <w:r w:rsidR="009A00DA" w:rsidRPr="001839C2">
        <w:rPr>
          <w:rFonts w:eastAsiaTheme="minorEastAsia"/>
          <w:snapToGrid/>
          <w:szCs w:val="22"/>
          <w:lang w:val="lt-LT" w:eastAsia="en-IN"/>
        </w:rPr>
        <w:t> </w:t>
      </w:r>
      <w:r w:rsidRPr="001839C2">
        <w:rPr>
          <w:rFonts w:eastAsiaTheme="minorEastAsia"/>
          <w:snapToGrid/>
          <w:szCs w:val="22"/>
          <w:lang w:val="lt-LT" w:eastAsia="en-IN"/>
        </w:rPr>
        <w:t xml:space="preserve">koduotos fazės pabaigoje) </w:t>
      </w:r>
      <w:r w:rsidRPr="001839C2">
        <w:rPr>
          <w:rFonts w:eastAsiaTheme="minorEastAsia"/>
          <w:snapToGrid/>
          <w:szCs w:val="22"/>
          <w:lang w:val="lt-LT" w:eastAsia="en-IN"/>
        </w:rPr>
        <w:lastRenderedPageBreak/>
        <w:t>tenofoviro dizoproksilio ir stavudino arba zidovudino grupėje juosmeninės stuburo dalies KMT</w:t>
      </w:r>
      <w:r w:rsidR="009A00DA" w:rsidRPr="001839C2">
        <w:rPr>
          <w:rFonts w:eastAsiaTheme="minorEastAsia"/>
          <w:snapToGrid/>
          <w:szCs w:val="22"/>
          <w:lang w:val="lt-LT" w:eastAsia="en-IN"/>
        </w:rPr>
        <w:t> </w:t>
      </w:r>
      <w:r w:rsidRPr="001839C2">
        <w:rPr>
          <w:rFonts w:eastAsiaTheme="minorEastAsia"/>
          <w:snapToGrid/>
          <w:szCs w:val="22"/>
          <w:lang w:val="lt-LT" w:eastAsia="en-IN"/>
        </w:rPr>
        <w:t>Z</w:t>
      </w:r>
      <w:r w:rsidR="009A00DA" w:rsidRPr="001839C2">
        <w:rPr>
          <w:rFonts w:eastAsiaTheme="minorEastAsia"/>
          <w:snapToGrid/>
          <w:szCs w:val="22"/>
          <w:lang w:val="lt-LT" w:eastAsia="en-IN"/>
        </w:rPr>
        <w:t> </w:t>
      </w:r>
      <w:r w:rsidRPr="001839C2">
        <w:rPr>
          <w:rFonts w:eastAsiaTheme="minorEastAsia"/>
          <w:snapToGrid/>
          <w:szCs w:val="22"/>
          <w:lang w:val="lt-LT" w:eastAsia="en-IN"/>
        </w:rPr>
        <w:t xml:space="preserve">rodiklis atitinkamai buvo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 xml:space="preserve">0,032 ir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0,087, viso kūno KMT</w:t>
      </w:r>
      <w:r w:rsidR="009A00DA" w:rsidRPr="001839C2">
        <w:rPr>
          <w:rFonts w:eastAsiaTheme="minorEastAsia"/>
          <w:snapToGrid/>
          <w:szCs w:val="22"/>
          <w:lang w:val="lt-LT" w:eastAsia="en-IN"/>
        </w:rPr>
        <w:t> </w:t>
      </w:r>
      <w:r w:rsidRPr="001839C2">
        <w:rPr>
          <w:rFonts w:eastAsiaTheme="minorEastAsia"/>
          <w:snapToGrid/>
          <w:szCs w:val="22"/>
          <w:lang w:val="lt-LT" w:eastAsia="en-IN"/>
        </w:rPr>
        <w:t>Z</w:t>
      </w:r>
      <w:r w:rsidR="009A00DA" w:rsidRPr="001839C2">
        <w:rPr>
          <w:rFonts w:eastAsiaTheme="minorEastAsia"/>
          <w:snapToGrid/>
          <w:szCs w:val="22"/>
          <w:lang w:val="lt-LT" w:eastAsia="en-IN"/>
        </w:rPr>
        <w:t> </w:t>
      </w:r>
      <w:r w:rsidRPr="001839C2">
        <w:rPr>
          <w:rFonts w:eastAsiaTheme="minorEastAsia"/>
          <w:snapToGrid/>
          <w:szCs w:val="22"/>
          <w:lang w:val="lt-LT" w:eastAsia="en-IN"/>
        </w:rPr>
        <w:t xml:space="preserve">rodiklis buvo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 xml:space="preserve">0,184 bei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0,027. Vidutinis juosmeninės stuburo dalies kaulų atsistatymo greitis 48</w:t>
      </w:r>
      <w:r w:rsidR="009A00DA" w:rsidRPr="001839C2">
        <w:rPr>
          <w:rFonts w:eastAsiaTheme="minorEastAsia"/>
          <w:snapToGrid/>
          <w:szCs w:val="22"/>
          <w:lang w:val="lt-LT" w:eastAsia="en-IN"/>
        </w:rPr>
        <w:t> </w:t>
      </w:r>
      <w:r w:rsidRPr="001839C2">
        <w:rPr>
          <w:rFonts w:eastAsiaTheme="minorEastAsia"/>
          <w:snapToGrid/>
          <w:szCs w:val="22"/>
          <w:lang w:val="lt-LT" w:eastAsia="en-IN"/>
        </w:rPr>
        <w:t>savaitę tenofoviro dizoproksilio gydymo grupėje ir stavudino arba zidovudino gydymo grupėje buvo panašus. Vidutinis viso kūno kaulų tankio didėjimo greitis tenofoviro dizoproksilio gydymo grupėje buvo mažesnis nei stavudino arba zidovudino gydymo grupėje. Vienam tenofovir</w:t>
      </w:r>
      <w:r w:rsidR="009A00DA"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gydytam tiriamajam 48</w:t>
      </w:r>
      <w:r w:rsidR="009A00DA" w:rsidRPr="001839C2">
        <w:rPr>
          <w:rFonts w:eastAsiaTheme="minorEastAsia"/>
          <w:snapToGrid/>
          <w:szCs w:val="22"/>
          <w:lang w:val="lt-LT" w:eastAsia="en-IN"/>
        </w:rPr>
        <w:t> </w:t>
      </w:r>
      <w:r w:rsidRPr="001839C2">
        <w:rPr>
          <w:rFonts w:eastAsiaTheme="minorEastAsia"/>
          <w:snapToGrid/>
          <w:szCs w:val="22"/>
          <w:lang w:val="lt-LT" w:eastAsia="en-IN"/>
        </w:rPr>
        <w:t>savaitę nustatytas reikšmingas</w:t>
      </w:r>
      <w:r w:rsidR="009A00DA" w:rsidRPr="001839C2">
        <w:rPr>
          <w:rFonts w:eastAsiaTheme="minorEastAsia"/>
          <w:snapToGrid/>
          <w:szCs w:val="22"/>
          <w:lang w:val="lt-LT" w:eastAsia="en-IN"/>
        </w:rPr>
        <w:t xml:space="preserve"> </w:t>
      </w:r>
      <w:r w:rsidRPr="001839C2">
        <w:rPr>
          <w:rFonts w:eastAsiaTheme="minorEastAsia"/>
          <w:snapToGrid/>
          <w:szCs w:val="22"/>
          <w:lang w:val="lt-LT" w:eastAsia="en-IN"/>
        </w:rPr>
        <w:t>(&gt;</w:t>
      </w:r>
      <w:r w:rsidR="009A00DA" w:rsidRPr="001839C2">
        <w:rPr>
          <w:rFonts w:eastAsiaTheme="minorEastAsia"/>
          <w:snapToGrid/>
          <w:szCs w:val="22"/>
          <w:lang w:val="lt-LT" w:eastAsia="en-IN"/>
        </w:rPr>
        <w:t> </w:t>
      </w:r>
      <w:r w:rsidRPr="001839C2">
        <w:rPr>
          <w:rFonts w:eastAsiaTheme="minorEastAsia"/>
          <w:snapToGrid/>
          <w:szCs w:val="22"/>
          <w:lang w:val="lt-LT" w:eastAsia="en-IN"/>
        </w:rPr>
        <w:t>4</w:t>
      </w:r>
      <w:r w:rsidR="009A00DA" w:rsidRPr="001839C2">
        <w:rPr>
          <w:rFonts w:eastAsiaTheme="minorEastAsia"/>
          <w:snapToGrid/>
          <w:szCs w:val="22"/>
          <w:lang w:val="lt-LT" w:eastAsia="en-IN"/>
        </w:rPr>
        <w:t> </w:t>
      </w:r>
      <w:r w:rsidRPr="001839C2">
        <w:rPr>
          <w:rFonts w:eastAsiaTheme="minorEastAsia"/>
          <w:snapToGrid/>
          <w:szCs w:val="22"/>
          <w:lang w:val="lt-LT" w:eastAsia="en-IN"/>
        </w:rPr>
        <w:t>%) juosmeninės stuburo dalies KMT</w:t>
      </w:r>
      <w:r w:rsidR="009A00DA" w:rsidRPr="001839C2">
        <w:rPr>
          <w:rFonts w:eastAsiaTheme="minorEastAsia"/>
          <w:snapToGrid/>
          <w:szCs w:val="22"/>
          <w:lang w:val="lt-LT" w:eastAsia="en-IN"/>
        </w:rPr>
        <w:t> </w:t>
      </w:r>
      <w:r w:rsidRPr="001839C2">
        <w:rPr>
          <w:rFonts w:eastAsiaTheme="minorEastAsia"/>
          <w:snapToGrid/>
          <w:szCs w:val="22"/>
          <w:lang w:val="lt-LT" w:eastAsia="en-IN"/>
        </w:rPr>
        <w:t>sumažėjimas, tokio sumažėjimo stavudino arba zidovudino grupėje nenustatyta nė vienam tiriamajam. 64</w:t>
      </w:r>
      <w:r w:rsidR="009A00DA" w:rsidRPr="001839C2">
        <w:rPr>
          <w:rFonts w:eastAsiaTheme="minorEastAsia"/>
          <w:snapToGrid/>
          <w:szCs w:val="22"/>
          <w:lang w:val="lt-LT" w:eastAsia="en-IN"/>
        </w:rPr>
        <w:t> </w:t>
      </w:r>
      <w:r w:rsidRPr="001839C2">
        <w:rPr>
          <w:rFonts w:eastAsiaTheme="minorEastAsia"/>
          <w:snapToGrid/>
          <w:szCs w:val="22"/>
          <w:lang w:val="lt-LT" w:eastAsia="en-IN"/>
        </w:rPr>
        <w:t>tiriamiesiems,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gydytiems 96</w:t>
      </w:r>
      <w:r w:rsidR="009A00DA" w:rsidRPr="001839C2">
        <w:rPr>
          <w:rFonts w:eastAsiaTheme="minorEastAsia"/>
          <w:snapToGrid/>
          <w:szCs w:val="22"/>
          <w:lang w:val="lt-LT" w:eastAsia="en-IN"/>
        </w:rPr>
        <w:t> </w:t>
      </w:r>
      <w:r w:rsidRPr="001839C2">
        <w:rPr>
          <w:rFonts w:eastAsiaTheme="minorEastAsia"/>
          <w:snapToGrid/>
          <w:szCs w:val="22"/>
          <w:lang w:val="lt-LT" w:eastAsia="en-IN"/>
        </w:rPr>
        <w:t>savaites, KMT</w:t>
      </w:r>
      <w:r w:rsidR="009A00DA" w:rsidRPr="001839C2">
        <w:rPr>
          <w:rFonts w:eastAsiaTheme="minorEastAsia"/>
          <w:snapToGrid/>
          <w:szCs w:val="22"/>
          <w:lang w:val="lt-LT" w:eastAsia="en-IN"/>
        </w:rPr>
        <w:t> </w:t>
      </w:r>
      <w:r w:rsidRPr="001839C2">
        <w:rPr>
          <w:rFonts w:eastAsiaTheme="minorEastAsia"/>
          <w:snapToGrid/>
          <w:szCs w:val="22"/>
          <w:lang w:val="lt-LT" w:eastAsia="en-IN"/>
        </w:rPr>
        <w:t>Z</w:t>
      </w:r>
      <w:r w:rsidR="009A00DA" w:rsidRPr="001839C2">
        <w:rPr>
          <w:rFonts w:eastAsiaTheme="minorEastAsia"/>
          <w:snapToGrid/>
          <w:szCs w:val="22"/>
          <w:lang w:val="lt-LT" w:eastAsia="en-IN"/>
        </w:rPr>
        <w:t> </w:t>
      </w:r>
      <w:r w:rsidRPr="001839C2">
        <w:rPr>
          <w:rFonts w:eastAsiaTheme="minorEastAsia"/>
          <w:snapToGrid/>
          <w:szCs w:val="22"/>
          <w:lang w:val="lt-LT" w:eastAsia="en-IN"/>
        </w:rPr>
        <w:t>rodikli</w:t>
      </w:r>
      <w:r w:rsidR="009A00DA" w:rsidRPr="001839C2">
        <w:rPr>
          <w:rFonts w:eastAsiaTheme="minorEastAsia"/>
          <w:snapToGrid/>
          <w:szCs w:val="22"/>
          <w:lang w:val="lt-LT" w:eastAsia="en-IN"/>
        </w:rPr>
        <w:t>s</w:t>
      </w:r>
      <w:r w:rsidRPr="001839C2">
        <w:rPr>
          <w:rFonts w:eastAsiaTheme="minorEastAsia"/>
          <w:snapToGrid/>
          <w:szCs w:val="22"/>
          <w:lang w:val="lt-LT" w:eastAsia="en-IN"/>
        </w:rPr>
        <w:t xml:space="preserve"> vertinant juosmeninę stuburo dalį sumažėjo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0,012</w:t>
      </w:r>
      <w:r w:rsidR="009A00DA" w:rsidRPr="001839C2">
        <w:rPr>
          <w:rFonts w:eastAsiaTheme="minorEastAsia"/>
          <w:snapToGrid/>
          <w:szCs w:val="22"/>
          <w:lang w:val="lt-LT" w:eastAsia="en-IN"/>
        </w:rPr>
        <w:t>,</w:t>
      </w:r>
      <w:r w:rsidRPr="001839C2">
        <w:rPr>
          <w:rFonts w:eastAsiaTheme="minorEastAsia"/>
          <w:snapToGrid/>
          <w:szCs w:val="22"/>
          <w:lang w:val="lt-LT" w:eastAsia="en-IN"/>
        </w:rPr>
        <w:t xml:space="preserve"> vertinant visą kūną </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0,338. KMT</w:t>
      </w:r>
      <w:r w:rsidR="009A00DA" w:rsidRPr="001839C2">
        <w:rPr>
          <w:rFonts w:eastAsiaTheme="minorEastAsia"/>
          <w:snapToGrid/>
          <w:szCs w:val="22"/>
          <w:lang w:val="lt-LT" w:eastAsia="en-IN"/>
        </w:rPr>
        <w:t> </w:t>
      </w:r>
      <w:r w:rsidRPr="001839C2">
        <w:rPr>
          <w:rFonts w:eastAsiaTheme="minorEastAsia"/>
          <w:snapToGrid/>
          <w:szCs w:val="22"/>
          <w:lang w:val="lt-LT" w:eastAsia="en-IN"/>
        </w:rPr>
        <w:t>Z</w:t>
      </w:r>
      <w:r w:rsidR="009A00DA" w:rsidRPr="001839C2">
        <w:rPr>
          <w:rFonts w:eastAsiaTheme="minorEastAsia"/>
          <w:snapToGrid/>
          <w:szCs w:val="22"/>
          <w:lang w:val="lt-LT" w:eastAsia="en-IN"/>
        </w:rPr>
        <w:t> </w:t>
      </w:r>
      <w:r w:rsidRPr="001839C2">
        <w:rPr>
          <w:rFonts w:eastAsiaTheme="minorEastAsia"/>
          <w:snapToGrid/>
          <w:szCs w:val="22"/>
          <w:lang w:val="lt-LT" w:eastAsia="en-IN"/>
        </w:rPr>
        <w:t>rodikliai pagal ūgį ir kūno masę koreguoti nebuvo.</w:t>
      </w:r>
    </w:p>
    <w:p w14:paraId="40C90205"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7A5F45CA" w14:textId="5815EC9C"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Tyrimo</w:t>
      </w:r>
      <w:r w:rsidR="009A00DA" w:rsidRPr="001839C2">
        <w:rPr>
          <w:rFonts w:eastAsiaTheme="minorEastAsia"/>
          <w:snapToGrid/>
          <w:szCs w:val="22"/>
          <w:lang w:val="lt-LT" w:eastAsia="en-IN"/>
        </w:rPr>
        <w:t> </w:t>
      </w:r>
      <w:r w:rsidRPr="001839C2">
        <w:rPr>
          <w:rFonts w:eastAsiaTheme="minorEastAsia"/>
          <w:snapToGrid/>
          <w:szCs w:val="22"/>
          <w:lang w:val="lt-LT" w:eastAsia="en-IN"/>
        </w:rPr>
        <w:t>GS</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US</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104</w:t>
      </w:r>
      <w:r w:rsidR="009A00DA" w:rsidRPr="001839C2">
        <w:rPr>
          <w:rFonts w:eastAsiaTheme="minorEastAsia"/>
          <w:snapToGrid/>
          <w:szCs w:val="22"/>
          <w:lang w:val="lt-LT" w:eastAsia="en-IN"/>
        </w:rPr>
        <w:noBreakHyphen/>
      </w:r>
      <w:r w:rsidRPr="001839C2">
        <w:rPr>
          <w:rFonts w:eastAsiaTheme="minorEastAsia"/>
          <w:snapToGrid/>
          <w:szCs w:val="22"/>
          <w:lang w:val="lt-LT" w:eastAsia="en-IN"/>
        </w:rPr>
        <w:t xml:space="preserve">0352 metu </w:t>
      </w:r>
      <w:r w:rsidR="003E7B5B" w:rsidRPr="001839C2">
        <w:rPr>
          <w:rFonts w:eastAsiaTheme="minorEastAsia"/>
          <w:snapToGrid/>
          <w:szCs w:val="22"/>
          <w:lang w:val="lt-LT" w:eastAsia="en-IN"/>
        </w:rPr>
        <w:t>8</w:t>
      </w:r>
      <w:r w:rsidRPr="001839C2">
        <w:rPr>
          <w:rFonts w:eastAsiaTheme="minorEastAsia"/>
          <w:snapToGrid/>
          <w:szCs w:val="22"/>
          <w:lang w:val="lt-LT" w:eastAsia="en-IN"/>
        </w:rPr>
        <w:t xml:space="preserve"> iš 89 tenofovir</w:t>
      </w:r>
      <w:r w:rsidR="00A45872" w:rsidRPr="001839C2">
        <w:rPr>
          <w:rFonts w:eastAsiaTheme="minorEastAsia"/>
          <w:snapToGrid/>
          <w:szCs w:val="22"/>
          <w:lang w:val="lt-LT" w:eastAsia="en-IN"/>
        </w:rPr>
        <w:t>u</w:t>
      </w:r>
      <w:r w:rsidRPr="001839C2">
        <w:rPr>
          <w:rFonts w:eastAsiaTheme="minorEastAsia"/>
          <w:snapToGrid/>
          <w:szCs w:val="22"/>
          <w:lang w:val="lt-LT" w:eastAsia="en-IN"/>
        </w:rPr>
        <w:t xml:space="preserve"> dizoproksiliu gydytų pacientų vaikų </w:t>
      </w:r>
      <w:r w:rsidR="003E7B5B" w:rsidRPr="001839C2">
        <w:rPr>
          <w:rFonts w:eastAsiaTheme="minorEastAsia"/>
          <w:snapToGrid/>
          <w:szCs w:val="22"/>
          <w:lang w:val="lt-LT" w:eastAsia="en-IN"/>
        </w:rPr>
        <w:t>(9,0</w:t>
      </w:r>
      <w:r w:rsidR="00BF22A9" w:rsidRPr="001839C2">
        <w:rPr>
          <w:rFonts w:eastAsiaTheme="minorEastAsia"/>
          <w:snapToGrid/>
          <w:szCs w:val="22"/>
          <w:lang w:val="lt-LT" w:eastAsia="en-IN"/>
        </w:rPr>
        <w:t> </w:t>
      </w:r>
      <w:r w:rsidR="003E7B5B" w:rsidRPr="001839C2">
        <w:rPr>
          <w:rFonts w:eastAsiaTheme="minorEastAsia"/>
          <w:snapToGrid/>
          <w:szCs w:val="22"/>
          <w:lang w:val="lt-LT" w:eastAsia="en-IN"/>
        </w:rPr>
        <w:t xml:space="preserve">%) </w:t>
      </w:r>
      <w:r w:rsidRPr="001839C2">
        <w:rPr>
          <w:rFonts w:eastAsiaTheme="minorEastAsia"/>
          <w:snapToGrid/>
          <w:szCs w:val="22"/>
          <w:lang w:val="lt-LT" w:eastAsia="en-IN"/>
        </w:rPr>
        <w:t xml:space="preserve">tiriamojo </w:t>
      </w:r>
      <w:r w:rsidR="003E7B5B" w:rsidRPr="001839C2">
        <w:rPr>
          <w:rFonts w:eastAsiaTheme="minorEastAsia"/>
          <w:snapToGrid/>
          <w:szCs w:val="22"/>
          <w:lang w:val="lt-LT" w:eastAsia="en-IN"/>
        </w:rPr>
        <w:t xml:space="preserve">vaisto </w:t>
      </w:r>
      <w:r w:rsidRPr="001839C2">
        <w:rPr>
          <w:rFonts w:eastAsiaTheme="minorEastAsia"/>
          <w:snapToGrid/>
          <w:szCs w:val="22"/>
          <w:lang w:val="lt-LT" w:eastAsia="en-IN"/>
        </w:rPr>
        <w:t xml:space="preserve">vartojimas buvo nutrauktas dėl nepageidaujamų reiškinių, susijusių su </w:t>
      </w:r>
      <w:r w:rsidR="003E7B5B" w:rsidRPr="001839C2">
        <w:rPr>
          <w:rFonts w:eastAsiaTheme="minorEastAsia"/>
          <w:snapToGrid/>
          <w:szCs w:val="22"/>
          <w:lang w:val="lt-LT" w:eastAsia="en-IN"/>
        </w:rPr>
        <w:t>inkstais. Penkių tiriamųjų (5,6</w:t>
      </w:r>
      <w:r w:rsidR="00BF22A9" w:rsidRPr="001839C2">
        <w:rPr>
          <w:rFonts w:eastAsiaTheme="minorEastAsia"/>
          <w:snapToGrid/>
          <w:szCs w:val="22"/>
          <w:lang w:val="lt-LT" w:eastAsia="en-IN"/>
        </w:rPr>
        <w:t> </w:t>
      </w:r>
      <w:r w:rsidR="003E7B5B" w:rsidRPr="001839C2">
        <w:rPr>
          <w:rFonts w:eastAsiaTheme="minorEastAsia"/>
          <w:snapToGrid/>
          <w:szCs w:val="22"/>
          <w:lang w:val="lt-LT" w:eastAsia="en-IN"/>
        </w:rPr>
        <w:t xml:space="preserve">%) laboratoriniai rodikliai kliniškai atitiko </w:t>
      </w:r>
      <w:r w:rsidRPr="001839C2">
        <w:rPr>
          <w:rFonts w:eastAsiaTheme="minorEastAsia"/>
          <w:snapToGrid/>
          <w:szCs w:val="22"/>
          <w:lang w:val="lt-LT" w:eastAsia="en-IN"/>
        </w:rPr>
        <w:t>proksimalin</w:t>
      </w:r>
      <w:r w:rsidR="003E7B5B" w:rsidRPr="001839C2">
        <w:rPr>
          <w:rFonts w:eastAsiaTheme="minorEastAsia"/>
          <w:snapToGrid/>
          <w:szCs w:val="22"/>
          <w:lang w:val="lt-LT" w:eastAsia="en-IN"/>
        </w:rPr>
        <w:t>ę</w:t>
      </w:r>
      <w:r w:rsidRPr="001839C2">
        <w:rPr>
          <w:rFonts w:eastAsiaTheme="minorEastAsia"/>
          <w:snapToGrid/>
          <w:szCs w:val="22"/>
          <w:lang w:val="lt-LT" w:eastAsia="en-IN"/>
        </w:rPr>
        <w:t xml:space="preserve"> inkstų tubulopatij</w:t>
      </w:r>
      <w:r w:rsidR="003E7B5B" w:rsidRPr="001839C2">
        <w:rPr>
          <w:rFonts w:eastAsiaTheme="minorEastAsia"/>
          <w:snapToGrid/>
          <w:szCs w:val="22"/>
          <w:lang w:val="lt-LT" w:eastAsia="en-IN"/>
        </w:rPr>
        <w:t>ą, 4 iš jų tenofoviro dizoproksilio vartojimą nutraukė</w:t>
      </w:r>
      <w:r w:rsidRPr="001839C2">
        <w:rPr>
          <w:rFonts w:eastAsiaTheme="minorEastAsia"/>
          <w:snapToGrid/>
          <w:szCs w:val="22"/>
          <w:lang w:val="lt-LT" w:eastAsia="en-IN"/>
        </w:rPr>
        <w:t xml:space="preserve"> (tenofoviro dizoproksilio vartojimo mediana buvo </w:t>
      </w:r>
      <w:r w:rsidR="00E16834" w:rsidRPr="001839C2">
        <w:rPr>
          <w:rFonts w:eastAsiaTheme="minorEastAsia"/>
          <w:snapToGrid/>
          <w:szCs w:val="22"/>
          <w:lang w:val="lt-LT" w:eastAsia="en-IN"/>
        </w:rPr>
        <w:t>331</w:t>
      </w:r>
      <w:r w:rsidR="009A00DA" w:rsidRPr="001839C2">
        <w:rPr>
          <w:rFonts w:eastAsiaTheme="minorEastAsia"/>
          <w:snapToGrid/>
          <w:szCs w:val="22"/>
          <w:lang w:val="lt-LT" w:eastAsia="en-IN"/>
        </w:rPr>
        <w:t> </w:t>
      </w:r>
      <w:r w:rsidRPr="001839C2">
        <w:rPr>
          <w:rFonts w:eastAsiaTheme="minorEastAsia"/>
          <w:snapToGrid/>
          <w:szCs w:val="22"/>
          <w:lang w:val="lt-LT" w:eastAsia="en-IN"/>
        </w:rPr>
        <w:t>savaitė).</w:t>
      </w:r>
    </w:p>
    <w:p w14:paraId="34055DA1"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CE5BE15"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u w:val="single"/>
          <w:lang w:val="lt-LT" w:eastAsia="en-IN"/>
        </w:rPr>
      </w:pPr>
      <w:r w:rsidRPr="001839C2">
        <w:rPr>
          <w:rFonts w:eastAsiaTheme="minorEastAsia"/>
          <w:i/>
          <w:iCs/>
          <w:snapToGrid/>
          <w:szCs w:val="22"/>
          <w:u w:val="single"/>
          <w:lang w:val="lt-LT" w:eastAsia="en-IN"/>
        </w:rPr>
        <w:t>Priešekspozicinė profilaktika vaikų populiacijoje</w:t>
      </w:r>
    </w:p>
    <w:p w14:paraId="24BA083E" w14:textId="0A342951"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Manoma, kad </w:t>
      </w:r>
      <w:r w:rsidR="009A00DA" w:rsidRPr="001839C2">
        <w:rPr>
          <w:rFonts w:eastAsiaTheme="minorHAnsi"/>
          <w:snapToGrid/>
          <w:szCs w:val="22"/>
          <w:lang w:val="lt-LT"/>
        </w:rPr>
        <w:t>e</w:t>
      </w:r>
      <w:r w:rsidRPr="001839C2">
        <w:rPr>
          <w:rFonts w:eastAsiaTheme="minorHAnsi"/>
          <w:snapToGrid/>
          <w:szCs w:val="22"/>
          <w:lang w:val="lt-LT"/>
        </w:rPr>
        <w:t>mtricitabino</w:t>
      </w:r>
      <w:r w:rsidR="009A00DA" w:rsidRPr="001839C2">
        <w:rPr>
          <w:rFonts w:eastAsiaTheme="minorHAnsi"/>
          <w:snapToGrid/>
          <w:szCs w:val="22"/>
          <w:lang w:val="lt-LT"/>
        </w:rPr>
        <w:t xml:space="preserve"> ir </w:t>
      </w:r>
      <w:r w:rsidRPr="001839C2">
        <w:rPr>
          <w:rFonts w:eastAsiaTheme="minorHAnsi"/>
          <w:snapToGrid/>
          <w:szCs w:val="22"/>
          <w:lang w:val="lt-LT"/>
        </w:rPr>
        <w:t>tenofoviro dizoproksil</w:t>
      </w:r>
      <w:r w:rsidR="00C37D10" w:rsidRPr="001839C2">
        <w:rPr>
          <w:rFonts w:eastAsiaTheme="minorHAnsi"/>
          <w:snapToGrid/>
          <w:szCs w:val="22"/>
          <w:lang w:val="lt-LT"/>
        </w:rPr>
        <w:t>i</w:t>
      </w:r>
      <w:r w:rsidRPr="001839C2">
        <w:rPr>
          <w:rFonts w:eastAsiaTheme="minorHAnsi"/>
          <w:snapToGrid/>
          <w:szCs w:val="22"/>
          <w:lang w:val="lt-LT"/>
        </w:rPr>
        <w:t>o</w:t>
      </w:r>
      <w:r w:rsidR="009A00DA" w:rsidRPr="001839C2">
        <w:rPr>
          <w:rFonts w:eastAsiaTheme="minorHAnsi"/>
          <w:snapToGrid/>
          <w:szCs w:val="22"/>
          <w:lang w:val="lt-LT"/>
        </w:rPr>
        <w:t xml:space="preserve"> derinio</w:t>
      </w:r>
      <w:r w:rsidRPr="001839C2" w:rsidDel="00B44473">
        <w:rPr>
          <w:rFonts w:eastAsiaTheme="minorEastAsia"/>
          <w:snapToGrid/>
          <w:szCs w:val="22"/>
          <w:lang w:val="lt-LT" w:eastAsia="en-IN"/>
        </w:rPr>
        <w:t xml:space="preserve"> </w:t>
      </w:r>
      <w:r w:rsidRPr="001839C2">
        <w:rPr>
          <w:rFonts w:eastAsiaTheme="minorEastAsia"/>
          <w:snapToGrid/>
          <w:szCs w:val="22"/>
          <w:lang w:val="lt-LT" w:eastAsia="en-IN"/>
        </w:rPr>
        <w:t xml:space="preserve">veiksmingumas ir saugumas jo skiriant priešekspozicinei profilaktikai paaugliams, kurie laikosi kasdienio vartojimo nurodymų, yra panašūs kaip ir suaugusiųjų, besilaikančių tokių pačių nurodymų. Poveikio inkstams ir kaulams tikimybė, paaugliams ilgą laiką vartojant </w:t>
      </w:r>
      <w:r w:rsidR="009A00DA" w:rsidRPr="001839C2">
        <w:rPr>
          <w:rFonts w:eastAsiaTheme="minorHAnsi"/>
          <w:snapToGrid/>
          <w:szCs w:val="22"/>
          <w:lang w:val="lt-LT"/>
        </w:rPr>
        <w:t>e</w:t>
      </w:r>
      <w:r w:rsidRPr="001839C2">
        <w:rPr>
          <w:rFonts w:eastAsiaTheme="minorHAnsi"/>
          <w:snapToGrid/>
          <w:szCs w:val="22"/>
          <w:lang w:val="lt-LT"/>
        </w:rPr>
        <w:t>mtricitabino</w:t>
      </w:r>
      <w:r w:rsidR="009A00DA" w:rsidRPr="001839C2">
        <w:rPr>
          <w:rFonts w:eastAsiaTheme="minorHAnsi"/>
          <w:snapToGrid/>
          <w:szCs w:val="22"/>
          <w:lang w:val="lt-LT"/>
        </w:rPr>
        <w:t xml:space="preserve"> ir </w:t>
      </w:r>
      <w:r w:rsidRPr="001839C2">
        <w:rPr>
          <w:rFonts w:eastAsiaTheme="minorHAnsi"/>
          <w:snapToGrid/>
          <w:szCs w:val="22"/>
          <w:lang w:val="lt-LT"/>
        </w:rPr>
        <w:t>tenofoviro dizoproksil</w:t>
      </w:r>
      <w:r w:rsidR="00C37D10" w:rsidRPr="001839C2">
        <w:rPr>
          <w:rFonts w:eastAsiaTheme="minorHAnsi"/>
          <w:snapToGrid/>
          <w:szCs w:val="22"/>
          <w:lang w:val="lt-LT"/>
        </w:rPr>
        <w:t>i</w:t>
      </w:r>
      <w:r w:rsidRPr="001839C2">
        <w:rPr>
          <w:rFonts w:eastAsiaTheme="minorHAnsi"/>
          <w:snapToGrid/>
          <w:szCs w:val="22"/>
          <w:lang w:val="lt-LT"/>
        </w:rPr>
        <w:t>o</w:t>
      </w:r>
      <w:r w:rsidR="009A00DA" w:rsidRPr="001839C2">
        <w:rPr>
          <w:rFonts w:eastAsiaTheme="minorHAnsi"/>
          <w:snapToGrid/>
          <w:szCs w:val="22"/>
          <w:lang w:val="lt-LT"/>
        </w:rPr>
        <w:t xml:space="preserve"> derinio</w:t>
      </w:r>
      <w:r w:rsidRPr="001839C2" w:rsidDel="00B44473">
        <w:rPr>
          <w:rFonts w:eastAsiaTheme="minorEastAsia"/>
          <w:snapToGrid/>
          <w:szCs w:val="22"/>
          <w:lang w:val="lt-LT" w:eastAsia="en-IN"/>
        </w:rPr>
        <w:t xml:space="preserve"> </w:t>
      </w:r>
      <w:r w:rsidRPr="001839C2">
        <w:rPr>
          <w:rFonts w:eastAsiaTheme="minorEastAsia"/>
          <w:snapToGrid/>
          <w:szCs w:val="22"/>
          <w:lang w:val="lt-LT" w:eastAsia="en-IN"/>
        </w:rPr>
        <w:t xml:space="preserve">priešekspozicinei profilaktikai, </w:t>
      </w:r>
      <w:r w:rsidR="002309B5" w:rsidRPr="002309B5">
        <w:rPr>
          <w:rFonts w:eastAsiaTheme="minorEastAsia"/>
          <w:snapToGrid/>
          <w:szCs w:val="22"/>
          <w:lang w:val="lt-LT" w:eastAsia="en-IN"/>
        </w:rPr>
        <w:t>nėra aiški</w:t>
      </w:r>
      <w:r w:rsidRPr="001839C2">
        <w:rPr>
          <w:rFonts w:eastAsiaTheme="minorEastAsia"/>
          <w:snapToGrid/>
          <w:szCs w:val="22"/>
          <w:lang w:val="lt-LT" w:eastAsia="en-IN"/>
        </w:rPr>
        <w:t xml:space="preserve"> (žr.</w:t>
      </w:r>
      <w:r w:rsidR="009A00DA" w:rsidRPr="001839C2">
        <w:rPr>
          <w:rFonts w:eastAsiaTheme="minorEastAsia"/>
          <w:snapToGrid/>
          <w:szCs w:val="22"/>
          <w:lang w:val="lt-LT" w:eastAsia="en-IN"/>
        </w:rPr>
        <w:t> </w:t>
      </w:r>
      <w:r w:rsidRPr="001839C2">
        <w:rPr>
          <w:rFonts w:eastAsiaTheme="minorEastAsia"/>
          <w:snapToGrid/>
          <w:szCs w:val="22"/>
          <w:lang w:val="lt-LT" w:eastAsia="en-IN"/>
        </w:rPr>
        <w:t>4.4</w:t>
      </w:r>
      <w:r w:rsidR="009A00DA" w:rsidRPr="001839C2">
        <w:rPr>
          <w:rFonts w:eastAsiaTheme="minorEastAsia"/>
          <w:snapToGrid/>
          <w:szCs w:val="22"/>
          <w:lang w:val="lt-LT" w:eastAsia="en-IN"/>
        </w:rPr>
        <w:t> </w:t>
      </w:r>
      <w:r w:rsidRPr="001839C2">
        <w:rPr>
          <w:rFonts w:eastAsiaTheme="minorEastAsia"/>
          <w:snapToGrid/>
          <w:szCs w:val="22"/>
          <w:lang w:val="lt-LT" w:eastAsia="en-IN"/>
        </w:rPr>
        <w:t>skyrių).</w:t>
      </w:r>
    </w:p>
    <w:p w14:paraId="0FDAF97C"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EA1BE0C" w14:textId="77777777" w:rsidR="002A5F50" w:rsidRPr="001839C2" w:rsidRDefault="002A5F50" w:rsidP="00230559">
      <w:pPr>
        <w:widowControl w:val="0"/>
        <w:numPr>
          <w:ilvl w:val="1"/>
          <w:numId w:val="29"/>
        </w:numPr>
        <w:tabs>
          <w:tab w:val="left" w:pos="0"/>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Farmakokinetinės savybės</w:t>
      </w:r>
    </w:p>
    <w:p w14:paraId="7E04AE71"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14A52E53"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Absorbcija</w:t>
      </w:r>
    </w:p>
    <w:p w14:paraId="1FEED0A4"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Vienos </w:t>
      </w:r>
      <w:r w:rsidR="00A15C89" w:rsidRPr="001839C2">
        <w:rPr>
          <w:rFonts w:eastAsiaTheme="minorHAnsi"/>
          <w:snapToGrid/>
          <w:szCs w:val="22"/>
          <w:lang w:val="lt-LT"/>
        </w:rPr>
        <w:t>e</w:t>
      </w:r>
      <w:r w:rsidRPr="001839C2">
        <w:rPr>
          <w:rFonts w:eastAsiaTheme="minorHAnsi"/>
          <w:snapToGrid/>
          <w:szCs w:val="22"/>
          <w:lang w:val="lt-LT"/>
        </w:rPr>
        <w:t>mtricitabin</w:t>
      </w:r>
      <w:r w:rsidR="00A15C89" w:rsidRPr="001839C2">
        <w:rPr>
          <w:rFonts w:eastAsiaTheme="minorHAnsi"/>
          <w:snapToGrid/>
          <w:szCs w:val="22"/>
          <w:lang w:val="lt-LT"/>
        </w:rPr>
        <w:t>o ir t</w:t>
      </w:r>
      <w:r w:rsidRPr="001839C2">
        <w:rPr>
          <w:rFonts w:eastAsiaTheme="minorHAnsi"/>
          <w:snapToGrid/>
          <w:szCs w:val="22"/>
          <w:lang w:val="lt-LT"/>
        </w:rPr>
        <w:t>enofovir</w:t>
      </w:r>
      <w:r w:rsidR="00A15C89" w:rsidRPr="001839C2">
        <w:rPr>
          <w:rFonts w:eastAsiaTheme="minorHAnsi"/>
          <w:snapToGrid/>
          <w:szCs w:val="22"/>
          <w:lang w:val="lt-LT"/>
        </w:rPr>
        <w:t>o</w:t>
      </w:r>
      <w:r w:rsidRPr="001839C2">
        <w:rPr>
          <w:rFonts w:eastAsiaTheme="minorHAnsi"/>
          <w:snapToGrid/>
          <w:szCs w:val="22"/>
          <w:lang w:val="lt-LT"/>
        </w:rPr>
        <w:t xml:space="preserve"> di</w:t>
      </w:r>
      <w:r w:rsidR="00A15C89" w:rsidRPr="001839C2">
        <w:rPr>
          <w:rFonts w:eastAsiaTheme="minorHAnsi"/>
          <w:snapToGrid/>
          <w:szCs w:val="22"/>
          <w:lang w:val="lt-LT"/>
        </w:rPr>
        <w:t>z</w:t>
      </w:r>
      <w:r w:rsidRPr="001839C2">
        <w:rPr>
          <w:rFonts w:eastAsiaTheme="minorHAnsi"/>
          <w:snapToGrid/>
          <w:szCs w:val="22"/>
          <w:lang w:val="lt-LT"/>
        </w:rPr>
        <w:t>opro</w:t>
      </w:r>
      <w:r w:rsidR="00A15C89" w:rsidRPr="001839C2">
        <w:rPr>
          <w:rFonts w:eastAsiaTheme="minorHAnsi"/>
          <w:snapToGrid/>
          <w:szCs w:val="22"/>
          <w:lang w:val="lt-LT"/>
        </w:rPr>
        <w:t>ks</w:t>
      </w:r>
      <w:r w:rsidRPr="001839C2">
        <w:rPr>
          <w:rFonts w:eastAsiaTheme="minorHAnsi"/>
          <w:snapToGrid/>
          <w:szCs w:val="22"/>
          <w:lang w:val="lt-LT"/>
        </w:rPr>
        <w:t>il</w:t>
      </w:r>
      <w:r w:rsidR="00A15C89" w:rsidRPr="001839C2">
        <w:rPr>
          <w:rFonts w:eastAsiaTheme="minorHAnsi"/>
          <w:snapToGrid/>
          <w:szCs w:val="22"/>
          <w:lang w:val="lt-LT"/>
        </w:rPr>
        <w:t>i</w:t>
      </w:r>
      <w:r w:rsidRPr="001839C2">
        <w:rPr>
          <w:rFonts w:eastAsiaTheme="minorHAnsi"/>
          <w:snapToGrid/>
          <w:szCs w:val="22"/>
          <w:lang w:val="lt-LT"/>
        </w:rPr>
        <w:t>o</w:t>
      </w:r>
      <w:r w:rsidR="00A15C89" w:rsidRPr="001839C2">
        <w:rPr>
          <w:rFonts w:eastAsiaTheme="minorHAnsi"/>
          <w:snapToGrid/>
          <w:szCs w:val="22"/>
          <w:lang w:val="lt-LT"/>
        </w:rPr>
        <w:t xml:space="preserve"> </w:t>
      </w:r>
      <w:r w:rsidRPr="001839C2">
        <w:rPr>
          <w:rFonts w:eastAsiaTheme="minorHAnsi"/>
          <w:snapToGrid/>
          <w:szCs w:val="22"/>
          <w:lang w:val="lt-LT"/>
        </w:rPr>
        <w:t>d</w:t>
      </w:r>
      <w:r w:rsidR="00A15C89" w:rsidRPr="001839C2">
        <w:rPr>
          <w:rFonts w:eastAsiaTheme="minorHAnsi"/>
          <w:snapToGrid/>
          <w:szCs w:val="22"/>
          <w:lang w:val="lt-LT"/>
        </w:rPr>
        <w:t>e</w:t>
      </w:r>
      <w:r w:rsidRPr="001839C2">
        <w:rPr>
          <w:rFonts w:eastAsiaTheme="minorHAnsi"/>
          <w:snapToGrid/>
          <w:szCs w:val="22"/>
          <w:lang w:val="lt-LT"/>
        </w:rPr>
        <w:t>r</w:t>
      </w:r>
      <w:r w:rsidR="00A15C89" w:rsidRPr="001839C2">
        <w:rPr>
          <w:rFonts w:eastAsiaTheme="minorHAnsi"/>
          <w:snapToGrid/>
          <w:szCs w:val="22"/>
          <w:lang w:val="lt-LT"/>
        </w:rPr>
        <w:t>inio 200 mg/245 mg plėvele dengtos tabletės</w:t>
      </w:r>
      <w:r w:rsidRPr="001839C2">
        <w:rPr>
          <w:rFonts w:eastAsiaTheme="minorHAnsi"/>
          <w:snapToGrid/>
          <w:szCs w:val="22"/>
          <w:lang w:val="lt-LT"/>
        </w:rPr>
        <w:t xml:space="preserve"> </w:t>
      </w:r>
      <w:r w:rsidRPr="001839C2">
        <w:rPr>
          <w:rFonts w:eastAsiaTheme="minorEastAsia"/>
          <w:snapToGrid/>
          <w:szCs w:val="22"/>
          <w:lang w:val="lt-LT" w:eastAsia="en-IN"/>
        </w:rPr>
        <w:t>biologinis ekvivalentiškumas vienai emtricitabino 200</w:t>
      </w:r>
      <w:r w:rsidR="00A15C89" w:rsidRPr="001839C2">
        <w:rPr>
          <w:rFonts w:eastAsiaTheme="minorEastAsia"/>
          <w:snapToGrid/>
          <w:szCs w:val="22"/>
          <w:lang w:val="lt-LT" w:eastAsia="en-IN"/>
        </w:rPr>
        <w:t> </w:t>
      </w:r>
      <w:r w:rsidRPr="001839C2">
        <w:rPr>
          <w:rFonts w:eastAsiaTheme="minorEastAsia"/>
          <w:snapToGrid/>
          <w:szCs w:val="22"/>
          <w:lang w:val="lt-LT" w:eastAsia="en-IN"/>
        </w:rPr>
        <w:t>mg kieta</w:t>
      </w:r>
      <w:r w:rsidR="00A15C89" w:rsidRPr="001839C2">
        <w:rPr>
          <w:rFonts w:eastAsiaTheme="minorEastAsia"/>
          <w:snapToGrid/>
          <w:szCs w:val="22"/>
          <w:lang w:val="lt-LT" w:eastAsia="en-IN"/>
        </w:rPr>
        <w:t>ja</w:t>
      </w:r>
      <w:r w:rsidRPr="001839C2">
        <w:rPr>
          <w:rFonts w:eastAsiaTheme="minorEastAsia"/>
          <w:snapToGrid/>
          <w:szCs w:val="22"/>
          <w:lang w:val="lt-LT" w:eastAsia="en-IN"/>
        </w:rPr>
        <w:t>i kapsulei ir vienai tenofoviro dizoproksilio 245</w:t>
      </w:r>
      <w:r w:rsidR="00A15C89" w:rsidRPr="001839C2">
        <w:rPr>
          <w:rFonts w:eastAsiaTheme="minorEastAsia"/>
          <w:snapToGrid/>
          <w:szCs w:val="22"/>
          <w:lang w:val="lt-LT" w:eastAsia="en-IN"/>
        </w:rPr>
        <w:t> </w:t>
      </w:r>
      <w:r w:rsidRPr="001839C2">
        <w:rPr>
          <w:rFonts w:eastAsiaTheme="minorEastAsia"/>
          <w:snapToGrid/>
          <w:szCs w:val="22"/>
          <w:lang w:val="lt-LT" w:eastAsia="en-IN"/>
        </w:rPr>
        <w:t xml:space="preserve">mg plėvele dengtai tabletei buvo nustatytas po vienkartinės dozės vartojimo nevalgiusiems sveikiems asmenims. Sveikiems asmenims išgėrus </w:t>
      </w:r>
      <w:r w:rsidR="00A15C89" w:rsidRPr="001839C2">
        <w:rPr>
          <w:rFonts w:eastAsiaTheme="minorHAnsi"/>
          <w:snapToGrid/>
          <w:szCs w:val="22"/>
          <w:lang w:val="lt-LT"/>
        </w:rPr>
        <w:t>e</w:t>
      </w:r>
      <w:r w:rsidRPr="001839C2">
        <w:rPr>
          <w:rFonts w:eastAsiaTheme="minorHAnsi"/>
          <w:snapToGrid/>
          <w:szCs w:val="22"/>
          <w:lang w:val="lt-LT"/>
        </w:rPr>
        <w:t>mtricitabin</w:t>
      </w:r>
      <w:r w:rsidR="00A15C89" w:rsidRPr="001839C2">
        <w:rPr>
          <w:rFonts w:eastAsiaTheme="minorHAnsi"/>
          <w:snapToGrid/>
          <w:szCs w:val="22"/>
          <w:lang w:val="lt-LT"/>
        </w:rPr>
        <w:t>o ir t</w:t>
      </w:r>
      <w:r w:rsidRPr="001839C2">
        <w:rPr>
          <w:rFonts w:eastAsiaTheme="minorHAnsi"/>
          <w:snapToGrid/>
          <w:szCs w:val="22"/>
          <w:lang w:val="lt-LT"/>
        </w:rPr>
        <w:t>enofovir</w:t>
      </w:r>
      <w:r w:rsidR="00A15C89" w:rsidRPr="001839C2">
        <w:rPr>
          <w:rFonts w:eastAsiaTheme="minorHAnsi"/>
          <w:snapToGrid/>
          <w:szCs w:val="22"/>
          <w:lang w:val="lt-LT"/>
        </w:rPr>
        <w:t>o</w:t>
      </w:r>
      <w:r w:rsidRPr="001839C2">
        <w:rPr>
          <w:rFonts w:eastAsiaTheme="minorHAnsi"/>
          <w:snapToGrid/>
          <w:szCs w:val="22"/>
          <w:lang w:val="lt-LT"/>
        </w:rPr>
        <w:t xml:space="preserve"> di</w:t>
      </w:r>
      <w:r w:rsidR="00A15C89" w:rsidRPr="001839C2">
        <w:rPr>
          <w:rFonts w:eastAsiaTheme="minorHAnsi"/>
          <w:snapToGrid/>
          <w:szCs w:val="22"/>
          <w:lang w:val="lt-LT"/>
        </w:rPr>
        <w:t>z</w:t>
      </w:r>
      <w:r w:rsidRPr="001839C2">
        <w:rPr>
          <w:rFonts w:eastAsiaTheme="minorHAnsi"/>
          <w:snapToGrid/>
          <w:szCs w:val="22"/>
          <w:lang w:val="lt-LT"/>
        </w:rPr>
        <w:t>opro</w:t>
      </w:r>
      <w:r w:rsidR="00A15C89" w:rsidRPr="001839C2">
        <w:rPr>
          <w:rFonts w:eastAsiaTheme="minorHAnsi"/>
          <w:snapToGrid/>
          <w:szCs w:val="22"/>
          <w:lang w:val="lt-LT"/>
        </w:rPr>
        <w:t>ks</w:t>
      </w:r>
      <w:r w:rsidRPr="001839C2">
        <w:rPr>
          <w:rFonts w:eastAsiaTheme="minorHAnsi"/>
          <w:snapToGrid/>
          <w:szCs w:val="22"/>
          <w:lang w:val="lt-LT"/>
        </w:rPr>
        <w:t>il</w:t>
      </w:r>
      <w:r w:rsidR="00A15C89" w:rsidRPr="001839C2">
        <w:rPr>
          <w:rFonts w:eastAsiaTheme="minorHAnsi"/>
          <w:snapToGrid/>
          <w:szCs w:val="22"/>
          <w:lang w:val="lt-LT"/>
        </w:rPr>
        <w:t>i</w:t>
      </w:r>
      <w:r w:rsidRPr="001839C2">
        <w:rPr>
          <w:rFonts w:eastAsiaTheme="minorHAnsi"/>
          <w:snapToGrid/>
          <w:szCs w:val="22"/>
          <w:lang w:val="lt-LT"/>
        </w:rPr>
        <w:t>o</w:t>
      </w:r>
      <w:r w:rsidR="00A15C89" w:rsidRPr="001839C2">
        <w:rPr>
          <w:rFonts w:eastAsiaTheme="minorHAnsi"/>
          <w:snapToGrid/>
          <w:szCs w:val="22"/>
          <w:lang w:val="lt-LT"/>
        </w:rPr>
        <w:t xml:space="preserve"> </w:t>
      </w:r>
      <w:r w:rsidRPr="001839C2">
        <w:rPr>
          <w:rFonts w:eastAsiaTheme="minorHAnsi"/>
          <w:snapToGrid/>
          <w:szCs w:val="22"/>
          <w:lang w:val="lt-LT"/>
        </w:rPr>
        <w:t>d</w:t>
      </w:r>
      <w:r w:rsidR="00A15C89" w:rsidRPr="001839C2">
        <w:rPr>
          <w:rFonts w:eastAsiaTheme="minorHAnsi"/>
          <w:snapToGrid/>
          <w:szCs w:val="22"/>
          <w:lang w:val="lt-LT"/>
        </w:rPr>
        <w:t>e</w:t>
      </w:r>
      <w:r w:rsidRPr="001839C2">
        <w:rPr>
          <w:rFonts w:eastAsiaTheme="minorHAnsi"/>
          <w:snapToGrid/>
          <w:szCs w:val="22"/>
          <w:lang w:val="lt-LT"/>
        </w:rPr>
        <w:t>r</w:t>
      </w:r>
      <w:r w:rsidR="00A15C89" w:rsidRPr="001839C2">
        <w:rPr>
          <w:rFonts w:eastAsiaTheme="minorHAnsi"/>
          <w:snapToGrid/>
          <w:szCs w:val="22"/>
          <w:lang w:val="lt-LT"/>
        </w:rPr>
        <w:t>inio 200 mg/245 mg plėvele dengtą tabletę</w:t>
      </w:r>
      <w:r w:rsidRPr="001839C2">
        <w:rPr>
          <w:rFonts w:eastAsiaTheme="minorEastAsia"/>
          <w:snapToGrid/>
          <w:szCs w:val="22"/>
          <w:lang w:val="lt-LT" w:eastAsia="en-IN"/>
        </w:rPr>
        <w:t>, emtricitabinas ir tenofovir</w:t>
      </w:r>
      <w:r w:rsidR="00C37D10" w:rsidRPr="001839C2">
        <w:rPr>
          <w:rFonts w:eastAsiaTheme="minorEastAsia"/>
          <w:snapToGrid/>
          <w:szCs w:val="22"/>
          <w:lang w:val="lt-LT" w:eastAsia="en-IN"/>
        </w:rPr>
        <w:t>as</w:t>
      </w:r>
      <w:r w:rsidRPr="001839C2">
        <w:rPr>
          <w:rFonts w:eastAsiaTheme="minorEastAsia"/>
          <w:snapToGrid/>
          <w:szCs w:val="22"/>
          <w:lang w:val="lt-LT" w:eastAsia="en-IN"/>
        </w:rPr>
        <w:t xml:space="preserve"> dizoproksilis greitai </w:t>
      </w:r>
      <w:r w:rsidR="002E11F7" w:rsidRPr="001839C2">
        <w:rPr>
          <w:rFonts w:eastAsiaTheme="minorEastAsia"/>
          <w:snapToGrid/>
          <w:szCs w:val="22"/>
          <w:lang w:val="lt-LT" w:eastAsia="en-IN"/>
        </w:rPr>
        <w:t>abs</w:t>
      </w:r>
      <w:r w:rsidRPr="001839C2">
        <w:rPr>
          <w:rFonts w:eastAsiaTheme="minorEastAsia"/>
          <w:snapToGrid/>
          <w:szCs w:val="22"/>
          <w:lang w:val="lt-LT" w:eastAsia="en-IN"/>
        </w:rPr>
        <w:t>orbuojami ir tenofovir</w:t>
      </w:r>
      <w:r w:rsidR="00C37D10" w:rsidRPr="001839C2">
        <w:rPr>
          <w:rFonts w:eastAsiaTheme="minorEastAsia"/>
          <w:snapToGrid/>
          <w:szCs w:val="22"/>
          <w:lang w:val="lt-LT" w:eastAsia="en-IN"/>
        </w:rPr>
        <w:t>as</w:t>
      </w:r>
      <w:r w:rsidRPr="001839C2">
        <w:rPr>
          <w:rFonts w:eastAsiaTheme="minorEastAsia"/>
          <w:snapToGrid/>
          <w:szCs w:val="22"/>
          <w:lang w:val="lt-LT" w:eastAsia="en-IN"/>
        </w:rPr>
        <w:t xml:space="preserve"> dizoproksilis verčiamas tenofoviru. </w:t>
      </w:r>
      <w:r w:rsidR="002E11F7" w:rsidRPr="001839C2">
        <w:rPr>
          <w:rFonts w:eastAsiaTheme="minorEastAsia"/>
          <w:snapToGrid/>
          <w:szCs w:val="22"/>
          <w:lang w:val="lt-LT" w:eastAsia="en-IN"/>
        </w:rPr>
        <w:t>D</w:t>
      </w:r>
      <w:r w:rsidRPr="001839C2">
        <w:rPr>
          <w:rFonts w:eastAsiaTheme="minorEastAsia"/>
          <w:snapToGrid/>
          <w:szCs w:val="22"/>
          <w:lang w:val="lt-LT" w:eastAsia="en-IN"/>
        </w:rPr>
        <w:t>i</w:t>
      </w:r>
      <w:r w:rsidR="002E11F7" w:rsidRPr="001839C2">
        <w:rPr>
          <w:rFonts w:eastAsiaTheme="minorEastAsia"/>
          <w:snapToGrid/>
          <w:szCs w:val="22"/>
          <w:lang w:val="lt-LT" w:eastAsia="en-IN"/>
        </w:rPr>
        <w:t>dži</w:t>
      </w:r>
      <w:r w:rsidRPr="001839C2">
        <w:rPr>
          <w:rFonts w:eastAsiaTheme="minorEastAsia"/>
          <w:snapToGrid/>
          <w:szCs w:val="22"/>
          <w:lang w:val="lt-LT" w:eastAsia="en-IN"/>
        </w:rPr>
        <w:t>a</w:t>
      </w:r>
      <w:r w:rsidR="002E11F7" w:rsidRPr="001839C2">
        <w:rPr>
          <w:rFonts w:eastAsiaTheme="minorEastAsia"/>
          <w:snapToGrid/>
          <w:szCs w:val="22"/>
          <w:lang w:val="lt-LT" w:eastAsia="en-IN"/>
        </w:rPr>
        <w:t>us</w:t>
      </w:r>
      <w:r w:rsidRPr="001839C2">
        <w:rPr>
          <w:rFonts w:eastAsiaTheme="minorEastAsia"/>
          <w:snapToGrid/>
          <w:szCs w:val="22"/>
          <w:lang w:val="lt-LT" w:eastAsia="en-IN"/>
        </w:rPr>
        <w:t>i</w:t>
      </w:r>
      <w:r w:rsidR="002E11F7" w:rsidRPr="001839C2">
        <w:rPr>
          <w:rFonts w:eastAsiaTheme="minorEastAsia"/>
          <w:snapToGrid/>
          <w:szCs w:val="22"/>
          <w:lang w:val="lt-LT" w:eastAsia="en-IN"/>
        </w:rPr>
        <w:t>a</w:t>
      </w:r>
      <w:r w:rsidRPr="001839C2">
        <w:rPr>
          <w:rFonts w:eastAsiaTheme="minorEastAsia"/>
          <w:snapToGrid/>
          <w:szCs w:val="22"/>
          <w:lang w:val="lt-LT" w:eastAsia="en-IN"/>
        </w:rPr>
        <w:t xml:space="preserve"> emtricitabino ir tenofoviro koncentracija kraujo serume susidaro per 0,5</w:t>
      </w:r>
      <w:r w:rsidR="00A15C89" w:rsidRPr="001839C2">
        <w:rPr>
          <w:rFonts w:eastAsiaTheme="minorEastAsia"/>
          <w:snapToGrid/>
          <w:szCs w:val="22"/>
          <w:lang w:val="lt-LT" w:eastAsia="en-IN"/>
        </w:rPr>
        <w:noBreakHyphen/>
      </w:r>
      <w:r w:rsidRPr="001839C2">
        <w:rPr>
          <w:rFonts w:eastAsiaTheme="minorEastAsia"/>
          <w:snapToGrid/>
          <w:szCs w:val="22"/>
          <w:lang w:val="lt-LT" w:eastAsia="en-IN"/>
        </w:rPr>
        <w:t>3</w:t>
      </w:r>
      <w:r w:rsidR="00A15C89" w:rsidRPr="001839C2">
        <w:rPr>
          <w:rFonts w:eastAsiaTheme="minorEastAsia"/>
          <w:snapToGrid/>
          <w:szCs w:val="22"/>
          <w:lang w:val="lt-LT" w:eastAsia="en-IN"/>
        </w:rPr>
        <w:t> </w:t>
      </w:r>
      <w:r w:rsidRPr="001839C2">
        <w:rPr>
          <w:rFonts w:eastAsiaTheme="minorEastAsia"/>
          <w:snapToGrid/>
          <w:szCs w:val="22"/>
          <w:lang w:val="lt-LT" w:eastAsia="en-IN"/>
        </w:rPr>
        <w:t xml:space="preserve">valandas išgėrus dozę nevalgius. Jeigu </w:t>
      </w:r>
      <w:r w:rsidR="00A15C89" w:rsidRPr="001839C2">
        <w:rPr>
          <w:rFonts w:eastAsiaTheme="minorHAnsi"/>
          <w:snapToGrid/>
          <w:szCs w:val="22"/>
          <w:lang w:val="lt-LT"/>
        </w:rPr>
        <w:t>e</w:t>
      </w:r>
      <w:r w:rsidRPr="001839C2">
        <w:rPr>
          <w:rFonts w:eastAsiaTheme="minorHAnsi"/>
          <w:snapToGrid/>
          <w:szCs w:val="22"/>
          <w:lang w:val="lt-LT"/>
        </w:rPr>
        <w:t>mtricitabin</w:t>
      </w:r>
      <w:r w:rsidR="00A15C89" w:rsidRPr="001839C2">
        <w:rPr>
          <w:rFonts w:eastAsiaTheme="minorHAnsi"/>
          <w:snapToGrid/>
          <w:szCs w:val="22"/>
          <w:lang w:val="lt-LT"/>
        </w:rPr>
        <w:t>o ir t</w:t>
      </w:r>
      <w:r w:rsidRPr="001839C2">
        <w:rPr>
          <w:rFonts w:eastAsiaTheme="minorHAnsi"/>
          <w:snapToGrid/>
          <w:szCs w:val="22"/>
          <w:lang w:val="lt-LT"/>
        </w:rPr>
        <w:t>enofovir</w:t>
      </w:r>
      <w:r w:rsidR="00A15C89" w:rsidRPr="001839C2">
        <w:rPr>
          <w:rFonts w:eastAsiaTheme="minorHAnsi"/>
          <w:snapToGrid/>
          <w:szCs w:val="22"/>
          <w:lang w:val="lt-LT"/>
        </w:rPr>
        <w:t>o</w:t>
      </w:r>
      <w:r w:rsidRPr="001839C2">
        <w:rPr>
          <w:rFonts w:eastAsiaTheme="minorHAnsi"/>
          <w:snapToGrid/>
          <w:szCs w:val="22"/>
          <w:lang w:val="lt-LT"/>
        </w:rPr>
        <w:t xml:space="preserve"> di</w:t>
      </w:r>
      <w:r w:rsidR="00A15C89" w:rsidRPr="001839C2">
        <w:rPr>
          <w:rFonts w:eastAsiaTheme="minorHAnsi"/>
          <w:snapToGrid/>
          <w:szCs w:val="22"/>
          <w:lang w:val="lt-LT"/>
        </w:rPr>
        <w:t>z</w:t>
      </w:r>
      <w:r w:rsidRPr="001839C2">
        <w:rPr>
          <w:rFonts w:eastAsiaTheme="minorHAnsi"/>
          <w:snapToGrid/>
          <w:szCs w:val="22"/>
          <w:lang w:val="lt-LT"/>
        </w:rPr>
        <w:t>opro</w:t>
      </w:r>
      <w:r w:rsidR="00A15C89" w:rsidRPr="001839C2">
        <w:rPr>
          <w:rFonts w:eastAsiaTheme="minorHAnsi"/>
          <w:snapToGrid/>
          <w:szCs w:val="22"/>
          <w:lang w:val="lt-LT"/>
        </w:rPr>
        <w:t>ks</w:t>
      </w:r>
      <w:r w:rsidRPr="001839C2">
        <w:rPr>
          <w:rFonts w:eastAsiaTheme="minorHAnsi"/>
          <w:snapToGrid/>
          <w:szCs w:val="22"/>
          <w:lang w:val="lt-LT"/>
        </w:rPr>
        <w:t>il</w:t>
      </w:r>
      <w:r w:rsidR="00A15C89" w:rsidRPr="001839C2">
        <w:rPr>
          <w:rFonts w:eastAsiaTheme="minorHAnsi"/>
          <w:snapToGrid/>
          <w:szCs w:val="22"/>
          <w:lang w:val="lt-LT"/>
        </w:rPr>
        <w:t>i</w:t>
      </w:r>
      <w:r w:rsidRPr="001839C2">
        <w:rPr>
          <w:rFonts w:eastAsiaTheme="minorHAnsi"/>
          <w:snapToGrid/>
          <w:szCs w:val="22"/>
          <w:lang w:val="lt-LT"/>
        </w:rPr>
        <w:t>o</w:t>
      </w:r>
      <w:r w:rsidR="00A15C89" w:rsidRPr="001839C2">
        <w:rPr>
          <w:rFonts w:eastAsiaTheme="minorHAnsi"/>
          <w:snapToGrid/>
          <w:szCs w:val="22"/>
          <w:lang w:val="lt-LT"/>
        </w:rPr>
        <w:t xml:space="preserve"> </w:t>
      </w:r>
      <w:r w:rsidRPr="001839C2">
        <w:rPr>
          <w:rFonts w:eastAsiaTheme="minorHAnsi"/>
          <w:snapToGrid/>
          <w:szCs w:val="22"/>
          <w:lang w:val="lt-LT"/>
        </w:rPr>
        <w:t>d</w:t>
      </w:r>
      <w:r w:rsidR="00A15C89" w:rsidRPr="001839C2">
        <w:rPr>
          <w:rFonts w:eastAsiaTheme="minorHAnsi"/>
          <w:snapToGrid/>
          <w:szCs w:val="22"/>
          <w:lang w:val="lt-LT"/>
        </w:rPr>
        <w:t>e</w:t>
      </w:r>
      <w:r w:rsidRPr="001839C2">
        <w:rPr>
          <w:rFonts w:eastAsiaTheme="minorHAnsi"/>
          <w:snapToGrid/>
          <w:szCs w:val="22"/>
          <w:lang w:val="lt-LT"/>
        </w:rPr>
        <w:t>r</w:t>
      </w:r>
      <w:r w:rsidR="00A15C89" w:rsidRPr="001839C2">
        <w:rPr>
          <w:rFonts w:eastAsiaTheme="minorHAnsi"/>
          <w:snapToGrid/>
          <w:szCs w:val="22"/>
          <w:lang w:val="lt-LT"/>
        </w:rPr>
        <w:t>inio 200 mg/245 mg plėvele dengt</w:t>
      </w:r>
      <w:r w:rsidRPr="001839C2">
        <w:rPr>
          <w:rFonts w:eastAsiaTheme="minorHAnsi"/>
          <w:snapToGrid/>
          <w:szCs w:val="22"/>
          <w:lang w:val="lt-LT"/>
        </w:rPr>
        <w:t>a</w:t>
      </w:r>
      <w:r w:rsidR="00A15C89" w:rsidRPr="001839C2">
        <w:rPr>
          <w:rFonts w:eastAsiaTheme="minorHAnsi"/>
          <w:snapToGrid/>
          <w:szCs w:val="22"/>
          <w:lang w:val="lt-LT"/>
        </w:rPr>
        <w:t xml:space="preserve"> tabletė</w:t>
      </w:r>
      <w:r w:rsidRPr="001839C2">
        <w:rPr>
          <w:rFonts w:eastAsiaTheme="minorHAnsi"/>
          <w:snapToGrid/>
          <w:szCs w:val="22"/>
          <w:lang w:val="lt-LT"/>
        </w:rPr>
        <w:t xml:space="preserve"> </w:t>
      </w:r>
      <w:r w:rsidRPr="001839C2">
        <w:rPr>
          <w:rFonts w:eastAsiaTheme="minorEastAsia"/>
          <w:snapToGrid/>
          <w:szCs w:val="22"/>
          <w:lang w:val="lt-LT" w:eastAsia="en-IN"/>
        </w:rPr>
        <w:t>vartojam</w:t>
      </w:r>
      <w:r w:rsidR="00A15C89" w:rsidRPr="001839C2">
        <w:rPr>
          <w:rFonts w:eastAsiaTheme="minorEastAsia"/>
          <w:snapToGrid/>
          <w:szCs w:val="22"/>
          <w:lang w:val="lt-LT" w:eastAsia="en-IN"/>
        </w:rPr>
        <w:t>a</w:t>
      </w:r>
      <w:r w:rsidRPr="001839C2">
        <w:rPr>
          <w:rFonts w:eastAsiaTheme="minorEastAsia"/>
          <w:snapToGrid/>
          <w:szCs w:val="22"/>
          <w:lang w:val="lt-LT" w:eastAsia="en-IN"/>
        </w:rPr>
        <w:t xml:space="preserve"> su maistu, maksimali tenofoviro koncentracija serume susidaro a</w:t>
      </w:r>
      <w:r w:rsidR="00A15C89" w:rsidRPr="001839C2">
        <w:rPr>
          <w:rFonts w:eastAsiaTheme="minorEastAsia"/>
          <w:snapToGrid/>
          <w:szCs w:val="22"/>
          <w:lang w:val="lt-LT" w:eastAsia="en-IN"/>
        </w:rPr>
        <w:t>pytiksli</w:t>
      </w:r>
      <w:r w:rsidRPr="001839C2">
        <w:rPr>
          <w:rFonts w:eastAsiaTheme="minorEastAsia"/>
          <w:snapToGrid/>
          <w:szCs w:val="22"/>
          <w:lang w:val="lt-LT" w:eastAsia="en-IN"/>
        </w:rPr>
        <w:t>a</w:t>
      </w:r>
      <w:r w:rsidR="00A15C89" w:rsidRPr="001839C2">
        <w:rPr>
          <w:rFonts w:eastAsiaTheme="minorEastAsia"/>
          <w:snapToGrid/>
          <w:szCs w:val="22"/>
          <w:lang w:val="lt-LT" w:eastAsia="en-IN"/>
        </w:rPr>
        <w:t>i</w:t>
      </w:r>
      <w:r w:rsidRPr="001839C2">
        <w:rPr>
          <w:rFonts w:eastAsiaTheme="minorEastAsia"/>
          <w:snapToGrid/>
          <w:szCs w:val="22"/>
          <w:lang w:val="lt-LT" w:eastAsia="en-IN"/>
        </w:rPr>
        <w:t xml:space="preserve"> trimis</w:t>
      </w:r>
      <w:r w:rsidR="00A15C89" w:rsidRPr="001839C2">
        <w:rPr>
          <w:rFonts w:eastAsiaTheme="minorEastAsia"/>
          <w:snapToGrid/>
          <w:szCs w:val="22"/>
          <w:lang w:val="lt-LT" w:eastAsia="en-IN"/>
        </w:rPr>
        <w:t> </w:t>
      </w:r>
      <w:r w:rsidRPr="001839C2">
        <w:rPr>
          <w:rFonts w:eastAsiaTheme="minorEastAsia"/>
          <w:snapToGrid/>
          <w:szCs w:val="22"/>
          <w:lang w:val="lt-LT" w:eastAsia="en-IN"/>
        </w:rPr>
        <w:t>ketvirčiais</w:t>
      </w:r>
      <w:r w:rsidR="00A15C89" w:rsidRPr="001839C2">
        <w:rPr>
          <w:rFonts w:eastAsiaTheme="minorEastAsia"/>
          <w:snapToGrid/>
          <w:szCs w:val="22"/>
          <w:lang w:val="lt-LT" w:eastAsia="en-IN"/>
        </w:rPr>
        <w:t> </w:t>
      </w:r>
      <w:r w:rsidRPr="001839C2">
        <w:rPr>
          <w:rFonts w:eastAsiaTheme="minorEastAsia"/>
          <w:snapToGrid/>
          <w:szCs w:val="22"/>
          <w:lang w:val="lt-LT" w:eastAsia="en-IN"/>
        </w:rPr>
        <w:t>valandos vėliau. Vartojant tenofovirą kartu su riebiu ar lengvu maistu, lyginant su jo vartojimu nevalgius, a</w:t>
      </w:r>
      <w:r w:rsidR="00A15C89" w:rsidRPr="001839C2">
        <w:rPr>
          <w:rFonts w:eastAsiaTheme="minorEastAsia"/>
          <w:snapToGrid/>
          <w:szCs w:val="22"/>
          <w:lang w:val="lt-LT" w:eastAsia="en-IN"/>
        </w:rPr>
        <w:t>pytiksli</w:t>
      </w:r>
      <w:r w:rsidRPr="001839C2">
        <w:rPr>
          <w:rFonts w:eastAsiaTheme="minorEastAsia"/>
          <w:snapToGrid/>
          <w:szCs w:val="22"/>
          <w:lang w:val="lt-LT" w:eastAsia="en-IN"/>
        </w:rPr>
        <w:t>a</w:t>
      </w:r>
      <w:r w:rsidR="00A15C89" w:rsidRPr="001839C2">
        <w:rPr>
          <w:rFonts w:eastAsiaTheme="minorEastAsia"/>
          <w:snapToGrid/>
          <w:szCs w:val="22"/>
          <w:lang w:val="lt-LT" w:eastAsia="en-IN"/>
        </w:rPr>
        <w:t>i</w:t>
      </w:r>
      <w:r w:rsidRPr="001839C2">
        <w:rPr>
          <w:rFonts w:eastAsiaTheme="minorEastAsia"/>
          <w:snapToGrid/>
          <w:szCs w:val="22"/>
          <w:lang w:val="lt-LT" w:eastAsia="en-IN"/>
        </w:rPr>
        <w:t xml:space="preserve"> 35</w:t>
      </w:r>
      <w:r w:rsidR="00A15C89" w:rsidRPr="001839C2">
        <w:rPr>
          <w:rFonts w:eastAsiaTheme="minorEastAsia"/>
          <w:snapToGrid/>
          <w:szCs w:val="22"/>
          <w:lang w:val="lt-LT" w:eastAsia="en-IN"/>
        </w:rPr>
        <w:t> </w:t>
      </w:r>
      <w:r w:rsidRPr="001839C2">
        <w:rPr>
          <w:rFonts w:eastAsiaTheme="minorEastAsia"/>
          <w:snapToGrid/>
          <w:szCs w:val="22"/>
          <w:lang w:val="lt-LT" w:eastAsia="en-IN"/>
        </w:rPr>
        <w:t>% padidėja AUC ir 15</w:t>
      </w:r>
      <w:r w:rsidR="00A15C89" w:rsidRPr="001839C2">
        <w:rPr>
          <w:rFonts w:eastAsiaTheme="minorEastAsia"/>
          <w:snapToGrid/>
          <w:szCs w:val="22"/>
          <w:lang w:val="lt-LT" w:eastAsia="en-IN"/>
        </w:rPr>
        <w:t> </w:t>
      </w:r>
      <w:r w:rsidRPr="001839C2">
        <w:rPr>
          <w:rFonts w:eastAsiaTheme="minorEastAsia"/>
          <w:snapToGrid/>
          <w:szCs w:val="22"/>
          <w:lang w:val="lt-LT" w:eastAsia="en-IN"/>
        </w:rPr>
        <w:t>% 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xml:space="preserve">. Optimaliai tenofoviro </w:t>
      </w:r>
      <w:r w:rsidR="000A0030" w:rsidRPr="001839C2">
        <w:rPr>
          <w:rFonts w:eastAsiaTheme="minorEastAsia"/>
          <w:snapToGrid/>
          <w:szCs w:val="22"/>
          <w:lang w:val="lt-LT" w:eastAsia="en-IN"/>
        </w:rPr>
        <w:t>abs</w:t>
      </w:r>
      <w:r w:rsidRPr="001839C2">
        <w:rPr>
          <w:rFonts w:eastAsiaTheme="minorEastAsia"/>
          <w:snapToGrid/>
          <w:szCs w:val="22"/>
          <w:lang w:val="lt-LT" w:eastAsia="en-IN"/>
        </w:rPr>
        <w:t xml:space="preserve">orbcijai pasiekti rekomenduojama, jei įmanoma, emtricitabino </w:t>
      </w:r>
      <w:r w:rsidR="00A15C89" w:rsidRPr="001839C2">
        <w:rPr>
          <w:rFonts w:eastAsiaTheme="minorEastAsia"/>
          <w:snapToGrid/>
          <w:szCs w:val="22"/>
          <w:lang w:val="lt-LT" w:eastAsia="en-IN"/>
        </w:rPr>
        <w:t>ir</w:t>
      </w:r>
      <w:r w:rsidRPr="001839C2">
        <w:rPr>
          <w:rFonts w:eastAsiaTheme="minorEastAsia"/>
          <w:snapToGrid/>
          <w:szCs w:val="22"/>
          <w:lang w:val="lt-LT" w:eastAsia="en-IN"/>
        </w:rPr>
        <w:t xml:space="preserve"> tenofoviro dizoproksil</w:t>
      </w:r>
      <w:r w:rsidR="00A15C89" w:rsidRPr="001839C2">
        <w:rPr>
          <w:rFonts w:eastAsiaTheme="minorEastAsia"/>
          <w:snapToGrid/>
          <w:szCs w:val="22"/>
          <w:lang w:val="lt-LT" w:eastAsia="en-IN"/>
        </w:rPr>
        <w:t>io derinio</w:t>
      </w:r>
      <w:r w:rsidRPr="001839C2">
        <w:rPr>
          <w:rFonts w:eastAsiaTheme="minorEastAsia"/>
          <w:snapToGrid/>
          <w:szCs w:val="22"/>
          <w:lang w:val="lt-LT" w:eastAsia="en-IN"/>
        </w:rPr>
        <w:t xml:space="preserve"> vartoti su maistu.</w:t>
      </w:r>
    </w:p>
    <w:p w14:paraId="27C6D6AE"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226A668"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Pasiskirstymas</w:t>
      </w:r>
    </w:p>
    <w:p w14:paraId="6FCAAB69"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Suleidus į veną emtricitabino ir tenofoviro pasiskirstymo tūris buvo a</w:t>
      </w:r>
      <w:r w:rsidR="004A4C3D" w:rsidRPr="001839C2">
        <w:rPr>
          <w:rFonts w:eastAsiaTheme="minorEastAsia"/>
          <w:snapToGrid/>
          <w:szCs w:val="22"/>
          <w:lang w:val="lt-LT" w:eastAsia="en-IN"/>
        </w:rPr>
        <w:t>pytiksli</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1,4</w:t>
      </w:r>
      <w:r w:rsidR="004A4C3D" w:rsidRPr="001839C2">
        <w:rPr>
          <w:rFonts w:eastAsiaTheme="minorEastAsia"/>
          <w:snapToGrid/>
          <w:szCs w:val="22"/>
          <w:lang w:val="lt-LT" w:eastAsia="en-IN"/>
        </w:rPr>
        <w:t> </w:t>
      </w:r>
      <w:r w:rsidRPr="001839C2">
        <w:rPr>
          <w:rFonts w:eastAsiaTheme="minorEastAsia"/>
          <w:snapToGrid/>
          <w:szCs w:val="22"/>
          <w:lang w:val="lt-LT" w:eastAsia="en-IN"/>
        </w:rPr>
        <w:t>l/kg ir 800</w:t>
      </w:r>
      <w:r w:rsidR="004A4C3D" w:rsidRPr="001839C2">
        <w:rPr>
          <w:rFonts w:eastAsiaTheme="minorEastAsia"/>
          <w:snapToGrid/>
          <w:szCs w:val="22"/>
          <w:lang w:val="lt-LT" w:eastAsia="en-IN"/>
        </w:rPr>
        <w:t> </w:t>
      </w:r>
      <w:r w:rsidRPr="001839C2">
        <w:rPr>
          <w:rFonts w:eastAsiaTheme="minorEastAsia"/>
          <w:snapToGrid/>
          <w:szCs w:val="22"/>
          <w:lang w:val="lt-LT" w:eastAsia="en-IN"/>
        </w:rPr>
        <w:t xml:space="preserve">ml/kg atitinkamai. Išgėrus emtricitabino ir tenofoviro dizoproksilio, emtricitabinas ir tenofoviras plačiai pasiskirsto organizme. </w:t>
      </w:r>
      <w:r w:rsidRPr="001839C2">
        <w:rPr>
          <w:rFonts w:eastAsiaTheme="minorEastAsia"/>
          <w:i/>
          <w:iCs/>
          <w:snapToGrid/>
          <w:szCs w:val="22"/>
          <w:lang w:val="lt-LT" w:eastAsia="en-IN"/>
        </w:rPr>
        <w:t>In</w:t>
      </w:r>
      <w:r w:rsidR="004A4C3D"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vitro </w:t>
      </w:r>
      <w:r w:rsidRPr="001839C2">
        <w:rPr>
          <w:rFonts w:eastAsiaTheme="minorEastAsia"/>
          <w:snapToGrid/>
          <w:szCs w:val="22"/>
          <w:lang w:val="lt-LT" w:eastAsia="en-IN"/>
        </w:rPr>
        <w:t>emtricitabino sujungimas su žmogaus plazmos baltymais buvo &lt;</w:t>
      </w:r>
      <w:r w:rsidR="004A4C3D" w:rsidRPr="001839C2">
        <w:rPr>
          <w:rFonts w:eastAsiaTheme="minorEastAsia"/>
          <w:snapToGrid/>
          <w:szCs w:val="22"/>
          <w:lang w:val="lt-LT" w:eastAsia="en-IN"/>
        </w:rPr>
        <w:t> </w:t>
      </w:r>
      <w:r w:rsidRPr="001839C2">
        <w:rPr>
          <w:rFonts w:eastAsiaTheme="minorEastAsia"/>
          <w:snapToGrid/>
          <w:szCs w:val="22"/>
          <w:lang w:val="lt-LT" w:eastAsia="en-IN"/>
        </w:rPr>
        <w:t>4</w:t>
      </w:r>
      <w:r w:rsidR="004A4C3D" w:rsidRPr="001839C2">
        <w:rPr>
          <w:rFonts w:eastAsiaTheme="minorEastAsia"/>
          <w:snapToGrid/>
          <w:szCs w:val="22"/>
          <w:lang w:val="lt-LT" w:eastAsia="en-IN"/>
        </w:rPr>
        <w:t> </w:t>
      </w:r>
      <w:r w:rsidRPr="001839C2">
        <w:rPr>
          <w:rFonts w:eastAsiaTheme="minorEastAsia"/>
          <w:snapToGrid/>
          <w:szCs w:val="22"/>
          <w:lang w:val="lt-LT" w:eastAsia="en-IN"/>
        </w:rPr>
        <w:t>% ir nuo koncentracijos intervale 0,02</w:t>
      </w:r>
      <w:r w:rsidR="004A4C3D" w:rsidRPr="001839C2">
        <w:rPr>
          <w:rFonts w:eastAsiaTheme="minorEastAsia"/>
          <w:snapToGrid/>
          <w:szCs w:val="22"/>
          <w:lang w:val="lt-LT" w:eastAsia="en-IN"/>
        </w:rPr>
        <w:noBreakHyphen/>
      </w:r>
      <w:r w:rsidRPr="001839C2">
        <w:rPr>
          <w:rFonts w:eastAsiaTheme="minorEastAsia"/>
          <w:snapToGrid/>
          <w:szCs w:val="22"/>
          <w:lang w:val="lt-LT" w:eastAsia="en-IN"/>
        </w:rPr>
        <w:t>200</w:t>
      </w:r>
      <w:r w:rsidR="004A4C3D" w:rsidRPr="001839C2">
        <w:rPr>
          <w:rFonts w:eastAsiaTheme="minorEastAsia"/>
          <w:snapToGrid/>
          <w:szCs w:val="22"/>
          <w:lang w:val="lt-LT" w:eastAsia="en-IN"/>
        </w:rPr>
        <w:t> </w:t>
      </w:r>
      <w:r w:rsidRPr="001839C2">
        <w:rPr>
          <w:rFonts w:eastAsiaTheme="minorEastAsia"/>
          <w:snapToGrid/>
          <w:szCs w:val="22"/>
          <w:lang w:val="lt-LT" w:eastAsia="en-IN"/>
        </w:rPr>
        <w:t xml:space="preserve">µg/ml nepriklausė. Tenofoviro susijungimas su plazmos ar serumo baltymais </w:t>
      </w:r>
      <w:r w:rsidRPr="001839C2">
        <w:rPr>
          <w:rFonts w:eastAsiaTheme="minorEastAsia"/>
          <w:i/>
          <w:iCs/>
          <w:snapToGrid/>
          <w:szCs w:val="22"/>
          <w:lang w:val="lt-LT" w:eastAsia="en-IN"/>
        </w:rPr>
        <w:t>in</w:t>
      </w:r>
      <w:r w:rsidR="004A4C3D"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vitro </w:t>
      </w:r>
      <w:r w:rsidRPr="001839C2">
        <w:rPr>
          <w:rFonts w:eastAsiaTheme="minorEastAsia"/>
          <w:snapToGrid/>
          <w:szCs w:val="22"/>
          <w:lang w:val="lt-LT" w:eastAsia="en-IN"/>
        </w:rPr>
        <w:t>buvo atitinkamai mažiau nei 0,7</w:t>
      </w:r>
      <w:r w:rsidR="004A4C3D" w:rsidRPr="001839C2">
        <w:rPr>
          <w:rFonts w:eastAsiaTheme="minorEastAsia"/>
          <w:snapToGrid/>
          <w:szCs w:val="22"/>
          <w:lang w:val="lt-LT" w:eastAsia="en-IN"/>
        </w:rPr>
        <w:t> </w:t>
      </w:r>
      <w:r w:rsidRPr="001839C2">
        <w:rPr>
          <w:rFonts w:eastAsiaTheme="minorEastAsia"/>
          <w:snapToGrid/>
          <w:szCs w:val="22"/>
          <w:lang w:val="lt-LT" w:eastAsia="en-IN"/>
        </w:rPr>
        <w:t>% ir 7,2</w:t>
      </w:r>
      <w:r w:rsidR="004A4C3D" w:rsidRPr="001839C2">
        <w:rPr>
          <w:rFonts w:eastAsiaTheme="minorEastAsia"/>
          <w:snapToGrid/>
          <w:szCs w:val="22"/>
          <w:lang w:val="lt-LT" w:eastAsia="en-IN"/>
        </w:rPr>
        <w:t> </w:t>
      </w:r>
      <w:r w:rsidRPr="001839C2">
        <w:rPr>
          <w:rFonts w:eastAsiaTheme="minorEastAsia"/>
          <w:snapToGrid/>
          <w:szCs w:val="22"/>
          <w:lang w:val="lt-LT" w:eastAsia="en-IN"/>
        </w:rPr>
        <w:t>% esant tenofoviro koncentracijai 0,01</w:t>
      </w:r>
      <w:r w:rsidR="004A4C3D" w:rsidRPr="001839C2">
        <w:rPr>
          <w:rFonts w:eastAsiaTheme="minorEastAsia"/>
          <w:snapToGrid/>
          <w:szCs w:val="22"/>
          <w:lang w:val="lt-LT" w:eastAsia="en-IN"/>
        </w:rPr>
        <w:noBreakHyphen/>
      </w:r>
      <w:r w:rsidRPr="001839C2">
        <w:rPr>
          <w:rFonts w:eastAsiaTheme="minorEastAsia"/>
          <w:snapToGrid/>
          <w:szCs w:val="22"/>
          <w:lang w:val="lt-LT" w:eastAsia="en-IN"/>
        </w:rPr>
        <w:t>25</w:t>
      </w:r>
      <w:r w:rsidR="004A4C3D" w:rsidRPr="001839C2">
        <w:rPr>
          <w:rFonts w:eastAsiaTheme="minorEastAsia"/>
          <w:snapToGrid/>
          <w:szCs w:val="22"/>
          <w:lang w:val="lt-LT" w:eastAsia="en-IN"/>
        </w:rPr>
        <w:t> </w:t>
      </w:r>
      <w:r w:rsidRPr="001839C2">
        <w:rPr>
          <w:rFonts w:eastAsiaTheme="minorEastAsia"/>
          <w:snapToGrid/>
          <w:szCs w:val="22"/>
          <w:lang w:val="lt-LT" w:eastAsia="en-IN"/>
        </w:rPr>
        <w:t>µg/ml.</w:t>
      </w:r>
    </w:p>
    <w:p w14:paraId="4D1ECDDC"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1CC4E5C"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Biotransformacija</w:t>
      </w:r>
    </w:p>
    <w:p w14:paraId="05E6E64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Emtricitabinas metabolizuojamas ribotai. Emtricitabino biotransformacija apima tiolio grupės oksidaciją iki 3'</w:t>
      </w:r>
      <w:r w:rsidR="004A4C3D" w:rsidRPr="001839C2">
        <w:rPr>
          <w:rFonts w:eastAsiaTheme="minorEastAsia"/>
          <w:snapToGrid/>
          <w:szCs w:val="22"/>
          <w:lang w:val="lt-LT" w:eastAsia="en-IN"/>
        </w:rPr>
        <w:noBreakHyphen/>
      </w:r>
      <w:r w:rsidRPr="001839C2">
        <w:rPr>
          <w:rFonts w:eastAsiaTheme="minorEastAsia"/>
          <w:snapToGrid/>
          <w:szCs w:val="22"/>
          <w:lang w:val="lt-LT" w:eastAsia="en-IN"/>
        </w:rPr>
        <w:t>sulfoksido diastereomerų (a</w:t>
      </w:r>
      <w:r w:rsidR="004A4C3D" w:rsidRPr="001839C2">
        <w:rPr>
          <w:rFonts w:eastAsiaTheme="minorEastAsia"/>
          <w:snapToGrid/>
          <w:szCs w:val="22"/>
          <w:lang w:val="lt-LT" w:eastAsia="en-IN"/>
        </w:rPr>
        <w:t>pytiksli</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9</w:t>
      </w:r>
      <w:r w:rsidR="004A4C3D" w:rsidRPr="001839C2">
        <w:rPr>
          <w:rFonts w:eastAsiaTheme="minorEastAsia"/>
          <w:snapToGrid/>
          <w:szCs w:val="22"/>
          <w:lang w:val="lt-LT" w:eastAsia="en-IN"/>
        </w:rPr>
        <w:t> </w:t>
      </w:r>
      <w:r w:rsidRPr="001839C2">
        <w:rPr>
          <w:rFonts w:eastAsiaTheme="minorEastAsia"/>
          <w:snapToGrid/>
          <w:szCs w:val="22"/>
          <w:lang w:val="lt-LT" w:eastAsia="en-IN"/>
        </w:rPr>
        <w:t>% dozės) ir konjugaciją su gliukurono rūgštimi, susidarant 2'</w:t>
      </w:r>
      <w:r w:rsidR="004A4C3D" w:rsidRPr="001839C2">
        <w:rPr>
          <w:rFonts w:eastAsiaTheme="minorEastAsia"/>
          <w:snapToGrid/>
          <w:szCs w:val="22"/>
          <w:lang w:val="lt-LT" w:eastAsia="en-IN"/>
        </w:rPr>
        <w:noBreakHyphen/>
      </w:r>
      <w:r w:rsidRPr="001839C2">
        <w:rPr>
          <w:rFonts w:eastAsiaTheme="minorEastAsia"/>
          <w:snapToGrid/>
          <w:szCs w:val="22"/>
          <w:lang w:val="lt-LT" w:eastAsia="en-IN"/>
        </w:rPr>
        <w:t>O</w:t>
      </w:r>
      <w:r w:rsidR="004A4C3D" w:rsidRPr="001839C2">
        <w:rPr>
          <w:rFonts w:eastAsiaTheme="minorEastAsia"/>
          <w:snapToGrid/>
          <w:szCs w:val="22"/>
          <w:lang w:val="lt-LT" w:eastAsia="en-IN"/>
        </w:rPr>
        <w:noBreakHyphen/>
      </w:r>
      <w:r w:rsidRPr="001839C2">
        <w:rPr>
          <w:rFonts w:eastAsiaTheme="minorEastAsia"/>
          <w:snapToGrid/>
          <w:szCs w:val="22"/>
          <w:lang w:val="lt-LT" w:eastAsia="en-IN"/>
        </w:rPr>
        <w:t>gliukuronidui (a</w:t>
      </w:r>
      <w:r w:rsidR="004A4C3D" w:rsidRPr="001839C2">
        <w:rPr>
          <w:rFonts w:eastAsiaTheme="minorEastAsia"/>
          <w:snapToGrid/>
          <w:szCs w:val="22"/>
          <w:lang w:val="lt-LT" w:eastAsia="en-IN"/>
        </w:rPr>
        <w:t>pytiksli</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4</w:t>
      </w:r>
      <w:r w:rsidR="004A4C3D" w:rsidRPr="001839C2">
        <w:rPr>
          <w:rFonts w:eastAsiaTheme="minorEastAsia"/>
          <w:snapToGrid/>
          <w:szCs w:val="22"/>
          <w:lang w:val="lt-LT" w:eastAsia="en-IN"/>
        </w:rPr>
        <w:t> </w:t>
      </w:r>
      <w:r w:rsidRPr="001839C2">
        <w:rPr>
          <w:rFonts w:eastAsiaTheme="minorEastAsia"/>
          <w:snapToGrid/>
          <w:szCs w:val="22"/>
          <w:lang w:val="lt-LT" w:eastAsia="en-IN"/>
        </w:rPr>
        <w:t xml:space="preserve">% dozės). </w:t>
      </w:r>
      <w:r w:rsidRPr="001839C2">
        <w:rPr>
          <w:rFonts w:eastAsiaTheme="minorEastAsia"/>
          <w:i/>
          <w:iCs/>
          <w:snapToGrid/>
          <w:szCs w:val="22"/>
          <w:lang w:val="lt-LT" w:eastAsia="en-IN"/>
        </w:rPr>
        <w:t>In</w:t>
      </w:r>
      <w:r w:rsidR="004A4C3D"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vitro </w:t>
      </w:r>
      <w:r w:rsidRPr="001839C2">
        <w:rPr>
          <w:rFonts w:eastAsiaTheme="minorEastAsia"/>
          <w:snapToGrid/>
          <w:szCs w:val="22"/>
          <w:lang w:val="lt-LT" w:eastAsia="en-IN"/>
        </w:rPr>
        <w:t>tyrimais nustatyta, kad nei tenofoviro dizoproksilio, nei tenofoviro CYP450</w:t>
      </w:r>
      <w:r w:rsidR="004A4C3D" w:rsidRPr="001839C2">
        <w:rPr>
          <w:rFonts w:eastAsiaTheme="minorEastAsia"/>
          <w:snapToGrid/>
          <w:szCs w:val="22"/>
          <w:lang w:val="lt-LT" w:eastAsia="en-IN"/>
        </w:rPr>
        <w:t> </w:t>
      </w:r>
      <w:r w:rsidRPr="001839C2">
        <w:rPr>
          <w:rFonts w:eastAsiaTheme="minorEastAsia"/>
          <w:snapToGrid/>
          <w:szCs w:val="22"/>
          <w:lang w:val="lt-LT" w:eastAsia="en-IN"/>
        </w:rPr>
        <w:t>fermentai neveikia. Be to, nei emtricitabinas, nei tenofoviras</w:t>
      </w:r>
      <w:r w:rsidR="004A4C3D" w:rsidRPr="001839C2">
        <w:rPr>
          <w:rFonts w:eastAsiaTheme="minorEastAsia"/>
          <w:i/>
          <w:iCs/>
          <w:snapToGrid/>
          <w:szCs w:val="22"/>
          <w:lang w:val="lt-LT" w:eastAsia="en-IN"/>
        </w:rPr>
        <w:t xml:space="preserve"> </w:t>
      </w:r>
      <w:r w:rsidRPr="001839C2">
        <w:rPr>
          <w:rFonts w:eastAsiaTheme="minorEastAsia"/>
          <w:i/>
          <w:iCs/>
          <w:snapToGrid/>
          <w:szCs w:val="22"/>
          <w:lang w:val="lt-LT" w:eastAsia="en-IN"/>
        </w:rPr>
        <w:t>in</w:t>
      </w:r>
      <w:r w:rsidR="004A4C3D"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vitro </w:t>
      </w:r>
      <w:r w:rsidRPr="001839C2">
        <w:rPr>
          <w:rFonts w:eastAsiaTheme="minorEastAsia"/>
          <w:snapToGrid/>
          <w:szCs w:val="22"/>
          <w:lang w:val="lt-LT" w:eastAsia="en-IN"/>
        </w:rPr>
        <w:t>neslopina vaist</w:t>
      </w:r>
      <w:r w:rsidR="004A4C3D" w:rsidRPr="001839C2">
        <w:rPr>
          <w:rFonts w:eastAsiaTheme="minorEastAsia"/>
          <w:snapToGrid/>
          <w:szCs w:val="22"/>
          <w:lang w:val="lt-LT" w:eastAsia="en-IN"/>
        </w:rPr>
        <w:t>ini</w:t>
      </w:r>
      <w:r w:rsidRPr="001839C2">
        <w:rPr>
          <w:rFonts w:eastAsiaTheme="minorEastAsia"/>
          <w:snapToGrid/>
          <w:szCs w:val="22"/>
          <w:lang w:val="lt-LT" w:eastAsia="en-IN"/>
        </w:rPr>
        <w:t>ų</w:t>
      </w:r>
      <w:r w:rsidR="004A4C3D" w:rsidRPr="001839C2">
        <w:rPr>
          <w:rFonts w:eastAsiaTheme="minorEastAsia"/>
          <w:snapToGrid/>
          <w:szCs w:val="22"/>
          <w:lang w:val="lt-LT" w:eastAsia="en-IN"/>
        </w:rPr>
        <w:t xml:space="preserve"> preparatų</w:t>
      </w:r>
      <w:r w:rsidRPr="001839C2">
        <w:rPr>
          <w:rFonts w:eastAsiaTheme="minorEastAsia"/>
          <w:snapToGrid/>
          <w:szCs w:val="22"/>
          <w:lang w:val="lt-LT" w:eastAsia="en-IN"/>
        </w:rPr>
        <w:t xml:space="preserve"> metabolizmo, kuriame dalyvauja bent vienas svarbiausių žmogaus CYP450</w:t>
      </w:r>
      <w:r w:rsidR="004A4C3D" w:rsidRPr="001839C2">
        <w:rPr>
          <w:rFonts w:eastAsiaTheme="minorEastAsia"/>
          <w:snapToGrid/>
          <w:szCs w:val="22"/>
          <w:lang w:val="lt-LT" w:eastAsia="en-IN"/>
        </w:rPr>
        <w:t> </w:t>
      </w:r>
      <w:r w:rsidRPr="001839C2">
        <w:rPr>
          <w:rFonts w:eastAsiaTheme="minorEastAsia"/>
          <w:snapToGrid/>
          <w:szCs w:val="22"/>
          <w:lang w:val="lt-LT" w:eastAsia="en-IN"/>
        </w:rPr>
        <w:t>izoformų, dalyvaujančių vaist</w:t>
      </w:r>
      <w:r w:rsidR="004A4C3D" w:rsidRPr="001839C2">
        <w:rPr>
          <w:rFonts w:eastAsiaTheme="minorEastAsia"/>
          <w:snapToGrid/>
          <w:szCs w:val="22"/>
          <w:lang w:val="lt-LT" w:eastAsia="en-IN"/>
        </w:rPr>
        <w:t>ini</w:t>
      </w:r>
      <w:r w:rsidRPr="001839C2">
        <w:rPr>
          <w:rFonts w:eastAsiaTheme="minorEastAsia"/>
          <w:snapToGrid/>
          <w:szCs w:val="22"/>
          <w:lang w:val="lt-LT" w:eastAsia="en-IN"/>
        </w:rPr>
        <w:t>ų</w:t>
      </w:r>
      <w:r w:rsidR="004A4C3D" w:rsidRPr="001839C2">
        <w:rPr>
          <w:rFonts w:eastAsiaTheme="minorEastAsia"/>
          <w:snapToGrid/>
          <w:szCs w:val="22"/>
          <w:lang w:val="lt-LT" w:eastAsia="en-IN"/>
        </w:rPr>
        <w:t xml:space="preserve"> preparatų</w:t>
      </w:r>
      <w:r w:rsidRPr="001839C2">
        <w:rPr>
          <w:rFonts w:eastAsiaTheme="minorEastAsia"/>
          <w:snapToGrid/>
          <w:szCs w:val="22"/>
          <w:lang w:val="lt-LT" w:eastAsia="en-IN"/>
        </w:rPr>
        <w:t xml:space="preserve"> biotransformacijoje. Taip pat emtricitabinas neslopina fermento uridino</w:t>
      </w:r>
      <w:r w:rsidR="004A4C3D" w:rsidRPr="001839C2">
        <w:rPr>
          <w:rFonts w:eastAsiaTheme="minorEastAsia"/>
          <w:snapToGrid/>
          <w:szCs w:val="22"/>
          <w:lang w:val="lt-LT" w:eastAsia="en-IN"/>
        </w:rPr>
        <w:noBreakHyphen/>
      </w:r>
      <w:r w:rsidRPr="001839C2">
        <w:rPr>
          <w:rFonts w:eastAsiaTheme="minorEastAsia"/>
          <w:snapToGrid/>
          <w:szCs w:val="22"/>
          <w:lang w:val="lt-LT" w:eastAsia="en-IN"/>
        </w:rPr>
        <w:t>5'</w:t>
      </w:r>
      <w:r w:rsidR="004A4C3D" w:rsidRPr="001839C2">
        <w:rPr>
          <w:rFonts w:eastAsiaTheme="minorEastAsia"/>
          <w:snapToGrid/>
          <w:szCs w:val="22"/>
          <w:lang w:val="lt-LT" w:eastAsia="en-IN"/>
        </w:rPr>
        <w:noBreakHyphen/>
      </w:r>
      <w:r w:rsidRPr="001839C2">
        <w:rPr>
          <w:rFonts w:eastAsiaTheme="minorEastAsia"/>
          <w:snapToGrid/>
          <w:szCs w:val="22"/>
          <w:lang w:val="lt-LT" w:eastAsia="en-IN"/>
        </w:rPr>
        <w:t xml:space="preserve">difosfogliukuroniltransferazės, atsakingo už </w:t>
      </w:r>
      <w:r w:rsidRPr="001839C2">
        <w:rPr>
          <w:rFonts w:eastAsiaTheme="minorEastAsia"/>
          <w:snapToGrid/>
          <w:szCs w:val="22"/>
          <w:lang w:val="lt-LT" w:eastAsia="en-IN"/>
        </w:rPr>
        <w:lastRenderedPageBreak/>
        <w:t>gliukuronizaciją.</w:t>
      </w:r>
    </w:p>
    <w:p w14:paraId="061E11BC"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A9B1324"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Eliminacija</w:t>
      </w:r>
    </w:p>
    <w:p w14:paraId="3A3A2E9C"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Emtricitabinas daugiausiai šalinamas p</w:t>
      </w:r>
      <w:r w:rsidR="004A4C3D" w:rsidRPr="001839C2">
        <w:rPr>
          <w:rFonts w:eastAsiaTheme="minorEastAsia"/>
          <w:snapToGrid/>
          <w:szCs w:val="22"/>
          <w:lang w:val="lt-LT" w:eastAsia="en-IN"/>
        </w:rPr>
        <w:t>e</w:t>
      </w:r>
      <w:r w:rsidRPr="001839C2">
        <w:rPr>
          <w:rFonts w:eastAsiaTheme="minorEastAsia"/>
          <w:snapToGrid/>
          <w:szCs w:val="22"/>
          <w:lang w:val="lt-LT" w:eastAsia="en-IN"/>
        </w:rPr>
        <w:t>r inkstus su šlapimu (a</w:t>
      </w:r>
      <w:r w:rsidR="004A4C3D" w:rsidRPr="001839C2">
        <w:rPr>
          <w:rFonts w:eastAsiaTheme="minorEastAsia"/>
          <w:snapToGrid/>
          <w:szCs w:val="22"/>
          <w:lang w:val="lt-LT" w:eastAsia="en-IN"/>
        </w:rPr>
        <w:t>pytiksli</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86</w:t>
      </w:r>
      <w:r w:rsidR="004A4C3D" w:rsidRPr="001839C2">
        <w:rPr>
          <w:rFonts w:eastAsiaTheme="minorEastAsia"/>
          <w:snapToGrid/>
          <w:szCs w:val="22"/>
          <w:lang w:val="lt-LT" w:eastAsia="en-IN"/>
        </w:rPr>
        <w:t> </w:t>
      </w:r>
      <w:r w:rsidRPr="001839C2">
        <w:rPr>
          <w:rFonts w:eastAsiaTheme="minorEastAsia"/>
          <w:snapToGrid/>
          <w:szCs w:val="22"/>
          <w:lang w:val="lt-LT" w:eastAsia="en-IN"/>
        </w:rPr>
        <w:t>% vartotos dozės) ir su išmatomis (a</w:t>
      </w:r>
      <w:r w:rsidR="004A4C3D" w:rsidRPr="001839C2">
        <w:rPr>
          <w:rFonts w:eastAsiaTheme="minorEastAsia"/>
          <w:snapToGrid/>
          <w:szCs w:val="22"/>
          <w:lang w:val="lt-LT" w:eastAsia="en-IN"/>
        </w:rPr>
        <w:t>pytiksli</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14</w:t>
      </w:r>
      <w:r w:rsidR="004A4C3D" w:rsidRPr="001839C2">
        <w:rPr>
          <w:rFonts w:eastAsiaTheme="minorEastAsia"/>
          <w:snapToGrid/>
          <w:szCs w:val="22"/>
          <w:lang w:val="lt-LT" w:eastAsia="en-IN"/>
        </w:rPr>
        <w:t> </w:t>
      </w:r>
      <w:r w:rsidRPr="001839C2">
        <w:rPr>
          <w:rFonts w:eastAsiaTheme="minorEastAsia"/>
          <w:snapToGrid/>
          <w:szCs w:val="22"/>
          <w:lang w:val="lt-LT" w:eastAsia="en-IN"/>
        </w:rPr>
        <w:t>% dozės). Trylika</w:t>
      </w:r>
      <w:r w:rsidR="004A4C3D" w:rsidRPr="001839C2">
        <w:rPr>
          <w:rFonts w:eastAsiaTheme="minorEastAsia"/>
          <w:snapToGrid/>
          <w:szCs w:val="22"/>
          <w:lang w:val="lt-LT" w:eastAsia="en-IN"/>
        </w:rPr>
        <w:t> </w:t>
      </w:r>
      <w:r w:rsidRPr="001839C2">
        <w:rPr>
          <w:rFonts w:eastAsiaTheme="minorEastAsia"/>
          <w:snapToGrid/>
          <w:szCs w:val="22"/>
          <w:lang w:val="lt-LT" w:eastAsia="en-IN"/>
        </w:rPr>
        <w:t>procentų emtricitabino dozės randama šlapime trijų</w:t>
      </w:r>
      <w:r w:rsidR="004A4C3D" w:rsidRPr="001839C2">
        <w:rPr>
          <w:rFonts w:eastAsiaTheme="minorEastAsia"/>
          <w:snapToGrid/>
          <w:szCs w:val="22"/>
          <w:lang w:val="lt-LT" w:eastAsia="en-IN"/>
        </w:rPr>
        <w:t> </w:t>
      </w:r>
      <w:r w:rsidRPr="001839C2">
        <w:rPr>
          <w:rFonts w:eastAsiaTheme="minorEastAsia"/>
          <w:snapToGrid/>
          <w:szCs w:val="22"/>
          <w:lang w:val="lt-LT" w:eastAsia="en-IN"/>
        </w:rPr>
        <w:t>metabolitų pavidalu. Sisteminis vidutinis emtricitabino klirensas yra 307</w:t>
      </w:r>
      <w:r w:rsidR="004A4C3D" w:rsidRPr="001839C2">
        <w:rPr>
          <w:rFonts w:eastAsiaTheme="minorEastAsia"/>
          <w:snapToGrid/>
          <w:szCs w:val="22"/>
          <w:lang w:val="lt-LT" w:eastAsia="en-IN"/>
        </w:rPr>
        <w:t> </w:t>
      </w:r>
      <w:r w:rsidRPr="001839C2">
        <w:rPr>
          <w:rFonts w:eastAsiaTheme="minorEastAsia"/>
          <w:snapToGrid/>
          <w:szCs w:val="22"/>
          <w:lang w:val="lt-LT" w:eastAsia="en-IN"/>
        </w:rPr>
        <w:t xml:space="preserve">ml/min. Išgerto emtricitabino pusinės eliminacijos </w:t>
      </w:r>
      <w:r w:rsidR="004A4C3D" w:rsidRPr="001839C2">
        <w:rPr>
          <w:rFonts w:eastAsiaTheme="minorEastAsia"/>
          <w:snapToGrid/>
          <w:szCs w:val="22"/>
          <w:lang w:val="lt-LT" w:eastAsia="en-IN"/>
        </w:rPr>
        <w:t>la</w:t>
      </w:r>
      <w:r w:rsidRPr="001839C2">
        <w:rPr>
          <w:rFonts w:eastAsiaTheme="minorEastAsia"/>
          <w:snapToGrid/>
          <w:szCs w:val="22"/>
          <w:lang w:val="lt-LT" w:eastAsia="en-IN"/>
        </w:rPr>
        <w:t>i</w:t>
      </w:r>
      <w:r w:rsidR="004A4C3D" w:rsidRPr="001839C2">
        <w:rPr>
          <w:rFonts w:eastAsiaTheme="minorEastAsia"/>
          <w:snapToGrid/>
          <w:szCs w:val="22"/>
          <w:lang w:val="lt-LT" w:eastAsia="en-IN"/>
        </w:rPr>
        <w:t>k</w:t>
      </w:r>
      <w:r w:rsidRPr="001839C2">
        <w:rPr>
          <w:rFonts w:eastAsiaTheme="minorEastAsia"/>
          <w:snapToGrid/>
          <w:szCs w:val="22"/>
          <w:lang w:val="lt-LT" w:eastAsia="en-IN"/>
        </w:rPr>
        <w:t>as yra apie 10</w:t>
      </w:r>
      <w:r w:rsidR="004A4C3D" w:rsidRPr="001839C2">
        <w:rPr>
          <w:rFonts w:eastAsiaTheme="minorEastAsia"/>
          <w:snapToGrid/>
          <w:szCs w:val="22"/>
          <w:lang w:val="lt-LT" w:eastAsia="en-IN"/>
        </w:rPr>
        <w:t> </w:t>
      </w:r>
      <w:r w:rsidRPr="001839C2">
        <w:rPr>
          <w:rFonts w:eastAsiaTheme="minorEastAsia"/>
          <w:snapToGrid/>
          <w:szCs w:val="22"/>
          <w:lang w:val="lt-LT" w:eastAsia="en-IN"/>
        </w:rPr>
        <w:t>valandų.</w:t>
      </w:r>
    </w:p>
    <w:p w14:paraId="651AEB0A" w14:textId="77777777" w:rsidR="001538E8" w:rsidRPr="001839C2" w:rsidRDefault="001538E8"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4B7CCB4"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Tenofoviras yra daugiausiai šalinamas p</w:t>
      </w:r>
      <w:r w:rsidR="004A4C3D" w:rsidRPr="001839C2">
        <w:rPr>
          <w:rFonts w:eastAsiaTheme="minorEastAsia"/>
          <w:snapToGrid/>
          <w:szCs w:val="22"/>
          <w:lang w:val="lt-LT" w:eastAsia="en-IN"/>
        </w:rPr>
        <w:t>e</w:t>
      </w:r>
      <w:r w:rsidRPr="001839C2">
        <w:rPr>
          <w:rFonts w:eastAsiaTheme="minorEastAsia"/>
          <w:snapToGrid/>
          <w:szCs w:val="22"/>
          <w:lang w:val="lt-LT" w:eastAsia="en-IN"/>
        </w:rPr>
        <w:t>r inkstus, vykstant tiek filtracijai, tiek aktyviam pernešimui inkstų kanalėliuose. Suleidus jo į veną, a</w:t>
      </w:r>
      <w:r w:rsidR="004A4C3D" w:rsidRPr="001839C2">
        <w:rPr>
          <w:rFonts w:eastAsiaTheme="minorEastAsia"/>
          <w:snapToGrid/>
          <w:szCs w:val="22"/>
          <w:lang w:val="lt-LT" w:eastAsia="en-IN"/>
        </w:rPr>
        <w:t>pytiksli</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70</w:t>
      </w:r>
      <w:r w:rsidR="004A4C3D" w:rsidRPr="001839C2">
        <w:rPr>
          <w:rFonts w:eastAsiaTheme="minorEastAsia"/>
          <w:snapToGrid/>
          <w:szCs w:val="22"/>
          <w:lang w:val="lt-LT" w:eastAsia="en-IN"/>
        </w:rPr>
        <w:noBreakHyphen/>
      </w:r>
      <w:r w:rsidRPr="001839C2">
        <w:rPr>
          <w:rFonts w:eastAsiaTheme="minorEastAsia"/>
          <w:snapToGrid/>
          <w:szCs w:val="22"/>
          <w:lang w:val="lt-LT" w:eastAsia="en-IN"/>
        </w:rPr>
        <w:t>80</w:t>
      </w:r>
      <w:r w:rsidR="004A4C3D" w:rsidRPr="001839C2">
        <w:rPr>
          <w:rFonts w:eastAsiaTheme="minorEastAsia"/>
          <w:snapToGrid/>
          <w:szCs w:val="22"/>
          <w:lang w:val="lt-LT" w:eastAsia="en-IN"/>
        </w:rPr>
        <w:t> </w:t>
      </w:r>
      <w:r w:rsidRPr="001839C2">
        <w:rPr>
          <w:rFonts w:eastAsiaTheme="minorEastAsia"/>
          <w:snapToGrid/>
          <w:szCs w:val="22"/>
          <w:lang w:val="lt-LT" w:eastAsia="en-IN"/>
        </w:rPr>
        <w:t>% nepakitusio tenofoviro išsiskiria su šlapimu. Tariamas tenofoviro klirensas yra vidutiniškai a</w:t>
      </w:r>
      <w:r w:rsidR="004A4C3D" w:rsidRPr="001839C2">
        <w:rPr>
          <w:rFonts w:eastAsiaTheme="minorEastAsia"/>
          <w:snapToGrid/>
          <w:szCs w:val="22"/>
          <w:lang w:val="lt-LT" w:eastAsia="en-IN"/>
        </w:rPr>
        <w:t>pytiksli</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307</w:t>
      </w:r>
      <w:r w:rsidR="004A4C3D" w:rsidRPr="001839C2">
        <w:rPr>
          <w:rFonts w:eastAsiaTheme="minorEastAsia"/>
          <w:snapToGrid/>
          <w:szCs w:val="22"/>
          <w:lang w:val="lt-LT" w:eastAsia="en-IN"/>
        </w:rPr>
        <w:t> </w:t>
      </w:r>
      <w:r w:rsidRPr="001839C2">
        <w:rPr>
          <w:rFonts w:eastAsiaTheme="minorEastAsia"/>
          <w:snapToGrid/>
          <w:szCs w:val="22"/>
          <w:lang w:val="lt-LT" w:eastAsia="en-IN"/>
        </w:rPr>
        <w:t>ml/min. Apskaičiuota, kad inkstų klirensas yra a</w:t>
      </w:r>
      <w:r w:rsidR="004A4C3D" w:rsidRPr="001839C2">
        <w:rPr>
          <w:rFonts w:eastAsiaTheme="minorEastAsia"/>
          <w:snapToGrid/>
          <w:szCs w:val="22"/>
          <w:lang w:val="lt-LT" w:eastAsia="en-IN"/>
        </w:rPr>
        <w:t>pytiksli</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210</w:t>
      </w:r>
      <w:r w:rsidR="004A4C3D" w:rsidRPr="001839C2">
        <w:rPr>
          <w:rFonts w:eastAsiaTheme="minorEastAsia"/>
          <w:snapToGrid/>
          <w:szCs w:val="22"/>
          <w:lang w:val="lt-LT" w:eastAsia="en-IN"/>
        </w:rPr>
        <w:t> </w:t>
      </w:r>
      <w:r w:rsidRPr="001839C2">
        <w:rPr>
          <w:rFonts w:eastAsiaTheme="minorEastAsia"/>
          <w:snapToGrid/>
          <w:szCs w:val="22"/>
          <w:lang w:val="lt-LT" w:eastAsia="en-IN"/>
        </w:rPr>
        <w:t xml:space="preserve">ml/min., </w:t>
      </w:r>
      <w:r w:rsidR="004A4C3D" w:rsidRPr="001839C2">
        <w:rPr>
          <w:rFonts w:eastAsiaTheme="minorEastAsia"/>
          <w:snapToGrid/>
          <w:szCs w:val="22"/>
          <w:lang w:val="lt-LT" w:eastAsia="en-IN"/>
        </w:rPr>
        <w:t>t</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viršija glomerulų filtracijos greitį. Tai rodo, kad svarbų vaidmenį šalinant tenofovirą atlieka aktyvi sekrecija kanalėliuose. Išgerto tenofoviro pusinės eliminacijos </w:t>
      </w:r>
      <w:r w:rsidR="004A4C3D" w:rsidRPr="001839C2">
        <w:rPr>
          <w:rFonts w:eastAsiaTheme="minorEastAsia"/>
          <w:snapToGrid/>
          <w:szCs w:val="22"/>
          <w:lang w:val="lt-LT" w:eastAsia="en-IN"/>
        </w:rPr>
        <w:t>la</w:t>
      </w:r>
      <w:r w:rsidRPr="001839C2">
        <w:rPr>
          <w:rFonts w:eastAsiaTheme="minorEastAsia"/>
          <w:snapToGrid/>
          <w:szCs w:val="22"/>
          <w:lang w:val="lt-LT" w:eastAsia="en-IN"/>
        </w:rPr>
        <w:t>i</w:t>
      </w:r>
      <w:r w:rsidR="004A4C3D" w:rsidRPr="001839C2">
        <w:rPr>
          <w:rFonts w:eastAsiaTheme="minorEastAsia"/>
          <w:snapToGrid/>
          <w:szCs w:val="22"/>
          <w:lang w:val="lt-LT" w:eastAsia="en-IN"/>
        </w:rPr>
        <w:t>k</w:t>
      </w:r>
      <w:r w:rsidRPr="001839C2">
        <w:rPr>
          <w:rFonts w:eastAsiaTheme="minorEastAsia"/>
          <w:snapToGrid/>
          <w:szCs w:val="22"/>
          <w:lang w:val="lt-LT" w:eastAsia="en-IN"/>
        </w:rPr>
        <w:t xml:space="preserve">as </w:t>
      </w:r>
      <w:r w:rsidR="004A4C3D" w:rsidRPr="001839C2">
        <w:rPr>
          <w:rFonts w:eastAsiaTheme="minorEastAsia"/>
          <w:snapToGrid/>
          <w:szCs w:val="22"/>
          <w:lang w:val="lt-LT" w:eastAsia="en-IN"/>
        </w:rPr>
        <w:t>y</w:t>
      </w:r>
      <w:r w:rsidRPr="001839C2">
        <w:rPr>
          <w:rFonts w:eastAsiaTheme="minorEastAsia"/>
          <w:snapToGrid/>
          <w:szCs w:val="22"/>
          <w:lang w:val="lt-LT" w:eastAsia="en-IN"/>
        </w:rPr>
        <w:t>ra a</w:t>
      </w:r>
      <w:r w:rsidR="004A4C3D" w:rsidRPr="001839C2">
        <w:rPr>
          <w:rFonts w:eastAsiaTheme="minorEastAsia"/>
          <w:snapToGrid/>
          <w:szCs w:val="22"/>
          <w:lang w:val="lt-LT" w:eastAsia="en-IN"/>
        </w:rPr>
        <w:t>pytiksli</w:t>
      </w:r>
      <w:r w:rsidRPr="001839C2">
        <w:rPr>
          <w:rFonts w:eastAsiaTheme="minorEastAsia"/>
          <w:snapToGrid/>
          <w:szCs w:val="22"/>
          <w:lang w:val="lt-LT" w:eastAsia="en-IN"/>
        </w:rPr>
        <w:t>a</w:t>
      </w:r>
      <w:r w:rsidR="004A4C3D" w:rsidRPr="001839C2">
        <w:rPr>
          <w:rFonts w:eastAsiaTheme="minorEastAsia"/>
          <w:snapToGrid/>
          <w:szCs w:val="22"/>
          <w:lang w:val="lt-LT" w:eastAsia="en-IN"/>
        </w:rPr>
        <w:t>i</w:t>
      </w:r>
      <w:r w:rsidRPr="001839C2">
        <w:rPr>
          <w:rFonts w:eastAsiaTheme="minorEastAsia"/>
          <w:snapToGrid/>
          <w:szCs w:val="22"/>
          <w:lang w:val="lt-LT" w:eastAsia="en-IN"/>
        </w:rPr>
        <w:t xml:space="preserve"> 12</w:t>
      </w:r>
      <w:r w:rsidR="004A4C3D" w:rsidRPr="001839C2">
        <w:rPr>
          <w:rFonts w:eastAsiaTheme="minorEastAsia"/>
          <w:snapToGrid/>
          <w:szCs w:val="22"/>
          <w:lang w:val="lt-LT" w:eastAsia="en-IN"/>
        </w:rPr>
        <w:noBreakHyphen/>
      </w:r>
      <w:r w:rsidRPr="001839C2">
        <w:rPr>
          <w:rFonts w:eastAsiaTheme="minorEastAsia"/>
          <w:snapToGrid/>
          <w:szCs w:val="22"/>
          <w:lang w:val="lt-LT" w:eastAsia="en-IN"/>
        </w:rPr>
        <w:t>18</w:t>
      </w:r>
      <w:r w:rsidR="004A4C3D" w:rsidRPr="001839C2">
        <w:rPr>
          <w:rFonts w:eastAsiaTheme="minorEastAsia"/>
          <w:snapToGrid/>
          <w:szCs w:val="22"/>
          <w:lang w:val="lt-LT" w:eastAsia="en-IN"/>
        </w:rPr>
        <w:t> </w:t>
      </w:r>
      <w:r w:rsidRPr="001839C2">
        <w:rPr>
          <w:rFonts w:eastAsiaTheme="minorEastAsia"/>
          <w:snapToGrid/>
          <w:szCs w:val="22"/>
          <w:lang w:val="lt-LT" w:eastAsia="en-IN"/>
        </w:rPr>
        <w:t>valandų.</w:t>
      </w:r>
    </w:p>
    <w:p w14:paraId="2A34E8B6"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AD0675B"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Senyvi pacientai</w:t>
      </w:r>
    </w:p>
    <w:p w14:paraId="3819F4B6"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 ar tenofoviro (skiriamo tenofoviro dizoproksilio pavidalu) farmakokinetikos tyrimai su senyvais asmenimis (vyresniais nei 65</w:t>
      </w:r>
      <w:r w:rsidR="00D05E2B" w:rsidRPr="001839C2">
        <w:rPr>
          <w:rFonts w:eastAsiaTheme="minorEastAsia"/>
          <w:snapToGrid/>
          <w:szCs w:val="22"/>
          <w:lang w:val="lt-LT" w:eastAsia="en-IN"/>
        </w:rPr>
        <w:t> </w:t>
      </w:r>
      <w:r w:rsidRPr="001839C2">
        <w:rPr>
          <w:rFonts w:eastAsiaTheme="minorEastAsia"/>
          <w:snapToGrid/>
          <w:szCs w:val="22"/>
          <w:lang w:val="lt-LT" w:eastAsia="en-IN"/>
        </w:rPr>
        <w:t>metų) atlikti nebuvo.</w:t>
      </w:r>
    </w:p>
    <w:p w14:paraId="56CDBE1C"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E0329C4"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Lytis</w:t>
      </w:r>
    </w:p>
    <w:p w14:paraId="4A6605C4"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 ir tenofoviro farmakokinetika vyriškos ir moteriškos lyties asmenims panaši.</w:t>
      </w:r>
    </w:p>
    <w:p w14:paraId="46F80792"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4473DF0"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Etninė grupė</w:t>
      </w:r>
    </w:p>
    <w:p w14:paraId="2C1FE81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Jokių kliniškai svarbių emtricitabino farmakokinetikos skirtumų dėl etninės grupės nenustatyta. Tenofoviro (skiriamo tenofoviro dizoproksilio pavidalu) farmakokinetikos rodikliai skirtingose etninėse grupėse specialiai tirti nebuvo.</w:t>
      </w:r>
    </w:p>
    <w:p w14:paraId="5F18AF1F"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1032B80"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Vaikų populiacija</w:t>
      </w:r>
    </w:p>
    <w:p w14:paraId="01A8B548"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w:t>
      </w:r>
      <w:r w:rsidR="00D05E2B" w:rsidRPr="001839C2">
        <w:rPr>
          <w:rFonts w:eastAsiaTheme="minorHAnsi"/>
          <w:snapToGrid/>
          <w:szCs w:val="22"/>
          <w:lang w:val="lt-LT"/>
        </w:rPr>
        <w:t>o ir t</w:t>
      </w:r>
      <w:r w:rsidRPr="001839C2">
        <w:rPr>
          <w:rFonts w:eastAsiaTheme="minorHAnsi"/>
          <w:snapToGrid/>
          <w:szCs w:val="22"/>
          <w:lang w:val="lt-LT"/>
        </w:rPr>
        <w:t>enofovir</w:t>
      </w:r>
      <w:r w:rsidR="00D05E2B" w:rsidRPr="001839C2">
        <w:rPr>
          <w:rFonts w:eastAsiaTheme="minorHAnsi"/>
          <w:snapToGrid/>
          <w:szCs w:val="22"/>
          <w:lang w:val="lt-LT"/>
        </w:rPr>
        <w:t>o</w:t>
      </w:r>
      <w:r w:rsidRPr="001839C2">
        <w:rPr>
          <w:rFonts w:eastAsiaTheme="minorHAnsi"/>
          <w:snapToGrid/>
          <w:szCs w:val="22"/>
          <w:lang w:val="lt-LT"/>
        </w:rPr>
        <w:t xml:space="preserve"> di</w:t>
      </w:r>
      <w:r w:rsidR="00D05E2B" w:rsidRPr="001839C2">
        <w:rPr>
          <w:rFonts w:eastAsiaTheme="minorHAnsi"/>
          <w:snapToGrid/>
          <w:szCs w:val="22"/>
          <w:lang w:val="lt-LT"/>
        </w:rPr>
        <w:t>z</w:t>
      </w:r>
      <w:r w:rsidRPr="001839C2">
        <w:rPr>
          <w:rFonts w:eastAsiaTheme="minorHAnsi"/>
          <w:snapToGrid/>
          <w:szCs w:val="22"/>
          <w:lang w:val="lt-LT"/>
        </w:rPr>
        <w:t>opro</w:t>
      </w:r>
      <w:r w:rsidR="00D05E2B" w:rsidRPr="001839C2">
        <w:rPr>
          <w:rFonts w:eastAsiaTheme="minorHAnsi"/>
          <w:snapToGrid/>
          <w:szCs w:val="22"/>
          <w:lang w:val="lt-LT"/>
        </w:rPr>
        <w:t>ks</w:t>
      </w:r>
      <w:r w:rsidRPr="001839C2">
        <w:rPr>
          <w:rFonts w:eastAsiaTheme="minorHAnsi"/>
          <w:snapToGrid/>
          <w:szCs w:val="22"/>
          <w:lang w:val="lt-LT"/>
        </w:rPr>
        <w:t>il</w:t>
      </w:r>
      <w:r w:rsidR="00D05E2B" w:rsidRPr="001839C2">
        <w:rPr>
          <w:rFonts w:eastAsiaTheme="minorHAnsi"/>
          <w:snapToGrid/>
          <w:szCs w:val="22"/>
          <w:lang w:val="lt-LT"/>
        </w:rPr>
        <w:t>i</w:t>
      </w:r>
      <w:r w:rsidRPr="001839C2">
        <w:rPr>
          <w:rFonts w:eastAsiaTheme="minorHAnsi"/>
          <w:snapToGrid/>
          <w:szCs w:val="22"/>
          <w:lang w:val="lt-LT"/>
        </w:rPr>
        <w:t>o</w:t>
      </w:r>
      <w:r w:rsidR="00D05E2B" w:rsidRPr="001839C2">
        <w:rPr>
          <w:rFonts w:eastAsiaTheme="minorHAnsi"/>
          <w:snapToGrid/>
          <w:szCs w:val="22"/>
          <w:lang w:val="lt-LT"/>
        </w:rPr>
        <w:t xml:space="preserve"> </w:t>
      </w:r>
      <w:r w:rsidRPr="001839C2">
        <w:rPr>
          <w:rFonts w:eastAsiaTheme="minorHAnsi"/>
          <w:snapToGrid/>
          <w:szCs w:val="22"/>
          <w:lang w:val="lt-LT"/>
        </w:rPr>
        <w:t>d</w:t>
      </w:r>
      <w:r w:rsidR="00D05E2B" w:rsidRPr="001839C2">
        <w:rPr>
          <w:rFonts w:eastAsiaTheme="minorHAnsi"/>
          <w:snapToGrid/>
          <w:szCs w:val="22"/>
          <w:lang w:val="lt-LT"/>
        </w:rPr>
        <w:t>e</w:t>
      </w:r>
      <w:r w:rsidRPr="001839C2">
        <w:rPr>
          <w:rFonts w:eastAsiaTheme="minorHAnsi"/>
          <w:snapToGrid/>
          <w:szCs w:val="22"/>
          <w:lang w:val="lt-LT"/>
        </w:rPr>
        <w:t>r</w:t>
      </w:r>
      <w:r w:rsidR="00D05E2B" w:rsidRPr="001839C2">
        <w:rPr>
          <w:rFonts w:eastAsiaTheme="minorHAnsi"/>
          <w:snapToGrid/>
          <w:szCs w:val="22"/>
          <w:lang w:val="lt-LT"/>
        </w:rPr>
        <w:t>inio 200 </w:t>
      </w:r>
      <w:r w:rsidRPr="001839C2">
        <w:rPr>
          <w:rFonts w:eastAsiaTheme="minorHAnsi"/>
          <w:snapToGrid/>
          <w:szCs w:val="22"/>
          <w:lang w:val="lt-LT"/>
        </w:rPr>
        <w:t>m</w:t>
      </w:r>
      <w:r w:rsidR="00D05E2B" w:rsidRPr="001839C2">
        <w:rPr>
          <w:rFonts w:eastAsiaTheme="minorHAnsi"/>
          <w:snapToGrid/>
          <w:szCs w:val="22"/>
          <w:lang w:val="lt-LT"/>
        </w:rPr>
        <w:t>g/245 mg plėvele dengtos t</w:t>
      </w:r>
      <w:r w:rsidRPr="001839C2">
        <w:rPr>
          <w:rFonts w:eastAsiaTheme="minorHAnsi"/>
          <w:snapToGrid/>
          <w:szCs w:val="22"/>
          <w:lang w:val="lt-LT"/>
        </w:rPr>
        <w:t>a</w:t>
      </w:r>
      <w:r w:rsidR="00D05E2B" w:rsidRPr="001839C2">
        <w:rPr>
          <w:rFonts w:eastAsiaTheme="minorHAnsi"/>
          <w:snapToGrid/>
          <w:szCs w:val="22"/>
          <w:lang w:val="lt-LT"/>
        </w:rPr>
        <w:t>bletės</w:t>
      </w:r>
      <w:r w:rsidRPr="001839C2">
        <w:rPr>
          <w:rFonts w:eastAsiaTheme="minorHAnsi"/>
          <w:snapToGrid/>
          <w:szCs w:val="22"/>
          <w:lang w:val="lt-LT"/>
        </w:rPr>
        <w:t xml:space="preserve"> </w:t>
      </w:r>
      <w:r w:rsidRPr="001839C2">
        <w:rPr>
          <w:rFonts w:eastAsiaTheme="minorEastAsia"/>
          <w:snapToGrid/>
          <w:szCs w:val="22"/>
          <w:lang w:val="lt-LT" w:eastAsia="en-IN"/>
        </w:rPr>
        <w:t>farmakokinetikos tyrimų vaikams ir paaugliams (iki 18</w:t>
      </w:r>
      <w:r w:rsidR="00D05E2B" w:rsidRPr="001839C2">
        <w:rPr>
          <w:rFonts w:eastAsiaTheme="minorEastAsia"/>
          <w:snapToGrid/>
          <w:szCs w:val="22"/>
          <w:lang w:val="lt-LT" w:eastAsia="en-IN"/>
        </w:rPr>
        <w:t> </w:t>
      </w:r>
      <w:r w:rsidRPr="001839C2">
        <w:rPr>
          <w:rFonts w:eastAsiaTheme="minorEastAsia"/>
          <w:snapToGrid/>
          <w:szCs w:val="22"/>
          <w:lang w:val="lt-LT" w:eastAsia="en-IN"/>
        </w:rPr>
        <w:t>metų) neatlikta. Tenofoviro farmakokinetikos pokyčiai esant pusiausvyrinei apykaitai įvertinti 8 ŽIV</w:t>
      </w:r>
      <w:r w:rsidR="00D05E2B" w:rsidRPr="001839C2">
        <w:rPr>
          <w:rFonts w:eastAsiaTheme="minorEastAsia"/>
          <w:snapToGrid/>
          <w:szCs w:val="22"/>
          <w:lang w:val="lt-LT" w:eastAsia="en-IN"/>
        </w:rPr>
        <w:noBreakHyphen/>
      </w:r>
      <w:r w:rsidRPr="001839C2">
        <w:rPr>
          <w:rFonts w:eastAsiaTheme="minorEastAsia"/>
          <w:snapToGrid/>
          <w:szCs w:val="22"/>
          <w:lang w:val="lt-LT" w:eastAsia="en-IN"/>
        </w:rPr>
        <w:t>1</w:t>
      </w:r>
      <w:r w:rsidR="00D05E2B" w:rsidRPr="001839C2">
        <w:rPr>
          <w:rFonts w:eastAsiaTheme="minorEastAsia"/>
          <w:snapToGrid/>
          <w:szCs w:val="22"/>
          <w:lang w:val="lt-LT" w:eastAsia="en-IN"/>
        </w:rPr>
        <w:t> </w:t>
      </w:r>
      <w:r w:rsidRPr="001839C2">
        <w:rPr>
          <w:rFonts w:eastAsiaTheme="minorEastAsia"/>
          <w:snapToGrid/>
          <w:szCs w:val="22"/>
          <w:lang w:val="lt-LT" w:eastAsia="en-IN"/>
        </w:rPr>
        <w:t>infekuotiems pacientams paaugliams (nuo 12 iki 18</w:t>
      </w:r>
      <w:r w:rsidR="00D05E2B" w:rsidRPr="001839C2">
        <w:rPr>
          <w:rFonts w:eastAsiaTheme="minorEastAsia"/>
          <w:snapToGrid/>
          <w:szCs w:val="22"/>
          <w:lang w:val="lt-LT" w:eastAsia="en-IN"/>
        </w:rPr>
        <w:t> </w:t>
      </w:r>
      <w:r w:rsidRPr="001839C2">
        <w:rPr>
          <w:rFonts w:eastAsiaTheme="minorEastAsia"/>
          <w:snapToGrid/>
          <w:szCs w:val="22"/>
          <w:lang w:val="lt-LT" w:eastAsia="en-IN"/>
        </w:rPr>
        <w:t>metų), kurių kūno svoris ≥</w:t>
      </w:r>
      <w:r w:rsidR="00D05E2B" w:rsidRPr="001839C2">
        <w:rPr>
          <w:rFonts w:eastAsiaTheme="minorEastAsia"/>
          <w:snapToGrid/>
          <w:szCs w:val="22"/>
          <w:lang w:val="lt-LT" w:eastAsia="en-IN"/>
        </w:rPr>
        <w:t> </w:t>
      </w:r>
      <w:r w:rsidRPr="001839C2">
        <w:rPr>
          <w:rFonts w:eastAsiaTheme="minorEastAsia"/>
          <w:snapToGrid/>
          <w:szCs w:val="22"/>
          <w:lang w:val="lt-LT" w:eastAsia="en-IN"/>
        </w:rPr>
        <w:t>35</w:t>
      </w:r>
      <w:r w:rsidR="00D05E2B" w:rsidRPr="001839C2">
        <w:rPr>
          <w:rFonts w:eastAsiaTheme="minorEastAsia"/>
          <w:snapToGrid/>
          <w:szCs w:val="22"/>
          <w:lang w:val="lt-LT" w:eastAsia="en-IN"/>
        </w:rPr>
        <w:t> </w:t>
      </w:r>
      <w:r w:rsidRPr="001839C2">
        <w:rPr>
          <w:rFonts w:eastAsiaTheme="minorEastAsia"/>
          <w:snapToGrid/>
          <w:szCs w:val="22"/>
          <w:lang w:val="lt-LT" w:eastAsia="en-IN"/>
        </w:rPr>
        <w:t>kg, ir 23 ŽIV</w:t>
      </w:r>
      <w:r w:rsidR="00D05E2B" w:rsidRPr="001839C2">
        <w:rPr>
          <w:rFonts w:eastAsiaTheme="minorEastAsia"/>
          <w:snapToGrid/>
          <w:szCs w:val="22"/>
          <w:lang w:val="lt-LT" w:eastAsia="en-IN"/>
        </w:rPr>
        <w:noBreakHyphen/>
      </w:r>
      <w:r w:rsidRPr="001839C2">
        <w:rPr>
          <w:rFonts w:eastAsiaTheme="minorEastAsia"/>
          <w:snapToGrid/>
          <w:szCs w:val="22"/>
          <w:lang w:val="lt-LT" w:eastAsia="en-IN"/>
        </w:rPr>
        <w:t>1</w:t>
      </w:r>
      <w:r w:rsidR="00D05E2B" w:rsidRPr="001839C2">
        <w:rPr>
          <w:rFonts w:eastAsiaTheme="minorEastAsia"/>
          <w:snapToGrid/>
          <w:szCs w:val="22"/>
          <w:lang w:val="lt-LT" w:eastAsia="en-IN"/>
        </w:rPr>
        <w:t> </w:t>
      </w:r>
      <w:r w:rsidRPr="001839C2">
        <w:rPr>
          <w:rFonts w:eastAsiaTheme="minorEastAsia"/>
          <w:snapToGrid/>
          <w:szCs w:val="22"/>
          <w:lang w:val="lt-LT" w:eastAsia="en-IN"/>
        </w:rPr>
        <w:t>infekuotiems vaikams, kurių amžius nuo 2 iki 12</w:t>
      </w:r>
      <w:r w:rsidR="00D05E2B" w:rsidRPr="001839C2">
        <w:rPr>
          <w:rFonts w:eastAsiaTheme="minorEastAsia"/>
          <w:snapToGrid/>
          <w:szCs w:val="22"/>
          <w:lang w:val="lt-LT" w:eastAsia="en-IN"/>
        </w:rPr>
        <w:t> </w:t>
      </w:r>
      <w:r w:rsidRPr="001839C2">
        <w:rPr>
          <w:rFonts w:eastAsiaTheme="minorEastAsia"/>
          <w:snapToGrid/>
          <w:szCs w:val="22"/>
          <w:lang w:val="lt-LT" w:eastAsia="en-IN"/>
        </w:rPr>
        <w:t>metų. Tenofoviro ekspozicija, nustatyta šiems pacientams vaikams per burną vartojus 245</w:t>
      </w:r>
      <w:r w:rsidR="00D05E2B" w:rsidRPr="001839C2">
        <w:rPr>
          <w:rFonts w:eastAsiaTheme="minorEastAsia"/>
          <w:snapToGrid/>
          <w:szCs w:val="22"/>
          <w:lang w:val="lt-LT" w:eastAsia="en-IN"/>
        </w:rPr>
        <w:t> </w:t>
      </w:r>
      <w:r w:rsidRPr="001839C2">
        <w:rPr>
          <w:rFonts w:eastAsiaTheme="minorEastAsia"/>
          <w:snapToGrid/>
          <w:szCs w:val="22"/>
          <w:lang w:val="lt-LT" w:eastAsia="en-IN"/>
        </w:rPr>
        <w:t>mg tenofoviro dizoproksilio arba 6,5</w:t>
      </w:r>
      <w:r w:rsidR="00D05E2B" w:rsidRPr="001839C2">
        <w:rPr>
          <w:rFonts w:eastAsiaTheme="minorEastAsia"/>
          <w:snapToGrid/>
          <w:szCs w:val="22"/>
          <w:lang w:val="lt-LT" w:eastAsia="en-IN"/>
        </w:rPr>
        <w:t> </w:t>
      </w:r>
      <w:r w:rsidRPr="001839C2">
        <w:rPr>
          <w:rFonts w:eastAsiaTheme="minorEastAsia"/>
          <w:snapToGrid/>
          <w:szCs w:val="22"/>
          <w:lang w:val="lt-LT" w:eastAsia="en-IN"/>
        </w:rPr>
        <w:t>mg/kg</w:t>
      </w:r>
      <w:r w:rsidR="00D05E2B" w:rsidRPr="001839C2">
        <w:rPr>
          <w:rFonts w:eastAsiaTheme="minorEastAsia"/>
          <w:snapToGrid/>
          <w:szCs w:val="22"/>
          <w:lang w:val="lt-LT" w:eastAsia="en-IN"/>
        </w:rPr>
        <w:t> </w:t>
      </w:r>
      <w:r w:rsidRPr="001839C2">
        <w:rPr>
          <w:rFonts w:eastAsiaTheme="minorEastAsia"/>
          <w:snapToGrid/>
          <w:szCs w:val="22"/>
          <w:lang w:val="lt-LT" w:eastAsia="en-IN"/>
        </w:rPr>
        <w:t>kūno</w:t>
      </w:r>
      <w:r w:rsidR="00D05E2B" w:rsidRPr="001839C2">
        <w:rPr>
          <w:rFonts w:eastAsiaTheme="minorEastAsia"/>
          <w:snapToGrid/>
          <w:szCs w:val="22"/>
          <w:lang w:val="lt-LT" w:eastAsia="en-IN"/>
        </w:rPr>
        <w:t> </w:t>
      </w:r>
      <w:r w:rsidRPr="001839C2">
        <w:rPr>
          <w:rFonts w:eastAsiaTheme="minorEastAsia"/>
          <w:snapToGrid/>
          <w:szCs w:val="22"/>
          <w:lang w:val="lt-LT" w:eastAsia="en-IN"/>
        </w:rPr>
        <w:t>svorio tenofoviro dizoproksilio dozes per</w:t>
      </w:r>
      <w:r w:rsidR="00D05E2B" w:rsidRPr="001839C2">
        <w:rPr>
          <w:rFonts w:eastAsiaTheme="minorEastAsia"/>
          <w:snapToGrid/>
          <w:szCs w:val="22"/>
          <w:lang w:val="lt-LT" w:eastAsia="en-IN"/>
        </w:rPr>
        <w:t> </w:t>
      </w:r>
      <w:r w:rsidRPr="001839C2">
        <w:rPr>
          <w:rFonts w:eastAsiaTheme="minorEastAsia"/>
          <w:snapToGrid/>
          <w:szCs w:val="22"/>
          <w:lang w:val="lt-LT" w:eastAsia="en-IN"/>
        </w:rPr>
        <w:t>parą iki maksimalios 245</w:t>
      </w:r>
      <w:r w:rsidR="00D05E2B" w:rsidRPr="001839C2">
        <w:rPr>
          <w:rFonts w:eastAsiaTheme="minorEastAsia"/>
          <w:snapToGrid/>
          <w:szCs w:val="22"/>
          <w:lang w:val="lt-LT" w:eastAsia="en-IN"/>
        </w:rPr>
        <w:t> </w:t>
      </w:r>
      <w:r w:rsidRPr="001839C2">
        <w:rPr>
          <w:rFonts w:eastAsiaTheme="minorEastAsia"/>
          <w:snapToGrid/>
          <w:szCs w:val="22"/>
          <w:lang w:val="lt-LT" w:eastAsia="en-IN"/>
        </w:rPr>
        <w:t>mg dozės, buvo panaši kaip ir ekspozicija suaugusiųjų, vartojusių 245</w:t>
      </w:r>
      <w:r w:rsidR="00D05E2B" w:rsidRPr="001839C2">
        <w:rPr>
          <w:rFonts w:eastAsiaTheme="minorEastAsia"/>
          <w:snapToGrid/>
          <w:szCs w:val="22"/>
          <w:lang w:val="lt-LT" w:eastAsia="en-IN"/>
        </w:rPr>
        <w:t> </w:t>
      </w:r>
      <w:r w:rsidRPr="001839C2">
        <w:rPr>
          <w:rFonts w:eastAsiaTheme="minorEastAsia"/>
          <w:snapToGrid/>
          <w:szCs w:val="22"/>
          <w:lang w:val="lt-LT" w:eastAsia="en-IN"/>
        </w:rPr>
        <w:t>mg tenofoviro dizoproksilio vieną</w:t>
      </w:r>
      <w:r w:rsidR="00D05E2B" w:rsidRPr="001839C2">
        <w:rPr>
          <w:rFonts w:eastAsiaTheme="minorEastAsia"/>
          <w:snapToGrid/>
          <w:szCs w:val="22"/>
          <w:lang w:val="lt-LT" w:eastAsia="en-IN"/>
        </w:rPr>
        <w:t> </w:t>
      </w:r>
      <w:r w:rsidRPr="001839C2">
        <w:rPr>
          <w:rFonts w:eastAsiaTheme="minorEastAsia"/>
          <w:snapToGrid/>
          <w:szCs w:val="22"/>
          <w:lang w:val="lt-LT" w:eastAsia="en-IN"/>
        </w:rPr>
        <w:t>kartą per</w:t>
      </w:r>
      <w:r w:rsidR="00D05E2B" w:rsidRPr="001839C2">
        <w:rPr>
          <w:rFonts w:eastAsiaTheme="minorEastAsia"/>
          <w:snapToGrid/>
          <w:szCs w:val="22"/>
          <w:lang w:val="lt-LT" w:eastAsia="en-IN"/>
        </w:rPr>
        <w:t> </w:t>
      </w:r>
      <w:r w:rsidRPr="001839C2">
        <w:rPr>
          <w:rFonts w:eastAsiaTheme="minorEastAsia"/>
          <w:snapToGrid/>
          <w:szCs w:val="22"/>
          <w:lang w:val="lt-LT" w:eastAsia="en-IN"/>
        </w:rPr>
        <w:t>parą doz</w:t>
      </w:r>
      <w:r w:rsidR="00D05E2B" w:rsidRPr="001839C2">
        <w:rPr>
          <w:rFonts w:eastAsiaTheme="minorEastAsia"/>
          <w:snapToGrid/>
          <w:szCs w:val="22"/>
          <w:lang w:val="lt-LT" w:eastAsia="en-IN"/>
        </w:rPr>
        <w:t>ę</w:t>
      </w:r>
      <w:r w:rsidRPr="001839C2">
        <w:rPr>
          <w:rFonts w:eastAsiaTheme="minorEastAsia"/>
          <w:snapToGrid/>
          <w:szCs w:val="22"/>
          <w:lang w:val="lt-LT" w:eastAsia="en-IN"/>
        </w:rPr>
        <w:t>, organizmuose. Tenofoviro dizoproksilio farmakokinetikos tyrimų jaunesniems kaip 2</w:t>
      </w:r>
      <w:r w:rsidR="00D05E2B" w:rsidRPr="001839C2">
        <w:rPr>
          <w:rFonts w:eastAsiaTheme="minorEastAsia"/>
          <w:snapToGrid/>
          <w:szCs w:val="22"/>
          <w:lang w:val="lt-LT" w:eastAsia="en-IN"/>
        </w:rPr>
        <w:t> </w:t>
      </w:r>
      <w:r w:rsidRPr="001839C2">
        <w:rPr>
          <w:rFonts w:eastAsiaTheme="minorEastAsia"/>
          <w:snapToGrid/>
          <w:szCs w:val="22"/>
          <w:lang w:val="lt-LT" w:eastAsia="en-IN"/>
        </w:rPr>
        <w:t>metų vaikams neatlikta.</w:t>
      </w:r>
      <w:r w:rsidR="00D05E2B" w:rsidRPr="001839C2">
        <w:rPr>
          <w:rFonts w:eastAsiaTheme="minorEastAsia"/>
          <w:snapToGrid/>
          <w:szCs w:val="22"/>
          <w:lang w:val="lt-LT" w:eastAsia="en-IN"/>
        </w:rPr>
        <w:t xml:space="preserve"> </w:t>
      </w:r>
      <w:r w:rsidRPr="001839C2">
        <w:rPr>
          <w:rFonts w:eastAsiaTheme="minorEastAsia"/>
          <w:snapToGrid/>
          <w:szCs w:val="22"/>
          <w:lang w:val="lt-LT" w:eastAsia="en-IN"/>
        </w:rPr>
        <w:t>Apskritai, emtricitabino farmakokinetika kūdikiams, vaikams ir paaugliams (nuo 4</w:t>
      </w:r>
      <w:r w:rsidR="00D05E2B" w:rsidRPr="001839C2">
        <w:rPr>
          <w:rFonts w:eastAsiaTheme="minorEastAsia"/>
          <w:snapToGrid/>
          <w:szCs w:val="22"/>
          <w:lang w:val="lt-LT" w:eastAsia="en-IN"/>
        </w:rPr>
        <w:t> </w:t>
      </w:r>
      <w:r w:rsidRPr="001839C2">
        <w:rPr>
          <w:rFonts w:eastAsiaTheme="minorEastAsia"/>
          <w:snapToGrid/>
          <w:szCs w:val="22"/>
          <w:lang w:val="lt-LT" w:eastAsia="en-IN"/>
        </w:rPr>
        <w:t>mėnesių iki 18</w:t>
      </w:r>
      <w:r w:rsidR="00D05E2B" w:rsidRPr="001839C2">
        <w:rPr>
          <w:rFonts w:eastAsiaTheme="minorEastAsia"/>
          <w:snapToGrid/>
          <w:szCs w:val="22"/>
          <w:lang w:val="lt-LT" w:eastAsia="en-IN"/>
        </w:rPr>
        <w:t> </w:t>
      </w:r>
      <w:r w:rsidRPr="001839C2">
        <w:rPr>
          <w:rFonts w:eastAsiaTheme="minorEastAsia"/>
          <w:snapToGrid/>
          <w:szCs w:val="22"/>
          <w:lang w:val="lt-LT" w:eastAsia="en-IN"/>
        </w:rPr>
        <w:t>metų) yra panaši kaip ir suaugusiesiems.</w:t>
      </w:r>
    </w:p>
    <w:p w14:paraId="403F2E39"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2DD1AD9" w14:textId="77777777"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Remiantis tuo, kad ŽIV</w:t>
      </w:r>
      <w:r w:rsidR="00D05E2B" w:rsidRPr="001839C2">
        <w:rPr>
          <w:rFonts w:eastAsiaTheme="minorEastAsia"/>
          <w:snapToGrid/>
          <w:szCs w:val="22"/>
          <w:lang w:val="lt-LT" w:eastAsia="en-IN"/>
        </w:rPr>
        <w:noBreakHyphen/>
      </w:r>
      <w:r w:rsidRPr="001839C2">
        <w:rPr>
          <w:rFonts w:eastAsiaTheme="minorEastAsia"/>
          <w:snapToGrid/>
          <w:szCs w:val="22"/>
          <w:lang w:val="lt-LT" w:eastAsia="en-IN"/>
        </w:rPr>
        <w:t>1</w:t>
      </w:r>
      <w:r w:rsidR="00D05E2B" w:rsidRPr="001839C2">
        <w:rPr>
          <w:rFonts w:eastAsiaTheme="minorEastAsia"/>
          <w:snapToGrid/>
          <w:szCs w:val="22"/>
          <w:lang w:val="lt-LT" w:eastAsia="en-IN"/>
        </w:rPr>
        <w:t> </w:t>
      </w:r>
      <w:r w:rsidRPr="001839C2">
        <w:rPr>
          <w:rFonts w:eastAsiaTheme="minorEastAsia"/>
          <w:snapToGrid/>
          <w:szCs w:val="22"/>
          <w:lang w:val="lt-LT" w:eastAsia="en-IN"/>
        </w:rPr>
        <w:t>infekuotų paauglių ir suaugusiųjų emtricitabino ir tenofoviro (skiriamo tenofoviro dizoproksilio pavidalu) ekspozicija yra panaši, ir tuo, kad ŽIV</w:t>
      </w:r>
      <w:r w:rsidR="00D05E2B" w:rsidRPr="001839C2">
        <w:rPr>
          <w:rFonts w:eastAsiaTheme="minorEastAsia"/>
          <w:snapToGrid/>
          <w:szCs w:val="22"/>
          <w:lang w:val="lt-LT" w:eastAsia="en-IN"/>
        </w:rPr>
        <w:noBreakHyphen/>
      </w:r>
      <w:r w:rsidRPr="001839C2">
        <w:rPr>
          <w:rFonts w:eastAsiaTheme="minorEastAsia"/>
          <w:snapToGrid/>
          <w:szCs w:val="22"/>
          <w:lang w:val="lt-LT" w:eastAsia="en-IN"/>
        </w:rPr>
        <w:t>1 infekuotų ir neinfekuotų suaugusiųjų emtricitabino ir tenofoviro ekspozicija yra panaši, manoma, kad ŽIV</w:t>
      </w:r>
      <w:r w:rsidR="00D05E2B" w:rsidRPr="001839C2">
        <w:rPr>
          <w:rFonts w:eastAsiaTheme="minorEastAsia"/>
          <w:snapToGrid/>
          <w:szCs w:val="22"/>
          <w:lang w:val="lt-LT" w:eastAsia="en-IN"/>
        </w:rPr>
        <w:noBreakHyphen/>
      </w:r>
      <w:r w:rsidRPr="001839C2">
        <w:rPr>
          <w:rFonts w:eastAsiaTheme="minorEastAsia"/>
          <w:snapToGrid/>
          <w:szCs w:val="22"/>
          <w:lang w:val="lt-LT" w:eastAsia="en-IN"/>
        </w:rPr>
        <w:t>1</w:t>
      </w:r>
      <w:r w:rsidR="00D05E2B" w:rsidRPr="001839C2">
        <w:rPr>
          <w:rFonts w:eastAsiaTheme="minorEastAsia"/>
          <w:snapToGrid/>
          <w:szCs w:val="22"/>
          <w:lang w:val="lt-LT" w:eastAsia="en-IN"/>
        </w:rPr>
        <w:t> </w:t>
      </w:r>
      <w:r w:rsidRPr="001839C2">
        <w:rPr>
          <w:rFonts w:eastAsiaTheme="minorEastAsia"/>
          <w:snapToGrid/>
          <w:szCs w:val="22"/>
          <w:lang w:val="lt-LT" w:eastAsia="en-IN"/>
        </w:rPr>
        <w:t>infekuotų ir neinfekuotų paauglių emtricitabino ir tenofoviro farmakokinetika yra panaši.</w:t>
      </w:r>
    </w:p>
    <w:p w14:paraId="075BC97B"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74D3492" w14:textId="77777777" w:rsidR="002A5F50" w:rsidRPr="001839C2" w:rsidRDefault="00481A96"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Sutrikusi i</w:t>
      </w:r>
      <w:r w:rsidR="002A5F50" w:rsidRPr="001839C2">
        <w:rPr>
          <w:rFonts w:eastAsiaTheme="minorEastAsia"/>
          <w:snapToGrid/>
          <w:szCs w:val="22"/>
          <w:u w:val="single"/>
          <w:lang w:val="lt-LT" w:eastAsia="en-IN"/>
        </w:rPr>
        <w:t>nkstų funkcija</w:t>
      </w:r>
    </w:p>
    <w:p w14:paraId="17E6AA6B" w14:textId="77777777" w:rsidR="002A5F50" w:rsidRPr="001839C2" w:rsidRDefault="002A5F50" w:rsidP="00230559">
      <w:pPr>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Kartu vartojamų atskirų emtricitabino ir tenofoviro </w:t>
      </w:r>
      <w:r w:rsidR="00D05E2B" w:rsidRPr="001839C2">
        <w:rPr>
          <w:rFonts w:eastAsiaTheme="minorEastAsia"/>
          <w:snapToGrid/>
          <w:szCs w:val="22"/>
          <w:lang w:val="lt-LT" w:eastAsia="en-IN"/>
        </w:rPr>
        <w:t xml:space="preserve">vaistinių </w:t>
      </w:r>
      <w:r w:rsidRPr="001839C2">
        <w:rPr>
          <w:rFonts w:eastAsiaTheme="minorEastAsia"/>
          <w:snapToGrid/>
          <w:szCs w:val="22"/>
          <w:lang w:val="lt-LT" w:eastAsia="en-IN"/>
        </w:rPr>
        <w:t xml:space="preserve">preparatų arba </w:t>
      </w:r>
      <w:r w:rsidR="00D05E2B" w:rsidRPr="001839C2">
        <w:rPr>
          <w:rFonts w:eastAsiaTheme="minorHAnsi"/>
          <w:snapToGrid/>
          <w:szCs w:val="22"/>
          <w:lang w:val="lt-LT"/>
        </w:rPr>
        <w:t>e</w:t>
      </w:r>
      <w:r w:rsidRPr="001839C2">
        <w:rPr>
          <w:rFonts w:eastAsiaTheme="minorHAnsi"/>
          <w:snapToGrid/>
          <w:szCs w:val="22"/>
          <w:lang w:val="lt-LT"/>
        </w:rPr>
        <w:t>mtricitabin</w:t>
      </w:r>
      <w:r w:rsidR="00C05F97" w:rsidRPr="001839C2">
        <w:rPr>
          <w:rFonts w:eastAsiaTheme="minorHAnsi"/>
          <w:snapToGrid/>
          <w:szCs w:val="22"/>
          <w:lang w:val="lt-LT"/>
        </w:rPr>
        <w:t>o</w:t>
      </w:r>
      <w:r w:rsidR="00D05E2B" w:rsidRPr="001839C2">
        <w:rPr>
          <w:rFonts w:eastAsiaTheme="minorHAnsi"/>
          <w:snapToGrid/>
          <w:szCs w:val="22"/>
          <w:lang w:val="lt-LT"/>
        </w:rPr>
        <w:t xml:space="preserve"> ir t</w:t>
      </w:r>
      <w:r w:rsidRPr="001839C2">
        <w:rPr>
          <w:rFonts w:eastAsiaTheme="minorHAnsi"/>
          <w:snapToGrid/>
          <w:szCs w:val="22"/>
          <w:lang w:val="lt-LT"/>
        </w:rPr>
        <w:t>enofovir</w:t>
      </w:r>
      <w:r w:rsidR="00D05E2B" w:rsidRPr="001839C2">
        <w:rPr>
          <w:rFonts w:eastAsiaTheme="minorHAnsi"/>
          <w:snapToGrid/>
          <w:szCs w:val="22"/>
          <w:lang w:val="lt-LT"/>
        </w:rPr>
        <w:t>o</w:t>
      </w:r>
      <w:r w:rsidRPr="001839C2">
        <w:rPr>
          <w:rFonts w:eastAsiaTheme="minorHAnsi"/>
          <w:snapToGrid/>
          <w:szCs w:val="22"/>
          <w:lang w:val="lt-LT"/>
        </w:rPr>
        <w:t xml:space="preserve"> di</w:t>
      </w:r>
      <w:r w:rsidR="00D05E2B" w:rsidRPr="001839C2">
        <w:rPr>
          <w:rFonts w:eastAsiaTheme="minorHAnsi"/>
          <w:snapToGrid/>
          <w:szCs w:val="22"/>
          <w:lang w:val="lt-LT"/>
        </w:rPr>
        <w:t>z</w:t>
      </w:r>
      <w:r w:rsidRPr="001839C2">
        <w:rPr>
          <w:rFonts w:eastAsiaTheme="minorHAnsi"/>
          <w:snapToGrid/>
          <w:szCs w:val="22"/>
          <w:lang w:val="lt-LT"/>
        </w:rPr>
        <w:t>opro</w:t>
      </w:r>
      <w:r w:rsidR="00D05E2B" w:rsidRPr="001839C2">
        <w:rPr>
          <w:rFonts w:eastAsiaTheme="minorHAnsi"/>
          <w:snapToGrid/>
          <w:szCs w:val="22"/>
          <w:lang w:val="lt-LT"/>
        </w:rPr>
        <w:t>ks</w:t>
      </w:r>
      <w:r w:rsidRPr="001839C2">
        <w:rPr>
          <w:rFonts w:eastAsiaTheme="minorHAnsi"/>
          <w:snapToGrid/>
          <w:szCs w:val="22"/>
          <w:lang w:val="lt-LT"/>
        </w:rPr>
        <w:t>il</w:t>
      </w:r>
      <w:r w:rsidR="00D05E2B" w:rsidRPr="001839C2">
        <w:rPr>
          <w:rFonts w:eastAsiaTheme="minorHAnsi"/>
          <w:snapToGrid/>
          <w:szCs w:val="22"/>
          <w:lang w:val="lt-LT"/>
        </w:rPr>
        <w:t>i</w:t>
      </w:r>
      <w:r w:rsidRPr="001839C2">
        <w:rPr>
          <w:rFonts w:eastAsiaTheme="minorHAnsi"/>
          <w:snapToGrid/>
          <w:szCs w:val="22"/>
          <w:lang w:val="lt-LT"/>
        </w:rPr>
        <w:t>o</w:t>
      </w:r>
      <w:r w:rsidR="00D05E2B" w:rsidRPr="001839C2">
        <w:rPr>
          <w:rFonts w:eastAsiaTheme="minorHAnsi"/>
          <w:snapToGrid/>
          <w:szCs w:val="22"/>
          <w:lang w:val="lt-LT"/>
        </w:rPr>
        <w:t xml:space="preserve"> </w:t>
      </w:r>
      <w:r w:rsidRPr="001839C2">
        <w:rPr>
          <w:rFonts w:eastAsiaTheme="minorHAnsi"/>
          <w:snapToGrid/>
          <w:szCs w:val="22"/>
          <w:lang w:val="lt-LT"/>
        </w:rPr>
        <w:t>d</w:t>
      </w:r>
      <w:r w:rsidR="00D05E2B" w:rsidRPr="001839C2">
        <w:rPr>
          <w:rFonts w:eastAsiaTheme="minorHAnsi"/>
          <w:snapToGrid/>
          <w:szCs w:val="22"/>
          <w:lang w:val="lt-LT"/>
        </w:rPr>
        <w:t>e</w:t>
      </w:r>
      <w:r w:rsidRPr="001839C2">
        <w:rPr>
          <w:rFonts w:eastAsiaTheme="minorHAnsi"/>
          <w:snapToGrid/>
          <w:szCs w:val="22"/>
          <w:lang w:val="lt-LT"/>
        </w:rPr>
        <w:t>r</w:t>
      </w:r>
      <w:r w:rsidR="00D05E2B" w:rsidRPr="001839C2">
        <w:rPr>
          <w:rFonts w:eastAsiaTheme="minorHAnsi"/>
          <w:snapToGrid/>
          <w:szCs w:val="22"/>
          <w:lang w:val="lt-LT"/>
        </w:rPr>
        <w:t>inio 200 mg/245 </w:t>
      </w:r>
      <w:r w:rsidRPr="001839C2">
        <w:rPr>
          <w:rFonts w:eastAsiaTheme="minorHAnsi"/>
          <w:snapToGrid/>
          <w:szCs w:val="22"/>
          <w:lang w:val="lt-LT"/>
        </w:rPr>
        <w:t>m</w:t>
      </w:r>
      <w:r w:rsidR="00D05E2B" w:rsidRPr="001839C2">
        <w:rPr>
          <w:rFonts w:eastAsiaTheme="minorHAnsi"/>
          <w:snapToGrid/>
          <w:szCs w:val="22"/>
          <w:lang w:val="lt-LT"/>
        </w:rPr>
        <w:t>g plėvele dengtos t</w:t>
      </w:r>
      <w:r w:rsidRPr="001839C2">
        <w:rPr>
          <w:rFonts w:eastAsiaTheme="minorHAnsi"/>
          <w:snapToGrid/>
          <w:szCs w:val="22"/>
          <w:lang w:val="lt-LT"/>
        </w:rPr>
        <w:t>a</w:t>
      </w:r>
      <w:r w:rsidR="00D05E2B" w:rsidRPr="001839C2">
        <w:rPr>
          <w:rFonts w:eastAsiaTheme="minorHAnsi"/>
          <w:snapToGrid/>
          <w:szCs w:val="22"/>
          <w:lang w:val="lt-LT"/>
        </w:rPr>
        <w:t>bletės</w:t>
      </w:r>
      <w:r w:rsidRPr="001839C2">
        <w:rPr>
          <w:rFonts w:eastAsiaTheme="minorHAnsi"/>
          <w:snapToGrid/>
          <w:szCs w:val="22"/>
          <w:lang w:val="lt-LT"/>
        </w:rPr>
        <w:t xml:space="preserve"> </w:t>
      </w:r>
      <w:r w:rsidRPr="001839C2">
        <w:rPr>
          <w:rFonts w:eastAsiaTheme="minorEastAsia"/>
          <w:snapToGrid/>
          <w:szCs w:val="22"/>
          <w:lang w:val="lt-LT" w:eastAsia="en-IN"/>
        </w:rPr>
        <w:t>farmakokinetikos duomenų pacientams, kurių inkstų funkcija sutrikusi, yra nedaug. Farmakokinetiniai duomenys buvo daugiausia</w:t>
      </w:r>
      <w:r w:rsidR="00C05F97" w:rsidRPr="001839C2">
        <w:rPr>
          <w:rFonts w:eastAsiaTheme="minorEastAsia"/>
          <w:snapToGrid/>
          <w:szCs w:val="22"/>
          <w:lang w:val="lt-LT" w:eastAsia="en-IN"/>
        </w:rPr>
        <w:t>i</w:t>
      </w:r>
      <w:r w:rsidRPr="001839C2">
        <w:rPr>
          <w:rFonts w:eastAsiaTheme="minorEastAsia"/>
          <w:snapToGrid/>
          <w:szCs w:val="22"/>
          <w:lang w:val="lt-LT" w:eastAsia="en-IN"/>
        </w:rPr>
        <w:t xml:space="preserve"> nustatyti skiriant vienkartines emtricitabino 200</w:t>
      </w:r>
      <w:r w:rsidR="00D05E2B" w:rsidRPr="001839C2">
        <w:rPr>
          <w:rFonts w:eastAsiaTheme="minorEastAsia"/>
          <w:snapToGrid/>
          <w:szCs w:val="22"/>
          <w:lang w:val="lt-LT" w:eastAsia="en-IN"/>
        </w:rPr>
        <w:t> </w:t>
      </w:r>
      <w:r w:rsidRPr="001839C2">
        <w:rPr>
          <w:rFonts w:eastAsiaTheme="minorEastAsia"/>
          <w:snapToGrid/>
          <w:szCs w:val="22"/>
          <w:lang w:val="lt-LT" w:eastAsia="en-IN"/>
        </w:rPr>
        <w:t>mg arba tenofoviro dizoproksilio 245</w:t>
      </w:r>
      <w:r w:rsidR="00D05E2B" w:rsidRPr="001839C2">
        <w:rPr>
          <w:rFonts w:eastAsiaTheme="minorEastAsia"/>
          <w:snapToGrid/>
          <w:szCs w:val="22"/>
          <w:lang w:val="lt-LT" w:eastAsia="en-IN"/>
        </w:rPr>
        <w:t> </w:t>
      </w:r>
      <w:r w:rsidRPr="001839C2">
        <w:rPr>
          <w:rFonts w:eastAsiaTheme="minorEastAsia"/>
          <w:snapToGrid/>
          <w:szCs w:val="22"/>
          <w:lang w:val="lt-LT" w:eastAsia="en-IN"/>
        </w:rPr>
        <w:t>mg dozes ŽIV</w:t>
      </w:r>
      <w:r w:rsidR="00D05E2B" w:rsidRPr="001839C2">
        <w:rPr>
          <w:rFonts w:eastAsiaTheme="minorEastAsia"/>
          <w:snapToGrid/>
          <w:szCs w:val="22"/>
          <w:lang w:val="lt-LT" w:eastAsia="en-IN"/>
        </w:rPr>
        <w:t> </w:t>
      </w:r>
      <w:r w:rsidRPr="001839C2">
        <w:rPr>
          <w:rFonts w:eastAsiaTheme="minorEastAsia"/>
          <w:snapToGrid/>
          <w:szCs w:val="22"/>
          <w:lang w:val="lt-LT" w:eastAsia="en-IN"/>
        </w:rPr>
        <w:t>neinfekuotiems tiriamiesiems, sergantiems įvairaus s</w:t>
      </w:r>
      <w:r w:rsidR="00D05E2B" w:rsidRPr="001839C2">
        <w:rPr>
          <w:rFonts w:eastAsiaTheme="minorEastAsia"/>
          <w:snapToGrid/>
          <w:szCs w:val="22"/>
          <w:lang w:val="lt-LT" w:eastAsia="en-IN"/>
        </w:rPr>
        <w:t>u</w:t>
      </w:r>
      <w:r w:rsidRPr="001839C2">
        <w:rPr>
          <w:rFonts w:eastAsiaTheme="minorEastAsia"/>
          <w:snapToGrid/>
          <w:szCs w:val="22"/>
          <w:lang w:val="lt-LT" w:eastAsia="en-IN"/>
        </w:rPr>
        <w:t>n</w:t>
      </w:r>
      <w:r w:rsidR="00D05E2B" w:rsidRPr="001839C2">
        <w:rPr>
          <w:rFonts w:eastAsiaTheme="minorEastAsia"/>
          <w:snapToGrid/>
          <w:szCs w:val="22"/>
          <w:lang w:val="lt-LT" w:eastAsia="en-IN"/>
        </w:rPr>
        <w:t>kum</w:t>
      </w:r>
      <w:r w:rsidRPr="001839C2">
        <w:rPr>
          <w:rFonts w:eastAsiaTheme="minorEastAsia"/>
          <w:snapToGrid/>
          <w:szCs w:val="22"/>
          <w:lang w:val="lt-LT" w:eastAsia="en-IN"/>
        </w:rPr>
        <w:t>o inkstų funkcijos sutrikimu. Inkstų funkcijos sutrikimo laipsnis buvo nustatytas remiantis pradiniu kreatinino klirensu (KrKl) (normali inkstų funkcija</w:t>
      </w:r>
      <w:r w:rsidR="00C05F97" w:rsidRPr="001839C2">
        <w:rPr>
          <w:rFonts w:eastAsiaTheme="minorEastAsia"/>
          <w:snapToGrid/>
          <w:szCs w:val="22"/>
          <w:lang w:val="lt-LT" w:eastAsia="en-IN"/>
        </w:rPr>
        <w:t>, kai</w:t>
      </w:r>
      <w:r w:rsidRPr="001839C2">
        <w:rPr>
          <w:rFonts w:eastAsiaTheme="minorEastAsia"/>
          <w:snapToGrid/>
          <w:szCs w:val="22"/>
          <w:lang w:val="lt-LT" w:eastAsia="en-IN"/>
        </w:rPr>
        <w:t xml:space="preserve"> KrKl</w:t>
      </w:r>
      <w:r w:rsidR="00D05E2B" w:rsidRPr="001839C2">
        <w:rPr>
          <w:rFonts w:eastAsiaTheme="minorEastAsia"/>
          <w:snapToGrid/>
          <w:szCs w:val="22"/>
          <w:lang w:val="lt-LT" w:eastAsia="en-IN"/>
        </w:rPr>
        <w:t> </w:t>
      </w:r>
      <w:r w:rsidRPr="001839C2">
        <w:rPr>
          <w:rFonts w:eastAsiaTheme="minorEastAsia"/>
          <w:snapToGrid/>
          <w:szCs w:val="22"/>
          <w:lang w:val="lt-LT" w:eastAsia="en-IN"/>
        </w:rPr>
        <w:t>&gt;</w:t>
      </w:r>
      <w:r w:rsidR="00D05E2B" w:rsidRPr="001839C2">
        <w:rPr>
          <w:rFonts w:eastAsiaTheme="minorEastAsia"/>
          <w:snapToGrid/>
          <w:szCs w:val="22"/>
          <w:lang w:val="lt-LT" w:eastAsia="en-IN"/>
        </w:rPr>
        <w:t> </w:t>
      </w:r>
      <w:r w:rsidRPr="001839C2">
        <w:rPr>
          <w:rFonts w:eastAsiaTheme="minorEastAsia"/>
          <w:snapToGrid/>
          <w:szCs w:val="22"/>
          <w:lang w:val="lt-LT" w:eastAsia="en-IN"/>
        </w:rPr>
        <w:t>80</w:t>
      </w:r>
      <w:r w:rsidR="00D05E2B" w:rsidRPr="001839C2">
        <w:rPr>
          <w:rFonts w:eastAsiaTheme="minorEastAsia"/>
          <w:snapToGrid/>
          <w:szCs w:val="22"/>
          <w:lang w:val="lt-LT" w:eastAsia="en-IN"/>
        </w:rPr>
        <w:t> </w:t>
      </w:r>
      <w:r w:rsidRPr="001839C2">
        <w:rPr>
          <w:rFonts w:eastAsiaTheme="minorEastAsia"/>
          <w:snapToGrid/>
          <w:szCs w:val="22"/>
          <w:lang w:val="lt-LT" w:eastAsia="en-IN"/>
        </w:rPr>
        <w:t>ml/min.</w:t>
      </w:r>
      <w:r w:rsidR="00D05E2B" w:rsidRPr="001839C2">
        <w:rPr>
          <w:rFonts w:eastAsiaTheme="minorEastAsia"/>
          <w:snapToGrid/>
          <w:szCs w:val="22"/>
          <w:lang w:val="lt-LT" w:eastAsia="en-IN"/>
        </w:rPr>
        <w:t>,</w:t>
      </w:r>
      <w:r w:rsidRPr="001839C2">
        <w:rPr>
          <w:rFonts w:eastAsiaTheme="minorEastAsia"/>
          <w:snapToGrid/>
          <w:szCs w:val="22"/>
          <w:lang w:val="lt-LT" w:eastAsia="en-IN"/>
        </w:rPr>
        <w:t xml:space="preserve"> lengvas inkstų funkcijos sutrikimas – KrKl 50</w:t>
      </w:r>
      <w:r w:rsidR="00D05E2B" w:rsidRPr="001839C2">
        <w:rPr>
          <w:rFonts w:eastAsiaTheme="minorEastAsia"/>
          <w:snapToGrid/>
          <w:szCs w:val="22"/>
          <w:lang w:val="lt-LT" w:eastAsia="en-IN"/>
        </w:rPr>
        <w:noBreakHyphen/>
      </w:r>
      <w:r w:rsidRPr="001839C2">
        <w:rPr>
          <w:rFonts w:eastAsiaTheme="minorEastAsia"/>
          <w:snapToGrid/>
          <w:szCs w:val="22"/>
          <w:lang w:val="lt-LT" w:eastAsia="en-IN"/>
        </w:rPr>
        <w:t>79</w:t>
      </w:r>
      <w:r w:rsidR="00D05E2B" w:rsidRPr="001839C2">
        <w:rPr>
          <w:rFonts w:eastAsiaTheme="minorEastAsia"/>
          <w:snapToGrid/>
          <w:szCs w:val="22"/>
          <w:lang w:val="lt-LT" w:eastAsia="en-IN"/>
        </w:rPr>
        <w:t> </w:t>
      </w:r>
      <w:r w:rsidRPr="001839C2">
        <w:rPr>
          <w:rFonts w:eastAsiaTheme="minorEastAsia"/>
          <w:snapToGrid/>
          <w:szCs w:val="22"/>
          <w:lang w:val="lt-LT" w:eastAsia="en-IN"/>
        </w:rPr>
        <w:t>ml/min.</w:t>
      </w:r>
      <w:r w:rsidR="00D05E2B" w:rsidRPr="001839C2">
        <w:rPr>
          <w:rFonts w:eastAsiaTheme="minorEastAsia"/>
          <w:snapToGrid/>
          <w:szCs w:val="22"/>
          <w:lang w:val="lt-LT" w:eastAsia="en-IN"/>
        </w:rPr>
        <w:t>,</w:t>
      </w:r>
      <w:r w:rsidRPr="001839C2">
        <w:rPr>
          <w:rFonts w:eastAsiaTheme="minorEastAsia"/>
          <w:snapToGrid/>
          <w:szCs w:val="22"/>
          <w:lang w:val="lt-LT" w:eastAsia="en-IN"/>
        </w:rPr>
        <w:t xml:space="preserve"> vidutinio s</w:t>
      </w:r>
      <w:r w:rsidR="00D05E2B" w:rsidRPr="001839C2">
        <w:rPr>
          <w:rFonts w:eastAsiaTheme="minorEastAsia"/>
          <w:snapToGrid/>
          <w:szCs w:val="22"/>
          <w:lang w:val="lt-LT" w:eastAsia="en-IN"/>
        </w:rPr>
        <w:t>u</w:t>
      </w:r>
      <w:r w:rsidRPr="001839C2">
        <w:rPr>
          <w:rFonts w:eastAsiaTheme="minorEastAsia"/>
          <w:snapToGrid/>
          <w:szCs w:val="22"/>
          <w:lang w:val="lt-LT" w:eastAsia="en-IN"/>
        </w:rPr>
        <w:t>n</w:t>
      </w:r>
      <w:r w:rsidR="00D05E2B" w:rsidRPr="001839C2">
        <w:rPr>
          <w:rFonts w:eastAsiaTheme="minorEastAsia"/>
          <w:snapToGrid/>
          <w:szCs w:val="22"/>
          <w:lang w:val="lt-LT" w:eastAsia="en-IN"/>
        </w:rPr>
        <w:t>kum</w:t>
      </w:r>
      <w:r w:rsidRPr="001839C2">
        <w:rPr>
          <w:rFonts w:eastAsiaTheme="minorEastAsia"/>
          <w:snapToGrid/>
          <w:szCs w:val="22"/>
          <w:lang w:val="lt-LT" w:eastAsia="en-IN"/>
        </w:rPr>
        <w:t>o inkstų funkcijos sutrikimas – KrKl 30</w:t>
      </w:r>
      <w:r w:rsidR="00C02273" w:rsidRPr="001839C2">
        <w:rPr>
          <w:rFonts w:eastAsiaTheme="minorEastAsia"/>
          <w:snapToGrid/>
          <w:szCs w:val="22"/>
          <w:lang w:val="lt-LT" w:eastAsia="en-IN"/>
        </w:rPr>
        <w:noBreakHyphen/>
      </w:r>
      <w:r w:rsidRPr="001839C2">
        <w:rPr>
          <w:rFonts w:eastAsiaTheme="minorEastAsia"/>
          <w:snapToGrid/>
          <w:szCs w:val="22"/>
          <w:lang w:val="lt-LT" w:eastAsia="en-IN"/>
        </w:rPr>
        <w:t>49</w:t>
      </w:r>
      <w:r w:rsidR="00C02273" w:rsidRPr="001839C2">
        <w:rPr>
          <w:rFonts w:eastAsiaTheme="minorEastAsia"/>
          <w:snapToGrid/>
          <w:szCs w:val="22"/>
          <w:lang w:val="lt-LT" w:eastAsia="en-IN"/>
        </w:rPr>
        <w:t> </w:t>
      </w:r>
      <w:r w:rsidRPr="001839C2">
        <w:rPr>
          <w:rFonts w:eastAsiaTheme="minorEastAsia"/>
          <w:snapToGrid/>
          <w:szCs w:val="22"/>
          <w:lang w:val="lt-LT" w:eastAsia="en-IN"/>
        </w:rPr>
        <w:t>ml/min.</w:t>
      </w:r>
      <w:r w:rsidR="00C02273" w:rsidRPr="001839C2">
        <w:rPr>
          <w:rFonts w:eastAsiaTheme="minorEastAsia"/>
          <w:snapToGrid/>
          <w:szCs w:val="22"/>
          <w:lang w:val="lt-LT" w:eastAsia="en-IN"/>
        </w:rPr>
        <w:t>,</w:t>
      </w:r>
      <w:r w:rsidRPr="001839C2">
        <w:rPr>
          <w:rFonts w:eastAsiaTheme="minorEastAsia"/>
          <w:snapToGrid/>
          <w:szCs w:val="22"/>
          <w:lang w:val="lt-LT" w:eastAsia="en-IN"/>
        </w:rPr>
        <w:t xml:space="preserve"> s</w:t>
      </w:r>
      <w:r w:rsidR="00C02273" w:rsidRPr="001839C2">
        <w:rPr>
          <w:rFonts w:eastAsiaTheme="minorEastAsia"/>
          <w:snapToGrid/>
          <w:szCs w:val="22"/>
          <w:lang w:val="lt-LT" w:eastAsia="en-IN"/>
        </w:rPr>
        <w:t>u</w:t>
      </w:r>
      <w:r w:rsidRPr="001839C2">
        <w:rPr>
          <w:rFonts w:eastAsiaTheme="minorEastAsia"/>
          <w:snapToGrid/>
          <w:szCs w:val="22"/>
          <w:lang w:val="lt-LT" w:eastAsia="en-IN"/>
        </w:rPr>
        <w:t>n</w:t>
      </w:r>
      <w:r w:rsidR="00C02273" w:rsidRPr="001839C2">
        <w:rPr>
          <w:rFonts w:eastAsiaTheme="minorEastAsia"/>
          <w:snapToGrid/>
          <w:szCs w:val="22"/>
          <w:lang w:val="lt-LT" w:eastAsia="en-IN"/>
        </w:rPr>
        <w:t>kus</w:t>
      </w:r>
      <w:r w:rsidRPr="001839C2">
        <w:rPr>
          <w:rFonts w:eastAsiaTheme="minorEastAsia"/>
          <w:snapToGrid/>
          <w:szCs w:val="22"/>
          <w:lang w:val="lt-LT" w:eastAsia="en-IN"/>
        </w:rPr>
        <w:t xml:space="preserve"> inkstų funkcijos sutrikimas – KrKl 10</w:t>
      </w:r>
      <w:r w:rsidR="00C02273" w:rsidRPr="001839C2">
        <w:rPr>
          <w:rFonts w:eastAsiaTheme="minorEastAsia"/>
          <w:snapToGrid/>
          <w:szCs w:val="22"/>
          <w:lang w:val="lt-LT" w:eastAsia="en-IN"/>
        </w:rPr>
        <w:noBreakHyphen/>
      </w:r>
      <w:r w:rsidRPr="001839C2">
        <w:rPr>
          <w:rFonts w:eastAsiaTheme="minorEastAsia"/>
          <w:snapToGrid/>
          <w:szCs w:val="22"/>
          <w:lang w:val="lt-LT" w:eastAsia="en-IN"/>
        </w:rPr>
        <w:t>29</w:t>
      </w:r>
      <w:r w:rsidR="00C02273" w:rsidRPr="001839C2">
        <w:rPr>
          <w:rFonts w:eastAsiaTheme="minorEastAsia"/>
          <w:snapToGrid/>
          <w:szCs w:val="22"/>
          <w:lang w:val="lt-LT" w:eastAsia="en-IN"/>
        </w:rPr>
        <w:t> </w:t>
      </w:r>
      <w:r w:rsidRPr="001839C2">
        <w:rPr>
          <w:rFonts w:eastAsiaTheme="minorEastAsia"/>
          <w:snapToGrid/>
          <w:szCs w:val="22"/>
          <w:lang w:val="lt-LT" w:eastAsia="en-IN"/>
        </w:rPr>
        <w:t>ml/min.).</w:t>
      </w:r>
    </w:p>
    <w:p w14:paraId="07249B7F"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26E1BB3"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Vidutinė emtricitabino vaist</w:t>
      </w:r>
      <w:r w:rsidR="00C02273" w:rsidRPr="001839C2">
        <w:rPr>
          <w:rFonts w:eastAsiaTheme="minorEastAsia"/>
          <w:snapToGrid/>
          <w:szCs w:val="22"/>
          <w:lang w:val="lt-LT" w:eastAsia="en-IN"/>
        </w:rPr>
        <w:t>ini</w:t>
      </w:r>
      <w:r w:rsidRPr="001839C2">
        <w:rPr>
          <w:rFonts w:eastAsiaTheme="minorEastAsia"/>
          <w:snapToGrid/>
          <w:szCs w:val="22"/>
          <w:lang w:val="lt-LT" w:eastAsia="en-IN"/>
        </w:rPr>
        <w:t>o</w:t>
      </w:r>
      <w:r w:rsidR="00C02273"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ekspozicija (%</w:t>
      </w:r>
      <w:r w:rsidR="00C02273" w:rsidRPr="001839C2">
        <w:rPr>
          <w:rFonts w:eastAsiaTheme="minorEastAsia"/>
          <w:snapToGrid/>
          <w:szCs w:val="22"/>
          <w:lang w:val="lt-LT" w:eastAsia="en-IN"/>
        </w:rPr>
        <w:t> </w:t>
      </w:r>
      <w:r w:rsidRPr="001839C2">
        <w:rPr>
          <w:rFonts w:eastAsiaTheme="minorEastAsia"/>
          <w:snapToGrid/>
          <w:szCs w:val="22"/>
          <w:lang w:val="lt-LT" w:eastAsia="en-IN"/>
        </w:rPr>
        <w:t>CV) padidėjo nuo 12</w:t>
      </w:r>
      <w:r w:rsidR="00C02273" w:rsidRPr="001839C2">
        <w:rPr>
          <w:rFonts w:eastAsiaTheme="minorEastAsia"/>
          <w:snapToGrid/>
          <w:szCs w:val="22"/>
          <w:lang w:val="lt-LT" w:eastAsia="en-IN"/>
        </w:rPr>
        <w:t>  </w:t>
      </w:r>
      <w:r w:rsidRPr="001839C2">
        <w:rPr>
          <w:rFonts w:eastAsiaTheme="minorEastAsia"/>
          <w:snapToGrid/>
          <w:szCs w:val="22"/>
          <w:lang w:val="lt-LT" w:eastAsia="en-IN"/>
        </w:rPr>
        <w:t>μg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(25 %)</w:t>
      </w:r>
      <w:r w:rsidRPr="001839C2">
        <w:rPr>
          <w:rFonts w:eastAsiaTheme="minorEastAsia"/>
          <w:snapToGrid/>
          <w:szCs w:val="22"/>
          <w:lang w:val="lt-LT" w:eastAsia="en-IN"/>
        </w:rPr>
        <w:t xml:space="preserve"> asmenims, kurių inkstų funkcija normali, iki 20</w:t>
      </w:r>
      <w:r w:rsidR="00C02273" w:rsidRPr="001839C2">
        <w:rPr>
          <w:rFonts w:eastAsiaTheme="minorEastAsia"/>
          <w:snapToGrid/>
          <w:szCs w:val="22"/>
          <w:lang w:val="lt-LT" w:eastAsia="en-IN"/>
        </w:rPr>
        <w:t> </w:t>
      </w:r>
      <w:r w:rsidRPr="001839C2">
        <w:rPr>
          <w:rFonts w:eastAsiaTheme="minorEastAsia"/>
          <w:snapToGrid/>
          <w:szCs w:val="22"/>
          <w:lang w:val="lt-LT" w:eastAsia="en-IN"/>
        </w:rPr>
        <w:t>µg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(6 %)</w:t>
      </w:r>
      <w:r w:rsidRPr="001839C2">
        <w:rPr>
          <w:rFonts w:eastAsiaTheme="minorEastAsia"/>
          <w:snapToGrid/>
          <w:szCs w:val="22"/>
          <w:lang w:val="lt-LT" w:eastAsia="en-IN"/>
        </w:rPr>
        <w:t xml:space="preserve"> </w:t>
      </w:r>
      <w:r w:rsidR="00C02273" w:rsidRPr="001839C2">
        <w:rPr>
          <w:rFonts w:eastAsiaTheme="minorEastAsia"/>
          <w:snapToGrid/>
          <w:szCs w:val="22"/>
          <w:lang w:val="lt-LT" w:eastAsia="en-IN"/>
        </w:rPr>
        <w:t xml:space="preserve">tiriamiesiems </w:t>
      </w:r>
      <w:r w:rsidRPr="001839C2">
        <w:rPr>
          <w:rFonts w:eastAsiaTheme="minorEastAsia"/>
          <w:snapToGrid/>
          <w:szCs w:val="22"/>
          <w:lang w:val="lt-LT" w:eastAsia="en-IN"/>
        </w:rPr>
        <w:t>su lengvu, iki 25</w:t>
      </w:r>
      <w:r w:rsidR="00C02273" w:rsidRPr="001839C2">
        <w:rPr>
          <w:rFonts w:eastAsiaTheme="minorEastAsia"/>
          <w:snapToGrid/>
          <w:szCs w:val="22"/>
          <w:lang w:val="lt-LT" w:eastAsia="en-IN"/>
        </w:rPr>
        <w:t> </w:t>
      </w:r>
      <w:r w:rsidRPr="001839C2">
        <w:rPr>
          <w:rFonts w:eastAsiaTheme="minorEastAsia"/>
          <w:snapToGrid/>
          <w:szCs w:val="22"/>
          <w:lang w:val="lt-LT" w:eastAsia="en-IN"/>
        </w:rPr>
        <w:t>µg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w:t>
      </w:r>
      <w:r w:rsidR="00C02273" w:rsidRPr="001839C2">
        <w:rPr>
          <w:rFonts w:eastAsiaTheme="minorEastAsia"/>
          <w:snapToGrid/>
          <w:szCs w:val="22"/>
          <w:lang w:val="lt-LT" w:eastAsia="en-IN"/>
        </w:rPr>
        <w:lastRenderedPageBreak/>
        <w:t>(23 %)</w:t>
      </w:r>
      <w:r w:rsidRPr="001839C2">
        <w:rPr>
          <w:rFonts w:eastAsiaTheme="minorEastAsia"/>
          <w:snapToGrid/>
          <w:szCs w:val="22"/>
          <w:lang w:val="lt-LT" w:eastAsia="en-IN"/>
        </w:rPr>
        <w:t xml:space="preserve"> su vidutini</w:t>
      </w:r>
      <w:r w:rsidR="00C02273" w:rsidRPr="001839C2">
        <w:rPr>
          <w:rFonts w:eastAsiaTheme="minorEastAsia"/>
          <w:snapToGrid/>
          <w:szCs w:val="22"/>
          <w:lang w:val="lt-LT" w:eastAsia="en-IN"/>
        </w:rPr>
        <w:t>o s</w:t>
      </w:r>
      <w:r w:rsidRPr="001839C2">
        <w:rPr>
          <w:rFonts w:eastAsiaTheme="minorEastAsia"/>
          <w:snapToGrid/>
          <w:szCs w:val="22"/>
          <w:lang w:val="lt-LT" w:eastAsia="en-IN"/>
        </w:rPr>
        <w:t>u</w:t>
      </w:r>
      <w:r w:rsidR="00C02273" w:rsidRPr="001839C2">
        <w:rPr>
          <w:rFonts w:eastAsiaTheme="minorEastAsia"/>
          <w:snapToGrid/>
          <w:szCs w:val="22"/>
          <w:lang w:val="lt-LT" w:eastAsia="en-IN"/>
        </w:rPr>
        <w:t>nkumo</w:t>
      </w:r>
      <w:r w:rsidRPr="001839C2">
        <w:rPr>
          <w:rFonts w:eastAsiaTheme="minorEastAsia"/>
          <w:snapToGrid/>
          <w:szCs w:val="22"/>
          <w:lang w:val="lt-LT" w:eastAsia="en-IN"/>
        </w:rPr>
        <w:t xml:space="preserve"> ir iki</w:t>
      </w:r>
      <w:r w:rsidR="00C02273" w:rsidRPr="001839C2">
        <w:rPr>
          <w:rFonts w:eastAsiaTheme="minorEastAsia"/>
          <w:snapToGrid/>
          <w:szCs w:val="22"/>
          <w:lang w:val="lt-LT" w:eastAsia="en-IN"/>
        </w:rPr>
        <w:t xml:space="preserve"> </w:t>
      </w:r>
      <w:r w:rsidRPr="001839C2">
        <w:rPr>
          <w:rFonts w:eastAsiaTheme="minorEastAsia"/>
          <w:snapToGrid/>
          <w:szCs w:val="22"/>
          <w:lang w:val="lt-LT" w:eastAsia="en-IN"/>
        </w:rPr>
        <w:t>34</w:t>
      </w:r>
      <w:r w:rsidR="00C02273" w:rsidRPr="001839C2">
        <w:rPr>
          <w:rFonts w:eastAsiaTheme="minorEastAsia"/>
          <w:snapToGrid/>
          <w:szCs w:val="22"/>
          <w:lang w:val="lt-LT" w:eastAsia="en-IN"/>
        </w:rPr>
        <w:t> </w:t>
      </w:r>
      <w:r w:rsidRPr="001839C2">
        <w:rPr>
          <w:rFonts w:eastAsiaTheme="minorEastAsia"/>
          <w:snapToGrid/>
          <w:szCs w:val="22"/>
          <w:lang w:val="lt-LT" w:eastAsia="en-IN"/>
        </w:rPr>
        <w:t>µg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(6 %)</w:t>
      </w:r>
      <w:r w:rsidRPr="001839C2">
        <w:rPr>
          <w:rFonts w:eastAsiaTheme="minorEastAsia"/>
          <w:snapToGrid/>
          <w:szCs w:val="22"/>
          <w:lang w:val="lt-LT" w:eastAsia="en-IN"/>
        </w:rPr>
        <w:t xml:space="preserve"> su sunkiu inkstų funkcijos sutrikimu atitinkamai. Vidutinė tenofoviro vaist</w:t>
      </w:r>
      <w:r w:rsidR="00C02273" w:rsidRPr="001839C2">
        <w:rPr>
          <w:rFonts w:eastAsiaTheme="minorEastAsia"/>
          <w:snapToGrid/>
          <w:szCs w:val="22"/>
          <w:lang w:val="lt-LT" w:eastAsia="en-IN"/>
        </w:rPr>
        <w:t>ini</w:t>
      </w:r>
      <w:r w:rsidRPr="001839C2">
        <w:rPr>
          <w:rFonts w:eastAsiaTheme="minorEastAsia"/>
          <w:snapToGrid/>
          <w:szCs w:val="22"/>
          <w:lang w:val="lt-LT" w:eastAsia="en-IN"/>
        </w:rPr>
        <w:t>o</w:t>
      </w:r>
      <w:r w:rsidR="00C02273"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ekspozicija (%</w:t>
      </w:r>
      <w:r w:rsidR="00C02273" w:rsidRPr="001839C2">
        <w:rPr>
          <w:rFonts w:eastAsiaTheme="minorEastAsia"/>
          <w:snapToGrid/>
          <w:szCs w:val="22"/>
          <w:lang w:val="lt-LT" w:eastAsia="en-IN"/>
        </w:rPr>
        <w:t> </w:t>
      </w:r>
      <w:r w:rsidRPr="001839C2">
        <w:rPr>
          <w:rFonts w:eastAsiaTheme="minorEastAsia"/>
          <w:snapToGrid/>
          <w:szCs w:val="22"/>
          <w:lang w:val="lt-LT" w:eastAsia="en-IN"/>
        </w:rPr>
        <w:t>CV) padidėjo nuo 2</w:t>
      </w:r>
      <w:r w:rsidR="00C02273" w:rsidRPr="001839C2">
        <w:rPr>
          <w:rFonts w:eastAsiaTheme="minorEastAsia"/>
          <w:snapToGrid/>
          <w:szCs w:val="22"/>
          <w:lang w:val="lt-LT" w:eastAsia="en-IN"/>
        </w:rPr>
        <w:t> </w:t>
      </w:r>
      <w:r w:rsidRPr="001839C2">
        <w:rPr>
          <w:rFonts w:eastAsiaTheme="minorEastAsia"/>
          <w:snapToGrid/>
          <w:szCs w:val="22"/>
          <w:lang w:val="lt-LT" w:eastAsia="en-IN"/>
        </w:rPr>
        <w:t>185</w:t>
      </w:r>
      <w:r w:rsidR="00C02273" w:rsidRPr="001839C2">
        <w:rPr>
          <w:rFonts w:eastAsiaTheme="minorEastAsia"/>
          <w:snapToGrid/>
          <w:szCs w:val="22"/>
          <w:lang w:val="lt-LT" w:eastAsia="en-IN"/>
        </w:rPr>
        <w:t> </w:t>
      </w:r>
      <w:r w:rsidRPr="001839C2">
        <w:rPr>
          <w:rFonts w:eastAsiaTheme="minorEastAsia"/>
          <w:snapToGrid/>
          <w:szCs w:val="22"/>
          <w:lang w:val="lt-LT" w:eastAsia="en-IN"/>
        </w:rPr>
        <w:t>ng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(12 %)</w:t>
      </w:r>
      <w:r w:rsidRPr="001839C2">
        <w:rPr>
          <w:rFonts w:eastAsiaTheme="minorEastAsia"/>
          <w:snapToGrid/>
          <w:szCs w:val="22"/>
          <w:lang w:val="lt-LT" w:eastAsia="en-IN"/>
        </w:rPr>
        <w:t xml:space="preserve"> tiriamiesiems, kurių inkstų funkcija normali, iki 3</w:t>
      </w:r>
      <w:r w:rsidR="00C02273" w:rsidRPr="001839C2">
        <w:rPr>
          <w:rFonts w:eastAsiaTheme="minorEastAsia"/>
          <w:snapToGrid/>
          <w:szCs w:val="22"/>
          <w:lang w:val="lt-LT" w:eastAsia="en-IN"/>
        </w:rPr>
        <w:t> </w:t>
      </w:r>
      <w:r w:rsidRPr="001839C2">
        <w:rPr>
          <w:rFonts w:eastAsiaTheme="minorEastAsia"/>
          <w:snapToGrid/>
          <w:szCs w:val="22"/>
          <w:lang w:val="lt-LT" w:eastAsia="en-IN"/>
        </w:rPr>
        <w:t>064</w:t>
      </w:r>
      <w:r w:rsidR="00C02273" w:rsidRPr="001839C2">
        <w:rPr>
          <w:rFonts w:eastAsiaTheme="minorEastAsia"/>
          <w:snapToGrid/>
          <w:szCs w:val="22"/>
          <w:lang w:val="lt-LT" w:eastAsia="en-IN"/>
        </w:rPr>
        <w:t> </w:t>
      </w:r>
      <w:r w:rsidRPr="001839C2">
        <w:rPr>
          <w:rFonts w:eastAsiaTheme="minorEastAsia"/>
          <w:snapToGrid/>
          <w:szCs w:val="22"/>
          <w:lang w:val="lt-LT" w:eastAsia="en-IN"/>
        </w:rPr>
        <w:t>ng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(30 %)</w:t>
      </w:r>
      <w:r w:rsidRPr="001839C2">
        <w:rPr>
          <w:rFonts w:eastAsiaTheme="minorEastAsia"/>
          <w:snapToGrid/>
          <w:szCs w:val="22"/>
          <w:lang w:val="lt-LT" w:eastAsia="en-IN"/>
        </w:rPr>
        <w:t xml:space="preserve"> </w:t>
      </w:r>
      <w:r w:rsidR="00C02273" w:rsidRPr="001839C2">
        <w:rPr>
          <w:rFonts w:eastAsiaTheme="minorEastAsia"/>
          <w:snapToGrid/>
          <w:szCs w:val="22"/>
          <w:lang w:val="lt-LT" w:eastAsia="en-IN"/>
        </w:rPr>
        <w:t xml:space="preserve">tiriamiesiems </w:t>
      </w:r>
      <w:r w:rsidRPr="001839C2">
        <w:rPr>
          <w:rFonts w:eastAsiaTheme="minorEastAsia"/>
          <w:snapToGrid/>
          <w:szCs w:val="22"/>
          <w:lang w:val="lt-LT" w:eastAsia="en-IN"/>
        </w:rPr>
        <w:t>su lengvu, iki 6</w:t>
      </w:r>
      <w:r w:rsidR="00C02273" w:rsidRPr="001839C2">
        <w:rPr>
          <w:rFonts w:eastAsiaTheme="minorEastAsia"/>
          <w:snapToGrid/>
          <w:szCs w:val="22"/>
          <w:lang w:val="lt-LT" w:eastAsia="en-IN"/>
        </w:rPr>
        <w:t> </w:t>
      </w:r>
      <w:r w:rsidRPr="001839C2">
        <w:rPr>
          <w:rFonts w:eastAsiaTheme="minorEastAsia"/>
          <w:snapToGrid/>
          <w:szCs w:val="22"/>
          <w:lang w:val="lt-LT" w:eastAsia="en-IN"/>
        </w:rPr>
        <w:t>009</w:t>
      </w:r>
      <w:r w:rsidR="00C02273" w:rsidRPr="001839C2">
        <w:rPr>
          <w:rFonts w:eastAsiaTheme="minorEastAsia"/>
          <w:snapToGrid/>
          <w:szCs w:val="22"/>
          <w:lang w:val="lt-LT" w:eastAsia="en-IN"/>
        </w:rPr>
        <w:t> </w:t>
      </w:r>
      <w:r w:rsidRPr="001839C2">
        <w:rPr>
          <w:rFonts w:eastAsiaTheme="minorEastAsia"/>
          <w:snapToGrid/>
          <w:szCs w:val="22"/>
          <w:lang w:val="lt-LT" w:eastAsia="en-IN"/>
        </w:rPr>
        <w:t>ng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(42 %)</w:t>
      </w:r>
      <w:r w:rsidRPr="001839C2">
        <w:rPr>
          <w:rFonts w:eastAsiaTheme="minorEastAsia"/>
          <w:snapToGrid/>
          <w:szCs w:val="22"/>
          <w:lang w:val="lt-LT" w:eastAsia="en-IN"/>
        </w:rPr>
        <w:t xml:space="preserve"> su vidutiniu ir iki 15</w:t>
      </w:r>
      <w:r w:rsidR="00C02273" w:rsidRPr="001839C2">
        <w:rPr>
          <w:rFonts w:eastAsiaTheme="minorEastAsia"/>
          <w:snapToGrid/>
          <w:szCs w:val="22"/>
          <w:lang w:val="lt-LT" w:eastAsia="en-IN"/>
        </w:rPr>
        <w:t> </w:t>
      </w:r>
      <w:r w:rsidRPr="001839C2">
        <w:rPr>
          <w:rFonts w:eastAsiaTheme="minorEastAsia"/>
          <w:snapToGrid/>
          <w:szCs w:val="22"/>
          <w:lang w:val="lt-LT" w:eastAsia="en-IN"/>
        </w:rPr>
        <w:t>985</w:t>
      </w:r>
      <w:r w:rsidR="00C02273" w:rsidRPr="001839C2">
        <w:rPr>
          <w:rFonts w:eastAsiaTheme="minorEastAsia"/>
          <w:snapToGrid/>
          <w:szCs w:val="22"/>
          <w:lang w:val="lt-LT" w:eastAsia="en-IN"/>
        </w:rPr>
        <w:t> </w:t>
      </w:r>
      <w:r w:rsidRPr="001839C2">
        <w:rPr>
          <w:rFonts w:eastAsiaTheme="minorEastAsia"/>
          <w:snapToGrid/>
          <w:szCs w:val="22"/>
          <w:lang w:val="lt-LT" w:eastAsia="en-IN"/>
        </w:rPr>
        <w:t>ng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(45 %)</w:t>
      </w:r>
      <w:r w:rsidRPr="001839C2">
        <w:rPr>
          <w:rFonts w:eastAsiaTheme="minorEastAsia"/>
          <w:snapToGrid/>
          <w:szCs w:val="22"/>
          <w:lang w:val="lt-LT" w:eastAsia="en-IN"/>
        </w:rPr>
        <w:t xml:space="preserve"> su sunkiu inkstų funkcijos sutrikimu atitinkamai.</w:t>
      </w:r>
    </w:p>
    <w:p w14:paraId="75295D38" w14:textId="77777777" w:rsidR="00C02273" w:rsidRPr="001839C2" w:rsidRDefault="00C02273"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EEA1A37"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w:t>
      </w:r>
      <w:r w:rsidR="00C02273" w:rsidRPr="001839C2">
        <w:rPr>
          <w:rFonts w:eastAsiaTheme="minorHAnsi"/>
          <w:snapToGrid/>
          <w:szCs w:val="22"/>
          <w:lang w:val="lt-LT"/>
        </w:rPr>
        <w:t>o ir t</w:t>
      </w:r>
      <w:r w:rsidRPr="001839C2">
        <w:rPr>
          <w:rFonts w:eastAsiaTheme="minorHAnsi"/>
          <w:snapToGrid/>
          <w:szCs w:val="22"/>
          <w:lang w:val="lt-LT"/>
        </w:rPr>
        <w:t>enofovir</w:t>
      </w:r>
      <w:r w:rsidR="00C02273" w:rsidRPr="001839C2">
        <w:rPr>
          <w:rFonts w:eastAsiaTheme="minorHAnsi"/>
          <w:snapToGrid/>
          <w:szCs w:val="22"/>
          <w:lang w:val="lt-LT"/>
        </w:rPr>
        <w:t>o</w:t>
      </w:r>
      <w:r w:rsidRPr="001839C2">
        <w:rPr>
          <w:rFonts w:eastAsiaTheme="minorHAnsi"/>
          <w:snapToGrid/>
          <w:szCs w:val="22"/>
          <w:lang w:val="lt-LT"/>
        </w:rPr>
        <w:t xml:space="preserve"> di</w:t>
      </w:r>
      <w:r w:rsidR="00C02273" w:rsidRPr="001839C2">
        <w:rPr>
          <w:rFonts w:eastAsiaTheme="minorHAnsi"/>
          <w:snapToGrid/>
          <w:szCs w:val="22"/>
          <w:lang w:val="lt-LT"/>
        </w:rPr>
        <w:t>z</w:t>
      </w:r>
      <w:r w:rsidRPr="001839C2">
        <w:rPr>
          <w:rFonts w:eastAsiaTheme="minorHAnsi"/>
          <w:snapToGrid/>
          <w:szCs w:val="22"/>
          <w:lang w:val="lt-LT"/>
        </w:rPr>
        <w:t>opro</w:t>
      </w:r>
      <w:r w:rsidR="00C02273" w:rsidRPr="001839C2">
        <w:rPr>
          <w:rFonts w:eastAsiaTheme="minorHAnsi"/>
          <w:snapToGrid/>
          <w:szCs w:val="22"/>
          <w:lang w:val="lt-LT"/>
        </w:rPr>
        <w:t>ks</w:t>
      </w:r>
      <w:r w:rsidRPr="001839C2">
        <w:rPr>
          <w:rFonts w:eastAsiaTheme="minorHAnsi"/>
          <w:snapToGrid/>
          <w:szCs w:val="22"/>
          <w:lang w:val="lt-LT"/>
        </w:rPr>
        <w:t>il</w:t>
      </w:r>
      <w:r w:rsidR="00C02273" w:rsidRPr="001839C2">
        <w:rPr>
          <w:rFonts w:eastAsiaTheme="minorHAnsi"/>
          <w:snapToGrid/>
          <w:szCs w:val="22"/>
          <w:lang w:val="lt-LT"/>
        </w:rPr>
        <w:t>i</w:t>
      </w:r>
      <w:r w:rsidRPr="001839C2">
        <w:rPr>
          <w:rFonts w:eastAsiaTheme="minorHAnsi"/>
          <w:snapToGrid/>
          <w:szCs w:val="22"/>
          <w:lang w:val="lt-LT"/>
        </w:rPr>
        <w:t>o</w:t>
      </w:r>
      <w:r w:rsidR="00C05F97" w:rsidRPr="001839C2">
        <w:rPr>
          <w:rFonts w:eastAsiaTheme="minorHAnsi"/>
          <w:snapToGrid/>
          <w:szCs w:val="22"/>
          <w:lang w:val="lt-LT"/>
        </w:rPr>
        <w:t xml:space="preserve"> </w:t>
      </w:r>
      <w:r w:rsidRPr="001839C2">
        <w:rPr>
          <w:rFonts w:eastAsiaTheme="minorHAnsi"/>
          <w:snapToGrid/>
          <w:szCs w:val="22"/>
          <w:lang w:val="lt-LT"/>
        </w:rPr>
        <w:t>d</w:t>
      </w:r>
      <w:r w:rsidR="00C02273" w:rsidRPr="001839C2">
        <w:rPr>
          <w:rFonts w:eastAsiaTheme="minorHAnsi"/>
          <w:snapToGrid/>
          <w:szCs w:val="22"/>
          <w:lang w:val="lt-LT"/>
        </w:rPr>
        <w:t>e</w:t>
      </w:r>
      <w:r w:rsidRPr="001839C2">
        <w:rPr>
          <w:rFonts w:eastAsiaTheme="minorHAnsi"/>
          <w:snapToGrid/>
          <w:szCs w:val="22"/>
          <w:lang w:val="lt-LT"/>
        </w:rPr>
        <w:t>r</w:t>
      </w:r>
      <w:r w:rsidR="00C02273" w:rsidRPr="001839C2">
        <w:rPr>
          <w:rFonts w:eastAsiaTheme="minorHAnsi"/>
          <w:snapToGrid/>
          <w:szCs w:val="22"/>
          <w:lang w:val="lt-LT"/>
        </w:rPr>
        <w:t>inio</w:t>
      </w:r>
      <w:r w:rsidRPr="001839C2">
        <w:rPr>
          <w:rFonts w:eastAsiaTheme="minorHAnsi"/>
          <w:snapToGrid/>
          <w:szCs w:val="22"/>
          <w:lang w:val="lt-LT"/>
        </w:rPr>
        <w:t xml:space="preserve"> </w:t>
      </w:r>
      <w:r w:rsidRPr="001839C2">
        <w:rPr>
          <w:rFonts w:eastAsiaTheme="minorEastAsia"/>
          <w:snapToGrid/>
          <w:szCs w:val="22"/>
          <w:lang w:val="lt-LT" w:eastAsia="en-IN"/>
        </w:rPr>
        <w:t>skyrimas didesniais laiko intervalais ŽIV</w:t>
      </w:r>
      <w:r w:rsidR="00C02273" w:rsidRPr="001839C2">
        <w:rPr>
          <w:rFonts w:eastAsiaTheme="minorEastAsia"/>
          <w:snapToGrid/>
          <w:szCs w:val="22"/>
          <w:lang w:val="lt-LT" w:eastAsia="en-IN"/>
        </w:rPr>
        <w:noBreakHyphen/>
      </w:r>
      <w:r w:rsidRPr="001839C2">
        <w:rPr>
          <w:rFonts w:eastAsiaTheme="minorEastAsia"/>
          <w:snapToGrid/>
          <w:szCs w:val="22"/>
          <w:lang w:val="lt-LT" w:eastAsia="en-IN"/>
        </w:rPr>
        <w:t>1 infekuotiems pacientams, sergantiems vidutinio s</w:t>
      </w:r>
      <w:r w:rsidR="00C05F97" w:rsidRPr="001839C2">
        <w:rPr>
          <w:rFonts w:eastAsiaTheme="minorEastAsia"/>
          <w:snapToGrid/>
          <w:szCs w:val="22"/>
          <w:lang w:val="lt-LT" w:eastAsia="en-IN"/>
        </w:rPr>
        <w:t>u</w:t>
      </w:r>
      <w:r w:rsidRPr="001839C2">
        <w:rPr>
          <w:rFonts w:eastAsiaTheme="minorEastAsia"/>
          <w:snapToGrid/>
          <w:szCs w:val="22"/>
          <w:lang w:val="lt-LT" w:eastAsia="en-IN"/>
        </w:rPr>
        <w:t>n</w:t>
      </w:r>
      <w:r w:rsidR="00C05F97" w:rsidRPr="001839C2">
        <w:rPr>
          <w:rFonts w:eastAsiaTheme="minorEastAsia"/>
          <w:snapToGrid/>
          <w:szCs w:val="22"/>
          <w:lang w:val="lt-LT" w:eastAsia="en-IN"/>
        </w:rPr>
        <w:t>kum</w:t>
      </w:r>
      <w:r w:rsidRPr="001839C2">
        <w:rPr>
          <w:rFonts w:eastAsiaTheme="minorEastAsia"/>
          <w:snapToGrid/>
          <w:szCs w:val="22"/>
          <w:lang w:val="lt-LT" w:eastAsia="en-IN"/>
        </w:rPr>
        <w:t xml:space="preserve">o inkstų funkcijos sutrikimu, gali sąlygoti didesnę </w:t>
      </w:r>
      <w:r w:rsidR="00C05F97" w:rsidRPr="001839C2">
        <w:rPr>
          <w:rFonts w:eastAsiaTheme="minorEastAsia"/>
          <w:snapToGrid/>
          <w:szCs w:val="22"/>
          <w:lang w:val="lt-LT" w:eastAsia="en-IN"/>
        </w:rPr>
        <w:t>d</w:t>
      </w:r>
      <w:r w:rsidRPr="001839C2">
        <w:rPr>
          <w:rFonts w:eastAsiaTheme="minorEastAsia"/>
          <w:snapToGrid/>
          <w:szCs w:val="22"/>
          <w:lang w:val="lt-LT" w:eastAsia="en-IN"/>
        </w:rPr>
        <w:t>i</w:t>
      </w:r>
      <w:r w:rsidR="00C05F97" w:rsidRPr="001839C2">
        <w:rPr>
          <w:rFonts w:eastAsiaTheme="minorEastAsia"/>
          <w:snapToGrid/>
          <w:szCs w:val="22"/>
          <w:lang w:val="lt-LT" w:eastAsia="en-IN"/>
        </w:rPr>
        <w:t>dži</w:t>
      </w:r>
      <w:r w:rsidRPr="001839C2">
        <w:rPr>
          <w:rFonts w:eastAsiaTheme="minorEastAsia"/>
          <w:snapToGrid/>
          <w:szCs w:val="22"/>
          <w:lang w:val="lt-LT" w:eastAsia="en-IN"/>
        </w:rPr>
        <w:t>a</w:t>
      </w:r>
      <w:r w:rsidR="00C05F97" w:rsidRPr="001839C2">
        <w:rPr>
          <w:rFonts w:eastAsiaTheme="minorEastAsia"/>
          <w:snapToGrid/>
          <w:szCs w:val="22"/>
          <w:lang w:val="lt-LT" w:eastAsia="en-IN"/>
        </w:rPr>
        <w:t>us</w:t>
      </w:r>
      <w:r w:rsidRPr="001839C2">
        <w:rPr>
          <w:rFonts w:eastAsiaTheme="minorEastAsia"/>
          <w:snapToGrid/>
          <w:szCs w:val="22"/>
          <w:lang w:val="lt-LT" w:eastAsia="en-IN"/>
        </w:rPr>
        <w:t>ią koncentraciją plazmoje ir mažesnę C</w:t>
      </w:r>
      <w:r w:rsidRPr="001839C2">
        <w:rPr>
          <w:rFonts w:eastAsiaTheme="minorEastAsia"/>
          <w:snapToGrid/>
          <w:szCs w:val="22"/>
          <w:vertAlign w:val="subscript"/>
          <w:lang w:val="lt-LT" w:eastAsia="en-IN"/>
        </w:rPr>
        <w:t>min</w:t>
      </w:r>
      <w:r w:rsidRPr="001839C2">
        <w:rPr>
          <w:rFonts w:eastAsiaTheme="minorEastAsia"/>
          <w:snapToGrid/>
          <w:szCs w:val="22"/>
          <w:lang w:val="lt-LT" w:eastAsia="en-IN"/>
        </w:rPr>
        <w:t>, lyginant su pacientais, kurių inkstų funkcija yra normali. Tiriamiesiems, sergantiems galutiniu inkstų nepakankamumu (GIN), kuriems reikalinga hemodializė, tarp dializių vaist</w:t>
      </w:r>
      <w:r w:rsidR="00C02273" w:rsidRPr="001839C2">
        <w:rPr>
          <w:rFonts w:eastAsiaTheme="minorEastAsia"/>
          <w:snapToGrid/>
          <w:szCs w:val="22"/>
          <w:lang w:val="lt-LT" w:eastAsia="en-IN"/>
        </w:rPr>
        <w:t>ini</w:t>
      </w:r>
      <w:r w:rsidR="00C05F97" w:rsidRPr="001839C2">
        <w:rPr>
          <w:rFonts w:eastAsiaTheme="minorEastAsia"/>
          <w:snapToGrid/>
          <w:szCs w:val="22"/>
          <w:lang w:val="lt-LT" w:eastAsia="en-IN"/>
        </w:rPr>
        <w:t>ų preparatų</w:t>
      </w:r>
      <w:r w:rsidRPr="001839C2">
        <w:rPr>
          <w:rFonts w:eastAsiaTheme="minorEastAsia"/>
          <w:snapToGrid/>
          <w:szCs w:val="22"/>
          <w:lang w:val="lt-LT" w:eastAsia="en-IN"/>
        </w:rPr>
        <w:t xml:space="preserve"> ekspozicija po 72</w:t>
      </w:r>
      <w:r w:rsidR="00C02273" w:rsidRPr="001839C2">
        <w:rPr>
          <w:rFonts w:eastAsiaTheme="minorEastAsia"/>
          <w:snapToGrid/>
          <w:szCs w:val="22"/>
          <w:lang w:val="lt-LT" w:eastAsia="en-IN"/>
        </w:rPr>
        <w:t> </w:t>
      </w:r>
      <w:r w:rsidRPr="001839C2">
        <w:rPr>
          <w:rFonts w:eastAsiaTheme="minorEastAsia"/>
          <w:snapToGrid/>
          <w:szCs w:val="22"/>
          <w:lang w:val="lt-LT" w:eastAsia="en-IN"/>
        </w:rPr>
        <w:t xml:space="preserve">valandų </w:t>
      </w:r>
      <w:r w:rsidR="00C05F97" w:rsidRPr="001839C2">
        <w:rPr>
          <w:rFonts w:eastAsiaTheme="minorEastAsia"/>
          <w:snapToGrid/>
          <w:szCs w:val="22"/>
          <w:lang w:val="lt-LT" w:eastAsia="en-IN"/>
        </w:rPr>
        <w:t>reikšming</w:t>
      </w:r>
      <w:r w:rsidRPr="001839C2">
        <w:rPr>
          <w:rFonts w:eastAsiaTheme="minorEastAsia"/>
          <w:snapToGrid/>
          <w:szCs w:val="22"/>
          <w:lang w:val="lt-LT" w:eastAsia="en-IN"/>
        </w:rPr>
        <w:t>ai padidėja iki 53</w:t>
      </w:r>
      <w:r w:rsidR="00C02273" w:rsidRPr="001839C2">
        <w:rPr>
          <w:rFonts w:eastAsiaTheme="minorEastAsia"/>
          <w:snapToGrid/>
          <w:szCs w:val="22"/>
          <w:lang w:val="lt-LT" w:eastAsia="en-IN"/>
        </w:rPr>
        <w:t> </w:t>
      </w:r>
      <w:r w:rsidRPr="001839C2">
        <w:rPr>
          <w:rFonts w:eastAsiaTheme="minorEastAsia"/>
          <w:snapToGrid/>
          <w:szCs w:val="22"/>
          <w:lang w:val="lt-LT" w:eastAsia="en-IN"/>
        </w:rPr>
        <w:t>µg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(19 %)</w:t>
      </w:r>
      <w:r w:rsidRPr="001839C2">
        <w:rPr>
          <w:rFonts w:eastAsiaTheme="minorEastAsia"/>
          <w:snapToGrid/>
          <w:szCs w:val="22"/>
          <w:lang w:val="lt-LT" w:eastAsia="en-IN"/>
        </w:rPr>
        <w:t xml:space="preserve"> emtricitabinui ir per 48</w:t>
      </w:r>
      <w:r w:rsidR="00C02273" w:rsidRPr="001839C2">
        <w:rPr>
          <w:rFonts w:eastAsiaTheme="minorEastAsia"/>
          <w:snapToGrid/>
          <w:szCs w:val="22"/>
          <w:lang w:val="lt-LT" w:eastAsia="en-IN"/>
        </w:rPr>
        <w:t> </w:t>
      </w:r>
      <w:r w:rsidRPr="001839C2">
        <w:rPr>
          <w:rFonts w:eastAsiaTheme="minorEastAsia"/>
          <w:snapToGrid/>
          <w:szCs w:val="22"/>
          <w:lang w:val="lt-LT" w:eastAsia="en-IN"/>
        </w:rPr>
        <w:t>valandas iki 42</w:t>
      </w:r>
      <w:r w:rsidR="00C02273" w:rsidRPr="001839C2">
        <w:rPr>
          <w:rFonts w:eastAsiaTheme="minorEastAsia"/>
          <w:snapToGrid/>
          <w:szCs w:val="22"/>
          <w:lang w:val="lt-LT" w:eastAsia="en-IN"/>
        </w:rPr>
        <w:t> </w:t>
      </w:r>
      <w:r w:rsidRPr="001839C2">
        <w:rPr>
          <w:rFonts w:eastAsiaTheme="minorEastAsia"/>
          <w:snapToGrid/>
          <w:szCs w:val="22"/>
          <w:lang w:val="lt-LT" w:eastAsia="en-IN"/>
        </w:rPr>
        <w:t>857</w:t>
      </w:r>
      <w:r w:rsidR="00C02273" w:rsidRPr="001839C2">
        <w:rPr>
          <w:rFonts w:eastAsiaTheme="minorEastAsia"/>
          <w:snapToGrid/>
          <w:szCs w:val="22"/>
          <w:lang w:val="lt-LT" w:eastAsia="en-IN"/>
        </w:rPr>
        <w:t> </w:t>
      </w:r>
      <w:r w:rsidRPr="001839C2">
        <w:rPr>
          <w:rFonts w:eastAsiaTheme="minorEastAsia"/>
          <w:snapToGrid/>
          <w:szCs w:val="22"/>
          <w:lang w:val="lt-LT" w:eastAsia="en-IN"/>
        </w:rPr>
        <w:t>ng</w:t>
      </w:r>
      <w:r w:rsidR="00C02273" w:rsidRPr="001839C2">
        <w:rPr>
          <w:rFonts w:eastAsiaTheme="minorEastAsia"/>
          <w:snapToGrid/>
          <w:szCs w:val="22"/>
          <w:lang w:val="lt-LT" w:eastAsia="en-IN"/>
        </w:rPr>
        <w:t>·</w:t>
      </w:r>
      <w:r w:rsidRPr="001839C2">
        <w:rPr>
          <w:rFonts w:eastAsiaTheme="minorEastAsia"/>
          <w:snapToGrid/>
          <w:szCs w:val="22"/>
          <w:lang w:val="lt-LT" w:eastAsia="en-IN"/>
        </w:rPr>
        <w:t>h/ml</w:t>
      </w:r>
      <w:r w:rsidR="00C02273" w:rsidRPr="001839C2">
        <w:rPr>
          <w:rFonts w:eastAsiaTheme="minorEastAsia"/>
          <w:snapToGrid/>
          <w:szCs w:val="22"/>
          <w:lang w:val="lt-LT" w:eastAsia="en-IN"/>
        </w:rPr>
        <w:t xml:space="preserve"> (29 %)</w:t>
      </w:r>
      <w:r w:rsidRPr="001839C2">
        <w:rPr>
          <w:rFonts w:eastAsiaTheme="minorEastAsia"/>
          <w:snapToGrid/>
          <w:szCs w:val="22"/>
          <w:lang w:val="lt-LT" w:eastAsia="en-IN"/>
        </w:rPr>
        <w:t xml:space="preserve"> tenofovirui.</w:t>
      </w:r>
    </w:p>
    <w:p w14:paraId="05FC86FA"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3D2D3E0"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Siekiant įvertinti tenofoviro dizoproksilio ir emtricitabino saugumą, antivirusinį poveikį bei farmakokinetiką, buvo atliktas nedidel</w:t>
      </w:r>
      <w:r w:rsidR="005630EB" w:rsidRPr="001839C2">
        <w:rPr>
          <w:rFonts w:eastAsiaTheme="minorEastAsia"/>
          <w:snapToGrid/>
          <w:szCs w:val="22"/>
          <w:lang w:val="lt-LT" w:eastAsia="en-IN"/>
        </w:rPr>
        <w:t>ė</w:t>
      </w:r>
      <w:r w:rsidRPr="001839C2">
        <w:rPr>
          <w:rFonts w:eastAsiaTheme="minorEastAsia"/>
          <w:snapToGrid/>
          <w:szCs w:val="22"/>
          <w:lang w:val="lt-LT" w:eastAsia="en-IN"/>
        </w:rPr>
        <w:t>s</w:t>
      </w:r>
      <w:r w:rsidR="005630EB" w:rsidRPr="001839C2">
        <w:rPr>
          <w:rFonts w:eastAsiaTheme="minorEastAsia"/>
          <w:snapToGrid/>
          <w:szCs w:val="22"/>
          <w:lang w:val="lt-LT" w:eastAsia="en-IN"/>
        </w:rPr>
        <w:t xml:space="preserve"> apimties</w:t>
      </w:r>
      <w:r w:rsidRPr="001839C2">
        <w:rPr>
          <w:rFonts w:eastAsiaTheme="minorEastAsia"/>
          <w:snapToGrid/>
          <w:szCs w:val="22"/>
          <w:lang w:val="lt-LT" w:eastAsia="en-IN"/>
        </w:rPr>
        <w:t xml:space="preserve"> klinikinis tyrimas </w:t>
      </w:r>
      <w:r w:rsidR="005630EB" w:rsidRPr="001839C2">
        <w:rPr>
          <w:rFonts w:eastAsiaTheme="minorEastAsia"/>
          <w:snapToGrid/>
          <w:szCs w:val="22"/>
          <w:lang w:val="lt-LT" w:eastAsia="en-IN"/>
        </w:rPr>
        <w:t xml:space="preserve">su </w:t>
      </w:r>
      <w:r w:rsidRPr="001839C2">
        <w:rPr>
          <w:rFonts w:eastAsiaTheme="minorEastAsia"/>
          <w:snapToGrid/>
          <w:szCs w:val="22"/>
          <w:lang w:val="lt-LT" w:eastAsia="en-IN"/>
        </w:rPr>
        <w:t>ŽIV</w:t>
      </w:r>
      <w:r w:rsidR="005630EB" w:rsidRPr="001839C2">
        <w:rPr>
          <w:rFonts w:eastAsiaTheme="minorEastAsia"/>
          <w:snapToGrid/>
          <w:szCs w:val="22"/>
          <w:lang w:val="lt-LT" w:eastAsia="en-IN"/>
        </w:rPr>
        <w:t> </w:t>
      </w:r>
      <w:r w:rsidRPr="001839C2">
        <w:rPr>
          <w:rFonts w:eastAsiaTheme="minorEastAsia"/>
          <w:snapToGrid/>
          <w:szCs w:val="22"/>
          <w:lang w:val="lt-LT" w:eastAsia="en-IN"/>
        </w:rPr>
        <w:t>infekuot</w:t>
      </w:r>
      <w:r w:rsidR="005630EB" w:rsidRPr="001839C2">
        <w:rPr>
          <w:rFonts w:eastAsiaTheme="minorEastAsia"/>
          <w:snapToGrid/>
          <w:szCs w:val="22"/>
          <w:lang w:val="lt-LT" w:eastAsia="en-IN"/>
        </w:rPr>
        <w:t>a</w:t>
      </w:r>
      <w:r w:rsidRPr="001839C2">
        <w:rPr>
          <w:rFonts w:eastAsiaTheme="minorEastAsia"/>
          <w:snapToGrid/>
          <w:szCs w:val="22"/>
          <w:lang w:val="lt-LT" w:eastAsia="en-IN"/>
        </w:rPr>
        <w:t>is pacienta</w:t>
      </w:r>
      <w:r w:rsidR="005630EB" w:rsidRPr="001839C2">
        <w:rPr>
          <w:rFonts w:eastAsiaTheme="minorEastAsia"/>
          <w:snapToGrid/>
          <w:szCs w:val="22"/>
          <w:lang w:val="lt-LT" w:eastAsia="en-IN"/>
        </w:rPr>
        <w:t>i</w:t>
      </w:r>
      <w:r w:rsidRPr="001839C2">
        <w:rPr>
          <w:rFonts w:eastAsiaTheme="minorEastAsia"/>
          <w:snapToGrid/>
          <w:szCs w:val="22"/>
          <w:lang w:val="lt-LT" w:eastAsia="en-IN"/>
        </w:rPr>
        <w:t>s, kuriems pasireiškė inkstų funkcijos sutrikimas. Pacientų pogrupyje, kuriame pradinis kreatinino klirensas buvo 50</w:t>
      </w:r>
      <w:r w:rsidR="005630EB" w:rsidRPr="001839C2">
        <w:rPr>
          <w:rFonts w:eastAsiaTheme="minorEastAsia"/>
          <w:snapToGrid/>
          <w:szCs w:val="22"/>
          <w:lang w:val="lt-LT" w:eastAsia="en-IN"/>
        </w:rPr>
        <w:noBreakHyphen/>
      </w:r>
      <w:r w:rsidRPr="001839C2">
        <w:rPr>
          <w:rFonts w:eastAsiaTheme="minorEastAsia"/>
          <w:snapToGrid/>
          <w:szCs w:val="22"/>
          <w:lang w:val="lt-LT" w:eastAsia="en-IN"/>
        </w:rPr>
        <w:t>60</w:t>
      </w:r>
      <w:r w:rsidR="005630EB" w:rsidRPr="001839C2">
        <w:rPr>
          <w:rFonts w:eastAsiaTheme="minorEastAsia"/>
          <w:snapToGrid/>
          <w:szCs w:val="22"/>
          <w:lang w:val="lt-LT" w:eastAsia="en-IN"/>
        </w:rPr>
        <w:t> </w:t>
      </w:r>
      <w:r w:rsidRPr="001839C2">
        <w:rPr>
          <w:rFonts w:eastAsiaTheme="minorEastAsia"/>
          <w:snapToGrid/>
          <w:szCs w:val="22"/>
          <w:lang w:val="lt-LT" w:eastAsia="en-IN"/>
        </w:rPr>
        <w:t>ml/min. ir kurie vaist</w:t>
      </w:r>
      <w:r w:rsidR="005630EB" w:rsidRPr="001839C2">
        <w:rPr>
          <w:rFonts w:eastAsiaTheme="minorEastAsia"/>
          <w:snapToGrid/>
          <w:szCs w:val="22"/>
          <w:lang w:val="lt-LT" w:eastAsia="en-IN"/>
        </w:rPr>
        <w:t>ini</w:t>
      </w:r>
      <w:r w:rsidRPr="001839C2">
        <w:rPr>
          <w:rFonts w:eastAsiaTheme="minorEastAsia"/>
          <w:snapToGrid/>
          <w:szCs w:val="22"/>
          <w:lang w:val="lt-LT" w:eastAsia="en-IN"/>
        </w:rPr>
        <w:t>o</w:t>
      </w:r>
      <w:r w:rsidR="005630EB"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vartoj</w:t>
      </w:r>
      <w:r w:rsidR="005630EB" w:rsidRPr="001839C2">
        <w:rPr>
          <w:rFonts w:eastAsiaTheme="minorEastAsia"/>
          <w:snapToGrid/>
          <w:szCs w:val="22"/>
          <w:lang w:val="lt-LT" w:eastAsia="en-IN"/>
        </w:rPr>
        <w:t>o</w:t>
      </w:r>
      <w:r w:rsidRPr="001839C2">
        <w:rPr>
          <w:rFonts w:eastAsiaTheme="minorEastAsia"/>
          <w:snapToGrid/>
          <w:szCs w:val="22"/>
          <w:lang w:val="lt-LT" w:eastAsia="en-IN"/>
        </w:rPr>
        <w:t xml:space="preserve"> vieną</w:t>
      </w:r>
      <w:r w:rsidR="005630EB" w:rsidRPr="001839C2">
        <w:rPr>
          <w:rFonts w:eastAsiaTheme="minorEastAsia"/>
          <w:snapToGrid/>
          <w:szCs w:val="22"/>
          <w:lang w:val="lt-LT" w:eastAsia="en-IN"/>
        </w:rPr>
        <w:t> </w:t>
      </w:r>
      <w:r w:rsidRPr="001839C2">
        <w:rPr>
          <w:rFonts w:eastAsiaTheme="minorEastAsia"/>
          <w:snapToGrid/>
          <w:szCs w:val="22"/>
          <w:lang w:val="lt-LT" w:eastAsia="en-IN"/>
        </w:rPr>
        <w:t>kartą per</w:t>
      </w:r>
      <w:r w:rsidR="005630EB" w:rsidRPr="001839C2">
        <w:rPr>
          <w:rFonts w:eastAsiaTheme="minorEastAsia"/>
          <w:snapToGrid/>
          <w:szCs w:val="22"/>
          <w:lang w:val="lt-LT" w:eastAsia="en-IN"/>
        </w:rPr>
        <w:t> </w:t>
      </w:r>
      <w:r w:rsidRPr="001839C2">
        <w:rPr>
          <w:rFonts w:eastAsiaTheme="minorEastAsia"/>
          <w:snapToGrid/>
          <w:szCs w:val="22"/>
          <w:lang w:val="lt-LT" w:eastAsia="en-IN"/>
        </w:rPr>
        <w:t>parą, tenofoviro ekspozicija sustiprėjo 2</w:t>
      </w:r>
      <w:r w:rsidR="005630EB" w:rsidRPr="001839C2">
        <w:rPr>
          <w:rFonts w:eastAsiaTheme="minorEastAsia"/>
          <w:snapToGrid/>
          <w:szCs w:val="22"/>
          <w:lang w:val="lt-LT" w:eastAsia="en-IN"/>
        </w:rPr>
        <w:noBreakHyphen/>
      </w:r>
      <w:r w:rsidRPr="001839C2">
        <w:rPr>
          <w:rFonts w:eastAsiaTheme="minorEastAsia"/>
          <w:snapToGrid/>
          <w:szCs w:val="22"/>
          <w:lang w:val="lt-LT" w:eastAsia="en-IN"/>
        </w:rPr>
        <w:t>4</w:t>
      </w:r>
      <w:r w:rsidR="005630EB" w:rsidRPr="001839C2">
        <w:rPr>
          <w:rFonts w:eastAsiaTheme="minorEastAsia"/>
          <w:snapToGrid/>
          <w:szCs w:val="22"/>
          <w:lang w:val="lt-LT" w:eastAsia="en-IN"/>
        </w:rPr>
        <w:t> </w:t>
      </w:r>
      <w:r w:rsidRPr="001839C2">
        <w:rPr>
          <w:rFonts w:eastAsiaTheme="minorEastAsia"/>
          <w:snapToGrid/>
          <w:szCs w:val="22"/>
          <w:lang w:val="lt-LT" w:eastAsia="en-IN"/>
        </w:rPr>
        <w:t>kartus ir pablogėjo inkstų funkcija.</w:t>
      </w:r>
    </w:p>
    <w:p w14:paraId="0A1714EA"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28A14F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 ir tenofoviro (skiriamo tenofoviro dizoproksilio pavidalu) farmakokinetika pacientams vaikams, kurių inkstų funkcija sutrikusi, neištirta. Duomenų nėra, todėl dozavimo rekomendacijų pateikti negalima (žr.</w:t>
      </w:r>
      <w:r w:rsidR="005630EB" w:rsidRPr="001839C2">
        <w:rPr>
          <w:rFonts w:eastAsiaTheme="minorEastAsia"/>
          <w:snapToGrid/>
          <w:szCs w:val="22"/>
          <w:lang w:val="lt-LT" w:eastAsia="en-IN"/>
        </w:rPr>
        <w:t> </w:t>
      </w:r>
      <w:r w:rsidRPr="001839C2">
        <w:rPr>
          <w:rFonts w:eastAsiaTheme="minorEastAsia"/>
          <w:snapToGrid/>
          <w:szCs w:val="22"/>
          <w:lang w:val="lt-LT" w:eastAsia="en-IN"/>
        </w:rPr>
        <w:t>4.2 ir 4.4</w:t>
      </w:r>
      <w:r w:rsidR="005630EB" w:rsidRPr="001839C2">
        <w:rPr>
          <w:rFonts w:eastAsiaTheme="minorEastAsia"/>
          <w:snapToGrid/>
          <w:szCs w:val="22"/>
          <w:lang w:val="lt-LT" w:eastAsia="en-IN"/>
        </w:rPr>
        <w:t> </w:t>
      </w:r>
      <w:r w:rsidRPr="001839C2">
        <w:rPr>
          <w:rFonts w:eastAsiaTheme="minorEastAsia"/>
          <w:snapToGrid/>
          <w:szCs w:val="22"/>
          <w:lang w:val="lt-LT" w:eastAsia="en-IN"/>
        </w:rPr>
        <w:t>skyrius).</w:t>
      </w:r>
    </w:p>
    <w:p w14:paraId="7654591E"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CEBD5FA" w14:textId="77777777" w:rsidR="002A5F50" w:rsidRPr="001839C2" w:rsidRDefault="00481A96"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u w:val="single"/>
          <w:lang w:val="lt-LT" w:eastAsia="en-IN"/>
        </w:rPr>
        <w:t>Sutrikusi k</w:t>
      </w:r>
      <w:r w:rsidR="002A5F50" w:rsidRPr="001839C2">
        <w:rPr>
          <w:rFonts w:eastAsiaTheme="minorEastAsia"/>
          <w:snapToGrid/>
          <w:szCs w:val="22"/>
          <w:u w:val="single"/>
          <w:lang w:val="lt-LT" w:eastAsia="en-IN"/>
        </w:rPr>
        <w:t>epenų funkcija</w:t>
      </w:r>
    </w:p>
    <w:p w14:paraId="1E7C97E3"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w:t>
      </w:r>
      <w:r w:rsidR="005630EB" w:rsidRPr="001839C2">
        <w:rPr>
          <w:rFonts w:eastAsiaTheme="minorHAnsi"/>
          <w:snapToGrid/>
          <w:szCs w:val="22"/>
          <w:lang w:val="lt-LT"/>
        </w:rPr>
        <w:t>o ir t</w:t>
      </w:r>
      <w:r w:rsidRPr="001839C2">
        <w:rPr>
          <w:rFonts w:eastAsiaTheme="minorHAnsi"/>
          <w:snapToGrid/>
          <w:szCs w:val="22"/>
          <w:lang w:val="lt-LT"/>
        </w:rPr>
        <w:t>enofovir</w:t>
      </w:r>
      <w:r w:rsidR="005630EB" w:rsidRPr="001839C2">
        <w:rPr>
          <w:rFonts w:eastAsiaTheme="minorHAnsi"/>
          <w:snapToGrid/>
          <w:szCs w:val="22"/>
          <w:lang w:val="lt-LT"/>
        </w:rPr>
        <w:t>o</w:t>
      </w:r>
      <w:r w:rsidRPr="001839C2">
        <w:rPr>
          <w:rFonts w:eastAsiaTheme="minorHAnsi"/>
          <w:snapToGrid/>
          <w:szCs w:val="22"/>
          <w:lang w:val="lt-LT"/>
        </w:rPr>
        <w:t xml:space="preserve"> di</w:t>
      </w:r>
      <w:r w:rsidR="005630EB" w:rsidRPr="001839C2">
        <w:rPr>
          <w:rFonts w:eastAsiaTheme="minorHAnsi"/>
          <w:snapToGrid/>
          <w:szCs w:val="22"/>
          <w:lang w:val="lt-LT"/>
        </w:rPr>
        <w:t>z</w:t>
      </w:r>
      <w:r w:rsidRPr="001839C2">
        <w:rPr>
          <w:rFonts w:eastAsiaTheme="minorHAnsi"/>
          <w:snapToGrid/>
          <w:szCs w:val="22"/>
          <w:lang w:val="lt-LT"/>
        </w:rPr>
        <w:t>opro</w:t>
      </w:r>
      <w:r w:rsidR="005630EB" w:rsidRPr="001839C2">
        <w:rPr>
          <w:rFonts w:eastAsiaTheme="minorHAnsi"/>
          <w:snapToGrid/>
          <w:szCs w:val="22"/>
          <w:lang w:val="lt-LT"/>
        </w:rPr>
        <w:t>ks</w:t>
      </w:r>
      <w:r w:rsidRPr="001839C2">
        <w:rPr>
          <w:rFonts w:eastAsiaTheme="minorHAnsi"/>
          <w:snapToGrid/>
          <w:szCs w:val="22"/>
          <w:lang w:val="lt-LT"/>
        </w:rPr>
        <w:t>il</w:t>
      </w:r>
      <w:r w:rsidR="005630EB" w:rsidRPr="001839C2">
        <w:rPr>
          <w:rFonts w:eastAsiaTheme="minorHAnsi"/>
          <w:snapToGrid/>
          <w:szCs w:val="22"/>
          <w:lang w:val="lt-LT"/>
        </w:rPr>
        <w:t>i</w:t>
      </w:r>
      <w:r w:rsidRPr="001839C2">
        <w:rPr>
          <w:rFonts w:eastAsiaTheme="minorHAnsi"/>
          <w:snapToGrid/>
          <w:szCs w:val="22"/>
          <w:lang w:val="lt-LT"/>
        </w:rPr>
        <w:t>o</w:t>
      </w:r>
      <w:r w:rsidR="005630EB" w:rsidRPr="001839C2">
        <w:rPr>
          <w:rFonts w:eastAsiaTheme="minorHAnsi"/>
          <w:snapToGrid/>
          <w:szCs w:val="22"/>
          <w:lang w:val="lt-LT"/>
        </w:rPr>
        <w:t xml:space="preserve"> </w:t>
      </w:r>
      <w:r w:rsidRPr="001839C2">
        <w:rPr>
          <w:rFonts w:eastAsiaTheme="minorHAnsi"/>
          <w:snapToGrid/>
          <w:szCs w:val="22"/>
          <w:lang w:val="lt-LT"/>
        </w:rPr>
        <w:t>d</w:t>
      </w:r>
      <w:r w:rsidR="005630EB" w:rsidRPr="001839C2">
        <w:rPr>
          <w:rFonts w:eastAsiaTheme="minorHAnsi"/>
          <w:snapToGrid/>
          <w:szCs w:val="22"/>
          <w:lang w:val="lt-LT"/>
        </w:rPr>
        <w:t>e</w:t>
      </w:r>
      <w:r w:rsidRPr="001839C2">
        <w:rPr>
          <w:rFonts w:eastAsiaTheme="minorHAnsi"/>
          <w:snapToGrid/>
          <w:szCs w:val="22"/>
          <w:lang w:val="lt-LT"/>
        </w:rPr>
        <w:t>r</w:t>
      </w:r>
      <w:r w:rsidR="005630EB" w:rsidRPr="001839C2">
        <w:rPr>
          <w:rFonts w:eastAsiaTheme="minorHAnsi"/>
          <w:snapToGrid/>
          <w:szCs w:val="22"/>
          <w:lang w:val="lt-LT"/>
        </w:rPr>
        <w:t>inio</w:t>
      </w:r>
      <w:r w:rsidRPr="001839C2">
        <w:rPr>
          <w:rFonts w:eastAsiaTheme="minorHAnsi"/>
          <w:snapToGrid/>
          <w:szCs w:val="22"/>
          <w:lang w:val="lt-LT"/>
        </w:rPr>
        <w:t xml:space="preserve"> </w:t>
      </w:r>
      <w:r w:rsidRPr="001839C2">
        <w:rPr>
          <w:rFonts w:eastAsiaTheme="minorEastAsia"/>
          <w:snapToGrid/>
          <w:szCs w:val="22"/>
          <w:lang w:val="lt-LT" w:eastAsia="en-IN"/>
        </w:rPr>
        <w:t>farmakokinetika tiriamiesiems, sergantiems kepenų funkcijos sutrikimu, tirta nebuvo.</w:t>
      </w:r>
    </w:p>
    <w:p w14:paraId="2CDB9E8E"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05E852E"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Emtricitabino farmakokinetika neinfekuotiems</w:t>
      </w:r>
      <w:r w:rsidR="005630EB" w:rsidRPr="001839C2">
        <w:rPr>
          <w:rFonts w:eastAsiaTheme="minorEastAsia"/>
          <w:snapToGrid/>
          <w:szCs w:val="22"/>
          <w:lang w:val="lt-LT" w:eastAsia="en-IN"/>
        </w:rPr>
        <w:t> </w:t>
      </w:r>
      <w:r w:rsidRPr="001839C2">
        <w:rPr>
          <w:rFonts w:eastAsiaTheme="minorEastAsia"/>
          <w:snapToGrid/>
          <w:szCs w:val="22"/>
          <w:lang w:val="lt-LT" w:eastAsia="en-IN"/>
        </w:rPr>
        <w:t>HBV asmenims, sergantiems įvairaus laipsnio kepenų nepakankamumu, tirta nebuvo. Apskritai, emtricitabino farmakokinetika HBV</w:t>
      </w:r>
      <w:r w:rsidR="005630EB" w:rsidRPr="001839C2">
        <w:rPr>
          <w:rFonts w:eastAsiaTheme="minorEastAsia"/>
          <w:snapToGrid/>
          <w:szCs w:val="22"/>
          <w:lang w:val="lt-LT" w:eastAsia="en-IN"/>
        </w:rPr>
        <w:t> </w:t>
      </w:r>
      <w:r w:rsidRPr="001839C2">
        <w:rPr>
          <w:rFonts w:eastAsiaTheme="minorEastAsia"/>
          <w:snapToGrid/>
          <w:szCs w:val="22"/>
          <w:lang w:val="lt-LT" w:eastAsia="en-IN"/>
        </w:rPr>
        <w:t>infekuotiems asmenims buvo panaši ir sveikiems, ir ŽIV</w:t>
      </w:r>
      <w:r w:rsidR="005630EB" w:rsidRPr="001839C2">
        <w:rPr>
          <w:rFonts w:eastAsiaTheme="minorEastAsia"/>
          <w:snapToGrid/>
          <w:szCs w:val="22"/>
          <w:lang w:val="lt-LT" w:eastAsia="en-IN"/>
        </w:rPr>
        <w:t> </w:t>
      </w:r>
      <w:r w:rsidRPr="001839C2">
        <w:rPr>
          <w:rFonts w:eastAsiaTheme="minorEastAsia"/>
          <w:snapToGrid/>
          <w:szCs w:val="22"/>
          <w:lang w:val="lt-LT" w:eastAsia="en-IN"/>
        </w:rPr>
        <w:t>infekuotiems pacientams.</w:t>
      </w:r>
    </w:p>
    <w:p w14:paraId="4527F626"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291AF1BD"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Vienkartinė 245</w:t>
      </w:r>
      <w:r w:rsidR="005630EB" w:rsidRPr="001839C2">
        <w:rPr>
          <w:rFonts w:eastAsiaTheme="minorEastAsia"/>
          <w:snapToGrid/>
          <w:szCs w:val="22"/>
          <w:lang w:val="lt-LT" w:eastAsia="en-IN"/>
        </w:rPr>
        <w:t> </w:t>
      </w:r>
      <w:r w:rsidRPr="001839C2">
        <w:rPr>
          <w:rFonts w:eastAsiaTheme="minorEastAsia"/>
          <w:snapToGrid/>
          <w:szCs w:val="22"/>
          <w:lang w:val="lt-LT" w:eastAsia="en-IN"/>
        </w:rPr>
        <w:t>mg tenofoviro dizoproksilio dozė buvo skirta ŽIV</w:t>
      </w:r>
      <w:r w:rsidR="005630EB" w:rsidRPr="001839C2">
        <w:rPr>
          <w:rFonts w:eastAsiaTheme="minorEastAsia"/>
          <w:snapToGrid/>
          <w:szCs w:val="22"/>
          <w:lang w:val="lt-LT" w:eastAsia="en-IN"/>
        </w:rPr>
        <w:t> </w:t>
      </w:r>
      <w:r w:rsidRPr="001839C2">
        <w:rPr>
          <w:rFonts w:eastAsiaTheme="minorEastAsia"/>
          <w:snapToGrid/>
          <w:szCs w:val="22"/>
          <w:lang w:val="lt-LT" w:eastAsia="en-IN"/>
        </w:rPr>
        <w:t xml:space="preserve">neinfekuotiems tiriamiesiems su skirtingo laipsnio kepenų funkcijos sutrikimu, nustatytu pagal </w:t>
      </w:r>
      <w:r w:rsidRPr="001839C2">
        <w:rPr>
          <w:rFonts w:eastAsiaTheme="minorEastAsia"/>
          <w:i/>
          <w:iCs/>
          <w:snapToGrid/>
          <w:szCs w:val="22"/>
          <w:lang w:val="lt-LT" w:eastAsia="en-IN"/>
        </w:rPr>
        <w:t>Child</w:t>
      </w:r>
      <w:r w:rsidR="005630EB" w:rsidRPr="001839C2">
        <w:rPr>
          <w:rFonts w:eastAsiaTheme="minorEastAsia"/>
          <w:i/>
          <w:iCs/>
          <w:snapToGrid/>
          <w:szCs w:val="22"/>
          <w:lang w:val="lt-LT" w:eastAsia="en-IN"/>
        </w:rPr>
        <w:noBreakHyphen/>
      </w:r>
      <w:r w:rsidRPr="001839C2">
        <w:rPr>
          <w:rFonts w:eastAsiaTheme="minorEastAsia"/>
          <w:i/>
          <w:iCs/>
          <w:snapToGrid/>
          <w:szCs w:val="22"/>
          <w:lang w:val="lt-LT" w:eastAsia="en-IN"/>
        </w:rPr>
        <w:t>Pugh</w:t>
      </w:r>
      <w:r w:rsidR="005630EB" w:rsidRPr="001839C2">
        <w:rPr>
          <w:rFonts w:eastAsiaTheme="minorEastAsia"/>
          <w:i/>
          <w:iCs/>
          <w:snapToGrid/>
          <w:szCs w:val="22"/>
          <w:lang w:val="lt-LT" w:eastAsia="en-IN"/>
        </w:rPr>
        <w:t> </w:t>
      </w:r>
      <w:r w:rsidRPr="001839C2">
        <w:rPr>
          <w:rFonts w:eastAsiaTheme="minorEastAsia"/>
          <w:i/>
          <w:iCs/>
          <w:snapToGrid/>
          <w:szCs w:val="22"/>
          <w:lang w:val="lt-LT" w:eastAsia="en-IN"/>
        </w:rPr>
        <w:t>Turcotte</w:t>
      </w:r>
      <w:r w:rsidR="005630EB" w:rsidRPr="001839C2">
        <w:rPr>
          <w:rFonts w:eastAsiaTheme="minorEastAsia"/>
          <w:i/>
          <w:iCs/>
          <w:snapToGrid/>
          <w:szCs w:val="22"/>
          <w:lang w:val="lt-LT" w:eastAsia="en-IN"/>
        </w:rPr>
        <w:t> </w:t>
      </w:r>
      <w:r w:rsidRPr="001839C2">
        <w:rPr>
          <w:rFonts w:eastAsiaTheme="minorEastAsia"/>
          <w:snapToGrid/>
          <w:szCs w:val="22"/>
          <w:lang w:val="lt-LT" w:eastAsia="en-IN"/>
        </w:rPr>
        <w:t>(CPT) klasifikaciją. Pacientams, kurių kepenų funkcija sutrikusi, tenofoviro farmakokinetika nebuvo reikšmingai pakitusi, taigi dozės tokiems pacientams koreguoti nereikia. Sveikiems asmenims vidutinė (%</w:t>
      </w:r>
      <w:r w:rsidR="005630EB" w:rsidRPr="001839C2">
        <w:rPr>
          <w:rFonts w:eastAsiaTheme="minorEastAsia"/>
          <w:snapToGrid/>
          <w:szCs w:val="22"/>
          <w:lang w:val="lt-LT" w:eastAsia="en-IN"/>
        </w:rPr>
        <w:t> </w:t>
      </w:r>
      <w:r w:rsidRPr="001839C2">
        <w:rPr>
          <w:rFonts w:eastAsiaTheme="minorEastAsia"/>
          <w:snapToGrid/>
          <w:szCs w:val="22"/>
          <w:lang w:val="lt-LT" w:eastAsia="en-IN"/>
        </w:rPr>
        <w:t>CV) tenofoviro 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xml:space="preserve"> buvo 223</w:t>
      </w:r>
      <w:r w:rsidR="005630EB" w:rsidRPr="001839C2">
        <w:rPr>
          <w:rFonts w:eastAsiaTheme="minorEastAsia"/>
          <w:snapToGrid/>
          <w:szCs w:val="22"/>
          <w:lang w:val="lt-LT" w:eastAsia="en-IN"/>
        </w:rPr>
        <w:t> </w:t>
      </w:r>
      <w:r w:rsidRPr="001839C2">
        <w:rPr>
          <w:rFonts w:eastAsiaTheme="minorEastAsia"/>
          <w:snapToGrid/>
          <w:szCs w:val="22"/>
          <w:lang w:val="lt-LT" w:eastAsia="en-IN"/>
        </w:rPr>
        <w:t>ng/ml</w:t>
      </w:r>
      <w:r w:rsidR="005630EB" w:rsidRPr="001839C2">
        <w:rPr>
          <w:rFonts w:eastAsiaTheme="minorEastAsia"/>
          <w:snapToGrid/>
          <w:szCs w:val="22"/>
          <w:lang w:val="lt-LT" w:eastAsia="en-IN"/>
        </w:rPr>
        <w:t xml:space="preserve"> (34,8 %)</w:t>
      </w:r>
      <w:r w:rsidRPr="001839C2">
        <w:rPr>
          <w:rFonts w:eastAsiaTheme="minorEastAsia"/>
          <w:snapToGrid/>
          <w:szCs w:val="22"/>
          <w:lang w:val="lt-LT" w:eastAsia="en-IN"/>
        </w:rPr>
        <w:t>, AUC</w:t>
      </w:r>
      <w:r w:rsidRPr="001839C2">
        <w:rPr>
          <w:rFonts w:eastAsiaTheme="minorEastAsia"/>
          <w:snapToGrid/>
          <w:szCs w:val="22"/>
          <w:vertAlign w:val="subscript"/>
          <w:lang w:val="lt-LT" w:eastAsia="en-IN"/>
        </w:rPr>
        <w:t>0-∞</w:t>
      </w:r>
      <w:r w:rsidRPr="001839C2">
        <w:rPr>
          <w:rFonts w:eastAsiaTheme="minorEastAsia"/>
          <w:snapToGrid/>
          <w:szCs w:val="22"/>
          <w:lang w:val="lt-LT" w:eastAsia="en-IN"/>
        </w:rPr>
        <w:t xml:space="preserve"> – 2</w:t>
      </w:r>
      <w:r w:rsidR="005630EB" w:rsidRPr="001839C2">
        <w:rPr>
          <w:rFonts w:eastAsiaTheme="minorEastAsia"/>
          <w:snapToGrid/>
          <w:szCs w:val="22"/>
          <w:lang w:val="lt-LT" w:eastAsia="en-IN"/>
        </w:rPr>
        <w:t> </w:t>
      </w:r>
      <w:r w:rsidRPr="001839C2">
        <w:rPr>
          <w:rFonts w:eastAsiaTheme="minorEastAsia"/>
          <w:snapToGrid/>
          <w:szCs w:val="22"/>
          <w:lang w:val="lt-LT" w:eastAsia="en-IN"/>
        </w:rPr>
        <w:t>050</w:t>
      </w:r>
      <w:r w:rsidR="005630EB" w:rsidRPr="001839C2">
        <w:rPr>
          <w:rFonts w:eastAsiaTheme="minorEastAsia"/>
          <w:snapToGrid/>
          <w:szCs w:val="22"/>
          <w:lang w:val="lt-LT" w:eastAsia="en-IN"/>
        </w:rPr>
        <w:t> </w:t>
      </w:r>
      <w:r w:rsidRPr="001839C2">
        <w:rPr>
          <w:rFonts w:eastAsiaTheme="minorEastAsia"/>
          <w:snapToGrid/>
          <w:szCs w:val="22"/>
          <w:lang w:val="lt-LT" w:eastAsia="en-IN"/>
        </w:rPr>
        <w:t>ng</w:t>
      </w:r>
      <w:r w:rsidR="005630EB" w:rsidRPr="001839C2">
        <w:rPr>
          <w:rFonts w:eastAsiaTheme="minorEastAsia"/>
          <w:snapToGrid/>
          <w:szCs w:val="22"/>
          <w:lang w:val="lt-LT" w:eastAsia="en-IN"/>
        </w:rPr>
        <w:t>·</w:t>
      </w:r>
      <w:r w:rsidRPr="001839C2">
        <w:rPr>
          <w:rFonts w:eastAsiaTheme="minorEastAsia"/>
          <w:snapToGrid/>
          <w:szCs w:val="22"/>
          <w:lang w:val="lt-LT" w:eastAsia="en-IN"/>
        </w:rPr>
        <w:t>h/ml</w:t>
      </w:r>
      <w:r w:rsidR="005630EB" w:rsidRPr="001839C2">
        <w:rPr>
          <w:rFonts w:eastAsiaTheme="minorEastAsia"/>
          <w:snapToGrid/>
          <w:szCs w:val="22"/>
          <w:lang w:val="lt-LT" w:eastAsia="en-IN"/>
        </w:rPr>
        <w:t xml:space="preserve"> (50,8 %)</w:t>
      </w:r>
      <w:r w:rsidRPr="001839C2">
        <w:rPr>
          <w:rFonts w:eastAsiaTheme="minorEastAsia"/>
          <w:snapToGrid/>
          <w:szCs w:val="22"/>
          <w:lang w:val="lt-LT" w:eastAsia="en-IN"/>
        </w:rPr>
        <w:t>, tiriamiesiems, kurių kepenų funkcija buvo vidutiniškai sutrikusi, 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xml:space="preserve"> buvo 289</w:t>
      </w:r>
      <w:r w:rsidR="005630EB" w:rsidRPr="001839C2">
        <w:rPr>
          <w:rFonts w:eastAsiaTheme="minorEastAsia"/>
          <w:snapToGrid/>
          <w:szCs w:val="22"/>
          <w:lang w:val="lt-LT" w:eastAsia="en-IN"/>
        </w:rPr>
        <w:t> </w:t>
      </w:r>
      <w:r w:rsidRPr="001839C2">
        <w:rPr>
          <w:rFonts w:eastAsiaTheme="minorEastAsia"/>
          <w:snapToGrid/>
          <w:szCs w:val="22"/>
          <w:lang w:val="lt-LT" w:eastAsia="en-IN"/>
        </w:rPr>
        <w:t>ng/ml</w:t>
      </w:r>
      <w:r w:rsidR="005630EB" w:rsidRPr="001839C2">
        <w:rPr>
          <w:rFonts w:eastAsiaTheme="minorEastAsia"/>
          <w:snapToGrid/>
          <w:szCs w:val="22"/>
          <w:lang w:val="lt-LT" w:eastAsia="en-IN"/>
        </w:rPr>
        <w:t xml:space="preserve"> (46,0 %)</w:t>
      </w:r>
      <w:r w:rsidRPr="001839C2">
        <w:rPr>
          <w:rFonts w:eastAsiaTheme="minorEastAsia"/>
          <w:snapToGrid/>
          <w:szCs w:val="22"/>
          <w:lang w:val="lt-LT" w:eastAsia="en-IN"/>
        </w:rPr>
        <w:t>, AUC</w:t>
      </w:r>
      <w:r w:rsidRPr="001839C2">
        <w:rPr>
          <w:rFonts w:eastAsiaTheme="minorEastAsia"/>
          <w:snapToGrid/>
          <w:szCs w:val="22"/>
          <w:vertAlign w:val="subscript"/>
          <w:lang w:val="lt-LT" w:eastAsia="en-IN"/>
        </w:rPr>
        <w:t>0-∞</w:t>
      </w:r>
      <w:r w:rsidRPr="001839C2">
        <w:rPr>
          <w:rFonts w:eastAsiaTheme="minorEastAsia"/>
          <w:snapToGrid/>
          <w:szCs w:val="22"/>
          <w:lang w:val="lt-LT" w:eastAsia="en-IN"/>
        </w:rPr>
        <w:t xml:space="preserve"> – 2</w:t>
      </w:r>
      <w:r w:rsidR="005630EB" w:rsidRPr="001839C2">
        <w:rPr>
          <w:rFonts w:eastAsiaTheme="minorEastAsia"/>
          <w:snapToGrid/>
          <w:szCs w:val="22"/>
          <w:lang w:val="lt-LT" w:eastAsia="en-IN"/>
        </w:rPr>
        <w:t> </w:t>
      </w:r>
      <w:r w:rsidRPr="001839C2">
        <w:rPr>
          <w:rFonts w:eastAsiaTheme="minorEastAsia"/>
          <w:snapToGrid/>
          <w:szCs w:val="22"/>
          <w:lang w:val="lt-LT" w:eastAsia="en-IN"/>
        </w:rPr>
        <w:t>310</w:t>
      </w:r>
      <w:r w:rsidR="005630EB" w:rsidRPr="001839C2">
        <w:rPr>
          <w:rFonts w:eastAsiaTheme="minorEastAsia"/>
          <w:snapToGrid/>
          <w:szCs w:val="22"/>
          <w:lang w:val="lt-LT" w:eastAsia="en-IN"/>
        </w:rPr>
        <w:t> </w:t>
      </w:r>
      <w:r w:rsidRPr="001839C2">
        <w:rPr>
          <w:rFonts w:eastAsiaTheme="minorEastAsia"/>
          <w:snapToGrid/>
          <w:szCs w:val="22"/>
          <w:lang w:val="lt-LT" w:eastAsia="en-IN"/>
        </w:rPr>
        <w:t>ng</w:t>
      </w:r>
      <w:r w:rsidR="005630EB" w:rsidRPr="001839C2">
        <w:rPr>
          <w:rFonts w:eastAsiaTheme="minorEastAsia"/>
          <w:snapToGrid/>
          <w:szCs w:val="22"/>
          <w:lang w:val="lt-LT" w:eastAsia="en-IN"/>
        </w:rPr>
        <w:t>·</w:t>
      </w:r>
      <w:r w:rsidRPr="001839C2">
        <w:rPr>
          <w:rFonts w:eastAsiaTheme="minorEastAsia"/>
          <w:snapToGrid/>
          <w:szCs w:val="22"/>
          <w:lang w:val="lt-LT" w:eastAsia="en-IN"/>
        </w:rPr>
        <w:t>h/ml</w:t>
      </w:r>
      <w:r w:rsidR="005630EB" w:rsidRPr="001839C2">
        <w:rPr>
          <w:rFonts w:eastAsiaTheme="minorEastAsia"/>
          <w:snapToGrid/>
          <w:szCs w:val="22"/>
          <w:lang w:val="lt-LT" w:eastAsia="en-IN"/>
        </w:rPr>
        <w:t xml:space="preserve"> (43,5 %)</w:t>
      </w:r>
      <w:r w:rsidRPr="001839C2">
        <w:rPr>
          <w:rFonts w:eastAsiaTheme="minorEastAsia"/>
          <w:snapToGrid/>
          <w:szCs w:val="22"/>
          <w:lang w:val="lt-LT" w:eastAsia="en-IN"/>
        </w:rPr>
        <w:t>, o tiriamiesiems su sunkiu kepenų funkcijos sutrikimu C</w:t>
      </w:r>
      <w:r w:rsidRPr="001839C2">
        <w:rPr>
          <w:rFonts w:eastAsiaTheme="minorEastAsia"/>
          <w:snapToGrid/>
          <w:szCs w:val="22"/>
          <w:vertAlign w:val="subscript"/>
          <w:lang w:val="lt-LT" w:eastAsia="en-IN"/>
        </w:rPr>
        <w:t>max</w:t>
      </w:r>
      <w:r w:rsidRPr="001839C2">
        <w:rPr>
          <w:rFonts w:eastAsiaTheme="minorEastAsia"/>
          <w:snapToGrid/>
          <w:szCs w:val="22"/>
          <w:lang w:val="lt-LT" w:eastAsia="en-IN"/>
        </w:rPr>
        <w:t xml:space="preserve"> buvo 305</w:t>
      </w:r>
      <w:r w:rsidR="005630EB" w:rsidRPr="001839C2">
        <w:rPr>
          <w:rFonts w:eastAsiaTheme="minorEastAsia"/>
          <w:snapToGrid/>
          <w:szCs w:val="22"/>
          <w:lang w:val="lt-LT" w:eastAsia="en-IN"/>
        </w:rPr>
        <w:t> </w:t>
      </w:r>
      <w:r w:rsidRPr="001839C2">
        <w:rPr>
          <w:rFonts w:eastAsiaTheme="minorEastAsia"/>
          <w:snapToGrid/>
          <w:szCs w:val="22"/>
          <w:lang w:val="lt-LT" w:eastAsia="en-IN"/>
        </w:rPr>
        <w:t>ng/ml</w:t>
      </w:r>
      <w:r w:rsidR="005630EB" w:rsidRPr="001839C2">
        <w:rPr>
          <w:rFonts w:eastAsiaTheme="minorEastAsia"/>
          <w:snapToGrid/>
          <w:szCs w:val="22"/>
          <w:lang w:val="lt-LT" w:eastAsia="en-IN"/>
        </w:rPr>
        <w:t xml:space="preserve"> (24,8 %)</w:t>
      </w:r>
      <w:r w:rsidRPr="001839C2">
        <w:rPr>
          <w:rFonts w:eastAsiaTheme="minorEastAsia"/>
          <w:snapToGrid/>
          <w:szCs w:val="22"/>
          <w:lang w:val="lt-LT" w:eastAsia="en-IN"/>
        </w:rPr>
        <w:t>, AUC</w:t>
      </w:r>
      <w:r w:rsidRPr="001839C2">
        <w:rPr>
          <w:rFonts w:eastAsiaTheme="minorEastAsia"/>
          <w:snapToGrid/>
          <w:szCs w:val="22"/>
          <w:vertAlign w:val="subscript"/>
          <w:lang w:val="lt-LT" w:eastAsia="en-IN"/>
        </w:rPr>
        <w:t>0-∞</w:t>
      </w:r>
      <w:r w:rsidRPr="001839C2">
        <w:rPr>
          <w:rFonts w:eastAsiaTheme="minorEastAsia"/>
          <w:snapToGrid/>
          <w:szCs w:val="22"/>
          <w:lang w:val="lt-LT" w:eastAsia="en-IN"/>
        </w:rPr>
        <w:t xml:space="preserve"> – 2</w:t>
      </w:r>
      <w:r w:rsidR="005630EB" w:rsidRPr="001839C2">
        <w:rPr>
          <w:rFonts w:eastAsiaTheme="minorEastAsia"/>
          <w:snapToGrid/>
          <w:szCs w:val="22"/>
          <w:lang w:val="lt-LT" w:eastAsia="en-IN"/>
        </w:rPr>
        <w:t> </w:t>
      </w:r>
      <w:r w:rsidRPr="001839C2">
        <w:rPr>
          <w:rFonts w:eastAsiaTheme="minorEastAsia"/>
          <w:snapToGrid/>
          <w:szCs w:val="22"/>
          <w:lang w:val="lt-LT" w:eastAsia="en-IN"/>
        </w:rPr>
        <w:t>740</w:t>
      </w:r>
      <w:r w:rsidR="005630EB" w:rsidRPr="001839C2">
        <w:rPr>
          <w:rFonts w:eastAsiaTheme="minorEastAsia"/>
          <w:snapToGrid/>
          <w:szCs w:val="22"/>
          <w:lang w:val="lt-LT" w:eastAsia="en-IN"/>
        </w:rPr>
        <w:t> </w:t>
      </w:r>
      <w:r w:rsidRPr="001839C2">
        <w:rPr>
          <w:rFonts w:eastAsiaTheme="minorEastAsia"/>
          <w:snapToGrid/>
          <w:szCs w:val="22"/>
          <w:lang w:val="lt-LT" w:eastAsia="en-IN"/>
        </w:rPr>
        <w:t>ng</w:t>
      </w:r>
      <w:r w:rsidR="005630EB" w:rsidRPr="001839C2">
        <w:rPr>
          <w:rFonts w:eastAsiaTheme="minorEastAsia"/>
          <w:snapToGrid/>
          <w:szCs w:val="22"/>
          <w:lang w:val="lt-LT" w:eastAsia="en-IN"/>
        </w:rPr>
        <w:t>·</w:t>
      </w:r>
      <w:r w:rsidRPr="001839C2">
        <w:rPr>
          <w:rFonts w:eastAsiaTheme="minorEastAsia"/>
          <w:snapToGrid/>
          <w:szCs w:val="22"/>
          <w:lang w:val="lt-LT" w:eastAsia="en-IN"/>
        </w:rPr>
        <w:t>h/ml</w:t>
      </w:r>
      <w:r w:rsidR="005630EB" w:rsidRPr="001839C2">
        <w:rPr>
          <w:rFonts w:eastAsiaTheme="minorEastAsia"/>
          <w:snapToGrid/>
          <w:szCs w:val="22"/>
          <w:lang w:val="lt-LT" w:eastAsia="en-IN"/>
        </w:rPr>
        <w:t xml:space="preserve"> (44,0 %)</w:t>
      </w:r>
      <w:r w:rsidRPr="001839C2">
        <w:rPr>
          <w:rFonts w:eastAsiaTheme="minorEastAsia"/>
          <w:snapToGrid/>
          <w:szCs w:val="22"/>
          <w:lang w:val="lt-LT" w:eastAsia="en-IN"/>
        </w:rPr>
        <w:t>.</w:t>
      </w:r>
    </w:p>
    <w:p w14:paraId="09B8B109"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D6C63CA" w14:textId="77777777" w:rsidR="002A5F50" w:rsidRPr="001839C2" w:rsidRDefault="002A5F50" w:rsidP="004D75A0">
      <w:pPr>
        <w:keepNext/>
        <w:widowControl w:val="0"/>
        <w:numPr>
          <w:ilvl w:val="1"/>
          <w:numId w:val="29"/>
        </w:numPr>
        <w:tabs>
          <w:tab w:val="left" w:pos="0"/>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Ikiklinikinių saugumo tyrimų duomenys</w:t>
      </w:r>
    </w:p>
    <w:p w14:paraId="123CF4BB" w14:textId="77777777" w:rsidR="002A5F50" w:rsidRPr="001839C2" w:rsidRDefault="002A5F50" w:rsidP="004D75A0">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47857430" w14:textId="77777777" w:rsidR="00D41C21" w:rsidRPr="001839C2" w:rsidRDefault="002A5F50" w:rsidP="004D75A0">
      <w:pPr>
        <w:keepNext/>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Emtricitabinas</w:t>
      </w:r>
    </w:p>
    <w:p w14:paraId="65C72F80" w14:textId="77777777" w:rsidR="002A5F50" w:rsidRPr="001839C2" w:rsidRDefault="00D41C21"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Į</w:t>
      </w:r>
      <w:r w:rsidR="002A5F50" w:rsidRPr="001839C2">
        <w:rPr>
          <w:rFonts w:eastAsiaTheme="minorEastAsia"/>
          <w:snapToGrid/>
          <w:szCs w:val="22"/>
          <w:lang w:val="lt-LT" w:eastAsia="en-IN"/>
        </w:rPr>
        <w:t>prastų emtricitabino farmakologinio saugumo, kartotinių dozių toksiškumo, genotoksiškumo, galimo kancerogeniškumo, toksinio poveikio reprodukcijai ir vystymuisi ikiklinikinių tyrimų duomenys specifinio pavojaus žmogui nerodo.</w:t>
      </w:r>
    </w:p>
    <w:p w14:paraId="25762814"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0EC544B" w14:textId="77777777" w:rsidR="00D41C21"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Tenofovir</w:t>
      </w:r>
      <w:r w:rsidR="00C37D10" w:rsidRPr="001839C2">
        <w:rPr>
          <w:rFonts w:eastAsiaTheme="minorEastAsia"/>
          <w:i/>
          <w:iCs/>
          <w:snapToGrid/>
          <w:szCs w:val="22"/>
          <w:lang w:val="lt-LT" w:eastAsia="en-IN"/>
        </w:rPr>
        <w:t>as</w:t>
      </w:r>
      <w:r w:rsidRPr="001839C2">
        <w:rPr>
          <w:rFonts w:eastAsiaTheme="minorEastAsia"/>
          <w:i/>
          <w:iCs/>
          <w:snapToGrid/>
          <w:szCs w:val="22"/>
          <w:lang w:val="lt-LT" w:eastAsia="en-IN"/>
        </w:rPr>
        <w:t xml:space="preserve"> dizoproksilis</w:t>
      </w:r>
    </w:p>
    <w:p w14:paraId="456A9098" w14:textId="77777777" w:rsidR="002A5F50" w:rsidRPr="001839C2" w:rsidRDefault="00D41C21"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Į</w:t>
      </w:r>
      <w:r w:rsidR="002A5F50" w:rsidRPr="001839C2">
        <w:rPr>
          <w:rFonts w:eastAsiaTheme="minorEastAsia"/>
          <w:snapToGrid/>
          <w:szCs w:val="22"/>
          <w:lang w:val="lt-LT" w:eastAsia="en-IN"/>
        </w:rPr>
        <w:t>prastų tenofoviro dizoproksilio farmakologinio saugumo ikiklinikinių tyrimų duomenys specifinio pavojaus žmogui nerodo. Su žiurkėmis, šunimis ir beždžionėmis atliktų kartotinių dozių toksiškumo tyrimų metu, esant didesnei arba tokiai pačiai kaip klinikinė ekspozicija koncentracijai, nustatytas toksinis poveikis inkstams ir kaulams bei fosfatų k</w:t>
      </w:r>
      <w:r w:rsidRPr="001839C2">
        <w:rPr>
          <w:rFonts w:eastAsiaTheme="minorEastAsia"/>
          <w:snapToGrid/>
          <w:szCs w:val="22"/>
          <w:lang w:val="lt-LT" w:eastAsia="en-IN"/>
        </w:rPr>
        <w:t>oncentrac</w:t>
      </w:r>
      <w:r w:rsidR="002A5F50" w:rsidRPr="001839C2">
        <w:rPr>
          <w:rFonts w:eastAsiaTheme="minorEastAsia"/>
          <w:snapToGrid/>
          <w:szCs w:val="22"/>
          <w:lang w:val="lt-LT" w:eastAsia="en-IN"/>
        </w:rPr>
        <w:t>i</w:t>
      </w:r>
      <w:r w:rsidRPr="001839C2">
        <w:rPr>
          <w:rFonts w:eastAsiaTheme="minorEastAsia"/>
          <w:snapToGrid/>
          <w:szCs w:val="22"/>
          <w:lang w:val="lt-LT" w:eastAsia="en-IN"/>
        </w:rPr>
        <w:t>j</w:t>
      </w:r>
      <w:r w:rsidR="002A5F50" w:rsidRPr="001839C2">
        <w:rPr>
          <w:rFonts w:eastAsiaTheme="minorEastAsia"/>
          <w:snapToGrid/>
          <w:szCs w:val="22"/>
          <w:lang w:val="lt-LT" w:eastAsia="en-IN"/>
        </w:rPr>
        <w:t>o</w:t>
      </w:r>
      <w:r w:rsidRPr="001839C2">
        <w:rPr>
          <w:rFonts w:eastAsiaTheme="minorEastAsia"/>
          <w:snapToGrid/>
          <w:szCs w:val="22"/>
          <w:lang w:val="lt-LT" w:eastAsia="en-IN"/>
        </w:rPr>
        <w:t>s</w:t>
      </w:r>
      <w:r w:rsidR="002A5F50" w:rsidRPr="001839C2">
        <w:rPr>
          <w:rFonts w:eastAsiaTheme="minorEastAsia"/>
          <w:snapToGrid/>
          <w:szCs w:val="22"/>
          <w:lang w:val="lt-LT" w:eastAsia="en-IN"/>
        </w:rPr>
        <w:t xml:space="preserve"> serume sumažėjimas, kurie gali turėti klinikinės reikšmės. Toksinis poveikis kaulams pasireiškia osteomaliacija (beždžionėms) ir sumažėjusiu KMT (žiurkėms ir šunims). Toksinis poveikis kaulams jaunoms suaugusioms žiurkėms ir šunims pasireiškė esant ekspozicijai, ≥</w:t>
      </w:r>
      <w:r w:rsidRPr="001839C2">
        <w:rPr>
          <w:rFonts w:eastAsiaTheme="minorEastAsia"/>
          <w:snapToGrid/>
          <w:szCs w:val="22"/>
          <w:lang w:val="lt-LT" w:eastAsia="en-IN"/>
        </w:rPr>
        <w:t> </w:t>
      </w:r>
      <w:r w:rsidR="002A5F50" w:rsidRPr="001839C2">
        <w:rPr>
          <w:rFonts w:eastAsiaTheme="minorEastAsia"/>
          <w:snapToGrid/>
          <w:szCs w:val="22"/>
          <w:lang w:val="lt-LT" w:eastAsia="en-IN"/>
        </w:rPr>
        <w:t>5</w:t>
      </w:r>
      <w:r w:rsidRPr="001839C2">
        <w:rPr>
          <w:rFonts w:eastAsiaTheme="minorEastAsia"/>
          <w:snapToGrid/>
          <w:szCs w:val="22"/>
          <w:lang w:val="lt-LT" w:eastAsia="en-IN"/>
        </w:rPr>
        <w:t> </w:t>
      </w:r>
      <w:r w:rsidR="002A5F50" w:rsidRPr="001839C2">
        <w:rPr>
          <w:rFonts w:eastAsiaTheme="minorEastAsia"/>
          <w:snapToGrid/>
          <w:szCs w:val="22"/>
          <w:lang w:val="lt-LT" w:eastAsia="en-IN"/>
        </w:rPr>
        <w:t>kartus viršijančiai vaikų ar suaugusių</w:t>
      </w:r>
      <w:r w:rsidRPr="001839C2">
        <w:rPr>
          <w:rFonts w:eastAsiaTheme="minorEastAsia"/>
          <w:snapToGrid/>
          <w:szCs w:val="22"/>
          <w:lang w:val="lt-LT" w:eastAsia="en-IN"/>
        </w:rPr>
        <w:t>j</w:t>
      </w:r>
      <w:r w:rsidR="002A5F50" w:rsidRPr="001839C2">
        <w:rPr>
          <w:rFonts w:eastAsiaTheme="minorEastAsia"/>
          <w:snapToGrid/>
          <w:szCs w:val="22"/>
          <w:lang w:val="lt-LT" w:eastAsia="en-IN"/>
        </w:rPr>
        <w:t>ų ekspoziciją</w:t>
      </w:r>
      <w:r w:rsidRPr="001839C2">
        <w:rPr>
          <w:rFonts w:eastAsiaTheme="minorEastAsia"/>
          <w:snapToGrid/>
          <w:szCs w:val="22"/>
          <w:lang w:val="lt-LT" w:eastAsia="en-IN"/>
        </w:rPr>
        <w:t>,</w:t>
      </w:r>
      <w:r w:rsidR="002A5F50" w:rsidRPr="001839C2">
        <w:rPr>
          <w:rFonts w:eastAsiaTheme="minorEastAsia"/>
          <w:snapToGrid/>
          <w:szCs w:val="22"/>
          <w:lang w:val="lt-LT" w:eastAsia="en-IN"/>
        </w:rPr>
        <w:t xml:space="preserve"> toksinis poveikis kaulams pasireiškė infekuotiems beždžionių jaunikliams, esant labai didelei ekspozicijai po </w:t>
      </w:r>
      <w:r w:rsidRPr="001839C2">
        <w:rPr>
          <w:rFonts w:eastAsiaTheme="minorEastAsia"/>
          <w:snapToGrid/>
          <w:szCs w:val="22"/>
          <w:lang w:val="lt-LT" w:eastAsia="en-IN"/>
        </w:rPr>
        <w:lastRenderedPageBreak/>
        <w:t xml:space="preserve">vaistinio </w:t>
      </w:r>
      <w:r w:rsidR="002A5F50" w:rsidRPr="001839C2">
        <w:rPr>
          <w:rFonts w:eastAsiaTheme="minorEastAsia"/>
          <w:snapToGrid/>
          <w:szCs w:val="22"/>
          <w:lang w:val="lt-LT" w:eastAsia="en-IN"/>
        </w:rPr>
        <w:t>preparato skyrimo po oda (≥</w:t>
      </w:r>
      <w:r w:rsidRPr="001839C2">
        <w:rPr>
          <w:rFonts w:eastAsiaTheme="minorEastAsia"/>
          <w:snapToGrid/>
          <w:szCs w:val="22"/>
          <w:lang w:val="lt-LT" w:eastAsia="en-IN"/>
        </w:rPr>
        <w:t> </w:t>
      </w:r>
      <w:r w:rsidR="002A5F50" w:rsidRPr="001839C2">
        <w:rPr>
          <w:rFonts w:eastAsiaTheme="minorEastAsia"/>
          <w:snapToGrid/>
          <w:szCs w:val="22"/>
          <w:lang w:val="lt-LT" w:eastAsia="en-IN"/>
        </w:rPr>
        <w:t>40</w:t>
      </w:r>
      <w:r w:rsidRPr="001839C2">
        <w:rPr>
          <w:rFonts w:eastAsiaTheme="minorEastAsia"/>
          <w:snapToGrid/>
          <w:szCs w:val="22"/>
          <w:lang w:val="lt-LT" w:eastAsia="en-IN"/>
        </w:rPr>
        <w:t> </w:t>
      </w:r>
      <w:r w:rsidR="002A5F50" w:rsidRPr="001839C2">
        <w:rPr>
          <w:rFonts w:eastAsiaTheme="minorEastAsia"/>
          <w:snapToGrid/>
          <w:szCs w:val="22"/>
          <w:lang w:val="lt-LT" w:eastAsia="en-IN"/>
        </w:rPr>
        <w:t>kartų viršijančiai ekspoziciją pacientams). Pokyčiai, nustatyti tyrimuose su žiurkėmis ir beždžionėmis, rodo su veikliąja medžiaga susijusį fosfatų absorbcijos sumažėjimą žarnyne kartu su galimu antriniu KMT</w:t>
      </w:r>
      <w:r w:rsidRPr="001839C2">
        <w:rPr>
          <w:rFonts w:eastAsiaTheme="minorEastAsia"/>
          <w:snapToGrid/>
          <w:szCs w:val="22"/>
          <w:lang w:val="lt-LT" w:eastAsia="en-IN"/>
        </w:rPr>
        <w:t> </w:t>
      </w:r>
      <w:r w:rsidR="002A5F50" w:rsidRPr="001839C2">
        <w:rPr>
          <w:rFonts w:eastAsiaTheme="minorEastAsia"/>
          <w:snapToGrid/>
          <w:szCs w:val="22"/>
          <w:lang w:val="lt-LT" w:eastAsia="en-IN"/>
        </w:rPr>
        <w:t>sumažėjimu.</w:t>
      </w:r>
    </w:p>
    <w:p w14:paraId="2439FEC6"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FEFA674"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Genotoksiškumo tyrimais nustatytas poveikis atliekant pelių limfomos tyrimą </w:t>
      </w:r>
      <w:r w:rsidRPr="001839C2">
        <w:rPr>
          <w:rFonts w:eastAsiaTheme="minorEastAsia"/>
          <w:i/>
          <w:iCs/>
          <w:snapToGrid/>
          <w:szCs w:val="22"/>
          <w:lang w:val="lt-LT" w:eastAsia="en-IN"/>
        </w:rPr>
        <w:t>in</w:t>
      </w:r>
      <w:r w:rsidR="00D41C21" w:rsidRPr="001839C2">
        <w:rPr>
          <w:rFonts w:eastAsiaTheme="minorEastAsia"/>
          <w:i/>
          <w:iCs/>
          <w:snapToGrid/>
          <w:szCs w:val="22"/>
          <w:lang w:val="lt-LT" w:eastAsia="en-IN"/>
        </w:rPr>
        <w:t> </w:t>
      </w:r>
      <w:r w:rsidRPr="001839C2">
        <w:rPr>
          <w:rFonts w:eastAsiaTheme="minorEastAsia"/>
          <w:i/>
          <w:iCs/>
          <w:snapToGrid/>
          <w:szCs w:val="22"/>
          <w:lang w:val="lt-LT" w:eastAsia="en-IN"/>
        </w:rPr>
        <w:t>vitro</w:t>
      </w:r>
      <w:r w:rsidRPr="001839C2">
        <w:rPr>
          <w:rFonts w:eastAsiaTheme="minorEastAsia"/>
          <w:snapToGrid/>
          <w:szCs w:val="22"/>
          <w:lang w:val="lt-LT" w:eastAsia="en-IN"/>
        </w:rPr>
        <w:t xml:space="preserve">, neaiškus poveikis atliekant </w:t>
      </w:r>
      <w:r w:rsidRPr="001839C2">
        <w:rPr>
          <w:rFonts w:eastAsiaTheme="minorEastAsia"/>
          <w:i/>
          <w:iCs/>
          <w:snapToGrid/>
          <w:szCs w:val="22"/>
          <w:lang w:val="lt-LT" w:eastAsia="en-IN"/>
        </w:rPr>
        <w:t>Ames</w:t>
      </w:r>
      <w:r w:rsidR="00D41C21" w:rsidRPr="001839C2">
        <w:rPr>
          <w:rFonts w:eastAsiaTheme="minorEastAsia"/>
          <w:i/>
          <w:iCs/>
          <w:snapToGrid/>
          <w:szCs w:val="22"/>
          <w:lang w:val="lt-LT" w:eastAsia="en-IN"/>
        </w:rPr>
        <w:t> </w:t>
      </w:r>
      <w:r w:rsidRPr="001839C2">
        <w:rPr>
          <w:rFonts w:eastAsiaTheme="minorEastAsia"/>
          <w:snapToGrid/>
          <w:szCs w:val="22"/>
          <w:lang w:val="lt-LT" w:eastAsia="en-IN"/>
        </w:rPr>
        <w:t>testą su viena iš padermių ir silpnas poveikis atliekant UDS</w:t>
      </w:r>
      <w:r w:rsidR="00D41C21" w:rsidRPr="001839C2">
        <w:rPr>
          <w:rFonts w:eastAsiaTheme="minorEastAsia"/>
          <w:snapToGrid/>
          <w:szCs w:val="22"/>
          <w:lang w:val="lt-LT" w:eastAsia="en-IN"/>
        </w:rPr>
        <w:t> </w:t>
      </w:r>
      <w:r w:rsidRPr="001839C2">
        <w:rPr>
          <w:rFonts w:eastAsiaTheme="minorEastAsia"/>
          <w:snapToGrid/>
          <w:szCs w:val="22"/>
          <w:lang w:val="lt-LT" w:eastAsia="en-IN"/>
        </w:rPr>
        <w:t xml:space="preserve">testą pirminiuose žiurkių hepatocituose. Tačiau poveikio nenustatyta atliekant </w:t>
      </w:r>
      <w:r w:rsidRPr="001839C2">
        <w:rPr>
          <w:rFonts w:eastAsiaTheme="minorEastAsia"/>
          <w:i/>
          <w:iCs/>
          <w:snapToGrid/>
          <w:szCs w:val="22"/>
          <w:lang w:val="lt-LT" w:eastAsia="en-IN"/>
        </w:rPr>
        <w:t>in</w:t>
      </w:r>
      <w:r w:rsidR="00D41C21" w:rsidRPr="001839C2">
        <w:rPr>
          <w:rFonts w:eastAsiaTheme="minorEastAsia"/>
          <w:i/>
          <w:iCs/>
          <w:snapToGrid/>
          <w:szCs w:val="22"/>
          <w:lang w:val="lt-LT" w:eastAsia="en-IN"/>
        </w:rPr>
        <w:t> </w:t>
      </w:r>
      <w:r w:rsidRPr="001839C2">
        <w:rPr>
          <w:rFonts w:eastAsiaTheme="minorEastAsia"/>
          <w:i/>
          <w:iCs/>
          <w:snapToGrid/>
          <w:szCs w:val="22"/>
          <w:lang w:val="lt-LT" w:eastAsia="en-IN"/>
        </w:rPr>
        <w:t xml:space="preserve">vivo </w:t>
      </w:r>
      <w:r w:rsidRPr="001839C2">
        <w:rPr>
          <w:rFonts w:eastAsiaTheme="minorEastAsia"/>
          <w:snapToGrid/>
          <w:szCs w:val="22"/>
          <w:lang w:val="lt-LT" w:eastAsia="en-IN"/>
        </w:rPr>
        <w:t>pelių kaulų čiulpų mikrobranduolių tyrimą.</w:t>
      </w:r>
    </w:p>
    <w:p w14:paraId="07D196A5" w14:textId="77777777" w:rsidR="00D41C21" w:rsidRPr="001839C2" w:rsidRDefault="00D41C21"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E8CFE01"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Atliekant geriamojo vaist</w:t>
      </w:r>
      <w:r w:rsidR="00D41C21" w:rsidRPr="001839C2">
        <w:rPr>
          <w:rFonts w:eastAsiaTheme="minorEastAsia"/>
          <w:snapToGrid/>
          <w:szCs w:val="22"/>
          <w:lang w:val="lt-LT" w:eastAsia="en-IN"/>
        </w:rPr>
        <w:t>ini</w:t>
      </w:r>
      <w:r w:rsidRPr="001839C2">
        <w:rPr>
          <w:rFonts w:eastAsiaTheme="minorEastAsia"/>
          <w:snapToGrid/>
          <w:szCs w:val="22"/>
          <w:lang w:val="lt-LT" w:eastAsia="en-IN"/>
        </w:rPr>
        <w:t>o</w:t>
      </w:r>
      <w:r w:rsidR="00D41C21" w:rsidRPr="001839C2">
        <w:rPr>
          <w:rFonts w:eastAsiaTheme="minorEastAsia"/>
          <w:snapToGrid/>
          <w:szCs w:val="22"/>
          <w:lang w:val="lt-LT" w:eastAsia="en-IN"/>
        </w:rPr>
        <w:t xml:space="preserve"> preparato</w:t>
      </w:r>
      <w:r w:rsidRPr="001839C2">
        <w:rPr>
          <w:rFonts w:eastAsiaTheme="minorEastAsia"/>
          <w:snapToGrid/>
          <w:szCs w:val="22"/>
          <w:lang w:val="lt-LT" w:eastAsia="en-IN"/>
        </w:rPr>
        <w:t xml:space="preserve"> kancerogeniškumo tyrimus su žiurkėmis ir pelėmis, nustatytas tik nedidelis dvylikapirštės žarnos navikų išsivystymo dažnis, pelėms duodant ypač didelę dozę. Tikėtina, kad šie navikai žmogui nėra svarbūs.</w:t>
      </w:r>
    </w:p>
    <w:p w14:paraId="51F91978"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5C52F7C5"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Su žiurkėmis ir triušiais atliktais toksinio poveikio reprodukcijai tyrimais jokio poveikio poravimuisi, vaisingumui, nėštumui ar vaisiui nenustatyta. Tačiau atliekant perinatalinio ir postnatalinio toksiškumo tyrimą, duodant toksines patelei dozes, buvo nustatyta, kad tenofovir</w:t>
      </w:r>
      <w:r w:rsidR="00C37D10" w:rsidRPr="001839C2">
        <w:rPr>
          <w:rFonts w:eastAsiaTheme="minorEastAsia"/>
          <w:snapToGrid/>
          <w:szCs w:val="22"/>
          <w:lang w:val="lt-LT" w:eastAsia="en-IN"/>
        </w:rPr>
        <w:t>as</w:t>
      </w:r>
      <w:r w:rsidRPr="001839C2">
        <w:rPr>
          <w:rFonts w:eastAsiaTheme="minorEastAsia"/>
          <w:snapToGrid/>
          <w:szCs w:val="22"/>
          <w:lang w:val="lt-LT" w:eastAsia="en-IN"/>
        </w:rPr>
        <w:t xml:space="preserve"> dizoproksilis sumažino jauniklių gyvybingumo indeksą ir svorį.</w:t>
      </w:r>
    </w:p>
    <w:p w14:paraId="75F81EF9"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AC93190" w14:textId="77777777" w:rsidR="00D41C21"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i/>
          <w:iCs/>
          <w:snapToGrid/>
          <w:szCs w:val="22"/>
          <w:lang w:val="lt-LT" w:eastAsia="en-IN"/>
        </w:rPr>
        <w:t>Emtricitabino ir tenofoviro dizoproksilio derinys</w:t>
      </w:r>
    </w:p>
    <w:p w14:paraId="237F4BF0" w14:textId="77777777" w:rsidR="002A5F50" w:rsidRPr="001839C2" w:rsidRDefault="00D41C21"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w:t>
      </w:r>
      <w:r w:rsidR="002A5F50" w:rsidRPr="001839C2">
        <w:rPr>
          <w:rFonts w:eastAsiaTheme="minorEastAsia"/>
          <w:snapToGrid/>
          <w:szCs w:val="22"/>
          <w:lang w:val="lt-LT" w:eastAsia="en-IN"/>
        </w:rPr>
        <w:t>ieno</w:t>
      </w:r>
      <w:r w:rsidRPr="001839C2">
        <w:rPr>
          <w:rFonts w:eastAsiaTheme="minorEastAsia"/>
          <w:snapToGrid/>
          <w:szCs w:val="22"/>
          <w:lang w:val="lt-LT" w:eastAsia="en-IN"/>
        </w:rPr>
        <w:t> </w:t>
      </w:r>
      <w:r w:rsidR="002A5F50" w:rsidRPr="001839C2">
        <w:rPr>
          <w:rFonts w:eastAsiaTheme="minorEastAsia"/>
          <w:snapToGrid/>
          <w:szCs w:val="22"/>
          <w:lang w:val="lt-LT" w:eastAsia="en-IN"/>
        </w:rPr>
        <w:t xml:space="preserve">mėnesio trukmės arba trumpesni šių dviejų veikliųjų medžiagų derinio genotoksiškumo ir kartotinių dozių toksiškumo tyrimai, lyginant su atskirų </w:t>
      </w:r>
      <w:r w:rsidR="00AE649A" w:rsidRPr="001839C2">
        <w:rPr>
          <w:rFonts w:eastAsiaTheme="minorEastAsia"/>
          <w:snapToGrid/>
          <w:szCs w:val="22"/>
          <w:lang w:val="lt-LT" w:eastAsia="en-IN"/>
        </w:rPr>
        <w:t>v</w:t>
      </w:r>
      <w:r w:rsidR="002A5F50" w:rsidRPr="001839C2">
        <w:rPr>
          <w:rFonts w:eastAsiaTheme="minorEastAsia"/>
          <w:snapToGrid/>
          <w:szCs w:val="22"/>
          <w:lang w:val="lt-LT" w:eastAsia="en-IN"/>
        </w:rPr>
        <w:t>e</w:t>
      </w:r>
      <w:r w:rsidR="00AE649A" w:rsidRPr="001839C2">
        <w:rPr>
          <w:rFonts w:eastAsiaTheme="minorEastAsia"/>
          <w:snapToGrid/>
          <w:szCs w:val="22"/>
          <w:lang w:val="lt-LT" w:eastAsia="en-IN"/>
        </w:rPr>
        <w:t>ikli</w:t>
      </w:r>
      <w:r w:rsidR="002A5F50" w:rsidRPr="001839C2">
        <w:rPr>
          <w:rFonts w:eastAsiaTheme="minorEastAsia"/>
          <w:snapToGrid/>
          <w:szCs w:val="22"/>
          <w:lang w:val="lt-LT" w:eastAsia="en-IN"/>
        </w:rPr>
        <w:t>ų</w:t>
      </w:r>
      <w:r w:rsidR="00AE649A" w:rsidRPr="001839C2">
        <w:rPr>
          <w:rFonts w:eastAsiaTheme="minorEastAsia"/>
          <w:snapToGrid/>
          <w:szCs w:val="22"/>
          <w:lang w:val="lt-LT" w:eastAsia="en-IN"/>
        </w:rPr>
        <w:t>jų medžiagų</w:t>
      </w:r>
      <w:r w:rsidR="002A5F50" w:rsidRPr="001839C2">
        <w:rPr>
          <w:rFonts w:eastAsiaTheme="minorEastAsia"/>
          <w:snapToGrid/>
          <w:szCs w:val="22"/>
          <w:lang w:val="lt-LT" w:eastAsia="en-IN"/>
        </w:rPr>
        <w:t xml:space="preserve"> tyrimais, toksinio poveikio padidėjimo neparodė.</w:t>
      </w:r>
    </w:p>
    <w:p w14:paraId="6590FBDE"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61B7102"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5CB08C8" w14:textId="77777777" w:rsidR="002A5F50" w:rsidRPr="001839C2" w:rsidRDefault="002A5F50" w:rsidP="00230559">
      <w:pPr>
        <w:widowControl w:val="0"/>
        <w:numPr>
          <w:ilvl w:val="0"/>
          <w:numId w:val="29"/>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FARMACINĖ INFORMACIJA</w:t>
      </w:r>
    </w:p>
    <w:p w14:paraId="391CBD32"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1E92E728" w14:textId="77777777" w:rsidR="002A5F50" w:rsidRPr="001839C2" w:rsidRDefault="002A5F50" w:rsidP="00230559">
      <w:pPr>
        <w:widowControl w:val="0"/>
        <w:numPr>
          <w:ilvl w:val="1"/>
          <w:numId w:val="29"/>
        </w:numPr>
        <w:tabs>
          <w:tab w:val="left" w:pos="0"/>
        </w:tabs>
        <w:kinsoku w:val="0"/>
        <w:overflowPunct w:val="0"/>
        <w:autoSpaceDE w:val="0"/>
        <w:autoSpaceDN w:val="0"/>
        <w:adjustRightInd w:val="0"/>
        <w:ind w:left="0" w:firstLine="0"/>
        <w:rPr>
          <w:rFonts w:eastAsiaTheme="minorEastAsia"/>
          <w:snapToGrid/>
          <w:szCs w:val="22"/>
          <w:lang w:val="lt-LT" w:eastAsia="en-IN"/>
        </w:rPr>
      </w:pPr>
      <w:r w:rsidRPr="001839C2">
        <w:rPr>
          <w:rFonts w:eastAsiaTheme="minorEastAsia"/>
          <w:b/>
          <w:bCs/>
          <w:snapToGrid/>
          <w:szCs w:val="22"/>
          <w:lang w:val="lt-LT" w:eastAsia="en-IN"/>
        </w:rPr>
        <w:t>Pagalbinių medžiagų sąrašas</w:t>
      </w:r>
    </w:p>
    <w:p w14:paraId="04BAA1A8"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06D85F62" w14:textId="77777777" w:rsidR="00D41C21" w:rsidRPr="001839C2" w:rsidRDefault="002A5F50" w:rsidP="00230559">
      <w:pPr>
        <w:widowControl w:val="0"/>
        <w:tabs>
          <w:tab w:val="clear" w:pos="567"/>
          <w:tab w:val="left" w:pos="0"/>
        </w:tabs>
        <w:kinsoku w:val="0"/>
        <w:overflowPunct w:val="0"/>
        <w:autoSpaceDE w:val="0"/>
        <w:autoSpaceDN w:val="0"/>
        <w:adjustRightInd w:val="0"/>
        <w:rPr>
          <w:rFonts w:eastAsiaTheme="minorEastAsia"/>
          <w:i/>
          <w:iCs/>
          <w:snapToGrid/>
          <w:szCs w:val="22"/>
          <w:lang w:val="lt-LT" w:eastAsia="en-IN"/>
        </w:rPr>
      </w:pPr>
      <w:r w:rsidRPr="001839C2">
        <w:rPr>
          <w:rFonts w:eastAsiaTheme="minorEastAsia"/>
          <w:b/>
          <w:iCs/>
          <w:snapToGrid/>
          <w:szCs w:val="22"/>
          <w:lang w:val="lt-LT" w:eastAsia="en-IN"/>
        </w:rPr>
        <w:t xml:space="preserve">Tabletės </w:t>
      </w:r>
      <w:r w:rsidR="00D53A51" w:rsidRPr="001839C2">
        <w:rPr>
          <w:rFonts w:eastAsiaTheme="minorEastAsia"/>
          <w:b/>
          <w:iCs/>
          <w:snapToGrid/>
          <w:szCs w:val="22"/>
          <w:lang w:val="lt-LT" w:eastAsia="en-IN"/>
        </w:rPr>
        <w:t>branduolys</w:t>
      </w:r>
    </w:p>
    <w:p w14:paraId="35CFF2AB" w14:textId="77777777" w:rsidR="00D41C21"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Kroskarmeliozės natrio druska</w:t>
      </w:r>
    </w:p>
    <w:p w14:paraId="059D4937"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Laktozė monohidratas</w:t>
      </w:r>
    </w:p>
    <w:p w14:paraId="7E0E7434" w14:textId="77777777" w:rsidR="002A5F50" w:rsidRPr="001839C2" w:rsidRDefault="0064206D"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Mikrokristalinė c</w:t>
      </w:r>
      <w:r w:rsidR="002A5F50" w:rsidRPr="001839C2">
        <w:rPr>
          <w:rFonts w:eastAsiaTheme="minorEastAsia"/>
          <w:snapToGrid/>
          <w:szCs w:val="22"/>
          <w:lang w:val="lt-LT" w:eastAsia="en-IN"/>
        </w:rPr>
        <w:t>eliuliozė</w:t>
      </w:r>
    </w:p>
    <w:p w14:paraId="0B8CFC0F"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Magnio stearatas</w:t>
      </w:r>
    </w:p>
    <w:p w14:paraId="3AAE8705" w14:textId="77777777" w:rsidR="002A5F50" w:rsidRPr="001839C2" w:rsidRDefault="0064206D"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Pregelifikuotas k</w:t>
      </w:r>
      <w:r w:rsidR="002A5F50" w:rsidRPr="001839C2">
        <w:rPr>
          <w:rFonts w:eastAsiaTheme="minorEastAsia"/>
          <w:snapToGrid/>
          <w:szCs w:val="22"/>
          <w:lang w:val="lt-LT" w:eastAsia="en-IN"/>
        </w:rPr>
        <w:t>rakmolas</w:t>
      </w:r>
    </w:p>
    <w:p w14:paraId="547E8DCD"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612DA26" w14:textId="77777777" w:rsidR="002A5F50" w:rsidRPr="001839C2" w:rsidRDefault="00D53A51" w:rsidP="00BF4605">
      <w:pPr>
        <w:widowControl w:val="0"/>
        <w:tabs>
          <w:tab w:val="clear" w:pos="567"/>
          <w:tab w:val="left" w:pos="0"/>
        </w:tabs>
        <w:kinsoku w:val="0"/>
        <w:overflowPunct w:val="0"/>
        <w:autoSpaceDE w:val="0"/>
        <w:autoSpaceDN w:val="0"/>
        <w:adjustRightInd w:val="0"/>
        <w:rPr>
          <w:rFonts w:eastAsiaTheme="minorEastAsia"/>
          <w:b/>
          <w:snapToGrid/>
          <w:szCs w:val="22"/>
          <w:lang w:val="lt-LT" w:eastAsia="en-IN"/>
        </w:rPr>
      </w:pPr>
      <w:r w:rsidRPr="001839C2">
        <w:rPr>
          <w:rFonts w:eastAsiaTheme="minorEastAsia"/>
          <w:b/>
          <w:iCs/>
          <w:snapToGrid/>
          <w:szCs w:val="22"/>
          <w:lang w:val="lt-LT" w:eastAsia="en-IN"/>
        </w:rPr>
        <w:t>Tabletės p</w:t>
      </w:r>
      <w:r w:rsidR="002A5F50" w:rsidRPr="001839C2">
        <w:rPr>
          <w:rFonts w:eastAsiaTheme="minorEastAsia"/>
          <w:b/>
          <w:iCs/>
          <w:snapToGrid/>
          <w:szCs w:val="22"/>
          <w:lang w:val="lt-LT" w:eastAsia="en-IN"/>
        </w:rPr>
        <w:t>lėvelė</w:t>
      </w:r>
    </w:p>
    <w:p w14:paraId="6C47B420"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Hipromeliozė</w:t>
      </w:r>
    </w:p>
    <w:p w14:paraId="15D6250A" w14:textId="77777777" w:rsidR="002A5F50" w:rsidRPr="001839C2" w:rsidRDefault="002A5F50" w:rsidP="00230559">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Laktozė monohidratas</w:t>
      </w:r>
    </w:p>
    <w:p w14:paraId="5357BC62"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Titano dioksidas (E171)</w:t>
      </w:r>
    </w:p>
    <w:p w14:paraId="67E2EDF1"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Triacetinas</w:t>
      </w:r>
    </w:p>
    <w:p w14:paraId="07CF1770"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Indigokarmino aliuminio dažalas (E132)</w:t>
      </w:r>
    </w:p>
    <w:p w14:paraId="2EC2D1D8"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2F9211E" w14:textId="77777777" w:rsidR="002A5F50" w:rsidRPr="001839C2" w:rsidRDefault="002A5F50" w:rsidP="00230559">
      <w:pPr>
        <w:widowControl w:val="0"/>
        <w:numPr>
          <w:ilvl w:val="1"/>
          <w:numId w:val="29"/>
        </w:numPr>
        <w:tabs>
          <w:tab w:val="left" w:pos="0"/>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Nesuderinamumas</w:t>
      </w:r>
    </w:p>
    <w:p w14:paraId="2A78209D"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5D880106"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Duomenys nebūtini</w:t>
      </w:r>
      <w:r w:rsidR="00D41C21" w:rsidRPr="001839C2">
        <w:rPr>
          <w:rFonts w:eastAsiaTheme="minorEastAsia"/>
          <w:snapToGrid/>
          <w:szCs w:val="22"/>
          <w:lang w:val="lt-LT" w:eastAsia="en-IN"/>
        </w:rPr>
        <w:t>.</w:t>
      </w:r>
    </w:p>
    <w:p w14:paraId="459C39CB"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561E8D4" w14:textId="77777777" w:rsidR="002A5F50" w:rsidRPr="001839C2" w:rsidRDefault="002A5F50" w:rsidP="00230559">
      <w:pPr>
        <w:widowControl w:val="0"/>
        <w:numPr>
          <w:ilvl w:val="1"/>
          <w:numId w:val="29"/>
        </w:numPr>
        <w:tabs>
          <w:tab w:val="left" w:pos="0"/>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Tinkamumo laikas</w:t>
      </w:r>
    </w:p>
    <w:p w14:paraId="682DDCD0"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427D028F" w14:textId="77777777" w:rsidR="00D53A51"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2</w:t>
      </w:r>
      <w:r w:rsidR="00D41C21" w:rsidRPr="001839C2">
        <w:rPr>
          <w:rFonts w:eastAsiaTheme="minorEastAsia"/>
          <w:snapToGrid/>
          <w:szCs w:val="22"/>
          <w:lang w:val="lt-LT" w:eastAsia="en-IN"/>
        </w:rPr>
        <w:t> </w:t>
      </w:r>
      <w:r w:rsidRPr="001839C2">
        <w:rPr>
          <w:rFonts w:eastAsiaTheme="minorEastAsia"/>
          <w:snapToGrid/>
          <w:szCs w:val="22"/>
          <w:lang w:val="lt-LT" w:eastAsia="en-IN"/>
        </w:rPr>
        <w:t>metai</w:t>
      </w:r>
      <w:r w:rsidR="00D41C21" w:rsidRPr="001839C2">
        <w:rPr>
          <w:rFonts w:eastAsiaTheme="minorEastAsia"/>
          <w:snapToGrid/>
          <w:szCs w:val="22"/>
          <w:lang w:val="lt-LT" w:eastAsia="en-IN"/>
        </w:rPr>
        <w:t>.</w:t>
      </w:r>
    </w:p>
    <w:p w14:paraId="50D81079"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BFCDAB6" w14:textId="77777777" w:rsidR="002A5F50" w:rsidRPr="001839C2" w:rsidRDefault="002A5F50" w:rsidP="00230559">
      <w:pPr>
        <w:widowControl w:val="0"/>
        <w:numPr>
          <w:ilvl w:val="1"/>
          <w:numId w:val="29"/>
        </w:numPr>
        <w:tabs>
          <w:tab w:val="left" w:pos="0"/>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Specialios laikymo sąlygos</w:t>
      </w:r>
    </w:p>
    <w:p w14:paraId="7E5F290B" w14:textId="77777777" w:rsidR="006B530F" w:rsidRPr="001839C2" w:rsidRDefault="006B530F" w:rsidP="00BF4605">
      <w:pPr>
        <w:widowControl w:val="0"/>
        <w:tabs>
          <w:tab w:val="clear" w:pos="567"/>
          <w:tab w:val="left" w:pos="0"/>
        </w:tabs>
        <w:kinsoku w:val="0"/>
        <w:overflowPunct w:val="0"/>
        <w:autoSpaceDE w:val="0"/>
        <w:autoSpaceDN w:val="0"/>
        <w:adjustRightInd w:val="0"/>
        <w:rPr>
          <w:rFonts w:eastAsiaTheme="minorEastAsia"/>
          <w:bCs/>
          <w:snapToGrid/>
          <w:szCs w:val="22"/>
          <w:lang w:val="lt-LT" w:eastAsia="en-IN"/>
        </w:rPr>
      </w:pPr>
    </w:p>
    <w:p w14:paraId="23B67C4A" w14:textId="77777777" w:rsidR="002A5F50" w:rsidRPr="001839C2" w:rsidRDefault="00D53A51" w:rsidP="00BF4605">
      <w:pPr>
        <w:tabs>
          <w:tab w:val="clear" w:pos="567"/>
          <w:tab w:val="left" w:pos="0"/>
        </w:tabs>
        <w:rPr>
          <w:snapToGrid/>
          <w:szCs w:val="22"/>
          <w:lang w:val="lt-LT"/>
        </w:rPr>
      </w:pPr>
      <w:r w:rsidRPr="001839C2">
        <w:rPr>
          <w:snapToGrid/>
          <w:szCs w:val="22"/>
          <w:lang w:val="lt-LT"/>
        </w:rPr>
        <w:t>L</w:t>
      </w:r>
      <w:r w:rsidR="002A5F50" w:rsidRPr="001839C2">
        <w:rPr>
          <w:snapToGrid/>
          <w:szCs w:val="22"/>
          <w:lang w:val="lt-LT"/>
        </w:rPr>
        <w:t>aikyti žemesnėje kaip 30</w:t>
      </w:r>
      <w:r w:rsidR="00D41C21" w:rsidRPr="001839C2">
        <w:rPr>
          <w:snapToGrid/>
          <w:szCs w:val="22"/>
          <w:lang w:val="lt-LT"/>
        </w:rPr>
        <w:t> </w:t>
      </w:r>
      <w:r w:rsidR="002A5F50" w:rsidRPr="001839C2">
        <w:rPr>
          <w:snapToGrid/>
          <w:szCs w:val="22"/>
          <w:lang w:val="lt-LT"/>
        </w:rPr>
        <w:t>ºC temperatūroje.</w:t>
      </w:r>
    </w:p>
    <w:p w14:paraId="2ACAEEF0" w14:textId="77777777" w:rsidR="002A5F50" w:rsidRPr="001839C2" w:rsidRDefault="002A5F50" w:rsidP="00BF4605">
      <w:pPr>
        <w:tabs>
          <w:tab w:val="clear" w:pos="567"/>
          <w:tab w:val="left" w:pos="0"/>
        </w:tabs>
        <w:rPr>
          <w:snapToGrid/>
          <w:szCs w:val="22"/>
          <w:lang w:val="lt-LT"/>
        </w:rPr>
      </w:pPr>
    </w:p>
    <w:p w14:paraId="463D2EAD" w14:textId="77777777" w:rsidR="002A5F50" w:rsidRPr="001839C2" w:rsidRDefault="002A5F50" w:rsidP="00230559">
      <w:pPr>
        <w:keepNext/>
        <w:widowControl w:val="0"/>
        <w:numPr>
          <w:ilvl w:val="1"/>
          <w:numId w:val="29"/>
        </w:numPr>
        <w:tabs>
          <w:tab w:val="left" w:pos="0"/>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lastRenderedPageBreak/>
        <w:t>Talpyklės pobūdis ir jos turinys</w:t>
      </w:r>
    </w:p>
    <w:p w14:paraId="3434733F" w14:textId="77777777" w:rsidR="002A5F50" w:rsidRPr="001839C2" w:rsidRDefault="002A5F50" w:rsidP="00230559">
      <w:pPr>
        <w:keepNext/>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5B360DE7" w14:textId="77777777" w:rsidR="00D53A51" w:rsidRPr="001839C2" w:rsidRDefault="002A5F50" w:rsidP="00BF4605">
      <w:pPr>
        <w:tabs>
          <w:tab w:val="clear" w:pos="567"/>
          <w:tab w:val="left" w:pos="0"/>
        </w:tabs>
        <w:rPr>
          <w:snapToGrid/>
          <w:szCs w:val="22"/>
          <w:lang w:val="lt-LT"/>
        </w:rPr>
      </w:pPr>
      <w:r w:rsidRPr="001839C2">
        <w:rPr>
          <w:snapToGrid/>
          <w:szCs w:val="22"/>
          <w:lang w:val="lt-LT"/>
        </w:rPr>
        <w:t>OPA</w:t>
      </w:r>
      <w:r w:rsidR="00D41C21" w:rsidRPr="001839C2">
        <w:rPr>
          <w:snapToGrid/>
          <w:szCs w:val="22"/>
          <w:lang w:val="lt-LT"/>
        </w:rPr>
        <w:noBreakHyphen/>
      </w:r>
      <w:r w:rsidR="00D53A51" w:rsidRPr="001839C2">
        <w:rPr>
          <w:snapToGrid/>
          <w:szCs w:val="22"/>
          <w:lang w:val="lt-LT"/>
        </w:rPr>
        <w:t>Al</w:t>
      </w:r>
      <w:r w:rsidR="00D41C21" w:rsidRPr="001839C2">
        <w:rPr>
          <w:snapToGrid/>
          <w:szCs w:val="22"/>
          <w:lang w:val="lt-LT"/>
        </w:rPr>
        <w:noBreakHyphen/>
      </w:r>
      <w:r w:rsidRPr="001839C2">
        <w:rPr>
          <w:snapToGrid/>
          <w:szCs w:val="22"/>
          <w:lang w:val="lt-LT"/>
        </w:rPr>
        <w:t>PVC/</w:t>
      </w:r>
      <w:r w:rsidR="00D53A51" w:rsidRPr="001839C2">
        <w:rPr>
          <w:snapToGrid/>
          <w:szCs w:val="22"/>
          <w:lang w:val="lt-LT"/>
        </w:rPr>
        <w:t>Al</w:t>
      </w:r>
      <w:r w:rsidRPr="001839C2">
        <w:rPr>
          <w:snapToGrid/>
          <w:szCs w:val="22"/>
          <w:lang w:val="lt-LT"/>
        </w:rPr>
        <w:t xml:space="preserve"> perforuota </w:t>
      </w:r>
      <w:r w:rsidR="00D036B6" w:rsidRPr="001839C2">
        <w:rPr>
          <w:snapToGrid/>
          <w:szCs w:val="22"/>
          <w:lang w:val="lt-LT"/>
        </w:rPr>
        <w:t xml:space="preserve">dalomoji </w:t>
      </w:r>
      <w:r w:rsidRPr="001839C2">
        <w:rPr>
          <w:snapToGrid/>
          <w:szCs w:val="22"/>
          <w:lang w:val="lt-LT"/>
        </w:rPr>
        <w:t>lizdinė plokštelė</w:t>
      </w:r>
      <w:r w:rsidR="00813BBA" w:rsidRPr="001839C2">
        <w:rPr>
          <w:snapToGrid/>
          <w:szCs w:val="22"/>
          <w:lang w:val="lt-LT"/>
        </w:rPr>
        <w:t xml:space="preserve">. </w:t>
      </w:r>
      <w:r w:rsidR="00D53A51" w:rsidRPr="001839C2">
        <w:rPr>
          <w:snapToGrid/>
          <w:szCs w:val="22"/>
          <w:lang w:val="lt-LT"/>
        </w:rPr>
        <w:t>P</w:t>
      </w:r>
      <w:r w:rsidR="00B5552E" w:rsidRPr="001839C2">
        <w:rPr>
          <w:snapToGrid/>
          <w:szCs w:val="22"/>
          <w:lang w:val="lt-LT"/>
        </w:rPr>
        <w:t>akuotės dydis</w:t>
      </w:r>
      <w:r w:rsidR="00D53A51" w:rsidRPr="001839C2">
        <w:rPr>
          <w:snapToGrid/>
          <w:szCs w:val="22"/>
          <w:lang w:val="lt-LT"/>
        </w:rPr>
        <w:t>: 30</w:t>
      </w:r>
      <w:r w:rsidR="00813BBA" w:rsidRPr="001839C2">
        <w:rPr>
          <w:snapToGrid/>
          <w:szCs w:val="22"/>
          <w:lang w:val="lt-LT"/>
        </w:rPr>
        <w:t> x 1</w:t>
      </w:r>
      <w:r w:rsidR="00D53A51" w:rsidRPr="001839C2">
        <w:rPr>
          <w:snapToGrid/>
          <w:szCs w:val="22"/>
          <w:lang w:val="lt-LT"/>
        </w:rPr>
        <w:t xml:space="preserve"> plėvele dengtų tablečių</w:t>
      </w:r>
      <w:r w:rsidR="00813BBA" w:rsidRPr="001839C2">
        <w:rPr>
          <w:snapToGrid/>
          <w:szCs w:val="22"/>
          <w:lang w:val="lt-LT"/>
        </w:rPr>
        <w:t>.</w:t>
      </w:r>
    </w:p>
    <w:p w14:paraId="43C044D6"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21DB17D" w14:textId="77777777" w:rsidR="002A5F50" w:rsidRPr="001839C2" w:rsidRDefault="002A5F50" w:rsidP="00230559">
      <w:pPr>
        <w:widowControl w:val="0"/>
        <w:numPr>
          <w:ilvl w:val="1"/>
          <w:numId w:val="29"/>
        </w:numPr>
        <w:tabs>
          <w:tab w:val="left" w:pos="0"/>
        </w:tabs>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Specialūs reikalavimai atliekoms tvarkyti</w:t>
      </w:r>
    </w:p>
    <w:p w14:paraId="082EE9E5"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0ACFB5BC"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Nesuvartotą vaistinį preparatą ar atliekas reikia tvarkyti laikantis vietinių reikalavimų.</w:t>
      </w:r>
    </w:p>
    <w:p w14:paraId="5D7BA1F8"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6B019B88"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37B89496" w14:textId="77777777" w:rsidR="002A5F50" w:rsidRPr="001839C2" w:rsidRDefault="002A5F50" w:rsidP="00230559">
      <w:pPr>
        <w:widowControl w:val="0"/>
        <w:numPr>
          <w:ilvl w:val="0"/>
          <w:numId w:val="29"/>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REGISTRUOTOJAS</w:t>
      </w:r>
    </w:p>
    <w:p w14:paraId="3F2912C9"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25C2901F"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Accord Healthcare B.V.</w:t>
      </w:r>
    </w:p>
    <w:p w14:paraId="341FCCB4"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Winthontlaan</w:t>
      </w:r>
      <w:r w:rsidR="00F96EFA" w:rsidRPr="001839C2">
        <w:rPr>
          <w:rFonts w:eastAsiaTheme="minorEastAsia"/>
          <w:snapToGrid/>
          <w:szCs w:val="22"/>
          <w:lang w:val="lt-LT" w:eastAsia="en-IN"/>
        </w:rPr>
        <w:t> </w:t>
      </w:r>
      <w:r w:rsidRPr="001839C2">
        <w:rPr>
          <w:rFonts w:eastAsiaTheme="minorEastAsia"/>
          <w:snapToGrid/>
          <w:szCs w:val="22"/>
          <w:lang w:val="lt-LT" w:eastAsia="en-IN"/>
        </w:rPr>
        <w:t>200</w:t>
      </w:r>
    </w:p>
    <w:p w14:paraId="42FCEE41"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3526</w:t>
      </w:r>
      <w:r w:rsidR="00F96EFA" w:rsidRPr="001839C2">
        <w:rPr>
          <w:rFonts w:eastAsiaTheme="minorEastAsia"/>
          <w:snapToGrid/>
          <w:szCs w:val="22"/>
          <w:lang w:val="lt-LT" w:eastAsia="en-IN"/>
        </w:rPr>
        <w:t> </w:t>
      </w:r>
      <w:r w:rsidRPr="001839C2">
        <w:rPr>
          <w:rFonts w:eastAsiaTheme="minorEastAsia"/>
          <w:snapToGrid/>
          <w:szCs w:val="22"/>
          <w:lang w:val="lt-LT" w:eastAsia="en-IN"/>
        </w:rPr>
        <w:t>KV</w:t>
      </w:r>
      <w:r w:rsidR="00F96EFA" w:rsidRPr="001839C2">
        <w:rPr>
          <w:rFonts w:eastAsiaTheme="minorEastAsia"/>
          <w:snapToGrid/>
          <w:szCs w:val="22"/>
          <w:lang w:val="lt-LT" w:eastAsia="en-IN"/>
        </w:rPr>
        <w:t> </w:t>
      </w:r>
      <w:r w:rsidRPr="001839C2">
        <w:rPr>
          <w:rFonts w:eastAsiaTheme="minorEastAsia"/>
          <w:snapToGrid/>
          <w:szCs w:val="22"/>
          <w:lang w:val="lt-LT" w:eastAsia="en-IN"/>
        </w:rPr>
        <w:t>Utrecht</w:t>
      </w:r>
    </w:p>
    <w:p w14:paraId="7C4D1DC9"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Nyderlandai</w:t>
      </w:r>
    </w:p>
    <w:p w14:paraId="357C909F"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6C4ED1F"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BC96B12" w14:textId="77777777" w:rsidR="002A5F50" w:rsidRPr="001839C2" w:rsidRDefault="002A5F50" w:rsidP="00230559">
      <w:pPr>
        <w:widowControl w:val="0"/>
        <w:numPr>
          <w:ilvl w:val="0"/>
          <w:numId w:val="29"/>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REGISTRACIJOS PAŽYMĖJIMO NUMERIS</w:t>
      </w:r>
      <w:r w:rsidR="00F96EFA" w:rsidRPr="001839C2">
        <w:rPr>
          <w:rFonts w:eastAsiaTheme="minorEastAsia"/>
          <w:b/>
          <w:bCs/>
          <w:snapToGrid/>
          <w:szCs w:val="22"/>
          <w:lang w:val="lt-LT" w:eastAsia="en-IN"/>
        </w:rPr>
        <w:t> </w:t>
      </w:r>
      <w:r w:rsidRPr="001839C2">
        <w:rPr>
          <w:rFonts w:eastAsiaTheme="minorEastAsia"/>
          <w:b/>
          <w:bCs/>
          <w:snapToGrid/>
          <w:szCs w:val="22"/>
          <w:lang w:val="lt-LT" w:eastAsia="en-IN"/>
        </w:rPr>
        <w:t>(</w:t>
      </w:r>
      <w:r w:rsidR="00F96EFA" w:rsidRPr="001839C2">
        <w:rPr>
          <w:rFonts w:eastAsiaTheme="minorEastAsia"/>
          <w:b/>
          <w:bCs/>
          <w:snapToGrid/>
          <w:szCs w:val="22"/>
          <w:lang w:val="lt-LT" w:eastAsia="en-IN"/>
        </w:rPr>
        <w:noBreakHyphen/>
      </w:r>
      <w:r w:rsidRPr="001839C2">
        <w:rPr>
          <w:rFonts w:eastAsiaTheme="minorEastAsia"/>
          <w:b/>
          <w:bCs/>
          <w:snapToGrid/>
          <w:szCs w:val="22"/>
          <w:lang w:val="lt-LT" w:eastAsia="en-IN"/>
        </w:rPr>
        <w:t>IAI)</w:t>
      </w:r>
    </w:p>
    <w:p w14:paraId="091D5CD8"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467F9300" w14:textId="77777777" w:rsidR="002A5F50" w:rsidRPr="001839C2" w:rsidRDefault="00DA09FD"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LT/1/20/4502/001</w:t>
      </w:r>
    </w:p>
    <w:p w14:paraId="27373A3F" w14:textId="77777777" w:rsidR="00150F5B" w:rsidRPr="001839C2" w:rsidRDefault="00150F5B"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0CC25529" w14:textId="77777777" w:rsidR="00150F5B" w:rsidRPr="001839C2" w:rsidRDefault="00150F5B" w:rsidP="00BF4605">
      <w:pPr>
        <w:widowControl w:val="0"/>
        <w:tabs>
          <w:tab w:val="clear" w:pos="567"/>
          <w:tab w:val="left" w:pos="0"/>
        </w:tabs>
        <w:kinsoku w:val="0"/>
        <w:overflowPunct w:val="0"/>
        <w:autoSpaceDE w:val="0"/>
        <w:autoSpaceDN w:val="0"/>
        <w:adjustRightInd w:val="0"/>
        <w:rPr>
          <w:rFonts w:eastAsiaTheme="minorEastAsia"/>
          <w:snapToGrid/>
          <w:szCs w:val="22"/>
          <w:lang w:val="lt-LT" w:eastAsia="en-IN"/>
        </w:rPr>
      </w:pPr>
    </w:p>
    <w:p w14:paraId="1649CA4F" w14:textId="77777777" w:rsidR="002A5F50" w:rsidRPr="001839C2" w:rsidRDefault="002A5F50" w:rsidP="00230559">
      <w:pPr>
        <w:widowControl w:val="0"/>
        <w:numPr>
          <w:ilvl w:val="0"/>
          <w:numId w:val="25"/>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REGISTRAVIMO</w:t>
      </w:r>
      <w:r w:rsidR="00F96EFA" w:rsidRPr="001839C2">
        <w:rPr>
          <w:rFonts w:eastAsiaTheme="minorEastAsia"/>
          <w:b/>
          <w:bCs/>
          <w:snapToGrid/>
          <w:szCs w:val="22"/>
          <w:lang w:val="lt-LT" w:eastAsia="en-IN"/>
        </w:rPr>
        <w:t> </w:t>
      </w:r>
      <w:r w:rsidRPr="001839C2">
        <w:rPr>
          <w:rFonts w:eastAsiaTheme="minorEastAsia"/>
          <w:b/>
          <w:bCs/>
          <w:snapToGrid/>
          <w:szCs w:val="22"/>
          <w:lang w:val="lt-LT" w:eastAsia="en-IN"/>
        </w:rPr>
        <w:t>/</w:t>
      </w:r>
      <w:r w:rsidR="00F96EFA" w:rsidRPr="001839C2">
        <w:rPr>
          <w:rFonts w:eastAsiaTheme="minorEastAsia"/>
          <w:b/>
          <w:bCs/>
          <w:snapToGrid/>
          <w:szCs w:val="22"/>
          <w:lang w:val="lt-LT" w:eastAsia="en-IN"/>
        </w:rPr>
        <w:t xml:space="preserve"> </w:t>
      </w:r>
      <w:r w:rsidRPr="001839C2">
        <w:rPr>
          <w:rFonts w:eastAsiaTheme="minorEastAsia"/>
          <w:b/>
          <w:bCs/>
          <w:snapToGrid/>
          <w:szCs w:val="22"/>
          <w:lang w:val="lt-LT" w:eastAsia="en-IN"/>
        </w:rPr>
        <w:t>PERREGISTRAVIMO DATA</w:t>
      </w:r>
    </w:p>
    <w:p w14:paraId="27E2E5F5" w14:textId="77777777" w:rsidR="002A5F50" w:rsidRPr="001839C2" w:rsidRDefault="002A5F50" w:rsidP="00BF4605">
      <w:pPr>
        <w:widowControl w:val="0"/>
        <w:tabs>
          <w:tab w:val="clear" w:pos="567"/>
          <w:tab w:val="left" w:pos="0"/>
        </w:tabs>
        <w:kinsoku w:val="0"/>
        <w:overflowPunct w:val="0"/>
        <w:autoSpaceDE w:val="0"/>
        <w:autoSpaceDN w:val="0"/>
        <w:adjustRightInd w:val="0"/>
        <w:rPr>
          <w:rFonts w:eastAsiaTheme="minorEastAsia"/>
          <w:b/>
          <w:bCs/>
          <w:snapToGrid/>
          <w:szCs w:val="22"/>
          <w:lang w:val="lt-LT" w:eastAsia="en-IN"/>
        </w:rPr>
      </w:pPr>
    </w:p>
    <w:p w14:paraId="469CB6C1" w14:textId="77777777" w:rsidR="002A5F50" w:rsidRPr="001839C2" w:rsidRDefault="00B3265F" w:rsidP="00BF4605">
      <w:pPr>
        <w:widowControl w:val="0"/>
        <w:tabs>
          <w:tab w:val="clear" w:pos="567"/>
          <w:tab w:val="left" w:pos="0"/>
        </w:tabs>
        <w:kinsoku w:val="0"/>
        <w:overflowPunct w:val="0"/>
        <w:autoSpaceDE w:val="0"/>
        <w:autoSpaceDN w:val="0"/>
        <w:adjustRightInd w:val="0"/>
        <w:rPr>
          <w:szCs w:val="24"/>
          <w:lang w:val="lt-LT"/>
        </w:rPr>
      </w:pPr>
      <w:r w:rsidRPr="001839C2">
        <w:rPr>
          <w:szCs w:val="24"/>
          <w:lang w:val="lt-LT"/>
        </w:rPr>
        <w:t>Registravimo data</w:t>
      </w:r>
      <w:r w:rsidR="00DA09FD" w:rsidRPr="001839C2">
        <w:rPr>
          <w:szCs w:val="24"/>
          <w:lang w:val="lt-LT"/>
        </w:rPr>
        <w:t xml:space="preserve"> 2020 m. sausio 24 d.</w:t>
      </w:r>
    </w:p>
    <w:p w14:paraId="051BE049" w14:textId="3647E617" w:rsidR="00B3265F" w:rsidRPr="001839C2" w:rsidRDefault="005B362C" w:rsidP="00BF4605">
      <w:pPr>
        <w:widowControl w:val="0"/>
        <w:tabs>
          <w:tab w:val="clear" w:pos="567"/>
          <w:tab w:val="left" w:pos="0"/>
        </w:tabs>
        <w:kinsoku w:val="0"/>
        <w:overflowPunct w:val="0"/>
        <w:autoSpaceDE w:val="0"/>
        <w:autoSpaceDN w:val="0"/>
        <w:adjustRightInd w:val="0"/>
        <w:rPr>
          <w:szCs w:val="24"/>
          <w:lang w:val="lt-LT"/>
        </w:rPr>
      </w:pPr>
      <w:r w:rsidRPr="005B362C">
        <w:rPr>
          <w:szCs w:val="24"/>
          <w:lang w:val="lt-LT"/>
        </w:rPr>
        <w:t>Paskutinio perregistravimo data 2024 m. sausio 19 d.</w:t>
      </w:r>
    </w:p>
    <w:p w14:paraId="1977FFA7" w14:textId="77777777" w:rsidR="00B3265F" w:rsidRPr="001839C2" w:rsidRDefault="00B3265F" w:rsidP="00BF4605">
      <w:pPr>
        <w:widowControl w:val="0"/>
        <w:tabs>
          <w:tab w:val="clear" w:pos="567"/>
          <w:tab w:val="left" w:pos="0"/>
        </w:tabs>
        <w:kinsoku w:val="0"/>
        <w:overflowPunct w:val="0"/>
        <w:autoSpaceDE w:val="0"/>
        <w:autoSpaceDN w:val="0"/>
        <w:adjustRightInd w:val="0"/>
        <w:rPr>
          <w:snapToGrid/>
          <w:szCs w:val="22"/>
          <w:lang w:val="lt-LT" w:eastAsia="en-IN"/>
        </w:rPr>
      </w:pPr>
    </w:p>
    <w:p w14:paraId="2B9766D0" w14:textId="77777777" w:rsidR="002A5F50" w:rsidRPr="001839C2" w:rsidRDefault="002A5F50" w:rsidP="00230559">
      <w:pPr>
        <w:widowControl w:val="0"/>
        <w:numPr>
          <w:ilvl w:val="0"/>
          <w:numId w:val="25"/>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TEKSTO PERŽIŪROS DATA</w:t>
      </w:r>
    </w:p>
    <w:p w14:paraId="6A4FF56E" w14:textId="77777777" w:rsidR="00DA09FD" w:rsidRPr="001839C2" w:rsidRDefault="00DA09FD" w:rsidP="00BF4605">
      <w:pPr>
        <w:widowControl w:val="0"/>
        <w:tabs>
          <w:tab w:val="clear" w:pos="567"/>
          <w:tab w:val="left" w:pos="0"/>
        </w:tabs>
        <w:kinsoku w:val="0"/>
        <w:overflowPunct w:val="0"/>
        <w:autoSpaceDE w:val="0"/>
        <w:autoSpaceDN w:val="0"/>
        <w:adjustRightInd w:val="0"/>
        <w:rPr>
          <w:szCs w:val="24"/>
          <w:lang w:val="lt-LT"/>
        </w:rPr>
      </w:pPr>
    </w:p>
    <w:p w14:paraId="1C8D6B66" w14:textId="00F2BD0D" w:rsidR="008479F6" w:rsidRPr="00686907" w:rsidRDefault="00914CFB" w:rsidP="00BF4605">
      <w:pPr>
        <w:pStyle w:val="Paprastasistekstas"/>
        <w:tabs>
          <w:tab w:val="left" w:pos="5954"/>
          <w:tab w:val="left" w:pos="6237"/>
          <w:tab w:val="left" w:pos="6663"/>
          <w:tab w:val="left" w:pos="6946"/>
        </w:tabs>
        <w:rPr>
          <w:rFonts w:ascii="Times New Roman" w:hAnsi="Times New Roman"/>
          <w:sz w:val="22"/>
          <w:szCs w:val="22"/>
        </w:rPr>
      </w:pPr>
      <w:r>
        <w:rPr>
          <w:rFonts w:ascii="Times New Roman" w:hAnsi="Times New Roman"/>
          <w:sz w:val="22"/>
          <w:szCs w:val="22"/>
          <w:lang w:val="lt-LT"/>
        </w:rPr>
        <w:t xml:space="preserve">2024 m. </w:t>
      </w:r>
      <w:r w:rsidR="00CD6DD0">
        <w:rPr>
          <w:rFonts w:ascii="Times New Roman" w:hAnsi="Times New Roman"/>
          <w:sz w:val="22"/>
          <w:szCs w:val="22"/>
          <w:lang w:val="lt-LT"/>
        </w:rPr>
        <w:t xml:space="preserve">rugpjūčio </w:t>
      </w:r>
      <w:r w:rsidR="00CD6DD0">
        <w:rPr>
          <w:rFonts w:ascii="Times New Roman" w:hAnsi="Times New Roman"/>
          <w:sz w:val="22"/>
          <w:szCs w:val="22"/>
        </w:rPr>
        <w:t>29 d.</w:t>
      </w:r>
    </w:p>
    <w:p w14:paraId="7A23C109" w14:textId="77777777" w:rsidR="005B362C" w:rsidRPr="001839C2" w:rsidRDefault="005B362C" w:rsidP="00BF4605">
      <w:pPr>
        <w:pStyle w:val="Paprastasistekstas"/>
        <w:tabs>
          <w:tab w:val="left" w:pos="5954"/>
          <w:tab w:val="left" w:pos="6237"/>
          <w:tab w:val="left" w:pos="6663"/>
          <w:tab w:val="left" w:pos="6946"/>
        </w:tabs>
        <w:rPr>
          <w:rFonts w:ascii="Times New Roman" w:hAnsi="Times New Roman"/>
          <w:sz w:val="22"/>
          <w:szCs w:val="22"/>
          <w:lang w:val="lt-LT"/>
        </w:rPr>
      </w:pPr>
    </w:p>
    <w:p w14:paraId="238DC382" w14:textId="7B4B514B" w:rsidR="00031199" w:rsidRPr="001839C2" w:rsidRDefault="00031199" w:rsidP="00BF4605">
      <w:pPr>
        <w:pStyle w:val="Paprastasistekstas"/>
        <w:tabs>
          <w:tab w:val="left" w:pos="5954"/>
          <w:tab w:val="left" w:pos="6237"/>
          <w:tab w:val="left" w:pos="6663"/>
          <w:tab w:val="left" w:pos="6946"/>
        </w:tabs>
        <w:rPr>
          <w:rFonts w:ascii="Times New Roman" w:hAnsi="Times New Roman"/>
          <w:sz w:val="22"/>
          <w:szCs w:val="22"/>
          <w:lang w:val="lt-LT"/>
        </w:rPr>
      </w:pPr>
      <w:r w:rsidRPr="001839C2">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1839C2">
        <w:rPr>
          <w:rFonts w:ascii="Times New Roman" w:hAnsi="Times New Roman"/>
          <w:i/>
          <w:sz w:val="22"/>
          <w:szCs w:val="22"/>
          <w:lang w:val="lt-LT"/>
        </w:rPr>
        <w:t xml:space="preserve"> </w:t>
      </w:r>
      <w:r w:rsidR="0096725E" w:rsidRPr="0096725E">
        <w:rPr>
          <w:rFonts w:ascii="Times New Roman" w:eastAsia="Times New Roman" w:hAnsi="Times New Roman"/>
          <w:color w:val="0000EE"/>
          <w:sz w:val="22"/>
          <w:szCs w:val="22"/>
          <w:u w:val="single"/>
          <w:lang w:val="lt-LT" w:eastAsia="lt-LT"/>
        </w:rPr>
        <w:t>https://vvkt.lrv.lt/lt/</w:t>
      </w:r>
      <w:r w:rsidR="00F96EFA" w:rsidRPr="001839C2">
        <w:rPr>
          <w:rFonts w:ascii="Times New Roman" w:eastAsiaTheme="minorEastAsia" w:hAnsi="Times New Roman"/>
          <w:sz w:val="22"/>
          <w:szCs w:val="22"/>
          <w:lang w:val="lt-LT" w:eastAsia="en-IN"/>
        </w:rPr>
        <w:t>.</w:t>
      </w:r>
    </w:p>
    <w:p w14:paraId="10921331" w14:textId="77777777" w:rsidR="00DF0DF8" w:rsidRPr="001839C2" w:rsidRDefault="00DF0DF8" w:rsidP="00BF4605">
      <w:pPr>
        <w:pStyle w:val="Paprastasistekstas"/>
        <w:tabs>
          <w:tab w:val="left" w:pos="4962"/>
        </w:tabs>
        <w:rPr>
          <w:sz w:val="22"/>
          <w:szCs w:val="22"/>
          <w:lang w:val="lt-LT"/>
        </w:rPr>
      </w:pPr>
      <w:r w:rsidRPr="001839C2">
        <w:rPr>
          <w:rFonts w:ascii="Times New Roman" w:hAnsi="Times New Roman"/>
          <w:lang w:val="lt-LT"/>
        </w:rPr>
        <w:br w:type="page"/>
      </w:r>
    </w:p>
    <w:p w14:paraId="4EF704C9" w14:textId="77777777" w:rsidR="00DF0DF8" w:rsidRPr="001839C2" w:rsidRDefault="00DF0DF8" w:rsidP="002A5F50">
      <w:pPr>
        <w:rPr>
          <w:lang w:val="lt-LT"/>
        </w:rPr>
      </w:pPr>
    </w:p>
    <w:p w14:paraId="757F5F85" w14:textId="77777777" w:rsidR="00DF0DF8" w:rsidRPr="001839C2" w:rsidRDefault="00DF0DF8" w:rsidP="002A5F50">
      <w:pPr>
        <w:rPr>
          <w:lang w:val="lt-LT"/>
        </w:rPr>
      </w:pPr>
    </w:p>
    <w:p w14:paraId="32805C9D" w14:textId="77777777" w:rsidR="00DF0DF8" w:rsidRPr="001839C2" w:rsidRDefault="00DF0DF8" w:rsidP="002A5F50">
      <w:pPr>
        <w:rPr>
          <w:lang w:val="lt-LT"/>
        </w:rPr>
      </w:pPr>
    </w:p>
    <w:p w14:paraId="016DD113" w14:textId="77777777" w:rsidR="00DF0DF8" w:rsidRPr="001839C2" w:rsidRDefault="00DF0DF8" w:rsidP="002A5F50">
      <w:pPr>
        <w:rPr>
          <w:lang w:val="lt-LT"/>
        </w:rPr>
      </w:pPr>
    </w:p>
    <w:p w14:paraId="6CFA77CD" w14:textId="77777777" w:rsidR="00DF0DF8" w:rsidRPr="001839C2" w:rsidRDefault="00DF0DF8" w:rsidP="002A5F50">
      <w:pPr>
        <w:rPr>
          <w:lang w:val="lt-LT"/>
        </w:rPr>
      </w:pPr>
    </w:p>
    <w:p w14:paraId="5FD2F2A0" w14:textId="77777777" w:rsidR="00DF0DF8" w:rsidRPr="001839C2" w:rsidRDefault="00DF0DF8" w:rsidP="002A5F50">
      <w:pPr>
        <w:rPr>
          <w:lang w:val="lt-LT"/>
        </w:rPr>
      </w:pPr>
    </w:p>
    <w:p w14:paraId="3AB2D2F2" w14:textId="77777777" w:rsidR="00DF0DF8" w:rsidRPr="001839C2" w:rsidRDefault="00DF0DF8" w:rsidP="002A5F50">
      <w:pPr>
        <w:rPr>
          <w:lang w:val="lt-LT"/>
        </w:rPr>
      </w:pPr>
    </w:p>
    <w:p w14:paraId="79535A30" w14:textId="77777777" w:rsidR="00DF0DF8" w:rsidRPr="001839C2" w:rsidRDefault="00DF0DF8" w:rsidP="002A5F50">
      <w:pPr>
        <w:rPr>
          <w:lang w:val="lt-LT"/>
        </w:rPr>
      </w:pPr>
    </w:p>
    <w:p w14:paraId="0DB7E032" w14:textId="77777777" w:rsidR="00DF0DF8" w:rsidRPr="001839C2" w:rsidRDefault="00DF0DF8" w:rsidP="002A5F50">
      <w:pPr>
        <w:rPr>
          <w:lang w:val="lt-LT"/>
        </w:rPr>
      </w:pPr>
    </w:p>
    <w:p w14:paraId="6220A246" w14:textId="77777777" w:rsidR="00DF0DF8" w:rsidRPr="001839C2" w:rsidRDefault="00DF0DF8" w:rsidP="002A5F50">
      <w:pPr>
        <w:rPr>
          <w:lang w:val="lt-LT"/>
        </w:rPr>
      </w:pPr>
    </w:p>
    <w:p w14:paraId="18FE358B" w14:textId="77777777" w:rsidR="00DF0DF8" w:rsidRPr="001839C2" w:rsidRDefault="00DF0DF8" w:rsidP="002A5F50">
      <w:pPr>
        <w:rPr>
          <w:lang w:val="lt-LT"/>
        </w:rPr>
      </w:pPr>
    </w:p>
    <w:p w14:paraId="6B58CE5D" w14:textId="77777777" w:rsidR="00DF0DF8" w:rsidRPr="001839C2" w:rsidRDefault="00DF0DF8" w:rsidP="002A5F50">
      <w:pPr>
        <w:rPr>
          <w:lang w:val="lt-LT"/>
        </w:rPr>
      </w:pPr>
    </w:p>
    <w:p w14:paraId="48F1C0D1" w14:textId="77777777" w:rsidR="00DF0DF8" w:rsidRPr="001839C2" w:rsidRDefault="00DF0DF8" w:rsidP="002A5F50">
      <w:pPr>
        <w:rPr>
          <w:lang w:val="lt-LT"/>
        </w:rPr>
      </w:pPr>
    </w:p>
    <w:p w14:paraId="7D7EF5A7" w14:textId="77777777" w:rsidR="00DF0DF8" w:rsidRPr="001839C2" w:rsidRDefault="00DF0DF8" w:rsidP="002A5F50">
      <w:pPr>
        <w:rPr>
          <w:lang w:val="lt-LT"/>
        </w:rPr>
      </w:pPr>
    </w:p>
    <w:p w14:paraId="0AA2FECF" w14:textId="77777777" w:rsidR="00DF0DF8" w:rsidRPr="001839C2" w:rsidRDefault="00DF0DF8" w:rsidP="002A5F50">
      <w:pPr>
        <w:rPr>
          <w:lang w:val="lt-LT"/>
        </w:rPr>
      </w:pPr>
    </w:p>
    <w:p w14:paraId="2A15F77C" w14:textId="77777777" w:rsidR="00DF0DF8" w:rsidRPr="001839C2" w:rsidRDefault="00DF0DF8" w:rsidP="002A5F50">
      <w:pPr>
        <w:rPr>
          <w:b/>
          <w:lang w:val="lt-LT"/>
        </w:rPr>
      </w:pPr>
    </w:p>
    <w:p w14:paraId="27C410F0" w14:textId="77777777" w:rsidR="00DF0DF8" w:rsidRPr="001839C2" w:rsidRDefault="00DF0DF8" w:rsidP="002A5F50">
      <w:pPr>
        <w:rPr>
          <w:b/>
          <w:lang w:val="lt-LT"/>
        </w:rPr>
      </w:pPr>
    </w:p>
    <w:p w14:paraId="27CA8634" w14:textId="77777777" w:rsidR="00DF0DF8" w:rsidRPr="001839C2" w:rsidRDefault="00DF0DF8" w:rsidP="002A5F50">
      <w:pPr>
        <w:rPr>
          <w:b/>
          <w:lang w:val="lt-LT"/>
        </w:rPr>
      </w:pPr>
    </w:p>
    <w:p w14:paraId="1F8B4984" w14:textId="77777777" w:rsidR="00DF0DF8" w:rsidRPr="001839C2" w:rsidRDefault="00DF0DF8" w:rsidP="002A5F50">
      <w:pPr>
        <w:rPr>
          <w:b/>
          <w:lang w:val="lt-LT"/>
        </w:rPr>
      </w:pPr>
    </w:p>
    <w:p w14:paraId="3D901183" w14:textId="77777777" w:rsidR="00DF0DF8" w:rsidRPr="001839C2" w:rsidRDefault="00DF0DF8" w:rsidP="002A5F50">
      <w:pPr>
        <w:rPr>
          <w:b/>
          <w:lang w:val="lt-LT"/>
        </w:rPr>
      </w:pPr>
    </w:p>
    <w:p w14:paraId="5AFCB025" w14:textId="77777777" w:rsidR="00DF0DF8" w:rsidRPr="001839C2" w:rsidRDefault="00DF0DF8" w:rsidP="002A5F50">
      <w:pPr>
        <w:rPr>
          <w:b/>
          <w:lang w:val="lt-LT"/>
        </w:rPr>
      </w:pPr>
    </w:p>
    <w:p w14:paraId="2AFE6850" w14:textId="77777777" w:rsidR="00DF0DF8" w:rsidRPr="001839C2" w:rsidRDefault="00DF0DF8" w:rsidP="002A5F50">
      <w:pPr>
        <w:rPr>
          <w:b/>
          <w:lang w:val="lt-LT"/>
        </w:rPr>
      </w:pPr>
    </w:p>
    <w:p w14:paraId="7CF49BFA" w14:textId="77777777" w:rsidR="00DF0DF8" w:rsidRPr="001839C2" w:rsidRDefault="00DF0DF8" w:rsidP="002A5F50">
      <w:pPr>
        <w:rPr>
          <w:b/>
          <w:lang w:val="lt-LT"/>
        </w:rPr>
      </w:pPr>
    </w:p>
    <w:p w14:paraId="4F10BAA2" w14:textId="77777777" w:rsidR="00DF0DF8" w:rsidRPr="001839C2" w:rsidRDefault="00DF0DF8" w:rsidP="002A5F50">
      <w:pPr>
        <w:jc w:val="center"/>
        <w:rPr>
          <w:rFonts w:eastAsiaTheme="minorHAnsi"/>
          <w:b/>
          <w:snapToGrid/>
          <w:szCs w:val="22"/>
          <w:lang w:val="lt-LT"/>
        </w:rPr>
      </w:pPr>
      <w:r w:rsidRPr="001839C2">
        <w:rPr>
          <w:b/>
          <w:lang w:val="lt-LT"/>
        </w:rPr>
        <w:t>II</w:t>
      </w:r>
      <w:r w:rsidR="008D650D" w:rsidRPr="001839C2">
        <w:rPr>
          <w:b/>
          <w:lang w:val="lt-LT"/>
        </w:rPr>
        <w:t> </w:t>
      </w:r>
      <w:r w:rsidRPr="001839C2">
        <w:rPr>
          <w:b/>
          <w:lang w:val="lt-LT"/>
        </w:rPr>
        <w:t>PRIEDAS</w:t>
      </w:r>
    </w:p>
    <w:p w14:paraId="4FD4B995" w14:textId="77777777" w:rsidR="00DF0DF8" w:rsidRPr="001839C2" w:rsidRDefault="00DF0DF8" w:rsidP="002A5F50">
      <w:pPr>
        <w:ind w:left="1701" w:right="1416" w:hanging="567"/>
        <w:jc w:val="center"/>
        <w:rPr>
          <w:lang w:val="lt-LT"/>
        </w:rPr>
      </w:pPr>
    </w:p>
    <w:p w14:paraId="2EE07613" w14:textId="77777777" w:rsidR="00DF0DF8" w:rsidRPr="001839C2" w:rsidRDefault="00DF0DF8" w:rsidP="002A5F50">
      <w:pPr>
        <w:jc w:val="center"/>
        <w:rPr>
          <w:rFonts w:eastAsiaTheme="minorHAnsi"/>
          <w:i/>
          <w:snapToGrid/>
          <w:szCs w:val="22"/>
          <w:lang w:val="lt-LT"/>
        </w:rPr>
      </w:pPr>
      <w:r w:rsidRPr="001839C2">
        <w:rPr>
          <w:b/>
          <w:lang w:val="lt-LT"/>
        </w:rPr>
        <w:t>REGISTRACIJOS SĄLYGOS</w:t>
      </w:r>
    </w:p>
    <w:p w14:paraId="741E94C9" w14:textId="77777777" w:rsidR="00DF0DF8" w:rsidRPr="001839C2" w:rsidRDefault="00DF0DF8" w:rsidP="002A5F50">
      <w:pPr>
        <w:rPr>
          <w:lang w:val="lt-LT"/>
        </w:rPr>
      </w:pPr>
    </w:p>
    <w:p w14:paraId="543ED3B6" w14:textId="77777777" w:rsidR="00DF0DF8" w:rsidRPr="001839C2" w:rsidRDefault="00DF0DF8" w:rsidP="002A5F50">
      <w:pPr>
        <w:tabs>
          <w:tab w:val="clear" w:pos="567"/>
          <w:tab w:val="left" w:pos="1701"/>
        </w:tabs>
        <w:ind w:left="1701" w:right="567" w:hanging="567"/>
        <w:rPr>
          <w:rFonts w:eastAsiaTheme="minorHAnsi"/>
          <w:b/>
          <w:snapToGrid/>
          <w:szCs w:val="22"/>
          <w:lang w:val="lt-LT"/>
        </w:rPr>
      </w:pPr>
      <w:r w:rsidRPr="001839C2">
        <w:rPr>
          <w:b/>
          <w:lang w:val="lt-LT"/>
        </w:rPr>
        <w:t>A.</w:t>
      </w:r>
      <w:r w:rsidRPr="001839C2">
        <w:rPr>
          <w:b/>
          <w:lang w:val="lt-LT"/>
        </w:rPr>
        <w:tab/>
        <w:t>GAMINTOJAS</w:t>
      </w:r>
      <w:r w:rsidR="008D650D" w:rsidRPr="001839C2">
        <w:rPr>
          <w:b/>
          <w:lang w:val="lt-LT"/>
        </w:rPr>
        <w:t> </w:t>
      </w:r>
      <w:r w:rsidRPr="001839C2">
        <w:rPr>
          <w:b/>
          <w:lang w:val="lt-LT"/>
        </w:rPr>
        <w:t>(</w:t>
      </w:r>
      <w:r w:rsidR="008D650D" w:rsidRPr="001839C2">
        <w:rPr>
          <w:b/>
          <w:lang w:val="lt-LT"/>
        </w:rPr>
        <w:noBreakHyphen/>
      </w:r>
      <w:r w:rsidRPr="001839C2">
        <w:rPr>
          <w:b/>
          <w:lang w:val="lt-LT"/>
        </w:rPr>
        <w:t>AI), ATSAKINGAS</w:t>
      </w:r>
      <w:r w:rsidR="008D650D" w:rsidRPr="001839C2">
        <w:rPr>
          <w:b/>
          <w:lang w:val="lt-LT"/>
        </w:rPr>
        <w:t> </w:t>
      </w:r>
      <w:r w:rsidRPr="001839C2">
        <w:rPr>
          <w:b/>
          <w:lang w:val="lt-LT"/>
        </w:rPr>
        <w:t>(</w:t>
      </w:r>
      <w:r w:rsidR="008D650D" w:rsidRPr="001839C2">
        <w:rPr>
          <w:b/>
          <w:lang w:val="lt-LT"/>
        </w:rPr>
        <w:noBreakHyphen/>
      </w:r>
      <w:r w:rsidRPr="001839C2">
        <w:rPr>
          <w:b/>
          <w:lang w:val="lt-LT"/>
        </w:rPr>
        <w:t>I) UŽ SERIJŲ IŠLEIDIMĄ</w:t>
      </w:r>
    </w:p>
    <w:p w14:paraId="094CCE27" w14:textId="77777777" w:rsidR="00DF0DF8" w:rsidRPr="001839C2" w:rsidRDefault="00DF0DF8" w:rsidP="002A5F50">
      <w:pPr>
        <w:tabs>
          <w:tab w:val="clear" w:pos="567"/>
          <w:tab w:val="left" w:pos="1701"/>
        </w:tabs>
        <w:ind w:left="567" w:right="567" w:hanging="567"/>
        <w:rPr>
          <w:lang w:val="lt-LT"/>
        </w:rPr>
      </w:pPr>
    </w:p>
    <w:p w14:paraId="628D6A42" w14:textId="77777777" w:rsidR="00DF0DF8" w:rsidRPr="001839C2" w:rsidRDefault="00DF0DF8" w:rsidP="00230559">
      <w:pPr>
        <w:tabs>
          <w:tab w:val="clear" w:pos="567"/>
          <w:tab w:val="left" w:pos="1701"/>
        </w:tabs>
        <w:ind w:left="1701" w:right="567" w:hanging="567"/>
        <w:rPr>
          <w:lang w:val="lt-LT"/>
        </w:rPr>
      </w:pPr>
      <w:r w:rsidRPr="001839C2">
        <w:rPr>
          <w:b/>
          <w:lang w:val="lt-LT"/>
        </w:rPr>
        <w:t>B.</w:t>
      </w:r>
      <w:r w:rsidRPr="001839C2">
        <w:rPr>
          <w:b/>
          <w:lang w:val="lt-LT"/>
        </w:rPr>
        <w:tab/>
        <w:t>TIEKIMO IR VARTOJIMO SĄLYGOS AR APRIBOJIMAI</w:t>
      </w:r>
    </w:p>
    <w:p w14:paraId="663259BD" w14:textId="77777777" w:rsidR="00DF0DF8" w:rsidRPr="001839C2" w:rsidRDefault="00DF0DF8" w:rsidP="00BF4605">
      <w:pPr>
        <w:ind w:left="567" w:hanging="567"/>
        <w:rPr>
          <w:b/>
          <w:lang w:val="lt-LT"/>
        </w:rPr>
      </w:pPr>
      <w:r w:rsidRPr="001839C2">
        <w:rPr>
          <w:lang w:val="lt-LT"/>
        </w:rPr>
        <w:br w:type="page"/>
      </w:r>
      <w:r w:rsidRPr="001839C2">
        <w:rPr>
          <w:b/>
          <w:lang w:val="lt-LT"/>
        </w:rPr>
        <w:lastRenderedPageBreak/>
        <w:t>A.</w:t>
      </w:r>
      <w:r w:rsidRPr="001839C2">
        <w:rPr>
          <w:b/>
          <w:lang w:val="lt-LT"/>
        </w:rPr>
        <w:tab/>
        <w:t>GAMINTOJAS</w:t>
      </w:r>
      <w:r w:rsidR="008D650D" w:rsidRPr="001839C2">
        <w:rPr>
          <w:b/>
          <w:lang w:val="lt-LT"/>
        </w:rPr>
        <w:t> </w:t>
      </w:r>
      <w:r w:rsidRPr="001839C2">
        <w:rPr>
          <w:b/>
          <w:lang w:val="lt-LT"/>
        </w:rPr>
        <w:t>(</w:t>
      </w:r>
      <w:r w:rsidR="008D650D" w:rsidRPr="001839C2">
        <w:rPr>
          <w:b/>
          <w:lang w:val="lt-LT"/>
        </w:rPr>
        <w:noBreakHyphen/>
      </w:r>
      <w:r w:rsidRPr="001839C2">
        <w:rPr>
          <w:b/>
          <w:lang w:val="lt-LT"/>
        </w:rPr>
        <w:t>AI), ATSAKINGAS</w:t>
      </w:r>
      <w:r w:rsidR="008D650D" w:rsidRPr="001839C2">
        <w:rPr>
          <w:b/>
          <w:lang w:val="lt-LT"/>
        </w:rPr>
        <w:t> </w:t>
      </w:r>
      <w:r w:rsidRPr="001839C2">
        <w:rPr>
          <w:b/>
          <w:lang w:val="lt-LT"/>
        </w:rPr>
        <w:t>(</w:t>
      </w:r>
      <w:r w:rsidR="008D650D" w:rsidRPr="001839C2">
        <w:rPr>
          <w:b/>
          <w:lang w:val="lt-LT"/>
        </w:rPr>
        <w:noBreakHyphen/>
      </w:r>
      <w:r w:rsidRPr="001839C2">
        <w:rPr>
          <w:b/>
          <w:lang w:val="lt-LT"/>
        </w:rPr>
        <w:t>I) UŽ SERIJŲ IŠLEIDIMĄ</w:t>
      </w:r>
    </w:p>
    <w:p w14:paraId="34A999DA" w14:textId="77777777" w:rsidR="00DF0DF8" w:rsidRPr="001839C2" w:rsidRDefault="00DF0DF8" w:rsidP="002A5F50">
      <w:pPr>
        <w:rPr>
          <w:lang w:val="lt-LT"/>
        </w:rPr>
      </w:pPr>
    </w:p>
    <w:p w14:paraId="69801324" w14:textId="77777777" w:rsidR="00DF0DF8" w:rsidRPr="001839C2" w:rsidRDefault="00DF0DF8" w:rsidP="002A5F50">
      <w:pPr>
        <w:rPr>
          <w:rFonts w:asciiTheme="minorHAnsi" w:eastAsiaTheme="minorHAnsi" w:hAnsiTheme="minorHAnsi" w:cstheme="minorBidi"/>
          <w:snapToGrid/>
          <w:szCs w:val="22"/>
          <w:lang w:val="lt-LT"/>
        </w:rPr>
      </w:pPr>
      <w:r w:rsidRPr="001839C2">
        <w:rPr>
          <w:u w:val="single"/>
          <w:lang w:val="lt-LT"/>
        </w:rPr>
        <w:t>Gamintojo</w:t>
      </w:r>
      <w:r w:rsidR="008D650D" w:rsidRPr="001839C2">
        <w:rPr>
          <w:u w:val="single"/>
          <w:lang w:val="lt-LT"/>
        </w:rPr>
        <w:t> </w:t>
      </w:r>
      <w:r w:rsidRPr="001839C2">
        <w:rPr>
          <w:u w:val="single"/>
          <w:lang w:val="lt-LT"/>
        </w:rPr>
        <w:t>(</w:t>
      </w:r>
      <w:r w:rsidR="008D650D" w:rsidRPr="001839C2">
        <w:rPr>
          <w:u w:val="single"/>
          <w:lang w:val="lt-LT"/>
        </w:rPr>
        <w:noBreakHyphen/>
      </w:r>
      <w:r w:rsidRPr="001839C2">
        <w:rPr>
          <w:u w:val="single"/>
          <w:lang w:val="lt-LT"/>
        </w:rPr>
        <w:t>ų), atsakingo</w:t>
      </w:r>
      <w:r w:rsidR="008D650D" w:rsidRPr="001839C2">
        <w:rPr>
          <w:u w:val="single"/>
          <w:lang w:val="lt-LT"/>
        </w:rPr>
        <w:t> </w:t>
      </w:r>
      <w:r w:rsidRPr="001839C2">
        <w:rPr>
          <w:u w:val="single"/>
          <w:lang w:val="lt-LT"/>
        </w:rPr>
        <w:t>(</w:t>
      </w:r>
      <w:r w:rsidR="008D650D" w:rsidRPr="001839C2">
        <w:rPr>
          <w:u w:val="single"/>
          <w:lang w:val="lt-LT"/>
        </w:rPr>
        <w:noBreakHyphen/>
      </w:r>
      <w:r w:rsidRPr="001839C2">
        <w:rPr>
          <w:u w:val="single"/>
          <w:lang w:val="lt-LT"/>
        </w:rPr>
        <w:t>ų) už serijų išleidimą, pavadinimas</w:t>
      </w:r>
      <w:r w:rsidR="008D650D" w:rsidRPr="001839C2">
        <w:rPr>
          <w:u w:val="single"/>
          <w:lang w:val="lt-LT"/>
        </w:rPr>
        <w:t> </w:t>
      </w:r>
      <w:r w:rsidRPr="001839C2">
        <w:rPr>
          <w:u w:val="single"/>
          <w:lang w:val="lt-LT"/>
        </w:rPr>
        <w:t>(</w:t>
      </w:r>
      <w:r w:rsidR="008D650D" w:rsidRPr="001839C2">
        <w:rPr>
          <w:u w:val="single"/>
          <w:lang w:val="lt-LT"/>
        </w:rPr>
        <w:noBreakHyphen/>
      </w:r>
      <w:r w:rsidRPr="001839C2">
        <w:rPr>
          <w:u w:val="single"/>
          <w:lang w:val="lt-LT"/>
        </w:rPr>
        <w:t>ai) ir adresas</w:t>
      </w:r>
      <w:r w:rsidR="008D650D" w:rsidRPr="001839C2">
        <w:rPr>
          <w:u w:val="single"/>
          <w:lang w:val="lt-LT"/>
        </w:rPr>
        <w:t> </w:t>
      </w:r>
      <w:r w:rsidRPr="001839C2">
        <w:rPr>
          <w:u w:val="single"/>
          <w:lang w:val="lt-LT"/>
        </w:rPr>
        <w:t>(</w:t>
      </w:r>
      <w:r w:rsidR="008D650D" w:rsidRPr="001839C2">
        <w:rPr>
          <w:u w:val="single"/>
          <w:lang w:val="lt-LT"/>
        </w:rPr>
        <w:noBreakHyphen/>
      </w:r>
      <w:r w:rsidRPr="001839C2">
        <w:rPr>
          <w:u w:val="single"/>
          <w:lang w:val="lt-LT"/>
        </w:rPr>
        <w:t>ai)</w:t>
      </w:r>
    </w:p>
    <w:p w14:paraId="716B28D6" w14:textId="77777777" w:rsidR="00DF0DF8" w:rsidRPr="001839C2" w:rsidRDefault="00DF0DF8" w:rsidP="002A5F50">
      <w:pPr>
        <w:rPr>
          <w:lang w:val="lt-LT"/>
        </w:rPr>
      </w:pPr>
    </w:p>
    <w:p w14:paraId="0113E3A4"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Pharmadox Healthcare Ltd.</w:t>
      </w:r>
    </w:p>
    <w:p w14:paraId="7310B21A"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KW20A Kordin Industrial Park</w:t>
      </w:r>
    </w:p>
    <w:p w14:paraId="628D7562" w14:textId="77777777" w:rsidR="004B57B9"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Paola, PLA</w:t>
      </w:r>
      <w:r w:rsidR="008D650D" w:rsidRPr="001839C2">
        <w:rPr>
          <w:rFonts w:eastAsiaTheme="minorEastAsia"/>
          <w:snapToGrid/>
          <w:szCs w:val="22"/>
          <w:lang w:val="lt-LT" w:eastAsia="en-IN"/>
        </w:rPr>
        <w:t> </w:t>
      </w:r>
      <w:r w:rsidRPr="001839C2">
        <w:rPr>
          <w:rFonts w:eastAsiaTheme="minorEastAsia"/>
          <w:snapToGrid/>
          <w:szCs w:val="22"/>
          <w:lang w:val="lt-LT" w:eastAsia="en-IN"/>
        </w:rPr>
        <w:t>3000</w:t>
      </w:r>
    </w:p>
    <w:p w14:paraId="67DD2DCE"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Malta</w:t>
      </w:r>
    </w:p>
    <w:p w14:paraId="2B3325AF" w14:textId="77777777" w:rsidR="00031199" w:rsidRPr="001839C2" w:rsidRDefault="00031199"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643968FD" w14:textId="77777777" w:rsidR="00031199" w:rsidRPr="001839C2" w:rsidRDefault="00031199"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arba</w:t>
      </w:r>
    </w:p>
    <w:p w14:paraId="097D9784"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322A621E"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LABORATORI FUNDACIÓ DAU</w:t>
      </w:r>
    </w:p>
    <w:p w14:paraId="1F02F776"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C/C, 12</w:t>
      </w:r>
      <w:r w:rsidR="008D650D" w:rsidRPr="001839C2">
        <w:rPr>
          <w:rFonts w:eastAsiaTheme="minorEastAsia"/>
          <w:snapToGrid/>
          <w:szCs w:val="22"/>
          <w:lang w:val="lt-LT" w:eastAsia="en-IN"/>
        </w:rPr>
        <w:noBreakHyphen/>
      </w:r>
      <w:r w:rsidRPr="001839C2">
        <w:rPr>
          <w:rFonts w:eastAsiaTheme="minorEastAsia"/>
          <w:snapToGrid/>
          <w:szCs w:val="22"/>
          <w:lang w:val="lt-LT" w:eastAsia="en-IN"/>
        </w:rPr>
        <w:t>14 Pol. Ind. Zona Franca</w:t>
      </w:r>
    </w:p>
    <w:p w14:paraId="4FDC262F" w14:textId="77777777" w:rsidR="004B57B9" w:rsidRPr="001839C2" w:rsidRDefault="002A5F50" w:rsidP="002A5F50">
      <w:pPr>
        <w:rPr>
          <w:rFonts w:eastAsiaTheme="minorEastAsia"/>
          <w:snapToGrid/>
          <w:szCs w:val="22"/>
          <w:lang w:val="lt-LT" w:eastAsia="en-IN"/>
        </w:rPr>
      </w:pPr>
      <w:r w:rsidRPr="001839C2">
        <w:rPr>
          <w:rFonts w:eastAsiaTheme="minorEastAsia"/>
          <w:snapToGrid/>
          <w:szCs w:val="22"/>
          <w:lang w:val="lt-LT" w:eastAsia="en-IN"/>
        </w:rPr>
        <w:t>Barcelona,</w:t>
      </w:r>
      <w:r w:rsidR="008D650D" w:rsidRPr="001839C2">
        <w:rPr>
          <w:rFonts w:eastAsiaTheme="minorEastAsia"/>
          <w:snapToGrid/>
          <w:szCs w:val="22"/>
          <w:lang w:val="lt-LT" w:eastAsia="en-IN"/>
        </w:rPr>
        <w:t xml:space="preserve"> </w:t>
      </w:r>
      <w:r w:rsidRPr="001839C2">
        <w:rPr>
          <w:rFonts w:eastAsiaTheme="minorEastAsia"/>
          <w:snapToGrid/>
          <w:szCs w:val="22"/>
          <w:lang w:val="lt-LT" w:eastAsia="en-IN"/>
        </w:rPr>
        <w:t>08040</w:t>
      </w:r>
    </w:p>
    <w:p w14:paraId="4BB1BB61" w14:textId="77777777" w:rsidR="002335D5" w:rsidRPr="001839C2" w:rsidRDefault="002A5F50" w:rsidP="002A5F50">
      <w:pPr>
        <w:rPr>
          <w:szCs w:val="22"/>
          <w:lang w:val="lt-LT"/>
        </w:rPr>
      </w:pPr>
      <w:r w:rsidRPr="001839C2">
        <w:rPr>
          <w:rFonts w:eastAsiaTheme="minorEastAsia"/>
          <w:snapToGrid/>
          <w:szCs w:val="22"/>
          <w:lang w:val="lt-LT" w:eastAsia="en-IN"/>
        </w:rPr>
        <w:t>Ispanija</w:t>
      </w:r>
    </w:p>
    <w:p w14:paraId="7C6E5E10" w14:textId="77777777" w:rsidR="00DF0DF8" w:rsidRPr="001839C2" w:rsidRDefault="00DF0DF8" w:rsidP="002A5F50">
      <w:pPr>
        <w:rPr>
          <w:szCs w:val="22"/>
          <w:lang w:val="lt-LT"/>
        </w:rPr>
      </w:pPr>
    </w:p>
    <w:p w14:paraId="311B863F" w14:textId="77777777" w:rsidR="00DF0DF8" w:rsidRPr="001839C2" w:rsidRDefault="00DF0DF8" w:rsidP="002A5F50">
      <w:pPr>
        <w:rPr>
          <w:rFonts w:asciiTheme="minorHAnsi" w:eastAsiaTheme="minorHAnsi" w:hAnsiTheme="minorHAnsi" w:cstheme="minorBidi"/>
          <w:snapToGrid/>
          <w:szCs w:val="22"/>
          <w:lang w:val="lt-LT"/>
        </w:rPr>
      </w:pPr>
      <w:r w:rsidRPr="001839C2">
        <w:rPr>
          <w:szCs w:val="22"/>
          <w:lang w:val="lt-LT"/>
        </w:rPr>
        <w:t>Su pakuote pateikiamame lapelyje nurodomas gamintojo, atsakingo už konkrečios serijos išleidimą, pavadinimas ir adresas.</w:t>
      </w:r>
    </w:p>
    <w:p w14:paraId="07F9F13D" w14:textId="77777777" w:rsidR="00DF0DF8" w:rsidRPr="001839C2" w:rsidRDefault="00DF0DF8" w:rsidP="002A5F50">
      <w:pPr>
        <w:rPr>
          <w:szCs w:val="22"/>
          <w:lang w:val="lt-LT"/>
        </w:rPr>
      </w:pPr>
    </w:p>
    <w:p w14:paraId="1AA8562D" w14:textId="77777777" w:rsidR="00DF0DF8" w:rsidRPr="001839C2" w:rsidRDefault="00DF0DF8" w:rsidP="002A5F50">
      <w:pPr>
        <w:rPr>
          <w:lang w:val="lt-LT"/>
        </w:rPr>
      </w:pPr>
    </w:p>
    <w:p w14:paraId="46FECBD9" w14:textId="77777777" w:rsidR="00DF0DF8" w:rsidRPr="001839C2" w:rsidRDefault="00DF0DF8" w:rsidP="00BF4605">
      <w:pPr>
        <w:ind w:left="567" w:hanging="567"/>
        <w:rPr>
          <w:rFonts w:asciiTheme="minorHAnsi" w:eastAsiaTheme="minorHAnsi" w:hAnsiTheme="minorHAnsi" w:cstheme="minorBidi"/>
          <w:snapToGrid/>
          <w:szCs w:val="22"/>
          <w:lang w:val="lt-LT"/>
        </w:rPr>
      </w:pPr>
      <w:r w:rsidRPr="001839C2">
        <w:rPr>
          <w:b/>
          <w:lang w:val="lt-LT"/>
        </w:rPr>
        <w:t>B.</w:t>
      </w:r>
      <w:r w:rsidRPr="001839C2">
        <w:rPr>
          <w:b/>
          <w:lang w:val="lt-LT"/>
        </w:rPr>
        <w:tab/>
        <w:t>TIEKIMO IR VARTOJIMO SĄLYGOS AR APRIBOJIMAI</w:t>
      </w:r>
    </w:p>
    <w:p w14:paraId="37DF12F5" w14:textId="77777777" w:rsidR="00DF0DF8" w:rsidRPr="001839C2" w:rsidRDefault="00DF0DF8" w:rsidP="002A5F50">
      <w:pPr>
        <w:rPr>
          <w:lang w:val="lt-LT"/>
        </w:rPr>
      </w:pPr>
    </w:p>
    <w:p w14:paraId="03E713A7" w14:textId="77777777" w:rsidR="00DF0DF8" w:rsidRPr="001839C2" w:rsidRDefault="00DF0DF8" w:rsidP="00230559">
      <w:pPr>
        <w:rPr>
          <w:lang w:val="lt-LT"/>
        </w:rPr>
      </w:pPr>
      <w:r w:rsidRPr="001839C2">
        <w:rPr>
          <w:lang w:val="lt-LT"/>
        </w:rPr>
        <w:t>Receptinis vaistinis preparatas.</w:t>
      </w:r>
    </w:p>
    <w:p w14:paraId="52E9AE8E" w14:textId="77777777" w:rsidR="00DF0DF8" w:rsidRPr="001839C2" w:rsidRDefault="00DF0DF8" w:rsidP="002A5F50">
      <w:pPr>
        <w:pStyle w:val="Paprastasistekstas"/>
        <w:tabs>
          <w:tab w:val="left" w:pos="4962"/>
        </w:tabs>
        <w:rPr>
          <w:sz w:val="22"/>
          <w:szCs w:val="22"/>
          <w:lang w:val="lt-LT"/>
        </w:rPr>
      </w:pPr>
      <w:r w:rsidRPr="001839C2">
        <w:rPr>
          <w:rFonts w:ascii="Times New Roman" w:hAnsi="Times New Roman"/>
          <w:b/>
          <w:lang w:val="lt-LT"/>
        </w:rPr>
        <w:br w:type="page"/>
      </w:r>
    </w:p>
    <w:p w14:paraId="69DA62F6" w14:textId="77777777" w:rsidR="00DF0DF8" w:rsidRPr="001839C2" w:rsidRDefault="00DF0DF8" w:rsidP="002A5F50">
      <w:pPr>
        <w:rPr>
          <w:szCs w:val="22"/>
          <w:lang w:val="lt-LT"/>
        </w:rPr>
      </w:pPr>
    </w:p>
    <w:p w14:paraId="7A136E5A" w14:textId="77777777" w:rsidR="00DF0DF8" w:rsidRPr="001839C2" w:rsidRDefault="00DF0DF8" w:rsidP="002A5F50">
      <w:pPr>
        <w:rPr>
          <w:szCs w:val="22"/>
          <w:lang w:val="lt-LT"/>
        </w:rPr>
      </w:pPr>
    </w:p>
    <w:p w14:paraId="567D5D9E" w14:textId="77777777" w:rsidR="00DF0DF8" w:rsidRPr="001839C2" w:rsidRDefault="00DF0DF8" w:rsidP="002A5F50">
      <w:pPr>
        <w:rPr>
          <w:szCs w:val="22"/>
          <w:lang w:val="lt-LT"/>
        </w:rPr>
      </w:pPr>
    </w:p>
    <w:p w14:paraId="227D5808" w14:textId="77777777" w:rsidR="00DF0DF8" w:rsidRPr="001839C2" w:rsidRDefault="00DF0DF8" w:rsidP="002A5F50">
      <w:pPr>
        <w:rPr>
          <w:szCs w:val="22"/>
          <w:lang w:val="lt-LT"/>
        </w:rPr>
      </w:pPr>
    </w:p>
    <w:p w14:paraId="3DA6F862" w14:textId="77777777" w:rsidR="00DF0DF8" w:rsidRPr="001839C2" w:rsidRDefault="00DF0DF8" w:rsidP="002A5F50">
      <w:pPr>
        <w:rPr>
          <w:szCs w:val="22"/>
          <w:lang w:val="lt-LT"/>
        </w:rPr>
      </w:pPr>
    </w:p>
    <w:p w14:paraId="49939A66" w14:textId="77777777" w:rsidR="00DF0DF8" w:rsidRPr="001839C2" w:rsidRDefault="00DF0DF8" w:rsidP="002A5F50">
      <w:pPr>
        <w:rPr>
          <w:szCs w:val="22"/>
          <w:lang w:val="lt-LT"/>
        </w:rPr>
      </w:pPr>
    </w:p>
    <w:p w14:paraId="3E9709E1" w14:textId="77777777" w:rsidR="00DF0DF8" w:rsidRPr="001839C2" w:rsidRDefault="00DF0DF8" w:rsidP="002A5F50">
      <w:pPr>
        <w:rPr>
          <w:szCs w:val="22"/>
          <w:lang w:val="lt-LT"/>
        </w:rPr>
      </w:pPr>
    </w:p>
    <w:p w14:paraId="4362D9E0" w14:textId="77777777" w:rsidR="00DF0DF8" w:rsidRPr="001839C2" w:rsidRDefault="00DF0DF8" w:rsidP="002A5F50">
      <w:pPr>
        <w:rPr>
          <w:szCs w:val="22"/>
          <w:lang w:val="lt-LT"/>
        </w:rPr>
      </w:pPr>
    </w:p>
    <w:p w14:paraId="424D37BF" w14:textId="77777777" w:rsidR="00DF0DF8" w:rsidRPr="001839C2" w:rsidRDefault="00DF0DF8" w:rsidP="002A5F50">
      <w:pPr>
        <w:rPr>
          <w:szCs w:val="22"/>
          <w:lang w:val="lt-LT"/>
        </w:rPr>
      </w:pPr>
    </w:p>
    <w:p w14:paraId="27607E45" w14:textId="77777777" w:rsidR="00DF0DF8" w:rsidRPr="001839C2" w:rsidRDefault="00DF0DF8" w:rsidP="002A5F50">
      <w:pPr>
        <w:rPr>
          <w:szCs w:val="22"/>
          <w:lang w:val="lt-LT"/>
        </w:rPr>
      </w:pPr>
    </w:p>
    <w:p w14:paraId="3BD8D56A" w14:textId="77777777" w:rsidR="00DF0DF8" w:rsidRPr="001839C2" w:rsidRDefault="00DF0DF8" w:rsidP="002A5F50">
      <w:pPr>
        <w:rPr>
          <w:szCs w:val="22"/>
          <w:lang w:val="lt-LT"/>
        </w:rPr>
      </w:pPr>
    </w:p>
    <w:p w14:paraId="08800DC4" w14:textId="77777777" w:rsidR="00DF0DF8" w:rsidRPr="001839C2" w:rsidRDefault="00DF0DF8" w:rsidP="002A5F50">
      <w:pPr>
        <w:rPr>
          <w:szCs w:val="22"/>
          <w:lang w:val="lt-LT"/>
        </w:rPr>
      </w:pPr>
    </w:p>
    <w:p w14:paraId="339CCBE8" w14:textId="77777777" w:rsidR="00DF0DF8" w:rsidRPr="001839C2" w:rsidRDefault="00DF0DF8" w:rsidP="002A5F50">
      <w:pPr>
        <w:rPr>
          <w:szCs w:val="22"/>
          <w:lang w:val="lt-LT"/>
        </w:rPr>
      </w:pPr>
    </w:p>
    <w:p w14:paraId="2147437F" w14:textId="77777777" w:rsidR="00DF0DF8" w:rsidRPr="001839C2" w:rsidRDefault="00DF0DF8" w:rsidP="002A5F50">
      <w:pPr>
        <w:rPr>
          <w:szCs w:val="22"/>
          <w:lang w:val="lt-LT"/>
        </w:rPr>
      </w:pPr>
    </w:p>
    <w:p w14:paraId="45F52C2A" w14:textId="77777777" w:rsidR="00DF0DF8" w:rsidRPr="001839C2" w:rsidRDefault="00DF0DF8" w:rsidP="002A5F50">
      <w:pPr>
        <w:rPr>
          <w:szCs w:val="22"/>
          <w:lang w:val="lt-LT"/>
        </w:rPr>
      </w:pPr>
    </w:p>
    <w:p w14:paraId="69AC169B" w14:textId="77777777" w:rsidR="00DF0DF8" w:rsidRPr="001839C2" w:rsidRDefault="00DF0DF8" w:rsidP="002A5F50">
      <w:pPr>
        <w:rPr>
          <w:szCs w:val="22"/>
          <w:lang w:val="lt-LT"/>
        </w:rPr>
      </w:pPr>
    </w:p>
    <w:p w14:paraId="09EC1FDD" w14:textId="77777777" w:rsidR="00DF0DF8" w:rsidRPr="001839C2" w:rsidRDefault="00DF0DF8" w:rsidP="002A5F50">
      <w:pPr>
        <w:outlineLvl w:val="0"/>
        <w:rPr>
          <w:b/>
          <w:szCs w:val="22"/>
          <w:lang w:val="lt-LT"/>
        </w:rPr>
      </w:pPr>
    </w:p>
    <w:p w14:paraId="428F15CF" w14:textId="77777777" w:rsidR="00DF0DF8" w:rsidRPr="001839C2" w:rsidRDefault="00DF0DF8" w:rsidP="002A5F50">
      <w:pPr>
        <w:outlineLvl w:val="0"/>
        <w:rPr>
          <w:b/>
          <w:szCs w:val="22"/>
          <w:lang w:val="lt-LT"/>
        </w:rPr>
      </w:pPr>
    </w:p>
    <w:p w14:paraId="06448CB4" w14:textId="77777777" w:rsidR="00DF0DF8" w:rsidRPr="001839C2" w:rsidRDefault="00DF0DF8" w:rsidP="002A5F50">
      <w:pPr>
        <w:outlineLvl w:val="0"/>
        <w:rPr>
          <w:b/>
          <w:szCs w:val="22"/>
          <w:lang w:val="lt-LT"/>
        </w:rPr>
      </w:pPr>
    </w:p>
    <w:p w14:paraId="0ED69B74" w14:textId="77777777" w:rsidR="00DF0DF8" w:rsidRPr="001839C2" w:rsidRDefault="00DF0DF8" w:rsidP="002A5F50">
      <w:pPr>
        <w:outlineLvl w:val="0"/>
        <w:rPr>
          <w:b/>
          <w:szCs w:val="22"/>
          <w:lang w:val="lt-LT"/>
        </w:rPr>
      </w:pPr>
    </w:p>
    <w:p w14:paraId="5A165E3F" w14:textId="77777777" w:rsidR="00DF0DF8" w:rsidRPr="001839C2" w:rsidRDefault="00DF0DF8" w:rsidP="002A5F50">
      <w:pPr>
        <w:outlineLvl w:val="0"/>
        <w:rPr>
          <w:b/>
          <w:szCs w:val="22"/>
          <w:lang w:val="lt-LT"/>
        </w:rPr>
      </w:pPr>
    </w:p>
    <w:p w14:paraId="272A7E11" w14:textId="77777777" w:rsidR="00DF0DF8" w:rsidRPr="001839C2" w:rsidRDefault="00DF0DF8" w:rsidP="002A5F50">
      <w:pPr>
        <w:outlineLvl w:val="0"/>
        <w:rPr>
          <w:b/>
          <w:szCs w:val="22"/>
          <w:lang w:val="lt-LT"/>
        </w:rPr>
      </w:pPr>
    </w:p>
    <w:p w14:paraId="24330A39" w14:textId="77777777" w:rsidR="00DF0DF8" w:rsidRPr="001839C2" w:rsidRDefault="00DF0DF8" w:rsidP="002A5F50">
      <w:pPr>
        <w:pStyle w:val="Antrat2"/>
        <w:spacing w:before="0" w:after="0"/>
        <w:rPr>
          <w:rFonts w:ascii="Times New Roman" w:hAnsi="Times New Roman"/>
          <w:b w:val="0"/>
          <w:sz w:val="22"/>
          <w:szCs w:val="22"/>
          <w:lang w:val="lt-LT"/>
        </w:rPr>
      </w:pPr>
    </w:p>
    <w:p w14:paraId="551C0173" w14:textId="77777777" w:rsidR="00DF0DF8" w:rsidRPr="001839C2" w:rsidRDefault="00DF0DF8" w:rsidP="002A5F50">
      <w:pPr>
        <w:pStyle w:val="Antrat2"/>
        <w:spacing w:before="0" w:after="0"/>
        <w:jc w:val="center"/>
        <w:rPr>
          <w:rFonts w:ascii="Times New Roman" w:hAnsi="Times New Roman"/>
          <w:b w:val="0"/>
          <w:sz w:val="22"/>
          <w:szCs w:val="22"/>
          <w:lang w:val="lt-LT"/>
        </w:rPr>
      </w:pPr>
      <w:r w:rsidRPr="001839C2">
        <w:rPr>
          <w:rFonts w:ascii="Times New Roman" w:hAnsi="Times New Roman"/>
          <w:i w:val="0"/>
          <w:sz w:val="22"/>
          <w:szCs w:val="22"/>
          <w:lang w:val="lt-LT"/>
        </w:rPr>
        <w:t>III</w:t>
      </w:r>
      <w:r w:rsidR="008D650D" w:rsidRPr="001839C2">
        <w:rPr>
          <w:rFonts w:ascii="Times New Roman" w:hAnsi="Times New Roman"/>
          <w:i w:val="0"/>
          <w:sz w:val="22"/>
          <w:szCs w:val="22"/>
          <w:lang w:val="lt-LT"/>
        </w:rPr>
        <w:t> </w:t>
      </w:r>
      <w:r w:rsidRPr="001839C2">
        <w:rPr>
          <w:rFonts w:ascii="Times New Roman" w:hAnsi="Times New Roman"/>
          <w:i w:val="0"/>
          <w:sz w:val="22"/>
          <w:szCs w:val="22"/>
          <w:lang w:val="lt-LT"/>
        </w:rPr>
        <w:t>PRIEDAS</w:t>
      </w:r>
    </w:p>
    <w:p w14:paraId="2E708354" w14:textId="77777777" w:rsidR="00DF0DF8" w:rsidRPr="001839C2" w:rsidRDefault="00DF0DF8" w:rsidP="002A5F50">
      <w:pPr>
        <w:jc w:val="center"/>
        <w:rPr>
          <w:szCs w:val="22"/>
          <w:lang w:val="lt-LT"/>
        </w:rPr>
      </w:pPr>
    </w:p>
    <w:p w14:paraId="2D6AEC3B" w14:textId="77777777" w:rsidR="00DF0DF8" w:rsidRPr="001839C2" w:rsidRDefault="00DF0DF8" w:rsidP="002A5F50">
      <w:pPr>
        <w:pStyle w:val="Antrat2"/>
        <w:spacing w:before="0" w:after="0"/>
        <w:jc w:val="center"/>
        <w:rPr>
          <w:rFonts w:ascii="Times New Roman" w:hAnsi="Times New Roman"/>
          <w:b w:val="0"/>
          <w:lang w:val="lt-LT"/>
        </w:rPr>
      </w:pPr>
      <w:r w:rsidRPr="001839C2">
        <w:rPr>
          <w:rFonts w:ascii="Times New Roman" w:hAnsi="Times New Roman"/>
          <w:i w:val="0"/>
          <w:sz w:val="22"/>
          <w:szCs w:val="22"/>
          <w:lang w:val="lt-LT"/>
        </w:rPr>
        <w:t>ŽENKLINIMAS IR PAKUOTĖS LAPELIS</w:t>
      </w:r>
    </w:p>
    <w:p w14:paraId="79F56E8B" w14:textId="77777777" w:rsidR="00DF0DF8" w:rsidRPr="001839C2" w:rsidRDefault="00DF0DF8" w:rsidP="002A5F50">
      <w:pPr>
        <w:rPr>
          <w:lang w:val="lt-LT"/>
        </w:rPr>
      </w:pPr>
      <w:r w:rsidRPr="001839C2">
        <w:rPr>
          <w:lang w:val="lt-LT"/>
        </w:rPr>
        <w:br w:type="page"/>
      </w:r>
    </w:p>
    <w:p w14:paraId="579EC5E7" w14:textId="77777777" w:rsidR="00DF0DF8" w:rsidRPr="001839C2" w:rsidRDefault="00DF0DF8" w:rsidP="002A5F50">
      <w:pPr>
        <w:rPr>
          <w:szCs w:val="22"/>
          <w:lang w:val="lt-LT"/>
        </w:rPr>
      </w:pPr>
    </w:p>
    <w:p w14:paraId="011B0F0E" w14:textId="77777777" w:rsidR="00DF0DF8" w:rsidRPr="001839C2" w:rsidRDefault="00DF0DF8" w:rsidP="002A5F50">
      <w:pPr>
        <w:rPr>
          <w:szCs w:val="22"/>
          <w:lang w:val="lt-LT"/>
        </w:rPr>
      </w:pPr>
    </w:p>
    <w:p w14:paraId="061D414A" w14:textId="77777777" w:rsidR="00DF0DF8" w:rsidRPr="001839C2" w:rsidRDefault="00DF0DF8" w:rsidP="002A5F50">
      <w:pPr>
        <w:rPr>
          <w:szCs w:val="22"/>
          <w:lang w:val="lt-LT"/>
        </w:rPr>
      </w:pPr>
    </w:p>
    <w:p w14:paraId="2B5E6603" w14:textId="77777777" w:rsidR="00DF0DF8" w:rsidRPr="001839C2" w:rsidRDefault="00DF0DF8" w:rsidP="002A5F50">
      <w:pPr>
        <w:rPr>
          <w:szCs w:val="22"/>
          <w:lang w:val="lt-LT"/>
        </w:rPr>
      </w:pPr>
    </w:p>
    <w:p w14:paraId="5F7C53EB" w14:textId="77777777" w:rsidR="00DF0DF8" w:rsidRPr="001839C2" w:rsidRDefault="00DF0DF8" w:rsidP="002A5F50">
      <w:pPr>
        <w:rPr>
          <w:szCs w:val="22"/>
          <w:lang w:val="lt-LT"/>
        </w:rPr>
      </w:pPr>
    </w:p>
    <w:p w14:paraId="3FAC3C38" w14:textId="77777777" w:rsidR="00DF0DF8" w:rsidRPr="001839C2" w:rsidRDefault="00DF0DF8" w:rsidP="002A5F50">
      <w:pPr>
        <w:rPr>
          <w:szCs w:val="22"/>
          <w:lang w:val="lt-LT"/>
        </w:rPr>
      </w:pPr>
    </w:p>
    <w:p w14:paraId="4D8F0A68" w14:textId="77777777" w:rsidR="00DF0DF8" w:rsidRPr="001839C2" w:rsidRDefault="00DF0DF8" w:rsidP="002A5F50">
      <w:pPr>
        <w:rPr>
          <w:szCs w:val="22"/>
          <w:lang w:val="lt-LT"/>
        </w:rPr>
      </w:pPr>
    </w:p>
    <w:p w14:paraId="038F1E5D" w14:textId="77777777" w:rsidR="00DF0DF8" w:rsidRPr="001839C2" w:rsidRDefault="00DF0DF8" w:rsidP="002A5F50">
      <w:pPr>
        <w:rPr>
          <w:szCs w:val="22"/>
          <w:lang w:val="lt-LT"/>
        </w:rPr>
      </w:pPr>
    </w:p>
    <w:p w14:paraId="248C7C73" w14:textId="77777777" w:rsidR="00DF0DF8" w:rsidRPr="001839C2" w:rsidRDefault="00DF0DF8" w:rsidP="002A5F50">
      <w:pPr>
        <w:rPr>
          <w:szCs w:val="22"/>
          <w:lang w:val="lt-LT"/>
        </w:rPr>
      </w:pPr>
    </w:p>
    <w:p w14:paraId="3C8F1720" w14:textId="77777777" w:rsidR="00DF0DF8" w:rsidRPr="001839C2" w:rsidRDefault="00DF0DF8" w:rsidP="002A5F50">
      <w:pPr>
        <w:rPr>
          <w:szCs w:val="22"/>
          <w:lang w:val="lt-LT"/>
        </w:rPr>
      </w:pPr>
    </w:p>
    <w:p w14:paraId="58770E2D" w14:textId="77777777" w:rsidR="00DF0DF8" w:rsidRPr="001839C2" w:rsidRDefault="00DF0DF8" w:rsidP="002A5F50">
      <w:pPr>
        <w:rPr>
          <w:szCs w:val="22"/>
          <w:lang w:val="lt-LT"/>
        </w:rPr>
      </w:pPr>
    </w:p>
    <w:p w14:paraId="6A67AF3C" w14:textId="77777777" w:rsidR="00DF0DF8" w:rsidRPr="001839C2" w:rsidRDefault="00DF0DF8" w:rsidP="002A5F50">
      <w:pPr>
        <w:rPr>
          <w:szCs w:val="22"/>
          <w:lang w:val="lt-LT"/>
        </w:rPr>
      </w:pPr>
    </w:p>
    <w:p w14:paraId="26BA774D" w14:textId="77777777" w:rsidR="00DF0DF8" w:rsidRPr="001839C2" w:rsidRDefault="00DF0DF8" w:rsidP="002A5F50">
      <w:pPr>
        <w:rPr>
          <w:szCs w:val="22"/>
          <w:lang w:val="lt-LT"/>
        </w:rPr>
      </w:pPr>
    </w:p>
    <w:p w14:paraId="5A7F8B08" w14:textId="77777777" w:rsidR="00DF0DF8" w:rsidRPr="001839C2" w:rsidRDefault="00DF0DF8" w:rsidP="002A5F50">
      <w:pPr>
        <w:rPr>
          <w:szCs w:val="22"/>
          <w:lang w:val="lt-LT"/>
        </w:rPr>
      </w:pPr>
    </w:p>
    <w:p w14:paraId="6A058560" w14:textId="77777777" w:rsidR="00DF0DF8" w:rsidRPr="001839C2" w:rsidRDefault="00DF0DF8" w:rsidP="002A5F50">
      <w:pPr>
        <w:rPr>
          <w:szCs w:val="22"/>
          <w:lang w:val="lt-LT"/>
        </w:rPr>
      </w:pPr>
    </w:p>
    <w:p w14:paraId="70DA9B0C" w14:textId="77777777" w:rsidR="00DF0DF8" w:rsidRPr="001839C2" w:rsidRDefault="00DF0DF8" w:rsidP="002A5F50">
      <w:pPr>
        <w:rPr>
          <w:szCs w:val="22"/>
          <w:lang w:val="lt-LT"/>
        </w:rPr>
      </w:pPr>
    </w:p>
    <w:p w14:paraId="0D7B2023" w14:textId="77777777" w:rsidR="00DF0DF8" w:rsidRPr="001839C2" w:rsidRDefault="00DF0DF8" w:rsidP="002A5F50">
      <w:pPr>
        <w:rPr>
          <w:szCs w:val="22"/>
          <w:lang w:val="lt-LT"/>
        </w:rPr>
      </w:pPr>
    </w:p>
    <w:p w14:paraId="478C8D18" w14:textId="77777777" w:rsidR="00DF0DF8" w:rsidRPr="001839C2" w:rsidRDefault="00DF0DF8" w:rsidP="002A5F50">
      <w:pPr>
        <w:rPr>
          <w:szCs w:val="22"/>
          <w:lang w:val="lt-LT"/>
        </w:rPr>
      </w:pPr>
    </w:p>
    <w:p w14:paraId="760DBC44" w14:textId="77777777" w:rsidR="00DF0DF8" w:rsidRPr="001839C2" w:rsidRDefault="00DF0DF8" w:rsidP="002A5F50">
      <w:pPr>
        <w:rPr>
          <w:szCs w:val="22"/>
          <w:lang w:val="lt-LT"/>
        </w:rPr>
      </w:pPr>
    </w:p>
    <w:p w14:paraId="07FC61C9" w14:textId="77777777" w:rsidR="00DF0DF8" w:rsidRPr="001839C2" w:rsidRDefault="00DF0DF8" w:rsidP="002A5F50">
      <w:pPr>
        <w:rPr>
          <w:szCs w:val="22"/>
          <w:lang w:val="lt-LT"/>
        </w:rPr>
      </w:pPr>
    </w:p>
    <w:p w14:paraId="784010D7" w14:textId="77777777" w:rsidR="00DF0DF8" w:rsidRPr="001839C2" w:rsidRDefault="00DF0DF8" w:rsidP="002A5F50">
      <w:pPr>
        <w:rPr>
          <w:szCs w:val="22"/>
          <w:lang w:val="lt-LT"/>
        </w:rPr>
      </w:pPr>
    </w:p>
    <w:p w14:paraId="4CD30A7B" w14:textId="77777777" w:rsidR="00DF0DF8" w:rsidRPr="001839C2" w:rsidRDefault="00DF0DF8" w:rsidP="002A5F50">
      <w:pPr>
        <w:rPr>
          <w:szCs w:val="22"/>
          <w:lang w:val="lt-LT"/>
        </w:rPr>
      </w:pPr>
    </w:p>
    <w:p w14:paraId="5745EC9F" w14:textId="77777777" w:rsidR="00DF0DF8" w:rsidRPr="001839C2" w:rsidRDefault="00DF0DF8" w:rsidP="002A5F50">
      <w:pPr>
        <w:pStyle w:val="Antrat2"/>
        <w:spacing w:before="0" w:after="0"/>
        <w:rPr>
          <w:rFonts w:ascii="Times New Roman" w:hAnsi="Times New Roman"/>
          <w:b w:val="0"/>
          <w:sz w:val="22"/>
          <w:szCs w:val="22"/>
          <w:lang w:val="lt-LT"/>
        </w:rPr>
      </w:pPr>
    </w:p>
    <w:p w14:paraId="309364BB" w14:textId="77777777" w:rsidR="00DF0DF8" w:rsidRPr="001839C2" w:rsidRDefault="00DF0DF8" w:rsidP="002A5F50">
      <w:pPr>
        <w:pStyle w:val="Antrat2"/>
        <w:spacing w:before="0" w:after="0"/>
        <w:jc w:val="center"/>
        <w:rPr>
          <w:rFonts w:ascii="Times New Roman" w:hAnsi="Times New Roman"/>
          <w:b w:val="0"/>
          <w:sz w:val="22"/>
          <w:szCs w:val="22"/>
          <w:lang w:val="lt-LT"/>
        </w:rPr>
      </w:pPr>
      <w:r w:rsidRPr="001839C2">
        <w:rPr>
          <w:rFonts w:ascii="Times New Roman" w:hAnsi="Times New Roman"/>
          <w:i w:val="0"/>
          <w:sz w:val="22"/>
          <w:szCs w:val="22"/>
          <w:lang w:val="lt-LT"/>
        </w:rPr>
        <w:t>A. ŽENKLINIMAS</w:t>
      </w:r>
    </w:p>
    <w:p w14:paraId="218C3307" w14:textId="77777777" w:rsidR="00DF0DF8" w:rsidRPr="001839C2" w:rsidRDefault="00DF0DF8" w:rsidP="002A5F50">
      <w:pPr>
        <w:rPr>
          <w:szCs w:val="22"/>
          <w:lang w:val="lt-LT"/>
        </w:rPr>
      </w:pPr>
      <w:r w:rsidRPr="001839C2">
        <w:rPr>
          <w:szCs w:val="22"/>
          <w:lang w:val="lt-LT"/>
        </w:rPr>
        <w:br w:type="page"/>
      </w:r>
    </w:p>
    <w:p w14:paraId="1A8E45E6" w14:textId="77777777" w:rsidR="002A5F50" w:rsidRPr="001839C2" w:rsidRDefault="002A5F50" w:rsidP="002A5F50">
      <w:pPr>
        <w:pBdr>
          <w:top w:val="single" w:sz="4" w:space="0" w:color="auto"/>
          <w:left w:val="single" w:sz="4" w:space="4" w:color="auto"/>
          <w:bottom w:val="single" w:sz="4" w:space="1" w:color="auto"/>
          <w:right w:val="single" w:sz="4" w:space="4" w:color="auto"/>
        </w:pBdr>
        <w:tabs>
          <w:tab w:val="clear" w:pos="567"/>
        </w:tabs>
        <w:rPr>
          <w:b/>
          <w:bCs/>
          <w:snapToGrid/>
          <w:szCs w:val="22"/>
          <w:lang w:val="lt-LT"/>
        </w:rPr>
      </w:pPr>
      <w:r w:rsidRPr="001839C2">
        <w:rPr>
          <w:b/>
          <w:bCs/>
          <w:snapToGrid/>
          <w:szCs w:val="22"/>
          <w:lang w:val="lt-LT"/>
        </w:rPr>
        <w:lastRenderedPageBreak/>
        <w:t>INFORMACIJA ANT IŠORINĖS PAKUOTĖS</w:t>
      </w:r>
    </w:p>
    <w:p w14:paraId="5F1C3E6D" w14:textId="77777777" w:rsidR="002A5F50" w:rsidRPr="001839C2" w:rsidRDefault="002A5F50" w:rsidP="002A5F50">
      <w:pPr>
        <w:pBdr>
          <w:top w:val="single" w:sz="4" w:space="0" w:color="auto"/>
          <w:left w:val="single" w:sz="4" w:space="4" w:color="auto"/>
          <w:bottom w:val="single" w:sz="4" w:space="1" w:color="auto"/>
          <w:right w:val="single" w:sz="4" w:space="4" w:color="auto"/>
        </w:pBdr>
        <w:tabs>
          <w:tab w:val="clear" w:pos="567"/>
        </w:tabs>
        <w:rPr>
          <w:b/>
          <w:bCs/>
          <w:snapToGrid/>
          <w:szCs w:val="22"/>
          <w:lang w:val="lt-LT"/>
        </w:rPr>
      </w:pPr>
    </w:p>
    <w:p w14:paraId="5993CC70" w14:textId="77777777" w:rsidR="002A5F50" w:rsidRPr="001839C2" w:rsidRDefault="00D53A51" w:rsidP="002A5F50">
      <w:pPr>
        <w:pBdr>
          <w:top w:val="single" w:sz="4" w:space="0" w:color="auto"/>
          <w:left w:val="single" w:sz="4" w:space="4" w:color="auto"/>
          <w:bottom w:val="single" w:sz="4" w:space="1" w:color="auto"/>
          <w:right w:val="single" w:sz="4" w:space="4" w:color="auto"/>
        </w:pBdr>
        <w:tabs>
          <w:tab w:val="clear" w:pos="567"/>
        </w:tabs>
        <w:rPr>
          <w:snapToGrid/>
          <w:szCs w:val="22"/>
          <w:lang w:val="lt-LT"/>
        </w:rPr>
      </w:pPr>
      <w:r w:rsidRPr="001839C2">
        <w:rPr>
          <w:b/>
          <w:bCs/>
          <w:snapToGrid/>
          <w:szCs w:val="22"/>
          <w:lang w:val="lt-LT"/>
        </w:rPr>
        <w:t>KARTONO DĖŽUTĖ LIZDINEI PLOKŠTELEI</w:t>
      </w:r>
    </w:p>
    <w:p w14:paraId="1616D3A9" w14:textId="77777777" w:rsidR="002A5F50" w:rsidRPr="001839C2" w:rsidRDefault="002A5F50" w:rsidP="002A5F50">
      <w:pPr>
        <w:tabs>
          <w:tab w:val="clear" w:pos="567"/>
        </w:tabs>
        <w:rPr>
          <w:snapToGrid/>
          <w:szCs w:val="22"/>
          <w:lang w:val="lt-LT"/>
        </w:rPr>
      </w:pPr>
    </w:p>
    <w:p w14:paraId="04C2AE40" w14:textId="77777777" w:rsidR="002A5F50" w:rsidRPr="001839C2" w:rsidRDefault="002A5F5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1.</w:t>
      </w:r>
      <w:r w:rsidRPr="001839C2">
        <w:rPr>
          <w:b/>
          <w:bCs/>
          <w:snapToGrid/>
          <w:szCs w:val="22"/>
          <w:lang w:val="lt-LT"/>
        </w:rPr>
        <w:tab/>
      </w:r>
      <w:r w:rsidRPr="001839C2">
        <w:rPr>
          <w:b/>
          <w:snapToGrid/>
          <w:szCs w:val="22"/>
          <w:lang w:val="lt-LT"/>
        </w:rPr>
        <w:t>VAISTINIO PREPARATO PAVADINIMAS</w:t>
      </w:r>
    </w:p>
    <w:p w14:paraId="3BA3750A" w14:textId="77777777" w:rsidR="002A5F50" w:rsidRPr="001839C2" w:rsidRDefault="002A5F50" w:rsidP="002A5F50">
      <w:pPr>
        <w:tabs>
          <w:tab w:val="clear" w:pos="567"/>
        </w:tabs>
        <w:rPr>
          <w:snapToGrid/>
          <w:szCs w:val="22"/>
          <w:lang w:val="lt-LT"/>
        </w:rPr>
      </w:pPr>
    </w:p>
    <w:p w14:paraId="08CDC56C" w14:textId="77777777" w:rsidR="002A5F50" w:rsidRPr="001839C2" w:rsidRDefault="002A5F50" w:rsidP="002A5F50">
      <w:pPr>
        <w:tabs>
          <w:tab w:val="clear" w:pos="567"/>
        </w:tabs>
        <w:rPr>
          <w:snapToGrid/>
          <w:szCs w:val="22"/>
          <w:lang w:val="lt-LT"/>
        </w:rPr>
      </w:pPr>
      <w:r w:rsidRPr="001839C2">
        <w:rPr>
          <w:snapToGrid/>
          <w:szCs w:val="22"/>
          <w:lang w:val="lt-LT"/>
        </w:rPr>
        <w:t>Emtricitabine/Tenofovir disoproxil Accordpharma 200</w:t>
      </w:r>
      <w:r w:rsidR="00813BBA" w:rsidRPr="001839C2">
        <w:rPr>
          <w:snapToGrid/>
          <w:szCs w:val="22"/>
          <w:lang w:val="lt-LT"/>
        </w:rPr>
        <w:t> </w:t>
      </w:r>
      <w:r w:rsidRPr="001839C2">
        <w:rPr>
          <w:snapToGrid/>
          <w:szCs w:val="22"/>
          <w:lang w:val="lt-LT"/>
        </w:rPr>
        <w:t>mg/245</w:t>
      </w:r>
      <w:r w:rsidR="00813BBA" w:rsidRPr="001839C2">
        <w:rPr>
          <w:snapToGrid/>
          <w:szCs w:val="22"/>
          <w:lang w:val="lt-LT"/>
        </w:rPr>
        <w:t> </w:t>
      </w:r>
      <w:r w:rsidRPr="001839C2">
        <w:rPr>
          <w:snapToGrid/>
          <w:szCs w:val="22"/>
          <w:lang w:val="lt-LT"/>
        </w:rPr>
        <w:t>mg pl</w:t>
      </w:r>
      <w:r w:rsidRPr="001839C2">
        <w:rPr>
          <w:rFonts w:ascii="TimesNewRomanPSMT" w:hAnsi="TimesNewRomanPSMT" w:cs="TimesNewRomanPSMT"/>
          <w:snapToGrid/>
          <w:szCs w:val="22"/>
          <w:lang w:val="lt-LT"/>
        </w:rPr>
        <w:t>ė</w:t>
      </w:r>
      <w:r w:rsidRPr="001839C2">
        <w:rPr>
          <w:snapToGrid/>
          <w:szCs w:val="22"/>
          <w:lang w:val="lt-LT"/>
        </w:rPr>
        <w:t>vele dengtos tablet</w:t>
      </w:r>
      <w:r w:rsidRPr="001839C2">
        <w:rPr>
          <w:rFonts w:ascii="TimesNewRomanPSMT" w:hAnsi="TimesNewRomanPSMT" w:cs="TimesNewRomanPSMT"/>
          <w:snapToGrid/>
          <w:szCs w:val="22"/>
          <w:lang w:val="lt-LT"/>
        </w:rPr>
        <w:t>ė</w:t>
      </w:r>
      <w:r w:rsidRPr="001839C2">
        <w:rPr>
          <w:snapToGrid/>
          <w:szCs w:val="22"/>
          <w:lang w:val="lt-LT"/>
        </w:rPr>
        <w:t>s</w:t>
      </w:r>
    </w:p>
    <w:p w14:paraId="591B69F8" w14:textId="77777777" w:rsidR="002A5F50" w:rsidRPr="001839C2" w:rsidRDefault="002A5F50" w:rsidP="002A5F50">
      <w:pPr>
        <w:tabs>
          <w:tab w:val="clear" w:pos="567"/>
        </w:tabs>
        <w:rPr>
          <w:snapToGrid/>
          <w:szCs w:val="22"/>
          <w:lang w:val="lt-LT"/>
        </w:rPr>
      </w:pPr>
      <w:r w:rsidRPr="001839C2">
        <w:rPr>
          <w:i/>
          <w:iCs/>
          <w:snapToGrid/>
          <w:szCs w:val="22"/>
          <w:lang w:val="lt-LT"/>
        </w:rPr>
        <w:t>Emtricitabinum/Tenofovirum disoproxilum</w:t>
      </w:r>
    </w:p>
    <w:p w14:paraId="0BBD2F9B" w14:textId="77777777" w:rsidR="002A5F50" w:rsidRPr="001839C2" w:rsidRDefault="002A5F50" w:rsidP="002A5F50">
      <w:pPr>
        <w:tabs>
          <w:tab w:val="clear" w:pos="567"/>
        </w:tabs>
        <w:rPr>
          <w:snapToGrid/>
          <w:szCs w:val="22"/>
          <w:lang w:val="lt-LT"/>
        </w:rPr>
      </w:pPr>
    </w:p>
    <w:p w14:paraId="73D7FEFC" w14:textId="77777777" w:rsidR="00813BBA" w:rsidRPr="001839C2" w:rsidRDefault="00813BBA" w:rsidP="002A5F50">
      <w:pPr>
        <w:tabs>
          <w:tab w:val="clear" w:pos="567"/>
        </w:tabs>
        <w:rPr>
          <w:snapToGrid/>
          <w:szCs w:val="22"/>
          <w:lang w:val="lt-LT"/>
        </w:rPr>
      </w:pPr>
    </w:p>
    <w:p w14:paraId="405DF3CC" w14:textId="77777777" w:rsidR="002A5F50" w:rsidRPr="001839C2" w:rsidRDefault="002A5F5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2.</w:t>
      </w:r>
      <w:r w:rsidRPr="001839C2">
        <w:rPr>
          <w:b/>
          <w:bCs/>
          <w:snapToGrid/>
          <w:szCs w:val="22"/>
          <w:lang w:val="lt-LT"/>
        </w:rPr>
        <w:tab/>
      </w:r>
      <w:r w:rsidRPr="001839C2">
        <w:rPr>
          <w:b/>
          <w:snapToGrid/>
          <w:szCs w:val="22"/>
          <w:lang w:val="lt-LT"/>
        </w:rPr>
        <w:t>VEIKLIOJI</w:t>
      </w:r>
      <w:r w:rsidR="008D650D" w:rsidRPr="001839C2">
        <w:rPr>
          <w:b/>
          <w:snapToGrid/>
          <w:szCs w:val="22"/>
          <w:lang w:val="lt-LT"/>
        </w:rPr>
        <w:t> </w:t>
      </w:r>
      <w:r w:rsidRPr="001839C2">
        <w:rPr>
          <w:b/>
          <w:snapToGrid/>
          <w:szCs w:val="22"/>
          <w:lang w:val="lt-LT"/>
        </w:rPr>
        <w:t>(</w:t>
      </w:r>
      <w:r w:rsidR="008D650D" w:rsidRPr="001839C2">
        <w:rPr>
          <w:b/>
          <w:snapToGrid/>
          <w:szCs w:val="22"/>
          <w:lang w:val="lt-LT"/>
        </w:rPr>
        <w:noBreakHyphen/>
      </w:r>
      <w:r w:rsidRPr="001839C2">
        <w:rPr>
          <w:b/>
          <w:snapToGrid/>
          <w:szCs w:val="22"/>
          <w:lang w:val="lt-LT"/>
        </w:rPr>
        <w:t>IOS) MEDŽIAGA</w:t>
      </w:r>
      <w:r w:rsidR="008D650D" w:rsidRPr="001839C2">
        <w:rPr>
          <w:b/>
          <w:snapToGrid/>
          <w:szCs w:val="22"/>
          <w:lang w:val="lt-LT"/>
        </w:rPr>
        <w:t> </w:t>
      </w:r>
      <w:r w:rsidRPr="001839C2">
        <w:rPr>
          <w:b/>
          <w:snapToGrid/>
          <w:szCs w:val="22"/>
          <w:lang w:val="lt-LT"/>
        </w:rPr>
        <w:t>(</w:t>
      </w:r>
      <w:r w:rsidR="008D650D" w:rsidRPr="001839C2">
        <w:rPr>
          <w:b/>
          <w:snapToGrid/>
          <w:szCs w:val="22"/>
          <w:lang w:val="lt-LT"/>
        </w:rPr>
        <w:noBreakHyphen/>
      </w:r>
      <w:r w:rsidRPr="001839C2">
        <w:rPr>
          <w:b/>
          <w:snapToGrid/>
          <w:szCs w:val="22"/>
          <w:lang w:val="lt-LT"/>
        </w:rPr>
        <w:t>OS) IR JOS</w:t>
      </w:r>
      <w:r w:rsidR="008D650D" w:rsidRPr="001839C2">
        <w:rPr>
          <w:b/>
          <w:snapToGrid/>
          <w:szCs w:val="22"/>
          <w:lang w:val="lt-LT"/>
        </w:rPr>
        <w:t> </w:t>
      </w:r>
      <w:r w:rsidRPr="001839C2">
        <w:rPr>
          <w:b/>
          <w:snapToGrid/>
          <w:szCs w:val="22"/>
          <w:lang w:val="lt-LT"/>
        </w:rPr>
        <w:t>(</w:t>
      </w:r>
      <w:r w:rsidR="008D650D" w:rsidRPr="001839C2">
        <w:rPr>
          <w:b/>
          <w:snapToGrid/>
          <w:szCs w:val="22"/>
          <w:lang w:val="lt-LT"/>
        </w:rPr>
        <w:noBreakHyphen/>
      </w:r>
      <w:r w:rsidRPr="001839C2">
        <w:rPr>
          <w:b/>
          <w:snapToGrid/>
          <w:szCs w:val="22"/>
          <w:lang w:val="lt-LT"/>
        </w:rPr>
        <w:t>Ų) KIEKIS</w:t>
      </w:r>
      <w:r w:rsidR="008D650D" w:rsidRPr="001839C2">
        <w:rPr>
          <w:b/>
          <w:snapToGrid/>
          <w:szCs w:val="22"/>
          <w:lang w:val="lt-LT"/>
        </w:rPr>
        <w:t> </w:t>
      </w:r>
      <w:r w:rsidRPr="001839C2">
        <w:rPr>
          <w:b/>
          <w:snapToGrid/>
          <w:szCs w:val="22"/>
          <w:lang w:val="lt-LT"/>
        </w:rPr>
        <w:t>(</w:t>
      </w:r>
      <w:r w:rsidR="008D650D" w:rsidRPr="001839C2">
        <w:rPr>
          <w:b/>
          <w:snapToGrid/>
          <w:szCs w:val="22"/>
          <w:lang w:val="lt-LT"/>
        </w:rPr>
        <w:noBreakHyphen/>
      </w:r>
      <w:r w:rsidRPr="001839C2">
        <w:rPr>
          <w:b/>
          <w:snapToGrid/>
          <w:szCs w:val="22"/>
          <w:lang w:val="lt-LT"/>
        </w:rPr>
        <w:t>IAI)</w:t>
      </w:r>
    </w:p>
    <w:p w14:paraId="6F5EA276" w14:textId="77777777" w:rsidR="002A5F50" w:rsidRPr="001839C2" w:rsidRDefault="002A5F50" w:rsidP="002A5F50">
      <w:pPr>
        <w:tabs>
          <w:tab w:val="clear" w:pos="567"/>
        </w:tabs>
        <w:rPr>
          <w:snapToGrid/>
          <w:szCs w:val="22"/>
          <w:lang w:val="lt-LT"/>
        </w:rPr>
      </w:pPr>
    </w:p>
    <w:p w14:paraId="1C8B8267" w14:textId="77777777" w:rsidR="002A5F50" w:rsidRPr="001839C2" w:rsidRDefault="002A5F50" w:rsidP="002A5F50">
      <w:pPr>
        <w:tabs>
          <w:tab w:val="clear" w:pos="567"/>
        </w:tabs>
        <w:rPr>
          <w:snapToGrid/>
          <w:szCs w:val="22"/>
          <w:lang w:val="lt-LT"/>
        </w:rPr>
      </w:pPr>
      <w:r w:rsidRPr="001839C2">
        <w:rPr>
          <w:snapToGrid/>
          <w:szCs w:val="22"/>
          <w:lang w:val="lt-LT"/>
        </w:rPr>
        <w:t>Kiekvieno</w:t>
      </w:r>
      <w:r w:rsidR="008A6DD0" w:rsidRPr="001839C2">
        <w:rPr>
          <w:snapToGrid/>
          <w:szCs w:val="22"/>
          <w:lang w:val="lt-LT"/>
        </w:rPr>
        <w:t>je</w:t>
      </w:r>
      <w:r w:rsidRPr="001839C2">
        <w:rPr>
          <w:snapToGrid/>
          <w:szCs w:val="22"/>
          <w:lang w:val="lt-LT"/>
        </w:rPr>
        <w:t xml:space="preserve"> tabletė</w:t>
      </w:r>
      <w:r w:rsidR="008A6DD0" w:rsidRPr="001839C2">
        <w:rPr>
          <w:snapToGrid/>
          <w:szCs w:val="22"/>
          <w:lang w:val="lt-LT"/>
        </w:rPr>
        <w:t>je</w:t>
      </w:r>
      <w:r w:rsidRPr="001839C2">
        <w:rPr>
          <w:snapToGrid/>
          <w:szCs w:val="22"/>
          <w:lang w:val="lt-LT"/>
        </w:rPr>
        <w:t xml:space="preserve"> yra 200</w:t>
      </w:r>
      <w:r w:rsidR="008A6DD0" w:rsidRPr="001839C2">
        <w:rPr>
          <w:snapToGrid/>
          <w:szCs w:val="22"/>
          <w:lang w:val="lt-LT"/>
        </w:rPr>
        <w:t> </w:t>
      </w:r>
      <w:r w:rsidRPr="001839C2">
        <w:rPr>
          <w:snapToGrid/>
          <w:szCs w:val="22"/>
          <w:lang w:val="lt-LT"/>
        </w:rPr>
        <w:t>mg emtricitabino ir 245</w:t>
      </w:r>
      <w:r w:rsidR="008A6DD0" w:rsidRPr="001839C2">
        <w:rPr>
          <w:snapToGrid/>
          <w:szCs w:val="22"/>
          <w:lang w:val="lt-LT"/>
        </w:rPr>
        <w:t> </w:t>
      </w:r>
      <w:r w:rsidRPr="001839C2">
        <w:rPr>
          <w:snapToGrid/>
          <w:szCs w:val="22"/>
          <w:lang w:val="lt-LT"/>
        </w:rPr>
        <w:t>mg tenofoviro dizoproksil</w:t>
      </w:r>
      <w:r w:rsidR="00C37D10" w:rsidRPr="001839C2">
        <w:rPr>
          <w:snapToGrid/>
          <w:szCs w:val="22"/>
          <w:lang w:val="lt-LT"/>
        </w:rPr>
        <w:t>i</w:t>
      </w:r>
      <w:r w:rsidRPr="001839C2">
        <w:rPr>
          <w:snapToGrid/>
          <w:szCs w:val="22"/>
          <w:lang w:val="lt-LT"/>
        </w:rPr>
        <w:t>o (</w:t>
      </w:r>
      <w:r w:rsidR="00B5552E" w:rsidRPr="001839C2">
        <w:rPr>
          <w:snapToGrid/>
          <w:szCs w:val="22"/>
          <w:lang w:val="lt-LT" w:eastAsia="es-ES"/>
        </w:rPr>
        <w:t>tai</w:t>
      </w:r>
      <w:r w:rsidRPr="001839C2">
        <w:rPr>
          <w:snapToGrid/>
          <w:szCs w:val="22"/>
          <w:lang w:val="lt-LT" w:eastAsia="es-ES"/>
        </w:rPr>
        <w:t xml:space="preserve"> atitinka 300</w:t>
      </w:r>
      <w:r w:rsidR="008A6DD0" w:rsidRPr="001839C2">
        <w:rPr>
          <w:snapToGrid/>
          <w:szCs w:val="22"/>
          <w:lang w:val="lt-LT" w:eastAsia="es-ES"/>
        </w:rPr>
        <w:t> </w:t>
      </w:r>
      <w:r w:rsidRPr="001839C2">
        <w:rPr>
          <w:snapToGrid/>
          <w:szCs w:val="22"/>
          <w:lang w:val="lt-LT" w:eastAsia="es-ES"/>
        </w:rPr>
        <w:t>mg tenofoviro dizoproksil</w:t>
      </w:r>
      <w:r w:rsidR="00C37D10" w:rsidRPr="001839C2">
        <w:rPr>
          <w:snapToGrid/>
          <w:szCs w:val="22"/>
          <w:lang w:val="lt-LT" w:eastAsia="es-ES"/>
        </w:rPr>
        <w:t>i</w:t>
      </w:r>
      <w:r w:rsidRPr="001839C2">
        <w:rPr>
          <w:snapToGrid/>
          <w:szCs w:val="22"/>
          <w:lang w:val="lt-LT" w:eastAsia="es-ES"/>
        </w:rPr>
        <w:t>o fumarato arba 136</w:t>
      </w:r>
      <w:r w:rsidR="008A6DD0" w:rsidRPr="001839C2">
        <w:rPr>
          <w:snapToGrid/>
          <w:szCs w:val="22"/>
          <w:lang w:val="lt-LT" w:eastAsia="es-ES"/>
        </w:rPr>
        <w:t> </w:t>
      </w:r>
      <w:r w:rsidRPr="001839C2">
        <w:rPr>
          <w:snapToGrid/>
          <w:szCs w:val="22"/>
          <w:lang w:val="lt-LT" w:eastAsia="es-ES"/>
        </w:rPr>
        <w:t>mg tenofoviro)</w:t>
      </w:r>
      <w:r w:rsidR="008A6DD0" w:rsidRPr="001839C2">
        <w:rPr>
          <w:snapToGrid/>
          <w:szCs w:val="22"/>
          <w:lang w:val="lt-LT" w:eastAsia="es-ES"/>
        </w:rPr>
        <w:t>.</w:t>
      </w:r>
    </w:p>
    <w:p w14:paraId="2F1674DF" w14:textId="77777777" w:rsidR="002A5F50" w:rsidRPr="001839C2" w:rsidRDefault="002A5F50" w:rsidP="002A5F50">
      <w:pPr>
        <w:tabs>
          <w:tab w:val="clear" w:pos="567"/>
        </w:tabs>
        <w:rPr>
          <w:snapToGrid/>
          <w:szCs w:val="22"/>
          <w:lang w:val="lt-LT"/>
        </w:rPr>
      </w:pPr>
    </w:p>
    <w:p w14:paraId="0B8E657C" w14:textId="77777777" w:rsidR="00E61C94" w:rsidRPr="001839C2" w:rsidRDefault="00E61C94" w:rsidP="002A5F50">
      <w:pPr>
        <w:tabs>
          <w:tab w:val="clear" w:pos="567"/>
        </w:tabs>
        <w:rPr>
          <w:snapToGrid/>
          <w:szCs w:val="22"/>
          <w:lang w:val="lt-LT"/>
        </w:rPr>
      </w:pPr>
    </w:p>
    <w:p w14:paraId="70D7EAAF" w14:textId="77777777" w:rsidR="002A5F50" w:rsidRPr="001839C2" w:rsidRDefault="002A5F5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3.</w:t>
      </w:r>
      <w:r w:rsidRPr="001839C2">
        <w:rPr>
          <w:b/>
          <w:bCs/>
          <w:snapToGrid/>
          <w:szCs w:val="22"/>
          <w:lang w:val="lt-LT"/>
        </w:rPr>
        <w:tab/>
      </w:r>
      <w:r w:rsidRPr="001839C2">
        <w:rPr>
          <w:b/>
          <w:snapToGrid/>
          <w:szCs w:val="22"/>
          <w:lang w:val="lt-LT"/>
        </w:rPr>
        <w:t>PAGALBINIŲ MEDŽIAGŲ SĄRAŠAS</w:t>
      </w:r>
    </w:p>
    <w:p w14:paraId="265334F6" w14:textId="77777777" w:rsidR="002A5F50" w:rsidRPr="001839C2" w:rsidRDefault="002A5F50" w:rsidP="002A5F50">
      <w:pPr>
        <w:tabs>
          <w:tab w:val="clear" w:pos="567"/>
        </w:tabs>
        <w:rPr>
          <w:snapToGrid/>
          <w:szCs w:val="22"/>
          <w:lang w:val="lt-LT"/>
        </w:rPr>
      </w:pPr>
    </w:p>
    <w:p w14:paraId="61237EBB" w14:textId="77777777" w:rsidR="002A5F50" w:rsidRPr="001839C2" w:rsidRDefault="002A5F50" w:rsidP="002A5F50">
      <w:pPr>
        <w:tabs>
          <w:tab w:val="clear" w:pos="567"/>
        </w:tabs>
        <w:rPr>
          <w:snapToGrid/>
          <w:szCs w:val="22"/>
          <w:lang w:val="lt-LT"/>
        </w:rPr>
      </w:pPr>
      <w:r w:rsidRPr="001839C2">
        <w:rPr>
          <w:snapToGrid/>
          <w:szCs w:val="22"/>
          <w:lang w:val="lt-LT"/>
        </w:rPr>
        <w:t>Sudėtyje yra laktozės</w:t>
      </w:r>
      <w:r w:rsidR="00B3265F" w:rsidRPr="001839C2">
        <w:rPr>
          <w:snapToGrid/>
          <w:szCs w:val="22"/>
          <w:lang w:val="lt-LT"/>
        </w:rPr>
        <w:t>.</w:t>
      </w:r>
    </w:p>
    <w:p w14:paraId="29C1C312" w14:textId="77777777" w:rsidR="002A5F50" w:rsidRPr="001839C2" w:rsidRDefault="002A5F50" w:rsidP="002A5F50">
      <w:pPr>
        <w:tabs>
          <w:tab w:val="clear" w:pos="567"/>
        </w:tabs>
        <w:rPr>
          <w:snapToGrid/>
          <w:szCs w:val="22"/>
          <w:lang w:val="lt-LT"/>
        </w:rPr>
      </w:pPr>
      <w:r w:rsidRPr="001839C2">
        <w:rPr>
          <w:snapToGrid/>
          <w:szCs w:val="22"/>
          <w:highlight w:val="lightGray"/>
          <w:lang w:val="lt-LT"/>
        </w:rPr>
        <w:t>Išsamesnės informacijos ieškokite pakuotės lapelyje.</w:t>
      </w:r>
    </w:p>
    <w:p w14:paraId="09655C0A" w14:textId="77777777" w:rsidR="002A5F50" w:rsidRPr="001839C2" w:rsidRDefault="002A5F50" w:rsidP="002A5F50">
      <w:pPr>
        <w:tabs>
          <w:tab w:val="clear" w:pos="567"/>
        </w:tabs>
        <w:rPr>
          <w:snapToGrid/>
          <w:szCs w:val="22"/>
          <w:lang w:val="lt-LT"/>
        </w:rPr>
      </w:pPr>
    </w:p>
    <w:p w14:paraId="10889E96" w14:textId="77777777" w:rsidR="008A6DD0" w:rsidRPr="001839C2" w:rsidRDefault="008A6DD0" w:rsidP="002A5F50">
      <w:pPr>
        <w:tabs>
          <w:tab w:val="clear" w:pos="567"/>
        </w:tabs>
        <w:rPr>
          <w:snapToGrid/>
          <w:szCs w:val="22"/>
          <w:lang w:val="lt-LT"/>
        </w:rPr>
      </w:pPr>
    </w:p>
    <w:p w14:paraId="6438A7BF" w14:textId="77777777" w:rsidR="002A5F50" w:rsidRPr="001839C2" w:rsidRDefault="002A5F50" w:rsidP="00230559">
      <w:pPr>
        <w:pBdr>
          <w:top w:val="single" w:sz="4" w:space="1" w:color="auto"/>
          <w:left w:val="single" w:sz="4" w:space="4" w:color="auto"/>
          <w:bottom w:val="single" w:sz="4" w:space="1" w:color="auto"/>
          <w:right w:val="single" w:sz="4" w:space="4" w:color="auto"/>
        </w:pBdr>
        <w:rPr>
          <w:caps/>
          <w:snapToGrid/>
          <w:szCs w:val="22"/>
          <w:lang w:val="lt-LT"/>
        </w:rPr>
      </w:pPr>
      <w:r w:rsidRPr="001839C2">
        <w:rPr>
          <w:b/>
          <w:bCs/>
          <w:snapToGrid/>
          <w:szCs w:val="22"/>
          <w:lang w:val="lt-LT"/>
        </w:rPr>
        <w:t>4.</w:t>
      </w:r>
      <w:r w:rsidRPr="001839C2">
        <w:rPr>
          <w:b/>
          <w:bCs/>
          <w:snapToGrid/>
          <w:szCs w:val="22"/>
          <w:lang w:val="lt-LT"/>
        </w:rPr>
        <w:tab/>
      </w:r>
      <w:r w:rsidRPr="001839C2">
        <w:rPr>
          <w:b/>
          <w:snapToGrid/>
          <w:szCs w:val="22"/>
          <w:lang w:val="lt-LT"/>
        </w:rPr>
        <w:t>FARMACINĖ FORMA IR KIEKIS PAKUOTĖJE</w:t>
      </w:r>
    </w:p>
    <w:p w14:paraId="6C88409F" w14:textId="77777777" w:rsidR="002A5F50" w:rsidRPr="001839C2" w:rsidRDefault="002A5F50" w:rsidP="002A5F50">
      <w:pPr>
        <w:tabs>
          <w:tab w:val="clear" w:pos="567"/>
        </w:tabs>
        <w:rPr>
          <w:caps/>
          <w:snapToGrid/>
          <w:szCs w:val="22"/>
          <w:lang w:val="lt-LT"/>
        </w:rPr>
      </w:pPr>
    </w:p>
    <w:p w14:paraId="422405BA" w14:textId="77777777" w:rsidR="002A5F50" w:rsidRPr="001839C2" w:rsidRDefault="002A5F50" w:rsidP="002A5F50">
      <w:pPr>
        <w:tabs>
          <w:tab w:val="clear" w:pos="567"/>
        </w:tabs>
        <w:rPr>
          <w:snapToGrid/>
          <w:szCs w:val="22"/>
          <w:lang w:val="lt-LT" w:eastAsia="x-none"/>
        </w:rPr>
      </w:pPr>
      <w:r w:rsidRPr="001839C2">
        <w:rPr>
          <w:snapToGrid/>
          <w:szCs w:val="22"/>
          <w:highlight w:val="lightGray"/>
          <w:lang w:val="lt-LT" w:eastAsia="x-none"/>
        </w:rPr>
        <w:t>Plėvele dengta tabletė</w:t>
      </w:r>
    </w:p>
    <w:p w14:paraId="7AFC950C" w14:textId="77777777" w:rsidR="002A5F50" w:rsidRPr="001839C2" w:rsidRDefault="002A5F50" w:rsidP="002A5F50">
      <w:pPr>
        <w:tabs>
          <w:tab w:val="clear" w:pos="567"/>
        </w:tabs>
        <w:rPr>
          <w:snapToGrid/>
          <w:szCs w:val="22"/>
          <w:lang w:val="lt-LT"/>
        </w:rPr>
      </w:pPr>
      <w:r w:rsidRPr="001839C2">
        <w:rPr>
          <w:snapToGrid/>
          <w:szCs w:val="22"/>
          <w:lang w:val="lt-LT"/>
        </w:rPr>
        <w:t>30</w:t>
      </w:r>
      <w:r w:rsidR="008A6DD0" w:rsidRPr="001839C2">
        <w:rPr>
          <w:snapToGrid/>
          <w:szCs w:val="22"/>
          <w:lang w:val="lt-LT"/>
        </w:rPr>
        <w:t> </w:t>
      </w:r>
      <w:r w:rsidRPr="001839C2">
        <w:rPr>
          <w:snapToGrid/>
          <w:szCs w:val="22"/>
          <w:lang w:val="lt-LT"/>
        </w:rPr>
        <w:t>x</w:t>
      </w:r>
      <w:r w:rsidR="008A6DD0" w:rsidRPr="001839C2">
        <w:rPr>
          <w:snapToGrid/>
          <w:szCs w:val="22"/>
          <w:lang w:val="lt-LT"/>
        </w:rPr>
        <w:t> </w:t>
      </w:r>
      <w:r w:rsidRPr="001839C2">
        <w:rPr>
          <w:snapToGrid/>
          <w:szCs w:val="22"/>
          <w:lang w:val="lt-LT"/>
        </w:rPr>
        <w:t>1 plėvele dengtų tablečių</w:t>
      </w:r>
    </w:p>
    <w:p w14:paraId="46EEDD74" w14:textId="77777777" w:rsidR="002A5F50" w:rsidRPr="001839C2" w:rsidRDefault="002A5F50" w:rsidP="002A5F50">
      <w:pPr>
        <w:tabs>
          <w:tab w:val="clear" w:pos="567"/>
        </w:tabs>
        <w:rPr>
          <w:snapToGrid/>
          <w:szCs w:val="22"/>
          <w:lang w:val="lt-LT"/>
        </w:rPr>
      </w:pPr>
    </w:p>
    <w:p w14:paraId="54B27ACA" w14:textId="77777777" w:rsidR="002A5F50" w:rsidRPr="001839C2" w:rsidRDefault="002A5F50" w:rsidP="002A5F50">
      <w:pPr>
        <w:tabs>
          <w:tab w:val="clear" w:pos="567"/>
        </w:tabs>
        <w:rPr>
          <w:snapToGrid/>
          <w:szCs w:val="22"/>
          <w:lang w:val="lt-LT"/>
        </w:rPr>
      </w:pPr>
    </w:p>
    <w:p w14:paraId="5E1D7471" w14:textId="77777777" w:rsidR="002A5F50" w:rsidRPr="001839C2" w:rsidRDefault="002A5F5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5.</w:t>
      </w:r>
      <w:r w:rsidRPr="001839C2">
        <w:rPr>
          <w:b/>
          <w:bCs/>
          <w:snapToGrid/>
          <w:szCs w:val="22"/>
          <w:lang w:val="lt-LT"/>
        </w:rPr>
        <w:tab/>
      </w:r>
      <w:r w:rsidRPr="001839C2">
        <w:rPr>
          <w:b/>
          <w:snapToGrid/>
          <w:szCs w:val="22"/>
          <w:lang w:val="lt-LT"/>
        </w:rPr>
        <w:t>VARTOJIMO METODAS IR BŪDAS</w:t>
      </w:r>
      <w:r w:rsidR="008D650D" w:rsidRPr="001839C2">
        <w:rPr>
          <w:b/>
          <w:snapToGrid/>
          <w:szCs w:val="22"/>
          <w:lang w:val="lt-LT"/>
        </w:rPr>
        <w:t> </w:t>
      </w:r>
      <w:r w:rsidRPr="001839C2">
        <w:rPr>
          <w:b/>
          <w:snapToGrid/>
          <w:szCs w:val="22"/>
          <w:lang w:val="lt-LT"/>
        </w:rPr>
        <w:t>(</w:t>
      </w:r>
      <w:r w:rsidR="008D650D" w:rsidRPr="001839C2">
        <w:rPr>
          <w:b/>
          <w:snapToGrid/>
          <w:szCs w:val="22"/>
          <w:lang w:val="lt-LT"/>
        </w:rPr>
        <w:noBreakHyphen/>
      </w:r>
      <w:r w:rsidRPr="001839C2">
        <w:rPr>
          <w:b/>
          <w:snapToGrid/>
          <w:szCs w:val="22"/>
          <w:lang w:val="lt-LT"/>
        </w:rPr>
        <w:t>AI)</w:t>
      </w:r>
    </w:p>
    <w:p w14:paraId="2B0903D2" w14:textId="77777777" w:rsidR="002A5F50" w:rsidRPr="001839C2" w:rsidRDefault="002A5F50" w:rsidP="002A5F50">
      <w:pPr>
        <w:tabs>
          <w:tab w:val="clear" w:pos="567"/>
        </w:tabs>
        <w:rPr>
          <w:snapToGrid/>
          <w:szCs w:val="22"/>
          <w:lang w:val="lt-LT"/>
        </w:rPr>
      </w:pPr>
    </w:p>
    <w:p w14:paraId="13E450EE" w14:textId="77777777" w:rsidR="002A5F50" w:rsidRPr="001839C2" w:rsidRDefault="00031199" w:rsidP="002A5F50">
      <w:pPr>
        <w:tabs>
          <w:tab w:val="clear" w:pos="567"/>
        </w:tabs>
        <w:rPr>
          <w:snapToGrid/>
          <w:szCs w:val="22"/>
          <w:lang w:val="lt-LT"/>
        </w:rPr>
      </w:pPr>
      <w:r w:rsidRPr="001839C2">
        <w:rPr>
          <w:snapToGrid/>
          <w:szCs w:val="22"/>
          <w:lang w:val="lt-LT"/>
        </w:rPr>
        <w:t>Vartoti p</w:t>
      </w:r>
      <w:r w:rsidR="002A5F50" w:rsidRPr="001839C2">
        <w:rPr>
          <w:snapToGrid/>
          <w:szCs w:val="22"/>
          <w:lang w:val="lt-LT"/>
        </w:rPr>
        <w:t>er burną</w:t>
      </w:r>
      <w:r w:rsidR="00B3265F" w:rsidRPr="001839C2">
        <w:rPr>
          <w:snapToGrid/>
          <w:szCs w:val="22"/>
          <w:lang w:val="lt-LT"/>
        </w:rPr>
        <w:t>.</w:t>
      </w:r>
    </w:p>
    <w:p w14:paraId="3901726F" w14:textId="77777777" w:rsidR="002A5F50" w:rsidRPr="001839C2" w:rsidRDefault="002A5F50" w:rsidP="002A5F50">
      <w:pPr>
        <w:tabs>
          <w:tab w:val="clear" w:pos="567"/>
        </w:tabs>
        <w:rPr>
          <w:snapToGrid/>
          <w:szCs w:val="22"/>
          <w:lang w:val="lt-LT"/>
        </w:rPr>
      </w:pPr>
      <w:r w:rsidRPr="001839C2">
        <w:rPr>
          <w:snapToGrid/>
          <w:szCs w:val="22"/>
          <w:lang w:val="lt-LT"/>
        </w:rPr>
        <w:t>Prieš varto</w:t>
      </w:r>
      <w:r w:rsidR="00031199" w:rsidRPr="001839C2">
        <w:rPr>
          <w:snapToGrid/>
          <w:szCs w:val="22"/>
          <w:lang w:val="lt-LT"/>
        </w:rPr>
        <w:t>jimą</w:t>
      </w:r>
      <w:r w:rsidRPr="001839C2">
        <w:rPr>
          <w:snapToGrid/>
          <w:szCs w:val="22"/>
          <w:lang w:val="lt-LT"/>
        </w:rPr>
        <w:t xml:space="preserve"> perskai</w:t>
      </w:r>
      <w:r w:rsidR="00031199" w:rsidRPr="001839C2">
        <w:rPr>
          <w:snapToGrid/>
          <w:szCs w:val="22"/>
          <w:lang w:val="lt-LT"/>
        </w:rPr>
        <w:t>tykite</w:t>
      </w:r>
      <w:r w:rsidRPr="001839C2">
        <w:rPr>
          <w:snapToGrid/>
          <w:szCs w:val="22"/>
          <w:lang w:val="lt-LT"/>
        </w:rPr>
        <w:t xml:space="preserve"> pakuotės lapelį.</w:t>
      </w:r>
    </w:p>
    <w:p w14:paraId="078FDA1B" w14:textId="77777777" w:rsidR="002A5F50" w:rsidRPr="001839C2" w:rsidRDefault="002A5F50" w:rsidP="002A5F50">
      <w:pPr>
        <w:tabs>
          <w:tab w:val="clear" w:pos="567"/>
        </w:tabs>
        <w:rPr>
          <w:snapToGrid/>
          <w:szCs w:val="22"/>
          <w:lang w:val="lt-LT"/>
        </w:rPr>
      </w:pPr>
    </w:p>
    <w:p w14:paraId="34AEDFC1" w14:textId="77777777" w:rsidR="008A6DD0" w:rsidRPr="001839C2" w:rsidRDefault="008A6DD0" w:rsidP="002A5F50">
      <w:pPr>
        <w:tabs>
          <w:tab w:val="clear" w:pos="567"/>
        </w:tabs>
        <w:rPr>
          <w:snapToGrid/>
          <w:szCs w:val="22"/>
          <w:lang w:val="lt-LT"/>
        </w:rPr>
      </w:pPr>
    </w:p>
    <w:p w14:paraId="33CAAD74" w14:textId="77777777" w:rsidR="002A5F50" w:rsidRPr="001839C2" w:rsidRDefault="002A5F50" w:rsidP="00230559">
      <w:pPr>
        <w:pBdr>
          <w:top w:val="single" w:sz="4" w:space="1" w:color="auto"/>
          <w:left w:val="single" w:sz="4" w:space="4" w:color="auto"/>
          <w:bottom w:val="single" w:sz="4" w:space="1" w:color="auto"/>
          <w:right w:val="single" w:sz="4" w:space="4" w:color="auto"/>
        </w:pBdr>
        <w:ind w:left="567" w:hanging="567"/>
        <w:rPr>
          <w:b/>
          <w:bCs/>
          <w:snapToGrid/>
          <w:szCs w:val="22"/>
          <w:lang w:val="lt-LT"/>
        </w:rPr>
      </w:pPr>
      <w:r w:rsidRPr="001839C2">
        <w:rPr>
          <w:b/>
          <w:bCs/>
          <w:snapToGrid/>
          <w:szCs w:val="22"/>
          <w:lang w:val="lt-LT"/>
        </w:rPr>
        <w:t>6.</w:t>
      </w:r>
      <w:r w:rsidRPr="001839C2">
        <w:rPr>
          <w:b/>
          <w:bCs/>
          <w:snapToGrid/>
          <w:szCs w:val="22"/>
          <w:lang w:val="lt-LT"/>
        </w:rPr>
        <w:tab/>
        <w:t>SPECIALUS ĮSPĖJIMAS, KAD VAISTINĮ PREPARATĄ BŪTINA LAIKYTI VAIKAMS NEPASTEBIMOJE IR NEPASIEKIAMOJE VIETOJE</w:t>
      </w:r>
    </w:p>
    <w:p w14:paraId="016D19C7" w14:textId="77777777" w:rsidR="002A5F50" w:rsidRPr="001839C2" w:rsidRDefault="002A5F50" w:rsidP="002A5F50">
      <w:pPr>
        <w:tabs>
          <w:tab w:val="clear" w:pos="567"/>
        </w:tabs>
        <w:rPr>
          <w:snapToGrid/>
          <w:szCs w:val="22"/>
          <w:lang w:val="lt-LT"/>
        </w:rPr>
      </w:pPr>
    </w:p>
    <w:p w14:paraId="5182AA94" w14:textId="77777777" w:rsidR="002A5F50" w:rsidRPr="001839C2" w:rsidRDefault="002A5F50" w:rsidP="002A5F50">
      <w:pPr>
        <w:tabs>
          <w:tab w:val="clear" w:pos="567"/>
        </w:tabs>
        <w:outlineLvl w:val="0"/>
        <w:rPr>
          <w:snapToGrid/>
          <w:szCs w:val="22"/>
          <w:lang w:val="lt-LT"/>
        </w:rPr>
      </w:pPr>
      <w:r w:rsidRPr="001839C2">
        <w:rPr>
          <w:snapToGrid/>
          <w:szCs w:val="22"/>
          <w:lang w:val="lt-LT"/>
        </w:rPr>
        <w:t>Laikyti vaikams nepastebimoje ir nepasiekiamoje vietoje.</w:t>
      </w:r>
    </w:p>
    <w:p w14:paraId="1CD6CDF4" w14:textId="77777777" w:rsidR="002A5F50" w:rsidRPr="001839C2" w:rsidRDefault="002A5F50" w:rsidP="002A5F50">
      <w:pPr>
        <w:tabs>
          <w:tab w:val="clear" w:pos="567"/>
        </w:tabs>
        <w:rPr>
          <w:snapToGrid/>
          <w:szCs w:val="22"/>
          <w:lang w:val="lt-LT"/>
        </w:rPr>
      </w:pPr>
    </w:p>
    <w:p w14:paraId="77A7D4F1" w14:textId="77777777" w:rsidR="008A6DD0" w:rsidRPr="001839C2" w:rsidRDefault="008A6DD0" w:rsidP="002A5F50">
      <w:pPr>
        <w:tabs>
          <w:tab w:val="clear" w:pos="567"/>
        </w:tabs>
        <w:rPr>
          <w:snapToGrid/>
          <w:szCs w:val="22"/>
          <w:lang w:val="lt-LT"/>
        </w:rPr>
      </w:pPr>
    </w:p>
    <w:p w14:paraId="7CA11071" w14:textId="77777777" w:rsidR="002A5F50" w:rsidRPr="001839C2" w:rsidRDefault="002A5F5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7.</w:t>
      </w:r>
      <w:r w:rsidRPr="001839C2">
        <w:rPr>
          <w:b/>
          <w:bCs/>
          <w:snapToGrid/>
          <w:szCs w:val="22"/>
          <w:lang w:val="lt-LT"/>
        </w:rPr>
        <w:tab/>
      </w:r>
      <w:r w:rsidRPr="001839C2">
        <w:rPr>
          <w:b/>
          <w:snapToGrid/>
          <w:szCs w:val="22"/>
          <w:lang w:val="lt-LT"/>
        </w:rPr>
        <w:t>KITAS</w:t>
      </w:r>
      <w:r w:rsidR="008D650D" w:rsidRPr="001839C2">
        <w:rPr>
          <w:b/>
          <w:snapToGrid/>
          <w:szCs w:val="22"/>
          <w:lang w:val="lt-LT"/>
        </w:rPr>
        <w:t> </w:t>
      </w:r>
      <w:r w:rsidRPr="001839C2">
        <w:rPr>
          <w:b/>
          <w:snapToGrid/>
          <w:szCs w:val="22"/>
          <w:lang w:val="lt-LT"/>
        </w:rPr>
        <w:t>(</w:t>
      </w:r>
      <w:r w:rsidR="008D650D" w:rsidRPr="001839C2">
        <w:rPr>
          <w:b/>
          <w:snapToGrid/>
          <w:szCs w:val="22"/>
          <w:lang w:val="lt-LT"/>
        </w:rPr>
        <w:noBreakHyphen/>
      </w:r>
      <w:r w:rsidRPr="001839C2">
        <w:rPr>
          <w:b/>
          <w:snapToGrid/>
          <w:szCs w:val="22"/>
          <w:lang w:val="lt-LT"/>
        </w:rPr>
        <w:t>I) SPECIALUS</w:t>
      </w:r>
      <w:r w:rsidR="008D650D" w:rsidRPr="001839C2">
        <w:rPr>
          <w:b/>
          <w:snapToGrid/>
          <w:szCs w:val="22"/>
          <w:lang w:val="lt-LT"/>
        </w:rPr>
        <w:t> </w:t>
      </w:r>
      <w:r w:rsidRPr="001839C2">
        <w:rPr>
          <w:b/>
          <w:snapToGrid/>
          <w:szCs w:val="22"/>
          <w:lang w:val="lt-LT"/>
        </w:rPr>
        <w:t>(</w:t>
      </w:r>
      <w:r w:rsidR="008D650D" w:rsidRPr="001839C2">
        <w:rPr>
          <w:b/>
          <w:snapToGrid/>
          <w:szCs w:val="22"/>
          <w:lang w:val="lt-LT"/>
        </w:rPr>
        <w:noBreakHyphen/>
      </w:r>
      <w:r w:rsidRPr="001839C2">
        <w:rPr>
          <w:b/>
          <w:snapToGrid/>
          <w:szCs w:val="22"/>
          <w:lang w:val="lt-LT"/>
        </w:rPr>
        <w:t>ŪS) ĮSPĖJIMAS</w:t>
      </w:r>
      <w:r w:rsidR="008D650D" w:rsidRPr="001839C2">
        <w:rPr>
          <w:b/>
          <w:snapToGrid/>
          <w:szCs w:val="22"/>
          <w:lang w:val="lt-LT"/>
        </w:rPr>
        <w:t> </w:t>
      </w:r>
      <w:r w:rsidRPr="001839C2">
        <w:rPr>
          <w:b/>
          <w:snapToGrid/>
          <w:szCs w:val="22"/>
          <w:lang w:val="lt-LT"/>
        </w:rPr>
        <w:t>(</w:t>
      </w:r>
      <w:r w:rsidR="008D650D" w:rsidRPr="001839C2">
        <w:rPr>
          <w:b/>
          <w:snapToGrid/>
          <w:szCs w:val="22"/>
          <w:lang w:val="lt-LT"/>
        </w:rPr>
        <w:noBreakHyphen/>
      </w:r>
      <w:r w:rsidRPr="001839C2">
        <w:rPr>
          <w:b/>
          <w:snapToGrid/>
          <w:szCs w:val="22"/>
          <w:lang w:val="lt-LT"/>
        </w:rPr>
        <w:t>AI) (JEI REIKIA)</w:t>
      </w:r>
    </w:p>
    <w:p w14:paraId="4A00B8A9" w14:textId="77777777" w:rsidR="002A5F50" w:rsidRPr="001839C2" w:rsidRDefault="002A5F50" w:rsidP="002A5F50">
      <w:pPr>
        <w:tabs>
          <w:tab w:val="clear" w:pos="567"/>
        </w:tabs>
        <w:rPr>
          <w:snapToGrid/>
          <w:szCs w:val="22"/>
          <w:lang w:val="lt-LT"/>
        </w:rPr>
      </w:pPr>
    </w:p>
    <w:p w14:paraId="18B8FDBE" w14:textId="77777777" w:rsidR="002A5F50" w:rsidRPr="001839C2" w:rsidRDefault="002A5F50" w:rsidP="002A5F50">
      <w:pPr>
        <w:tabs>
          <w:tab w:val="clear" w:pos="567"/>
        </w:tabs>
        <w:rPr>
          <w:snapToGrid/>
          <w:szCs w:val="22"/>
          <w:lang w:val="lt-LT"/>
        </w:rPr>
      </w:pPr>
    </w:p>
    <w:p w14:paraId="0BEB2D68" w14:textId="77777777" w:rsidR="002A5F50" w:rsidRPr="001839C2" w:rsidRDefault="002A5F5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8.</w:t>
      </w:r>
      <w:r w:rsidRPr="001839C2">
        <w:rPr>
          <w:b/>
          <w:bCs/>
          <w:snapToGrid/>
          <w:szCs w:val="22"/>
          <w:lang w:val="lt-LT"/>
        </w:rPr>
        <w:tab/>
      </w:r>
      <w:r w:rsidRPr="001839C2">
        <w:rPr>
          <w:b/>
          <w:snapToGrid/>
          <w:szCs w:val="22"/>
          <w:lang w:val="lt-LT"/>
        </w:rPr>
        <w:t>TINKAMUMO LAIKAS</w:t>
      </w:r>
    </w:p>
    <w:p w14:paraId="583997EA" w14:textId="77777777" w:rsidR="002A5F50" w:rsidRPr="001839C2" w:rsidRDefault="002A5F50" w:rsidP="002A5F50">
      <w:pPr>
        <w:tabs>
          <w:tab w:val="clear" w:pos="567"/>
        </w:tabs>
        <w:rPr>
          <w:snapToGrid/>
          <w:szCs w:val="22"/>
          <w:lang w:val="lt-LT"/>
        </w:rPr>
      </w:pPr>
    </w:p>
    <w:p w14:paraId="3485E17F" w14:textId="77777777" w:rsidR="002A5F50" w:rsidRPr="001839C2" w:rsidRDefault="002A5F50" w:rsidP="002A5F50">
      <w:pPr>
        <w:tabs>
          <w:tab w:val="clear" w:pos="567"/>
        </w:tabs>
        <w:rPr>
          <w:snapToGrid/>
          <w:szCs w:val="22"/>
          <w:lang w:val="lt-LT"/>
        </w:rPr>
      </w:pPr>
      <w:r w:rsidRPr="001839C2">
        <w:rPr>
          <w:snapToGrid/>
          <w:szCs w:val="22"/>
          <w:lang w:val="lt-LT"/>
        </w:rPr>
        <w:t>EXP</w:t>
      </w:r>
      <w:r w:rsidR="00FD2F80" w:rsidRPr="001839C2">
        <w:rPr>
          <w:snapToGrid/>
          <w:szCs w:val="22"/>
          <w:lang w:val="lt-LT"/>
        </w:rPr>
        <w:t xml:space="preserve"> </w:t>
      </w:r>
      <w:r w:rsidR="00FD2F80" w:rsidRPr="001839C2">
        <w:rPr>
          <w:snapToGrid/>
          <w:szCs w:val="22"/>
          <w:lang w:val="lt-LT" w:eastAsia="x-none"/>
        </w:rPr>
        <w:t>{mm/MMMM}</w:t>
      </w:r>
    </w:p>
    <w:p w14:paraId="0F2897C9" w14:textId="77777777" w:rsidR="002A5F50" w:rsidRPr="001839C2" w:rsidRDefault="002A5F50" w:rsidP="002A5F50">
      <w:pPr>
        <w:tabs>
          <w:tab w:val="clear" w:pos="567"/>
        </w:tabs>
        <w:rPr>
          <w:snapToGrid/>
          <w:szCs w:val="22"/>
          <w:lang w:val="lt-LT"/>
        </w:rPr>
      </w:pPr>
    </w:p>
    <w:p w14:paraId="2353BAE9" w14:textId="77777777" w:rsidR="008A6DD0" w:rsidRPr="001839C2" w:rsidRDefault="008A6DD0" w:rsidP="002A5F50">
      <w:pPr>
        <w:tabs>
          <w:tab w:val="clear" w:pos="567"/>
        </w:tabs>
        <w:rPr>
          <w:snapToGrid/>
          <w:szCs w:val="22"/>
          <w:lang w:val="lt-LT"/>
        </w:rPr>
      </w:pPr>
    </w:p>
    <w:p w14:paraId="5E363BA8" w14:textId="77777777" w:rsidR="002A5F50" w:rsidRPr="001839C2" w:rsidRDefault="002A5F50" w:rsidP="00230559">
      <w:pPr>
        <w:pBdr>
          <w:top w:val="single" w:sz="4" w:space="1" w:color="auto"/>
          <w:left w:val="single" w:sz="4" w:space="4" w:color="auto"/>
          <w:bottom w:val="single" w:sz="4" w:space="1" w:color="auto"/>
          <w:right w:val="single" w:sz="4" w:space="4" w:color="auto"/>
        </w:pBdr>
        <w:rPr>
          <w:b/>
          <w:snapToGrid/>
          <w:szCs w:val="22"/>
          <w:lang w:val="lt-LT"/>
        </w:rPr>
      </w:pPr>
      <w:r w:rsidRPr="001839C2">
        <w:rPr>
          <w:b/>
          <w:snapToGrid/>
          <w:szCs w:val="22"/>
          <w:lang w:val="lt-LT"/>
        </w:rPr>
        <w:t>9.</w:t>
      </w:r>
      <w:r w:rsidRPr="001839C2">
        <w:rPr>
          <w:b/>
          <w:snapToGrid/>
          <w:szCs w:val="22"/>
          <w:lang w:val="lt-LT"/>
        </w:rPr>
        <w:tab/>
        <w:t>SPECIALIOS LAIKYMO SĄLYGOS</w:t>
      </w:r>
    </w:p>
    <w:p w14:paraId="619B9304" w14:textId="77777777" w:rsidR="002A5F50" w:rsidRPr="001839C2" w:rsidRDefault="002A5F50" w:rsidP="002A5F50">
      <w:pPr>
        <w:tabs>
          <w:tab w:val="clear" w:pos="567"/>
        </w:tabs>
        <w:rPr>
          <w:snapToGrid/>
          <w:szCs w:val="22"/>
          <w:lang w:val="lt-LT"/>
        </w:rPr>
      </w:pPr>
    </w:p>
    <w:p w14:paraId="2863EB61" w14:textId="77777777" w:rsidR="002A5F50" w:rsidRPr="001839C2" w:rsidRDefault="002A5F50" w:rsidP="002A5F50">
      <w:pPr>
        <w:tabs>
          <w:tab w:val="clear" w:pos="567"/>
        </w:tabs>
        <w:rPr>
          <w:snapToGrid/>
          <w:szCs w:val="22"/>
          <w:lang w:val="lt-LT" w:eastAsia="x-none"/>
        </w:rPr>
      </w:pPr>
      <w:r w:rsidRPr="001839C2">
        <w:rPr>
          <w:snapToGrid/>
          <w:szCs w:val="22"/>
          <w:lang w:val="lt-LT" w:eastAsia="x-none"/>
        </w:rPr>
        <w:t>Laikyti žemesnėje kaip 30</w:t>
      </w:r>
      <w:r w:rsidR="008D650D" w:rsidRPr="001839C2">
        <w:rPr>
          <w:snapToGrid/>
          <w:szCs w:val="22"/>
          <w:lang w:val="lt-LT" w:eastAsia="x-none"/>
        </w:rPr>
        <w:t> </w:t>
      </w:r>
      <w:r w:rsidRPr="001839C2">
        <w:rPr>
          <w:snapToGrid/>
          <w:szCs w:val="22"/>
          <w:lang w:val="lt-LT" w:eastAsia="x-none"/>
        </w:rPr>
        <w:t>ºC temperatūroje.</w:t>
      </w:r>
    </w:p>
    <w:p w14:paraId="1C49A36F" w14:textId="77777777" w:rsidR="002A5F50" w:rsidRPr="001839C2" w:rsidRDefault="002A5F50" w:rsidP="002A5F50">
      <w:pPr>
        <w:tabs>
          <w:tab w:val="clear" w:pos="567"/>
        </w:tabs>
        <w:rPr>
          <w:snapToGrid/>
          <w:szCs w:val="22"/>
          <w:lang w:val="lt-LT" w:eastAsia="x-none"/>
        </w:rPr>
      </w:pPr>
    </w:p>
    <w:p w14:paraId="500F9FD5" w14:textId="77777777" w:rsidR="008A6DD0" w:rsidRPr="001839C2" w:rsidRDefault="008A6DD0" w:rsidP="002A5F50">
      <w:pPr>
        <w:tabs>
          <w:tab w:val="clear" w:pos="567"/>
        </w:tabs>
        <w:rPr>
          <w:snapToGrid/>
          <w:szCs w:val="22"/>
          <w:lang w:val="lt-LT" w:eastAsia="x-none"/>
        </w:rPr>
      </w:pPr>
    </w:p>
    <w:p w14:paraId="0273854D" w14:textId="77777777" w:rsidR="002A5F50" w:rsidRPr="001839C2" w:rsidRDefault="002A5F50" w:rsidP="00230559">
      <w:pPr>
        <w:pBdr>
          <w:top w:val="single" w:sz="4" w:space="1" w:color="auto"/>
          <w:left w:val="single" w:sz="4" w:space="4" w:color="auto"/>
          <w:bottom w:val="single" w:sz="4" w:space="1" w:color="auto"/>
          <w:right w:val="single" w:sz="4" w:space="4" w:color="auto"/>
        </w:pBdr>
        <w:ind w:left="567" w:hanging="567"/>
        <w:rPr>
          <w:b/>
          <w:bCs/>
          <w:snapToGrid/>
          <w:szCs w:val="22"/>
          <w:lang w:val="lt-LT"/>
        </w:rPr>
      </w:pPr>
      <w:r w:rsidRPr="001839C2">
        <w:rPr>
          <w:b/>
          <w:bCs/>
          <w:snapToGrid/>
          <w:szCs w:val="22"/>
          <w:lang w:val="lt-LT"/>
        </w:rPr>
        <w:t>10.</w:t>
      </w:r>
      <w:r w:rsidRPr="001839C2">
        <w:rPr>
          <w:b/>
          <w:bCs/>
          <w:snapToGrid/>
          <w:szCs w:val="22"/>
          <w:lang w:val="lt-LT"/>
        </w:rPr>
        <w:tab/>
        <w:t>SPECIALIOS ATSARGUMO PRIEMONĖS DĖL NESUVARTOTO VAISTINIO PREPARATO AR JO ATLIEKŲ TVARKYMO (JEI REIKIA)</w:t>
      </w:r>
    </w:p>
    <w:p w14:paraId="24CD8310" w14:textId="77777777" w:rsidR="002A5F50" w:rsidRPr="001839C2" w:rsidRDefault="002A5F50" w:rsidP="002A5F50">
      <w:pPr>
        <w:tabs>
          <w:tab w:val="clear" w:pos="567"/>
        </w:tabs>
        <w:rPr>
          <w:snapToGrid/>
          <w:szCs w:val="22"/>
          <w:lang w:val="lt-LT"/>
        </w:rPr>
      </w:pPr>
    </w:p>
    <w:p w14:paraId="7B29B71B" w14:textId="77777777" w:rsidR="002A5F50" w:rsidRPr="001839C2" w:rsidRDefault="002A5F50" w:rsidP="002A5F50">
      <w:pPr>
        <w:tabs>
          <w:tab w:val="clear" w:pos="567"/>
        </w:tabs>
        <w:rPr>
          <w:snapToGrid/>
          <w:szCs w:val="22"/>
          <w:lang w:val="lt-LT"/>
        </w:rPr>
      </w:pPr>
    </w:p>
    <w:p w14:paraId="0A6283CB" w14:textId="77777777" w:rsidR="002A5F50" w:rsidRPr="001839C2" w:rsidRDefault="002A5F50" w:rsidP="00230559">
      <w:pPr>
        <w:pBdr>
          <w:top w:val="single" w:sz="4" w:space="1" w:color="auto"/>
          <w:left w:val="single" w:sz="4" w:space="4" w:color="auto"/>
          <w:bottom w:val="single" w:sz="4" w:space="1" w:color="auto"/>
          <w:right w:val="single" w:sz="4" w:space="4" w:color="auto"/>
        </w:pBdr>
        <w:ind w:left="748" w:hanging="748"/>
        <w:rPr>
          <w:b/>
          <w:bCs/>
          <w:snapToGrid/>
          <w:szCs w:val="22"/>
          <w:lang w:val="lt-LT"/>
        </w:rPr>
      </w:pPr>
      <w:r w:rsidRPr="001839C2">
        <w:rPr>
          <w:b/>
          <w:bCs/>
          <w:snapToGrid/>
          <w:szCs w:val="22"/>
          <w:lang w:val="lt-LT"/>
        </w:rPr>
        <w:t>11.</w:t>
      </w:r>
      <w:r w:rsidRPr="001839C2">
        <w:rPr>
          <w:b/>
          <w:bCs/>
          <w:snapToGrid/>
          <w:szCs w:val="22"/>
          <w:lang w:val="lt-LT"/>
        </w:rPr>
        <w:tab/>
        <w:t>REGISTRUOTOJO PAVADINIMAS IR ADRESAS</w:t>
      </w:r>
    </w:p>
    <w:p w14:paraId="0066B554" w14:textId="77777777" w:rsidR="002A5F50" w:rsidRPr="001839C2" w:rsidRDefault="002A5F50" w:rsidP="002A5F50">
      <w:pPr>
        <w:tabs>
          <w:tab w:val="clear" w:pos="567"/>
        </w:tabs>
        <w:rPr>
          <w:snapToGrid/>
          <w:szCs w:val="22"/>
          <w:lang w:val="lt-LT"/>
        </w:rPr>
      </w:pPr>
    </w:p>
    <w:p w14:paraId="7F46FBED" w14:textId="77777777" w:rsidR="002A5F50" w:rsidRPr="001839C2" w:rsidRDefault="002A5F50" w:rsidP="002A5F50">
      <w:pPr>
        <w:tabs>
          <w:tab w:val="clear" w:pos="567"/>
        </w:tabs>
        <w:rPr>
          <w:snapToGrid/>
          <w:szCs w:val="22"/>
          <w:lang w:val="lt-LT"/>
        </w:rPr>
      </w:pPr>
      <w:r w:rsidRPr="001839C2">
        <w:rPr>
          <w:snapToGrid/>
          <w:szCs w:val="22"/>
          <w:lang w:val="lt-LT"/>
        </w:rPr>
        <w:t>Accord Healthcare B.V.</w:t>
      </w:r>
    </w:p>
    <w:p w14:paraId="613BBDF1" w14:textId="77777777" w:rsidR="002A5F50" w:rsidRPr="001839C2" w:rsidRDefault="002A5F50" w:rsidP="002A5F50">
      <w:pPr>
        <w:tabs>
          <w:tab w:val="clear" w:pos="567"/>
        </w:tabs>
        <w:rPr>
          <w:snapToGrid/>
          <w:szCs w:val="22"/>
          <w:lang w:val="lt-LT"/>
        </w:rPr>
      </w:pPr>
      <w:r w:rsidRPr="001839C2">
        <w:rPr>
          <w:snapToGrid/>
          <w:szCs w:val="22"/>
          <w:lang w:val="lt-LT"/>
        </w:rPr>
        <w:t>Winthontlaan</w:t>
      </w:r>
      <w:r w:rsidR="008D650D" w:rsidRPr="001839C2">
        <w:rPr>
          <w:snapToGrid/>
          <w:szCs w:val="22"/>
          <w:lang w:val="lt-LT"/>
        </w:rPr>
        <w:t> </w:t>
      </w:r>
      <w:r w:rsidRPr="001839C2">
        <w:rPr>
          <w:snapToGrid/>
          <w:szCs w:val="22"/>
          <w:lang w:val="lt-LT"/>
        </w:rPr>
        <w:t>200</w:t>
      </w:r>
    </w:p>
    <w:p w14:paraId="4BF29EBE" w14:textId="77777777" w:rsidR="002A5F50" w:rsidRPr="001839C2" w:rsidRDefault="002A5F50" w:rsidP="002A5F50">
      <w:pPr>
        <w:tabs>
          <w:tab w:val="clear" w:pos="567"/>
        </w:tabs>
        <w:rPr>
          <w:snapToGrid/>
          <w:szCs w:val="22"/>
          <w:lang w:val="lt-LT"/>
        </w:rPr>
      </w:pPr>
      <w:r w:rsidRPr="001839C2">
        <w:rPr>
          <w:snapToGrid/>
          <w:szCs w:val="22"/>
          <w:lang w:val="lt-LT"/>
        </w:rPr>
        <w:t>3526</w:t>
      </w:r>
      <w:r w:rsidR="008D650D" w:rsidRPr="001839C2">
        <w:rPr>
          <w:snapToGrid/>
          <w:szCs w:val="22"/>
          <w:lang w:val="lt-LT"/>
        </w:rPr>
        <w:t> </w:t>
      </w:r>
      <w:r w:rsidRPr="001839C2">
        <w:rPr>
          <w:snapToGrid/>
          <w:szCs w:val="22"/>
          <w:lang w:val="lt-LT"/>
        </w:rPr>
        <w:t>KV</w:t>
      </w:r>
      <w:r w:rsidR="008D650D" w:rsidRPr="001839C2">
        <w:rPr>
          <w:snapToGrid/>
          <w:szCs w:val="22"/>
          <w:lang w:val="lt-LT"/>
        </w:rPr>
        <w:t> </w:t>
      </w:r>
      <w:r w:rsidRPr="001839C2">
        <w:rPr>
          <w:snapToGrid/>
          <w:szCs w:val="22"/>
          <w:lang w:val="lt-LT"/>
        </w:rPr>
        <w:t>Utrecht</w:t>
      </w:r>
    </w:p>
    <w:p w14:paraId="35C0B0D9" w14:textId="77777777" w:rsidR="002A5F50" w:rsidRPr="001839C2" w:rsidRDefault="002A5F50" w:rsidP="002A5F50">
      <w:pPr>
        <w:tabs>
          <w:tab w:val="clear" w:pos="567"/>
        </w:tabs>
        <w:rPr>
          <w:snapToGrid/>
          <w:szCs w:val="22"/>
          <w:lang w:val="lt-LT"/>
        </w:rPr>
      </w:pPr>
      <w:r w:rsidRPr="001839C2">
        <w:rPr>
          <w:szCs w:val="22"/>
          <w:lang w:val="lt-LT"/>
        </w:rPr>
        <w:t>Nyderlandai</w:t>
      </w:r>
    </w:p>
    <w:p w14:paraId="3C4D35CC" w14:textId="77777777" w:rsidR="002A5F50" w:rsidRPr="001839C2" w:rsidRDefault="002A5F50" w:rsidP="002A5F50">
      <w:pPr>
        <w:tabs>
          <w:tab w:val="clear" w:pos="567"/>
        </w:tabs>
        <w:rPr>
          <w:snapToGrid/>
          <w:szCs w:val="22"/>
          <w:lang w:val="lt-LT"/>
        </w:rPr>
      </w:pPr>
    </w:p>
    <w:p w14:paraId="79159917" w14:textId="77777777" w:rsidR="008A6DD0" w:rsidRPr="001839C2" w:rsidRDefault="008A6DD0" w:rsidP="002A5F50">
      <w:pPr>
        <w:tabs>
          <w:tab w:val="clear" w:pos="567"/>
        </w:tabs>
        <w:rPr>
          <w:snapToGrid/>
          <w:szCs w:val="22"/>
          <w:lang w:val="lt-LT"/>
        </w:rPr>
      </w:pPr>
    </w:p>
    <w:p w14:paraId="4C9EFA38" w14:textId="77777777" w:rsidR="002A5F50" w:rsidRPr="001839C2" w:rsidRDefault="002A5F50" w:rsidP="00230559">
      <w:pPr>
        <w:pBdr>
          <w:top w:val="single" w:sz="4" w:space="1" w:color="auto"/>
          <w:left w:val="single" w:sz="4" w:space="4" w:color="auto"/>
          <w:bottom w:val="single" w:sz="4" w:space="1" w:color="auto"/>
          <w:right w:val="single" w:sz="4" w:space="4" w:color="auto"/>
        </w:pBdr>
        <w:ind w:left="748" w:hanging="748"/>
        <w:rPr>
          <w:rFonts w:ascii="Times New Roman Bold" w:hAnsi="Times New Roman Bold"/>
          <w:b/>
          <w:bCs/>
          <w:caps/>
          <w:snapToGrid/>
          <w:szCs w:val="22"/>
          <w:lang w:val="lt-LT"/>
        </w:rPr>
      </w:pPr>
      <w:r w:rsidRPr="001839C2">
        <w:rPr>
          <w:rFonts w:ascii="Times New Roman Bold" w:hAnsi="Times New Roman Bold"/>
          <w:b/>
          <w:bCs/>
          <w:caps/>
          <w:snapToGrid/>
          <w:szCs w:val="22"/>
          <w:lang w:val="lt-LT"/>
        </w:rPr>
        <w:t>12.</w:t>
      </w:r>
      <w:r w:rsidRPr="001839C2">
        <w:rPr>
          <w:rFonts w:ascii="Times New Roman Bold" w:hAnsi="Times New Roman Bold"/>
          <w:b/>
          <w:bCs/>
          <w:caps/>
          <w:snapToGrid/>
          <w:szCs w:val="22"/>
          <w:lang w:val="lt-LT"/>
        </w:rPr>
        <w:tab/>
      </w:r>
      <w:r w:rsidRPr="001839C2">
        <w:rPr>
          <w:b/>
          <w:bCs/>
          <w:snapToGrid/>
          <w:szCs w:val="22"/>
          <w:lang w:val="lt-LT"/>
        </w:rPr>
        <w:t>REGISTRACIJOS PAŽYMĖJIMO NUMERIS</w:t>
      </w:r>
      <w:r w:rsidR="008D650D" w:rsidRPr="001839C2">
        <w:rPr>
          <w:b/>
          <w:bCs/>
          <w:snapToGrid/>
          <w:szCs w:val="22"/>
          <w:lang w:val="lt-LT"/>
        </w:rPr>
        <w:t> </w:t>
      </w:r>
      <w:r w:rsidRPr="001839C2">
        <w:rPr>
          <w:b/>
          <w:bCs/>
          <w:snapToGrid/>
          <w:szCs w:val="22"/>
          <w:lang w:val="lt-LT"/>
        </w:rPr>
        <w:t>(</w:t>
      </w:r>
      <w:r w:rsidR="008D650D" w:rsidRPr="001839C2">
        <w:rPr>
          <w:b/>
          <w:bCs/>
          <w:snapToGrid/>
          <w:szCs w:val="22"/>
          <w:lang w:val="lt-LT"/>
        </w:rPr>
        <w:noBreakHyphen/>
      </w:r>
      <w:r w:rsidRPr="001839C2">
        <w:rPr>
          <w:b/>
          <w:bCs/>
          <w:snapToGrid/>
          <w:szCs w:val="22"/>
          <w:lang w:val="lt-LT"/>
        </w:rPr>
        <w:t>IAI)</w:t>
      </w:r>
    </w:p>
    <w:p w14:paraId="09F221B8" w14:textId="77777777" w:rsidR="002A5F50" w:rsidRPr="001839C2" w:rsidRDefault="002A5F50" w:rsidP="002A5F50">
      <w:pPr>
        <w:tabs>
          <w:tab w:val="clear" w:pos="567"/>
        </w:tabs>
        <w:rPr>
          <w:snapToGrid/>
          <w:szCs w:val="22"/>
          <w:lang w:val="lt-LT"/>
        </w:rPr>
      </w:pPr>
    </w:p>
    <w:p w14:paraId="29044E7C" w14:textId="77777777" w:rsidR="002A5F50" w:rsidRPr="001839C2" w:rsidRDefault="00DA09FD" w:rsidP="002A5F50">
      <w:pPr>
        <w:tabs>
          <w:tab w:val="clear" w:pos="567"/>
        </w:tabs>
        <w:rPr>
          <w:szCs w:val="22"/>
          <w:lang w:val="lt-LT" w:eastAsia="x-none"/>
        </w:rPr>
      </w:pPr>
      <w:r w:rsidRPr="001839C2">
        <w:rPr>
          <w:szCs w:val="22"/>
          <w:lang w:val="lt-LT" w:eastAsia="x-none"/>
        </w:rPr>
        <w:t>LT/1/20/4502/001</w:t>
      </w:r>
    </w:p>
    <w:p w14:paraId="2543BF31" w14:textId="77777777" w:rsidR="00DA09FD" w:rsidRPr="001839C2" w:rsidRDefault="00DA09FD" w:rsidP="002A5F50">
      <w:pPr>
        <w:tabs>
          <w:tab w:val="clear" w:pos="567"/>
        </w:tabs>
        <w:rPr>
          <w:snapToGrid/>
          <w:szCs w:val="22"/>
          <w:lang w:val="lt-LT" w:eastAsia="x-none"/>
        </w:rPr>
      </w:pPr>
    </w:p>
    <w:p w14:paraId="330A93F7" w14:textId="77777777" w:rsidR="008A6DD0" w:rsidRPr="001839C2" w:rsidRDefault="008A6DD0" w:rsidP="002A5F50">
      <w:pPr>
        <w:tabs>
          <w:tab w:val="clear" w:pos="567"/>
        </w:tabs>
        <w:rPr>
          <w:snapToGrid/>
          <w:szCs w:val="22"/>
          <w:lang w:val="lt-LT" w:eastAsia="x-none"/>
        </w:rPr>
      </w:pPr>
    </w:p>
    <w:p w14:paraId="37DB4A6A" w14:textId="77777777" w:rsidR="002A5F50" w:rsidRPr="001839C2" w:rsidRDefault="002A5F50" w:rsidP="00230559">
      <w:pPr>
        <w:pBdr>
          <w:top w:val="single" w:sz="4" w:space="1" w:color="auto"/>
          <w:left w:val="single" w:sz="4" w:space="4" w:color="auto"/>
          <w:bottom w:val="single" w:sz="4" w:space="1" w:color="auto"/>
          <w:right w:val="single" w:sz="4" w:space="4" w:color="auto"/>
        </w:pBdr>
        <w:ind w:left="748" w:hanging="748"/>
        <w:rPr>
          <w:b/>
          <w:bCs/>
          <w:snapToGrid/>
          <w:szCs w:val="22"/>
          <w:lang w:val="lt-LT"/>
        </w:rPr>
      </w:pPr>
      <w:r w:rsidRPr="001839C2">
        <w:rPr>
          <w:rFonts w:ascii="Times New Roman Bold" w:hAnsi="Times New Roman Bold"/>
          <w:b/>
          <w:bCs/>
          <w:caps/>
          <w:snapToGrid/>
          <w:szCs w:val="22"/>
          <w:lang w:val="lt-LT"/>
        </w:rPr>
        <w:t>13.</w:t>
      </w:r>
      <w:r w:rsidRPr="001839C2">
        <w:rPr>
          <w:rFonts w:ascii="Times New Roman Bold" w:hAnsi="Times New Roman Bold"/>
          <w:b/>
          <w:bCs/>
          <w:caps/>
          <w:snapToGrid/>
          <w:szCs w:val="22"/>
          <w:lang w:val="lt-LT"/>
        </w:rPr>
        <w:tab/>
        <w:t>serijos numeris</w:t>
      </w:r>
    </w:p>
    <w:p w14:paraId="72C29C9F" w14:textId="77777777" w:rsidR="002A5F50" w:rsidRPr="001839C2" w:rsidRDefault="002A5F50" w:rsidP="002A5F50">
      <w:pPr>
        <w:tabs>
          <w:tab w:val="clear" w:pos="567"/>
        </w:tabs>
        <w:rPr>
          <w:snapToGrid/>
          <w:szCs w:val="22"/>
          <w:lang w:val="lt-LT" w:eastAsia="x-none"/>
        </w:rPr>
      </w:pPr>
    </w:p>
    <w:p w14:paraId="2EFF70FB" w14:textId="77777777" w:rsidR="002A5F50" w:rsidRPr="001839C2" w:rsidRDefault="002A5F50" w:rsidP="002A5F50">
      <w:pPr>
        <w:tabs>
          <w:tab w:val="clear" w:pos="567"/>
        </w:tabs>
        <w:rPr>
          <w:snapToGrid/>
          <w:szCs w:val="22"/>
          <w:lang w:val="lt-LT" w:eastAsia="x-none"/>
        </w:rPr>
      </w:pPr>
      <w:r w:rsidRPr="001839C2">
        <w:rPr>
          <w:snapToGrid/>
          <w:szCs w:val="22"/>
          <w:lang w:val="lt-LT" w:eastAsia="x-none"/>
        </w:rPr>
        <w:t>Lot</w:t>
      </w:r>
      <w:r w:rsidR="00FD2F80" w:rsidRPr="001839C2">
        <w:rPr>
          <w:snapToGrid/>
          <w:szCs w:val="22"/>
          <w:lang w:val="lt-LT" w:eastAsia="x-none"/>
        </w:rPr>
        <w:t xml:space="preserve"> </w:t>
      </w:r>
    </w:p>
    <w:p w14:paraId="189E1258" w14:textId="77777777" w:rsidR="002A5F50" w:rsidRPr="001839C2" w:rsidRDefault="002A5F50" w:rsidP="002A5F50">
      <w:pPr>
        <w:tabs>
          <w:tab w:val="clear" w:pos="567"/>
        </w:tabs>
        <w:rPr>
          <w:snapToGrid/>
          <w:szCs w:val="22"/>
          <w:lang w:val="lt-LT" w:eastAsia="x-none"/>
        </w:rPr>
      </w:pPr>
    </w:p>
    <w:p w14:paraId="0332868D" w14:textId="77777777" w:rsidR="008A6DD0" w:rsidRPr="001839C2" w:rsidRDefault="008A6DD0" w:rsidP="002A5F50">
      <w:pPr>
        <w:tabs>
          <w:tab w:val="clear" w:pos="567"/>
        </w:tabs>
        <w:rPr>
          <w:snapToGrid/>
          <w:szCs w:val="22"/>
          <w:lang w:val="lt-LT" w:eastAsia="x-none"/>
        </w:rPr>
      </w:pPr>
    </w:p>
    <w:p w14:paraId="446074C3" w14:textId="77777777" w:rsidR="002A5F50" w:rsidRPr="001839C2" w:rsidRDefault="002A5F50" w:rsidP="00230559">
      <w:pPr>
        <w:pBdr>
          <w:top w:val="single" w:sz="4" w:space="1" w:color="auto"/>
          <w:left w:val="single" w:sz="4" w:space="4" w:color="auto"/>
          <w:bottom w:val="single" w:sz="4" w:space="1" w:color="auto"/>
          <w:right w:val="single" w:sz="4" w:space="4" w:color="auto"/>
        </w:pBdr>
        <w:ind w:left="748" w:hanging="748"/>
        <w:rPr>
          <w:b/>
          <w:bCs/>
          <w:snapToGrid/>
          <w:szCs w:val="22"/>
          <w:lang w:val="lt-LT"/>
        </w:rPr>
      </w:pPr>
      <w:r w:rsidRPr="001839C2">
        <w:rPr>
          <w:rFonts w:ascii="Times New Roman Bold" w:hAnsi="Times New Roman Bold"/>
          <w:b/>
          <w:bCs/>
          <w:caps/>
          <w:snapToGrid/>
          <w:szCs w:val="22"/>
          <w:lang w:val="lt-LT"/>
        </w:rPr>
        <w:t>14.</w:t>
      </w:r>
      <w:r w:rsidRPr="001839C2">
        <w:rPr>
          <w:rFonts w:ascii="Times New Roman Bold" w:hAnsi="Times New Roman Bold"/>
          <w:b/>
          <w:bCs/>
          <w:caps/>
          <w:snapToGrid/>
          <w:szCs w:val="22"/>
          <w:lang w:val="lt-LT"/>
        </w:rPr>
        <w:tab/>
      </w:r>
      <w:r w:rsidRPr="001839C2">
        <w:rPr>
          <w:b/>
          <w:bCs/>
          <w:snapToGrid/>
          <w:szCs w:val="22"/>
          <w:lang w:val="lt-LT"/>
        </w:rPr>
        <w:t>PARDAVIMO (IŠDAVIMO) TVARKA</w:t>
      </w:r>
    </w:p>
    <w:p w14:paraId="436C36C2" w14:textId="77777777" w:rsidR="002A5F50" w:rsidRPr="001839C2" w:rsidRDefault="002A5F50" w:rsidP="002A5F50">
      <w:pPr>
        <w:tabs>
          <w:tab w:val="clear" w:pos="567"/>
        </w:tabs>
        <w:rPr>
          <w:snapToGrid/>
          <w:szCs w:val="22"/>
          <w:lang w:val="lt-LT" w:eastAsia="x-none"/>
        </w:rPr>
      </w:pPr>
    </w:p>
    <w:p w14:paraId="297D79C2" w14:textId="77777777" w:rsidR="002A5F50" w:rsidRPr="001839C2" w:rsidRDefault="002A5F50" w:rsidP="002A5F50">
      <w:pPr>
        <w:tabs>
          <w:tab w:val="clear" w:pos="567"/>
        </w:tabs>
        <w:rPr>
          <w:snapToGrid/>
          <w:szCs w:val="22"/>
          <w:lang w:val="lt-LT" w:eastAsia="x-none"/>
        </w:rPr>
      </w:pPr>
      <w:r w:rsidRPr="001839C2">
        <w:rPr>
          <w:szCs w:val="22"/>
          <w:lang w:val="lt-LT" w:eastAsia="x-none"/>
        </w:rPr>
        <w:t>Receptinis vaistas</w:t>
      </w:r>
    </w:p>
    <w:p w14:paraId="4DB4D3AE" w14:textId="77777777" w:rsidR="002A5F50" w:rsidRPr="001839C2" w:rsidRDefault="002A5F50" w:rsidP="002A5F50">
      <w:pPr>
        <w:tabs>
          <w:tab w:val="clear" w:pos="567"/>
        </w:tabs>
        <w:rPr>
          <w:snapToGrid/>
          <w:szCs w:val="22"/>
          <w:lang w:val="lt-LT" w:eastAsia="x-none"/>
        </w:rPr>
      </w:pPr>
    </w:p>
    <w:p w14:paraId="2D2989A3" w14:textId="77777777" w:rsidR="008A6DD0" w:rsidRPr="001839C2" w:rsidRDefault="008A6DD0" w:rsidP="002A5F50">
      <w:pPr>
        <w:tabs>
          <w:tab w:val="clear" w:pos="567"/>
        </w:tabs>
        <w:rPr>
          <w:snapToGrid/>
          <w:szCs w:val="22"/>
          <w:lang w:val="lt-LT" w:eastAsia="x-none"/>
        </w:rPr>
      </w:pPr>
    </w:p>
    <w:p w14:paraId="2D91FA5F" w14:textId="77777777" w:rsidR="002A5F50" w:rsidRPr="001839C2" w:rsidRDefault="002A5F50" w:rsidP="00230559">
      <w:pPr>
        <w:pBdr>
          <w:top w:val="single" w:sz="4" w:space="1" w:color="auto"/>
          <w:left w:val="single" w:sz="4" w:space="4" w:color="auto"/>
          <w:bottom w:val="single" w:sz="4" w:space="1" w:color="auto"/>
          <w:right w:val="single" w:sz="4" w:space="4" w:color="auto"/>
        </w:pBdr>
        <w:ind w:left="748" w:hanging="748"/>
        <w:rPr>
          <w:b/>
          <w:bCs/>
          <w:snapToGrid/>
          <w:szCs w:val="22"/>
          <w:lang w:val="lt-LT"/>
        </w:rPr>
      </w:pPr>
      <w:r w:rsidRPr="001839C2">
        <w:rPr>
          <w:rFonts w:ascii="Times New Roman Bold" w:hAnsi="Times New Roman Bold"/>
          <w:b/>
          <w:bCs/>
          <w:caps/>
          <w:snapToGrid/>
          <w:szCs w:val="22"/>
          <w:lang w:val="lt-LT"/>
        </w:rPr>
        <w:t>15.</w:t>
      </w:r>
      <w:r w:rsidRPr="001839C2">
        <w:rPr>
          <w:rFonts w:ascii="Times New Roman Bold" w:hAnsi="Times New Roman Bold"/>
          <w:b/>
          <w:bCs/>
          <w:caps/>
          <w:snapToGrid/>
          <w:szCs w:val="22"/>
          <w:lang w:val="lt-LT"/>
        </w:rPr>
        <w:tab/>
      </w:r>
      <w:r w:rsidRPr="001839C2">
        <w:rPr>
          <w:b/>
          <w:bCs/>
          <w:snapToGrid/>
          <w:szCs w:val="22"/>
          <w:lang w:val="lt-LT"/>
        </w:rPr>
        <w:t>VARTOJIMO INSTRUKCIJA</w:t>
      </w:r>
    </w:p>
    <w:p w14:paraId="543EE547" w14:textId="77777777" w:rsidR="002A5F50" w:rsidRPr="001839C2" w:rsidRDefault="002A5F50" w:rsidP="002A5F50">
      <w:pPr>
        <w:tabs>
          <w:tab w:val="clear" w:pos="567"/>
        </w:tabs>
        <w:rPr>
          <w:snapToGrid/>
          <w:szCs w:val="22"/>
          <w:lang w:val="lt-LT"/>
        </w:rPr>
      </w:pPr>
    </w:p>
    <w:p w14:paraId="0BEEBBAC" w14:textId="77777777" w:rsidR="002A5F50" w:rsidRPr="001839C2" w:rsidRDefault="002A5F50" w:rsidP="002A5F50">
      <w:pPr>
        <w:tabs>
          <w:tab w:val="clear" w:pos="567"/>
        </w:tabs>
        <w:rPr>
          <w:snapToGrid/>
          <w:szCs w:val="22"/>
          <w:lang w:val="lt-LT"/>
        </w:rPr>
      </w:pPr>
    </w:p>
    <w:p w14:paraId="60A27805" w14:textId="77777777" w:rsidR="002A5F50" w:rsidRPr="001839C2" w:rsidRDefault="002A5F50" w:rsidP="00230559">
      <w:pPr>
        <w:pBdr>
          <w:top w:val="single" w:sz="4" w:space="1" w:color="auto"/>
          <w:left w:val="single" w:sz="4" w:space="4" w:color="auto"/>
          <w:bottom w:val="single" w:sz="4" w:space="1" w:color="auto"/>
          <w:right w:val="single" w:sz="4" w:space="4" w:color="auto"/>
        </w:pBdr>
        <w:ind w:left="748" w:hanging="748"/>
        <w:rPr>
          <w:b/>
          <w:bCs/>
          <w:snapToGrid/>
          <w:szCs w:val="22"/>
          <w:lang w:val="lt-LT"/>
        </w:rPr>
      </w:pPr>
      <w:r w:rsidRPr="001839C2">
        <w:rPr>
          <w:rFonts w:ascii="Times New Roman Bold" w:hAnsi="Times New Roman Bold"/>
          <w:b/>
          <w:bCs/>
          <w:caps/>
          <w:snapToGrid/>
          <w:szCs w:val="22"/>
          <w:lang w:val="lt-LT"/>
        </w:rPr>
        <w:t>16.</w:t>
      </w:r>
      <w:r w:rsidRPr="001839C2">
        <w:rPr>
          <w:rFonts w:ascii="Times New Roman Bold" w:hAnsi="Times New Roman Bold"/>
          <w:b/>
          <w:bCs/>
          <w:caps/>
          <w:snapToGrid/>
          <w:szCs w:val="22"/>
          <w:lang w:val="lt-LT"/>
        </w:rPr>
        <w:tab/>
      </w:r>
      <w:r w:rsidRPr="001839C2">
        <w:rPr>
          <w:b/>
          <w:bCs/>
          <w:snapToGrid/>
          <w:szCs w:val="22"/>
          <w:lang w:val="lt-LT"/>
        </w:rPr>
        <w:t>INFORMACIJA BRAILIO RAŠTU</w:t>
      </w:r>
    </w:p>
    <w:p w14:paraId="53E33D0B" w14:textId="77777777" w:rsidR="002A5F50" w:rsidRPr="001839C2" w:rsidRDefault="002A5F50" w:rsidP="002A5F50">
      <w:pPr>
        <w:tabs>
          <w:tab w:val="clear" w:pos="567"/>
        </w:tabs>
        <w:rPr>
          <w:snapToGrid/>
          <w:szCs w:val="22"/>
          <w:lang w:val="lt-LT"/>
        </w:rPr>
      </w:pPr>
    </w:p>
    <w:p w14:paraId="4FA9B80C" w14:textId="77777777" w:rsidR="002A5F50" w:rsidRPr="001839C2" w:rsidRDefault="002A5F50" w:rsidP="002A5F50">
      <w:pPr>
        <w:tabs>
          <w:tab w:val="clear" w:pos="567"/>
        </w:tabs>
        <w:rPr>
          <w:snapToGrid/>
          <w:szCs w:val="22"/>
          <w:lang w:val="lt-LT"/>
        </w:rPr>
      </w:pPr>
      <w:r w:rsidRPr="001839C2">
        <w:rPr>
          <w:snapToGrid/>
          <w:szCs w:val="22"/>
          <w:lang w:val="lt-LT"/>
        </w:rPr>
        <w:t>Emtricitabine/Tenofovir disoproxil Accordpharma 200</w:t>
      </w:r>
      <w:r w:rsidR="008A6DD0" w:rsidRPr="001839C2">
        <w:rPr>
          <w:snapToGrid/>
          <w:szCs w:val="22"/>
          <w:lang w:val="lt-LT"/>
        </w:rPr>
        <w:t> </w:t>
      </w:r>
      <w:r w:rsidRPr="001839C2">
        <w:rPr>
          <w:snapToGrid/>
          <w:szCs w:val="22"/>
          <w:lang w:val="lt-LT"/>
        </w:rPr>
        <w:t>mg/245</w:t>
      </w:r>
      <w:r w:rsidR="008A6DD0" w:rsidRPr="001839C2">
        <w:rPr>
          <w:snapToGrid/>
          <w:szCs w:val="22"/>
          <w:lang w:val="lt-LT"/>
        </w:rPr>
        <w:t> </w:t>
      </w:r>
      <w:r w:rsidRPr="001839C2">
        <w:rPr>
          <w:snapToGrid/>
          <w:szCs w:val="22"/>
          <w:lang w:val="lt-LT"/>
        </w:rPr>
        <w:t>mg</w:t>
      </w:r>
    </w:p>
    <w:p w14:paraId="3D067129" w14:textId="77777777" w:rsidR="002A5F50" w:rsidRPr="001839C2" w:rsidRDefault="002A5F50" w:rsidP="002A5F50">
      <w:pPr>
        <w:tabs>
          <w:tab w:val="clear" w:pos="567"/>
        </w:tabs>
        <w:rPr>
          <w:snapToGrid/>
          <w:szCs w:val="22"/>
          <w:lang w:val="lt-LT" w:eastAsia="x-none"/>
        </w:rPr>
      </w:pPr>
    </w:p>
    <w:p w14:paraId="3B3012B4" w14:textId="77777777" w:rsidR="008A6DD0" w:rsidRPr="001839C2" w:rsidRDefault="008A6DD0" w:rsidP="002A5F50">
      <w:pPr>
        <w:tabs>
          <w:tab w:val="clear" w:pos="567"/>
        </w:tabs>
        <w:rPr>
          <w:snapToGrid/>
          <w:szCs w:val="22"/>
          <w:lang w:val="lt-LT" w:eastAsia="x-none"/>
        </w:rPr>
      </w:pPr>
    </w:p>
    <w:p w14:paraId="3E4A50F1" w14:textId="77777777" w:rsidR="002A5F50" w:rsidRPr="001839C2" w:rsidRDefault="002A5F50" w:rsidP="00230559">
      <w:pPr>
        <w:pBdr>
          <w:top w:val="single" w:sz="4" w:space="1" w:color="auto"/>
          <w:left w:val="single" w:sz="4" w:space="4" w:color="auto"/>
          <w:bottom w:val="single" w:sz="4" w:space="0" w:color="auto"/>
          <w:right w:val="single" w:sz="4" w:space="4" w:color="auto"/>
        </w:pBdr>
        <w:rPr>
          <w:b/>
          <w:bCs/>
          <w:snapToGrid/>
          <w:szCs w:val="22"/>
          <w:lang w:val="lt-LT" w:eastAsia="x-none"/>
        </w:rPr>
      </w:pPr>
      <w:r w:rsidRPr="001839C2">
        <w:rPr>
          <w:b/>
          <w:bCs/>
          <w:snapToGrid/>
          <w:szCs w:val="22"/>
          <w:lang w:val="lt-LT" w:eastAsia="x-none"/>
        </w:rPr>
        <w:t>17.</w:t>
      </w:r>
      <w:r w:rsidRPr="001839C2">
        <w:rPr>
          <w:b/>
          <w:bCs/>
          <w:snapToGrid/>
          <w:szCs w:val="22"/>
          <w:lang w:val="lt-LT" w:eastAsia="x-none"/>
        </w:rPr>
        <w:tab/>
      </w:r>
      <w:r w:rsidRPr="001839C2">
        <w:rPr>
          <w:b/>
          <w:snapToGrid/>
          <w:szCs w:val="22"/>
          <w:lang w:val="lt-LT" w:eastAsia="x-none"/>
        </w:rPr>
        <w:t>UNIKALUS IDENTIFIKATORIUS</w:t>
      </w:r>
      <w:r w:rsidR="008D650D" w:rsidRPr="001839C2">
        <w:rPr>
          <w:b/>
          <w:snapToGrid/>
          <w:szCs w:val="22"/>
          <w:lang w:val="lt-LT" w:eastAsia="x-none"/>
        </w:rPr>
        <w:t xml:space="preserve"> </w:t>
      </w:r>
      <w:r w:rsidRPr="001839C2">
        <w:rPr>
          <w:b/>
          <w:snapToGrid/>
          <w:szCs w:val="22"/>
          <w:lang w:val="lt-LT" w:eastAsia="x-none"/>
        </w:rPr>
        <w:t>– 2D BRŪKŠNINIS KODAS</w:t>
      </w:r>
    </w:p>
    <w:p w14:paraId="44100751" w14:textId="77777777" w:rsidR="002A5F50" w:rsidRPr="001839C2" w:rsidRDefault="002A5F50" w:rsidP="002A5F50">
      <w:pPr>
        <w:tabs>
          <w:tab w:val="clear" w:pos="567"/>
        </w:tabs>
        <w:rPr>
          <w:snapToGrid/>
          <w:szCs w:val="22"/>
          <w:lang w:val="lt-LT" w:eastAsia="x-none"/>
        </w:rPr>
      </w:pPr>
    </w:p>
    <w:p w14:paraId="35F57921" w14:textId="77777777" w:rsidR="002A5F50" w:rsidRPr="001839C2" w:rsidRDefault="002A5F50" w:rsidP="002A5F50">
      <w:pPr>
        <w:tabs>
          <w:tab w:val="clear" w:pos="567"/>
        </w:tabs>
        <w:rPr>
          <w:snapToGrid/>
          <w:szCs w:val="22"/>
          <w:lang w:val="lt-LT" w:eastAsia="x-none"/>
        </w:rPr>
      </w:pPr>
      <w:r w:rsidRPr="001839C2">
        <w:rPr>
          <w:snapToGrid/>
          <w:szCs w:val="22"/>
          <w:highlight w:val="lightGray"/>
          <w:lang w:val="lt-LT" w:eastAsia="x-none"/>
        </w:rPr>
        <w:t>2D brūkšninis kodas su nurodytu unikaliu identifikatoriumi</w:t>
      </w:r>
      <w:r w:rsidR="008D650D" w:rsidRPr="001839C2">
        <w:rPr>
          <w:snapToGrid/>
          <w:szCs w:val="22"/>
          <w:highlight w:val="lightGray"/>
          <w:lang w:val="lt-LT" w:eastAsia="x-none"/>
        </w:rPr>
        <w:t>.</w:t>
      </w:r>
    </w:p>
    <w:p w14:paraId="2534C480" w14:textId="77777777" w:rsidR="002A5F50" w:rsidRPr="001839C2" w:rsidRDefault="002A5F50" w:rsidP="002A5F50">
      <w:pPr>
        <w:tabs>
          <w:tab w:val="clear" w:pos="567"/>
        </w:tabs>
        <w:rPr>
          <w:snapToGrid/>
          <w:szCs w:val="22"/>
          <w:lang w:val="lt-LT" w:eastAsia="x-none"/>
        </w:rPr>
      </w:pPr>
    </w:p>
    <w:p w14:paraId="74633059" w14:textId="77777777" w:rsidR="008A6DD0" w:rsidRPr="001839C2" w:rsidRDefault="008A6DD0" w:rsidP="002A5F50">
      <w:pPr>
        <w:tabs>
          <w:tab w:val="clear" w:pos="567"/>
        </w:tabs>
        <w:rPr>
          <w:snapToGrid/>
          <w:szCs w:val="22"/>
          <w:lang w:val="lt-LT" w:eastAsia="x-none"/>
        </w:rPr>
      </w:pPr>
    </w:p>
    <w:p w14:paraId="1C42BBF9" w14:textId="77777777" w:rsidR="002A5F50" w:rsidRPr="001839C2" w:rsidRDefault="002A5F50" w:rsidP="00230559">
      <w:pPr>
        <w:pBdr>
          <w:top w:val="single" w:sz="4" w:space="1" w:color="auto"/>
          <w:left w:val="single" w:sz="4" w:space="4" w:color="auto"/>
          <w:bottom w:val="single" w:sz="4" w:space="0" w:color="auto"/>
          <w:right w:val="single" w:sz="4" w:space="4" w:color="auto"/>
        </w:pBdr>
        <w:rPr>
          <w:b/>
          <w:bCs/>
          <w:snapToGrid/>
          <w:szCs w:val="22"/>
          <w:lang w:val="lt-LT" w:eastAsia="x-none"/>
        </w:rPr>
      </w:pPr>
      <w:r w:rsidRPr="001839C2">
        <w:rPr>
          <w:b/>
          <w:bCs/>
          <w:snapToGrid/>
          <w:szCs w:val="22"/>
          <w:lang w:val="lt-LT" w:eastAsia="x-none"/>
        </w:rPr>
        <w:t>18.</w:t>
      </w:r>
      <w:r w:rsidRPr="001839C2">
        <w:rPr>
          <w:b/>
          <w:bCs/>
          <w:snapToGrid/>
          <w:szCs w:val="22"/>
          <w:lang w:val="lt-LT" w:eastAsia="x-none"/>
        </w:rPr>
        <w:tab/>
      </w:r>
      <w:r w:rsidRPr="001839C2">
        <w:rPr>
          <w:b/>
          <w:snapToGrid/>
          <w:szCs w:val="22"/>
          <w:lang w:val="lt-LT" w:eastAsia="x-none"/>
        </w:rPr>
        <w:t>UNIKALUS IDENTIFIKATORIUS</w:t>
      </w:r>
      <w:r w:rsidR="008D650D" w:rsidRPr="001839C2">
        <w:rPr>
          <w:b/>
          <w:snapToGrid/>
          <w:szCs w:val="22"/>
          <w:lang w:val="lt-LT" w:eastAsia="x-none"/>
        </w:rPr>
        <w:t xml:space="preserve"> </w:t>
      </w:r>
      <w:r w:rsidRPr="001839C2">
        <w:rPr>
          <w:b/>
          <w:snapToGrid/>
          <w:szCs w:val="22"/>
          <w:lang w:val="lt-LT" w:eastAsia="x-none"/>
        </w:rPr>
        <w:t>– ŽMONĖMS SUPRANTAMI DUOMENYS</w:t>
      </w:r>
    </w:p>
    <w:p w14:paraId="4731F9D3" w14:textId="77777777" w:rsidR="002A5F50" w:rsidRPr="001839C2" w:rsidRDefault="002A5F50" w:rsidP="002A5F50">
      <w:pPr>
        <w:tabs>
          <w:tab w:val="clear" w:pos="567"/>
        </w:tabs>
        <w:rPr>
          <w:snapToGrid/>
          <w:szCs w:val="22"/>
          <w:lang w:val="lt-LT" w:eastAsia="x-none"/>
        </w:rPr>
      </w:pPr>
    </w:p>
    <w:p w14:paraId="634A0099" w14:textId="77777777" w:rsidR="002A5F50" w:rsidRPr="001839C2" w:rsidRDefault="002A5F50" w:rsidP="002A5F50">
      <w:pPr>
        <w:tabs>
          <w:tab w:val="clear" w:pos="567"/>
          <w:tab w:val="center" w:pos="4320"/>
          <w:tab w:val="right" w:pos="8640"/>
        </w:tabs>
        <w:rPr>
          <w:snapToGrid/>
          <w:szCs w:val="22"/>
          <w:lang w:val="lt-LT" w:eastAsia="x-none"/>
        </w:rPr>
      </w:pPr>
      <w:r w:rsidRPr="001839C2">
        <w:rPr>
          <w:snapToGrid/>
          <w:szCs w:val="22"/>
          <w:lang w:val="lt-LT" w:eastAsia="x-none"/>
        </w:rPr>
        <w:t>PC:</w:t>
      </w:r>
    </w:p>
    <w:p w14:paraId="2905CB78" w14:textId="77777777" w:rsidR="002A5F50" w:rsidRPr="001839C2" w:rsidRDefault="002A5F50" w:rsidP="002A5F50">
      <w:pPr>
        <w:tabs>
          <w:tab w:val="clear" w:pos="567"/>
          <w:tab w:val="center" w:pos="4320"/>
          <w:tab w:val="right" w:pos="8640"/>
        </w:tabs>
        <w:rPr>
          <w:snapToGrid/>
          <w:szCs w:val="22"/>
          <w:lang w:val="lt-LT" w:eastAsia="x-none"/>
        </w:rPr>
      </w:pPr>
      <w:r w:rsidRPr="001839C2">
        <w:rPr>
          <w:snapToGrid/>
          <w:szCs w:val="22"/>
          <w:lang w:val="lt-LT" w:eastAsia="x-none"/>
        </w:rPr>
        <w:t>SN:</w:t>
      </w:r>
    </w:p>
    <w:p w14:paraId="5E5B84EC" w14:textId="77777777" w:rsidR="00DF0DF8" w:rsidRPr="001839C2" w:rsidRDefault="002A5F50" w:rsidP="002A5F50">
      <w:pPr>
        <w:outlineLvl w:val="0"/>
        <w:rPr>
          <w:szCs w:val="22"/>
          <w:lang w:val="lt-LT"/>
        </w:rPr>
      </w:pPr>
      <w:r w:rsidRPr="001839C2">
        <w:rPr>
          <w:snapToGrid/>
          <w:szCs w:val="22"/>
          <w:highlight w:val="lightGray"/>
          <w:lang w:val="lt-LT"/>
        </w:rPr>
        <w:t>NN:</w:t>
      </w:r>
    </w:p>
    <w:p w14:paraId="780732C3" w14:textId="77777777" w:rsidR="008A6DD0" w:rsidRPr="001839C2" w:rsidRDefault="008A6DD0" w:rsidP="002A5F50">
      <w:pPr>
        <w:outlineLvl w:val="0"/>
        <w:rPr>
          <w:szCs w:val="22"/>
          <w:lang w:val="lt-LT"/>
        </w:rPr>
      </w:pPr>
      <w:r w:rsidRPr="001839C2">
        <w:rPr>
          <w:szCs w:val="22"/>
          <w:lang w:val="lt-LT"/>
        </w:rPr>
        <w:br w:type="page"/>
      </w:r>
    </w:p>
    <w:p w14:paraId="47336BA9" w14:textId="77777777" w:rsidR="008A6DD0" w:rsidRPr="001839C2" w:rsidRDefault="008A6DD0" w:rsidP="008A6DD0">
      <w:pPr>
        <w:pBdr>
          <w:top w:val="single" w:sz="4" w:space="1" w:color="auto"/>
          <w:left w:val="single" w:sz="4" w:space="4" w:color="auto"/>
          <w:bottom w:val="single" w:sz="4" w:space="1" w:color="auto"/>
          <w:right w:val="single" w:sz="4" w:space="4" w:color="auto"/>
        </w:pBdr>
        <w:tabs>
          <w:tab w:val="clear" w:pos="567"/>
        </w:tabs>
        <w:rPr>
          <w:b/>
          <w:bCs/>
          <w:snapToGrid/>
          <w:szCs w:val="22"/>
          <w:lang w:val="lt-LT"/>
        </w:rPr>
      </w:pPr>
      <w:r w:rsidRPr="001839C2">
        <w:rPr>
          <w:b/>
          <w:snapToGrid/>
          <w:szCs w:val="22"/>
          <w:lang w:val="lt-LT"/>
        </w:rPr>
        <w:lastRenderedPageBreak/>
        <w:t>MINIMALI INFORMACIJA ANT LIZDINIŲ PLOKŠTELIŲ ARBA DVISLUOKSNIŲ JUOSTELIŲ</w:t>
      </w:r>
    </w:p>
    <w:p w14:paraId="1AB5FFF3" w14:textId="77777777" w:rsidR="008A6DD0" w:rsidRPr="001839C2" w:rsidRDefault="008A6DD0" w:rsidP="008A6DD0">
      <w:pPr>
        <w:pBdr>
          <w:top w:val="single" w:sz="4" w:space="1" w:color="auto"/>
          <w:left w:val="single" w:sz="4" w:space="4" w:color="auto"/>
          <w:bottom w:val="single" w:sz="4" w:space="1" w:color="auto"/>
          <w:right w:val="single" w:sz="4" w:space="4" w:color="auto"/>
        </w:pBdr>
        <w:tabs>
          <w:tab w:val="clear" w:pos="567"/>
        </w:tabs>
        <w:rPr>
          <w:b/>
          <w:bCs/>
          <w:snapToGrid/>
          <w:szCs w:val="22"/>
          <w:lang w:val="lt-LT"/>
        </w:rPr>
      </w:pPr>
    </w:p>
    <w:p w14:paraId="5328C0AD" w14:textId="77777777" w:rsidR="008A6DD0" w:rsidRPr="001839C2" w:rsidRDefault="008A6DD0" w:rsidP="008A6DD0">
      <w:pPr>
        <w:pBdr>
          <w:top w:val="single" w:sz="4" w:space="1" w:color="auto"/>
          <w:left w:val="single" w:sz="4" w:space="4" w:color="auto"/>
          <w:bottom w:val="single" w:sz="4" w:space="1" w:color="auto"/>
          <w:right w:val="single" w:sz="4" w:space="4" w:color="auto"/>
        </w:pBdr>
        <w:tabs>
          <w:tab w:val="clear" w:pos="567"/>
        </w:tabs>
        <w:rPr>
          <w:snapToGrid/>
          <w:szCs w:val="22"/>
          <w:lang w:val="lt-LT"/>
        </w:rPr>
      </w:pPr>
      <w:r w:rsidRPr="001839C2">
        <w:rPr>
          <w:b/>
          <w:bCs/>
          <w:snapToGrid/>
          <w:szCs w:val="22"/>
          <w:lang w:val="lt-LT"/>
        </w:rPr>
        <w:t>ALIUMINIO</w:t>
      </w:r>
      <w:r w:rsidR="008D650D" w:rsidRPr="001839C2">
        <w:rPr>
          <w:b/>
          <w:bCs/>
          <w:snapToGrid/>
          <w:szCs w:val="22"/>
          <w:lang w:val="lt-LT"/>
        </w:rPr>
        <w:noBreakHyphen/>
      </w:r>
      <w:r w:rsidRPr="001839C2">
        <w:rPr>
          <w:b/>
          <w:bCs/>
          <w:snapToGrid/>
          <w:szCs w:val="22"/>
          <w:lang w:val="lt-LT"/>
        </w:rPr>
        <w:t>ALIUMINIO LIZDINĖ PLOKŠTELĖ</w:t>
      </w:r>
    </w:p>
    <w:p w14:paraId="5D749DEA" w14:textId="77777777" w:rsidR="008A6DD0" w:rsidRPr="001839C2" w:rsidRDefault="008A6DD0" w:rsidP="008A6DD0">
      <w:pPr>
        <w:tabs>
          <w:tab w:val="clear" w:pos="567"/>
        </w:tabs>
        <w:rPr>
          <w:snapToGrid/>
          <w:szCs w:val="22"/>
          <w:lang w:val="lt-LT"/>
        </w:rPr>
      </w:pPr>
    </w:p>
    <w:p w14:paraId="5DDAF784" w14:textId="77777777" w:rsidR="008A6DD0" w:rsidRPr="001839C2" w:rsidRDefault="008A6DD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1.</w:t>
      </w:r>
      <w:r w:rsidRPr="001839C2">
        <w:rPr>
          <w:b/>
          <w:bCs/>
          <w:snapToGrid/>
          <w:szCs w:val="22"/>
          <w:lang w:val="lt-LT"/>
        </w:rPr>
        <w:tab/>
      </w:r>
      <w:r w:rsidRPr="001839C2">
        <w:rPr>
          <w:b/>
          <w:snapToGrid/>
          <w:szCs w:val="22"/>
          <w:lang w:val="lt-LT"/>
        </w:rPr>
        <w:t>VAISTINIO PREPARATO PAVADINIMAS</w:t>
      </w:r>
    </w:p>
    <w:p w14:paraId="3456772B" w14:textId="77777777" w:rsidR="008A6DD0" w:rsidRPr="001839C2" w:rsidRDefault="008A6DD0" w:rsidP="008A6DD0">
      <w:pPr>
        <w:tabs>
          <w:tab w:val="clear" w:pos="567"/>
        </w:tabs>
        <w:rPr>
          <w:snapToGrid/>
          <w:szCs w:val="22"/>
          <w:lang w:val="lt-LT"/>
        </w:rPr>
      </w:pPr>
    </w:p>
    <w:p w14:paraId="74267BE4" w14:textId="77777777" w:rsidR="008A6DD0" w:rsidRPr="001839C2" w:rsidRDefault="008A6DD0" w:rsidP="008A6DD0">
      <w:pPr>
        <w:tabs>
          <w:tab w:val="clear" w:pos="567"/>
        </w:tabs>
        <w:rPr>
          <w:snapToGrid/>
          <w:szCs w:val="22"/>
          <w:lang w:val="lt-LT"/>
        </w:rPr>
      </w:pPr>
      <w:r w:rsidRPr="001839C2">
        <w:rPr>
          <w:snapToGrid/>
          <w:szCs w:val="22"/>
          <w:lang w:val="lt-LT"/>
        </w:rPr>
        <w:t>Emtricitabine/Tenofovir disoproxil Accordpharma 200 mg/245 mg pl</w:t>
      </w:r>
      <w:r w:rsidRPr="001839C2">
        <w:rPr>
          <w:rFonts w:ascii="TimesNewRomanPSMT" w:hAnsi="TimesNewRomanPSMT" w:cs="TimesNewRomanPSMT"/>
          <w:snapToGrid/>
          <w:szCs w:val="22"/>
          <w:lang w:val="lt-LT"/>
        </w:rPr>
        <w:t>ė</w:t>
      </w:r>
      <w:r w:rsidRPr="001839C2">
        <w:rPr>
          <w:snapToGrid/>
          <w:szCs w:val="22"/>
          <w:lang w:val="lt-LT"/>
        </w:rPr>
        <w:t>vele dengtos tablet</w:t>
      </w:r>
      <w:r w:rsidRPr="001839C2">
        <w:rPr>
          <w:rFonts w:ascii="TimesNewRomanPSMT" w:hAnsi="TimesNewRomanPSMT" w:cs="TimesNewRomanPSMT"/>
          <w:snapToGrid/>
          <w:szCs w:val="22"/>
          <w:lang w:val="lt-LT"/>
        </w:rPr>
        <w:t>ė</w:t>
      </w:r>
      <w:r w:rsidRPr="001839C2">
        <w:rPr>
          <w:snapToGrid/>
          <w:szCs w:val="22"/>
          <w:lang w:val="lt-LT"/>
        </w:rPr>
        <w:t>s</w:t>
      </w:r>
    </w:p>
    <w:p w14:paraId="036BE0C7" w14:textId="77777777" w:rsidR="008A6DD0" w:rsidRPr="001839C2" w:rsidRDefault="00A16069" w:rsidP="008A6DD0">
      <w:pPr>
        <w:tabs>
          <w:tab w:val="clear" w:pos="567"/>
        </w:tabs>
        <w:rPr>
          <w:i/>
          <w:iCs/>
          <w:snapToGrid/>
          <w:szCs w:val="22"/>
          <w:lang w:val="lt-LT"/>
        </w:rPr>
      </w:pPr>
      <w:r w:rsidRPr="001839C2">
        <w:rPr>
          <w:i/>
          <w:iCs/>
          <w:snapToGrid/>
          <w:szCs w:val="22"/>
          <w:lang w:val="lt-LT"/>
        </w:rPr>
        <w:t>Emtricitabinum/Tenofovirum disoproxilum</w:t>
      </w:r>
    </w:p>
    <w:p w14:paraId="5C9AEB03" w14:textId="77777777" w:rsidR="00A16069" w:rsidRPr="001839C2" w:rsidRDefault="00A16069" w:rsidP="008A6DD0">
      <w:pPr>
        <w:tabs>
          <w:tab w:val="clear" w:pos="567"/>
        </w:tabs>
        <w:rPr>
          <w:snapToGrid/>
          <w:szCs w:val="22"/>
          <w:lang w:val="lt-LT"/>
        </w:rPr>
      </w:pPr>
    </w:p>
    <w:p w14:paraId="3E36BF30" w14:textId="77777777" w:rsidR="008A6DD0" w:rsidRPr="001839C2" w:rsidRDefault="008A6DD0" w:rsidP="008A6DD0">
      <w:pPr>
        <w:tabs>
          <w:tab w:val="clear" w:pos="567"/>
        </w:tabs>
        <w:rPr>
          <w:snapToGrid/>
          <w:szCs w:val="22"/>
          <w:lang w:val="lt-LT"/>
        </w:rPr>
      </w:pPr>
    </w:p>
    <w:p w14:paraId="555159E5" w14:textId="77777777" w:rsidR="008A6DD0" w:rsidRPr="001839C2" w:rsidRDefault="008A6DD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2.</w:t>
      </w:r>
      <w:r w:rsidRPr="001839C2">
        <w:rPr>
          <w:b/>
          <w:bCs/>
          <w:snapToGrid/>
          <w:szCs w:val="22"/>
          <w:lang w:val="lt-LT"/>
        </w:rPr>
        <w:tab/>
      </w:r>
      <w:r w:rsidRPr="001839C2">
        <w:rPr>
          <w:b/>
          <w:snapToGrid/>
          <w:szCs w:val="22"/>
          <w:lang w:val="lt-LT"/>
        </w:rPr>
        <w:t>REGISTRUOTOJO PAVADINIMAS</w:t>
      </w:r>
    </w:p>
    <w:p w14:paraId="2CF28EA5" w14:textId="77777777" w:rsidR="008A6DD0" w:rsidRPr="001839C2" w:rsidRDefault="008A6DD0" w:rsidP="008A6DD0">
      <w:pPr>
        <w:tabs>
          <w:tab w:val="clear" w:pos="567"/>
        </w:tabs>
        <w:rPr>
          <w:snapToGrid/>
          <w:szCs w:val="22"/>
          <w:lang w:val="lt-LT"/>
        </w:rPr>
      </w:pPr>
    </w:p>
    <w:p w14:paraId="70570B5B" w14:textId="77777777" w:rsidR="008A6DD0" w:rsidRPr="001839C2" w:rsidRDefault="008A6DD0" w:rsidP="008A6DD0">
      <w:pPr>
        <w:tabs>
          <w:tab w:val="clear" w:pos="567"/>
        </w:tabs>
        <w:rPr>
          <w:snapToGrid/>
          <w:szCs w:val="22"/>
          <w:lang w:val="lt-LT"/>
        </w:rPr>
      </w:pPr>
      <w:r w:rsidRPr="001839C2">
        <w:rPr>
          <w:snapToGrid/>
          <w:szCs w:val="22"/>
          <w:lang w:val="lt-LT"/>
        </w:rPr>
        <w:t>Accord</w:t>
      </w:r>
    </w:p>
    <w:p w14:paraId="565BA3D5" w14:textId="77777777" w:rsidR="008A6DD0" w:rsidRPr="001839C2" w:rsidRDefault="008A6DD0" w:rsidP="008A6DD0">
      <w:pPr>
        <w:tabs>
          <w:tab w:val="clear" w:pos="567"/>
        </w:tabs>
        <w:rPr>
          <w:snapToGrid/>
          <w:szCs w:val="22"/>
          <w:lang w:val="lt-LT"/>
        </w:rPr>
      </w:pPr>
    </w:p>
    <w:p w14:paraId="14A9134C" w14:textId="77777777" w:rsidR="008A6DD0" w:rsidRPr="001839C2" w:rsidRDefault="008A6DD0" w:rsidP="008A6DD0">
      <w:pPr>
        <w:tabs>
          <w:tab w:val="clear" w:pos="567"/>
        </w:tabs>
        <w:rPr>
          <w:snapToGrid/>
          <w:szCs w:val="22"/>
          <w:lang w:val="lt-LT"/>
        </w:rPr>
      </w:pPr>
    </w:p>
    <w:p w14:paraId="35561A2F" w14:textId="77777777" w:rsidR="008A6DD0" w:rsidRPr="001839C2" w:rsidRDefault="008A6DD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3.</w:t>
      </w:r>
      <w:r w:rsidRPr="001839C2">
        <w:rPr>
          <w:b/>
          <w:bCs/>
          <w:snapToGrid/>
          <w:szCs w:val="22"/>
          <w:lang w:val="lt-LT"/>
        </w:rPr>
        <w:tab/>
      </w:r>
      <w:r w:rsidRPr="001839C2">
        <w:rPr>
          <w:b/>
          <w:snapToGrid/>
          <w:szCs w:val="22"/>
          <w:lang w:val="lt-LT"/>
        </w:rPr>
        <w:t>TINKAMUMO LAIKAS</w:t>
      </w:r>
    </w:p>
    <w:p w14:paraId="4337532B" w14:textId="77777777" w:rsidR="008A6DD0" w:rsidRPr="001839C2" w:rsidRDefault="008A6DD0" w:rsidP="008A6DD0">
      <w:pPr>
        <w:tabs>
          <w:tab w:val="clear" w:pos="567"/>
        </w:tabs>
        <w:rPr>
          <w:snapToGrid/>
          <w:szCs w:val="22"/>
          <w:lang w:val="lt-LT"/>
        </w:rPr>
      </w:pPr>
    </w:p>
    <w:p w14:paraId="3C7E6726" w14:textId="77777777" w:rsidR="00FD2F80" w:rsidRPr="001839C2" w:rsidRDefault="008A6DD0" w:rsidP="00FD2F80">
      <w:pPr>
        <w:tabs>
          <w:tab w:val="clear" w:pos="567"/>
        </w:tabs>
        <w:rPr>
          <w:lang w:val="lt-LT"/>
        </w:rPr>
      </w:pPr>
      <w:r w:rsidRPr="001839C2">
        <w:rPr>
          <w:snapToGrid/>
          <w:szCs w:val="22"/>
          <w:lang w:val="lt-LT"/>
        </w:rPr>
        <w:t>EXP</w:t>
      </w:r>
      <w:r w:rsidR="00FD2F80" w:rsidRPr="001839C2">
        <w:rPr>
          <w:snapToGrid/>
          <w:szCs w:val="22"/>
          <w:lang w:val="lt-LT"/>
        </w:rPr>
        <w:t xml:space="preserve"> </w:t>
      </w:r>
      <w:r w:rsidR="00FD2F80" w:rsidRPr="001839C2">
        <w:rPr>
          <w:snapToGrid/>
          <w:szCs w:val="22"/>
          <w:lang w:val="lt-LT" w:eastAsia="x-none"/>
        </w:rPr>
        <w:t>{mm/MMMM}</w:t>
      </w:r>
    </w:p>
    <w:p w14:paraId="5847DE11" w14:textId="77777777" w:rsidR="00FD2F80" w:rsidRPr="001839C2" w:rsidRDefault="00FD2F80" w:rsidP="00FD2F80">
      <w:pPr>
        <w:tabs>
          <w:tab w:val="clear" w:pos="567"/>
        </w:tabs>
        <w:rPr>
          <w:lang w:val="lt-LT"/>
        </w:rPr>
      </w:pPr>
    </w:p>
    <w:p w14:paraId="581F1408" w14:textId="77777777" w:rsidR="008A6DD0" w:rsidRPr="001839C2" w:rsidRDefault="008A6DD0" w:rsidP="008A6DD0">
      <w:pPr>
        <w:tabs>
          <w:tab w:val="clear" w:pos="567"/>
        </w:tabs>
        <w:rPr>
          <w:snapToGrid/>
          <w:szCs w:val="22"/>
          <w:lang w:val="lt-LT"/>
        </w:rPr>
      </w:pPr>
    </w:p>
    <w:p w14:paraId="3B50594A" w14:textId="77777777" w:rsidR="008A6DD0" w:rsidRPr="001839C2" w:rsidRDefault="008A6DD0" w:rsidP="00230559">
      <w:pPr>
        <w:pBdr>
          <w:top w:val="single" w:sz="4" w:space="1" w:color="auto"/>
          <w:left w:val="single" w:sz="4" w:space="4" w:color="auto"/>
          <w:bottom w:val="single" w:sz="4" w:space="1" w:color="auto"/>
          <w:right w:val="single" w:sz="4" w:space="4" w:color="auto"/>
        </w:pBdr>
        <w:rPr>
          <w:snapToGrid/>
          <w:szCs w:val="22"/>
          <w:lang w:val="lt-LT"/>
        </w:rPr>
      </w:pPr>
      <w:r w:rsidRPr="001839C2">
        <w:rPr>
          <w:b/>
          <w:bCs/>
          <w:snapToGrid/>
          <w:szCs w:val="22"/>
          <w:lang w:val="lt-LT"/>
        </w:rPr>
        <w:t>4.</w:t>
      </w:r>
      <w:r w:rsidRPr="001839C2">
        <w:rPr>
          <w:b/>
          <w:bCs/>
          <w:snapToGrid/>
          <w:szCs w:val="22"/>
          <w:lang w:val="lt-LT"/>
        </w:rPr>
        <w:tab/>
        <w:t>SERIJOS NUMERIS</w:t>
      </w:r>
    </w:p>
    <w:p w14:paraId="147E3252" w14:textId="77777777" w:rsidR="008A6DD0" w:rsidRPr="001839C2" w:rsidRDefault="008A6DD0" w:rsidP="008A6DD0">
      <w:pPr>
        <w:tabs>
          <w:tab w:val="clear" w:pos="567"/>
        </w:tabs>
        <w:rPr>
          <w:snapToGrid/>
          <w:szCs w:val="22"/>
          <w:lang w:val="lt-LT"/>
        </w:rPr>
      </w:pPr>
    </w:p>
    <w:p w14:paraId="485D1D60" w14:textId="77777777" w:rsidR="008A6DD0" w:rsidRPr="001839C2" w:rsidRDefault="008A6DD0" w:rsidP="008A6DD0">
      <w:pPr>
        <w:tabs>
          <w:tab w:val="clear" w:pos="567"/>
        </w:tabs>
        <w:rPr>
          <w:snapToGrid/>
          <w:szCs w:val="22"/>
          <w:lang w:val="lt-LT"/>
        </w:rPr>
      </w:pPr>
      <w:r w:rsidRPr="001839C2">
        <w:rPr>
          <w:snapToGrid/>
          <w:szCs w:val="22"/>
          <w:lang w:val="lt-LT"/>
        </w:rPr>
        <w:t>Lot:</w:t>
      </w:r>
    </w:p>
    <w:p w14:paraId="373CBE72" w14:textId="77777777" w:rsidR="008A6DD0" w:rsidRPr="001839C2" w:rsidRDefault="008A6DD0" w:rsidP="008A6DD0">
      <w:pPr>
        <w:tabs>
          <w:tab w:val="clear" w:pos="567"/>
          <w:tab w:val="left" w:pos="720"/>
        </w:tabs>
        <w:rPr>
          <w:snapToGrid/>
          <w:szCs w:val="22"/>
          <w:lang w:val="lt-LT"/>
        </w:rPr>
      </w:pPr>
    </w:p>
    <w:p w14:paraId="3062FBB3" w14:textId="77777777" w:rsidR="008A6DD0" w:rsidRPr="001839C2" w:rsidRDefault="008A6DD0" w:rsidP="008A6DD0">
      <w:pPr>
        <w:tabs>
          <w:tab w:val="clear" w:pos="567"/>
          <w:tab w:val="left" w:pos="720"/>
        </w:tabs>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6DD0" w:rsidRPr="001839C2" w14:paraId="2EBEAC82" w14:textId="77777777" w:rsidTr="00C37D10">
        <w:tc>
          <w:tcPr>
            <w:tcW w:w="9287" w:type="dxa"/>
            <w:tcBorders>
              <w:top w:val="single" w:sz="4" w:space="0" w:color="auto"/>
              <w:left w:val="single" w:sz="4" w:space="0" w:color="auto"/>
              <w:bottom w:val="single" w:sz="4" w:space="0" w:color="auto"/>
              <w:right w:val="single" w:sz="4" w:space="0" w:color="auto"/>
            </w:tcBorders>
            <w:hideMark/>
          </w:tcPr>
          <w:p w14:paraId="605EC529" w14:textId="77777777" w:rsidR="008A6DD0" w:rsidRPr="001839C2" w:rsidRDefault="008A6DD0" w:rsidP="00230559">
            <w:pPr>
              <w:tabs>
                <w:tab w:val="left" w:pos="142"/>
              </w:tabs>
              <w:ind w:left="567" w:hanging="567"/>
              <w:rPr>
                <w:b/>
                <w:snapToGrid/>
                <w:szCs w:val="22"/>
                <w:lang w:val="lt-LT"/>
              </w:rPr>
            </w:pPr>
            <w:r w:rsidRPr="001839C2">
              <w:rPr>
                <w:b/>
                <w:snapToGrid/>
                <w:szCs w:val="22"/>
                <w:lang w:val="lt-LT"/>
              </w:rPr>
              <w:t>5.</w:t>
            </w:r>
            <w:r w:rsidRPr="001839C2">
              <w:rPr>
                <w:b/>
                <w:snapToGrid/>
                <w:szCs w:val="22"/>
                <w:lang w:val="lt-LT"/>
              </w:rPr>
              <w:tab/>
              <w:t>KITA</w:t>
            </w:r>
          </w:p>
        </w:tc>
      </w:tr>
    </w:tbl>
    <w:p w14:paraId="63ECBF4E" w14:textId="77777777" w:rsidR="008A6DD0" w:rsidRPr="001839C2" w:rsidRDefault="008A6DD0" w:rsidP="008A6DD0">
      <w:pPr>
        <w:tabs>
          <w:tab w:val="clear" w:pos="567"/>
          <w:tab w:val="left" w:pos="720"/>
        </w:tabs>
        <w:rPr>
          <w:snapToGrid/>
          <w:szCs w:val="22"/>
          <w:lang w:val="lt-LT"/>
        </w:rPr>
      </w:pPr>
    </w:p>
    <w:p w14:paraId="0C740980" w14:textId="77777777" w:rsidR="008A6DD0" w:rsidRPr="001839C2" w:rsidRDefault="008A6DD0" w:rsidP="008A6DD0">
      <w:pPr>
        <w:tabs>
          <w:tab w:val="clear" w:pos="567"/>
        </w:tabs>
        <w:rPr>
          <w:snapToGrid/>
          <w:szCs w:val="22"/>
          <w:lang w:val="lt-LT"/>
        </w:rPr>
      </w:pPr>
    </w:p>
    <w:p w14:paraId="5A9D3822" w14:textId="77777777" w:rsidR="008A6DD0" w:rsidRPr="001839C2" w:rsidRDefault="008A6DD0" w:rsidP="008A6DD0">
      <w:pPr>
        <w:tabs>
          <w:tab w:val="clear" w:pos="567"/>
        </w:tabs>
        <w:rPr>
          <w:snapToGrid/>
          <w:szCs w:val="22"/>
          <w:lang w:val="lt-LT"/>
        </w:rPr>
      </w:pPr>
      <w:r w:rsidRPr="001839C2">
        <w:rPr>
          <w:snapToGrid/>
          <w:szCs w:val="22"/>
          <w:lang w:val="lt-LT"/>
        </w:rPr>
        <w:br w:type="page"/>
      </w:r>
    </w:p>
    <w:p w14:paraId="5C7F58E0" w14:textId="77777777" w:rsidR="00DF0DF8" w:rsidRPr="001839C2" w:rsidRDefault="00DF0DF8" w:rsidP="002A5F50">
      <w:pPr>
        <w:outlineLvl w:val="0"/>
        <w:rPr>
          <w:lang w:val="lt-LT"/>
        </w:rPr>
      </w:pPr>
    </w:p>
    <w:p w14:paraId="1C817221" w14:textId="77777777" w:rsidR="00DF0DF8" w:rsidRPr="001839C2" w:rsidRDefault="00DF0DF8" w:rsidP="002A5F50">
      <w:pPr>
        <w:outlineLvl w:val="0"/>
        <w:rPr>
          <w:b/>
          <w:lang w:val="lt-LT"/>
        </w:rPr>
      </w:pPr>
    </w:p>
    <w:p w14:paraId="2D040CEB" w14:textId="77777777" w:rsidR="002A5F50" w:rsidRPr="001839C2" w:rsidRDefault="002A5F50" w:rsidP="002A5F50">
      <w:pPr>
        <w:outlineLvl w:val="0"/>
        <w:rPr>
          <w:b/>
          <w:lang w:val="lt-LT"/>
        </w:rPr>
      </w:pPr>
    </w:p>
    <w:p w14:paraId="0F705E4D" w14:textId="77777777" w:rsidR="002A5F50" w:rsidRPr="001839C2" w:rsidRDefault="002A5F50" w:rsidP="002A5F50">
      <w:pPr>
        <w:outlineLvl w:val="0"/>
        <w:rPr>
          <w:b/>
          <w:lang w:val="lt-LT"/>
        </w:rPr>
      </w:pPr>
    </w:p>
    <w:p w14:paraId="64DE7C06" w14:textId="77777777" w:rsidR="002A5F50" w:rsidRPr="001839C2" w:rsidRDefault="002A5F50" w:rsidP="002A5F50">
      <w:pPr>
        <w:outlineLvl w:val="0"/>
        <w:rPr>
          <w:b/>
          <w:lang w:val="lt-LT"/>
        </w:rPr>
      </w:pPr>
    </w:p>
    <w:p w14:paraId="4648DA08" w14:textId="77777777" w:rsidR="002A5F50" w:rsidRPr="001839C2" w:rsidRDefault="002A5F50" w:rsidP="002A5F50">
      <w:pPr>
        <w:outlineLvl w:val="0"/>
        <w:rPr>
          <w:b/>
          <w:lang w:val="lt-LT"/>
        </w:rPr>
      </w:pPr>
    </w:p>
    <w:p w14:paraId="73E1354D" w14:textId="77777777" w:rsidR="002A5F50" w:rsidRPr="001839C2" w:rsidRDefault="002A5F50" w:rsidP="002A5F50">
      <w:pPr>
        <w:outlineLvl w:val="0"/>
        <w:rPr>
          <w:b/>
          <w:lang w:val="lt-LT"/>
        </w:rPr>
      </w:pPr>
    </w:p>
    <w:p w14:paraId="21C6C75B" w14:textId="77777777" w:rsidR="002A5F50" w:rsidRPr="001839C2" w:rsidRDefault="002A5F50" w:rsidP="002A5F50">
      <w:pPr>
        <w:outlineLvl w:val="0"/>
        <w:rPr>
          <w:b/>
          <w:lang w:val="lt-LT"/>
        </w:rPr>
      </w:pPr>
    </w:p>
    <w:p w14:paraId="61DAB59D" w14:textId="77777777" w:rsidR="002A5F50" w:rsidRPr="001839C2" w:rsidRDefault="002A5F50" w:rsidP="002A5F50">
      <w:pPr>
        <w:outlineLvl w:val="0"/>
        <w:rPr>
          <w:b/>
          <w:lang w:val="lt-LT"/>
        </w:rPr>
      </w:pPr>
    </w:p>
    <w:p w14:paraId="1E7633C9" w14:textId="77777777" w:rsidR="002A5F50" w:rsidRPr="001839C2" w:rsidRDefault="002A5F50" w:rsidP="002A5F50">
      <w:pPr>
        <w:outlineLvl w:val="0"/>
        <w:rPr>
          <w:b/>
          <w:lang w:val="lt-LT"/>
        </w:rPr>
      </w:pPr>
    </w:p>
    <w:p w14:paraId="37AD6124" w14:textId="77777777" w:rsidR="002A5F50" w:rsidRPr="001839C2" w:rsidRDefault="002A5F50" w:rsidP="002A5F50">
      <w:pPr>
        <w:outlineLvl w:val="0"/>
        <w:rPr>
          <w:b/>
          <w:lang w:val="lt-LT"/>
        </w:rPr>
      </w:pPr>
    </w:p>
    <w:p w14:paraId="1174619F" w14:textId="77777777" w:rsidR="002A5F50" w:rsidRPr="001839C2" w:rsidRDefault="002A5F50" w:rsidP="002A5F50">
      <w:pPr>
        <w:outlineLvl w:val="0"/>
        <w:rPr>
          <w:b/>
          <w:lang w:val="lt-LT"/>
        </w:rPr>
      </w:pPr>
    </w:p>
    <w:p w14:paraId="38D1C570" w14:textId="77777777" w:rsidR="002A5F50" w:rsidRPr="001839C2" w:rsidRDefault="002A5F50" w:rsidP="002A5F50">
      <w:pPr>
        <w:outlineLvl w:val="0"/>
        <w:rPr>
          <w:b/>
          <w:lang w:val="lt-LT"/>
        </w:rPr>
      </w:pPr>
    </w:p>
    <w:p w14:paraId="629027C3" w14:textId="77777777" w:rsidR="002A5F50" w:rsidRPr="001839C2" w:rsidRDefault="002A5F50" w:rsidP="002A5F50">
      <w:pPr>
        <w:outlineLvl w:val="0"/>
        <w:rPr>
          <w:b/>
          <w:lang w:val="lt-LT"/>
        </w:rPr>
      </w:pPr>
    </w:p>
    <w:p w14:paraId="4F524805" w14:textId="77777777" w:rsidR="002A5F50" w:rsidRPr="001839C2" w:rsidRDefault="002A5F50" w:rsidP="002A5F50">
      <w:pPr>
        <w:outlineLvl w:val="0"/>
        <w:rPr>
          <w:b/>
          <w:lang w:val="lt-LT"/>
        </w:rPr>
      </w:pPr>
    </w:p>
    <w:p w14:paraId="22A1BC0A" w14:textId="77777777" w:rsidR="002A5F50" w:rsidRPr="001839C2" w:rsidRDefault="002A5F50" w:rsidP="002A5F50">
      <w:pPr>
        <w:outlineLvl w:val="0"/>
        <w:rPr>
          <w:b/>
          <w:lang w:val="lt-LT"/>
        </w:rPr>
      </w:pPr>
    </w:p>
    <w:p w14:paraId="31B78567" w14:textId="77777777" w:rsidR="002A5F50" w:rsidRPr="001839C2" w:rsidRDefault="002A5F50" w:rsidP="002A5F50">
      <w:pPr>
        <w:outlineLvl w:val="0"/>
        <w:rPr>
          <w:b/>
          <w:lang w:val="lt-LT"/>
        </w:rPr>
      </w:pPr>
    </w:p>
    <w:p w14:paraId="68859BFA" w14:textId="77777777" w:rsidR="002A5F50" w:rsidRPr="001839C2" w:rsidRDefault="002A5F50" w:rsidP="002A5F50">
      <w:pPr>
        <w:outlineLvl w:val="0"/>
        <w:rPr>
          <w:b/>
          <w:lang w:val="lt-LT"/>
        </w:rPr>
      </w:pPr>
    </w:p>
    <w:p w14:paraId="68BDC4AC" w14:textId="77777777" w:rsidR="002A5F50" w:rsidRPr="001839C2" w:rsidRDefault="002A5F50" w:rsidP="002A5F50">
      <w:pPr>
        <w:outlineLvl w:val="0"/>
        <w:rPr>
          <w:b/>
          <w:lang w:val="lt-LT"/>
        </w:rPr>
      </w:pPr>
    </w:p>
    <w:p w14:paraId="532EE82E" w14:textId="77777777" w:rsidR="002A5F50" w:rsidRPr="001839C2" w:rsidRDefault="002A5F50" w:rsidP="002A5F50">
      <w:pPr>
        <w:jc w:val="center"/>
        <w:outlineLvl w:val="0"/>
        <w:rPr>
          <w:b/>
          <w:lang w:val="lt-LT"/>
        </w:rPr>
      </w:pPr>
    </w:p>
    <w:p w14:paraId="498E038D" w14:textId="77777777" w:rsidR="002A5F50" w:rsidRPr="001839C2" w:rsidRDefault="002A5F50" w:rsidP="002A5F50">
      <w:pPr>
        <w:jc w:val="center"/>
        <w:outlineLvl w:val="0"/>
        <w:rPr>
          <w:b/>
          <w:lang w:val="lt-LT"/>
        </w:rPr>
      </w:pPr>
    </w:p>
    <w:p w14:paraId="682B2611" w14:textId="77777777" w:rsidR="002A5F50" w:rsidRPr="001839C2" w:rsidRDefault="002A5F50" w:rsidP="002A5F50">
      <w:pPr>
        <w:jc w:val="center"/>
        <w:outlineLvl w:val="0"/>
        <w:rPr>
          <w:b/>
          <w:lang w:val="lt-LT"/>
        </w:rPr>
      </w:pPr>
    </w:p>
    <w:p w14:paraId="5A603EF4" w14:textId="77777777" w:rsidR="002A5F50" w:rsidRPr="001839C2" w:rsidRDefault="002A5F50" w:rsidP="002A5F50">
      <w:pPr>
        <w:jc w:val="center"/>
        <w:outlineLvl w:val="0"/>
        <w:rPr>
          <w:b/>
          <w:lang w:val="lt-LT"/>
        </w:rPr>
      </w:pPr>
    </w:p>
    <w:p w14:paraId="395BFC3E" w14:textId="77777777" w:rsidR="00DF0DF8" w:rsidRPr="001839C2" w:rsidRDefault="00DF0DF8" w:rsidP="002A5F50">
      <w:pPr>
        <w:jc w:val="center"/>
        <w:outlineLvl w:val="0"/>
        <w:rPr>
          <w:rFonts w:asciiTheme="minorHAnsi" w:eastAsiaTheme="minorHAnsi" w:hAnsiTheme="minorHAnsi" w:cstheme="minorBidi"/>
          <w:b/>
          <w:snapToGrid/>
          <w:szCs w:val="22"/>
          <w:lang w:val="lt-LT"/>
        </w:rPr>
      </w:pPr>
      <w:r w:rsidRPr="001839C2">
        <w:rPr>
          <w:b/>
          <w:lang w:val="lt-LT"/>
        </w:rPr>
        <w:t>B. PAKUOTĖS LAPELIS</w:t>
      </w:r>
    </w:p>
    <w:p w14:paraId="18E8BC0E" w14:textId="77777777" w:rsidR="002A5F50" w:rsidRPr="001839C2" w:rsidRDefault="00DF0DF8" w:rsidP="00230559">
      <w:pPr>
        <w:widowControl w:val="0"/>
        <w:tabs>
          <w:tab w:val="clear" w:pos="567"/>
        </w:tabs>
        <w:kinsoku w:val="0"/>
        <w:overflowPunct w:val="0"/>
        <w:autoSpaceDE w:val="0"/>
        <w:autoSpaceDN w:val="0"/>
        <w:adjustRightInd w:val="0"/>
        <w:jc w:val="center"/>
        <w:rPr>
          <w:rFonts w:eastAsiaTheme="minorHAnsi"/>
          <w:b/>
          <w:snapToGrid/>
          <w:szCs w:val="22"/>
          <w:lang w:val="lt-LT"/>
        </w:rPr>
      </w:pPr>
      <w:r w:rsidRPr="001839C2">
        <w:rPr>
          <w:lang w:val="lt-LT"/>
        </w:rPr>
        <w:br w:type="page"/>
      </w:r>
      <w:r w:rsidR="002A5F50" w:rsidRPr="001839C2">
        <w:rPr>
          <w:rFonts w:eastAsiaTheme="minorHAnsi"/>
          <w:b/>
          <w:snapToGrid/>
          <w:szCs w:val="22"/>
          <w:lang w:val="lt-LT"/>
        </w:rPr>
        <w:lastRenderedPageBreak/>
        <w:t>Pakuotės lapelis: informacija vartotojui</w:t>
      </w:r>
    </w:p>
    <w:p w14:paraId="33831D49" w14:textId="77777777" w:rsidR="002A5F50" w:rsidRPr="001839C2" w:rsidRDefault="002A5F50" w:rsidP="00230559">
      <w:pPr>
        <w:widowControl w:val="0"/>
        <w:tabs>
          <w:tab w:val="clear" w:pos="567"/>
        </w:tabs>
        <w:kinsoku w:val="0"/>
        <w:overflowPunct w:val="0"/>
        <w:autoSpaceDE w:val="0"/>
        <w:autoSpaceDN w:val="0"/>
        <w:adjustRightInd w:val="0"/>
        <w:jc w:val="center"/>
        <w:rPr>
          <w:rFonts w:eastAsiaTheme="minorEastAsia"/>
          <w:b/>
          <w:bCs/>
          <w:snapToGrid/>
          <w:szCs w:val="22"/>
          <w:lang w:val="lt-LT" w:eastAsia="en-IN"/>
        </w:rPr>
      </w:pPr>
    </w:p>
    <w:p w14:paraId="480735D6" w14:textId="77777777" w:rsidR="002A5F50" w:rsidRPr="001839C2" w:rsidRDefault="002A5F50" w:rsidP="00230559">
      <w:pPr>
        <w:widowControl w:val="0"/>
        <w:tabs>
          <w:tab w:val="clear" w:pos="567"/>
        </w:tabs>
        <w:kinsoku w:val="0"/>
        <w:overflowPunct w:val="0"/>
        <w:autoSpaceDE w:val="0"/>
        <w:autoSpaceDN w:val="0"/>
        <w:adjustRightInd w:val="0"/>
        <w:jc w:val="center"/>
        <w:rPr>
          <w:rFonts w:eastAsiaTheme="minorEastAsia"/>
          <w:snapToGrid/>
          <w:szCs w:val="22"/>
          <w:lang w:val="lt-LT" w:eastAsia="en-IN"/>
        </w:rPr>
      </w:pPr>
      <w:r w:rsidRPr="001839C2">
        <w:rPr>
          <w:rFonts w:eastAsiaTheme="minorHAnsi"/>
          <w:b/>
          <w:snapToGrid/>
          <w:szCs w:val="22"/>
          <w:lang w:val="lt-LT"/>
        </w:rPr>
        <w:t xml:space="preserve">Emtricitabine/Tenofovir disoproxil Accordpharma </w:t>
      </w:r>
      <w:r w:rsidRPr="001839C2">
        <w:rPr>
          <w:rFonts w:eastAsiaTheme="minorEastAsia"/>
          <w:b/>
          <w:bCs/>
          <w:snapToGrid/>
          <w:szCs w:val="22"/>
          <w:lang w:val="lt-LT" w:eastAsia="en-IN"/>
        </w:rPr>
        <w:t>200</w:t>
      </w:r>
      <w:r w:rsidR="004066F4" w:rsidRPr="001839C2">
        <w:rPr>
          <w:rFonts w:eastAsiaTheme="minorEastAsia"/>
          <w:b/>
          <w:bCs/>
          <w:snapToGrid/>
          <w:szCs w:val="22"/>
          <w:lang w:val="lt-LT" w:eastAsia="en-IN"/>
        </w:rPr>
        <w:t> </w:t>
      </w:r>
      <w:r w:rsidRPr="001839C2">
        <w:rPr>
          <w:rFonts w:eastAsiaTheme="minorEastAsia"/>
          <w:b/>
          <w:bCs/>
          <w:snapToGrid/>
          <w:szCs w:val="22"/>
          <w:lang w:val="lt-LT" w:eastAsia="en-IN"/>
        </w:rPr>
        <w:t>mg/245</w:t>
      </w:r>
      <w:r w:rsidR="004066F4" w:rsidRPr="001839C2">
        <w:rPr>
          <w:rFonts w:eastAsiaTheme="minorEastAsia"/>
          <w:b/>
          <w:bCs/>
          <w:snapToGrid/>
          <w:szCs w:val="22"/>
          <w:lang w:val="lt-LT" w:eastAsia="en-IN"/>
        </w:rPr>
        <w:t> </w:t>
      </w:r>
      <w:r w:rsidRPr="001839C2">
        <w:rPr>
          <w:rFonts w:eastAsiaTheme="minorEastAsia"/>
          <w:b/>
          <w:bCs/>
          <w:snapToGrid/>
          <w:szCs w:val="22"/>
          <w:lang w:val="lt-LT" w:eastAsia="en-IN"/>
        </w:rPr>
        <w:t>mg plėvele dengtos tabletės</w:t>
      </w:r>
    </w:p>
    <w:p w14:paraId="57A9350C" w14:textId="2C7D1321" w:rsidR="002A5F50" w:rsidRPr="001839C2" w:rsidRDefault="00F11FC5" w:rsidP="00230559">
      <w:pPr>
        <w:widowControl w:val="0"/>
        <w:tabs>
          <w:tab w:val="clear" w:pos="567"/>
        </w:tabs>
        <w:kinsoku w:val="0"/>
        <w:overflowPunct w:val="0"/>
        <w:autoSpaceDE w:val="0"/>
        <w:autoSpaceDN w:val="0"/>
        <w:adjustRightInd w:val="0"/>
        <w:jc w:val="center"/>
        <w:rPr>
          <w:rFonts w:eastAsiaTheme="minorEastAsia"/>
          <w:snapToGrid/>
          <w:szCs w:val="22"/>
          <w:lang w:val="lt-LT" w:eastAsia="en-IN"/>
        </w:rPr>
      </w:pPr>
      <w:r w:rsidRPr="001839C2">
        <w:rPr>
          <w:rFonts w:eastAsiaTheme="minorEastAsia"/>
          <w:iCs/>
          <w:snapToGrid/>
          <w:szCs w:val="22"/>
          <w:lang w:val="lt-LT" w:eastAsia="en-IN"/>
        </w:rPr>
        <w:t>e</w:t>
      </w:r>
      <w:r w:rsidR="004066F4" w:rsidRPr="001839C2">
        <w:rPr>
          <w:rFonts w:eastAsiaTheme="minorEastAsia"/>
          <w:iCs/>
          <w:snapToGrid/>
          <w:szCs w:val="22"/>
          <w:lang w:val="lt-LT" w:eastAsia="en-IN"/>
        </w:rPr>
        <w:t>mtricitabinas/</w:t>
      </w:r>
      <w:r w:rsidRPr="001839C2">
        <w:rPr>
          <w:rFonts w:eastAsiaTheme="minorEastAsia"/>
          <w:iCs/>
          <w:snapToGrid/>
          <w:szCs w:val="22"/>
          <w:lang w:val="lt-LT" w:eastAsia="en-IN"/>
        </w:rPr>
        <w:t>t</w:t>
      </w:r>
      <w:r w:rsidR="004066F4" w:rsidRPr="001839C2">
        <w:rPr>
          <w:rFonts w:eastAsiaTheme="minorEastAsia"/>
          <w:iCs/>
          <w:snapToGrid/>
          <w:szCs w:val="22"/>
          <w:lang w:val="lt-LT" w:eastAsia="en-IN"/>
        </w:rPr>
        <w:t>enofoviras dizoproksilis</w:t>
      </w:r>
    </w:p>
    <w:p w14:paraId="1164F331"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68D24C81" w14:textId="77777777"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Atidžiai perskaitykite visą šį lapelį, prieš pradėdami vartoti vaistą, nes jame pateikiama Jums svarbi informacija.</w:t>
      </w:r>
    </w:p>
    <w:p w14:paraId="66CDE96C" w14:textId="77777777" w:rsidR="002A5F50" w:rsidRPr="001839C2" w:rsidRDefault="002A5F50" w:rsidP="00230559">
      <w:pPr>
        <w:widowControl w:val="0"/>
        <w:numPr>
          <w:ilvl w:val="0"/>
          <w:numId w:val="22"/>
        </w:numPr>
        <w:tabs>
          <w:tab w:val="clear" w:pos="567"/>
          <w:tab w:val="left" w:pos="685"/>
        </w:tabs>
        <w:kinsoku w:val="0"/>
        <w:overflowPunct w:val="0"/>
        <w:autoSpaceDE w:val="0"/>
        <w:autoSpaceDN w:val="0"/>
        <w:adjustRightInd w:val="0"/>
        <w:ind w:left="686" w:hanging="566"/>
        <w:rPr>
          <w:rFonts w:eastAsiaTheme="minorEastAsia"/>
          <w:snapToGrid/>
          <w:szCs w:val="22"/>
          <w:lang w:val="lt-LT" w:eastAsia="en-IN"/>
        </w:rPr>
      </w:pPr>
      <w:r w:rsidRPr="001839C2">
        <w:rPr>
          <w:rFonts w:eastAsiaTheme="minorEastAsia"/>
          <w:snapToGrid/>
          <w:szCs w:val="22"/>
          <w:lang w:val="lt-LT" w:eastAsia="en-IN"/>
        </w:rPr>
        <w:t>Neišmeskite šio lapelio, nes vėl gali prireikti jį perskaityti.</w:t>
      </w:r>
    </w:p>
    <w:p w14:paraId="0480B80B" w14:textId="192B5C52" w:rsidR="002A5F50" w:rsidRPr="001839C2" w:rsidRDefault="002A5F50" w:rsidP="00230559">
      <w:pPr>
        <w:widowControl w:val="0"/>
        <w:numPr>
          <w:ilvl w:val="0"/>
          <w:numId w:val="22"/>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Jeigu kiltų daugiau klausimų, kreipkitės į gydytoją</w:t>
      </w:r>
      <w:r w:rsidR="00E16834" w:rsidRPr="001839C2">
        <w:rPr>
          <w:rFonts w:eastAsiaTheme="minorEastAsia"/>
          <w:snapToGrid/>
          <w:szCs w:val="22"/>
          <w:lang w:val="lt-LT" w:eastAsia="en-IN"/>
        </w:rPr>
        <w:t xml:space="preserve"> arba</w:t>
      </w:r>
      <w:r w:rsidRPr="001839C2">
        <w:rPr>
          <w:rFonts w:eastAsiaTheme="minorEastAsia"/>
          <w:snapToGrid/>
          <w:szCs w:val="22"/>
          <w:lang w:val="lt-LT" w:eastAsia="en-IN"/>
        </w:rPr>
        <w:t xml:space="preserve"> vaistininką.</w:t>
      </w:r>
    </w:p>
    <w:p w14:paraId="59212F5F" w14:textId="77777777" w:rsidR="002A5F50" w:rsidRPr="001839C2" w:rsidRDefault="002A5F50" w:rsidP="00230559">
      <w:pPr>
        <w:widowControl w:val="0"/>
        <w:numPr>
          <w:ilvl w:val="0"/>
          <w:numId w:val="22"/>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Šis vaistas skirtas tik Jums, todėl kitiems žmonėms jo duoti negalima. Vaistas gali jiems pakenkti (net tiems, kurių ligos požymiai yra tokie patys kaip Jūsų).</w:t>
      </w:r>
    </w:p>
    <w:p w14:paraId="6923443F" w14:textId="2F816C6A" w:rsidR="002A5F50" w:rsidRPr="001839C2" w:rsidRDefault="002A5F50" w:rsidP="00230559">
      <w:pPr>
        <w:widowControl w:val="0"/>
        <w:numPr>
          <w:ilvl w:val="0"/>
          <w:numId w:val="22"/>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Jeigu pasireiškė šalutinis poveikis (net jeigu jis šiame lapelyje nenurodytas), kreipkitės į gydytoją, vaistininką. Žr.</w:t>
      </w:r>
      <w:r w:rsidR="00BF4605" w:rsidRPr="001839C2">
        <w:rPr>
          <w:rFonts w:eastAsiaTheme="minorEastAsia"/>
          <w:snapToGrid/>
          <w:szCs w:val="22"/>
          <w:lang w:val="lt-LT" w:eastAsia="en-IN"/>
        </w:rPr>
        <w:t> </w:t>
      </w:r>
      <w:r w:rsidRPr="001839C2">
        <w:rPr>
          <w:rFonts w:eastAsiaTheme="minorEastAsia"/>
          <w:snapToGrid/>
          <w:szCs w:val="22"/>
          <w:lang w:val="lt-LT" w:eastAsia="en-IN"/>
        </w:rPr>
        <w:t>4</w:t>
      </w:r>
      <w:r w:rsidR="00BF4605" w:rsidRPr="001839C2">
        <w:rPr>
          <w:rFonts w:eastAsiaTheme="minorEastAsia"/>
          <w:snapToGrid/>
          <w:szCs w:val="22"/>
          <w:lang w:val="lt-LT" w:eastAsia="en-IN"/>
        </w:rPr>
        <w:t> </w:t>
      </w:r>
      <w:r w:rsidRPr="001839C2">
        <w:rPr>
          <w:rFonts w:eastAsiaTheme="minorEastAsia"/>
          <w:snapToGrid/>
          <w:szCs w:val="22"/>
          <w:lang w:val="lt-LT" w:eastAsia="en-IN"/>
        </w:rPr>
        <w:t>skyrių.</w:t>
      </w:r>
    </w:p>
    <w:p w14:paraId="08FE24F1"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18DBF54A" w14:textId="77777777" w:rsidR="002A5F50" w:rsidRPr="001839C2" w:rsidRDefault="002A5F50" w:rsidP="002A5F50">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Apie ką rašoma šiame lapelyje?</w:t>
      </w:r>
    </w:p>
    <w:p w14:paraId="495DD327" w14:textId="77777777" w:rsidR="008D650D" w:rsidRPr="001839C2" w:rsidRDefault="008D650D" w:rsidP="002A5F50">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p>
    <w:p w14:paraId="2F7A4CA5" w14:textId="77777777" w:rsidR="002A5F50" w:rsidRPr="001839C2" w:rsidRDefault="002A5F50" w:rsidP="002A5F50">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Kas yra </w:t>
      </w:r>
      <w:r w:rsidRPr="001839C2">
        <w:rPr>
          <w:rFonts w:eastAsiaTheme="minorHAnsi"/>
          <w:snapToGrid/>
          <w:szCs w:val="22"/>
          <w:lang w:val="lt-LT"/>
        </w:rPr>
        <w:t>Emtricitabine/Tenofovir disoproxil Accordpharma</w:t>
      </w:r>
      <w:r w:rsidRPr="001839C2" w:rsidDel="00F32459">
        <w:rPr>
          <w:rFonts w:eastAsiaTheme="minorEastAsia"/>
          <w:snapToGrid/>
          <w:szCs w:val="22"/>
          <w:lang w:val="lt-LT" w:eastAsia="en-IN"/>
        </w:rPr>
        <w:t xml:space="preserve"> </w:t>
      </w:r>
      <w:r w:rsidRPr="001839C2">
        <w:rPr>
          <w:rFonts w:eastAsiaTheme="minorEastAsia"/>
          <w:snapToGrid/>
          <w:szCs w:val="22"/>
          <w:lang w:val="lt-LT" w:eastAsia="en-IN"/>
        </w:rPr>
        <w:t>ir kam j</w:t>
      </w:r>
      <w:r w:rsidR="00BF4605" w:rsidRPr="001839C2">
        <w:rPr>
          <w:rFonts w:eastAsiaTheme="minorEastAsia"/>
          <w:snapToGrid/>
          <w:szCs w:val="22"/>
          <w:lang w:val="lt-LT" w:eastAsia="en-IN"/>
        </w:rPr>
        <w:t>i</w:t>
      </w:r>
      <w:r w:rsidRPr="001839C2">
        <w:rPr>
          <w:rFonts w:eastAsiaTheme="minorEastAsia"/>
          <w:snapToGrid/>
          <w:szCs w:val="22"/>
          <w:lang w:val="lt-LT" w:eastAsia="en-IN"/>
        </w:rPr>
        <w:t>s vartojam</w:t>
      </w:r>
      <w:r w:rsidR="00BF4605" w:rsidRPr="001839C2">
        <w:rPr>
          <w:rFonts w:eastAsiaTheme="minorEastAsia"/>
          <w:snapToGrid/>
          <w:szCs w:val="22"/>
          <w:lang w:val="lt-LT" w:eastAsia="en-IN"/>
        </w:rPr>
        <w:t>a</w:t>
      </w:r>
      <w:r w:rsidRPr="001839C2">
        <w:rPr>
          <w:rFonts w:eastAsiaTheme="minorEastAsia"/>
          <w:snapToGrid/>
          <w:szCs w:val="22"/>
          <w:lang w:val="lt-LT" w:eastAsia="en-IN"/>
        </w:rPr>
        <w:t>s</w:t>
      </w:r>
    </w:p>
    <w:p w14:paraId="01DB28BE" w14:textId="77777777" w:rsidR="002A5F50" w:rsidRPr="001839C2" w:rsidRDefault="002A5F50" w:rsidP="002A5F50">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Kas žinotina prieš vartojant </w:t>
      </w:r>
      <w:r w:rsidRPr="001839C2">
        <w:rPr>
          <w:rFonts w:eastAsiaTheme="minorHAnsi"/>
          <w:snapToGrid/>
          <w:szCs w:val="22"/>
          <w:lang w:val="lt-LT"/>
        </w:rPr>
        <w:t>Emtricitabine/Tenofovir disoproxil Accordpharma</w:t>
      </w:r>
    </w:p>
    <w:p w14:paraId="4FB6A97C" w14:textId="77777777" w:rsidR="002A5F50" w:rsidRPr="001839C2" w:rsidRDefault="002A5F50" w:rsidP="002A5F50">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Kaip vartoti </w:t>
      </w:r>
      <w:r w:rsidRPr="001839C2">
        <w:rPr>
          <w:rFonts w:eastAsiaTheme="minorHAnsi"/>
          <w:snapToGrid/>
          <w:szCs w:val="22"/>
          <w:lang w:val="lt-LT"/>
        </w:rPr>
        <w:t>Emtricitabine/Tenofovir disoproxil Accordpharma</w:t>
      </w:r>
    </w:p>
    <w:p w14:paraId="2D90D730" w14:textId="77777777" w:rsidR="002A5F50" w:rsidRPr="001839C2" w:rsidRDefault="002A5F50" w:rsidP="002A5F50">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Galimas šalutinis poveikis</w:t>
      </w:r>
    </w:p>
    <w:p w14:paraId="289C0E73" w14:textId="77777777" w:rsidR="002A5F50" w:rsidRPr="001839C2" w:rsidRDefault="002A5F50" w:rsidP="002A5F50">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Kaip laikyti </w:t>
      </w:r>
      <w:r w:rsidRPr="001839C2">
        <w:rPr>
          <w:rFonts w:eastAsiaTheme="minorHAnsi"/>
          <w:snapToGrid/>
          <w:szCs w:val="22"/>
          <w:lang w:val="lt-LT"/>
        </w:rPr>
        <w:t>Emtricitabine/Tenofovir disoproxil Accordpharma</w:t>
      </w:r>
    </w:p>
    <w:p w14:paraId="05E32C98" w14:textId="77777777" w:rsidR="002A5F50" w:rsidRPr="001839C2" w:rsidRDefault="002A5F50" w:rsidP="002A5F50">
      <w:pPr>
        <w:widowControl w:val="0"/>
        <w:numPr>
          <w:ilvl w:val="0"/>
          <w:numId w:val="21"/>
        </w:numPr>
        <w:tabs>
          <w:tab w:val="clear" w:pos="567"/>
          <w:tab w:val="left" w:pos="684"/>
        </w:tabs>
        <w:kinsoku w:val="0"/>
        <w:overflowPunct w:val="0"/>
        <w:autoSpaceDE w:val="0"/>
        <w:autoSpaceDN w:val="0"/>
        <w:adjustRightInd w:val="0"/>
        <w:ind w:left="683" w:hanging="566"/>
        <w:rPr>
          <w:rFonts w:eastAsiaTheme="minorEastAsia"/>
          <w:snapToGrid/>
          <w:szCs w:val="22"/>
          <w:lang w:val="lt-LT" w:eastAsia="en-IN"/>
        </w:rPr>
      </w:pPr>
      <w:r w:rsidRPr="001839C2">
        <w:rPr>
          <w:rFonts w:eastAsiaTheme="minorEastAsia"/>
          <w:snapToGrid/>
          <w:szCs w:val="22"/>
          <w:lang w:val="lt-LT" w:eastAsia="en-IN"/>
        </w:rPr>
        <w:t>Pakuotės turinys ir kita informacija</w:t>
      </w:r>
    </w:p>
    <w:p w14:paraId="77327C63"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66DAD281"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73CA9878" w14:textId="77777777" w:rsidR="002A5F50" w:rsidRPr="001839C2" w:rsidRDefault="002A5F50" w:rsidP="00230559">
      <w:pPr>
        <w:widowControl w:val="0"/>
        <w:numPr>
          <w:ilvl w:val="0"/>
          <w:numId w:val="20"/>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 xml:space="preserve">Kas yra </w:t>
      </w:r>
      <w:r w:rsidRPr="001839C2">
        <w:rPr>
          <w:rFonts w:eastAsiaTheme="minorHAnsi"/>
          <w:b/>
          <w:bCs/>
          <w:snapToGrid/>
          <w:szCs w:val="22"/>
          <w:lang w:val="lt-LT"/>
        </w:rPr>
        <w:t>Emtricitabine/Tenofovir disoproxil Accordpharma</w:t>
      </w:r>
      <w:r w:rsidRPr="001839C2" w:rsidDel="00F32459">
        <w:rPr>
          <w:rFonts w:eastAsiaTheme="minorEastAsia"/>
          <w:b/>
          <w:bCs/>
          <w:snapToGrid/>
          <w:szCs w:val="22"/>
          <w:lang w:val="lt-LT" w:eastAsia="en-IN"/>
        </w:rPr>
        <w:t xml:space="preserve"> </w:t>
      </w:r>
      <w:r w:rsidRPr="001839C2">
        <w:rPr>
          <w:rFonts w:eastAsiaTheme="minorEastAsia"/>
          <w:b/>
          <w:bCs/>
          <w:snapToGrid/>
          <w:szCs w:val="22"/>
          <w:lang w:val="lt-LT" w:eastAsia="en-IN"/>
        </w:rPr>
        <w:t>ir kam j</w:t>
      </w:r>
      <w:r w:rsidR="00BF4605" w:rsidRPr="001839C2">
        <w:rPr>
          <w:rFonts w:eastAsiaTheme="minorEastAsia"/>
          <w:b/>
          <w:bCs/>
          <w:snapToGrid/>
          <w:szCs w:val="22"/>
          <w:lang w:val="lt-LT" w:eastAsia="en-IN"/>
        </w:rPr>
        <w:t>i</w:t>
      </w:r>
      <w:r w:rsidRPr="001839C2">
        <w:rPr>
          <w:rFonts w:eastAsiaTheme="minorEastAsia"/>
          <w:b/>
          <w:bCs/>
          <w:snapToGrid/>
          <w:szCs w:val="22"/>
          <w:lang w:val="lt-LT" w:eastAsia="en-IN"/>
        </w:rPr>
        <w:t>s vartojam</w:t>
      </w:r>
      <w:r w:rsidR="00BF4605" w:rsidRPr="001839C2">
        <w:rPr>
          <w:rFonts w:eastAsiaTheme="minorEastAsia"/>
          <w:b/>
          <w:bCs/>
          <w:snapToGrid/>
          <w:szCs w:val="22"/>
          <w:lang w:val="lt-LT" w:eastAsia="en-IN"/>
        </w:rPr>
        <w:t>a</w:t>
      </w:r>
      <w:r w:rsidRPr="001839C2">
        <w:rPr>
          <w:rFonts w:eastAsiaTheme="minorEastAsia"/>
          <w:b/>
          <w:bCs/>
          <w:snapToGrid/>
          <w:szCs w:val="22"/>
          <w:lang w:val="lt-LT" w:eastAsia="en-IN"/>
        </w:rPr>
        <w:t>s</w:t>
      </w:r>
    </w:p>
    <w:p w14:paraId="3E482C3B"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71D597FE"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CB32F8">
        <w:rPr>
          <w:rFonts w:eastAsiaTheme="minorHAnsi"/>
          <w:b/>
          <w:bCs/>
          <w:snapToGrid/>
          <w:szCs w:val="22"/>
          <w:lang w:val="lt-LT"/>
        </w:rPr>
        <w:t xml:space="preserve">Emtricitabine/Tenofovir disoproxil Accordpharma </w:t>
      </w:r>
      <w:r w:rsidRPr="00CB32F8">
        <w:rPr>
          <w:rFonts w:eastAsiaTheme="minorEastAsia"/>
          <w:b/>
          <w:bCs/>
          <w:snapToGrid/>
          <w:szCs w:val="22"/>
          <w:lang w:val="lt-LT" w:eastAsia="en-IN"/>
        </w:rPr>
        <w:t>sudėtyje yra dvi veikliosios medžiagos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 xml:space="preserve">– </w:t>
      </w:r>
      <w:r w:rsidRPr="00CB32F8">
        <w:rPr>
          <w:rFonts w:eastAsiaTheme="minorEastAsia"/>
          <w:i/>
          <w:snapToGrid/>
          <w:szCs w:val="22"/>
          <w:lang w:val="lt-LT" w:eastAsia="en-IN"/>
        </w:rPr>
        <w:t>emtricitabinas</w:t>
      </w:r>
      <w:r w:rsidRPr="001839C2">
        <w:rPr>
          <w:rFonts w:eastAsiaTheme="minorEastAsia"/>
          <w:i/>
          <w:iCs/>
          <w:snapToGrid/>
          <w:szCs w:val="22"/>
          <w:lang w:val="lt-LT" w:eastAsia="en-IN"/>
        </w:rPr>
        <w:t xml:space="preserve"> </w:t>
      </w:r>
      <w:r w:rsidRPr="001839C2">
        <w:rPr>
          <w:rFonts w:eastAsiaTheme="minorEastAsia"/>
          <w:snapToGrid/>
          <w:szCs w:val="22"/>
          <w:lang w:val="lt-LT" w:eastAsia="en-IN"/>
        </w:rPr>
        <w:t xml:space="preserve">ir </w:t>
      </w:r>
      <w:r w:rsidRPr="00CB32F8">
        <w:rPr>
          <w:rFonts w:eastAsiaTheme="minorEastAsia"/>
          <w:i/>
          <w:snapToGrid/>
          <w:szCs w:val="22"/>
          <w:lang w:val="lt-LT" w:eastAsia="en-IN"/>
        </w:rPr>
        <w:t>tenofovir</w:t>
      </w:r>
      <w:r w:rsidR="00A16069" w:rsidRPr="00CB32F8">
        <w:rPr>
          <w:rFonts w:eastAsiaTheme="minorEastAsia"/>
          <w:i/>
          <w:snapToGrid/>
          <w:szCs w:val="22"/>
          <w:lang w:val="lt-LT" w:eastAsia="en-IN"/>
        </w:rPr>
        <w:t>as</w:t>
      </w:r>
      <w:r w:rsidRPr="00CB32F8">
        <w:rPr>
          <w:rFonts w:eastAsiaTheme="minorEastAsia"/>
          <w:i/>
          <w:snapToGrid/>
          <w:szCs w:val="22"/>
          <w:lang w:val="lt-LT" w:eastAsia="en-IN"/>
        </w:rPr>
        <w:t xml:space="preserve"> dizoproksilis</w:t>
      </w:r>
      <w:r w:rsidRPr="001839C2">
        <w:rPr>
          <w:rFonts w:eastAsiaTheme="minorEastAsia"/>
          <w:snapToGrid/>
          <w:szCs w:val="22"/>
          <w:lang w:val="lt-LT" w:eastAsia="en-IN"/>
        </w:rPr>
        <w:t xml:space="preserve">. Abi šios veikliosios medžiagos yra </w:t>
      </w:r>
      <w:r w:rsidRPr="00CB32F8">
        <w:rPr>
          <w:rFonts w:eastAsiaTheme="minorEastAsia"/>
          <w:i/>
          <w:snapToGrid/>
          <w:szCs w:val="22"/>
          <w:lang w:val="lt-LT" w:eastAsia="en-IN"/>
        </w:rPr>
        <w:t>antiretrovirusiniai</w:t>
      </w:r>
      <w:r w:rsidRPr="001839C2">
        <w:rPr>
          <w:rFonts w:eastAsiaTheme="minorEastAsia"/>
          <w:i/>
          <w:iCs/>
          <w:snapToGrid/>
          <w:szCs w:val="22"/>
          <w:lang w:val="lt-LT" w:eastAsia="en-IN"/>
        </w:rPr>
        <w:t xml:space="preserve"> </w:t>
      </w:r>
      <w:r w:rsidRPr="001839C2">
        <w:rPr>
          <w:rFonts w:eastAsiaTheme="minorEastAsia"/>
          <w:snapToGrid/>
          <w:szCs w:val="22"/>
          <w:lang w:val="lt-LT" w:eastAsia="en-IN"/>
        </w:rPr>
        <w:t>vaistai, vartojami ŽIV</w:t>
      </w:r>
      <w:r w:rsidR="00BF4605" w:rsidRPr="001839C2">
        <w:rPr>
          <w:rFonts w:eastAsiaTheme="minorEastAsia"/>
          <w:snapToGrid/>
          <w:szCs w:val="22"/>
          <w:lang w:val="lt-LT" w:eastAsia="en-IN"/>
        </w:rPr>
        <w:t> </w:t>
      </w:r>
      <w:r w:rsidRPr="001839C2">
        <w:rPr>
          <w:rFonts w:eastAsiaTheme="minorEastAsia"/>
          <w:snapToGrid/>
          <w:szCs w:val="22"/>
          <w:lang w:val="lt-LT" w:eastAsia="en-IN"/>
        </w:rPr>
        <w:t>infekcijai gydyti.</w:t>
      </w:r>
      <w:r w:rsidR="00F640FF" w:rsidRPr="001839C2">
        <w:rPr>
          <w:rFonts w:eastAsiaTheme="minorEastAsia"/>
          <w:snapToGrid/>
          <w:szCs w:val="22"/>
          <w:lang w:val="lt-LT" w:eastAsia="en-IN"/>
        </w:rPr>
        <w:t xml:space="preserve"> </w:t>
      </w:r>
      <w:r w:rsidRPr="001839C2">
        <w:rPr>
          <w:rFonts w:eastAsiaTheme="minorEastAsia"/>
          <w:snapToGrid/>
          <w:szCs w:val="22"/>
          <w:lang w:val="lt-LT" w:eastAsia="en-IN"/>
        </w:rPr>
        <w:t xml:space="preserve">Emtricitabinas yra </w:t>
      </w:r>
      <w:r w:rsidRPr="00CB32F8">
        <w:rPr>
          <w:rFonts w:eastAsiaTheme="minorEastAsia"/>
          <w:i/>
          <w:snapToGrid/>
          <w:szCs w:val="22"/>
          <w:lang w:val="lt-LT" w:eastAsia="en-IN"/>
        </w:rPr>
        <w:t>nukleozidų atvirkštinės transkriptazės inhibitorius</w:t>
      </w:r>
      <w:r w:rsidRPr="001839C2">
        <w:rPr>
          <w:rFonts w:eastAsiaTheme="minorEastAsia"/>
          <w:snapToGrid/>
          <w:szCs w:val="22"/>
          <w:lang w:val="lt-LT" w:eastAsia="en-IN"/>
        </w:rPr>
        <w:t xml:space="preserve">, o tenofoviras – </w:t>
      </w:r>
      <w:r w:rsidRPr="00CB32F8">
        <w:rPr>
          <w:rFonts w:eastAsiaTheme="minorEastAsia"/>
          <w:i/>
          <w:snapToGrid/>
          <w:szCs w:val="22"/>
          <w:lang w:val="lt-LT" w:eastAsia="en-IN"/>
        </w:rPr>
        <w:t>nukleotidų atvirkštinės transkriptazės inhibitorius</w:t>
      </w:r>
      <w:r w:rsidRPr="001839C2">
        <w:rPr>
          <w:rFonts w:eastAsiaTheme="minorEastAsia"/>
          <w:i/>
          <w:iCs/>
          <w:snapToGrid/>
          <w:szCs w:val="22"/>
          <w:lang w:val="lt-LT" w:eastAsia="en-IN"/>
        </w:rPr>
        <w:t xml:space="preserve">. </w:t>
      </w:r>
      <w:r w:rsidRPr="001839C2">
        <w:rPr>
          <w:rFonts w:eastAsiaTheme="minorEastAsia"/>
          <w:snapToGrid/>
          <w:szCs w:val="22"/>
          <w:lang w:val="lt-LT" w:eastAsia="en-IN"/>
        </w:rPr>
        <w:t>Tačiau paprastai abu yra žinomi kaip NATI ir veikia trikdydami normalią fermento (atvirkštinės transkriptazės), kuris yra būtinas viruso reproduka</w:t>
      </w:r>
      <w:r w:rsidR="00F640FF" w:rsidRPr="001839C2">
        <w:rPr>
          <w:rFonts w:eastAsiaTheme="minorEastAsia"/>
          <w:snapToGrid/>
          <w:szCs w:val="22"/>
          <w:lang w:val="lt-LT" w:eastAsia="en-IN"/>
        </w:rPr>
        <w:t>c</w:t>
      </w:r>
      <w:r w:rsidRPr="001839C2">
        <w:rPr>
          <w:rFonts w:eastAsiaTheme="minorEastAsia"/>
          <w:snapToGrid/>
          <w:szCs w:val="22"/>
          <w:lang w:val="lt-LT" w:eastAsia="en-IN"/>
        </w:rPr>
        <w:t>i</w:t>
      </w:r>
      <w:r w:rsidR="00F640FF" w:rsidRPr="001839C2">
        <w:rPr>
          <w:rFonts w:eastAsiaTheme="minorEastAsia"/>
          <w:snapToGrid/>
          <w:szCs w:val="22"/>
          <w:lang w:val="lt-LT" w:eastAsia="en-IN"/>
        </w:rPr>
        <w:t>jai</w:t>
      </w:r>
      <w:r w:rsidRPr="001839C2">
        <w:rPr>
          <w:rFonts w:eastAsiaTheme="minorEastAsia"/>
          <w:snapToGrid/>
          <w:szCs w:val="22"/>
          <w:lang w:val="lt-LT" w:eastAsia="en-IN"/>
        </w:rPr>
        <w:t>, veiklą.</w:t>
      </w:r>
    </w:p>
    <w:p w14:paraId="2A34CCD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46A2CE09" w14:textId="77777777" w:rsidR="002A5F50" w:rsidRPr="00CB32F8" w:rsidRDefault="002A5F50" w:rsidP="00230559">
      <w:pPr>
        <w:widowControl w:val="0"/>
        <w:numPr>
          <w:ilvl w:val="0"/>
          <w:numId w:val="27"/>
        </w:numPr>
        <w:tabs>
          <w:tab w:val="clear" w:pos="567"/>
          <w:tab w:val="left" w:pos="684"/>
        </w:tabs>
        <w:kinsoku w:val="0"/>
        <w:overflowPunct w:val="0"/>
        <w:autoSpaceDE w:val="0"/>
        <w:autoSpaceDN w:val="0"/>
        <w:adjustRightInd w:val="0"/>
        <w:ind w:left="680"/>
        <w:outlineLvl w:val="0"/>
        <w:rPr>
          <w:rFonts w:eastAsiaTheme="minorEastAsia"/>
          <w:b/>
          <w:snapToGrid/>
          <w:szCs w:val="22"/>
          <w:lang w:val="lt-LT" w:eastAsia="en-IN"/>
        </w:rPr>
      </w:pPr>
      <w:r w:rsidRPr="00CB32F8">
        <w:rPr>
          <w:rFonts w:eastAsiaTheme="minorHAnsi"/>
          <w:b/>
          <w:snapToGrid/>
          <w:szCs w:val="22"/>
          <w:lang w:val="lt-LT"/>
        </w:rPr>
        <w:t>Emtricitabine/Tenofovir disoproxil Accordpharma</w:t>
      </w:r>
      <w:r w:rsidRPr="00CB32F8" w:rsidDel="00F32459">
        <w:rPr>
          <w:rFonts w:eastAsiaTheme="minorEastAsia"/>
          <w:b/>
          <w:snapToGrid/>
          <w:szCs w:val="22"/>
          <w:lang w:val="lt-LT" w:eastAsia="en-IN"/>
        </w:rPr>
        <w:t xml:space="preserve"> </w:t>
      </w:r>
      <w:r w:rsidRPr="00CB32F8">
        <w:rPr>
          <w:rFonts w:eastAsiaTheme="minorEastAsia"/>
          <w:b/>
          <w:snapToGrid/>
          <w:szCs w:val="22"/>
          <w:lang w:val="lt-LT" w:eastAsia="en-IN"/>
        </w:rPr>
        <w:t>skiriam</w:t>
      </w:r>
      <w:r w:rsidR="00BF4605" w:rsidRPr="00CB32F8">
        <w:rPr>
          <w:rFonts w:eastAsiaTheme="minorEastAsia"/>
          <w:b/>
          <w:snapToGrid/>
          <w:szCs w:val="22"/>
          <w:lang w:val="lt-LT" w:eastAsia="en-IN"/>
        </w:rPr>
        <w:t>a</w:t>
      </w:r>
      <w:r w:rsidRPr="00CB32F8">
        <w:rPr>
          <w:rFonts w:eastAsiaTheme="minorEastAsia"/>
          <w:b/>
          <w:snapToGrid/>
          <w:szCs w:val="22"/>
          <w:lang w:val="lt-LT" w:eastAsia="en-IN"/>
        </w:rPr>
        <w:t>s 1</w:t>
      </w:r>
      <w:r w:rsidR="00BF4605" w:rsidRPr="00CB32F8">
        <w:rPr>
          <w:rFonts w:eastAsiaTheme="minorEastAsia"/>
          <w:b/>
          <w:snapToGrid/>
          <w:szCs w:val="22"/>
          <w:lang w:val="lt-LT" w:eastAsia="en-IN"/>
        </w:rPr>
        <w:noBreakHyphen/>
      </w:r>
      <w:r w:rsidRPr="00CB32F8">
        <w:rPr>
          <w:rFonts w:eastAsiaTheme="minorEastAsia"/>
          <w:b/>
          <w:snapToGrid/>
          <w:szCs w:val="22"/>
          <w:lang w:val="lt-LT" w:eastAsia="en-IN"/>
        </w:rPr>
        <w:t>ojo</w:t>
      </w:r>
      <w:r w:rsidR="00BF4605" w:rsidRPr="00CB32F8">
        <w:rPr>
          <w:rFonts w:eastAsiaTheme="minorEastAsia"/>
          <w:b/>
          <w:snapToGrid/>
          <w:szCs w:val="22"/>
          <w:lang w:val="lt-LT" w:eastAsia="en-IN"/>
        </w:rPr>
        <w:t> </w:t>
      </w:r>
      <w:r w:rsidRPr="00CB32F8">
        <w:rPr>
          <w:rFonts w:eastAsiaTheme="minorEastAsia"/>
          <w:b/>
          <w:snapToGrid/>
          <w:szCs w:val="22"/>
          <w:lang w:val="lt-LT" w:eastAsia="en-IN"/>
        </w:rPr>
        <w:t>tipo žmogaus imunodeficito viruso (ŽIV</w:t>
      </w:r>
      <w:r w:rsidR="00BF4605" w:rsidRPr="00CB32F8">
        <w:rPr>
          <w:rFonts w:eastAsiaTheme="minorEastAsia"/>
          <w:b/>
          <w:snapToGrid/>
          <w:szCs w:val="22"/>
          <w:lang w:val="lt-LT" w:eastAsia="en-IN"/>
        </w:rPr>
        <w:noBreakHyphen/>
      </w:r>
      <w:r w:rsidRPr="00CB32F8">
        <w:rPr>
          <w:rFonts w:eastAsiaTheme="minorEastAsia"/>
          <w:b/>
          <w:snapToGrid/>
          <w:szCs w:val="22"/>
          <w:lang w:val="lt-LT" w:eastAsia="en-IN"/>
        </w:rPr>
        <w:t>1) infekcijai gydyti suaugusiesiems.</w:t>
      </w:r>
    </w:p>
    <w:p w14:paraId="6EC7141F" w14:textId="77777777" w:rsidR="002A5F50" w:rsidRPr="001839C2" w:rsidRDefault="002A5F50" w:rsidP="00230559">
      <w:pPr>
        <w:widowControl w:val="0"/>
        <w:numPr>
          <w:ilvl w:val="0"/>
          <w:numId w:val="27"/>
        </w:numPr>
        <w:tabs>
          <w:tab w:val="clear" w:pos="567"/>
          <w:tab w:val="left" w:pos="684"/>
        </w:tabs>
        <w:kinsoku w:val="0"/>
        <w:overflowPunct w:val="0"/>
        <w:autoSpaceDE w:val="0"/>
        <w:autoSpaceDN w:val="0"/>
        <w:adjustRightInd w:val="0"/>
        <w:ind w:left="680" w:hanging="566"/>
        <w:rPr>
          <w:rFonts w:eastAsiaTheme="minorEastAsia"/>
          <w:snapToGrid/>
          <w:szCs w:val="22"/>
          <w:lang w:val="lt-LT" w:eastAsia="en-IN"/>
        </w:rPr>
      </w:pPr>
      <w:r w:rsidRPr="00CB32F8">
        <w:rPr>
          <w:rFonts w:eastAsiaTheme="minorEastAsia"/>
          <w:b/>
          <w:snapToGrid/>
          <w:szCs w:val="22"/>
          <w:lang w:val="lt-LT" w:eastAsia="en-IN"/>
        </w:rPr>
        <w:t>Jis taip pat skiriamas ŽIV infekcijai gydyti nuo 12 iki 18</w:t>
      </w:r>
      <w:r w:rsidR="00BF4605" w:rsidRPr="00CB32F8">
        <w:rPr>
          <w:rFonts w:eastAsiaTheme="minorEastAsia"/>
          <w:b/>
          <w:snapToGrid/>
          <w:szCs w:val="22"/>
          <w:lang w:val="lt-LT" w:eastAsia="en-IN"/>
        </w:rPr>
        <w:t> </w:t>
      </w:r>
      <w:r w:rsidRPr="00CB32F8">
        <w:rPr>
          <w:rFonts w:eastAsiaTheme="minorEastAsia"/>
          <w:b/>
          <w:snapToGrid/>
          <w:szCs w:val="22"/>
          <w:lang w:val="lt-LT" w:eastAsia="en-IN"/>
        </w:rPr>
        <w:t>metų ne mažiau kaip 35</w:t>
      </w:r>
      <w:r w:rsidR="00BF4605" w:rsidRPr="00CB32F8">
        <w:rPr>
          <w:rFonts w:eastAsiaTheme="minorEastAsia"/>
          <w:b/>
          <w:snapToGrid/>
          <w:szCs w:val="22"/>
          <w:lang w:val="lt-LT" w:eastAsia="en-IN"/>
        </w:rPr>
        <w:t> </w:t>
      </w:r>
      <w:r w:rsidRPr="00CB32F8">
        <w:rPr>
          <w:rFonts w:eastAsiaTheme="minorEastAsia"/>
          <w:b/>
          <w:snapToGrid/>
          <w:szCs w:val="22"/>
          <w:lang w:val="lt-LT" w:eastAsia="en-IN"/>
        </w:rPr>
        <w:t>kg sveriantiems paaugliams</w:t>
      </w:r>
      <w:r w:rsidRPr="001839C2">
        <w:rPr>
          <w:rFonts w:eastAsiaTheme="minorEastAsia"/>
          <w:snapToGrid/>
          <w:szCs w:val="22"/>
          <w:lang w:val="lt-LT" w:eastAsia="en-IN"/>
        </w:rPr>
        <w:t>, jau vartojusiems kitų vaistų nuo ŽIV, kurie nebėra veiksmingi arba sukėlė šalutinį poveikį.</w:t>
      </w:r>
    </w:p>
    <w:p w14:paraId="665BD5D5"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6C272DDC" w14:textId="77777777" w:rsidR="002A5F50" w:rsidRPr="001839C2" w:rsidRDefault="002A5F50" w:rsidP="00CB32F8">
      <w:pPr>
        <w:widowControl w:val="0"/>
        <w:numPr>
          <w:ilvl w:val="1"/>
          <w:numId w:val="37"/>
        </w:numPr>
        <w:tabs>
          <w:tab w:val="clear" w:pos="567"/>
          <w:tab w:val="left" w:pos="1134"/>
        </w:tabs>
        <w:kinsoku w:val="0"/>
        <w:overflowPunct w:val="0"/>
        <w:autoSpaceDE w:val="0"/>
        <w:autoSpaceDN w:val="0"/>
        <w:adjustRightInd w:val="0"/>
        <w:ind w:left="1134" w:hanging="425"/>
        <w:rPr>
          <w:rFonts w:eastAsiaTheme="minorEastAsia"/>
          <w:snapToGrid/>
          <w:szCs w:val="22"/>
          <w:lang w:val="lt-LT" w:eastAsia="en-IN"/>
        </w:rPr>
      </w:pPr>
      <w:r w:rsidRPr="001839C2">
        <w:rPr>
          <w:rFonts w:eastAsiaTheme="minorEastAsia"/>
          <w:snapToGrid/>
          <w:szCs w:val="22"/>
          <w:lang w:val="lt-LT" w:eastAsia="en-IN"/>
        </w:rPr>
        <w:t>ŽIV</w:t>
      </w:r>
      <w:r w:rsidR="00BF4605" w:rsidRPr="001839C2">
        <w:rPr>
          <w:rFonts w:eastAsiaTheme="minorEastAsia"/>
          <w:snapToGrid/>
          <w:szCs w:val="22"/>
          <w:lang w:val="lt-LT" w:eastAsia="en-IN"/>
        </w:rPr>
        <w:t> </w:t>
      </w:r>
      <w:r w:rsidRPr="001839C2">
        <w:rPr>
          <w:rFonts w:eastAsiaTheme="minorEastAsia"/>
          <w:snapToGrid/>
          <w:szCs w:val="22"/>
          <w:lang w:val="lt-LT" w:eastAsia="en-IN"/>
        </w:rPr>
        <w:t>infekcijai gydyti šis vaistas visuomet turi būti vartojamas derinyje su kitais vaistais.</w:t>
      </w:r>
    </w:p>
    <w:p w14:paraId="361736D3" w14:textId="77777777" w:rsidR="002A5F50" w:rsidRPr="001839C2" w:rsidRDefault="002A5F50" w:rsidP="00CB32F8">
      <w:pPr>
        <w:widowControl w:val="0"/>
        <w:numPr>
          <w:ilvl w:val="1"/>
          <w:numId w:val="37"/>
        </w:numPr>
        <w:tabs>
          <w:tab w:val="clear" w:pos="567"/>
          <w:tab w:val="left" w:pos="1134"/>
        </w:tabs>
        <w:kinsoku w:val="0"/>
        <w:overflowPunct w:val="0"/>
        <w:autoSpaceDE w:val="0"/>
        <w:autoSpaceDN w:val="0"/>
        <w:adjustRightInd w:val="0"/>
        <w:ind w:left="1134" w:hanging="425"/>
        <w:rPr>
          <w:rFonts w:eastAsiaTheme="minorEastAsia"/>
          <w:snapToGrid/>
          <w:szCs w:val="22"/>
          <w:lang w:val="lt-LT" w:eastAsia="en-IN"/>
        </w:rPr>
      </w:pPr>
      <w:r w:rsidRPr="001839C2">
        <w:rPr>
          <w:rFonts w:eastAsiaTheme="minorEastAsia"/>
          <w:snapToGrid/>
          <w:szCs w:val="22"/>
          <w:lang w:val="lt-LT" w:eastAsia="en-IN"/>
        </w:rPr>
        <w:t>Š</w:t>
      </w:r>
      <w:r w:rsidR="00F640FF"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F640FF" w:rsidRPr="001839C2">
        <w:rPr>
          <w:rFonts w:eastAsiaTheme="minorEastAsia"/>
          <w:snapToGrid/>
          <w:szCs w:val="22"/>
          <w:lang w:val="lt-LT" w:eastAsia="en-IN"/>
        </w:rPr>
        <w:t>o</w:t>
      </w:r>
      <w:r w:rsidRPr="001839C2">
        <w:rPr>
          <w:rFonts w:eastAsiaTheme="minorEastAsia"/>
          <w:snapToGrid/>
          <w:szCs w:val="22"/>
          <w:lang w:val="lt-LT" w:eastAsia="en-IN"/>
        </w:rPr>
        <w:t xml:space="preserve"> galima vartoti vietoj atskirai vartotų emtricitabino ir tenofoviro dizoproksilio tokiomis pa</w:t>
      </w:r>
      <w:r w:rsidR="00BF4605" w:rsidRPr="001839C2">
        <w:rPr>
          <w:rFonts w:eastAsiaTheme="minorEastAsia"/>
          <w:snapToGrid/>
          <w:szCs w:val="22"/>
          <w:lang w:val="lt-LT" w:eastAsia="en-IN"/>
        </w:rPr>
        <w:t>čiomis</w:t>
      </w:r>
      <w:r w:rsidRPr="001839C2">
        <w:rPr>
          <w:rFonts w:eastAsiaTheme="minorEastAsia"/>
          <w:snapToGrid/>
          <w:szCs w:val="22"/>
          <w:lang w:val="lt-LT" w:eastAsia="en-IN"/>
        </w:rPr>
        <w:t xml:space="preserve"> dozėmis.</w:t>
      </w:r>
    </w:p>
    <w:p w14:paraId="339F17B1"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487A1F61"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Šis vaistas neišgydo ŽIV</w:t>
      </w:r>
      <w:r w:rsidR="00BF4605" w:rsidRPr="00CB32F8">
        <w:rPr>
          <w:rFonts w:eastAsiaTheme="minorEastAsia"/>
          <w:b/>
          <w:snapToGrid/>
          <w:szCs w:val="22"/>
          <w:lang w:val="lt-LT" w:eastAsia="en-IN"/>
        </w:rPr>
        <w:t> </w:t>
      </w:r>
      <w:r w:rsidRPr="00CB32F8">
        <w:rPr>
          <w:rFonts w:eastAsiaTheme="minorEastAsia"/>
          <w:b/>
          <w:snapToGrid/>
          <w:szCs w:val="22"/>
          <w:lang w:val="lt-LT" w:eastAsia="en-IN"/>
        </w:rPr>
        <w:t>infekcijos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Vartojant š</w:t>
      </w:r>
      <w:r w:rsidR="00F640FF"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F640FF" w:rsidRPr="001839C2">
        <w:rPr>
          <w:rFonts w:eastAsiaTheme="minorEastAsia"/>
          <w:snapToGrid/>
          <w:szCs w:val="22"/>
          <w:lang w:val="lt-LT" w:eastAsia="en-IN"/>
        </w:rPr>
        <w:t>o</w:t>
      </w:r>
      <w:r w:rsidRPr="001839C2">
        <w:rPr>
          <w:rFonts w:eastAsiaTheme="minorEastAsia"/>
          <w:snapToGrid/>
          <w:szCs w:val="22"/>
          <w:lang w:val="lt-LT" w:eastAsia="en-IN"/>
        </w:rPr>
        <w:t xml:space="preserve"> Jums vis tiek gali išsivystyti infekcijos ar</w:t>
      </w:r>
      <w:r w:rsidR="00BF4605" w:rsidRPr="001839C2">
        <w:rPr>
          <w:rFonts w:eastAsiaTheme="minorEastAsia"/>
          <w:snapToGrid/>
          <w:szCs w:val="22"/>
          <w:lang w:val="lt-LT" w:eastAsia="en-IN"/>
        </w:rPr>
        <w:t xml:space="preserve"> </w:t>
      </w:r>
      <w:r w:rsidRPr="001839C2">
        <w:rPr>
          <w:rFonts w:eastAsiaTheme="minorEastAsia"/>
          <w:snapToGrid/>
          <w:szCs w:val="22"/>
          <w:lang w:val="lt-LT" w:eastAsia="en-IN"/>
        </w:rPr>
        <w:t>kitos ligos, susijusios su ŽIV infekcija.</w:t>
      </w:r>
    </w:p>
    <w:p w14:paraId="1012B36B"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3879C7EB" w14:textId="77777777" w:rsidR="002A5F50" w:rsidRPr="001839C2" w:rsidRDefault="002A5F50" w:rsidP="00230559">
      <w:pPr>
        <w:widowControl w:val="0"/>
        <w:numPr>
          <w:ilvl w:val="0"/>
          <w:numId w:val="27"/>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r w:rsidRPr="00CB32F8">
        <w:rPr>
          <w:rFonts w:eastAsiaTheme="minorHAnsi"/>
          <w:b/>
          <w:bCs/>
          <w:snapToGrid/>
          <w:szCs w:val="22"/>
          <w:lang w:val="lt-LT"/>
        </w:rPr>
        <w:t>Emtricitabine/Tenofovir disoproxil Accordpharma</w:t>
      </w:r>
      <w:r w:rsidRPr="00CB32F8" w:rsidDel="00CA49F3">
        <w:rPr>
          <w:rFonts w:eastAsiaTheme="minorEastAsia"/>
          <w:b/>
          <w:bCs/>
          <w:snapToGrid/>
          <w:szCs w:val="22"/>
          <w:lang w:val="lt-LT" w:eastAsia="en-IN"/>
        </w:rPr>
        <w:t xml:space="preserve"> </w:t>
      </w:r>
      <w:r w:rsidRPr="00CB32F8">
        <w:rPr>
          <w:rFonts w:eastAsiaTheme="minorEastAsia"/>
          <w:b/>
          <w:bCs/>
          <w:snapToGrid/>
          <w:szCs w:val="22"/>
          <w:lang w:val="lt-LT" w:eastAsia="en-IN"/>
        </w:rPr>
        <w:t>taip pat skiriam</w:t>
      </w:r>
      <w:r w:rsidR="00BF4605" w:rsidRPr="00CB32F8">
        <w:rPr>
          <w:rFonts w:eastAsiaTheme="minorEastAsia"/>
          <w:b/>
          <w:bCs/>
          <w:snapToGrid/>
          <w:szCs w:val="22"/>
          <w:lang w:val="lt-LT" w:eastAsia="en-IN"/>
        </w:rPr>
        <w:t>a</w:t>
      </w:r>
      <w:r w:rsidRPr="00CB32F8">
        <w:rPr>
          <w:rFonts w:eastAsiaTheme="minorEastAsia"/>
          <w:b/>
          <w:bCs/>
          <w:snapToGrid/>
          <w:szCs w:val="22"/>
          <w:lang w:val="lt-LT" w:eastAsia="en-IN"/>
        </w:rPr>
        <w:t>s užsikrėtimo ŽIV</w:t>
      </w:r>
      <w:r w:rsidR="00BF4605" w:rsidRPr="00CB32F8">
        <w:rPr>
          <w:rFonts w:eastAsiaTheme="minorEastAsia"/>
          <w:b/>
          <w:bCs/>
          <w:snapToGrid/>
          <w:szCs w:val="22"/>
          <w:lang w:val="lt-LT" w:eastAsia="en-IN"/>
        </w:rPr>
        <w:noBreakHyphen/>
      </w:r>
      <w:r w:rsidRPr="00CB32F8">
        <w:rPr>
          <w:rFonts w:eastAsiaTheme="minorEastAsia"/>
          <w:b/>
          <w:bCs/>
          <w:snapToGrid/>
          <w:szCs w:val="22"/>
          <w:lang w:val="lt-LT" w:eastAsia="en-IN"/>
        </w:rPr>
        <w:t>1</w:t>
      </w:r>
      <w:r w:rsidR="00BF4605" w:rsidRPr="00CB32F8">
        <w:rPr>
          <w:rFonts w:eastAsiaTheme="minorEastAsia"/>
          <w:b/>
          <w:bCs/>
          <w:snapToGrid/>
          <w:szCs w:val="22"/>
          <w:lang w:val="lt-LT" w:eastAsia="en-IN"/>
        </w:rPr>
        <w:t> </w:t>
      </w:r>
      <w:r w:rsidRPr="00CB32F8">
        <w:rPr>
          <w:rFonts w:eastAsiaTheme="minorEastAsia"/>
          <w:b/>
          <w:bCs/>
          <w:snapToGrid/>
          <w:szCs w:val="22"/>
          <w:lang w:val="lt-LT" w:eastAsia="en-IN"/>
        </w:rPr>
        <w:t>infekcija rizikai sumažinti suaugusiesiems ir nuo 12 iki 18</w:t>
      </w:r>
      <w:r w:rsidR="00BF4605" w:rsidRPr="00CB32F8">
        <w:rPr>
          <w:rFonts w:eastAsiaTheme="minorEastAsia"/>
          <w:b/>
          <w:bCs/>
          <w:snapToGrid/>
          <w:szCs w:val="22"/>
          <w:lang w:val="lt-LT" w:eastAsia="en-IN"/>
        </w:rPr>
        <w:t> </w:t>
      </w:r>
      <w:r w:rsidRPr="00CB32F8">
        <w:rPr>
          <w:rFonts w:eastAsiaTheme="minorEastAsia"/>
          <w:b/>
          <w:bCs/>
          <w:snapToGrid/>
          <w:szCs w:val="22"/>
          <w:lang w:val="lt-LT" w:eastAsia="en-IN"/>
        </w:rPr>
        <w:t>metų paaugliams, sveriantiems ne mažiau kaip 35</w:t>
      </w:r>
      <w:r w:rsidR="00BF4605" w:rsidRPr="00CB32F8">
        <w:rPr>
          <w:rFonts w:eastAsiaTheme="minorEastAsia"/>
          <w:b/>
          <w:bCs/>
          <w:snapToGrid/>
          <w:szCs w:val="22"/>
          <w:lang w:val="lt-LT" w:eastAsia="en-IN"/>
        </w:rPr>
        <w:t xml:space="preserve"> </w:t>
      </w:r>
      <w:r w:rsidRPr="00CB32F8">
        <w:rPr>
          <w:rFonts w:eastAsiaTheme="minorEastAsia"/>
          <w:b/>
          <w:bCs/>
          <w:snapToGrid/>
          <w:szCs w:val="22"/>
          <w:lang w:val="lt-LT" w:eastAsia="en-IN"/>
        </w:rPr>
        <w:t>kg</w:t>
      </w:r>
      <w:r w:rsidRPr="001839C2">
        <w:rPr>
          <w:rFonts w:eastAsiaTheme="minorEastAsia"/>
          <w:bCs/>
          <w:snapToGrid/>
          <w:szCs w:val="22"/>
          <w:lang w:val="lt-LT" w:eastAsia="en-IN"/>
        </w:rPr>
        <w:t xml:space="preserve">, </w:t>
      </w:r>
      <w:r w:rsidRPr="001839C2">
        <w:rPr>
          <w:rFonts w:eastAsiaTheme="minorEastAsia"/>
          <w:snapToGrid/>
          <w:szCs w:val="22"/>
          <w:lang w:val="lt-LT" w:eastAsia="en-IN"/>
        </w:rPr>
        <w:t>kai vaisto vartojama kasdien ir laikomasi saugių lytinių santykių taisyklių</w:t>
      </w:r>
      <w:r w:rsidR="00BF4605" w:rsidRPr="001839C2">
        <w:rPr>
          <w:rFonts w:eastAsiaTheme="minorEastAsia"/>
          <w:snapToGrid/>
          <w:szCs w:val="22"/>
          <w:lang w:val="lt-LT" w:eastAsia="en-IN"/>
        </w:rPr>
        <w:t>.</w:t>
      </w:r>
    </w:p>
    <w:p w14:paraId="32F7571E" w14:textId="77777777" w:rsidR="002A5F50" w:rsidRPr="001839C2" w:rsidRDefault="002A5F50" w:rsidP="00230559">
      <w:pPr>
        <w:tabs>
          <w:tab w:val="clear" w:pos="56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Žr.</w:t>
      </w:r>
      <w:r w:rsidR="00BF4605" w:rsidRPr="001839C2">
        <w:rPr>
          <w:rFonts w:eastAsiaTheme="minorEastAsia"/>
          <w:snapToGrid/>
          <w:szCs w:val="22"/>
          <w:lang w:val="lt-LT" w:eastAsia="en-IN"/>
        </w:rPr>
        <w:t> </w:t>
      </w:r>
      <w:r w:rsidRPr="001839C2">
        <w:rPr>
          <w:rFonts w:eastAsiaTheme="minorEastAsia"/>
          <w:snapToGrid/>
          <w:szCs w:val="22"/>
          <w:lang w:val="lt-LT" w:eastAsia="en-IN"/>
        </w:rPr>
        <w:t>2</w:t>
      </w:r>
      <w:r w:rsidR="00BF4605" w:rsidRPr="001839C2">
        <w:rPr>
          <w:rFonts w:eastAsiaTheme="minorEastAsia"/>
          <w:snapToGrid/>
          <w:szCs w:val="22"/>
          <w:lang w:val="lt-LT" w:eastAsia="en-IN"/>
        </w:rPr>
        <w:t> </w:t>
      </w:r>
      <w:r w:rsidRPr="001839C2">
        <w:rPr>
          <w:rFonts w:eastAsiaTheme="minorEastAsia"/>
          <w:snapToGrid/>
          <w:szCs w:val="22"/>
          <w:lang w:val="lt-LT" w:eastAsia="en-IN"/>
        </w:rPr>
        <w:t>skyrių, kur išvardytos atsargumo priemonės, kurių reikia imtis saugantis nuo ŽIV</w:t>
      </w:r>
      <w:r w:rsidR="00BF4605" w:rsidRPr="001839C2">
        <w:rPr>
          <w:rFonts w:eastAsiaTheme="minorEastAsia"/>
          <w:snapToGrid/>
          <w:szCs w:val="22"/>
          <w:lang w:val="lt-LT" w:eastAsia="en-IN"/>
        </w:rPr>
        <w:t> </w:t>
      </w:r>
      <w:r w:rsidRPr="001839C2">
        <w:rPr>
          <w:rFonts w:eastAsiaTheme="minorEastAsia"/>
          <w:snapToGrid/>
          <w:szCs w:val="22"/>
          <w:lang w:val="lt-LT" w:eastAsia="en-IN"/>
        </w:rPr>
        <w:t>infekcijos.</w:t>
      </w:r>
    </w:p>
    <w:p w14:paraId="55D5DE15" w14:textId="77777777" w:rsidR="002A5F50" w:rsidRPr="001839C2" w:rsidRDefault="002A5F50" w:rsidP="002A5F50">
      <w:pPr>
        <w:widowControl w:val="0"/>
        <w:tabs>
          <w:tab w:val="clear" w:pos="567"/>
        </w:tabs>
        <w:kinsoku w:val="0"/>
        <w:overflowPunct w:val="0"/>
        <w:autoSpaceDE w:val="0"/>
        <w:autoSpaceDN w:val="0"/>
        <w:adjustRightInd w:val="0"/>
        <w:ind w:right="179"/>
        <w:rPr>
          <w:rFonts w:eastAsiaTheme="minorEastAsia"/>
          <w:snapToGrid/>
          <w:szCs w:val="22"/>
          <w:lang w:val="lt-LT" w:eastAsia="en-IN"/>
        </w:rPr>
      </w:pPr>
    </w:p>
    <w:p w14:paraId="08B5B0B6" w14:textId="77777777" w:rsidR="002A5F50" w:rsidRPr="001839C2" w:rsidRDefault="002A5F50" w:rsidP="002A5F50">
      <w:pPr>
        <w:widowControl w:val="0"/>
        <w:tabs>
          <w:tab w:val="clear" w:pos="567"/>
        </w:tabs>
        <w:kinsoku w:val="0"/>
        <w:overflowPunct w:val="0"/>
        <w:autoSpaceDE w:val="0"/>
        <w:autoSpaceDN w:val="0"/>
        <w:adjustRightInd w:val="0"/>
        <w:ind w:right="179"/>
        <w:rPr>
          <w:rFonts w:eastAsiaTheme="minorEastAsia"/>
          <w:snapToGrid/>
          <w:szCs w:val="22"/>
          <w:lang w:val="lt-LT" w:eastAsia="en-IN"/>
        </w:rPr>
      </w:pPr>
    </w:p>
    <w:p w14:paraId="3D48EADE" w14:textId="77777777" w:rsidR="002A5F50" w:rsidRPr="001839C2" w:rsidRDefault="002A5F50" w:rsidP="00CB32F8">
      <w:pPr>
        <w:keepNext/>
        <w:widowControl w:val="0"/>
        <w:numPr>
          <w:ilvl w:val="0"/>
          <w:numId w:val="20"/>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 xml:space="preserve">Kas žinotina prieš vartojant </w:t>
      </w:r>
      <w:r w:rsidRPr="001839C2">
        <w:rPr>
          <w:rFonts w:eastAsiaTheme="minorHAnsi"/>
          <w:b/>
          <w:bCs/>
          <w:snapToGrid/>
          <w:szCs w:val="22"/>
          <w:lang w:val="lt-LT"/>
        </w:rPr>
        <w:t>Emtricitabine/Tenofovir disoproxil Accordpharma</w:t>
      </w:r>
    </w:p>
    <w:p w14:paraId="31671BB1" w14:textId="77777777" w:rsidR="002A5F50" w:rsidRPr="001839C2" w:rsidRDefault="002A5F50" w:rsidP="00CB32F8">
      <w:pPr>
        <w:keepNext/>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5F71DF04" w14:textId="632F0364" w:rsidR="002A5F50" w:rsidRPr="00500F79" w:rsidRDefault="002A5F50" w:rsidP="00686907">
      <w:pPr>
        <w:keepNext/>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HAnsi"/>
          <w:b/>
          <w:snapToGrid/>
          <w:szCs w:val="22"/>
          <w:lang w:val="lt-LT"/>
        </w:rPr>
        <w:t xml:space="preserve">Emtricitabine/Tenofovir disoproxil Accordpharma </w:t>
      </w:r>
      <w:r w:rsidRPr="001839C2">
        <w:rPr>
          <w:rFonts w:eastAsiaTheme="minorEastAsia"/>
          <w:b/>
          <w:bCs/>
          <w:snapToGrid/>
          <w:szCs w:val="22"/>
          <w:lang w:val="lt-LT" w:eastAsia="en-IN"/>
        </w:rPr>
        <w:t xml:space="preserve">vartoti </w:t>
      </w:r>
      <w:r w:rsidR="00BF22A9" w:rsidRPr="001839C2">
        <w:rPr>
          <w:rFonts w:eastAsiaTheme="minorEastAsia"/>
          <w:b/>
          <w:bCs/>
          <w:snapToGrid/>
          <w:szCs w:val="22"/>
          <w:lang w:val="lt-LT" w:eastAsia="en-IN"/>
        </w:rPr>
        <w:t>draudžiama</w:t>
      </w:r>
      <w:r w:rsidR="00500F79">
        <w:rPr>
          <w:rFonts w:eastAsiaTheme="minorEastAsia"/>
          <w:b/>
          <w:bCs/>
          <w:snapToGrid/>
          <w:szCs w:val="22"/>
          <w:lang w:val="lt-LT" w:eastAsia="en-IN"/>
        </w:rPr>
        <w:t xml:space="preserve"> </w:t>
      </w:r>
      <w:r w:rsidRPr="00686907">
        <w:rPr>
          <w:rFonts w:eastAsiaTheme="minorEastAsia"/>
          <w:b/>
          <w:bCs/>
          <w:snapToGrid/>
          <w:szCs w:val="22"/>
          <w:lang w:val="lt-LT" w:eastAsia="en-IN"/>
        </w:rPr>
        <w:t>ŽIV</w:t>
      </w:r>
      <w:r w:rsidR="00BF4605" w:rsidRPr="00686907">
        <w:rPr>
          <w:rFonts w:eastAsiaTheme="minorEastAsia"/>
          <w:b/>
          <w:bCs/>
          <w:snapToGrid/>
          <w:szCs w:val="22"/>
          <w:lang w:val="lt-LT" w:eastAsia="en-IN"/>
        </w:rPr>
        <w:t xml:space="preserve"> </w:t>
      </w:r>
      <w:r w:rsidRPr="00686907">
        <w:rPr>
          <w:rFonts w:eastAsiaTheme="minorEastAsia"/>
          <w:b/>
          <w:bCs/>
          <w:snapToGrid/>
          <w:szCs w:val="22"/>
          <w:lang w:val="lt-LT" w:eastAsia="en-IN"/>
        </w:rPr>
        <w:t xml:space="preserve">gydyti arba </w:t>
      </w:r>
      <w:r w:rsidRPr="00686907">
        <w:rPr>
          <w:rFonts w:eastAsiaTheme="minorEastAsia"/>
          <w:b/>
          <w:bCs/>
          <w:snapToGrid/>
          <w:szCs w:val="22"/>
          <w:lang w:val="lt-LT" w:eastAsia="en-IN"/>
        </w:rPr>
        <w:lastRenderedPageBreak/>
        <w:t>užsikrėtimo</w:t>
      </w:r>
      <w:r w:rsidR="00BF4605" w:rsidRPr="00686907">
        <w:rPr>
          <w:rFonts w:eastAsiaTheme="minorEastAsia"/>
          <w:b/>
          <w:bCs/>
          <w:snapToGrid/>
          <w:szCs w:val="22"/>
          <w:lang w:val="lt-LT" w:eastAsia="en-IN"/>
        </w:rPr>
        <w:t> </w:t>
      </w:r>
      <w:r w:rsidRPr="00686907">
        <w:rPr>
          <w:rFonts w:eastAsiaTheme="minorEastAsia"/>
          <w:b/>
          <w:bCs/>
          <w:snapToGrid/>
          <w:szCs w:val="22"/>
          <w:lang w:val="lt-LT" w:eastAsia="en-IN"/>
        </w:rPr>
        <w:t>ŽIV rizikai sumažinti,</w:t>
      </w:r>
      <w:r w:rsidRPr="00500F79">
        <w:rPr>
          <w:rFonts w:eastAsiaTheme="minorEastAsia"/>
          <w:bCs/>
          <w:snapToGrid/>
          <w:szCs w:val="22"/>
          <w:lang w:val="lt-LT" w:eastAsia="en-IN"/>
        </w:rPr>
        <w:t xml:space="preserve"> jeigu yra alergija </w:t>
      </w:r>
      <w:r w:rsidRPr="00500F79">
        <w:rPr>
          <w:rFonts w:eastAsiaTheme="minorEastAsia"/>
          <w:snapToGrid/>
          <w:szCs w:val="22"/>
          <w:lang w:val="lt-LT" w:eastAsia="en-IN"/>
        </w:rPr>
        <w:t>emtricitabinui, tenofovirui, tenofovir</w:t>
      </w:r>
      <w:r w:rsidR="00A16069" w:rsidRPr="00500F79">
        <w:rPr>
          <w:rFonts w:eastAsiaTheme="minorEastAsia"/>
          <w:snapToGrid/>
          <w:szCs w:val="22"/>
          <w:lang w:val="lt-LT" w:eastAsia="en-IN"/>
        </w:rPr>
        <w:t>ui</w:t>
      </w:r>
      <w:r w:rsidRPr="00500F79">
        <w:rPr>
          <w:rFonts w:eastAsiaTheme="minorEastAsia"/>
          <w:snapToGrid/>
          <w:szCs w:val="22"/>
          <w:lang w:val="lt-LT" w:eastAsia="en-IN"/>
        </w:rPr>
        <w:t xml:space="preserve"> dizoproksiliui arba bet kuriai pagalbinei šio vaisto medžiagai (jos išvardytos 6</w:t>
      </w:r>
      <w:r w:rsidR="00BF4605" w:rsidRPr="00500F79">
        <w:rPr>
          <w:rFonts w:eastAsiaTheme="minorEastAsia"/>
          <w:snapToGrid/>
          <w:szCs w:val="22"/>
          <w:lang w:val="lt-LT" w:eastAsia="en-IN"/>
        </w:rPr>
        <w:t> </w:t>
      </w:r>
      <w:r w:rsidRPr="00500F79">
        <w:rPr>
          <w:rFonts w:eastAsiaTheme="minorEastAsia"/>
          <w:snapToGrid/>
          <w:szCs w:val="22"/>
          <w:lang w:val="lt-LT" w:eastAsia="en-IN"/>
        </w:rPr>
        <w:t>skyriuje).</w:t>
      </w:r>
    </w:p>
    <w:p w14:paraId="2E857911"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p>
    <w:p w14:paraId="51824822" w14:textId="77777777" w:rsidR="002A5F50" w:rsidRPr="00686907" w:rsidRDefault="002A5F50" w:rsidP="00230559">
      <w:pPr>
        <w:widowControl w:val="0"/>
        <w:tabs>
          <w:tab w:val="clear" w:pos="567"/>
        </w:tabs>
        <w:kinsoku w:val="0"/>
        <w:overflowPunct w:val="0"/>
        <w:autoSpaceDE w:val="0"/>
        <w:autoSpaceDN w:val="0"/>
        <w:adjustRightInd w:val="0"/>
        <w:rPr>
          <w:rFonts w:eastAsiaTheme="minorEastAsia"/>
          <w:b/>
          <w:bCs/>
          <w:snapToGrid/>
          <w:szCs w:val="22"/>
          <w:lang w:val="lt-LT" w:eastAsia="en-IN"/>
        </w:rPr>
      </w:pPr>
      <w:r w:rsidRPr="00686907">
        <w:rPr>
          <w:rFonts w:eastAsiaTheme="minorEastAsia"/>
          <w:b/>
          <w:bCs/>
          <w:snapToGrid/>
          <w:szCs w:val="22"/>
          <w:lang w:val="lt-LT" w:eastAsia="en-IN"/>
        </w:rPr>
        <w:t>Jeigu taip yra, nedelsiant pasakykite gydytojui.</w:t>
      </w:r>
    </w:p>
    <w:p w14:paraId="0E161AB8" w14:textId="77777777" w:rsidR="002A5F50" w:rsidRPr="001839C2" w:rsidRDefault="002A5F50" w:rsidP="00BF4605">
      <w:pPr>
        <w:widowControl w:val="0"/>
        <w:tabs>
          <w:tab w:val="clear" w:pos="567"/>
        </w:tabs>
        <w:autoSpaceDE w:val="0"/>
        <w:autoSpaceDN w:val="0"/>
        <w:adjustRightInd w:val="0"/>
        <w:rPr>
          <w:rFonts w:eastAsiaTheme="minorEastAsia"/>
          <w:b/>
          <w:snapToGrid/>
          <w:szCs w:val="22"/>
          <w:lang w:val="lt-LT" w:eastAsia="en-IN"/>
        </w:rPr>
      </w:pPr>
    </w:p>
    <w:p w14:paraId="010BBA92" w14:textId="77777777" w:rsidR="002A5F50" w:rsidRPr="00CB32F8" w:rsidRDefault="002A5F50" w:rsidP="00230559">
      <w:pPr>
        <w:widowControl w:val="0"/>
        <w:tabs>
          <w:tab w:val="clear" w:pos="567"/>
        </w:tabs>
        <w:autoSpaceDE w:val="0"/>
        <w:autoSpaceDN w:val="0"/>
        <w:adjustRightInd w:val="0"/>
        <w:rPr>
          <w:rFonts w:eastAsiaTheme="minorEastAsia"/>
          <w:b/>
          <w:bCs/>
          <w:iCs/>
          <w:snapToGrid/>
          <w:szCs w:val="22"/>
          <w:lang w:val="lt-LT" w:eastAsia="en-IN"/>
        </w:rPr>
      </w:pPr>
      <w:r w:rsidRPr="00CB32F8">
        <w:rPr>
          <w:rFonts w:eastAsiaTheme="minorEastAsia"/>
          <w:b/>
          <w:bCs/>
          <w:iCs/>
          <w:snapToGrid/>
          <w:szCs w:val="22"/>
          <w:lang w:val="lt-LT" w:eastAsia="en-IN"/>
        </w:rPr>
        <w:t xml:space="preserve">Prieš vartojant </w:t>
      </w:r>
      <w:r w:rsidRPr="00CB32F8">
        <w:rPr>
          <w:rFonts w:eastAsiaTheme="minorHAnsi"/>
          <w:b/>
          <w:bCs/>
          <w:iCs/>
          <w:snapToGrid/>
          <w:szCs w:val="22"/>
          <w:lang w:val="lt-LT"/>
        </w:rPr>
        <w:t>Emtricitabine/Tenofovir disoproxil Accordpharma užsikrėtimo</w:t>
      </w:r>
      <w:r w:rsidR="00F640FF" w:rsidRPr="00CB32F8">
        <w:rPr>
          <w:rFonts w:eastAsiaTheme="minorHAnsi"/>
          <w:b/>
          <w:bCs/>
          <w:iCs/>
          <w:snapToGrid/>
          <w:szCs w:val="22"/>
          <w:lang w:val="lt-LT"/>
        </w:rPr>
        <w:t> </w:t>
      </w:r>
      <w:r w:rsidRPr="00CB32F8">
        <w:rPr>
          <w:rFonts w:eastAsiaTheme="minorHAnsi"/>
          <w:b/>
          <w:bCs/>
          <w:iCs/>
          <w:snapToGrid/>
          <w:szCs w:val="22"/>
          <w:lang w:val="lt-LT"/>
        </w:rPr>
        <w:t>ŽIV rizikai sumažinti</w:t>
      </w:r>
    </w:p>
    <w:p w14:paraId="3A012F9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 xml:space="preserve">Emtricitabine/Tenofovir disoproxil Accordpharma </w:t>
      </w:r>
      <w:r w:rsidRPr="001839C2">
        <w:rPr>
          <w:rFonts w:eastAsiaTheme="minorEastAsia"/>
          <w:snapToGrid/>
          <w:szCs w:val="22"/>
          <w:lang w:val="lt-LT" w:eastAsia="en-IN"/>
        </w:rPr>
        <w:t>gali padėti sumažinti riziką užsikrėsti</w:t>
      </w:r>
      <w:r w:rsidR="00F640FF" w:rsidRPr="001839C2">
        <w:rPr>
          <w:rFonts w:eastAsiaTheme="minorEastAsia"/>
          <w:snapToGrid/>
          <w:szCs w:val="22"/>
          <w:lang w:val="lt-LT" w:eastAsia="en-IN"/>
        </w:rPr>
        <w:t> </w:t>
      </w:r>
      <w:r w:rsidRPr="001839C2">
        <w:rPr>
          <w:rFonts w:eastAsiaTheme="minorEastAsia"/>
          <w:snapToGrid/>
          <w:szCs w:val="22"/>
          <w:lang w:val="lt-LT" w:eastAsia="en-IN"/>
        </w:rPr>
        <w:t xml:space="preserve">ŽIV tik tuo atveju, jeigu </w:t>
      </w:r>
      <w:r w:rsidRPr="001839C2">
        <w:rPr>
          <w:rFonts w:eastAsiaTheme="minorEastAsia"/>
          <w:bCs/>
          <w:snapToGrid/>
          <w:szCs w:val="22"/>
          <w:lang w:val="lt-LT" w:eastAsia="en-IN"/>
        </w:rPr>
        <w:t xml:space="preserve">dar nesate </w:t>
      </w:r>
      <w:r w:rsidRPr="001839C2">
        <w:rPr>
          <w:rFonts w:eastAsiaTheme="minorEastAsia"/>
          <w:snapToGrid/>
          <w:szCs w:val="22"/>
          <w:lang w:val="lt-LT" w:eastAsia="en-IN"/>
        </w:rPr>
        <w:t>juo užsikrėtę.</w:t>
      </w:r>
    </w:p>
    <w:p w14:paraId="5A8B37FA"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29EF56C0" w14:textId="77777777"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686907">
        <w:rPr>
          <w:rFonts w:eastAsiaTheme="minorEastAsia"/>
          <w:b/>
          <w:snapToGrid/>
          <w:szCs w:val="22"/>
          <w:lang w:val="lt-LT" w:eastAsia="en-IN"/>
        </w:rPr>
        <w:t>Prieš pradedant vartoti emtricitabin</w:t>
      </w:r>
      <w:r w:rsidR="00BF4605" w:rsidRPr="00686907">
        <w:rPr>
          <w:rFonts w:eastAsiaTheme="minorEastAsia"/>
          <w:b/>
          <w:snapToGrid/>
          <w:szCs w:val="22"/>
          <w:lang w:val="lt-LT" w:eastAsia="en-IN"/>
        </w:rPr>
        <w:t>o</w:t>
      </w:r>
      <w:r w:rsidRPr="00686907">
        <w:rPr>
          <w:rFonts w:eastAsiaTheme="minorEastAsia"/>
          <w:b/>
          <w:snapToGrid/>
          <w:szCs w:val="22"/>
          <w:lang w:val="lt-LT" w:eastAsia="en-IN"/>
        </w:rPr>
        <w:t xml:space="preserve"> </w:t>
      </w:r>
      <w:r w:rsidR="00BF4605" w:rsidRPr="00686907">
        <w:rPr>
          <w:rFonts w:eastAsiaTheme="minorEastAsia"/>
          <w:b/>
          <w:snapToGrid/>
          <w:szCs w:val="22"/>
          <w:lang w:val="lt-LT" w:eastAsia="en-IN"/>
        </w:rPr>
        <w:t>ir</w:t>
      </w:r>
      <w:r w:rsidRPr="00686907">
        <w:rPr>
          <w:rFonts w:eastAsiaTheme="minorEastAsia"/>
          <w:b/>
          <w:snapToGrid/>
          <w:szCs w:val="22"/>
          <w:lang w:val="lt-LT" w:eastAsia="en-IN"/>
        </w:rPr>
        <w:t xml:space="preserve"> tenofovir</w:t>
      </w:r>
      <w:r w:rsidR="00502900" w:rsidRPr="00686907">
        <w:rPr>
          <w:rFonts w:eastAsiaTheme="minorEastAsia"/>
          <w:b/>
          <w:snapToGrid/>
          <w:szCs w:val="22"/>
          <w:lang w:val="lt-LT" w:eastAsia="en-IN"/>
        </w:rPr>
        <w:t xml:space="preserve">o </w:t>
      </w:r>
      <w:r w:rsidRPr="00686907">
        <w:rPr>
          <w:rFonts w:eastAsiaTheme="minorEastAsia"/>
          <w:b/>
          <w:snapToGrid/>
          <w:szCs w:val="22"/>
          <w:lang w:val="lt-LT" w:eastAsia="en-IN"/>
        </w:rPr>
        <w:t>dizoproksil</w:t>
      </w:r>
      <w:r w:rsidR="00502900" w:rsidRPr="00686907">
        <w:rPr>
          <w:rFonts w:eastAsiaTheme="minorEastAsia"/>
          <w:b/>
          <w:snapToGrid/>
          <w:szCs w:val="22"/>
          <w:lang w:val="lt-LT" w:eastAsia="en-IN"/>
        </w:rPr>
        <w:t>io derinio</w:t>
      </w:r>
      <w:r w:rsidRPr="00686907">
        <w:rPr>
          <w:rFonts w:eastAsiaTheme="minorEastAsia"/>
          <w:b/>
          <w:snapToGrid/>
          <w:szCs w:val="22"/>
          <w:lang w:val="lt-LT" w:eastAsia="en-IN"/>
        </w:rPr>
        <w:t xml:space="preserve"> Jūsų ŽIV</w:t>
      </w:r>
      <w:r w:rsidR="00651DAF" w:rsidRPr="00686907">
        <w:rPr>
          <w:rFonts w:eastAsiaTheme="minorEastAsia"/>
          <w:b/>
          <w:snapToGrid/>
          <w:szCs w:val="22"/>
          <w:lang w:val="lt-LT" w:eastAsia="en-IN"/>
        </w:rPr>
        <w:t> </w:t>
      </w:r>
      <w:r w:rsidRPr="00686907">
        <w:rPr>
          <w:rFonts w:eastAsiaTheme="minorEastAsia"/>
          <w:b/>
          <w:snapToGrid/>
          <w:szCs w:val="22"/>
          <w:lang w:val="lt-LT" w:eastAsia="en-IN"/>
        </w:rPr>
        <w:t>tyrimo rezultatas turi būti neigiamas, kad būtų sumažinta užsikrėtimo</w:t>
      </w:r>
      <w:r w:rsidR="00502900" w:rsidRPr="00686907">
        <w:rPr>
          <w:rFonts w:eastAsiaTheme="minorEastAsia"/>
          <w:b/>
          <w:snapToGrid/>
          <w:szCs w:val="22"/>
          <w:lang w:val="lt-LT" w:eastAsia="en-IN"/>
        </w:rPr>
        <w:t> </w:t>
      </w:r>
      <w:r w:rsidRPr="00686907">
        <w:rPr>
          <w:rFonts w:eastAsiaTheme="minorEastAsia"/>
          <w:b/>
          <w:snapToGrid/>
          <w:szCs w:val="22"/>
          <w:lang w:val="lt-LT" w:eastAsia="en-IN"/>
        </w:rPr>
        <w:t>ŽIV rizika</w:t>
      </w:r>
      <w:r w:rsidRPr="001839C2">
        <w:rPr>
          <w:rFonts w:eastAsiaTheme="minorEastAsia"/>
          <w:bCs/>
          <w:snapToGrid/>
          <w:szCs w:val="22"/>
          <w:lang w:val="lt-LT" w:eastAsia="en-IN"/>
        </w:rPr>
        <w:t xml:space="preserve">. </w:t>
      </w:r>
      <w:r w:rsidRPr="001839C2">
        <w:rPr>
          <w:rFonts w:eastAsiaTheme="minorEastAsia"/>
          <w:snapToGrid/>
          <w:szCs w:val="22"/>
          <w:lang w:val="lt-LT" w:eastAsia="en-IN"/>
        </w:rPr>
        <w:t>Turite išsitirti, kad įsitikintumėte, jog dar neturite ŽIV</w:t>
      </w:r>
      <w:r w:rsidR="00502900" w:rsidRPr="001839C2">
        <w:rPr>
          <w:rFonts w:eastAsiaTheme="minorEastAsia"/>
          <w:snapToGrid/>
          <w:szCs w:val="22"/>
          <w:lang w:val="lt-LT" w:eastAsia="en-IN"/>
        </w:rPr>
        <w:t> </w:t>
      </w:r>
      <w:r w:rsidRPr="001839C2">
        <w:rPr>
          <w:rFonts w:eastAsiaTheme="minorEastAsia"/>
          <w:snapToGrid/>
          <w:szCs w:val="22"/>
          <w:lang w:val="lt-LT" w:eastAsia="en-IN"/>
        </w:rPr>
        <w:t xml:space="preserve">infekcijos. Nevartokite </w:t>
      </w:r>
      <w:r w:rsidRPr="001839C2">
        <w:rPr>
          <w:rFonts w:eastAsiaTheme="minorEastAsia"/>
          <w:bCs/>
          <w:snapToGrid/>
          <w:szCs w:val="22"/>
          <w:lang w:val="lt-LT" w:eastAsia="en-IN"/>
        </w:rPr>
        <w:t xml:space="preserve">emtricitabino </w:t>
      </w:r>
      <w:r w:rsidR="00502900" w:rsidRPr="001839C2">
        <w:rPr>
          <w:rFonts w:eastAsiaTheme="minorEastAsia"/>
          <w:bCs/>
          <w:snapToGrid/>
          <w:szCs w:val="22"/>
          <w:lang w:val="lt-LT" w:eastAsia="en-IN"/>
        </w:rPr>
        <w:t>ir</w:t>
      </w:r>
      <w:r w:rsidRPr="001839C2">
        <w:rPr>
          <w:rFonts w:eastAsiaTheme="minorEastAsia"/>
          <w:bCs/>
          <w:snapToGrid/>
          <w:szCs w:val="22"/>
          <w:lang w:val="lt-LT" w:eastAsia="en-IN"/>
        </w:rPr>
        <w:t xml:space="preserve"> tenofovir</w:t>
      </w:r>
      <w:r w:rsidR="00A16069" w:rsidRPr="001839C2">
        <w:rPr>
          <w:rFonts w:eastAsiaTheme="minorEastAsia"/>
          <w:bCs/>
          <w:snapToGrid/>
          <w:szCs w:val="22"/>
          <w:lang w:val="lt-LT" w:eastAsia="en-IN"/>
        </w:rPr>
        <w:t xml:space="preserve">o </w:t>
      </w:r>
      <w:r w:rsidRPr="001839C2">
        <w:rPr>
          <w:rFonts w:eastAsiaTheme="minorEastAsia"/>
          <w:bCs/>
          <w:snapToGrid/>
          <w:szCs w:val="22"/>
          <w:lang w:val="lt-LT" w:eastAsia="en-IN"/>
        </w:rPr>
        <w:t>dizoproksil</w:t>
      </w:r>
      <w:r w:rsidR="00A16069" w:rsidRPr="001839C2">
        <w:rPr>
          <w:rFonts w:eastAsiaTheme="minorEastAsia"/>
          <w:bCs/>
          <w:snapToGrid/>
          <w:szCs w:val="22"/>
          <w:lang w:val="lt-LT" w:eastAsia="en-IN"/>
        </w:rPr>
        <w:t>i</w:t>
      </w:r>
      <w:r w:rsidRPr="001839C2">
        <w:rPr>
          <w:rFonts w:eastAsiaTheme="minorEastAsia"/>
          <w:bCs/>
          <w:snapToGrid/>
          <w:szCs w:val="22"/>
          <w:lang w:val="lt-LT" w:eastAsia="en-IN"/>
        </w:rPr>
        <w:t>o</w:t>
      </w:r>
      <w:r w:rsidR="00502900" w:rsidRPr="001839C2">
        <w:rPr>
          <w:rFonts w:eastAsiaTheme="minorEastAsia"/>
          <w:bCs/>
          <w:snapToGrid/>
          <w:szCs w:val="22"/>
          <w:lang w:val="lt-LT" w:eastAsia="en-IN"/>
        </w:rPr>
        <w:t xml:space="preserve"> derinio</w:t>
      </w:r>
      <w:r w:rsidRPr="001839C2">
        <w:rPr>
          <w:rFonts w:eastAsiaTheme="minorEastAsia"/>
          <w:snapToGrid/>
          <w:szCs w:val="22"/>
          <w:lang w:val="lt-LT" w:eastAsia="en-IN"/>
        </w:rPr>
        <w:t xml:space="preserve"> rizikai sumažinti, jeigu nėra patvirtinta, kad Jūsų ŽIV</w:t>
      </w:r>
      <w:r w:rsidR="00651DAF" w:rsidRPr="001839C2">
        <w:rPr>
          <w:rFonts w:eastAsiaTheme="minorEastAsia"/>
          <w:snapToGrid/>
          <w:szCs w:val="22"/>
          <w:lang w:val="lt-LT" w:eastAsia="en-IN"/>
        </w:rPr>
        <w:t> </w:t>
      </w:r>
      <w:r w:rsidRPr="001839C2">
        <w:rPr>
          <w:rFonts w:eastAsiaTheme="minorEastAsia"/>
          <w:snapToGrid/>
          <w:szCs w:val="22"/>
          <w:lang w:val="lt-LT" w:eastAsia="en-IN"/>
        </w:rPr>
        <w:t xml:space="preserve">tyrimo rezultatas neigiamas. Žmonės, turintys ŽIV, turi vartoti </w:t>
      </w:r>
      <w:r w:rsidRPr="001839C2">
        <w:rPr>
          <w:rFonts w:eastAsiaTheme="minorEastAsia"/>
          <w:bCs/>
          <w:snapToGrid/>
          <w:szCs w:val="22"/>
          <w:lang w:val="lt-LT" w:eastAsia="en-IN"/>
        </w:rPr>
        <w:t>emtricitabin</w:t>
      </w:r>
      <w:r w:rsidR="00502900" w:rsidRPr="001839C2">
        <w:rPr>
          <w:rFonts w:eastAsiaTheme="minorEastAsia"/>
          <w:bCs/>
          <w:snapToGrid/>
          <w:szCs w:val="22"/>
          <w:lang w:val="lt-LT" w:eastAsia="en-IN"/>
        </w:rPr>
        <w:t>o</w:t>
      </w:r>
      <w:r w:rsidRPr="001839C2">
        <w:rPr>
          <w:rFonts w:eastAsiaTheme="minorEastAsia"/>
          <w:bCs/>
          <w:snapToGrid/>
          <w:szCs w:val="22"/>
          <w:lang w:val="lt-LT" w:eastAsia="en-IN"/>
        </w:rPr>
        <w:t xml:space="preserve"> </w:t>
      </w:r>
      <w:r w:rsidR="00502900" w:rsidRPr="001839C2">
        <w:rPr>
          <w:rFonts w:eastAsiaTheme="minorEastAsia"/>
          <w:bCs/>
          <w:snapToGrid/>
          <w:szCs w:val="22"/>
          <w:lang w:val="lt-LT" w:eastAsia="en-IN"/>
        </w:rPr>
        <w:t>ir</w:t>
      </w:r>
      <w:r w:rsidRPr="001839C2">
        <w:rPr>
          <w:rFonts w:eastAsiaTheme="minorEastAsia"/>
          <w:bCs/>
          <w:snapToGrid/>
          <w:szCs w:val="22"/>
          <w:lang w:val="lt-LT" w:eastAsia="en-IN"/>
        </w:rPr>
        <w:t xml:space="preserve"> tenofovir</w:t>
      </w:r>
      <w:r w:rsidR="00502900" w:rsidRPr="001839C2">
        <w:rPr>
          <w:rFonts w:eastAsiaTheme="minorEastAsia"/>
          <w:bCs/>
          <w:snapToGrid/>
          <w:szCs w:val="22"/>
          <w:lang w:val="lt-LT" w:eastAsia="en-IN"/>
        </w:rPr>
        <w:t xml:space="preserve">o </w:t>
      </w:r>
      <w:r w:rsidRPr="001839C2">
        <w:rPr>
          <w:rFonts w:eastAsiaTheme="minorEastAsia"/>
          <w:bCs/>
          <w:snapToGrid/>
          <w:szCs w:val="22"/>
          <w:lang w:val="lt-LT" w:eastAsia="en-IN"/>
        </w:rPr>
        <w:t>dizoproksil</w:t>
      </w:r>
      <w:r w:rsidR="00502900" w:rsidRPr="001839C2">
        <w:rPr>
          <w:rFonts w:eastAsiaTheme="minorEastAsia"/>
          <w:bCs/>
          <w:snapToGrid/>
          <w:szCs w:val="22"/>
          <w:lang w:val="lt-LT" w:eastAsia="en-IN"/>
        </w:rPr>
        <w:t>io derinio</w:t>
      </w:r>
      <w:r w:rsidRPr="001839C2" w:rsidDel="00CA49F3">
        <w:rPr>
          <w:rFonts w:eastAsiaTheme="minorEastAsia"/>
          <w:snapToGrid/>
          <w:szCs w:val="22"/>
          <w:lang w:val="lt-LT" w:eastAsia="en-IN"/>
        </w:rPr>
        <w:t xml:space="preserve"> </w:t>
      </w:r>
      <w:r w:rsidRPr="001839C2">
        <w:rPr>
          <w:rFonts w:eastAsiaTheme="minorEastAsia"/>
          <w:snapToGrid/>
          <w:szCs w:val="22"/>
          <w:lang w:val="lt-LT" w:eastAsia="en-IN"/>
        </w:rPr>
        <w:t>kartu su kitais vaistais.</w:t>
      </w:r>
    </w:p>
    <w:p w14:paraId="5DDFD0ED"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6E5EF162" w14:textId="77777777"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686907">
        <w:rPr>
          <w:rFonts w:eastAsiaTheme="minorEastAsia"/>
          <w:b/>
          <w:snapToGrid/>
          <w:szCs w:val="22"/>
          <w:lang w:val="lt-LT" w:eastAsia="en-IN"/>
        </w:rPr>
        <w:t>Daugelis ŽIV</w:t>
      </w:r>
      <w:r w:rsidR="00502900" w:rsidRPr="00686907">
        <w:rPr>
          <w:rFonts w:eastAsiaTheme="minorEastAsia"/>
          <w:b/>
          <w:snapToGrid/>
          <w:szCs w:val="22"/>
          <w:lang w:val="lt-LT" w:eastAsia="en-IN"/>
        </w:rPr>
        <w:t> </w:t>
      </w:r>
      <w:r w:rsidRPr="00686907">
        <w:rPr>
          <w:rFonts w:eastAsiaTheme="minorEastAsia"/>
          <w:b/>
          <w:snapToGrid/>
          <w:szCs w:val="22"/>
          <w:lang w:val="lt-LT" w:eastAsia="en-IN"/>
        </w:rPr>
        <w:t>tyrimų gali neaptikti neseniai atsiradusios infekcijos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Jeigu susirgote į gripą panašia liga, gali būti, kad neseniai užsikrėtėte ŽIV.</w:t>
      </w:r>
    </w:p>
    <w:p w14:paraId="4B5F1BE9" w14:textId="77777777" w:rsidR="002A5F50" w:rsidRPr="001839C2" w:rsidRDefault="002A5F50" w:rsidP="00230559">
      <w:pPr>
        <w:widowControl w:val="0"/>
        <w:tabs>
          <w:tab w:val="clear" w:pos="56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ŽIV</w:t>
      </w:r>
      <w:r w:rsidR="00651DAF" w:rsidRPr="001839C2">
        <w:rPr>
          <w:rFonts w:eastAsiaTheme="minorEastAsia"/>
          <w:snapToGrid/>
          <w:szCs w:val="22"/>
          <w:lang w:val="lt-LT" w:eastAsia="en-IN"/>
        </w:rPr>
        <w:t> </w:t>
      </w:r>
      <w:r w:rsidRPr="001839C2">
        <w:rPr>
          <w:rFonts w:eastAsiaTheme="minorEastAsia"/>
          <w:snapToGrid/>
          <w:szCs w:val="22"/>
          <w:lang w:val="lt-LT" w:eastAsia="en-IN"/>
        </w:rPr>
        <w:t>infekcijos požymiai gali būti tokie:</w:t>
      </w:r>
    </w:p>
    <w:p w14:paraId="1ABE9549" w14:textId="77777777" w:rsidR="002A5F50" w:rsidRPr="001839C2" w:rsidRDefault="002A5F50" w:rsidP="002A5F50">
      <w:pPr>
        <w:widowControl w:val="0"/>
        <w:numPr>
          <w:ilvl w:val="0"/>
          <w:numId w:val="19"/>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nuovargis;</w:t>
      </w:r>
    </w:p>
    <w:p w14:paraId="1C71CA9E" w14:textId="77777777" w:rsidR="002A5F50" w:rsidRPr="001839C2" w:rsidRDefault="002A5F50" w:rsidP="002A5F50">
      <w:pPr>
        <w:widowControl w:val="0"/>
        <w:numPr>
          <w:ilvl w:val="0"/>
          <w:numId w:val="19"/>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karščiavimas;</w:t>
      </w:r>
    </w:p>
    <w:p w14:paraId="5476D29C" w14:textId="77777777" w:rsidR="002A5F50" w:rsidRPr="001839C2" w:rsidRDefault="002A5F50" w:rsidP="002A5F50">
      <w:pPr>
        <w:widowControl w:val="0"/>
        <w:numPr>
          <w:ilvl w:val="0"/>
          <w:numId w:val="19"/>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sąnarių arba raumenų skausmas;</w:t>
      </w:r>
    </w:p>
    <w:p w14:paraId="6D7A81E3" w14:textId="77777777" w:rsidR="002A5F50" w:rsidRPr="001839C2" w:rsidRDefault="002A5F50" w:rsidP="002A5F50">
      <w:pPr>
        <w:widowControl w:val="0"/>
        <w:numPr>
          <w:ilvl w:val="0"/>
          <w:numId w:val="19"/>
        </w:numPr>
        <w:tabs>
          <w:tab w:val="clear" w:pos="567"/>
          <w:tab w:val="left" w:pos="1253"/>
        </w:tabs>
        <w:kinsoku w:val="0"/>
        <w:overflowPunct w:val="0"/>
        <w:autoSpaceDE w:val="0"/>
        <w:autoSpaceDN w:val="0"/>
        <w:adjustRightInd w:val="0"/>
        <w:ind w:left="1252" w:hanging="566"/>
        <w:rPr>
          <w:rFonts w:eastAsiaTheme="minorEastAsia"/>
          <w:snapToGrid/>
          <w:szCs w:val="22"/>
          <w:lang w:val="lt-LT" w:eastAsia="en-IN"/>
        </w:rPr>
      </w:pPr>
      <w:r w:rsidRPr="001839C2">
        <w:rPr>
          <w:rFonts w:eastAsiaTheme="minorEastAsia"/>
          <w:snapToGrid/>
          <w:szCs w:val="22"/>
          <w:lang w:val="lt-LT" w:eastAsia="en-IN"/>
        </w:rPr>
        <w:t>galvos skausmas;</w:t>
      </w:r>
    </w:p>
    <w:p w14:paraId="0FD5CBCB" w14:textId="77777777" w:rsidR="002A5F50" w:rsidRPr="001839C2" w:rsidRDefault="002A5F50" w:rsidP="002A5F50">
      <w:pPr>
        <w:widowControl w:val="0"/>
        <w:numPr>
          <w:ilvl w:val="0"/>
          <w:numId w:val="19"/>
        </w:numPr>
        <w:tabs>
          <w:tab w:val="clear" w:pos="567"/>
          <w:tab w:val="left" w:pos="1253"/>
        </w:tabs>
        <w:kinsoku w:val="0"/>
        <w:overflowPunct w:val="0"/>
        <w:autoSpaceDE w:val="0"/>
        <w:autoSpaceDN w:val="0"/>
        <w:adjustRightInd w:val="0"/>
        <w:ind w:left="1252" w:hanging="566"/>
        <w:rPr>
          <w:rFonts w:eastAsiaTheme="minorEastAsia"/>
          <w:snapToGrid/>
          <w:szCs w:val="22"/>
          <w:lang w:val="lt-LT" w:eastAsia="en-IN"/>
        </w:rPr>
      </w:pPr>
      <w:r w:rsidRPr="001839C2">
        <w:rPr>
          <w:rFonts w:eastAsiaTheme="minorEastAsia"/>
          <w:snapToGrid/>
          <w:szCs w:val="22"/>
          <w:lang w:val="lt-LT" w:eastAsia="en-IN"/>
        </w:rPr>
        <w:t>vėmimas arba viduriavimas;</w:t>
      </w:r>
    </w:p>
    <w:p w14:paraId="17F7D4A2" w14:textId="77777777" w:rsidR="002A5F50" w:rsidRPr="001839C2" w:rsidRDefault="00502900" w:rsidP="002A5F50">
      <w:pPr>
        <w:widowControl w:val="0"/>
        <w:numPr>
          <w:ilvl w:val="0"/>
          <w:numId w:val="19"/>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iš</w:t>
      </w:r>
      <w:r w:rsidR="002A5F50" w:rsidRPr="001839C2">
        <w:rPr>
          <w:rFonts w:eastAsiaTheme="minorEastAsia"/>
          <w:snapToGrid/>
          <w:szCs w:val="22"/>
          <w:lang w:val="lt-LT" w:eastAsia="en-IN"/>
        </w:rPr>
        <w:t>bėrimas;</w:t>
      </w:r>
    </w:p>
    <w:p w14:paraId="19A512EF" w14:textId="77777777" w:rsidR="002A5F50" w:rsidRPr="001839C2" w:rsidRDefault="002A5F50" w:rsidP="002A5F50">
      <w:pPr>
        <w:widowControl w:val="0"/>
        <w:numPr>
          <w:ilvl w:val="0"/>
          <w:numId w:val="19"/>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naktinis prakaitavimas;</w:t>
      </w:r>
    </w:p>
    <w:p w14:paraId="6CD42A9F" w14:textId="77777777" w:rsidR="002A5F50" w:rsidRPr="001839C2" w:rsidRDefault="002A5F50" w:rsidP="002A5F50">
      <w:pPr>
        <w:widowControl w:val="0"/>
        <w:numPr>
          <w:ilvl w:val="0"/>
          <w:numId w:val="19"/>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padidėję kaklo arba kirkšnių limfmazgiai.</w:t>
      </w:r>
    </w:p>
    <w:p w14:paraId="227400C3" w14:textId="77777777" w:rsidR="002A5F50" w:rsidRPr="001839C2" w:rsidRDefault="002A5F50" w:rsidP="00230559">
      <w:pPr>
        <w:widowControl w:val="0"/>
        <w:tabs>
          <w:tab w:val="clear" w:pos="567"/>
          <w:tab w:val="left" w:pos="709"/>
        </w:tabs>
        <w:kinsoku w:val="0"/>
        <w:overflowPunct w:val="0"/>
        <w:autoSpaceDE w:val="0"/>
        <w:autoSpaceDN w:val="0"/>
        <w:adjustRightInd w:val="0"/>
        <w:rPr>
          <w:rFonts w:eastAsiaTheme="minorEastAsia"/>
          <w:b/>
          <w:bCs/>
          <w:snapToGrid/>
          <w:szCs w:val="22"/>
          <w:lang w:val="lt-LT" w:eastAsia="en-IN"/>
        </w:rPr>
      </w:pPr>
    </w:p>
    <w:p w14:paraId="574DFB00" w14:textId="77777777" w:rsidR="002A5F50" w:rsidRPr="001839C2" w:rsidRDefault="002A5F50" w:rsidP="00230559">
      <w:pPr>
        <w:widowControl w:val="0"/>
        <w:tabs>
          <w:tab w:val="clear" w:pos="567"/>
          <w:tab w:val="left" w:pos="709"/>
        </w:tabs>
        <w:kinsoku w:val="0"/>
        <w:overflowPunct w:val="0"/>
        <w:autoSpaceDE w:val="0"/>
        <w:autoSpaceDN w:val="0"/>
        <w:adjustRightInd w:val="0"/>
        <w:rPr>
          <w:rFonts w:eastAsiaTheme="minorEastAsia"/>
          <w:snapToGrid/>
          <w:szCs w:val="22"/>
          <w:lang w:val="lt-LT" w:eastAsia="en-IN"/>
        </w:rPr>
      </w:pPr>
      <w:r w:rsidRPr="00686907">
        <w:rPr>
          <w:rFonts w:eastAsiaTheme="minorEastAsia"/>
          <w:b/>
          <w:snapToGrid/>
          <w:szCs w:val="22"/>
          <w:lang w:val="lt-LT" w:eastAsia="en-IN"/>
        </w:rPr>
        <w:t>Pasakykite gydytojui apie bet kokį į gripą panašų susirgimą</w:t>
      </w:r>
      <w:r w:rsidRPr="001839C2">
        <w:rPr>
          <w:rFonts w:eastAsiaTheme="minorEastAsia"/>
          <w:snapToGrid/>
          <w:szCs w:val="22"/>
          <w:lang w:val="lt-LT" w:eastAsia="en-IN"/>
        </w:rPr>
        <w:t xml:space="preserve">, kuris pasireiškė per mėnesį prieš pradedant vartoti </w:t>
      </w:r>
      <w:r w:rsidRPr="001839C2">
        <w:rPr>
          <w:rFonts w:eastAsiaTheme="minorHAnsi"/>
          <w:snapToGrid/>
          <w:szCs w:val="22"/>
          <w:lang w:val="lt-LT"/>
        </w:rPr>
        <w:t xml:space="preserve">Emtricitabine/Tenofovir disoproxil Accordpharma </w:t>
      </w:r>
      <w:r w:rsidRPr="001839C2">
        <w:rPr>
          <w:rFonts w:eastAsiaTheme="minorEastAsia"/>
          <w:snapToGrid/>
          <w:szCs w:val="22"/>
          <w:lang w:val="lt-LT" w:eastAsia="en-IN"/>
        </w:rPr>
        <w:t>arba bet kuriuo metu, kai vartojate š</w:t>
      </w:r>
      <w:r w:rsidR="00651DAF"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651DAF" w:rsidRPr="001839C2">
        <w:rPr>
          <w:rFonts w:eastAsiaTheme="minorEastAsia"/>
          <w:snapToGrid/>
          <w:szCs w:val="22"/>
          <w:lang w:val="lt-LT" w:eastAsia="en-IN"/>
        </w:rPr>
        <w:t>o</w:t>
      </w:r>
      <w:r w:rsidRPr="001839C2">
        <w:rPr>
          <w:rFonts w:eastAsiaTheme="minorEastAsia"/>
          <w:snapToGrid/>
          <w:szCs w:val="22"/>
          <w:lang w:val="lt-LT" w:eastAsia="en-IN"/>
        </w:rPr>
        <w:t>.</w:t>
      </w:r>
    </w:p>
    <w:p w14:paraId="65A317BF"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3CD2F80B" w14:textId="77777777"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Įspėjimai ir atsargumo priemonės</w:t>
      </w:r>
    </w:p>
    <w:p w14:paraId="6EC0AE9F" w14:textId="77777777" w:rsidR="009B0BCA" w:rsidRPr="001839C2" w:rsidRDefault="009B0BCA"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p>
    <w:p w14:paraId="048288EE"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iCs/>
          <w:snapToGrid/>
          <w:szCs w:val="22"/>
          <w:lang w:val="lt-LT" w:eastAsia="en-IN"/>
        </w:rPr>
      </w:pPr>
      <w:r w:rsidRPr="00CB32F8">
        <w:rPr>
          <w:rFonts w:eastAsiaTheme="minorEastAsia"/>
          <w:b/>
          <w:iCs/>
          <w:snapToGrid/>
          <w:szCs w:val="22"/>
          <w:lang w:val="lt-LT" w:eastAsia="en-IN"/>
        </w:rPr>
        <w:t xml:space="preserve">Vartojant </w:t>
      </w:r>
      <w:r w:rsidRPr="00CB32F8">
        <w:rPr>
          <w:rFonts w:eastAsiaTheme="minorHAnsi"/>
          <w:b/>
          <w:iCs/>
          <w:snapToGrid/>
          <w:szCs w:val="22"/>
          <w:lang w:val="lt-LT"/>
        </w:rPr>
        <w:t>Emtricitabine/Tenofovir disoproxil Accordpharma</w:t>
      </w:r>
      <w:r w:rsidRPr="00CB32F8" w:rsidDel="00CA49F3">
        <w:rPr>
          <w:rFonts w:eastAsiaTheme="minorEastAsia"/>
          <w:b/>
          <w:iCs/>
          <w:snapToGrid/>
          <w:szCs w:val="22"/>
          <w:lang w:val="lt-LT" w:eastAsia="en-IN"/>
        </w:rPr>
        <w:t xml:space="preserve"> </w:t>
      </w:r>
      <w:r w:rsidRPr="00CB32F8">
        <w:rPr>
          <w:rFonts w:eastAsiaTheme="minorEastAsia"/>
          <w:b/>
          <w:iCs/>
          <w:snapToGrid/>
          <w:szCs w:val="22"/>
          <w:lang w:val="lt-LT" w:eastAsia="en-IN"/>
        </w:rPr>
        <w:t>užsikrėtimo</w:t>
      </w:r>
      <w:r w:rsidR="00651DAF" w:rsidRPr="00CB32F8">
        <w:rPr>
          <w:rFonts w:eastAsiaTheme="minorEastAsia"/>
          <w:b/>
          <w:iCs/>
          <w:snapToGrid/>
          <w:szCs w:val="22"/>
          <w:lang w:val="lt-LT" w:eastAsia="en-IN"/>
        </w:rPr>
        <w:t> </w:t>
      </w:r>
      <w:r w:rsidRPr="00CB32F8">
        <w:rPr>
          <w:rFonts w:eastAsiaTheme="minorEastAsia"/>
          <w:b/>
          <w:iCs/>
          <w:snapToGrid/>
          <w:szCs w:val="22"/>
          <w:lang w:val="lt-LT" w:eastAsia="en-IN"/>
        </w:rPr>
        <w:t>ŽIV rizikai sumažinti</w:t>
      </w:r>
    </w:p>
    <w:p w14:paraId="1ECBB827" w14:textId="77777777"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 xml:space="preserve">Vartokite </w:t>
      </w:r>
      <w:r w:rsidRPr="001839C2">
        <w:rPr>
          <w:rFonts w:eastAsiaTheme="minorHAnsi"/>
          <w:snapToGrid/>
          <w:szCs w:val="22"/>
          <w:lang w:val="lt-LT"/>
        </w:rPr>
        <w:t>Emtricitabine/Tenofovir disoproxil Accordpharma</w:t>
      </w:r>
      <w:r w:rsidRPr="001839C2" w:rsidDel="00CA49F3">
        <w:rPr>
          <w:rFonts w:eastAsiaTheme="minorEastAsia"/>
          <w:snapToGrid/>
          <w:szCs w:val="22"/>
          <w:lang w:val="lt-LT" w:eastAsia="en-IN"/>
        </w:rPr>
        <w:t xml:space="preserve"> </w:t>
      </w:r>
      <w:r w:rsidRPr="001839C2">
        <w:rPr>
          <w:rFonts w:eastAsiaTheme="minorEastAsia"/>
          <w:snapToGrid/>
          <w:szCs w:val="22"/>
          <w:lang w:val="lt-LT" w:eastAsia="en-IN"/>
        </w:rPr>
        <w:t xml:space="preserve">kasdien </w:t>
      </w:r>
      <w:r w:rsidRPr="00686907">
        <w:rPr>
          <w:rFonts w:eastAsiaTheme="minorEastAsia"/>
          <w:b/>
          <w:snapToGrid/>
          <w:szCs w:val="22"/>
          <w:lang w:val="lt-LT" w:eastAsia="en-IN"/>
        </w:rPr>
        <w:t>rizikai sumažinti, o ne tik tada, kai manote, kad Jums buvo rizika užsikrėsti ŽIV</w:t>
      </w:r>
      <w:r w:rsidRPr="001839C2">
        <w:rPr>
          <w:rFonts w:eastAsiaTheme="minorEastAsia"/>
          <w:bCs/>
          <w:snapToGrid/>
          <w:szCs w:val="22"/>
          <w:lang w:val="lt-LT" w:eastAsia="en-IN"/>
        </w:rPr>
        <w:t xml:space="preserve">. </w:t>
      </w:r>
      <w:r w:rsidRPr="001839C2">
        <w:rPr>
          <w:rFonts w:eastAsiaTheme="minorEastAsia"/>
          <w:snapToGrid/>
          <w:szCs w:val="22"/>
          <w:lang w:val="lt-LT" w:eastAsia="en-IN"/>
        </w:rPr>
        <w:t xml:space="preserve">Nepraleiskite nė vienos </w:t>
      </w:r>
      <w:r w:rsidRPr="001839C2">
        <w:rPr>
          <w:rFonts w:eastAsiaTheme="minorHAnsi"/>
          <w:snapToGrid/>
          <w:szCs w:val="22"/>
          <w:lang w:val="lt-LT"/>
        </w:rPr>
        <w:t xml:space="preserve">Emtricitabine/Tenofovir disoproxil Accordpharma </w:t>
      </w:r>
      <w:r w:rsidRPr="001839C2">
        <w:rPr>
          <w:rFonts w:eastAsiaTheme="minorEastAsia"/>
          <w:snapToGrid/>
          <w:szCs w:val="22"/>
          <w:lang w:val="lt-LT" w:eastAsia="en-IN"/>
        </w:rPr>
        <w:t>dozės ir nenustokite jo vartoti. Pamiršus pavartoti vaisto, gali padidėti užsikrėtimo ŽIV</w:t>
      </w:r>
      <w:r w:rsidR="00502900" w:rsidRPr="001839C2">
        <w:rPr>
          <w:rFonts w:eastAsiaTheme="minorEastAsia"/>
          <w:snapToGrid/>
          <w:szCs w:val="22"/>
          <w:lang w:val="lt-LT" w:eastAsia="en-IN"/>
        </w:rPr>
        <w:t> </w:t>
      </w:r>
      <w:r w:rsidRPr="001839C2">
        <w:rPr>
          <w:rFonts w:eastAsiaTheme="minorEastAsia"/>
          <w:snapToGrid/>
          <w:szCs w:val="22"/>
          <w:lang w:val="lt-LT" w:eastAsia="en-IN"/>
        </w:rPr>
        <w:t>infekcija rizika.</w:t>
      </w:r>
    </w:p>
    <w:p w14:paraId="086471A9"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10690A6F" w14:textId="77777777" w:rsidR="002A5F50" w:rsidRPr="001839C2" w:rsidRDefault="002A5F50" w:rsidP="002A5F50">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Reguliariai tirkitės, ar neužsikrėtėte ŽIV.</w:t>
      </w:r>
    </w:p>
    <w:p w14:paraId="28C1F3FB"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33B9ABBE" w14:textId="77777777"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Jeigu manote, kad užsikrėtėte ŽIV, nedelsdami apie tai pasakykite gydytojui. Gydytojas gali nuspręsti atlikti daugiau tyrimų, kad įsitikintų, jog vis dar nesate užsikrėtę ŽIV.</w:t>
      </w:r>
    </w:p>
    <w:p w14:paraId="74FE5D67"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5D524043" w14:textId="77777777" w:rsidR="002A5F50" w:rsidRPr="001839C2" w:rsidRDefault="002A5F50" w:rsidP="00BF4605">
      <w:pPr>
        <w:widowControl w:val="0"/>
        <w:numPr>
          <w:ilvl w:val="0"/>
          <w:numId w:val="27"/>
        </w:numPr>
        <w:tabs>
          <w:tab w:val="clear" w:pos="567"/>
          <w:tab w:val="left" w:pos="686"/>
        </w:tabs>
        <w:kinsoku w:val="0"/>
        <w:overflowPunct w:val="0"/>
        <w:autoSpaceDE w:val="0"/>
        <w:autoSpaceDN w:val="0"/>
        <w:adjustRightInd w:val="0"/>
        <w:outlineLvl w:val="0"/>
        <w:rPr>
          <w:rFonts w:eastAsiaTheme="minorEastAsia"/>
          <w:snapToGrid/>
          <w:szCs w:val="22"/>
          <w:lang w:val="lt-LT" w:eastAsia="en-IN"/>
        </w:rPr>
      </w:pPr>
      <w:r w:rsidRPr="00686907">
        <w:rPr>
          <w:rFonts w:eastAsiaTheme="minorEastAsia"/>
          <w:b/>
          <w:snapToGrid/>
          <w:szCs w:val="22"/>
          <w:lang w:val="lt-LT" w:eastAsia="en-IN"/>
        </w:rPr>
        <w:t xml:space="preserve">Vien tik </w:t>
      </w:r>
      <w:r w:rsidRPr="00686907">
        <w:rPr>
          <w:rFonts w:eastAsiaTheme="minorHAnsi"/>
          <w:b/>
          <w:snapToGrid/>
          <w:szCs w:val="22"/>
          <w:lang w:val="lt-LT"/>
        </w:rPr>
        <w:t xml:space="preserve">Emtricitabine/Tenofovir disoproxil Accordpharma </w:t>
      </w:r>
      <w:r w:rsidRPr="00686907">
        <w:rPr>
          <w:rFonts w:eastAsiaTheme="minorEastAsia"/>
          <w:b/>
          <w:snapToGrid/>
          <w:szCs w:val="22"/>
          <w:lang w:val="lt-LT" w:eastAsia="en-IN"/>
        </w:rPr>
        <w:t>vartojimas gali neapsaugoti nuo užsikrėtimo ŽIV</w:t>
      </w:r>
      <w:r w:rsidRPr="001839C2">
        <w:rPr>
          <w:rFonts w:eastAsiaTheme="minorEastAsia"/>
          <w:bCs/>
          <w:snapToGrid/>
          <w:szCs w:val="22"/>
          <w:lang w:val="lt-LT" w:eastAsia="en-IN"/>
        </w:rPr>
        <w:t>.</w:t>
      </w:r>
    </w:p>
    <w:p w14:paraId="37783051" w14:textId="77777777" w:rsidR="002A5F50" w:rsidRPr="001839C2" w:rsidRDefault="002A5F50" w:rsidP="00230559">
      <w:pPr>
        <w:numPr>
          <w:ilvl w:val="0"/>
          <w:numId w:val="18"/>
        </w:numPr>
        <w:tabs>
          <w:tab w:val="clear" w:pos="567"/>
          <w:tab w:val="left" w:pos="1252"/>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Visada užtikrinkite lytinių santykių saugumą. Naudokite prezervatyvus, kad sumažėtų sąlyčio su sperma, makšties išskyromis arba krauju pavojus.</w:t>
      </w:r>
    </w:p>
    <w:p w14:paraId="18E2756F" w14:textId="77777777" w:rsidR="002A5F50" w:rsidRPr="001839C2" w:rsidRDefault="002A5F50" w:rsidP="00230559">
      <w:pPr>
        <w:widowControl w:val="0"/>
        <w:numPr>
          <w:ilvl w:val="0"/>
          <w:numId w:val="18"/>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Nesinaudokite kartu su kitais žmonėmis tais pačiais asmeniniais daiktais, ant kurių gali būti užsilikę kraujo arba kūno skysčių, pvz., dantų šepetėliais ir skutimosi peiliukais.</w:t>
      </w:r>
    </w:p>
    <w:p w14:paraId="42BFED47" w14:textId="77777777" w:rsidR="002A5F50" w:rsidRPr="001839C2" w:rsidRDefault="002A5F50" w:rsidP="00230559">
      <w:pPr>
        <w:widowControl w:val="0"/>
        <w:numPr>
          <w:ilvl w:val="0"/>
          <w:numId w:val="18"/>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Nesinaudokite kartu su kitais žmonėmis ir kartotinai nenaudokite tų pačių adatų arba kitų įtaisų injekcijoms arba vaistams.</w:t>
      </w:r>
    </w:p>
    <w:p w14:paraId="57FEA158" w14:textId="77777777" w:rsidR="002A5F50" w:rsidRPr="001839C2" w:rsidRDefault="002A5F50" w:rsidP="00230559">
      <w:pPr>
        <w:widowControl w:val="0"/>
        <w:numPr>
          <w:ilvl w:val="0"/>
          <w:numId w:val="18"/>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Išsitirkite dėl kitų lytiškai plintančių infekcijų, pvz., sifilio ir gonorėjos. Sergant šiomis ligomis, galima lengviau užsikrėsti ŽIV.</w:t>
      </w:r>
    </w:p>
    <w:p w14:paraId="5E80A407"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08219270"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Kreipkitės į gydytoją, jeigu turite daugiau klausimų apie tai, kaip galėtumėte apsisaugoti nuo užsikrėtimo</w:t>
      </w:r>
      <w:r w:rsidR="00502900" w:rsidRPr="001839C2">
        <w:rPr>
          <w:rFonts w:eastAsiaTheme="minorEastAsia"/>
          <w:snapToGrid/>
          <w:szCs w:val="22"/>
          <w:lang w:val="lt-LT" w:eastAsia="en-IN"/>
        </w:rPr>
        <w:t> </w:t>
      </w:r>
      <w:r w:rsidRPr="001839C2">
        <w:rPr>
          <w:rFonts w:eastAsiaTheme="minorEastAsia"/>
          <w:snapToGrid/>
          <w:szCs w:val="22"/>
          <w:lang w:val="lt-LT" w:eastAsia="en-IN"/>
        </w:rPr>
        <w:t>ŽIV arba kaip apsisaugoti nuo perdavimo</w:t>
      </w:r>
      <w:r w:rsidR="00502900" w:rsidRPr="001839C2">
        <w:rPr>
          <w:rFonts w:eastAsiaTheme="minorEastAsia"/>
          <w:snapToGrid/>
          <w:szCs w:val="22"/>
          <w:lang w:val="lt-LT" w:eastAsia="en-IN"/>
        </w:rPr>
        <w:t> </w:t>
      </w:r>
      <w:r w:rsidRPr="001839C2">
        <w:rPr>
          <w:rFonts w:eastAsiaTheme="minorEastAsia"/>
          <w:snapToGrid/>
          <w:szCs w:val="22"/>
          <w:lang w:val="lt-LT" w:eastAsia="en-IN"/>
        </w:rPr>
        <w:t>ŽIV kitiems žmonėms.</w:t>
      </w:r>
    </w:p>
    <w:p w14:paraId="0AFB89C3" w14:textId="77777777" w:rsidR="002A5F50" w:rsidRPr="001839C2" w:rsidRDefault="002A5F50" w:rsidP="00686907">
      <w:pPr>
        <w:widowControl w:val="0"/>
        <w:tabs>
          <w:tab w:val="clear" w:pos="567"/>
        </w:tabs>
        <w:kinsoku w:val="0"/>
        <w:overflowPunct w:val="0"/>
        <w:autoSpaceDE w:val="0"/>
        <w:autoSpaceDN w:val="0"/>
        <w:adjustRightInd w:val="0"/>
        <w:ind w:left="567" w:hanging="567"/>
        <w:outlineLvl w:val="0"/>
        <w:rPr>
          <w:rFonts w:eastAsiaTheme="minorEastAsia"/>
          <w:b/>
          <w:bCs/>
          <w:snapToGrid/>
          <w:szCs w:val="22"/>
          <w:lang w:val="lt-LT" w:eastAsia="en-IN"/>
        </w:rPr>
      </w:pPr>
    </w:p>
    <w:p w14:paraId="6EE0C4B8" w14:textId="77777777"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iCs/>
          <w:snapToGrid/>
          <w:szCs w:val="22"/>
          <w:lang w:val="lt-LT" w:eastAsia="en-IN"/>
        </w:rPr>
      </w:pPr>
      <w:r w:rsidRPr="00CB32F8">
        <w:rPr>
          <w:rFonts w:eastAsiaTheme="minorEastAsia"/>
          <w:b/>
          <w:iCs/>
          <w:snapToGrid/>
          <w:szCs w:val="22"/>
          <w:lang w:val="lt-LT" w:eastAsia="en-IN"/>
        </w:rPr>
        <w:t xml:space="preserve">Vartojant </w:t>
      </w:r>
      <w:r w:rsidRPr="00CB32F8">
        <w:rPr>
          <w:rFonts w:eastAsiaTheme="minorHAnsi"/>
          <w:b/>
          <w:iCs/>
          <w:snapToGrid/>
          <w:szCs w:val="22"/>
          <w:lang w:val="lt-LT"/>
        </w:rPr>
        <w:t xml:space="preserve">Emtricitabine/Tenofovir disoproxil Accordpharma </w:t>
      </w:r>
      <w:r w:rsidRPr="00CB32F8">
        <w:rPr>
          <w:rFonts w:eastAsiaTheme="minorEastAsia"/>
          <w:b/>
          <w:iCs/>
          <w:snapToGrid/>
          <w:szCs w:val="22"/>
          <w:lang w:val="lt-LT" w:eastAsia="en-IN"/>
        </w:rPr>
        <w:t>ŽIV</w:t>
      </w:r>
      <w:r w:rsidR="00502900" w:rsidRPr="00CB32F8">
        <w:rPr>
          <w:rFonts w:eastAsiaTheme="minorEastAsia"/>
          <w:b/>
          <w:iCs/>
          <w:snapToGrid/>
          <w:szCs w:val="22"/>
          <w:lang w:val="lt-LT" w:eastAsia="en-IN"/>
        </w:rPr>
        <w:t> </w:t>
      </w:r>
      <w:r w:rsidRPr="00CB32F8">
        <w:rPr>
          <w:rFonts w:eastAsiaTheme="minorEastAsia"/>
          <w:b/>
          <w:iCs/>
          <w:snapToGrid/>
          <w:szCs w:val="22"/>
          <w:lang w:val="lt-LT" w:eastAsia="en-IN"/>
        </w:rPr>
        <w:t>gydyti arba užsikrėtimo</w:t>
      </w:r>
      <w:r w:rsidR="00502900" w:rsidRPr="00CB32F8">
        <w:rPr>
          <w:rFonts w:eastAsiaTheme="minorEastAsia"/>
          <w:b/>
          <w:iCs/>
          <w:snapToGrid/>
          <w:szCs w:val="22"/>
          <w:lang w:val="lt-LT" w:eastAsia="en-IN"/>
        </w:rPr>
        <w:t> </w:t>
      </w:r>
      <w:r w:rsidRPr="00CB32F8">
        <w:rPr>
          <w:rFonts w:eastAsiaTheme="minorEastAsia"/>
          <w:b/>
          <w:iCs/>
          <w:snapToGrid/>
          <w:szCs w:val="22"/>
          <w:lang w:val="lt-LT" w:eastAsia="en-IN"/>
        </w:rPr>
        <w:t>ŽIV rizikai sumažinti</w:t>
      </w:r>
    </w:p>
    <w:p w14:paraId="4B26ABCD" w14:textId="6D80BDD3" w:rsidR="005749F9" w:rsidRPr="005749F9" w:rsidRDefault="002A5F50" w:rsidP="005749F9">
      <w:pPr>
        <w:widowControl w:val="0"/>
        <w:numPr>
          <w:ilvl w:val="0"/>
          <w:numId w:val="27"/>
        </w:numPr>
        <w:kinsoku w:val="0"/>
        <w:overflowPunct w:val="0"/>
        <w:autoSpaceDE w:val="0"/>
        <w:autoSpaceDN w:val="0"/>
        <w:adjustRightInd w:val="0"/>
        <w:ind w:left="567"/>
        <w:rPr>
          <w:rFonts w:eastAsiaTheme="minorEastAsia"/>
          <w:snapToGrid/>
          <w:szCs w:val="22"/>
          <w:lang w:val="lt-LT" w:eastAsia="en-IN"/>
        </w:rPr>
      </w:pPr>
      <w:r w:rsidRPr="00CB32F8">
        <w:rPr>
          <w:rFonts w:eastAsiaTheme="minorHAnsi"/>
          <w:b/>
          <w:bCs/>
          <w:snapToGrid/>
          <w:szCs w:val="22"/>
          <w:lang w:val="lt-LT"/>
        </w:rPr>
        <w:t>Emtricitabin</w:t>
      </w:r>
      <w:r w:rsidR="00651DAF" w:rsidRPr="00CB32F8">
        <w:rPr>
          <w:rFonts w:eastAsiaTheme="minorHAnsi"/>
          <w:b/>
          <w:bCs/>
          <w:snapToGrid/>
          <w:szCs w:val="22"/>
          <w:lang w:val="lt-LT"/>
        </w:rPr>
        <w:t>o ir t</w:t>
      </w:r>
      <w:r w:rsidRPr="00CB32F8">
        <w:rPr>
          <w:rFonts w:eastAsiaTheme="minorHAnsi"/>
          <w:b/>
          <w:bCs/>
          <w:snapToGrid/>
          <w:szCs w:val="22"/>
          <w:lang w:val="lt-LT"/>
        </w:rPr>
        <w:t>enofovir</w:t>
      </w:r>
      <w:r w:rsidR="00651DAF" w:rsidRPr="00CB32F8">
        <w:rPr>
          <w:rFonts w:eastAsiaTheme="minorHAnsi"/>
          <w:b/>
          <w:bCs/>
          <w:snapToGrid/>
          <w:szCs w:val="22"/>
          <w:lang w:val="lt-LT"/>
        </w:rPr>
        <w:t>o</w:t>
      </w:r>
      <w:r w:rsidRPr="00CB32F8">
        <w:rPr>
          <w:rFonts w:eastAsiaTheme="minorHAnsi"/>
          <w:b/>
          <w:bCs/>
          <w:snapToGrid/>
          <w:szCs w:val="22"/>
          <w:lang w:val="lt-LT"/>
        </w:rPr>
        <w:t xml:space="preserve"> di</w:t>
      </w:r>
      <w:r w:rsidR="00651DAF" w:rsidRPr="00CB32F8">
        <w:rPr>
          <w:rFonts w:eastAsiaTheme="minorHAnsi"/>
          <w:b/>
          <w:bCs/>
          <w:snapToGrid/>
          <w:szCs w:val="22"/>
          <w:lang w:val="lt-LT"/>
        </w:rPr>
        <w:t>z</w:t>
      </w:r>
      <w:r w:rsidRPr="00CB32F8">
        <w:rPr>
          <w:rFonts w:eastAsiaTheme="minorHAnsi"/>
          <w:b/>
          <w:bCs/>
          <w:snapToGrid/>
          <w:szCs w:val="22"/>
          <w:lang w:val="lt-LT"/>
        </w:rPr>
        <w:t>opro</w:t>
      </w:r>
      <w:r w:rsidR="00651DAF" w:rsidRPr="00CB32F8">
        <w:rPr>
          <w:rFonts w:eastAsiaTheme="minorHAnsi"/>
          <w:b/>
          <w:bCs/>
          <w:snapToGrid/>
          <w:szCs w:val="22"/>
          <w:lang w:val="lt-LT"/>
        </w:rPr>
        <w:t>ks</w:t>
      </w:r>
      <w:r w:rsidRPr="00CB32F8">
        <w:rPr>
          <w:rFonts w:eastAsiaTheme="minorHAnsi"/>
          <w:b/>
          <w:bCs/>
          <w:snapToGrid/>
          <w:szCs w:val="22"/>
          <w:lang w:val="lt-LT"/>
        </w:rPr>
        <w:t>il</w:t>
      </w:r>
      <w:r w:rsidR="00651DAF" w:rsidRPr="00CB32F8">
        <w:rPr>
          <w:rFonts w:eastAsiaTheme="minorHAnsi"/>
          <w:b/>
          <w:bCs/>
          <w:snapToGrid/>
          <w:szCs w:val="22"/>
          <w:lang w:val="lt-LT"/>
        </w:rPr>
        <w:t>i</w:t>
      </w:r>
      <w:r w:rsidRPr="00CB32F8">
        <w:rPr>
          <w:rFonts w:eastAsiaTheme="minorHAnsi"/>
          <w:b/>
          <w:bCs/>
          <w:snapToGrid/>
          <w:szCs w:val="22"/>
          <w:lang w:val="lt-LT"/>
        </w:rPr>
        <w:t>o</w:t>
      </w:r>
      <w:r w:rsidR="00651DAF" w:rsidRPr="00CB32F8">
        <w:rPr>
          <w:rFonts w:eastAsiaTheme="minorHAnsi"/>
          <w:b/>
          <w:bCs/>
          <w:snapToGrid/>
          <w:szCs w:val="22"/>
          <w:lang w:val="lt-LT"/>
        </w:rPr>
        <w:t xml:space="preserve"> </w:t>
      </w:r>
      <w:r w:rsidRPr="00CB32F8">
        <w:rPr>
          <w:rFonts w:eastAsiaTheme="minorHAnsi"/>
          <w:b/>
          <w:bCs/>
          <w:snapToGrid/>
          <w:szCs w:val="22"/>
          <w:lang w:val="lt-LT"/>
        </w:rPr>
        <w:t>d</w:t>
      </w:r>
      <w:r w:rsidR="00651DAF" w:rsidRPr="00CB32F8">
        <w:rPr>
          <w:rFonts w:eastAsiaTheme="minorHAnsi"/>
          <w:b/>
          <w:bCs/>
          <w:snapToGrid/>
          <w:szCs w:val="22"/>
          <w:lang w:val="lt-LT"/>
        </w:rPr>
        <w:t>e</w:t>
      </w:r>
      <w:r w:rsidRPr="00CB32F8">
        <w:rPr>
          <w:rFonts w:eastAsiaTheme="minorHAnsi"/>
          <w:b/>
          <w:bCs/>
          <w:snapToGrid/>
          <w:szCs w:val="22"/>
          <w:lang w:val="lt-LT"/>
        </w:rPr>
        <w:t>r</w:t>
      </w:r>
      <w:r w:rsidR="00651DAF" w:rsidRPr="00CB32F8">
        <w:rPr>
          <w:rFonts w:eastAsiaTheme="minorHAnsi"/>
          <w:b/>
          <w:bCs/>
          <w:snapToGrid/>
          <w:szCs w:val="22"/>
          <w:lang w:val="lt-LT"/>
        </w:rPr>
        <w:t>inys</w:t>
      </w:r>
      <w:r w:rsidRPr="00CB32F8">
        <w:rPr>
          <w:rFonts w:eastAsiaTheme="minorEastAsia"/>
          <w:b/>
          <w:bCs/>
          <w:snapToGrid/>
          <w:szCs w:val="22"/>
          <w:lang w:val="lt-LT" w:eastAsia="en-IN"/>
        </w:rPr>
        <w:t xml:space="preserve"> gali pakenkti inkstams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Prieš pradėdamas gydymą ir gydymo metu gydytojas gali paskirti kraujo tyrimus inkstų funkcijai įvertinti. Jeigu sergate inkstų ligomis arba tyrimai rodo inkstų ligas, pasakykite apie tai gydytojui. Šio vaisto negalima skirti paaugliams, kurių inkstų funkcija sutrikusi. Jeigu Jūsų inkstų funkcija sutrikusi, gydytojas gali patarti nustoti vartoti š</w:t>
      </w:r>
      <w:r w:rsidR="00651DAF"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651DAF" w:rsidRPr="001839C2">
        <w:rPr>
          <w:rFonts w:eastAsiaTheme="minorEastAsia"/>
          <w:snapToGrid/>
          <w:szCs w:val="22"/>
          <w:lang w:val="lt-LT" w:eastAsia="en-IN"/>
        </w:rPr>
        <w:t>o</w:t>
      </w:r>
      <w:r w:rsidRPr="001839C2">
        <w:rPr>
          <w:rFonts w:eastAsiaTheme="minorEastAsia"/>
          <w:snapToGrid/>
          <w:szCs w:val="22"/>
          <w:lang w:val="lt-LT" w:eastAsia="en-IN"/>
        </w:rPr>
        <w:t xml:space="preserve"> arba, jeigu jau sergate ŽIV, vartoti rečiau. Emtricitabino </w:t>
      </w:r>
      <w:r w:rsidR="00502900" w:rsidRPr="001839C2">
        <w:rPr>
          <w:rFonts w:eastAsiaTheme="minorEastAsia"/>
          <w:snapToGrid/>
          <w:szCs w:val="22"/>
          <w:lang w:val="lt-LT" w:eastAsia="en-IN"/>
        </w:rPr>
        <w:t>ir</w:t>
      </w:r>
      <w:r w:rsidRPr="001839C2">
        <w:rPr>
          <w:rFonts w:eastAsiaTheme="minorEastAsia"/>
          <w:snapToGrid/>
          <w:szCs w:val="22"/>
          <w:lang w:val="lt-LT" w:eastAsia="en-IN"/>
        </w:rPr>
        <w:t xml:space="preserve"> tenofovir</w:t>
      </w:r>
      <w:r w:rsidR="00A16069" w:rsidRPr="001839C2">
        <w:rPr>
          <w:rFonts w:eastAsiaTheme="minorEastAsia"/>
          <w:snapToGrid/>
          <w:szCs w:val="22"/>
          <w:lang w:val="lt-LT" w:eastAsia="en-IN"/>
        </w:rPr>
        <w:t xml:space="preserve">o </w:t>
      </w:r>
      <w:r w:rsidRPr="001839C2">
        <w:rPr>
          <w:rFonts w:eastAsiaTheme="minorEastAsia"/>
          <w:snapToGrid/>
          <w:szCs w:val="22"/>
          <w:lang w:val="lt-LT" w:eastAsia="en-IN"/>
        </w:rPr>
        <w:t>dizoproksil</w:t>
      </w:r>
      <w:r w:rsidR="00A16069" w:rsidRPr="001839C2">
        <w:rPr>
          <w:rFonts w:eastAsiaTheme="minorEastAsia"/>
          <w:snapToGrid/>
          <w:szCs w:val="22"/>
          <w:lang w:val="lt-LT" w:eastAsia="en-IN"/>
        </w:rPr>
        <w:t>i</w:t>
      </w:r>
      <w:r w:rsidRPr="001839C2">
        <w:rPr>
          <w:rFonts w:eastAsiaTheme="minorEastAsia"/>
          <w:snapToGrid/>
          <w:szCs w:val="22"/>
          <w:lang w:val="lt-LT" w:eastAsia="en-IN"/>
        </w:rPr>
        <w:t>o</w:t>
      </w:r>
      <w:r w:rsidR="00502900" w:rsidRPr="001839C2">
        <w:rPr>
          <w:rFonts w:eastAsiaTheme="minorEastAsia"/>
          <w:snapToGrid/>
          <w:szCs w:val="22"/>
          <w:lang w:val="lt-LT" w:eastAsia="en-IN"/>
        </w:rPr>
        <w:t xml:space="preserve"> derinio</w:t>
      </w:r>
      <w:r w:rsidRPr="001839C2">
        <w:rPr>
          <w:rFonts w:eastAsiaTheme="minorEastAsia"/>
          <w:snapToGrid/>
          <w:szCs w:val="22"/>
          <w:lang w:val="lt-LT" w:eastAsia="en-IN"/>
        </w:rPr>
        <w:t xml:space="preserve"> vartoti nerekomenduojama, jei sergate sunkia inkstų liga arba Jums taikoma dializė.</w:t>
      </w:r>
    </w:p>
    <w:p w14:paraId="47B48AED" w14:textId="77777777" w:rsidR="005749F9" w:rsidRPr="001839C2" w:rsidRDefault="005749F9" w:rsidP="00686907">
      <w:pPr>
        <w:widowControl w:val="0"/>
        <w:kinsoku w:val="0"/>
        <w:overflowPunct w:val="0"/>
        <w:autoSpaceDE w:val="0"/>
        <w:autoSpaceDN w:val="0"/>
        <w:adjustRightInd w:val="0"/>
        <w:ind w:left="567"/>
        <w:rPr>
          <w:rFonts w:eastAsiaTheme="minorEastAsia"/>
          <w:snapToGrid/>
          <w:szCs w:val="22"/>
          <w:lang w:val="lt-LT" w:eastAsia="en-IN"/>
        </w:rPr>
      </w:pPr>
    </w:p>
    <w:p w14:paraId="144DE4DF" w14:textId="7EFF4BD3" w:rsidR="005749F9" w:rsidRPr="005749F9" w:rsidRDefault="005749F9" w:rsidP="005749F9">
      <w:pPr>
        <w:widowControl w:val="0"/>
        <w:numPr>
          <w:ilvl w:val="0"/>
          <w:numId w:val="39"/>
        </w:numPr>
        <w:kinsoku w:val="0"/>
        <w:overflowPunct w:val="0"/>
        <w:autoSpaceDE w:val="0"/>
        <w:autoSpaceDN w:val="0"/>
        <w:adjustRightInd w:val="0"/>
        <w:ind w:left="567" w:hanging="567"/>
        <w:rPr>
          <w:rFonts w:eastAsiaTheme="minorEastAsia"/>
          <w:b/>
          <w:snapToGrid/>
          <w:szCs w:val="22"/>
          <w:lang w:val="lt-LT" w:eastAsia="en-IN"/>
        </w:rPr>
      </w:pPr>
      <w:r w:rsidRPr="005749F9">
        <w:rPr>
          <w:rFonts w:eastAsiaTheme="minorEastAsia"/>
          <w:b/>
          <w:snapToGrid/>
          <w:szCs w:val="22"/>
          <w:lang w:val="lt-LT" w:eastAsia="en-IN"/>
        </w:rPr>
        <w:t>Pasakykite gydytojui, jeigu sergate osteoporoze, esate patyrę kaulų lūžių arba sergate kaulų ligomis.</w:t>
      </w:r>
    </w:p>
    <w:p w14:paraId="0A2A7BE7" w14:textId="77777777" w:rsidR="005749F9" w:rsidRDefault="005749F9" w:rsidP="005749F9">
      <w:pPr>
        <w:widowControl w:val="0"/>
        <w:kinsoku w:val="0"/>
        <w:overflowPunct w:val="0"/>
        <w:autoSpaceDE w:val="0"/>
        <w:autoSpaceDN w:val="0"/>
        <w:adjustRightInd w:val="0"/>
        <w:ind w:left="567"/>
        <w:rPr>
          <w:rFonts w:eastAsiaTheme="minorHAnsi"/>
          <w:b/>
          <w:bCs/>
          <w:snapToGrid/>
          <w:szCs w:val="22"/>
          <w:lang w:val="lt-LT"/>
        </w:rPr>
      </w:pPr>
    </w:p>
    <w:p w14:paraId="5312FE92" w14:textId="354744E3" w:rsidR="002A5F50" w:rsidRPr="00114E7C" w:rsidRDefault="00B95FA3" w:rsidP="00686907">
      <w:pPr>
        <w:widowControl w:val="0"/>
        <w:kinsoku w:val="0"/>
        <w:overflowPunct w:val="0"/>
        <w:autoSpaceDE w:val="0"/>
        <w:autoSpaceDN w:val="0"/>
        <w:adjustRightInd w:val="0"/>
        <w:ind w:left="567"/>
        <w:rPr>
          <w:rFonts w:eastAsiaTheme="minorHAnsi"/>
          <w:snapToGrid/>
          <w:szCs w:val="22"/>
          <w:lang w:val="lt-LT"/>
        </w:rPr>
      </w:pPr>
      <w:r w:rsidRPr="00CB32F8">
        <w:rPr>
          <w:rFonts w:eastAsiaTheme="minorHAnsi"/>
          <w:b/>
          <w:bCs/>
          <w:snapToGrid/>
          <w:szCs w:val="22"/>
          <w:lang w:val="lt-LT"/>
        </w:rPr>
        <w:t>Kau</w:t>
      </w:r>
      <w:r w:rsidR="00930F99" w:rsidRPr="00CB32F8">
        <w:rPr>
          <w:rFonts w:eastAsiaTheme="minorHAnsi"/>
          <w:b/>
          <w:bCs/>
          <w:snapToGrid/>
          <w:szCs w:val="22"/>
          <w:lang w:val="lt-LT"/>
        </w:rPr>
        <w:t>lų sutrikimų</w:t>
      </w:r>
      <w:r w:rsidR="002A5F50" w:rsidRPr="00114E7C">
        <w:rPr>
          <w:rFonts w:eastAsiaTheme="minorHAnsi"/>
          <w:snapToGrid/>
          <w:szCs w:val="22"/>
          <w:lang w:val="lt-LT"/>
        </w:rPr>
        <w:t xml:space="preserve"> (</w:t>
      </w:r>
      <w:r w:rsidR="00DA6341" w:rsidRPr="00114E7C">
        <w:rPr>
          <w:rFonts w:eastAsiaTheme="minorHAnsi"/>
          <w:snapToGrid/>
          <w:szCs w:val="22"/>
          <w:lang w:val="lt-LT"/>
        </w:rPr>
        <w:t>pasireiškia</w:t>
      </w:r>
      <w:r w:rsidR="00930F99" w:rsidRPr="00114E7C">
        <w:rPr>
          <w:rFonts w:eastAsiaTheme="minorHAnsi"/>
          <w:snapToGrid/>
          <w:szCs w:val="22"/>
          <w:lang w:val="lt-LT"/>
        </w:rPr>
        <w:t>nčių</w:t>
      </w:r>
      <w:r w:rsidR="00DA6341" w:rsidRPr="00114E7C">
        <w:rPr>
          <w:rFonts w:eastAsiaTheme="minorHAnsi"/>
          <w:snapToGrid/>
          <w:szCs w:val="22"/>
          <w:lang w:val="lt-LT"/>
        </w:rPr>
        <w:t xml:space="preserve"> nuolatiniu ar stiprėjančiu kaulų skausmu ir </w:t>
      </w:r>
      <w:r w:rsidR="002A5F50" w:rsidRPr="00114E7C">
        <w:rPr>
          <w:rFonts w:eastAsiaTheme="minorHAnsi"/>
          <w:snapToGrid/>
          <w:szCs w:val="22"/>
          <w:lang w:val="lt-LT"/>
        </w:rPr>
        <w:t>kartais sukelia</w:t>
      </w:r>
      <w:r w:rsidR="00930F99" w:rsidRPr="00114E7C">
        <w:rPr>
          <w:rFonts w:eastAsiaTheme="minorHAnsi"/>
          <w:snapToGrid/>
          <w:szCs w:val="22"/>
          <w:lang w:val="lt-LT"/>
        </w:rPr>
        <w:t>nčių</w:t>
      </w:r>
      <w:r w:rsidR="002A5F50" w:rsidRPr="00114E7C">
        <w:rPr>
          <w:rFonts w:eastAsiaTheme="minorHAnsi"/>
          <w:snapToGrid/>
          <w:szCs w:val="22"/>
          <w:lang w:val="lt-LT"/>
        </w:rPr>
        <w:t xml:space="preserve"> lūžius) taip pat gali atsirasti dėl inkstų kanalėlių ląstelių pažeidimų (žr.</w:t>
      </w:r>
      <w:r w:rsidR="00502900" w:rsidRPr="00114E7C">
        <w:rPr>
          <w:rFonts w:eastAsiaTheme="minorHAnsi"/>
          <w:snapToGrid/>
          <w:szCs w:val="22"/>
          <w:lang w:val="lt-LT"/>
        </w:rPr>
        <w:t> </w:t>
      </w:r>
      <w:r w:rsidR="002A5F50" w:rsidRPr="00114E7C">
        <w:rPr>
          <w:rFonts w:eastAsiaTheme="minorHAnsi"/>
          <w:snapToGrid/>
          <w:szCs w:val="22"/>
          <w:lang w:val="lt-LT"/>
        </w:rPr>
        <w:t>4</w:t>
      </w:r>
      <w:r w:rsidR="00502900" w:rsidRPr="00114E7C">
        <w:rPr>
          <w:rFonts w:eastAsiaTheme="minorHAnsi"/>
          <w:snapToGrid/>
          <w:szCs w:val="22"/>
          <w:lang w:val="lt-LT"/>
        </w:rPr>
        <w:t> </w:t>
      </w:r>
      <w:r w:rsidR="002A5F50" w:rsidRPr="00114E7C">
        <w:rPr>
          <w:rFonts w:eastAsiaTheme="minorHAnsi"/>
          <w:snapToGrid/>
          <w:szCs w:val="22"/>
          <w:lang w:val="lt-LT"/>
        </w:rPr>
        <w:t xml:space="preserve">skyrių </w:t>
      </w:r>
      <w:r w:rsidR="00502900" w:rsidRPr="00114E7C">
        <w:rPr>
          <w:rFonts w:eastAsiaTheme="minorHAnsi"/>
          <w:snapToGrid/>
          <w:szCs w:val="22"/>
          <w:lang w:val="lt-LT"/>
        </w:rPr>
        <w:t>„</w:t>
      </w:r>
      <w:r w:rsidR="002A5F50" w:rsidRPr="00114E7C">
        <w:rPr>
          <w:rFonts w:eastAsiaTheme="minorHAnsi"/>
          <w:snapToGrid/>
          <w:szCs w:val="22"/>
          <w:lang w:val="lt-LT"/>
        </w:rPr>
        <w:t>Galimas šalutinis poveikis</w:t>
      </w:r>
      <w:r w:rsidR="00502900" w:rsidRPr="00114E7C">
        <w:rPr>
          <w:rFonts w:eastAsiaTheme="minorHAnsi"/>
          <w:snapToGrid/>
          <w:szCs w:val="22"/>
          <w:lang w:val="lt-LT"/>
        </w:rPr>
        <w:t>“</w:t>
      </w:r>
      <w:r w:rsidR="002A5F50" w:rsidRPr="00114E7C">
        <w:rPr>
          <w:rFonts w:eastAsiaTheme="minorHAnsi"/>
          <w:snapToGrid/>
          <w:szCs w:val="22"/>
          <w:lang w:val="lt-LT"/>
        </w:rPr>
        <w:t>).</w:t>
      </w:r>
      <w:r w:rsidR="00DA6341" w:rsidRPr="00114E7C">
        <w:rPr>
          <w:rFonts w:eastAsiaTheme="minorHAnsi"/>
          <w:snapToGrid/>
          <w:szCs w:val="22"/>
          <w:lang w:val="lt-LT"/>
        </w:rPr>
        <w:t xml:space="preserve"> Pasakykite gydytojui, jei Jums skauda kaulus arba patyrėte kaulų lūžių.</w:t>
      </w:r>
    </w:p>
    <w:p w14:paraId="1ABCF74A" w14:textId="77777777" w:rsidR="00DA6341" w:rsidRPr="001839C2" w:rsidRDefault="00DA6341" w:rsidP="00CB32F8">
      <w:pPr>
        <w:widowControl w:val="0"/>
        <w:tabs>
          <w:tab w:val="clear" w:pos="567"/>
        </w:tabs>
        <w:kinsoku w:val="0"/>
        <w:overflowPunct w:val="0"/>
        <w:autoSpaceDE w:val="0"/>
        <w:autoSpaceDN w:val="0"/>
        <w:adjustRightInd w:val="0"/>
        <w:ind w:left="567"/>
        <w:rPr>
          <w:rFonts w:eastAsiaTheme="minorEastAsia"/>
          <w:snapToGrid/>
          <w:szCs w:val="22"/>
          <w:lang w:val="lt-LT" w:eastAsia="en-IN"/>
        </w:rPr>
      </w:pPr>
    </w:p>
    <w:p w14:paraId="5E6799F6" w14:textId="0C9E1F3E" w:rsidR="00DA6341" w:rsidRPr="001839C2" w:rsidRDefault="00DA6341" w:rsidP="00CB32F8">
      <w:pPr>
        <w:widowControl w:val="0"/>
        <w:tabs>
          <w:tab w:val="clear" w:pos="567"/>
        </w:tabs>
        <w:kinsoku w:val="0"/>
        <w:overflowPunct w:val="0"/>
        <w:autoSpaceDE w:val="0"/>
        <w:autoSpaceDN w:val="0"/>
        <w:adjustRightInd w:val="0"/>
        <w:ind w:left="567"/>
        <w:rPr>
          <w:rFonts w:eastAsiaTheme="minorEastAsia"/>
          <w:szCs w:val="22"/>
          <w:lang w:val="lt-LT" w:eastAsia="en-IN"/>
        </w:rPr>
      </w:pPr>
      <w:r w:rsidRPr="001839C2">
        <w:rPr>
          <w:rFonts w:eastAsiaTheme="minorEastAsia"/>
          <w:snapToGrid/>
          <w:szCs w:val="22"/>
          <w:lang w:val="lt-LT" w:eastAsia="en-IN"/>
        </w:rPr>
        <w:t xml:space="preserve">Tenofoviras dizoproksilis taip pat gali sukelti kaulų masės mažėjimą. Ryškiausias kaulų masės sumažėjimas nustatytas klinikinių tyrimų metu, kai pacientams buvo taikomas gydymas </w:t>
      </w:r>
      <w:r w:rsidR="00F11FC5" w:rsidRPr="001839C2">
        <w:rPr>
          <w:rFonts w:eastAsiaTheme="minorEastAsia"/>
          <w:snapToGrid/>
          <w:szCs w:val="22"/>
          <w:lang w:val="lt-LT" w:eastAsia="en-IN"/>
        </w:rPr>
        <w:t xml:space="preserve">nuo ŽIV </w:t>
      </w:r>
      <w:r w:rsidRPr="001839C2">
        <w:rPr>
          <w:rFonts w:eastAsiaTheme="minorEastAsia"/>
          <w:snapToGrid/>
          <w:szCs w:val="22"/>
          <w:lang w:val="lt-LT" w:eastAsia="en-IN"/>
        </w:rPr>
        <w:t xml:space="preserve">tenofoviro dizoproksilio ir sustiprinto proteazių inhibitoriaus deriniu. </w:t>
      </w:r>
    </w:p>
    <w:p w14:paraId="478A6887" w14:textId="77777777" w:rsidR="00DA6341" w:rsidRPr="001839C2" w:rsidRDefault="00DA6341" w:rsidP="00CB32F8">
      <w:pPr>
        <w:widowControl w:val="0"/>
        <w:tabs>
          <w:tab w:val="clear" w:pos="567"/>
        </w:tabs>
        <w:kinsoku w:val="0"/>
        <w:overflowPunct w:val="0"/>
        <w:autoSpaceDE w:val="0"/>
        <w:autoSpaceDN w:val="0"/>
        <w:adjustRightInd w:val="0"/>
        <w:ind w:left="567"/>
        <w:rPr>
          <w:rFonts w:eastAsiaTheme="minorEastAsia"/>
          <w:szCs w:val="22"/>
          <w:lang w:val="lt-LT" w:eastAsia="en-IN"/>
        </w:rPr>
      </w:pPr>
    </w:p>
    <w:p w14:paraId="23D8EE0B" w14:textId="77777777" w:rsidR="00DA6341" w:rsidRPr="001839C2" w:rsidRDefault="00DA6341" w:rsidP="00CB32F8">
      <w:pPr>
        <w:widowControl w:val="0"/>
        <w:tabs>
          <w:tab w:val="clear" w:pos="567"/>
        </w:tabs>
        <w:kinsoku w:val="0"/>
        <w:overflowPunct w:val="0"/>
        <w:autoSpaceDE w:val="0"/>
        <w:autoSpaceDN w:val="0"/>
        <w:adjustRightInd w:val="0"/>
        <w:ind w:left="567"/>
        <w:rPr>
          <w:rFonts w:eastAsiaTheme="minorEastAsia"/>
          <w:szCs w:val="22"/>
          <w:lang w:val="lt-LT" w:eastAsia="en-IN"/>
        </w:rPr>
      </w:pPr>
      <w:r w:rsidRPr="001839C2">
        <w:rPr>
          <w:rFonts w:eastAsiaTheme="minorEastAsia"/>
          <w:snapToGrid/>
          <w:szCs w:val="22"/>
          <w:lang w:val="lt-LT" w:eastAsia="en-IN"/>
        </w:rPr>
        <w:t xml:space="preserve">Vertinant apskritai, tenofoviro dizoproksilio poveikis suaugusiųjų ir vaikų ilgalaikei kaulų sveikatai ir lūžių rizikai ateityje nėra aiškus. </w:t>
      </w:r>
    </w:p>
    <w:p w14:paraId="5430DE28" w14:textId="77777777" w:rsidR="00DA6341" w:rsidRPr="001839C2" w:rsidRDefault="00DA6341" w:rsidP="00CB32F8">
      <w:pPr>
        <w:widowControl w:val="0"/>
        <w:tabs>
          <w:tab w:val="clear" w:pos="567"/>
        </w:tabs>
        <w:kinsoku w:val="0"/>
        <w:overflowPunct w:val="0"/>
        <w:autoSpaceDE w:val="0"/>
        <w:autoSpaceDN w:val="0"/>
        <w:adjustRightInd w:val="0"/>
        <w:ind w:left="567"/>
        <w:rPr>
          <w:rFonts w:eastAsiaTheme="minorEastAsia"/>
          <w:szCs w:val="22"/>
          <w:lang w:val="lt-LT" w:eastAsia="en-IN"/>
        </w:rPr>
      </w:pPr>
    </w:p>
    <w:p w14:paraId="57B7EB13" w14:textId="77777777" w:rsidR="002A5F50" w:rsidRPr="001839C2" w:rsidRDefault="002A5F50" w:rsidP="00CB32F8">
      <w:pPr>
        <w:pStyle w:val="Sraopastraipa"/>
        <w:widowControl w:val="0"/>
        <w:numPr>
          <w:ilvl w:val="0"/>
          <w:numId w:val="33"/>
        </w:numPr>
        <w:kinsoku w:val="0"/>
        <w:overflowPunct w:val="0"/>
        <w:autoSpaceDE w:val="0"/>
        <w:autoSpaceDN w:val="0"/>
        <w:adjustRightInd w:val="0"/>
        <w:ind w:left="567" w:hanging="567"/>
        <w:outlineLvl w:val="0"/>
        <w:rPr>
          <w:rFonts w:eastAsiaTheme="minorEastAsia"/>
          <w:snapToGrid/>
          <w:szCs w:val="22"/>
          <w:lang w:val="lt-LT" w:eastAsia="en-IN"/>
        </w:rPr>
      </w:pPr>
      <w:r w:rsidRPr="00CB32F8">
        <w:rPr>
          <w:rFonts w:eastAsiaTheme="minorEastAsia"/>
          <w:b/>
          <w:snapToGrid/>
          <w:szCs w:val="22"/>
          <w:lang w:val="lt-LT" w:eastAsia="en-IN"/>
        </w:rPr>
        <w:t>Pasakykite gydytojui, jeigu sergate ar sirgote kepenų ligomis, įskaitant hepatitą</w:t>
      </w:r>
      <w:r w:rsidRPr="001839C2">
        <w:rPr>
          <w:rFonts w:eastAsiaTheme="minorEastAsia"/>
          <w:bCs/>
          <w:snapToGrid/>
          <w:szCs w:val="22"/>
          <w:lang w:val="lt-LT" w:eastAsia="en-IN"/>
        </w:rPr>
        <w:t>.</w:t>
      </w:r>
      <w:r w:rsidR="00502900" w:rsidRPr="001839C2">
        <w:rPr>
          <w:rFonts w:eastAsiaTheme="minorEastAsia"/>
          <w:bCs/>
          <w:snapToGrid/>
          <w:szCs w:val="22"/>
          <w:lang w:val="lt-LT" w:eastAsia="en-IN"/>
        </w:rPr>
        <w:t xml:space="preserve"> </w:t>
      </w:r>
      <w:r w:rsidRPr="001839C2">
        <w:rPr>
          <w:rFonts w:eastAsiaTheme="minorEastAsia"/>
          <w:snapToGrid/>
          <w:szCs w:val="22"/>
          <w:lang w:val="lt-LT" w:eastAsia="en-IN"/>
        </w:rPr>
        <w:t>ŽIV</w:t>
      </w:r>
      <w:r w:rsidR="00502900" w:rsidRPr="001839C2">
        <w:rPr>
          <w:rFonts w:eastAsiaTheme="minorEastAsia"/>
          <w:snapToGrid/>
          <w:szCs w:val="22"/>
          <w:lang w:val="lt-LT" w:eastAsia="en-IN"/>
        </w:rPr>
        <w:t> </w:t>
      </w:r>
      <w:r w:rsidRPr="001839C2">
        <w:rPr>
          <w:rFonts w:eastAsiaTheme="minorEastAsia"/>
          <w:snapToGrid/>
          <w:szCs w:val="22"/>
          <w:lang w:val="lt-LT" w:eastAsia="en-IN"/>
        </w:rPr>
        <w:t>užsikrėtusiems pacientams, kurie taip pat serga kepenų ligomis (tarp jų ir lėtiniu hepatitu</w:t>
      </w:r>
      <w:r w:rsidR="00C272AA" w:rsidRPr="001839C2">
        <w:rPr>
          <w:rFonts w:eastAsiaTheme="minorEastAsia"/>
          <w:snapToGrid/>
          <w:szCs w:val="22"/>
          <w:lang w:val="lt-LT" w:eastAsia="en-IN"/>
        </w:rPr>
        <w:t> </w:t>
      </w:r>
      <w:r w:rsidRPr="001839C2">
        <w:rPr>
          <w:rFonts w:eastAsiaTheme="minorEastAsia"/>
          <w:snapToGrid/>
          <w:szCs w:val="22"/>
          <w:lang w:val="lt-LT" w:eastAsia="en-IN"/>
        </w:rPr>
        <w:t>B ir C), gydomiems antiretrovirusiniais vaistais, yra didesnė rizika sunkioms ir net mirtinoms kepenų komplikacijoms išsivystyti. Jeigu sergate hepatitu</w:t>
      </w:r>
      <w:r w:rsidR="00C272AA" w:rsidRPr="001839C2">
        <w:rPr>
          <w:rFonts w:eastAsiaTheme="minorEastAsia"/>
          <w:snapToGrid/>
          <w:szCs w:val="22"/>
          <w:lang w:val="lt-LT" w:eastAsia="en-IN"/>
        </w:rPr>
        <w:t> </w:t>
      </w:r>
      <w:r w:rsidRPr="001839C2">
        <w:rPr>
          <w:rFonts w:eastAsiaTheme="minorEastAsia"/>
          <w:snapToGrid/>
          <w:szCs w:val="22"/>
          <w:lang w:val="lt-LT" w:eastAsia="en-IN"/>
        </w:rPr>
        <w:t>B arba C, gydytojas atidžiai parinks Jums geriausią gydymo režimą.</w:t>
      </w:r>
    </w:p>
    <w:p w14:paraId="45C2218D"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438DFC68" w14:textId="77777777" w:rsidR="002A5F50" w:rsidRPr="001839C2" w:rsidRDefault="002A5F50" w:rsidP="00CB32F8">
      <w:pPr>
        <w:widowControl w:val="0"/>
        <w:numPr>
          <w:ilvl w:val="0"/>
          <w:numId w:val="27"/>
        </w:numPr>
        <w:kinsoku w:val="0"/>
        <w:overflowPunct w:val="0"/>
        <w:autoSpaceDE w:val="0"/>
        <w:autoSpaceDN w:val="0"/>
        <w:adjustRightInd w:val="0"/>
        <w:ind w:left="567"/>
        <w:rPr>
          <w:rFonts w:eastAsiaTheme="minorEastAsia"/>
          <w:snapToGrid/>
          <w:szCs w:val="22"/>
          <w:lang w:val="lt-LT" w:eastAsia="en-IN"/>
        </w:rPr>
      </w:pPr>
      <w:r w:rsidRPr="00CB32F8">
        <w:rPr>
          <w:rFonts w:eastAsiaTheme="minorEastAsia"/>
          <w:b/>
          <w:snapToGrid/>
          <w:szCs w:val="22"/>
          <w:lang w:val="lt-LT" w:eastAsia="en-IN"/>
        </w:rPr>
        <w:t>Sužinokite, ar nesate užsikrėtę hepatito</w:t>
      </w:r>
      <w:r w:rsidR="00C272AA" w:rsidRPr="00CB32F8">
        <w:rPr>
          <w:rFonts w:eastAsiaTheme="minorEastAsia"/>
          <w:b/>
          <w:snapToGrid/>
          <w:szCs w:val="22"/>
          <w:lang w:val="lt-LT" w:eastAsia="en-IN"/>
        </w:rPr>
        <w:t> </w:t>
      </w:r>
      <w:r w:rsidRPr="00CB32F8">
        <w:rPr>
          <w:rFonts w:eastAsiaTheme="minorEastAsia"/>
          <w:b/>
          <w:snapToGrid/>
          <w:szCs w:val="22"/>
          <w:lang w:val="lt-LT" w:eastAsia="en-IN"/>
        </w:rPr>
        <w:t>B virusu (HBV)</w:t>
      </w:r>
      <w:r w:rsidRPr="001839C2">
        <w:rPr>
          <w:rFonts w:eastAsiaTheme="minorEastAsia"/>
          <w:bCs/>
          <w:snapToGrid/>
          <w:szCs w:val="22"/>
          <w:lang w:val="lt-LT" w:eastAsia="en-IN"/>
        </w:rPr>
        <w:t xml:space="preserve"> </w:t>
      </w:r>
      <w:r w:rsidRPr="001839C2">
        <w:rPr>
          <w:rFonts w:eastAsiaTheme="minorEastAsia"/>
          <w:snapToGrid/>
          <w:szCs w:val="22"/>
          <w:lang w:val="lt-LT" w:eastAsia="en-IN"/>
        </w:rPr>
        <w:t>prieš pradėdami vartoti š</w:t>
      </w:r>
      <w:r w:rsidR="002D5010"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2D5010" w:rsidRPr="001839C2">
        <w:rPr>
          <w:rFonts w:eastAsiaTheme="minorEastAsia"/>
          <w:snapToGrid/>
          <w:szCs w:val="22"/>
          <w:lang w:val="lt-LT" w:eastAsia="en-IN"/>
        </w:rPr>
        <w:t>o</w:t>
      </w:r>
      <w:r w:rsidRPr="001839C2">
        <w:rPr>
          <w:rFonts w:eastAsiaTheme="minorEastAsia"/>
          <w:snapToGrid/>
          <w:szCs w:val="22"/>
          <w:lang w:val="lt-LT" w:eastAsia="en-IN"/>
        </w:rPr>
        <w:t>. Jeigu sergate HBV</w:t>
      </w:r>
      <w:r w:rsidR="00C272AA" w:rsidRPr="001839C2">
        <w:rPr>
          <w:rFonts w:eastAsiaTheme="minorEastAsia"/>
          <w:snapToGrid/>
          <w:szCs w:val="22"/>
          <w:lang w:val="lt-LT" w:eastAsia="en-IN"/>
        </w:rPr>
        <w:t> </w:t>
      </w:r>
      <w:r w:rsidRPr="001839C2">
        <w:rPr>
          <w:rFonts w:eastAsiaTheme="minorEastAsia"/>
          <w:snapToGrid/>
          <w:szCs w:val="22"/>
          <w:lang w:val="lt-LT" w:eastAsia="en-IN"/>
        </w:rPr>
        <w:t>infekcija, yra didelė kepenų sutrikimų rizika, nustojus vartoti š</w:t>
      </w:r>
      <w:r w:rsidR="002D5010"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2D5010" w:rsidRPr="001839C2">
        <w:rPr>
          <w:rFonts w:eastAsiaTheme="minorEastAsia"/>
          <w:snapToGrid/>
          <w:szCs w:val="22"/>
          <w:lang w:val="lt-LT" w:eastAsia="en-IN"/>
        </w:rPr>
        <w:t>o</w:t>
      </w:r>
      <w:r w:rsidRPr="001839C2">
        <w:rPr>
          <w:rFonts w:eastAsiaTheme="minorEastAsia"/>
          <w:snapToGrid/>
          <w:szCs w:val="22"/>
          <w:lang w:val="lt-LT" w:eastAsia="en-IN"/>
        </w:rPr>
        <w:t xml:space="preserve">, nepriklausomai nuo to, ar sergate ir ŽIV. Svarbu, kad nenustotumėte vartoti </w:t>
      </w:r>
      <w:r w:rsidRPr="001839C2">
        <w:rPr>
          <w:rFonts w:eastAsiaTheme="minorHAnsi"/>
          <w:snapToGrid/>
          <w:szCs w:val="22"/>
          <w:lang w:val="lt-LT"/>
        </w:rPr>
        <w:t>Emtricitabine/Tenofovir disoproxil Accordpharma</w:t>
      </w:r>
      <w:r w:rsidRPr="001839C2">
        <w:rPr>
          <w:rFonts w:eastAsiaTheme="minorEastAsia"/>
          <w:snapToGrid/>
          <w:szCs w:val="22"/>
          <w:lang w:val="lt-LT" w:eastAsia="en-IN"/>
        </w:rPr>
        <w:t xml:space="preserve">, nepasitarę su gydytoju </w:t>
      </w:r>
      <w:r w:rsidR="00C272AA" w:rsidRPr="001839C2">
        <w:rPr>
          <w:rFonts w:eastAsiaTheme="minorEastAsia"/>
          <w:snapToGrid/>
          <w:szCs w:val="22"/>
          <w:lang w:val="lt-LT" w:eastAsia="en-IN"/>
        </w:rPr>
        <w:t>(</w:t>
      </w:r>
      <w:r w:rsidRPr="001839C2">
        <w:rPr>
          <w:rFonts w:eastAsiaTheme="minorEastAsia"/>
          <w:snapToGrid/>
          <w:szCs w:val="22"/>
          <w:lang w:val="lt-LT" w:eastAsia="en-IN"/>
        </w:rPr>
        <w:t>žr.</w:t>
      </w:r>
      <w:r w:rsidR="00C272AA" w:rsidRPr="001839C2">
        <w:rPr>
          <w:rFonts w:eastAsiaTheme="minorEastAsia"/>
          <w:snapToGrid/>
          <w:szCs w:val="22"/>
          <w:lang w:val="lt-LT" w:eastAsia="en-IN"/>
        </w:rPr>
        <w:t> </w:t>
      </w:r>
      <w:r w:rsidRPr="001839C2">
        <w:rPr>
          <w:rFonts w:eastAsiaTheme="minorEastAsia"/>
          <w:snapToGrid/>
          <w:szCs w:val="22"/>
          <w:lang w:val="lt-LT" w:eastAsia="en-IN"/>
        </w:rPr>
        <w:t>3</w:t>
      </w:r>
      <w:r w:rsidR="00C272AA" w:rsidRPr="001839C2">
        <w:rPr>
          <w:rFonts w:eastAsiaTheme="minorEastAsia"/>
          <w:snapToGrid/>
          <w:szCs w:val="22"/>
          <w:lang w:val="lt-LT" w:eastAsia="en-IN"/>
        </w:rPr>
        <w:t> </w:t>
      </w:r>
      <w:r w:rsidRPr="001839C2">
        <w:rPr>
          <w:rFonts w:eastAsiaTheme="minorEastAsia"/>
          <w:snapToGrid/>
          <w:szCs w:val="22"/>
          <w:lang w:val="lt-LT" w:eastAsia="en-IN"/>
        </w:rPr>
        <w:t>skyri</w:t>
      </w:r>
      <w:r w:rsidR="00C272AA" w:rsidRPr="001839C2">
        <w:rPr>
          <w:rFonts w:eastAsiaTheme="minorEastAsia"/>
          <w:snapToGrid/>
          <w:szCs w:val="22"/>
          <w:lang w:val="lt-LT" w:eastAsia="en-IN"/>
        </w:rPr>
        <w:t>a</w:t>
      </w:r>
      <w:r w:rsidRPr="001839C2">
        <w:rPr>
          <w:rFonts w:eastAsiaTheme="minorEastAsia"/>
          <w:snapToGrid/>
          <w:szCs w:val="22"/>
          <w:lang w:val="lt-LT" w:eastAsia="en-IN"/>
        </w:rPr>
        <w:t>u</w:t>
      </w:r>
      <w:r w:rsidR="00C272AA" w:rsidRPr="001839C2">
        <w:rPr>
          <w:rFonts w:eastAsiaTheme="minorEastAsia"/>
          <w:snapToGrid/>
          <w:szCs w:val="22"/>
          <w:lang w:val="lt-LT" w:eastAsia="en-IN"/>
        </w:rPr>
        <w:t>s</w:t>
      </w:r>
      <w:r w:rsidRPr="001839C2">
        <w:rPr>
          <w:rFonts w:eastAsiaTheme="minorEastAsia"/>
          <w:snapToGrid/>
          <w:szCs w:val="22"/>
          <w:lang w:val="lt-LT" w:eastAsia="en-IN"/>
        </w:rPr>
        <w:t xml:space="preserve"> poskyrį „</w:t>
      </w:r>
      <w:r w:rsidRPr="001839C2">
        <w:rPr>
          <w:rFonts w:eastAsiaTheme="minorEastAsia"/>
          <w:iCs/>
          <w:snapToGrid/>
          <w:szCs w:val="22"/>
          <w:lang w:val="lt-LT" w:eastAsia="en-IN"/>
        </w:rPr>
        <w:t>Nusto</w:t>
      </w:r>
      <w:r w:rsidR="00C272AA" w:rsidRPr="001839C2">
        <w:rPr>
          <w:rFonts w:eastAsiaTheme="minorEastAsia"/>
          <w:iCs/>
          <w:snapToGrid/>
          <w:szCs w:val="22"/>
          <w:lang w:val="lt-LT" w:eastAsia="en-IN"/>
        </w:rPr>
        <w:t>jus</w:t>
      </w:r>
      <w:r w:rsidRPr="001839C2">
        <w:rPr>
          <w:rFonts w:eastAsiaTheme="minorEastAsia"/>
          <w:iCs/>
          <w:snapToGrid/>
          <w:szCs w:val="22"/>
          <w:lang w:val="lt-LT" w:eastAsia="en-IN"/>
        </w:rPr>
        <w:t xml:space="preserve"> vartoti </w:t>
      </w:r>
      <w:r w:rsidRPr="001839C2">
        <w:rPr>
          <w:rFonts w:eastAsiaTheme="minorHAnsi"/>
          <w:snapToGrid/>
          <w:szCs w:val="22"/>
          <w:lang w:val="lt-LT"/>
        </w:rPr>
        <w:t>Emtricitabine/Tenofovir disoproxil Accordpharma</w:t>
      </w:r>
      <w:r w:rsidRPr="001839C2">
        <w:rPr>
          <w:rFonts w:eastAsiaTheme="minorEastAsia"/>
          <w:snapToGrid/>
          <w:szCs w:val="22"/>
          <w:lang w:val="lt-LT" w:eastAsia="en-IN"/>
        </w:rPr>
        <w:t>“</w:t>
      </w:r>
      <w:r w:rsidR="00C272AA" w:rsidRPr="001839C2">
        <w:rPr>
          <w:rFonts w:eastAsiaTheme="minorEastAsia"/>
          <w:snapToGrid/>
          <w:szCs w:val="22"/>
          <w:lang w:val="lt-LT" w:eastAsia="en-IN"/>
        </w:rPr>
        <w:t>)</w:t>
      </w:r>
      <w:r w:rsidRPr="001839C2">
        <w:rPr>
          <w:rFonts w:eastAsiaTheme="minorEastAsia"/>
          <w:snapToGrid/>
          <w:szCs w:val="22"/>
          <w:lang w:val="lt-LT" w:eastAsia="en-IN"/>
        </w:rPr>
        <w:t>.</w:t>
      </w:r>
    </w:p>
    <w:p w14:paraId="391907FC"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10541F19" w14:textId="77777777" w:rsidR="002A5F50" w:rsidRPr="001839C2" w:rsidRDefault="002A5F50" w:rsidP="00CB32F8">
      <w:pPr>
        <w:widowControl w:val="0"/>
        <w:numPr>
          <w:ilvl w:val="0"/>
          <w:numId w:val="27"/>
        </w:numPr>
        <w:kinsoku w:val="0"/>
        <w:overflowPunct w:val="0"/>
        <w:autoSpaceDE w:val="0"/>
        <w:autoSpaceDN w:val="0"/>
        <w:adjustRightInd w:val="0"/>
        <w:ind w:left="567"/>
        <w:rPr>
          <w:rFonts w:eastAsiaTheme="minorEastAsia"/>
          <w:snapToGrid/>
          <w:szCs w:val="22"/>
          <w:lang w:val="lt-LT" w:eastAsia="en-IN"/>
        </w:rPr>
      </w:pPr>
      <w:r w:rsidRPr="00CB32F8">
        <w:rPr>
          <w:rFonts w:eastAsiaTheme="minorEastAsia"/>
          <w:b/>
          <w:snapToGrid/>
          <w:szCs w:val="22"/>
          <w:lang w:val="lt-LT" w:eastAsia="en-IN"/>
        </w:rPr>
        <w:t>Jeigu Jūs esate vyresni nei 65</w:t>
      </w:r>
      <w:r w:rsidR="00C272AA" w:rsidRPr="00CB32F8">
        <w:rPr>
          <w:rFonts w:eastAsiaTheme="minorEastAsia"/>
          <w:b/>
          <w:snapToGrid/>
          <w:szCs w:val="22"/>
          <w:lang w:val="lt-LT" w:eastAsia="en-IN"/>
        </w:rPr>
        <w:t> </w:t>
      </w:r>
      <w:r w:rsidRPr="00CB32F8">
        <w:rPr>
          <w:rFonts w:eastAsiaTheme="minorEastAsia"/>
          <w:b/>
          <w:snapToGrid/>
          <w:szCs w:val="22"/>
          <w:lang w:val="lt-LT" w:eastAsia="en-IN"/>
        </w:rPr>
        <w:t>metų, pasakykite apie tai gydytojui</w:t>
      </w:r>
      <w:r w:rsidRPr="001839C2">
        <w:rPr>
          <w:rFonts w:eastAsiaTheme="minorEastAsia"/>
          <w:snapToGrid/>
          <w:szCs w:val="22"/>
          <w:lang w:val="lt-LT" w:eastAsia="en-IN"/>
        </w:rPr>
        <w:t xml:space="preserve">. </w:t>
      </w:r>
      <w:r w:rsidRPr="001839C2">
        <w:rPr>
          <w:rFonts w:eastAsiaTheme="minorHAnsi"/>
          <w:snapToGrid/>
          <w:szCs w:val="22"/>
          <w:lang w:val="lt-LT"/>
        </w:rPr>
        <w:t>Emtricitabine/Tenofovir disoproxil Accordpharma</w:t>
      </w:r>
      <w:r w:rsidRPr="001839C2" w:rsidDel="000A6C3D">
        <w:rPr>
          <w:rFonts w:eastAsiaTheme="minorEastAsia"/>
          <w:snapToGrid/>
          <w:szCs w:val="22"/>
          <w:lang w:val="lt-LT" w:eastAsia="en-IN"/>
        </w:rPr>
        <w:t xml:space="preserve"> </w:t>
      </w:r>
      <w:r w:rsidRPr="001839C2">
        <w:rPr>
          <w:rFonts w:eastAsiaTheme="minorEastAsia"/>
          <w:snapToGrid/>
          <w:szCs w:val="22"/>
          <w:lang w:val="lt-LT" w:eastAsia="en-IN"/>
        </w:rPr>
        <w:t>nebuvo tirt</w:t>
      </w:r>
      <w:r w:rsidR="00C272AA" w:rsidRPr="001839C2">
        <w:rPr>
          <w:rFonts w:eastAsiaTheme="minorEastAsia"/>
          <w:snapToGrid/>
          <w:szCs w:val="22"/>
          <w:lang w:val="lt-LT" w:eastAsia="en-IN"/>
        </w:rPr>
        <w:t>a</w:t>
      </w:r>
      <w:r w:rsidRPr="001839C2">
        <w:rPr>
          <w:rFonts w:eastAsiaTheme="minorEastAsia"/>
          <w:snapToGrid/>
          <w:szCs w:val="22"/>
          <w:lang w:val="lt-LT" w:eastAsia="en-IN"/>
        </w:rPr>
        <w:t xml:space="preserve">s </w:t>
      </w:r>
      <w:r w:rsidR="00C272AA" w:rsidRPr="001839C2">
        <w:rPr>
          <w:rFonts w:eastAsiaTheme="minorEastAsia"/>
          <w:snapToGrid/>
          <w:szCs w:val="22"/>
          <w:lang w:val="lt-LT" w:eastAsia="en-IN"/>
        </w:rPr>
        <w:t xml:space="preserve">su </w:t>
      </w:r>
      <w:r w:rsidRPr="001839C2">
        <w:rPr>
          <w:rFonts w:eastAsiaTheme="minorEastAsia"/>
          <w:snapToGrid/>
          <w:szCs w:val="22"/>
          <w:lang w:val="lt-LT" w:eastAsia="en-IN"/>
        </w:rPr>
        <w:t>vyresni</w:t>
      </w:r>
      <w:r w:rsidR="00C272AA" w:rsidRPr="001839C2">
        <w:rPr>
          <w:rFonts w:eastAsiaTheme="minorEastAsia"/>
          <w:snapToGrid/>
          <w:szCs w:val="22"/>
          <w:lang w:val="lt-LT" w:eastAsia="en-IN"/>
        </w:rPr>
        <w:t>ai</w:t>
      </w:r>
      <w:r w:rsidRPr="001839C2">
        <w:rPr>
          <w:rFonts w:eastAsiaTheme="minorEastAsia"/>
          <w:snapToGrid/>
          <w:szCs w:val="22"/>
          <w:lang w:val="lt-LT" w:eastAsia="en-IN"/>
        </w:rPr>
        <w:t xml:space="preserve">s </w:t>
      </w:r>
      <w:r w:rsidR="00C272AA" w:rsidRPr="001839C2">
        <w:rPr>
          <w:rFonts w:eastAsiaTheme="minorEastAsia"/>
          <w:snapToGrid/>
          <w:szCs w:val="22"/>
          <w:lang w:val="lt-LT" w:eastAsia="en-IN"/>
        </w:rPr>
        <w:t>ka</w:t>
      </w:r>
      <w:r w:rsidRPr="001839C2">
        <w:rPr>
          <w:rFonts w:eastAsiaTheme="minorEastAsia"/>
          <w:snapToGrid/>
          <w:szCs w:val="22"/>
          <w:lang w:val="lt-LT" w:eastAsia="en-IN"/>
        </w:rPr>
        <w:t>i</w:t>
      </w:r>
      <w:r w:rsidR="00C272AA" w:rsidRPr="001839C2">
        <w:rPr>
          <w:rFonts w:eastAsiaTheme="minorEastAsia"/>
          <w:snapToGrid/>
          <w:szCs w:val="22"/>
          <w:lang w:val="lt-LT" w:eastAsia="en-IN"/>
        </w:rPr>
        <w:t>p</w:t>
      </w:r>
      <w:r w:rsidRPr="001839C2">
        <w:rPr>
          <w:rFonts w:eastAsiaTheme="minorEastAsia"/>
          <w:snapToGrid/>
          <w:szCs w:val="22"/>
          <w:lang w:val="lt-LT" w:eastAsia="en-IN"/>
        </w:rPr>
        <w:t xml:space="preserve"> 65</w:t>
      </w:r>
      <w:r w:rsidR="00C272AA" w:rsidRPr="001839C2">
        <w:rPr>
          <w:rFonts w:eastAsiaTheme="minorEastAsia"/>
          <w:snapToGrid/>
          <w:szCs w:val="22"/>
          <w:lang w:val="lt-LT" w:eastAsia="en-IN"/>
        </w:rPr>
        <w:t> </w:t>
      </w:r>
      <w:r w:rsidRPr="001839C2">
        <w:rPr>
          <w:rFonts w:eastAsiaTheme="minorEastAsia"/>
          <w:snapToGrid/>
          <w:szCs w:val="22"/>
          <w:lang w:val="lt-LT" w:eastAsia="en-IN"/>
        </w:rPr>
        <w:t>metų pacienta</w:t>
      </w:r>
      <w:r w:rsidR="00C272AA" w:rsidRPr="001839C2">
        <w:rPr>
          <w:rFonts w:eastAsiaTheme="minorEastAsia"/>
          <w:snapToGrid/>
          <w:szCs w:val="22"/>
          <w:lang w:val="lt-LT" w:eastAsia="en-IN"/>
        </w:rPr>
        <w:t>i</w:t>
      </w:r>
      <w:r w:rsidRPr="001839C2">
        <w:rPr>
          <w:rFonts w:eastAsiaTheme="minorEastAsia"/>
          <w:snapToGrid/>
          <w:szCs w:val="22"/>
          <w:lang w:val="lt-LT" w:eastAsia="en-IN"/>
        </w:rPr>
        <w:t>s.</w:t>
      </w:r>
    </w:p>
    <w:p w14:paraId="0639BFAD"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707B0F29" w14:textId="77777777" w:rsidR="002A5F50" w:rsidRPr="001839C2" w:rsidRDefault="002A5F50" w:rsidP="00CB32F8">
      <w:pPr>
        <w:widowControl w:val="0"/>
        <w:numPr>
          <w:ilvl w:val="0"/>
          <w:numId w:val="27"/>
        </w:numPr>
        <w:kinsoku w:val="0"/>
        <w:overflowPunct w:val="0"/>
        <w:autoSpaceDE w:val="0"/>
        <w:autoSpaceDN w:val="0"/>
        <w:adjustRightInd w:val="0"/>
        <w:ind w:left="567"/>
        <w:rPr>
          <w:rFonts w:eastAsiaTheme="minorEastAsia"/>
          <w:snapToGrid/>
          <w:szCs w:val="22"/>
          <w:lang w:val="lt-LT" w:eastAsia="en-IN"/>
        </w:rPr>
      </w:pPr>
      <w:r w:rsidRPr="00CB32F8">
        <w:rPr>
          <w:rFonts w:eastAsiaTheme="minorEastAsia"/>
          <w:b/>
          <w:snapToGrid/>
          <w:szCs w:val="22"/>
          <w:lang w:val="lt-LT" w:eastAsia="en-IN"/>
        </w:rPr>
        <w:t>Jeigu netoleruojate laktozės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(žr. „</w:t>
      </w:r>
      <w:r w:rsidRPr="001839C2">
        <w:rPr>
          <w:rFonts w:eastAsiaTheme="minorHAnsi"/>
          <w:snapToGrid/>
          <w:szCs w:val="22"/>
          <w:lang w:val="lt-LT"/>
        </w:rPr>
        <w:t xml:space="preserve">Emtricitabine/Tenofovir disoproxil Accordpharma </w:t>
      </w:r>
      <w:r w:rsidRPr="001839C2">
        <w:rPr>
          <w:rFonts w:eastAsiaTheme="minorEastAsia"/>
          <w:snapToGrid/>
          <w:szCs w:val="22"/>
          <w:lang w:val="lt-LT" w:eastAsia="en-IN"/>
        </w:rPr>
        <w:t>sudėtyje yra laktozės“ toliau šiame skyriuje),</w:t>
      </w:r>
      <w:r w:rsidR="009D3371" w:rsidRPr="001839C2">
        <w:rPr>
          <w:rFonts w:eastAsiaTheme="minorEastAsia"/>
          <w:bCs/>
          <w:snapToGrid/>
          <w:szCs w:val="22"/>
          <w:lang w:val="lt-LT" w:eastAsia="en-IN"/>
        </w:rPr>
        <w:t xml:space="preserve"> </w:t>
      </w:r>
      <w:r w:rsidRPr="00CB32F8">
        <w:rPr>
          <w:rFonts w:eastAsiaTheme="minorEastAsia"/>
          <w:b/>
          <w:snapToGrid/>
          <w:szCs w:val="22"/>
          <w:lang w:val="lt-LT" w:eastAsia="en-IN"/>
        </w:rPr>
        <w:t>pasakykite apie tai gydytojui</w:t>
      </w:r>
      <w:r w:rsidRPr="001839C2">
        <w:rPr>
          <w:rFonts w:eastAsiaTheme="minorEastAsia"/>
          <w:bCs/>
          <w:snapToGrid/>
          <w:szCs w:val="22"/>
          <w:lang w:val="lt-LT" w:eastAsia="en-IN"/>
        </w:rPr>
        <w:t>.</w:t>
      </w:r>
    </w:p>
    <w:p w14:paraId="3C018464"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2140CAC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r w:rsidRPr="001839C2">
        <w:rPr>
          <w:rFonts w:eastAsiaTheme="minorEastAsia"/>
          <w:b/>
          <w:bCs/>
          <w:snapToGrid/>
          <w:szCs w:val="22"/>
          <w:lang w:val="lt-LT" w:eastAsia="en-IN"/>
        </w:rPr>
        <w:t>Vaikams ir paaugliams</w:t>
      </w:r>
    </w:p>
    <w:p w14:paraId="4DAFA442"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 xml:space="preserve">Emtricitabine/Tenofovir disoproxil Accordpharma </w:t>
      </w:r>
      <w:r w:rsidRPr="001839C2">
        <w:rPr>
          <w:rFonts w:eastAsiaTheme="minorEastAsia"/>
          <w:snapToGrid/>
          <w:szCs w:val="22"/>
          <w:lang w:val="lt-LT" w:eastAsia="en-IN"/>
        </w:rPr>
        <w:t>negalima vartoti vaikams, jaunesniems kaip 12</w:t>
      </w:r>
      <w:r w:rsidR="00C272AA" w:rsidRPr="001839C2">
        <w:rPr>
          <w:rFonts w:eastAsiaTheme="minorEastAsia"/>
          <w:snapToGrid/>
          <w:szCs w:val="22"/>
          <w:lang w:val="lt-LT" w:eastAsia="en-IN"/>
        </w:rPr>
        <w:t> </w:t>
      </w:r>
      <w:r w:rsidRPr="001839C2">
        <w:rPr>
          <w:rFonts w:eastAsiaTheme="minorEastAsia"/>
          <w:snapToGrid/>
          <w:szCs w:val="22"/>
          <w:lang w:val="lt-LT" w:eastAsia="en-IN"/>
        </w:rPr>
        <w:t>metų.</w:t>
      </w:r>
    </w:p>
    <w:p w14:paraId="663D56C2"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5A364810" w14:textId="77777777"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 xml:space="preserve">Kiti vaistai ir </w:t>
      </w:r>
      <w:r w:rsidRPr="001839C2">
        <w:rPr>
          <w:rFonts w:eastAsiaTheme="minorHAnsi"/>
          <w:b/>
          <w:bCs/>
          <w:snapToGrid/>
          <w:szCs w:val="22"/>
          <w:lang w:val="lt-LT"/>
        </w:rPr>
        <w:t>Emtricitabine/Tenofovir disoproxil Accordpharma</w:t>
      </w:r>
    </w:p>
    <w:p w14:paraId="6F7763C1"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Šio vaisto vartoti negalima</w:t>
      </w:r>
      <w:r w:rsidRPr="001839C2">
        <w:rPr>
          <w:rFonts w:eastAsiaTheme="minorEastAsia"/>
          <w:bCs/>
          <w:snapToGrid/>
          <w:szCs w:val="22"/>
          <w:lang w:val="lt-LT" w:eastAsia="en-IN"/>
        </w:rPr>
        <w:t xml:space="preserve">, </w:t>
      </w:r>
      <w:r w:rsidRPr="001839C2">
        <w:rPr>
          <w:rFonts w:eastAsiaTheme="minorEastAsia"/>
          <w:snapToGrid/>
          <w:szCs w:val="22"/>
          <w:lang w:val="lt-LT" w:eastAsia="en-IN"/>
        </w:rPr>
        <w:t>jeigu jau vartojate kit</w:t>
      </w:r>
      <w:r w:rsidR="002D5010" w:rsidRPr="001839C2">
        <w:rPr>
          <w:rFonts w:eastAsiaTheme="minorEastAsia"/>
          <w:snapToGrid/>
          <w:szCs w:val="22"/>
          <w:lang w:val="lt-LT" w:eastAsia="en-IN"/>
        </w:rPr>
        <w:t>ų</w:t>
      </w:r>
      <w:r w:rsidRPr="001839C2">
        <w:rPr>
          <w:rFonts w:eastAsiaTheme="minorEastAsia"/>
          <w:snapToGrid/>
          <w:szCs w:val="22"/>
          <w:lang w:val="lt-LT" w:eastAsia="en-IN"/>
        </w:rPr>
        <w:t xml:space="preserve"> vaist</w:t>
      </w:r>
      <w:r w:rsidR="002D5010" w:rsidRPr="001839C2">
        <w:rPr>
          <w:rFonts w:eastAsiaTheme="minorEastAsia"/>
          <w:snapToGrid/>
          <w:szCs w:val="22"/>
          <w:lang w:val="lt-LT" w:eastAsia="en-IN"/>
        </w:rPr>
        <w:t>ų</w:t>
      </w:r>
      <w:r w:rsidRPr="001839C2">
        <w:rPr>
          <w:rFonts w:eastAsiaTheme="minorEastAsia"/>
          <w:snapToGrid/>
          <w:szCs w:val="22"/>
          <w:lang w:val="lt-LT" w:eastAsia="en-IN"/>
        </w:rPr>
        <w:t xml:space="preserve">, kurių sudėtyje yra šio vaisto </w:t>
      </w:r>
      <w:r w:rsidR="00AE649A" w:rsidRPr="001839C2">
        <w:rPr>
          <w:rFonts w:eastAsiaTheme="minorEastAsia"/>
          <w:snapToGrid/>
          <w:szCs w:val="22"/>
          <w:lang w:val="lt-LT" w:eastAsia="en-IN"/>
        </w:rPr>
        <w:t>v</w:t>
      </w:r>
      <w:r w:rsidRPr="001839C2">
        <w:rPr>
          <w:rFonts w:eastAsiaTheme="minorEastAsia"/>
          <w:snapToGrid/>
          <w:szCs w:val="22"/>
          <w:lang w:val="lt-LT" w:eastAsia="en-IN"/>
        </w:rPr>
        <w:t>e</w:t>
      </w:r>
      <w:r w:rsidR="00AE649A" w:rsidRPr="001839C2">
        <w:rPr>
          <w:rFonts w:eastAsiaTheme="minorEastAsia"/>
          <w:snapToGrid/>
          <w:szCs w:val="22"/>
          <w:lang w:val="lt-LT" w:eastAsia="en-IN"/>
        </w:rPr>
        <w:t>ikli</w:t>
      </w:r>
      <w:r w:rsidRPr="001839C2">
        <w:rPr>
          <w:rFonts w:eastAsiaTheme="minorEastAsia"/>
          <w:snapToGrid/>
          <w:szCs w:val="22"/>
          <w:lang w:val="lt-LT" w:eastAsia="en-IN"/>
        </w:rPr>
        <w:t>ų</w:t>
      </w:r>
      <w:r w:rsidR="00AE649A" w:rsidRPr="001839C2">
        <w:rPr>
          <w:rFonts w:eastAsiaTheme="minorEastAsia"/>
          <w:snapToGrid/>
          <w:szCs w:val="22"/>
          <w:lang w:val="lt-LT" w:eastAsia="en-IN"/>
        </w:rPr>
        <w:t>jų medžiagų</w:t>
      </w:r>
      <w:r w:rsidRPr="001839C2">
        <w:rPr>
          <w:rFonts w:eastAsiaTheme="minorEastAsia"/>
          <w:snapToGrid/>
          <w:szCs w:val="22"/>
          <w:lang w:val="lt-LT" w:eastAsia="en-IN"/>
        </w:rPr>
        <w:t xml:space="preserve"> (emtricitabino ir tenofoviro dizoproksilio)</w:t>
      </w:r>
      <w:r w:rsidR="00AE649A" w:rsidRPr="001839C2">
        <w:rPr>
          <w:rFonts w:eastAsiaTheme="minorEastAsia"/>
          <w:snapToGrid/>
          <w:szCs w:val="22"/>
          <w:lang w:val="lt-LT" w:eastAsia="en-IN"/>
        </w:rPr>
        <w:t>,</w:t>
      </w:r>
      <w:r w:rsidRPr="001839C2">
        <w:rPr>
          <w:rFonts w:eastAsiaTheme="minorEastAsia"/>
          <w:snapToGrid/>
          <w:szCs w:val="22"/>
          <w:lang w:val="lt-LT" w:eastAsia="en-IN"/>
        </w:rPr>
        <w:t xml:space="preserve"> arba kit</w:t>
      </w:r>
      <w:r w:rsidR="002D5010" w:rsidRPr="001839C2">
        <w:rPr>
          <w:rFonts w:eastAsiaTheme="minorEastAsia"/>
          <w:snapToGrid/>
          <w:szCs w:val="22"/>
          <w:lang w:val="lt-LT" w:eastAsia="en-IN"/>
        </w:rPr>
        <w:t>ų</w:t>
      </w:r>
      <w:r w:rsidRPr="001839C2">
        <w:rPr>
          <w:rFonts w:eastAsiaTheme="minorEastAsia"/>
          <w:snapToGrid/>
          <w:szCs w:val="22"/>
          <w:lang w:val="lt-LT" w:eastAsia="en-IN"/>
        </w:rPr>
        <w:t xml:space="preserve"> priešvirusini</w:t>
      </w:r>
      <w:r w:rsidR="002D5010" w:rsidRPr="001839C2">
        <w:rPr>
          <w:rFonts w:eastAsiaTheme="minorEastAsia"/>
          <w:snapToGrid/>
          <w:szCs w:val="22"/>
          <w:lang w:val="lt-LT" w:eastAsia="en-IN"/>
        </w:rPr>
        <w:t>ų</w:t>
      </w:r>
      <w:r w:rsidRPr="001839C2">
        <w:rPr>
          <w:rFonts w:eastAsiaTheme="minorEastAsia"/>
          <w:snapToGrid/>
          <w:szCs w:val="22"/>
          <w:lang w:val="lt-LT" w:eastAsia="en-IN"/>
        </w:rPr>
        <w:t xml:space="preserve"> vaist</w:t>
      </w:r>
      <w:r w:rsidR="002D5010" w:rsidRPr="001839C2">
        <w:rPr>
          <w:rFonts w:eastAsiaTheme="minorEastAsia"/>
          <w:snapToGrid/>
          <w:szCs w:val="22"/>
          <w:lang w:val="lt-LT" w:eastAsia="en-IN"/>
        </w:rPr>
        <w:t>ų</w:t>
      </w:r>
      <w:r w:rsidRPr="001839C2">
        <w:rPr>
          <w:rFonts w:eastAsiaTheme="minorEastAsia"/>
          <w:snapToGrid/>
          <w:szCs w:val="22"/>
          <w:lang w:val="lt-LT" w:eastAsia="en-IN"/>
        </w:rPr>
        <w:t>, kurių sudėtyje yra tenofoviro alafenamido, lamivudino ar adefoviro dipivoksilio.</w:t>
      </w:r>
    </w:p>
    <w:p w14:paraId="523ACA10"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3466B7D5" w14:textId="77777777" w:rsidR="00A66F3F" w:rsidRPr="00CB32F8" w:rsidRDefault="002A5F50" w:rsidP="00230559">
      <w:pPr>
        <w:widowControl w:val="0"/>
        <w:tabs>
          <w:tab w:val="clear" w:pos="567"/>
        </w:tabs>
        <w:kinsoku w:val="0"/>
        <w:overflowPunct w:val="0"/>
        <w:autoSpaceDE w:val="0"/>
        <w:autoSpaceDN w:val="0"/>
        <w:adjustRightInd w:val="0"/>
        <w:rPr>
          <w:rFonts w:eastAsiaTheme="minorEastAsia"/>
          <w:b/>
          <w:iCs/>
          <w:snapToGrid/>
          <w:szCs w:val="22"/>
          <w:lang w:val="lt-LT" w:eastAsia="en-IN"/>
        </w:rPr>
      </w:pPr>
      <w:r w:rsidRPr="00CB32F8">
        <w:rPr>
          <w:rFonts w:eastAsiaTheme="minorEastAsia"/>
          <w:b/>
          <w:iCs/>
          <w:snapToGrid/>
          <w:szCs w:val="22"/>
          <w:lang w:val="lt-LT" w:eastAsia="en-IN"/>
        </w:rPr>
        <w:t>Šio vaisto vartojimas kartu su kitais vaistais, galinčiais pakenkti inkstams</w:t>
      </w:r>
    </w:p>
    <w:p w14:paraId="63A72F0F" w14:textId="77777777" w:rsidR="002A5F50" w:rsidRPr="001839C2" w:rsidRDefault="00C272AA"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lastRenderedPageBreak/>
        <w:t>Y</w:t>
      </w:r>
      <w:r w:rsidR="002A5F50" w:rsidRPr="001839C2">
        <w:rPr>
          <w:rFonts w:eastAsiaTheme="minorEastAsia"/>
          <w:snapToGrid/>
          <w:szCs w:val="22"/>
          <w:lang w:val="lt-LT" w:eastAsia="en-IN"/>
        </w:rPr>
        <w:t>pač svarbu pasakyti gydytojui, jeigu vartojate bet kur</w:t>
      </w:r>
      <w:r w:rsidRPr="001839C2">
        <w:rPr>
          <w:rFonts w:eastAsiaTheme="minorEastAsia"/>
          <w:snapToGrid/>
          <w:szCs w:val="22"/>
          <w:lang w:val="lt-LT" w:eastAsia="en-IN"/>
        </w:rPr>
        <w:t>io</w:t>
      </w:r>
      <w:r w:rsidR="002A5F50" w:rsidRPr="001839C2">
        <w:rPr>
          <w:rFonts w:eastAsiaTheme="minorEastAsia"/>
          <w:snapToGrid/>
          <w:szCs w:val="22"/>
          <w:lang w:val="lt-LT" w:eastAsia="en-IN"/>
        </w:rPr>
        <w:t xml:space="preserve"> iš šių vaistų, </w:t>
      </w:r>
      <w:r w:rsidRPr="001839C2">
        <w:rPr>
          <w:rFonts w:eastAsiaTheme="minorEastAsia"/>
          <w:snapToGrid/>
          <w:szCs w:val="22"/>
          <w:lang w:val="lt-LT" w:eastAsia="en-IN"/>
        </w:rPr>
        <w:t>įsk</w:t>
      </w:r>
      <w:r w:rsidR="002A5F50" w:rsidRPr="001839C2">
        <w:rPr>
          <w:rFonts w:eastAsiaTheme="minorEastAsia"/>
          <w:snapToGrid/>
          <w:szCs w:val="22"/>
          <w:lang w:val="lt-LT" w:eastAsia="en-IN"/>
        </w:rPr>
        <w:t>ai</w:t>
      </w:r>
      <w:r w:rsidRPr="001839C2">
        <w:rPr>
          <w:rFonts w:eastAsiaTheme="minorEastAsia"/>
          <w:snapToGrid/>
          <w:szCs w:val="22"/>
          <w:lang w:val="lt-LT" w:eastAsia="en-IN"/>
        </w:rPr>
        <w:t>t</w:t>
      </w:r>
      <w:r w:rsidR="002A5F50" w:rsidRPr="001839C2">
        <w:rPr>
          <w:rFonts w:eastAsiaTheme="minorEastAsia"/>
          <w:snapToGrid/>
          <w:szCs w:val="22"/>
          <w:lang w:val="lt-LT" w:eastAsia="en-IN"/>
        </w:rPr>
        <w:t>a</w:t>
      </w:r>
      <w:r w:rsidRPr="001839C2">
        <w:rPr>
          <w:rFonts w:eastAsiaTheme="minorEastAsia"/>
          <w:snapToGrid/>
          <w:szCs w:val="22"/>
          <w:lang w:val="lt-LT" w:eastAsia="en-IN"/>
        </w:rPr>
        <w:t>nt:</w:t>
      </w:r>
    </w:p>
    <w:p w14:paraId="1FC533A2" w14:textId="77777777" w:rsidR="002A5F50" w:rsidRPr="001839C2" w:rsidRDefault="002A5F50" w:rsidP="002A5F50">
      <w:pPr>
        <w:widowControl w:val="0"/>
        <w:numPr>
          <w:ilvl w:val="0"/>
          <w:numId w:val="17"/>
        </w:numPr>
        <w:tabs>
          <w:tab w:val="clear" w:pos="567"/>
          <w:tab w:val="left" w:pos="1253"/>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aminoglikozid</w:t>
      </w:r>
      <w:r w:rsidR="00C272AA" w:rsidRPr="001839C2">
        <w:rPr>
          <w:rFonts w:eastAsiaTheme="minorEastAsia"/>
          <w:snapToGrid/>
          <w:szCs w:val="22"/>
          <w:lang w:val="lt-LT" w:eastAsia="en-IN"/>
        </w:rPr>
        <w:t>us</w:t>
      </w:r>
      <w:r w:rsidRPr="001839C2">
        <w:rPr>
          <w:rFonts w:eastAsiaTheme="minorEastAsia"/>
          <w:snapToGrid/>
          <w:szCs w:val="22"/>
          <w:lang w:val="lt-LT" w:eastAsia="en-IN"/>
        </w:rPr>
        <w:t xml:space="preserve"> (bakterinei infekcijai gydyti)</w:t>
      </w:r>
      <w:r w:rsidR="00C272AA" w:rsidRPr="001839C2">
        <w:rPr>
          <w:rFonts w:eastAsiaTheme="minorEastAsia"/>
          <w:snapToGrid/>
          <w:szCs w:val="22"/>
          <w:lang w:val="lt-LT" w:eastAsia="en-IN"/>
        </w:rPr>
        <w:t>;</w:t>
      </w:r>
    </w:p>
    <w:p w14:paraId="6B5A97E1" w14:textId="77777777" w:rsidR="002A5F50" w:rsidRPr="001839C2" w:rsidRDefault="002A5F50" w:rsidP="002A5F50">
      <w:pPr>
        <w:widowControl w:val="0"/>
        <w:numPr>
          <w:ilvl w:val="0"/>
          <w:numId w:val="17"/>
        </w:numPr>
        <w:tabs>
          <w:tab w:val="clear" w:pos="567"/>
          <w:tab w:val="left" w:pos="1253"/>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amfotericin</w:t>
      </w:r>
      <w:r w:rsidR="00C272AA" w:rsidRPr="001839C2">
        <w:rPr>
          <w:rFonts w:eastAsiaTheme="minorEastAsia"/>
          <w:snapToGrid/>
          <w:szCs w:val="22"/>
          <w:lang w:val="lt-LT" w:eastAsia="en-IN"/>
        </w:rPr>
        <w:t>ą </w:t>
      </w:r>
      <w:r w:rsidRPr="001839C2">
        <w:rPr>
          <w:rFonts w:eastAsiaTheme="minorEastAsia"/>
          <w:snapToGrid/>
          <w:szCs w:val="22"/>
          <w:lang w:val="lt-LT" w:eastAsia="en-IN"/>
        </w:rPr>
        <w:t>B (grybelinei infekcijai gydyti)</w:t>
      </w:r>
      <w:r w:rsidR="00C272AA" w:rsidRPr="001839C2">
        <w:rPr>
          <w:rFonts w:eastAsiaTheme="minorEastAsia"/>
          <w:snapToGrid/>
          <w:szCs w:val="22"/>
          <w:lang w:val="lt-LT" w:eastAsia="en-IN"/>
        </w:rPr>
        <w:t>;</w:t>
      </w:r>
    </w:p>
    <w:p w14:paraId="0D817E44" w14:textId="77777777" w:rsidR="002A5F50" w:rsidRPr="001839C2" w:rsidRDefault="002A5F50" w:rsidP="002A5F50">
      <w:pPr>
        <w:widowControl w:val="0"/>
        <w:numPr>
          <w:ilvl w:val="0"/>
          <w:numId w:val="17"/>
        </w:numPr>
        <w:tabs>
          <w:tab w:val="clear" w:pos="567"/>
          <w:tab w:val="left" w:pos="1253"/>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foskarnet</w:t>
      </w:r>
      <w:r w:rsidR="00A66F3F" w:rsidRPr="001839C2">
        <w:rPr>
          <w:rFonts w:eastAsiaTheme="minorEastAsia"/>
          <w:snapToGrid/>
          <w:szCs w:val="22"/>
          <w:lang w:val="lt-LT" w:eastAsia="en-IN"/>
        </w:rPr>
        <w:t>ą</w:t>
      </w:r>
      <w:r w:rsidRPr="001839C2">
        <w:rPr>
          <w:rFonts w:eastAsiaTheme="minorEastAsia"/>
          <w:snapToGrid/>
          <w:szCs w:val="22"/>
          <w:lang w:val="lt-LT" w:eastAsia="en-IN"/>
        </w:rPr>
        <w:t xml:space="preserve"> (virusinei infekcijai gydyti)</w:t>
      </w:r>
      <w:r w:rsidR="00A66F3F" w:rsidRPr="001839C2">
        <w:rPr>
          <w:rFonts w:eastAsiaTheme="minorEastAsia"/>
          <w:snapToGrid/>
          <w:szCs w:val="22"/>
          <w:lang w:val="lt-LT" w:eastAsia="en-IN"/>
        </w:rPr>
        <w:t>;</w:t>
      </w:r>
    </w:p>
    <w:p w14:paraId="3BD59CFE" w14:textId="77777777" w:rsidR="002A5F50" w:rsidRPr="001839C2" w:rsidRDefault="002A5F50" w:rsidP="002A5F50">
      <w:pPr>
        <w:widowControl w:val="0"/>
        <w:numPr>
          <w:ilvl w:val="0"/>
          <w:numId w:val="17"/>
        </w:numPr>
        <w:tabs>
          <w:tab w:val="clear" w:pos="567"/>
          <w:tab w:val="left" w:pos="1253"/>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ganciklovir</w:t>
      </w:r>
      <w:r w:rsidR="00A66F3F" w:rsidRPr="001839C2">
        <w:rPr>
          <w:rFonts w:eastAsiaTheme="minorEastAsia"/>
          <w:snapToGrid/>
          <w:szCs w:val="22"/>
          <w:lang w:val="lt-LT" w:eastAsia="en-IN"/>
        </w:rPr>
        <w:t>ą</w:t>
      </w:r>
      <w:r w:rsidRPr="001839C2">
        <w:rPr>
          <w:rFonts w:eastAsiaTheme="minorEastAsia"/>
          <w:snapToGrid/>
          <w:szCs w:val="22"/>
          <w:lang w:val="lt-LT" w:eastAsia="en-IN"/>
        </w:rPr>
        <w:t xml:space="preserve"> (virusinei infekcijai gydyti)</w:t>
      </w:r>
      <w:r w:rsidR="00A66F3F" w:rsidRPr="001839C2">
        <w:rPr>
          <w:rFonts w:eastAsiaTheme="minorEastAsia"/>
          <w:snapToGrid/>
          <w:szCs w:val="22"/>
          <w:lang w:val="lt-LT" w:eastAsia="en-IN"/>
        </w:rPr>
        <w:t>;</w:t>
      </w:r>
    </w:p>
    <w:p w14:paraId="0CF48F26" w14:textId="77777777" w:rsidR="002A5F50" w:rsidRPr="001839C2" w:rsidRDefault="002A5F50" w:rsidP="002A5F50">
      <w:pPr>
        <w:widowControl w:val="0"/>
        <w:numPr>
          <w:ilvl w:val="0"/>
          <w:numId w:val="17"/>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pentamidin</w:t>
      </w:r>
      <w:r w:rsidR="00A66F3F" w:rsidRPr="001839C2">
        <w:rPr>
          <w:rFonts w:eastAsiaTheme="minorEastAsia"/>
          <w:snapToGrid/>
          <w:szCs w:val="22"/>
          <w:lang w:val="lt-LT" w:eastAsia="en-IN"/>
        </w:rPr>
        <w:t>ą</w:t>
      </w:r>
      <w:r w:rsidRPr="001839C2">
        <w:rPr>
          <w:rFonts w:eastAsiaTheme="minorEastAsia"/>
          <w:snapToGrid/>
          <w:szCs w:val="22"/>
          <w:lang w:val="lt-LT" w:eastAsia="en-IN"/>
        </w:rPr>
        <w:t xml:space="preserve"> (infekcijoms gydyti)</w:t>
      </w:r>
      <w:r w:rsidR="00A66F3F" w:rsidRPr="001839C2">
        <w:rPr>
          <w:rFonts w:eastAsiaTheme="minorEastAsia"/>
          <w:snapToGrid/>
          <w:szCs w:val="22"/>
          <w:lang w:val="lt-LT" w:eastAsia="en-IN"/>
        </w:rPr>
        <w:t>;</w:t>
      </w:r>
    </w:p>
    <w:p w14:paraId="1D24543D" w14:textId="77777777" w:rsidR="002A5F50" w:rsidRPr="001839C2" w:rsidRDefault="002A5F50" w:rsidP="002A5F50">
      <w:pPr>
        <w:widowControl w:val="0"/>
        <w:numPr>
          <w:ilvl w:val="0"/>
          <w:numId w:val="17"/>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vankomicin</w:t>
      </w:r>
      <w:r w:rsidR="00A66F3F" w:rsidRPr="001839C2">
        <w:rPr>
          <w:rFonts w:eastAsiaTheme="minorEastAsia"/>
          <w:snapToGrid/>
          <w:szCs w:val="22"/>
          <w:lang w:val="lt-LT" w:eastAsia="en-IN"/>
        </w:rPr>
        <w:t>ą</w:t>
      </w:r>
      <w:r w:rsidRPr="001839C2">
        <w:rPr>
          <w:rFonts w:eastAsiaTheme="minorEastAsia"/>
          <w:snapToGrid/>
          <w:szCs w:val="22"/>
          <w:lang w:val="lt-LT" w:eastAsia="en-IN"/>
        </w:rPr>
        <w:t xml:space="preserve"> (bakterinei infekcijai gydyti)</w:t>
      </w:r>
      <w:r w:rsidR="00A66F3F" w:rsidRPr="001839C2">
        <w:rPr>
          <w:rFonts w:eastAsiaTheme="minorEastAsia"/>
          <w:snapToGrid/>
          <w:szCs w:val="22"/>
          <w:lang w:val="lt-LT" w:eastAsia="en-IN"/>
        </w:rPr>
        <w:t>;</w:t>
      </w:r>
    </w:p>
    <w:p w14:paraId="15C05AD1" w14:textId="77777777" w:rsidR="002A5F50" w:rsidRPr="001839C2" w:rsidRDefault="002A5F50" w:rsidP="002A5F50">
      <w:pPr>
        <w:widowControl w:val="0"/>
        <w:numPr>
          <w:ilvl w:val="0"/>
          <w:numId w:val="17"/>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interleukin</w:t>
      </w:r>
      <w:r w:rsidR="00A66F3F" w:rsidRPr="001839C2">
        <w:rPr>
          <w:rFonts w:eastAsiaTheme="minorEastAsia"/>
          <w:snapToGrid/>
          <w:szCs w:val="22"/>
          <w:lang w:val="lt-LT" w:eastAsia="en-IN"/>
        </w:rPr>
        <w:t>ą</w:t>
      </w:r>
      <w:r w:rsidR="00A66F3F" w:rsidRPr="001839C2">
        <w:rPr>
          <w:rFonts w:eastAsiaTheme="minorEastAsia"/>
          <w:snapToGrid/>
          <w:szCs w:val="22"/>
          <w:lang w:val="lt-LT" w:eastAsia="en-IN"/>
        </w:rPr>
        <w:noBreakHyphen/>
      </w:r>
      <w:r w:rsidRPr="001839C2">
        <w:rPr>
          <w:rFonts w:eastAsiaTheme="minorEastAsia"/>
          <w:snapToGrid/>
          <w:szCs w:val="22"/>
          <w:lang w:val="lt-LT" w:eastAsia="en-IN"/>
        </w:rPr>
        <w:t>2 (vėžiui gydyti)</w:t>
      </w:r>
      <w:r w:rsidR="00A66F3F" w:rsidRPr="001839C2">
        <w:rPr>
          <w:rFonts w:eastAsiaTheme="minorEastAsia"/>
          <w:snapToGrid/>
          <w:szCs w:val="22"/>
          <w:lang w:val="lt-LT" w:eastAsia="en-IN"/>
        </w:rPr>
        <w:t>;</w:t>
      </w:r>
    </w:p>
    <w:p w14:paraId="0F68AF50" w14:textId="77777777" w:rsidR="002A5F50" w:rsidRPr="001839C2" w:rsidRDefault="002A5F50" w:rsidP="002A5F50">
      <w:pPr>
        <w:widowControl w:val="0"/>
        <w:numPr>
          <w:ilvl w:val="0"/>
          <w:numId w:val="17"/>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cidofovir</w:t>
      </w:r>
      <w:r w:rsidR="00A66F3F" w:rsidRPr="001839C2">
        <w:rPr>
          <w:rFonts w:eastAsiaTheme="minorEastAsia"/>
          <w:snapToGrid/>
          <w:szCs w:val="22"/>
          <w:lang w:val="lt-LT" w:eastAsia="en-IN"/>
        </w:rPr>
        <w:t>ą</w:t>
      </w:r>
      <w:r w:rsidRPr="001839C2">
        <w:rPr>
          <w:rFonts w:eastAsiaTheme="minorEastAsia"/>
          <w:snapToGrid/>
          <w:szCs w:val="22"/>
          <w:lang w:val="lt-LT" w:eastAsia="en-IN"/>
        </w:rPr>
        <w:t xml:space="preserve"> (virusinei infekcijai gydyti)</w:t>
      </w:r>
      <w:r w:rsidR="00A66F3F" w:rsidRPr="001839C2">
        <w:rPr>
          <w:rFonts w:eastAsiaTheme="minorEastAsia"/>
          <w:snapToGrid/>
          <w:szCs w:val="22"/>
          <w:lang w:val="lt-LT" w:eastAsia="en-IN"/>
        </w:rPr>
        <w:t>;</w:t>
      </w:r>
    </w:p>
    <w:p w14:paraId="3E1A4A0F" w14:textId="77777777" w:rsidR="002A5F50" w:rsidRPr="001839C2" w:rsidRDefault="002A5F50" w:rsidP="002A5F50">
      <w:pPr>
        <w:widowControl w:val="0"/>
        <w:numPr>
          <w:ilvl w:val="0"/>
          <w:numId w:val="17"/>
        </w:numPr>
        <w:tabs>
          <w:tab w:val="clear" w:pos="567"/>
          <w:tab w:val="left" w:pos="1254"/>
        </w:tabs>
        <w:kinsoku w:val="0"/>
        <w:overflowPunct w:val="0"/>
        <w:autoSpaceDE w:val="0"/>
        <w:autoSpaceDN w:val="0"/>
        <w:adjustRightInd w:val="0"/>
        <w:ind w:left="1253" w:hanging="566"/>
        <w:rPr>
          <w:rFonts w:eastAsiaTheme="minorEastAsia"/>
          <w:snapToGrid/>
          <w:szCs w:val="22"/>
          <w:lang w:val="lt-LT" w:eastAsia="en-IN"/>
        </w:rPr>
      </w:pPr>
      <w:r w:rsidRPr="001839C2">
        <w:rPr>
          <w:rFonts w:eastAsiaTheme="minorEastAsia"/>
          <w:snapToGrid/>
          <w:szCs w:val="22"/>
          <w:lang w:val="lt-LT" w:eastAsia="en-IN"/>
        </w:rPr>
        <w:t>nesteroidini</w:t>
      </w:r>
      <w:r w:rsidR="00A66F3F" w:rsidRPr="001839C2">
        <w:rPr>
          <w:rFonts w:eastAsiaTheme="minorEastAsia"/>
          <w:snapToGrid/>
          <w:szCs w:val="22"/>
          <w:lang w:val="lt-LT" w:eastAsia="en-IN"/>
        </w:rPr>
        <w:t>us</w:t>
      </w:r>
      <w:r w:rsidRPr="001839C2">
        <w:rPr>
          <w:rFonts w:eastAsiaTheme="minorEastAsia"/>
          <w:snapToGrid/>
          <w:szCs w:val="22"/>
          <w:lang w:val="lt-LT" w:eastAsia="en-IN"/>
        </w:rPr>
        <w:t xml:space="preserve"> vaist</w:t>
      </w:r>
      <w:r w:rsidR="00A66F3F" w:rsidRPr="001839C2">
        <w:rPr>
          <w:rFonts w:eastAsiaTheme="minorEastAsia"/>
          <w:snapToGrid/>
          <w:szCs w:val="22"/>
          <w:lang w:val="lt-LT" w:eastAsia="en-IN"/>
        </w:rPr>
        <w:t>us</w:t>
      </w:r>
      <w:r w:rsidRPr="001839C2">
        <w:rPr>
          <w:rFonts w:eastAsiaTheme="minorEastAsia"/>
          <w:snapToGrid/>
          <w:szCs w:val="22"/>
          <w:lang w:val="lt-LT" w:eastAsia="en-IN"/>
        </w:rPr>
        <w:t xml:space="preserve"> nuo uždegimo (NVNU, kaulų ar raumenų skausmui malšinti)</w:t>
      </w:r>
      <w:r w:rsidR="00A66F3F" w:rsidRPr="001839C2">
        <w:rPr>
          <w:rFonts w:eastAsiaTheme="minorEastAsia"/>
          <w:snapToGrid/>
          <w:szCs w:val="22"/>
          <w:lang w:val="lt-LT" w:eastAsia="en-IN"/>
        </w:rPr>
        <w:t>.</w:t>
      </w:r>
    </w:p>
    <w:p w14:paraId="1197EB8E"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0C3472B7"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ŽIV</w:t>
      </w:r>
      <w:r w:rsidR="002D5010" w:rsidRPr="001839C2">
        <w:rPr>
          <w:rFonts w:eastAsiaTheme="minorEastAsia"/>
          <w:snapToGrid/>
          <w:szCs w:val="22"/>
          <w:lang w:val="lt-LT" w:eastAsia="en-IN"/>
        </w:rPr>
        <w:t> </w:t>
      </w:r>
      <w:r w:rsidRPr="001839C2">
        <w:rPr>
          <w:rFonts w:eastAsiaTheme="minorEastAsia"/>
          <w:snapToGrid/>
          <w:szCs w:val="22"/>
          <w:lang w:val="lt-LT" w:eastAsia="en-IN"/>
        </w:rPr>
        <w:t>infekcijai gydyti vartojate kit</w:t>
      </w:r>
      <w:r w:rsidR="002D5010" w:rsidRPr="001839C2">
        <w:rPr>
          <w:rFonts w:eastAsiaTheme="minorEastAsia"/>
          <w:snapToGrid/>
          <w:szCs w:val="22"/>
          <w:lang w:val="lt-LT" w:eastAsia="en-IN"/>
        </w:rPr>
        <w:t>o</w:t>
      </w:r>
      <w:r w:rsidRPr="001839C2">
        <w:rPr>
          <w:rFonts w:eastAsiaTheme="minorEastAsia"/>
          <w:snapToGrid/>
          <w:szCs w:val="22"/>
          <w:lang w:val="lt-LT" w:eastAsia="en-IN"/>
        </w:rPr>
        <w:t xml:space="preserve"> antivirusin</w:t>
      </w:r>
      <w:r w:rsidR="002D5010"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2D5010" w:rsidRPr="001839C2">
        <w:rPr>
          <w:rFonts w:eastAsiaTheme="minorEastAsia"/>
          <w:snapToGrid/>
          <w:szCs w:val="22"/>
          <w:lang w:val="lt-LT" w:eastAsia="en-IN"/>
        </w:rPr>
        <w:t>o</w:t>
      </w:r>
      <w:r w:rsidRPr="001839C2">
        <w:rPr>
          <w:rFonts w:eastAsiaTheme="minorEastAsia"/>
          <w:snapToGrid/>
          <w:szCs w:val="22"/>
          <w:lang w:val="lt-LT" w:eastAsia="en-IN"/>
        </w:rPr>
        <w:t>, vadinam</w:t>
      </w:r>
      <w:r w:rsidR="002D5010" w:rsidRPr="001839C2">
        <w:rPr>
          <w:rFonts w:eastAsiaTheme="minorEastAsia"/>
          <w:snapToGrid/>
          <w:szCs w:val="22"/>
          <w:lang w:val="lt-LT" w:eastAsia="en-IN"/>
        </w:rPr>
        <w:t>o</w:t>
      </w:r>
      <w:r w:rsidRPr="001839C2">
        <w:rPr>
          <w:rFonts w:eastAsiaTheme="minorEastAsia"/>
          <w:snapToGrid/>
          <w:szCs w:val="22"/>
          <w:lang w:val="lt-LT" w:eastAsia="en-IN"/>
        </w:rPr>
        <w:t xml:space="preserve"> proteazės inhibitoriumi, gydytojas gali nurodyti atlikti kraujo tyrimus, kad galėtų atidžiai stebėti Jūsų inkstų funkciją.</w:t>
      </w:r>
    </w:p>
    <w:p w14:paraId="53219EEF"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4BDB2977"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Taip pat svarbu pasakyti gydytojui</w:t>
      </w:r>
      <w:r w:rsidRPr="001839C2">
        <w:rPr>
          <w:rFonts w:eastAsiaTheme="minorEastAsia"/>
          <w:snapToGrid/>
          <w:szCs w:val="22"/>
          <w:lang w:val="lt-LT" w:eastAsia="en-IN"/>
        </w:rPr>
        <w:t>, jeigu vartojate ledipasvir</w:t>
      </w:r>
      <w:r w:rsidR="00A66F3F"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A66F3F" w:rsidRPr="001839C2">
        <w:rPr>
          <w:rFonts w:eastAsiaTheme="minorEastAsia"/>
          <w:snapToGrid/>
          <w:szCs w:val="22"/>
          <w:lang w:val="lt-LT" w:eastAsia="en-IN"/>
        </w:rPr>
        <w:t>ir</w:t>
      </w:r>
      <w:r w:rsidRPr="001839C2">
        <w:rPr>
          <w:rFonts w:eastAsiaTheme="minorEastAsia"/>
          <w:snapToGrid/>
          <w:szCs w:val="22"/>
          <w:lang w:val="lt-LT" w:eastAsia="en-IN"/>
        </w:rPr>
        <w:t xml:space="preserve"> sofosbuvir</w:t>
      </w:r>
      <w:r w:rsidR="00A66F3F" w:rsidRPr="001839C2">
        <w:rPr>
          <w:rFonts w:eastAsiaTheme="minorEastAsia"/>
          <w:snapToGrid/>
          <w:szCs w:val="22"/>
          <w:lang w:val="lt-LT" w:eastAsia="en-IN"/>
        </w:rPr>
        <w:t>o derinio</w:t>
      </w:r>
      <w:r w:rsidRPr="001839C2">
        <w:rPr>
          <w:rFonts w:eastAsiaTheme="minorEastAsia"/>
          <w:snapToGrid/>
          <w:szCs w:val="22"/>
          <w:lang w:val="lt-LT" w:eastAsia="en-IN"/>
        </w:rPr>
        <w:t>, sofosbuvir</w:t>
      </w:r>
      <w:r w:rsidR="00A66F3F"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A66F3F" w:rsidRPr="001839C2">
        <w:rPr>
          <w:rFonts w:eastAsiaTheme="minorEastAsia"/>
          <w:snapToGrid/>
          <w:szCs w:val="22"/>
          <w:lang w:val="lt-LT" w:eastAsia="en-IN"/>
        </w:rPr>
        <w:t xml:space="preserve">ir </w:t>
      </w:r>
      <w:r w:rsidRPr="001839C2">
        <w:rPr>
          <w:rFonts w:eastAsiaTheme="minorEastAsia"/>
          <w:snapToGrid/>
          <w:szCs w:val="22"/>
          <w:lang w:val="lt-LT" w:eastAsia="en-IN"/>
        </w:rPr>
        <w:t>velpatasvir</w:t>
      </w:r>
      <w:r w:rsidR="00A66F3F" w:rsidRPr="001839C2">
        <w:rPr>
          <w:rFonts w:eastAsiaTheme="minorEastAsia"/>
          <w:snapToGrid/>
          <w:szCs w:val="22"/>
          <w:lang w:val="lt-LT" w:eastAsia="en-IN"/>
        </w:rPr>
        <w:t>o derinio</w:t>
      </w:r>
      <w:r w:rsidRPr="001839C2">
        <w:rPr>
          <w:rFonts w:eastAsiaTheme="minorEastAsia"/>
          <w:snapToGrid/>
          <w:szCs w:val="22"/>
          <w:lang w:val="lt-LT" w:eastAsia="en-IN"/>
        </w:rPr>
        <w:t xml:space="preserve"> arba sofosbuvir</w:t>
      </w:r>
      <w:r w:rsidR="00A66F3F" w:rsidRPr="001839C2">
        <w:rPr>
          <w:rFonts w:eastAsiaTheme="minorEastAsia"/>
          <w:snapToGrid/>
          <w:szCs w:val="22"/>
          <w:lang w:val="lt-LT" w:eastAsia="en-IN"/>
        </w:rPr>
        <w:t>o,</w:t>
      </w:r>
      <w:r w:rsidRPr="001839C2">
        <w:rPr>
          <w:rFonts w:eastAsiaTheme="minorEastAsia"/>
          <w:snapToGrid/>
          <w:szCs w:val="22"/>
          <w:lang w:val="lt-LT" w:eastAsia="en-IN"/>
        </w:rPr>
        <w:t xml:space="preserve"> velpatasvir</w:t>
      </w:r>
      <w:r w:rsidR="00A66F3F" w:rsidRPr="001839C2">
        <w:rPr>
          <w:rFonts w:eastAsiaTheme="minorEastAsia"/>
          <w:snapToGrid/>
          <w:szCs w:val="22"/>
          <w:lang w:val="lt-LT" w:eastAsia="en-IN"/>
        </w:rPr>
        <w:t>o</w:t>
      </w:r>
      <w:r w:rsidRPr="001839C2">
        <w:rPr>
          <w:rFonts w:eastAsiaTheme="minorEastAsia"/>
          <w:snapToGrid/>
          <w:szCs w:val="22"/>
          <w:lang w:val="lt-LT" w:eastAsia="en-IN"/>
        </w:rPr>
        <w:t xml:space="preserve"> </w:t>
      </w:r>
      <w:r w:rsidR="00A66F3F" w:rsidRPr="001839C2">
        <w:rPr>
          <w:rFonts w:eastAsiaTheme="minorEastAsia"/>
          <w:snapToGrid/>
          <w:szCs w:val="22"/>
          <w:lang w:val="lt-LT" w:eastAsia="en-IN"/>
        </w:rPr>
        <w:t>ir</w:t>
      </w:r>
      <w:r w:rsidRPr="001839C2">
        <w:rPr>
          <w:rFonts w:eastAsiaTheme="minorEastAsia"/>
          <w:snapToGrid/>
          <w:szCs w:val="22"/>
          <w:lang w:val="lt-LT" w:eastAsia="en-IN"/>
        </w:rPr>
        <w:t xml:space="preserve"> voksilaprevir</w:t>
      </w:r>
      <w:r w:rsidR="00A66F3F" w:rsidRPr="001839C2">
        <w:rPr>
          <w:rFonts w:eastAsiaTheme="minorEastAsia"/>
          <w:snapToGrid/>
          <w:szCs w:val="22"/>
          <w:lang w:val="lt-LT" w:eastAsia="en-IN"/>
        </w:rPr>
        <w:t>o derinio</w:t>
      </w:r>
      <w:r w:rsidRPr="001839C2">
        <w:rPr>
          <w:rFonts w:eastAsiaTheme="minorEastAsia"/>
          <w:snapToGrid/>
          <w:szCs w:val="22"/>
          <w:lang w:val="lt-LT" w:eastAsia="en-IN"/>
        </w:rPr>
        <w:t xml:space="preserve"> hepatito</w:t>
      </w:r>
      <w:r w:rsidR="00A66F3F" w:rsidRPr="001839C2">
        <w:rPr>
          <w:rFonts w:eastAsiaTheme="minorEastAsia"/>
          <w:snapToGrid/>
          <w:szCs w:val="22"/>
          <w:lang w:val="lt-LT" w:eastAsia="en-IN"/>
        </w:rPr>
        <w:t> </w:t>
      </w:r>
      <w:r w:rsidRPr="001839C2">
        <w:rPr>
          <w:rFonts w:eastAsiaTheme="minorEastAsia"/>
          <w:snapToGrid/>
          <w:szCs w:val="22"/>
          <w:lang w:val="lt-LT" w:eastAsia="en-IN"/>
        </w:rPr>
        <w:t>C infekcijai gydyti.</w:t>
      </w:r>
    </w:p>
    <w:p w14:paraId="31D290A0"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76030E28" w14:textId="77777777" w:rsidR="00A66F3F" w:rsidRPr="00CB32F8" w:rsidRDefault="002A5F50" w:rsidP="00230559">
      <w:pPr>
        <w:widowControl w:val="0"/>
        <w:tabs>
          <w:tab w:val="clear" w:pos="567"/>
        </w:tabs>
        <w:kinsoku w:val="0"/>
        <w:overflowPunct w:val="0"/>
        <w:autoSpaceDE w:val="0"/>
        <w:autoSpaceDN w:val="0"/>
        <w:adjustRightInd w:val="0"/>
        <w:rPr>
          <w:rFonts w:eastAsiaTheme="minorEastAsia"/>
          <w:b/>
          <w:bCs/>
          <w:iCs/>
          <w:snapToGrid/>
          <w:szCs w:val="22"/>
          <w:lang w:val="lt-LT" w:eastAsia="en-IN"/>
        </w:rPr>
      </w:pPr>
      <w:r w:rsidRPr="00CB32F8">
        <w:rPr>
          <w:rFonts w:eastAsiaTheme="minorHAnsi"/>
          <w:b/>
          <w:bCs/>
          <w:iCs/>
          <w:snapToGrid/>
          <w:szCs w:val="22"/>
          <w:lang w:val="lt-LT"/>
        </w:rPr>
        <w:t xml:space="preserve">Emtricitabine/Tenofovir disoproxil Accordpharma </w:t>
      </w:r>
      <w:r w:rsidRPr="00CB32F8">
        <w:rPr>
          <w:rFonts w:eastAsiaTheme="minorEastAsia"/>
          <w:b/>
          <w:bCs/>
          <w:iCs/>
          <w:snapToGrid/>
          <w:szCs w:val="22"/>
          <w:lang w:val="lt-LT" w:eastAsia="en-IN"/>
        </w:rPr>
        <w:t>vartojimas kartu su kitais vaistais, kurių sudėtyje yra didanozino (ŽIV</w:t>
      </w:r>
      <w:r w:rsidR="002D5010" w:rsidRPr="00CB32F8">
        <w:rPr>
          <w:rFonts w:eastAsiaTheme="minorEastAsia"/>
          <w:b/>
          <w:bCs/>
          <w:iCs/>
          <w:snapToGrid/>
          <w:szCs w:val="22"/>
          <w:lang w:val="lt-LT" w:eastAsia="en-IN"/>
        </w:rPr>
        <w:t> </w:t>
      </w:r>
      <w:r w:rsidRPr="00CB32F8">
        <w:rPr>
          <w:rFonts w:eastAsiaTheme="minorEastAsia"/>
          <w:b/>
          <w:bCs/>
          <w:iCs/>
          <w:snapToGrid/>
          <w:szCs w:val="22"/>
          <w:lang w:val="lt-LT" w:eastAsia="en-IN"/>
        </w:rPr>
        <w:t>infekcijai gydyti)</w:t>
      </w:r>
    </w:p>
    <w:p w14:paraId="6E431209" w14:textId="77777777" w:rsidR="002A5F50" w:rsidRPr="001839C2" w:rsidRDefault="00A66F3F"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w:t>
      </w:r>
      <w:r w:rsidR="002A5F50" w:rsidRPr="001839C2">
        <w:rPr>
          <w:rFonts w:eastAsiaTheme="minorEastAsia"/>
          <w:snapToGrid/>
          <w:szCs w:val="22"/>
          <w:lang w:val="lt-LT" w:eastAsia="en-IN"/>
        </w:rPr>
        <w:t>artojant š</w:t>
      </w:r>
      <w:r w:rsidR="002D5010" w:rsidRPr="001839C2">
        <w:rPr>
          <w:rFonts w:eastAsiaTheme="minorEastAsia"/>
          <w:snapToGrid/>
          <w:szCs w:val="22"/>
          <w:lang w:val="lt-LT" w:eastAsia="en-IN"/>
        </w:rPr>
        <w:t>io</w:t>
      </w:r>
      <w:r w:rsidR="002A5F50" w:rsidRPr="001839C2">
        <w:rPr>
          <w:rFonts w:eastAsiaTheme="minorEastAsia"/>
          <w:snapToGrid/>
          <w:szCs w:val="22"/>
          <w:lang w:val="lt-LT" w:eastAsia="en-IN"/>
        </w:rPr>
        <w:t xml:space="preserve"> vaist</w:t>
      </w:r>
      <w:r w:rsidR="002D5010" w:rsidRPr="001839C2">
        <w:rPr>
          <w:rFonts w:eastAsiaTheme="minorEastAsia"/>
          <w:snapToGrid/>
          <w:szCs w:val="22"/>
          <w:lang w:val="lt-LT" w:eastAsia="en-IN"/>
        </w:rPr>
        <w:t>o</w:t>
      </w:r>
      <w:r w:rsidR="002A5F50" w:rsidRPr="001839C2">
        <w:rPr>
          <w:rFonts w:eastAsiaTheme="minorEastAsia"/>
          <w:snapToGrid/>
          <w:szCs w:val="22"/>
          <w:lang w:val="lt-LT" w:eastAsia="en-IN"/>
        </w:rPr>
        <w:t xml:space="preserve"> kartu su kitais antivirusiniais vaistais, turinčiais didanozino, gali padidėti didanozino koncentracija kraujyje ir sumažėti CD4</w:t>
      </w:r>
      <w:r w:rsidRPr="001839C2">
        <w:rPr>
          <w:rFonts w:eastAsiaTheme="minorEastAsia"/>
          <w:snapToGrid/>
          <w:szCs w:val="22"/>
          <w:lang w:val="lt-LT" w:eastAsia="en-IN"/>
        </w:rPr>
        <w:t> </w:t>
      </w:r>
      <w:r w:rsidR="002A5F50" w:rsidRPr="001839C2">
        <w:rPr>
          <w:rFonts w:eastAsiaTheme="minorEastAsia"/>
          <w:snapToGrid/>
          <w:szCs w:val="22"/>
          <w:lang w:val="lt-LT" w:eastAsia="en-IN"/>
        </w:rPr>
        <w:t>ląstelių skaičius. Retai buvo p</w:t>
      </w:r>
      <w:r w:rsidR="002D5010" w:rsidRPr="001839C2">
        <w:rPr>
          <w:rFonts w:eastAsiaTheme="minorEastAsia"/>
          <w:snapToGrid/>
          <w:szCs w:val="22"/>
          <w:lang w:val="lt-LT" w:eastAsia="en-IN"/>
        </w:rPr>
        <w:t>r</w:t>
      </w:r>
      <w:r w:rsidR="002A5F50" w:rsidRPr="001839C2">
        <w:rPr>
          <w:rFonts w:eastAsiaTheme="minorEastAsia"/>
          <w:snapToGrid/>
          <w:szCs w:val="22"/>
          <w:lang w:val="lt-LT" w:eastAsia="en-IN"/>
        </w:rPr>
        <w:t>an</w:t>
      </w:r>
      <w:r w:rsidR="002D5010" w:rsidRPr="001839C2">
        <w:rPr>
          <w:rFonts w:eastAsiaTheme="minorEastAsia"/>
          <w:snapToGrid/>
          <w:szCs w:val="22"/>
          <w:lang w:val="lt-LT" w:eastAsia="en-IN"/>
        </w:rPr>
        <w:t>eš</w:t>
      </w:r>
      <w:r w:rsidR="002A5F50" w:rsidRPr="001839C2">
        <w:rPr>
          <w:rFonts w:eastAsiaTheme="minorEastAsia"/>
          <w:snapToGrid/>
          <w:szCs w:val="22"/>
          <w:lang w:val="lt-LT" w:eastAsia="en-IN"/>
        </w:rPr>
        <w:t>t</w:t>
      </w:r>
      <w:r w:rsidR="002D5010" w:rsidRPr="001839C2">
        <w:rPr>
          <w:rFonts w:eastAsiaTheme="minorEastAsia"/>
          <w:snapToGrid/>
          <w:szCs w:val="22"/>
          <w:lang w:val="lt-LT" w:eastAsia="en-IN"/>
        </w:rPr>
        <w:t>a apie</w:t>
      </w:r>
      <w:r w:rsidR="002A5F50" w:rsidRPr="001839C2">
        <w:rPr>
          <w:rFonts w:eastAsiaTheme="minorEastAsia"/>
          <w:snapToGrid/>
          <w:szCs w:val="22"/>
          <w:lang w:val="lt-LT" w:eastAsia="en-IN"/>
        </w:rPr>
        <w:t xml:space="preserve"> kasos uždegimo ir laktatacidozės (padidėjęs pieno rūgšties kiekis kraujyje) atvej</w:t>
      </w:r>
      <w:r w:rsidR="002D5010" w:rsidRPr="001839C2">
        <w:rPr>
          <w:rFonts w:eastAsiaTheme="minorEastAsia"/>
          <w:snapToGrid/>
          <w:szCs w:val="22"/>
          <w:lang w:val="lt-LT" w:eastAsia="en-IN"/>
        </w:rPr>
        <w:t>us</w:t>
      </w:r>
      <w:r w:rsidR="002A5F50" w:rsidRPr="001839C2">
        <w:rPr>
          <w:rFonts w:eastAsiaTheme="minorEastAsia"/>
          <w:snapToGrid/>
          <w:szCs w:val="22"/>
          <w:lang w:val="lt-LT" w:eastAsia="en-IN"/>
        </w:rPr>
        <w:t>, kurie kartais sukelia mirtį, kartu vartojant vaistus, sudėtyje turinčius tenofoviro dizoproksilio ir didanozino. Jūsų gydytojas rūpestingai apsvarstys, ar jis Jus gydys tenofoviro ir didanozino kombinacijomis.</w:t>
      </w:r>
    </w:p>
    <w:p w14:paraId="1E17C6B4"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112E9C5E" w14:textId="77777777" w:rsidR="002A5F50" w:rsidRPr="001839C2" w:rsidRDefault="002A5F50" w:rsidP="00230559">
      <w:pPr>
        <w:widowControl w:val="0"/>
        <w:tabs>
          <w:tab w:val="clear" w:pos="567"/>
          <w:tab w:val="left" w:pos="684"/>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Pasakykite gydytojui</w:t>
      </w:r>
      <w:r w:rsidRPr="001839C2">
        <w:rPr>
          <w:rFonts w:eastAsiaTheme="minorEastAsia"/>
          <w:snapToGrid/>
          <w:szCs w:val="22"/>
          <w:lang w:val="lt-LT" w:eastAsia="en-IN"/>
        </w:rPr>
        <w:t>, jei vartojate bet kur</w:t>
      </w:r>
      <w:r w:rsidR="002D5010" w:rsidRPr="001839C2">
        <w:rPr>
          <w:rFonts w:eastAsiaTheme="minorEastAsia"/>
          <w:snapToGrid/>
          <w:szCs w:val="22"/>
          <w:lang w:val="lt-LT" w:eastAsia="en-IN"/>
        </w:rPr>
        <w:t>io</w:t>
      </w:r>
      <w:r w:rsidRPr="001839C2">
        <w:rPr>
          <w:rFonts w:eastAsiaTheme="minorEastAsia"/>
          <w:snapToGrid/>
          <w:szCs w:val="22"/>
          <w:lang w:val="lt-LT" w:eastAsia="en-IN"/>
        </w:rPr>
        <w:t xml:space="preserve"> iš šių vaistų. Jeigu vartojate ar neseniai vartojote kitų vaistų arba dėl to nesate tikri, apie tai pasakykite gydytojui arba vaistininkui.</w:t>
      </w:r>
    </w:p>
    <w:p w14:paraId="443185BC"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3AE450FE" w14:textId="77777777"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HAnsi"/>
          <w:b/>
          <w:bCs/>
          <w:snapToGrid/>
          <w:szCs w:val="22"/>
          <w:lang w:val="lt-LT"/>
        </w:rPr>
        <w:t xml:space="preserve">Emtricitabine/Tenofovir disoproxil Accordpharma </w:t>
      </w:r>
      <w:r w:rsidRPr="001839C2">
        <w:rPr>
          <w:rFonts w:eastAsiaTheme="minorEastAsia"/>
          <w:b/>
          <w:bCs/>
          <w:snapToGrid/>
          <w:szCs w:val="22"/>
          <w:lang w:val="lt-LT" w:eastAsia="en-IN"/>
        </w:rPr>
        <w:t>vartojimas su maistu ir gėrimais</w:t>
      </w:r>
    </w:p>
    <w:p w14:paraId="6403F5FD" w14:textId="20302DD5" w:rsidR="002A5F50" w:rsidRPr="001839C2" w:rsidRDefault="002A5F50" w:rsidP="00230559">
      <w:pPr>
        <w:widowControl w:val="0"/>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įmanoma, š</w:t>
      </w:r>
      <w:r w:rsidR="00A66F3F"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A66F3F" w:rsidRPr="001839C2">
        <w:rPr>
          <w:rFonts w:eastAsiaTheme="minorEastAsia"/>
          <w:snapToGrid/>
          <w:szCs w:val="22"/>
          <w:lang w:val="lt-LT" w:eastAsia="en-IN"/>
        </w:rPr>
        <w:t>o</w:t>
      </w:r>
      <w:r w:rsidRPr="001839C2" w:rsidDel="000A6C3D">
        <w:rPr>
          <w:rFonts w:eastAsiaTheme="minorEastAsia"/>
          <w:snapToGrid/>
          <w:szCs w:val="22"/>
          <w:lang w:val="lt-LT" w:eastAsia="en-IN"/>
        </w:rPr>
        <w:t xml:space="preserve"> </w:t>
      </w:r>
      <w:r w:rsidRPr="001839C2">
        <w:rPr>
          <w:rFonts w:eastAsiaTheme="minorEastAsia"/>
          <w:snapToGrid/>
          <w:szCs w:val="22"/>
          <w:lang w:val="lt-LT" w:eastAsia="en-IN"/>
        </w:rPr>
        <w:t xml:space="preserve">turėtų būti </w:t>
      </w:r>
      <w:r w:rsidR="00A66F3F" w:rsidRPr="001839C2">
        <w:rPr>
          <w:rFonts w:eastAsiaTheme="minorEastAsia"/>
          <w:snapToGrid/>
          <w:szCs w:val="22"/>
          <w:lang w:val="lt-LT" w:eastAsia="en-IN"/>
        </w:rPr>
        <w:t>va</w:t>
      </w:r>
      <w:r w:rsidRPr="001839C2">
        <w:rPr>
          <w:rFonts w:eastAsiaTheme="minorEastAsia"/>
          <w:snapToGrid/>
          <w:szCs w:val="22"/>
          <w:lang w:val="lt-LT" w:eastAsia="en-IN"/>
        </w:rPr>
        <w:t>r</w:t>
      </w:r>
      <w:r w:rsidR="00A66F3F" w:rsidRPr="001839C2">
        <w:rPr>
          <w:rFonts w:eastAsiaTheme="minorEastAsia"/>
          <w:snapToGrid/>
          <w:szCs w:val="22"/>
          <w:lang w:val="lt-LT" w:eastAsia="en-IN"/>
        </w:rPr>
        <w:t>toj</w:t>
      </w:r>
      <w:r w:rsidR="00FD7B62" w:rsidRPr="001839C2">
        <w:rPr>
          <w:rFonts w:eastAsiaTheme="minorEastAsia"/>
          <w:snapToGrid/>
          <w:szCs w:val="22"/>
          <w:lang w:val="lt-LT" w:eastAsia="en-IN"/>
        </w:rPr>
        <w:t>a</w:t>
      </w:r>
      <w:r w:rsidRPr="001839C2">
        <w:rPr>
          <w:rFonts w:eastAsiaTheme="minorEastAsia"/>
          <w:snapToGrid/>
          <w:szCs w:val="22"/>
          <w:lang w:val="lt-LT" w:eastAsia="en-IN"/>
        </w:rPr>
        <w:t>m</w:t>
      </w:r>
      <w:r w:rsidR="00A66F3F" w:rsidRPr="001839C2">
        <w:rPr>
          <w:rFonts w:eastAsiaTheme="minorEastAsia"/>
          <w:snapToGrid/>
          <w:szCs w:val="22"/>
          <w:lang w:val="lt-LT" w:eastAsia="en-IN"/>
        </w:rPr>
        <w:t>a</w:t>
      </w:r>
      <w:r w:rsidRPr="001839C2">
        <w:rPr>
          <w:rFonts w:eastAsiaTheme="minorEastAsia"/>
          <w:snapToGrid/>
          <w:szCs w:val="22"/>
          <w:lang w:val="lt-LT" w:eastAsia="en-IN"/>
        </w:rPr>
        <w:t xml:space="preserve"> su maistu.</w:t>
      </w:r>
    </w:p>
    <w:p w14:paraId="0700E353"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481D96A8" w14:textId="77777777"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Nėštumas ir žindymo laikotarpis</w:t>
      </w:r>
    </w:p>
    <w:p w14:paraId="32298B04"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b/>
          <w:bCs/>
          <w:snapToGrid/>
          <w:szCs w:val="22"/>
          <w:lang w:val="lt-LT" w:eastAsia="en-IN"/>
        </w:rPr>
      </w:pPr>
      <w:r w:rsidRPr="001839C2">
        <w:rPr>
          <w:rFonts w:eastAsiaTheme="minorEastAsia"/>
          <w:b/>
          <w:bCs/>
          <w:snapToGrid/>
          <w:szCs w:val="22"/>
          <w:lang w:val="lt-LT" w:eastAsia="en-IN"/>
        </w:rPr>
        <w:t>Jeigu esate nėščia, žindote kūdikį, manote, kad galbūt esate nėščia arba planuojate pastoti, tai prieš vartodama šį vaistą</w:t>
      </w:r>
      <w:r w:rsidR="00F640FF" w:rsidRPr="001839C2">
        <w:rPr>
          <w:rFonts w:eastAsiaTheme="minorEastAsia"/>
          <w:b/>
          <w:bCs/>
          <w:snapToGrid/>
          <w:szCs w:val="22"/>
          <w:lang w:val="lt-LT" w:eastAsia="en-IN"/>
        </w:rPr>
        <w:t>,</w:t>
      </w:r>
      <w:r w:rsidRPr="001839C2">
        <w:rPr>
          <w:rFonts w:eastAsiaTheme="minorEastAsia"/>
          <w:b/>
          <w:bCs/>
          <w:snapToGrid/>
          <w:szCs w:val="22"/>
          <w:lang w:val="lt-LT" w:eastAsia="en-IN"/>
        </w:rPr>
        <w:t xml:space="preserve"> pasitarkite su gydytoju arba vaistininku.</w:t>
      </w:r>
    </w:p>
    <w:p w14:paraId="7F7F1FC2"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4AF25B13" w14:textId="0C09B9C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 š</w:t>
      </w:r>
      <w:r w:rsidR="001360C5"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1360C5" w:rsidRPr="001839C2">
        <w:rPr>
          <w:rFonts w:eastAsiaTheme="minorEastAsia"/>
          <w:snapToGrid/>
          <w:szCs w:val="22"/>
          <w:lang w:val="lt-LT" w:eastAsia="en-IN"/>
        </w:rPr>
        <w:t>o</w:t>
      </w:r>
      <w:r w:rsidRPr="001839C2">
        <w:rPr>
          <w:rFonts w:eastAsiaTheme="minorEastAsia"/>
          <w:snapToGrid/>
          <w:szCs w:val="22"/>
          <w:lang w:val="lt-LT" w:eastAsia="en-IN"/>
        </w:rPr>
        <w:t xml:space="preserve"> vartojote nėštumo metu, gydytojas gali prašyti reguliariai atlikti kraujo ir kitokius diagnostinius tyrimus, kad galėtų stebėti Jūsų vaiko vystymąsi. Vaikams, kurių motinos nėštumo metu vartojo NATI, apsaugos nuo ŽIV nauda yra didesnė už galimą šalutinio poveikio pavojų.</w:t>
      </w:r>
    </w:p>
    <w:p w14:paraId="4E9CBCA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179958AE" w14:textId="6192A64A" w:rsidR="005606FA" w:rsidRPr="001839C2" w:rsidRDefault="00FD7B62" w:rsidP="005606FA">
      <w:pPr>
        <w:pStyle w:val="Sraopastraipa"/>
        <w:widowControl w:val="0"/>
        <w:numPr>
          <w:ilvl w:val="0"/>
          <w:numId w:val="36"/>
        </w:numPr>
        <w:tabs>
          <w:tab w:val="clear" w:pos="567"/>
        </w:tabs>
        <w:kinsoku w:val="0"/>
        <w:overflowPunct w:val="0"/>
        <w:autoSpaceDE w:val="0"/>
        <w:autoSpaceDN w:val="0"/>
        <w:adjustRightInd w:val="0"/>
        <w:ind w:left="567" w:hanging="567"/>
        <w:rPr>
          <w:lang w:val="lt-LT"/>
        </w:rPr>
      </w:pPr>
      <w:r w:rsidRPr="001839C2">
        <w:rPr>
          <w:b/>
          <w:bCs/>
          <w:lang w:val="lt-LT"/>
        </w:rPr>
        <w:t>Emtricitabine/Tenofovir disoproxil Accordpharma</w:t>
      </w:r>
      <w:r w:rsidR="005606FA" w:rsidRPr="001839C2">
        <w:rPr>
          <w:b/>
          <w:bCs/>
          <w:lang w:val="lt-LT"/>
        </w:rPr>
        <w:t xml:space="preserve"> gydomoms moterims negalima žindyti.</w:t>
      </w:r>
      <w:r w:rsidR="005606FA" w:rsidRPr="001839C2">
        <w:rPr>
          <w:lang w:val="lt-LT"/>
        </w:rPr>
        <w:t xml:space="preserve"> Tai būtina dėl to, kad veikliosios šio vaisto medžiagos patenka į moters pieną.</w:t>
      </w:r>
    </w:p>
    <w:p w14:paraId="11D1B374" w14:textId="77777777" w:rsidR="00762C3C" w:rsidRPr="001839C2" w:rsidRDefault="00762C3C" w:rsidP="00762C3C">
      <w:pPr>
        <w:pStyle w:val="Sraopastraipa"/>
        <w:widowControl w:val="0"/>
        <w:numPr>
          <w:ilvl w:val="0"/>
          <w:numId w:val="36"/>
        </w:numPr>
        <w:tabs>
          <w:tab w:val="clear" w:pos="567"/>
        </w:tabs>
        <w:kinsoku w:val="0"/>
        <w:overflowPunct w:val="0"/>
        <w:autoSpaceDE w:val="0"/>
        <w:autoSpaceDN w:val="0"/>
        <w:adjustRightInd w:val="0"/>
        <w:ind w:left="567" w:hanging="567"/>
        <w:rPr>
          <w:rFonts w:eastAsiaTheme="minorEastAsia"/>
          <w:snapToGrid/>
          <w:szCs w:val="22"/>
          <w:lang w:val="lt-LT" w:eastAsia="en-IN"/>
        </w:rPr>
      </w:pPr>
      <w:r w:rsidRPr="001839C2">
        <w:rPr>
          <w:lang w:val="lt-LT"/>
        </w:rPr>
        <w:t>Žindyti nerekomenduojama ŽIV infekuotoms moterims, nes per motinos pieną kūdikis gali užsikrėsti ŽIV.</w:t>
      </w:r>
      <w:r w:rsidRPr="001839C2">
        <w:rPr>
          <w:rFonts w:eastAsiaTheme="minorEastAsia"/>
          <w:snapToGrid/>
          <w:szCs w:val="22"/>
          <w:lang w:val="lt-LT" w:eastAsia="en-IN"/>
        </w:rPr>
        <w:t xml:space="preserve"> </w:t>
      </w:r>
    </w:p>
    <w:p w14:paraId="70EBD8D6" w14:textId="520259FF" w:rsidR="005606FA" w:rsidRPr="001839C2" w:rsidRDefault="00762C3C" w:rsidP="00762C3C">
      <w:pPr>
        <w:pStyle w:val="Sraopastraipa"/>
        <w:widowControl w:val="0"/>
        <w:numPr>
          <w:ilvl w:val="0"/>
          <w:numId w:val="36"/>
        </w:numPr>
        <w:tabs>
          <w:tab w:val="clear" w:pos="567"/>
        </w:tabs>
        <w:kinsoku w:val="0"/>
        <w:overflowPunct w:val="0"/>
        <w:autoSpaceDE w:val="0"/>
        <w:autoSpaceDN w:val="0"/>
        <w:adjustRightInd w:val="0"/>
        <w:ind w:left="567" w:hanging="567"/>
        <w:rPr>
          <w:lang w:val="lt-LT"/>
        </w:rPr>
      </w:pPr>
      <w:r w:rsidRPr="001839C2">
        <w:rPr>
          <w:lang w:val="lt-LT"/>
        </w:rPr>
        <w:t xml:space="preserve">Jeigu žindote arba svarstote galimybę žindyti, </w:t>
      </w:r>
      <w:r w:rsidRPr="001839C2">
        <w:rPr>
          <w:b/>
          <w:bCs/>
          <w:lang w:val="lt-LT"/>
        </w:rPr>
        <w:t>turite kuo greičiau pasitarti</w:t>
      </w:r>
      <w:r w:rsidRPr="001839C2">
        <w:rPr>
          <w:lang w:val="lt-LT"/>
        </w:rPr>
        <w:t xml:space="preserve"> </w:t>
      </w:r>
      <w:r w:rsidRPr="00686907">
        <w:rPr>
          <w:b/>
          <w:bCs/>
          <w:lang w:val="lt-LT"/>
        </w:rPr>
        <w:t>su gydytoju</w:t>
      </w:r>
      <w:r w:rsidRPr="001839C2">
        <w:rPr>
          <w:lang w:val="lt-LT"/>
        </w:rPr>
        <w:t>.</w:t>
      </w:r>
    </w:p>
    <w:p w14:paraId="3B6A2D50" w14:textId="77777777" w:rsidR="004D32AA" w:rsidRPr="001839C2" w:rsidRDefault="004D32AA"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73592628" w14:textId="77777777" w:rsidR="002A5F50" w:rsidRPr="001839C2" w:rsidRDefault="002A5F50" w:rsidP="00230559">
      <w:pPr>
        <w:keepNext/>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Vairavimas ir mechanizmų valdymas</w:t>
      </w:r>
    </w:p>
    <w:p w14:paraId="3E19D367" w14:textId="77777777" w:rsidR="002A5F50" w:rsidRPr="001839C2" w:rsidRDefault="002A5F50" w:rsidP="00230559">
      <w:pPr>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Emtricitabine/Tenofovir disoproxil Accordpharma</w:t>
      </w:r>
      <w:r w:rsidRPr="001839C2" w:rsidDel="000A6C3D">
        <w:rPr>
          <w:rFonts w:eastAsiaTheme="minorEastAsia"/>
          <w:snapToGrid/>
          <w:szCs w:val="22"/>
          <w:lang w:val="lt-LT" w:eastAsia="en-IN"/>
        </w:rPr>
        <w:t xml:space="preserve"> </w:t>
      </w:r>
      <w:r w:rsidRPr="001839C2">
        <w:rPr>
          <w:rFonts w:eastAsiaTheme="minorEastAsia"/>
          <w:snapToGrid/>
          <w:szCs w:val="22"/>
          <w:lang w:val="lt-LT" w:eastAsia="en-IN"/>
        </w:rPr>
        <w:t>gali sukelti svaig</w:t>
      </w:r>
      <w:r w:rsidR="00A66F3F" w:rsidRPr="001839C2">
        <w:rPr>
          <w:rFonts w:eastAsiaTheme="minorEastAsia"/>
          <w:snapToGrid/>
          <w:szCs w:val="22"/>
          <w:lang w:val="lt-LT" w:eastAsia="en-IN"/>
        </w:rPr>
        <w:t>ulį</w:t>
      </w:r>
      <w:r w:rsidRPr="001839C2">
        <w:rPr>
          <w:rFonts w:eastAsiaTheme="minorEastAsia"/>
          <w:snapToGrid/>
          <w:szCs w:val="22"/>
          <w:lang w:val="lt-LT" w:eastAsia="en-IN"/>
        </w:rPr>
        <w:t>. Jeigu vartojant šį vaistą J</w:t>
      </w:r>
      <w:r w:rsidR="001360C5" w:rsidRPr="001839C2">
        <w:rPr>
          <w:rFonts w:eastAsiaTheme="minorEastAsia"/>
          <w:snapToGrid/>
          <w:szCs w:val="22"/>
          <w:lang w:val="lt-LT" w:eastAsia="en-IN"/>
        </w:rPr>
        <w:t>ū</w:t>
      </w:r>
      <w:r w:rsidRPr="001839C2">
        <w:rPr>
          <w:rFonts w:eastAsiaTheme="minorEastAsia"/>
          <w:snapToGrid/>
          <w:szCs w:val="22"/>
          <w:lang w:val="lt-LT" w:eastAsia="en-IN"/>
        </w:rPr>
        <w:t xml:space="preserve">s </w:t>
      </w:r>
      <w:r w:rsidR="001360C5" w:rsidRPr="001839C2">
        <w:rPr>
          <w:rFonts w:eastAsiaTheme="minorEastAsia"/>
          <w:snapToGrid/>
          <w:szCs w:val="22"/>
          <w:lang w:val="lt-LT" w:eastAsia="en-IN"/>
        </w:rPr>
        <w:t>j</w:t>
      </w:r>
      <w:r w:rsidRPr="001839C2">
        <w:rPr>
          <w:rFonts w:eastAsiaTheme="minorEastAsia"/>
          <w:snapToGrid/>
          <w:szCs w:val="22"/>
          <w:lang w:val="lt-LT" w:eastAsia="en-IN"/>
        </w:rPr>
        <w:t>a</w:t>
      </w:r>
      <w:r w:rsidR="001360C5" w:rsidRPr="001839C2">
        <w:rPr>
          <w:rFonts w:eastAsiaTheme="minorEastAsia"/>
          <w:snapToGrid/>
          <w:szCs w:val="22"/>
          <w:lang w:val="lt-LT" w:eastAsia="en-IN"/>
        </w:rPr>
        <w:t>uč</w:t>
      </w:r>
      <w:r w:rsidRPr="001839C2">
        <w:rPr>
          <w:rFonts w:eastAsiaTheme="minorEastAsia"/>
          <w:snapToGrid/>
          <w:szCs w:val="22"/>
          <w:lang w:val="lt-LT" w:eastAsia="en-IN"/>
        </w:rPr>
        <w:t>ia</w:t>
      </w:r>
      <w:r w:rsidR="001360C5" w:rsidRPr="001839C2">
        <w:rPr>
          <w:rFonts w:eastAsiaTheme="minorEastAsia"/>
          <w:snapToGrid/>
          <w:szCs w:val="22"/>
          <w:lang w:val="lt-LT" w:eastAsia="en-IN"/>
        </w:rPr>
        <w:t>tės</w:t>
      </w:r>
      <w:r w:rsidRPr="001839C2">
        <w:rPr>
          <w:rFonts w:eastAsiaTheme="minorEastAsia"/>
          <w:snapToGrid/>
          <w:szCs w:val="22"/>
          <w:lang w:val="lt-LT" w:eastAsia="en-IN"/>
        </w:rPr>
        <w:t xml:space="preserve"> a</w:t>
      </w:r>
      <w:r w:rsidR="001360C5" w:rsidRPr="001839C2">
        <w:rPr>
          <w:rFonts w:eastAsiaTheme="minorEastAsia"/>
          <w:snapToGrid/>
          <w:szCs w:val="22"/>
          <w:lang w:val="lt-LT" w:eastAsia="en-IN"/>
        </w:rPr>
        <w:t>pasv</w:t>
      </w:r>
      <w:r w:rsidRPr="001839C2">
        <w:rPr>
          <w:rFonts w:eastAsiaTheme="minorEastAsia"/>
          <w:snapToGrid/>
          <w:szCs w:val="22"/>
          <w:lang w:val="lt-LT" w:eastAsia="en-IN"/>
        </w:rPr>
        <w:t>a</w:t>
      </w:r>
      <w:r w:rsidR="001360C5" w:rsidRPr="001839C2">
        <w:rPr>
          <w:rFonts w:eastAsiaTheme="minorEastAsia"/>
          <w:snapToGrid/>
          <w:szCs w:val="22"/>
          <w:lang w:val="lt-LT" w:eastAsia="en-IN"/>
        </w:rPr>
        <w:t>igęs</w:t>
      </w:r>
      <w:r w:rsidRPr="001839C2">
        <w:rPr>
          <w:rFonts w:eastAsiaTheme="minorEastAsia"/>
          <w:snapToGrid/>
          <w:szCs w:val="22"/>
          <w:lang w:val="lt-LT" w:eastAsia="en-IN"/>
        </w:rPr>
        <w:t xml:space="preserve">, </w:t>
      </w:r>
      <w:r w:rsidRPr="00686907">
        <w:rPr>
          <w:rFonts w:eastAsiaTheme="minorEastAsia"/>
          <w:b/>
          <w:snapToGrid/>
          <w:szCs w:val="22"/>
          <w:lang w:val="lt-LT" w:eastAsia="en-IN"/>
        </w:rPr>
        <w:t>negalima vairuoti</w:t>
      </w:r>
      <w:r w:rsidR="00A66F3F" w:rsidRPr="001839C2">
        <w:rPr>
          <w:rFonts w:eastAsiaTheme="minorEastAsia"/>
          <w:snapToGrid/>
          <w:szCs w:val="22"/>
          <w:lang w:val="lt-LT" w:eastAsia="en-IN"/>
        </w:rPr>
        <w:t xml:space="preserve"> </w:t>
      </w:r>
      <w:r w:rsidRPr="001839C2">
        <w:rPr>
          <w:rFonts w:eastAsiaTheme="minorEastAsia"/>
          <w:snapToGrid/>
          <w:szCs w:val="22"/>
          <w:lang w:val="lt-LT" w:eastAsia="en-IN"/>
        </w:rPr>
        <w:t>ir valdyti mechanizmų.</w:t>
      </w:r>
    </w:p>
    <w:p w14:paraId="7FCFEE7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66FBE8C0" w14:textId="77777777" w:rsidR="002A5F50" w:rsidRPr="001839C2" w:rsidRDefault="002A5F50" w:rsidP="00BF4605">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HAnsi"/>
          <w:b/>
          <w:bCs/>
          <w:snapToGrid/>
          <w:szCs w:val="22"/>
          <w:lang w:val="lt-LT"/>
        </w:rPr>
        <w:t xml:space="preserve">Emtricitabine/Tenofovir disoproxil Accordpharma </w:t>
      </w:r>
      <w:r w:rsidRPr="001839C2">
        <w:rPr>
          <w:rFonts w:eastAsiaTheme="minorEastAsia"/>
          <w:b/>
          <w:bCs/>
          <w:snapToGrid/>
          <w:szCs w:val="22"/>
          <w:lang w:val="lt-LT" w:eastAsia="en-IN"/>
        </w:rPr>
        <w:t>sudėtyje yra laktozės</w:t>
      </w:r>
    </w:p>
    <w:p w14:paraId="691CFD77"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Jeigu gydytojas Jums yra sakęs, kad netoleruojate kokių nors angliavandenių, kreipkitės į jį prieš pradėdami vartoti šį </w:t>
      </w:r>
      <w:r w:rsidR="00B3265F" w:rsidRPr="001839C2">
        <w:rPr>
          <w:rFonts w:eastAsiaTheme="minorEastAsia"/>
          <w:snapToGrid/>
          <w:szCs w:val="22"/>
          <w:lang w:val="lt-LT" w:eastAsia="en-IN"/>
        </w:rPr>
        <w:t>vaistą</w:t>
      </w:r>
      <w:r w:rsidRPr="001839C2">
        <w:rPr>
          <w:rFonts w:eastAsiaTheme="minorEastAsia"/>
          <w:snapToGrid/>
          <w:szCs w:val="22"/>
          <w:lang w:val="lt-LT" w:eastAsia="en-IN"/>
        </w:rPr>
        <w:t>.</w:t>
      </w:r>
    </w:p>
    <w:p w14:paraId="1834B7C4"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p>
    <w:p w14:paraId="397AA582" w14:textId="77777777" w:rsidR="002A5F50" w:rsidRPr="001839C2" w:rsidRDefault="002A5F50" w:rsidP="00BF4605">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HAnsi"/>
          <w:b/>
          <w:bCs/>
          <w:snapToGrid/>
          <w:szCs w:val="22"/>
          <w:lang w:val="lt-LT"/>
        </w:rPr>
        <w:t xml:space="preserve">Emtricitabine/Tenofovir disoproxil Accordpharma </w:t>
      </w:r>
      <w:r w:rsidRPr="001839C2">
        <w:rPr>
          <w:rFonts w:eastAsiaTheme="minorEastAsia"/>
          <w:b/>
          <w:bCs/>
          <w:snapToGrid/>
          <w:szCs w:val="22"/>
          <w:lang w:val="lt-LT" w:eastAsia="en-IN"/>
        </w:rPr>
        <w:t xml:space="preserve">sudėtyje yra </w:t>
      </w:r>
      <w:r w:rsidR="00B3265F" w:rsidRPr="001839C2">
        <w:rPr>
          <w:rFonts w:eastAsiaTheme="minorEastAsia"/>
          <w:b/>
          <w:bCs/>
          <w:snapToGrid/>
          <w:szCs w:val="22"/>
          <w:lang w:val="lt-LT" w:eastAsia="en-IN"/>
        </w:rPr>
        <w:t>natrio</w:t>
      </w:r>
    </w:p>
    <w:p w14:paraId="312C34C2" w14:textId="5EE34D76"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Šio vaisto</w:t>
      </w:r>
      <w:r w:rsidR="004066F4" w:rsidRPr="001839C2">
        <w:rPr>
          <w:rFonts w:eastAsiaTheme="minorEastAsia"/>
          <w:snapToGrid/>
          <w:szCs w:val="22"/>
          <w:lang w:val="lt-LT" w:eastAsia="en-IN"/>
        </w:rPr>
        <w:t xml:space="preserve"> tabletėje</w:t>
      </w:r>
      <w:r w:rsidRPr="001839C2">
        <w:rPr>
          <w:rFonts w:eastAsiaTheme="minorEastAsia"/>
          <w:snapToGrid/>
          <w:szCs w:val="22"/>
          <w:lang w:val="lt-LT" w:eastAsia="en-IN"/>
        </w:rPr>
        <w:t xml:space="preserve"> yra mažiau kaip 1</w:t>
      </w:r>
      <w:r w:rsidR="004066F4" w:rsidRPr="001839C2">
        <w:rPr>
          <w:rFonts w:eastAsiaTheme="minorEastAsia"/>
          <w:snapToGrid/>
          <w:szCs w:val="22"/>
          <w:lang w:val="lt-LT" w:eastAsia="en-IN"/>
        </w:rPr>
        <w:t> </w:t>
      </w:r>
      <w:r w:rsidRPr="001839C2">
        <w:rPr>
          <w:rFonts w:eastAsiaTheme="minorEastAsia"/>
          <w:snapToGrid/>
          <w:szCs w:val="22"/>
          <w:lang w:val="lt-LT" w:eastAsia="en-IN"/>
        </w:rPr>
        <w:t xml:space="preserve">mmol </w:t>
      </w:r>
      <w:r w:rsidRPr="001839C2">
        <w:rPr>
          <w:rFonts w:eastAsiaTheme="minorHAnsi"/>
          <w:snapToGrid/>
          <w:szCs w:val="22"/>
          <w:lang w:val="lt-LT"/>
        </w:rPr>
        <w:t>(23</w:t>
      </w:r>
      <w:r w:rsidR="004066F4" w:rsidRPr="001839C2">
        <w:rPr>
          <w:rFonts w:eastAsiaTheme="minorHAnsi"/>
          <w:snapToGrid/>
          <w:szCs w:val="22"/>
          <w:lang w:val="lt-LT"/>
        </w:rPr>
        <w:t> </w:t>
      </w:r>
      <w:r w:rsidRPr="001839C2">
        <w:rPr>
          <w:rFonts w:eastAsiaTheme="minorHAnsi"/>
          <w:snapToGrid/>
          <w:szCs w:val="22"/>
          <w:lang w:val="lt-LT"/>
        </w:rPr>
        <w:t xml:space="preserve">mg) natrio, </w:t>
      </w:r>
      <w:r w:rsidR="004066F4" w:rsidRPr="001839C2">
        <w:rPr>
          <w:rFonts w:eastAsiaTheme="minorHAnsi"/>
          <w:snapToGrid/>
          <w:szCs w:val="22"/>
          <w:lang w:val="lt-LT"/>
        </w:rPr>
        <w:t>t.</w:t>
      </w:r>
      <w:r w:rsidR="00A66F3F" w:rsidRPr="001839C2">
        <w:rPr>
          <w:rFonts w:eastAsiaTheme="minorHAnsi"/>
          <w:snapToGrid/>
          <w:szCs w:val="22"/>
          <w:lang w:val="lt-LT"/>
        </w:rPr>
        <w:t> </w:t>
      </w:r>
      <w:r w:rsidR="004066F4" w:rsidRPr="001839C2">
        <w:rPr>
          <w:rFonts w:eastAsiaTheme="minorHAnsi"/>
          <w:snapToGrid/>
          <w:szCs w:val="22"/>
          <w:lang w:val="lt-LT"/>
        </w:rPr>
        <w:t>y. jis beveik neturi reikšmės.</w:t>
      </w:r>
    </w:p>
    <w:p w14:paraId="07F0C9BA"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3B77907B"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74EE8317" w14:textId="77777777" w:rsidR="002A5F50" w:rsidRPr="001839C2" w:rsidRDefault="002A5F50" w:rsidP="00230559">
      <w:pPr>
        <w:widowControl w:val="0"/>
        <w:numPr>
          <w:ilvl w:val="0"/>
          <w:numId w:val="20"/>
        </w:numPr>
        <w:kinsoku w:val="0"/>
        <w:overflowPunct w:val="0"/>
        <w:autoSpaceDE w:val="0"/>
        <w:autoSpaceDN w:val="0"/>
        <w:adjustRightInd w:val="0"/>
        <w:ind w:left="567"/>
        <w:outlineLvl w:val="0"/>
        <w:rPr>
          <w:rFonts w:eastAsiaTheme="minorEastAsia"/>
          <w:snapToGrid/>
          <w:szCs w:val="22"/>
          <w:lang w:val="lt-LT" w:eastAsia="en-IN"/>
        </w:rPr>
      </w:pPr>
      <w:r w:rsidRPr="001839C2">
        <w:rPr>
          <w:rFonts w:eastAsiaTheme="minorEastAsia"/>
          <w:b/>
          <w:bCs/>
          <w:snapToGrid/>
          <w:szCs w:val="22"/>
          <w:lang w:val="lt-LT" w:eastAsia="en-IN"/>
        </w:rPr>
        <w:t xml:space="preserve">Kaip vartoti </w:t>
      </w:r>
      <w:r w:rsidRPr="001839C2">
        <w:rPr>
          <w:rFonts w:eastAsiaTheme="minorHAnsi"/>
          <w:b/>
          <w:bCs/>
          <w:snapToGrid/>
          <w:szCs w:val="22"/>
          <w:lang w:val="lt-LT"/>
        </w:rPr>
        <w:t>Emtricitabine/Tenofovir disoproxil Accordpharma</w:t>
      </w:r>
    </w:p>
    <w:p w14:paraId="7D280356"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0314EF5C" w14:textId="511F9BA1" w:rsidR="002A5F50" w:rsidRPr="001839C2" w:rsidRDefault="002A5F50" w:rsidP="00230559">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r w:rsidRPr="001839C2">
        <w:rPr>
          <w:rFonts w:eastAsiaTheme="minorEastAsia"/>
          <w:bCs/>
          <w:snapToGrid/>
          <w:szCs w:val="22"/>
          <w:lang w:val="lt-LT" w:eastAsia="en-IN"/>
        </w:rPr>
        <w:t xml:space="preserve">Visada vartokite šį vaistą tiksliai kaip nurodė gydytojas. </w:t>
      </w:r>
      <w:r w:rsidRPr="001839C2">
        <w:rPr>
          <w:rFonts w:eastAsiaTheme="minorEastAsia"/>
          <w:snapToGrid/>
          <w:szCs w:val="22"/>
          <w:lang w:val="lt-LT" w:eastAsia="en-IN"/>
        </w:rPr>
        <w:t>Jeigu abejojate, kreipkitės į gydytoją arba vaistininką.</w:t>
      </w:r>
    </w:p>
    <w:p w14:paraId="552F4C4D" w14:textId="77777777" w:rsidR="002A5F50" w:rsidRPr="001839C2" w:rsidRDefault="002A5F50" w:rsidP="002A5F50">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p>
    <w:p w14:paraId="128F0271" w14:textId="77777777"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CB32F8">
        <w:rPr>
          <w:rFonts w:eastAsiaTheme="minorEastAsia"/>
          <w:b/>
          <w:snapToGrid/>
          <w:szCs w:val="22"/>
          <w:lang w:val="lt-LT" w:eastAsia="en-IN"/>
        </w:rPr>
        <w:t xml:space="preserve">Rekomenduojama </w:t>
      </w:r>
      <w:r w:rsidRPr="00CB32F8">
        <w:rPr>
          <w:rFonts w:eastAsiaTheme="minorHAnsi"/>
          <w:b/>
          <w:snapToGrid/>
          <w:szCs w:val="22"/>
          <w:lang w:val="lt-LT"/>
        </w:rPr>
        <w:t xml:space="preserve">Emtricitabine/Tenofovir disoproxil Accordpharma </w:t>
      </w:r>
      <w:r w:rsidRPr="00CB32F8">
        <w:rPr>
          <w:rFonts w:eastAsiaTheme="minorEastAsia"/>
          <w:b/>
          <w:snapToGrid/>
          <w:szCs w:val="22"/>
          <w:lang w:val="lt-LT" w:eastAsia="en-IN"/>
        </w:rPr>
        <w:t>dozė ŽIV</w:t>
      </w:r>
      <w:r w:rsidR="000E5DB3" w:rsidRPr="00CB32F8">
        <w:rPr>
          <w:rFonts w:eastAsiaTheme="minorEastAsia"/>
          <w:b/>
          <w:snapToGrid/>
          <w:szCs w:val="22"/>
          <w:lang w:val="lt-LT" w:eastAsia="en-IN"/>
        </w:rPr>
        <w:t> </w:t>
      </w:r>
      <w:r w:rsidRPr="00CB32F8">
        <w:rPr>
          <w:rFonts w:eastAsiaTheme="minorEastAsia"/>
          <w:b/>
          <w:snapToGrid/>
          <w:szCs w:val="22"/>
          <w:lang w:val="lt-LT" w:eastAsia="en-IN"/>
        </w:rPr>
        <w:t>gydyti yra</w:t>
      </w:r>
      <w:r w:rsidRPr="001839C2">
        <w:rPr>
          <w:rFonts w:eastAsiaTheme="minorEastAsia"/>
          <w:bCs/>
          <w:snapToGrid/>
          <w:szCs w:val="22"/>
          <w:lang w:val="lt-LT" w:eastAsia="en-IN"/>
        </w:rPr>
        <w:t>:</w:t>
      </w:r>
    </w:p>
    <w:p w14:paraId="135D52B7" w14:textId="7BA50437" w:rsidR="002A5F50" w:rsidRPr="001839C2" w:rsidRDefault="002A5F50" w:rsidP="00230559">
      <w:pPr>
        <w:widowControl w:val="0"/>
        <w:numPr>
          <w:ilvl w:val="0"/>
          <w:numId w:val="27"/>
        </w:numPr>
        <w:tabs>
          <w:tab w:val="clear" w:pos="567"/>
          <w:tab w:val="left" w:pos="685"/>
        </w:tabs>
        <w:kinsoku w:val="0"/>
        <w:overflowPunct w:val="0"/>
        <w:autoSpaceDE w:val="0"/>
        <w:autoSpaceDN w:val="0"/>
        <w:adjustRightInd w:val="0"/>
        <w:ind w:left="684" w:hanging="566"/>
        <w:rPr>
          <w:rFonts w:eastAsiaTheme="minorEastAsia"/>
          <w:snapToGrid/>
          <w:szCs w:val="22"/>
          <w:lang w:val="lt-LT" w:eastAsia="en-IN"/>
        </w:rPr>
      </w:pPr>
      <w:r w:rsidRPr="00CB32F8">
        <w:rPr>
          <w:rFonts w:eastAsiaTheme="minorEastAsia"/>
          <w:b/>
          <w:iCs/>
          <w:snapToGrid/>
          <w:szCs w:val="22"/>
          <w:lang w:val="lt-LT" w:eastAsia="en-IN"/>
        </w:rPr>
        <w:t>Suaugusiesiems</w:t>
      </w:r>
      <w:r w:rsidR="00762C3C" w:rsidRPr="00CB32F8">
        <w:rPr>
          <w:rFonts w:eastAsiaTheme="minorEastAsia"/>
          <w:b/>
          <w:iCs/>
          <w:snapToGrid/>
          <w:szCs w:val="22"/>
          <w:lang w:val="lt-LT" w:eastAsia="en-IN"/>
        </w:rPr>
        <w:t>:</w:t>
      </w:r>
      <w:r w:rsidR="00762C3C" w:rsidRPr="001839C2">
        <w:rPr>
          <w:rFonts w:eastAsiaTheme="minorEastAsia"/>
          <w:snapToGrid/>
          <w:szCs w:val="22"/>
          <w:lang w:val="lt-LT" w:eastAsia="en-IN"/>
        </w:rPr>
        <w:t xml:space="preserve"> p</w:t>
      </w:r>
      <w:r w:rsidRPr="001839C2">
        <w:rPr>
          <w:rFonts w:eastAsiaTheme="minorEastAsia"/>
          <w:snapToGrid/>
          <w:szCs w:val="22"/>
          <w:lang w:val="lt-LT" w:eastAsia="en-IN"/>
        </w:rPr>
        <w:t>o vieną</w:t>
      </w:r>
      <w:r w:rsidR="00A66F3F" w:rsidRPr="001839C2">
        <w:rPr>
          <w:rFonts w:eastAsiaTheme="minorEastAsia"/>
          <w:snapToGrid/>
          <w:szCs w:val="22"/>
          <w:lang w:val="lt-LT" w:eastAsia="en-IN"/>
        </w:rPr>
        <w:t> </w:t>
      </w:r>
      <w:r w:rsidRPr="001839C2">
        <w:rPr>
          <w:rFonts w:eastAsiaTheme="minorEastAsia"/>
          <w:snapToGrid/>
          <w:szCs w:val="22"/>
          <w:lang w:val="lt-LT" w:eastAsia="en-IN"/>
        </w:rPr>
        <w:t>tabletę per</w:t>
      </w:r>
      <w:r w:rsidR="00A66F3F" w:rsidRPr="001839C2">
        <w:rPr>
          <w:rFonts w:eastAsiaTheme="minorEastAsia"/>
          <w:snapToGrid/>
          <w:szCs w:val="22"/>
          <w:lang w:val="lt-LT" w:eastAsia="en-IN"/>
        </w:rPr>
        <w:t> </w:t>
      </w:r>
      <w:r w:rsidRPr="001839C2">
        <w:rPr>
          <w:rFonts w:eastAsiaTheme="minorEastAsia"/>
          <w:snapToGrid/>
          <w:szCs w:val="22"/>
          <w:lang w:val="lt-LT" w:eastAsia="en-IN"/>
        </w:rPr>
        <w:t>parą, jeigu įmanoma, su maistu.</w:t>
      </w:r>
    </w:p>
    <w:p w14:paraId="7E3AE9A7" w14:textId="7D4A0967"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CB32F8">
        <w:rPr>
          <w:rFonts w:eastAsiaTheme="minorEastAsia"/>
          <w:b/>
          <w:iCs/>
          <w:snapToGrid/>
          <w:szCs w:val="22"/>
          <w:lang w:val="lt-LT" w:eastAsia="en-IN"/>
        </w:rPr>
        <w:t>Nuo 12 iki 18</w:t>
      </w:r>
      <w:r w:rsidR="00A66F3F" w:rsidRPr="00CB32F8">
        <w:rPr>
          <w:rFonts w:eastAsiaTheme="minorEastAsia"/>
          <w:b/>
          <w:iCs/>
          <w:snapToGrid/>
          <w:szCs w:val="22"/>
          <w:lang w:val="lt-LT" w:eastAsia="en-IN"/>
        </w:rPr>
        <w:t> </w:t>
      </w:r>
      <w:r w:rsidRPr="00CB32F8">
        <w:rPr>
          <w:rFonts w:eastAsiaTheme="minorEastAsia"/>
          <w:b/>
          <w:iCs/>
          <w:snapToGrid/>
          <w:szCs w:val="22"/>
          <w:lang w:val="lt-LT" w:eastAsia="en-IN"/>
        </w:rPr>
        <w:t>metų paaugliams, sveriantiems ne mažiau kaip 35</w:t>
      </w:r>
      <w:r w:rsidR="00111AE7" w:rsidRPr="00CB32F8">
        <w:rPr>
          <w:rFonts w:eastAsiaTheme="minorEastAsia"/>
          <w:b/>
          <w:iCs/>
          <w:snapToGrid/>
          <w:szCs w:val="22"/>
          <w:lang w:val="lt-LT" w:eastAsia="en-IN"/>
        </w:rPr>
        <w:t> </w:t>
      </w:r>
      <w:r w:rsidRPr="00CB32F8">
        <w:rPr>
          <w:rFonts w:eastAsiaTheme="minorEastAsia"/>
          <w:b/>
          <w:iCs/>
          <w:snapToGrid/>
          <w:szCs w:val="22"/>
          <w:lang w:val="lt-LT" w:eastAsia="en-IN"/>
        </w:rPr>
        <w:t>kg</w:t>
      </w:r>
      <w:r w:rsidR="00762C3C" w:rsidRPr="00CB32F8">
        <w:rPr>
          <w:rFonts w:eastAsiaTheme="minorEastAsia"/>
          <w:b/>
          <w:iCs/>
          <w:snapToGrid/>
          <w:szCs w:val="22"/>
          <w:lang w:val="lt-LT" w:eastAsia="en-IN"/>
        </w:rPr>
        <w:t>:</w:t>
      </w:r>
      <w:r w:rsidR="00762C3C" w:rsidRPr="001839C2">
        <w:rPr>
          <w:rFonts w:eastAsiaTheme="minorEastAsia"/>
          <w:snapToGrid/>
          <w:szCs w:val="22"/>
          <w:lang w:val="lt-LT" w:eastAsia="en-IN"/>
        </w:rPr>
        <w:t xml:space="preserve"> p</w:t>
      </w:r>
      <w:r w:rsidRPr="001839C2">
        <w:rPr>
          <w:rFonts w:eastAsiaTheme="minorEastAsia"/>
          <w:snapToGrid/>
          <w:szCs w:val="22"/>
          <w:lang w:val="lt-LT" w:eastAsia="en-IN"/>
        </w:rPr>
        <w:t>o vieną</w:t>
      </w:r>
      <w:r w:rsidR="00111AE7" w:rsidRPr="001839C2">
        <w:rPr>
          <w:rFonts w:eastAsiaTheme="minorEastAsia"/>
          <w:snapToGrid/>
          <w:szCs w:val="22"/>
          <w:lang w:val="lt-LT" w:eastAsia="en-IN"/>
        </w:rPr>
        <w:t> </w:t>
      </w:r>
      <w:r w:rsidRPr="001839C2">
        <w:rPr>
          <w:rFonts w:eastAsiaTheme="minorEastAsia"/>
          <w:snapToGrid/>
          <w:szCs w:val="22"/>
          <w:lang w:val="lt-LT" w:eastAsia="en-IN"/>
        </w:rPr>
        <w:t>tabletę per</w:t>
      </w:r>
      <w:r w:rsidR="00111AE7" w:rsidRPr="001839C2">
        <w:rPr>
          <w:rFonts w:eastAsiaTheme="minorEastAsia"/>
          <w:snapToGrid/>
          <w:szCs w:val="22"/>
          <w:lang w:val="lt-LT" w:eastAsia="en-IN"/>
        </w:rPr>
        <w:t> </w:t>
      </w:r>
      <w:r w:rsidRPr="001839C2">
        <w:rPr>
          <w:rFonts w:eastAsiaTheme="minorEastAsia"/>
          <w:snapToGrid/>
          <w:szCs w:val="22"/>
          <w:lang w:val="lt-LT" w:eastAsia="en-IN"/>
        </w:rPr>
        <w:t>parą, jeigu įmanoma, su maistu.</w:t>
      </w:r>
    </w:p>
    <w:p w14:paraId="3522AE32"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0E8177D4" w14:textId="77777777"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CB32F8">
        <w:rPr>
          <w:rFonts w:eastAsiaTheme="minorEastAsia"/>
          <w:b/>
          <w:snapToGrid/>
          <w:szCs w:val="22"/>
          <w:lang w:val="lt-LT" w:eastAsia="en-IN"/>
        </w:rPr>
        <w:t xml:space="preserve">Rekomenduojama </w:t>
      </w:r>
      <w:r w:rsidRPr="00CB32F8">
        <w:rPr>
          <w:rFonts w:eastAsiaTheme="minorHAnsi"/>
          <w:b/>
          <w:snapToGrid/>
          <w:szCs w:val="22"/>
          <w:lang w:val="lt-LT"/>
        </w:rPr>
        <w:t xml:space="preserve">Emtricitabine/Tenofovir disoproxil Accordpharma </w:t>
      </w:r>
      <w:r w:rsidRPr="00CB32F8">
        <w:rPr>
          <w:rFonts w:eastAsiaTheme="minorEastAsia"/>
          <w:b/>
          <w:snapToGrid/>
          <w:szCs w:val="22"/>
          <w:lang w:val="lt-LT" w:eastAsia="en-IN"/>
        </w:rPr>
        <w:t>dozė užsikrėtimo</w:t>
      </w:r>
      <w:r w:rsidR="000E5DB3" w:rsidRPr="00CB32F8">
        <w:rPr>
          <w:rFonts w:eastAsiaTheme="minorEastAsia"/>
          <w:b/>
          <w:snapToGrid/>
          <w:szCs w:val="22"/>
          <w:lang w:val="lt-LT" w:eastAsia="en-IN"/>
        </w:rPr>
        <w:t> </w:t>
      </w:r>
      <w:r w:rsidRPr="00CB32F8">
        <w:rPr>
          <w:rFonts w:eastAsiaTheme="minorEastAsia"/>
          <w:b/>
          <w:snapToGrid/>
          <w:szCs w:val="22"/>
          <w:lang w:val="lt-LT" w:eastAsia="en-IN"/>
        </w:rPr>
        <w:t>ŽIV rizikai sumažinti yra</w:t>
      </w:r>
      <w:r w:rsidRPr="001839C2">
        <w:rPr>
          <w:rFonts w:eastAsiaTheme="minorEastAsia"/>
          <w:bCs/>
          <w:snapToGrid/>
          <w:szCs w:val="22"/>
          <w:lang w:val="lt-LT" w:eastAsia="en-IN"/>
        </w:rPr>
        <w:t>:</w:t>
      </w:r>
    </w:p>
    <w:p w14:paraId="17DEB451" w14:textId="6D8D9480"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CB32F8">
        <w:rPr>
          <w:rFonts w:eastAsiaTheme="minorEastAsia"/>
          <w:b/>
          <w:iCs/>
          <w:snapToGrid/>
          <w:szCs w:val="22"/>
          <w:lang w:val="lt-LT" w:eastAsia="en-IN"/>
        </w:rPr>
        <w:t>Suaugusiesiems</w:t>
      </w:r>
      <w:r w:rsidR="00762C3C" w:rsidRPr="001839C2">
        <w:rPr>
          <w:rFonts w:eastAsiaTheme="minorEastAsia"/>
          <w:b/>
          <w:iCs/>
          <w:snapToGrid/>
          <w:szCs w:val="22"/>
          <w:lang w:val="lt-LT" w:eastAsia="en-IN"/>
        </w:rPr>
        <w:t>:</w:t>
      </w:r>
      <w:r w:rsidR="00762C3C" w:rsidRPr="001839C2">
        <w:rPr>
          <w:rFonts w:eastAsiaTheme="minorEastAsia"/>
          <w:bCs/>
          <w:i/>
          <w:snapToGrid/>
          <w:szCs w:val="22"/>
          <w:lang w:val="lt-LT" w:eastAsia="en-IN"/>
        </w:rPr>
        <w:t xml:space="preserve"> </w:t>
      </w:r>
      <w:r w:rsidR="00762C3C" w:rsidRPr="001839C2">
        <w:rPr>
          <w:rFonts w:eastAsiaTheme="minorEastAsia"/>
          <w:snapToGrid/>
          <w:szCs w:val="22"/>
          <w:lang w:val="lt-LT" w:eastAsia="en-IN"/>
        </w:rPr>
        <w:t>p</w:t>
      </w:r>
      <w:r w:rsidRPr="001839C2">
        <w:rPr>
          <w:rFonts w:eastAsiaTheme="minorEastAsia"/>
          <w:snapToGrid/>
          <w:szCs w:val="22"/>
          <w:lang w:val="lt-LT" w:eastAsia="en-IN"/>
        </w:rPr>
        <w:t>o vieną</w:t>
      </w:r>
      <w:r w:rsidR="00111AE7" w:rsidRPr="001839C2">
        <w:rPr>
          <w:rFonts w:eastAsiaTheme="minorEastAsia"/>
          <w:snapToGrid/>
          <w:szCs w:val="22"/>
          <w:lang w:val="lt-LT" w:eastAsia="en-IN"/>
        </w:rPr>
        <w:t> </w:t>
      </w:r>
      <w:r w:rsidRPr="001839C2">
        <w:rPr>
          <w:rFonts w:eastAsiaTheme="minorEastAsia"/>
          <w:snapToGrid/>
          <w:szCs w:val="22"/>
          <w:lang w:val="lt-LT" w:eastAsia="en-IN"/>
        </w:rPr>
        <w:t>tabletę per</w:t>
      </w:r>
      <w:r w:rsidR="00111AE7" w:rsidRPr="001839C2">
        <w:rPr>
          <w:rFonts w:eastAsiaTheme="minorEastAsia"/>
          <w:snapToGrid/>
          <w:szCs w:val="22"/>
          <w:lang w:val="lt-LT" w:eastAsia="en-IN"/>
        </w:rPr>
        <w:t> </w:t>
      </w:r>
      <w:r w:rsidRPr="001839C2">
        <w:rPr>
          <w:rFonts w:eastAsiaTheme="minorEastAsia"/>
          <w:snapToGrid/>
          <w:szCs w:val="22"/>
          <w:lang w:val="lt-LT" w:eastAsia="en-IN"/>
        </w:rPr>
        <w:t>parą, jeigu įmanoma, su maistu.</w:t>
      </w:r>
    </w:p>
    <w:p w14:paraId="55B85906" w14:textId="3230DFB0"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CB32F8">
        <w:rPr>
          <w:rFonts w:eastAsiaTheme="minorEastAsia"/>
          <w:b/>
          <w:iCs/>
          <w:snapToGrid/>
          <w:szCs w:val="22"/>
          <w:lang w:val="lt-LT" w:eastAsia="en-IN"/>
        </w:rPr>
        <w:t>Nuo 12 iki 18</w:t>
      </w:r>
      <w:r w:rsidR="00111AE7" w:rsidRPr="00CB32F8">
        <w:rPr>
          <w:rFonts w:eastAsiaTheme="minorEastAsia"/>
          <w:b/>
          <w:iCs/>
          <w:snapToGrid/>
          <w:szCs w:val="22"/>
          <w:lang w:val="lt-LT" w:eastAsia="en-IN"/>
        </w:rPr>
        <w:t> </w:t>
      </w:r>
      <w:r w:rsidRPr="00CB32F8">
        <w:rPr>
          <w:rFonts w:eastAsiaTheme="minorEastAsia"/>
          <w:b/>
          <w:iCs/>
          <w:snapToGrid/>
          <w:szCs w:val="22"/>
          <w:lang w:val="lt-LT" w:eastAsia="en-IN"/>
        </w:rPr>
        <w:t>metų paaugliams, sveriantiems ne mažiau kaip 35</w:t>
      </w:r>
      <w:r w:rsidR="00111AE7" w:rsidRPr="00CB32F8">
        <w:rPr>
          <w:rFonts w:eastAsiaTheme="minorEastAsia"/>
          <w:b/>
          <w:iCs/>
          <w:snapToGrid/>
          <w:szCs w:val="22"/>
          <w:lang w:val="lt-LT" w:eastAsia="en-IN"/>
        </w:rPr>
        <w:t> </w:t>
      </w:r>
      <w:r w:rsidRPr="00CB32F8">
        <w:rPr>
          <w:rFonts w:eastAsiaTheme="minorEastAsia"/>
          <w:b/>
          <w:iCs/>
          <w:snapToGrid/>
          <w:szCs w:val="22"/>
          <w:lang w:val="lt-LT" w:eastAsia="en-IN"/>
        </w:rPr>
        <w:t>kg</w:t>
      </w:r>
      <w:r w:rsidR="00762C3C" w:rsidRPr="001839C2">
        <w:rPr>
          <w:rFonts w:eastAsiaTheme="minorEastAsia"/>
          <w:snapToGrid/>
          <w:szCs w:val="22"/>
          <w:lang w:val="lt-LT" w:eastAsia="en-IN"/>
        </w:rPr>
        <w:t>: p</w:t>
      </w:r>
      <w:r w:rsidRPr="001839C2">
        <w:rPr>
          <w:rFonts w:eastAsiaTheme="minorEastAsia"/>
          <w:snapToGrid/>
          <w:szCs w:val="22"/>
          <w:lang w:val="lt-LT" w:eastAsia="en-IN"/>
        </w:rPr>
        <w:t>o vieną</w:t>
      </w:r>
      <w:r w:rsidR="00111AE7" w:rsidRPr="001839C2">
        <w:rPr>
          <w:rFonts w:eastAsiaTheme="minorEastAsia"/>
          <w:snapToGrid/>
          <w:szCs w:val="22"/>
          <w:lang w:val="lt-LT" w:eastAsia="en-IN"/>
        </w:rPr>
        <w:t> </w:t>
      </w:r>
      <w:r w:rsidRPr="001839C2">
        <w:rPr>
          <w:rFonts w:eastAsiaTheme="minorEastAsia"/>
          <w:snapToGrid/>
          <w:szCs w:val="22"/>
          <w:lang w:val="lt-LT" w:eastAsia="en-IN"/>
        </w:rPr>
        <w:t>tabletę per</w:t>
      </w:r>
      <w:r w:rsidR="00111AE7" w:rsidRPr="001839C2">
        <w:rPr>
          <w:rFonts w:eastAsiaTheme="minorEastAsia"/>
          <w:snapToGrid/>
          <w:szCs w:val="22"/>
          <w:lang w:val="lt-LT" w:eastAsia="en-IN"/>
        </w:rPr>
        <w:t> </w:t>
      </w:r>
      <w:r w:rsidRPr="001839C2">
        <w:rPr>
          <w:rFonts w:eastAsiaTheme="minorEastAsia"/>
          <w:snapToGrid/>
          <w:szCs w:val="22"/>
          <w:lang w:val="lt-LT" w:eastAsia="en-IN"/>
        </w:rPr>
        <w:t>parą, jeigu įmanoma, su maistu.</w:t>
      </w:r>
    </w:p>
    <w:p w14:paraId="1C3C0D9A"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46E29F4B"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Jums sunku nuryti, šaukšto galu galite atsargiai sutraiškyti tabletę. Miltelius sumaišykite su a</w:t>
      </w:r>
      <w:r w:rsidR="00111AE7" w:rsidRPr="001839C2">
        <w:rPr>
          <w:rFonts w:eastAsiaTheme="minorEastAsia"/>
          <w:snapToGrid/>
          <w:szCs w:val="22"/>
          <w:lang w:val="lt-LT" w:eastAsia="en-IN"/>
        </w:rPr>
        <w:t>pytiksli</w:t>
      </w:r>
      <w:r w:rsidRPr="001839C2">
        <w:rPr>
          <w:rFonts w:eastAsiaTheme="minorEastAsia"/>
          <w:snapToGrid/>
          <w:szCs w:val="22"/>
          <w:lang w:val="lt-LT" w:eastAsia="en-IN"/>
        </w:rPr>
        <w:t>a</w:t>
      </w:r>
      <w:r w:rsidR="00111AE7" w:rsidRPr="001839C2">
        <w:rPr>
          <w:rFonts w:eastAsiaTheme="minorEastAsia"/>
          <w:snapToGrid/>
          <w:szCs w:val="22"/>
          <w:lang w:val="lt-LT" w:eastAsia="en-IN"/>
        </w:rPr>
        <w:t>i</w:t>
      </w:r>
      <w:r w:rsidRPr="001839C2">
        <w:rPr>
          <w:rFonts w:eastAsiaTheme="minorEastAsia"/>
          <w:snapToGrid/>
          <w:szCs w:val="22"/>
          <w:lang w:val="lt-LT" w:eastAsia="en-IN"/>
        </w:rPr>
        <w:t xml:space="preserve"> 100</w:t>
      </w:r>
      <w:r w:rsidR="00111AE7" w:rsidRPr="001839C2">
        <w:rPr>
          <w:rFonts w:eastAsiaTheme="minorEastAsia"/>
          <w:snapToGrid/>
          <w:szCs w:val="22"/>
          <w:lang w:val="lt-LT" w:eastAsia="en-IN"/>
        </w:rPr>
        <w:t> </w:t>
      </w:r>
      <w:r w:rsidRPr="001839C2">
        <w:rPr>
          <w:rFonts w:eastAsiaTheme="minorEastAsia"/>
          <w:snapToGrid/>
          <w:szCs w:val="22"/>
          <w:lang w:val="lt-LT" w:eastAsia="en-IN"/>
        </w:rPr>
        <w:t>ml (pusė stiklinės) vandens, apelsinų ar vynuogių sulčių ir nedelsiant išgerkite.</w:t>
      </w:r>
    </w:p>
    <w:p w14:paraId="7F05CB9F"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1C6188A0" w14:textId="77777777" w:rsidR="002A5F50" w:rsidRPr="001839C2" w:rsidRDefault="002A5F50" w:rsidP="00CB32F8">
      <w:pPr>
        <w:widowControl w:val="0"/>
        <w:numPr>
          <w:ilvl w:val="0"/>
          <w:numId w:val="27"/>
        </w:numPr>
        <w:tabs>
          <w:tab w:val="clear" w:pos="567"/>
          <w:tab w:val="left" w:pos="686"/>
        </w:tabs>
        <w:kinsoku w:val="0"/>
        <w:overflowPunct w:val="0"/>
        <w:autoSpaceDE w:val="0"/>
        <w:autoSpaceDN w:val="0"/>
        <w:adjustRightInd w:val="0"/>
        <w:ind w:left="686"/>
        <w:rPr>
          <w:rFonts w:eastAsiaTheme="minorEastAsia"/>
          <w:bCs/>
          <w:iCs/>
          <w:snapToGrid/>
          <w:szCs w:val="22"/>
          <w:lang w:val="lt-LT" w:eastAsia="en-IN"/>
        </w:rPr>
      </w:pPr>
      <w:r w:rsidRPr="00CB32F8">
        <w:rPr>
          <w:rFonts w:eastAsiaTheme="minorEastAsia"/>
          <w:b/>
          <w:iCs/>
          <w:snapToGrid/>
          <w:szCs w:val="22"/>
          <w:lang w:val="lt-LT" w:eastAsia="en-IN"/>
        </w:rPr>
        <w:t xml:space="preserve">Visuomet vartokite gydytojo rekomenduojamą vaisto dozę. </w:t>
      </w:r>
      <w:r w:rsidRPr="001839C2">
        <w:rPr>
          <w:rFonts w:eastAsiaTheme="minorEastAsia"/>
          <w:bCs/>
          <w:iCs/>
          <w:snapToGrid/>
          <w:szCs w:val="22"/>
          <w:lang w:val="lt-LT" w:eastAsia="en-IN"/>
        </w:rPr>
        <w:t>Taip bus užtikrinamas visiškas vaisto efektyvumas ir bus mažesnė atsparumo vaistui išsivystymo galimybė. Nekeiskite dozės, nebent taip paskyrė gydytojas.</w:t>
      </w:r>
    </w:p>
    <w:p w14:paraId="64C33153"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2F4816C5" w14:textId="77777777" w:rsidR="002A5F50" w:rsidRPr="001839C2" w:rsidRDefault="002A5F50" w:rsidP="00CB32F8">
      <w:pPr>
        <w:widowControl w:val="0"/>
        <w:numPr>
          <w:ilvl w:val="0"/>
          <w:numId w:val="27"/>
        </w:numPr>
        <w:tabs>
          <w:tab w:val="clear" w:pos="567"/>
          <w:tab w:val="left" w:pos="686"/>
        </w:tabs>
        <w:kinsoku w:val="0"/>
        <w:overflowPunct w:val="0"/>
        <w:autoSpaceDE w:val="0"/>
        <w:autoSpaceDN w:val="0"/>
        <w:adjustRightInd w:val="0"/>
        <w:ind w:left="686"/>
        <w:rPr>
          <w:rFonts w:eastAsiaTheme="minorEastAsia"/>
          <w:bCs/>
          <w:iCs/>
          <w:snapToGrid/>
          <w:szCs w:val="22"/>
          <w:lang w:val="lt-LT" w:eastAsia="en-IN"/>
        </w:rPr>
      </w:pPr>
      <w:r w:rsidRPr="00CB32F8">
        <w:rPr>
          <w:rFonts w:eastAsiaTheme="minorEastAsia"/>
          <w:b/>
          <w:iCs/>
          <w:snapToGrid/>
          <w:szCs w:val="22"/>
          <w:lang w:val="lt-LT" w:eastAsia="en-IN"/>
        </w:rPr>
        <w:t>Jeigu gydotės nuo ŽIV</w:t>
      </w:r>
      <w:r w:rsidR="00111AE7" w:rsidRPr="00CB32F8">
        <w:rPr>
          <w:rFonts w:eastAsiaTheme="minorEastAsia"/>
          <w:b/>
          <w:iCs/>
          <w:snapToGrid/>
          <w:szCs w:val="22"/>
          <w:lang w:val="lt-LT" w:eastAsia="en-IN"/>
        </w:rPr>
        <w:t> </w:t>
      </w:r>
      <w:r w:rsidRPr="00CB32F8">
        <w:rPr>
          <w:rFonts w:eastAsiaTheme="minorEastAsia"/>
          <w:b/>
          <w:iCs/>
          <w:snapToGrid/>
          <w:szCs w:val="22"/>
          <w:lang w:val="lt-LT" w:eastAsia="en-IN"/>
        </w:rPr>
        <w:t>infekcijos</w:t>
      </w:r>
      <w:r w:rsidRPr="001839C2">
        <w:rPr>
          <w:rFonts w:eastAsiaTheme="minorEastAsia"/>
          <w:bCs/>
          <w:iCs/>
          <w:snapToGrid/>
          <w:szCs w:val="22"/>
          <w:lang w:val="lt-LT" w:eastAsia="en-IN"/>
        </w:rPr>
        <w:t xml:space="preserve">, gydytojas skirs </w:t>
      </w:r>
      <w:r w:rsidRPr="00CB32F8">
        <w:rPr>
          <w:rFonts w:eastAsiaTheme="minorEastAsia"/>
          <w:bCs/>
          <w:iCs/>
          <w:snapToGrid/>
          <w:szCs w:val="22"/>
          <w:lang w:val="lt-LT" w:eastAsia="en-IN"/>
        </w:rPr>
        <w:t>Emtricitabine/Tenofovir disoproxil Accordpharma</w:t>
      </w:r>
      <w:r w:rsidRPr="001839C2" w:rsidDel="00F60231">
        <w:rPr>
          <w:rFonts w:eastAsiaTheme="minorEastAsia"/>
          <w:bCs/>
          <w:iCs/>
          <w:snapToGrid/>
          <w:szCs w:val="22"/>
          <w:lang w:val="lt-LT" w:eastAsia="en-IN"/>
        </w:rPr>
        <w:t xml:space="preserve"> </w:t>
      </w:r>
      <w:r w:rsidRPr="001839C2">
        <w:rPr>
          <w:rFonts w:eastAsiaTheme="minorEastAsia"/>
          <w:bCs/>
          <w:iCs/>
          <w:snapToGrid/>
          <w:szCs w:val="22"/>
          <w:lang w:val="lt-LT" w:eastAsia="en-IN"/>
        </w:rPr>
        <w:t>kartu su kitais antiretrovirusiniais vaistais. Prašome perskaityti kitų antiretrovirusinių vaistų pakuočių lapelius, kuriuose bus nurodyta, kaip juos vartoti.</w:t>
      </w:r>
    </w:p>
    <w:p w14:paraId="7B9E4054"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0116E2A3" w14:textId="77777777" w:rsidR="002A5F50" w:rsidRPr="00CB32F8" w:rsidRDefault="002A5F50" w:rsidP="00CB32F8">
      <w:pPr>
        <w:widowControl w:val="0"/>
        <w:numPr>
          <w:ilvl w:val="0"/>
          <w:numId w:val="27"/>
        </w:numPr>
        <w:tabs>
          <w:tab w:val="clear" w:pos="567"/>
          <w:tab w:val="left" w:pos="686"/>
        </w:tabs>
        <w:kinsoku w:val="0"/>
        <w:overflowPunct w:val="0"/>
        <w:autoSpaceDE w:val="0"/>
        <w:autoSpaceDN w:val="0"/>
        <w:adjustRightInd w:val="0"/>
        <w:ind w:left="686"/>
        <w:rPr>
          <w:rFonts w:eastAsiaTheme="minorEastAsia"/>
          <w:b/>
          <w:iCs/>
          <w:snapToGrid/>
          <w:szCs w:val="22"/>
          <w:lang w:val="lt-LT" w:eastAsia="en-IN"/>
        </w:rPr>
      </w:pPr>
      <w:r w:rsidRPr="00CB32F8">
        <w:rPr>
          <w:rFonts w:eastAsiaTheme="minorEastAsia"/>
          <w:b/>
          <w:iCs/>
          <w:snapToGrid/>
          <w:szCs w:val="22"/>
          <w:lang w:val="lt-LT" w:eastAsia="en-IN"/>
        </w:rPr>
        <w:t>Jeigu vartojate Emtricitabine/Tenofovir disoproxil Accordpharma</w:t>
      </w:r>
      <w:r w:rsidRPr="00CB32F8" w:rsidDel="00F60231">
        <w:rPr>
          <w:rFonts w:eastAsiaTheme="minorEastAsia"/>
          <w:b/>
          <w:iCs/>
          <w:snapToGrid/>
          <w:szCs w:val="22"/>
          <w:lang w:val="lt-LT" w:eastAsia="en-IN"/>
        </w:rPr>
        <w:t xml:space="preserve"> </w:t>
      </w:r>
      <w:r w:rsidRPr="00CB32F8">
        <w:rPr>
          <w:rFonts w:eastAsiaTheme="minorEastAsia"/>
          <w:b/>
          <w:iCs/>
          <w:snapToGrid/>
          <w:szCs w:val="22"/>
          <w:lang w:val="lt-LT" w:eastAsia="en-IN"/>
        </w:rPr>
        <w:t>užsikrėtimo</w:t>
      </w:r>
      <w:r w:rsidR="00111AE7" w:rsidRPr="00CB32F8">
        <w:rPr>
          <w:rFonts w:eastAsiaTheme="minorEastAsia"/>
          <w:b/>
          <w:iCs/>
          <w:snapToGrid/>
          <w:szCs w:val="22"/>
          <w:lang w:val="lt-LT" w:eastAsia="en-IN"/>
        </w:rPr>
        <w:t> </w:t>
      </w:r>
      <w:r w:rsidRPr="00CB32F8">
        <w:rPr>
          <w:rFonts w:eastAsiaTheme="minorEastAsia"/>
          <w:b/>
          <w:iCs/>
          <w:snapToGrid/>
          <w:szCs w:val="22"/>
          <w:lang w:val="lt-LT" w:eastAsia="en-IN"/>
        </w:rPr>
        <w:t>ŽIV rizikai sumažinti, vartokite šį vaistą kasdien, o ne tik tada, kai manote, kad Jums buvo rizika užsikrėsti ŽIV.</w:t>
      </w:r>
    </w:p>
    <w:p w14:paraId="66012E1A"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56527FB3"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Kreipkitės į gydytoją, jeigu turite klausimų apie tai, kaip galėtumėte apsisaugoti nuo užsikrėtimo</w:t>
      </w:r>
      <w:r w:rsidR="000E5DB3" w:rsidRPr="001839C2">
        <w:rPr>
          <w:rFonts w:eastAsiaTheme="minorEastAsia"/>
          <w:snapToGrid/>
          <w:szCs w:val="22"/>
          <w:lang w:val="lt-LT" w:eastAsia="en-IN"/>
        </w:rPr>
        <w:t> </w:t>
      </w:r>
      <w:r w:rsidRPr="001839C2">
        <w:rPr>
          <w:rFonts w:eastAsiaTheme="minorEastAsia"/>
          <w:snapToGrid/>
          <w:szCs w:val="22"/>
          <w:lang w:val="lt-LT" w:eastAsia="en-IN"/>
        </w:rPr>
        <w:t>ŽIV arba kaip apsisaugoti nuo perdavimo</w:t>
      </w:r>
      <w:r w:rsidR="000E5DB3" w:rsidRPr="001839C2">
        <w:rPr>
          <w:rFonts w:eastAsiaTheme="minorEastAsia"/>
          <w:snapToGrid/>
          <w:szCs w:val="22"/>
          <w:lang w:val="lt-LT" w:eastAsia="en-IN"/>
        </w:rPr>
        <w:t xml:space="preserve"> </w:t>
      </w:r>
      <w:r w:rsidRPr="001839C2">
        <w:rPr>
          <w:rFonts w:eastAsiaTheme="minorEastAsia"/>
          <w:snapToGrid/>
          <w:szCs w:val="22"/>
          <w:lang w:val="lt-LT" w:eastAsia="en-IN"/>
        </w:rPr>
        <w:t>ŽIV kitiems žmonėms.</w:t>
      </w:r>
    </w:p>
    <w:p w14:paraId="35F9DCAE"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4D93D334" w14:textId="18023EE1"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 xml:space="preserve">Ką daryti pavartojus per didelę </w:t>
      </w:r>
      <w:r w:rsidRPr="001839C2">
        <w:rPr>
          <w:rFonts w:eastAsiaTheme="minorHAnsi"/>
          <w:b/>
          <w:bCs/>
          <w:snapToGrid/>
          <w:szCs w:val="22"/>
          <w:lang w:val="lt-LT"/>
        </w:rPr>
        <w:t xml:space="preserve">Emtricitabine/Tenofovir disoproxil Accordpharma </w:t>
      </w:r>
      <w:r w:rsidRPr="001839C2">
        <w:rPr>
          <w:rFonts w:eastAsiaTheme="minorEastAsia"/>
          <w:b/>
          <w:bCs/>
          <w:snapToGrid/>
          <w:szCs w:val="22"/>
          <w:lang w:val="lt-LT" w:eastAsia="en-IN"/>
        </w:rPr>
        <w:t>dozę</w:t>
      </w:r>
    </w:p>
    <w:p w14:paraId="3B1A637C" w14:textId="44A261AE"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Jeigu atsitiktinai išgėrėte didesnę už rekomenduojamą šio vaisto dozę, pasitarkite su gydytoju ar kreipkitės į artimiausią ligoninės priėmimo skyrių. Su savimi turėkite </w:t>
      </w:r>
      <w:r w:rsidR="004D32AA" w:rsidRPr="001839C2">
        <w:rPr>
          <w:rFonts w:eastAsiaTheme="minorEastAsia"/>
          <w:snapToGrid/>
          <w:szCs w:val="22"/>
          <w:lang w:val="lt-LT" w:eastAsia="en-IN"/>
        </w:rPr>
        <w:t>buteliuką</w:t>
      </w:r>
      <w:r w:rsidRPr="001839C2">
        <w:rPr>
          <w:rFonts w:eastAsiaTheme="minorEastAsia"/>
          <w:snapToGrid/>
          <w:szCs w:val="22"/>
          <w:lang w:val="lt-LT" w:eastAsia="en-IN"/>
        </w:rPr>
        <w:t xml:space="preserve"> su tabletėmis, kad galėtumėte lengvai paaiškinti, koki</w:t>
      </w:r>
      <w:r w:rsidR="000E5DB3" w:rsidRPr="001839C2">
        <w:rPr>
          <w:rFonts w:eastAsiaTheme="minorEastAsia"/>
          <w:snapToGrid/>
          <w:szCs w:val="22"/>
          <w:lang w:val="lt-LT" w:eastAsia="en-IN"/>
        </w:rPr>
        <w:t>ų</w:t>
      </w:r>
      <w:r w:rsidRPr="001839C2">
        <w:rPr>
          <w:rFonts w:eastAsiaTheme="minorEastAsia"/>
          <w:snapToGrid/>
          <w:szCs w:val="22"/>
          <w:lang w:val="lt-LT" w:eastAsia="en-IN"/>
        </w:rPr>
        <w:t xml:space="preserve"> vaist</w:t>
      </w:r>
      <w:r w:rsidR="000E5DB3" w:rsidRPr="001839C2">
        <w:rPr>
          <w:rFonts w:eastAsiaTheme="minorEastAsia"/>
          <w:snapToGrid/>
          <w:szCs w:val="22"/>
          <w:lang w:val="lt-LT" w:eastAsia="en-IN"/>
        </w:rPr>
        <w:t>ų</w:t>
      </w:r>
      <w:r w:rsidRPr="001839C2">
        <w:rPr>
          <w:rFonts w:eastAsiaTheme="minorEastAsia"/>
          <w:snapToGrid/>
          <w:szCs w:val="22"/>
          <w:lang w:val="lt-LT" w:eastAsia="en-IN"/>
        </w:rPr>
        <w:t xml:space="preserve"> Jūs vartojote.</w:t>
      </w:r>
    </w:p>
    <w:p w14:paraId="7E674D9B"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5C193109" w14:textId="77777777" w:rsidR="002A5F50" w:rsidRPr="001839C2" w:rsidRDefault="00111AE7" w:rsidP="00BF4605">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P</w:t>
      </w:r>
      <w:r w:rsidR="002A5F50" w:rsidRPr="001839C2">
        <w:rPr>
          <w:rFonts w:eastAsiaTheme="minorEastAsia"/>
          <w:b/>
          <w:bCs/>
          <w:snapToGrid/>
          <w:szCs w:val="22"/>
          <w:lang w:val="lt-LT" w:eastAsia="en-IN"/>
        </w:rPr>
        <w:t>a</w:t>
      </w:r>
      <w:r w:rsidRPr="001839C2">
        <w:rPr>
          <w:rFonts w:eastAsiaTheme="minorEastAsia"/>
          <w:b/>
          <w:bCs/>
          <w:snapToGrid/>
          <w:szCs w:val="22"/>
          <w:lang w:val="lt-LT" w:eastAsia="en-IN"/>
        </w:rPr>
        <w:t>m</w:t>
      </w:r>
      <w:r w:rsidR="002A5F50" w:rsidRPr="001839C2">
        <w:rPr>
          <w:rFonts w:eastAsiaTheme="minorEastAsia"/>
          <w:b/>
          <w:bCs/>
          <w:snapToGrid/>
          <w:szCs w:val="22"/>
          <w:lang w:val="lt-LT" w:eastAsia="en-IN"/>
        </w:rPr>
        <w:t>i</w:t>
      </w:r>
      <w:r w:rsidRPr="001839C2">
        <w:rPr>
          <w:rFonts w:eastAsiaTheme="minorEastAsia"/>
          <w:b/>
          <w:bCs/>
          <w:snapToGrid/>
          <w:szCs w:val="22"/>
          <w:lang w:val="lt-LT" w:eastAsia="en-IN"/>
        </w:rPr>
        <w:t>ršus pavart</w:t>
      </w:r>
      <w:r w:rsidR="002A5F50" w:rsidRPr="001839C2">
        <w:rPr>
          <w:rFonts w:eastAsiaTheme="minorEastAsia"/>
          <w:b/>
          <w:bCs/>
          <w:snapToGrid/>
          <w:szCs w:val="22"/>
          <w:lang w:val="lt-LT" w:eastAsia="en-IN"/>
        </w:rPr>
        <w:t>ot</w:t>
      </w:r>
      <w:r w:rsidRPr="001839C2">
        <w:rPr>
          <w:rFonts w:eastAsiaTheme="minorEastAsia"/>
          <w:b/>
          <w:bCs/>
          <w:snapToGrid/>
          <w:szCs w:val="22"/>
          <w:lang w:val="lt-LT" w:eastAsia="en-IN"/>
        </w:rPr>
        <w:t>i Emtricitabin</w:t>
      </w:r>
      <w:r w:rsidR="002A5F50" w:rsidRPr="001839C2">
        <w:rPr>
          <w:rFonts w:eastAsiaTheme="minorEastAsia"/>
          <w:b/>
          <w:bCs/>
          <w:snapToGrid/>
          <w:szCs w:val="22"/>
          <w:lang w:val="lt-LT" w:eastAsia="en-IN"/>
        </w:rPr>
        <w:t>e</w:t>
      </w:r>
      <w:r w:rsidRPr="001839C2">
        <w:rPr>
          <w:rFonts w:eastAsiaTheme="minorEastAsia"/>
          <w:b/>
          <w:bCs/>
          <w:snapToGrid/>
          <w:szCs w:val="22"/>
          <w:lang w:val="lt-LT" w:eastAsia="en-IN"/>
        </w:rPr>
        <w:t>/Tenofovir</w:t>
      </w:r>
      <w:r w:rsidR="002A5F50" w:rsidRPr="001839C2">
        <w:rPr>
          <w:rFonts w:eastAsiaTheme="minorEastAsia"/>
          <w:b/>
          <w:bCs/>
          <w:snapToGrid/>
          <w:szCs w:val="22"/>
          <w:lang w:val="lt-LT" w:eastAsia="en-IN"/>
        </w:rPr>
        <w:t xml:space="preserve"> d</w:t>
      </w:r>
      <w:r w:rsidRPr="001839C2">
        <w:rPr>
          <w:rFonts w:eastAsiaTheme="minorEastAsia"/>
          <w:b/>
          <w:bCs/>
          <w:snapToGrid/>
          <w:szCs w:val="22"/>
          <w:lang w:val="lt-LT" w:eastAsia="en-IN"/>
        </w:rPr>
        <w:t>is</w:t>
      </w:r>
      <w:r w:rsidR="002A5F50" w:rsidRPr="001839C2">
        <w:rPr>
          <w:rFonts w:eastAsiaTheme="minorEastAsia"/>
          <w:b/>
          <w:bCs/>
          <w:snapToGrid/>
          <w:szCs w:val="22"/>
          <w:lang w:val="lt-LT" w:eastAsia="en-IN"/>
        </w:rPr>
        <w:t>o</w:t>
      </w:r>
      <w:r w:rsidRPr="001839C2">
        <w:rPr>
          <w:rFonts w:eastAsiaTheme="minorEastAsia"/>
          <w:b/>
          <w:bCs/>
          <w:snapToGrid/>
          <w:szCs w:val="22"/>
          <w:lang w:val="lt-LT" w:eastAsia="en-IN"/>
        </w:rPr>
        <w:t>proxil Accordpharma</w:t>
      </w:r>
    </w:p>
    <w:p w14:paraId="4D7B1EAE"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Svarbu nepraleisti nė vienos </w:t>
      </w:r>
      <w:r w:rsidRPr="001839C2">
        <w:rPr>
          <w:rFonts w:eastAsiaTheme="minorHAnsi"/>
          <w:snapToGrid/>
          <w:szCs w:val="22"/>
          <w:lang w:val="lt-LT"/>
        </w:rPr>
        <w:t xml:space="preserve">Emtricitabine/Tenofovir disoproxil Accordpharma </w:t>
      </w:r>
      <w:r w:rsidRPr="001839C2">
        <w:rPr>
          <w:rFonts w:eastAsiaTheme="minorEastAsia"/>
          <w:snapToGrid/>
          <w:szCs w:val="22"/>
          <w:lang w:val="lt-LT" w:eastAsia="en-IN"/>
        </w:rPr>
        <w:t>dozės.</w:t>
      </w:r>
    </w:p>
    <w:p w14:paraId="0754CF1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5B99123F" w14:textId="77777777" w:rsidR="002A5F50" w:rsidRPr="001839C2" w:rsidRDefault="002A5F50" w:rsidP="00230559">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praleistą dozę pastebėjote nepraėjus 12</w:t>
      </w:r>
      <w:r w:rsidR="00111AE7" w:rsidRPr="00CB32F8">
        <w:rPr>
          <w:rFonts w:eastAsiaTheme="minorEastAsia"/>
          <w:b/>
          <w:snapToGrid/>
          <w:szCs w:val="22"/>
          <w:lang w:val="lt-LT" w:eastAsia="en-IN"/>
        </w:rPr>
        <w:t> </w:t>
      </w:r>
      <w:r w:rsidRPr="00CB32F8">
        <w:rPr>
          <w:rFonts w:eastAsiaTheme="minorEastAsia"/>
          <w:b/>
          <w:snapToGrid/>
          <w:szCs w:val="22"/>
          <w:lang w:val="lt-LT" w:eastAsia="en-IN"/>
        </w:rPr>
        <w:t>valandų</w:t>
      </w:r>
      <w:r w:rsidRPr="001839C2">
        <w:rPr>
          <w:rFonts w:eastAsiaTheme="minorEastAsia"/>
          <w:bCs/>
          <w:snapToGrid/>
          <w:szCs w:val="22"/>
          <w:lang w:val="lt-LT" w:eastAsia="en-IN"/>
        </w:rPr>
        <w:t xml:space="preserve"> </w:t>
      </w:r>
      <w:r w:rsidRPr="001839C2">
        <w:rPr>
          <w:rFonts w:eastAsiaTheme="minorEastAsia"/>
          <w:snapToGrid/>
          <w:szCs w:val="22"/>
          <w:lang w:val="lt-LT" w:eastAsia="en-IN"/>
        </w:rPr>
        <w:t>nuo įprasto šio vaisto vartojimo laiko, kuo greičiau išgerkite tabletę, pageidautina su maistu. Tada vartokite kitą dozę įprastu metu.</w:t>
      </w:r>
    </w:p>
    <w:p w14:paraId="1A5DEEE1" w14:textId="77777777" w:rsidR="00111AE7" w:rsidRPr="001839C2" w:rsidRDefault="00111AE7" w:rsidP="00230559">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p>
    <w:p w14:paraId="20A1E81C" w14:textId="77777777" w:rsidR="002A5F50" w:rsidRPr="001839C2" w:rsidRDefault="002A5F50" w:rsidP="00230559">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praleistą dozę pastebėjote praėjus 12 ar daugiau valandų</w:t>
      </w:r>
      <w:r w:rsidRPr="001839C2">
        <w:rPr>
          <w:rFonts w:eastAsiaTheme="minorEastAsia"/>
          <w:bCs/>
          <w:snapToGrid/>
          <w:szCs w:val="22"/>
          <w:lang w:val="lt-LT" w:eastAsia="en-IN"/>
        </w:rPr>
        <w:t xml:space="preserve"> nuo </w:t>
      </w:r>
      <w:r w:rsidRPr="001839C2">
        <w:rPr>
          <w:rFonts w:eastAsiaTheme="minorEastAsia"/>
          <w:snapToGrid/>
          <w:szCs w:val="22"/>
          <w:lang w:val="lt-LT" w:eastAsia="en-IN"/>
        </w:rPr>
        <w:t>įprasto šio vaisto vartojimo laiko, praleistosios dozės nevartokite. Palaukite ir suvartokite kitą dozę, pageidautina su maistu, įprastu metu.</w:t>
      </w:r>
    </w:p>
    <w:p w14:paraId="7E5240C0"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348B0A00"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vėmėte 1</w:t>
      </w:r>
      <w:r w:rsidR="00111AE7" w:rsidRPr="00CB32F8">
        <w:rPr>
          <w:rFonts w:eastAsiaTheme="minorEastAsia"/>
          <w:b/>
          <w:snapToGrid/>
          <w:szCs w:val="22"/>
          <w:lang w:val="lt-LT" w:eastAsia="en-IN"/>
        </w:rPr>
        <w:t> </w:t>
      </w:r>
      <w:r w:rsidRPr="00CB32F8">
        <w:rPr>
          <w:rFonts w:eastAsiaTheme="minorEastAsia"/>
          <w:b/>
          <w:snapToGrid/>
          <w:szCs w:val="22"/>
          <w:lang w:val="lt-LT" w:eastAsia="en-IN"/>
        </w:rPr>
        <w:t>valandos laikotarpyje</w:t>
      </w:r>
      <w:r w:rsidRPr="001839C2">
        <w:rPr>
          <w:rFonts w:eastAsiaTheme="minorEastAsia"/>
          <w:bCs/>
          <w:snapToGrid/>
          <w:szCs w:val="22"/>
          <w:lang w:val="lt-LT" w:eastAsia="en-IN"/>
        </w:rPr>
        <w:t xml:space="preserve"> po šio vaisto išgėrimo, </w:t>
      </w:r>
      <w:r w:rsidRPr="001839C2">
        <w:rPr>
          <w:rFonts w:eastAsiaTheme="minorEastAsia"/>
          <w:snapToGrid/>
          <w:szCs w:val="22"/>
          <w:lang w:val="lt-LT" w:eastAsia="en-IN"/>
        </w:rPr>
        <w:t>išgerkite kitą tabletę. Jeigu praėjo daugiau nei 1</w:t>
      </w:r>
      <w:r w:rsidR="00111AE7" w:rsidRPr="001839C2">
        <w:rPr>
          <w:rFonts w:eastAsiaTheme="minorEastAsia"/>
          <w:snapToGrid/>
          <w:szCs w:val="22"/>
          <w:lang w:val="lt-LT" w:eastAsia="en-IN"/>
        </w:rPr>
        <w:t> </w:t>
      </w:r>
      <w:r w:rsidRPr="001839C2">
        <w:rPr>
          <w:rFonts w:eastAsiaTheme="minorEastAsia"/>
          <w:snapToGrid/>
          <w:szCs w:val="22"/>
          <w:lang w:val="lt-LT" w:eastAsia="en-IN"/>
        </w:rPr>
        <w:t>valanda, kitos tabletės gerti nereikia.</w:t>
      </w:r>
    </w:p>
    <w:p w14:paraId="550B6C67"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324A936B" w14:textId="21A1C510"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N</w:t>
      </w:r>
      <w:r w:rsidR="00762C3C" w:rsidRPr="001839C2">
        <w:rPr>
          <w:rFonts w:eastAsiaTheme="minorEastAsia"/>
          <w:b/>
          <w:bCs/>
          <w:snapToGrid/>
          <w:szCs w:val="22"/>
          <w:lang w:val="lt-LT" w:eastAsia="en-IN"/>
        </w:rPr>
        <w:t>enustokite</w:t>
      </w:r>
      <w:r w:rsidRPr="001839C2">
        <w:rPr>
          <w:rFonts w:eastAsiaTheme="minorEastAsia"/>
          <w:b/>
          <w:bCs/>
          <w:snapToGrid/>
          <w:szCs w:val="22"/>
          <w:lang w:val="lt-LT" w:eastAsia="en-IN"/>
        </w:rPr>
        <w:t xml:space="preserve"> vartoti </w:t>
      </w:r>
      <w:r w:rsidRPr="001839C2">
        <w:rPr>
          <w:rFonts w:eastAsiaTheme="minorHAnsi"/>
          <w:b/>
          <w:bCs/>
          <w:snapToGrid/>
          <w:szCs w:val="22"/>
          <w:lang w:val="lt-LT"/>
        </w:rPr>
        <w:t>Emtricitabine/Tenofovir disoproxil Accordpharma</w:t>
      </w:r>
    </w:p>
    <w:p w14:paraId="18A4697C" w14:textId="77777777" w:rsidR="00762C3C" w:rsidRPr="001839C2" w:rsidRDefault="00762C3C" w:rsidP="00230559">
      <w:pPr>
        <w:widowControl w:val="0"/>
        <w:tabs>
          <w:tab w:val="clear" w:pos="567"/>
          <w:tab w:val="left" w:pos="687"/>
        </w:tabs>
        <w:kinsoku w:val="0"/>
        <w:overflowPunct w:val="0"/>
        <w:autoSpaceDE w:val="0"/>
        <w:autoSpaceDN w:val="0"/>
        <w:adjustRightInd w:val="0"/>
        <w:rPr>
          <w:rFonts w:eastAsiaTheme="minorEastAsia"/>
          <w:bCs/>
          <w:snapToGrid/>
          <w:szCs w:val="22"/>
          <w:lang w:val="lt-LT" w:eastAsia="en-IN"/>
        </w:rPr>
      </w:pPr>
    </w:p>
    <w:p w14:paraId="72064E34" w14:textId="3E95ECA6" w:rsidR="002A5F50" w:rsidRPr="001839C2" w:rsidRDefault="002A5F50" w:rsidP="00230559">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vartojate š</w:t>
      </w:r>
      <w:r w:rsidR="000E5DB3" w:rsidRPr="00CB32F8">
        <w:rPr>
          <w:rFonts w:eastAsiaTheme="minorEastAsia"/>
          <w:b/>
          <w:snapToGrid/>
          <w:szCs w:val="22"/>
          <w:lang w:val="lt-LT" w:eastAsia="en-IN"/>
        </w:rPr>
        <w:t>io</w:t>
      </w:r>
      <w:r w:rsidRPr="00CB32F8">
        <w:rPr>
          <w:rFonts w:eastAsiaTheme="minorEastAsia"/>
          <w:b/>
          <w:snapToGrid/>
          <w:szCs w:val="22"/>
          <w:lang w:val="lt-LT" w:eastAsia="en-IN"/>
        </w:rPr>
        <w:t xml:space="preserve"> vaist</w:t>
      </w:r>
      <w:r w:rsidR="000E5DB3" w:rsidRPr="00CB32F8">
        <w:rPr>
          <w:rFonts w:eastAsiaTheme="minorEastAsia"/>
          <w:b/>
          <w:snapToGrid/>
          <w:szCs w:val="22"/>
          <w:lang w:val="lt-LT" w:eastAsia="en-IN"/>
        </w:rPr>
        <w:t>o</w:t>
      </w:r>
      <w:r w:rsidRPr="00CB32F8">
        <w:rPr>
          <w:rFonts w:eastAsiaTheme="minorEastAsia"/>
          <w:b/>
          <w:snapToGrid/>
          <w:szCs w:val="22"/>
          <w:lang w:val="lt-LT" w:eastAsia="en-IN"/>
        </w:rPr>
        <w:t xml:space="preserve"> ŽIV</w:t>
      </w:r>
      <w:r w:rsidR="00111AE7" w:rsidRPr="00CB32F8">
        <w:rPr>
          <w:rFonts w:eastAsiaTheme="minorEastAsia"/>
          <w:b/>
          <w:snapToGrid/>
          <w:szCs w:val="22"/>
          <w:lang w:val="lt-LT" w:eastAsia="en-IN"/>
        </w:rPr>
        <w:t> </w:t>
      </w:r>
      <w:r w:rsidRPr="00CB32F8">
        <w:rPr>
          <w:rFonts w:eastAsiaTheme="minorEastAsia"/>
          <w:b/>
          <w:snapToGrid/>
          <w:szCs w:val="22"/>
          <w:lang w:val="lt-LT" w:eastAsia="en-IN"/>
        </w:rPr>
        <w:t>infekcijai gydyti</w:t>
      </w:r>
      <w:r w:rsidRPr="001839C2">
        <w:rPr>
          <w:rFonts w:eastAsiaTheme="minorEastAsia"/>
          <w:snapToGrid/>
          <w:szCs w:val="22"/>
          <w:lang w:val="lt-LT" w:eastAsia="en-IN"/>
        </w:rPr>
        <w:t>, nustojus vartoti tabletes gali sumažėti ŽIV</w:t>
      </w:r>
      <w:r w:rsidR="00111AE7" w:rsidRPr="001839C2">
        <w:rPr>
          <w:rFonts w:eastAsiaTheme="minorEastAsia"/>
          <w:snapToGrid/>
          <w:szCs w:val="22"/>
          <w:lang w:val="lt-LT" w:eastAsia="en-IN"/>
        </w:rPr>
        <w:t> </w:t>
      </w:r>
      <w:r w:rsidRPr="001839C2">
        <w:rPr>
          <w:rFonts w:eastAsiaTheme="minorEastAsia"/>
          <w:snapToGrid/>
          <w:szCs w:val="22"/>
          <w:lang w:val="lt-LT" w:eastAsia="en-IN"/>
        </w:rPr>
        <w:t xml:space="preserve">gydymo, </w:t>
      </w:r>
      <w:r w:rsidRPr="001839C2">
        <w:rPr>
          <w:rFonts w:eastAsiaTheme="minorEastAsia"/>
          <w:snapToGrid/>
          <w:szCs w:val="22"/>
          <w:lang w:val="lt-LT" w:eastAsia="en-IN"/>
        </w:rPr>
        <w:lastRenderedPageBreak/>
        <w:t>kurį paskyrė gydytojas, veiksmingumas.</w:t>
      </w:r>
    </w:p>
    <w:p w14:paraId="76F31507" w14:textId="77777777" w:rsidR="002A5F50" w:rsidRPr="001839C2" w:rsidRDefault="002A5F50" w:rsidP="00230559">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p>
    <w:p w14:paraId="667A9C5C" w14:textId="77777777" w:rsidR="002A5F50" w:rsidRPr="001839C2" w:rsidRDefault="002A5F50" w:rsidP="00230559">
      <w:pPr>
        <w:widowControl w:val="0"/>
        <w:tabs>
          <w:tab w:val="clear" w:pos="567"/>
          <w:tab w:val="left" w:pos="685"/>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vartojate š</w:t>
      </w:r>
      <w:r w:rsidR="000E5DB3" w:rsidRPr="00CB32F8">
        <w:rPr>
          <w:rFonts w:eastAsiaTheme="minorEastAsia"/>
          <w:b/>
          <w:snapToGrid/>
          <w:szCs w:val="22"/>
          <w:lang w:val="lt-LT" w:eastAsia="en-IN"/>
        </w:rPr>
        <w:t>io</w:t>
      </w:r>
      <w:r w:rsidRPr="00CB32F8">
        <w:rPr>
          <w:rFonts w:eastAsiaTheme="minorEastAsia"/>
          <w:b/>
          <w:snapToGrid/>
          <w:szCs w:val="22"/>
          <w:lang w:val="lt-LT" w:eastAsia="en-IN"/>
        </w:rPr>
        <w:t xml:space="preserve"> vaist</w:t>
      </w:r>
      <w:r w:rsidR="000E5DB3" w:rsidRPr="00CB32F8">
        <w:rPr>
          <w:rFonts w:eastAsiaTheme="minorEastAsia"/>
          <w:b/>
          <w:snapToGrid/>
          <w:szCs w:val="22"/>
          <w:lang w:val="lt-LT" w:eastAsia="en-IN"/>
        </w:rPr>
        <w:t>o</w:t>
      </w:r>
      <w:r w:rsidRPr="00CB32F8">
        <w:rPr>
          <w:rFonts w:eastAsiaTheme="minorEastAsia"/>
          <w:b/>
          <w:snapToGrid/>
          <w:szCs w:val="22"/>
          <w:lang w:val="lt-LT" w:eastAsia="en-IN"/>
        </w:rPr>
        <w:t xml:space="preserve"> užsikrėtimo</w:t>
      </w:r>
      <w:r w:rsidR="00111AE7" w:rsidRPr="00CB32F8">
        <w:rPr>
          <w:rFonts w:eastAsiaTheme="minorEastAsia"/>
          <w:b/>
          <w:snapToGrid/>
          <w:szCs w:val="22"/>
          <w:lang w:val="lt-LT" w:eastAsia="en-IN"/>
        </w:rPr>
        <w:t> </w:t>
      </w:r>
      <w:r w:rsidRPr="00CB32F8">
        <w:rPr>
          <w:rFonts w:eastAsiaTheme="minorEastAsia"/>
          <w:b/>
          <w:snapToGrid/>
          <w:szCs w:val="22"/>
          <w:lang w:val="lt-LT" w:eastAsia="en-IN"/>
        </w:rPr>
        <w:t>ŽIV rizikai sumažinti</w:t>
      </w:r>
      <w:r w:rsidRPr="001839C2">
        <w:rPr>
          <w:rFonts w:eastAsiaTheme="minorEastAsia"/>
          <w:snapToGrid/>
          <w:szCs w:val="22"/>
          <w:lang w:val="lt-LT" w:eastAsia="en-IN"/>
        </w:rPr>
        <w:t>, nenustokite vartoti jo ir nepraleiskite vaisto dozių. Nustojus vartoti š</w:t>
      </w:r>
      <w:r w:rsidR="000E5DB3" w:rsidRPr="001839C2">
        <w:rPr>
          <w:rFonts w:eastAsiaTheme="minorEastAsia"/>
          <w:snapToGrid/>
          <w:szCs w:val="22"/>
          <w:lang w:val="lt-LT" w:eastAsia="en-IN"/>
        </w:rPr>
        <w:t>io</w:t>
      </w:r>
      <w:r w:rsidRPr="001839C2">
        <w:rPr>
          <w:rFonts w:eastAsiaTheme="minorEastAsia"/>
          <w:snapToGrid/>
          <w:szCs w:val="22"/>
          <w:lang w:val="lt-LT" w:eastAsia="en-IN"/>
        </w:rPr>
        <w:t xml:space="preserve"> vaist</w:t>
      </w:r>
      <w:r w:rsidR="000E5DB3" w:rsidRPr="001839C2">
        <w:rPr>
          <w:rFonts w:eastAsiaTheme="minorEastAsia"/>
          <w:snapToGrid/>
          <w:szCs w:val="22"/>
          <w:lang w:val="lt-LT" w:eastAsia="en-IN"/>
        </w:rPr>
        <w:t>o</w:t>
      </w:r>
      <w:r w:rsidRPr="001839C2">
        <w:rPr>
          <w:rFonts w:eastAsiaTheme="minorEastAsia"/>
          <w:snapToGrid/>
          <w:szCs w:val="22"/>
          <w:lang w:val="lt-LT" w:eastAsia="en-IN"/>
        </w:rPr>
        <w:t xml:space="preserve"> arba praleidus dozes gali padidėti rizika užsikrėsti ŽIV.</w:t>
      </w:r>
    </w:p>
    <w:p w14:paraId="08CD6824"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4B20E413" w14:textId="77777777" w:rsidR="002A5F50" w:rsidRPr="00CB32F8" w:rsidRDefault="002A5F50" w:rsidP="00BF4605">
      <w:pPr>
        <w:widowControl w:val="0"/>
        <w:tabs>
          <w:tab w:val="clear" w:pos="567"/>
          <w:tab w:val="left" w:pos="1251"/>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Nenustokite vartoti šio vaisto prieš tai nepasitarę su gydytoju.</w:t>
      </w:r>
    </w:p>
    <w:p w14:paraId="47DA932E"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274D233B" w14:textId="77777777" w:rsidR="002A5F50" w:rsidRPr="001839C2" w:rsidRDefault="002A5F50" w:rsidP="00230559">
      <w:pPr>
        <w:widowControl w:val="0"/>
        <w:tabs>
          <w:tab w:val="clear" w:pos="567"/>
          <w:tab w:val="left" w:pos="686"/>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sergate hepatitu</w:t>
      </w:r>
      <w:r w:rsidR="006A1585" w:rsidRPr="00CB32F8">
        <w:rPr>
          <w:rFonts w:eastAsiaTheme="minorEastAsia"/>
          <w:b/>
          <w:snapToGrid/>
          <w:szCs w:val="22"/>
          <w:lang w:val="lt-LT" w:eastAsia="en-IN"/>
        </w:rPr>
        <w:t> </w:t>
      </w:r>
      <w:r w:rsidRPr="00CB32F8">
        <w:rPr>
          <w:rFonts w:eastAsiaTheme="minorEastAsia"/>
          <w:b/>
          <w:snapToGrid/>
          <w:szCs w:val="22"/>
          <w:lang w:val="lt-LT" w:eastAsia="en-IN"/>
        </w:rPr>
        <w:t>B</w:t>
      </w:r>
      <w:r w:rsidRPr="001839C2">
        <w:rPr>
          <w:rFonts w:eastAsiaTheme="minorEastAsia"/>
          <w:bCs/>
          <w:snapToGrid/>
          <w:szCs w:val="22"/>
          <w:lang w:val="lt-LT" w:eastAsia="en-IN"/>
        </w:rPr>
        <w:t xml:space="preserve">, </w:t>
      </w:r>
      <w:r w:rsidRPr="001839C2">
        <w:rPr>
          <w:rFonts w:eastAsiaTheme="minorEastAsia"/>
          <w:snapToGrid/>
          <w:szCs w:val="22"/>
          <w:lang w:val="lt-LT" w:eastAsia="en-IN"/>
        </w:rPr>
        <w:t xml:space="preserve">labai svarbu nenutraukti gydymo </w:t>
      </w:r>
      <w:r w:rsidR="004D32AA" w:rsidRPr="001839C2">
        <w:rPr>
          <w:rFonts w:eastAsiaTheme="minorHAnsi"/>
          <w:snapToGrid/>
          <w:szCs w:val="22"/>
          <w:lang w:val="lt-LT"/>
        </w:rPr>
        <w:t>Emtricitabine/Tenofovir disoproxil Accordpharma</w:t>
      </w:r>
      <w:r w:rsidR="004D32AA" w:rsidRPr="001839C2">
        <w:rPr>
          <w:rFonts w:eastAsiaTheme="minorEastAsia"/>
          <w:snapToGrid/>
          <w:szCs w:val="22"/>
          <w:lang w:val="lt-LT" w:eastAsia="en-IN"/>
        </w:rPr>
        <w:t xml:space="preserve"> </w:t>
      </w:r>
      <w:r w:rsidRPr="001839C2">
        <w:rPr>
          <w:rFonts w:eastAsiaTheme="minorEastAsia"/>
          <w:snapToGrid/>
          <w:szCs w:val="22"/>
          <w:lang w:val="lt-LT" w:eastAsia="en-IN"/>
        </w:rPr>
        <w:t>nepasitarus su gydytoju. Jums gali reikti atlikti kraujo tyrimus kelis</w:t>
      </w:r>
      <w:r w:rsidR="006A1585" w:rsidRPr="001839C2">
        <w:rPr>
          <w:rFonts w:eastAsiaTheme="minorEastAsia"/>
          <w:snapToGrid/>
          <w:szCs w:val="22"/>
          <w:lang w:val="lt-LT" w:eastAsia="en-IN"/>
        </w:rPr>
        <w:t> </w:t>
      </w:r>
      <w:r w:rsidRPr="001839C2">
        <w:rPr>
          <w:rFonts w:eastAsiaTheme="minorEastAsia"/>
          <w:snapToGrid/>
          <w:szCs w:val="22"/>
          <w:lang w:val="lt-LT" w:eastAsia="en-IN"/>
        </w:rPr>
        <w:t>mėnesius po gydymo nutraukimo. Nerekomenduojama nutraukti gydymo pacientams, kuriems yra toli pažengusi kepenų liga ar cirozė, nes dėl to gali paūmėti hepatitas, o tai gali būti pavojinga gyvybei.</w:t>
      </w:r>
    </w:p>
    <w:p w14:paraId="554D47E7"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10CC4EF9" w14:textId="77777777" w:rsidR="002A5F50" w:rsidRPr="001839C2" w:rsidRDefault="002A5F50" w:rsidP="00230559">
      <w:pPr>
        <w:widowControl w:val="0"/>
        <w:tabs>
          <w:tab w:val="clear" w:pos="567"/>
          <w:tab w:val="left" w:pos="1251"/>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Nedelsdami pasakykite gydytojui</w:t>
      </w:r>
      <w:r w:rsidRPr="001839C2">
        <w:rPr>
          <w:rFonts w:eastAsiaTheme="minorEastAsia"/>
          <w:bCs/>
          <w:snapToGrid/>
          <w:szCs w:val="22"/>
          <w:lang w:val="lt-LT" w:eastAsia="en-IN"/>
        </w:rPr>
        <w:t xml:space="preserve"> </w:t>
      </w:r>
      <w:r w:rsidRPr="001839C2">
        <w:rPr>
          <w:rFonts w:eastAsiaTheme="minorEastAsia"/>
          <w:snapToGrid/>
          <w:szCs w:val="22"/>
          <w:lang w:val="lt-LT" w:eastAsia="en-IN"/>
        </w:rPr>
        <w:t>apie naujus ar neįprastus simptomus, pasireiškusius nutraukus gydymą, ypač simptomus, kuriuos Jūs siejate su hepatitu</w:t>
      </w:r>
      <w:r w:rsidR="006A1585" w:rsidRPr="001839C2">
        <w:rPr>
          <w:rFonts w:eastAsiaTheme="minorEastAsia"/>
          <w:snapToGrid/>
          <w:szCs w:val="22"/>
          <w:lang w:val="lt-LT" w:eastAsia="en-IN"/>
        </w:rPr>
        <w:t> </w:t>
      </w:r>
      <w:r w:rsidRPr="001839C2">
        <w:rPr>
          <w:rFonts w:eastAsiaTheme="minorEastAsia"/>
          <w:snapToGrid/>
          <w:szCs w:val="22"/>
          <w:lang w:val="lt-LT" w:eastAsia="en-IN"/>
        </w:rPr>
        <w:t>B.</w:t>
      </w:r>
    </w:p>
    <w:p w14:paraId="08FE6912"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23119D60"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kiltų daugiau klausimų dėl šio vaisto vartojimo, kreipkitės į gydytoją arba vaistininką.</w:t>
      </w:r>
    </w:p>
    <w:p w14:paraId="75CF2A70"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279BFE3B"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2674D482" w14:textId="77777777" w:rsidR="002A5F50" w:rsidRPr="001839C2" w:rsidRDefault="002A5F50" w:rsidP="00230559">
      <w:pPr>
        <w:widowControl w:val="0"/>
        <w:numPr>
          <w:ilvl w:val="0"/>
          <w:numId w:val="20"/>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Galimas šalutinis poveikis</w:t>
      </w:r>
    </w:p>
    <w:p w14:paraId="6B09461B"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5DD37391"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Šis vaistas, kaip ir visi kiti, gali sukelti šalutinį poveikį, nors jis pasireiškia ne visiems žmonėms.</w:t>
      </w:r>
    </w:p>
    <w:p w14:paraId="140561F6"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2D8BDD81" w14:textId="77777777" w:rsidR="002A5F50" w:rsidRPr="001839C2" w:rsidRDefault="002A5F50" w:rsidP="00BF4605">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Galimas sunkus šalutinis poveikis</w:t>
      </w:r>
    </w:p>
    <w:p w14:paraId="69BD6E1C"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2336169E" w14:textId="77777777"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bCs/>
          <w:i/>
          <w:snapToGrid/>
          <w:szCs w:val="22"/>
          <w:lang w:val="lt-LT" w:eastAsia="en-IN"/>
        </w:rPr>
        <w:t xml:space="preserve">Laktatacidozė </w:t>
      </w:r>
      <w:r w:rsidRPr="001839C2">
        <w:rPr>
          <w:rFonts w:eastAsiaTheme="minorEastAsia"/>
          <w:i/>
          <w:snapToGrid/>
          <w:szCs w:val="22"/>
          <w:lang w:val="lt-LT" w:eastAsia="en-IN"/>
        </w:rPr>
        <w:t>(padidėjęs pieno rūgšties kiekis kraujyje)</w:t>
      </w:r>
      <w:r w:rsidR="006A1585" w:rsidRPr="001839C2">
        <w:rPr>
          <w:rFonts w:eastAsiaTheme="minorEastAsia"/>
          <w:snapToGrid/>
          <w:szCs w:val="22"/>
          <w:lang w:val="lt-LT" w:eastAsia="en-IN"/>
        </w:rPr>
        <w:br/>
        <w:t>T</w:t>
      </w:r>
      <w:r w:rsidRPr="001839C2">
        <w:rPr>
          <w:rFonts w:eastAsiaTheme="minorEastAsia"/>
          <w:snapToGrid/>
          <w:szCs w:val="22"/>
          <w:lang w:val="lt-LT" w:eastAsia="en-IN"/>
        </w:rPr>
        <w:t>ai retas, bet galintis kelti pavojų gyvybei šalutinis poveikis. Laktatacidozė dažniau pasireiškia moterims, ypač jei jos turi antsvorio, ir kepenų ligomis sergantiems žmonėms. Toliau išvardinti požymiai gali būti laktatacidozės simptomai:</w:t>
      </w:r>
    </w:p>
    <w:p w14:paraId="6D0E7B32" w14:textId="77777777" w:rsidR="002A5F50" w:rsidRPr="001839C2" w:rsidRDefault="002A5F50" w:rsidP="00BF4605">
      <w:pPr>
        <w:widowControl w:val="0"/>
        <w:numPr>
          <w:ilvl w:val="0"/>
          <w:numId w:val="16"/>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gilus, dažnas kvėpavimas</w:t>
      </w:r>
      <w:r w:rsidR="006A1585" w:rsidRPr="001839C2">
        <w:rPr>
          <w:rFonts w:eastAsiaTheme="minorEastAsia"/>
          <w:snapToGrid/>
          <w:szCs w:val="22"/>
          <w:lang w:val="lt-LT" w:eastAsia="en-IN"/>
        </w:rPr>
        <w:t>;</w:t>
      </w:r>
    </w:p>
    <w:p w14:paraId="5F991829" w14:textId="77777777" w:rsidR="002A5F50" w:rsidRPr="001839C2" w:rsidRDefault="002A5F50" w:rsidP="00BF4605">
      <w:pPr>
        <w:widowControl w:val="0"/>
        <w:numPr>
          <w:ilvl w:val="0"/>
          <w:numId w:val="16"/>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mieguistumas</w:t>
      </w:r>
      <w:r w:rsidR="006A1585" w:rsidRPr="001839C2">
        <w:rPr>
          <w:rFonts w:eastAsiaTheme="minorEastAsia"/>
          <w:snapToGrid/>
          <w:szCs w:val="22"/>
          <w:lang w:val="lt-LT" w:eastAsia="en-IN"/>
        </w:rPr>
        <w:t>;</w:t>
      </w:r>
    </w:p>
    <w:p w14:paraId="0F40C56C" w14:textId="77777777" w:rsidR="002A5F50" w:rsidRPr="001839C2" w:rsidRDefault="002A5F50" w:rsidP="00BF4605">
      <w:pPr>
        <w:widowControl w:val="0"/>
        <w:numPr>
          <w:ilvl w:val="0"/>
          <w:numId w:val="16"/>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pykinimas, vėmimas</w:t>
      </w:r>
      <w:r w:rsidR="006A1585" w:rsidRPr="001839C2">
        <w:rPr>
          <w:rFonts w:eastAsiaTheme="minorEastAsia"/>
          <w:snapToGrid/>
          <w:szCs w:val="22"/>
          <w:lang w:val="lt-LT" w:eastAsia="en-IN"/>
        </w:rPr>
        <w:t>;</w:t>
      </w:r>
    </w:p>
    <w:p w14:paraId="42E2829F" w14:textId="77777777" w:rsidR="002A5F50" w:rsidRPr="001839C2" w:rsidRDefault="002A5F50" w:rsidP="00BF4605">
      <w:pPr>
        <w:widowControl w:val="0"/>
        <w:numPr>
          <w:ilvl w:val="0"/>
          <w:numId w:val="16"/>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pilvo skausmas</w:t>
      </w:r>
      <w:r w:rsidR="006A1585" w:rsidRPr="001839C2">
        <w:rPr>
          <w:rFonts w:eastAsiaTheme="minorEastAsia"/>
          <w:snapToGrid/>
          <w:szCs w:val="22"/>
          <w:lang w:val="lt-LT" w:eastAsia="en-IN"/>
        </w:rPr>
        <w:t>.</w:t>
      </w:r>
    </w:p>
    <w:p w14:paraId="06B9E50F"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24951504" w14:textId="77777777" w:rsidR="002A5F50" w:rsidRPr="00CB32F8" w:rsidRDefault="002A5F50" w:rsidP="00230559">
      <w:pPr>
        <w:widowControl w:val="0"/>
        <w:tabs>
          <w:tab w:val="clear" w:pos="567"/>
          <w:tab w:val="left" w:pos="1251"/>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Jeigu manote, kad Jums gali būti laktatacidozė, nedelsdami kreipkitės medicininės pagalbos.</w:t>
      </w:r>
    </w:p>
    <w:p w14:paraId="06540682"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608A6AB6" w14:textId="77777777"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bCs/>
          <w:i/>
          <w:snapToGrid/>
          <w:szCs w:val="22"/>
          <w:lang w:val="lt-LT" w:eastAsia="en-IN"/>
        </w:rPr>
        <w:t>Bet kokie uždegimo arba infekcijos požymiai</w:t>
      </w:r>
      <w:r w:rsidR="006A1585" w:rsidRPr="001839C2">
        <w:rPr>
          <w:rFonts w:eastAsiaTheme="minorEastAsia"/>
          <w:bCs/>
          <w:snapToGrid/>
          <w:szCs w:val="22"/>
          <w:lang w:val="lt-LT" w:eastAsia="en-IN"/>
        </w:rPr>
        <w:br/>
      </w:r>
      <w:r w:rsidRPr="001839C2">
        <w:rPr>
          <w:rFonts w:eastAsiaTheme="minorEastAsia"/>
          <w:snapToGrid/>
          <w:szCs w:val="22"/>
          <w:lang w:val="lt-LT" w:eastAsia="en-IN"/>
        </w:rPr>
        <w:t>Tam tikriems pacientams, turintiems pažengusią ŽIV</w:t>
      </w:r>
      <w:r w:rsidR="006A1585" w:rsidRPr="001839C2">
        <w:rPr>
          <w:rFonts w:eastAsiaTheme="minorEastAsia"/>
          <w:snapToGrid/>
          <w:szCs w:val="22"/>
          <w:lang w:val="lt-LT" w:eastAsia="en-IN"/>
        </w:rPr>
        <w:t> </w:t>
      </w:r>
      <w:r w:rsidRPr="001839C2">
        <w:rPr>
          <w:rFonts w:eastAsiaTheme="minorEastAsia"/>
          <w:snapToGrid/>
          <w:szCs w:val="22"/>
          <w:lang w:val="lt-LT" w:eastAsia="en-IN"/>
        </w:rPr>
        <w:t>infekciją (AIDS) ir anksčiau turėjusiems oportunistinių infekcijų (infekcijų, kuriomis serga silpną imuninę sistemą turintys žmonės), greitai po ŽIV</w:t>
      </w:r>
      <w:r w:rsidR="006A1585" w:rsidRPr="001839C2">
        <w:rPr>
          <w:rFonts w:eastAsiaTheme="minorEastAsia"/>
          <w:snapToGrid/>
          <w:szCs w:val="22"/>
          <w:lang w:val="lt-LT" w:eastAsia="en-IN"/>
        </w:rPr>
        <w:t> </w:t>
      </w:r>
      <w:r w:rsidRPr="001839C2">
        <w:rPr>
          <w:rFonts w:eastAsiaTheme="minorEastAsia"/>
          <w:snapToGrid/>
          <w:szCs w:val="22"/>
          <w:lang w:val="lt-LT" w:eastAsia="en-IN"/>
        </w:rPr>
        <w:t>infekcijos gydymo pradžios gali pasireikšti ankstesnių infekcijų požymių ir uždegimo simptomų. Manoma, kad šių simptomų pasireiškia dėl pagerėjusio organizmo imuninio atsako, dėl kurio organizmas gali kovoti su infekcijomis, kuriomis galėjo būti sergama be akivaizdžių simptomų.</w:t>
      </w:r>
    </w:p>
    <w:p w14:paraId="392CBEE1"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04A393C3" w14:textId="77777777" w:rsidR="002A5F50" w:rsidRPr="001839C2" w:rsidRDefault="002A5F50" w:rsidP="00230559">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bCs/>
          <w:i/>
          <w:snapToGrid/>
          <w:szCs w:val="22"/>
          <w:lang w:val="lt-LT" w:eastAsia="en-IN"/>
        </w:rPr>
        <w:t>Autoimunini</w:t>
      </w:r>
      <w:r w:rsidR="006A1585" w:rsidRPr="001839C2">
        <w:rPr>
          <w:rFonts w:eastAsiaTheme="minorEastAsia"/>
          <w:bCs/>
          <w:i/>
          <w:snapToGrid/>
          <w:szCs w:val="22"/>
          <w:lang w:val="lt-LT" w:eastAsia="en-IN"/>
        </w:rPr>
        <w:t>ai</w:t>
      </w:r>
      <w:r w:rsidRPr="001839C2">
        <w:rPr>
          <w:rFonts w:eastAsiaTheme="minorEastAsia"/>
          <w:bCs/>
          <w:i/>
          <w:snapToGrid/>
          <w:szCs w:val="22"/>
          <w:lang w:val="lt-LT" w:eastAsia="en-IN"/>
        </w:rPr>
        <w:t xml:space="preserve"> sutrikim</w:t>
      </w:r>
      <w:r w:rsidR="006A1585" w:rsidRPr="001839C2">
        <w:rPr>
          <w:rFonts w:eastAsiaTheme="minorEastAsia"/>
          <w:bCs/>
          <w:i/>
          <w:snapToGrid/>
          <w:szCs w:val="22"/>
          <w:lang w:val="lt-LT" w:eastAsia="en-IN"/>
        </w:rPr>
        <w:t>ai</w:t>
      </w:r>
      <w:r w:rsidR="006A1585" w:rsidRPr="001839C2">
        <w:rPr>
          <w:rFonts w:eastAsiaTheme="minorEastAsia"/>
          <w:snapToGrid/>
          <w:szCs w:val="22"/>
          <w:lang w:val="lt-LT" w:eastAsia="en-IN"/>
        </w:rPr>
        <w:br/>
        <w:t>I</w:t>
      </w:r>
      <w:r w:rsidRPr="001839C2">
        <w:rPr>
          <w:rFonts w:eastAsiaTheme="minorEastAsia"/>
          <w:snapToGrid/>
          <w:szCs w:val="22"/>
          <w:lang w:val="lt-LT" w:eastAsia="en-IN"/>
        </w:rPr>
        <w:t>muninė sistema atakuoja sveikus kūno audinius,</w:t>
      </w:r>
      <w:r w:rsidR="006A1585" w:rsidRPr="001839C2">
        <w:rPr>
          <w:rFonts w:eastAsiaTheme="minorEastAsia"/>
          <w:snapToGrid/>
          <w:szCs w:val="22"/>
          <w:lang w:val="lt-LT" w:eastAsia="en-IN"/>
        </w:rPr>
        <w:t xml:space="preserve"> tai</w:t>
      </w:r>
      <w:r w:rsidRPr="001839C2">
        <w:rPr>
          <w:rFonts w:eastAsiaTheme="minorEastAsia"/>
          <w:snapToGrid/>
          <w:szCs w:val="22"/>
          <w:lang w:val="lt-LT" w:eastAsia="en-IN"/>
        </w:rPr>
        <w:t xml:space="preserve"> taip pat gali pasireikšti pradėjus vartoti vaistų ŽIV</w:t>
      </w:r>
      <w:r w:rsidR="006A1585" w:rsidRPr="001839C2">
        <w:rPr>
          <w:rFonts w:eastAsiaTheme="minorEastAsia"/>
          <w:snapToGrid/>
          <w:szCs w:val="22"/>
          <w:lang w:val="lt-LT" w:eastAsia="en-IN"/>
        </w:rPr>
        <w:t> </w:t>
      </w:r>
      <w:r w:rsidRPr="001839C2">
        <w:rPr>
          <w:rFonts w:eastAsiaTheme="minorEastAsia"/>
          <w:snapToGrid/>
          <w:szCs w:val="22"/>
          <w:lang w:val="lt-LT" w:eastAsia="en-IN"/>
        </w:rPr>
        <w:t>infekcijai gydyti. Autoimuniniai sutrikimai gali pasireikšti per daug mėnesių nuo gydymo pradžios. Stebėkite, ar neišsivystė infekcijos požymių arba kitų simptomų, pvz.:</w:t>
      </w:r>
    </w:p>
    <w:p w14:paraId="12684109" w14:textId="77777777" w:rsidR="002A5F50" w:rsidRPr="001839C2" w:rsidRDefault="002A5F50" w:rsidP="00BF4605">
      <w:pPr>
        <w:widowControl w:val="0"/>
        <w:numPr>
          <w:ilvl w:val="0"/>
          <w:numId w:val="15"/>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raumenų silpnumas;</w:t>
      </w:r>
    </w:p>
    <w:p w14:paraId="4493BBA7" w14:textId="77777777" w:rsidR="002A5F50" w:rsidRPr="001839C2" w:rsidRDefault="002A5F50" w:rsidP="00BF4605">
      <w:pPr>
        <w:widowControl w:val="0"/>
        <w:numPr>
          <w:ilvl w:val="0"/>
          <w:numId w:val="15"/>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silpnumas, prasidedantis plaštakose ir pėdose</w:t>
      </w:r>
      <w:r w:rsidR="006A1585" w:rsidRPr="001839C2">
        <w:rPr>
          <w:rFonts w:eastAsiaTheme="minorEastAsia"/>
          <w:snapToGrid/>
          <w:szCs w:val="22"/>
          <w:lang w:val="lt-LT" w:eastAsia="en-IN"/>
        </w:rPr>
        <w:t>,</w:t>
      </w:r>
      <w:r w:rsidRPr="001839C2">
        <w:rPr>
          <w:rFonts w:eastAsiaTheme="minorEastAsia"/>
          <w:snapToGrid/>
          <w:szCs w:val="22"/>
          <w:lang w:val="lt-LT" w:eastAsia="en-IN"/>
        </w:rPr>
        <w:t xml:space="preserve"> ir plintantis į liemenį;</w:t>
      </w:r>
    </w:p>
    <w:p w14:paraId="7292D726" w14:textId="77777777" w:rsidR="002A5F50" w:rsidRPr="001839C2" w:rsidRDefault="008A6EF7" w:rsidP="00BF4605">
      <w:pPr>
        <w:widowControl w:val="0"/>
        <w:numPr>
          <w:ilvl w:val="0"/>
          <w:numId w:val="15"/>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širdies perplakimai (</w:t>
      </w:r>
      <w:r w:rsidR="002A5F50" w:rsidRPr="001839C2">
        <w:rPr>
          <w:rFonts w:eastAsiaTheme="minorEastAsia"/>
          <w:snapToGrid/>
          <w:szCs w:val="22"/>
          <w:lang w:val="lt-LT" w:eastAsia="en-IN"/>
        </w:rPr>
        <w:t>palpitacijos</w:t>
      </w:r>
      <w:r w:rsidRPr="001839C2">
        <w:rPr>
          <w:rFonts w:eastAsiaTheme="minorEastAsia"/>
          <w:snapToGrid/>
          <w:szCs w:val="22"/>
          <w:lang w:val="lt-LT" w:eastAsia="en-IN"/>
        </w:rPr>
        <w:t>)</w:t>
      </w:r>
      <w:r w:rsidR="002A5F50" w:rsidRPr="001839C2">
        <w:rPr>
          <w:rFonts w:eastAsiaTheme="minorEastAsia"/>
          <w:snapToGrid/>
          <w:szCs w:val="22"/>
          <w:lang w:val="lt-LT" w:eastAsia="en-IN"/>
        </w:rPr>
        <w:t>, dreb</w:t>
      </w:r>
      <w:r w:rsidRPr="001839C2">
        <w:rPr>
          <w:rFonts w:eastAsiaTheme="minorEastAsia"/>
          <w:snapToGrid/>
          <w:szCs w:val="22"/>
          <w:lang w:val="lt-LT" w:eastAsia="en-IN"/>
        </w:rPr>
        <w:t>ėjima</w:t>
      </w:r>
      <w:r w:rsidR="002A5F50" w:rsidRPr="001839C2">
        <w:rPr>
          <w:rFonts w:eastAsiaTheme="minorEastAsia"/>
          <w:snapToGrid/>
          <w:szCs w:val="22"/>
          <w:lang w:val="lt-LT" w:eastAsia="en-IN"/>
        </w:rPr>
        <w:t>s arba padidėjęs aktyvumas.</w:t>
      </w:r>
    </w:p>
    <w:p w14:paraId="0654B2B6"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7A58A4CA" w14:textId="77777777" w:rsidR="002A5F50" w:rsidRPr="00CB32F8" w:rsidRDefault="002A5F50" w:rsidP="00230559">
      <w:pPr>
        <w:widowControl w:val="0"/>
        <w:tabs>
          <w:tab w:val="clear" w:pos="567"/>
          <w:tab w:val="left" w:pos="1251"/>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Pastebėję šiuos arba bet kokius kitus uždegimo arba infekcijos simptomus, nedelsdami kreipkitės medicininės pagalbos.</w:t>
      </w:r>
    </w:p>
    <w:p w14:paraId="35B6CDD3"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4102D59E"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b/>
          <w:bCs/>
          <w:snapToGrid/>
          <w:szCs w:val="22"/>
          <w:lang w:val="lt-LT" w:eastAsia="en-IN"/>
        </w:rPr>
        <w:t>Galimas šalutinis poveikis</w:t>
      </w:r>
    </w:p>
    <w:p w14:paraId="24C9F08E"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721E4F79" w14:textId="6BD9CD5A"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b/>
          <w:bCs/>
          <w:snapToGrid/>
          <w:szCs w:val="22"/>
          <w:lang w:val="lt-LT" w:eastAsia="en-IN"/>
        </w:rPr>
        <w:lastRenderedPageBreak/>
        <w:t xml:space="preserve">Labai </w:t>
      </w:r>
      <w:r w:rsidR="00366CCB" w:rsidRPr="001839C2">
        <w:rPr>
          <w:rFonts w:eastAsiaTheme="minorEastAsia"/>
          <w:b/>
          <w:bCs/>
          <w:snapToGrid/>
          <w:szCs w:val="22"/>
          <w:lang w:val="lt-LT" w:eastAsia="en-IN"/>
        </w:rPr>
        <w:t>dažni šalutinio poveikio reiškiniai</w:t>
      </w:r>
      <w:r w:rsidR="00366CCB" w:rsidRPr="001839C2">
        <w:rPr>
          <w:rFonts w:eastAsiaTheme="minorEastAsia"/>
          <w:bCs/>
          <w:snapToGrid/>
          <w:szCs w:val="22"/>
          <w:lang w:val="lt-LT" w:eastAsia="en-IN"/>
        </w:rPr>
        <w:t xml:space="preserve"> </w:t>
      </w:r>
      <w:r w:rsidRPr="001839C2">
        <w:rPr>
          <w:rFonts w:eastAsiaTheme="minorEastAsia"/>
          <w:i/>
          <w:iCs/>
          <w:snapToGrid/>
          <w:szCs w:val="22"/>
          <w:lang w:val="lt-LT" w:eastAsia="en-IN"/>
        </w:rPr>
        <w:t xml:space="preserve">(gali pasireikšti </w:t>
      </w:r>
      <w:r w:rsidR="00366CCB" w:rsidRPr="001839C2">
        <w:rPr>
          <w:rFonts w:eastAsiaTheme="minorEastAsia"/>
          <w:i/>
          <w:iCs/>
          <w:snapToGrid/>
          <w:szCs w:val="22"/>
          <w:lang w:val="lt-LT" w:eastAsia="en-IN"/>
        </w:rPr>
        <w:t xml:space="preserve">ne rečiau </w:t>
      </w:r>
      <w:r w:rsidRPr="001839C2">
        <w:rPr>
          <w:rFonts w:eastAsiaTheme="minorEastAsia"/>
          <w:i/>
          <w:iCs/>
          <w:snapToGrid/>
          <w:szCs w:val="22"/>
          <w:lang w:val="lt-LT" w:eastAsia="en-IN"/>
        </w:rPr>
        <w:t>kaip 1 iš 10</w:t>
      </w:r>
      <w:r w:rsidR="006A1585" w:rsidRPr="001839C2">
        <w:rPr>
          <w:rFonts w:eastAsiaTheme="minorEastAsia"/>
          <w:i/>
          <w:iCs/>
          <w:snapToGrid/>
          <w:szCs w:val="22"/>
          <w:lang w:val="lt-LT" w:eastAsia="en-IN"/>
        </w:rPr>
        <w:t> </w:t>
      </w:r>
      <w:r w:rsidR="00366CCB" w:rsidRPr="001839C2">
        <w:rPr>
          <w:rFonts w:eastAsiaTheme="minorEastAsia"/>
          <w:i/>
          <w:iCs/>
          <w:snapToGrid/>
          <w:szCs w:val="22"/>
          <w:lang w:val="lt-LT" w:eastAsia="en-IN"/>
        </w:rPr>
        <w:t>asmenų</w:t>
      </w:r>
      <w:r w:rsidRPr="001839C2">
        <w:rPr>
          <w:rFonts w:eastAsiaTheme="minorEastAsia"/>
          <w:i/>
          <w:iCs/>
          <w:snapToGrid/>
          <w:szCs w:val="22"/>
          <w:lang w:val="lt-LT" w:eastAsia="en-IN"/>
        </w:rPr>
        <w:t>)</w:t>
      </w:r>
    </w:p>
    <w:p w14:paraId="0FDBD7A3" w14:textId="77777777" w:rsidR="002A5F50" w:rsidRPr="001839C2" w:rsidRDefault="006A1585" w:rsidP="002A5F50">
      <w:pPr>
        <w:widowControl w:val="0"/>
        <w:numPr>
          <w:ilvl w:val="0"/>
          <w:numId w:val="27"/>
        </w:numPr>
        <w:tabs>
          <w:tab w:val="clear" w:pos="567"/>
          <w:tab w:val="left" w:pos="685"/>
        </w:tabs>
        <w:kinsoku w:val="0"/>
        <w:overflowPunct w:val="0"/>
        <w:autoSpaceDE w:val="0"/>
        <w:autoSpaceDN w:val="0"/>
        <w:adjustRightInd w:val="0"/>
        <w:ind w:left="684" w:hanging="566"/>
        <w:rPr>
          <w:rFonts w:eastAsiaTheme="minorEastAsia"/>
          <w:snapToGrid/>
          <w:szCs w:val="22"/>
          <w:lang w:val="lt-LT" w:eastAsia="en-IN"/>
        </w:rPr>
      </w:pPr>
      <w:r w:rsidRPr="001839C2">
        <w:rPr>
          <w:rFonts w:eastAsiaTheme="minorEastAsia"/>
          <w:snapToGrid/>
          <w:szCs w:val="22"/>
          <w:lang w:val="lt-LT" w:eastAsia="en-IN"/>
        </w:rPr>
        <w:t>V</w:t>
      </w:r>
      <w:r w:rsidR="002A5F50" w:rsidRPr="001839C2">
        <w:rPr>
          <w:rFonts w:eastAsiaTheme="minorEastAsia"/>
          <w:snapToGrid/>
          <w:szCs w:val="22"/>
          <w:lang w:val="lt-LT" w:eastAsia="en-IN"/>
        </w:rPr>
        <w:t>iduriavimas, vėmimas, pykinimas</w:t>
      </w:r>
      <w:r w:rsidRPr="001839C2">
        <w:rPr>
          <w:rFonts w:eastAsiaTheme="minorEastAsia"/>
          <w:snapToGrid/>
          <w:szCs w:val="22"/>
          <w:lang w:val="lt-LT" w:eastAsia="en-IN"/>
        </w:rPr>
        <w:t>.</w:t>
      </w:r>
    </w:p>
    <w:p w14:paraId="7FEC334C" w14:textId="77777777" w:rsidR="002A5F50" w:rsidRPr="001839C2" w:rsidRDefault="006A1585" w:rsidP="002A5F50">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w:t>
      </w:r>
      <w:r w:rsidR="002A5F50" w:rsidRPr="001839C2">
        <w:rPr>
          <w:rFonts w:eastAsiaTheme="minorEastAsia"/>
          <w:snapToGrid/>
          <w:szCs w:val="22"/>
          <w:lang w:val="lt-LT" w:eastAsia="en-IN"/>
        </w:rPr>
        <w:t>vaig</w:t>
      </w:r>
      <w:r w:rsidRPr="001839C2">
        <w:rPr>
          <w:rFonts w:eastAsiaTheme="minorEastAsia"/>
          <w:snapToGrid/>
          <w:szCs w:val="22"/>
          <w:lang w:val="lt-LT" w:eastAsia="en-IN"/>
        </w:rPr>
        <w:t>uly</w:t>
      </w:r>
      <w:r w:rsidR="002A5F50" w:rsidRPr="001839C2">
        <w:rPr>
          <w:rFonts w:eastAsiaTheme="minorEastAsia"/>
          <w:snapToGrid/>
          <w:szCs w:val="22"/>
          <w:lang w:val="lt-LT" w:eastAsia="en-IN"/>
        </w:rPr>
        <w:t>s, galvos skausmas</w:t>
      </w:r>
      <w:r w:rsidRPr="001839C2">
        <w:rPr>
          <w:rFonts w:eastAsiaTheme="minorEastAsia"/>
          <w:snapToGrid/>
          <w:szCs w:val="22"/>
          <w:lang w:val="lt-LT" w:eastAsia="en-IN"/>
        </w:rPr>
        <w:t>.</w:t>
      </w:r>
    </w:p>
    <w:p w14:paraId="2378D576" w14:textId="77777777" w:rsidR="002A5F50" w:rsidRPr="001839C2" w:rsidRDefault="006A1585" w:rsidP="002A5F50">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Iš</w:t>
      </w:r>
      <w:r w:rsidR="002A5F50" w:rsidRPr="001839C2">
        <w:rPr>
          <w:rFonts w:eastAsiaTheme="minorEastAsia"/>
          <w:snapToGrid/>
          <w:szCs w:val="22"/>
          <w:lang w:val="lt-LT" w:eastAsia="en-IN"/>
        </w:rPr>
        <w:t>bėrimas</w:t>
      </w:r>
      <w:r w:rsidRPr="001839C2">
        <w:rPr>
          <w:rFonts w:eastAsiaTheme="minorEastAsia"/>
          <w:snapToGrid/>
          <w:szCs w:val="22"/>
          <w:lang w:val="lt-LT" w:eastAsia="en-IN"/>
        </w:rPr>
        <w:t>.</w:t>
      </w:r>
    </w:p>
    <w:p w14:paraId="6DA1C43D" w14:textId="77777777" w:rsidR="002A5F50" w:rsidRPr="001839C2" w:rsidRDefault="006A1585" w:rsidP="002A5F50">
      <w:pPr>
        <w:widowControl w:val="0"/>
        <w:numPr>
          <w:ilvl w:val="0"/>
          <w:numId w:val="27"/>
        </w:numPr>
        <w:tabs>
          <w:tab w:val="clear" w:pos="567"/>
          <w:tab w:val="left" w:pos="686"/>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S</w:t>
      </w:r>
      <w:r w:rsidR="002A5F50" w:rsidRPr="001839C2">
        <w:rPr>
          <w:rFonts w:eastAsiaTheme="minorEastAsia"/>
          <w:snapToGrid/>
          <w:szCs w:val="22"/>
          <w:lang w:val="lt-LT" w:eastAsia="en-IN"/>
        </w:rPr>
        <w:t xml:space="preserve">ilpnumo </w:t>
      </w:r>
      <w:r w:rsidRPr="001839C2">
        <w:rPr>
          <w:rFonts w:eastAsiaTheme="minorEastAsia"/>
          <w:snapToGrid/>
          <w:szCs w:val="22"/>
          <w:lang w:val="lt-LT" w:eastAsia="en-IN"/>
        </w:rPr>
        <w:t>po</w:t>
      </w:r>
      <w:r w:rsidR="002A5F50" w:rsidRPr="001839C2">
        <w:rPr>
          <w:rFonts w:eastAsiaTheme="minorEastAsia"/>
          <w:snapToGrid/>
          <w:szCs w:val="22"/>
          <w:lang w:val="lt-LT" w:eastAsia="en-IN"/>
        </w:rPr>
        <w:t>j</w:t>
      </w:r>
      <w:r w:rsidRPr="001839C2">
        <w:rPr>
          <w:rFonts w:eastAsiaTheme="minorEastAsia"/>
          <w:snapToGrid/>
          <w:szCs w:val="22"/>
          <w:lang w:val="lt-LT" w:eastAsia="en-IN"/>
        </w:rPr>
        <w:t>ūti</w:t>
      </w:r>
      <w:r w:rsidR="002A5F50" w:rsidRPr="001839C2">
        <w:rPr>
          <w:rFonts w:eastAsiaTheme="minorEastAsia"/>
          <w:snapToGrid/>
          <w:szCs w:val="22"/>
          <w:lang w:val="lt-LT" w:eastAsia="en-IN"/>
        </w:rPr>
        <w:t>s</w:t>
      </w:r>
      <w:r w:rsidRPr="001839C2">
        <w:rPr>
          <w:rFonts w:eastAsiaTheme="minorEastAsia"/>
          <w:snapToGrid/>
          <w:szCs w:val="22"/>
          <w:lang w:val="lt-LT" w:eastAsia="en-IN"/>
        </w:rPr>
        <w:t>.</w:t>
      </w:r>
    </w:p>
    <w:p w14:paraId="71F25716"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7903DBCD"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Tyrimai taip pat gali rodyti</w:t>
      </w:r>
    </w:p>
    <w:p w14:paraId="24144E92" w14:textId="77777777" w:rsidR="002A5F50" w:rsidRPr="001839C2" w:rsidRDefault="006A1585" w:rsidP="002A5F50">
      <w:pPr>
        <w:widowControl w:val="0"/>
        <w:numPr>
          <w:ilvl w:val="0"/>
          <w:numId w:val="27"/>
        </w:numPr>
        <w:tabs>
          <w:tab w:val="clear" w:pos="567"/>
          <w:tab w:val="left" w:pos="686"/>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S</w:t>
      </w:r>
      <w:r w:rsidR="002A5F50" w:rsidRPr="001839C2">
        <w:rPr>
          <w:rFonts w:eastAsiaTheme="minorEastAsia"/>
          <w:snapToGrid/>
          <w:szCs w:val="22"/>
          <w:lang w:val="lt-LT" w:eastAsia="en-IN"/>
        </w:rPr>
        <w:t>umažėjusį fosfatų kiekį kraujyje</w:t>
      </w:r>
      <w:r w:rsidRPr="001839C2">
        <w:rPr>
          <w:rFonts w:eastAsiaTheme="minorEastAsia"/>
          <w:snapToGrid/>
          <w:szCs w:val="22"/>
          <w:lang w:val="lt-LT" w:eastAsia="en-IN"/>
        </w:rPr>
        <w:t>.</w:t>
      </w:r>
    </w:p>
    <w:p w14:paraId="3A16FDB2" w14:textId="77777777" w:rsidR="002A5F50" w:rsidRPr="001839C2" w:rsidRDefault="006A1585" w:rsidP="002A5F50">
      <w:pPr>
        <w:widowControl w:val="0"/>
        <w:numPr>
          <w:ilvl w:val="0"/>
          <w:numId w:val="27"/>
        </w:numPr>
        <w:tabs>
          <w:tab w:val="clear" w:pos="567"/>
          <w:tab w:val="left" w:pos="68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adidėjusį kreatinkinazės aktyvumą</w:t>
      </w:r>
      <w:r w:rsidRPr="001839C2">
        <w:rPr>
          <w:rFonts w:eastAsiaTheme="minorEastAsia"/>
          <w:snapToGrid/>
          <w:szCs w:val="22"/>
          <w:lang w:val="lt-LT" w:eastAsia="en-IN"/>
        </w:rPr>
        <w:t>.</w:t>
      </w:r>
    </w:p>
    <w:p w14:paraId="1F0F7A85"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2FDC0687" w14:textId="5FD1E037" w:rsidR="002A5F50" w:rsidRPr="001839C2" w:rsidRDefault="00366CCB" w:rsidP="00230559">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Dažni šalutinio poveikio reiškiniai</w:t>
      </w:r>
      <w:r w:rsidRPr="001839C2">
        <w:rPr>
          <w:rFonts w:eastAsiaTheme="minorEastAsia"/>
          <w:lang w:val="lt-LT"/>
        </w:rPr>
        <w:t xml:space="preserve"> </w:t>
      </w:r>
      <w:r w:rsidR="002A5F50" w:rsidRPr="001839C2">
        <w:rPr>
          <w:rFonts w:eastAsiaTheme="minorEastAsia"/>
          <w:i/>
          <w:iCs/>
          <w:snapToGrid/>
          <w:szCs w:val="22"/>
          <w:lang w:val="lt-LT" w:eastAsia="en-IN"/>
        </w:rPr>
        <w:t xml:space="preserve">(gali pasireikšti </w:t>
      </w:r>
      <w:r w:rsidR="006A1585" w:rsidRPr="001839C2">
        <w:rPr>
          <w:rFonts w:eastAsiaTheme="minorEastAsia"/>
          <w:i/>
          <w:iCs/>
          <w:snapToGrid/>
          <w:szCs w:val="22"/>
          <w:lang w:val="lt-LT" w:eastAsia="en-IN"/>
        </w:rPr>
        <w:t>r</w:t>
      </w:r>
      <w:r w:rsidR="002A5F50" w:rsidRPr="001839C2">
        <w:rPr>
          <w:rFonts w:eastAsiaTheme="minorEastAsia"/>
          <w:i/>
          <w:iCs/>
          <w:snapToGrid/>
          <w:szCs w:val="22"/>
          <w:lang w:val="lt-LT" w:eastAsia="en-IN"/>
        </w:rPr>
        <w:t>e</w:t>
      </w:r>
      <w:r w:rsidR="006A1585" w:rsidRPr="001839C2">
        <w:rPr>
          <w:rFonts w:eastAsiaTheme="minorEastAsia"/>
          <w:i/>
          <w:iCs/>
          <w:snapToGrid/>
          <w:szCs w:val="22"/>
          <w:lang w:val="lt-LT" w:eastAsia="en-IN"/>
        </w:rPr>
        <w:t>č</w:t>
      </w:r>
      <w:r w:rsidR="002A5F50" w:rsidRPr="001839C2">
        <w:rPr>
          <w:rFonts w:eastAsiaTheme="minorEastAsia"/>
          <w:i/>
          <w:iCs/>
          <w:snapToGrid/>
          <w:szCs w:val="22"/>
          <w:lang w:val="lt-LT" w:eastAsia="en-IN"/>
        </w:rPr>
        <w:t>iau kaip 1 iš 10</w:t>
      </w:r>
      <w:r w:rsidR="006A1585" w:rsidRPr="001839C2">
        <w:rPr>
          <w:rFonts w:eastAsiaTheme="minorEastAsia"/>
          <w:i/>
          <w:iCs/>
          <w:snapToGrid/>
          <w:szCs w:val="22"/>
          <w:lang w:val="lt-LT" w:eastAsia="en-IN"/>
        </w:rPr>
        <w:t> </w:t>
      </w:r>
      <w:r w:rsidRPr="001839C2">
        <w:rPr>
          <w:rFonts w:eastAsiaTheme="minorEastAsia"/>
          <w:i/>
          <w:iCs/>
          <w:snapToGrid/>
          <w:szCs w:val="22"/>
          <w:lang w:val="lt-LT" w:eastAsia="en-IN"/>
        </w:rPr>
        <w:t>asmenų</w:t>
      </w:r>
      <w:r w:rsidR="002A5F50" w:rsidRPr="001839C2">
        <w:rPr>
          <w:rFonts w:eastAsiaTheme="minorEastAsia"/>
          <w:i/>
          <w:iCs/>
          <w:snapToGrid/>
          <w:szCs w:val="22"/>
          <w:lang w:val="lt-LT" w:eastAsia="en-IN"/>
        </w:rPr>
        <w:t>)</w:t>
      </w:r>
    </w:p>
    <w:p w14:paraId="26F32417" w14:textId="77777777" w:rsidR="002A5F50" w:rsidRPr="001839C2" w:rsidRDefault="006A1585" w:rsidP="00BF4605">
      <w:pPr>
        <w:widowControl w:val="0"/>
        <w:numPr>
          <w:ilvl w:val="0"/>
          <w:numId w:val="27"/>
        </w:numPr>
        <w:tabs>
          <w:tab w:val="clear" w:pos="567"/>
          <w:tab w:val="left" w:pos="68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S</w:t>
      </w:r>
      <w:r w:rsidR="002A5F50" w:rsidRPr="001839C2">
        <w:rPr>
          <w:rFonts w:eastAsiaTheme="minorEastAsia"/>
          <w:snapToGrid/>
          <w:szCs w:val="22"/>
          <w:lang w:val="lt-LT" w:eastAsia="en-IN"/>
        </w:rPr>
        <w:t>kausmas, pilvo skausmas</w:t>
      </w:r>
      <w:r w:rsidRPr="001839C2">
        <w:rPr>
          <w:rFonts w:eastAsiaTheme="minorEastAsia"/>
          <w:snapToGrid/>
          <w:szCs w:val="22"/>
          <w:lang w:val="lt-LT" w:eastAsia="en-IN"/>
        </w:rPr>
        <w:t>.</w:t>
      </w:r>
    </w:p>
    <w:p w14:paraId="58BC3EED" w14:textId="77777777" w:rsidR="002A5F50" w:rsidRPr="001839C2" w:rsidRDefault="006A1585" w:rsidP="00BF4605">
      <w:pPr>
        <w:widowControl w:val="0"/>
        <w:numPr>
          <w:ilvl w:val="0"/>
          <w:numId w:val="27"/>
        </w:numPr>
        <w:tabs>
          <w:tab w:val="clear" w:pos="567"/>
          <w:tab w:val="left" w:pos="68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M</w:t>
      </w:r>
      <w:r w:rsidR="002A5F50" w:rsidRPr="001839C2">
        <w:rPr>
          <w:rFonts w:eastAsiaTheme="minorEastAsia"/>
          <w:snapToGrid/>
          <w:szCs w:val="22"/>
          <w:lang w:val="lt-LT" w:eastAsia="en-IN"/>
        </w:rPr>
        <w:t>iego sutrikimas, nenormalūs sapnai</w:t>
      </w:r>
      <w:r w:rsidRPr="001839C2">
        <w:rPr>
          <w:rFonts w:eastAsiaTheme="minorEastAsia"/>
          <w:snapToGrid/>
          <w:szCs w:val="22"/>
          <w:lang w:val="lt-LT" w:eastAsia="en-IN"/>
        </w:rPr>
        <w:t>.</w:t>
      </w:r>
    </w:p>
    <w:p w14:paraId="48C6E942" w14:textId="77777777" w:rsidR="002A5F50" w:rsidRPr="001839C2" w:rsidRDefault="006A1585" w:rsidP="00BF4605">
      <w:pPr>
        <w:widowControl w:val="0"/>
        <w:numPr>
          <w:ilvl w:val="0"/>
          <w:numId w:val="27"/>
        </w:numPr>
        <w:tabs>
          <w:tab w:val="clear" w:pos="567"/>
          <w:tab w:val="left" w:pos="687"/>
        </w:tabs>
        <w:kinsoku w:val="0"/>
        <w:overflowPunct w:val="0"/>
        <w:autoSpaceDE w:val="0"/>
        <w:autoSpaceDN w:val="0"/>
        <w:adjustRightInd w:val="0"/>
        <w:ind w:left="686" w:hanging="566"/>
        <w:rPr>
          <w:rFonts w:eastAsiaTheme="minorEastAsia"/>
          <w:snapToGrid/>
          <w:szCs w:val="22"/>
          <w:lang w:val="lt-LT" w:eastAsia="en-IN"/>
        </w:rPr>
      </w:pPr>
      <w:r w:rsidRPr="001839C2">
        <w:rPr>
          <w:rFonts w:eastAsiaTheme="minorEastAsia"/>
          <w:snapToGrid/>
          <w:szCs w:val="22"/>
          <w:lang w:val="lt-LT" w:eastAsia="en-IN"/>
        </w:rPr>
        <w:t>V</w:t>
      </w:r>
      <w:r w:rsidR="002A5F50" w:rsidRPr="001839C2">
        <w:rPr>
          <w:rFonts w:eastAsiaTheme="minorEastAsia"/>
          <w:snapToGrid/>
          <w:szCs w:val="22"/>
          <w:lang w:val="lt-LT" w:eastAsia="en-IN"/>
        </w:rPr>
        <w:t xml:space="preserve">irškinimo sutrikimai, pasireiškiantys diskomfortu po valgio, išsipūtimo </w:t>
      </w:r>
      <w:r w:rsidRPr="001839C2">
        <w:rPr>
          <w:rFonts w:eastAsiaTheme="minorEastAsia"/>
          <w:snapToGrid/>
          <w:szCs w:val="22"/>
          <w:lang w:val="lt-LT" w:eastAsia="en-IN"/>
        </w:rPr>
        <w:t>po</w:t>
      </w:r>
      <w:r w:rsidR="002A5F50" w:rsidRPr="001839C2">
        <w:rPr>
          <w:rFonts w:eastAsiaTheme="minorEastAsia"/>
          <w:snapToGrid/>
          <w:szCs w:val="22"/>
          <w:lang w:val="lt-LT" w:eastAsia="en-IN"/>
        </w:rPr>
        <w:t>j</w:t>
      </w:r>
      <w:r w:rsidRPr="001839C2">
        <w:rPr>
          <w:rFonts w:eastAsiaTheme="minorEastAsia"/>
          <w:snapToGrid/>
          <w:szCs w:val="22"/>
          <w:lang w:val="lt-LT" w:eastAsia="en-IN"/>
        </w:rPr>
        <w:t>ūči</w:t>
      </w:r>
      <w:r w:rsidR="002A5F50" w:rsidRPr="001839C2">
        <w:rPr>
          <w:rFonts w:eastAsiaTheme="minorEastAsia"/>
          <w:snapToGrid/>
          <w:szCs w:val="22"/>
          <w:lang w:val="lt-LT" w:eastAsia="en-IN"/>
        </w:rPr>
        <w:t>u, pilvo pūtimu</w:t>
      </w:r>
      <w:r w:rsidRPr="001839C2">
        <w:rPr>
          <w:rFonts w:eastAsiaTheme="minorEastAsia"/>
          <w:snapToGrid/>
          <w:szCs w:val="22"/>
          <w:lang w:val="lt-LT" w:eastAsia="en-IN"/>
        </w:rPr>
        <w:t>.</w:t>
      </w:r>
    </w:p>
    <w:p w14:paraId="11EF56AE" w14:textId="77777777" w:rsidR="002A5F50" w:rsidRPr="001839C2" w:rsidRDefault="006A1585" w:rsidP="00230559">
      <w:pPr>
        <w:widowControl w:val="0"/>
        <w:numPr>
          <w:ilvl w:val="0"/>
          <w:numId w:val="27"/>
        </w:numPr>
        <w:tabs>
          <w:tab w:val="clear" w:pos="567"/>
          <w:tab w:val="left" w:pos="687"/>
        </w:tabs>
        <w:kinsoku w:val="0"/>
        <w:overflowPunct w:val="0"/>
        <w:autoSpaceDE w:val="0"/>
        <w:autoSpaceDN w:val="0"/>
        <w:adjustRightInd w:val="0"/>
        <w:ind w:left="686" w:hanging="566"/>
        <w:rPr>
          <w:rFonts w:eastAsiaTheme="minorEastAsia"/>
          <w:snapToGrid/>
          <w:szCs w:val="22"/>
          <w:lang w:val="lt-LT" w:eastAsia="en-IN"/>
        </w:rPr>
      </w:pPr>
      <w:r w:rsidRPr="001839C2">
        <w:rPr>
          <w:rFonts w:eastAsiaTheme="minorEastAsia"/>
          <w:snapToGrid/>
          <w:szCs w:val="22"/>
          <w:lang w:val="lt-LT" w:eastAsia="en-IN"/>
        </w:rPr>
        <w:t>Iš</w:t>
      </w:r>
      <w:r w:rsidR="002A5F50" w:rsidRPr="001839C2">
        <w:rPr>
          <w:rFonts w:eastAsiaTheme="minorEastAsia"/>
          <w:snapToGrid/>
          <w:szCs w:val="22"/>
          <w:lang w:val="lt-LT" w:eastAsia="en-IN"/>
        </w:rPr>
        <w:t xml:space="preserve">bėrimas (įskaitant raudonas dėmeles ar spuogelius, kartais su pūslelėmis ir odos pabrinkimu), </w:t>
      </w:r>
      <w:r w:rsidRPr="001839C2">
        <w:rPr>
          <w:rFonts w:eastAsiaTheme="minorEastAsia"/>
          <w:snapToGrid/>
          <w:szCs w:val="22"/>
          <w:lang w:val="lt-LT" w:eastAsia="en-IN"/>
        </w:rPr>
        <w:t>t</w:t>
      </w:r>
      <w:r w:rsidR="002A5F50" w:rsidRPr="001839C2">
        <w:rPr>
          <w:rFonts w:eastAsiaTheme="minorEastAsia"/>
          <w:snapToGrid/>
          <w:szCs w:val="22"/>
          <w:lang w:val="lt-LT" w:eastAsia="en-IN"/>
        </w:rPr>
        <w:t>a</w:t>
      </w:r>
      <w:r w:rsidRPr="001839C2">
        <w:rPr>
          <w:rFonts w:eastAsiaTheme="minorEastAsia"/>
          <w:snapToGrid/>
          <w:szCs w:val="22"/>
          <w:lang w:val="lt-LT" w:eastAsia="en-IN"/>
        </w:rPr>
        <w:t>i</w:t>
      </w:r>
      <w:r w:rsidR="002A5F50" w:rsidRPr="001839C2">
        <w:rPr>
          <w:rFonts w:eastAsiaTheme="minorEastAsia"/>
          <w:snapToGrid/>
          <w:szCs w:val="22"/>
          <w:lang w:val="lt-LT" w:eastAsia="en-IN"/>
        </w:rPr>
        <w:t xml:space="preserve"> gali rodyti alerginę reakciją, niež</w:t>
      </w:r>
      <w:r w:rsidR="008A6EF7" w:rsidRPr="001839C2">
        <w:rPr>
          <w:rFonts w:eastAsiaTheme="minorEastAsia"/>
          <w:snapToGrid/>
          <w:szCs w:val="22"/>
          <w:lang w:val="lt-LT" w:eastAsia="en-IN"/>
        </w:rPr>
        <w:t>ėjima</w:t>
      </w:r>
      <w:r w:rsidR="002A5F50" w:rsidRPr="001839C2">
        <w:rPr>
          <w:rFonts w:eastAsiaTheme="minorEastAsia"/>
          <w:snapToGrid/>
          <w:szCs w:val="22"/>
          <w:lang w:val="lt-LT" w:eastAsia="en-IN"/>
        </w:rPr>
        <w:t>s, odos spalvos pokyčiai, įskaitant odos</w:t>
      </w:r>
      <w:r w:rsidR="009D3371" w:rsidRPr="001839C2">
        <w:rPr>
          <w:rFonts w:eastAsiaTheme="minorEastAsia"/>
          <w:snapToGrid/>
          <w:szCs w:val="22"/>
          <w:lang w:val="lt-LT" w:eastAsia="en-IN"/>
        </w:rPr>
        <w:t xml:space="preserve"> </w:t>
      </w:r>
      <w:r w:rsidR="002A5F50" w:rsidRPr="001839C2">
        <w:rPr>
          <w:rFonts w:eastAsiaTheme="minorEastAsia"/>
          <w:snapToGrid/>
          <w:szCs w:val="22"/>
          <w:lang w:val="lt-LT" w:eastAsia="en-IN"/>
        </w:rPr>
        <w:t xml:space="preserve">patamsėjimą </w:t>
      </w:r>
      <w:r w:rsidR="006244AA" w:rsidRPr="001839C2">
        <w:rPr>
          <w:rFonts w:eastAsiaTheme="minorEastAsia"/>
          <w:snapToGrid/>
          <w:szCs w:val="22"/>
          <w:lang w:val="lt-LT" w:eastAsia="en-IN"/>
        </w:rPr>
        <w:t>dėmėm</w:t>
      </w:r>
      <w:r w:rsidR="002A5F50" w:rsidRPr="001839C2">
        <w:rPr>
          <w:rFonts w:eastAsiaTheme="minorEastAsia"/>
          <w:snapToGrid/>
          <w:szCs w:val="22"/>
          <w:lang w:val="lt-LT" w:eastAsia="en-IN"/>
        </w:rPr>
        <w:t>is</w:t>
      </w:r>
      <w:r w:rsidRPr="001839C2">
        <w:rPr>
          <w:rFonts w:eastAsiaTheme="minorEastAsia"/>
          <w:snapToGrid/>
          <w:szCs w:val="22"/>
          <w:lang w:val="lt-LT" w:eastAsia="en-IN"/>
        </w:rPr>
        <w:t>.</w:t>
      </w:r>
    </w:p>
    <w:p w14:paraId="25DD128D" w14:textId="77777777" w:rsidR="002A5F50" w:rsidRDefault="006A1585" w:rsidP="00BF4605">
      <w:pPr>
        <w:widowControl w:val="0"/>
        <w:numPr>
          <w:ilvl w:val="0"/>
          <w:numId w:val="27"/>
        </w:numPr>
        <w:tabs>
          <w:tab w:val="clear" w:pos="567"/>
          <w:tab w:val="left" w:pos="688"/>
        </w:tabs>
        <w:kinsoku w:val="0"/>
        <w:overflowPunct w:val="0"/>
        <w:autoSpaceDE w:val="0"/>
        <w:autoSpaceDN w:val="0"/>
        <w:adjustRightInd w:val="0"/>
        <w:ind w:left="687"/>
        <w:rPr>
          <w:rFonts w:eastAsiaTheme="minorEastAsia"/>
          <w:snapToGrid/>
          <w:szCs w:val="22"/>
          <w:lang w:val="lt-LT" w:eastAsia="en-IN"/>
        </w:rPr>
      </w:pPr>
      <w:r w:rsidRPr="001839C2">
        <w:rPr>
          <w:rFonts w:eastAsiaTheme="minorEastAsia"/>
          <w:snapToGrid/>
          <w:szCs w:val="22"/>
          <w:lang w:val="lt-LT" w:eastAsia="en-IN"/>
        </w:rPr>
        <w:t>K</w:t>
      </w:r>
      <w:r w:rsidR="002A5F50" w:rsidRPr="001839C2">
        <w:rPr>
          <w:rFonts w:eastAsiaTheme="minorEastAsia"/>
          <w:snapToGrid/>
          <w:szCs w:val="22"/>
          <w:lang w:val="lt-LT" w:eastAsia="en-IN"/>
        </w:rPr>
        <w:t xml:space="preserve">itos alerginės reakcijos: </w:t>
      </w:r>
      <w:r w:rsidR="006244AA" w:rsidRPr="001839C2">
        <w:rPr>
          <w:rFonts w:eastAsiaTheme="minorEastAsia"/>
          <w:snapToGrid/>
          <w:szCs w:val="22"/>
          <w:lang w:val="lt-LT" w:eastAsia="en-IN"/>
        </w:rPr>
        <w:t>gargimas (</w:t>
      </w:r>
      <w:r w:rsidR="002A5F50" w:rsidRPr="001839C2">
        <w:rPr>
          <w:rFonts w:eastAsiaTheme="minorEastAsia"/>
          <w:snapToGrid/>
          <w:szCs w:val="22"/>
          <w:lang w:val="lt-LT" w:eastAsia="en-IN"/>
        </w:rPr>
        <w:t>švokščiantis alsavimas</w:t>
      </w:r>
      <w:r w:rsidR="006244AA" w:rsidRPr="001839C2">
        <w:rPr>
          <w:rFonts w:eastAsiaTheme="minorEastAsia"/>
          <w:snapToGrid/>
          <w:szCs w:val="22"/>
          <w:lang w:val="lt-LT" w:eastAsia="en-IN"/>
        </w:rPr>
        <w:t>)</w:t>
      </w:r>
      <w:r w:rsidR="002A5F50" w:rsidRPr="001839C2">
        <w:rPr>
          <w:rFonts w:eastAsiaTheme="minorEastAsia"/>
          <w:snapToGrid/>
          <w:szCs w:val="22"/>
          <w:lang w:val="lt-LT" w:eastAsia="en-IN"/>
        </w:rPr>
        <w:t>, pa</w:t>
      </w:r>
      <w:r w:rsidR="006244AA" w:rsidRPr="001839C2">
        <w:rPr>
          <w:rFonts w:eastAsiaTheme="minorEastAsia"/>
          <w:snapToGrid/>
          <w:szCs w:val="22"/>
          <w:lang w:val="lt-LT" w:eastAsia="en-IN"/>
        </w:rPr>
        <w:t>br</w:t>
      </w:r>
      <w:r w:rsidR="002A5F50" w:rsidRPr="001839C2">
        <w:rPr>
          <w:rFonts w:eastAsiaTheme="minorEastAsia"/>
          <w:snapToGrid/>
          <w:szCs w:val="22"/>
          <w:lang w:val="lt-LT" w:eastAsia="en-IN"/>
        </w:rPr>
        <w:t>in</w:t>
      </w:r>
      <w:r w:rsidR="006244AA" w:rsidRPr="001839C2">
        <w:rPr>
          <w:rFonts w:eastAsiaTheme="minorEastAsia"/>
          <w:snapToGrid/>
          <w:szCs w:val="22"/>
          <w:lang w:val="lt-LT" w:eastAsia="en-IN"/>
        </w:rPr>
        <w:t>k</w:t>
      </w:r>
      <w:r w:rsidR="002A5F50" w:rsidRPr="001839C2">
        <w:rPr>
          <w:rFonts w:eastAsiaTheme="minorEastAsia"/>
          <w:snapToGrid/>
          <w:szCs w:val="22"/>
          <w:lang w:val="lt-LT" w:eastAsia="en-IN"/>
        </w:rPr>
        <w:t xml:space="preserve">imas ar </w:t>
      </w:r>
      <w:r w:rsidR="006244AA" w:rsidRPr="001839C2">
        <w:rPr>
          <w:rFonts w:eastAsiaTheme="minorEastAsia"/>
          <w:snapToGrid/>
          <w:szCs w:val="22"/>
          <w:lang w:val="lt-LT" w:eastAsia="en-IN"/>
        </w:rPr>
        <w:t>g</w:t>
      </w:r>
      <w:r w:rsidR="002A5F50" w:rsidRPr="001839C2">
        <w:rPr>
          <w:rFonts w:eastAsiaTheme="minorEastAsia"/>
          <w:snapToGrid/>
          <w:szCs w:val="22"/>
          <w:lang w:val="lt-LT" w:eastAsia="en-IN"/>
        </w:rPr>
        <w:t>a</w:t>
      </w:r>
      <w:r w:rsidR="006244AA" w:rsidRPr="001839C2">
        <w:rPr>
          <w:rFonts w:eastAsiaTheme="minorEastAsia"/>
          <w:snapToGrid/>
          <w:szCs w:val="22"/>
          <w:lang w:val="lt-LT" w:eastAsia="en-IN"/>
        </w:rPr>
        <w:t xml:space="preserve">lvos </w:t>
      </w:r>
      <w:r w:rsidR="002A5F50" w:rsidRPr="001839C2">
        <w:rPr>
          <w:rFonts w:eastAsiaTheme="minorEastAsia"/>
          <w:snapToGrid/>
          <w:szCs w:val="22"/>
          <w:lang w:val="lt-LT" w:eastAsia="en-IN"/>
        </w:rPr>
        <w:t>s</w:t>
      </w:r>
      <w:r w:rsidR="006244AA" w:rsidRPr="001839C2">
        <w:rPr>
          <w:rFonts w:eastAsiaTheme="minorEastAsia"/>
          <w:snapToGrid/>
          <w:szCs w:val="22"/>
          <w:lang w:val="lt-LT" w:eastAsia="en-IN"/>
        </w:rPr>
        <w:t>uk</w:t>
      </w:r>
      <w:r w:rsidR="002A5F50" w:rsidRPr="001839C2">
        <w:rPr>
          <w:rFonts w:eastAsiaTheme="minorEastAsia"/>
          <w:snapToGrid/>
          <w:szCs w:val="22"/>
          <w:lang w:val="lt-LT" w:eastAsia="en-IN"/>
        </w:rPr>
        <w:t>imas</w:t>
      </w:r>
      <w:r w:rsidR="006244AA" w:rsidRPr="001839C2">
        <w:rPr>
          <w:rFonts w:eastAsiaTheme="minorEastAsia"/>
          <w:snapToGrid/>
          <w:szCs w:val="22"/>
          <w:lang w:val="lt-LT" w:eastAsia="en-IN"/>
        </w:rPr>
        <w:t>is</w:t>
      </w:r>
      <w:r w:rsidRPr="001839C2">
        <w:rPr>
          <w:rFonts w:eastAsiaTheme="minorEastAsia"/>
          <w:snapToGrid/>
          <w:szCs w:val="22"/>
          <w:lang w:val="lt-LT" w:eastAsia="en-IN"/>
        </w:rPr>
        <w:t>.</w:t>
      </w:r>
    </w:p>
    <w:p w14:paraId="620F5A64" w14:textId="6D68A9FE" w:rsidR="005749F9" w:rsidRPr="001839C2" w:rsidRDefault="005749F9" w:rsidP="00BF4605">
      <w:pPr>
        <w:widowControl w:val="0"/>
        <w:numPr>
          <w:ilvl w:val="0"/>
          <w:numId w:val="27"/>
        </w:numPr>
        <w:tabs>
          <w:tab w:val="clear" w:pos="567"/>
          <w:tab w:val="left" w:pos="688"/>
        </w:tabs>
        <w:kinsoku w:val="0"/>
        <w:overflowPunct w:val="0"/>
        <w:autoSpaceDE w:val="0"/>
        <w:autoSpaceDN w:val="0"/>
        <w:adjustRightInd w:val="0"/>
        <w:ind w:left="687"/>
        <w:rPr>
          <w:rFonts w:eastAsiaTheme="minorEastAsia"/>
          <w:snapToGrid/>
          <w:szCs w:val="22"/>
          <w:lang w:val="lt-LT" w:eastAsia="en-IN"/>
        </w:rPr>
      </w:pPr>
      <w:r>
        <w:rPr>
          <w:rFonts w:eastAsiaTheme="minorEastAsia"/>
          <w:snapToGrid/>
          <w:szCs w:val="22"/>
          <w:lang w:val="lt-LT" w:eastAsia="en-IN"/>
        </w:rPr>
        <w:t>K</w:t>
      </w:r>
      <w:r w:rsidRPr="005749F9">
        <w:rPr>
          <w:rFonts w:eastAsiaTheme="minorEastAsia"/>
          <w:snapToGrid/>
          <w:szCs w:val="22"/>
          <w:lang w:val="lt-LT" w:eastAsia="en-IN"/>
        </w:rPr>
        <w:t>aulų masės sumažėjimas</w:t>
      </w:r>
      <w:r>
        <w:rPr>
          <w:rFonts w:eastAsiaTheme="minorEastAsia"/>
          <w:snapToGrid/>
          <w:szCs w:val="22"/>
          <w:lang w:val="lt-LT" w:eastAsia="en-IN"/>
        </w:rPr>
        <w:t>.</w:t>
      </w:r>
    </w:p>
    <w:p w14:paraId="2D1D6DAF"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5D05B0D5"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Tyrimai taip pat gali rodyti</w:t>
      </w:r>
    </w:p>
    <w:p w14:paraId="3E5DC88D" w14:textId="77777777" w:rsidR="002A5F50" w:rsidRPr="001839C2" w:rsidRDefault="006A1585" w:rsidP="00230559">
      <w:pPr>
        <w:widowControl w:val="0"/>
        <w:numPr>
          <w:ilvl w:val="0"/>
          <w:numId w:val="27"/>
        </w:numPr>
        <w:tabs>
          <w:tab w:val="clear" w:pos="567"/>
          <w:tab w:val="left" w:pos="688"/>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S</w:t>
      </w:r>
      <w:r w:rsidR="002A5F50" w:rsidRPr="001839C2">
        <w:rPr>
          <w:rFonts w:eastAsiaTheme="minorEastAsia"/>
          <w:snapToGrid/>
          <w:szCs w:val="22"/>
          <w:lang w:val="lt-LT" w:eastAsia="en-IN"/>
        </w:rPr>
        <w:t>umažėjusį leukocitų kiekį kraujyje (sumažėjus leukocitų kiekiui kraujyje Jūs galite tapti imlesnis infekcijai)</w:t>
      </w:r>
      <w:r w:rsidRPr="001839C2">
        <w:rPr>
          <w:rFonts w:eastAsiaTheme="minorEastAsia"/>
          <w:snapToGrid/>
          <w:szCs w:val="22"/>
          <w:lang w:val="lt-LT" w:eastAsia="en-IN"/>
        </w:rPr>
        <w:t>.</w:t>
      </w:r>
    </w:p>
    <w:p w14:paraId="2EE395A7" w14:textId="77777777" w:rsidR="002A5F50" w:rsidRPr="001839C2" w:rsidRDefault="006A1585" w:rsidP="00230559">
      <w:pPr>
        <w:widowControl w:val="0"/>
        <w:numPr>
          <w:ilvl w:val="0"/>
          <w:numId w:val="27"/>
        </w:numPr>
        <w:tabs>
          <w:tab w:val="clear" w:pos="567"/>
          <w:tab w:val="left" w:pos="688"/>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adidėjusį trigliceridų (riebiųjų rūgščių) kiekį, tulžies pigmentų ar cukraus kiekį kraujyje</w:t>
      </w:r>
      <w:r w:rsidRPr="001839C2">
        <w:rPr>
          <w:rFonts w:eastAsiaTheme="minorEastAsia"/>
          <w:snapToGrid/>
          <w:szCs w:val="22"/>
          <w:lang w:val="lt-LT" w:eastAsia="en-IN"/>
        </w:rPr>
        <w:t>.</w:t>
      </w:r>
    </w:p>
    <w:p w14:paraId="6BF0E5A2" w14:textId="77777777" w:rsidR="002A5F50" w:rsidRPr="001839C2" w:rsidRDefault="006A1585" w:rsidP="00230559">
      <w:pPr>
        <w:widowControl w:val="0"/>
        <w:numPr>
          <w:ilvl w:val="0"/>
          <w:numId w:val="27"/>
        </w:numPr>
        <w:tabs>
          <w:tab w:val="clear" w:pos="567"/>
          <w:tab w:val="left" w:pos="688"/>
        </w:tabs>
        <w:kinsoku w:val="0"/>
        <w:overflowPunct w:val="0"/>
        <w:autoSpaceDE w:val="0"/>
        <w:autoSpaceDN w:val="0"/>
        <w:adjustRightInd w:val="0"/>
        <w:ind w:left="686" w:hanging="566"/>
        <w:rPr>
          <w:rFonts w:eastAsiaTheme="minorEastAsia"/>
          <w:snapToGrid/>
          <w:szCs w:val="22"/>
          <w:lang w:val="lt-LT" w:eastAsia="en-IN"/>
        </w:rPr>
      </w:pPr>
      <w:r w:rsidRPr="001839C2">
        <w:rPr>
          <w:rFonts w:eastAsiaTheme="minorEastAsia"/>
          <w:snapToGrid/>
          <w:szCs w:val="22"/>
          <w:lang w:val="lt-LT" w:eastAsia="en-IN"/>
        </w:rPr>
        <w:t>K</w:t>
      </w:r>
      <w:r w:rsidR="002A5F50" w:rsidRPr="001839C2">
        <w:rPr>
          <w:rFonts w:eastAsiaTheme="minorEastAsia"/>
          <w:snapToGrid/>
          <w:szCs w:val="22"/>
          <w:lang w:val="lt-LT" w:eastAsia="en-IN"/>
        </w:rPr>
        <w:t>epenų ar kasos sutrikimus</w:t>
      </w:r>
      <w:r w:rsidRPr="001839C2">
        <w:rPr>
          <w:rFonts w:eastAsiaTheme="minorEastAsia"/>
          <w:snapToGrid/>
          <w:szCs w:val="22"/>
          <w:lang w:val="lt-LT" w:eastAsia="en-IN"/>
        </w:rPr>
        <w:t>.</w:t>
      </w:r>
    </w:p>
    <w:p w14:paraId="13A65A03"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6FD7D6C4" w14:textId="18473D6A" w:rsidR="002A5F50" w:rsidRPr="001839C2" w:rsidRDefault="00366CCB" w:rsidP="00230559">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Nedažni šalutinio poveikio reiškiniai</w:t>
      </w:r>
      <w:r w:rsidRPr="001839C2">
        <w:rPr>
          <w:rFonts w:eastAsiaTheme="minorEastAsia"/>
          <w:bCs/>
          <w:snapToGrid/>
          <w:szCs w:val="22"/>
          <w:lang w:val="lt-LT" w:eastAsia="en-IN"/>
        </w:rPr>
        <w:t xml:space="preserve"> </w:t>
      </w:r>
      <w:r w:rsidR="002A5F50" w:rsidRPr="001839C2">
        <w:rPr>
          <w:rFonts w:eastAsiaTheme="minorEastAsia"/>
          <w:i/>
          <w:iCs/>
          <w:snapToGrid/>
          <w:szCs w:val="22"/>
          <w:lang w:val="lt-LT" w:eastAsia="en-IN"/>
        </w:rPr>
        <w:t xml:space="preserve">(gali pasireikšti </w:t>
      </w:r>
      <w:r w:rsidR="006A1585" w:rsidRPr="001839C2">
        <w:rPr>
          <w:rFonts w:eastAsiaTheme="minorEastAsia"/>
          <w:i/>
          <w:iCs/>
          <w:snapToGrid/>
          <w:szCs w:val="22"/>
          <w:lang w:val="lt-LT" w:eastAsia="en-IN"/>
        </w:rPr>
        <w:t>r</w:t>
      </w:r>
      <w:r w:rsidR="002A5F50" w:rsidRPr="001839C2">
        <w:rPr>
          <w:rFonts w:eastAsiaTheme="minorEastAsia"/>
          <w:i/>
          <w:iCs/>
          <w:snapToGrid/>
          <w:szCs w:val="22"/>
          <w:lang w:val="lt-LT" w:eastAsia="en-IN"/>
        </w:rPr>
        <w:t>e</w:t>
      </w:r>
      <w:r w:rsidR="006A1585" w:rsidRPr="001839C2">
        <w:rPr>
          <w:rFonts w:eastAsiaTheme="minorEastAsia"/>
          <w:i/>
          <w:iCs/>
          <w:snapToGrid/>
          <w:szCs w:val="22"/>
          <w:lang w:val="lt-LT" w:eastAsia="en-IN"/>
        </w:rPr>
        <w:t>č</w:t>
      </w:r>
      <w:r w:rsidR="002A5F50" w:rsidRPr="001839C2">
        <w:rPr>
          <w:rFonts w:eastAsiaTheme="minorEastAsia"/>
          <w:i/>
          <w:iCs/>
          <w:snapToGrid/>
          <w:szCs w:val="22"/>
          <w:lang w:val="lt-LT" w:eastAsia="en-IN"/>
        </w:rPr>
        <w:t>iau kaip 1 iš 100</w:t>
      </w:r>
      <w:r w:rsidR="006A1585" w:rsidRPr="001839C2">
        <w:rPr>
          <w:rFonts w:eastAsiaTheme="minorEastAsia"/>
          <w:i/>
          <w:iCs/>
          <w:snapToGrid/>
          <w:szCs w:val="22"/>
          <w:lang w:val="lt-LT" w:eastAsia="en-IN"/>
        </w:rPr>
        <w:t> </w:t>
      </w:r>
      <w:r w:rsidRPr="001839C2">
        <w:rPr>
          <w:rFonts w:eastAsiaTheme="minorEastAsia"/>
          <w:i/>
          <w:iCs/>
          <w:snapToGrid/>
          <w:szCs w:val="22"/>
          <w:lang w:val="lt-LT" w:eastAsia="en-IN"/>
        </w:rPr>
        <w:t>asmenų</w:t>
      </w:r>
      <w:r w:rsidR="002A5F50" w:rsidRPr="001839C2">
        <w:rPr>
          <w:rFonts w:eastAsiaTheme="minorEastAsia"/>
          <w:i/>
          <w:iCs/>
          <w:snapToGrid/>
          <w:szCs w:val="22"/>
          <w:lang w:val="lt-LT" w:eastAsia="en-IN"/>
        </w:rPr>
        <w:t>)</w:t>
      </w:r>
    </w:p>
    <w:p w14:paraId="46570774" w14:textId="77777777" w:rsidR="002A5F50" w:rsidRPr="001839C2" w:rsidRDefault="006A1585" w:rsidP="00BF4605">
      <w:pPr>
        <w:widowControl w:val="0"/>
        <w:numPr>
          <w:ilvl w:val="0"/>
          <w:numId w:val="27"/>
        </w:numPr>
        <w:tabs>
          <w:tab w:val="clear" w:pos="567"/>
          <w:tab w:val="left" w:pos="688"/>
        </w:tabs>
        <w:kinsoku w:val="0"/>
        <w:overflowPunct w:val="0"/>
        <w:autoSpaceDE w:val="0"/>
        <w:autoSpaceDN w:val="0"/>
        <w:adjustRightInd w:val="0"/>
        <w:ind w:left="687" w:hanging="566"/>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ilvo skausmas, sukeltas kasos uždegimo</w:t>
      </w:r>
      <w:r w:rsidRPr="001839C2">
        <w:rPr>
          <w:rFonts w:eastAsiaTheme="minorEastAsia"/>
          <w:snapToGrid/>
          <w:szCs w:val="22"/>
          <w:lang w:val="lt-LT" w:eastAsia="en-IN"/>
        </w:rPr>
        <w:t>.</w:t>
      </w:r>
    </w:p>
    <w:p w14:paraId="13C5B680" w14:textId="77777777" w:rsidR="002A5F50" w:rsidRPr="001839C2" w:rsidRDefault="006A1585" w:rsidP="00BF4605">
      <w:pPr>
        <w:widowControl w:val="0"/>
        <w:numPr>
          <w:ilvl w:val="0"/>
          <w:numId w:val="27"/>
        </w:numPr>
        <w:tabs>
          <w:tab w:val="clear" w:pos="567"/>
          <w:tab w:val="left" w:pos="688"/>
        </w:tabs>
        <w:kinsoku w:val="0"/>
        <w:overflowPunct w:val="0"/>
        <w:autoSpaceDE w:val="0"/>
        <w:autoSpaceDN w:val="0"/>
        <w:adjustRightInd w:val="0"/>
        <w:ind w:left="687" w:hanging="566"/>
        <w:rPr>
          <w:rFonts w:eastAsiaTheme="minorEastAsia"/>
          <w:snapToGrid/>
          <w:szCs w:val="22"/>
          <w:lang w:val="lt-LT" w:eastAsia="en-IN"/>
        </w:rPr>
      </w:pPr>
      <w:r w:rsidRPr="001839C2">
        <w:rPr>
          <w:rFonts w:eastAsiaTheme="minorEastAsia"/>
          <w:snapToGrid/>
          <w:szCs w:val="22"/>
          <w:lang w:val="lt-LT" w:eastAsia="en-IN"/>
        </w:rPr>
        <w:t>V</w:t>
      </w:r>
      <w:r w:rsidR="002A5F50" w:rsidRPr="001839C2">
        <w:rPr>
          <w:rFonts w:eastAsiaTheme="minorEastAsia"/>
          <w:snapToGrid/>
          <w:szCs w:val="22"/>
          <w:lang w:val="lt-LT" w:eastAsia="en-IN"/>
        </w:rPr>
        <w:t xml:space="preserve">eido, lūpų, liežuvio arba ryklės </w:t>
      </w:r>
      <w:r w:rsidRPr="001839C2">
        <w:rPr>
          <w:rFonts w:eastAsiaTheme="minorEastAsia"/>
          <w:snapToGrid/>
          <w:szCs w:val="22"/>
          <w:lang w:val="lt-LT" w:eastAsia="en-IN"/>
        </w:rPr>
        <w:t>pabr</w:t>
      </w:r>
      <w:r w:rsidR="002A5F50" w:rsidRPr="001839C2">
        <w:rPr>
          <w:rFonts w:eastAsiaTheme="minorEastAsia"/>
          <w:snapToGrid/>
          <w:szCs w:val="22"/>
          <w:lang w:val="lt-LT" w:eastAsia="en-IN"/>
        </w:rPr>
        <w:t>in</w:t>
      </w:r>
      <w:r w:rsidRPr="001839C2">
        <w:rPr>
          <w:rFonts w:eastAsiaTheme="minorEastAsia"/>
          <w:snapToGrid/>
          <w:szCs w:val="22"/>
          <w:lang w:val="lt-LT" w:eastAsia="en-IN"/>
        </w:rPr>
        <w:t>k</w:t>
      </w:r>
      <w:r w:rsidR="002A5F50" w:rsidRPr="001839C2">
        <w:rPr>
          <w:rFonts w:eastAsiaTheme="minorEastAsia"/>
          <w:snapToGrid/>
          <w:szCs w:val="22"/>
          <w:lang w:val="lt-LT" w:eastAsia="en-IN"/>
        </w:rPr>
        <w:t>imas</w:t>
      </w:r>
      <w:r w:rsidRPr="001839C2">
        <w:rPr>
          <w:rFonts w:eastAsiaTheme="minorEastAsia"/>
          <w:snapToGrid/>
          <w:szCs w:val="22"/>
          <w:lang w:val="lt-LT" w:eastAsia="en-IN"/>
        </w:rPr>
        <w:t>.</w:t>
      </w:r>
    </w:p>
    <w:p w14:paraId="22F6F94F" w14:textId="77777777" w:rsidR="002A5F50" w:rsidRPr="001839C2" w:rsidRDefault="006A1585" w:rsidP="00BF4605">
      <w:pPr>
        <w:widowControl w:val="0"/>
        <w:numPr>
          <w:ilvl w:val="0"/>
          <w:numId w:val="27"/>
        </w:numPr>
        <w:tabs>
          <w:tab w:val="clear" w:pos="567"/>
          <w:tab w:val="left" w:pos="688"/>
        </w:tabs>
        <w:kinsoku w:val="0"/>
        <w:overflowPunct w:val="0"/>
        <w:autoSpaceDE w:val="0"/>
        <w:autoSpaceDN w:val="0"/>
        <w:adjustRightInd w:val="0"/>
        <w:ind w:left="687" w:hanging="566"/>
        <w:rPr>
          <w:rFonts w:eastAsiaTheme="minorEastAsia"/>
          <w:snapToGrid/>
          <w:szCs w:val="22"/>
          <w:lang w:val="lt-LT" w:eastAsia="en-IN"/>
        </w:rPr>
      </w:pPr>
      <w:r w:rsidRPr="001839C2">
        <w:rPr>
          <w:rFonts w:eastAsiaTheme="minorEastAsia"/>
          <w:snapToGrid/>
          <w:szCs w:val="22"/>
          <w:lang w:val="lt-LT" w:eastAsia="en-IN"/>
        </w:rPr>
        <w:t>A</w:t>
      </w:r>
      <w:r w:rsidR="002A5F50" w:rsidRPr="001839C2">
        <w:rPr>
          <w:rFonts w:eastAsiaTheme="minorEastAsia"/>
          <w:snapToGrid/>
          <w:szCs w:val="22"/>
          <w:lang w:val="lt-LT" w:eastAsia="en-IN"/>
        </w:rPr>
        <w:t>nemija (sumažėjęs raudonųjų kraujo ląstelių kiekis)</w:t>
      </w:r>
      <w:r w:rsidRPr="001839C2">
        <w:rPr>
          <w:rFonts w:eastAsiaTheme="minorEastAsia"/>
          <w:snapToGrid/>
          <w:szCs w:val="22"/>
          <w:lang w:val="lt-LT" w:eastAsia="en-IN"/>
        </w:rPr>
        <w:t>.</w:t>
      </w:r>
    </w:p>
    <w:p w14:paraId="77C71700" w14:textId="77777777" w:rsidR="002A5F50" w:rsidRPr="001839C2" w:rsidRDefault="006A1585" w:rsidP="00230559">
      <w:pPr>
        <w:widowControl w:val="0"/>
        <w:numPr>
          <w:ilvl w:val="0"/>
          <w:numId w:val="27"/>
        </w:numPr>
        <w:tabs>
          <w:tab w:val="clear" w:pos="567"/>
          <w:tab w:val="left" w:pos="689"/>
        </w:tabs>
        <w:kinsoku w:val="0"/>
        <w:overflowPunct w:val="0"/>
        <w:autoSpaceDE w:val="0"/>
        <w:autoSpaceDN w:val="0"/>
        <w:adjustRightInd w:val="0"/>
        <w:ind w:left="688"/>
        <w:rPr>
          <w:rFonts w:eastAsiaTheme="minorEastAsia"/>
          <w:snapToGrid/>
          <w:szCs w:val="22"/>
          <w:lang w:val="lt-LT" w:eastAsia="en-IN"/>
        </w:rPr>
      </w:pPr>
      <w:r w:rsidRPr="001839C2">
        <w:rPr>
          <w:rFonts w:eastAsiaTheme="minorEastAsia"/>
          <w:snapToGrid/>
          <w:szCs w:val="22"/>
          <w:lang w:val="lt-LT" w:eastAsia="en-IN"/>
        </w:rPr>
        <w:t>R</w:t>
      </w:r>
      <w:r w:rsidR="002A5F50" w:rsidRPr="001839C2">
        <w:rPr>
          <w:rFonts w:eastAsiaTheme="minorEastAsia"/>
          <w:snapToGrid/>
          <w:szCs w:val="22"/>
          <w:lang w:val="lt-LT" w:eastAsia="en-IN"/>
        </w:rPr>
        <w:t>aumenų irimas, raumenų skausmas arba silpnumas, kuris gali atsirasti dėl inkstų kanalėlių ląstelių pažeidimų</w:t>
      </w:r>
      <w:r w:rsidRPr="001839C2">
        <w:rPr>
          <w:rFonts w:eastAsiaTheme="minorEastAsia"/>
          <w:snapToGrid/>
          <w:szCs w:val="22"/>
          <w:lang w:val="lt-LT" w:eastAsia="en-IN"/>
        </w:rPr>
        <w:t>.</w:t>
      </w:r>
    </w:p>
    <w:p w14:paraId="2BCA49E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0A81A971"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Tyrimai taip pat gali rodyti</w:t>
      </w:r>
    </w:p>
    <w:p w14:paraId="2B4DFFF6" w14:textId="77777777" w:rsidR="002A5F50" w:rsidRPr="001839C2" w:rsidRDefault="006A1585" w:rsidP="002A5F50">
      <w:pPr>
        <w:widowControl w:val="0"/>
        <w:numPr>
          <w:ilvl w:val="0"/>
          <w:numId w:val="27"/>
        </w:numPr>
        <w:tabs>
          <w:tab w:val="clear" w:pos="567"/>
          <w:tab w:val="left" w:pos="689"/>
        </w:tabs>
        <w:kinsoku w:val="0"/>
        <w:overflowPunct w:val="0"/>
        <w:autoSpaceDE w:val="0"/>
        <w:autoSpaceDN w:val="0"/>
        <w:adjustRightInd w:val="0"/>
        <w:ind w:left="688"/>
        <w:rPr>
          <w:rFonts w:eastAsiaTheme="minorEastAsia"/>
          <w:snapToGrid/>
          <w:szCs w:val="22"/>
          <w:lang w:val="lt-LT" w:eastAsia="en-IN"/>
        </w:rPr>
      </w:pPr>
      <w:r w:rsidRPr="001839C2">
        <w:rPr>
          <w:rFonts w:eastAsiaTheme="minorEastAsia"/>
          <w:snapToGrid/>
          <w:szCs w:val="22"/>
          <w:lang w:val="lt-LT" w:eastAsia="en-IN"/>
        </w:rPr>
        <w:t>K</w:t>
      </w:r>
      <w:r w:rsidR="002A5F50" w:rsidRPr="001839C2">
        <w:rPr>
          <w:rFonts w:eastAsiaTheme="minorEastAsia"/>
          <w:snapToGrid/>
          <w:szCs w:val="22"/>
          <w:lang w:val="lt-LT" w:eastAsia="en-IN"/>
        </w:rPr>
        <w:t>alio kiekio kraujyje sumažėjimą</w:t>
      </w:r>
      <w:r w:rsidRPr="001839C2">
        <w:rPr>
          <w:rFonts w:eastAsiaTheme="minorEastAsia"/>
          <w:snapToGrid/>
          <w:szCs w:val="22"/>
          <w:lang w:val="lt-LT" w:eastAsia="en-IN"/>
        </w:rPr>
        <w:t>.</w:t>
      </w:r>
    </w:p>
    <w:p w14:paraId="6A6144C6" w14:textId="77777777" w:rsidR="002A5F50" w:rsidRPr="001839C2" w:rsidRDefault="006A1585" w:rsidP="002A5F50">
      <w:pPr>
        <w:widowControl w:val="0"/>
        <w:numPr>
          <w:ilvl w:val="0"/>
          <w:numId w:val="27"/>
        </w:numPr>
        <w:tabs>
          <w:tab w:val="clear" w:pos="567"/>
          <w:tab w:val="left" w:pos="689"/>
        </w:tabs>
        <w:kinsoku w:val="0"/>
        <w:overflowPunct w:val="0"/>
        <w:autoSpaceDE w:val="0"/>
        <w:autoSpaceDN w:val="0"/>
        <w:adjustRightInd w:val="0"/>
        <w:ind w:left="688"/>
        <w:rPr>
          <w:rFonts w:eastAsiaTheme="minorEastAsia"/>
          <w:snapToGrid/>
          <w:szCs w:val="22"/>
          <w:lang w:val="lt-LT" w:eastAsia="en-IN"/>
        </w:rPr>
      </w:pPr>
      <w:r w:rsidRPr="001839C2">
        <w:rPr>
          <w:rFonts w:eastAsiaTheme="minorEastAsia"/>
          <w:snapToGrid/>
          <w:szCs w:val="22"/>
          <w:lang w:val="lt-LT" w:eastAsia="en-IN"/>
        </w:rPr>
        <w:t>P</w:t>
      </w:r>
      <w:r w:rsidR="002A5F50" w:rsidRPr="001839C2">
        <w:rPr>
          <w:rFonts w:eastAsiaTheme="minorEastAsia"/>
          <w:snapToGrid/>
          <w:szCs w:val="22"/>
          <w:lang w:val="lt-LT" w:eastAsia="en-IN"/>
        </w:rPr>
        <w:t>adidėjusį kreatinino kiekį kraujyje</w:t>
      </w:r>
      <w:r w:rsidRPr="001839C2">
        <w:rPr>
          <w:rFonts w:eastAsiaTheme="minorEastAsia"/>
          <w:snapToGrid/>
          <w:szCs w:val="22"/>
          <w:lang w:val="lt-LT" w:eastAsia="en-IN"/>
        </w:rPr>
        <w:t>.</w:t>
      </w:r>
    </w:p>
    <w:p w14:paraId="309859EA" w14:textId="77777777" w:rsidR="002A5F50" w:rsidRPr="001839C2" w:rsidRDefault="006A1585" w:rsidP="002A5F50">
      <w:pPr>
        <w:widowControl w:val="0"/>
        <w:numPr>
          <w:ilvl w:val="0"/>
          <w:numId w:val="27"/>
        </w:numPr>
        <w:tabs>
          <w:tab w:val="clear" w:pos="567"/>
          <w:tab w:val="left" w:pos="689"/>
        </w:tabs>
        <w:kinsoku w:val="0"/>
        <w:overflowPunct w:val="0"/>
        <w:autoSpaceDE w:val="0"/>
        <w:autoSpaceDN w:val="0"/>
        <w:adjustRightInd w:val="0"/>
        <w:ind w:left="688"/>
        <w:rPr>
          <w:rFonts w:eastAsiaTheme="minorEastAsia"/>
          <w:snapToGrid/>
          <w:szCs w:val="22"/>
          <w:lang w:val="lt-LT" w:eastAsia="en-IN"/>
        </w:rPr>
      </w:pPr>
      <w:r w:rsidRPr="001839C2">
        <w:rPr>
          <w:rFonts w:eastAsiaTheme="minorEastAsia"/>
          <w:snapToGrid/>
          <w:szCs w:val="22"/>
          <w:lang w:val="lt-LT" w:eastAsia="en-IN"/>
        </w:rPr>
        <w:t>Š</w:t>
      </w:r>
      <w:r w:rsidR="002A5F50" w:rsidRPr="001839C2">
        <w:rPr>
          <w:rFonts w:eastAsiaTheme="minorEastAsia"/>
          <w:snapToGrid/>
          <w:szCs w:val="22"/>
          <w:lang w:val="lt-LT" w:eastAsia="en-IN"/>
        </w:rPr>
        <w:t>lapimo pokyčius</w:t>
      </w:r>
      <w:r w:rsidRPr="001839C2">
        <w:rPr>
          <w:rFonts w:eastAsiaTheme="minorEastAsia"/>
          <w:snapToGrid/>
          <w:szCs w:val="22"/>
          <w:lang w:val="lt-LT" w:eastAsia="en-IN"/>
        </w:rPr>
        <w:t>.</w:t>
      </w:r>
    </w:p>
    <w:p w14:paraId="5FBE34C1"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1EFACCA5" w14:textId="35044F3E" w:rsidR="002A5F50" w:rsidRPr="001839C2" w:rsidRDefault="00A35A9A" w:rsidP="0044686F">
      <w:pPr>
        <w:keepNext/>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Reti šalutinio poveikio reiškiniai</w:t>
      </w:r>
      <w:r w:rsidRPr="001839C2">
        <w:rPr>
          <w:rFonts w:eastAsiaTheme="minorEastAsia"/>
          <w:bCs/>
          <w:snapToGrid/>
          <w:szCs w:val="22"/>
          <w:lang w:val="lt-LT" w:eastAsia="en-IN"/>
        </w:rPr>
        <w:t xml:space="preserve"> </w:t>
      </w:r>
      <w:r w:rsidR="002A5F50" w:rsidRPr="001839C2">
        <w:rPr>
          <w:rFonts w:eastAsiaTheme="minorEastAsia"/>
          <w:i/>
          <w:iCs/>
          <w:snapToGrid/>
          <w:szCs w:val="22"/>
          <w:lang w:val="lt-LT" w:eastAsia="en-IN"/>
        </w:rPr>
        <w:t xml:space="preserve">(gali pasireikšti </w:t>
      </w:r>
      <w:r w:rsidR="006A1585" w:rsidRPr="001839C2">
        <w:rPr>
          <w:rFonts w:eastAsiaTheme="minorEastAsia"/>
          <w:i/>
          <w:iCs/>
          <w:snapToGrid/>
          <w:szCs w:val="22"/>
          <w:lang w:val="lt-LT" w:eastAsia="en-IN"/>
        </w:rPr>
        <w:t>r</w:t>
      </w:r>
      <w:r w:rsidR="002A5F50" w:rsidRPr="001839C2">
        <w:rPr>
          <w:rFonts w:eastAsiaTheme="minorEastAsia"/>
          <w:i/>
          <w:iCs/>
          <w:snapToGrid/>
          <w:szCs w:val="22"/>
          <w:lang w:val="lt-LT" w:eastAsia="en-IN"/>
        </w:rPr>
        <w:t>e</w:t>
      </w:r>
      <w:r w:rsidR="006A1585" w:rsidRPr="001839C2">
        <w:rPr>
          <w:rFonts w:eastAsiaTheme="minorEastAsia"/>
          <w:i/>
          <w:iCs/>
          <w:snapToGrid/>
          <w:szCs w:val="22"/>
          <w:lang w:val="lt-LT" w:eastAsia="en-IN"/>
        </w:rPr>
        <w:t>č</w:t>
      </w:r>
      <w:r w:rsidR="002A5F50" w:rsidRPr="001839C2">
        <w:rPr>
          <w:rFonts w:eastAsiaTheme="minorEastAsia"/>
          <w:i/>
          <w:iCs/>
          <w:snapToGrid/>
          <w:szCs w:val="22"/>
          <w:lang w:val="lt-LT" w:eastAsia="en-IN"/>
        </w:rPr>
        <w:t>iau kaip 1 iš 1</w:t>
      </w:r>
      <w:r w:rsidR="006A1585" w:rsidRPr="001839C2">
        <w:rPr>
          <w:rFonts w:eastAsiaTheme="minorEastAsia"/>
          <w:i/>
          <w:iCs/>
          <w:snapToGrid/>
          <w:szCs w:val="22"/>
          <w:lang w:val="lt-LT" w:eastAsia="en-IN"/>
        </w:rPr>
        <w:t> </w:t>
      </w:r>
      <w:r w:rsidR="002A5F50" w:rsidRPr="001839C2">
        <w:rPr>
          <w:rFonts w:eastAsiaTheme="minorEastAsia"/>
          <w:i/>
          <w:iCs/>
          <w:snapToGrid/>
          <w:szCs w:val="22"/>
          <w:lang w:val="lt-LT" w:eastAsia="en-IN"/>
        </w:rPr>
        <w:t>000</w:t>
      </w:r>
      <w:r w:rsidR="006A1585" w:rsidRPr="001839C2">
        <w:rPr>
          <w:rFonts w:eastAsiaTheme="minorEastAsia"/>
          <w:i/>
          <w:iCs/>
          <w:snapToGrid/>
          <w:szCs w:val="22"/>
          <w:lang w:val="lt-LT" w:eastAsia="en-IN"/>
        </w:rPr>
        <w:t> </w:t>
      </w:r>
      <w:r w:rsidRPr="001839C2">
        <w:rPr>
          <w:rFonts w:eastAsiaTheme="minorEastAsia"/>
          <w:i/>
          <w:iCs/>
          <w:snapToGrid/>
          <w:szCs w:val="22"/>
          <w:lang w:val="lt-LT" w:eastAsia="en-IN"/>
        </w:rPr>
        <w:t>asmenų</w:t>
      </w:r>
      <w:r w:rsidR="002A5F50" w:rsidRPr="001839C2">
        <w:rPr>
          <w:rFonts w:eastAsiaTheme="minorEastAsia"/>
          <w:i/>
          <w:iCs/>
          <w:snapToGrid/>
          <w:szCs w:val="22"/>
          <w:lang w:val="lt-LT" w:eastAsia="en-IN"/>
        </w:rPr>
        <w:t>)</w:t>
      </w:r>
    </w:p>
    <w:p w14:paraId="1689AB70" w14:textId="5DF84FB9" w:rsidR="002A5F50" w:rsidRPr="001839C2" w:rsidRDefault="00FD7B62" w:rsidP="0044686F">
      <w:pPr>
        <w:keepNext/>
        <w:widowControl w:val="0"/>
        <w:numPr>
          <w:ilvl w:val="0"/>
          <w:numId w:val="27"/>
        </w:numPr>
        <w:tabs>
          <w:tab w:val="clear" w:pos="567"/>
          <w:tab w:val="left" w:pos="689"/>
        </w:tabs>
        <w:kinsoku w:val="0"/>
        <w:overflowPunct w:val="0"/>
        <w:autoSpaceDE w:val="0"/>
        <w:autoSpaceDN w:val="0"/>
        <w:adjustRightInd w:val="0"/>
        <w:ind w:left="688" w:hanging="566"/>
        <w:rPr>
          <w:rFonts w:eastAsiaTheme="minorEastAsia"/>
          <w:snapToGrid/>
          <w:szCs w:val="22"/>
          <w:lang w:val="lt-LT" w:eastAsia="en-IN"/>
        </w:rPr>
      </w:pPr>
      <w:r w:rsidRPr="001839C2">
        <w:rPr>
          <w:rFonts w:eastAsiaTheme="minorEastAsia"/>
          <w:snapToGrid/>
          <w:szCs w:val="22"/>
          <w:lang w:val="lt-LT" w:eastAsia="en-IN"/>
        </w:rPr>
        <w:t>L</w:t>
      </w:r>
      <w:r w:rsidR="002A5F50" w:rsidRPr="001839C2">
        <w:rPr>
          <w:rFonts w:eastAsiaTheme="minorEastAsia"/>
          <w:snapToGrid/>
          <w:szCs w:val="22"/>
          <w:lang w:val="lt-LT" w:eastAsia="en-IN"/>
        </w:rPr>
        <w:t xml:space="preserve">aktatacidozė (žr. </w:t>
      </w:r>
      <w:r w:rsidR="006A1585" w:rsidRPr="001839C2">
        <w:rPr>
          <w:rFonts w:eastAsiaTheme="minorEastAsia"/>
          <w:snapToGrid/>
          <w:szCs w:val="22"/>
          <w:lang w:val="lt-LT" w:eastAsia="en-IN"/>
        </w:rPr>
        <w:t>„</w:t>
      </w:r>
      <w:r w:rsidR="002A5F50" w:rsidRPr="001839C2">
        <w:rPr>
          <w:rFonts w:eastAsiaTheme="minorEastAsia"/>
          <w:iCs/>
          <w:snapToGrid/>
          <w:szCs w:val="22"/>
          <w:lang w:val="lt-LT" w:eastAsia="en-IN"/>
        </w:rPr>
        <w:t>Galimas sunkus šalutinis poveikis</w:t>
      </w:r>
      <w:r w:rsidR="006A1585" w:rsidRPr="001839C2">
        <w:rPr>
          <w:rFonts w:eastAsiaTheme="minorEastAsia"/>
          <w:snapToGrid/>
          <w:szCs w:val="22"/>
          <w:lang w:val="lt-LT" w:eastAsia="en-IN"/>
        </w:rPr>
        <w:t>“</w:t>
      </w:r>
      <w:r w:rsidR="002A5F50" w:rsidRPr="001839C2">
        <w:rPr>
          <w:rFonts w:eastAsiaTheme="minorEastAsia"/>
          <w:snapToGrid/>
          <w:szCs w:val="22"/>
          <w:lang w:val="lt-LT" w:eastAsia="en-IN"/>
        </w:rPr>
        <w:t>)</w:t>
      </w:r>
      <w:r w:rsidR="006A1585" w:rsidRPr="001839C2">
        <w:rPr>
          <w:rFonts w:eastAsiaTheme="minorEastAsia"/>
          <w:snapToGrid/>
          <w:szCs w:val="22"/>
          <w:lang w:val="lt-LT" w:eastAsia="en-IN"/>
        </w:rPr>
        <w:t>.</w:t>
      </w:r>
    </w:p>
    <w:p w14:paraId="3A82A4D4" w14:textId="77777777" w:rsidR="002A5F50" w:rsidRPr="001839C2" w:rsidRDefault="006A1585" w:rsidP="00BF4605">
      <w:pPr>
        <w:widowControl w:val="0"/>
        <w:numPr>
          <w:ilvl w:val="0"/>
          <w:numId w:val="27"/>
        </w:numPr>
        <w:tabs>
          <w:tab w:val="clear" w:pos="567"/>
          <w:tab w:val="left" w:pos="689"/>
        </w:tabs>
        <w:kinsoku w:val="0"/>
        <w:overflowPunct w:val="0"/>
        <w:autoSpaceDE w:val="0"/>
        <w:autoSpaceDN w:val="0"/>
        <w:adjustRightInd w:val="0"/>
        <w:ind w:left="688" w:hanging="566"/>
        <w:rPr>
          <w:rFonts w:eastAsiaTheme="minorEastAsia"/>
          <w:snapToGrid/>
          <w:szCs w:val="22"/>
          <w:lang w:val="lt-LT" w:eastAsia="en-IN"/>
        </w:rPr>
      </w:pPr>
      <w:r w:rsidRPr="001839C2">
        <w:rPr>
          <w:rFonts w:eastAsiaTheme="minorEastAsia"/>
          <w:snapToGrid/>
          <w:szCs w:val="22"/>
          <w:lang w:val="lt-LT" w:eastAsia="en-IN"/>
        </w:rPr>
        <w:t>K</w:t>
      </w:r>
      <w:r w:rsidR="002A5F50" w:rsidRPr="001839C2">
        <w:rPr>
          <w:rFonts w:eastAsiaTheme="minorEastAsia"/>
          <w:snapToGrid/>
          <w:szCs w:val="22"/>
          <w:lang w:val="lt-LT" w:eastAsia="en-IN"/>
        </w:rPr>
        <w:t>epenų suriebėjimas</w:t>
      </w:r>
      <w:r w:rsidRPr="001839C2">
        <w:rPr>
          <w:rFonts w:eastAsiaTheme="minorEastAsia"/>
          <w:snapToGrid/>
          <w:szCs w:val="22"/>
          <w:lang w:val="lt-LT" w:eastAsia="en-IN"/>
        </w:rPr>
        <w:t>.</w:t>
      </w:r>
    </w:p>
    <w:p w14:paraId="40FA3B3F" w14:textId="77777777" w:rsidR="002A5F50" w:rsidRPr="001839C2" w:rsidRDefault="006A1585" w:rsidP="00BF4605">
      <w:pPr>
        <w:widowControl w:val="0"/>
        <w:numPr>
          <w:ilvl w:val="0"/>
          <w:numId w:val="27"/>
        </w:numPr>
        <w:tabs>
          <w:tab w:val="clear" w:pos="567"/>
          <w:tab w:val="left" w:pos="690"/>
        </w:tabs>
        <w:kinsoku w:val="0"/>
        <w:overflowPunct w:val="0"/>
        <w:autoSpaceDE w:val="0"/>
        <w:autoSpaceDN w:val="0"/>
        <w:adjustRightInd w:val="0"/>
        <w:ind w:left="689"/>
        <w:rPr>
          <w:rFonts w:eastAsiaTheme="minorEastAsia"/>
          <w:snapToGrid/>
          <w:szCs w:val="22"/>
          <w:lang w:val="lt-LT" w:eastAsia="en-IN"/>
        </w:rPr>
      </w:pPr>
      <w:r w:rsidRPr="001839C2">
        <w:rPr>
          <w:rFonts w:eastAsiaTheme="minorEastAsia"/>
          <w:snapToGrid/>
          <w:szCs w:val="22"/>
          <w:lang w:val="lt-LT" w:eastAsia="en-IN"/>
        </w:rPr>
        <w:t>O</w:t>
      </w:r>
      <w:r w:rsidR="002A5F50" w:rsidRPr="001839C2">
        <w:rPr>
          <w:rFonts w:eastAsiaTheme="minorEastAsia"/>
          <w:snapToGrid/>
          <w:szCs w:val="22"/>
          <w:lang w:val="lt-LT" w:eastAsia="en-IN"/>
        </w:rPr>
        <w:t>dos ar akių pageltimas, niež</w:t>
      </w:r>
      <w:r w:rsidR="008A640B" w:rsidRPr="001839C2">
        <w:rPr>
          <w:rFonts w:eastAsiaTheme="minorEastAsia"/>
          <w:snapToGrid/>
          <w:szCs w:val="22"/>
          <w:lang w:val="lt-LT" w:eastAsia="en-IN"/>
        </w:rPr>
        <w:t>ėjima</w:t>
      </w:r>
      <w:r w:rsidR="002A5F50" w:rsidRPr="001839C2">
        <w:rPr>
          <w:rFonts w:eastAsiaTheme="minorEastAsia"/>
          <w:snapToGrid/>
          <w:szCs w:val="22"/>
          <w:lang w:val="lt-LT" w:eastAsia="en-IN"/>
        </w:rPr>
        <w:t>s arba pilvo skausmas, sukeltas kepenų uždegimo</w:t>
      </w:r>
      <w:r w:rsidRPr="001839C2">
        <w:rPr>
          <w:rFonts w:eastAsiaTheme="minorEastAsia"/>
          <w:snapToGrid/>
          <w:szCs w:val="22"/>
          <w:lang w:val="lt-LT" w:eastAsia="en-IN"/>
        </w:rPr>
        <w:t>.</w:t>
      </w:r>
    </w:p>
    <w:p w14:paraId="5ABFBEBF" w14:textId="77777777" w:rsidR="002A5F50" w:rsidRPr="001839C2" w:rsidRDefault="006A1585" w:rsidP="00230559">
      <w:pPr>
        <w:widowControl w:val="0"/>
        <w:numPr>
          <w:ilvl w:val="0"/>
          <w:numId w:val="27"/>
        </w:numPr>
        <w:tabs>
          <w:tab w:val="clear" w:pos="567"/>
          <w:tab w:val="left" w:pos="690"/>
        </w:tabs>
        <w:kinsoku w:val="0"/>
        <w:overflowPunct w:val="0"/>
        <w:autoSpaceDE w:val="0"/>
        <w:autoSpaceDN w:val="0"/>
        <w:adjustRightInd w:val="0"/>
        <w:ind w:left="689"/>
        <w:rPr>
          <w:rFonts w:eastAsiaTheme="minorEastAsia"/>
          <w:snapToGrid/>
          <w:szCs w:val="22"/>
          <w:lang w:val="lt-LT" w:eastAsia="en-IN"/>
        </w:rPr>
      </w:pPr>
      <w:r w:rsidRPr="001839C2">
        <w:rPr>
          <w:rFonts w:eastAsiaTheme="minorEastAsia"/>
          <w:snapToGrid/>
          <w:szCs w:val="22"/>
          <w:lang w:val="lt-LT" w:eastAsia="en-IN"/>
        </w:rPr>
        <w:t>I</w:t>
      </w:r>
      <w:r w:rsidR="002A5F50" w:rsidRPr="001839C2">
        <w:rPr>
          <w:rFonts w:eastAsiaTheme="minorEastAsia"/>
          <w:snapToGrid/>
          <w:szCs w:val="22"/>
          <w:lang w:val="lt-LT" w:eastAsia="en-IN"/>
        </w:rPr>
        <w:t>nkstų uždegimas, padidėjęs šlapimo kiekis ir troškulys, inkstų nepakankamumas, inkstų kanalėlių ląstelių pažeidimai</w:t>
      </w:r>
      <w:r w:rsidRPr="001839C2">
        <w:rPr>
          <w:rFonts w:eastAsiaTheme="minorEastAsia"/>
          <w:snapToGrid/>
          <w:szCs w:val="22"/>
          <w:lang w:val="lt-LT" w:eastAsia="en-IN"/>
        </w:rPr>
        <w:t>.</w:t>
      </w:r>
    </w:p>
    <w:p w14:paraId="09057D95" w14:textId="77777777" w:rsidR="002A5F50" w:rsidRPr="001839C2" w:rsidRDefault="006A1585" w:rsidP="00BF4605">
      <w:pPr>
        <w:widowControl w:val="0"/>
        <w:numPr>
          <w:ilvl w:val="0"/>
          <w:numId w:val="27"/>
        </w:numPr>
        <w:tabs>
          <w:tab w:val="clear" w:pos="567"/>
          <w:tab w:val="left" w:pos="690"/>
        </w:tabs>
        <w:kinsoku w:val="0"/>
        <w:overflowPunct w:val="0"/>
        <w:autoSpaceDE w:val="0"/>
        <w:autoSpaceDN w:val="0"/>
        <w:adjustRightInd w:val="0"/>
        <w:ind w:left="689" w:hanging="566"/>
        <w:rPr>
          <w:rFonts w:eastAsiaTheme="minorEastAsia"/>
          <w:snapToGrid/>
          <w:szCs w:val="22"/>
          <w:lang w:val="lt-LT" w:eastAsia="en-IN"/>
        </w:rPr>
      </w:pPr>
      <w:r w:rsidRPr="001839C2">
        <w:rPr>
          <w:rFonts w:eastAsiaTheme="minorEastAsia"/>
          <w:snapToGrid/>
          <w:szCs w:val="22"/>
          <w:lang w:val="lt-LT" w:eastAsia="en-IN"/>
        </w:rPr>
        <w:t>K</w:t>
      </w:r>
      <w:r w:rsidR="002A5F50" w:rsidRPr="001839C2">
        <w:rPr>
          <w:rFonts w:eastAsiaTheme="minorEastAsia"/>
          <w:snapToGrid/>
          <w:szCs w:val="22"/>
          <w:lang w:val="lt-LT" w:eastAsia="en-IN"/>
        </w:rPr>
        <w:t>aulų suminkštėjimas (lydimas kaulų skausmų ir kartais sukeliantis lūžius)</w:t>
      </w:r>
      <w:r w:rsidRPr="001839C2">
        <w:rPr>
          <w:rFonts w:eastAsiaTheme="minorEastAsia"/>
          <w:snapToGrid/>
          <w:szCs w:val="22"/>
          <w:lang w:val="lt-LT" w:eastAsia="en-IN"/>
        </w:rPr>
        <w:t>.</w:t>
      </w:r>
    </w:p>
    <w:p w14:paraId="32AF6897" w14:textId="77777777" w:rsidR="002A5F50" w:rsidRPr="001839C2" w:rsidRDefault="006A1585" w:rsidP="00BF4605">
      <w:pPr>
        <w:widowControl w:val="0"/>
        <w:numPr>
          <w:ilvl w:val="0"/>
          <w:numId w:val="27"/>
        </w:numPr>
        <w:tabs>
          <w:tab w:val="clear" w:pos="567"/>
          <w:tab w:val="left" w:pos="690"/>
        </w:tabs>
        <w:kinsoku w:val="0"/>
        <w:overflowPunct w:val="0"/>
        <w:autoSpaceDE w:val="0"/>
        <w:autoSpaceDN w:val="0"/>
        <w:adjustRightInd w:val="0"/>
        <w:ind w:left="689" w:hanging="566"/>
        <w:rPr>
          <w:rFonts w:eastAsiaTheme="minorEastAsia"/>
          <w:snapToGrid/>
          <w:szCs w:val="22"/>
          <w:lang w:val="lt-LT" w:eastAsia="en-IN"/>
        </w:rPr>
      </w:pPr>
      <w:r w:rsidRPr="001839C2">
        <w:rPr>
          <w:rFonts w:eastAsiaTheme="minorEastAsia"/>
          <w:snapToGrid/>
          <w:szCs w:val="22"/>
          <w:lang w:val="lt-LT" w:eastAsia="en-IN"/>
        </w:rPr>
        <w:t>N</w:t>
      </w:r>
      <w:r w:rsidR="002A5F50" w:rsidRPr="001839C2">
        <w:rPr>
          <w:rFonts w:eastAsiaTheme="minorEastAsia"/>
          <w:snapToGrid/>
          <w:szCs w:val="22"/>
          <w:lang w:val="lt-LT" w:eastAsia="en-IN"/>
        </w:rPr>
        <w:t>ugaros skausmas, sukeltas inkstų ligos</w:t>
      </w:r>
      <w:r w:rsidRPr="001839C2">
        <w:rPr>
          <w:rFonts w:eastAsiaTheme="minorEastAsia"/>
          <w:snapToGrid/>
          <w:szCs w:val="22"/>
          <w:lang w:val="lt-LT" w:eastAsia="en-IN"/>
        </w:rPr>
        <w:t>.</w:t>
      </w:r>
    </w:p>
    <w:p w14:paraId="0E4C29D2"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1AED2346"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Su inkstų kanalėlių ląstelių pažeidimais gali būti susijęs raumenų irimas, kaulų suminkštėjimas (lydimas kaulų skausmų ir kartais sukeliantis lūžius), raumenų skausmas, raumenų silpnumas, kalio ir fosfatų kiekio kraujyje sumažėjimas.</w:t>
      </w:r>
    </w:p>
    <w:p w14:paraId="166F00EF" w14:textId="77777777" w:rsidR="002A5F50" w:rsidRPr="001839C2" w:rsidRDefault="002A5F50" w:rsidP="00230559">
      <w:pPr>
        <w:widowControl w:val="0"/>
        <w:tabs>
          <w:tab w:val="clear" w:pos="567"/>
          <w:tab w:val="left" w:pos="684"/>
        </w:tabs>
        <w:kinsoku w:val="0"/>
        <w:overflowPunct w:val="0"/>
        <w:autoSpaceDE w:val="0"/>
        <w:autoSpaceDN w:val="0"/>
        <w:adjustRightInd w:val="0"/>
        <w:rPr>
          <w:rFonts w:eastAsiaTheme="minorEastAsia"/>
          <w:b/>
          <w:bCs/>
          <w:snapToGrid/>
          <w:szCs w:val="22"/>
          <w:lang w:val="lt-LT" w:eastAsia="en-IN"/>
        </w:rPr>
      </w:pPr>
    </w:p>
    <w:p w14:paraId="3B8395C2" w14:textId="77777777" w:rsidR="002A5F50" w:rsidRPr="001839C2" w:rsidRDefault="002A5F50" w:rsidP="00230559">
      <w:pPr>
        <w:widowControl w:val="0"/>
        <w:tabs>
          <w:tab w:val="clear" w:pos="567"/>
          <w:tab w:val="left" w:pos="684"/>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pasireiškė arba pasunkėjo bet kuris pirmiau nurodytas šalutinis poveikis</w:t>
      </w:r>
      <w:r w:rsidRPr="001839C2">
        <w:rPr>
          <w:rFonts w:eastAsiaTheme="minorEastAsia"/>
          <w:snapToGrid/>
          <w:szCs w:val="22"/>
          <w:lang w:val="lt-LT" w:eastAsia="en-IN"/>
        </w:rPr>
        <w:t>, pasakykite gydytojui arba vaistininkui.</w:t>
      </w:r>
    </w:p>
    <w:p w14:paraId="42151183"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3D4DA6DB" w14:textId="63CC8413" w:rsidR="002A5F50" w:rsidRPr="001839C2" w:rsidRDefault="00A35A9A"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r w:rsidRPr="001839C2">
        <w:rPr>
          <w:rFonts w:eastAsiaTheme="minorEastAsia"/>
          <w:b/>
          <w:bCs/>
          <w:snapToGrid/>
          <w:szCs w:val="22"/>
          <w:lang w:val="lt-LT" w:eastAsia="en-IN"/>
        </w:rPr>
        <w:lastRenderedPageBreak/>
        <w:t xml:space="preserve">Šalutinio poveikio reiškiniai, kurių dažnis </w:t>
      </w:r>
      <w:r w:rsidRPr="001839C2">
        <w:rPr>
          <w:rFonts w:eastAsiaTheme="minorEastAsia"/>
          <w:b/>
          <w:snapToGrid/>
          <w:szCs w:val="22"/>
          <w:lang w:val="lt-LT" w:eastAsia="en-IN"/>
        </w:rPr>
        <w:t>n</w:t>
      </w:r>
      <w:r w:rsidR="002A5F50" w:rsidRPr="001839C2">
        <w:rPr>
          <w:rFonts w:eastAsiaTheme="minorEastAsia"/>
          <w:b/>
          <w:snapToGrid/>
          <w:szCs w:val="22"/>
          <w:lang w:val="lt-LT" w:eastAsia="en-IN"/>
        </w:rPr>
        <w:t>ežinomas</w:t>
      </w:r>
      <w:r w:rsidR="001A319B" w:rsidRPr="001839C2">
        <w:rPr>
          <w:rFonts w:eastAsiaTheme="minorEastAsia"/>
          <w:bCs/>
          <w:snapToGrid/>
          <w:szCs w:val="22"/>
          <w:lang w:val="lt-LT" w:eastAsia="en-IN"/>
        </w:rPr>
        <w:t xml:space="preserve"> </w:t>
      </w:r>
      <w:r w:rsidR="001A319B" w:rsidRPr="001839C2">
        <w:rPr>
          <w:rFonts w:eastAsiaTheme="minorEastAsia"/>
          <w:bCs/>
          <w:i/>
          <w:snapToGrid/>
          <w:szCs w:val="22"/>
          <w:lang w:val="lt-LT" w:eastAsia="en-IN"/>
        </w:rPr>
        <w:t>(negali būti apskaičiuotas pagal turimus duomenis)</w:t>
      </w:r>
    </w:p>
    <w:p w14:paraId="6706F859" w14:textId="77777777" w:rsidR="002A5F50" w:rsidRPr="001839C2" w:rsidRDefault="002A5F50" w:rsidP="00230559">
      <w:pPr>
        <w:widowControl w:val="0"/>
        <w:numPr>
          <w:ilvl w:val="0"/>
          <w:numId w:val="27"/>
        </w:numPr>
        <w:tabs>
          <w:tab w:val="clear" w:pos="567"/>
          <w:tab w:val="left" w:pos="685"/>
        </w:tabs>
        <w:kinsoku w:val="0"/>
        <w:overflowPunct w:val="0"/>
        <w:autoSpaceDE w:val="0"/>
        <w:autoSpaceDN w:val="0"/>
        <w:adjustRightInd w:val="0"/>
        <w:ind w:left="684" w:hanging="566"/>
        <w:rPr>
          <w:rFonts w:eastAsiaTheme="minorEastAsia"/>
          <w:snapToGrid/>
          <w:szCs w:val="22"/>
          <w:lang w:val="lt-LT" w:eastAsia="en-IN"/>
        </w:rPr>
      </w:pPr>
      <w:r w:rsidRPr="001839C2">
        <w:rPr>
          <w:rFonts w:eastAsiaTheme="minorEastAsia"/>
          <w:bCs/>
          <w:snapToGrid/>
          <w:szCs w:val="22"/>
          <w:lang w:val="lt-LT" w:eastAsia="en-IN"/>
        </w:rPr>
        <w:t xml:space="preserve">Kaulų ligos. </w:t>
      </w:r>
      <w:r w:rsidRPr="001839C2">
        <w:rPr>
          <w:rFonts w:eastAsiaTheme="minorEastAsia"/>
          <w:snapToGrid/>
          <w:szCs w:val="22"/>
          <w:lang w:val="lt-LT" w:eastAsia="en-IN"/>
        </w:rPr>
        <w:t xml:space="preserve">Vartojant kombinuotų antiretrovirusinių vaistų, pvz., </w:t>
      </w:r>
      <w:r w:rsidRPr="001839C2">
        <w:rPr>
          <w:rFonts w:eastAsiaTheme="minorHAnsi"/>
          <w:snapToGrid/>
          <w:szCs w:val="22"/>
          <w:lang w:val="lt-LT"/>
        </w:rPr>
        <w:t>Emtricitabine/Tenofovir disoproxil Accordpharma</w:t>
      </w:r>
      <w:r w:rsidRPr="001839C2">
        <w:rPr>
          <w:rFonts w:eastAsiaTheme="minorEastAsia"/>
          <w:snapToGrid/>
          <w:szCs w:val="22"/>
          <w:lang w:val="lt-LT" w:eastAsia="en-IN"/>
        </w:rPr>
        <w:t xml:space="preserve">, kai kuriems pacientams gali atsirasti kaulų liga, vadinama </w:t>
      </w:r>
      <w:r w:rsidRPr="001839C2">
        <w:rPr>
          <w:rFonts w:eastAsiaTheme="minorEastAsia"/>
          <w:iCs/>
          <w:snapToGrid/>
          <w:szCs w:val="22"/>
          <w:lang w:val="lt-LT" w:eastAsia="en-IN"/>
        </w:rPr>
        <w:t>kaulų nekroze</w:t>
      </w:r>
      <w:r w:rsidRPr="001839C2">
        <w:rPr>
          <w:rFonts w:eastAsiaTheme="minorEastAsia"/>
          <w:i/>
          <w:iCs/>
          <w:snapToGrid/>
          <w:szCs w:val="22"/>
          <w:lang w:val="lt-LT" w:eastAsia="en-IN"/>
        </w:rPr>
        <w:t xml:space="preserve"> </w:t>
      </w:r>
      <w:r w:rsidRPr="001839C2">
        <w:rPr>
          <w:rFonts w:eastAsiaTheme="minorEastAsia"/>
          <w:snapToGrid/>
          <w:szCs w:val="22"/>
          <w:lang w:val="lt-LT" w:eastAsia="en-IN"/>
        </w:rPr>
        <w:t xml:space="preserve">(kaulų audinio žuvimas, atsiradęs sutrikus kraujo patekimui į kaulą). Ilgas tokių vaistų vartojimas, kortikosteroidų vartojimas, alkoholio </w:t>
      </w:r>
      <w:r w:rsidR="001A319B" w:rsidRPr="001839C2">
        <w:rPr>
          <w:rFonts w:eastAsiaTheme="minorEastAsia"/>
          <w:snapToGrid/>
          <w:szCs w:val="22"/>
          <w:lang w:val="lt-LT" w:eastAsia="en-IN"/>
        </w:rPr>
        <w:t>va</w:t>
      </w:r>
      <w:r w:rsidRPr="001839C2">
        <w:rPr>
          <w:rFonts w:eastAsiaTheme="minorEastAsia"/>
          <w:snapToGrid/>
          <w:szCs w:val="22"/>
          <w:lang w:val="lt-LT" w:eastAsia="en-IN"/>
        </w:rPr>
        <w:t>r</w:t>
      </w:r>
      <w:r w:rsidR="001A319B" w:rsidRPr="001839C2">
        <w:rPr>
          <w:rFonts w:eastAsiaTheme="minorEastAsia"/>
          <w:snapToGrid/>
          <w:szCs w:val="22"/>
          <w:lang w:val="lt-LT" w:eastAsia="en-IN"/>
        </w:rPr>
        <w:t>toj</w:t>
      </w:r>
      <w:r w:rsidRPr="001839C2">
        <w:rPr>
          <w:rFonts w:eastAsiaTheme="minorEastAsia"/>
          <w:snapToGrid/>
          <w:szCs w:val="22"/>
          <w:lang w:val="lt-LT" w:eastAsia="en-IN"/>
        </w:rPr>
        <w:t>imas, labai silpna imuninė sistema ir antsvoris – tai gali būti keli iš daugelio rizikos veiksnių, dėl kurių gali išsivystyti ši liga. Kaulų nekrozės požymiai:</w:t>
      </w:r>
    </w:p>
    <w:p w14:paraId="1172518A" w14:textId="77777777" w:rsidR="002A5F50" w:rsidRPr="001839C2" w:rsidRDefault="002A5F50" w:rsidP="00BF4605">
      <w:pPr>
        <w:widowControl w:val="0"/>
        <w:numPr>
          <w:ilvl w:val="0"/>
          <w:numId w:val="14"/>
        </w:numPr>
        <w:tabs>
          <w:tab w:val="clear" w:pos="567"/>
          <w:tab w:val="left" w:pos="1252"/>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sąnarių sustingimas;</w:t>
      </w:r>
    </w:p>
    <w:p w14:paraId="69AEE17D" w14:textId="77777777" w:rsidR="002A5F50" w:rsidRPr="001839C2" w:rsidRDefault="002A5F50" w:rsidP="00BF4605">
      <w:pPr>
        <w:widowControl w:val="0"/>
        <w:numPr>
          <w:ilvl w:val="0"/>
          <w:numId w:val="14"/>
        </w:numPr>
        <w:tabs>
          <w:tab w:val="clear" w:pos="567"/>
          <w:tab w:val="left" w:pos="1252"/>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sąnarių (ypač klubų, kelių ir pečių) gėlimas ir skausmas;</w:t>
      </w:r>
    </w:p>
    <w:p w14:paraId="750D67C0" w14:textId="5AC87912" w:rsidR="002A5F50" w:rsidRPr="001839C2" w:rsidRDefault="002A5F50" w:rsidP="00BF4605">
      <w:pPr>
        <w:widowControl w:val="0"/>
        <w:numPr>
          <w:ilvl w:val="0"/>
          <w:numId w:val="14"/>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pasunkėję judesiai</w:t>
      </w:r>
      <w:r w:rsidR="005749F9">
        <w:rPr>
          <w:rFonts w:eastAsiaTheme="minorEastAsia"/>
          <w:snapToGrid/>
          <w:szCs w:val="22"/>
          <w:lang w:val="lt-LT" w:eastAsia="en-IN"/>
        </w:rPr>
        <w:t>.</w:t>
      </w:r>
    </w:p>
    <w:p w14:paraId="1E522DCF" w14:textId="3CAFB189" w:rsidR="001A319B" w:rsidRPr="001839C2" w:rsidRDefault="001A319B" w:rsidP="00BF4605">
      <w:pPr>
        <w:widowControl w:val="0"/>
        <w:tabs>
          <w:tab w:val="clear" w:pos="567"/>
          <w:tab w:val="left" w:pos="684"/>
        </w:tabs>
        <w:kinsoku w:val="0"/>
        <w:overflowPunct w:val="0"/>
        <w:autoSpaceDE w:val="0"/>
        <w:autoSpaceDN w:val="0"/>
        <w:adjustRightInd w:val="0"/>
        <w:outlineLvl w:val="0"/>
        <w:rPr>
          <w:rFonts w:eastAsiaTheme="minorEastAsia"/>
          <w:bCs/>
          <w:snapToGrid/>
          <w:szCs w:val="22"/>
          <w:lang w:val="lt-LT" w:eastAsia="en-IN"/>
        </w:rPr>
      </w:pPr>
    </w:p>
    <w:p w14:paraId="51B417D1" w14:textId="77777777" w:rsidR="002A5F50" w:rsidRPr="00CB32F8" w:rsidRDefault="002A5F50" w:rsidP="00BF4605">
      <w:pPr>
        <w:widowControl w:val="0"/>
        <w:tabs>
          <w:tab w:val="clear" w:pos="567"/>
          <w:tab w:val="left" w:pos="684"/>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Jeigu pastebite kuriuos nors iš šių simptomų, pasakykite gydytojui.</w:t>
      </w:r>
    </w:p>
    <w:p w14:paraId="0502A0EB"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Cs/>
          <w:snapToGrid/>
          <w:szCs w:val="22"/>
          <w:lang w:val="lt-LT" w:eastAsia="en-IN"/>
        </w:rPr>
      </w:pPr>
    </w:p>
    <w:p w14:paraId="50E411BD"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ŽIV</w:t>
      </w:r>
      <w:r w:rsidR="008011E9" w:rsidRPr="001839C2">
        <w:rPr>
          <w:rFonts w:eastAsiaTheme="minorEastAsia"/>
          <w:snapToGrid/>
          <w:szCs w:val="22"/>
          <w:lang w:val="lt-LT" w:eastAsia="en-IN"/>
        </w:rPr>
        <w:t> </w:t>
      </w:r>
      <w:r w:rsidRPr="001839C2">
        <w:rPr>
          <w:rFonts w:eastAsiaTheme="minorEastAsia"/>
          <w:snapToGrid/>
          <w:szCs w:val="22"/>
          <w:lang w:val="lt-LT" w:eastAsia="en-IN"/>
        </w:rPr>
        <w:t>gydymo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58896C9B"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2B185432" w14:textId="77777777" w:rsidR="002A5F50" w:rsidRPr="001839C2" w:rsidRDefault="002A5F50" w:rsidP="00BF4605">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 xml:space="preserve">Kitas </w:t>
      </w:r>
      <w:r w:rsidR="001A319B" w:rsidRPr="001839C2">
        <w:rPr>
          <w:rFonts w:eastAsiaTheme="minorEastAsia"/>
          <w:b/>
          <w:bCs/>
          <w:snapToGrid/>
          <w:szCs w:val="22"/>
          <w:lang w:val="lt-LT" w:eastAsia="en-IN"/>
        </w:rPr>
        <w:t xml:space="preserve">šalutinis </w:t>
      </w:r>
      <w:r w:rsidRPr="001839C2">
        <w:rPr>
          <w:rFonts w:eastAsiaTheme="minorEastAsia"/>
          <w:b/>
          <w:bCs/>
          <w:snapToGrid/>
          <w:szCs w:val="22"/>
          <w:lang w:val="lt-LT" w:eastAsia="en-IN"/>
        </w:rPr>
        <w:t>poveikis</w:t>
      </w:r>
      <w:r w:rsidR="001A319B" w:rsidRPr="001839C2">
        <w:rPr>
          <w:rFonts w:eastAsiaTheme="minorEastAsia"/>
          <w:b/>
          <w:bCs/>
          <w:snapToGrid/>
          <w:szCs w:val="22"/>
          <w:lang w:val="lt-LT" w:eastAsia="en-IN"/>
        </w:rPr>
        <w:t>, kuris gali pasireikšti</w:t>
      </w:r>
      <w:r w:rsidRPr="001839C2">
        <w:rPr>
          <w:rFonts w:eastAsiaTheme="minorEastAsia"/>
          <w:b/>
          <w:bCs/>
          <w:snapToGrid/>
          <w:szCs w:val="22"/>
          <w:lang w:val="lt-LT" w:eastAsia="en-IN"/>
        </w:rPr>
        <w:t xml:space="preserve"> vaikams</w:t>
      </w:r>
    </w:p>
    <w:p w14:paraId="5F62CC7E" w14:textId="77777777" w:rsidR="002A5F50" w:rsidRPr="001839C2" w:rsidRDefault="002A5F50" w:rsidP="00230559">
      <w:pPr>
        <w:widowControl w:val="0"/>
        <w:numPr>
          <w:ilvl w:val="0"/>
          <w:numId w:val="13"/>
        </w:numPr>
        <w:tabs>
          <w:tab w:val="clear" w:pos="567"/>
          <w:tab w:val="left" w:pos="685"/>
        </w:tabs>
        <w:kinsoku w:val="0"/>
        <w:overflowPunct w:val="0"/>
        <w:autoSpaceDE w:val="0"/>
        <w:autoSpaceDN w:val="0"/>
        <w:adjustRightInd w:val="0"/>
        <w:ind w:left="686" w:hanging="567"/>
        <w:rPr>
          <w:rFonts w:eastAsiaTheme="minorEastAsia"/>
          <w:snapToGrid/>
          <w:szCs w:val="22"/>
          <w:lang w:val="lt-LT" w:eastAsia="en-IN"/>
        </w:rPr>
      </w:pPr>
      <w:r w:rsidRPr="001839C2">
        <w:rPr>
          <w:rFonts w:eastAsiaTheme="minorEastAsia"/>
          <w:snapToGrid/>
          <w:szCs w:val="22"/>
          <w:lang w:val="lt-LT" w:eastAsia="en-IN"/>
        </w:rPr>
        <w:t>Vaikams, vartojantiems emtricitabino, labai dažnai pakinta odos spalva, įskaitant</w:t>
      </w:r>
      <w:r w:rsidR="001A319B" w:rsidRPr="001839C2">
        <w:rPr>
          <w:rFonts w:eastAsiaTheme="minorEastAsia"/>
          <w:snapToGrid/>
          <w:szCs w:val="22"/>
          <w:lang w:val="lt-LT" w:eastAsia="en-IN"/>
        </w:rPr>
        <w:t>:</w:t>
      </w:r>
    </w:p>
    <w:p w14:paraId="6C4BDECE" w14:textId="77777777" w:rsidR="002A5F50" w:rsidRPr="001839C2" w:rsidRDefault="002A5F50" w:rsidP="00230559">
      <w:pPr>
        <w:widowControl w:val="0"/>
        <w:numPr>
          <w:ilvl w:val="1"/>
          <w:numId w:val="13"/>
        </w:numPr>
        <w:tabs>
          <w:tab w:val="clear" w:pos="567"/>
          <w:tab w:val="left" w:pos="1252"/>
        </w:tabs>
        <w:kinsoku w:val="0"/>
        <w:overflowPunct w:val="0"/>
        <w:autoSpaceDE w:val="0"/>
        <w:autoSpaceDN w:val="0"/>
        <w:adjustRightInd w:val="0"/>
        <w:ind w:left="1253" w:hanging="567"/>
        <w:rPr>
          <w:rFonts w:eastAsiaTheme="minorEastAsia"/>
          <w:snapToGrid/>
          <w:szCs w:val="22"/>
          <w:lang w:val="lt-LT" w:eastAsia="en-IN"/>
        </w:rPr>
      </w:pPr>
      <w:r w:rsidRPr="001839C2">
        <w:rPr>
          <w:rFonts w:eastAsiaTheme="minorEastAsia"/>
          <w:snapToGrid/>
          <w:szCs w:val="22"/>
          <w:lang w:val="lt-LT" w:eastAsia="en-IN"/>
        </w:rPr>
        <w:t xml:space="preserve">odos patamsėjimą </w:t>
      </w:r>
      <w:r w:rsidR="008011E9" w:rsidRPr="001839C2">
        <w:rPr>
          <w:rFonts w:eastAsiaTheme="minorEastAsia"/>
          <w:snapToGrid/>
          <w:szCs w:val="22"/>
          <w:lang w:val="lt-LT" w:eastAsia="en-IN"/>
        </w:rPr>
        <w:t>dėmėm</w:t>
      </w:r>
      <w:r w:rsidRPr="001839C2">
        <w:rPr>
          <w:rFonts w:eastAsiaTheme="minorEastAsia"/>
          <w:snapToGrid/>
          <w:szCs w:val="22"/>
          <w:lang w:val="lt-LT" w:eastAsia="en-IN"/>
        </w:rPr>
        <w:t>is</w:t>
      </w:r>
      <w:r w:rsidR="001A319B" w:rsidRPr="001839C2">
        <w:rPr>
          <w:rFonts w:eastAsiaTheme="minorEastAsia"/>
          <w:snapToGrid/>
          <w:szCs w:val="22"/>
          <w:lang w:val="lt-LT" w:eastAsia="en-IN"/>
        </w:rPr>
        <w:t>.</w:t>
      </w:r>
    </w:p>
    <w:p w14:paraId="35AF674B" w14:textId="77777777" w:rsidR="002A5F50" w:rsidRPr="001839C2" w:rsidRDefault="002A5F50" w:rsidP="00230559">
      <w:pPr>
        <w:widowControl w:val="0"/>
        <w:numPr>
          <w:ilvl w:val="0"/>
          <w:numId w:val="13"/>
        </w:numPr>
        <w:tabs>
          <w:tab w:val="clear" w:pos="567"/>
          <w:tab w:val="left" w:pos="686"/>
        </w:tabs>
        <w:kinsoku w:val="0"/>
        <w:overflowPunct w:val="0"/>
        <w:autoSpaceDE w:val="0"/>
        <w:autoSpaceDN w:val="0"/>
        <w:adjustRightInd w:val="0"/>
        <w:ind w:left="686" w:hanging="567"/>
        <w:rPr>
          <w:rFonts w:eastAsiaTheme="minorEastAsia"/>
          <w:snapToGrid/>
          <w:szCs w:val="22"/>
          <w:lang w:val="lt-LT" w:eastAsia="en-IN"/>
        </w:rPr>
      </w:pPr>
      <w:r w:rsidRPr="001839C2">
        <w:rPr>
          <w:rFonts w:eastAsiaTheme="minorEastAsia"/>
          <w:snapToGrid/>
          <w:szCs w:val="22"/>
          <w:lang w:val="lt-LT" w:eastAsia="en-IN"/>
        </w:rPr>
        <w:t>Vaikams dažnai sumažėja raudonųjų kraujo kūnelių skaičius (anemija)</w:t>
      </w:r>
      <w:r w:rsidR="001A319B" w:rsidRPr="001839C2">
        <w:rPr>
          <w:rFonts w:eastAsiaTheme="minorEastAsia"/>
          <w:snapToGrid/>
          <w:szCs w:val="22"/>
          <w:lang w:val="lt-LT" w:eastAsia="en-IN"/>
        </w:rPr>
        <w:t>:</w:t>
      </w:r>
    </w:p>
    <w:p w14:paraId="251A75CD" w14:textId="77777777" w:rsidR="002A5F50" w:rsidRPr="001839C2" w:rsidRDefault="002A5F50" w:rsidP="00230559">
      <w:pPr>
        <w:widowControl w:val="0"/>
        <w:numPr>
          <w:ilvl w:val="1"/>
          <w:numId w:val="13"/>
        </w:numPr>
        <w:tabs>
          <w:tab w:val="clear" w:pos="567"/>
          <w:tab w:val="left" w:pos="1252"/>
        </w:tabs>
        <w:kinsoku w:val="0"/>
        <w:overflowPunct w:val="0"/>
        <w:autoSpaceDE w:val="0"/>
        <w:autoSpaceDN w:val="0"/>
        <w:adjustRightInd w:val="0"/>
        <w:ind w:left="1253" w:hanging="567"/>
        <w:rPr>
          <w:rFonts w:eastAsiaTheme="minorEastAsia"/>
          <w:snapToGrid/>
          <w:szCs w:val="22"/>
          <w:lang w:val="lt-LT" w:eastAsia="en-IN"/>
        </w:rPr>
      </w:pPr>
      <w:r w:rsidRPr="001839C2">
        <w:rPr>
          <w:rFonts w:eastAsiaTheme="minorEastAsia"/>
          <w:snapToGrid/>
          <w:szCs w:val="22"/>
          <w:lang w:val="lt-LT" w:eastAsia="en-IN"/>
        </w:rPr>
        <w:t>dėl to vaikas gali būti pavargęs arba dusti.</w:t>
      </w:r>
    </w:p>
    <w:p w14:paraId="0325ECE1" w14:textId="77777777" w:rsidR="002A5F50" w:rsidRPr="00CB32F8" w:rsidRDefault="002A5F50" w:rsidP="00BF4605">
      <w:pPr>
        <w:widowControl w:val="0"/>
        <w:tabs>
          <w:tab w:val="clear" w:pos="567"/>
          <w:tab w:val="left" w:pos="685"/>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Jeigu pastebite kuriuos nors iš šių simptomų, praneškite gydytojui.</w:t>
      </w:r>
    </w:p>
    <w:p w14:paraId="60FD1814"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689194C7"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b/>
          <w:bCs/>
          <w:snapToGrid/>
          <w:szCs w:val="22"/>
          <w:lang w:val="lt-LT" w:eastAsia="en-IN"/>
        </w:rPr>
        <w:t>Pranešimas apie šalutinį poveikį</w:t>
      </w:r>
    </w:p>
    <w:p w14:paraId="34057B26" w14:textId="3180EB4E"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pasireiškė šalutinis poveikis, įskaitant šiame lapelyje nenurodytą, pasakykite gydytojui</w:t>
      </w:r>
      <w:r w:rsidR="001A319B" w:rsidRPr="001839C2">
        <w:rPr>
          <w:rFonts w:eastAsiaTheme="minorEastAsia"/>
          <w:snapToGrid/>
          <w:szCs w:val="22"/>
          <w:lang w:val="lt-LT" w:eastAsia="en-IN"/>
        </w:rPr>
        <w:t xml:space="preserve"> </w:t>
      </w:r>
      <w:r w:rsidR="005A02B7" w:rsidRPr="001839C2">
        <w:rPr>
          <w:rFonts w:eastAsiaTheme="minorEastAsia"/>
          <w:snapToGrid/>
          <w:szCs w:val="22"/>
          <w:lang w:val="lt-LT" w:eastAsia="en-IN"/>
        </w:rPr>
        <w:t xml:space="preserve">arba </w:t>
      </w:r>
      <w:r w:rsidR="001A319B" w:rsidRPr="001839C2">
        <w:rPr>
          <w:rFonts w:eastAsiaTheme="minorEastAsia"/>
          <w:snapToGrid/>
          <w:szCs w:val="22"/>
          <w:lang w:val="lt-LT" w:eastAsia="en-IN"/>
        </w:rPr>
        <w:t>vaistininkui</w:t>
      </w:r>
      <w:r w:rsidRPr="001839C2">
        <w:rPr>
          <w:rFonts w:eastAsiaTheme="minorEastAsia"/>
          <w:snapToGrid/>
          <w:szCs w:val="22"/>
          <w:lang w:val="lt-LT" w:eastAsia="en-IN"/>
        </w:rPr>
        <w:t xml:space="preserve">. </w:t>
      </w:r>
      <w:r w:rsidR="00BF22A9" w:rsidRPr="001839C2">
        <w:rPr>
          <w:snapToGrid/>
          <w:lang w:val="lt-LT"/>
        </w:rPr>
        <w:t>Pranešimą apie</w:t>
      </w:r>
      <w:r w:rsidR="00BF22A9" w:rsidRPr="001839C2">
        <w:rPr>
          <w:lang w:val="lt-LT"/>
        </w:rPr>
        <w:t xml:space="preserve"> šalutinį poveikį galite </w:t>
      </w:r>
      <w:r w:rsidR="006B40D0" w:rsidRPr="006B40D0">
        <w:rPr>
          <w:lang w:val="lt-LT"/>
        </w:rPr>
        <w:t xml:space="preserve">užpildyti ir pateikti Valstybinės vaistų kontrolės tarnybos prie Lietuvos Respublikos sveikatos apsaugos ministerijos tinklalapyje </w:t>
      </w:r>
      <w:r w:rsidR="006B40D0" w:rsidRPr="006B40D0">
        <w:rPr>
          <w:u w:val="single"/>
          <w:lang w:val="lt-LT"/>
        </w:rPr>
        <w:t>https://vvkt.lrv.lt/lt/</w:t>
      </w:r>
      <w:r w:rsidR="006B40D0" w:rsidRPr="006B40D0">
        <w:rPr>
          <w:lang w:val="lt-LT"/>
        </w:rPr>
        <w:t xml:space="preserve"> nurodytais būdais arba paskambinti nemokamu telefonu 8 800 73 568. Pranešdami apie šalutinį poveikį galite mums padėti gauti daugiau informacijos apie šio vaisto saugumą.</w:t>
      </w:r>
    </w:p>
    <w:p w14:paraId="51522703"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57AF7F7F" w14:textId="77777777" w:rsidR="002A5F50" w:rsidRPr="001839C2" w:rsidRDefault="002A5F50" w:rsidP="00B67510">
      <w:pPr>
        <w:keepNext/>
        <w:widowControl w:val="0"/>
        <w:tabs>
          <w:tab w:val="clear" w:pos="567"/>
        </w:tabs>
        <w:kinsoku w:val="0"/>
        <w:overflowPunct w:val="0"/>
        <w:autoSpaceDE w:val="0"/>
        <w:autoSpaceDN w:val="0"/>
        <w:adjustRightInd w:val="0"/>
        <w:rPr>
          <w:rFonts w:eastAsiaTheme="minorEastAsia"/>
          <w:snapToGrid/>
          <w:szCs w:val="22"/>
          <w:lang w:val="lt-LT" w:eastAsia="en-IN"/>
        </w:rPr>
      </w:pPr>
    </w:p>
    <w:p w14:paraId="02BB0A13" w14:textId="77777777" w:rsidR="002A5F50" w:rsidRPr="001839C2" w:rsidRDefault="002A5F50" w:rsidP="00B67510">
      <w:pPr>
        <w:keepNext/>
        <w:widowControl w:val="0"/>
        <w:numPr>
          <w:ilvl w:val="0"/>
          <w:numId w:val="20"/>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 xml:space="preserve">Kaip laikyti </w:t>
      </w:r>
      <w:r w:rsidRPr="001839C2">
        <w:rPr>
          <w:rFonts w:eastAsiaTheme="minorHAnsi"/>
          <w:b/>
          <w:bCs/>
          <w:snapToGrid/>
          <w:szCs w:val="22"/>
          <w:lang w:val="lt-LT"/>
        </w:rPr>
        <w:t>Emtricitabine/Tenofovir disoproxil Accordpharma</w:t>
      </w:r>
    </w:p>
    <w:p w14:paraId="5C7E33B2" w14:textId="77777777" w:rsidR="002A5F50" w:rsidRPr="001839C2" w:rsidRDefault="002A5F50" w:rsidP="00B67510">
      <w:pPr>
        <w:keepNext/>
        <w:widowControl w:val="0"/>
        <w:tabs>
          <w:tab w:val="clear" w:pos="567"/>
        </w:tabs>
        <w:kinsoku w:val="0"/>
        <w:overflowPunct w:val="0"/>
        <w:autoSpaceDE w:val="0"/>
        <w:autoSpaceDN w:val="0"/>
        <w:adjustRightInd w:val="0"/>
        <w:rPr>
          <w:rFonts w:eastAsiaTheme="minorEastAsia"/>
          <w:b/>
          <w:bCs/>
          <w:snapToGrid/>
          <w:szCs w:val="22"/>
          <w:lang w:val="lt-LT" w:eastAsia="en-IN"/>
        </w:rPr>
      </w:pPr>
    </w:p>
    <w:p w14:paraId="709227BA" w14:textId="77777777" w:rsidR="002A5F50" w:rsidRPr="001839C2" w:rsidRDefault="002A5F50" w:rsidP="00B67510">
      <w:pPr>
        <w:keepNext/>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Šį vaistą laikykite vaikams nepastebimoje ir nepasiekiamoje vietoje.</w:t>
      </w:r>
    </w:p>
    <w:p w14:paraId="320B0946"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6C6FA243"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Ant dėžutės</w:t>
      </w:r>
      <w:r w:rsidR="004066F4" w:rsidRPr="001839C2">
        <w:rPr>
          <w:rFonts w:eastAsiaTheme="minorEastAsia"/>
          <w:snapToGrid/>
          <w:szCs w:val="22"/>
          <w:lang w:val="lt-LT" w:eastAsia="en-IN"/>
        </w:rPr>
        <w:t xml:space="preserve"> ir</w:t>
      </w:r>
      <w:r w:rsidRPr="001839C2">
        <w:rPr>
          <w:rFonts w:eastAsiaTheme="minorEastAsia"/>
          <w:snapToGrid/>
          <w:szCs w:val="22"/>
          <w:lang w:val="lt-LT" w:eastAsia="en-IN"/>
        </w:rPr>
        <w:t xml:space="preserve"> lizdinės </w:t>
      </w:r>
      <w:r w:rsidR="00A37F8A" w:rsidRPr="001839C2">
        <w:rPr>
          <w:rFonts w:eastAsiaTheme="minorEastAsia"/>
          <w:snapToGrid/>
          <w:szCs w:val="22"/>
          <w:lang w:val="lt-LT" w:eastAsia="en-IN"/>
        </w:rPr>
        <w:t xml:space="preserve">plokštelės </w:t>
      </w:r>
      <w:r w:rsidRPr="001839C2">
        <w:rPr>
          <w:rFonts w:eastAsiaTheme="minorEastAsia"/>
          <w:snapToGrid/>
          <w:szCs w:val="22"/>
          <w:lang w:val="lt-LT" w:eastAsia="en-IN"/>
        </w:rPr>
        <w:t xml:space="preserve">po </w:t>
      </w:r>
      <w:r w:rsidR="00A37F8A" w:rsidRPr="001839C2">
        <w:rPr>
          <w:rFonts w:eastAsiaTheme="minorEastAsia"/>
          <w:snapToGrid/>
          <w:szCs w:val="22"/>
          <w:lang w:val="lt-LT" w:eastAsia="en-IN"/>
        </w:rPr>
        <w:t>„</w:t>
      </w:r>
      <w:r w:rsidR="004066F4" w:rsidRPr="001839C2">
        <w:rPr>
          <w:rFonts w:eastAsiaTheme="minorEastAsia"/>
          <w:snapToGrid/>
          <w:szCs w:val="22"/>
          <w:lang w:val="lt-LT" w:eastAsia="en-IN"/>
        </w:rPr>
        <w:t>EXP</w:t>
      </w:r>
      <w:r w:rsidR="00812018" w:rsidRPr="001839C2">
        <w:rPr>
          <w:rFonts w:eastAsiaTheme="minorEastAsia"/>
          <w:snapToGrid/>
          <w:szCs w:val="22"/>
          <w:lang w:val="lt-LT" w:eastAsia="en-IN"/>
        </w:rPr>
        <w:t>“</w:t>
      </w:r>
      <w:r w:rsidRPr="001839C2">
        <w:rPr>
          <w:rFonts w:eastAsiaTheme="minorEastAsia"/>
          <w:snapToGrid/>
          <w:szCs w:val="22"/>
          <w:lang w:val="lt-LT" w:eastAsia="en-IN"/>
        </w:rPr>
        <w:t xml:space="preserve"> nurodytam tinkamumo laikui pasibaigus, šio vaisto vartoti negalima. Vaistas tinkamas vartoti iki paskutinės nurodyto mėnesio dienos.</w:t>
      </w:r>
    </w:p>
    <w:p w14:paraId="11B0CA6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46514774" w14:textId="77777777" w:rsidR="002A5F50" w:rsidRPr="001839C2" w:rsidRDefault="004066F4"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Laikyti </w:t>
      </w:r>
      <w:r w:rsidR="002A5F50" w:rsidRPr="001839C2">
        <w:rPr>
          <w:rFonts w:eastAsiaTheme="minorEastAsia"/>
          <w:snapToGrid/>
          <w:szCs w:val="22"/>
          <w:lang w:val="lt-LT" w:eastAsia="en-IN"/>
        </w:rPr>
        <w:t>žemesnėje kaip 30</w:t>
      </w:r>
      <w:r w:rsidR="001A319B" w:rsidRPr="001839C2">
        <w:rPr>
          <w:rFonts w:eastAsiaTheme="minorEastAsia"/>
          <w:snapToGrid/>
          <w:szCs w:val="22"/>
          <w:lang w:val="lt-LT" w:eastAsia="en-IN"/>
        </w:rPr>
        <w:t> </w:t>
      </w:r>
      <w:r w:rsidR="002A5F50" w:rsidRPr="001839C2">
        <w:rPr>
          <w:rFonts w:eastAsiaTheme="minorEastAsia"/>
          <w:snapToGrid/>
          <w:szCs w:val="22"/>
          <w:lang w:val="lt-LT" w:eastAsia="en-IN"/>
        </w:rPr>
        <w:t>ºC</w:t>
      </w:r>
      <w:r w:rsidR="00295170" w:rsidRPr="001839C2">
        <w:rPr>
          <w:rFonts w:eastAsiaTheme="minorEastAsia"/>
          <w:snapToGrid/>
          <w:szCs w:val="22"/>
          <w:lang w:val="lt-LT" w:eastAsia="en-IN"/>
        </w:rPr>
        <w:t xml:space="preserve"> temperatūroje</w:t>
      </w:r>
      <w:r w:rsidRPr="001839C2">
        <w:rPr>
          <w:rFonts w:eastAsiaTheme="minorEastAsia"/>
          <w:snapToGrid/>
          <w:szCs w:val="22"/>
          <w:lang w:val="lt-LT" w:eastAsia="en-IN"/>
        </w:rPr>
        <w:t>.</w:t>
      </w:r>
    </w:p>
    <w:p w14:paraId="372F00E9" w14:textId="77777777" w:rsidR="005A02B7" w:rsidRPr="001839C2" w:rsidRDefault="005A02B7" w:rsidP="00BF4605">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L</w:t>
      </w:r>
      <w:r w:rsidRPr="001839C2">
        <w:rPr>
          <w:lang w:val="lt-LT"/>
        </w:rPr>
        <w:t>aikyti gamintojo pakuotėje, kad vaistas būtų apsaugotas nuo drėgmės.</w:t>
      </w:r>
      <w:r w:rsidRPr="001839C2">
        <w:rPr>
          <w:rFonts w:eastAsiaTheme="minorEastAsia"/>
          <w:snapToGrid/>
          <w:szCs w:val="22"/>
          <w:lang w:val="lt-LT" w:eastAsia="en-IN"/>
        </w:rPr>
        <w:t xml:space="preserve"> Buteliuką laikyti sandarų.</w:t>
      </w:r>
    </w:p>
    <w:p w14:paraId="2142C75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19E5D5CF" w14:textId="77777777" w:rsidR="002A5F50" w:rsidRPr="001839C2" w:rsidRDefault="002A5F50" w:rsidP="00230559">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Vaistų negalima išmesti į kanalizaciją arba su buitinėmis atliekomis. Kaip išmesti nereikalingus vaistus, klauskite vaistininko. Šios priemonės padės apsaugoti aplinką.</w:t>
      </w:r>
    </w:p>
    <w:p w14:paraId="21481615"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6583D9BA" w14:textId="77777777" w:rsidR="002A5F50" w:rsidRPr="001839C2" w:rsidRDefault="002A5F50" w:rsidP="00BF4605">
      <w:pPr>
        <w:widowControl w:val="0"/>
        <w:tabs>
          <w:tab w:val="clear" w:pos="567"/>
        </w:tabs>
        <w:kinsoku w:val="0"/>
        <w:overflowPunct w:val="0"/>
        <w:autoSpaceDE w:val="0"/>
        <w:autoSpaceDN w:val="0"/>
        <w:adjustRightInd w:val="0"/>
        <w:rPr>
          <w:rFonts w:eastAsiaTheme="minorEastAsia"/>
          <w:snapToGrid/>
          <w:szCs w:val="22"/>
          <w:lang w:val="lt-LT" w:eastAsia="en-IN"/>
        </w:rPr>
      </w:pPr>
    </w:p>
    <w:p w14:paraId="0E4493F5" w14:textId="77777777" w:rsidR="002A5F50" w:rsidRPr="001839C2" w:rsidRDefault="002A5F50" w:rsidP="00CB32F8">
      <w:pPr>
        <w:keepNext/>
        <w:widowControl w:val="0"/>
        <w:numPr>
          <w:ilvl w:val="0"/>
          <w:numId w:val="20"/>
        </w:numPr>
        <w:kinsoku w:val="0"/>
        <w:overflowPunct w:val="0"/>
        <w:autoSpaceDE w:val="0"/>
        <w:autoSpaceDN w:val="0"/>
        <w:adjustRightInd w:val="0"/>
        <w:ind w:left="0" w:firstLine="0"/>
        <w:outlineLvl w:val="0"/>
        <w:rPr>
          <w:rFonts w:eastAsiaTheme="minorEastAsia"/>
          <w:b/>
          <w:bCs/>
          <w:snapToGrid/>
          <w:szCs w:val="22"/>
          <w:lang w:val="lt-LT" w:eastAsia="en-IN"/>
        </w:rPr>
      </w:pPr>
      <w:r w:rsidRPr="001839C2">
        <w:rPr>
          <w:rFonts w:eastAsiaTheme="minorEastAsia"/>
          <w:b/>
          <w:bCs/>
          <w:snapToGrid/>
          <w:szCs w:val="22"/>
          <w:lang w:val="lt-LT" w:eastAsia="en-IN"/>
        </w:rPr>
        <w:t>Pakuotės turinys ir kita informacija</w:t>
      </w:r>
    </w:p>
    <w:p w14:paraId="77ECDA3E" w14:textId="77777777" w:rsidR="002A5F50" w:rsidRPr="001839C2" w:rsidRDefault="002A5F50" w:rsidP="00CB32F8">
      <w:pPr>
        <w:keepNext/>
        <w:widowControl w:val="0"/>
        <w:tabs>
          <w:tab w:val="clear" w:pos="567"/>
        </w:tabs>
        <w:autoSpaceDE w:val="0"/>
        <w:autoSpaceDN w:val="0"/>
        <w:adjustRightInd w:val="0"/>
        <w:rPr>
          <w:rFonts w:eastAsiaTheme="minorEastAsia"/>
          <w:snapToGrid/>
          <w:szCs w:val="22"/>
          <w:lang w:val="lt-LT" w:eastAsia="en-IN"/>
        </w:rPr>
      </w:pPr>
    </w:p>
    <w:p w14:paraId="547D7E39" w14:textId="77777777" w:rsidR="002A5F50" w:rsidRPr="001839C2" w:rsidRDefault="002A5F50" w:rsidP="00CB32F8">
      <w:pPr>
        <w:keepNext/>
        <w:widowControl w:val="0"/>
        <w:tabs>
          <w:tab w:val="clear" w:pos="567"/>
          <w:tab w:val="left" w:pos="685"/>
        </w:tabs>
        <w:kinsoku w:val="0"/>
        <w:overflowPunct w:val="0"/>
        <w:autoSpaceDE w:val="0"/>
        <w:autoSpaceDN w:val="0"/>
        <w:adjustRightInd w:val="0"/>
        <w:outlineLvl w:val="0"/>
        <w:rPr>
          <w:rFonts w:eastAsiaTheme="minorEastAsia"/>
          <w:snapToGrid/>
          <w:szCs w:val="22"/>
          <w:lang w:val="lt-LT" w:eastAsia="en-IN"/>
        </w:rPr>
      </w:pPr>
      <w:r w:rsidRPr="001839C2">
        <w:rPr>
          <w:rFonts w:eastAsiaTheme="minorHAnsi"/>
          <w:b/>
          <w:bCs/>
          <w:snapToGrid/>
          <w:szCs w:val="22"/>
          <w:lang w:val="lt-LT"/>
        </w:rPr>
        <w:t>Emtricitabine/Tenofovir disoproxil Accordpharma</w:t>
      </w:r>
      <w:r w:rsidRPr="001839C2">
        <w:rPr>
          <w:rFonts w:eastAsiaTheme="minorEastAsia"/>
          <w:b/>
          <w:bCs/>
          <w:snapToGrid/>
          <w:szCs w:val="22"/>
          <w:lang w:val="lt-LT" w:eastAsia="en-IN"/>
        </w:rPr>
        <w:t xml:space="preserve"> sudėtis</w:t>
      </w:r>
    </w:p>
    <w:p w14:paraId="6D603ABA" w14:textId="77777777" w:rsidR="002A5F50" w:rsidRPr="001839C2" w:rsidRDefault="002A5F50" w:rsidP="00230559">
      <w:pPr>
        <w:widowControl w:val="0"/>
        <w:numPr>
          <w:ilvl w:val="0"/>
          <w:numId w:val="27"/>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bCs/>
          <w:i/>
          <w:snapToGrid/>
          <w:szCs w:val="22"/>
          <w:u w:val="single"/>
          <w:lang w:val="lt-LT" w:eastAsia="en-IN"/>
        </w:rPr>
        <w:t>Veikliosios medžiagos</w:t>
      </w:r>
      <w:r w:rsidR="00F14B85" w:rsidRPr="001839C2">
        <w:rPr>
          <w:rFonts w:eastAsiaTheme="minorEastAsia"/>
          <w:bCs/>
          <w:snapToGrid/>
          <w:szCs w:val="22"/>
          <w:lang w:val="lt-LT" w:eastAsia="en-IN"/>
        </w:rPr>
        <w:br/>
      </w:r>
      <w:r w:rsidR="00F14B85" w:rsidRPr="001839C2">
        <w:rPr>
          <w:rFonts w:eastAsiaTheme="minorEastAsia"/>
          <w:iCs/>
          <w:snapToGrid/>
          <w:szCs w:val="22"/>
          <w:lang w:val="lt-LT" w:eastAsia="en-IN"/>
        </w:rPr>
        <w:t>E</w:t>
      </w:r>
      <w:r w:rsidRPr="001839C2">
        <w:rPr>
          <w:rFonts w:eastAsiaTheme="minorEastAsia"/>
          <w:iCs/>
          <w:snapToGrid/>
          <w:szCs w:val="22"/>
          <w:lang w:val="lt-LT" w:eastAsia="en-IN"/>
        </w:rPr>
        <w:t xml:space="preserve">mtricitabinas </w:t>
      </w:r>
      <w:r w:rsidRPr="001839C2">
        <w:rPr>
          <w:rFonts w:eastAsiaTheme="minorEastAsia"/>
          <w:snapToGrid/>
          <w:szCs w:val="22"/>
          <w:lang w:val="lt-LT" w:eastAsia="en-IN"/>
        </w:rPr>
        <w:t xml:space="preserve">ir </w:t>
      </w:r>
      <w:r w:rsidRPr="001839C2">
        <w:rPr>
          <w:rFonts w:eastAsiaTheme="minorEastAsia"/>
          <w:iCs/>
          <w:snapToGrid/>
          <w:szCs w:val="22"/>
          <w:lang w:val="lt-LT" w:eastAsia="en-IN"/>
        </w:rPr>
        <w:t>tenofovir</w:t>
      </w:r>
      <w:r w:rsidR="004066F4" w:rsidRPr="001839C2">
        <w:rPr>
          <w:rFonts w:eastAsiaTheme="minorEastAsia"/>
          <w:iCs/>
          <w:snapToGrid/>
          <w:szCs w:val="22"/>
          <w:lang w:val="lt-LT" w:eastAsia="en-IN"/>
        </w:rPr>
        <w:t>as</w:t>
      </w:r>
      <w:r w:rsidRPr="001839C2">
        <w:rPr>
          <w:rFonts w:eastAsiaTheme="minorEastAsia"/>
          <w:iCs/>
          <w:snapToGrid/>
          <w:szCs w:val="22"/>
          <w:lang w:val="lt-LT" w:eastAsia="en-IN"/>
        </w:rPr>
        <w:t xml:space="preserve"> dizoproksilis</w:t>
      </w:r>
      <w:r w:rsidRPr="001839C2">
        <w:rPr>
          <w:rFonts w:eastAsiaTheme="minorEastAsia"/>
          <w:snapToGrid/>
          <w:szCs w:val="22"/>
          <w:lang w:val="lt-LT" w:eastAsia="en-IN"/>
        </w:rPr>
        <w:t>. Kiekvienoje plėvele dengtoje tabletėje yra 200</w:t>
      </w:r>
      <w:r w:rsidR="004066F4" w:rsidRPr="001839C2">
        <w:rPr>
          <w:rFonts w:eastAsiaTheme="minorEastAsia"/>
          <w:snapToGrid/>
          <w:szCs w:val="22"/>
          <w:lang w:val="lt-LT" w:eastAsia="en-IN"/>
        </w:rPr>
        <w:t> </w:t>
      </w:r>
      <w:r w:rsidRPr="001839C2">
        <w:rPr>
          <w:rFonts w:eastAsiaTheme="minorEastAsia"/>
          <w:snapToGrid/>
          <w:szCs w:val="22"/>
          <w:lang w:val="lt-LT" w:eastAsia="en-IN"/>
        </w:rPr>
        <w:t>mg emtricitabino ir 245</w:t>
      </w:r>
      <w:r w:rsidR="004066F4" w:rsidRPr="001839C2">
        <w:rPr>
          <w:rFonts w:eastAsiaTheme="minorEastAsia"/>
          <w:snapToGrid/>
          <w:szCs w:val="22"/>
          <w:lang w:val="lt-LT" w:eastAsia="en-IN"/>
        </w:rPr>
        <w:t> </w:t>
      </w:r>
      <w:r w:rsidRPr="001839C2">
        <w:rPr>
          <w:rFonts w:eastAsiaTheme="minorEastAsia"/>
          <w:snapToGrid/>
          <w:szCs w:val="22"/>
          <w:lang w:val="lt-LT" w:eastAsia="en-IN"/>
        </w:rPr>
        <w:t>mg tenofoviro dizoproksilio (</w:t>
      </w:r>
      <w:r w:rsidR="00B5552E" w:rsidRPr="001839C2">
        <w:rPr>
          <w:rFonts w:eastAsiaTheme="minorEastAsia"/>
          <w:snapToGrid/>
          <w:szCs w:val="22"/>
          <w:lang w:val="lt-LT" w:eastAsia="en-IN"/>
        </w:rPr>
        <w:t>tai</w:t>
      </w:r>
      <w:r w:rsidRPr="001839C2">
        <w:rPr>
          <w:rFonts w:eastAsiaTheme="minorEastAsia"/>
          <w:snapToGrid/>
          <w:szCs w:val="22"/>
          <w:lang w:val="lt-LT" w:eastAsia="en-IN"/>
        </w:rPr>
        <w:t xml:space="preserve"> atitinka 300</w:t>
      </w:r>
      <w:r w:rsidR="004066F4" w:rsidRPr="001839C2">
        <w:rPr>
          <w:rFonts w:eastAsiaTheme="minorEastAsia"/>
          <w:snapToGrid/>
          <w:szCs w:val="22"/>
          <w:lang w:val="lt-LT" w:eastAsia="en-IN"/>
        </w:rPr>
        <w:t> </w:t>
      </w:r>
      <w:r w:rsidRPr="001839C2">
        <w:rPr>
          <w:rFonts w:eastAsiaTheme="minorEastAsia"/>
          <w:snapToGrid/>
          <w:szCs w:val="22"/>
          <w:lang w:val="lt-LT" w:eastAsia="en-IN"/>
        </w:rPr>
        <w:t>mg tenofoviro dizoproksilio fumarato arba 136</w:t>
      </w:r>
      <w:r w:rsidR="004066F4" w:rsidRPr="001839C2">
        <w:rPr>
          <w:rFonts w:eastAsiaTheme="minorEastAsia"/>
          <w:snapToGrid/>
          <w:szCs w:val="22"/>
          <w:lang w:val="lt-LT" w:eastAsia="en-IN"/>
        </w:rPr>
        <w:t> </w:t>
      </w:r>
      <w:r w:rsidRPr="001839C2">
        <w:rPr>
          <w:rFonts w:eastAsiaTheme="minorEastAsia"/>
          <w:snapToGrid/>
          <w:szCs w:val="22"/>
          <w:lang w:val="lt-LT" w:eastAsia="en-IN"/>
        </w:rPr>
        <w:t>mg tenofoviro).</w:t>
      </w:r>
    </w:p>
    <w:p w14:paraId="1FB9F299" w14:textId="77777777" w:rsidR="002A5F50" w:rsidRPr="001839C2" w:rsidRDefault="002A5F50" w:rsidP="00230559">
      <w:pPr>
        <w:widowControl w:val="0"/>
        <w:tabs>
          <w:tab w:val="clear" w:pos="567"/>
          <w:tab w:val="left" w:pos="685"/>
        </w:tabs>
        <w:kinsoku w:val="0"/>
        <w:overflowPunct w:val="0"/>
        <w:autoSpaceDE w:val="0"/>
        <w:autoSpaceDN w:val="0"/>
        <w:adjustRightInd w:val="0"/>
        <w:rPr>
          <w:rFonts w:eastAsiaTheme="minorEastAsia"/>
          <w:snapToGrid/>
          <w:szCs w:val="22"/>
          <w:lang w:val="lt-LT" w:eastAsia="en-IN"/>
        </w:rPr>
      </w:pPr>
    </w:p>
    <w:p w14:paraId="3B9CA954" w14:textId="77777777" w:rsidR="004066F4" w:rsidRPr="001839C2" w:rsidRDefault="002A5F50" w:rsidP="00230559">
      <w:pPr>
        <w:widowControl w:val="0"/>
        <w:numPr>
          <w:ilvl w:val="0"/>
          <w:numId w:val="27"/>
        </w:numPr>
        <w:tabs>
          <w:tab w:val="clear" w:pos="567"/>
          <w:tab w:val="left" w:pos="705"/>
        </w:tabs>
        <w:kinsoku w:val="0"/>
        <w:overflowPunct w:val="0"/>
        <w:autoSpaceDE w:val="0"/>
        <w:autoSpaceDN w:val="0"/>
        <w:adjustRightInd w:val="0"/>
        <w:ind w:left="703" w:hanging="566"/>
        <w:rPr>
          <w:rFonts w:eastAsiaTheme="minorEastAsia"/>
          <w:i/>
          <w:snapToGrid/>
          <w:szCs w:val="22"/>
          <w:u w:val="single"/>
          <w:lang w:val="lt-LT" w:eastAsia="en-IN"/>
        </w:rPr>
      </w:pPr>
      <w:r w:rsidRPr="001839C2">
        <w:rPr>
          <w:rFonts w:eastAsiaTheme="minorEastAsia"/>
          <w:bCs/>
          <w:i/>
          <w:snapToGrid/>
          <w:szCs w:val="22"/>
          <w:u w:val="single"/>
          <w:lang w:val="lt-LT" w:eastAsia="en-IN"/>
        </w:rPr>
        <w:lastRenderedPageBreak/>
        <w:t>Pagalbinės medžiagos</w:t>
      </w:r>
    </w:p>
    <w:p w14:paraId="0418DBE1" w14:textId="77777777" w:rsidR="002A5F50" w:rsidRPr="001839C2" w:rsidRDefault="00D53A51" w:rsidP="00230559">
      <w:pPr>
        <w:widowControl w:val="0"/>
        <w:tabs>
          <w:tab w:val="clear" w:pos="567"/>
          <w:tab w:val="left" w:pos="705"/>
        </w:tabs>
        <w:kinsoku w:val="0"/>
        <w:overflowPunct w:val="0"/>
        <w:autoSpaceDE w:val="0"/>
        <w:autoSpaceDN w:val="0"/>
        <w:adjustRightInd w:val="0"/>
        <w:ind w:left="703"/>
        <w:rPr>
          <w:rFonts w:eastAsiaTheme="minorEastAsia"/>
          <w:snapToGrid/>
          <w:szCs w:val="22"/>
          <w:lang w:val="lt-LT" w:eastAsia="en-IN"/>
        </w:rPr>
      </w:pPr>
      <w:r w:rsidRPr="001839C2">
        <w:rPr>
          <w:rFonts w:eastAsiaTheme="minorEastAsia"/>
          <w:snapToGrid/>
          <w:szCs w:val="22"/>
          <w:lang w:val="lt-LT" w:eastAsia="en-IN"/>
        </w:rPr>
        <w:t xml:space="preserve">- </w:t>
      </w:r>
      <w:r w:rsidR="002A5F50" w:rsidRPr="001839C2">
        <w:rPr>
          <w:rFonts w:eastAsiaTheme="minorEastAsia"/>
          <w:i/>
          <w:snapToGrid/>
          <w:szCs w:val="22"/>
          <w:lang w:val="lt-LT" w:eastAsia="en-IN"/>
        </w:rPr>
        <w:t>Table</w:t>
      </w:r>
      <w:r w:rsidRPr="001839C2">
        <w:rPr>
          <w:rFonts w:eastAsiaTheme="minorEastAsia"/>
          <w:i/>
          <w:snapToGrid/>
          <w:szCs w:val="22"/>
          <w:lang w:val="lt-LT" w:eastAsia="en-IN"/>
        </w:rPr>
        <w:t>tės</w:t>
      </w:r>
      <w:r w:rsidR="002A5F50" w:rsidRPr="001839C2">
        <w:rPr>
          <w:rFonts w:eastAsiaTheme="minorEastAsia"/>
          <w:i/>
          <w:snapToGrid/>
          <w:szCs w:val="22"/>
          <w:lang w:val="lt-LT" w:eastAsia="en-IN"/>
        </w:rPr>
        <w:t xml:space="preserve"> </w:t>
      </w:r>
      <w:r w:rsidRPr="001839C2">
        <w:rPr>
          <w:rFonts w:eastAsiaTheme="minorEastAsia"/>
          <w:i/>
          <w:snapToGrid/>
          <w:szCs w:val="22"/>
          <w:lang w:val="lt-LT" w:eastAsia="en-IN"/>
        </w:rPr>
        <w:t>branduolys</w:t>
      </w:r>
      <w:r w:rsidR="002A5F50" w:rsidRPr="001839C2">
        <w:rPr>
          <w:rFonts w:eastAsiaTheme="minorEastAsia"/>
          <w:snapToGrid/>
          <w:szCs w:val="22"/>
          <w:lang w:val="lt-LT" w:eastAsia="en-IN"/>
        </w:rPr>
        <w:t>: kroskarmeliozės natrio druska, laktozė monohidratas, mikrokristalinė celiuliozė, magnio stearatas, pregelifikuotas krakmolas;</w:t>
      </w:r>
    </w:p>
    <w:p w14:paraId="48B7EA7B" w14:textId="77777777" w:rsidR="00D53A51" w:rsidRPr="001839C2" w:rsidRDefault="00D53A51" w:rsidP="00230559">
      <w:pPr>
        <w:pStyle w:val="Sraopastraipa"/>
        <w:rPr>
          <w:rFonts w:eastAsiaTheme="minorEastAsia"/>
          <w:snapToGrid/>
          <w:szCs w:val="22"/>
          <w:lang w:val="lt-LT" w:eastAsia="en-IN"/>
        </w:rPr>
      </w:pPr>
    </w:p>
    <w:p w14:paraId="52AB3CCF" w14:textId="77777777" w:rsidR="002A5F50" w:rsidRPr="001839C2" w:rsidRDefault="00F14B85" w:rsidP="00230559">
      <w:pPr>
        <w:pStyle w:val="Sraopastraipa"/>
        <w:widowControl w:val="0"/>
        <w:tabs>
          <w:tab w:val="clear" w:pos="567"/>
          <w:tab w:val="left" w:pos="705"/>
        </w:tabs>
        <w:kinsoku w:val="0"/>
        <w:overflowPunct w:val="0"/>
        <w:autoSpaceDE w:val="0"/>
        <w:autoSpaceDN w:val="0"/>
        <w:adjustRightInd w:val="0"/>
        <w:ind w:left="709"/>
        <w:rPr>
          <w:rFonts w:eastAsiaTheme="minorEastAsia"/>
          <w:snapToGrid/>
          <w:szCs w:val="22"/>
          <w:lang w:val="lt-LT" w:eastAsia="en-IN"/>
        </w:rPr>
      </w:pPr>
      <w:r w:rsidRPr="001839C2">
        <w:rPr>
          <w:rFonts w:eastAsiaTheme="minorEastAsia"/>
          <w:i/>
          <w:snapToGrid/>
          <w:szCs w:val="22"/>
          <w:lang w:val="lt-LT" w:eastAsia="en-IN"/>
        </w:rPr>
        <w:t xml:space="preserve">- </w:t>
      </w:r>
      <w:r w:rsidR="00E57428" w:rsidRPr="001839C2">
        <w:rPr>
          <w:rFonts w:eastAsiaTheme="minorEastAsia"/>
          <w:i/>
          <w:snapToGrid/>
          <w:szCs w:val="22"/>
          <w:lang w:val="lt-LT" w:eastAsia="en-IN"/>
        </w:rPr>
        <w:t>T</w:t>
      </w:r>
      <w:r w:rsidR="00D53A51" w:rsidRPr="001839C2">
        <w:rPr>
          <w:rFonts w:eastAsiaTheme="minorEastAsia"/>
          <w:i/>
          <w:snapToGrid/>
          <w:szCs w:val="22"/>
          <w:lang w:val="lt-LT" w:eastAsia="en-IN"/>
        </w:rPr>
        <w:t>abletės</w:t>
      </w:r>
      <w:r w:rsidR="00E57428" w:rsidRPr="001839C2">
        <w:rPr>
          <w:rFonts w:eastAsiaTheme="minorEastAsia"/>
          <w:i/>
          <w:snapToGrid/>
          <w:szCs w:val="22"/>
          <w:lang w:val="lt-LT" w:eastAsia="en-IN"/>
        </w:rPr>
        <w:t xml:space="preserve"> p</w:t>
      </w:r>
      <w:r w:rsidR="002A5F50" w:rsidRPr="001839C2">
        <w:rPr>
          <w:rFonts w:eastAsiaTheme="minorEastAsia"/>
          <w:i/>
          <w:snapToGrid/>
          <w:szCs w:val="22"/>
          <w:lang w:val="lt-LT" w:eastAsia="en-IN"/>
        </w:rPr>
        <w:t>lėvelė</w:t>
      </w:r>
      <w:r w:rsidR="002A5F50" w:rsidRPr="001839C2">
        <w:rPr>
          <w:rFonts w:eastAsiaTheme="minorEastAsia"/>
          <w:snapToGrid/>
          <w:szCs w:val="22"/>
          <w:lang w:val="lt-LT" w:eastAsia="en-IN"/>
        </w:rPr>
        <w:t>: hipromeliozė, laktozė monohidratas, titano dioksidas (E171), triacetinas, indigokarmino aliuminio dažalas (E132)</w:t>
      </w:r>
      <w:r w:rsidR="00A37F8A" w:rsidRPr="001839C2">
        <w:rPr>
          <w:rFonts w:eastAsiaTheme="minorEastAsia"/>
          <w:snapToGrid/>
          <w:szCs w:val="22"/>
          <w:lang w:val="lt-LT" w:eastAsia="en-IN"/>
        </w:rPr>
        <w:t>.</w:t>
      </w:r>
    </w:p>
    <w:p w14:paraId="0E48C006"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17FB4C19" w14:textId="77777777" w:rsidR="002A5F50" w:rsidRPr="001839C2" w:rsidRDefault="002A5F50" w:rsidP="00230559">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HAnsi"/>
          <w:b/>
          <w:bCs/>
          <w:snapToGrid/>
          <w:szCs w:val="22"/>
          <w:lang w:val="lt-LT"/>
        </w:rPr>
        <w:t xml:space="preserve">Emtricitabine/Tenofovir disoproxil Accordpharma </w:t>
      </w:r>
      <w:r w:rsidRPr="001839C2">
        <w:rPr>
          <w:rFonts w:eastAsiaTheme="minorEastAsia"/>
          <w:b/>
          <w:bCs/>
          <w:snapToGrid/>
          <w:szCs w:val="22"/>
          <w:lang w:val="lt-LT" w:eastAsia="en-IN"/>
        </w:rPr>
        <w:t>išvaizda ir kiekis pakuotėje</w:t>
      </w:r>
    </w:p>
    <w:p w14:paraId="1EA30B1D"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HAnsi"/>
          <w:snapToGrid/>
          <w:szCs w:val="22"/>
          <w:lang w:val="lt-LT"/>
        </w:rPr>
        <w:t>Emtricitabine/Tenofovir disoproxil Accordpharma yra mėl</w:t>
      </w:r>
      <w:r w:rsidR="00D53A51" w:rsidRPr="001839C2">
        <w:rPr>
          <w:rFonts w:eastAsiaTheme="minorHAnsi"/>
          <w:snapToGrid/>
          <w:szCs w:val="22"/>
          <w:lang w:val="lt-LT"/>
        </w:rPr>
        <w:t>y</w:t>
      </w:r>
      <w:r w:rsidRPr="001839C2">
        <w:rPr>
          <w:rFonts w:eastAsiaTheme="minorHAnsi"/>
          <w:snapToGrid/>
          <w:szCs w:val="22"/>
          <w:lang w:val="lt-LT"/>
        </w:rPr>
        <w:t>n</w:t>
      </w:r>
      <w:r w:rsidR="00D53A51" w:rsidRPr="001839C2">
        <w:rPr>
          <w:rFonts w:eastAsiaTheme="minorHAnsi"/>
          <w:snapToGrid/>
          <w:szCs w:val="22"/>
          <w:lang w:val="lt-LT"/>
        </w:rPr>
        <w:t>a</w:t>
      </w:r>
      <w:r w:rsidRPr="001839C2">
        <w:rPr>
          <w:rFonts w:eastAsiaTheme="minorHAnsi"/>
          <w:snapToGrid/>
          <w:szCs w:val="22"/>
          <w:lang w:val="lt-LT"/>
        </w:rPr>
        <w:t>, kapsulės formos</w:t>
      </w:r>
      <w:r w:rsidR="00B5552E" w:rsidRPr="001839C2">
        <w:rPr>
          <w:rFonts w:eastAsiaTheme="minorHAnsi"/>
          <w:snapToGrid/>
          <w:szCs w:val="22"/>
          <w:lang w:val="lt-LT"/>
        </w:rPr>
        <w:t xml:space="preserve">, </w:t>
      </w:r>
      <w:r w:rsidRPr="001839C2">
        <w:rPr>
          <w:rFonts w:eastAsiaTheme="minorEastAsia"/>
          <w:snapToGrid/>
          <w:szCs w:val="22"/>
          <w:lang w:val="lt-LT" w:eastAsia="en-IN"/>
        </w:rPr>
        <w:t>plėvele dengt</w:t>
      </w:r>
      <w:r w:rsidR="00B5552E" w:rsidRPr="001839C2">
        <w:rPr>
          <w:rFonts w:eastAsiaTheme="minorEastAsia"/>
          <w:snapToGrid/>
          <w:szCs w:val="22"/>
          <w:lang w:val="lt-LT" w:eastAsia="en-IN"/>
        </w:rPr>
        <w:t>a</w:t>
      </w:r>
      <w:r w:rsidRPr="001839C2">
        <w:rPr>
          <w:rFonts w:eastAsiaTheme="minorEastAsia"/>
          <w:snapToGrid/>
          <w:szCs w:val="22"/>
          <w:lang w:val="lt-LT" w:eastAsia="en-IN"/>
        </w:rPr>
        <w:t xml:space="preserve"> tabletė, kuri</w:t>
      </w:r>
      <w:r w:rsidR="00B5552E" w:rsidRPr="001839C2">
        <w:rPr>
          <w:rFonts w:eastAsiaTheme="minorEastAsia"/>
          <w:snapToGrid/>
          <w:szCs w:val="22"/>
          <w:lang w:val="lt-LT" w:eastAsia="en-IN"/>
        </w:rPr>
        <w:t>os</w:t>
      </w:r>
      <w:r w:rsidRPr="001839C2">
        <w:rPr>
          <w:rFonts w:eastAsiaTheme="minorEastAsia"/>
          <w:snapToGrid/>
          <w:szCs w:val="22"/>
          <w:lang w:val="lt-LT" w:eastAsia="en-IN"/>
        </w:rPr>
        <w:t xml:space="preserve"> vienoje pusėje įspausta „H“, o kitoje pusėje „E44“.</w:t>
      </w:r>
    </w:p>
    <w:p w14:paraId="6FEE1B91" w14:textId="77777777" w:rsidR="002A5F50" w:rsidRPr="001839C2" w:rsidRDefault="002A5F50" w:rsidP="002A5F50">
      <w:pPr>
        <w:tabs>
          <w:tab w:val="clear" w:pos="567"/>
        </w:tabs>
        <w:rPr>
          <w:snapToGrid/>
          <w:szCs w:val="22"/>
          <w:u w:val="single"/>
          <w:lang w:val="lt-LT"/>
        </w:rPr>
      </w:pPr>
    </w:p>
    <w:p w14:paraId="1CA4872F" w14:textId="77777777" w:rsidR="002A5F50" w:rsidRPr="001839C2" w:rsidRDefault="00E61C94" w:rsidP="002A5F50">
      <w:pPr>
        <w:tabs>
          <w:tab w:val="clear" w:pos="567"/>
        </w:tabs>
        <w:rPr>
          <w:snapToGrid/>
          <w:szCs w:val="22"/>
          <w:lang w:val="lt-LT"/>
        </w:rPr>
      </w:pPr>
      <w:r w:rsidRPr="001839C2">
        <w:rPr>
          <w:snapToGrid/>
          <w:szCs w:val="22"/>
          <w:lang w:val="lt-LT"/>
        </w:rPr>
        <w:t>Pakuotės dydis:</w:t>
      </w:r>
      <w:r w:rsidR="00705F1A" w:rsidRPr="001839C2">
        <w:rPr>
          <w:snapToGrid/>
          <w:szCs w:val="22"/>
          <w:lang w:val="lt-LT"/>
        </w:rPr>
        <w:t xml:space="preserve"> </w:t>
      </w:r>
      <w:r w:rsidR="002A5F50" w:rsidRPr="001839C2">
        <w:rPr>
          <w:snapToGrid/>
          <w:szCs w:val="22"/>
          <w:lang w:val="lt-LT"/>
        </w:rPr>
        <w:t>30</w:t>
      </w:r>
      <w:r w:rsidR="004066F4" w:rsidRPr="001839C2">
        <w:rPr>
          <w:snapToGrid/>
          <w:szCs w:val="22"/>
          <w:lang w:val="lt-LT"/>
        </w:rPr>
        <w:t> </w:t>
      </w:r>
      <w:r w:rsidR="002A5F50" w:rsidRPr="001839C2">
        <w:rPr>
          <w:snapToGrid/>
          <w:szCs w:val="22"/>
          <w:lang w:val="lt-LT"/>
        </w:rPr>
        <w:t>x</w:t>
      </w:r>
      <w:r w:rsidR="004066F4" w:rsidRPr="001839C2">
        <w:rPr>
          <w:snapToGrid/>
          <w:szCs w:val="22"/>
          <w:lang w:val="lt-LT"/>
        </w:rPr>
        <w:t> </w:t>
      </w:r>
      <w:r w:rsidR="002A5F50" w:rsidRPr="001839C2">
        <w:rPr>
          <w:snapToGrid/>
          <w:szCs w:val="22"/>
          <w:lang w:val="lt-LT"/>
        </w:rPr>
        <w:t>1 tablečių OPA</w:t>
      </w:r>
      <w:r w:rsidR="00F14B85" w:rsidRPr="001839C2">
        <w:rPr>
          <w:snapToGrid/>
          <w:szCs w:val="22"/>
          <w:lang w:val="lt-LT"/>
        </w:rPr>
        <w:noBreakHyphen/>
      </w:r>
      <w:r w:rsidR="00705F1A" w:rsidRPr="001839C2">
        <w:rPr>
          <w:snapToGrid/>
          <w:szCs w:val="22"/>
          <w:lang w:val="lt-LT"/>
        </w:rPr>
        <w:t>Al</w:t>
      </w:r>
      <w:r w:rsidR="00F14B85" w:rsidRPr="001839C2">
        <w:rPr>
          <w:snapToGrid/>
          <w:szCs w:val="22"/>
          <w:lang w:val="lt-LT"/>
        </w:rPr>
        <w:noBreakHyphen/>
      </w:r>
      <w:r w:rsidR="002A5F50" w:rsidRPr="001839C2">
        <w:rPr>
          <w:snapToGrid/>
          <w:szCs w:val="22"/>
          <w:lang w:val="lt-LT"/>
        </w:rPr>
        <w:t>PVC/</w:t>
      </w:r>
      <w:r w:rsidR="00705F1A" w:rsidRPr="001839C2">
        <w:rPr>
          <w:snapToGrid/>
          <w:szCs w:val="22"/>
          <w:lang w:val="lt-LT"/>
        </w:rPr>
        <w:t>Al</w:t>
      </w:r>
      <w:r w:rsidR="002A5F50" w:rsidRPr="001839C2">
        <w:rPr>
          <w:snapToGrid/>
          <w:szCs w:val="22"/>
          <w:lang w:val="lt-LT"/>
        </w:rPr>
        <w:t xml:space="preserve"> perforuotoje </w:t>
      </w:r>
      <w:r w:rsidR="004066F4" w:rsidRPr="001839C2">
        <w:rPr>
          <w:snapToGrid/>
          <w:szCs w:val="22"/>
          <w:lang w:val="lt-LT"/>
        </w:rPr>
        <w:t>dalomojoje</w:t>
      </w:r>
      <w:r w:rsidR="002A5F50" w:rsidRPr="001839C2">
        <w:rPr>
          <w:snapToGrid/>
          <w:szCs w:val="22"/>
          <w:lang w:val="lt-LT"/>
        </w:rPr>
        <w:t xml:space="preserve"> lizdinėje plokštelėje.</w:t>
      </w:r>
    </w:p>
    <w:p w14:paraId="6EE2D323"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0ECAE758" w14:textId="77777777" w:rsidR="00295170" w:rsidRPr="001839C2" w:rsidRDefault="002A5F50" w:rsidP="002A5F50">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Registruotojas ir gamintojas</w:t>
      </w:r>
    </w:p>
    <w:p w14:paraId="1919D7BD" w14:textId="77777777" w:rsidR="002A5F50" w:rsidRPr="001839C2" w:rsidRDefault="002A5F50" w:rsidP="002A5F50">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p>
    <w:p w14:paraId="0F762D0E"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bCs/>
          <w:i/>
          <w:snapToGrid/>
          <w:szCs w:val="22"/>
          <w:lang w:val="lt-LT" w:eastAsia="en-IN"/>
        </w:rPr>
      </w:pPr>
      <w:r w:rsidRPr="001839C2">
        <w:rPr>
          <w:rFonts w:eastAsiaTheme="minorEastAsia"/>
          <w:bCs/>
          <w:i/>
          <w:snapToGrid/>
          <w:szCs w:val="22"/>
          <w:lang w:val="lt-LT" w:eastAsia="en-IN"/>
        </w:rPr>
        <w:t>Registruotojas</w:t>
      </w:r>
    </w:p>
    <w:p w14:paraId="43AB18D3"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bookmarkStart w:id="1" w:name="_Hlk528762865"/>
      <w:r w:rsidRPr="001839C2">
        <w:rPr>
          <w:rFonts w:eastAsiaTheme="minorEastAsia"/>
          <w:snapToGrid/>
          <w:szCs w:val="22"/>
          <w:lang w:val="lt-LT" w:eastAsia="en-IN"/>
        </w:rPr>
        <w:t>Accord Healthcare B.V.</w:t>
      </w:r>
    </w:p>
    <w:p w14:paraId="15E42CF9"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Winthontlaan</w:t>
      </w:r>
      <w:r w:rsidR="00F14B85" w:rsidRPr="001839C2">
        <w:rPr>
          <w:rFonts w:eastAsiaTheme="minorEastAsia"/>
          <w:snapToGrid/>
          <w:szCs w:val="22"/>
          <w:lang w:val="lt-LT" w:eastAsia="en-IN"/>
        </w:rPr>
        <w:t> </w:t>
      </w:r>
      <w:r w:rsidRPr="001839C2">
        <w:rPr>
          <w:rFonts w:eastAsiaTheme="minorEastAsia"/>
          <w:snapToGrid/>
          <w:szCs w:val="22"/>
          <w:lang w:val="lt-LT" w:eastAsia="en-IN"/>
        </w:rPr>
        <w:t>200</w:t>
      </w:r>
    </w:p>
    <w:p w14:paraId="6D9E0985"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3526</w:t>
      </w:r>
      <w:r w:rsidR="00F14B85" w:rsidRPr="001839C2">
        <w:rPr>
          <w:rFonts w:eastAsiaTheme="minorEastAsia"/>
          <w:snapToGrid/>
          <w:szCs w:val="22"/>
          <w:lang w:val="lt-LT" w:eastAsia="en-IN"/>
        </w:rPr>
        <w:t> </w:t>
      </w:r>
      <w:r w:rsidRPr="001839C2">
        <w:rPr>
          <w:rFonts w:eastAsiaTheme="minorEastAsia"/>
          <w:snapToGrid/>
          <w:szCs w:val="22"/>
          <w:lang w:val="lt-LT" w:eastAsia="en-IN"/>
        </w:rPr>
        <w:t>KV</w:t>
      </w:r>
      <w:r w:rsidR="00F14B85" w:rsidRPr="001839C2">
        <w:rPr>
          <w:rFonts w:eastAsiaTheme="minorEastAsia"/>
          <w:snapToGrid/>
          <w:szCs w:val="22"/>
          <w:lang w:val="lt-LT" w:eastAsia="en-IN"/>
        </w:rPr>
        <w:t> </w:t>
      </w:r>
      <w:r w:rsidRPr="001839C2">
        <w:rPr>
          <w:rFonts w:eastAsiaTheme="minorEastAsia"/>
          <w:snapToGrid/>
          <w:szCs w:val="22"/>
          <w:lang w:val="lt-LT" w:eastAsia="en-IN"/>
        </w:rPr>
        <w:t>Utrecht</w:t>
      </w:r>
    </w:p>
    <w:p w14:paraId="62E034F1"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Nyderlandai</w:t>
      </w:r>
    </w:p>
    <w:bookmarkEnd w:id="1"/>
    <w:p w14:paraId="4E5BE4AE"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3660CCF7"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i/>
          <w:snapToGrid/>
          <w:szCs w:val="22"/>
          <w:lang w:val="lt-LT" w:eastAsia="en-IN"/>
        </w:rPr>
      </w:pPr>
      <w:r w:rsidRPr="001839C2">
        <w:rPr>
          <w:rFonts w:eastAsiaTheme="minorEastAsia"/>
          <w:i/>
          <w:snapToGrid/>
          <w:szCs w:val="22"/>
          <w:lang w:val="lt-LT" w:eastAsia="en-IN"/>
        </w:rPr>
        <w:t>Gamintojas</w:t>
      </w:r>
    </w:p>
    <w:p w14:paraId="04454959"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Pharmadox Healthcare Ltd.</w:t>
      </w:r>
    </w:p>
    <w:p w14:paraId="711B9FD0"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KW20A Kordin Industrial Park</w:t>
      </w:r>
    </w:p>
    <w:p w14:paraId="4BCEEF84" w14:textId="77777777" w:rsidR="004066F4"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Paola, PLA</w:t>
      </w:r>
      <w:r w:rsidR="00F14B85" w:rsidRPr="001839C2">
        <w:rPr>
          <w:rFonts w:eastAsiaTheme="minorEastAsia"/>
          <w:snapToGrid/>
          <w:szCs w:val="22"/>
          <w:lang w:val="lt-LT" w:eastAsia="en-IN"/>
        </w:rPr>
        <w:t> </w:t>
      </w:r>
      <w:r w:rsidRPr="001839C2">
        <w:rPr>
          <w:rFonts w:eastAsiaTheme="minorEastAsia"/>
          <w:snapToGrid/>
          <w:szCs w:val="22"/>
          <w:lang w:val="lt-LT" w:eastAsia="en-IN"/>
        </w:rPr>
        <w:t>3000</w:t>
      </w:r>
    </w:p>
    <w:p w14:paraId="5CC765A8"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Malta</w:t>
      </w:r>
    </w:p>
    <w:p w14:paraId="6893BB8A"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068E915A" w14:textId="77777777" w:rsidR="004066F4" w:rsidRPr="001839C2" w:rsidRDefault="004066F4"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arba</w:t>
      </w:r>
    </w:p>
    <w:p w14:paraId="266AD29C" w14:textId="77777777" w:rsidR="004066F4" w:rsidRPr="001839C2" w:rsidRDefault="004066F4"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6B1E64E4"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LABORATORI FUNDACIÓ DAU</w:t>
      </w:r>
    </w:p>
    <w:p w14:paraId="08115DD7"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C/C, 12</w:t>
      </w:r>
      <w:r w:rsidR="00F14B85" w:rsidRPr="001839C2">
        <w:rPr>
          <w:rFonts w:eastAsiaTheme="minorEastAsia"/>
          <w:snapToGrid/>
          <w:szCs w:val="22"/>
          <w:lang w:val="lt-LT" w:eastAsia="en-IN"/>
        </w:rPr>
        <w:noBreakHyphen/>
      </w:r>
      <w:r w:rsidRPr="001839C2">
        <w:rPr>
          <w:rFonts w:eastAsiaTheme="minorEastAsia"/>
          <w:snapToGrid/>
          <w:szCs w:val="22"/>
          <w:lang w:val="lt-LT" w:eastAsia="en-IN"/>
        </w:rPr>
        <w:t>14 Pol. Ind. Zona Franca</w:t>
      </w:r>
    </w:p>
    <w:p w14:paraId="1D49C0DF" w14:textId="77777777" w:rsidR="004066F4"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Barcelona,</w:t>
      </w:r>
      <w:r w:rsidR="00E57428" w:rsidRPr="001839C2">
        <w:rPr>
          <w:rFonts w:eastAsiaTheme="minorEastAsia"/>
          <w:snapToGrid/>
          <w:szCs w:val="22"/>
          <w:lang w:val="lt-LT" w:eastAsia="en-IN"/>
        </w:rPr>
        <w:t xml:space="preserve"> </w:t>
      </w:r>
      <w:r w:rsidRPr="001839C2">
        <w:rPr>
          <w:rFonts w:eastAsiaTheme="minorEastAsia"/>
          <w:snapToGrid/>
          <w:szCs w:val="22"/>
          <w:lang w:val="lt-LT" w:eastAsia="en-IN"/>
        </w:rPr>
        <w:t>08040</w:t>
      </w:r>
    </w:p>
    <w:p w14:paraId="3178F498"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Ispanija</w:t>
      </w:r>
    </w:p>
    <w:p w14:paraId="084C2CEF"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6D648BC3" w14:textId="501D81EC" w:rsidR="002A5F50" w:rsidRPr="001839C2" w:rsidRDefault="002A5F50" w:rsidP="0044686F">
      <w:pPr>
        <w:keepNext/>
        <w:keepLines/>
        <w:tabs>
          <w:tab w:val="clear" w:pos="567"/>
          <w:tab w:val="center" w:pos="4513"/>
        </w:tabs>
        <w:autoSpaceDE w:val="0"/>
        <w:autoSpaceDN w:val="0"/>
        <w:adjustRightInd w:val="0"/>
        <w:rPr>
          <w:rFonts w:eastAsiaTheme="minorEastAsia"/>
          <w:snapToGrid/>
          <w:szCs w:val="22"/>
          <w:lang w:val="lt-LT" w:eastAsia="en-IN"/>
        </w:rPr>
      </w:pPr>
      <w:r w:rsidRPr="001839C2">
        <w:rPr>
          <w:rFonts w:eastAsiaTheme="minorEastAsia"/>
          <w:b/>
          <w:snapToGrid/>
          <w:szCs w:val="22"/>
          <w:lang w:val="lt-LT" w:eastAsia="en-IN"/>
        </w:rPr>
        <w:t xml:space="preserve">Šis vaistas </w:t>
      </w:r>
      <w:r w:rsidR="00366CCB" w:rsidRPr="001839C2">
        <w:rPr>
          <w:rFonts w:eastAsiaTheme="minorEastAsia"/>
          <w:b/>
          <w:snapToGrid/>
          <w:szCs w:val="22"/>
          <w:lang w:val="lt-LT" w:eastAsia="en-IN"/>
        </w:rPr>
        <w:t xml:space="preserve">Europos ekonominės erdvės </w:t>
      </w:r>
      <w:r w:rsidRPr="001839C2">
        <w:rPr>
          <w:rFonts w:eastAsiaTheme="minorEastAsia"/>
          <w:b/>
          <w:snapToGrid/>
          <w:szCs w:val="22"/>
          <w:lang w:val="lt-LT" w:eastAsia="en-IN"/>
        </w:rPr>
        <w:t xml:space="preserve">valstybėse narėse </w:t>
      </w:r>
      <w:r w:rsidR="00366CCB" w:rsidRPr="001839C2">
        <w:rPr>
          <w:rFonts w:eastAsiaTheme="minorEastAsia"/>
          <w:b/>
          <w:snapToGrid/>
          <w:szCs w:val="22"/>
          <w:lang w:val="lt-LT" w:eastAsia="en-IN"/>
        </w:rPr>
        <w:t xml:space="preserve">ir Jungtinėje Karalystėje (Šiaurės Airijoje) </w:t>
      </w:r>
      <w:r w:rsidRPr="001839C2">
        <w:rPr>
          <w:rFonts w:eastAsiaTheme="minorEastAsia"/>
          <w:b/>
          <w:snapToGrid/>
          <w:szCs w:val="22"/>
          <w:lang w:val="lt-LT" w:eastAsia="en-IN"/>
        </w:rPr>
        <w:t>registruotas tokiais pavadinimais</w:t>
      </w:r>
      <w:r w:rsidRPr="001839C2">
        <w:rPr>
          <w:rFonts w:eastAsiaTheme="minorEastAsia"/>
          <w:b/>
          <w:lang w:val="lt-LT"/>
        </w:rPr>
        <w:t>:</w:t>
      </w:r>
    </w:p>
    <w:p w14:paraId="7BEDCEB6" w14:textId="77777777" w:rsidR="003274CF" w:rsidRPr="001839C2" w:rsidRDefault="003274CF" w:rsidP="0044686F">
      <w:pPr>
        <w:keepNext/>
        <w:keepLines/>
        <w:tabs>
          <w:tab w:val="clear" w:pos="567"/>
          <w:tab w:val="center" w:pos="4513"/>
        </w:tabs>
        <w:autoSpaceDE w:val="0"/>
        <w:autoSpaceDN w:val="0"/>
        <w:adjustRightInd w:val="0"/>
        <w:rPr>
          <w:rFonts w:eastAsiaTheme="minorEastAsia"/>
          <w:snapToGrid/>
          <w:szCs w:val="22"/>
          <w:lang w:val="lt-LT" w:eastAsia="en-IN"/>
        </w:rPr>
      </w:pPr>
    </w:p>
    <w:tbl>
      <w:tblPr>
        <w:tblStyle w:val="TableGrid1"/>
        <w:tblpPr w:leftFromText="180" w:rightFromText="180" w:vertAnchor="text" w:tblpY="1"/>
        <w:tblOverlap w:val="never"/>
        <w:tblW w:w="9351" w:type="dxa"/>
        <w:tblLayout w:type="fixed"/>
        <w:tblLook w:val="04A0" w:firstRow="1" w:lastRow="0" w:firstColumn="1" w:lastColumn="0" w:noHBand="0" w:noVBand="1"/>
      </w:tblPr>
      <w:tblGrid>
        <w:gridCol w:w="1980"/>
        <w:gridCol w:w="7371"/>
      </w:tblGrid>
      <w:tr w:rsidR="00DC41B7" w:rsidRPr="001839C2" w14:paraId="5175B3FF" w14:textId="77777777" w:rsidTr="00B2238B">
        <w:tc>
          <w:tcPr>
            <w:tcW w:w="1980" w:type="dxa"/>
            <w:hideMark/>
          </w:tcPr>
          <w:p w14:paraId="4552A7DC" w14:textId="0947020D" w:rsidR="002A5F50" w:rsidRPr="001839C2" w:rsidRDefault="002A5F50" w:rsidP="0044686F">
            <w:pPr>
              <w:keepNext/>
              <w:keepLines/>
              <w:tabs>
                <w:tab w:val="clear" w:pos="567"/>
              </w:tabs>
              <w:kinsoku w:val="0"/>
              <w:overflowPunct w:val="0"/>
              <w:autoSpaceDE w:val="0"/>
              <w:autoSpaceDN w:val="0"/>
              <w:adjustRightInd w:val="0"/>
              <w:ind w:right="108"/>
              <w:rPr>
                <w:rFonts w:eastAsiaTheme="minorEastAsia"/>
                <w:b/>
                <w:szCs w:val="22"/>
                <w:lang w:val="lt-LT" w:eastAsia="en-IN"/>
              </w:rPr>
            </w:pPr>
            <w:r w:rsidRPr="001839C2">
              <w:rPr>
                <w:rFonts w:eastAsiaTheme="minorEastAsia"/>
                <w:b/>
                <w:szCs w:val="22"/>
                <w:lang w:val="lt-LT" w:eastAsia="en-IN"/>
              </w:rPr>
              <w:t>Valstybės narės pavadinima</w:t>
            </w:r>
            <w:r w:rsidR="00762C3C" w:rsidRPr="001839C2">
              <w:rPr>
                <w:rFonts w:eastAsiaTheme="minorEastAsia"/>
                <w:b/>
                <w:szCs w:val="22"/>
                <w:lang w:val="lt-LT" w:eastAsia="en-IN"/>
              </w:rPr>
              <w:t>s</w:t>
            </w:r>
          </w:p>
        </w:tc>
        <w:tc>
          <w:tcPr>
            <w:tcW w:w="7371" w:type="dxa"/>
            <w:hideMark/>
          </w:tcPr>
          <w:p w14:paraId="0EFE6BAE" w14:textId="77777777" w:rsidR="002A5F50" w:rsidRPr="001839C2" w:rsidRDefault="002A5F50" w:rsidP="0044686F">
            <w:pPr>
              <w:keepNext/>
              <w:keepLines/>
              <w:tabs>
                <w:tab w:val="clear" w:pos="567"/>
              </w:tabs>
              <w:kinsoku w:val="0"/>
              <w:overflowPunct w:val="0"/>
              <w:autoSpaceDE w:val="0"/>
              <w:autoSpaceDN w:val="0"/>
              <w:adjustRightInd w:val="0"/>
              <w:ind w:right="108"/>
              <w:rPr>
                <w:rFonts w:eastAsiaTheme="minorEastAsia"/>
                <w:b/>
                <w:szCs w:val="22"/>
                <w:lang w:val="lt-LT" w:eastAsia="en-IN"/>
              </w:rPr>
            </w:pPr>
            <w:r w:rsidRPr="001839C2">
              <w:rPr>
                <w:rFonts w:eastAsiaTheme="minorEastAsia"/>
                <w:b/>
                <w:szCs w:val="22"/>
                <w:lang w:val="lt-LT" w:eastAsia="en-IN"/>
              </w:rPr>
              <w:t>Vaisto pavadinimas</w:t>
            </w:r>
          </w:p>
        </w:tc>
      </w:tr>
      <w:tr w:rsidR="00DC41B7" w:rsidRPr="001839C2" w14:paraId="1CEACEC5" w14:textId="77777777" w:rsidTr="00B2238B">
        <w:tc>
          <w:tcPr>
            <w:tcW w:w="1980" w:type="dxa"/>
            <w:hideMark/>
          </w:tcPr>
          <w:p w14:paraId="2B8729E9"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Nyderlandai</w:t>
            </w:r>
          </w:p>
        </w:tc>
        <w:tc>
          <w:tcPr>
            <w:tcW w:w="7371" w:type="dxa"/>
            <w:hideMark/>
          </w:tcPr>
          <w:p w14:paraId="7B5F952D"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filmomhulde tabletten</w:t>
            </w:r>
          </w:p>
        </w:tc>
      </w:tr>
      <w:tr w:rsidR="00DC41B7" w:rsidRPr="001839C2" w14:paraId="4E20FDF9" w14:textId="77777777" w:rsidTr="00B2238B">
        <w:tc>
          <w:tcPr>
            <w:tcW w:w="1980" w:type="dxa"/>
            <w:hideMark/>
          </w:tcPr>
          <w:p w14:paraId="770B12EF"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Austrija</w:t>
            </w:r>
          </w:p>
        </w:tc>
        <w:tc>
          <w:tcPr>
            <w:tcW w:w="7371" w:type="dxa"/>
            <w:hideMark/>
          </w:tcPr>
          <w:p w14:paraId="7EE263F1"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Filmtabletten</w:t>
            </w:r>
          </w:p>
        </w:tc>
      </w:tr>
      <w:tr w:rsidR="00DC41B7" w:rsidRPr="001839C2" w14:paraId="5FC3979E" w14:textId="77777777" w:rsidTr="00B2238B">
        <w:tc>
          <w:tcPr>
            <w:tcW w:w="1980" w:type="dxa"/>
            <w:hideMark/>
          </w:tcPr>
          <w:p w14:paraId="62BC292C"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Danija</w:t>
            </w:r>
          </w:p>
        </w:tc>
        <w:tc>
          <w:tcPr>
            <w:tcW w:w="7371" w:type="dxa"/>
            <w:hideMark/>
          </w:tcPr>
          <w:p w14:paraId="67847684"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filmovertrukne tabletter</w:t>
            </w:r>
          </w:p>
        </w:tc>
      </w:tr>
      <w:tr w:rsidR="00DC41B7" w:rsidRPr="001839C2" w14:paraId="61F1F31E" w14:textId="77777777" w:rsidTr="00B2238B">
        <w:tc>
          <w:tcPr>
            <w:tcW w:w="1980" w:type="dxa"/>
            <w:hideMark/>
          </w:tcPr>
          <w:p w14:paraId="6D9C774A"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Estija</w:t>
            </w:r>
          </w:p>
        </w:tc>
        <w:tc>
          <w:tcPr>
            <w:tcW w:w="7371" w:type="dxa"/>
            <w:hideMark/>
          </w:tcPr>
          <w:p w14:paraId="26994B7E"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w:t>
            </w:r>
          </w:p>
        </w:tc>
      </w:tr>
      <w:tr w:rsidR="00DC41B7" w:rsidRPr="00686907" w14:paraId="6D497463" w14:textId="77777777" w:rsidTr="00B2238B">
        <w:tc>
          <w:tcPr>
            <w:tcW w:w="1980" w:type="dxa"/>
            <w:hideMark/>
          </w:tcPr>
          <w:p w14:paraId="1A08B7A4"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Suomija</w:t>
            </w:r>
          </w:p>
        </w:tc>
        <w:tc>
          <w:tcPr>
            <w:tcW w:w="7371" w:type="dxa"/>
            <w:hideMark/>
          </w:tcPr>
          <w:p w14:paraId="5B79DE13"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tabletti, kalvopäällysteinen</w:t>
            </w:r>
          </w:p>
        </w:tc>
      </w:tr>
      <w:tr w:rsidR="00DC41B7" w:rsidRPr="00686907" w14:paraId="138CE201" w14:textId="77777777" w:rsidTr="00B2238B">
        <w:tc>
          <w:tcPr>
            <w:tcW w:w="1980" w:type="dxa"/>
            <w:hideMark/>
          </w:tcPr>
          <w:p w14:paraId="3602F2FA"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Islandija</w:t>
            </w:r>
          </w:p>
        </w:tc>
        <w:tc>
          <w:tcPr>
            <w:tcW w:w="7371" w:type="dxa"/>
            <w:hideMark/>
          </w:tcPr>
          <w:p w14:paraId="2A3021C9"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Filmuhúðuð tafla</w:t>
            </w:r>
          </w:p>
        </w:tc>
      </w:tr>
      <w:tr w:rsidR="00DC41B7" w:rsidRPr="001839C2" w14:paraId="6256E32A" w14:textId="77777777" w:rsidTr="00B2238B">
        <w:tc>
          <w:tcPr>
            <w:tcW w:w="1980" w:type="dxa"/>
            <w:hideMark/>
          </w:tcPr>
          <w:p w14:paraId="1EC70CDE"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Lietuva</w:t>
            </w:r>
          </w:p>
        </w:tc>
        <w:tc>
          <w:tcPr>
            <w:tcW w:w="7371" w:type="dxa"/>
            <w:hideMark/>
          </w:tcPr>
          <w:p w14:paraId="55456595"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plėvele dengtos tabletės</w:t>
            </w:r>
          </w:p>
        </w:tc>
      </w:tr>
      <w:tr w:rsidR="00DC41B7" w:rsidRPr="001839C2" w14:paraId="3F2AE1CD" w14:textId="77777777" w:rsidTr="00B2238B">
        <w:tc>
          <w:tcPr>
            <w:tcW w:w="1980" w:type="dxa"/>
            <w:hideMark/>
          </w:tcPr>
          <w:p w14:paraId="3A559A86"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Latvija</w:t>
            </w:r>
          </w:p>
        </w:tc>
        <w:tc>
          <w:tcPr>
            <w:tcW w:w="7371" w:type="dxa"/>
            <w:hideMark/>
          </w:tcPr>
          <w:p w14:paraId="0115DF79"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apvalkotās tabletes</w:t>
            </w:r>
          </w:p>
        </w:tc>
      </w:tr>
      <w:tr w:rsidR="00DC41B7" w:rsidRPr="001839C2" w14:paraId="40922367" w14:textId="77777777" w:rsidTr="00B2238B">
        <w:tc>
          <w:tcPr>
            <w:tcW w:w="1980" w:type="dxa"/>
            <w:hideMark/>
          </w:tcPr>
          <w:p w14:paraId="6B253BD4"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Norvegija</w:t>
            </w:r>
          </w:p>
        </w:tc>
        <w:tc>
          <w:tcPr>
            <w:tcW w:w="7371" w:type="dxa"/>
            <w:hideMark/>
          </w:tcPr>
          <w:p w14:paraId="0E752ED4"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w:t>
            </w:r>
          </w:p>
        </w:tc>
      </w:tr>
      <w:tr w:rsidR="00DC41B7" w:rsidRPr="001839C2" w14:paraId="1F16360E" w14:textId="77777777" w:rsidTr="00B2238B">
        <w:tc>
          <w:tcPr>
            <w:tcW w:w="1980" w:type="dxa"/>
            <w:hideMark/>
          </w:tcPr>
          <w:p w14:paraId="4164FC96"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Švedija</w:t>
            </w:r>
          </w:p>
        </w:tc>
        <w:tc>
          <w:tcPr>
            <w:tcW w:w="7371" w:type="dxa"/>
            <w:hideMark/>
          </w:tcPr>
          <w:p w14:paraId="5A3ADBFC"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filmdragerad tablet</w:t>
            </w:r>
          </w:p>
        </w:tc>
      </w:tr>
      <w:tr w:rsidR="00DC41B7" w:rsidRPr="001839C2" w14:paraId="2756DBB1" w14:textId="77777777" w:rsidTr="00B2238B">
        <w:tc>
          <w:tcPr>
            <w:tcW w:w="1980" w:type="dxa"/>
            <w:hideMark/>
          </w:tcPr>
          <w:p w14:paraId="322472F4"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lastRenderedPageBreak/>
              <w:t>Kipras</w:t>
            </w:r>
          </w:p>
        </w:tc>
        <w:tc>
          <w:tcPr>
            <w:tcW w:w="7371" w:type="dxa"/>
            <w:hideMark/>
          </w:tcPr>
          <w:p w14:paraId="3B5AD980"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film</w:t>
            </w:r>
            <w:r w:rsidR="00F14B85" w:rsidRPr="001839C2">
              <w:rPr>
                <w:rFonts w:eastAsiaTheme="minorEastAsia"/>
                <w:szCs w:val="22"/>
                <w:lang w:val="lt-LT" w:eastAsia="en-IN"/>
              </w:rPr>
              <w:noBreakHyphen/>
            </w:r>
            <w:r w:rsidRPr="001839C2">
              <w:rPr>
                <w:rFonts w:eastAsiaTheme="minorEastAsia"/>
                <w:szCs w:val="22"/>
                <w:lang w:val="lt-LT" w:eastAsia="en-IN"/>
              </w:rPr>
              <w:t>coated tablets</w:t>
            </w:r>
          </w:p>
        </w:tc>
      </w:tr>
      <w:tr w:rsidR="00DC41B7" w:rsidRPr="00686907" w14:paraId="31F1A1D7" w14:textId="77777777" w:rsidTr="00B2238B">
        <w:tc>
          <w:tcPr>
            <w:tcW w:w="1980" w:type="dxa"/>
            <w:hideMark/>
          </w:tcPr>
          <w:p w14:paraId="4A36E71F"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Italija</w:t>
            </w:r>
          </w:p>
        </w:tc>
        <w:tc>
          <w:tcPr>
            <w:tcW w:w="7371" w:type="dxa"/>
            <w:hideMark/>
          </w:tcPr>
          <w:p w14:paraId="374D7797"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Emtricitabina e Tenofovir Disoproxil Accordpharma</w:t>
            </w:r>
          </w:p>
        </w:tc>
      </w:tr>
      <w:tr w:rsidR="00DC41B7" w:rsidRPr="00686907" w14:paraId="558FD258" w14:textId="77777777" w:rsidTr="00B2238B">
        <w:tc>
          <w:tcPr>
            <w:tcW w:w="1980" w:type="dxa"/>
            <w:hideMark/>
          </w:tcPr>
          <w:p w14:paraId="1DDA819C"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Ispanija</w:t>
            </w:r>
          </w:p>
        </w:tc>
        <w:tc>
          <w:tcPr>
            <w:tcW w:w="7371" w:type="dxa"/>
            <w:hideMark/>
          </w:tcPr>
          <w:p w14:paraId="62AB029B"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comprimidos recubiertos con película</w:t>
            </w:r>
          </w:p>
        </w:tc>
      </w:tr>
      <w:tr w:rsidR="00DC41B7" w:rsidRPr="001839C2" w14:paraId="450D7DB2" w14:textId="77777777" w:rsidTr="00B2238B">
        <w:tc>
          <w:tcPr>
            <w:tcW w:w="1980" w:type="dxa"/>
            <w:hideMark/>
          </w:tcPr>
          <w:p w14:paraId="0985523D"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Bulgarija</w:t>
            </w:r>
          </w:p>
        </w:tc>
        <w:tc>
          <w:tcPr>
            <w:tcW w:w="7371" w:type="dxa"/>
            <w:hideMark/>
          </w:tcPr>
          <w:p w14:paraId="5AB0A096"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film</w:t>
            </w:r>
            <w:r w:rsidR="00F14B85" w:rsidRPr="001839C2">
              <w:rPr>
                <w:rFonts w:eastAsiaTheme="minorEastAsia"/>
                <w:szCs w:val="22"/>
                <w:lang w:val="lt-LT" w:eastAsia="en-IN"/>
              </w:rPr>
              <w:noBreakHyphen/>
            </w:r>
            <w:r w:rsidRPr="001839C2">
              <w:rPr>
                <w:rFonts w:eastAsiaTheme="minorEastAsia"/>
                <w:szCs w:val="22"/>
                <w:lang w:val="lt-LT" w:eastAsia="en-IN"/>
              </w:rPr>
              <w:t>coated tablets</w:t>
            </w:r>
          </w:p>
        </w:tc>
      </w:tr>
      <w:tr w:rsidR="00DC41B7" w:rsidRPr="001839C2" w14:paraId="2CA5129C" w14:textId="77777777" w:rsidTr="00B2238B">
        <w:tc>
          <w:tcPr>
            <w:tcW w:w="1980" w:type="dxa"/>
            <w:hideMark/>
          </w:tcPr>
          <w:p w14:paraId="319C0263"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Čekija</w:t>
            </w:r>
          </w:p>
        </w:tc>
        <w:tc>
          <w:tcPr>
            <w:tcW w:w="7371" w:type="dxa"/>
            <w:hideMark/>
          </w:tcPr>
          <w:p w14:paraId="491458F2"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w:t>
            </w:r>
          </w:p>
        </w:tc>
      </w:tr>
      <w:tr w:rsidR="00DC41B7" w:rsidRPr="001839C2" w14:paraId="1DF347DB" w14:textId="77777777" w:rsidTr="00B2238B">
        <w:tc>
          <w:tcPr>
            <w:tcW w:w="1980" w:type="dxa"/>
            <w:hideMark/>
          </w:tcPr>
          <w:p w14:paraId="53C7A437"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Vengrija</w:t>
            </w:r>
          </w:p>
        </w:tc>
        <w:tc>
          <w:tcPr>
            <w:tcW w:w="7371" w:type="dxa"/>
            <w:hideMark/>
          </w:tcPr>
          <w:p w14:paraId="2CF3BF01"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filmtabletta</w:t>
            </w:r>
          </w:p>
        </w:tc>
      </w:tr>
      <w:tr w:rsidR="00DC41B7" w:rsidRPr="001839C2" w14:paraId="117C719C" w14:textId="77777777" w:rsidTr="00B2238B">
        <w:tc>
          <w:tcPr>
            <w:tcW w:w="1980" w:type="dxa"/>
            <w:hideMark/>
          </w:tcPr>
          <w:p w14:paraId="191862C5"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Lenkija</w:t>
            </w:r>
          </w:p>
        </w:tc>
        <w:tc>
          <w:tcPr>
            <w:tcW w:w="7371" w:type="dxa"/>
            <w:hideMark/>
          </w:tcPr>
          <w:p w14:paraId="5791DA9C"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 + Tenofovir disoproxil Accordpharma</w:t>
            </w:r>
          </w:p>
        </w:tc>
      </w:tr>
      <w:tr w:rsidR="00DC41B7" w:rsidRPr="00686907" w14:paraId="56A00005" w14:textId="77777777" w:rsidTr="00B2238B">
        <w:tc>
          <w:tcPr>
            <w:tcW w:w="1980" w:type="dxa"/>
            <w:hideMark/>
          </w:tcPr>
          <w:p w14:paraId="6E1F2677"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Rumunija</w:t>
            </w:r>
          </w:p>
        </w:tc>
        <w:tc>
          <w:tcPr>
            <w:tcW w:w="7371" w:type="dxa"/>
            <w:hideMark/>
          </w:tcPr>
          <w:p w14:paraId="3C13974C"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Emtricitabina/Tenofovir disoproxil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comprimate filmate</w:t>
            </w:r>
          </w:p>
        </w:tc>
      </w:tr>
      <w:tr w:rsidR="00DC41B7" w:rsidRPr="001839C2" w14:paraId="72026BBE" w14:textId="77777777" w:rsidTr="00B2238B">
        <w:tc>
          <w:tcPr>
            <w:tcW w:w="1980" w:type="dxa"/>
            <w:hideMark/>
          </w:tcPr>
          <w:p w14:paraId="532DAF9C"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Slovėnija</w:t>
            </w:r>
          </w:p>
        </w:tc>
        <w:tc>
          <w:tcPr>
            <w:tcW w:w="7371" w:type="dxa"/>
            <w:hideMark/>
          </w:tcPr>
          <w:p w14:paraId="1AB6CDD0" w14:textId="77777777" w:rsidR="002A5F50" w:rsidRPr="001839C2" w:rsidRDefault="002A5F50"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Emtricitabin/dizoproksiltenofovirat Accordpharma 200</w:t>
            </w:r>
            <w:r w:rsidR="00F14B85" w:rsidRPr="001839C2">
              <w:rPr>
                <w:rFonts w:eastAsiaTheme="minorEastAsia"/>
                <w:szCs w:val="22"/>
                <w:lang w:val="lt-LT" w:eastAsia="en-IN"/>
              </w:rPr>
              <w:t> </w:t>
            </w:r>
            <w:r w:rsidRPr="001839C2">
              <w:rPr>
                <w:rFonts w:eastAsiaTheme="minorEastAsia"/>
                <w:szCs w:val="22"/>
                <w:lang w:val="lt-LT" w:eastAsia="en-IN"/>
              </w:rPr>
              <w:t>mg/245</w:t>
            </w:r>
            <w:r w:rsidR="00F14B85" w:rsidRPr="001839C2">
              <w:rPr>
                <w:rFonts w:eastAsiaTheme="minorEastAsia"/>
                <w:szCs w:val="22"/>
                <w:lang w:val="lt-LT" w:eastAsia="en-IN"/>
              </w:rPr>
              <w:t> </w:t>
            </w:r>
            <w:r w:rsidRPr="001839C2">
              <w:rPr>
                <w:rFonts w:eastAsiaTheme="minorEastAsia"/>
                <w:szCs w:val="22"/>
                <w:lang w:val="lt-LT" w:eastAsia="en-IN"/>
              </w:rPr>
              <w:t>mg filmsko obložene tablete</w:t>
            </w:r>
          </w:p>
        </w:tc>
      </w:tr>
      <w:tr w:rsidR="00DC41B7" w:rsidRPr="001839C2" w14:paraId="50A808FE" w14:textId="77777777" w:rsidTr="00B2238B">
        <w:tc>
          <w:tcPr>
            <w:tcW w:w="1980" w:type="dxa"/>
          </w:tcPr>
          <w:p w14:paraId="61EC474A" w14:textId="77777777" w:rsidR="002A5F50" w:rsidRPr="001839C2" w:rsidRDefault="00F14B85"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Airija</w:t>
            </w:r>
          </w:p>
        </w:tc>
        <w:tc>
          <w:tcPr>
            <w:tcW w:w="7371" w:type="dxa"/>
          </w:tcPr>
          <w:p w14:paraId="4077D80C" w14:textId="77777777" w:rsidR="002A5F50" w:rsidRPr="001839C2" w:rsidRDefault="00F14B85"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 mg/245 mg film</w:t>
            </w:r>
            <w:r w:rsidRPr="001839C2">
              <w:rPr>
                <w:rFonts w:eastAsiaTheme="minorEastAsia"/>
                <w:szCs w:val="22"/>
                <w:lang w:val="lt-LT" w:eastAsia="en-IN"/>
              </w:rPr>
              <w:noBreakHyphen/>
              <w:t>coated tablets</w:t>
            </w:r>
          </w:p>
        </w:tc>
      </w:tr>
      <w:tr w:rsidR="00DC41B7" w:rsidRPr="001839C2" w14:paraId="63BA0136" w14:textId="77777777" w:rsidTr="00B2238B">
        <w:tc>
          <w:tcPr>
            <w:tcW w:w="1980" w:type="dxa"/>
          </w:tcPr>
          <w:p w14:paraId="7739E40E" w14:textId="77777777" w:rsidR="002A5F50" w:rsidRPr="001839C2" w:rsidRDefault="00F14B85"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Jungtinė Karalystė</w:t>
            </w:r>
          </w:p>
          <w:p w14:paraId="596DE0CC" w14:textId="1CBDF0D7" w:rsidR="00366CCB" w:rsidRPr="001839C2" w:rsidRDefault="00366CCB"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(Šiaurės Airija)</w:t>
            </w:r>
          </w:p>
        </w:tc>
        <w:tc>
          <w:tcPr>
            <w:tcW w:w="7371" w:type="dxa"/>
          </w:tcPr>
          <w:p w14:paraId="6755DADB" w14:textId="77777777" w:rsidR="002A5F50" w:rsidRPr="001839C2" w:rsidRDefault="00F14B85" w:rsidP="00230559">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Emtricitabine/Tenofovir disoproxil Accordpharma 200 mg/245 mg film</w:t>
            </w:r>
            <w:r w:rsidRPr="001839C2">
              <w:rPr>
                <w:rFonts w:eastAsiaTheme="minorEastAsia"/>
                <w:szCs w:val="22"/>
                <w:lang w:val="lt-LT" w:eastAsia="en-IN"/>
              </w:rPr>
              <w:noBreakHyphen/>
              <w:t>coated tablets</w:t>
            </w:r>
          </w:p>
        </w:tc>
      </w:tr>
    </w:tbl>
    <w:p w14:paraId="71CD65E8" w14:textId="77777777" w:rsidR="002A5F50" w:rsidRPr="001839C2" w:rsidRDefault="002A5F50" w:rsidP="002A5F50">
      <w:pPr>
        <w:widowControl w:val="0"/>
        <w:tabs>
          <w:tab w:val="clear" w:pos="567"/>
        </w:tabs>
        <w:kinsoku w:val="0"/>
        <w:overflowPunct w:val="0"/>
        <w:autoSpaceDE w:val="0"/>
        <w:autoSpaceDN w:val="0"/>
        <w:adjustRightInd w:val="0"/>
        <w:rPr>
          <w:rFonts w:eastAsiaTheme="minorEastAsia"/>
          <w:snapToGrid/>
          <w:szCs w:val="22"/>
          <w:lang w:val="lt-LT" w:eastAsia="en-IN"/>
        </w:rPr>
      </w:pPr>
    </w:p>
    <w:p w14:paraId="6FCB67B2" w14:textId="717759D3" w:rsidR="002A5F50" w:rsidRPr="00686907" w:rsidRDefault="002A5F50" w:rsidP="002A5F50">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Šis pakuotės lapelis paskutinį kartą peržiūrėtas</w:t>
      </w:r>
      <w:r w:rsidR="00686907">
        <w:rPr>
          <w:rFonts w:eastAsiaTheme="minorEastAsia"/>
          <w:b/>
          <w:bCs/>
          <w:snapToGrid/>
          <w:szCs w:val="22"/>
          <w:lang w:val="lt-LT" w:eastAsia="en-IN"/>
        </w:rPr>
        <w:t xml:space="preserve"> </w:t>
      </w:r>
      <w:r w:rsidR="00BC4F0D" w:rsidRPr="00686907">
        <w:rPr>
          <w:rFonts w:eastAsiaTheme="minorEastAsia"/>
          <w:b/>
          <w:bCs/>
          <w:snapToGrid/>
          <w:szCs w:val="22"/>
          <w:lang w:val="lt-LT" w:eastAsia="en-IN"/>
        </w:rPr>
        <w:t>2024-</w:t>
      </w:r>
      <w:r w:rsidR="00A83882">
        <w:rPr>
          <w:rFonts w:eastAsiaTheme="minorEastAsia"/>
          <w:b/>
          <w:bCs/>
          <w:snapToGrid/>
          <w:szCs w:val="22"/>
          <w:lang w:val="lt-LT" w:eastAsia="en-IN"/>
        </w:rPr>
        <w:t>0</w:t>
      </w:r>
      <w:r w:rsidR="00A83882" w:rsidRPr="00686907">
        <w:rPr>
          <w:rFonts w:eastAsiaTheme="minorEastAsia"/>
          <w:b/>
          <w:bCs/>
          <w:snapToGrid/>
          <w:szCs w:val="22"/>
          <w:lang w:val="lt-LT" w:eastAsia="en-IN"/>
        </w:rPr>
        <w:t>8-29.</w:t>
      </w:r>
    </w:p>
    <w:p w14:paraId="6955FF96" w14:textId="77777777" w:rsidR="002A5F50" w:rsidRPr="001839C2" w:rsidRDefault="002A5F50" w:rsidP="002A5F50">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p>
    <w:p w14:paraId="2D930B7A" w14:textId="30368BB0" w:rsidR="00314600" w:rsidRPr="001839C2" w:rsidRDefault="00E57428" w:rsidP="0044686F">
      <w:pPr>
        <w:rPr>
          <w:lang w:val="lt-LT"/>
        </w:rPr>
      </w:pPr>
      <w:r w:rsidRPr="001839C2">
        <w:rPr>
          <w:lang w:val="lt-LT"/>
        </w:rPr>
        <w:t xml:space="preserve">Išsami informacija apie šį vaistą pateikiama Valstybinės vaistų kontrolės tarnybos prie Lietuvos Respublikos sveikatos apsaugos ministerijos tinklalapyje </w:t>
      </w:r>
      <w:r w:rsidR="00FD5EF9" w:rsidRPr="00FD5EF9">
        <w:rPr>
          <w:u w:val="single"/>
          <w:lang w:val="lt-LT"/>
        </w:rPr>
        <w:t>https://vvkt.lrv.lt/lt/</w:t>
      </w:r>
      <w:r w:rsidR="00FD5EF9" w:rsidRPr="00FD5EF9">
        <w:rPr>
          <w:lang w:val="lt-LT"/>
        </w:rPr>
        <w:t>.</w:t>
      </w:r>
    </w:p>
    <w:p w14:paraId="3DD06B8A" w14:textId="3AB65D30" w:rsidR="00D5345C" w:rsidRPr="001839C2" w:rsidRDefault="00D5345C" w:rsidP="0044686F">
      <w:pPr>
        <w:rPr>
          <w:lang w:val="lt-LT"/>
        </w:rPr>
      </w:pPr>
    </w:p>
    <w:p w14:paraId="0121DE3F" w14:textId="77777777" w:rsidR="00D5345C" w:rsidRPr="001839C2" w:rsidRDefault="00D5345C" w:rsidP="0044686F">
      <w:pPr>
        <w:rPr>
          <w:lang w:val="lt-LT"/>
        </w:rPr>
      </w:pPr>
    </w:p>
    <w:sectPr w:rsidR="00D5345C" w:rsidRPr="001839C2" w:rsidSect="00A942AE">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C46E8" w14:textId="77777777" w:rsidR="00A477A5" w:rsidRDefault="00A477A5" w:rsidP="007C4995">
      <w:r>
        <w:separator/>
      </w:r>
    </w:p>
  </w:endnote>
  <w:endnote w:type="continuationSeparator" w:id="0">
    <w:p w14:paraId="4EDCC879" w14:textId="77777777" w:rsidR="00A477A5" w:rsidRDefault="00A477A5" w:rsidP="007C4995">
      <w:r>
        <w:continuationSeparator/>
      </w:r>
    </w:p>
  </w:endnote>
  <w:endnote w:type="continuationNotice" w:id="1">
    <w:p w14:paraId="3455FC43" w14:textId="77777777" w:rsidR="00A477A5" w:rsidRDefault="00A477A5" w:rsidP="007C4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100FFFF" w:usb1="0CF80000" w:usb2="31A70000" w:usb3="04000004" w:csb0="2AB7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349708"/>
      <w:docPartObj>
        <w:docPartGallery w:val="Page Numbers (Bottom of Page)"/>
        <w:docPartUnique/>
      </w:docPartObj>
    </w:sdtPr>
    <w:sdtEndPr/>
    <w:sdtContent>
      <w:p w14:paraId="34DA315A" w14:textId="7A10FBEE" w:rsidR="004D75A0" w:rsidRDefault="004D75A0" w:rsidP="00230559">
        <w:pPr>
          <w:pStyle w:val="Porat"/>
          <w:jc w:val="center"/>
        </w:pPr>
        <w:r w:rsidRPr="00230559">
          <w:fldChar w:fldCharType="begin"/>
        </w:r>
        <w:r w:rsidRPr="00F10E2B">
          <w:rPr>
            <w:sz w:val="22"/>
          </w:rPr>
          <w:instrText>PAGE   \* MERGEFORMAT</w:instrText>
        </w:r>
        <w:r w:rsidRPr="00230559">
          <w:rPr>
            <w:sz w:val="22"/>
          </w:rPr>
          <w:fldChar w:fldCharType="separate"/>
        </w:r>
        <w:r w:rsidR="000A1DD5" w:rsidRPr="000A1DD5">
          <w:rPr>
            <w:noProof/>
            <w:sz w:val="22"/>
            <w:lang w:val="lt-LT"/>
          </w:rPr>
          <w:t>38</w:t>
        </w:r>
        <w:r w:rsidRPr="0023055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B992B" w14:textId="77777777" w:rsidR="00A477A5" w:rsidRDefault="00A477A5" w:rsidP="007C4995">
      <w:r>
        <w:separator/>
      </w:r>
    </w:p>
  </w:footnote>
  <w:footnote w:type="continuationSeparator" w:id="0">
    <w:p w14:paraId="10CA4B55" w14:textId="77777777" w:rsidR="00A477A5" w:rsidRDefault="00A477A5" w:rsidP="007C4995">
      <w:r>
        <w:continuationSeparator/>
      </w:r>
    </w:p>
  </w:footnote>
  <w:footnote w:type="continuationNotice" w:id="1">
    <w:p w14:paraId="394E2F29" w14:textId="77777777" w:rsidR="00A477A5" w:rsidRDefault="00A477A5" w:rsidP="007C49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64F4" w14:textId="77777777" w:rsidR="004D75A0" w:rsidRDefault="004D7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684" w:hanging="567"/>
      </w:pPr>
    </w:lvl>
    <w:lvl w:ilvl="3">
      <w:numFmt w:val="bullet"/>
      <w:lvlText w:val="•"/>
      <w:lvlJc w:val="left"/>
      <w:pPr>
        <w:ind w:left="1742" w:hanging="567"/>
      </w:pPr>
    </w:lvl>
    <w:lvl w:ilvl="4">
      <w:numFmt w:val="bullet"/>
      <w:lvlText w:val="•"/>
      <w:lvlJc w:val="left"/>
      <w:pPr>
        <w:ind w:left="2799" w:hanging="567"/>
      </w:pPr>
    </w:lvl>
    <w:lvl w:ilvl="5">
      <w:numFmt w:val="bullet"/>
      <w:lvlText w:val="•"/>
      <w:lvlJc w:val="left"/>
      <w:pPr>
        <w:ind w:left="3856" w:hanging="567"/>
      </w:pPr>
    </w:lvl>
    <w:lvl w:ilvl="6">
      <w:numFmt w:val="bullet"/>
      <w:lvlText w:val="•"/>
      <w:lvlJc w:val="left"/>
      <w:pPr>
        <w:ind w:left="4914" w:hanging="567"/>
      </w:pPr>
    </w:lvl>
    <w:lvl w:ilvl="7">
      <w:numFmt w:val="bullet"/>
      <w:lvlText w:val="•"/>
      <w:lvlJc w:val="left"/>
      <w:pPr>
        <w:ind w:left="5971" w:hanging="567"/>
      </w:pPr>
    </w:lvl>
    <w:lvl w:ilvl="8">
      <w:numFmt w:val="bullet"/>
      <w:lvlText w:val="•"/>
      <w:lvlJc w:val="left"/>
      <w:pPr>
        <w:ind w:left="7029" w:hanging="567"/>
      </w:pPr>
    </w:lvl>
  </w:abstractNum>
  <w:abstractNum w:abstractNumId="2" w15:restartNumberingAfterBreak="0">
    <w:nsid w:val="00000403"/>
    <w:multiLevelType w:val="multilevel"/>
    <w:tmpl w:val="00000886"/>
    <w:lvl w:ilvl="0">
      <w:start w:val="4"/>
      <w:numFmt w:val="decimal"/>
      <w:lvlText w:val="%1"/>
      <w:lvlJc w:val="left"/>
      <w:pPr>
        <w:ind w:left="784" w:hanging="567"/>
      </w:pPr>
    </w:lvl>
    <w:lvl w:ilvl="1">
      <w:start w:val="6"/>
      <w:numFmt w:val="decimal"/>
      <w:lvlText w:val="%1.%2"/>
      <w:lvlJc w:val="left"/>
      <w:pPr>
        <w:ind w:left="784" w:hanging="567"/>
      </w:pPr>
      <w:rPr>
        <w:rFonts w:ascii="Times New Roman" w:hAnsi="Times New Roman" w:cs="Times New Roman"/>
        <w:b/>
        <w:bCs/>
        <w:sz w:val="22"/>
        <w:szCs w:val="22"/>
      </w:rPr>
    </w:lvl>
    <w:lvl w:ilvl="2">
      <w:numFmt w:val="bullet"/>
      <w:lvlText w:val="•"/>
      <w:lvlJc w:val="left"/>
      <w:pPr>
        <w:ind w:left="2536" w:hanging="567"/>
      </w:pPr>
    </w:lvl>
    <w:lvl w:ilvl="3">
      <w:numFmt w:val="bullet"/>
      <w:lvlText w:val="•"/>
      <w:lvlJc w:val="left"/>
      <w:pPr>
        <w:ind w:left="3412" w:hanging="567"/>
      </w:pPr>
    </w:lvl>
    <w:lvl w:ilvl="4">
      <w:numFmt w:val="bullet"/>
      <w:lvlText w:val="•"/>
      <w:lvlJc w:val="left"/>
      <w:pPr>
        <w:ind w:left="4288" w:hanging="567"/>
      </w:pPr>
    </w:lvl>
    <w:lvl w:ilvl="5">
      <w:numFmt w:val="bullet"/>
      <w:lvlText w:val="•"/>
      <w:lvlJc w:val="left"/>
      <w:pPr>
        <w:ind w:left="5164" w:hanging="567"/>
      </w:pPr>
    </w:lvl>
    <w:lvl w:ilvl="6">
      <w:numFmt w:val="bullet"/>
      <w:lvlText w:val="•"/>
      <w:lvlJc w:val="left"/>
      <w:pPr>
        <w:ind w:left="6040" w:hanging="567"/>
      </w:pPr>
    </w:lvl>
    <w:lvl w:ilvl="7">
      <w:numFmt w:val="bullet"/>
      <w:lvlText w:val="•"/>
      <w:lvlJc w:val="left"/>
      <w:pPr>
        <w:ind w:left="6916" w:hanging="567"/>
      </w:pPr>
    </w:lvl>
    <w:lvl w:ilvl="8">
      <w:numFmt w:val="bullet"/>
      <w:lvlText w:val="•"/>
      <w:lvlJc w:val="left"/>
      <w:pPr>
        <w:ind w:left="7792" w:hanging="567"/>
      </w:pPr>
    </w:lvl>
  </w:abstractNum>
  <w:abstractNum w:abstractNumId="3" w15:restartNumberingAfterBreak="0">
    <w:nsid w:val="00000404"/>
    <w:multiLevelType w:val="multilevel"/>
    <w:tmpl w:val="00000887"/>
    <w:lvl w:ilvl="0">
      <w:numFmt w:val="bullet"/>
      <w:lvlText w:val=""/>
      <w:lvlJc w:val="left"/>
      <w:pPr>
        <w:ind w:left="685" w:hanging="567"/>
      </w:pPr>
      <w:rPr>
        <w:rFonts w:ascii="Symbol" w:hAnsi="Symbol" w:cs="Symbol"/>
        <w:b w:val="0"/>
        <w:bCs w:val="0"/>
        <w:sz w:val="22"/>
        <w:szCs w:val="22"/>
      </w:rPr>
    </w:lvl>
    <w:lvl w:ilvl="1">
      <w:numFmt w:val="bullet"/>
      <w:lvlText w:val="-"/>
      <w:lvlJc w:val="left"/>
      <w:pPr>
        <w:ind w:left="1536" w:hanging="339"/>
      </w:pPr>
      <w:rPr>
        <w:rFonts w:ascii="Courier New" w:hAnsi="Courier New" w:cs="Courier New"/>
        <w:b w:val="0"/>
        <w:bCs w:val="0"/>
        <w:sz w:val="22"/>
        <w:szCs w:val="22"/>
      </w:rPr>
    </w:lvl>
    <w:lvl w:ilvl="2">
      <w:numFmt w:val="bullet"/>
      <w:lvlText w:val="•"/>
      <w:lvlJc w:val="left"/>
      <w:pPr>
        <w:ind w:left="2397" w:hanging="339"/>
      </w:pPr>
    </w:lvl>
    <w:lvl w:ilvl="3">
      <w:numFmt w:val="bullet"/>
      <w:lvlText w:val="•"/>
      <w:lvlJc w:val="left"/>
      <w:pPr>
        <w:ind w:left="3257" w:hanging="339"/>
      </w:pPr>
    </w:lvl>
    <w:lvl w:ilvl="4">
      <w:numFmt w:val="bullet"/>
      <w:lvlText w:val="•"/>
      <w:lvlJc w:val="left"/>
      <w:pPr>
        <w:ind w:left="4118" w:hanging="339"/>
      </w:pPr>
    </w:lvl>
    <w:lvl w:ilvl="5">
      <w:numFmt w:val="bullet"/>
      <w:lvlText w:val="•"/>
      <w:lvlJc w:val="left"/>
      <w:pPr>
        <w:ind w:left="4979" w:hanging="339"/>
      </w:pPr>
    </w:lvl>
    <w:lvl w:ilvl="6">
      <w:numFmt w:val="bullet"/>
      <w:lvlText w:val="•"/>
      <w:lvlJc w:val="left"/>
      <w:pPr>
        <w:ind w:left="5840" w:hanging="339"/>
      </w:pPr>
    </w:lvl>
    <w:lvl w:ilvl="7">
      <w:numFmt w:val="bullet"/>
      <w:lvlText w:val="•"/>
      <w:lvlJc w:val="left"/>
      <w:pPr>
        <w:ind w:left="6701" w:hanging="339"/>
      </w:pPr>
    </w:lvl>
    <w:lvl w:ilvl="8">
      <w:numFmt w:val="bullet"/>
      <w:lvlText w:val="•"/>
      <w:lvlJc w:val="left"/>
      <w:pPr>
        <w:ind w:left="7562" w:hanging="339"/>
      </w:pPr>
    </w:lvl>
  </w:abstractNum>
  <w:abstractNum w:abstractNumId="4" w15:restartNumberingAfterBreak="0">
    <w:nsid w:val="00000405"/>
    <w:multiLevelType w:val="multilevel"/>
    <w:tmpl w:val="00000888"/>
    <w:lvl w:ilvl="0">
      <w:start w:val="9"/>
      <w:numFmt w:val="decimal"/>
      <w:lvlText w:val="%1"/>
      <w:lvlJc w:val="left"/>
      <w:pPr>
        <w:ind w:left="218" w:hanging="166"/>
      </w:pPr>
      <w:rPr>
        <w:rFonts w:ascii="Times New Roman" w:hAnsi="Times New Roman" w:cs="Times New Roman"/>
        <w:b/>
        <w:bCs/>
        <w:sz w:val="22"/>
        <w:szCs w:val="22"/>
      </w:rPr>
    </w:lvl>
    <w:lvl w:ilvl="1">
      <w:numFmt w:val="bullet"/>
      <w:lvlText w:val="•"/>
      <w:lvlJc w:val="left"/>
      <w:pPr>
        <w:ind w:left="1146" w:hanging="166"/>
      </w:pPr>
    </w:lvl>
    <w:lvl w:ilvl="2">
      <w:numFmt w:val="bullet"/>
      <w:lvlText w:val="•"/>
      <w:lvlJc w:val="left"/>
      <w:pPr>
        <w:ind w:left="2075" w:hanging="166"/>
      </w:pPr>
    </w:lvl>
    <w:lvl w:ilvl="3">
      <w:numFmt w:val="bullet"/>
      <w:lvlText w:val="•"/>
      <w:lvlJc w:val="left"/>
      <w:pPr>
        <w:ind w:left="3004" w:hanging="166"/>
      </w:pPr>
    </w:lvl>
    <w:lvl w:ilvl="4">
      <w:numFmt w:val="bullet"/>
      <w:lvlText w:val="•"/>
      <w:lvlJc w:val="left"/>
      <w:pPr>
        <w:ind w:left="3932" w:hanging="166"/>
      </w:pPr>
    </w:lvl>
    <w:lvl w:ilvl="5">
      <w:numFmt w:val="bullet"/>
      <w:lvlText w:val="•"/>
      <w:lvlJc w:val="left"/>
      <w:pPr>
        <w:ind w:left="4861" w:hanging="166"/>
      </w:pPr>
    </w:lvl>
    <w:lvl w:ilvl="6">
      <w:numFmt w:val="bullet"/>
      <w:lvlText w:val="•"/>
      <w:lvlJc w:val="left"/>
      <w:pPr>
        <w:ind w:left="5789" w:hanging="166"/>
      </w:pPr>
    </w:lvl>
    <w:lvl w:ilvl="7">
      <w:numFmt w:val="bullet"/>
      <w:lvlText w:val="•"/>
      <w:lvlJc w:val="left"/>
      <w:pPr>
        <w:ind w:left="6718" w:hanging="166"/>
      </w:pPr>
    </w:lvl>
    <w:lvl w:ilvl="8">
      <w:numFmt w:val="bullet"/>
      <w:lvlText w:val="•"/>
      <w:lvlJc w:val="left"/>
      <w:pPr>
        <w:ind w:left="7646" w:hanging="166"/>
      </w:pPr>
    </w:lvl>
  </w:abstractNum>
  <w:abstractNum w:abstractNumId="5" w15:restartNumberingAfterBreak="0">
    <w:nsid w:val="00000406"/>
    <w:multiLevelType w:val="multilevel"/>
    <w:tmpl w:val="00000889"/>
    <w:lvl w:ilvl="0">
      <w:start w:val="9"/>
      <w:numFmt w:val="decimal"/>
      <w:lvlText w:val="%1."/>
      <w:lvlJc w:val="left"/>
      <w:pPr>
        <w:ind w:left="684" w:hanging="567"/>
      </w:pPr>
      <w:rPr>
        <w:rFonts w:ascii="Times New Roman" w:hAnsi="Times New Roman" w:cs="Times New Roman"/>
        <w:b/>
        <w:bCs/>
        <w:sz w:val="22"/>
        <w:szCs w:val="22"/>
      </w:rPr>
    </w:lvl>
    <w:lvl w:ilvl="1">
      <w:start w:val="1"/>
      <w:numFmt w:val="upperLetter"/>
      <w:lvlText w:val="%2."/>
      <w:lvlJc w:val="left"/>
      <w:pPr>
        <w:ind w:left="1439" w:hanging="569"/>
      </w:pPr>
      <w:rPr>
        <w:rFonts w:ascii="Times New Roman" w:hAnsi="Times New Roman" w:cs="Times New Roman"/>
        <w:b/>
        <w:bCs/>
        <w:spacing w:val="-2"/>
        <w:sz w:val="22"/>
        <w:szCs w:val="22"/>
      </w:rPr>
    </w:lvl>
    <w:lvl w:ilvl="2">
      <w:numFmt w:val="bullet"/>
      <w:lvlText w:val="•"/>
      <w:lvlJc w:val="left"/>
      <w:pPr>
        <w:ind w:left="2229" w:hanging="569"/>
      </w:pPr>
    </w:lvl>
    <w:lvl w:ilvl="3">
      <w:numFmt w:val="bullet"/>
      <w:lvlText w:val="•"/>
      <w:lvlJc w:val="left"/>
      <w:pPr>
        <w:ind w:left="3018" w:hanging="569"/>
      </w:pPr>
    </w:lvl>
    <w:lvl w:ilvl="4">
      <w:numFmt w:val="bullet"/>
      <w:lvlText w:val="•"/>
      <w:lvlJc w:val="left"/>
      <w:pPr>
        <w:ind w:left="3807" w:hanging="569"/>
      </w:pPr>
    </w:lvl>
    <w:lvl w:ilvl="5">
      <w:numFmt w:val="bullet"/>
      <w:lvlText w:val="•"/>
      <w:lvlJc w:val="left"/>
      <w:pPr>
        <w:ind w:left="4597" w:hanging="569"/>
      </w:pPr>
    </w:lvl>
    <w:lvl w:ilvl="6">
      <w:numFmt w:val="bullet"/>
      <w:lvlText w:val="•"/>
      <w:lvlJc w:val="left"/>
      <w:pPr>
        <w:ind w:left="5386" w:hanging="569"/>
      </w:pPr>
    </w:lvl>
    <w:lvl w:ilvl="7">
      <w:numFmt w:val="bullet"/>
      <w:lvlText w:val="•"/>
      <w:lvlJc w:val="left"/>
      <w:pPr>
        <w:ind w:left="6175" w:hanging="569"/>
      </w:pPr>
    </w:lvl>
    <w:lvl w:ilvl="8">
      <w:numFmt w:val="bullet"/>
      <w:lvlText w:val="•"/>
      <w:lvlJc w:val="left"/>
      <w:pPr>
        <w:ind w:left="6965" w:hanging="569"/>
      </w:pPr>
    </w:lvl>
  </w:abstractNum>
  <w:abstractNum w:abstractNumId="6" w15:restartNumberingAfterBreak="0">
    <w:nsid w:val="00000407"/>
    <w:multiLevelType w:val="multilevel"/>
    <w:tmpl w:val="0000088A"/>
    <w:lvl w:ilvl="0">
      <w:start w:val="2"/>
      <w:numFmt w:val="upperRoman"/>
      <w:lvlText w:val="%1"/>
      <w:lvlJc w:val="left"/>
      <w:pPr>
        <w:ind w:left="3902" w:hanging="226"/>
      </w:pPr>
      <w:rPr>
        <w:rFonts w:ascii="Times New Roman" w:hAnsi="Times New Roman" w:cs="Times New Roman"/>
        <w:b/>
        <w:bCs/>
        <w:sz w:val="22"/>
        <w:szCs w:val="22"/>
      </w:rPr>
    </w:lvl>
    <w:lvl w:ilvl="1">
      <w:numFmt w:val="bullet"/>
      <w:lvlText w:val="•"/>
      <w:lvlJc w:val="left"/>
      <w:pPr>
        <w:ind w:left="4366" w:hanging="226"/>
      </w:pPr>
    </w:lvl>
    <w:lvl w:ilvl="2">
      <w:numFmt w:val="bullet"/>
      <w:lvlText w:val="•"/>
      <w:lvlJc w:val="left"/>
      <w:pPr>
        <w:ind w:left="4830" w:hanging="226"/>
      </w:pPr>
    </w:lvl>
    <w:lvl w:ilvl="3">
      <w:numFmt w:val="bullet"/>
      <w:lvlText w:val="•"/>
      <w:lvlJc w:val="left"/>
      <w:pPr>
        <w:ind w:left="5294" w:hanging="226"/>
      </w:pPr>
    </w:lvl>
    <w:lvl w:ilvl="4">
      <w:numFmt w:val="bullet"/>
      <w:lvlText w:val="•"/>
      <w:lvlJc w:val="left"/>
      <w:pPr>
        <w:ind w:left="5758" w:hanging="226"/>
      </w:pPr>
    </w:lvl>
    <w:lvl w:ilvl="5">
      <w:numFmt w:val="bullet"/>
      <w:lvlText w:val="•"/>
      <w:lvlJc w:val="left"/>
      <w:pPr>
        <w:ind w:left="6223" w:hanging="226"/>
      </w:pPr>
    </w:lvl>
    <w:lvl w:ilvl="6">
      <w:numFmt w:val="bullet"/>
      <w:lvlText w:val="•"/>
      <w:lvlJc w:val="left"/>
      <w:pPr>
        <w:ind w:left="6687" w:hanging="226"/>
      </w:pPr>
    </w:lvl>
    <w:lvl w:ilvl="7">
      <w:numFmt w:val="bullet"/>
      <w:lvlText w:val="•"/>
      <w:lvlJc w:val="left"/>
      <w:pPr>
        <w:ind w:left="7151" w:hanging="226"/>
      </w:pPr>
    </w:lvl>
    <w:lvl w:ilvl="8">
      <w:numFmt w:val="bullet"/>
      <w:lvlText w:val="•"/>
      <w:lvlJc w:val="left"/>
      <w:pPr>
        <w:ind w:left="7615" w:hanging="226"/>
      </w:pPr>
    </w:lvl>
  </w:abstractNum>
  <w:abstractNum w:abstractNumId="7" w15:restartNumberingAfterBreak="0">
    <w:nsid w:val="00000408"/>
    <w:multiLevelType w:val="multilevel"/>
    <w:tmpl w:val="0000088B"/>
    <w:lvl w:ilvl="0">
      <w:start w:val="1"/>
      <w:numFmt w:val="upperLetter"/>
      <w:lvlText w:val="%1."/>
      <w:lvlJc w:val="left"/>
      <w:pPr>
        <w:ind w:left="684" w:hanging="567"/>
      </w:pPr>
      <w:rPr>
        <w:rFonts w:ascii="Times New Roman" w:hAnsi="Times New Roman" w:cs="Times New Roman"/>
        <w:b/>
        <w:bCs/>
        <w:spacing w:val="-2"/>
        <w:sz w:val="22"/>
        <w:szCs w:val="22"/>
      </w:rPr>
    </w:lvl>
    <w:lvl w:ilvl="1">
      <w:start w:val="1"/>
      <w:numFmt w:val="upperLetter"/>
      <w:lvlText w:val="%2."/>
      <w:lvlJc w:val="left"/>
      <w:pPr>
        <w:ind w:left="3791" w:hanging="269"/>
      </w:pPr>
      <w:rPr>
        <w:rFonts w:ascii="Times New Roman" w:hAnsi="Times New Roman" w:cs="Times New Roman"/>
        <w:b/>
        <w:bCs/>
        <w:spacing w:val="-2"/>
        <w:sz w:val="22"/>
        <w:szCs w:val="22"/>
      </w:rPr>
    </w:lvl>
    <w:lvl w:ilvl="2">
      <w:numFmt w:val="bullet"/>
      <w:lvlText w:val="•"/>
      <w:lvlJc w:val="left"/>
      <w:pPr>
        <w:ind w:left="4319" w:hanging="269"/>
      </w:pPr>
    </w:lvl>
    <w:lvl w:ilvl="3">
      <w:numFmt w:val="bullet"/>
      <w:lvlText w:val="•"/>
      <w:lvlJc w:val="left"/>
      <w:pPr>
        <w:ind w:left="4847" w:hanging="269"/>
      </w:pPr>
    </w:lvl>
    <w:lvl w:ilvl="4">
      <w:numFmt w:val="bullet"/>
      <w:lvlText w:val="•"/>
      <w:lvlJc w:val="left"/>
      <w:pPr>
        <w:ind w:left="5375" w:hanging="269"/>
      </w:pPr>
    </w:lvl>
    <w:lvl w:ilvl="5">
      <w:numFmt w:val="bullet"/>
      <w:lvlText w:val="•"/>
      <w:lvlJc w:val="left"/>
      <w:pPr>
        <w:ind w:left="5903" w:hanging="269"/>
      </w:pPr>
    </w:lvl>
    <w:lvl w:ilvl="6">
      <w:numFmt w:val="bullet"/>
      <w:lvlText w:val="•"/>
      <w:lvlJc w:val="left"/>
      <w:pPr>
        <w:ind w:left="6431" w:hanging="269"/>
      </w:pPr>
    </w:lvl>
    <w:lvl w:ilvl="7">
      <w:numFmt w:val="bullet"/>
      <w:lvlText w:val="•"/>
      <w:lvlJc w:val="left"/>
      <w:pPr>
        <w:ind w:left="6959" w:hanging="269"/>
      </w:pPr>
    </w:lvl>
    <w:lvl w:ilvl="8">
      <w:numFmt w:val="bullet"/>
      <w:lvlText w:val="•"/>
      <w:lvlJc w:val="left"/>
      <w:pPr>
        <w:ind w:left="7487" w:hanging="269"/>
      </w:pPr>
    </w:lvl>
  </w:abstractNum>
  <w:abstractNum w:abstractNumId="8" w15:restartNumberingAfterBreak="0">
    <w:nsid w:val="00000409"/>
    <w:multiLevelType w:val="multilevel"/>
    <w:tmpl w:val="0000088C"/>
    <w:lvl w:ilvl="0">
      <w:numFmt w:val="bullet"/>
      <w:lvlText w:val="-"/>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4" w:hanging="567"/>
      </w:pPr>
    </w:lvl>
    <w:lvl w:ilvl="4">
      <w:numFmt w:val="bullet"/>
      <w:lvlText w:val="•"/>
      <w:lvlJc w:val="left"/>
      <w:pPr>
        <w:ind w:left="4124"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4" w:hanging="567"/>
      </w:pPr>
    </w:lvl>
    <w:lvl w:ilvl="8">
      <w:numFmt w:val="bullet"/>
      <w:lvlText w:val="•"/>
      <w:lvlJc w:val="left"/>
      <w:pPr>
        <w:ind w:left="7564" w:hanging="567"/>
      </w:pPr>
    </w:lvl>
  </w:abstractNum>
  <w:abstractNum w:abstractNumId="9" w15:restartNumberingAfterBreak="0">
    <w:nsid w:val="0000040A"/>
    <w:multiLevelType w:val="multilevel"/>
    <w:tmpl w:val="0000088D"/>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4" w:hanging="567"/>
      </w:pPr>
    </w:lvl>
    <w:lvl w:ilvl="4">
      <w:numFmt w:val="bullet"/>
      <w:lvlText w:val="•"/>
      <w:lvlJc w:val="left"/>
      <w:pPr>
        <w:ind w:left="4124"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4" w:hanging="567"/>
      </w:pPr>
    </w:lvl>
    <w:lvl w:ilvl="8">
      <w:numFmt w:val="bullet"/>
      <w:lvlText w:val="•"/>
      <w:lvlJc w:val="left"/>
      <w:pPr>
        <w:ind w:left="7564" w:hanging="567"/>
      </w:pPr>
    </w:lvl>
  </w:abstractNum>
  <w:abstractNum w:abstractNumId="10" w15:restartNumberingAfterBreak="0">
    <w:nsid w:val="0000040B"/>
    <w:multiLevelType w:val="multilevel"/>
    <w:tmpl w:val="0000088E"/>
    <w:lvl w:ilvl="0">
      <w:start w:val="1"/>
      <w:numFmt w:val="decimal"/>
      <w:lvlText w:val="%1."/>
      <w:lvlJc w:val="left"/>
      <w:pPr>
        <w:ind w:left="117"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1" w:hanging="567"/>
      </w:pPr>
    </w:lvl>
    <w:lvl w:ilvl="3">
      <w:numFmt w:val="bullet"/>
      <w:lvlText w:val="•"/>
      <w:lvlJc w:val="left"/>
      <w:pPr>
        <w:ind w:left="2867" w:hanging="567"/>
      </w:pPr>
    </w:lvl>
    <w:lvl w:ilvl="4">
      <w:numFmt w:val="bullet"/>
      <w:lvlText w:val="•"/>
      <w:lvlJc w:val="left"/>
      <w:pPr>
        <w:ind w:left="3784"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4" w:hanging="567"/>
      </w:pPr>
    </w:lvl>
    <w:lvl w:ilvl="8">
      <w:numFmt w:val="bullet"/>
      <w:lvlText w:val="•"/>
      <w:lvlJc w:val="left"/>
      <w:pPr>
        <w:ind w:left="7450" w:hanging="567"/>
      </w:pPr>
    </w:lvl>
  </w:abstractNum>
  <w:abstractNum w:abstractNumId="11" w15:restartNumberingAfterBreak="0">
    <w:nsid w:val="0000040C"/>
    <w:multiLevelType w:val="multilevel"/>
    <w:tmpl w:val="0000088F"/>
    <w:lvl w:ilvl="0">
      <w:numFmt w:val="bullet"/>
      <w:lvlText w:val=""/>
      <w:lvlJc w:val="left"/>
      <w:pPr>
        <w:ind w:left="1251" w:hanging="567"/>
      </w:pPr>
      <w:rPr>
        <w:rFonts w:ascii="Symbol" w:hAnsi="Symbol" w:cs="Symbol"/>
        <w:b w:val="0"/>
        <w:bCs w:val="0"/>
        <w:sz w:val="22"/>
        <w:szCs w:val="22"/>
      </w:rPr>
    </w:lvl>
    <w:lvl w:ilvl="1">
      <w:numFmt w:val="bullet"/>
      <w:lvlText w:val="•"/>
      <w:lvlJc w:val="left"/>
      <w:pPr>
        <w:ind w:left="2055" w:hanging="567"/>
      </w:pPr>
    </w:lvl>
    <w:lvl w:ilvl="2">
      <w:numFmt w:val="bullet"/>
      <w:lvlText w:val="•"/>
      <w:lvlJc w:val="left"/>
      <w:pPr>
        <w:ind w:left="2858" w:hanging="567"/>
      </w:pPr>
    </w:lvl>
    <w:lvl w:ilvl="3">
      <w:numFmt w:val="bullet"/>
      <w:lvlText w:val="•"/>
      <w:lvlJc w:val="left"/>
      <w:pPr>
        <w:ind w:left="3661" w:hanging="567"/>
      </w:pPr>
    </w:lvl>
    <w:lvl w:ilvl="4">
      <w:numFmt w:val="bullet"/>
      <w:lvlText w:val="•"/>
      <w:lvlJc w:val="left"/>
      <w:pPr>
        <w:ind w:left="4464" w:hanging="567"/>
      </w:pPr>
    </w:lvl>
    <w:lvl w:ilvl="5">
      <w:numFmt w:val="bullet"/>
      <w:lvlText w:val="•"/>
      <w:lvlJc w:val="left"/>
      <w:pPr>
        <w:ind w:left="5267" w:hanging="567"/>
      </w:pPr>
    </w:lvl>
    <w:lvl w:ilvl="6">
      <w:numFmt w:val="bullet"/>
      <w:lvlText w:val="•"/>
      <w:lvlJc w:val="left"/>
      <w:pPr>
        <w:ind w:left="6071" w:hanging="567"/>
      </w:pPr>
    </w:lvl>
    <w:lvl w:ilvl="7">
      <w:numFmt w:val="bullet"/>
      <w:lvlText w:val="•"/>
      <w:lvlJc w:val="left"/>
      <w:pPr>
        <w:ind w:left="6874" w:hanging="567"/>
      </w:pPr>
    </w:lvl>
    <w:lvl w:ilvl="8">
      <w:numFmt w:val="bullet"/>
      <w:lvlText w:val="•"/>
      <w:lvlJc w:val="left"/>
      <w:pPr>
        <w:ind w:left="7677" w:hanging="567"/>
      </w:pPr>
    </w:lvl>
  </w:abstractNum>
  <w:abstractNum w:abstractNumId="12" w15:restartNumberingAfterBreak="0">
    <w:nsid w:val="0000040D"/>
    <w:multiLevelType w:val="multilevel"/>
    <w:tmpl w:val="00000890"/>
    <w:lvl w:ilvl="0">
      <w:numFmt w:val="bullet"/>
      <w:lvlText w:val="o"/>
      <w:lvlJc w:val="left"/>
      <w:pPr>
        <w:ind w:left="1251" w:hanging="567"/>
      </w:pPr>
      <w:rPr>
        <w:rFonts w:ascii="Courier New" w:hAnsi="Courier New" w:cs="Courier New"/>
        <w:b w:val="0"/>
        <w:bCs w:val="0"/>
        <w:sz w:val="22"/>
        <w:szCs w:val="22"/>
      </w:rPr>
    </w:lvl>
    <w:lvl w:ilvl="1">
      <w:numFmt w:val="bullet"/>
      <w:lvlText w:val="•"/>
      <w:lvlJc w:val="left"/>
      <w:pPr>
        <w:ind w:left="2054" w:hanging="567"/>
      </w:pPr>
    </w:lvl>
    <w:lvl w:ilvl="2">
      <w:numFmt w:val="bullet"/>
      <w:lvlText w:val="•"/>
      <w:lvlJc w:val="left"/>
      <w:pPr>
        <w:ind w:left="2858" w:hanging="567"/>
      </w:pPr>
    </w:lvl>
    <w:lvl w:ilvl="3">
      <w:numFmt w:val="bullet"/>
      <w:lvlText w:val="•"/>
      <w:lvlJc w:val="left"/>
      <w:pPr>
        <w:ind w:left="3661" w:hanging="567"/>
      </w:pPr>
    </w:lvl>
    <w:lvl w:ilvl="4">
      <w:numFmt w:val="bullet"/>
      <w:lvlText w:val="•"/>
      <w:lvlJc w:val="left"/>
      <w:pPr>
        <w:ind w:left="4464" w:hanging="567"/>
      </w:pPr>
    </w:lvl>
    <w:lvl w:ilvl="5">
      <w:numFmt w:val="bullet"/>
      <w:lvlText w:val="•"/>
      <w:lvlJc w:val="left"/>
      <w:pPr>
        <w:ind w:left="5267" w:hanging="567"/>
      </w:pPr>
    </w:lvl>
    <w:lvl w:ilvl="6">
      <w:numFmt w:val="bullet"/>
      <w:lvlText w:val="•"/>
      <w:lvlJc w:val="left"/>
      <w:pPr>
        <w:ind w:left="6071" w:hanging="567"/>
      </w:pPr>
    </w:lvl>
    <w:lvl w:ilvl="7">
      <w:numFmt w:val="bullet"/>
      <w:lvlText w:val="•"/>
      <w:lvlJc w:val="left"/>
      <w:pPr>
        <w:ind w:left="6874" w:hanging="567"/>
      </w:pPr>
    </w:lvl>
    <w:lvl w:ilvl="8">
      <w:numFmt w:val="bullet"/>
      <w:lvlText w:val="•"/>
      <w:lvlJc w:val="left"/>
      <w:pPr>
        <w:ind w:left="7677" w:hanging="567"/>
      </w:pPr>
    </w:lvl>
  </w:abstractNum>
  <w:abstractNum w:abstractNumId="13" w15:restartNumberingAfterBreak="0">
    <w:nsid w:val="0000040E"/>
    <w:multiLevelType w:val="multilevel"/>
    <w:tmpl w:val="00000891"/>
    <w:lvl w:ilvl="0">
      <w:numFmt w:val="bullet"/>
      <w:lvlText w:val=""/>
      <w:lvlJc w:val="left"/>
      <w:pPr>
        <w:ind w:left="1252" w:hanging="567"/>
      </w:pPr>
      <w:rPr>
        <w:rFonts w:ascii="Symbol" w:hAnsi="Symbol" w:cs="Symbol"/>
        <w:b w:val="0"/>
        <w:bCs w:val="0"/>
        <w:sz w:val="22"/>
        <w:szCs w:val="22"/>
      </w:rPr>
    </w:lvl>
    <w:lvl w:ilvl="1">
      <w:numFmt w:val="bullet"/>
      <w:lvlText w:val="•"/>
      <w:lvlJc w:val="left"/>
      <w:pPr>
        <w:ind w:left="2051" w:hanging="567"/>
      </w:pPr>
    </w:lvl>
    <w:lvl w:ilvl="2">
      <w:numFmt w:val="bullet"/>
      <w:lvlText w:val="•"/>
      <w:lvlJc w:val="left"/>
      <w:pPr>
        <w:ind w:left="2850" w:hanging="567"/>
      </w:pPr>
    </w:lvl>
    <w:lvl w:ilvl="3">
      <w:numFmt w:val="bullet"/>
      <w:lvlText w:val="•"/>
      <w:lvlJc w:val="left"/>
      <w:pPr>
        <w:ind w:left="3649" w:hanging="567"/>
      </w:pPr>
    </w:lvl>
    <w:lvl w:ilvl="4">
      <w:numFmt w:val="bullet"/>
      <w:lvlText w:val="•"/>
      <w:lvlJc w:val="left"/>
      <w:pPr>
        <w:ind w:left="4448" w:hanging="567"/>
      </w:pPr>
    </w:lvl>
    <w:lvl w:ilvl="5">
      <w:numFmt w:val="bullet"/>
      <w:lvlText w:val="•"/>
      <w:lvlJc w:val="left"/>
      <w:pPr>
        <w:ind w:left="5248" w:hanging="567"/>
      </w:pPr>
    </w:lvl>
    <w:lvl w:ilvl="6">
      <w:numFmt w:val="bullet"/>
      <w:lvlText w:val="•"/>
      <w:lvlJc w:val="left"/>
      <w:pPr>
        <w:ind w:left="6047" w:hanging="567"/>
      </w:pPr>
    </w:lvl>
    <w:lvl w:ilvl="7">
      <w:numFmt w:val="bullet"/>
      <w:lvlText w:val="•"/>
      <w:lvlJc w:val="left"/>
      <w:pPr>
        <w:ind w:left="6846" w:hanging="567"/>
      </w:pPr>
    </w:lvl>
    <w:lvl w:ilvl="8">
      <w:numFmt w:val="bullet"/>
      <w:lvlText w:val="•"/>
      <w:lvlJc w:val="left"/>
      <w:pPr>
        <w:ind w:left="7645" w:hanging="567"/>
      </w:pPr>
    </w:lvl>
  </w:abstractNum>
  <w:abstractNum w:abstractNumId="14" w15:restartNumberingAfterBreak="0">
    <w:nsid w:val="0000040F"/>
    <w:multiLevelType w:val="multilevel"/>
    <w:tmpl w:val="00000892"/>
    <w:lvl w:ilvl="0">
      <w:numFmt w:val="bullet"/>
      <w:lvlText w:val=""/>
      <w:lvlJc w:val="left"/>
      <w:pPr>
        <w:ind w:left="1251" w:hanging="567"/>
      </w:pPr>
      <w:rPr>
        <w:rFonts w:ascii="Symbol" w:hAnsi="Symbol" w:cs="Symbol"/>
        <w:b w:val="0"/>
        <w:bCs w:val="0"/>
        <w:sz w:val="22"/>
        <w:szCs w:val="22"/>
      </w:rPr>
    </w:lvl>
    <w:lvl w:ilvl="1">
      <w:numFmt w:val="bullet"/>
      <w:lvlText w:val="•"/>
      <w:lvlJc w:val="left"/>
      <w:pPr>
        <w:ind w:left="2050" w:hanging="567"/>
      </w:pPr>
    </w:lvl>
    <w:lvl w:ilvl="2">
      <w:numFmt w:val="bullet"/>
      <w:lvlText w:val="•"/>
      <w:lvlJc w:val="left"/>
      <w:pPr>
        <w:ind w:left="2850" w:hanging="567"/>
      </w:pPr>
    </w:lvl>
    <w:lvl w:ilvl="3">
      <w:numFmt w:val="bullet"/>
      <w:lvlText w:val="•"/>
      <w:lvlJc w:val="left"/>
      <w:pPr>
        <w:ind w:left="3649" w:hanging="567"/>
      </w:pPr>
    </w:lvl>
    <w:lvl w:ilvl="4">
      <w:numFmt w:val="bullet"/>
      <w:lvlText w:val="•"/>
      <w:lvlJc w:val="left"/>
      <w:pPr>
        <w:ind w:left="4448" w:hanging="567"/>
      </w:pPr>
    </w:lvl>
    <w:lvl w:ilvl="5">
      <w:numFmt w:val="bullet"/>
      <w:lvlText w:val="•"/>
      <w:lvlJc w:val="left"/>
      <w:pPr>
        <w:ind w:left="5247" w:hanging="567"/>
      </w:pPr>
    </w:lvl>
    <w:lvl w:ilvl="6">
      <w:numFmt w:val="bullet"/>
      <w:lvlText w:val="•"/>
      <w:lvlJc w:val="left"/>
      <w:pPr>
        <w:ind w:left="6047" w:hanging="567"/>
      </w:pPr>
    </w:lvl>
    <w:lvl w:ilvl="7">
      <w:numFmt w:val="bullet"/>
      <w:lvlText w:val="•"/>
      <w:lvlJc w:val="left"/>
      <w:pPr>
        <w:ind w:left="6846" w:hanging="567"/>
      </w:pPr>
    </w:lvl>
    <w:lvl w:ilvl="8">
      <w:numFmt w:val="bullet"/>
      <w:lvlText w:val="•"/>
      <w:lvlJc w:val="left"/>
      <w:pPr>
        <w:ind w:left="7645" w:hanging="567"/>
      </w:pPr>
    </w:lvl>
  </w:abstractNum>
  <w:abstractNum w:abstractNumId="15" w15:restartNumberingAfterBreak="0">
    <w:nsid w:val="00000410"/>
    <w:multiLevelType w:val="multilevel"/>
    <w:tmpl w:val="00000893"/>
    <w:lvl w:ilvl="0">
      <w:numFmt w:val="bullet"/>
      <w:lvlText w:val=""/>
      <w:lvlJc w:val="left"/>
      <w:pPr>
        <w:ind w:left="1251" w:hanging="567"/>
      </w:pPr>
      <w:rPr>
        <w:rFonts w:ascii="Symbol" w:hAnsi="Symbol" w:cs="Symbol"/>
        <w:b w:val="0"/>
        <w:bCs w:val="0"/>
        <w:sz w:val="22"/>
        <w:szCs w:val="22"/>
      </w:rPr>
    </w:lvl>
    <w:lvl w:ilvl="1">
      <w:numFmt w:val="bullet"/>
      <w:lvlText w:val="•"/>
      <w:lvlJc w:val="left"/>
      <w:pPr>
        <w:ind w:left="2051" w:hanging="567"/>
      </w:pPr>
    </w:lvl>
    <w:lvl w:ilvl="2">
      <w:numFmt w:val="bullet"/>
      <w:lvlText w:val="•"/>
      <w:lvlJc w:val="left"/>
      <w:pPr>
        <w:ind w:left="2850" w:hanging="567"/>
      </w:pPr>
    </w:lvl>
    <w:lvl w:ilvl="3">
      <w:numFmt w:val="bullet"/>
      <w:lvlText w:val="•"/>
      <w:lvlJc w:val="left"/>
      <w:pPr>
        <w:ind w:left="3649" w:hanging="567"/>
      </w:pPr>
    </w:lvl>
    <w:lvl w:ilvl="4">
      <w:numFmt w:val="bullet"/>
      <w:lvlText w:val="•"/>
      <w:lvlJc w:val="left"/>
      <w:pPr>
        <w:ind w:left="4448" w:hanging="567"/>
      </w:pPr>
    </w:lvl>
    <w:lvl w:ilvl="5">
      <w:numFmt w:val="bullet"/>
      <w:lvlText w:val="•"/>
      <w:lvlJc w:val="left"/>
      <w:pPr>
        <w:ind w:left="5247" w:hanging="567"/>
      </w:pPr>
    </w:lvl>
    <w:lvl w:ilvl="6">
      <w:numFmt w:val="bullet"/>
      <w:lvlText w:val="•"/>
      <w:lvlJc w:val="left"/>
      <w:pPr>
        <w:ind w:left="6047" w:hanging="567"/>
      </w:pPr>
    </w:lvl>
    <w:lvl w:ilvl="7">
      <w:numFmt w:val="bullet"/>
      <w:lvlText w:val="•"/>
      <w:lvlJc w:val="left"/>
      <w:pPr>
        <w:ind w:left="6846" w:hanging="567"/>
      </w:pPr>
    </w:lvl>
    <w:lvl w:ilvl="8">
      <w:numFmt w:val="bullet"/>
      <w:lvlText w:val="•"/>
      <w:lvlJc w:val="left"/>
      <w:pPr>
        <w:ind w:left="7645" w:hanging="567"/>
      </w:pPr>
    </w:lvl>
  </w:abstractNum>
  <w:abstractNum w:abstractNumId="16" w15:restartNumberingAfterBreak="0">
    <w:nsid w:val="00000411"/>
    <w:multiLevelType w:val="multilevel"/>
    <w:tmpl w:val="00000894"/>
    <w:lvl w:ilvl="0">
      <w:numFmt w:val="bullet"/>
      <w:lvlText w:val=""/>
      <w:lvlJc w:val="left"/>
      <w:pPr>
        <w:ind w:left="1251" w:hanging="567"/>
      </w:pPr>
      <w:rPr>
        <w:rFonts w:ascii="Symbol" w:hAnsi="Symbol" w:cs="Symbol"/>
        <w:b w:val="0"/>
        <w:bCs w:val="0"/>
        <w:sz w:val="22"/>
        <w:szCs w:val="22"/>
      </w:rPr>
    </w:lvl>
    <w:lvl w:ilvl="1">
      <w:numFmt w:val="bullet"/>
      <w:lvlText w:val="•"/>
      <w:lvlJc w:val="left"/>
      <w:pPr>
        <w:ind w:left="2050" w:hanging="567"/>
      </w:pPr>
    </w:lvl>
    <w:lvl w:ilvl="2">
      <w:numFmt w:val="bullet"/>
      <w:lvlText w:val="•"/>
      <w:lvlJc w:val="left"/>
      <w:pPr>
        <w:ind w:left="2850" w:hanging="567"/>
      </w:pPr>
    </w:lvl>
    <w:lvl w:ilvl="3">
      <w:numFmt w:val="bullet"/>
      <w:lvlText w:val="•"/>
      <w:lvlJc w:val="left"/>
      <w:pPr>
        <w:ind w:left="3649" w:hanging="567"/>
      </w:pPr>
    </w:lvl>
    <w:lvl w:ilvl="4">
      <w:numFmt w:val="bullet"/>
      <w:lvlText w:val="•"/>
      <w:lvlJc w:val="left"/>
      <w:pPr>
        <w:ind w:left="4448" w:hanging="567"/>
      </w:pPr>
    </w:lvl>
    <w:lvl w:ilvl="5">
      <w:numFmt w:val="bullet"/>
      <w:lvlText w:val="•"/>
      <w:lvlJc w:val="left"/>
      <w:pPr>
        <w:ind w:left="5247" w:hanging="567"/>
      </w:pPr>
    </w:lvl>
    <w:lvl w:ilvl="6">
      <w:numFmt w:val="bullet"/>
      <w:lvlText w:val="•"/>
      <w:lvlJc w:val="left"/>
      <w:pPr>
        <w:ind w:left="6047" w:hanging="567"/>
      </w:pPr>
    </w:lvl>
    <w:lvl w:ilvl="7">
      <w:numFmt w:val="bullet"/>
      <w:lvlText w:val="•"/>
      <w:lvlJc w:val="left"/>
      <w:pPr>
        <w:ind w:left="6846" w:hanging="567"/>
      </w:pPr>
    </w:lvl>
    <w:lvl w:ilvl="8">
      <w:numFmt w:val="bullet"/>
      <w:lvlText w:val="•"/>
      <w:lvlJc w:val="left"/>
      <w:pPr>
        <w:ind w:left="7645" w:hanging="567"/>
      </w:pPr>
    </w:lvl>
  </w:abstractNum>
  <w:abstractNum w:abstractNumId="17" w15:restartNumberingAfterBreak="0">
    <w:nsid w:val="00000412"/>
    <w:multiLevelType w:val="multilevel"/>
    <w:tmpl w:val="00000895"/>
    <w:lvl w:ilvl="0">
      <w:numFmt w:val="bullet"/>
      <w:lvlText w:val=""/>
      <w:lvlJc w:val="left"/>
      <w:pPr>
        <w:ind w:left="684" w:hanging="284"/>
      </w:pPr>
      <w:rPr>
        <w:rFonts w:ascii="Symbol" w:hAnsi="Symbol" w:cs="Symbol"/>
        <w:b w:val="0"/>
        <w:bCs w:val="0"/>
        <w:sz w:val="22"/>
        <w:szCs w:val="22"/>
      </w:rPr>
    </w:lvl>
    <w:lvl w:ilvl="1">
      <w:numFmt w:val="bullet"/>
      <w:lvlText w:val=""/>
      <w:lvlJc w:val="left"/>
      <w:pPr>
        <w:ind w:left="1251" w:hanging="281"/>
      </w:pPr>
      <w:rPr>
        <w:rFonts w:ascii="Symbol" w:hAnsi="Symbol" w:cs="Symbol"/>
        <w:b w:val="0"/>
        <w:bCs w:val="0"/>
        <w:sz w:val="22"/>
        <w:szCs w:val="22"/>
      </w:rPr>
    </w:lvl>
    <w:lvl w:ilvl="2">
      <w:numFmt w:val="bullet"/>
      <w:lvlText w:val="•"/>
      <w:lvlJc w:val="left"/>
      <w:pPr>
        <w:ind w:left="1251" w:hanging="281"/>
      </w:pPr>
    </w:lvl>
    <w:lvl w:ilvl="3">
      <w:numFmt w:val="bullet"/>
      <w:lvlText w:val="•"/>
      <w:lvlJc w:val="left"/>
      <w:pPr>
        <w:ind w:left="2250" w:hanging="281"/>
      </w:pPr>
    </w:lvl>
    <w:lvl w:ilvl="4">
      <w:numFmt w:val="bullet"/>
      <w:lvlText w:val="•"/>
      <w:lvlJc w:val="left"/>
      <w:pPr>
        <w:ind w:left="3249" w:hanging="281"/>
      </w:pPr>
    </w:lvl>
    <w:lvl w:ilvl="5">
      <w:numFmt w:val="bullet"/>
      <w:lvlText w:val="•"/>
      <w:lvlJc w:val="left"/>
      <w:pPr>
        <w:ind w:left="4248" w:hanging="281"/>
      </w:pPr>
    </w:lvl>
    <w:lvl w:ilvl="6">
      <w:numFmt w:val="bullet"/>
      <w:lvlText w:val="•"/>
      <w:lvlJc w:val="left"/>
      <w:pPr>
        <w:ind w:left="5247" w:hanging="281"/>
      </w:pPr>
    </w:lvl>
    <w:lvl w:ilvl="7">
      <w:numFmt w:val="bullet"/>
      <w:lvlText w:val="•"/>
      <w:lvlJc w:val="left"/>
      <w:pPr>
        <w:ind w:left="6246" w:hanging="281"/>
      </w:pPr>
    </w:lvl>
    <w:lvl w:ilvl="8">
      <w:numFmt w:val="bullet"/>
      <w:lvlText w:val="•"/>
      <w:lvlJc w:val="left"/>
      <w:pPr>
        <w:ind w:left="7245" w:hanging="281"/>
      </w:pPr>
    </w:lvl>
  </w:abstractNum>
  <w:abstractNum w:abstractNumId="18" w15:restartNumberingAfterBreak="0">
    <w:nsid w:val="00000413"/>
    <w:multiLevelType w:val="multilevel"/>
    <w:tmpl w:val="00000896"/>
    <w:lvl w:ilvl="0">
      <w:start w:val="5"/>
      <w:numFmt w:val="decimal"/>
      <w:lvlText w:val="%1"/>
      <w:lvlJc w:val="left"/>
      <w:pPr>
        <w:ind w:left="218" w:hanging="166"/>
      </w:pPr>
      <w:rPr>
        <w:rFonts w:ascii="Times New Roman" w:hAnsi="Times New Roman" w:cs="Times New Roman"/>
        <w:b/>
        <w:bCs/>
        <w:sz w:val="22"/>
        <w:szCs w:val="22"/>
      </w:rPr>
    </w:lvl>
    <w:lvl w:ilvl="1">
      <w:numFmt w:val="bullet"/>
      <w:lvlText w:val="•"/>
      <w:lvlJc w:val="left"/>
      <w:pPr>
        <w:ind w:left="1146" w:hanging="166"/>
      </w:pPr>
    </w:lvl>
    <w:lvl w:ilvl="2">
      <w:numFmt w:val="bullet"/>
      <w:lvlText w:val="•"/>
      <w:lvlJc w:val="left"/>
      <w:pPr>
        <w:ind w:left="2075" w:hanging="166"/>
      </w:pPr>
    </w:lvl>
    <w:lvl w:ilvl="3">
      <w:numFmt w:val="bullet"/>
      <w:lvlText w:val="•"/>
      <w:lvlJc w:val="left"/>
      <w:pPr>
        <w:ind w:left="3004" w:hanging="166"/>
      </w:pPr>
    </w:lvl>
    <w:lvl w:ilvl="4">
      <w:numFmt w:val="bullet"/>
      <w:lvlText w:val="•"/>
      <w:lvlJc w:val="left"/>
      <w:pPr>
        <w:ind w:left="3932" w:hanging="166"/>
      </w:pPr>
    </w:lvl>
    <w:lvl w:ilvl="5">
      <w:numFmt w:val="bullet"/>
      <w:lvlText w:val="•"/>
      <w:lvlJc w:val="left"/>
      <w:pPr>
        <w:ind w:left="4861" w:hanging="166"/>
      </w:pPr>
    </w:lvl>
    <w:lvl w:ilvl="6">
      <w:numFmt w:val="bullet"/>
      <w:lvlText w:val="•"/>
      <w:lvlJc w:val="left"/>
      <w:pPr>
        <w:ind w:left="5789" w:hanging="166"/>
      </w:pPr>
    </w:lvl>
    <w:lvl w:ilvl="7">
      <w:numFmt w:val="bullet"/>
      <w:lvlText w:val="•"/>
      <w:lvlJc w:val="left"/>
      <w:pPr>
        <w:ind w:left="6718" w:hanging="166"/>
      </w:pPr>
    </w:lvl>
    <w:lvl w:ilvl="8">
      <w:numFmt w:val="bullet"/>
      <w:lvlText w:val="•"/>
      <w:lvlJc w:val="left"/>
      <w:pPr>
        <w:ind w:left="7646" w:hanging="166"/>
      </w:pPr>
    </w:lvl>
  </w:abstractNum>
  <w:abstractNum w:abstractNumId="1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FF469A"/>
    <w:multiLevelType w:val="hybridMultilevel"/>
    <w:tmpl w:val="6D1C5C8C"/>
    <w:lvl w:ilvl="0" w:tplc="CCB02D9E">
      <w:start w:val="1"/>
      <w:numFmt w:val="bullet"/>
      <w:lvlText w:val="-"/>
      <w:lvlJc w:val="left"/>
      <w:pPr>
        <w:ind w:left="722" w:hanging="562"/>
      </w:pPr>
      <w:rPr>
        <w:rFonts w:ascii="Times New Roman" w:eastAsia="Times New Roman" w:hAnsi="Times New Roman" w:hint="default"/>
        <w:sz w:val="22"/>
        <w:szCs w:val="22"/>
      </w:rPr>
    </w:lvl>
    <w:lvl w:ilvl="1" w:tplc="744E659E">
      <w:start w:val="1"/>
      <w:numFmt w:val="bullet"/>
      <w:lvlText w:val="•"/>
      <w:lvlJc w:val="left"/>
      <w:pPr>
        <w:ind w:left="1584" w:hanging="562"/>
      </w:pPr>
      <w:rPr>
        <w:rFonts w:hint="default"/>
      </w:rPr>
    </w:lvl>
    <w:lvl w:ilvl="2" w:tplc="BCF0C4FC">
      <w:start w:val="1"/>
      <w:numFmt w:val="bullet"/>
      <w:lvlText w:val="•"/>
      <w:lvlJc w:val="left"/>
      <w:pPr>
        <w:ind w:left="2446" w:hanging="562"/>
      </w:pPr>
      <w:rPr>
        <w:rFonts w:hint="default"/>
      </w:rPr>
    </w:lvl>
    <w:lvl w:ilvl="3" w:tplc="ACDCE04C">
      <w:start w:val="1"/>
      <w:numFmt w:val="bullet"/>
      <w:lvlText w:val="•"/>
      <w:lvlJc w:val="left"/>
      <w:pPr>
        <w:ind w:left="3309" w:hanging="562"/>
      </w:pPr>
      <w:rPr>
        <w:rFonts w:hint="default"/>
      </w:rPr>
    </w:lvl>
    <w:lvl w:ilvl="4" w:tplc="5A62D6E2">
      <w:start w:val="1"/>
      <w:numFmt w:val="bullet"/>
      <w:lvlText w:val="•"/>
      <w:lvlJc w:val="left"/>
      <w:pPr>
        <w:ind w:left="4171" w:hanging="562"/>
      </w:pPr>
      <w:rPr>
        <w:rFonts w:hint="default"/>
      </w:rPr>
    </w:lvl>
    <w:lvl w:ilvl="5" w:tplc="569888D6">
      <w:start w:val="1"/>
      <w:numFmt w:val="bullet"/>
      <w:lvlText w:val="•"/>
      <w:lvlJc w:val="left"/>
      <w:pPr>
        <w:ind w:left="5034" w:hanging="562"/>
      </w:pPr>
      <w:rPr>
        <w:rFonts w:hint="default"/>
      </w:rPr>
    </w:lvl>
    <w:lvl w:ilvl="6" w:tplc="11E49432">
      <w:start w:val="1"/>
      <w:numFmt w:val="bullet"/>
      <w:lvlText w:val="•"/>
      <w:lvlJc w:val="left"/>
      <w:pPr>
        <w:ind w:left="5896" w:hanging="562"/>
      </w:pPr>
      <w:rPr>
        <w:rFonts w:hint="default"/>
      </w:rPr>
    </w:lvl>
    <w:lvl w:ilvl="7" w:tplc="B9E66052">
      <w:start w:val="1"/>
      <w:numFmt w:val="bullet"/>
      <w:lvlText w:val="•"/>
      <w:lvlJc w:val="left"/>
      <w:pPr>
        <w:ind w:left="6759" w:hanging="562"/>
      </w:pPr>
      <w:rPr>
        <w:rFonts w:hint="default"/>
      </w:rPr>
    </w:lvl>
    <w:lvl w:ilvl="8" w:tplc="B24CC052">
      <w:start w:val="1"/>
      <w:numFmt w:val="bullet"/>
      <w:lvlText w:val="•"/>
      <w:lvlJc w:val="left"/>
      <w:pPr>
        <w:ind w:left="7621" w:hanging="562"/>
      </w:pPr>
      <w:rPr>
        <w:rFonts w:hint="default"/>
      </w:rPr>
    </w:lvl>
  </w:abstractNum>
  <w:abstractNum w:abstractNumId="21" w15:restartNumberingAfterBreak="0">
    <w:nsid w:val="15466429"/>
    <w:multiLevelType w:val="hybridMultilevel"/>
    <w:tmpl w:val="87EAA6B6"/>
    <w:lvl w:ilvl="0" w:tplc="3D624F70">
      <w:start w:val="1"/>
      <w:numFmt w:val="decimal"/>
      <w:lvlText w:val="%1)"/>
      <w:lvlJc w:val="left"/>
      <w:pPr>
        <w:ind w:left="382" w:hanging="240"/>
      </w:pPr>
      <w:rPr>
        <w:rFonts w:ascii="Times New Roman" w:eastAsia="Times New Roman" w:hAnsi="Times New Roman" w:hint="default"/>
        <w:sz w:val="22"/>
        <w:szCs w:val="22"/>
      </w:rPr>
    </w:lvl>
    <w:lvl w:ilvl="1" w:tplc="FF3C555C">
      <w:start w:val="1"/>
      <w:numFmt w:val="bullet"/>
      <w:lvlText w:val="•"/>
      <w:lvlJc w:val="left"/>
      <w:pPr>
        <w:ind w:left="1307" w:hanging="240"/>
      </w:pPr>
      <w:rPr>
        <w:rFonts w:hint="default"/>
      </w:rPr>
    </w:lvl>
    <w:lvl w:ilvl="2" w:tplc="05141802">
      <w:start w:val="1"/>
      <w:numFmt w:val="bullet"/>
      <w:lvlText w:val="•"/>
      <w:lvlJc w:val="left"/>
      <w:pPr>
        <w:ind w:left="2231" w:hanging="240"/>
      </w:pPr>
      <w:rPr>
        <w:rFonts w:hint="default"/>
      </w:rPr>
    </w:lvl>
    <w:lvl w:ilvl="3" w:tplc="509CC952">
      <w:start w:val="1"/>
      <w:numFmt w:val="bullet"/>
      <w:lvlText w:val="•"/>
      <w:lvlJc w:val="left"/>
      <w:pPr>
        <w:ind w:left="3156" w:hanging="240"/>
      </w:pPr>
      <w:rPr>
        <w:rFonts w:hint="default"/>
      </w:rPr>
    </w:lvl>
    <w:lvl w:ilvl="4" w:tplc="FFACF70C">
      <w:start w:val="1"/>
      <w:numFmt w:val="bullet"/>
      <w:lvlText w:val="•"/>
      <w:lvlJc w:val="left"/>
      <w:pPr>
        <w:ind w:left="4080" w:hanging="240"/>
      </w:pPr>
      <w:rPr>
        <w:rFonts w:hint="default"/>
      </w:rPr>
    </w:lvl>
    <w:lvl w:ilvl="5" w:tplc="2DE40220">
      <w:start w:val="1"/>
      <w:numFmt w:val="bullet"/>
      <w:lvlText w:val="•"/>
      <w:lvlJc w:val="left"/>
      <w:pPr>
        <w:ind w:left="5005" w:hanging="240"/>
      </w:pPr>
      <w:rPr>
        <w:rFonts w:hint="default"/>
      </w:rPr>
    </w:lvl>
    <w:lvl w:ilvl="6" w:tplc="F0B03902">
      <w:start w:val="1"/>
      <w:numFmt w:val="bullet"/>
      <w:lvlText w:val="•"/>
      <w:lvlJc w:val="left"/>
      <w:pPr>
        <w:ind w:left="5930" w:hanging="240"/>
      </w:pPr>
      <w:rPr>
        <w:rFonts w:hint="default"/>
      </w:rPr>
    </w:lvl>
    <w:lvl w:ilvl="7" w:tplc="8E76B19C">
      <w:start w:val="1"/>
      <w:numFmt w:val="bullet"/>
      <w:lvlText w:val="•"/>
      <w:lvlJc w:val="left"/>
      <w:pPr>
        <w:ind w:left="6854" w:hanging="240"/>
      </w:pPr>
      <w:rPr>
        <w:rFonts w:hint="default"/>
      </w:rPr>
    </w:lvl>
    <w:lvl w:ilvl="8" w:tplc="22CE7EF2">
      <w:start w:val="1"/>
      <w:numFmt w:val="bullet"/>
      <w:lvlText w:val="•"/>
      <w:lvlJc w:val="left"/>
      <w:pPr>
        <w:ind w:left="7779" w:hanging="240"/>
      </w:pPr>
      <w:rPr>
        <w:rFonts w:hint="default"/>
      </w:rPr>
    </w:lvl>
  </w:abstractNum>
  <w:abstractNum w:abstractNumId="22" w15:restartNumberingAfterBreak="0">
    <w:nsid w:val="1FAF3809"/>
    <w:multiLevelType w:val="hybridMultilevel"/>
    <w:tmpl w:val="BCA48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4660F10"/>
    <w:multiLevelType w:val="hybridMultilevel"/>
    <w:tmpl w:val="27F07496"/>
    <w:lvl w:ilvl="0" w:tplc="22E64E54">
      <w:start w:val="1"/>
      <w:numFmt w:val="bullet"/>
      <w:lvlText w:val="-"/>
      <w:lvlJc w:val="left"/>
      <w:pPr>
        <w:ind w:left="511" w:hanging="360"/>
      </w:pPr>
      <w:rPr>
        <w:rFonts w:ascii="Times New Roman" w:eastAsia="Times New Roman" w:hAnsi="Times New Roman" w:hint="default"/>
        <w:sz w:val="22"/>
        <w:szCs w:val="22"/>
      </w:rPr>
    </w:lvl>
    <w:lvl w:ilvl="1" w:tplc="78B06396">
      <w:start w:val="1"/>
      <w:numFmt w:val="bullet"/>
      <w:lvlText w:val="•"/>
      <w:lvlJc w:val="left"/>
      <w:pPr>
        <w:ind w:left="1399" w:hanging="360"/>
      </w:pPr>
      <w:rPr>
        <w:rFonts w:hint="default"/>
      </w:rPr>
    </w:lvl>
    <w:lvl w:ilvl="2" w:tplc="D6FC3A0C">
      <w:start w:val="1"/>
      <w:numFmt w:val="bullet"/>
      <w:lvlText w:val="•"/>
      <w:lvlJc w:val="left"/>
      <w:pPr>
        <w:ind w:left="2287" w:hanging="360"/>
      </w:pPr>
      <w:rPr>
        <w:rFonts w:hint="default"/>
      </w:rPr>
    </w:lvl>
    <w:lvl w:ilvl="3" w:tplc="64628E40">
      <w:start w:val="1"/>
      <w:numFmt w:val="bullet"/>
      <w:lvlText w:val="•"/>
      <w:lvlJc w:val="left"/>
      <w:pPr>
        <w:ind w:left="3174" w:hanging="360"/>
      </w:pPr>
      <w:rPr>
        <w:rFonts w:hint="default"/>
      </w:rPr>
    </w:lvl>
    <w:lvl w:ilvl="4" w:tplc="9F18EBC4">
      <w:start w:val="1"/>
      <w:numFmt w:val="bullet"/>
      <w:lvlText w:val="•"/>
      <w:lvlJc w:val="left"/>
      <w:pPr>
        <w:ind w:left="4062" w:hanging="360"/>
      </w:pPr>
      <w:rPr>
        <w:rFonts w:hint="default"/>
      </w:rPr>
    </w:lvl>
    <w:lvl w:ilvl="5" w:tplc="73224F0A">
      <w:start w:val="1"/>
      <w:numFmt w:val="bullet"/>
      <w:lvlText w:val="•"/>
      <w:lvlJc w:val="left"/>
      <w:pPr>
        <w:ind w:left="4950" w:hanging="360"/>
      </w:pPr>
      <w:rPr>
        <w:rFonts w:hint="default"/>
      </w:rPr>
    </w:lvl>
    <w:lvl w:ilvl="6" w:tplc="B630FD22">
      <w:start w:val="1"/>
      <w:numFmt w:val="bullet"/>
      <w:lvlText w:val="•"/>
      <w:lvlJc w:val="left"/>
      <w:pPr>
        <w:ind w:left="5837" w:hanging="360"/>
      </w:pPr>
      <w:rPr>
        <w:rFonts w:hint="default"/>
      </w:rPr>
    </w:lvl>
    <w:lvl w:ilvl="7" w:tplc="8676E374">
      <w:start w:val="1"/>
      <w:numFmt w:val="bullet"/>
      <w:lvlText w:val="•"/>
      <w:lvlJc w:val="left"/>
      <w:pPr>
        <w:ind w:left="6725" w:hanging="360"/>
      </w:pPr>
      <w:rPr>
        <w:rFonts w:hint="default"/>
      </w:rPr>
    </w:lvl>
    <w:lvl w:ilvl="8" w:tplc="6A46779A">
      <w:start w:val="1"/>
      <w:numFmt w:val="bullet"/>
      <w:lvlText w:val="•"/>
      <w:lvlJc w:val="left"/>
      <w:pPr>
        <w:ind w:left="7613" w:hanging="360"/>
      </w:pPr>
      <w:rPr>
        <w:rFonts w:hint="default"/>
      </w:rPr>
    </w:lvl>
  </w:abstractNum>
  <w:abstractNum w:abstractNumId="24" w15:restartNumberingAfterBreak="0">
    <w:nsid w:val="25A865AF"/>
    <w:multiLevelType w:val="hybridMultilevel"/>
    <w:tmpl w:val="6D609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4273EE"/>
    <w:multiLevelType w:val="hybridMultilevel"/>
    <w:tmpl w:val="A16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F3F96"/>
    <w:multiLevelType w:val="hybridMultilevel"/>
    <w:tmpl w:val="2A288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CD38F7"/>
    <w:multiLevelType w:val="hybridMultilevel"/>
    <w:tmpl w:val="48926EE8"/>
    <w:lvl w:ilvl="0" w:tplc="23B2C7A6">
      <w:start w:val="1"/>
      <w:numFmt w:val="bullet"/>
      <w:lvlText w:val="-"/>
      <w:lvlJc w:val="left"/>
      <w:pPr>
        <w:ind w:left="722" w:hanging="562"/>
      </w:pPr>
      <w:rPr>
        <w:rFonts w:ascii="Times New Roman" w:eastAsia="Times New Roman" w:hAnsi="Times New Roman" w:hint="default"/>
        <w:sz w:val="22"/>
        <w:szCs w:val="22"/>
      </w:rPr>
    </w:lvl>
    <w:lvl w:ilvl="1" w:tplc="C0CAA0DE">
      <w:start w:val="1"/>
      <w:numFmt w:val="bullet"/>
      <w:lvlText w:val="•"/>
      <w:lvlJc w:val="left"/>
      <w:pPr>
        <w:ind w:left="1584" w:hanging="562"/>
      </w:pPr>
      <w:rPr>
        <w:rFonts w:hint="default"/>
      </w:rPr>
    </w:lvl>
    <w:lvl w:ilvl="2" w:tplc="06901110">
      <w:start w:val="1"/>
      <w:numFmt w:val="bullet"/>
      <w:lvlText w:val="•"/>
      <w:lvlJc w:val="left"/>
      <w:pPr>
        <w:ind w:left="2446" w:hanging="562"/>
      </w:pPr>
      <w:rPr>
        <w:rFonts w:hint="default"/>
      </w:rPr>
    </w:lvl>
    <w:lvl w:ilvl="3" w:tplc="080C2804">
      <w:start w:val="1"/>
      <w:numFmt w:val="bullet"/>
      <w:lvlText w:val="•"/>
      <w:lvlJc w:val="left"/>
      <w:pPr>
        <w:ind w:left="3309" w:hanging="562"/>
      </w:pPr>
      <w:rPr>
        <w:rFonts w:hint="default"/>
      </w:rPr>
    </w:lvl>
    <w:lvl w:ilvl="4" w:tplc="94E81EC0">
      <w:start w:val="1"/>
      <w:numFmt w:val="bullet"/>
      <w:lvlText w:val="•"/>
      <w:lvlJc w:val="left"/>
      <w:pPr>
        <w:ind w:left="4171" w:hanging="562"/>
      </w:pPr>
      <w:rPr>
        <w:rFonts w:hint="default"/>
      </w:rPr>
    </w:lvl>
    <w:lvl w:ilvl="5" w:tplc="276EF1CC">
      <w:start w:val="1"/>
      <w:numFmt w:val="bullet"/>
      <w:lvlText w:val="•"/>
      <w:lvlJc w:val="left"/>
      <w:pPr>
        <w:ind w:left="5034" w:hanging="562"/>
      </w:pPr>
      <w:rPr>
        <w:rFonts w:hint="default"/>
      </w:rPr>
    </w:lvl>
    <w:lvl w:ilvl="6" w:tplc="E96C8602">
      <w:start w:val="1"/>
      <w:numFmt w:val="bullet"/>
      <w:lvlText w:val="•"/>
      <w:lvlJc w:val="left"/>
      <w:pPr>
        <w:ind w:left="5896" w:hanging="562"/>
      </w:pPr>
      <w:rPr>
        <w:rFonts w:hint="default"/>
      </w:rPr>
    </w:lvl>
    <w:lvl w:ilvl="7" w:tplc="8EB8981A">
      <w:start w:val="1"/>
      <w:numFmt w:val="bullet"/>
      <w:lvlText w:val="•"/>
      <w:lvlJc w:val="left"/>
      <w:pPr>
        <w:ind w:left="6759" w:hanging="562"/>
      </w:pPr>
      <w:rPr>
        <w:rFonts w:hint="default"/>
      </w:rPr>
    </w:lvl>
    <w:lvl w:ilvl="8" w:tplc="CBA05B00">
      <w:start w:val="1"/>
      <w:numFmt w:val="bullet"/>
      <w:lvlText w:val="•"/>
      <w:lvlJc w:val="left"/>
      <w:pPr>
        <w:ind w:left="7621" w:hanging="562"/>
      </w:pPr>
      <w:rPr>
        <w:rFonts w:hint="default"/>
      </w:rPr>
    </w:lvl>
  </w:abstractNum>
  <w:abstractNum w:abstractNumId="28" w15:restartNumberingAfterBreak="0">
    <w:nsid w:val="39E30093"/>
    <w:multiLevelType w:val="hybridMultilevel"/>
    <w:tmpl w:val="8B328BE8"/>
    <w:lvl w:ilvl="0" w:tplc="910C0EB8">
      <w:numFmt w:val="bullet"/>
      <w:lvlText w:val="-"/>
      <w:lvlJc w:val="left"/>
      <w:pPr>
        <w:ind w:left="1399" w:hanging="360"/>
      </w:pPr>
      <w:rPr>
        <w:rFonts w:ascii="Times New Roman" w:eastAsia="Times New Roman" w:hAnsi="Times New Roman" w:cs="Times New Roman"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9" w15:restartNumberingAfterBreak="0">
    <w:nsid w:val="3B1D09FE"/>
    <w:multiLevelType w:val="hybridMultilevel"/>
    <w:tmpl w:val="096A6F42"/>
    <w:lvl w:ilvl="0" w:tplc="914ED870">
      <w:start w:val="1"/>
      <w:numFmt w:val="bullet"/>
      <w:lvlText w:val="-"/>
      <w:lvlJc w:val="left"/>
      <w:pPr>
        <w:ind w:left="722" w:hanging="562"/>
      </w:pPr>
      <w:rPr>
        <w:rFonts w:ascii="Times New Roman" w:eastAsia="Times New Roman" w:hAnsi="Times New Roman" w:hint="default"/>
        <w:sz w:val="22"/>
        <w:szCs w:val="22"/>
      </w:rPr>
    </w:lvl>
    <w:lvl w:ilvl="1" w:tplc="B98EFF08">
      <w:start w:val="1"/>
      <w:numFmt w:val="bullet"/>
      <w:lvlText w:val="o"/>
      <w:lvlJc w:val="left"/>
      <w:pPr>
        <w:ind w:left="1240" w:hanging="540"/>
      </w:pPr>
      <w:rPr>
        <w:rFonts w:ascii="Courier New" w:eastAsia="Courier New" w:hAnsi="Courier New" w:hint="default"/>
        <w:sz w:val="22"/>
        <w:szCs w:val="22"/>
      </w:rPr>
    </w:lvl>
    <w:lvl w:ilvl="2" w:tplc="82208AB4">
      <w:start w:val="1"/>
      <w:numFmt w:val="bullet"/>
      <w:lvlText w:val="•"/>
      <w:lvlJc w:val="left"/>
      <w:pPr>
        <w:ind w:left="2141" w:hanging="540"/>
      </w:pPr>
      <w:rPr>
        <w:rFonts w:hint="default"/>
      </w:rPr>
    </w:lvl>
    <w:lvl w:ilvl="3" w:tplc="827A25AE">
      <w:start w:val="1"/>
      <w:numFmt w:val="bullet"/>
      <w:lvlText w:val="•"/>
      <w:lvlJc w:val="left"/>
      <w:pPr>
        <w:ind w:left="3041" w:hanging="540"/>
      </w:pPr>
      <w:rPr>
        <w:rFonts w:hint="default"/>
      </w:rPr>
    </w:lvl>
    <w:lvl w:ilvl="4" w:tplc="F6DC221A">
      <w:start w:val="1"/>
      <w:numFmt w:val="bullet"/>
      <w:lvlText w:val="•"/>
      <w:lvlJc w:val="left"/>
      <w:pPr>
        <w:ind w:left="3942" w:hanging="540"/>
      </w:pPr>
      <w:rPr>
        <w:rFonts w:hint="default"/>
      </w:rPr>
    </w:lvl>
    <w:lvl w:ilvl="5" w:tplc="80E69FC8">
      <w:start w:val="1"/>
      <w:numFmt w:val="bullet"/>
      <w:lvlText w:val="•"/>
      <w:lvlJc w:val="left"/>
      <w:pPr>
        <w:ind w:left="4843" w:hanging="540"/>
      </w:pPr>
      <w:rPr>
        <w:rFonts w:hint="default"/>
      </w:rPr>
    </w:lvl>
    <w:lvl w:ilvl="6" w:tplc="4BD81672">
      <w:start w:val="1"/>
      <w:numFmt w:val="bullet"/>
      <w:lvlText w:val="•"/>
      <w:lvlJc w:val="left"/>
      <w:pPr>
        <w:ind w:left="5743" w:hanging="540"/>
      </w:pPr>
      <w:rPr>
        <w:rFonts w:hint="default"/>
      </w:rPr>
    </w:lvl>
    <w:lvl w:ilvl="7" w:tplc="68B2E590">
      <w:start w:val="1"/>
      <w:numFmt w:val="bullet"/>
      <w:lvlText w:val="•"/>
      <w:lvlJc w:val="left"/>
      <w:pPr>
        <w:ind w:left="6644" w:hanging="540"/>
      </w:pPr>
      <w:rPr>
        <w:rFonts w:hint="default"/>
      </w:rPr>
    </w:lvl>
    <w:lvl w:ilvl="8" w:tplc="626E7888">
      <w:start w:val="1"/>
      <w:numFmt w:val="bullet"/>
      <w:lvlText w:val="•"/>
      <w:lvlJc w:val="left"/>
      <w:pPr>
        <w:ind w:left="7545" w:hanging="540"/>
      </w:pPr>
      <w:rPr>
        <w:rFonts w:hint="default"/>
      </w:rPr>
    </w:lvl>
  </w:abstractNum>
  <w:abstractNum w:abstractNumId="30" w15:restartNumberingAfterBreak="0">
    <w:nsid w:val="3C111FEF"/>
    <w:multiLevelType w:val="hybridMultilevel"/>
    <w:tmpl w:val="3AB6CB0A"/>
    <w:lvl w:ilvl="0" w:tplc="B46C1006">
      <w:numFmt w:val="bullet"/>
      <w:lvlText w:val=""/>
      <w:lvlJc w:val="left"/>
      <w:pPr>
        <w:ind w:left="1804" w:hanging="1125"/>
      </w:pPr>
      <w:rPr>
        <w:rFonts w:ascii="Wingdings" w:eastAsiaTheme="minorEastAsia" w:hAnsi="Wingdings" w:cs="Wingdings"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31" w15:restartNumberingAfterBreak="0">
    <w:nsid w:val="46C249E7"/>
    <w:multiLevelType w:val="hybridMultilevel"/>
    <w:tmpl w:val="DCA8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C231B"/>
    <w:multiLevelType w:val="hybridMultilevel"/>
    <w:tmpl w:val="144AE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A67975"/>
    <w:multiLevelType w:val="hybridMultilevel"/>
    <w:tmpl w:val="B3B4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000EE"/>
    <w:multiLevelType w:val="multilevel"/>
    <w:tmpl w:val="29866B34"/>
    <w:lvl w:ilvl="0">
      <w:numFmt w:val="bullet"/>
      <w:lvlText w:val=""/>
      <w:lvlJc w:val="left"/>
      <w:pPr>
        <w:ind w:left="685" w:hanging="567"/>
      </w:pPr>
      <w:rPr>
        <w:rFonts w:ascii="Symbol" w:hAnsi="Symbol" w:cs="Symbol"/>
        <w:b w:val="0"/>
        <w:bCs w:val="0"/>
        <w:sz w:val="22"/>
        <w:szCs w:val="22"/>
      </w:rPr>
    </w:lvl>
    <w:lvl w:ilvl="1">
      <w:start w:val="1"/>
      <w:numFmt w:val="bullet"/>
      <w:lvlText w:val="•"/>
      <w:lvlJc w:val="left"/>
      <w:pPr>
        <w:ind w:left="1557" w:hanging="360"/>
      </w:pPr>
      <w:rPr>
        <w:rFonts w:ascii="Times New Roman" w:hAnsi="Times New Roman" w:cs="Times New Roman" w:hint="default"/>
        <w:b/>
        <w:sz w:val="22"/>
      </w:rPr>
    </w:lvl>
    <w:lvl w:ilvl="2">
      <w:numFmt w:val="bullet"/>
      <w:lvlText w:val="•"/>
      <w:lvlJc w:val="left"/>
      <w:pPr>
        <w:ind w:left="2397" w:hanging="339"/>
      </w:pPr>
    </w:lvl>
    <w:lvl w:ilvl="3">
      <w:numFmt w:val="bullet"/>
      <w:lvlText w:val="•"/>
      <w:lvlJc w:val="left"/>
      <w:pPr>
        <w:ind w:left="3257" w:hanging="339"/>
      </w:pPr>
    </w:lvl>
    <w:lvl w:ilvl="4">
      <w:numFmt w:val="bullet"/>
      <w:lvlText w:val="•"/>
      <w:lvlJc w:val="left"/>
      <w:pPr>
        <w:ind w:left="4118" w:hanging="339"/>
      </w:pPr>
    </w:lvl>
    <w:lvl w:ilvl="5">
      <w:numFmt w:val="bullet"/>
      <w:lvlText w:val="•"/>
      <w:lvlJc w:val="left"/>
      <w:pPr>
        <w:ind w:left="4979" w:hanging="339"/>
      </w:pPr>
    </w:lvl>
    <w:lvl w:ilvl="6">
      <w:numFmt w:val="bullet"/>
      <w:lvlText w:val="•"/>
      <w:lvlJc w:val="left"/>
      <w:pPr>
        <w:ind w:left="5840" w:hanging="339"/>
      </w:pPr>
    </w:lvl>
    <w:lvl w:ilvl="7">
      <w:numFmt w:val="bullet"/>
      <w:lvlText w:val="•"/>
      <w:lvlJc w:val="left"/>
      <w:pPr>
        <w:ind w:left="6701" w:hanging="339"/>
      </w:pPr>
    </w:lvl>
    <w:lvl w:ilvl="8">
      <w:numFmt w:val="bullet"/>
      <w:lvlText w:val="•"/>
      <w:lvlJc w:val="left"/>
      <w:pPr>
        <w:ind w:left="7562" w:hanging="339"/>
      </w:p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3"/>
  </w:num>
  <w:num w:numId="7">
    <w:abstractNumId w:val="21"/>
  </w:num>
  <w:num w:numId="8">
    <w:abstractNumId w:val="20"/>
  </w:num>
  <w:num w:numId="9">
    <w:abstractNumId w:val="29"/>
  </w:num>
  <w:num w:numId="10">
    <w:abstractNumId w:val="27"/>
  </w:num>
  <w:num w:numId="11">
    <w:abstractNumId w:val="0"/>
    <w:lvlOverride w:ilvl="0">
      <w:lvl w:ilvl="0">
        <w:start w:val="1"/>
        <w:numFmt w:val="bullet"/>
        <w:lvlText w:val="-"/>
        <w:lvlJc w:val="left"/>
        <w:pPr>
          <w:ind w:left="720" w:hanging="360"/>
        </w:pPr>
      </w:lvl>
    </w:lvlOverride>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28"/>
  </w:num>
  <w:num w:numId="31">
    <w:abstractNumId w:val="30"/>
  </w:num>
  <w:num w:numId="32">
    <w:abstractNumId w:val="22"/>
  </w:num>
  <w:num w:numId="33">
    <w:abstractNumId w:val="32"/>
  </w:num>
  <w:num w:numId="34">
    <w:abstractNumId w:val="25"/>
  </w:num>
  <w:num w:numId="35">
    <w:abstractNumId w:val="31"/>
  </w:num>
  <w:num w:numId="36">
    <w:abstractNumId w:val="33"/>
  </w:num>
  <w:num w:numId="37">
    <w:abstractNumId w:val="34"/>
  </w:num>
  <w:num w:numId="38">
    <w:abstractNumId w:val="2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IN"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0" w:nlCheck="1" w:checkStyle="0"/>
  <w:activeWritingStyle w:appName="MSWord" w:lang="en-GB" w:vendorID="64" w:dllVersion="0" w:nlCheck="1" w:checkStyle="0"/>
  <w:activeWritingStyle w:appName="MSWord" w:lang="en-US" w:vendorID="64" w:dllVersion="0" w:nlCheck="1" w:checkStyle="0"/>
  <w:activeWritingStyle w:appName="MSWord" w:lang="en-IN"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F8"/>
    <w:rsid w:val="00007DA5"/>
    <w:rsid w:val="00022CC4"/>
    <w:rsid w:val="00031199"/>
    <w:rsid w:val="00045986"/>
    <w:rsid w:val="00054728"/>
    <w:rsid w:val="00073E58"/>
    <w:rsid w:val="000A0030"/>
    <w:rsid w:val="000A1DD5"/>
    <w:rsid w:val="000C0D49"/>
    <w:rsid w:val="000C5F8E"/>
    <w:rsid w:val="000D7B29"/>
    <w:rsid w:val="000E2044"/>
    <w:rsid w:val="000E5DB3"/>
    <w:rsid w:val="000F1C75"/>
    <w:rsid w:val="000F6E18"/>
    <w:rsid w:val="0011103F"/>
    <w:rsid w:val="00111AE7"/>
    <w:rsid w:val="00114E7C"/>
    <w:rsid w:val="001325B2"/>
    <w:rsid w:val="001360C5"/>
    <w:rsid w:val="00141407"/>
    <w:rsid w:val="00150F5B"/>
    <w:rsid w:val="001538E8"/>
    <w:rsid w:val="001839C2"/>
    <w:rsid w:val="001A319B"/>
    <w:rsid w:val="001B0B65"/>
    <w:rsid w:val="001D0E2C"/>
    <w:rsid w:val="001D6BC1"/>
    <w:rsid w:val="001E32EA"/>
    <w:rsid w:val="001E5EED"/>
    <w:rsid w:val="001F0C3F"/>
    <w:rsid w:val="0021610A"/>
    <w:rsid w:val="00216FB4"/>
    <w:rsid w:val="002171E9"/>
    <w:rsid w:val="002205D9"/>
    <w:rsid w:val="00221691"/>
    <w:rsid w:val="00226B63"/>
    <w:rsid w:val="00230559"/>
    <w:rsid w:val="002309B5"/>
    <w:rsid w:val="002335D5"/>
    <w:rsid w:val="00236CC2"/>
    <w:rsid w:val="00240E1D"/>
    <w:rsid w:val="002468BD"/>
    <w:rsid w:val="002579D1"/>
    <w:rsid w:val="0026580E"/>
    <w:rsid w:val="00267C16"/>
    <w:rsid w:val="00270ABA"/>
    <w:rsid w:val="00284AB0"/>
    <w:rsid w:val="002923FF"/>
    <w:rsid w:val="00295170"/>
    <w:rsid w:val="002A5F50"/>
    <w:rsid w:val="002D1DDB"/>
    <w:rsid w:val="002D2416"/>
    <w:rsid w:val="002D5010"/>
    <w:rsid w:val="002E11F7"/>
    <w:rsid w:val="002E44D9"/>
    <w:rsid w:val="00300BF7"/>
    <w:rsid w:val="003019AE"/>
    <w:rsid w:val="00306363"/>
    <w:rsid w:val="00314600"/>
    <w:rsid w:val="003274CF"/>
    <w:rsid w:val="003344AA"/>
    <w:rsid w:val="0035596B"/>
    <w:rsid w:val="00362D02"/>
    <w:rsid w:val="00366CCB"/>
    <w:rsid w:val="0037582D"/>
    <w:rsid w:val="003827E1"/>
    <w:rsid w:val="003932C1"/>
    <w:rsid w:val="003957D4"/>
    <w:rsid w:val="003958F1"/>
    <w:rsid w:val="003973F5"/>
    <w:rsid w:val="003A67B7"/>
    <w:rsid w:val="003C1AD2"/>
    <w:rsid w:val="003D3FA5"/>
    <w:rsid w:val="003E02BA"/>
    <w:rsid w:val="003E15DA"/>
    <w:rsid w:val="003E6423"/>
    <w:rsid w:val="003E7B5B"/>
    <w:rsid w:val="003F486D"/>
    <w:rsid w:val="004066F4"/>
    <w:rsid w:val="00414F59"/>
    <w:rsid w:val="0042167A"/>
    <w:rsid w:val="00422758"/>
    <w:rsid w:val="00422A28"/>
    <w:rsid w:val="00445F91"/>
    <w:rsid w:val="0044686F"/>
    <w:rsid w:val="00454F84"/>
    <w:rsid w:val="0045703B"/>
    <w:rsid w:val="00457E5B"/>
    <w:rsid w:val="00463D6F"/>
    <w:rsid w:val="00481A96"/>
    <w:rsid w:val="00492F4B"/>
    <w:rsid w:val="004A4C3D"/>
    <w:rsid w:val="004B3279"/>
    <w:rsid w:val="004B57B9"/>
    <w:rsid w:val="004C4831"/>
    <w:rsid w:val="004D2B4F"/>
    <w:rsid w:val="004D32AA"/>
    <w:rsid w:val="004D75A0"/>
    <w:rsid w:val="00500F79"/>
    <w:rsid w:val="00502900"/>
    <w:rsid w:val="005170D1"/>
    <w:rsid w:val="00525C91"/>
    <w:rsid w:val="00527C19"/>
    <w:rsid w:val="0054395D"/>
    <w:rsid w:val="005606FA"/>
    <w:rsid w:val="005619F0"/>
    <w:rsid w:val="005630EB"/>
    <w:rsid w:val="005749F9"/>
    <w:rsid w:val="00574DE6"/>
    <w:rsid w:val="00577522"/>
    <w:rsid w:val="00586A0A"/>
    <w:rsid w:val="00590FE1"/>
    <w:rsid w:val="00594616"/>
    <w:rsid w:val="00594EFD"/>
    <w:rsid w:val="0059735E"/>
    <w:rsid w:val="005A02B7"/>
    <w:rsid w:val="005A1075"/>
    <w:rsid w:val="005A7242"/>
    <w:rsid w:val="005B1714"/>
    <w:rsid w:val="005B362C"/>
    <w:rsid w:val="005B3A0B"/>
    <w:rsid w:val="005C04DD"/>
    <w:rsid w:val="005D059A"/>
    <w:rsid w:val="005D5385"/>
    <w:rsid w:val="005D5CA5"/>
    <w:rsid w:val="005E0C14"/>
    <w:rsid w:val="005E1C21"/>
    <w:rsid w:val="005E5DB7"/>
    <w:rsid w:val="005E7829"/>
    <w:rsid w:val="00603466"/>
    <w:rsid w:val="00620337"/>
    <w:rsid w:val="00621A81"/>
    <w:rsid w:val="006244AA"/>
    <w:rsid w:val="00636151"/>
    <w:rsid w:val="00641B9C"/>
    <w:rsid w:val="0064206D"/>
    <w:rsid w:val="00651DAF"/>
    <w:rsid w:val="006523CB"/>
    <w:rsid w:val="00653DE1"/>
    <w:rsid w:val="00663190"/>
    <w:rsid w:val="00665F64"/>
    <w:rsid w:val="00677F06"/>
    <w:rsid w:val="00680E75"/>
    <w:rsid w:val="006828F9"/>
    <w:rsid w:val="00686907"/>
    <w:rsid w:val="006A1585"/>
    <w:rsid w:val="006B40D0"/>
    <w:rsid w:val="006B530F"/>
    <w:rsid w:val="006B6981"/>
    <w:rsid w:val="006C68ED"/>
    <w:rsid w:val="006D3B5E"/>
    <w:rsid w:val="006F3A54"/>
    <w:rsid w:val="006F72D8"/>
    <w:rsid w:val="006F7BE3"/>
    <w:rsid w:val="00705F1A"/>
    <w:rsid w:val="00712608"/>
    <w:rsid w:val="00713C89"/>
    <w:rsid w:val="00720543"/>
    <w:rsid w:val="00735856"/>
    <w:rsid w:val="00736A1E"/>
    <w:rsid w:val="00750CB9"/>
    <w:rsid w:val="0075564F"/>
    <w:rsid w:val="00756F9E"/>
    <w:rsid w:val="00762C3C"/>
    <w:rsid w:val="007733FF"/>
    <w:rsid w:val="007944F8"/>
    <w:rsid w:val="007952A5"/>
    <w:rsid w:val="007A2292"/>
    <w:rsid w:val="007C1F4E"/>
    <w:rsid w:val="007C37AE"/>
    <w:rsid w:val="007C4995"/>
    <w:rsid w:val="007C5F20"/>
    <w:rsid w:val="007D0D88"/>
    <w:rsid w:val="007E0E67"/>
    <w:rsid w:val="007E7631"/>
    <w:rsid w:val="007F5678"/>
    <w:rsid w:val="008006D3"/>
    <w:rsid w:val="008011E9"/>
    <w:rsid w:val="00801C0B"/>
    <w:rsid w:val="00812018"/>
    <w:rsid w:val="00813BBA"/>
    <w:rsid w:val="008229B0"/>
    <w:rsid w:val="008410A2"/>
    <w:rsid w:val="00844559"/>
    <w:rsid w:val="008479F6"/>
    <w:rsid w:val="008552D9"/>
    <w:rsid w:val="00865A94"/>
    <w:rsid w:val="00867CED"/>
    <w:rsid w:val="008737FD"/>
    <w:rsid w:val="00874CDC"/>
    <w:rsid w:val="008762F8"/>
    <w:rsid w:val="00883754"/>
    <w:rsid w:val="00883CF3"/>
    <w:rsid w:val="00893B3E"/>
    <w:rsid w:val="008953F9"/>
    <w:rsid w:val="008A1220"/>
    <w:rsid w:val="008A640B"/>
    <w:rsid w:val="008A6DD0"/>
    <w:rsid w:val="008A6EF7"/>
    <w:rsid w:val="008C3E9F"/>
    <w:rsid w:val="008D4480"/>
    <w:rsid w:val="008D532A"/>
    <w:rsid w:val="008D650D"/>
    <w:rsid w:val="008E0090"/>
    <w:rsid w:val="008E21CA"/>
    <w:rsid w:val="008E5EB0"/>
    <w:rsid w:val="008F3CA4"/>
    <w:rsid w:val="00901F96"/>
    <w:rsid w:val="0090768F"/>
    <w:rsid w:val="00914CFB"/>
    <w:rsid w:val="00923A3A"/>
    <w:rsid w:val="00930B67"/>
    <w:rsid w:val="00930F99"/>
    <w:rsid w:val="009325B8"/>
    <w:rsid w:val="00937762"/>
    <w:rsid w:val="00946355"/>
    <w:rsid w:val="00947116"/>
    <w:rsid w:val="009537DC"/>
    <w:rsid w:val="00955879"/>
    <w:rsid w:val="00961FD0"/>
    <w:rsid w:val="0096725E"/>
    <w:rsid w:val="009755B3"/>
    <w:rsid w:val="0098380C"/>
    <w:rsid w:val="009A00DA"/>
    <w:rsid w:val="009A17CB"/>
    <w:rsid w:val="009A2841"/>
    <w:rsid w:val="009B0BCA"/>
    <w:rsid w:val="009B3EF4"/>
    <w:rsid w:val="009B4BC3"/>
    <w:rsid w:val="009B6A35"/>
    <w:rsid w:val="009C7075"/>
    <w:rsid w:val="009D3371"/>
    <w:rsid w:val="00A15C89"/>
    <w:rsid w:val="00A16069"/>
    <w:rsid w:val="00A35A9A"/>
    <w:rsid w:val="00A37F8A"/>
    <w:rsid w:val="00A45872"/>
    <w:rsid w:val="00A477A5"/>
    <w:rsid w:val="00A540DD"/>
    <w:rsid w:val="00A66F3F"/>
    <w:rsid w:val="00A72F47"/>
    <w:rsid w:val="00A83882"/>
    <w:rsid w:val="00A87BDF"/>
    <w:rsid w:val="00A91F01"/>
    <w:rsid w:val="00A942AE"/>
    <w:rsid w:val="00AA385B"/>
    <w:rsid w:val="00AA482D"/>
    <w:rsid w:val="00AC57A5"/>
    <w:rsid w:val="00AD26D1"/>
    <w:rsid w:val="00AD4B03"/>
    <w:rsid w:val="00AE5BEB"/>
    <w:rsid w:val="00AE649A"/>
    <w:rsid w:val="00AF37D6"/>
    <w:rsid w:val="00AF50DC"/>
    <w:rsid w:val="00AF531C"/>
    <w:rsid w:val="00B2238B"/>
    <w:rsid w:val="00B23597"/>
    <w:rsid w:val="00B3265F"/>
    <w:rsid w:val="00B37B28"/>
    <w:rsid w:val="00B37D3F"/>
    <w:rsid w:val="00B5552E"/>
    <w:rsid w:val="00B67510"/>
    <w:rsid w:val="00B81EFB"/>
    <w:rsid w:val="00B95FA3"/>
    <w:rsid w:val="00BA6555"/>
    <w:rsid w:val="00BB1B4D"/>
    <w:rsid w:val="00BB1F23"/>
    <w:rsid w:val="00BB35AF"/>
    <w:rsid w:val="00BC1D78"/>
    <w:rsid w:val="00BC3EF4"/>
    <w:rsid w:val="00BC4F0D"/>
    <w:rsid w:val="00BD4D42"/>
    <w:rsid w:val="00BD6053"/>
    <w:rsid w:val="00BE047A"/>
    <w:rsid w:val="00BE7138"/>
    <w:rsid w:val="00BF074D"/>
    <w:rsid w:val="00BF22A9"/>
    <w:rsid w:val="00BF3462"/>
    <w:rsid w:val="00BF4605"/>
    <w:rsid w:val="00C02273"/>
    <w:rsid w:val="00C0478C"/>
    <w:rsid w:val="00C05CF7"/>
    <w:rsid w:val="00C05F97"/>
    <w:rsid w:val="00C10D9A"/>
    <w:rsid w:val="00C23944"/>
    <w:rsid w:val="00C272AA"/>
    <w:rsid w:val="00C37417"/>
    <w:rsid w:val="00C37D10"/>
    <w:rsid w:val="00C4409E"/>
    <w:rsid w:val="00C524E9"/>
    <w:rsid w:val="00C71803"/>
    <w:rsid w:val="00C73B37"/>
    <w:rsid w:val="00C7452D"/>
    <w:rsid w:val="00C75C74"/>
    <w:rsid w:val="00C81A01"/>
    <w:rsid w:val="00C91ABC"/>
    <w:rsid w:val="00C96BA2"/>
    <w:rsid w:val="00CB32F8"/>
    <w:rsid w:val="00CB531E"/>
    <w:rsid w:val="00CB64F1"/>
    <w:rsid w:val="00CC35E6"/>
    <w:rsid w:val="00CC4CA6"/>
    <w:rsid w:val="00CC78F8"/>
    <w:rsid w:val="00CD6DD0"/>
    <w:rsid w:val="00CF7F9E"/>
    <w:rsid w:val="00D0029E"/>
    <w:rsid w:val="00D036B6"/>
    <w:rsid w:val="00D0456B"/>
    <w:rsid w:val="00D05E2B"/>
    <w:rsid w:val="00D12A77"/>
    <w:rsid w:val="00D164E5"/>
    <w:rsid w:val="00D23593"/>
    <w:rsid w:val="00D31D51"/>
    <w:rsid w:val="00D41C21"/>
    <w:rsid w:val="00D5345C"/>
    <w:rsid w:val="00D53A51"/>
    <w:rsid w:val="00D6492D"/>
    <w:rsid w:val="00D719BE"/>
    <w:rsid w:val="00D71FB0"/>
    <w:rsid w:val="00D81688"/>
    <w:rsid w:val="00D844AF"/>
    <w:rsid w:val="00D9362F"/>
    <w:rsid w:val="00D93C87"/>
    <w:rsid w:val="00DA09FD"/>
    <w:rsid w:val="00DA6341"/>
    <w:rsid w:val="00DC36AD"/>
    <w:rsid w:val="00DC41B7"/>
    <w:rsid w:val="00DD3D03"/>
    <w:rsid w:val="00DE31D7"/>
    <w:rsid w:val="00DF08E7"/>
    <w:rsid w:val="00DF0DF8"/>
    <w:rsid w:val="00E06572"/>
    <w:rsid w:val="00E16834"/>
    <w:rsid w:val="00E1685A"/>
    <w:rsid w:val="00E16E64"/>
    <w:rsid w:val="00E21FD5"/>
    <w:rsid w:val="00E32EEC"/>
    <w:rsid w:val="00E35ACF"/>
    <w:rsid w:val="00E40D94"/>
    <w:rsid w:val="00E53677"/>
    <w:rsid w:val="00E57428"/>
    <w:rsid w:val="00E61C94"/>
    <w:rsid w:val="00E737B6"/>
    <w:rsid w:val="00E740AB"/>
    <w:rsid w:val="00E865F4"/>
    <w:rsid w:val="00EA0BD1"/>
    <w:rsid w:val="00EB3A05"/>
    <w:rsid w:val="00EB57A2"/>
    <w:rsid w:val="00EC1640"/>
    <w:rsid w:val="00EC626A"/>
    <w:rsid w:val="00EE2F39"/>
    <w:rsid w:val="00EE33EC"/>
    <w:rsid w:val="00EF47C6"/>
    <w:rsid w:val="00EF61E2"/>
    <w:rsid w:val="00F11FC5"/>
    <w:rsid w:val="00F14B85"/>
    <w:rsid w:val="00F15973"/>
    <w:rsid w:val="00F25073"/>
    <w:rsid w:val="00F31572"/>
    <w:rsid w:val="00F40AC1"/>
    <w:rsid w:val="00F44774"/>
    <w:rsid w:val="00F44887"/>
    <w:rsid w:val="00F508ED"/>
    <w:rsid w:val="00F53BC2"/>
    <w:rsid w:val="00F640FF"/>
    <w:rsid w:val="00F8395F"/>
    <w:rsid w:val="00F95A00"/>
    <w:rsid w:val="00F96EFA"/>
    <w:rsid w:val="00FA02ED"/>
    <w:rsid w:val="00FA1D37"/>
    <w:rsid w:val="00FB6B99"/>
    <w:rsid w:val="00FD0B4D"/>
    <w:rsid w:val="00FD2F80"/>
    <w:rsid w:val="00FD5EF9"/>
    <w:rsid w:val="00FD7B62"/>
    <w:rsid w:val="00FF7162"/>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466CC"/>
  <w15:docId w15:val="{01CC8183-BAE4-4CB2-B2CD-E3BD68BE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4995"/>
    <w:pPr>
      <w:tabs>
        <w:tab w:val="left" w:pos="567"/>
      </w:tabs>
      <w:spacing w:after="0" w:line="240" w:lineRule="auto"/>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1"/>
    <w:qFormat/>
    <w:rsid w:val="007C4995"/>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
    <w:qFormat/>
    <w:rsid w:val="007C499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7C499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qFormat/>
    <w:rsid w:val="007C4995"/>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7C4995"/>
    <w:pPr>
      <w:keepNext/>
      <w:jc w:val="both"/>
      <w:outlineLvl w:val="4"/>
    </w:pPr>
    <w:rPr>
      <w:rFonts w:eastAsia="SimSun"/>
      <w:noProof/>
      <w:snapToGrid/>
      <w:sz w:val="20"/>
    </w:rPr>
  </w:style>
  <w:style w:type="paragraph" w:styleId="Antrat6">
    <w:name w:val="heading 6"/>
    <w:basedOn w:val="prastasis"/>
    <w:next w:val="prastasis"/>
    <w:link w:val="Antrat6Diagrama"/>
    <w:uiPriority w:val="9"/>
    <w:qFormat/>
    <w:rsid w:val="007C4995"/>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7C4995"/>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
    <w:qFormat/>
    <w:rsid w:val="007C4995"/>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7C4995"/>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DF0DF8"/>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
    <w:rsid w:val="00DF0DF8"/>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DF0DF8"/>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
    <w:rsid w:val="00DF0DF8"/>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DF0DF8"/>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DF0DF8"/>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DF0DF8"/>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
    <w:rsid w:val="00DF0DF8"/>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DF0DF8"/>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7C4995"/>
    <w:pPr>
      <w:tabs>
        <w:tab w:val="center" w:pos="4536"/>
        <w:tab w:val="right" w:pos="8306"/>
      </w:tabs>
    </w:pPr>
    <w:rPr>
      <w:sz w:val="20"/>
    </w:rPr>
  </w:style>
  <w:style w:type="character" w:customStyle="1" w:styleId="PoratDiagrama">
    <w:name w:val="Poraštė Diagrama"/>
    <w:basedOn w:val="Numatytasispastraiposriftas"/>
    <w:link w:val="Porat"/>
    <w:uiPriority w:val="99"/>
    <w:rsid w:val="00DF0DF8"/>
    <w:rPr>
      <w:rFonts w:ascii="Times New Roman" w:eastAsia="Times New Roman" w:hAnsi="Times New Roman" w:cs="Times New Roman"/>
      <w:snapToGrid w:val="0"/>
      <w:sz w:val="20"/>
      <w:szCs w:val="20"/>
      <w:lang w:val="en-GB"/>
    </w:rPr>
  </w:style>
  <w:style w:type="character" w:customStyle="1" w:styleId="HeaderChar">
    <w:name w:val="Header Char"/>
    <w:uiPriority w:val="99"/>
    <w:rsid w:val="00DF0DF8"/>
    <w:rPr>
      <w:snapToGrid w:val="0"/>
      <w:sz w:val="22"/>
      <w:lang w:val="en-GB" w:eastAsia="en-US"/>
    </w:rPr>
  </w:style>
  <w:style w:type="character" w:styleId="Puslapionumeris">
    <w:name w:val="page number"/>
    <w:uiPriority w:val="99"/>
    <w:rsid w:val="00DF0DF8"/>
    <w:rPr>
      <w:rFonts w:cs="Times New Roman"/>
    </w:rPr>
  </w:style>
  <w:style w:type="character" w:styleId="Hipersaitas">
    <w:name w:val="Hyperlink"/>
    <w:uiPriority w:val="99"/>
    <w:rsid w:val="00DF0DF8"/>
    <w:rPr>
      <w:color w:val="0000FF"/>
      <w:u w:val="single"/>
    </w:rPr>
  </w:style>
  <w:style w:type="paragraph" w:customStyle="1" w:styleId="BodytextAgency">
    <w:name w:val="Body text (Agency)"/>
    <w:basedOn w:val="prastasis"/>
    <w:link w:val="BodytextAgencyChar"/>
    <w:uiPriority w:val="99"/>
    <w:rsid w:val="007C4995"/>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DF0DF8"/>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7C4995"/>
    <w:pPr>
      <w:tabs>
        <w:tab w:val="clear" w:pos="567"/>
      </w:tabs>
      <w:spacing w:line="280" w:lineRule="exact"/>
    </w:pPr>
    <w:rPr>
      <w:rFonts w:ascii="Verdana" w:hAnsi="Verdana"/>
      <w:sz w:val="18"/>
    </w:rPr>
  </w:style>
  <w:style w:type="character" w:customStyle="1" w:styleId="tw4winError">
    <w:name w:val="tw4winError"/>
    <w:uiPriority w:val="99"/>
    <w:rsid w:val="00DF0DF8"/>
    <w:rPr>
      <w:rFonts w:ascii="Courier New" w:hAnsi="Courier New"/>
      <w:color w:val="00FF00"/>
      <w:sz w:val="40"/>
    </w:rPr>
  </w:style>
  <w:style w:type="character" w:customStyle="1" w:styleId="tw4winTerm">
    <w:name w:val="tw4winTerm"/>
    <w:uiPriority w:val="99"/>
    <w:rsid w:val="00DF0DF8"/>
    <w:rPr>
      <w:color w:val="0000FF"/>
    </w:rPr>
  </w:style>
  <w:style w:type="character" w:customStyle="1" w:styleId="tw4winPopup">
    <w:name w:val="tw4winPopup"/>
    <w:uiPriority w:val="99"/>
    <w:rsid w:val="00DF0DF8"/>
    <w:rPr>
      <w:rFonts w:ascii="Courier New" w:hAnsi="Courier New"/>
      <w:noProof/>
      <w:color w:val="008000"/>
    </w:rPr>
  </w:style>
  <w:style w:type="character" w:customStyle="1" w:styleId="tw4winJump">
    <w:name w:val="tw4winJump"/>
    <w:uiPriority w:val="99"/>
    <w:rsid w:val="00DF0DF8"/>
    <w:rPr>
      <w:rFonts w:ascii="Courier New" w:hAnsi="Courier New"/>
      <w:noProof/>
      <w:color w:val="008080"/>
    </w:rPr>
  </w:style>
  <w:style w:type="character" w:customStyle="1" w:styleId="tw4winExternal">
    <w:name w:val="tw4winExternal"/>
    <w:uiPriority w:val="99"/>
    <w:rsid w:val="00DF0DF8"/>
    <w:rPr>
      <w:rFonts w:ascii="Courier New" w:hAnsi="Courier New"/>
      <w:noProof/>
      <w:color w:val="808080"/>
    </w:rPr>
  </w:style>
  <w:style w:type="character" w:customStyle="1" w:styleId="tw4winInternal">
    <w:name w:val="tw4winInternal"/>
    <w:uiPriority w:val="99"/>
    <w:rsid w:val="00DF0DF8"/>
    <w:rPr>
      <w:rFonts w:ascii="Courier New" w:hAnsi="Courier New"/>
      <w:noProof/>
      <w:color w:val="FF0000"/>
    </w:rPr>
  </w:style>
  <w:style w:type="character" w:customStyle="1" w:styleId="DONOTTRANSLATE">
    <w:name w:val="DO_NOT_TRANSLATE"/>
    <w:uiPriority w:val="99"/>
    <w:rsid w:val="00DF0DF8"/>
    <w:rPr>
      <w:rFonts w:ascii="Courier New" w:hAnsi="Courier New"/>
      <w:noProof/>
      <w:color w:val="800000"/>
    </w:rPr>
  </w:style>
  <w:style w:type="paragraph" w:styleId="Debesliotekstas">
    <w:name w:val="Balloon Text"/>
    <w:basedOn w:val="prastasis"/>
    <w:link w:val="DebesliotekstasDiagrama"/>
    <w:uiPriority w:val="99"/>
    <w:rsid w:val="007C4995"/>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DF0DF8"/>
    <w:rPr>
      <w:rFonts w:ascii="Tahoma" w:eastAsia="Times New Roman" w:hAnsi="Tahoma" w:cs="Times New Roman"/>
      <w:snapToGrid w:val="0"/>
      <w:sz w:val="16"/>
      <w:szCs w:val="16"/>
      <w:lang w:val="en-GB"/>
    </w:rPr>
  </w:style>
  <w:style w:type="character" w:styleId="Komentaronuoroda">
    <w:name w:val="annotation reference"/>
    <w:uiPriority w:val="99"/>
    <w:rsid w:val="00DF0DF8"/>
    <w:rPr>
      <w:sz w:val="16"/>
      <w:szCs w:val="16"/>
    </w:rPr>
  </w:style>
  <w:style w:type="paragraph" w:styleId="Komentarotekstas">
    <w:name w:val="annotation text"/>
    <w:basedOn w:val="prastasis"/>
    <w:link w:val="KomentarotekstasDiagrama"/>
    <w:uiPriority w:val="99"/>
    <w:rsid w:val="007C4995"/>
    <w:rPr>
      <w:sz w:val="20"/>
    </w:rPr>
  </w:style>
  <w:style w:type="character" w:customStyle="1" w:styleId="KomentarotekstasDiagrama">
    <w:name w:val="Komentaro tekstas Diagrama"/>
    <w:basedOn w:val="Numatytasispastraiposriftas"/>
    <w:link w:val="Komentarotekstas"/>
    <w:uiPriority w:val="99"/>
    <w:rsid w:val="00DF0DF8"/>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F0DF8"/>
    <w:rPr>
      <w:b/>
      <w:bCs/>
    </w:rPr>
  </w:style>
  <w:style w:type="character" w:customStyle="1" w:styleId="KomentarotemaDiagrama">
    <w:name w:val="Komentaro tema Diagrama"/>
    <w:basedOn w:val="KomentarotekstasDiagrama"/>
    <w:link w:val="Komentarotema"/>
    <w:uiPriority w:val="99"/>
    <w:rsid w:val="00DF0DF8"/>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F0DF8"/>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C4995"/>
    <w:pPr>
      <w:tabs>
        <w:tab w:val="clear" w:pos="567"/>
      </w:tabs>
      <w:spacing w:before="120" w:after="120"/>
      <w:jc w:val="both"/>
    </w:pPr>
    <w:rPr>
      <w:rFonts w:eastAsia="SimSun"/>
      <w:snapToGrid/>
      <w:lang w:val="en-US" w:eastAsia="zh-CN"/>
    </w:rPr>
  </w:style>
  <w:style w:type="character" w:customStyle="1" w:styleId="tw4winMark">
    <w:name w:val="tw4winMark"/>
    <w:uiPriority w:val="99"/>
    <w:rsid w:val="00DF0DF8"/>
    <w:rPr>
      <w:rFonts w:ascii="Courier New" w:hAnsi="Courier New"/>
      <w:vanish/>
      <w:color w:val="800080"/>
      <w:sz w:val="24"/>
      <w:vertAlign w:val="subscript"/>
    </w:rPr>
  </w:style>
  <w:style w:type="paragraph" w:styleId="Antrats">
    <w:name w:val="header"/>
    <w:basedOn w:val="prastasis"/>
    <w:link w:val="AntratsDiagrama"/>
    <w:uiPriority w:val="99"/>
    <w:rsid w:val="007C4995"/>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DF0DF8"/>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7C4995"/>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DF0DF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C4995"/>
    <w:pPr>
      <w:tabs>
        <w:tab w:val="clear" w:pos="567"/>
      </w:tabs>
      <w:autoSpaceDE w:val="0"/>
      <w:autoSpaceDN w:val="0"/>
      <w:adjustRightInd w:val="0"/>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DF0DF8"/>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7C4995"/>
    <w:pPr>
      <w:tabs>
        <w:tab w:val="clear" w:pos="567"/>
      </w:tabs>
      <w:autoSpaceDE w:val="0"/>
      <w:autoSpaceDN w:val="0"/>
      <w:adjustRightInd w:val="0"/>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DF0DF8"/>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7C499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DF0DF8"/>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1"/>
    <w:qFormat/>
    <w:rsid w:val="007C4995"/>
    <w:pPr>
      <w:tabs>
        <w:tab w:val="clear" w:pos="567"/>
      </w:tabs>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1"/>
    <w:rsid w:val="00DF0DF8"/>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7C4995"/>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DF0DF8"/>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7C4995"/>
    <w:pPr>
      <w:tabs>
        <w:tab w:val="clear" w:pos="567"/>
        <w:tab w:val="num" w:pos="720"/>
      </w:tabs>
      <w:spacing w:after="120"/>
      <w:ind w:left="284" w:hanging="284"/>
    </w:pPr>
    <w:rPr>
      <w:rFonts w:ascii="Arial" w:eastAsia="SimSun" w:hAnsi="Arial" w:cs="Arial"/>
      <w:b/>
      <w:bCs/>
      <w:snapToGrid/>
      <w:sz w:val="24"/>
    </w:rPr>
  </w:style>
  <w:style w:type="paragraph" w:customStyle="1" w:styleId="AHeader2">
    <w:name w:val="AHeader 2"/>
    <w:basedOn w:val="AHeader1"/>
    <w:uiPriority w:val="99"/>
    <w:rsid w:val="00DF0DF8"/>
    <w:pPr>
      <w:tabs>
        <w:tab w:val="clear" w:pos="720"/>
        <w:tab w:val="num" w:pos="360"/>
      </w:tabs>
      <w:ind w:left="709" w:hanging="425"/>
    </w:pPr>
    <w:rPr>
      <w:sz w:val="22"/>
    </w:rPr>
  </w:style>
  <w:style w:type="paragraph" w:customStyle="1" w:styleId="AHeader3">
    <w:name w:val="AHeader 3"/>
    <w:basedOn w:val="AHeader2"/>
    <w:uiPriority w:val="99"/>
    <w:rsid w:val="00DF0DF8"/>
    <w:pPr>
      <w:ind w:left="1276" w:hanging="567"/>
    </w:pPr>
  </w:style>
  <w:style w:type="paragraph" w:customStyle="1" w:styleId="AHeader2abc">
    <w:name w:val="AHeader 2 abc"/>
    <w:basedOn w:val="AHeader3"/>
    <w:uiPriority w:val="99"/>
    <w:rsid w:val="00DF0DF8"/>
    <w:pPr>
      <w:jc w:val="both"/>
    </w:pPr>
    <w:rPr>
      <w:b w:val="0"/>
      <w:bCs w:val="0"/>
    </w:rPr>
  </w:style>
  <w:style w:type="paragraph" w:customStyle="1" w:styleId="AHeader3abc">
    <w:name w:val="AHeader 3 abc"/>
    <w:basedOn w:val="AHeader2abc"/>
    <w:uiPriority w:val="99"/>
    <w:rsid w:val="00DF0DF8"/>
    <w:pPr>
      <w:ind w:left="1701" w:hanging="425"/>
    </w:pPr>
  </w:style>
  <w:style w:type="paragraph" w:styleId="Pagrindiniotekstotrauka3">
    <w:name w:val="Body Text Indent 3"/>
    <w:basedOn w:val="prastasis"/>
    <w:link w:val="Pagrindiniotekstotrauka3Diagrama"/>
    <w:uiPriority w:val="99"/>
    <w:rsid w:val="007C4995"/>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DF0DF8"/>
    <w:rPr>
      <w:rFonts w:ascii="Times New Roman" w:eastAsia="SimSun" w:hAnsi="Times New Roman" w:cs="Times New Roman"/>
      <w:sz w:val="20"/>
      <w:szCs w:val="21"/>
      <w:lang w:val="en-GB"/>
    </w:rPr>
  </w:style>
  <w:style w:type="character" w:styleId="Perirtashipersaitas">
    <w:name w:val="FollowedHyperlink"/>
    <w:uiPriority w:val="99"/>
    <w:rsid w:val="00DF0DF8"/>
    <w:rPr>
      <w:rFonts w:cs="Times New Roman"/>
      <w:color w:val="800080"/>
      <w:u w:val="single"/>
    </w:rPr>
  </w:style>
  <w:style w:type="character" w:styleId="Grietas">
    <w:name w:val="Strong"/>
    <w:uiPriority w:val="99"/>
    <w:qFormat/>
    <w:rsid w:val="00DF0DF8"/>
    <w:rPr>
      <w:rFonts w:cs="Times New Roman"/>
      <w:b/>
      <w:bCs/>
    </w:rPr>
  </w:style>
  <w:style w:type="character" w:customStyle="1" w:styleId="BodytextAgencyChar">
    <w:name w:val="Body text (Agency) Char"/>
    <w:link w:val="BodytextAgency"/>
    <w:uiPriority w:val="99"/>
    <w:locked/>
    <w:rsid w:val="00DF0DF8"/>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DF0DF8"/>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F0DF8"/>
    <w:pPr>
      <w:keepNext/>
    </w:pPr>
    <w:rPr>
      <w:rFonts w:eastAsia="SimSun" w:cs="Verdana"/>
      <w:b/>
      <w:snapToGrid/>
      <w:szCs w:val="18"/>
      <w:lang w:eastAsia="en-GB"/>
    </w:rPr>
  </w:style>
  <w:style w:type="character" w:customStyle="1" w:styleId="NormalAgencyChar">
    <w:name w:val="Normal (Agency) Char"/>
    <w:link w:val="NormalAgency"/>
    <w:uiPriority w:val="99"/>
    <w:locked/>
    <w:rsid w:val="00DF0DF8"/>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7C4995"/>
    <w:pPr>
      <w:tabs>
        <w:tab w:val="clear" w:pos="567"/>
      </w:tabs>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DF0DF8"/>
    <w:rPr>
      <w:rFonts w:ascii="Courier New" w:eastAsia="SimSun" w:hAnsi="Courier New" w:cs="Times New Roman"/>
      <w:sz w:val="20"/>
      <w:szCs w:val="20"/>
      <w:lang w:val="en-US"/>
    </w:rPr>
  </w:style>
  <w:style w:type="paragraph" w:customStyle="1" w:styleId="Default">
    <w:name w:val="Default"/>
    <w:rsid w:val="00DF0DF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7C4995"/>
    <w:pPr>
      <w:tabs>
        <w:tab w:val="clear" w:pos="567"/>
      </w:tabs>
      <w:jc w:val="center"/>
    </w:pPr>
    <w:rPr>
      <w:rFonts w:eastAsia="SimSun"/>
      <w:b/>
      <w:snapToGrid/>
      <w:sz w:val="20"/>
    </w:rPr>
  </w:style>
  <w:style w:type="character" w:customStyle="1" w:styleId="PavadinimasDiagrama">
    <w:name w:val="Pavadinimas Diagrama"/>
    <w:basedOn w:val="Numatytasispastraiposriftas"/>
    <w:link w:val="Pavadinimas"/>
    <w:uiPriority w:val="99"/>
    <w:rsid w:val="00DF0DF8"/>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7C4995"/>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DF0DF8"/>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454F84"/>
    <w:pPr>
      <w:tabs>
        <w:tab w:val="clear" w:pos="567"/>
      </w:tabs>
    </w:pPr>
    <w:rPr>
      <w:rFonts w:eastAsia="SimSun"/>
      <w:noProof/>
      <w:snapToGrid/>
      <w:sz w:val="20"/>
    </w:rPr>
  </w:style>
  <w:style w:type="character" w:customStyle="1" w:styleId="BTEMEASMCAChar">
    <w:name w:val="BT EMEA_SMCA Char"/>
    <w:link w:val="BTEMEASMCA"/>
    <w:uiPriority w:val="99"/>
    <w:locked/>
    <w:rsid w:val="00454F84"/>
    <w:rPr>
      <w:rFonts w:ascii="Times New Roman" w:eastAsia="SimSun" w:hAnsi="Times New Roman" w:cs="Times New Roman"/>
      <w:noProof/>
      <w:sz w:val="20"/>
      <w:szCs w:val="20"/>
      <w:lang w:val="en-GB"/>
    </w:rPr>
  </w:style>
  <w:style w:type="character" w:customStyle="1" w:styleId="CharChar12">
    <w:name w:val="Char Char12"/>
    <w:locked/>
    <w:rsid w:val="00DF0DF8"/>
    <w:rPr>
      <w:snapToGrid w:val="0"/>
      <w:lang w:val="en-GB" w:eastAsia="en-US" w:bidi="ar-SA"/>
    </w:rPr>
  </w:style>
  <w:style w:type="paragraph" w:customStyle="1" w:styleId="TableParagraph">
    <w:name w:val="Table Paragraph"/>
    <w:basedOn w:val="prastasis"/>
    <w:uiPriority w:val="1"/>
    <w:qFormat/>
    <w:rsid w:val="007C4995"/>
    <w:pPr>
      <w:widowControl w:val="0"/>
      <w:tabs>
        <w:tab w:val="clear" w:pos="567"/>
      </w:tabs>
    </w:pPr>
    <w:rPr>
      <w:rFonts w:ascii="Calibri" w:eastAsia="Calibri" w:hAnsi="Calibri"/>
      <w:snapToGrid/>
      <w:szCs w:val="22"/>
      <w:lang w:val="lt-LT" w:eastAsia="lt-LT" w:bidi="lt-LT"/>
    </w:rPr>
  </w:style>
  <w:style w:type="table" w:styleId="Lentelstinklelis">
    <w:name w:val="Table Grid"/>
    <w:basedOn w:val="prastojilentel"/>
    <w:uiPriority w:val="59"/>
    <w:rsid w:val="00DF0DF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AE5BEB"/>
    <w:pPr>
      <w:ind w:left="720"/>
      <w:contextualSpacing/>
    </w:pPr>
  </w:style>
  <w:style w:type="numbering" w:customStyle="1" w:styleId="NoList1">
    <w:name w:val="No List1"/>
    <w:next w:val="Sraonra"/>
    <w:uiPriority w:val="99"/>
    <w:semiHidden/>
    <w:unhideWhenUsed/>
    <w:rsid w:val="007C4995"/>
  </w:style>
  <w:style w:type="numbering" w:customStyle="1" w:styleId="NoList2">
    <w:name w:val="No List2"/>
    <w:next w:val="Sraonra"/>
    <w:uiPriority w:val="99"/>
    <w:semiHidden/>
    <w:unhideWhenUsed/>
    <w:rsid w:val="002A5F50"/>
  </w:style>
  <w:style w:type="numbering" w:customStyle="1" w:styleId="NoList3">
    <w:name w:val="No List3"/>
    <w:next w:val="Sraonra"/>
    <w:uiPriority w:val="99"/>
    <w:semiHidden/>
    <w:unhideWhenUsed/>
    <w:rsid w:val="002A5F50"/>
  </w:style>
  <w:style w:type="table" w:customStyle="1" w:styleId="TableGrid1">
    <w:name w:val="Table Grid1"/>
    <w:basedOn w:val="prastojilentel"/>
    <w:next w:val="Lentelstinklelis"/>
    <w:uiPriority w:val="59"/>
    <w:rsid w:val="002A5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314232">
      <w:bodyDiv w:val="1"/>
      <w:marLeft w:val="0"/>
      <w:marRight w:val="0"/>
      <w:marTop w:val="0"/>
      <w:marBottom w:val="0"/>
      <w:divBdr>
        <w:top w:val="none" w:sz="0" w:space="0" w:color="auto"/>
        <w:left w:val="none" w:sz="0" w:space="0" w:color="auto"/>
        <w:bottom w:val="none" w:sz="0" w:space="0" w:color="auto"/>
        <w:right w:val="none" w:sz="0" w:space="0" w:color="auto"/>
      </w:divBdr>
    </w:div>
    <w:div w:id="1760785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BF22-C3A4-4878-BDF7-3A78342C4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24A7A-A9C3-4518-A6E1-6BE4F4FEB042}">
  <ds:schemaRefs>
    <ds:schemaRef ds:uri="http://schemas.microsoft.com/sharepoint/v3/contenttype/forms"/>
  </ds:schemaRefs>
</ds:datastoreItem>
</file>

<file path=customXml/itemProps3.xml><?xml version="1.0" encoding="utf-8"?>
<ds:datastoreItem xmlns:ds="http://schemas.openxmlformats.org/officeDocument/2006/customXml" ds:itemID="{1E141485-CA71-4650-A1E0-32BA1088819C}">
  <ds:schemaRefs>
    <ds:schemaRef ds:uri="http://purl.org/dc/terms/"/>
    <ds:schemaRef ds:uri="http://schemas.microsoft.com/office/2006/documentManagement/types"/>
    <ds:schemaRef ds:uri="http://purl.org/dc/dcmitype/"/>
    <ds:schemaRef ds:uri="http://schemas.microsoft.com/office/2006/metadata/properties"/>
    <ds:schemaRef ds:uri="525029b5-868e-4932-a2f1-2267ab1d00cd"/>
    <ds:schemaRef ds:uri="http://www.w3.org/XML/1998/namespace"/>
    <ds:schemaRef ds:uri="http://purl.org/dc/elements/1.1/"/>
    <ds:schemaRef ds:uri="http://schemas.microsoft.com/office/infopath/2007/PartnerControls"/>
    <ds:schemaRef ds:uri="http://schemas.openxmlformats.org/package/2006/metadata/core-properties"/>
    <ds:schemaRef ds:uri="dbf2eccc-375d-4251-95f3-c31d8c476153"/>
  </ds:schemaRefs>
</ds:datastoreItem>
</file>

<file path=customXml/itemProps4.xml><?xml version="1.0" encoding="utf-8"?>
<ds:datastoreItem xmlns:ds="http://schemas.openxmlformats.org/officeDocument/2006/customXml" ds:itemID="{1D3BE03A-63B9-48B1-B9EC-50329087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81194</Words>
  <Characters>46281</Characters>
  <Application>Microsoft Office Word</Application>
  <DocSecurity>4</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2024-09-17T12:38:00Z</dcterms:created>
  <dcterms:modified xsi:type="dcterms:W3CDTF">2024-09-17T12:38:00Z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ies>
</file>