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BE2" w:rsidRPr="007D6556" w:rsidRDefault="00B64BE2" w:rsidP="002414E0">
      <w:pPr>
        <w:pStyle w:val="Antrat8"/>
        <w:rPr>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EC4EA6" w:rsidRDefault="00B64BE2" w:rsidP="00B64BE2">
      <w:pPr>
        <w:rPr>
          <w:szCs w:val="22"/>
          <w:lang w:val="en-US"/>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Default="00B64BE2" w:rsidP="00B64BE2">
      <w:pPr>
        <w:rPr>
          <w:szCs w:val="22"/>
          <w:lang w:val="es-ES_tradnl"/>
        </w:rPr>
      </w:pPr>
    </w:p>
    <w:p w:rsidR="008141E4" w:rsidRDefault="008141E4" w:rsidP="00B64BE2">
      <w:pPr>
        <w:rPr>
          <w:szCs w:val="22"/>
          <w:lang w:val="es-ES_tradnl"/>
        </w:rPr>
      </w:pPr>
    </w:p>
    <w:p w:rsidR="008141E4" w:rsidRDefault="008141E4" w:rsidP="00B64BE2">
      <w:pPr>
        <w:rPr>
          <w:szCs w:val="22"/>
          <w:lang w:val="es-ES_tradnl"/>
        </w:rPr>
      </w:pPr>
    </w:p>
    <w:p w:rsidR="008141E4" w:rsidRDefault="008141E4" w:rsidP="00B64BE2">
      <w:pPr>
        <w:rPr>
          <w:szCs w:val="22"/>
          <w:lang w:val="es-ES_tradnl"/>
        </w:rPr>
      </w:pPr>
    </w:p>
    <w:p w:rsidR="008141E4" w:rsidRDefault="008141E4" w:rsidP="00B64BE2">
      <w:pPr>
        <w:rPr>
          <w:szCs w:val="22"/>
          <w:lang w:val="es-ES_tradnl"/>
        </w:rPr>
      </w:pPr>
    </w:p>
    <w:p w:rsidR="008141E4" w:rsidRDefault="008141E4" w:rsidP="00B64BE2">
      <w:pPr>
        <w:rPr>
          <w:szCs w:val="22"/>
          <w:lang w:val="es-ES_tradnl"/>
        </w:rPr>
      </w:pPr>
    </w:p>
    <w:p w:rsidR="008141E4" w:rsidRDefault="008141E4" w:rsidP="00B64BE2">
      <w:pPr>
        <w:rPr>
          <w:szCs w:val="22"/>
          <w:lang w:val="es-ES_tradnl"/>
        </w:rPr>
      </w:pPr>
    </w:p>
    <w:p w:rsidR="008141E4" w:rsidRPr="007D6556" w:rsidRDefault="008141E4" w:rsidP="00B64BE2">
      <w:pPr>
        <w:rPr>
          <w:szCs w:val="22"/>
          <w:lang w:val="es-ES_tradnl"/>
        </w:rPr>
      </w:pPr>
    </w:p>
    <w:p w:rsidR="00B64BE2" w:rsidRPr="007D6556" w:rsidRDefault="00B64BE2" w:rsidP="00B64BE2">
      <w:pPr>
        <w:rPr>
          <w:szCs w:val="22"/>
          <w:lang w:val="es-ES_tradnl"/>
        </w:rPr>
      </w:pPr>
    </w:p>
    <w:p w:rsidR="00B64BE2" w:rsidRDefault="00B64BE2" w:rsidP="00B64BE2">
      <w:pPr>
        <w:jc w:val="center"/>
        <w:rPr>
          <w:b/>
          <w:szCs w:val="22"/>
          <w:lang w:val="es-ES_tradnl"/>
        </w:rPr>
      </w:pPr>
    </w:p>
    <w:p w:rsidR="00B64BE2" w:rsidRDefault="00B64BE2" w:rsidP="00B64BE2">
      <w:pPr>
        <w:jc w:val="center"/>
        <w:rPr>
          <w:b/>
          <w:szCs w:val="22"/>
          <w:lang w:val="es-ES_tradnl"/>
        </w:rPr>
      </w:pPr>
    </w:p>
    <w:p w:rsidR="00B64BE2" w:rsidRPr="007D6556" w:rsidRDefault="00B64BE2" w:rsidP="00B64BE2">
      <w:pPr>
        <w:jc w:val="center"/>
        <w:rPr>
          <w:b/>
          <w:szCs w:val="22"/>
          <w:lang w:val="es-ES_tradnl"/>
        </w:rPr>
      </w:pPr>
      <w:r w:rsidRPr="007D6556">
        <w:rPr>
          <w:b/>
          <w:szCs w:val="22"/>
          <w:lang w:val="es-ES_tradnl"/>
        </w:rPr>
        <w:t>A ŽENKLINIMAS</w:t>
      </w:r>
    </w:p>
    <w:p w:rsidR="00B64BE2" w:rsidRDefault="00B64BE2" w:rsidP="00B64BE2">
      <w:pPr>
        <w:pBdr>
          <w:top w:val="single" w:sz="4" w:space="1" w:color="auto"/>
          <w:left w:val="single" w:sz="4" w:space="4" w:color="auto"/>
          <w:bottom w:val="single" w:sz="4" w:space="1" w:color="auto"/>
          <w:right w:val="single" w:sz="4" w:space="4" w:color="auto"/>
        </w:pBdr>
        <w:rPr>
          <w:b/>
          <w:szCs w:val="22"/>
        </w:rPr>
      </w:pPr>
      <w:r w:rsidRPr="007D6556">
        <w:rPr>
          <w:b/>
          <w:szCs w:val="22"/>
          <w:lang w:val="es-ES_tradnl"/>
        </w:rPr>
        <w:br w:type="page"/>
      </w:r>
      <w:r w:rsidRPr="007D6556">
        <w:rPr>
          <w:b/>
          <w:szCs w:val="22"/>
        </w:rPr>
        <w:lastRenderedPageBreak/>
        <w:t>INFORMACIJA ANT IŠORINĖS (JEI JOS NĖRA – VIDINĖS) PAKUOTĖS</w:t>
      </w:r>
    </w:p>
    <w:p w:rsidR="00B64BE2" w:rsidRPr="007D6556" w:rsidRDefault="00B64BE2" w:rsidP="00B64BE2">
      <w:pPr>
        <w:pBdr>
          <w:top w:val="single" w:sz="4" w:space="1" w:color="auto"/>
          <w:left w:val="single" w:sz="4" w:space="4" w:color="auto"/>
          <w:bottom w:val="single" w:sz="4" w:space="1" w:color="auto"/>
          <w:right w:val="single" w:sz="4" w:space="4" w:color="auto"/>
        </w:pBdr>
        <w:rPr>
          <w:b/>
          <w:szCs w:val="22"/>
          <w:lang w:val="es-ES_tradnl"/>
        </w:rPr>
      </w:pPr>
    </w:p>
    <w:p w:rsidR="00B64BE2" w:rsidRDefault="00B64BE2" w:rsidP="00B64BE2">
      <w:pPr>
        <w:pBdr>
          <w:top w:val="single" w:sz="4" w:space="1" w:color="auto"/>
          <w:left w:val="single" w:sz="4" w:space="4" w:color="auto"/>
          <w:bottom w:val="single" w:sz="4" w:space="1" w:color="auto"/>
          <w:right w:val="single" w:sz="4" w:space="4" w:color="auto"/>
        </w:pBdr>
        <w:rPr>
          <w:szCs w:val="22"/>
        </w:rPr>
      </w:pPr>
      <w:r>
        <w:rPr>
          <w:szCs w:val="22"/>
        </w:rPr>
        <w:t>KARTONO DĖŽUTĖ</w:t>
      </w:r>
    </w:p>
    <w:p w:rsidR="00B64BE2" w:rsidRPr="007D6556" w:rsidRDefault="00B64BE2" w:rsidP="00B64BE2">
      <w:pPr>
        <w:rPr>
          <w:szCs w:val="22"/>
        </w:rPr>
      </w:pPr>
    </w:p>
    <w:p w:rsidR="00B64BE2" w:rsidRPr="007D6556"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1.</w:t>
      </w:r>
      <w:r w:rsidRPr="007D6556">
        <w:rPr>
          <w:b/>
          <w:szCs w:val="22"/>
        </w:rPr>
        <w:tab/>
        <w:t>VAISTINIO PREPARATO PAVADINIMAS</w:t>
      </w:r>
    </w:p>
    <w:p w:rsidR="00B64BE2" w:rsidRPr="007D6556" w:rsidRDefault="00B64BE2" w:rsidP="00B64BE2">
      <w:pPr>
        <w:rPr>
          <w:szCs w:val="22"/>
        </w:rPr>
      </w:pPr>
    </w:p>
    <w:p w:rsidR="00B64BE2" w:rsidRDefault="00B64BE2" w:rsidP="00B64BE2">
      <w:pPr>
        <w:rPr>
          <w:bCs/>
          <w:szCs w:val="22"/>
        </w:rPr>
      </w:pPr>
      <w:r>
        <w:rPr>
          <w:bCs/>
          <w:szCs w:val="22"/>
        </w:rPr>
        <w:t xml:space="preserve">Fluconazol FARMAGES </w:t>
      </w:r>
      <w:r w:rsidRPr="007D6556">
        <w:rPr>
          <w:bCs/>
          <w:szCs w:val="22"/>
        </w:rPr>
        <w:t xml:space="preserve"> 2 mg/ml infuzinis tirpalas</w:t>
      </w:r>
    </w:p>
    <w:p w:rsidR="00B64BE2" w:rsidRDefault="00B64BE2" w:rsidP="00B64BE2">
      <w:pPr>
        <w:rPr>
          <w:bCs/>
          <w:szCs w:val="22"/>
        </w:rPr>
      </w:pPr>
      <w:r>
        <w:rPr>
          <w:bCs/>
          <w:szCs w:val="22"/>
        </w:rPr>
        <w:t>Fluconazolis</w:t>
      </w:r>
    </w:p>
    <w:p w:rsidR="00B64BE2" w:rsidRPr="007D6556" w:rsidRDefault="00B64BE2" w:rsidP="00B64BE2">
      <w:pPr>
        <w:rPr>
          <w:szCs w:val="22"/>
        </w:rPr>
      </w:pPr>
    </w:p>
    <w:p w:rsidR="00B64BE2" w:rsidRPr="007D6556"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2.</w:t>
      </w:r>
      <w:r w:rsidRPr="007D6556">
        <w:rPr>
          <w:b/>
          <w:szCs w:val="22"/>
        </w:rPr>
        <w:tab/>
        <w:t>VEIKLIOJI MEDŽIAGA IR JOS KIEKIS</w:t>
      </w:r>
    </w:p>
    <w:p w:rsidR="00B64BE2" w:rsidRPr="007D6556" w:rsidRDefault="00B64BE2" w:rsidP="00B64BE2">
      <w:pPr>
        <w:rPr>
          <w:szCs w:val="22"/>
        </w:rPr>
      </w:pPr>
    </w:p>
    <w:p w:rsidR="00B64BE2" w:rsidRPr="007D6556" w:rsidRDefault="00B64BE2" w:rsidP="00B64BE2">
      <w:pPr>
        <w:rPr>
          <w:szCs w:val="22"/>
        </w:rPr>
      </w:pPr>
      <w:r w:rsidRPr="007D6556">
        <w:rPr>
          <w:szCs w:val="22"/>
        </w:rPr>
        <w:t>1 ml infuzinio tirpalo yra 2 mg flukonazolo.</w:t>
      </w:r>
    </w:p>
    <w:p w:rsidR="00B64BE2" w:rsidRDefault="00B64BE2" w:rsidP="00B64BE2">
      <w:pPr>
        <w:rPr>
          <w:szCs w:val="22"/>
        </w:rPr>
      </w:pPr>
      <w:r>
        <w:rPr>
          <w:szCs w:val="22"/>
        </w:rPr>
        <w:t>100 ml mai</w:t>
      </w:r>
      <w:r>
        <w:rPr>
          <w:szCs w:val="22"/>
          <w:lang w:val="lt-LT"/>
        </w:rPr>
        <w:t>šelyje</w:t>
      </w:r>
      <w:r>
        <w:rPr>
          <w:szCs w:val="22"/>
        </w:rPr>
        <w:t xml:space="preserve"> yra 200 mg flukonazolo.</w:t>
      </w:r>
    </w:p>
    <w:p w:rsidR="00B64BE2" w:rsidRDefault="00B64BE2" w:rsidP="00B64BE2">
      <w:pPr>
        <w:rPr>
          <w:szCs w:val="22"/>
        </w:rPr>
      </w:pPr>
      <w:r>
        <w:rPr>
          <w:szCs w:val="22"/>
        </w:rPr>
        <w:t>50 ml mai</w:t>
      </w:r>
      <w:r>
        <w:rPr>
          <w:szCs w:val="22"/>
          <w:lang w:val="lt-LT"/>
        </w:rPr>
        <w:t>šelyje</w:t>
      </w:r>
      <w:r>
        <w:rPr>
          <w:szCs w:val="22"/>
        </w:rPr>
        <w:t xml:space="preserve"> yra 100 mg flukonazolo.</w:t>
      </w:r>
    </w:p>
    <w:p w:rsidR="00B64BE2" w:rsidRPr="007D6556" w:rsidRDefault="00B64BE2" w:rsidP="00B64BE2">
      <w:pPr>
        <w:rPr>
          <w:szCs w:val="22"/>
        </w:rPr>
      </w:pPr>
    </w:p>
    <w:p w:rsidR="00B64BE2" w:rsidRDefault="00B64BE2" w:rsidP="00B64BE2">
      <w:pPr>
        <w:rPr>
          <w:b/>
          <w:szCs w:val="22"/>
        </w:rPr>
      </w:pPr>
    </w:p>
    <w:p w:rsidR="00B64BE2" w:rsidRPr="007D6556" w:rsidRDefault="00B64BE2" w:rsidP="00B64BE2">
      <w:pPr>
        <w:rPr>
          <w:b/>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3.</w:t>
      </w:r>
      <w:r w:rsidRPr="007D6556">
        <w:rPr>
          <w:b/>
          <w:szCs w:val="22"/>
        </w:rPr>
        <w:tab/>
        <w:t>PAGALBINIŲ MEDŽIAGŲ SĄRAŠAS</w:t>
      </w:r>
    </w:p>
    <w:p w:rsidR="00B64BE2" w:rsidRPr="007D6556" w:rsidRDefault="00B64BE2" w:rsidP="00B64BE2">
      <w:pPr>
        <w:rPr>
          <w:b/>
          <w:szCs w:val="22"/>
        </w:rPr>
      </w:pPr>
    </w:p>
    <w:p w:rsidR="00B64BE2" w:rsidRPr="007D6556" w:rsidRDefault="00B64BE2" w:rsidP="00B64BE2">
      <w:pPr>
        <w:rPr>
          <w:szCs w:val="22"/>
        </w:rPr>
      </w:pPr>
      <w:r w:rsidRPr="007D6556">
        <w:rPr>
          <w:szCs w:val="22"/>
        </w:rPr>
        <w:t>Natrio chloridas, injekcinis vanduo</w:t>
      </w:r>
      <w:r>
        <w:rPr>
          <w:szCs w:val="22"/>
        </w:rPr>
        <w:t>.</w:t>
      </w:r>
    </w:p>
    <w:p w:rsidR="00B64BE2" w:rsidRPr="007D6556" w:rsidRDefault="00B64BE2" w:rsidP="00B64BE2">
      <w:pPr>
        <w:rPr>
          <w:szCs w:val="22"/>
        </w:rPr>
      </w:pPr>
    </w:p>
    <w:p w:rsidR="00B64BE2" w:rsidRPr="007D6556"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4.</w:t>
      </w:r>
      <w:r w:rsidRPr="007D6556">
        <w:rPr>
          <w:b/>
          <w:szCs w:val="22"/>
        </w:rPr>
        <w:tab/>
        <w:t>FARMACINĖ FORMA IR KIEKIS PAKUOTĖJE</w:t>
      </w:r>
    </w:p>
    <w:p w:rsidR="00B64BE2" w:rsidRPr="007D6556" w:rsidRDefault="00B64BE2" w:rsidP="00B64BE2">
      <w:pPr>
        <w:rPr>
          <w:b/>
          <w:szCs w:val="22"/>
        </w:rPr>
      </w:pPr>
    </w:p>
    <w:p w:rsidR="00B64BE2" w:rsidRDefault="00B64BE2" w:rsidP="00B64BE2">
      <w:pPr>
        <w:rPr>
          <w:szCs w:val="22"/>
        </w:rPr>
      </w:pPr>
      <w:r w:rsidRPr="007D6556">
        <w:rPr>
          <w:szCs w:val="22"/>
        </w:rPr>
        <w:t>Infuzinis tirpalas</w:t>
      </w:r>
    </w:p>
    <w:p w:rsidR="00B64BE2" w:rsidRPr="00B64BE2" w:rsidRDefault="009512F9" w:rsidP="00B64BE2">
      <w:pPr>
        <w:rPr>
          <w:szCs w:val="22"/>
          <w:lang w:val="lt-LT"/>
        </w:rPr>
      </w:pPr>
      <w:r w:rsidRPr="009512F9">
        <w:rPr>
          <w:szCs w:val="22"/>
        </w:rPr>
        <w:t>5</w:t>
      </w:r>
      <w:r w:rsidR="00B64BE2" w:rsidRPr="009512F9">
        <w:rPr>
          <w:szCs w:val="22"/>
        </w:rPr>
        <w:t xml:space="preserve">0 </w:t>
      </w:r>
      <w:r w:rsidR="00B64BE2">
        <w:rPr>
          <w:szCs w:val="22"/>
          <w:lang w:val="en-US"/>
        </w:rPr>
        <w:t>mai</w:t>
      </w:r>
      <w:r w:rsidR="00B64BE2">
        <w:rPr>
          <w:szCs w:val="22"/>
          <w:lang w:val="lt-LT"/>
        </w:rPr>
        <w:t>šelių</w:t>
      </w:r>
    </w:p>
    <w:p w:rsidR="00B64BE2" w:rsidRPr="007D6556" w:rsidRDefault="00B64BE2" w:rsidP="00B64BE2">
      <w:pPr>
        <w:rPr>
          <w:szCs w:val="22"/>
        </w:rPr>
      </w:pPr>
      <w:r w:rsidRPr="007D6556">
        <w:rPr>
          <w:szCs w:val="22"/>
        </w:rPr>
        <w:t xml:space="preserve">200 mg/100 ml </w:t>
      </w:r>
    </w:p>
    <w:p w:rsidR="00B64BE2" w:rsidRPr="00B64BE2" w:rsidRDefault="00B64BE2" w:rsidP="00B64BE2">
      <w:pPr>
        <w:rPr>
          <w:szCs w:val="22"/>
          <w:lang w:val="en-US"/>
        </w:rPr>
      </w:pPr>
      <w:r w:rsidRPr="009512F9">
        <w:rPr>
          <w:szCs w:val="22"/>
        </w:rPr>
        <w:t xml:space="preserve">100 </w:t>
      </w:r>
      <w:r>
        <w:rPr>
          <w:szCs w:val="22"/>
          <w:lang w:val="en-US"/>
        </w:rPr>
        <w:t>mg/ 50 ml</w:t>
      </w:r>
    </w:p>
    <w:p w:rsidR="00B64BE2" w:rsidRPr="007D6556" w:rsidRDefault="00B64BE2" w:rsidP="00B64BE2">
      <w:pPr>
        <w:rPr>
          <w:szCs w:val="22"/>
          <w:lang w:val="es-ES_tradnl"/>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5.</w:t>
      </w:r>
      <w:r w:rsidRPr="007D6556">
        <w:rPr>
          <w:b/>
          <w:szCs w:val="22"/>
        </w:rPr>
        <w:tab/>
        <w:t>VARTOJIMO METODAS IR BŪDAS</w:t>
      </w:r>
    </w:p>
    <w:p w:rsidR="00B64BE2" w:rsidRPr="007D6556" w:rsidRDefault="00B64BE2" w:rsidP="00B64BE2">
      <w:pPr>
        <w:rPr>
          <w:szCs w:val="22"/>
        </w:rPr>
      </w:pPr>
    </w:p>
    <w:p w:rsidR="00B64BE2" w:rsidRPr="007D6556" w:rsidRDefault="00B64BE2" w:rsidP="00B64BE2">
      <w:pPr>
        <w:rPr>
          <w:szCs w:val="22"/>
        </w:rPr>
      </w:pPr>
      <w:proofErr w:type="gramStart"/>
      <w:r>
        <w:rPr>
          <w:szCs w:val="22"/>
        </w:rPr>
        <w:t xml:space="preserve">Leisti </w:t>
      </w:r>
      <w:r w:rsidRPr="007D6556">
        <w:rPr>
          <w:szCs w:val="22"/>
        </w:rPr>
        <w:t xml:space="preserve"> į</w:t>
      </w:r>
      <w:proofErr w:type="gramEnd"/>
      <w:r w:rsidRPr="007D6556">
        <w:rPr>
          <w:szCs w:val="22"/>
        </w:rPr>
        <w:t xml:space="preserve"> veną.</w:t>
      </w:r>
    </w:p>
    <w:p w:rsidR="00B64BE2" w:rsidRPr="007D6556" w:rsidRDefault="00B64BE2" w:rsidP="00B64BE2">
      <w:pPr>
        <w:autoSpaceDE w:val="0"/>
        <w:autoSpaceDN w:val="0"/>
        <w:adjustRightInd w:val="0"/>
        <w:rPr>
          <w:szCs w:val="22"/>
        </w:rPr>
      </w:pPr>
      <w:r>
        <w:rPr>
          <w:szCs w:val="22"/>
        </w:rPr>
        <w:t>Vienkartiniam v</w:t>
      </w:r>
      <w:r w:rsidRPr="007D6556">
        <w:rPr>
          <w:szCs w:val="22"/>
        </w:rPr>
        <w:t>arto</w:t>
      </w:r>
      <w:r>
        <w:rPr>
          <w:szCs w:val="22"/>
        </w:rPr>
        <w:t>jimui.</w:t>
      </w:r>
    </w:p>
    <w:p w:rsidR="00B64BE2" w:rsidRPr="007D6556" w:rsidRDefault="00B64BE2" w:rsidP="00B64BE2">
      <w:pPr>
        <w:rPr>
          <w:szCs w:val="22"/>
        </w:rPr>
      </w:pPr>
      <w:r w:rsidRPr="007D6556">
        <w:rPr>
          <w:szCs w:val="22"/>
        </w:rPr>
        <w:t>Prieš vartojimą perskaitykite pakuotės lapelį.</w:t>
      </w:r>
    </w:p>
    <w:p w:rsidR="00B64BE2" w:rsidRPr="007D6556" w:rsidRDefault="00B64BE2" w:rsidP="00B64BE2">
      <w:pPr>
        <w:rPr>
          <w:szCs w:val="22"/>
        </w:rPr>
      </w:pPr>
    </w:p>
    <w:p w:rsidR="00B64BE2" w:rsidRPr="007D6556"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rPr>
        <w:t>6.</w:t>
      </w:r>
      <w:r w:rsidRPr="007D6556">
        <w:rPr>
          <w:b/>
          <w:szCs w:val="22"/>
        </w:rPr>
        <w:tab/>
        <w:t>SPECIALUS ĮSPĖJIMAS, JOG VAISTINĮ PREPARATĄ</w:t>
      </w:r>
      <w:r w:rsidRPr="007D6556">
        <w:rPr>
          <w:szCs w:val="22"/>
        </w:rPr>
        <w:t xml:space="preserve"> </w:t>
      </w:r>
      <w:r w:rsidRPr="007D6556">
        <w:rPr>
          <w:b/>
          <w:szCs w:val="22"/>
        </w:rPr>
        <w:t>BŪTINA LAIKYTI</w:t>
      </w:r>
      <w:r w:rsidRPr="007D6556">
        <w:rPr>
          <w:szCs w:val="22"/>
        </w:rPr>
        <w:t xml:space="preserve"> </w:t>
      </w:r>
      <w:r w:rsidRPr="007D6556">
        <w:rPr>
          <w:b/>
          <w:szCs w:val="22"/>
        </w:rPr>
        <w:t>VAIKAMS NEPASIEKIAMOJE IR NEPASTEBIMOJE VIETOJE</w:t>
      </w:r>
    </w:p>
    <w:p w:rsidR="00B64BE2" w:rsidRPr="007D6556" w:rsidRDefault="00B64BE2" w:rsidP="00B64BE2">
      <w:pPr>
        <w:rPr>
          <w:szCs w:val="22"/>
        </w:rPr>
      </w:pPr>
    </w:p>
    <w:p w:rsidR="00B64BE2" w:rsidRPr="007D6556" w:rsidRDefault="00B64BE2" w:rsidP="00B64BE2">
      <w:pPr>
        <w:rPr>
          <w:szCs w:val="22"/>
        </w:rPr>
      </w:pPr>
      <w:r w:rsidRPr="007D6556">
        <w:rPr>
          <w:szCs w:val="22"/>
        </w:rPr>
        <w:t>Laikyti vaikams nepasiekiamoje ir nepastebimoje vietoje.</w:t>
      </w: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lang w:val="es-ES_tradnl"/>
        </w:rPr>
        <w:t>7.</w:t>
      </w:r>
      <w:r w:rsidRPr="007D6556">
        <w:rPr>
          <w:b/>
          <w:szCs w:val="22"/>
          <w:lang w:val="es-ES_tradnl"/>
        </w:rPr>
        <w:tab/>
      </w:r>
      <w:r w:rsidRPr="007D6556">
        <w:rPr>
          <w:b/>
          <w:szCs w:val="22"/>
        </w:rPr>
        <w:t>KITAS SPECIALUS ĮSPĖJIMAS (JEI REIKIA)</w:t>
      </w:r>
    </w:p>
    <w:p w:rsidR="00B64BE2" w:rsidRPr="007D6556" w:rsidRDefault="00B64BE2" w:rsidP="00B64BE2">
      <w:pPr>
        <w:rPr>
          <w:szCs w:val="22"/>
        </w:rPr>
      </w:pPr>
    </w:p>
    <w:p w:rsidR="00B64BE2" w:rsidRPr="007D6556" w:rsidRDefault="00B64BE2" w:rsidP="00B64BE2">
      <w:pPr>
        <w:rPr>
          <w:szCs w:val="22"/>
        </w:rPr>
      </w:pPr>
      <w:r w:rsidRPr="007D6556">
        <w:rPr>
          <w:szCs w:val="22"/>
        </w:rPr>
        <w:t>Jei tirpale matyti kietų dalelių, jo vartoti negalima.</w:t>
      </w:r>
    </w:p>
    <w:p w:rsidR="00B64BE2" w:rsidRPr="007D6556" w:rsidRDefault="00B64BE2" w:rsidP="00B64BE2">
      <w:pPr>
        <w:rPr>
          <w:szCs w:val="22"/>
        </w:rPr>
      </w:pPr>
    </w:p>
    <w:p w:rsidR="00B64BE2" w:rsidRPr="007D6556"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lang w:val="es-ES_tradnl"/>
        </w:rPr>
      </w:pPr>
      <w:r w:rsidRPr="007D6556">
        <w:rPr>
          <w:b/>
          <w:szCs w:val="22"/>
          <w:lang w:val="es-ES_tradnl"/>
        </w:rPr>
        <w:t>8.</w:t>
      </w:r>
      <w:r w:rsidRPr="007D6556">
        <w:rPr>
          <w:b/>
          <w:szCs w:val="22"/>
          <w:lang w:val="es-ES_tradnl"/>
        </w:rPr>
        <w:tab/>
      </w:r>
      <w:r w:rsidRPr="007D6556">
        <w:rPr>
          <w:b/>
          <w:szCs w:val="22"/>
        </w:rPr>
        <w:t>TINKAMUMO LAIKAS</w:t>
      </w:r>
    </w:p>
    <w:p w:rsidR="00B64BE2" w:rsidRPr="007D6556" w:rsidRDefault="00B64BE2" w:rsidP="00B64BE2">
      <w:pPr>
        <w:rPr>
          <w:b/>
          <w:szCs w:val="22"/>
        </w:rPr>
      </w:pPr>
    </w:p>
    <w:p w:rsidR="00B64BE2" w:rsidRPr="007D6556" w:rsidRDefault="00B64BE2" w:rsidP="00B64BE2">
      <w:pPr>
        <w:rPr>
          <w:szCs w:val="22"/>
        </w:rPr>
      </w:pPr>
      <w:r w:rsidRPr="007D6556">
        <w:rPr>
          <w:szCs w:val="22"/>
        </w:rPr>
        <w:t>Tinka iki</w:t>
      </w:r>
    </w:p>
    <w:p w:rsidR="00B64BE2" w:rsidRPr="007D6556" w:rsidRDefault="00B64BE2" w:rsidP="00B64BE2">
      <w:pPr>
        <w:autoSpaceDE w:val="0"/>
        <w:autoSpaceDN w:val="0"/>
        <w:adjustRightInd w:val="0"/>
        <w:rPr>
          <w:szCs w:val="22"/>
        </w:rPr>
      </w:pPr>
      <w:r w:rsidRPr="007D6556">
        <w:rPr>
          <w:szCs w:val="22"/>
        </w:rPr>
        <w:t>Atidarius var</w:t>
      </w:r>
      <w:r>
        <w:rPr>
          <w:szCs w:val="22"/>
        </w:rPr>
        <w:t>t</w:t>
      </w:r>
      <w:r w:rsidRPr="007D6556">
        <w:rPr>
          <w:szCs w:val="22"/>
        </w:rPr>
        <w:t>oti nedelsiant.</w:t>
      </w:r>
    </w:p>
    <w:p w:rsidR="00B64BE2" w:rsidRPr="007D6556"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lang w:val="es-ES_tradnl"/>
        </w:rPr>
        <w:t>9.</w:t>
      </w:r>
      <w:r w:rsidRPr="007D6556">
        <w:rPr>
          <w:b/>
          <w:szCs w:val="22"/>
          <w:lang w:val="es-ES_tradnl"/>
        </w:rPr>
        <w:tab/>
      </w:r>
      <w:r w:rsidRPr="007D6556">
        <w:rPr>
          <w:b/>
          <w:szCs w:val="22"/>
        </w:rPr>
        <w:t>SPECIALIOS LAIKYMO SĄLYGOS</w:t>
      </w:r>
    </w:p>
    <w:p w:rsidR="00B64BE2" w:rsidRPr="007D6556" w:rsidRDefault="00B64BE2" w:rsidP="00B64BE2">
      <w:pPr>
        <w:rPr>
          <w:b/>
          <w:szCs w:val="22"/>
        </w:rPr>
      </w:pPr>
    </w:p>
    <w:p w:rsidR="00B64BE2" w:rsidRPr="007D6556" w:rsidRDefault="00B64BE2" w:rsidP="00B64BE2">
      <w:pPr>
        <w:rPr>
          <w:szCs w:val="22"/>
        </w:rPr>
      </w:pPr>
      <w:r>
        <w:rPr>
          <w:szCs w:val="22"/>
        </w:rPr>
        <w:t xml:space="preserve">Laikyti ne aukštesnėje kaip 30 </w:t>
      </w:r>
      <w:r w:rsidRPr="007D6556">
        <w:rPr>
          <w:szCs w:val="22"/>
        </w:rPr>
        <w:t>º</w:t>
      </w:r>
      <w:r w:rsidRPr="007D6556">
        <w:rPr>
          <w:bCs/>
          <w:szCs w:val="22"/>
        </w:rPr>
        <w:t xml:space="preserve">C </w:t>
      </w:r>
      <w:r w:rsidRPr="007D6556">
        <w:rPr>
          <w:szCs w:val="22"/>
        </w:rPr>
        <w:t>temperatūroje.</w:t>
      </w:r>
    </w:p>
    <w:p w:rsidR="00B64BE2" w:rsidRPr="00573BA9" w:rsidRDefault="00B64BE2" w:rsidP="00B64BE2">
      <w:pPr>
        <w:rPr>
          <w:szCs w:val="22"/>
          <w:lang w:val="en-US"/>
        </w:rPr>
      </w:pPr>
      <w:r w:rsidRPr="007D6556">
        <w:rPr>
          <w:szCs w:val="22"/>
          <w:lang w:val="es-ES_tradnl"/>
        </w:rPr>
        <w:t>Negalima užšaldyti</w:t>
      </w:r>
      <w:r w:rsidR="00573BA9">
        <w:rPr>
          <w:szCs w:val="22"/>
          <w:lang w:val="en-US"/>
        </w:rPr>
        <w:t>.</w:t>
      </w:r>
    </w:p>
    <w:p w:rsidR="00B64BE2" w:rsidRPr="00B64BE2" w:rsidRDefault="00B64BE2" w:rsidP="00B64BE2">
      <w:pPr>
        <w:rPr>
          <w:szCs w:val="22"/>
          <w:lang w:val="es-ES_tradnl"/>
        </w:rPr>
      </w:pPr>
    </w:p>
    <w:p w:rsidR="00B64BE2" w:rsidRPr="007D6556" w:rsidRDefault="00B64BE2" w:rsidP="00B64BE2">
      <w:pPr>
        <w:rPr>
          <w:szCs w:val="22"/>
          <w:lang w:val="es-ES_tradnl"/>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lang w:val="es-ES_tradnl"/>
        </w:rPr>
        <w:t>10.</w:t>
      </w:r>
      <w:r w:rsidRPr="007D6556">
        <w:rPr>
          <w:b/>
          <w:szCs w:val="22"/>
          <w:lang w:val="es-ES_tradnl"/>
        </w:rPr>
        <w:tab/>
      </w:r>
      <w:r w:rsidRPr="007D6556">
        <w:rPr>
          <w:b/>
          <w:szCs w:val="22"/>
        </w:rPr>
        <w:t>SPECIALIOS ATSARGUMO PRIEMONĖS, BŪTINOS NAIKINANT VAISTINIO PREPARATO LIKUČIUS ARBA ATLIEKAS (JEI REIKIA)</w:t>
      </w:r>
    </w:p>
    <w:p w:rsidR="00B64BE2" w:rsidRPr="007D6556" w:rsidRDefault="00B64BE2" w:rsidP="00B64BE2">
      <w:pPr>
        <w:rPr>
          <w:b/>
          <w:szCs w:val="22"/>
          <w:lang w:val="es-ES_tradnl"/>
        </w:rPr>
      </w:pPr>
    </w:p>
    <w:p w:rsidR="00B64BE2" w:rsidRPr="007D6556" w:rsidRDefault="00B64BE2" w:rsidP="00B64BE2">
      <w:pPr>
        <w:rPr>
          <w:b/>
          <w:szCs w:val="22"/>
          <w:lang w:val="es-ES_tradnl"/>
        </w:rPr>
      </w:pPr>
      <w:r w:rsidRPr="00B64BE2">
        <w:rPr>
          <w:szCs w:val="22"/>
          <w:lang w:val="es-ES_tradnl"/>
        </w:rPr>
        <w:t>Nesuvartotą tirpalą sunaikinti.</w:t>
      </w:r>
    </w:p>
    <w:p w:rsidR="00B64BE2" w:rsidRPr="007D6556" w:rsidRDefault="00B64BE2" w:rsidP="00B64BE2">
      <w:pPr>
        <w:rPr>
          <w:b/>
          <w:szCs w:val="22"/>
          <w:lang w:val="es-ES_tradnl"/>
        </w:rPr>
      </w:pPr>
    </w:p>
    <w:p w:rsidR="00B64BE2" w:rsidRPr="007D6556" w:rsidRDefault="00B64BE2" w:rsidP="00B64BE2">
      <w:pPr>
        <w:rPr>
          <w:b/>
          <w:szCs w:val="22"/>
          <w:lang w:val="es-ES_tradnl"/>
        </w:rPr>
      </w:pPr>
    </w:p>
    <w:p w:rsidR="00B64BE2" w:rsidRPr="00F16238"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lang w:val="es-ES_tradnl"/>
        </w:rPr>
        <w:t>11.</w:t>
      </w:r>
      <w:r w:rsidRPr="007D6556">
        <w:rPr>
          <w:b/>
          <w:szCs w:val="22"/>
          <w:lang w:val="es-ES_tradnl"/>
        </w:rPr>
        <w:tab/>
      </w:r>
      <w:r w:rsidR="00F16238" w:rsidRPr="002044CA">
        <w:rPr>
          <w:b/>
          <w:szCs w:val="22"/>
        </w:rPr>
        <w:tab/>
      </w:r>
      <w:r w:rsidR="00F16238" w:rsidRPr="00F16238">
        <w:rPr>
          <w:b/>
          <w:szCs w:val="22"/>
        </w:rPr>
        <w:t>LYGIAGRETUS IMPORTUOTOJAS</w:t>
      </w:r>
    </w:p>
    <w:p w:rsidR="00B64BE2" w:rsidRPr="00B64BE2" w:rsidRDefault="00B64BE2" w:rsidP="00B64BE2">
      <w:pPr>
        <w:rPr>
          <w:szCs w:val="22"/>
          <w:lang w:val="es-ES_tradnl"/>
        </w:rPr>
      </w:pPr>
    </w:p>
    <w:p w:rsidR="00F16238" w:rsidRPr="00F16238" w:rsidRDefault="00F16238" w:rsidP="00F16238">
      <w:pPr>
        <w:rPr>
          <w:szCs w:val="22"/>
          <w:lang w:val="es-ES_tradnl"/>
        </w:rPr>
      </w:pPr>
      <w:r w:rsidRPr="00F16238">
        <w:rPr>
          <w:szCs w:val="22"/>
          <w:lang w:val="es-ES_tradnl"/>
        </w:rPr>
        <w:t>Lygiagretus importuotojas UAB „Adeofarma“.</w:t>
      </w:r>
    </w:p>
    <w:p w:rsidR="00B64BE2" w:rsidRPr="00F16238" w:rsidRDefault="00B64BE2" w:rsidP="00B64BE2">
      <w:pPr>
        <w:rPr>
          <w:szCs w:val="22"/>
          <w:lang w:val="de-DE"/>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F3283B">
        <w:rPr>
          <w:b/>
          <w:szCs w:val="22"/>
        </w:rPr>
        <w:t>12.</w:t>
      </w:r>
      <w:r w:rsidRPr="00F3283B">
        <w:rPr>
          <w:b/>
          <w:szCs w:val="22"/>
        </w:rPr>
        <w:tab/>
      </w:r>
      <w:r w:rsidR="00F16238" w:rsidRPr="00F16238">
        <w:rPr>
          <w:b/>
          <w:szCs w:val="22"/>
        </w:rPr>
        <w:t>LYGIAGRETAUS IMPORTO LEIDIMO NUMERIS</w:t>
      </w:r>
    </w:p>
    <w:p w:rsidR="00B64BE2" w:rsidRPr="00F3283B" w:rsidRDefault="00B64BE2" w:rsidP="00B64BE2">
      <w:pPr>
        <w:rPr>
          <w:szCs w:val="22"/>
        </w:rPr>
      </w:pPr>
    </w:p>
    <w:p w:rsidR="00B64BE2" w:rsidRDefault="00F16238" w:rsidP="00B64BE2">
      <w:pPr>
        <w:rPr>
          <w:szCs w:val="22"/>
        </w:rPr>
      </w:pPr>
      <w:r w:rsidRPr="00F16238">
        <w:rPr>
          <w:szCs w:val="22"/>
        </w:rPr>
        <w:t xml:space="preserve">Lyg.imp.Nr.: </w:t>
      </w:r>
      <w:r w:rsidR="008C627B">
        <w:rPr>
          <w:szCs w:val="22"/>
        </w:rPr>
        <w:tab/>
      </w:r>
      <w:r w:rsidRPr="00F16238">
        <w:rPr>
          <w:szCs w:val="22"/>
        </w:rPr>
        <w:t>LT/L/</w:t>
      </w:r>
      <w:r w:rsidR="00E8163B">
        <w:rPr>
          <w:szCs w:val="22"/>
        </w:rPr>
        <w:t>18/0582/001</w:t>
      </w:r>
    </w:p>
    <w:p w:rsidR="008C627B" w:rsidRPr="00F3283B" w:rsidRDefault="008C627B" w:rsidP="00B64BE2">
      <w:pPr>
        <w:rPr>
          <w:szCs w:val="22"/>
        </w:rPr>
      </w:pPr>
      <w:r>
        <w:rPr>
          <w:szCs w:val="22"/>
        </w:rPr>
        <w:tab/>
      </w:r>
      <w:r>
        <w:rPr>
          <w:szCs w:val="22"/>
        </w:rPr>
        <w:tab/>
      </w:r>
      <w:r>
        <w:rPr>
          <w:szCs w:val="22"/>
        </w:rPr>
        <w:tab/>
      </w:r>
      <w:r w:rsidRPr="005D1EE0">
        <w:rPr>
          <w:szCs w:val="22"/>
          <w:highlight w:val="lightGray"/>
        </w:rPr>
        <w:t>LT/L/18/0582/002</w:t>
      </w:r>
    </w:p>
    <w:p w:rsidR="00B64BE2" w:rsidRPr="00F3283B" w:rsidRDefault="00B64BE2" w:rsidP="00B64BE2">
      <w:pPr>
        <w:rPr>
          <w:szCs w:val="22"/>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rPr>
      </w:pPr>
      <w:r w:rsidRPr="007D6556">
        <w:rPr>
          <w:b/>
          <w:szCs w:val="22"/>
          <w:lang w:val="en-US"/>
        </w:rPr>
        <w:t>13.</w:t>
      </w:r>
      <w:r w:rsidRPr="007D6556">
        <w:rPr>
          <w:b/>
          <w:szCs w:val="22"/>
          <w:lang w:val="en-US"/>
        </w:rPr>
        <w:tab/>
      </w:r>
      <w:r w:rsidRPr="007D6556">
        <w:rPr>
          <w:b/>
          <w:szCs w:val="22"/>
        </w:rPr>
        <w:t>SERIJOS NUMERIS</w:t>
      </w:r>
    </w:p>
    <w:p w:rsidR="00B64BE2" w:rsidRPr="007D6556" w:rsidRDefault="00B64BE2" w:rsidP="00B64BE2">
      <w:pPr>
        <w:rPr>
          <w:b/>
          <w:szCs w:val="22"/>
          <w:lang w:val="en-US"/>
        </w:rPr>
      </w:pPr>
    </w:p>
    <w:p w:rsidR="00B64BE2" w:rsidRPr="007D6556" w:rsidRDefault="00B64BE2" w:rsidP="00B64BE2">
      <w:pPr>
        <w:rPr>
          <w:szCs w:val="22"/>
          <w:lang w:val="sv-SE"/>
        </w:rPr>
      </w:pPr>
      <w:r w:rsidRPr="007D6556">
        <w:rPr>
          <w:szCs w:val="22"/>
        </w:rPr>
        <w:t>Serija</w:t>
      </w:r>
    </w:p>
    <w:p w:rsidR="00B64BE2" w:rsidRPr="007D6556" w:rsidRDefault="00B64BE2" w:rsidP="00B64BE2">
      <w:pPr>
        <w:rPr>
          <w:szCs w:val="22"/>
          <w:lang w:val="sv-SE"/>
        </w:rPr>
      </w:pPr>
    </w:p>
    <w:p w:rsidR="00B64BE2" w:rsidRPr="007D6556" w:rsidRDefault="00B64BE2" w:rsidP="00B64BE2">
      <w:pPr>
        <w:rPr>
          <w:szCs w:val="22"/>
          <w:lang w:val="sv-SE"/>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lang w:val="sv-SE"/>
        </w:rPr>
      </w:pPr>
      <w:r w:rsidRPr="007D6556">
        <w:rPr>
          <w:b/>
          <w:szCs w:val="22"/>
          <w:lang w:val="sv-SE"/>
        </w:rPr>
        <w:t>14.</w:t>
      </w:r>
      <w:r w:rsidRPr="007D6556">
        <w:rPr>
          <w:b/>
          <w:szCs w:val="22"/>
          <w:lang w:val="sv-SE"/>
        </w:rPr>
        <w:tab/>
      </w:r>
      <w:r w:rsidRPr="007D6556">
        <w:rPr>
          <w:b/>
          <w:szCs w:val="22"/>
        </w:rPr>
        <w:t>PARDAVIMO (IŠDAVIMO) TVARKA</w:t>
      </w:r>
    </w:p>
    <w:p w:rsidR="00B64BE2" w:rsidRPr="007D6556" w:rsidRDefault="00B64BE2" w:rsidP="00B64BE2">
      <w:pPr>
        <w:rPr>
          <w:b/>
          <w:szCs w:val="22"/>
        </w:rPr>
      </w:pPr>
    </w:p>
    <w:p w:rsidR="00B64BE2" w:rsidRPr="007D6556" w:rsidRDefault="00B64BE2" w:rsidP="00B64BE2">
      <w:pPr>
        <w:rPr>
          <w:szCs w:val="22"/>
          <w:lang w:val="sv-SE"/>
        </w:rPr>
      </w:pPr>
      <w:r w:rsidRPr="007D6556">
        <w:rPr>
          <w:szCs w:val="22"/>
        </w:rPr>
        <w:t>Receptinis vaistinis preparatas.</w:t>
      </w:r>
    </w:p>
    <w:p w:rsidR="00B64BE2" w:rsidRPr="007D6556" w:rsidRDefault="00B64BE2" w:rsidP="00B64BE2">
      <w:pPr>
        <w:rPr>
          <w:szCs w:val="22"/>
          <w:lang w:val="sv-SE"/>
        </w:rPr>
      </w:pPr>
    </w:p>
    <w:p w:rsidR="00B64BE2" w:rsidRPr="007D6556" w:rsidRDefault="00B64BE2" w:rsidP="00B64BE2">
      <w:pPr>
        <w:rPr>
          <w:szCs w:val="22"/>
          <w:lang w:val="sv-SE"/>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lang w:val="sv-SE"/>
        </w:rPr>
      </w:pPr>
      <w:r w:rsidRPr="007D6556">
        <w:rPr>
          <w:b/>
          <w:szCs w:val="22"/>
          <w:lang w:val="sv-SE"/>
        </w:rPr>
        <w:t>15.</w:t>
      </w:r>
      <w:r w:rsidRPr="007D6556">
        <w:rPr>
          <w:b/>
          <w:szCs w:val="22"/>
          <w:lang w:val="sv-SE"/>
        </w:rPr>
        <w:tab/>
      </w:r>
      <w:r w:rsidRPr="007D6556">
        <w:rPr>
          <w:b/>
          <w:szCs w:val="22"/>
        </w:rPr>
        <w:t>VARTOJIMO INSTRUKCIJA</w:t>
      </w:r>
    </w:p>
    <w:p w:rsidR="00B64BE2" w:rsidRDefault="00B64BE2" w:rsidP="00B64BE2">
      <w:pPr>
        <w:rPr>
          <w:szCs w:val="22"/>
          <w:lang w:val="sv-SE"/>
        </w:rPr>
      </w:pPr>
    </w:p>
    <w:p w:rsidR="00B64BE2" w:rsidRDefault="00B64BE2" w:rsidP="00B64BE2">
      <w:pPr>
        <w:rPr>
          <w:szCs w:val="22"/>
          <w:lang w:val="sv-SE"/>
        </w:rPr>
      </w:pPr>
    </w:p>
    <w:p w:rsidR="00B64BE2" w:rsidRPr="007D6556" w:rsidRDefault="00B64BE2" w:rsidP="00B64BE2">
      <w:pPr>
        <w:pBdr>
          <w:top w:val="single" w:sz="4" w:space="1" w:color="auto"/>
          <w:left w:val="single" w:sz="4" w:space="4" w:color="auto"/>
          <w:bottom w:val="single" w:sz="4" w:space="1" w:color="auto"/>
          <w:right w:val="single" w:sz="4" w:space="4" w:color="auto"/>
        </w:pBdr>
        <w:ind w:left="540" w:hanging="540"/>
        <w:rPr>
          <w:b/>
          <w:szCs w:val="22"/>
          <w:lang w:val="sv-SE"/>
        </w:rPr>
      </w:pPr>
      <w:r>
        <w:rPr>
          <w:b/>
          <w:szCs w:val="22"/>
          <w:lang w:val="sv-SE"/>
        </w:rPr>
        <w:t>16</w:t>
      </w:r>
      <w:r w:rsidRPr="007D6556">
        <w:rPr>
          <w:b/>
          <w:szCs w:val="22"/>
          <w:lang w:val="sv-SE"/>
        </w:rPr>
        <w:t>.</w:t>
      </w:r>
      <w:r w:rsidRPr="007D6556">
        <w:rPr>
          <w:b/>
          <w:szCs w:val="22"/>
          <w:lang w:val="sv-SE"/>
        </w:rPr>
        <w:tab/>
      </w:r>
      <w:r>
        <w:rPr>
          <w:b/>
          <w:szCs w:val="22"/>
        </w:rPr>
        <w:t>INFORMACIJA BRAILIO RAŠTU</w:t>
      </w:r>
    </w:p>
    <w:p w:rsidR="00B64BE2" w:rsidRDefault="00B64BE2" w:rsidP="00B64BE2">
      <w:pPr>
        <w:rPr>
          <w:szCs w:val="22"/>
          <w:lang w:val="sv-SE"/>
        </w:rPr>
      </w:pPr>
    </w:p>
    <w:p w:rsidR="00EC4EA6" w:rsidRDefault="00B64BE2" w:rsidP="00B64BE2">
      <w:pPr>
        <w:rPr>
          <w:szCs w:val="22"/>
          <w:lang w:val="sv-SE"/>
        </w:rPr>
      </w:pPr>
      <w:r w:rsidRPr="000C71CD">
        <w:rPr>
          <w:szCs w:val="22"/>
          <w:highlight w:val="lightGray"/>
          <w:lang w:val="sv-SE"/>
        </w:rPr>
        <w:t>Priimtas paaiškinimas nenurodyti informacijos Brailio raštu.</w:t>
      </w:r>
    </w:p>
    <w:p w:rsidR="00EC4EA6" w:rsidRDefault="00EC4EA6" w:rsidP="00B64BE2">
      <w:pPr>
        <w:rPr>
          <w:szCs w:val="22"/>
          <w:lang w:val="sv-SE"/>
        </w:rPr>
      </w:pPr>
    </w:p>
    <w:p w:rsidR="00EC4EA6" w:rsidRPr="001D74E8" w:rsidRDefault="00EC4EA6" w:rsidP="00EC4EA6">
      <w:pPr>
        <w:ind w:right="575"/>
        <w:rPr>
          <w:highlight w:val="yellow"/>
        </w:rPr>
      </w:pPr>
      <w:proofErr w:type="gramStart"/>
      <w:r w:rsidRPr="00EC4EA6">
        <w:rPr>
          <w:szCs w:val="22"/>
        </w:rPr>
        <w:t>Gamintojas :</w:t>
      </w:r>
      <w:proofErr w:type="gramEnd"/>
      <w:r w:rsidRPr="00EC4EA6">
        <w:rPr>
          <w:szCs w:val="22"/>
        </w:rPr>
        <w:t xml:space="preserve"> </w:t>
      </w:r>
      <w:r w:rsidRPr="00776733">
        <w:rPr>
          <w:lang w:val="en-US"/>
        </w:rPr>
        <w:t xml:space="preserve">BIOMENDI, S.A. </w:t>
      </w:r>
    </w:p>
    <w:p w:rsidR="00EC4EA6" w:rsidRDefault="00EC4EA6" w:rsidP="00EC4EA6">
      <w:r w:rsidRPr="00776733">
        <w:rPr>
          <w:lang w:val="en-US"/>
        </w:rPr>
        <w:t>Polígono Industrial de Bernedo S/N 01118 Bernedo (Álava)</w:t>
      </w:r>
    </w:p>
    <w:p w:rsidR="00EC4EA6" w:rsidRPr="00EC4EA6" w:rsidRDefault="00EC4EA6" w:rsidP="00EC4EA6">
      <w:r>
        <w:t>Ispanija</w:t>
      </w:r>
    </w:p>
    <w:p w:rsidR="00EC4EA6" w:rsidRPr="002044CA" w:rsidRDefault="00EC4EA6" w:rsidP="00EC4EA6">
      <w:pPr>
        <w:rPr>
          <w:szCs w:val="22"/>
        </w:rPr>
      </w:pPr>
    </w:p>
    <w:p w:rsidR="00EC4EA6" w:rsidRPr="00EC4EA6" w:rsidRDefault="00EC4EA6" w:rsidP="00EC4EA6">
      <w:pPr>
        <w:rPr>
          <w:szCs w:val="22"/>
        </w:rPr>
      </w:pPr>
      <w:r w:rsidRPr="00EC4EA6">
        <w:rPr>
          <w:szCs w:val="22"/>
        </w:rPr>
        <w:t>Perpakavo: UAB „</w:t>
      </w:r>
      <w:proofErr w:type="gramStart"/>
      <w:r w:rsidRPr="00EC4EA6">
        <w:rPr>
          <w:szCs w:val="22"/>
        </w:rPr>
        <w:t>Entafarma“ arba</w:t>
      </w:r>
      <w:proofErr w:type="gramEnd"/>
      <w:r w:rsidRPr="00EC4EA6">
        <w:rPr>
          <w:szCs w:val="22"/>
        </w:rPr>
        <w:t xml:space="preserve"> BĮ UAB „ Norfachema“</w:t>
      </w:r>
    </w:p>
    <w:p w:rsidR="00EC4EA6" w:rsidRPr="00EC4EA6" w:rsidRDefault="00EC4EA6" w:rsidP="00EC4EA6">
      <w:pPr>
        <w:rPr>
          <w:szCs w:val="22"/>
        </w:rPr>
      </w:pPr>
    </w:p>
    <w:p w:rsidR="00EC4EA6" w:rsidRPr="00EC4EA6" w:rsidRDefault="00EC4EA6" w:rsidP="00EC4EA6">
      <w:pPr>
        <w:rPr>
          <w:szCs w:val="22"/>
        </w:rPr>
      </w:pPr>
      <w:r w:rsidRPr="00EC4EA6">
        <w:rPr>
          <w:szCs w:val="22"/>
        </w:rPr>
        <w:t>Perpak.serija</w:t>
      </w:r>
    </w:p>
    <w:p w:rsidR="005400F7" w:rsidRDefault="005400F7" w:rsidP="00B64BE2">
      <w:pPr>
        <w:rPr>
          <w:szCs w:val="22"/>
          <w:lang w:val="sv-SE"/>
        </w:rPr>
      </w:pPr>
    </w:p>
    <w:p w:rsidR="00B64BE2" w:rsidRDefault="005400F7" w:rsidP="00B64BE2">
      <w:pPr>
        <w:rPr>
          <w:szCs w:val="22"/>
          <w:lang w:val="sv-SE"/>
        </w:rPr>
      </w:pPr>
      <w:r w:rsidRPr="003339FB">
        <w:rPr>
          <w:i/>
          <w:lang w:val="lt-LT"/>
        </w:rPr>
        <w:t xml:space="preserve">Lygiagrečiai importuojamas vaistinis preparatas skiriasi nuo referencinio vaistinio preparato </w:t>
      </w:r>
      <w:r>
        <w:rPr>
          <w:i/>
          <w:lang w:val="lt-LT"/>
        </w:rPr>
        <w:t>laikymo sąlygomis</w:t>
      </w:r>
      <w:r w:rsidR="006F4598">
        <w:rPr>
          <w:i/>
          <w:lang w:val="lt-LT"/>
        </w:rPr>
        <w:t xml:space="preserve"> bei tinkamumo laiku</w:t>
      </w:r>
      <w:r w:rsidR="006743E6">
        <w:rPr>
          <w:i/>
          <w:lang w:val="lt-LT"/>
        </w:rPr>
        <w:t>: l</w:t>
      </w:r>
      <w:r w:rsidRPr="003339FB">
        <w:rPr>
          <w:i/>
          <w:lang w:val="lt-LT"/>
        </w:rPr>
        <w:t>ygiagrečiai importuojamo vaistinio preparato</w:t>
      </w:r>
      <w:r>
        <w:rPr>
          <w:i/>
          <w:lang w:val="lt-LT"/>
        </w:rPr>
        <w:t xml:space="preserve"> laikymo sąlygos- </w:t>
      </w:r>
      <w:r w:rsidRPr="00966B60">
        <w:rPr>
          <w:i/>
          <w:lang w:val="lt-LT"/>
        </w:rPr>
        <w:t>laikyti žemesnėje kaip 30 </w:t>
      </w:r>
      <w:r w:rsidRPr="00966B60">
        <w:rPr>
          <w:i/>
          <w:lang w:val="lt-LT"/>
        </w:rPr>
        <w:sym w:font="Symbol" w:char="F0B0"/>
      </w:r>
      <w:r w:rsidRPr="00966B60">
        <w:rPr>
          <w:i/>
          <w:lang w:val="lt-LT"/>
        </w:rPr>
        <w:t>C temperatūroje</w:t>
      </w:r>
      <w:r w:rsidRPr="003339FB">
        <w:rPr>
          <w:i/>
          <w:szCs w:val="22"/>
          <w:lang w:val="lt-LT"/>
        </w:rPr>
        <w:t xml:space="preserve">, o </w:t>
      </w:r>
      <w:r w:rsidRPr="003339FB">
        <w:rPr>
          <w:i/>
          <w:lang w:val="lt-LT"/>
        </w:rPr>
        <w:t>r</w:t>
      </w:r>
      <w:r>
        <w:rPr>
          <w:i/>
          <w:lang w:val="lt-LT"/>
        </w:rPr>
        <w:t>eferencinio vaistinio preparato-</w:t>
      </w:r>
      <w:r w:rsidRPr="00966B60">
        <w:rPr>
          <w:szCs w:val="22"/>
          <w:lang w:val="lt-LT"/>
        </w:rPr>
        <w:t xml:space="preserve"> </w:t>
      </w:r>
      <w:r w:rsidRPr="00966B60">
        <w:rPr>
          <w:i/>
          <w:lang w:val="lt-LT"/>
        </w:rPr>
        <w:t>laikyti žemesnėje kaip 25 </w:t>
      </w:r>
      <w:r w:rsidRPr="00966B60">
        <w:rPr>
          <w:i/>
          <w:lang w:val="lt-LT"/>
        </w:rPr>
        <w:sym w:font="Symbol" w:char="F0B0"/>
      </w:r>
      <w:r w:rsidRPr="00966B60">
        <w:rPr>
          <w:i/>
          <w:lang w:val="lt-LT"/>
        </w:rPr>
        <w:t>C temperatūroje</w:t>
      </w:r>
      <w:r w:rsidR="006743E6">
        <w:rPr>
          <w:i/>
          <w:lang w:val="lt-LT"/>
        </w:rPr>
        <w:t xml:space="preserve">, lygiagrečiai importuojamo </w:t>
      </w:r>
      <w:r w:rsidR="006743E6" w:rsidRPr="006743E6">
        <w:rPr>
          <w:i/>
          <w:lang w:val="lt-LT"/>
        </w:rPr>
        <w:t>vaistinio preparato (reg, Nr. 600608-5) tinkamumo laikas 18 mėnesių, vaistinio preparato (reg. Nr. 600609-2) 2 metai, o referencinio vaistinio preparato supakuoto į : stiklinius flakonus - 3 metai; ne PVC maišelius - 2 metai.</w:t>
      </w:r>
      <w:r w:rsidR="00B64BE2" w:rsidRPr="007D6556">
        <w:rPr>
          <w:szCs w:val="22"/>
          <w:lang w:val="sv-SE"/>
        </w:rPr>
        <w:br w:type="page"/>
      </w: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Default="00B64BE2" w:rsidP="00B64BE2">
      <w:pPr>
        <w:pStyle w:val="BTEMEASMCA"/>
        <w:rPr>
          <w:lang w:val="sv-SE"/>
        </w:rPr>
      </w:pPr>
    </w:p>
    <w:p w:rsidR="00B64BE2" w:rsidRPr="007D6556" w:rsidRDefault="00B64BE2" w:rsidP="00B64BE2">
      <w:pPr>
        <w:pStyle w:val="BTEMEASMCA"/>
      </w:pPr>
    </w:p>
    <w:p w:rsidR="00B64BE2" w:rsidRPr="007D6556"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B64BE2" w:rsidRDefault="00B64BE2"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8141E4" w:rsidRDefault="008141E4" w:rsidP="00B64BE2">
      <w:pPr>
        <w:pStyle w:val="BTEMEASMCA"/>
      </w:pPr>
    </w:p>
    <w:p w:rsidR="00B64BE2" w:rsidRDefault="00B64BE2" w:rsidP="00B64BE2">
      <w:pPr>
        <w:pStyle w:val="BTEMEASMCA"/>
      </w:pPr>
    </w:p>
    <w:p w:rsidR="00B64BE2" w:rsidRPr="007D6556" w:rsidRDefault="00B64BE2" w:rsidP="00B64BE2">
      <w:pPr>
        <w:pStyle w:val="BTEMEASMCA"/>
      </w:pPr>
    </w:p>
    <w:p w:rsidR="00B64BE2" w:rsidRPr="007D6556" w:rsidRDefault="00B64BE2" w:rsidP="00B64BE2">
      <w:pPr>
        <w:pStyle w:val="BTEMEASMCA"/>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8141E4" w:rsidRDefault="008141E4" w:rsidP="00B64BE2">
      <w:pPr>
        <w:pStyle w:val="TTEMEASMCA"/>
        <w:rPr>
          <w:lang w:val="lt-LT"/>
        </w:rPr>
      </w:pPr>
    </w:p>
    <w:p w:rsidR="00B64BE2" w:rsidRPr="007D6556" w:rsidRDefault="00B64BE2" w:rsidP="00B64BE2">
      <w:pPr>
        <w:pStyle w:val="TTEMEASMCA"/>
        <w:rPr>
          <w:lang w:val="lt-LT"/>
        </w:rPr>
      </w:pPr>
      <w:r w:rsidRPr="007D6556">
        <w:rPr>
          <w:lang w:val="lt-LT"/>
        </w:rPr>
        <w:t>B. PAKUOTĖS LAPELIS</w:t>
      </w:r>
    </w:p>
    <w:p w:rsidR="00B64BE2" w:rsidRPr="00ED24EC" w:rsidRDefault="00B64BE2" w:rsidP="00B64BE2">
      <w:pPr>
        <w:pStyle w:val="TTEMEASMCA"/>
        <w:rPr>
          <w:lang w:val="lt-LT"/>
        </w:rPr>
      </w:pPr>
      <w:r w:rsidRPr="007D6556">
        <w:rPr>
          <w:lang w:val="lt-LT"/>
        </w:rPr>
        <w:br w:type="page"/>
      </w:r>
      <w:bookmarkStart w:id="0" w:name="_Toc129243138"/>
      <w:bookmarkStart w:id="1" w:name="_Toc129243263"/>
      <w:r w:rsidRPr="00ED24EC">
        <w:rPr>
          <w:lang w:val="lt-LT"/>
        </w:rPr>
        <w:lastRenderedPageBreak/>
        <w:t>PAKUOTĖS LAPELIS: INFORMACIJA VARTOTOJUI</w:t>
      </w:r>
      <w:bookmarkEnd w:id="0"/>
      <w:bookmarkEnd w:id="1"/>
    </w:p>
    <w:p w:rsidR="00B64BE2" w:rsidRPr="00ED24EC" w:rsidRDefault="00B64BE2" w:rsidP="00B64BE2">
      <w:pPr>
        <w:pStyle w:val="BTEMEASMCA"/>
      </w:pPr>
    </w:p>
    <w:p w:rsidR="00B64BE2" w:rsidRPr="00ED24EC" w:rsidRDefault="00B64BE2" w:rsidP="00B64BE2">
      <w:pPr>
        <w:pStyle w:val="Pagrindinistekstas"/>
        <w:spacing w:after="0"/>
        <w:jc w:val="center"/>
        <w:rPr>
          <w:b/>
          <w:szCs w:val="22"/>
        </w:rPr>
      </w:pPr>
      <w:r>
        <w:rPr>
          <w:b/>
          <w:szCs w:val="22"/>
        </w:rPr>
        <w:t xml:space="preserve">Fluconazol FARMAGES </w:t>
      </w:r>
      <w:r w:rsidRPr="00ED24EC">
        <w:rPr>
          <w:b/>
          <w:szCs w:val="22"/>
        </w:rPr>
        <w:t xml:space="preserve"> 2 mg/ml infuzinis tirpalas</w:t>
      </w:r>
    </w:p>
    <w:p w:rsidR="00B64BE2" w:rsidRPr="00ED24EC" w:rsidRDefault="00B64BE2" w:rsidP="00B64BE2">
      <w:pPr>
        <w:pStyle w:val="BTeEMEASMCA"/>
      </w:pPr>
      <w:r w:rsidRPr="00ED24EC">
        <w:t>Flukonazolas</w:t>
      </w:r>
    </w:p>
    <w:p w:rsidR="00B64BE2" w:rsidRPr="00ED24EC" w:rsidRDefault="00B64BE2" w:rsidP="00B64BE2">
      <w:pPr>
        <w:pStyle w:val="BTEMEASMCA"/>
      </w:pPr>
    </w:p>
    <w:p w:rsidR="00B64BE2" w:rsidRPr="00B64BE2" w:rsidRDefault="00B64BE2" w:rsidP="00B64BE2">
      <w:pPr>
        <w:rPr>
          <w:b/>
          <w:szCs w:val="22"/>
          <w:lang w:val="lt-LT"/>
        </w:rPr>
      </w:pPr>
      <w:r w:rsidRPr="00B64BE2">
        <w:rPr>
          <w:b/>
          <w:szCs w:val="22"/>
          <w:lang w:val="lt-LT"/>
        </w:rPr>
        <w:t>Atidžiai perskaitykite visą šį lapelį, prieš pradėdami vartoti vaistą.</w:t>
      </w:r>
    </w:p>
    <w:p w:rsidR="00B64BE2" w:rsidRPr="00B64BE2" w:rsidRDefault="00B64BE2" w:rsidP="00B64BE2">
      <w:pPr>
        <w:numPr>
          <w:ilvl w:val="0"/>
          <w:numId w:val="22"/>
        </w:numPr>
        <w:tabs>
          <w:tab w:val="clear" w:pos="0"/>
          <w:tab w:val="clear" w:pos="567"/>
        </w:tabs>
        <w:spacing w:line="240" w:lineRule="auto"/>
        <w:ind w:left="567" w:hanging="567"/>
        <w:rPr>
          <w:szCs w:val="22"/>
          <w:lang w:val="lt-LT"/>
        </w:rPr>
      </w:pPr>
      <w:r w:rsidRPr="00B64BE2">
        <w:rPr>
          <w:szCs w:val="22"/>
          <w:lang w:val="lt-LT"/>
        </w:rPr>
        <w:t>Neišmeskite šio lapelio, nes vėl gali prireikti jį perskaityti.</w:t>
      </w:r>
    </w:p>
    <w:p w:rsidR="00B64BE2" w:rsidRPr="00B64BE2" w:rsidRDefault="00B64BE2" w:rsidP="00B64BE2">
      <w:pPr>
        <w:numPr>
          <w:ilvl w:val="0"/>
          <w:numId w:val="22"/>
        </w:numPr>
        <w:tabs>
          <w:tab w:val="clear" w:pos="0"/>
          <w:tab w:val="clear" w:pos="567"/>
        </w:tabs>
        <w:spacing w:line="240" w:lineRule="auto"/>
        <w:ind w:left="567" w:hanging="567"/>
        <w:rPr>
          <w:szCs w:val="22"/>
          <w:lang w:val="lt-LT"/>
        </w:rPr>
      </w:pPr>
      <w:r w:rsidRPr="00B64BE2">
        <w:rPr>
          <w:szCs w:val="22"/>
          <w:lang w:val="lt-LT"/>
        </w:rPr>
        <w:t>Jeigu kiltų daugiau klausimų, kreipkitės į gydytoją arba vaistininką.</w:t>
      </w:r>
    </w:p>
    <w:p w:rsidR="00B64BE2" w:rsidRPr="00B64BE2" w:rsidRDefault="00B64BE2" w:rsidP="00B64BE2">
      <w:pPr>
        <w:numPr>
          <w:ilvl w:val="0"/>
          <w:numId w:val="22"/>
        </w:numPr>
        <w:tabs>
          <w:tab w:val="clear" w:pos="0"/>
          <w:tab w:val="clear" w:pos="567"/>
        </w:tabs>
        <w:spacing w:line="240" w:lineRule="auto"/>
        <w:ind w:left="567" w:hanging="567"/>
        <w:rPr>
          <w:szCs w:val="22"/>
          <w:lang w:val="lt-LT"/>
        </w:rPr>
      </w:pPr>
      <w:r w:rsidRPr="00B64BE2">
        <w:rPr>
          <w:szCs w:val="22"/>
          <w:lang w:val="lt-LT"/>
        </w:rPr>
        <w:t>Jeigu pasireiškė sunkus šalutinis poveikis arba pastebėjote šiame lapelyje nenurodytą šalutinį poveikį, pasakykite gydytojui arba vaistininkui.</w:t>
      </w:r>
    </w:p>
    <w:p w:rsidR="00B64BE2" w:rsidRPr="00ED24EC" w:rsidRDefault="00B64BE2" w:rsidP="00B64BE2">
      <w:pPr>
        <w:pStyle w:val="BTEMEASMCA"/>
      </w:pPr>
    </w:p>
    <w:p w:rsidR="00B64BE2" w:rsidRPr="00ED24EC" w:rsidRDefault="00B64BE2" w:rsidP="00B64BE2">
      <w:pPr>
        <w:pStyle w:val="BTEMEASMCA"/>
      </w:pPr>
    </w:p>
    <w:p w:rsidR="00B64BE2" w:rsidRPr="00ED24EC" w:rsidRDefault="00B64BE2" w:rsidP="00B64BE2">
      <w:pPr>
        <w:pStyle w:val="BTbEMEASMCA"/>
      </w:pPr>
      <w:r w:rsidRPr="00ED24EC">
        <w:t>Lapelio turinys</w:t>
      </w:r>
    </w:p>
    <w:p w:rsidR="00B64BE2" w:rsidRPr="00ED24EC" w:rsidRDefault="00B64BE2" w:rsidP="00B64BE2">
      <w:pPr>
        <w:ind w:left="567" w:hanging="567"/>
        <w:rPr>
          <w:szCs w:val="22"/>
        </w:rPr>
      </w:pPr>
      <w:r w:rsidRPr="00ED24EC">
        <w:rPr>
          <w:szCs w:val="22"/>
        </w:rPr>
        <w:t>1.</w:t>
      </w:r>
      <w:r w:rsidRPr="00ED24EC">
        <w:rPr>
          <w:szCs w:val="22"/>
        </w:rPr>
        <w:tab/>
        <w:t xml:space="preserve">Kas yra </w:t>
      </w:r>
      <w:r>
        <w:rPr>
          <w:szCs w:val="22"/>
        </w:rPr>
        <w:t xml:space="preserve">Fluconazol </w:t>
      </w:r>
      <w:proofErr w:type="gramStart"/>
      <w:r>
        <w:rPr>
          <w:szCs w:val="22"/>
        </w:rPr>
        <w:t xml:space="preserve">FARMAGES </w:t>
      </w:r>
      <w:r w:rsidRPr="00ED24EC">
        <w:rPr>
          <w:szCs w:val="22"/>
        </w:rPr>
        <w:t xml:space="preserve"> ir</w:t>
      </w:r>
      <w:proofErr w:type="gramEnd"/>
      <w:r w:rsidRPr="00ED24EC">
        <w:rPr>
          <w:szCs w:val="22"/>
        </w:rPr>
        <w:t xml:space="preserve"> kam jis vartojamas</w:t>
      </w:r>
    </w:p>
    <w:p w:rsidR="00B64BE2" w:rsidRPr="00ED24EC" w:rsidRDefault="00B64BE2" w:rsidP="00B64BE2">
      <w:pPr>
        <w:ind w:left="567" w:hanging="567"/>
        <w:rPr>
          <w:szCs w:val="22"/>
        </w:rPr>
      </w:pPr>
      <w:r w:rsidRPr="00ED24EC">
        <w:rPr>
          <w:szCs w:val="22"/>
        </w:rPr>
        <w:t>2.</w:t>
      </w:r>
      <w:r w:rsidRPr="00ED24EC">
        <w:rPr>
          <w:szCs w:val="22"/>
        </w:rPr>
        <w:tab/>
        <w:t xml:space="preserve">Kas žinotina prieš vartojant </w:t>
      </w:r>
      <w:r>
        <w:rPr>
          <w:szCs w:val="22"/>
        </w:rPr>
        <w:t xml:space="preserve">Fluconazol FARMAGES </w:t>
      </w:r>
    </w:p>
    <w:p w:rsidR="00B64BE2" w:rsidRPr="00ED24EC" w:rsidRDefault="00B64BE2" w:rsidP="00B64BE2">
      <w:pPr>
        <w:ind w:left="567" w:hanging="567"/>
        <w:rPr>
          <w:szCs w:val="22"/>
        </w:rPr>
      </w:pPr>
      <w:r w:rsidRPr="00ED24EC">
        <w:rPr>
          <w:szCs w:val="22"/>
        </w:rPr>
        <w:t>3.</w:t>
      </w:r>
      <w:r w:rsidRPr="00ED24EC">
        <w:rPr>
          <w:szCs w:val="22"/>
        </w:rPr>
        <w:tab/>
        <w:t xml:space="preserve">Kaip vartoti </w:t>
      </w:r>
      <w:r>
        <w:rPr>
          <w:szCs w:val="22"/>
        </w:rPr>
        <w:t xml:space="preserve">Fluconazol FARMAGES </w:t>
      </w:r>
    </w:p>
    <w:p w:rsidR="00B64BE2" w:rsidRPr="00ED24EC" w:rsidRDefault="00B64BE2" w:rsidP="00B64BE2">
      <w:pPr>
        <w:ind w:left="567" w:hanging="567"/>
        <w:rPr>
          <w:szCs w:val="22"/>
        </w:rPr>
      </w:pPr>
      <w:r w:rsidRPr="00ED24EC">
        <w:rPr>
          <w:szCs w:val="22"/>
        </w:rPr>
        <w:t>4.</w:t>
      </w:r>
      <w:r w:rsidRPr="00ED24EC">
        <w:rPr>
          <w:szCs w:val="22"/>
        </w:rPr>
        <w:tab/>
        <w:t>Galimas šalutinis poveikis</w:t>
      </w:r>
    </w:p>
    <w:p w:rsidR="00B64BE2" w:rsidRPr="00ED24EC" w:rsidRDefault="00B64BE2" w:rsidP="00B64BE2">
      <w:pPr>
        <w:ind w:left="567" w:hanging="567"/>
        <w:rPr>
          <w:szCs w:val="22"/>
        </w:rPr>
      </w:pPr>
      <w:r w:rsidRPr="00ED24EC">
        <w:rPr>
          <w:szCs w:val="22"/>
        </w:rPr>
        <w:t>5.</w:t>
      </w:r>
      <w:r w:rsidRPr="00ED24EC">
        <w:rPr>
          <w:szCs w:val="22"/>
        </w:rPr>
        <w:tab/>
        <w:t xml:space="preserve">Kaip laikyti </w:t>
      </w:r>
      <w:r>
        <w:rPr>
          <w:szCs w:val="22"/>
        </w:rPr>
        <w:t xml:space="preserve">Fluconazol FARMAGES </w:t>
      </w:r>
    </w:p>
    <w:p w:rsidR="00B64BE2" w:rsidRPr="00ED24EC" w:rsidRDefault="00B64BE2" w:rsidP="00B64BE2">
      <w:pPr>
        <w:ind w:left="567" w:hanging="567"/>
        <w:rPr>
          <w:szCs w:val="22"/>
        </w:rPr>
      </w:pPr>
      <w:r w:rsidRPr="00ED24EC">
        <w:rPr>
          <w:szCs w:val="22"/>
        </w:rPr>
        <w:t>6.</w:t>
      </w:r>
      <w:r w:rsidRPr="00ED24EC">
        <w:rPr>
          <w:szCs w:val="22"/>
        </w:rPr>
        <w:tab/>
        <w:t>Kita informacija</w:t>
      </w:r>
    </w:p>
    <w:p w:rsidR="00B64BE2" w:rsidRPr="00ED24EC" w:rsidRDefault="00B64BE2" w:rsidP="00B64BE2">
      <w:pPr>
        <w:pStyle w:val="BTEMEASMCA"/>
      </w:pPr>
    </w:p>
    <w:p w:rsidR="00B64BE2" w:rsidRPr="00ED24EC" w:rsidRDefault="00B64BE2" w:rsidP="00B64BE2">
      <w:pPr>
        <w:pStyle w:val="BTEMEASMCA"/>
      </w:pPr>
    </w:p>
    <w:p w:rsidR="00B64BE2" w:rsidRPr="00ED24EC" w:rsidRDefault="00B64BE2" w:rsidP="00B64BE2">
      <w:pPr>
        <w:pStyle w:val="PI-1EMEASMCA"/>
      </w:pPr>
      <w:bookmarkStart w:id="2" w:name="_Toc129243139"/>
      <w:bookmarkStart w:id="3" w:name="_Toc129243264"/>
      <w:r w:rsidRPr="00ED24EC">
        <w:t>1.</w:t>
      </w:r>
      <w:r w:rsidRPr="00ED24EC">
        <w:tab/>
        <w:t xml:space="preserve">KAS YRA </w:t>
      </w:r>
      <w:r>
        <w:t xml:space="preserve">FLUCONAZOL FARMAGES </w:t>
      </w:r>
      <w:r w:rsidRPr="00ED24EC">
        <w:t xml:space="preserve"> IR KAM JIS VARTOJAMAS</w:t>
      </w:r>
      <w:bookmarkEnd w:id="2"/>
      <w:bookmarkEnd w:id="3"/>
    </w:p>
    <w:p w:rsidR="00B64BE2" w:rsidRPr="00ED24EC" w:rsidRDefault="00B64BE2" w:rsidP="00B64BE2">
      <w:pPr>
        <w:rPr>
          <w:szCs w:val="22"/>
        </w:rPr>
      </w:pPr>
    </w:p>
    <w:p w:rsidR="00B64BE2" w:rsidRPr="00ED24EC" w:rsidRDefault="00B64BE2" w:rsidP="00B64BE2">
      <w:pPr>
        <w:rPr>
          <w:szCs w:val="22"/>
        </w:rPr>
      </w:pPr>
      <w:r>
        <w:rPr>
          <w:szCs w:val="22"/>
        </w:rPr>
        <w:t xml:space="preserve">Fluconazol </w:t>
      </w:r>
      <w:proofErr w:type="gramStart"/>
      <w:r>
        <w:rPr>
          <w:szCs w:val="22"/>
        </w:rPr>
        <w:t xml:space="preserve">FARMAGES </w:t>
      </w:r>
      <w:r w:rsidRPr="00ED24EC">
        <w:rPr>
          <w:szCs w:val="22"/>
        </w:rPr>
        <w:t xml:space="preserve"> yra</w:t>
      </w:r>
      <w:proofErr w:type="gramEnd"/>
      <w:r w:rsidRPr="00ED24EC">
        <w:rPr>
          <w:szCs w:val="22"/>
        </w:rPr>
        <w:t xml:space="preserve"> plataus poveikio vaistas nuo grybelių. Infuziniame tirpale esanti veiklioji medžiaga flukonazolas priklauso vaistams, vadinamiems triazolo dariniais.</w:t>
      </w:r>
    </w:p>
    <w:p w:rsidR="00B64BE2" w:rsidRPr="00ED24EC" w:rsidRDefault="00B64BE2" w:rsidP="00B64BE2">
      <w:pPr>
        <w:rPr>
          <w:szCs w:val="22"/>
        </w:rPr>
      </w:pPr>
    </w:p>
    <w:p w:rsidR="00B64BE2" w:rsidRPr="00ED24EC" w:rsidRDefault="00B64BE2" w:rsidP="00B64BE2">
      <w:pPr>
        <w:rPr>
          <w:szCs w:val="22"/>
        </w:rPr>
      </w:pPr>
      <w:r>
        <w:rPr>
          <w:szCs w:val="22"/>
        </w:rPr>
        <w:t xml:space="preserve">Fluconazol </w:t>
      </w:r>
      <w:proofErr w:type="gramStart"/>
      <w:r>
        <w:rPr>
          <w:szCs w:val="22"/>
        </w:rPr>
        <w:t xml:space="preserve">FARMAGES </w:t>
      </w:r>
      <w:r w:rsidRPr="00ED24EC">
        <w:rPr>
          <w:szCs w:val="22"/>
        </w:rPr>
        <w:t xml:space="preserve"> </w:t>
      </w:r>
      <w:r>
        <w:rPr>
          <w:szCs w:val="22"/>
        </w:rPr>
        <w:t>gydomos</w:t>
      </w:r>
      <w:proofErr w:type="gramEnd"/>
      <w:r w:rsidRPr="00ED24EC">
        <w:rPr>
          <w:szCs w:val="22"/>
        </w:rPr>
        <w:t xml:space="preserve"> </w:t>
      </w:r>
      <w:r>
        <w:rPr>
          <w:szCs w:val="22"/>
        </w:rPr>
        <w:t xml:space="preserve">tolia išvardytos </w:t>
      </w:r>
      <w:r w:rsidRPr="00ED24EC">
        <w:rPr>
          <w:szCs w:val="22"/>
        </w:rPr>
        <w:t>mieliagrybių (</w:t>
      </w:r>
      <w:r w:rsidRPr="003B4377">
        <w:rPr>
          <w:i/>
          <w:szCs w:val="22"/>
        </w:rPr>
        <w:t>Candida</w:t>
      </w:r>
      <w:r w:rsidRPr="00ED24EC">
        <w:rPr>
          <w:szCs w:val="22"/>
        </w:rPr>
        <w:t xml:space="preserve"> rūšies ir kriptokokų) sukelto</w:t>
      </w:r>
      <w:r>
        <w:rPr>
          <w:szCs w:val="22"/>
        </w:rPr>
        <w:t>s ligo</w:t>
      </w:r>
      <w:r w:rsidRPr="00ED24EC">
        <w:rPr>
          <w:szCs w:val="22"/>
        </w:rPr>
        <w:t>s.</w:t>
      </w:r>
    </w:p>
    <w:p w:rsidR="00B64BE2" w:rsidRPr="00ED24EC" w:rsidRDefault="00B64BE2" w:rsidP="00B64BE2">
      <w:pPr>
        <w:rPr>
          <w:szCs w:val="22"/>
        </w:rPr>
      </w:pPr>
    </w:p>
    <w:p w:rsidR="00B64BE2" w:rsidRPr="00ED24EC" w:rsidRDefault="00B64BE2" w:rsidP="00B64BE2">
      <w:pPr>
        <w:ind w:left="567" w:hanging="567"/>
        <w:rPr>
          <w:szCs w:val="22"/>
        </w:rPr>
      </w:pPr>
      <w:r w:rsidRPr="00ED24EC">
        <w:rPr>
          <w:szCs w:val="22"/>
        </w:rPr>
        <w:t>a)</w:t>
      </w:r>
      <w:r w:rsidRPr="00ED24EC">
        <w:rPr>
          <w:szCs w:val="22"/>
        </w:rPr>
        <w:tab/>
        <w:t xml:space="preserve">Grybelinės infekcinės ligos, kurias sukelia </w:t>
      </w:r>
      <w:r w:rsidRPr="00416FEC">
        <w:rPr>
          <w:i/>
          <w:szCs w:val="22"/>
        </w:rPr>
        <w:t>Candida</w:t>
      </w:r>
      <w:r>
        <w:rPr>
          <w:szCs w:val="22"/>
        </w:rPr>
        <w:t xml:space="preserve"> rūšies mieliagrybiai</w:t>
      </w:r>
      <w:r w:rsidRPr="00ED24EC">
        <w:rPr>
          <w:szCs w:val="22"/>
        </w:rPr>
        <w:t xml:space="preserve"> ir kurios pažeidžia vidaus organus (pasireiškia sisteminė kandidamikozė), įskaitant mieliagrybių buvimą kraujyje (kandidemiją), šlapime (kandidurija), vieną ar daugiau organų apimančią </w:t>
      </w:r>
      <w:r w:rsidRPr="00416FEC">
        <w:rPr>
          <w:i/>
          <w:szCs w:val="22"/>
        </w:rPr>
        <w:t>Candida</w:t>
      </w:r>
      <w:r w:rsidRPr="00ED24EC">
        <w:rPr>
          <w:szCs w:val="22"/>
        </w:rPr>
        <w:t xml:space="preserve"> mieliagrybių infekciją (išplitusią) bei kitokią </w:t>
      </w:r>
      <w:r w:rsidRPr="00416FEC">
        <w:rPr>
          <w:i/>
          <w:szCs w:val="22"/>
        </w:rPr>
        <w:t>Candida</w:t>
      </w:r>
      <w:r w:rsidRPr="00ED24EC">
        <w:rPr>
          <w:szCs w:val="22"/>
        </w:rPr>
        <w:t xml:space="preserve"> infekciją, kuri gali kelti pavojų gyvybei, pvz., pilvaplėvės, </w:t>
      </w:r>
      <w:r>
        <w:rPr>
          <w:szCs w:val="22"/>
        </w:rPr>
        <w:t xml:space="preserve">plaučių </w:t>
      </w:r>
      <w:r w:rsidRPr="00ED24EC">
        <w:rPr>
          <w:szCs w:val="22"/>
        </w:rPr>
        <w:t>bei šlapimo takų.</w:t>
      </w:r>
    </w:p>
    <w:p w:rsidR="00B64BE2" w:rsidRPr="00ED24EC" w:rsidRDefault="00B64BE2" w:rsidP="00B64BE2">
      <w:pPr>
        <w:ind w:left="567" w:hanging="567"/>
        <w:rPr>
          <w:szCs w:val="22"/>
        </w:rPr>
      </w:pPr>
    </w:p>
    <w:p w:rsidR="00B64BE2" w:rsidRPr="00ED24EC" w:rsidRDefault="00B64BE2" w:rsidP="00B64BE2">
      <w:pPr>
        <w:ind w:left="567"/>
        <w:rPr>
          <w:szCs w:val="22"/>
        </w:rPr>
      </w:pPr>
      <w:r>
        <w:rPr>
          <w:szCs w:val="22"/>
        </w:rPr>
        <w:t xml:space="preserve">Fluconazol </w:t>
      </w:r>
      <w:proofErr w:type="gramStart"/>
      <w:r>
        <w:rPr>
          <w:szCs w:val="22"/>
        </w:rPr>
        <w:t xml:space="preserve">FARMAGES </w:t>
      </w:r>
      <w:r w:rsidRPr="00ED24EC">
        <w:rPr>
          <w:szCs w:val="22"/>
        </w:rPr>
        <w:t xml:space="preserve"> galima</w:t>
      </w:r>
      <w:proofErr w:type="gramEnd"/>
      <w:r w:rsidRPr="00ED24EC">
        <w:rPr>
          <w:szCs w:val="22"/>
        </w:rPr>
        <w:t xml:space="preserve"> </w:t>
      </w:r>
      <w:r>
        <w:rPr>
          <w:szCs w:val="22"/>
        </w:rPr>
        <w:t>varto</w:t>
      </w:r>
      <w:r w:rsidRPr="00ED24EC">
        <w:rPr>
          <w:szCs w:val="22"/>
        </w:rPr>
        <w:t xml:space="preserve">ti </w:t>
      </w:r>
      <w:r>
        <w:rPr>
          <w:szCs w:val="22"/>
        </w:rPr>
        <w:t xml:space="preserve">pacientams, </w:t>
      </w:r>
      <w:r w:rsidRPr="00ED24EC">
        <w:rPr>
          <w:szCs w:val="22"/>
        </w:rPr>
        <w:t xml:space="preserve">sergantiems piktybinėmis ligomis (vėžiu), </w:t>
      </w:r>
      <w:r>
        <w:rPr>
          <w:szCs w:val="22"/>
        </w:rPr>
        <w:t xml:space="preserve">gydomiems </w:t>
      </w:r>
      <w:r w:rsidRPr="00ED24EC">
        <w:rPr>
          <w:szCs w:val="22"/>
        </w:rPr>
        <w:t>intensyvios</w:t>
      </w:r>
      <w:r>
        <w:rPr>
          <w:szCs w:val="22"/>
        </w:rPr>
        <w:t>ios</w:t>
      </w:r>
      <w:r w:rsidRPr="00ED24EC">
        <w:rPr>
          <w:szCs w:val="22"/>
        </w:rPr>
        <w:t xml:space="preserve"> terapijos skyriuje, </w:t>
      </w:r>
      <w:r>
        <w:rPr>
          <w:szCs w:val="22"/>
        </w:rPr>
        <w:t xml:space="preserve">vartojantiems preparatų </w:t>
      </w:r>
      <w:r w:rsidRPr="00ED24EC">
        <w:rPr>
          <w:szCs w:val="22"/>
        </w:rPr>
        <w:t>nuo vėžio (</w:t>
      </w:r>
      <w:r>
        <w:rPr>
          <w:szCs w:val="22"/>
        </w:rPr>
        <w:t>citostatikų</w:t>
      </w:r>
      <w:r w:rsidRPr="00ED24EC">
        <w:rPr>
          <w:szCs w:val="22"/>
        </w:rPr>
        <w:t>) ar vaistų, slopinančių organizm</w:t>
      </w:r>
      <w:r>
        <w:rPr>
          <w:szCs w:val="22"/>
        </w:rPr>
        <w:t>o gynybines reakcijas (imunosupresija)</w:t>
      </w:r>
      <w:r w:rsidRPr="00ED24EC">
        <w:rPr>
          <w:szCs w:val="22"/>
        </w:rPr>
        <w:t>.</w:t>
      </w:r>
    </w:p>
    <w:p w:rsidR="00B64BE2" w:rsidRPr="00ED24EC" w:rsidRDefault="00B64BE2" w:rsidP="00B64BE2">
      <w:pPr>
        <w:ind w:left="567" w:hanging="567"/>
        <w:rPr>
          <w:szCs w:val="22"/>
        </w:rPr>
      </w:pPr>
    </w:p>
    <w:p w:rsidR="00B64BE2" w:rsidRPr="00ED24EC" w:rsidRDefault="00B64BE2" w:rsidP="00B64BE2">
      <w:pPr>
        <w:ind w:left="567" w:hanging="567"/>
        <w:rPr>
          <w:szCs w:val="22"/>
        </w:rPr>
      </w:pPr>
      <w:r w:rsidRPr="00ED24EC">
        <w:rPr>
          <w:szCs w:val="22"/>
        </w:rPr>
        <w:t>b)</w:t>
      </w:r>
      <w:r w:rsidRPr="00ED24EC">
        <w:rPr>
          <w:szCs w:val="22"/>
        </w:rPr>
        <w:tab/>
        <w:t xml:space="preserve">Sunkios grybelinės infekcinės paviršinės gleivinės ligos, kurias sukelia </w:t>
      </w:r>
      <w:r w:rsidRPr="00CF52CF">
        <w:rPr>
          <w:i/>
          <w:szCs w:val="22"/>
        </w:rPr>
        <w:t>Candida</w:t>
      </w:r>
      <w:r w:rsidRPr="00ED24EC">
        <w:rPr>
          <w:szCs w:val="22"/>
        </w:rPr>
        <w:t xml:space="preserve"> rūšies mieliagrybiai, pvz.:</w:t>
      </w:r>
    </w:p>
    <w:p w:rsidR="00B64BE2" w:rsidRPr="00ED24EC" w:rsidRDefault="00B64BE2" w:rsidP="00B64BE2">
      <w:pPr>
        <w:ind w:left="1134" w:hanging="567"/>
        <w:rPr>
          <w:szCs w:val="22"/>
        </w:rPr>
      </w:pPr>
      <w:r w:rsidRPr="00ED24EC">
        <w:rPr>
          <w:szCs w:val="22"/>
        </w:rPr>
        <w:t>-</w:t>
      </w:r>
      <w:r w:rsidRPr="00ED24EC">
        <w:rPr>
          <w:szCs w:val="22"/>
        </w:rPr>
        <w:tab/>
      </w:r>
      <w:r>
        <w:rPr>
          <w:szCs w:val="22"/>
        </w:rPr>
        <w:t>sunki, ypač pasikartojanti</w:t>
      </w:r>
      <w:r w:rsidRPr="00ED24EC">
        <w:rPr>
          <w:szCs w:val="22"/>
        </w:rPr>
        <w:t xml:space="preserve"> mieliagrybių sukelta burnos, ryklės ir stemplės infekcinė liga;</w:t>
      </w:r>
    </w:p>
    <w:p w:rsidR="00B64BE2" w:rsidRPr="00ED24EC" w:rsidRDefault="00B64BE2" w:rsidP="00B64BE2">
      <w:pPr>
        <w:ind w:left="1134" w:hanging="567"/>
        <w:rPr>
          <w:szCs w:val="22"/>
        </w:rPr>
      </w:pPr>
      <w:r w:rsidRPr="00ED24EC">
        <w:rPr>
          <w:szCs w:val="22"/>
        </w:rPr>
        <w:t>-</w:t>
      </w:r>
      <w:r w:rsidRPr="00ED24EC">
        <w:rPr>
          <w:szCs w:val="22"/>
        </w:rPr>
        <w:tab/>
        <w:t>sunki mieliagrybių sukelta infekcinė liga, pažeidžianti viršutinių kvėpavimo takų gleivinę, bet neapimanti plaučių.</w:t>
      </w:r>
    </w:p>
    <w:p w:rsidR="00B64BE2" w:rsidRPr="00ED24EC" w:rsidRDefault="00B64BE2" w:rsidP="00B64BE2">
      <w:pPr>
        <w:ind w:left="567" w:hanging="567"/>
        <w:rPr>
          <w:szCs w:val="22"/>
        </w:rPr>
      </w:pPr>
    </w:p>
    <w:p w:rsidR="00B64BE2" w:rsidRPr="00ED24EC" w:rsidRDefault="00B64BE2" w:rsidP="00B64BE2">
      <w:pPr>
        <w:ind w:left="567" w:hanging="567"/>
        <w:rPr>
          <w:szCs w:val="22"/>
        </w:rPr>
      </w:pPr>
      <w:r w:rsidRPr="00ED24EC">
        <w:rPr>
          <w:szCs w:val="22"/>
        </w:rPr>
        <w:t>c)</w:t>
      </w:r>
      <w:r w:rsidRPr="00ED24EC">
        <w:rPr>
          <w:szCs w:val="22"/>
        </w:rPr>
        <w:tab/>
        <w:t xml:space="preserve">Mieliagrybio </w:t>
      </w:r>
      <w:r w:rsidRPr="00ED24EC">
        <w:rPr>
          <w:i/>
          <w:szCs w:val="22"/>
        </w:rPr>
        <w:t xml:space="preserve">Cryptococcus neoformans </w:t>
      </w:r>
      <w:r w:rsidRPr="00ED24EC">
        <w:rPr>
          <w:szCs w:val="22"/>
        </w:rPr>
        <w:t xml:space="preserve">sukeltas smegenų dangalų uždegimas. Galima gydyti ir ligonius, kurių imuninė sistema nusilpusi (pvz., dėl </w:t>
      </w:r>
      <w:r>
        <w:rPr>
          <w:szCs w:val="22"/>
        </w:rPr>
        <w:t>ŽIV sukeltos ligos</w:t>
      </w:r>
      <w:r w:rsidRPr="00ED24EC">
        <w:rPr>
          <w:szCs w:val="22"/>
        </w:rPr>
        <w:t xml:space="preserve"> ar po organų persodinimo). </w:t>
      </w:r>
      <w:r>
        <w:rPr>
          <w:szCs w:val="22"/>
        </w:rPr>
        <w:t xml:space="preserve">Fluconazol </w:t>
      </w:r>
      <w:proofErr w:type="gramStart"/>
      <w:r>
        <w:rPr>
          <w:szCs w:val="22"/>
        </w:rPr>
        <w:t xml:space="preserve">FARMAGES </w:t>
      </w:r>
      <w:r w:rsidRPr="00ED24EC">
        <w:rPr>
          <w:szCs w:val="22"/>
        </w:rPr>
        <w:t xml:space="preserve"> galima</w:t>
      </w:r>
      <w:proofErr w:type="gramEnd"/>
      <w:r w:rsidRPr="00ED24EC">
        <w:rPr>
          <w:szCs w:val="22"/>
        </w:rPr>
        <w:t xml:space="preserve"> vartoti </w:t>
      </w:r>
      <w:r>
        <w:rPr>
          <w:szCs w:val="22"/>
        </w:rPr>
        <w:t>ŽIV sukelta liga</w:t>
      </w:r>
      <w:r w:rsidRPr="00ED24EC">
        <w:rPr>
          <w:szCs w:val="22"/>
        </w:rPr>
        <w:t xml:space="preserve"> sergantiems pacientams kriptokokinio meningito pasikartojimo profilaktikai.</w:t>
      </w:r>
    </w:p>
    <w:p w:rsidR="00B64BE2" w:rsidRPr="00ED24EC" w:rsidRDefault="00B64BE2" w:rsidP="00B64BE2">
      <w:pPr>
        <w:rPr>
          <w:szCs w:val="22"/>
        </w:rPr>
      </w:pPr>
    </w:p>
    <w:p w:rsidR="00B64BE2" w:rsidRPr="00ED24EC" w:rsidRDefault="00B64BE2" w:rsidP="00B64BE2">
      <w:pPr>
        <w:rPr>
          <w:szCs w:val="22"/>
        </w:rPr>
      </w:pPr>
    </w:p>
    <w:p w:rsidR="00B64BE2" w:rsidRPr="00ED24EC" w:rsidRDefault="00B64BE2" w:rsidP="00B64BE2">
      <w:pPr>
        <w:pStyle w:val="PI-1EMEASMCA"/>
      </w:pPr>
      <w:bookmarkStart w:id="4" w:name="_Toc129243140"/>
      <w:bookmarkStart w:id="5" w:name="_Toc129243265"/>
      <w:r w:rsidRPr="00ED24EC">
        <w:t>2.</w:t>
      </w:r>
      <w:r w:rsidRPr="00ED24EC">
        <w:tab/>
        <w:t xml:space="preserve">KAS ŽINOTINA PRIEŠ VARTOJANT </w:t>
      </w:r>
      <w:bookmarkEnd w:id="4"/>
      <w:bookmarkEnd w:id="5"/>
      <w:r>
        <w:t xml:space="preserve">FLUCONAZOL FARMAGES </w:t>
      </w:r>
    </w:p>
    <w:p w:rsidR="00B64BE2" w:rsidRPr="00ED24EC" w:rsidRDefault="00B64BE2" w:rsidP="00B64BE2">
      <w:pPr>
        <w:pStyle w:val="BTEMEASMCA"/>
      </w:pPr>
    </w:p>
    <w:p w:rsidR="00B64BE2" w:rsidRPr="00ED24EC" w:rsidRDefault="00B64BE2" w:rsidP="00B64BE2">
      <w:pPr>
        <w:pStyle w:val="PI-3EMEASMCA"/>
      </w:pPr>
      <w:r>
        <w:t xml:space="preserve">Fluconazol FARMAGES </w:t>
      </w:r>
      <w:r w:rsidRPr="00ED24EC">
        <w:t xml:space="preserve"> vartoti negalima:</w:t>
      </w:r>
    </w:p>
    <w:p w:rsidR="00B64BE2" w:rsidRPr="00B64BE2" w:rsidRDefault="00B64BE2" w:rsidP="00B64BE2">
      <w:pPr>
        <w:numPr>
          <w:ilvl w:val="0"/>
          <w:numId w:val="25"/>
        </w:numPr>
        <w:tabs>
          <w:tab w:val="clear" w:pos="360"/>
          <w:tab w:val="clear" w:pos="567"/>
        </w:tabs>
        <w:spacing w:line="240" w:lineRule="auto"/>
        <w:ind w:left="567" w:hanging="567"/>
        <w:rPr>
          <w:szCs w:val="22"/>
          <w:lang w:val="lt-LT"/>
        </w:rPr>
      </w:pPr>
      <w:r w:rsidRPr="00B64BE2">
        <w:rPr>
          <w:szCs w:val="22"/>
          <w:lang w:val="lt-LT"/>
        </w:rPr>
        <w:lastRenderedPageBreak/>
        <w:t xml:space="preserve">jeigu yra alergija (padidėjęs jautrumas) flukonazolui, bet kuriai pagalbinei </w:t>
      </w:r>
      <w:r>
        <w:rPr>
          <w:szCs w:val="22"/>
          <w:lang w:val="lt-LT"/>
        </w:rPr>
        <w:t xml:space="preserve">Fluconazol FARMAGES </w:t>
      </w:r>
      <w:r w:rsidRPr="00B64BE2">
        <w:rPr>
          <w:szCs w:val="22"/>
          <w:lang w:val="lt-LT"/>
        </w:rPr>
        <w:t xml:space="preserve"> medžiagai arba kitokiems vaistams nuo grybelio. Alergijos simptomai yra niežulys, odos paraudimas, kvėpavimo pasunkėjimas;</w:t>
      </w:r>
    </w:p>
    <w:p w:rsidR="00B64BE2" w:rsidRPr="006F4598" w:rsidRDefault="00B64BE2" w:rsidP="00B64BE2">
      <w:pPr>
        <w:numPr>
          <w:ilvl w:val="0"/>
          <w:numId w:val="25"/>
        </w:numPr>
        <w:tabs>
          <w:tab w:val="clear" w:pos="360"/>
          <w:tab w:val="clear" w:pos="567"/>
        </w:tabs>
        <w:spacing w:line="240" w:lineRule="auto"/>
        <w:ind w:left="567" w:hanging="567"/>
        <w:rPr>
          <w:szCs w:val="22"/>
          <w:lang w:val="lt-LT"/>
        </w:rPr>
      </w:pPr>
      <w:r w:rsidRPr="006F4598">
        <w:rPr>
          <w:szCs w:val="22"/>
          <w:lang w:val="lt-LT"/>
        </w:rPr>
        <w:t>jeigu vartojama terfenidino (antihistamininio preparato), cisaprido (vaisto nuo virškinimo sutrikimo), pimozido (juo gydoma psichozė) ar chinidino (vaisto nuo širdies ritmo sutrikimo).</w:t>
      </w:r>
    </w:p>
    <w:p w:rsidR="00B64BE2" w:rsidRPr="006F4598" w:rsidRDefault="00B64BE2" w:rsidP="00B64BE2">
      <w:pPr>
        <w:ind w:left="567" w:hanging="567"/>
        <w:rPr>
          <w:szCs w:val="22"/>
          <w:lang w:val="lt-LT"/>
        </w:rPr>
      </w:pPr>
    </w:p>
    <w:p w:rsidR="00B64BE2" w:rsidRPr="00ED24EC" w:rsidRDefault="00B64BE2" w:rsidP="00B64BE2">
      <w:pPr>
        <w:pStyle w:val="PI-3EMEASMCA"/>
      </w:pPr>
      <w:r w:rsidRPr="00ED24EC">
        <w:t>Specialių atsargumo priemonių reikia</w:t>
      </w:r>
    </w:p>
    <w:p w:rsidR="00B64BE2" w:rsidRPr="00ED24EC" w:rsidRDefault="00B64BE2" w:rsidP="00B64BE2">
      <w:pPr>
        <w:rPr>
          <w:szCs w:val="22"/>
        </w:rPr>
      </w:pPr>
      <w:r w:rsidRPr="00ED24EC">
        <w:rPr>
          <w:szCs w:val="22"/>
        </w:rPr>
        <w:t xml:space="preserve">Toliau išvardytomis aplinkybėmis </w:t>
      </w:r>
      <w:r>
        <w:rPr>
          <w:szCs w:val="22"/>
        </w:rPr>
        <w:t xml:space="preserve">Fluconazol </w:t>
      </w:r>
      <w:proofErr w:type="gramStart"/>
      <w:r>
        <w:rPr>
          <w:szCs w:val="22"/>
        </w:rPr>
        <w:t xml:space="preserve">FARMAGES </w:t>
      </w:r>
      <w:r w:rsidRPr="00ED24EC">
        <w:rPr>
          <w:szCs w:val="22"/>
        </w:rPr>
        <w:t xml:space="preserve"> reikia</w:t>
      </w:r>
      <w:proofErr w:type="gramEnd"/>
      <w:r w:rsidRPr="00ED24EC">
        <w:rPr>
          <w:szCs w:val="22"/>
        </w:rPr>
        <w:t xml:space="preserve"> vartoti ypač atsargiai.</w:t>
      </w:r>
    </w:p>
    <w:p w:rsidR="00B64BE2" w:rsidRPr="00ED24EC" w:rsidRDefault="00B64BE2" w:rsidP="00B64BE2">
      <w:pPr>
        <w:pStyle w:val="Aufzhlung"/>
        <w:numPr>
          <w:ilvl w:val="0"/>
          <w:numId w:val="10"/>
        </w:numPr>
        <w:tabs>
          <w:tab w:val="clear" w:pos="284"/>
          <w:tab w:val="clear" w:pos="720"/>
        </w:tabs>
        <w:ind w:left="567" w:hanging="567"/>
        <w:rPr>
          <w:color w:val="000000"/>
          <w:lang w:val="lt-LT"/>
        </w:rPr>
      </w:pPr>
      <w:r w:rsidRPr="00ED24EC">
        <w:rPr>
          <w:color w:val="000000"/>
          <w:lang w:val="lt-LT"/>
        </w:rPr>
        <w:t xml:space="preserve">Retais atvejais </w:t>
      </w:r>
      <w:r>
        <w:rPr>
          <w:color w:val="000000"/>
          <w:lang w:val="lt-LT"/>
        </w:rPr>
        <w:t xml:space="preserve">Fluconazol FARMAGES </w:t>
      </w:r>
      <w:r w:rsidRPr="00ED24EC">
        <w:rPr>
          <w:color w:val="000000"/>
          <w:lang w:val="lt-LT"/>
        </w:rPr>
        <w:t xml:space="preserve"> gali sukelti sunkių odos reakcijų, atsirandant pūslėms ir lupa</w:t>
      </w:r>
      <w:r>
        <w:rPr>
          <w:color w:val="000000"/>
          <w:lang w:val="lt-LT"/>
        </w:rPr>
        <w:t>ntis od</w:t>
      </w:r>
      <w:r w:rsidRPr="00ED24EC">
        <w:rPr>
          <w:color w:val="000000"/>
          <w:lang w:val="lt-LT"/>
        </w:rPr>
        <w:t>ai (Stiven</w:t>
      </w:r>
      <w:r>
        <w:rPr>
          <w:color w:val="000000"/>
          <w:lang w:val="lt-LT"/>
        </w:rPr>
        <w:t>s</w:t>
      </w:r>
      <w:r w:rsidRPr="00ED24EC">
        <w:rPr>
          <w:color w:val="000000"/>
          <w:lang w:val="lt-LT"/>
        </w:rPr>
        <w:t>o ir Džonsono sindromas, toksinė epidermio nekrolizė).</w:t>
      </w:r>
    </w:p>
    <w:p w:rsidR="00B64BE2" w:rsidRPr="00ED24EC" w:rsidRDefault="00B64BE2" w:rsidP="00B64BE2">
      <w:pPr>
        <w:pStyle w:val="Aufzhlung"/>
        <w:numPr>
          <w:ilvl w:val="0"/>
          <w:numId w:val="9"/>
        </w:numPr>
        <w:tabs>
          <w:tab w:val="clear" w:pos="284"/>
          <w:tab w:val="clear" w:pos="720"/>
        </w:tabs>
        <w:ind w:left="567" w:hanging="567"/>
        <w:rPr>
          <w:color w:val="000000"/>
          <w:lang w:val="lt-LT"/>
        </w:rPr>
      </w:pPr>
      <w:r w:rsidRPr="00ED24EC">
        <w:rPr>
          <w:color w:val="000000"/>
          <w:lang w:val="lt-LT"/>
        </w:rPr>
        <w:t xml:space="preserve">Jei gydymo </w:t>
      </w:r>
      <w:r>
        <w:rPr>
          <w:color w:val="000000"/>
          <w:lang w:val="lt-LT"/>
        </w:rPr>
        <w:t xml:space="preserve">Fluconazol FARMAGES </w:t>
      </w:r>
      <w:r w:rsidRPr="00ED24EC">
        <w:rPr>
          <w:color w:val="000000"/>
          <w:lang w:val="lt-LT"/>
        </w:rPr>
        <w:t xml:space="preserve"> metu išberia odą, būtina nedelsiant kreiptis į gydytoją, kad jis nuspręstų, ar reikia imtis kokių nors priemonių. </w:t>
      </w:r>
      <w:r>
        <w:rPr>
          <w:color w:val="000000"/>
          <w:lang w:val="lt-LT"/>
        </w:rPr>
        <w:t>ŽIV sukelta liga</w:t>
      </w:r>
      <w:r w:rsidRPr="00ED24EC">
        <w:rPr>
          <w:color w:val="000000"/>
          <w:lang w:val="lt-LT"/>
        </w:rPr>
        <w:t xml:space="preserve"> sergantys pacientai linkę į odos reakcijas po daugelio vaistų pavartojimo.</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sidRPr="00ED24EC">
        <w:rPr>
          <w:rFonts w:ascii="Times New Roman" w:hAnsi="Times New Roman"/>
          <w:color w:val="000000"/>
          <w:sz w:val="22"/>
          <w:szCs w:val="22"/>
          <w:lang w:val="lt-LT"/>
        </w:rPr>
        <w:t xml:space="preserve">Jei vartojate mažesnę kaip 400 mg </w:t>
      </w:r>
      <w:r>
        <w:rPr>
          <w:rFonts w:ascii="Times New Roman" w:hAnsi="Times New Roman"/>
          <w:color w:val="000000"/>
          <w:sz w:val="22"/>
          <w:szCs w:val="22"/>
          <w:lang w:val="lt-LT"/>
        </w:rPr>
        <w:t xml:space="preserve">Fluconazol FARMAGES </w:t>
      </w:r>
      <w:r w:rsidRPr="00ED24EC">
        <w:rPr>
          <w:rFonts w:ascii="Times New Roman" w:hAnsi="Times New Roman"/>
          <w:color w:val="000000"/>
          <w:sz w:val="22"/>
          <w:szCs w:val="22"/>
          <w:lang w:val="lt-LT"/>
        </w:rPr>
        <w:t xml:space="preserve"> paros dozę kartu </w:t>
      </w:r>
      <w:r>
        <w:rPr>
          <w:rFonts w:ascii="Times New Roman" w:hAnsi="Times New Roman"/>
          <w:color w:val="000000"/>
          <w:sz w:val="22"/>
          <w:szCs w:val="22"/>
          <w:lang w:val="lt-LT"/>
        </w:rPr>
        <w:t xml:space="preserve">su </w:t>
      </w:r>
      <w:r w:rsidRPr="00ED24EC">
        <w:rPr>
          <w:rFonts w:ascii="Times New Roman" w:hAnsi="Times New Roman"/>
          <w:color w:val="000000"/>
          <w:sz w:val="22"/>
          <w:szCs w:val="22"/>
          <w:lang w:val="lt-LT"/>
        </w:rPr>
        <w:t>terfenidin</w:t>
      </w:r>
      <w:r>
        <w:rPr>
          <w:rFonts w:ascii="Times New Roman" w:hAnsi="Times New Roman"/>
          <w:color w:val="000000"/>
          <w:sz w:val="22"/>
          <w:szCs w:val="22"/>
          <w:lang w:val="lt-LT"/>
        </w:rPr>
        <w:t>u, p</w:t>
      </w:r>
      <w:r w:rsidRPr="00ED24EC">
        <w:rPr>
          <w:rFonts w:ascii="Times New Roman" w:hAnsi="Times New Roman"/>
          <w:color w:val="000000"/>
          <w:sz w:val="22"/>
          <w:szCs w:val="22"/>
          <w:lang w:val="lt-LT"/>
        </w:rPr>
        <w:t>asakykite tai gydytojui prieš gydymą (</w:t>
      </w:r>
      <w:r>
        <w:rPr>
          <w:rFonts w:ascii="Times New Roman" w:hAnsi="Times New Roman"/>
          <w:color w:val="000000"/>
          <w:sz w:val="22"/>
          <w:szCs w:val="22"/>
          <w:lang w:val="lt-LT"/>
        </w:rPr>
        <w:t>taip pat</w:t>
      </w:r>
      <w:r w:rsidRPr="00ED24EC">
        <w:rPr>
          <w:rFonts w:ascii="Times New Roman" w:hAnsi="Times New Roman"/>
          <w:color w:val="000000"/>
          <w:sz w:val="22"/>
          <w:szCs w:val="22"/>
          <w:lang w:val="lt-LT"/>
        </w:rPr>
        <w:t xml:space="preserve"> žr. poskyrį “Kitų vaistų vartojimas”).</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sidRPr="00ED24EC">
        <w:rPr>
          <w:rFonts w:ascii="Times New Roman" w:hAnsi="Times New Roman"/>
          <w:color w:val="000000"/>
          <w:sz w:val="22"/>
          <w:szCs w:val="22"/>
          <w:lang w:val="lt-LT"/>
        </w:rPr>
        <w:t xml:space="preserve">Jei kartu gydotės </w:t>
      </w:r>
      <w:r>
        <w:rPr>
          <w:rFonts w:ascii="Times New Roman" w:hAnsi="Times New Roman"/>
          <w:color w:val="000000"/>
          <w:sz w:val="22"/>
          <w:szCs w:val="22"/>
          <w:lang w:val="lt-LT"/>
        </w:rPr>
        <w:t>ir</w:t>
      </w:r>
      <w:r w:rsidRPr="00ED24EC">
        <w:rPr>
          <w:rFonts w:ascii="Times New Roman" w:hAnsi="Times New Roman"/>
          <w:color w:val="000000"/>
          <w:sz w:val="22"/>
          <w:szCs w:val="22"/>
          <w:lang w:val="lt-LT"/>
        </w:rPr>
        <w:t xml:space="preserve"> halofantrinu (vaistu nuo maliarijos)</w:t>
      </w:r>
      <w:r>
        <w:rPr>
          <w:rFonts w:ascii="Times New Roman" w:hAnsi="Times New Roman"/>
          <w:color w:val="000000"/>
          <w:sz w:val="22"/>
          <w:szCs w:val="22"/>
          <w:lang w:val="lt-LT"/>
        </w:rPr>
        <w:t>, p</w:t>
      </w:r>
      <w:r w:rsidRPr="00ED24EC">
        <w:rPr>
          <w:rFonts w:ascii="Times New Roman" w:hAnsi="Times New Roman"/>
          <w:color w:val="000000"/>
          <w:sz w:val="22"/>
          <w:szCs w:val="22"/>
          <w:lang w:val="lt-LT"/>
        </w:rPr>
        <w:t>asakykite tai gydytojui prieš gydymą.</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Pr>
          <w:rFonts w:ascii="Times New Roman" w:hAnsi="Times New Roman"/>
          <w:color w:val="000000"/>
          <w:sz w:val="22"/>
          <w:szCs w:val="22"/>
          <w:lang w:val="lt-LT"/>
        </w:rPr>
        <w:t xml:space="preserve">Fluconazol FARMAGES </w:t>
      </w:r>
      <w:r w:rsidRPr="00ED24EC">
        <w:rPr>
          <w:rFonts w:ascii="Times New Roman" w:hAnsi="Times New Roman"/>
          <w:color w:val="000000"/>
          <w:sz w:val="22"/>
          <w:szCs w:val="22"/>
          <w:lang w:val="lt-LT"/>
        </w:rPr>
        <w:t xml:space="preserve"> būtina vartoti atsargiai, jei gydotės vaistais, darančiais poveikį širdies ritmui, arba jei esate linkęs į širdies ritmo sutrikim</w:t>
      </w:r>
      <w:r>
        <w:rPr>
          <w:rFonts w:ascii="Times New Roman" w:hAnsi="Times New Roman"/>
          <w:color w:val="000000"/>
          <w:sz w:val="22"/>
          <w:szCs w:val="22"/>
          <w:lang w:val="lt-LT"/>
        </w:rPr>
        <w:t>ą</w:t>
      </w:r>
      <w:r w:rsidRPr="00ED24EC">
        <w:rPr>
          <w:rFonts w:ascii="Times New Roman" w:hAnsi="Times New Roman"/>
          <w:color w:val="000000"/>
          <w:sz w:val="22"/>
          <w:szCs w:val="22"/>
          <w:lang w:val="lt-LT"/>
        </w:rPr>
        <w:t>.</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sidRPr="00ED24EC">
        <w:rPr>
          <w:rFonts w:ascii="Times New Roman" w:hAnsi="Times New Roman"/>
          <w:color w:val="000000"/>
          <w:sz w:val="22"/>
          <w:szCs w:val="22"/>
          <w:lang w:val="lt-LT"/>
        </w:rPr>
        <w:t>Prieš pradedant gydymą flukonazolu būtina koreguoti elektrolitų pusiausvyros sutrik</w:t>
      </w:r>
      <w:r>
        <w:rPr>
          <w:rFonts w:ascii="Times New Roman" w:hAnsi="Times New Roman"/>
          <w:color w:val="000000"/>
          <w:sz w:val="22"/>
          <w:szCs w:val="22"/>
          <w:lang w:val="lt-LT"/>
        </w:rPr>
        <w:t>imus</w:t>
      </w:r>
      <w:r w:rsidRPr="00ED24EC">
        <w:rPr>
          <w:rFonts w:ascii="Times New Roman" w:hAnsi="Times New Roman"/>
          <w:color w:val="000000"/>
          <w:sz w:val="22"/>
          <w:szCs w:val="22"/>
          <w:lang w:val="lt-LT"/>
        </w:rPr>
        <w:t>, pvz., per mažą kalio, magnio ar kalcio kiekį kraujyje.</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sidRPr="00ED24EC">
        <w:rPr>
          <w:rFonts w:ascii="Times New Roman" w:hAnsi="Times New Roman"/>
          <w:color w:val="000000"/>
          <w:sz w:val="22"/>
          <w:szCs w:val="22"/>
          <w:lang w:val="lt-LT"/>
        </w:rPr>
        <w:t>Gydymo flukonazolu metu reikia stebėti, ar nepablogėja kepenų funkcijos tyrimų rodmenys (</w:t>
      </w:r>
      <w:r>
        <w:rPr>
          <w:rFonts w:ascii="Times New Roman" w:hAnsi="Times New Roman"/>
          <w:color w:val="000000"/>
          <w:sz w:val="22"/>
          <w:szCs w:val="22"/>
          <w:lang w:val="lt-LT"/>
        </w:rPr>
        <w:t xml:space="preserve">ar </w:t>
      </w:r>
      <w:r w:rsidRPr="00ED24EC">
        <w:rPr>
          <w:rFonts w:ascii="Times New Roman" w:hAnsi="Times New Roman"/>
          <w:color w:val="000000"/>
          <w:sz w:val="22"/>
          <w:szCs w:val="22"/>
          <w:lang w:val="lt-LT"/>
        </w:rPr>
        <w:t>nepasireiškia</w:t>
      </w:r>
      <w:r>
        <w:rPr>
          <w:rFonts w:ascii="Times New Roman" w:hAnsi="Times New Roman"/>
          <w:color w:val="000000"/>
          <w:sz w:val="22"/>
          <w:szCs w:val="22"/>
          <w:lang w:val="lt-LT"/>
        </w:rPr>
        <w:t xml:space="preserve"> toksinio poveikio</w:t>
      </w:r>
      <w:r w:rsidRPr="00ED24EC">
        <w:rPr>
          <w:rFonts w:ascii="Times New Roman" w:hAnsi="Times New Roman"/>
          <w:color w:val="000000"/>
          <w:sz w:val="22"/>
          <w:szCs w:val="22"/>
          <w:lang w:val="lt-LT"/>
        </w:rPr>
        <w:t xml:space="preserve"> kepenims), kad būtų išvengta sunkesnio kepenų pažeidimo.</w:t>
      </w:r>
    </w:p>
    <w:p w:rsidR="00B64BE2" w:rsidRPr="00ED24EC" w:rsidRDefault="00B64BE2" w:rsidP="00B64BE2">
      <w:pPr>
        <w:pStyle w:val="knZulassung02"/>
        <w:numPr>
          <w:ilvl w:val="0"/>
          <w:numId w:val="9"/>
        </w:numPr>
        <w:tabs>
          <w:tab w:val="clear" w:pos="720"/>
        </w:tabs>
        <w:ind w:left="567" w:right="0" w:hanging="567"/>
        <w:rPr>
          <w:rFonts w:ascii="Times New Roman" w:hAnsi="Times New Roman"/>
          <w:color w:val="000000"/>
          <w:sz w:val="22"/>
          <w:szCs w:val="22"/>
          <w:lang w:val="lt-LT"/>
        </w:rPr>
      </w:pPr>
      <w:r w:rsidRPr="00ED24EC">
        <w:rPr>
          <w:rFonts w:ascii="Times New Roman" w:hAnsi="Times New Roman"/>
          <w:sz w:val="22"/>
          <w:szCs w:val="22"/>
          <w:lang w:val="lt-LT"/>
        </w:rPr>
        <w:t xml:space="preserve">Jei </w:t>
      </w:r>
      <w:r>
        <w:rPr>
          <w:rFonts w:ascii="Times New Roman" w:hAnsi="Times New Roman"/>
          <w:sz w:val="22"/>
          <w:szCs w:val="22"/>
          <w:lang w:val="lt-LT"/>
        </w:rPr>
        <w:t>regu</w:t>
      </w:r>
      <w:r w:rsidRPr="00ED24EC">
        <w:rPr>
          <w:rFonts w:ascii="Times New Roman" w:hAnsi="Times New Roman"/>
          <w:sz w:val="22"/>
          <w:szCs w:val="22"/>
          <w:lang w:val="lt-LT"/>
        </w:rPr>
        <w:t>liuojate natrio kiekį</w:t>
      </w:r>
      <w:r>
        <w:rPr>
          <w:rFonts w:ascii="Times New Roman" w:hAnsi="Times New Roman"/>
          <w:sz w:val="22"/>
          <w:szCs w:val="22"/>
          <w:lang w:val="lt-LT"/>
        </w:rPr>
        <w:t xml:space="preserve"> maiste</w:t>
      </w:r>
      <w:r w:rsidRPr="00ED24EC">
        <w:rPr>
          <w:rFonts w:ascii="Times New Roman" w:hAnsi="Times New Roman"/>
          <w:sz w:val="22"/>
          <w:szCs w:val="22"/>
          <w:lang w:val="lt-LT"/>
        </w:rPr>
        <w:t xml:space="preserve"> arba rib</w:t>
      </w:r>
      <w:r>
        <w:rPr>
          <w:rFonts w:ascii="Times New Roman" w:hAnsi="Times New Roman"/>
          <w:sz w:val="22"/>
          <w:szCs w:val="22"/>
          <w:lang w:val="lt-LT"/>
        </w:rPr>
        <w:t>ojate natrio bei skysčio vartojimą,</w:t>
      </w:r>
      <w:r w:rsidRPr="00ED24EC">
        <w:rPr>
          <w:rFonts w:ascii="Times New Roman" w:hAnsi="Times New Roman"/>
          <w:sz w:val="22"/>
          <w:szCs w:val="22"/>
          <w:lang w:val="lt-LT"/>
        </w:rPr>
        <w:t xml:space="preserve"> turite </w:t>
      </w:r>
      <w:r>
        <w:rPr>
          <w:rFonts w:ascii="Times New Roman" w:hAnsi="Times New Roman"/>
          <w:sz w:val="22"/>
          <w:szCs w:val="22"/>
          <w:lang w:val="lt-LT"/>
        </w:rPr>
        <w:t>atsižvelgti</w:t>
      </w:r>
      <w:r w:rsidRPr="00ED24EC">
        <w:rPr>
          <w:rFonts w:ascii="Times New Roman" w:hAnsi="Times New Roman"/>
          <w:sz w:val="22"/>
          <w:szCs w:val="22"/>
          <w:lang w:val="lt-LT"/>
        </w:rPr>
        <w:t xml:space="preserve"> </w:t>
      </w:r>
      <w:r>
        <w:rPr>
          <w:rFonts w:ascii="Times New Roman" w:hAnsi="Times New Roman"/>
          <w:sz w:val="22"/>
          <w:szCs w:val="22"/>
          <w:lang w:val="lt-LT"/>
        </w:rPr>
        <w:t>į vaisto sudėtyje</w:t>
      </w:r>
      <w:r w:rsidRPr="00ED24EC">
        <w:rPr>
          <w:rFonts w:ascii="Times New Roman" w:hAnsi="Times New Roman"/>
          <w:sz w:val="22"/>
          <w:szCs w:val="22"/>
          <w:lang w:val="lt-LT"/>
        </w:rPr>
        <w:t xml:space="preserve"> esantį druskos kiekį (15,4 mmol natrio / 100 ml infuzinio tirpalo) bei bendrą sulašinamo tirpalo tūrį.</w:t>
      </w:r>
    </w:p>
    <w:p w:rsidR="00B64BE2" w:rsidRPr="00B64BE2" w:rsidRDefault="00B64BE2" w:rsidP="00B64BE2">
      <w:pPr>
        <w:rPr>
          <w:szCs w:val="22"/>
          <w:lang w:val="lt-LT"/>
        </w:rPr>
      </w:pPr>
    </w:p>
    <w:p w:rsidR="00B64BE2" w:rsidRPr="00B64BE2" w:rsidRDefault="00B64BE2" w:rsidP="00B64BE2">
      <w:pPr>
        <w:rPr>
          <w:szCs w:val="22"/>
          <w:lang w:val="lt-LT"/>
        </w:rPr>
      </w:pPr>
      <w:r w:rsidRPr="00B64BE2">
        <w:rPr>
          <w:szCs w:val="22"/>
          <w:lang w:val="lt-LT"/>
        </w:rPr>
        <w:t>Jei Jums yra minėtų sutrikimų, gydytojas gali mažinti vaisto dozę.</w:t>
      </w:r>
    </w:p>
    <w:p w:rsidR="00B64BE2" w:rsidRPr="00B64BE2" w:rsidRDefault="00B64BE2" w:rsidP="00B64BE2">
      <w:pPr>
        <w:rPr>
          <w:szCs w:val="22"/>
          <w:lang w:val="lt-LT"/>
        </w:rPr>
      </w:pPr>
    </w:p>
    <w:p w:rsidR="00B64BE2" w:rsidRPr="00ED24EC" w:rsidRDefault="00B64BE2" w:rsidP="00B64BE2">
      <w:pPr>
        <w:pStyle w:val="PI-3EMEASMCA"/>
      </w:pPr>
      <w:r w:rsidRPr="00ED24EC">
        <w:t>Kitų vaistų vartojimas</w:t>
      </w:r>
    </w:p>
    <w:p w:rsidR="00B64BE2" w:rsidRPr="00B64BE2" w:rsidRDefault="00B64BE2" w:rsidP="00B64BE2">
      <w:pPr>
        <w:rPr>
          <w:szCs w:val="22"/>
          <w:lang w:val="lt-LT"/>
        </w:rPr>
      </w:pPr>
      <w:r w:rsidRPr="00B64BE2">
        <w:rPr>
          <w:szCs w:val="22"/>
          <w:lang w:val="lt-LT"/>
        </w:rPr>
        <w:t>Jeigu vartojate arba neseniai vartojote kitų vaistų, įskaitant įsigytus be recepto, pasakykite gydytojui arba vaistininkui.</w:t>
      </w:r>
    </w:p>
    <w:p w:rsidR="00B64BE2" w:rsidRPr="00ED24EC" w:rsidRDefault="00B64BE2" w:rsidP="00B64BE2">
      <w:pPr>
        <w:rPr>
          <w:i/>
          <w:iCs/>
          <w:szCs w:val="22"/>
        </w:rPr>
      </w:pPr>
      <w:r>
        <w:rPr>
          <w:i/>
          <w:iCs/>
          <w:szCs w:val="22"/>
        </w:rPr>
        <w:t xml:space="preserve">Fluconazol </w:t>
      </w:r>
      <w:proofErr w:type="gramStart"/>
      <w:r>
        <w:rPr>
          <w:i/>
          <w:iCs/>
          <w:szCs w:val="22"/>
        </w:rPr>
        <w:t xml:space="preserve">FARMAGES </w:t>
      </w:r>
      <w:r w:rsidRPr="00ED24EC">
        <w:rPr>
          <w:i/>
          <w:iCs/>
          <w:szCs w:val="22"/>
        </w:rPr>
        <w:t xml:space="preserve"> draudžiama</w:t>
      </w:r>
      <w:proofErr w:type="gramEnd"/>
      <w:r w:rsidRPr="00ED24EC">
        <w:rPr>
          <w:i/>
          <w:iCs/>
          <w:szCs w:val="22"/>
        </w:rPr>
        <w:t xml:space="preserve"> vartoti su toliau išvardytais vaistais.</w:t>
      </w:r>
    </w:p>
    <w:p w:rsidR="00B64BE2" w:rsidRPr="00ED24EC" w:rsidRDefault="00B64BE2" w:rsidP="00B64BE2">
      <w:pPr>
        <w:numPr>
          <w:ilvl w:val="0"/>
          <w:numId w:val="14"/>
        </w:numPr>
        <w:tabs>
          <w:tab w:val="clear" w:pos="567"/>
          <w:tab w:val="clear" w:pos="720"/>
        </w:tabs>
        <w:spacing w:line="240" w:lineRule="auto"/>
        <w:ind w:left="567" w:hanging="567"/>
        <w:rPr>
          <w:szCs w:val="22"/>
        </w:rPr>
      </w:pPr>
      <w:r>
        <w:rPr>
          <w:spacing w:val="2"/>
          <w:szCs w:val="22"/>
        </w:rPr>
        <w:t>Astemizolu</w:t>
      </w:r>
      <w:r w:rsidRPr="00ED24EC">
        <w:rPr>
          <w:spacing w:val="2"/>
          <w:szCs w:val="22"/>
        </w:rPr>
        <w:t xml:space="preserve"> (</w:t>
      </w:r>
      <w:r>
        <w:rPr>
          <w:spacing w:val="2"/>
          <w:szCs w:val="22"/>
        </w:rPr>
        <w:t>antihistamininiu vaistu</w:t>
      </w:r>
      <w:r w:rsidRPr="00ED24EC">
        <w:rPr>
          <w:spacing w:val="2"/>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Pr>
          <w:spacing w:val="2"/>
          <w:szCs w:val="22"/>
        </w:rPr>
        <w:t>Cisapridu</w:t>
      </w:r>
      <w:r w:rsidRPr="00ED24EC">
        <w:rPr>
          <w:spacing w:val="2"/>
          <w:szCs w:val="22"/>
        </w:rPr>
        <w:t xml:space="preserve"> (vaist</w:t>
      </w:r>
      <w:r>
        <w:rPr>
          <w:spacing w:val="2"/>
          <w:szCs w:val="22"/>
        </w:rPr>
        <w:t>u</w:t>
      </w:r>
      <w:r w:rsidRPr="00ED24EC">
        <w:rPr>
          <w:spacing w:val="2"/>
          <w:szCs w:val="22"/>
        </w:rPr>
        <w:t xml:space="preserve"> nuo </w:t>
      </w:r>
      <w:r>
        <w:rPr>
          <w:spacing w:val="2"/>
          <w:szCs w:val="22"/>
        </w:rPr>
        <w:t>virškinimo</w:t>
      </w:r>
      <w:r w:rsidRPr="00ED24EC">
        <w:rPr>
          <w:spacing w:val="2"/>
          <w:szCs w:val="22"/>
        </w:rPr>
        <w:t xml:space="preserve"> sutrikimų).</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Terfenadin</w:t>
      </w:r>
      <w:r>
        <w:rPr>
          <w:spacing w:val="2"/>
          <w:szCs w:val="22"/>
        </w:rPr>
        <w:t>u (antihistamininiu vaistu). Jo vartoti</w:t>
      </w:r>
      <w:r w:rsidRPr="00ED24EC">
        <w:rPr>
          <w:spacing w:val="2"/>
          <w:szCs w:val="22"/>
        </w:rPr>
        <w:t xml:space="preserve"> negalima, jei kartu vartojamo flukonazolo paros dozė yra </w:t>
      </w:r>
      <w:r w:rsidRPr="00ED24EC">
        <w:rPr>
          <w:color w:val="000000"/>
          <w:szCs w:val="22"/>
        </w:rPr>
        <w:t>400 mg ar didesnė. Pacient</w:t>
      </w:r>
      <w:r>
        <w:rPr>
          <w:color w:val="000000"/>
          <w:szCs w:val="22"/>
        </w:rPr>
        <w:t>o</w:t>
      </w:r>
      <w:r w:rsidRPr="00ED24EC">
        <w:rPr>
          <w:color w:val="000000"/>
          <w:szCs w:val="22"/>
        </w:rPr>
        <w:t>, kuris gydo</w:t>
      </w:r>
      <w:r>
        <w:rPr>
          <w:color w:val="000000"/>
          <w:szCs w:val="22"/>
        </w:rPr>
        <w:t>mas</w:t>
      </w:r>
      <w:r w:rsidRPr="00ED24EC">
        <w:rPr>
          <w:color w:val="000000"/>
          <w:szCs w:val="22"/>
        </w:rPr>
        <w:t xml:space="preserve"> terfenidinu ir kartu mažesne kaip 400 mg flukonazolo paros doze, būklę būtina atidžiai stebėti.</w:t>
      </w:r>
    </w:p>
    <w:p w:rsidR="00B64BE2" w:rsidRPr="00ED24EC" w:rsidRDefault="00B64BE2" w:rsidP="00B64BE2">
      <w:pPr>
        <w:ind w:left="567" w:hanging="567"/>
        <w:rPr>
          <w:color w:val="000000"/>
          <w:szCs w:val="22"/>
        </w:rPr>
      </w:pPr>
    </w:p>
    <w:p w:rsidR="00B64BE2" w:rsidRPr="00ED24EC" w:rsidRDefault="00B64BE2" w:rsidP="00B64BE2">
      <w:pPr>
        <w:pStyle w:val="Aufzhlung"/>
        <w:tabs>
          <w:tab w:val="clear" w:pos="284"/>
          <w:tab w:val="left" w:pos="0"/>
        </w:tabs>
        <w:ind w:left="0" w:firstLine="0"/>
        <w:rPr>
          <w:i/>
          <w:iCs/>
          <w:u w:val="single"/>
          <w:lang w:val="lt-LT"/>
        </w:rPr>
      </w:pPr>
      <w:r>
        <w:rPr>
          <w:i/>
          <w:iCs/>
          <w:u w:val="single"/>
          <w:lang w:val="lt-LT"/>
        </w:rPr>
        <w:t xml:space="preserve">Fluconazol FARMAGES </w:t>
      </w:r>
      <w:r w:rsidRPr="00ED24EC">
        <w:rPr>
          <w:i/>
          <w:iCs/>
          <w:u w:val="single"/>
          <w:lang w:val="lt-LT"/>
        </w:rPr>
        <w:t xml:space="preserve"> poveikį gali keisti toliau išvardyti vaistai ar jų grupės</w:t>
      </w:r>
    </w:p>
    <w:p w:rsidR="00B64BE2" w:rsidRPr="00B64BE2" w:rsidRDefault="00B64BE2" w:rsidP="00B64BE2">
      <w:pPr>
        <w:rPr>
          <w:color w:val="000000"/>
          <w:szCs w:val="22"/>
          <w:lang w:val="lt-LT"/>
        </w:rPr>
      </w:pPr>
      <w:r w:rsidRPr="00B64BE2">
        <w:rPr>
          <w:color w:val="000000"/>
          <w:szCs w:val="22"/>
          <w:lang w:val="lt-LT"/>
        </w:rPr>
        <w:t>Prieš pradėdami kartu su flukonazolu vartoti toliau išvardytų vaistų, pasitarkite su gydytoju.</w:t>
      </w:r>
    </w:p>
    <w:p w:rsidR="00B64BE2" w:rsidRPr="00B64BE2" w:rsidRDefault="00B64BE2" w:rsidP="00B64BE2">
      <w:pPr>
        <w:numPr>
          <w:ilvl w:val="0"/>
          <w:numId w:val="14"/>
        </w:numPr>
        <w:tabs>
          <w:tab w:val="clear" w:pos="567"/>
          <w:tab w:val="clear" w:pos="720"/>
        </w:tabs>
        <w:spacing w:line="240" w:lineRule="auto"/>
        <w:ind w:left="567" w:hanging="567"/>
        <w:rPr>
          <w:szCs w:val="22"/>
          <w:lang w:val="lt-LT"/>
        </w:rPr>
      </w:pPr>
      <w:r w:rsidRPr="00B64BE2">
        <w:rPr>
          <w:spacing w:val="2"/>
          <w:szCs w:val="22"/>
          <w:lang w:val="lt-LT"/>
        </w:rPr>
        <w:t>Hidrochlorotiazido (šlapimo išsiskyrimą skatinančių vaistų, vartojamų kraujo spaudimui mažinti bei skysčių išsiskyrimui skatinti).</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Rifampicino (antibiotiko, kuriuo gydoma tuberkuliozė).</w:t>
      </w:r>
    </w:p>
    <w:p w:rsidR="00B64BE2" w:rsidRPr="00ED24EC" w:rsidRDefault="00B64BE2" w:rsidP="00B64BE2">
      <w:pPr>
        <w:rPr>
          <w:spacing w:val="2"/>
          <w:szCs w:val="22"/>
        </w:rPr>
      </w:pPr>
    </w:p>
    <w:p w:rsidR="00B64BE2" w:rsidRPr="00ED24EC" w:rsidRDefault="00B64BE2" w:rsidP="00B64BE2">
      <w:pPr>
        <w:pStyle w:val="Aufzhlung"/>
        <w:tabs>
          <w:tab w:val="clear" w:pos="284"/>
          <w:tab w:val="left" w:pos="0"/>
        </w:tabs>
        <w:ind w:left="0" w:firstLine="0"/>
        <w:rPr>
          <w:i/>
          <w:iCs/>
          <w:u w:val="single"/>
          <w:lang w:val="lt-LT"/>
        </w:rPr>
      </w:pPr>
      <w:r>
        <w:rPr>
          <w:i/>
          <w:iCs/>
          <w:u w:val="single"/>
          <w:lang w:val="lt-LT"/>
        </w:rPr>
        <w:t xml:space="preserve">Fluconazol FARMAGES </w:t>
      </w:r>
      <w:r w:rsidRPr="00ED24EC">
        <w:rPr>
          <w:i/>
          <w:iCs/>
          <w:u w:val="single"/>
          <w:lang w:val="lt-LT"/>
        </w:rPr>
        <w:t xml:space="preserve"> gali keisti toliau išvardytų vaistų poveikį</w:t>
      </w:r>
    </w:p>
    <w:p w:rsidR="00B64BE2" w:rsidRPr="00B64BE2" w:rsidRDefault="00B64BE2" w:rsidP="00B64BE2">
      <w:pPr>
        <w:rPr>
          <w:color w:val="000000"/>
          <w:szCs w:val="22"/>
          <w:lang w:val="lt-LT"/>
        </w:rPr>
      </w:pPr>
      <w:r>
        <w:rPr>
          <w:color w:val="000000"/>
          <w:szCs w:val="22"/>
          <w:lang w:val="lt-LT"/>
        </w:rPr>
        <w:t xml:space="preserve">Fluconazol FARMAGES </w:t>
      </w:r>
      <w:r w:rsidRPr="00B64BE2">
        <w:rPr>
          <w:color w:val="000000"/>
          <w:szCs w:val="22"/>
          <w:lang w:val="lt-LT"/>
        </w:rPr>
        <w:t xml:space="preserve"> gali reikšmingai keisti kartu vartojamų vaistų skaidymą ir taip bloginti veiksmingumą ar pasunkinti nepageidaujamą poveikį. Prieš pradėdami kartu su flukonazolu vartoti toliau išvardytų vaistų, pasitarkite su gydytoju.</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Alfentanilio (anestetiko).</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Amitriptilino (vaisto nuo depresinių sutrikimų).</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 xml:space="preserve">Geriamųjų </w:t>
      </w:r>
      <w:r>
        <w:rPr>
          <w:szCs w:val="22"/>
        </w:rPr>
        <w:t>vaistų</w:t>
      </w:r>
      <w:r w:rsidRPr="00ED24EC">
        <w:rPr>
          <w:szCs w:val="22"/>
        </w:rPr>
        <w:t xml:space="preserve"> nuo cukrinio diabeto su</w:t>
      </w:r>
      <w:r>
        <w:rPr>
          <w:szCs w:val="22"/>
        </w:rPr>
        <w:t>lfanilšlapalo darinių</w:t>
      </w:r>
      <w:r w:rsidRPr="00ED24EC">
        <w:rPr>
          <w:szCs w:val="22"/>
        </w:rPr>
        <w:t xml:space="preserve"> (glibenklamido, glimepirido, glipizido ir tolbutamido).</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Varfarino ar panašių antikoaguliantų (kraują skystinančių vaistų).</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color w:val="000000"/>
          <w:szCs w:val="22"/>
        </w:rPr>
        <w:t>Trumpai veikiančių benzodiazepinų (</w:t>
      </w:r>
      <w:r>
        <w:rPr>
          <w:color w:val="000000"/>
          <w:szCs w:val="22"/>
        </w:rPr>
        <w:t>pv</w:t>
      </w:r>
      <w:r w:rsidRPr="00ED24EC">
        <w:rPr>
          <w:color w:val="000000"/>
          <w:szCs w:val="22"/>
        </w:rPr>
        <w:t>z., raminamojo preparato midazolamo, vartojamo nuo nerimo ir miego sutrikim</w:t>
      </w:r>
      <w:r>
        <w:rPr>
          <w:color w:val="000000"/>
          <w:szCs w:val="22"/>
        </w:rPr>
        <w:t>o</w:t>
      </w:r>
      <w:r w:rsidRPr="00ED24EC">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lastRenderedPageBreak/>
        <w:t>Kalcio kanalų blokatorių, pvz., nifedipino, isradipino, nikardipino, amlodipino ir felodipino (</w:t>
      </w:r>
      <w:r>
        <w:rPr>
          <w:szCs w:val="22"/>
        </w:rPr>
        <w:t>jais gali būti gydomas padidėjęs kraujo spaudimas</w:t>
      </w:r>
      <w:r w:rsidRPr="00ED24EC">
        <w:rPr>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K</w:t>
      </w:r>
      <w:r w:rsidRPr="00ED24EC">
        <w:rPr>
          <w:szCs w:val="22"/>
        </w:rPr>
        <w:t>arbamazepino</w:t>
      </w:r>
      <w:r w:rsidRPr="00ED24EC">
        <w:rPr>
          <w:spacing w:val="2"/>
          <w:szCs w:val="22"/>
        </w:rPr>
        <w:t xml:space="preserve"> (jo vartojama </w:t>
      </w:r>
      <w:r>
        <w:rPr>
          <w:spacing w:val="2"/>
          <w:szCs w:val="22"/>
        </w:rPr>
        <w:t>epilepsijos gydymui</w:t>
      </w:r>
      <w:r w:rsidRPr="00ED24EC">
        <w:rPr>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Celekoksibo (juo gydomas sąnarių uždegimas).</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Halofantrino (vaisto nuo maliarijos).</w:t>
      </w:r>
    </w:p>
    <w:p w:rsidR="00B64BE2" w:rsidRPr="00966B60" w:rsidRDefault="00B64BE2" w:rsidP="00966B60">
      <w:pPr>
        <w:numPr>
          <w:ilvl w:val="0"/>
          <w:numId w:val="14"/>
        </w:numPr>
        <w:tabs>
          <w:tab w:val="clear" w:pos="567"/>
          <w:tab w:val="clear" w:pos="720"/>
        </w:tabs>
        <w:spacing w:line="240" w:lineRule="auto"/>
        <w:ind w:left="567" w:hanging="567"/>
        <w:rPr>
          <w:szCs w:val="22"/>
        </w:rPr>
      </w:pPr>
      <w:r w:rsidRPr="00966B60">
        <w:rPr>
          <w:szCs w:val="22"/>
        </w:rPr>
        <w:t>HMG-KoA reduktazės inhibitorių (vaistų, vartojamų padidėjusiam cholesterolio kiekiui kraujyje mažinti).</w:t>
      </w:r>
    </w:p>
    <w:p w:rsidR="00B64BE2" w:rsidRPr="00ED24EC" w:rsidRDefault="00B64BE2" w:rsidP="00B64BE2">
      <w:pPr>
        <w:ind w:left="567"/>
        <w:rPr>
          <w:szCs w:val="22"/>
        </w:rPr>
      </w:pPr>
      <w:r w:rsidRPr="00B64BE2">
        <w:rPr>
          <w:szCs w:val="22"/>
          <w:lang w:val="lt-LT"/>
        </w:rPr>
        <w:t xml:space="preserve">Jei kartu vartojant </w:t>
      </w:r>
      <w:r>
        <w:rPr>
          <w:szCs w:val="22"/>
          <w:lang w:val="lt-LT"/>
        </w:rPr>
        <w:t xml:space="preserve">Fluconazol FARMAGES </w:t>
      </w:r>
      <w:r w:rsidRPr="00B64BE2">
        <w:rPr>
          <w:szCs w:val="22"/>
          <w:lang w:val="lt-LT"/>
        </w:rPr>
        <w:t xml:space="preserve"> ir vaistų, mažinančių riebalų koncentraciją kraujyje (HMG-KoA reduktazės inhibitorių), pvz., atorvastatino, lovastatino, simvastatino ir fluvastatino, atsiranda tokių simptomų kaip raumenų skausmas, jėgos išnykimas ar silpnumas, nedelsdami pasakykite gydytojui. Tai gali būti raumenų pažeidimo (miopatijos) ar raumenų ląstelių žūties (rabdomiolizės) požymiai. </w:t>
      </w:r>
      <w:r w:rsidRPr="00ED24EC">
        <w:rPr>
          <w:szCs w:val="22"/>
        </w:rPr>
        <w:t xml:space="preserve">Gydytojas nuspręs, ar minėtų vaistų </w:t>
      </w:r>
      <w:r>
        <w:rPr>
          <w:szCs w:val="22"/>
        </w:rPr>
        <w:t>toli</w:t>
      </w:r>
      <w:r w:rsidRPr="00ED24EC">
        <w:rPr>
          <w:szCs w:val="22"/>
        </w:rPr>
        <w:t>a</w:t>
      </w:r>
      <w:r>
        <w:rPr>
          <w:szCs w:val="22"/>
        </w:rPr>
        <w:t>u</w:t>
      </w:r>
      <w:r w:rsidRPr="00ED24EC">
        <w:rPr>
          <w:szCs w:val="22"/>
        </w:rPr>
        <w:t xml:space="preserve"> vartoti kartu</w:t>
      </w:r>
      <w:r w:rsidRPr="00D923FE">
        <w:rPr>
          <w:szCs w:val="22"/>
        </w:rPr>
        <w:t xml:space="preserve"> </w:t>
      </w:r>
      <w:r w:rsidRPr="00ED24EC">
        <w:rPr>
          <w:szCs w:val="22"/>
        </w:rPr>
        <w:t>galima.</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Geriamųjų kontraceptikų.</w:t>
      </w:r>
    </w:p>
    <w:p w:rsidR="00B64BE2" w:rsidRPr="00ED24EC" w:rsidRDefault="00B64BE2" w:rsidP="00B64BE2">
      <w:pPr>
        <w:ind w:left="567"/>
        <w:rPr>
          <w:szCs w:val="22"/>
        </w:rPr>
      </w:pPr>
      <w:r>
        <w:rPr>
          <w:iCs/>
          <w:color w:val="000000"/>
          <w:szCs w:val="22"/>
        </w:rPr>
        <w:t xml:space="preserve">Manoma, kad Fluconazol </w:t>
      </w:r>
      <w:proofErr w:type="gramStart"/>
      <w:r>
        <w:rPr>
          <w:iCs/>
          <w:color w:val="000000"/>
          <w:szCs w:val="22"/>
        </w:rPr>
        <w:t>FARMAGES  infuzinis</w:t>
      </w:r>
      <w:proofErr w:type="gramEnd"/>
      <w:r>
        <w:rPr>
          <w:iCs/>
          <w:color w:val="000000"/>
          <w:szCs w:val="22"/>
        </w:rPr>
        <w:t xml:space="preserve"> tirpalas</w:t>
      </w:r>
      <w:r w:rsidRPr="00ED24EC">
        <w:rPr>
          <w:iCs/>
          <w:color w:val="000000"/>
          <w:szCs w:val="22"/>
        </w:rPr>
        <w:t xml:space="preserve"> </w:t>
      </w:r>
      <w:r>
        <w:rPr>
          <w:iCs/>
          <w:color w:val="000000"/>
          <w:szCs w:val="22"/>
        </w:rPr>
        <w:t>nesukelia</w:t>
      </w:r>
      <w:r w:rsidRPr="00ED24EC">
        <w:rPr>
          <w:iCs/>
          <w:color w:val="000000"/>
          <w:szCs w:val="22"/>
        </w:rPr>
        <w:t xml:space="preserve"> neigiam</w:t>
      </w:r>
      <w:r>
        <w:rPr>
          <w:iCs/>
          <w:color w:val="000000"/>
          <w:szCs w:val="22"/>
        </w:rPr>
        <w:t>o</w:t>
      </w:r>
      <w:r w:rsidRPr="00ED24EC">
        <w:rPr>
          <w:iCs/>
          <w:color w:val="000000"/>
          <w:szCs w:val="22"/>
        </w:rPr>
        <w:t xml:space="preserve"> poveik</w:t>
      </w:r>
      <w:r>
        <w:rPr>
          <w:iCs/>
          <w:color w:val="000000"/>
          <w:szCs w:val="22"/>
        </w:rPr>
        <w:t>io</w:t>
      </w:r>
      <w:r w:rsidRPr="00ED24EC">
        <w:rPr>
          <w:iCs/>
          <w:color w:val="000000"/>
          <w:szCs w:val="22"/>
        </w:rPr>
        <w:t xml:space="preserve"> geriamųjų kontraceptikų veiksmingumui</w:t>
      </w:r>
      <w:r w:rsidRPr="00ED24EC">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Losartan</w:t>
      </w:r>
      <w:r>
        <w:rPr>
          <w:szCs w:val="22"/>
        </w:rPr>
        <w:t>o</w:t>
      </w:r>
      <w:r w:rsidRPr="00ED24EC">
        <w:rPr>
          <w:szCs w:val="22"/>
        </w:rPr>
        <w:t xml:space="preserve"> (juo gydomas padidėjęs kraujo spaudimas).</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Metadon</w:t>
      </w:r>
      <w:r>
        <w:rPr>
          <w:szCs w:val="22"/>
        </w:rPr>
        <w:t>o</w:t>
      </w:r>
      <w:r w:rsidRPr="00ED24EC">
        <w:rPr>
          <w:szCs w:val="22"/>
        </w:rPr>
        <w:t xml:space="preserve"> (psichiką veikianči</w:t>
      </w:r>
      <w:r>
        <w:rPr>
          <w:szCs w:val="22"/>
        </w:rPr>
        <w:t>o vaisto, keičiančio</w:t>
      </w:r>
      <w:r w:rsidRPr="00ED24EC">
        <w:rPr>
          <w:szCs w:val="22"/>
        </w:rPr>
        <w:t xml:space="preserve"> mąstymą ir elgesį).</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Fenitoin</w:t>
      </w:r>
      <w:r>
        <w:rPr>
          <w:szCs w:val="22"/>
        </w:rPr>
        <w:t>o</w:t>
      </w:r>
      <w:r w:rsidRPr="00ED24EC">
        <w:rPr>
          <w:szCs w:val="22"/>
        </w:rPr>
        <w:t xml:space="preserve"> </w:t>
      </w:r>
      <w:r w:rsidRPr="00ED24EC">
        <w:rPr>
          <w:color w:val="000000"/>
          <w:szCs w:val="22"/>
        </w:rPr>
        <w:t>(vaist</w:t>
      </w:r>
      <w:r>
        <w:rPr>
          <w:color w:val="000000"/>
          <w:szCs w:val="22"/>
        </w:rPr>
        <w:t>o</w:t>
      </w:r>
      <w:r w:rsidRPr="00ED24EC">
        <w:rPr>
          <w:color w:val="000000"/>
          <w:szCs w:val="22"/>
        </w:rPr>
        <w:t xml:space="preserve"> nuo epilepsijos).</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Ksantin</w:t>
      </w:r>
      <w:r>
        <w:rPr>
          <w:szCs w:val="22"/>
        </w:rPr>
        <w:t xml:space="preserve">ų darinių, </w:t>
      </w:r>
      <w:r w:rsidRPr="00ED24EC">
        <w:rPr>
          <w:szCs w:val="22"/>
        </w:rPr>
        <w:t>kitoki</w:t>
      </w:r>
      <w:r>
        <w:rPr>
          <w:szCs w:val="22"/>
        </w:rPr>
        <w:t>ų</w:t>
      </w:r>
      <w:r w:rsidRPr="00ED24EC">
        <w:rPr>
          <w:szCs w:val="22"/>
        </w:rPr>
        <w:t xml:space="preserve"> </w:t>
      </w:r>
      <w:r w:rsidRPr="00ED24EC">
        <w:rPr>
          <w:color w:val="000000"/>
          <w:szCs w:val="22"/>
        </w:rPr>
        <w:t>vaist</w:t>
      </w:r>
      <w:r>
        <w:rPr>
          <w:color w:val="000000"/>
          <w:szCs w:val="22"/>
        </w:rPr>
        <w:t>ų</w:t>
      </w:r>
      <w:r w:rsidRPr="00ED24EC">
        <w:rPr>
          <w:color w:val="000000"/>
          <w:szCs w:val="22"/>
        </w:rPr>
        <w:t xml:space="preserve"> nuo epilepsijos</w:t>
      </w:r>
      <w:r w:rsidRPr="00ED24EC">
        <w:rPr>
          <w:szCs w:val="22"/>
        </w:rPr>
        <w:t xml:space="preserve"> ir izoniazid</w:t>
      </w:r>
      <w:r>
        <w:rPr>
          <w:szCs w:val="22"/>
        </w:rPr>
        <w:t>o</w:t>
      </w:r>
      <w:r w:rsidRPr="00ED24EC">
        <w:rPr>
          <w:szCs w:val="22"/>
        </w:rPr>
        <w:t xml:space="preserve"> (vaist</w:t>
      </w:r>
      <w:r>
        <w:rPr>
          <w:szCs w:val="22"/>
        </w:rPr>
        <w:t>o</w:t>
      </w:r>
      <w:r w:rsidRPr="00ED24EC">
        <w:rPr>
          <w:szCs w:val="22"/>
        </w:rPr>
        <w:t xml:space="preserve"> nuo tuberkuliozės).</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pacing w:val="2"/>
          <w:szCs w:val="22"/>
        </w:rPr>
        <w:t>Teofilin</w:t>
      </w:r>
      <w:r>
        <w:rPr>
          <w:spacing w:val="2"/>
          <w:szCs w:val="22"/>
        </w:rPr>
        <w:t>o</w:t>
      </w:r>
      <w:r w:rsidRPr="00ED24EC">
        <w:rPr>
          <w:spacing w:val="2"/>
          <w:szCs w:val="22"/>
        </w:rPr>
        <w:t xml:space="preserve"> (</w:t>
      </w:r>
      <w:r>
        <w:rPr>
          <w:spacing w:val="2"/>
          <w:szCs w:val="22"/>
        </w:rPr>
        <w:t xml:space="preserve">vaisto </w:t>
      </w:r>
      <w:r w:rsidRPr="00ED24EC">
        <w:rPr>
          <w:spacing w:val="2"/>
          <w:szCs w:val="22"/>
        </w:rPr>
        <w:t>nuo astmos).</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color w:val="000000"/>
          <w:szCs w:val="22"/>
        </w:rPr>
        <w:t>Didanozin</w:t>
      </w:r>
      <w:r>
        <w:rPr>
          <w:color w:val="000000"/>
          <w:szCs w:val="22"/>
        </w:rPr>
        <w:t>o</w:t>
      </w:r>
      <w:r w:rsidRPr="00ED24EC">
        <w:rPr>
          <w:color w:val="000000"/>
          <w:szCs w:val="22"/>
        </w:rPr>
        <w:t xml:space="preserve"> (virus</w:t>
      </w:r>
      <w:r>
        <w:rPr>
          <w:color w:val="000000"/>
          <w:szCs w:val="22"/>
        </w:rPr>
        <w:t>ų dauginimąsi slopinančio</w:t>
      </w:r>
      <w:r w:rsidRPr="00ED24EC">
        <w:rPr>
          <w:color w:val="000000"/>
          <w:szCs w:val="22"/>
        </w:rPr>
        <w:t xml:space="preserve"> vaist</w:t>
      </w:r>
      <w:r>
        <w:rPr>
          <w:color w:val="000000"/>
          <w:szCs w:val="22"/>
        </w:rPr>
        <w:t>o</w:t>
      </w:r>
      <w:r w:rsidRPr="00ED24EC">
        <w:rPr>
          <w:color w:val="000000"/>
          <w:szCs w:val="22"/>
        </w:rPr>
        <w:t>, kurio vartojama</w:t>
      </w:r>
      <w:r>
        <w:rPr>
          <w:color w:val="000000"/>
          <w:szCs w:val="22"/>
        </w:rPr>
        <w:t>, jei yra</w:t>
      </w:r>
      <w:r w:rsidRPr="00ED24EC">
        <w:rPr>
          <w:color w:val="000000"/>
          <w:szCs w:val="22"/>
        </w:rPr>
        <w:t xml:space="preserve"> </w:t>
      </w:r>
      <w:r>
        <w:rPr>
          <w:color w:val="000000"/>
          <w:szCs w:val="22"/>
        </w:rPr>
        <w:t>ŽIV infekcija</w:t>
      </w:r>
      <w:r w:rsidRPr="00ED24EC">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color w:val="000000"/>
          <w:szCs w:val="22"/>
        </w:rPr>
        <w:t>Rifabutin</w:t>
      </w:r>
      <w:r>
        <w:rPr>
          <w:color w:val="000000"/>
          <w:szCs w:val="22"/>
        </w:rPr>
        <w:t>o</w:t>
      </w:r>
      <w:r w:rsidRPr="00ED24EC">
        <w:rPr>
          <w:color w:val="000000"/>
          <w:szCs w:val="22"/>
        </w:rPr>
        <w:t xml:space="preserve"> (antibiotik</w:t>
      </w:r>
      <w:r>
        <w:rPr>
          <w:color w:val="000000"/>
          <w:szCs w:val="22"/>
        </w:rPr>
        <w:t>o</w:t>
      </w:r>
      <w:r w:rsidRPr="00ED24EC">
        <w:rPr>
          <w:color w:val="000000"/>
          <w:szCs w:val="22"/>
        </w:rPr>
        <w:t>, vartojam</w:t>
      </w:r>
      <w:r>
        <w:rPr>
          <w:color w:val="000000"/>
          <w:szCs w:val="22"/>
        </w:rPr>
        <w:t>o</w:t>
      </w:r>
      <w:r w:rsidRPr="00ED24EC">
        <w:rPr>
          <w:color w:val="000000"/>
          <w:szCs w:val="22"/>
        </w:rPr>
        <w:t xml:space="preserve"> </w:t>
      </w:r>
      <w:r w:rsidRPr="00ED24EC">
        <w:rPr>
          <w:szCs w:val="22"/>
        </w:rPr>
        <w:t>nuo tuberkuliozės</w:t>
      </w:r>
      <w:r w:rsidRPr="00ED24EC">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color w:val="000000"/>
          <w:szCs w:val="22"/>
        </w:rPr>
        <w:t>Trimetreksat</w:t>
      </w:r>
      <w:r>
        <w:rPr>
          <w:color w:val="000000"/>
          <w:szCs w:val="22"/>
        </w:rPr>
        <w:t>o</w:t>
      </w:r>
      <w:r w:rsidRPr="00ED24EC">
        <w:rPr>
          <w:color w:val="000000"/>
          <w:szCs w:val="22"/>
        </w:rPr>
        <w:t xml:space="preserve"> (</w:t>
      </w:r>
      <w:r>
        <w:rPr>
          <w:color w:val="000000"/>
          <w:szCs w:val="22"/>
        </w:rPr>
        <w:t>citostatiko</w:t>
      </w:r>
      <w:r w:rsidRPr="00ED24EC">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color w:val="000000"/>
          <w:szCs w:val="22"/>
        </w:rPr>
        <w:t>Zidovudin</w:t>
      </w:r>
      <w:r>
        <w:rPr>
          <w:color w:val="000000"/>
          <w:szCs w:val="22"/>
        </w:rPr>
        <w:t>o</w:t>
      </w:r>
      <w:r w:rsidRPr="00ED24EC">
        <w:rPr>
          <w:color w:val="000000"/>
          <w:szCs w:val="22"/>
        </w:rPr>
        <w:t xml:space="preserve"> (virus</w:t>
      </w:r>
      <w:r>
        <w:rPr>
          <w:color w:val="000000"/>
          <w:szCs w:val="22"/>
        </w:rPr>
        <w:t>ų</w:t>
      </w:r>
      <w:r w:rsidRPr="00ED24EC">
        <w:rPr>
          <w:color w:val="000000"/>
          <w:szCs w:val="22"/>
        </w:rPr>
        <w:t xml:space="preserve"> </w:t>
      </w:r>
      <w:r>
        <w:rPr>
          <w:color w:val="000000"/>
          <w:szCs w:val="22"/>
        </w:rPr>
        <w:t>dauginimąsi slopinančio</w:t>
      </w:r>
      <w:r w:rsidRPr="00ED24EC">
        <w:rPr>
          <w:color w:val="000000"/>
          <w:szCs w:val="22"/>
        </w:rPr>
        <w:t xml:space="preserve"> vaist</w:t>
      </w:r>
      <w:r>
        <w:rPr>
          <w:color w:val="000000"/>
          <w:szCs w:val="22"/>
        </w:rPr>
        <w:t>o</w:t>
      </w:r>
      <w:r w:rsidRPr="00ED24EC">
        <w:rPr>
          <w:color w:val="000000"/>
          <w:szCs w:val="22"/>
        </w:rPr>
        <w:t>, kurio vartojama</w:t>
      </w:r>
      <w:r>
        <w:rPr>
          <w:color w:val="000000"/>
          <w:szCs w:val="22"/>
        </w:rPr>
        <w:t>, jei yra</w:t>
      </w:r>
      <w:r w:rsidRPr="00ED24EC">
        <w:rPr>
          <w:color w:val="000000"/>
          <w:szCs w:val="22"/>
        </w:rPr>
        <w:t xml:space="preserve"> </w:t>
      </w:r>
      <w:r>
        <w:rPr>
          <w:color w:val="000000"/>
          <w:szCs w:val="22"/>
        </w:rPr>
        <w:t>ŽIV infekcija</w:t>
      </w:r>
      <w:r w:rsidRPr="00ED24EC">
        <w:rPr>
          <w:color w:val="000000"/>
          <w:szCs w:val="22"/>
        </w:rPr>
        <w:t>)</w:t>
      </w:r>
      <w:r>
        <w:rPr>
          <w:color w:val="000000"/>
          <w:szCs w:val="22"/>
        </w:rPr>
        <w:t>.</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Imuninę sistemą slopinanči</w:t>
      </w:r>
      <w:r>
        <w:rPr>
          <w:szCs w:val="22"/>
        </w:rPr>
        <w:t>ų</w:t>
      </w:r>
      <w:r w:rsidRPr="00ED24EC">
        <w:rPr>
          <w:szCs w:val="22"/>
        </w:rPr>
        <w:t xml:space="preserve"> vaist</w:t>
      </w:r>
      <w:r>
        <w:rPr>
          <w:szCs w:val="22"/>
        </w:rPr>
        <w:t>ų</w:t>
      </w:r>
      <w:r w:rsidRPr="00ED24EC">
        <w:rPr>
          <w:szCs w:val="22"/>
        </w:rPr>
        <w:t>, pvz., ciklosporin</w:t>
      </w:r>
      <w:r>
        <w:rPr>
          <w:szCs w:val="22"/>
        </w:rPr>
        <w:t>o</w:t>
      </w:r>
      <w:r w:rsidRPr="00ED24EC">
        <w:rPr>
          <w:szCs w:val="22"/>
        </w:rPr>
        <w:t>, prednizon</w:t>
      </w:r>
      <w:r>
        <w:rPr>
          <w:szCs w:val="22"/>
        </w:rPr>
        <w:t>o</w:t>
      </w:r>
      <w:r w:rsidRPr="00ED24EC">
        <w:rPr>
          <w:szCs w:val="22"/>
        </w:rPr>
        <w:t>, sirolimuz</w:t>
      </w:r>
      <w:r>
        <w:rPr>
          <w:szCs w:val="22"/>
        </w:rPr>
        <w:t>o</w:t>
      </w:r>
      <w:r w:rsidRPr="00ED24EC">
        <w:rPr>
          <w:szCs w:val="22"/>
        </w:rPr>
        <w:t xml:space="preserve"> ir ta</w:t>
      </w:r>
      <w:r>
        <w:rPr>
          <w:szCs w:val="22"/>
        </w:rPr>
        <w:t>k</w:t>
      </w:r>
      <w:r w:rsidRPr="00ED24EC">
        <w:rPr>
          <w:szCs w:val="22"/>
        </w:rPr>
        <w:t>rolimu</w:t>
      </w:r>
      <w:r>
        <w:rPr>
          <w:szCs w:val="22"/>
        </w:rPr>
        <w:t>zo.</w:t>
      </w:r>
    </w:p>
    <w:p w:rsidR="00B64BE2" w:rsidRPr="00ED24EC" w:rsidRDefault="00B64BE2" w:rsidP="00B64BE2">
      <w:pPr>
        <w:numPr>
          <w:ilvl w:val="0"/>
          <w:numId w:val="14"/>
        </w:numPr>
        <w:tabs>
          <w:tab w:val="clear" w:pos="567"/>
          <w:tab w:val="clear" w:pos="720"/>
        </w:tabs>
        <w:spacing w:line="240" w:lineRule="auto"/>
        <w:ind w:left="567" w:hanging="567"/>
        <w:rPr>
          <w:szCs w:val="22"/>
        </w:rPr>
      </w:pPr>
      <w:r w:rsidRPr="00ED24EC">
        <w:rPr>
          <w:szCs w:val="22"/>
        </w:rPr>
        <w:t>Amfotericin</w:t>
      </w:r>
      <w:r>
        <w:rPr>
          <w:szCs w:val="22"/>
        </w:rPr>
        <w:t>o</w:t>
      </w:r>
      <w:r w:rsidRPr="00ED24EC">
        <w:rPr>
          <w:szCs w:val="22"/>
        </w:rPr>
        <w:t xml:space="preserve"> B</w:t>
      </w:r>
      <w:r w:rsidRPr="00ED24EC">
        <w:rPr>
          <w:spacing w:val="2"/>
          <w:szCs w:val="22"/>
        </w:rPr>
        <w:t xml:space="preserve"> (jo vartojama </w:t>
      </w:r>
      <w:r>
        <w:rPr>
          <w:spacing w:val="2"/>
          <w:szCs w:val="22"/>
        </w:rPr>
        <w:t>pasireiškus</w:t>
      </w:r>
      <w:r w:rsidRPr="00ED24EC">
        <w:rPr>
          <w:spacing w:val="2"/>
          <w:szCs w:val="22"/>
        </w:rPr>
        <w:t xml:space="preserve"> sunkiai grybelinei infekcijai).</w:t>
      </w:r>
    </w:p>
    <w:p w:rsidR="00B64BE2" w:rsidRPr="00ED24EC" w:rsidRDefault="00B64BE2" w:rsidP="00B64BE2">
      <w:pPr>
        <w:ind w:left="567" w:hanging="567"/>
        <w:rPr>
          <w:szCs w:val="22"/>
        </w:rPr>
      </w:pPr>
    </w:p>
    <w:p w:rsidR="00B64BE2" w:rsidRPr="00ED24EC" w:rsidRDefault="00B64BE2" w:rsidP="00B64BE2">
      <w:pPr>
        <w:rPr>
          <w:szCs w:val="22"/>
        </w:rPr>
      </w:pPr>
      <w:r w:rsidRPr="00ED24EC">
        <w:rPr>
          <w:szCs w:val="22"/>
        </w:rPr>
        <w:t>Pasakykite gydytojui apie bet kokius vartojamus ar vartotus vaistus, įskaitant įsigytus be recepto</w:t>
      </w:r>
      <w:r w:rsidRPr="00ED24EC">
        <w:rPr>
          <w:spacing w:val="-1"/>
          <w:szCs w:val="22"/>
        </w:rPr>
        <w:t>.</w:t>
      </w:r>
    </w:p>
    <w:p w:rsidR="00B64BE2" w:rsidRPr="00ED24EC" w:rsidRDefault="00B64BE2" w:rsidP="00B64BE2">
      <w:pPr>
        <w:rPr>
          <w:spacing w:val="2"/>
          <w:szCs w:val="22"/>
        </w:rPr>
      </w:pPr>
    </w:p>
    <w:p w:rsidR="00B64BE2" w:rsidRPr="00ED24EC" w:rsidRDefault="00B64BE2" w:rsidP="00B64BE2">
      <w:pPr>
        <w:pStyle w:val="PI-3EMEASMCA"/>
      </w:pPr>
      <w:r w:rsidRPr="00ED24EC">
        <w:t>Nėštumas ir žindymo laikotarpis</w:t>
      </w:r>
    </w:p>
    <w:p w:rsidR="00B64BE2" w:rsidRPr="008D2318" w:rsidRDefault="00B64BE2" w:rsidP="00B64BE2">
      <w:pPr>
        <w:tabs>
          <w:tab w:val="left" w:pos="7560"/>
        </w:tabs>
        <w:rPr>
          <w:szCs w:val="22"/>
        </w:rPr>
      </w:pPr>
      <w:r w:rsidRPr="008D2318">
        <w:rPr>
          <w:szCs w:val="22"/>
        </w:rPr>
        <w:t>Jei esate nėščia, galite pastoti ar maitinate krūtimi, prieš varto</w:t>
      </w:r>
      <w:r>
        <w:rPr>
          <w:szCs w:val="22"/>
        </w:rPr>
        <w:t>dama</w:t>
      </w:r>
      <w:r w:rsidRPr="008D2318">
        <w:rPr>
          <w:szCs w:val="22"/>
        </w:rPr>
        <w:t xml:space="preserve"> š</w:t>
      </w:r>
      <w:r>
        <w:rPr>
          <w:szCs w:val="22"/>
        </w:rPr>
        <w:t>io vaisto</w:t>
      </w:r>
      <w:r w:rsidRPr="008D2318">
        <w:rPr>
          <w:szCs w:val="22"/>
        </w:rPr>
        <w:t>, būtinai pasitarkite su gydytoju.</w:t>
      </w:r>
    </w:p>
    <w:p w:rsidR="00B64BE2" w:rsidRPr="00ED24EC" w:rsidRDefault="00B64BE2" w:rsidP="00B64BE2">
      <w:pPr>
        <w:pStyle w:val="BTEMEASMCA"/>
      </w:pPr>
    </w:p>
    <w:p w:rsidR="00B64BE2" w:rsidRPr="00ED24EC" w:rsidRDefault="00B64BE2" w:rsidP="00B64BE2">
      <w:pPr>
        <w:pStyle w:val="PI-3EMEASMCA"/>
      </w:pPr>
      <w:r w:rsidRPr="00ED24EC">
        <w:t>Vairavimas ir mechanizmų valdymas</w:t>
      </w:r>
    </w:p>
    <w:p w:rsidR="00B64BE2" w:rsidRPr="008D2318" w:rsidRDefault="00B64BE2" w:rsidP="00B64BE2">
      <w:pPr>
        <w:rPr>
          <w:szCs w:val="22"/>
        </w:rPr>
      </w:pPr>
      <w:r w:rsidRPr="008D2318">
        <w:rPr>
          <w:szCs w:val="22"/>
        </w:rPr>
        <w:t xml:space="preserve">Flukonazolas gebėjimą vairuoti ir valdyti mechanizmus veikia silpnai arba </w:t>
      </w:r>
      <w:r>
        <w:rPr>
          <w:szCs w:val="22"/>
        </w:rPr>
        <w:t>neveikia visai</w:t>
      </w:r>
      <w:r w:rsidRPr="008D2318">
        <w:rPr>
          <w:szCs w:val="22"/>
        </w:rPr>
        <w:t xml:space="preserve">. Vis dėlto, atliekant minėtus veiksmus, būtina turėti omenyje, kad nedažnai pasireiškia </w:t>
      </w:r>
      <w:r>
        <w:rPr>
          <w:szCs w:val="22"/>
        </w:rPr>
        <w:t>svaigu</w:t>
      </w:r>
      <w:r w:rsidRPr="008D2318">
        <w:rPr>
          <w:szCs w:val="22"/>
        </w:rPr>
        <w:t>lys bei traukuliai.</w:t>
      </w:r>
    </w:p>
    <w:p w:rsidR="00B64BE2" w:rsidRPr="00ED24EC" w:rsidRDefault="00B64BE2" w:rsidP="00B64BE2">
      <w:pPr>
        <w:pStyle w:val="BTEMEASMCA"/>
      </w:pPr>
    </w:p>
    <w:p w:rsidR="00B64BE2" w:rsidRPr="00ED24EC" w:rsidRDefault="00B64BE2" w:rsidP="00B64BE2">
      <w:pPr>
        <w:pStyle w:val="BTEMEASMCA"/>
      </w:pPr>
    </w:p>
    <w:p w:rsidR="00B64BE2" w:rsidRPr="00ED24EC" w:rsidRDefault="00B64BE2" w:rsidP="00B64BE2">
      <w:pPr>
        <w:pStyle w:val="PI-1EMEASMCA"/>
      </w:pPr>
      <w:bookmarkStart w:id="6" w:name="_Toc129243141"/>
      <w:bookmarkStart w:id="7" w:name="_Toc129243266"/>
      <w:r w:rsidRPr="00ED24EC">
        <w:t>3.</w:t>
      </w:r>
      <w:r w:rsidRPr="00ED24EC">
        <w:tab/>
        <w:t xml:space="preserve">KAIP VARTOTI </w:t>
      </w:r>
      <w:bookmarkEnd w:id="6"/>
      <w:bookmarkEnd w:id="7"/>
      <w:r>
        <w:t xml:space="preserve">FLUCONAZOL FARMAGES </w:t>
      </w:r>
    </w:p>
    <w:p w:rsidR="00B64BE2" w:rsidRPr="00ED24EC" w:rsidRDefault="00B64BE2" w:rsidP="00B64BE2">
      <w:pPr>
        <w:pStyle w:val="BTEMEASMCA"/>
      </w:pPr>
    </w:p>
    <w:p w:rsidR="00B64BE2" w:rsidRPr="006F4598" w:rsidRDefault="00B64BE2" w:rsidP="00B64BE2">
      <w:pPr>
        <w:rPr>
          <w:szCs w:val="22"/>
          <w:lang w:val="lt-LT"/>
        </w:rPr>
      </w:pPr>
      <w:r w:rsidRPr="006F4598">
        <w:rPr>
          <w:szCs w:val="22"/>
          <w:lang w:val="lt-LT"/>
        </w:rPr>
        <w:t>Šio vaisto gydytojas arba slaugytojas maždaug per 30 minučių sulašins Jums į veną.</w:t>
      </w:r>
    </w:p>
    <w:p w:rsidR="00B64BE2" w:rsidRPr="006F4598" w:rsidRDefault="00B64BE2" w:rsidP="00B64BE2">
      <w:pPr>
        <w:rPr>
          <w:szCs w:val="22"/>
          <w:lang w:val="lt-LT"/>
        </w:rPr>
      </w:pPr>
    </w:p>
    <w:p w:rsidR="00B64BE2" w:rsidRDefault="00B64BE2" w:rsidP="00B64BE2">
      <w:pPr>
        <w:rPr>
          <w:spacing w:val="2"/>
          <w:szCs w:val="22"/>
        </w:rPr>
      </w:pPr>
      <w:r>
        <w:rPr>
          <w:spacing w:val="-1"/>
          <w:szCs w:val="22"/>
        </w:rPr>
        <w:t xml:space="preserve">Fluconazol </w:t>
      </w:r>
      <w:proofErr w:type="gramStart"/>
      <w:r>
        <w:rPr>
          <w:spacing w:val="-1"/>
          <w:szCs w:val="22"/>
        </w:rPr>
        <w:t xml:space="preserve">FARMAGES </w:t>
      </w:r>
      <w:r w:rsidRPr="00ED24EC">
        <w:rPr>
          <w:spacing w:val="-1"/>
          <w:szCs w:val="22"/>
        </w:rPr>
        <w:t xml:space="preserve"> </w:t>
      </w:r>
      <w:r>
        <w:rPr>
          <w:spacing w:val="-1"/>
          <w:szCs w:val="22"/>
        </w:rPr>
        <w:t>yra</w:t>
      </w:r>
      <w:proofErr w:type="gramEnd"/>
      <w:r>
        <w:rPr>
          <w:spacing w:val="-1"/>
          <w:szCs w:val="22"/>
        </w:rPr>
        <w:t xml:space="preserve"> infuzinis tirpalas</w:t>
      </w:r>
      <w:r w:rsidRPr="00ED24EC">
        <w:rPr>
          <w:spacing w:val="1"/>
          <w:szCs w:val="22"/>
        </w:rPr>
        <w:t xml:space="preserve">. </w:t>
      </w:r>
      <w:r>
        <w:rPr>
          <w:spacing w:val="1"/>
          <w:szCs w:val="22"/>
        </w:rPr>
        <w:t>Prieš vartojimą jo skiesti nereikia</w:t>
      </w:r>
      <w:r w:rsidRPr="00ED24EC">
        <w:rPr>
          <w:spacing w:val="2"/>
          <w:szCs w:val="22"/>
        </w:rPr>
        <w:t xml:space="preserve">. </w:t>
      </w:r>
      <w:r>
        <w:rPr>
          <w:spacing w:val="2"/>
          <w:szCs w:val="22"/>
        </w:rPr>
        <w:t>Prieš infuziją jo negalima maišyti su jokiu kitu vaistu.</w:t>
      </w:r>
    </w:p>
    <w:p w:rsidR="00B64BE2" w:rsidRPr="00ED24EC" w:rsidRDefault="00B64BE2" w:rsidP="00B64BE2">
      <w:pPr>
        <w:rPr>
          <w:szCs w:val="22"/>
        </w:rPr>
      </w:pPr>
    </w:p>
    <w:p w:rsidR="00B64BE2" w:rsidRDefault="00B64BE2" w:rsidP="00B64BE2">
      <w:pPr>
        <w:rPr>
          <w:spacing w:val="4"/>
          <w:szCs w:val="22"/>
        </w:rPr>
      </w:pPr>
      <w:r>
        <w:rPr>
          <w:spacing w:val="4"/>
          <w:szCs w:val="22"/>
        </w:rPr>
        <w:t xml:space="preserve">Jei nežinote, kodėl jums infuzuojama </w:t>
      </w:r>
      <w:r>
        <w:rPr>
          <w:spacing w:val="-1"/>
          <w:szCs w:val="22"/>
        </w:rPr>
        <w:t xml:space="preserve">Fluconazol </w:t>
      </w:r>
      <w:proofErr w:type="gramStart"/>
      <w:r>
        <w:rPr>
          <w:spacing w:val="-1"/>
          <w:szCs w:val="22"/>
        </w:rPr>
        <w:t>FARMAGES ,</w:t>
      </w:r>
      <w:proofErr w:type="gramEnd"/>
      <w:r>
        <w:rPr>
          <w:spacing w:val="-1"/>
          <w:szCs w:val="22"/>
        </w:rPr>
        <w:t xml:space="preserve"> klauskite gydytojo, slaugytojo ar vaistininko. </w:t>
      </w:r>
      <w:r>
        <w:rPr>
          <w:spacing w:val="4"/>
          <w:szCs w:val="22"/>
        </w:rPr>
        <w:t>Įprastinės dozės, vartojamos pasireiškus tam tikrai infekcijai, išvardytos toliau.</w:t>
      </w:r>
    </w:p>
    <w:p w:rsidR="00B64BE2" w:rsidRPr="00ED24EC" w:rsidRDefault="00B64BE2" w:rsidP="00B64BE2">
      <w:pPr>
        <w:rPr>
          <w:spacing w:val="15"/>
          <w:szCs w:val="22"/>
        </w:rPr>
      </w:pPr>
    </w:p>
    <w:p w:rsidR="00B64BE2" w:rsidRPr="00C13311" w:rsidRDefault="00B64BE2" w:rsidP="00B64BE2">
      <w:pPr>
        <w:rPr>
          <w:b/>
          <w:spacing w:val="15"/>
          <w:szCs w:val="22"/>
        </w:rPr>
      </w:pPr>
      <w:r w:rsidRPr="00C13311">
        <w:rPr>
          <w:b/>
          <w:spacing w:val="15"/>
          <w:szCs w:val="22"/>
        </w:rPr>
        <w:t>Suaugę žmonės</w:t>
      </w:r>
    </w:p>
    <w:p w:rsidR="00B64BE2" w:rsidRPr="00C13311" w:rsidRDefault="00B64BE2" w:rsidP="00B64BE2">
      <w:pPr>
        <w:numPr>
          <w:ilvl w:val="0"/>
          <w:numId w:val="16"/>
        </w:numPr>
        <w:tabs>
          <w:tab w:val="clear" w:pos="567"/>
          <w:tab w:val="clear" w:pos="720"/>
        </w:tabs>
        <w:spacing w:line="240" w:lineRule="auto"/>
        <w:ind w:left="567" w:hanging="567"/>
        <w:rPr>
          <w:szCs w:val="22"/>
          <w:u w:val="single"/>
        </w:rPr>
      </w:pPr>
      <w:r w:rsidRPr="00C13311">
        <w:rPr>
          <w:szCs w:val="22"/>
          <w:u w:val="single"/>
        </w:rPr>
        <w:t>Sisteminė kandidamikozė</w:t>
      </w:r>
    </w:p>
    <w:p w:rsidR="00B64BE2" w:rsidRPr="00C13311" w:rsidRDefault="00B64BE2" w:rsidP="00B64BE2">
      <w:pPr>
        <w:ind w:left="567"/>
        <w:rPr>
          <w:szCs w:val="22"/>
        </w:rPr>
      </w:pPr>
      <w:r w:rsidRPr="00C13311">
        <w:rPr>
          <w:color w:val="000000"/>
          <w:szCs w:val="22"/>
        </w:rPr>
        <w:t>Įprastinė pradinė flukonazolo dozė yra 400 mg. Ji infuzuojama tik pirmąją gydymo parą ir sulašinama iš karto. Vė</w:t>
      </w:r>
      <w:r w:rsidRPr="00C13311">
        <w:rPr>
          <w:szCs w:val="22"/>
        </w:rPr>
        <w:t xml:space="preserve">liau kartą per parą infuzuojama 200 mg dozė. </w:t>
      </w:r>
    </w:p>
    <w:p w:rsidR="00B64BE2" w:rsidRPr="00ED24EC" w:rsidRDefault="00B64BE2" w:rsidP="00B64BE2">
      <w:pPr>
        <w:ind w:left="567" w:hanging="567"/>
        <w:rPr>
          <w:i/>
          <w:iCs/>
          <w:szCs w:val="22"/>
        </w:rPr>
      </w:pPr>
    </w:p>
    <w:p w:rsidR="00B64BE2" w:rsidRPr="00C13311" w:rsidRDefault="00B64BE2" w:rsidP="00B64BE2">
      <w:pPr>
        <w:numPr>
          <w:ilvl w:val="0"/>
          <w:numId w:val="16"/>
        </w:numPr>
        <w:tabs>
          <w:tab w:val="clear" w:pos="567"/>
          <w:tab w:val="clear" w:pos="720"/>
        </w:tabs>
        <w:spacing w:line="240" w:lineRule="auto"/>
        <w:ind w:left="567" w:hanging="567"/>
        <w:rPr>
          <w:szCs w:val="22"/>
          <w:u w:val="single"/>
        </w:rPr>
      </w:pPr>
      <w:r w:rsidRPr="00C13311">
        <w:rPr>
          <w:szCs w:val="22"/>
          <w:u w:val="single"/>
        </w:rPr>
        <w:t>Sunki kandidurija</w:t>
      </w:r>
    </w:p>
    <w:p w:rsidR="00B64BE2" w:rsidRPr="00C13311" w:rsidRDefault="00B64BE2" w:rsidP="00B64BE2">
      <w:pPr>
        <w:ind w:left="567"/>
        <w:rPr>
          <w:iCs/>
          <w:szCs w:val="22"/>
        </w:rPr>
      </w:pPr>
      <w:r w:rsidRPr="00C13311">
        <w:rPr>
          <w:iCs/>
          <w:szCs w:val="22"/>
        </w:rPr>
        <w:lastRenderedPageBreak/>
        <w:t>Kartą per parą infuzuojama 100 mg dozė. Gydoma 14 – 30 dienų.</w:t>
      </w:r>
    </w:p>
    <w:p w:rsidR="00B64BE2" w:rsidRPr="00ED24EC" w:rsidRDefault="00B64BE2" w:rsidP="00B64BE2">
      <w:pPr>
        <w:ind w:left="567"/>
        <w:rPr>
          <w:i/>
          <w:iCs/>
          <w:szCs w:val="22"/>
        </w:rPr>
      </w:pPr>
    </w:p>
    <w:p w:rsidR="00B64BE2" w:rsidRPr="00C13311" w:rsidRDefault="00B64BE2" w:rsidP="00B64BE2">
      <w:pPr>
        <w:numPr>
          <w:ilvl w:val="0"/>
          <w:numId w:val="16"/>
        </w:numPr>
        <w:tabs>
          <w:tab w:val="clear" w:pos="567"/>
          <w:tab w:val="clear" w:pos="720"/>
        </w:tabs>
        <w:spacing w:line="240" w:lineRule="auto"/>
        <w:ind w:left="567" w:hanging="567"/>
        <w:rPr>
          <w:iCs/>
          <w:szCs w:val="22"/>
          <w:u w:val="single"/>
        </w:rPr>
      </w:pPr>
      <w:r w:rsidRPr="00C13311">
        <w:rPr>
          <w:iCs/>
          <w:szCs w:val="22"/>
          <w:u w:val="single"/>
        </w:rPr>
        <w:t>Sunki gleivinės kandidamikozė</w:t>
      </w:r>
    </w:p>
    <w:p w:rsidR="00B64BE2" w:rsidRPr="00C13311" w:rsidRDefault="00B64BE2" w:rsidP="00B64BE2">
      <w:pPr>
        <w:ind w:left="567"/>
        <w:rPr>
          <w:i/>
          <w:szCs w:val="22"/>
        </w:rPr>
      </w:pPr>
      <w:r w:rsidRPr="00C13311">
        <w:rPr>
          <w:i/>
          <w:szCs w:val="22"/>
        </w:rPr>
        <w:t>Sunki, ypač atsinaujinanti, burnos ir ryklės kandidamikozė</w:t>
      </w:r>
    </w:p>
    <w:p w:rsidR="00B64BE2" w:rsidRPr="00C13311" w:rsidRDefault="00B64BE2" w:rsidP="00B64BE2">
      <w:pPr>
        <w:ind w:left="567"/>
        <w:rPr>
          <w:iCs/>
          <w:szCs w:val="22"/>
        </w:rPr>
      </w:pPr>
      <w:r w:rsidRPr="00C13311">
        <w:rPr>
          <w:iCs/>
          <w:szCs w:val="22"/>
        </w:rPr>
        <w:t>Kartą per parą infuzuojama 100 mg dozė. Gydoma 7 </w:t>
      </w:r>
      <w:r w:rsidRPr="00C13311">
        <w:rPr>
          <w:iCs/>
          <w:szCs w:val="22"/>
        </w:rPr>
        <w:noBreakHyphen/>
        <w:t> 14 dienų.</w:t>
      </w:r>
    </w:p>
    <w:p w:rsidR="00B64BE2" w:rsidRPr="00C13311" w:rsidRDefault="00B64BE2" w:rsidP="00B64BE2">
      <w:pPr>
        <w:ind w:left="567"/>
        <w:rPr>
          <w:i/>
          <w:szCs w:val="22"/>
        </w:rPr>
      </w:pPr>
      <w:r w:rsidRPr="00C13311">
        <w:rPr>
          <w:i/>
          <w:szCs w:val="22"/>
        </w:rPr>
        <w:t>Sunki, ypač atsinaujinanti, stemplės kandidamikozė</w:t>
      </w:r>
    </w:p>
    <w:p w:rsidR="00B64BE2" w:rsidRPr="00C13311" w:rsidRDefault="00B64BE2" w:rsidP="00B64BE2">
      <w:pPr>
        <w:ind w:left="567"/>
        <w:rPr>
          <w:iCs/>
          <w:szCs w:val="22"/>
        </w:rPr>
      </w:pPr>
      <w:r w:rsidRPr="00C13311">
        <w:rPr>
          <w:iCs/>
          <w:szCs w:val="22"/>
        </w:rPr>
        <w:t>Kartą per parą infuzuojama 100 mg dozė. Gydoma 14 – 30 dienų.</w:t>
      </w:r>
    </w:p>
    <w:p w:rsidR="00B64BE2" w:rsidRPr="00C13311" w:rsidRDefault="00B64BE2" w:rsidP="00B64BE2">
      <w:pPr>
        <w:ind w:left="567"/>
        <w:rPr>
          <w:i/>
          <w:szCs w:val="22"/>
        </w:rPr>
      </w:pPr>
      <w:r w:rsidRPr="00C13311">
        <w:rPr>
          <w:i/>
          <w:szCs w:val="22"/>
        </w:rPr>
        <w:t>Sunki neinvazinė bronchų ir plaučių kandidamikozė.</w:t>
      </w:r>
    </w:p>
    <w:p w:rsidR="00B64BE2" w:rsidRPr="00C13311" w:rsidRDefault="00B64BE2" w:rsidP="00B64BE2">
      <w:pPr>
        <w:ind w:left="567"/>
        <w:rPr>
          <w:iCs/>
          <w:szCs w:val="22"/>
        </w:rPr>
      </w:pPr>
      <w:r w:rsidRPr="00C13311">
        <w:rPr>
          <w:iCs/>
          <w:szCs w:val="22"/>
        </w:rPr>
        <w:t>Kartą per parą infuzuojama 100 mg dozė. Gydoma 14 – 30 dienų.</w:t>
      </w:r>
    </w:p>
    <w:p w:rsidR="00B64BE2" w:rsidRPr="00ED24EC" w:rsidRDefault="00B64BE2" w:rsidP="00B64BE2">
      <w:pPr>
        <w:ind w:left="567" w:hanging="567"/>
        <w:rPr>
          <w:i/>
          <w:iCs/>
          <w:szCs w:val="22"/>
        </w:rPr>
      </w:pPr>
    </w:p>
    <w:p w:rsidR="00B64BE2" w:rsidRPr="0051273D" w:rsidRDefault="00B64BE2" w:rsidP="00B64BE2">
      <w:pPr>
        <w:numPr>
          <w:ilvl w:val="0"/>
          <w:numId w:val="16"/>
        </w:numPr>
        <w:tabs>
          <w:tab w:val="clear" w:pos="567"/>
          <w:tab w:val="clear" w:pos="720"/>
        </w:tabs>
        <w:spacing w:line="240" w:lineRule="auto"/>
        <w:ind w:left="567" w:hanging="567"/>
        <w:rPr>
          <w:szCs w:val="22"/>
        </w:rPr>
      </w:pPr>
      <w:r>
        <w:rPr>
          <w:szCs w:val="22"/>
          <w:u w:val="single"/>
        </w:rPr>
        <w:t>Kriptokokinis meningitas</w:t>
      </w:r>
    </w:p>
    <w:p w:rsidR="00B64BE2" w:rsidRPr="00C13311" w:rsidRDefault="00B64BE2" w:rsidP="00B64BE2">
      <w:pPr>
        <w:ind w:left="567"/>
        <w:rPr>
          <w:szCs w:val="22"/>
        </w:rPr>
      </w:pPr>
      <w:r w:rsidRPr="00C13311">
        <w:rPr>
          <w:color w:val="000000"/>
          <w:szCs w:val="22"/>
        </w:rPr>
        <w:t>Pradinė flukonazolo dozė yra 400 mg. Ji infuzuojama tik pirmąją gydymo parą ir sulašinama iš karto. Vė</w:t>
      </w:r>
      <w:r w:rsidRPr="00C13311">
        <w:rPr>
          <w:szCs w:val="22"/>
        </w:rPr>
        <w:t>liau kartą per parą infuzuojama 200 mg dozė. Paprastai gydoma 6 – 8 savaites.</w:t>
      </w:r>
    </w:p>
    <w:p w:rsidR="00B64BE2" w:rsidRPr="00735401" w:rsidRDefault="00B64BE2" w:rsidP="00B64BE2">
      <w:pPr>
        <w:ind w:firstLine="567"/>
        <w:rPr>
          <w:i/>
          <w:szCs w:val="22"/>
        </w:rPr>
      </w:pPr>
      <w:r w:rsidRPr="00735401">
        <w:rPr>
          <w:i/>
          <w:color w:val="000000"/>
          <w:szCs w:val="22"/>
        </w:rPr>
        <w:t xml:space="preserve">Invazinė pavojų gyvybei kelti galinti infekcinė </w:t>
      </w:r>
      <w:r w:rsidRPr="00735401">
        <w:rPr>
          <w:i/>
          <w:iCs/>
          <w:szCs w:val="22"/>
        </w:rPr>
        <w:t>Cryptococcus neoformans</w:t>
      </w:r>
      <w:r w:rsidRPr="00735401">
        <w:rPr>
          <w:i/>
          <w:szCs w:val="22"/>
        </w:rPr>
        <w:t xml:space="preserve"> sukelta liga</w:t>
      </w:r>
    </w:p>
    <w:p w:rsidR="00B64BE2" w:rsidRPr="00C13311" w:rsidRDefault="00B64BE2" w:rsidP="00B64BE2">
      <w:pPr>
        <w:ind w:left="567"/>
        <w:rPr>
          <w:szCs w:val="22"/>
        </w:rPr>
      </w:pPr>
      <w:r w:rsidRPr="00C13311">
        <w:rPr>
          <w:szCs w:val="22"/>
        </w:rPr>
        <w:t>Reikia infuzuoti 800 mg flukonazolo paros dozę (tokia dozė sulašinama iš karto). Paprastai gydoma 6 – 8 savaites.</w:t>
      </w:r>
    </w:p>
    <w:p w:rsidR="00B64BE2" w:rsidRPr="00C13311" w:rsidRDefault="00B64BE2" w:rsidP="00B64BE2">
      <w:pPr>
        <w:ind w:firstLine="567"/>
        <w:rPr>
          <w:color w:val="000000"/>
          <w:szCs w:val="22"/>
          <w:u w:val="single"/>
        </w:rPr>
      </w:pPr>
      <w:r w:rsidRPr="00C13311">
        <w:rPr>
          <w:color w:val="000000"/>
          <w:szCs w:val="22"/>
          <w:u w:val="single"/>
        </w:rPr>
        <w:t>Kriptokokinio meningito profilaktika</w:t>
      </w:r>
    </w:p>
    <w:p w:rsidR="00B64BE2" w:rsidRPr="00C13311" w:rsidRDefault="00B64BE2" w:rsidP="00B64BE2">
      <w:pPr>
        <w:ind w:left="567"/>
        <w:rPr>
          <w:color w:val="000000"/>
          <w:szCs w:val="22"/>
        </w:rPr>
      </w:pPr>
      <w:r w:rsidRPr="00C13311">
        <w:rPr>
          <w:color w:val="000000"/>
          <w:szCs w:val="22"/>
        </w:rPr>
        <w:t xml:space="preserve">Siekiant išvengti kriptokokinio meningito atkryčio, </w:t>
      </w:r>
      <w:r>
        <w:rPr>
          <w:color w:val="000000"/>
          <w:szCs w:val="22"/>
        </w:rPr>
        <w:t>ŽIV sukelta liga</w:t>
      </w:r>
      <w:r w:rsidRPr="00C13311">
        <w:rPr>
          <w:color w:val="000000"/>
          <w:szCs w:val="22"/>
        </w:rPr>
        <w:t xml:space="preserve"> sergantiems pacientams rekomenduojama vartoti palaikomąją</w:t>
      </w:r>
      <w:r w:rsidRPr="00C13311">
        <w:rPr>
          <w:szCs w:val="22"/>
        </w:rPr>
        <w:t xml:space="preserve"> 100 </w:t>
      </w:r>
      <w:r w:rsidRPr="00C13311">
        <w:rPr>
          <w:szCs w:val="22"/>
        </w:rPr>
        <w:noBreakHyphen/>
        <w:t> 200 mg paros dozę.</w:t>
      </w:r>
      <w:r w:rsidRPr="00C13311">
        <w:rPr>
          <w:color w:val="000000"/>
          <w:szCs w:val="22"/>
        </w:rPr>
        <w:t xml:space="preserve"> Gydoma daugiausia 25 mėnesius.</w:t>
      </w:r>
    </w:p>
    <w:p w:rsidR="00B64BE2" w:rsidRPr="00C13311" w:rsidRDefault="00B64BE2" w:rsidP="00B64BE2">
      <w:pPr>
        <w:ind w:left="567" w:hanging="567"/>
        <w:rPr>
          <w:szCs w:val="22"/>
          <w:u w:val="single"/>
        </w:rPr>
      </w:pPr>
    </w:p>
    <w:p w:rsidR="00B64BE2" w:rsidRPr="00ED24EC" w:rsidRDefault="00B64BE2" w:rsidP="00B64BE2">
      <w:pPr>
        <w:rPr>
          <w:spacing w:val="2"/>
          <w:szCs w:val="22"/>
        </w:rPr>
      </w:pPr>
      <w:r>
        <w:rPr>
          <w:b/>
          <w:bCs/>
          <w:spacing w:val="2"/>
          <w:szCs w:val="22"/>
        </w:rPr>
        <w:t xml:space="preserve">Vaikai </w:t>
      </w:r>
    </w:p>
    <w:p w:rsidR="00B64BE2" w:rsidRPr="00ED24EC" w:rsidRDefault="00B64BE2" w:rsidP="00B64BE2">
      <w:pPr>
        <w:rPr>
          <w:szCs w:val="22"/>
        </w:rPr>
      </w:pPr>
      <w:r>
        <w:rPr>
          <w:spacing w:val="2"/>
          <w:szCs w:val="22"/>
        </w:rPr>
        <w:t xml:space="preserve">Vaikams negalima vartoti didesnės kaip </w:t>
      </w:r>
      <w:r w:rsidRPr="00ED24EC">
        <w:rPr>
          <w:spacing w:val="2"/>
          <w:szCs w:val="22"/>
        </w:rPr>
        <w:t>400</w:t>
      </w:r>
      <w:r>
        <w:rPr>
          <w:spacing w:val="2"/>
          <w:szCs w:val="22"/>
        </w:rPr>
        <w:t> </w:t>
      </w:r>
      <w:r w:rsidRPr="00ED24EC">
        <w:rPr>
          <w:spacing w:val="2"/>
          <w:szCs w:val="22"/>
        </w:rPr>
        <w:t xml:space="preserve">mg </w:t>
      </w:r>
      <w:r>
        <w:rPr>
          <w:spacing w:val="2"/>
          <w:szCs w:val="22"/>
        </w:rPr>
        <w:t>paros dozės</w:t>
      </w:r>
      <w:r w:rsidRPr="00ED24EC">
        <w:rPr>
          <w:spacing w:val="1"/>
          <w:szCs w:val="22"/>
        </w:rPr>
        <w:t>.</w:t>
      </w:r>
    </w:p>
    <w:p w:rsidR="00B64BE2" w:rsidRDefault="00B64BE2" w:rsidP="00B64BE2">
      <w:pPr>
        <w:rPr>
          <w:spacing w:val="3"/>
          <w:szCs w:val="22"/>
        </w:rPr>
      </w:pPr>
    </w:p>
    <w:p w:rsidR="00B64BE2" w:rsidRPr="00021C2E" w:rsidRDefault="00B64BE2" w:rsidP="00B64BE2">
      <w:pPr>
        <w:numPr>
          <w:ilvl w:val="0"/>
          <w:numId w:val="16"/>
        </w:numPr>
        <w:tabs>
          <w:tab w:val="clear" w:pos="567"/>
          <w:tab w:val="clear" w:pos="720"/>
        </w:tabs>
        <w:spacing w:line="240" w:lineRule="auto"/>
        <w:ind w:left="567" w:hanging="567"/>
        <w:rPr>
          <w:spacing w:val="3"/>
          <w:szCs w:val="22"/>
          <w:u w:val="single"/>
        </w:rPr>
      </w:pPr>
      <w:r w:rsidRPr="00021C2E">
        <w:rPr>
          <w:spacing w:val="3"/>
          <w:szCs w:val="22"/>
          <w:u w:val="single"/>
        </w:rPr>
        <w:t>Vaikai, kurių inkstų funkcija sutrikusi</w:t>
      </w:r>
    </w:p>
    <w:p w:rsidR="00B64BE2" w:rsidRDefault="00B64BE2" w:rsidP="00B64BE2">
      <w:pPr>
        <w:ind w:firstLine="567"/>
        <w:rPr>
          <w:spacing w:val="3"/>
          <w:szCs w:val="22"/>
        </w:rPr>
      </w:pPr>
      <w:r>
        <w:rPr>
          <w:spacing w:val="3"/>
          <w:szCs w:val="22"/>
        </w:rPr>
        <w:t>Žr. poskyrį „Pacientai, kurių inkstų funkcija sutrikusi“.</w:t>
      </w:r>
    </w:p>
    <w:p w:rsidR="00B64BE2" w:rsidRPr="00ED24EC" w:rsidRDefault="00B64BE2" w:rsidP="00B64BE2">
      <w:pPr>
        <w:rPr>
          <w:spacing w:val="13"/>
          <w:szCs w:val="22"/>
        </w:rPr>
      </w:pPr>
    </w:p>
    <w:p w:rsidR="00B64BE2" w:rsidRPr="00ED24EC" w:rsidRDefault="00B64BE2" w:rsidP="00B64BE2">
      <w:pPr>
        <w:rPr>
          <w:b/>
          <w:bCs/>
          <w:szCs w:val="22"/>
        </w:rPr>
      </w:pPr>
      <w:r>
        <w:rPr>
          <w:b/>
          <w:bCs/>
          <w:spacing w:val="13"/>
          <w:szCs w:val="22"/>
        </w:rPr>
        <w:t>Vyresni kaip 4 savaičių kūdikiai</w:t>
      </w:r>
    </w:p>
    <w:p w:rsidR="00B64BE2" w:rsidRPr="00021C2E" w:rsidRDefault="00B64BE2" w:rsidP="00B64BE2">
      <w:pPr>
        <w:numPr>
          <w:ilvl w:val="0"/>
          <w:numId w:val="16"/>
        </w:numPr>
        <w:tabs>
          <w:tab w:val="clear" w:pos="567"/>
          <w:tab w:val="clear" w:pos="720"/>
        </w:tabs>
        <w:spacing w:line="240" w:lineRule="auto"/>
        <w:ind w:left="567" w:hanging="567"/>
        <w:rPr>
          <w:szCs w:val="22"/>
        </w:rPr>
      </w:pPr>
      <w:r>
        <w:rPr>
          <w:szCs w:val="22"/>
          <w:u w:val="single"/>
        </w:rPr>
        <w:t>Sisteminės kandidamikozės ir kriptokokų sukeltos infekcinės ligos gydymas</w:t>
      </w:r>
    </w:p>
    <w:p w:rsidR="00B64BE2" w:rsidRPr="004C0A4A" w:rsidRDefault="00B64BE2" w:rsidP="00B64BE2">
      <w:pPr>
        <w:ind w:firstLine="567"/>
        <w:rPr>
          <w:iCs/>
          <w:spacing w:val="-4"/>
          <w:szCs w:val="22"/>
        </w:rPr>
      </w:pPr>
      <w:r w:rsidRPr="004C0A4A">
        <w:rPr>
          <w:iCs/>
          <w:szCs w:val="22"/>
        </w:rPr>
        <w:t xml:space="preserve">Per parą infuzuojama </w:t>
      </w:r>
      <w:r w:rsidRPr="004C0A4A">
        <w:rPr>
          <w:iCs/>
          <w:spacing w:val="-4"/>
          <w:szCs w:val="22"/>
        </w:rPr>
        <w:t>6 – 12 mg/kg kūno svorio dozė (ji priklauso nuo ligos sunkumo).</w:t>
      </w:r>
    </w:p>
    <w:p w:rsidR="00B64BE2" w:rsidRPr="00ED24EC" w:rsidRDefault="00B64BE2" w:rsidP="00B64BE2">
      <w:pPr>
        <w:rPr>
          <w:spacing w:val="2"/>
          <w:szCs w:val="22"/>
        </w:rPr>
      </w:pPr>
    </w:p>
    <w:p w:rsidR="00B64BE2" w:rsidRPr="00ED24EC" w:rsidRDefault="00B64BE2" w:rsidP="00B64BE2">
      <w:pPr>
        <w:rPr>
          <w:b/>
          <w:bCs/>
          <w:szCs w:val="22"/>
        </w:rPr>
      </w:pPr>
      <w:r>
        <w:rPr>
          <w:b/>
          <w:bCs/>
          <w:spacing w:val="13"/>
          <w:szCs w:val="22"/>
        </w:rPr>
        <w:t>Jaunesni kaip 2 savaičių naujagimiai</w:t>
      </w:r>
    </w:p>
    <w:p w:rsidR="00B64BE2" w:rsidRPr="00ED24EC" w:rsidRDefault="00B64BE2" w:rsidP="00B64BE2">
      <w:pPr>
        <w:rPr>
          <w:szCs w:val="22"/>
        </w:rPr>
      </w:pPr>
      <w:r>
        <w:rPr>
          <w:spacing w:val="1"/>
          <w:szCs w:val="22"/>
        </w:rPr>
        <w:t xml:space="preserve">Iš naujagimių organizmo flukonazolas išsiskiria lėčiau. Per pirmas dvi gyvenimo savaites </w:t>
      </w:r>
      <w:r>
        <w:rPr>
          <w:szCs w:val="22"/>
        </w:rPr>
        <w:t xml:space="preserve">dozė </w:t>
      </w:r>
      <w:r w:rsidRPr="00ED24EC">
        <w:rPr>
          <w:szCs w:val="22"/>
        </w:rPr>
        <w:t xml:space="preserve">mg/kg   </w:t>
      </w:r>
      <w:r>
        <w:rPr>
          <w:szCs w:val="22"/>
        </w:rPr>
        <w:t xml:space="preserve">kūno svorio yra tokia pat dozę kaip vyresnių vaikų, bet ją reikia vartoti  kas </w:t>
      </w:r>
      <w:r w:rsidRPr="00ED24EC">
        <w:rPr>
          <w:szCs w:val="22"/>
        </w:rPr>
        <w:t xml:space="preserve">72 </w:t>
      </w:r>
      <w:r>
        <w:rPr>
          <w:szCs w:val="22"/>
        </w:rPr>
        <w:t>val</w:t>
      </w:r>
      <w:r w:rsidRPr="00ED24EC">
        <w:rPr>
          <w:szCs w:val="22"/>
        </w:rPr>
        <w:t xml:space="preserve">. </w:t>
      </w:r>
      <w:r>
        <w:rPr>
          <w:spacing w:val="1"/>
          <w:szCs w:val="22"/>
        </w:rPr>
        <w:t>Negalima infuzuoti didesnės kaip</w:t>
      </w:r>
      <w:r w:rsidRPr="00ED24EC">
        <w:rPr>
          <w:spacing w:val="1"/>
          <w:szCs w:val="22"/>
        </w:rPr>
        <w:t xml:space="preserve"> 12</w:t>
      </w:r>
      <w:r>
        <w:rPr>
          <w:spacing w:val="1"/>
          <w:szCs w:val="22"/>
        </w:rPr>
        <w:t> </w:t>
      </w:r>
      <w:r w:rsidRPr="00ED24EC">
        <w:rPr>
          <w:spacing w:val="1"/>
          <w:szCs w:val="22"/>
        </w:rPr>
        <w:t xml:space="preserve">mg/kg </w:t>
      </w:r>
      <w:r>
        <w:rPr>
          <w:spacing w:val="1"/>
          <w:szCs w:val="22"/>
        </w:rPr>
        <w:t>kūno svorio dozės ar dažniau kaip kas</w:t>
      </w:r>
      <w:r w:rsidRPr="00ED24EC">
        <w:rPr>
          <w:spacing w:val="1"/>
          <w:szCs w:val="22"/>
        </w:rPr>
        <w:t xml:space="preserve"> </w:t>
      </w:r>
      <w:r w:rsidRPr="00ED24EC">
        <w:rPr>
          <w:spacing w:val="-1"/>
          <w:szCs w:val="22"/>
        </w:rPr>
        <w:t xml:space="preserve">72 </w:t>
      </w:r>
      <w:r>
        <w:rPr>
          <w:spacing w:val="-1"/>
          <w:szCs w:val="22"/>
        </w:rPr>
        <w:t>valandas</w:t>
      </w:r>
      <w:r w:rsidRPr="00ED24EC">
        <w:rPr>
          <w:spacing w:val="-1"/>
          <w:szCs w:val="22"/>
        </w:rPr>
        <w:t>.</w:t>
      </w:r>
    </w:p>
    <w:p w:rsidR="00B64BE2" w:rsidRPr="00ED24EC" w:rsidRDefault="00B64BE2" w:rsidP="00B64BE2">
      <w:pPr>
        <w:rPr>
          <w:spacing w:val="4"/>
          <w:szCs w:val="22"/>
        </w:rPr>
      </w:pPr>
    </w:p>
    <w:p w:rsidR="00B64BE2" w:rsidRPr="00ED24EC" w:rsidRDefault="00B64BE2" w:rsidP="00B64BE2">
      <w:pPr>
        <w:rPr>
          <w:b/>
          <w:bCs/>
          <w:szCs w:val="22"/>
        </w:rPr>
      </w:pPr>
      <w:r>
        <w:rPr>
          <w:b/>
          <w:bCs/>
          <w:spacing w:val="4"/>
          <w:szCs w:val="22"/>
        </w:rPr>
        <w:t>2 </w:t>
      </w:r>
      <w:r>
        <w:rPr>
          <w:b/>
          <w:bCs/>
          <w:spacing w:val="4"/>
          <w:szCs w:val="22"/>
        </w:rPr>
        <w:noBreakHyphen/>
        <w:t> </w:t>
      </w:r>
      <w:r w:rsidRPr="00ED24EC">
        <w:rPr>
          <w:b/>
          <w:bCs/>
          <w:spacing w:val="4"/>
          <w:szCs w:val="22"/>
        </w:rPr>
        <w:t xml:space="preserve">4 </w:t>
      </w:r>
      <w:r>
        <w:rPr>
          <w:b/>
          <w:bCs/>
          <w:spacing w:val="4"/>
          <w:szCs w:val="22"/>
        </w:rPr>
        <w:t>savaičių naujagimiai</w:t>
      </w:r>
    </w:p>
    <w:p w:rsidR="00B64BE2" w:rsidRPr="004C0A4A" w:rsidRDefault="00B64BE2" w:rsidP="00B64BE2">
      <w:pPr>
        <w:rPr>
          <w:szCs w:val="22"/>
        </w:rPr>
      </w:pPr>
      <w:r w:rsidRPr="004C0A4A">
        <w:rPr>
          <w:iCs/>
          <w:spacing w:val="-5"/>
          <w:szCs w:val="22"/>
        </w:rPr>
        <w:t>Negalima vartoti didesnės kaip 12 mg/kg kūno svorio dozės kas 48 valandas.</w:t>
      </w:r>
    </w:p>
    <w:p w:rsidR="00B64BE2" w:rsidRPr="00ED24EC" w:rsidRDefault="00B64BE2" w:rsidP="00B64BE2">
      <w:pPr>
        <w:rPr>
          <w:spacing w:val="-2"/>
          <w:szCs w:val="22"/>
        </w:rPr>
      </w:pPr>
    </w:p>
    <w:p w:rsidR="00B64BE2" w:rsidRPr="00ED24EC" w:rsidRDefault="00B64BE2" w:rsidP="00B64BE2">
      <w:pPr>
        <w:rPr>
          <w:szCs w:val="22"/>
        </w:rPr>
      </w:pPr>
      <w:r>
        <w:rPr>
          <w:b/>
          <w:bCs/>
          <w:spacing w:val="-2"/>
          <w:szCs w:val="22"/>
        </w:rPr>
        <w:t>Senyvi žmonės</w:t>
      </w:r>
    </w:p>
    <w:p w:rsidR="00B64BE2" w:rsidRDefault="00B64BE2" w:rsidP="00B64BE2">
      <w:pPr>
        <w:rPr>
          <w:szCs w:val="22"/>
        </w:rPr>
      </w:pPr>
      <w:r>
        <w:rPr>
          <w:szCs w:val="22"/>
        </w:rPr>
        <w:t>Jei inkstų funkcija nesutrikusi, reikia vartoti įprastinę suaugusiems žmonėms skiriamą vaisto dozę.</w:t>
      </w:r>
    </w:p>
    <w:p w:rsidR="00B64BE2" w:rsidRPr="00ED24EC" w:rsidRDefault="00B64BE2" w:rsidP="00B64BE2">
      <w:pPr>
        <w:rPr>
          <w:spacing w:val="1"/>
          <w:szCs w:val="22"/>
        </w:rPr>
      </w:pPr>
    </w:p>
    <w:p w:rsidR="00B64BE2" w:rsidRPr="00E36346" w:rsidRDefault="00B64BE2" w:rsidP="00B64BE2">
      <w:pPr>
        <w:rPr>
          <w:b/>
          <w:spacing w:val="2"/>
          <w:szCs w:val="22"/>
        </w:rPr>
      </w:pPr>
      <w:r w:rsidRPr="00E36346">
        <w:rPr>
          <w:b/>
          <w:spacing w:val="3"/>
          <w:szCs w:val="22"/>
        </w:rPr>
        <w:t>Pacientai, kurių inkstų funkcija sutrikusi</w:t>
      </w:r>
    </w:p>
    <w:p w:rsidR="00B64BE2" w:rsidRDefault="00B64BE2" w:rsidP="00B64BE2">
      <w:pPr>
        <w:rPr>
          <w:szCs w:val="22"/>
        </w:rPr>
      </w:pPr>
      <w:r>
        <w:rPr>
          <w:spacing w:val="2"/>
          <w:szCs w:val="22"/>
        </w:rPr>
        <w:t>Ligoniams, įskaitant vaikus, kurių inkstų funkcija sutrikusi ir kuriems reikia infuzuoti kartotines</w:t>
      </w:r>
      <w:r w:rsidRPr="00ED24EC">
        <w:rPr>
          <w:szCs w:val="22"/>
        </w:rPr>
        <w:t xml:space="preserve"> </w:t>
      </w:r>
      <w:r>
        <w:rPr>
          <w:szCs w:val="22"/>
        </w:rPr>
        <w:t xml:space="preserve">Fluconazol </w:t>
      </w:r>
      <w:proofErr w:type="gramStart"/>
      <w:r>
        <w:rPr>
          <w:szCs w:val="22"/>
        </w:rPr>
        <w:t xml:space="preserve">FARMAGES </w:t>
      </w:r>
      <w:r w:rsidRPr="00ED24EC">
        <w:rPr>
          <w:szCs w:val="22"/>
        </w:rPr>
        <w:t xml:space="preserve"> </w:t>
      </w:r>
      <w:r>
        <w:rPr>
          <w:szCs w:val="22"/>
        </w:rPr>
        <w:t>dozes</w:t>
      </w:r>
      <w:proofErr w:type="gramEnd"/>
      <w:r w:rsidRPr="00ED24EC">
        <w:rPr>
          <w:szCs w:val="22"/>
        </w:rPr>
        <w:t xml:space="preserve">, </w:t>
      </w:r>
      <w:r>
        <w:rPr>
          <w:szCs w:val="22"/>
        </w:rPr>
        <w:t>pirmąją parą reikia vartoti įprastinę dozę atsižvelgiant į indikacijas, vėliau dozuoti atsižvelgiant į specialias  rekomendacijas.</w:t>
      </w:r>
    </w:p>
    <w:p w:rsidR="00B64BE2" w:rsidRPr="00ED24EC" w:rsidRDefault="00B64BE2" w:rsidP="00B64BE2">
      <w:pPr>
        <w:rPr>
          <w:spacing w:val="2"/>
          <w:szCs w:val="22"/>
        </w:rPr>
      </w:pPr>
    </w:p>
    <w:p w:rsidR="00B64BE2" w:rsidRDefault="00B64BE2" w:rsidP="00B64BE2">
      <w:pPr>
        <w:rPr>
          <w:spacing w:val="2"/>
          <w:szCs w:val="22"/>
        </w:rPr>
      </w:pPr>
      <w:r>
        <w:rPr>
          <w:spacing w:val="2"/>
          <w:szCs w:val="22"/>
        </w:rPr>
        <w:t>Jei gydymo pabaigoje vis dar jaučiatės blogai, reikia kreiptis į gydytoją.</w:t>
      </w:r>
    </w:p>
    <w:p w:rsidR="00B64BE2" w:rsidRPr="00ED24EC" w:rsidRDefault="00B64BE2" w:rsidP="00B64BE2">
      <w:pPr>
        <w:pStyle w:val="BTEMEASMCA"/>
      </w:pPr>
    </w:p>
    <w:p w:rsidR="00B64BE2" w:rsidRPr="00ED24EC" w:rsidRDefault="00B64BE2" w:rsidP="00B64BE2">
      <w:pPr>
        <w:pStyle w:val="PI-3EMEASMCA"/>
      </w:pPr>
      <w:r w:rsidRPr="00ED24EC">
        <w:t xml:space="preserve">Pavartojus per didelę </w:t>
      </w:r>
      <w:r>
        <w:t xml:space="preserve">Fluconazol FARMAGES </w:t>
      </w:r>
      <w:r w:rsidRPr="00ED24EC">
        <w:t xml:space="preserve"> dozę</w:t>
      </w:r>
    </w:p>
    <w:p w:rsidR="00B64BE2" w:rsidRPr="00B64BE2" w:rsidRDefault="00B64BE2" w:rsidP="00B64BE2">
      <w:pPr>
        <w:rPr>
          <w:szCs w:val="22"/>
          <w:lang w:val="lt-LT"/>
        </w:rPr>
      </w:pPr>
      <w:r w:rsidRPr="00B64BE2">
        <w:rPr>
          <w:szCs w:val="22"/>
          <w:lang w:val="lt-LT"/>
        </w:rPr>
        <w:t>Nedelsdami kreipkitės į gydytoją ar skubios pagalbos skyrių.</w:t>
      </w:r>
    </w:p>
    <w:p w:rsidR="00B64BE2" w:rsidRPr="00ED24EC" w:rsidRDefault="00B64BE2" w:rsidP="00B64BE2">
      <w:pPr>
        <w:pStyle w:val="BTEMEASMCA"/>
      </w:pPr>
    </w:p>
    <w:p w:rsidR="00B64BE2" w:rsidRPr="00ED24EC" w:rsidRDefault="00B64BE2" w:rsidP="00B64BE2">
      <w:pPr>
        <w:pStyle w:val="PI-3EMEASMCA"/>
      </w:pPr>
      <w:r w:rsidRPr="00ED24EC">
        <w:t xml:space="preserve">Pamiršus pavartoti </w:t>
      </w:r>
      <w:r>
        <w:t xml:space="preserve">Fluconazol FARMAGES </w:t>
      </w:r>
    </w:p>
    <w:p w:rsidR="00B64BE2" w:rsidRPr="007B06C0" w:rsidRDefault="00B64BE2" w:rsidP="00B64BE2">
      <w:pPr>
        <w:rPr>
          <w:szCs w:val="22"/>
        </w:rPr>
      </w:pPr>
      <w:r>
        <w:rPr>
          <w:szCs w:val="22"/>
        </w:rPr>
        <w:t xml:space="preserve">Fluconazol </w:t>
      </w:r>
      <w:proofErr w:type="gramStart"/>
      <w:r>
        <w:rPr>
          <w:szCs w:val="22"/>
        </w:rPr>
        <w:t xml:space="preserve">FARMAGES </w:t>
      </w:r>
      <w:r w:rsidRPr="007B06C0">
        <w:rPr>
          <w:szCs w:val="22"/>
        </w:rPr>
        <w:t xml:space="preserve"> Jums</w:t>
      </w:r>
      <w:proofErr w:type="gramEnd"/>
      <w:r w:rsidRPr="007B06C0">
        <w:rPr>
          <w:szCs w:val="22"/>
        </w:rPr>
        <w:t xml:space="preserve"> infuzuos gydytojas arba slaugytoja</w:t>
      </w:r>
      <w:r>
        <w:rPr>
          <w:szCs w:val="22"/>
        </w:rPr>
        <w:t>s</w:t>
      </w:r>
      <w:r w:rsidRPr="007B06C0">
        <w:rPr>
          <w:szCs w:val="22"/>
        </w:rPr>
        <w:t>. Jei praleidote dozę, pasakykite gydytojui arba slaugytojui.</w:t>
      </w:r>
    </w:p>
    <w:p w:rsidR="00B64BE2" w:rsidRPr="00ED24EC" w:rsidRDefault="00B64BE2" w:rsidP="00B64BE2">
      <w:pPr>
        <w:pStyle w:val="BTEMEASMCA"/>
      </w:pPr>
    </w:p>
    <w:p w:rsidR="00B64BE2" w:rsidRPr="00ED24EC" w:rsidRDefault="00B64BE2" w:rsidP="00B64BE2">
      <w:pPr>
        <w:pStyle w:val="BTEMEASMCA"/>
      </w:pPr>
    </w:p>
    <w:p w:rsidR="00B64BE2" w:rsidRPr="00ED24EC" w:rsidRDefault="00B64BE2" w:rsidP="00B64BE2">
      <w:pPr>
        <w:pStyle w:val="PI-1EMEASMCA"/>
      </w:pPr>
      <w:bookmarkStart w:id="8" w:name="_Toc129243142"/>
      <w:bookmarkStart w:id="9" w:name="_Toc129243267"/>
      <w:r w:rsidRPr="00ED24EC">
        <w:t>4.</w:t>
      </w:r>
      <w:r w:rsidRPr="00ED24EC">
        <w:tab/>
        <w:t>GALIMAS ŠALUTINIS POVEIKIS</w:t>
      </w:r>
      <w:bookmarkEnd w:id="8"/>
      <w:bookmarkEnd w:id="9"/>
    </w:p>
    <w:p w:rsidR="00B64BE2" w:rsidRPr="00ED24EC" w:rsidRDefault="00B64BE2" w:rsidP="00B64BE2">
      <w:pPr>
        <w:pStyle w:val="BTEMEASMCA"/>
      </w:pPr>
    </w:p>
    <w:p w:rsidR="00B64BE2" w:rsidRPr="00B64BE2" w:rsidRDefault="00B64BE2" w:rsidP="00B64BE2">
      <w:pPr>
        <w:rPr>
          <w:szCs w:val="22"/>
          <w:lang w:val="lt-LT"/>
        </w:rPr>
      </w:pPr>
      <w:r>
        <w:rPr>
          <w:szCs w:val="22"/>
          <w:lang w:val="lt-LT"/>
        </w:rPr>
        <w:t xml:space="preserve">Fluconazol FARMAGES </w:t>
      </w:r>
      <w:r w:rsidRPr="00B64BE2">
        <w:rPr>
          <w:szCs w:val="22"/>
          <w:lang w:val="lt-LT"/>
        </w:rPr>
        <w:t>, kaip ir visi kiti vaistai, gali sukelti šalutinį poveikį, nors jis pasireiškia ne visiems žmonėms.</w:t>
      </w:r>
    </w:p>
    <w:p w:rsidR="00B64BE2" w:rsidRPr="00B64BE2" w:rsidRDefault="00B64BE2" w:rsidP="00B64BE2">
      <w:pPr>
        <w:rPr>
          <w:szCs w:val="22"/>
          <w:lang w:val="lt-LT"/>
        </w:rPr>
      </w:pPr>
      <w:r w:rsidRPr="00B64BE2">
        <w:rPr>
          <w:szCs w:val="22"/>
          <w:lang w:val="lt-LT"/>
        </w:rPr>
        <w:t>Jei po vaisto vartojimo pasireiškia bet kuris iš išvardytų simptomų, nedelsdami kreipkitės į gydytoją.</w:t>
      </w:r>
    </w:p>
    <w:p w:rsidR="00B64BE2" w:rsidRPr="00B64BE2" w:rsidRDefault="00B64BE2" w:rsidP="00B64BE2">
      <w:pPr>
        <w:rPr>
          <w:spacing w:val="2"/>
          <w:szCs w:val="22"/>
          <w:lang w:val="lt-LT"/>
        </w:rPr>
      </w:pPr>
    </w:p>
    <w:p w:rsidR="00B64BE2" w:rsidRPr="00B64BE2" w:rsidRDefault="00B64BE2" w:rsidP="00B64BE2">
      <w:pPr>
        <w:rPr>
          <w:spacing w:val="2"/>
          <w:szCs w:val="22"/>
          <w:lang w:val="lt-LT"/>
        </w:rPr>
      </w:pPr>
      <w:r w:rsidRPr="00B64BE2">
        <w:rPr>
          <w:spacing w:val="2"/>
          <w:szCs w:val="22"/>
          <w:lang w:val="lt-LT"/>
        </w:rPr>
        <w:t xml:space="preserve">ŽIV sukelta liga sergantys pacientai turi žinoti, kad jiems po daugelio vaistų, įskaitant </w:t>
      </w:r>
      <w:r>
        <w:rPr>
          <w:spacing w:val="2"/>
          <w:szCs w:val="22"/>
          <w:lang w:val="lt-LT"/>
        </w:rPr>
        <w:t xml:space="preserve">Fluconazol FARMAGES </w:t>
      </w:r>
      <w:r w:rsidRPr="00B64BE2">
        <w:rPr>
          <w:spacing w:val="2"/>
          <w:szCs w:val="22"/>
          <w:lang w:val="lt-LT"/>
        </w:rPr>
        <w:t>, vartojimo dažniau pasireiškia odos reakcijų.</w:t>
      </w:r>
    </w:p>
    <w:p w:rsidR="00B64BE2" w:rsidRPr="00B64BE2" w:rsidRDefault="00B64BE2" w:rsidP="00B64BE2">
      <w:pPr>
        <w:rPr>
          <w:szCs w:val="22"/>
          <w:lang w:val="lt-LT"/>
        </w:rPr>
      </w:pPr>
    </w:p>
    <w:p w:rsidR="00B64BE2" w:rsidRPr="00B64BE2" w:rsidRDefault="00B64BE2" w:rsidP="00B64BE2">
      <w:pPr>
        <w:rPr>
          <w:szCs w:val="22"/>
          <w:lang w:val="lt-LT"/>
        </w:rPr>
      </w:pPr>
      <w:r w:rsidRPr="00B64BE2">
        <w:rPr>
          <w:szCs w:val="22"/>
          <w:lang w:val="lt-LT"/>
        </w:rPr>
        <w:t>Jie gydant paviršinę grybelių sukeltą infekcinę ligą atsiranda bėrimas, gydymą būtina nutraukti.</w:t>
      </w:r>
    </w:p>
    <w:p w:rsidR="00B64BE2" w:rsidRPr="00B64BE2" w:rsidRDefault="00B64BE2" w:rsidP="00B64BE2">
      <w:pPr>
        <w:rPr>
          <w:szCs w:val="22"/>
          <w:lang w:val="lt-LT"/>
        </w:rPr>
      </w:pPr>
    </w:p>
    <w:p w:rsidR="00B64BE2" w:rsidRPr="00B64BE2" w:rsidRDefault="00B64BE2" w:rsidP="00B64BE2">
      <w:pPr>
        <w:rPr>
          <w:spacing w:val="1"/>
          <w:szCs w:val="22"/>
          <w:lang w:val="lt-LT"/>
        </w:rPr>
      </w:pPr>
      <w:r w:rsidRPr="00B64BE2">
        <w:rPr>
          <w:spacing w:val="1"/>
          <w:szCs w:val="22"/>
          <w:lang w:val="lt-LT"/>
        </w:rPr>
        <w:t>Jei pasireiškia kuris nors iš išvardytų simptomų, nedelsdami pasakykite gydytojui, slaugytojui arba vaistininkui.</w:t>
      </w:r>
    </w:p>
    <w:p w:rsidR="00B64BE2" w:rsidRPr="002F2C9C" w:rsidRDefault="00B64BE2" w:rsidP="00B64BE2">
      <w:pPr>
        <w:numPr>
          <w:ilvl w:val="0"/>
          <w:numId w:val="15"/>
        </w:numPr>
        <w:tabs>
          <w:tab w:val="clear" w:pos="567"/>
          <w:tab w:val="clear" w:pos="720"/>
        </w:tabs>
        <w:spacing w:line="240" w:lineRule="auto"/>
        <w:ind w:left="567" w:hanging="567"/>
        <w:rPr>
          <w:spacing w:val="1"/>
          <w:szCs w:val="22"/>
        </w:rPr>
      </w:pPr>
      <w:r>
        <w:rPr>
          <w:szCs w:val="22"/>
        </w:rPr>
        <w:t>Staiga atsiradęs švokštimas, dusulys ar spaudimas krūtinėje.</w:t>
      </w:r>
    </w:p>
    <w:p w:rsidR="00B64BE2" w:rsidRDefault="00B64BE2" w:rsidP="00B64BE2">
      <w:pPr>
        <w:numPr>
          <w:ilvl w:val="0"/>
          <w:numId w:val="15"/>
        </w:numPr>
        <w:tabs>
          <w:tab w:val="clear" w:pos="567"/>
          <w:tab w:val="clear" w:pos="720"/>
        </w:tabs>
        <w:spacing w:line="240" w:lineRule="auto"/>
        <w:ind w:left="567" w:hanging="567"/>
        <w:rPr>
          <w:spacing w:val="-1"/>
          <w:szCs w:val="22"/>
        </w:rPr>
      </w:pPr>
      <w:r>
        <w:rPr>
          <w:spacing w:val="-1"/>
          <w:szCs w:val="22"/>
        </w:rPr>
        <w:t>Vokų, veido ar lūpų patinimas.</w:t>
      </w:r>
    </w:p>
    <w:p w:rsidR="00B64BE2" w:rsidRDefault="00B64BE2" w:rsidP="00B64BE2">
      <w:pPr>
        <w:numPr>
          <w:ilvl w:val="0"/>
          <w:numId w:val="15"/>
        </w:numPr>
        <w:tabs>
          <w:tab w:val="clear" w:pos="567"/>
          <w:tab w:val="clear" w:pos="720"/>
        </w:tabs>
        <w:spacing w:line="240" w:lineRule="auto"/>
        <w:ind w:left="567" w:hanging="567"/>
        <w:rPr>
          <w:spacing w:val="1"/>
          <w:szCs w:val="22"/>
        </w:rPr>
      </w:pPr>
      <w:r>
        <w:rPr>
          <w:spacing w:val="1"/>
          <w:szCs w:val="22"/>
        </w:rPr>
        <w:t>Odos lupimasis ar niežtinčių raudonų dėmių atsiradimas.</w:t>
      </w:r>
    </w:p>
    <w:p w:rsidR="00B64BE2" w:rsidRPr="00185E1A" w:rsidRDefault="00B64BE2" w:rsidP="00B64BE2">
      <w:pPr>
        <w:numPr>
          <w:ilvl w:val="0"/>
          <w:numId w:val="15"/>
        </w:numPr>
        <w:tabs>
          <w:tab w:val="clear" w:pos="567"/>
          <w:tab w:val="clear" w:pos="720"/>
        </w:tabs>
        <w:spacing w:line="240" w:lineRule="auto"/>
        <w:ind w:left="567" w:hanging="567"/>
        <w:rPr>
          <w:szCs w:val="22"/>
        </w:rPr>
      </w:pPr>
      <w:r>
        <w:rPr>
          <w:spacing w:val="2"/>
          <w:szCs w:val="22"/>
        </w:rPr>
        <w:t>Viso kūno niežulys</w:t>
      </w:r>
      <w:r w:rsidRPr="00185E1A">
        <w:rPr>
          <w:spacing w:val="2"/>
          <w:szCs w:val="22"/>
        </w:rPr>
        <w:t>.</w:t>
      </w:r>
    </w:p>
    <w:p w:rsidR="00B64BE2" w:rsidRPr="00185E1A" w:rsidRDefault="00B64BE2" w:rsidP="00B64BE2">
      <w:pPr>
        <w:rPr>
          <w:spacing w:val="2"/>
          <w:szCs w:val="22"/>
        </w:rPr>
      </w:pPr>
    </w:p>
    <w:p w:rsidR="00B64BE2" w:rsidRPr="003D30C8" w:rsidRDefault="00B64BE2" w:rsidP="00B64BE2">
      <w:pPr>
        <w:rPr>
          <w:i/>
          <w:szCs w:val="22"/>
        </w:rPr>
      </w:pPr>
      <w:r w:rsidRPr="003D30C8">
        <w:rPr>
          <w:i/>
          <w:spacing w:val="2"/>
          <w:szCs w:val="22"/>
        </w:rPr>
        <w:t>Dažnas šalutinis poveikis (</w:t>
      </w:r>
      <w:r w:rsidRPr="003D30C8">
        <w:rPr>
          <w:i/>
          <w:spacing w:val="2"/>
          <w:szCs w:val="22"/>
          <w:u w:val="single"/>
        </w:rPr>
        <w:t>&gt;</w:t>
      </w:r>
      <w:r w:rsidRPr="003D30C8">
        <w:rPr>
          <w:i/>
          <w:spacing w:val="2"/>
          <w:szCs w:val="22"/>
        </w:rPr>
        <w:t xml:space="preserve"> 1/100, &lt;1/10)</w:t>
      </w:r>
    </w:p>
    <w:p w:rsidR="00B64BE2" w:rsidRDefault="00B64BE2" w:rsidP="00B64BE2">
      <w:pPr>
        <w:numPr>
          <w:ilvl w:val="0"/>
          <w:numId w:val="17"/>
        </w:numPr>
        <w:tabs>
          <w:tab w:val="clear" w:pos="567"/>
          <w:tab w:val="clear" w:pos="720"/>
        </w:tabs>
        <w:spacing w:line="240" w:lineRule="auto"/>
        <w:ind w:left="567" w:hanging="567"/>
        <w:rPr>
          <w:szCs w:val="22"/>
        </w:rPr>
      </w:pPr>
      <w:r>
        <w:rPr>
          <w:szCs w:val="22"/>
        </w:rPr>
        <w:t>Nemalonus pojūtis skrandyje ar virškinimo sutrikimas, susijęs su rūgšties kiekio padidėjimu skrandyje.</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zCs w:val="22"/>
        </w:rPr>
        <w:t>Vėmimas.</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pacing w:val="1"/>
          <w:szCs w:val="22"/>
        </w:rPr>
        <w:t>Viduriavimas</w:t>
      </w:r>
      <w:r w:rsidRPr="00185E1A">
        <w:rPr>
          <w:spacing w:val="1"/>
          <w:szCs w:val="22"/>
        </w:rPr>
        <w:t>.</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pacing w:val="4"/>
          <w:szCs w:val="22"/>
        </w:rPr>
        <w:t>Vidurių pūtimas.</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pacing w:val="-13"/>
          <w:szCs w:val="22"/>
        </w:rPr>
        <w:t>Bėrimas</w:t>
      </w:r>
      <w:r w:rsidRPr="00185E1A">
        <w:rPr>
          <w:spacing w:val="-13"/>
          <w:szCs w:val="22"/>
        </w:rPr>
        <w:t>.</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zCs w:val="22"/>
        </w:rPr>
        <w:t>Galvos skausmas</w:t>
      </w:r>
      <w:r w:rsidRPr="00185E1A">
        <w:rPr>
          <w:szCs w:val="22"/>
        </w:rPr>
        <w:t>.</w:t>
      </w:r>
    </w:p>
    <w:p w:rsidR="00B64BE2" w:rsidRPr="009B488D" w:rsidRDefault="00B64BE2" w:rsidP="00B64BE2">
      <w:pPr>
        <w:numPr>
          <w:ilvl w:val="0"/>
          <w:numId w:val="17"/>
        </w:numPr>
        <w:tabs>
          <w:tab w:val="clear" w:pos="567"/>
          <w:tab w:val="clear" w:pos="720"/>
        </w:tabs>
        <w:spacing w:line="240" w:lineRule="auto"/>
        <w:ind w:left="567" w:hanging="567"/>
        <w:rPr>
          <w:szCs w:val="22"/>
        </w:rPr>
      </w:pPr>
      <w:r>
        <w:rPr>
          <w:szCs w:val="22"/>
        </w:rPr>
        <w:t>Bloga savijauta.</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pacing w:val="-2"/>
          <w:szCs w:val="22"/>
        </w:rPr>
        <w:t>Pykinimas.</w:t>
      </w:r>
    </w:p>
    <w:p w:rsidR="00B64BE2" w:rsidRPr="00185E1A" w:rsidRDefault="00B64BE2" w:rsidP="00B64BE2">
      <w:pPr>
        <w:numPr>
          <w:ilvl w:val="0"/>
          <w:numId w:val="17"/>
        </w:numPr>
        <w:tabs>
          <w:tab w:val="clear" w:pos="567"/>
          <w:tab w:val="clear" w:pos="720"/>
        </w:tabs>
        <w:spacing w:line="240" w:lineRule="auto"/>
        <w:ind w:left="567" w:hanging="567"/>
        <w:rPr>
          <w:szCs w:val="22"/>
        </w:rPr>
      </w:pPr>
      <w:r>
        <w:rPr>
          <w:spacing w:val="-2"/>
          <w:szCs w:val="22"/>
        </w:rPr>
        <w:t>Niežėjimas</w:t>
      </w:r>
      <w:r w:rsidRPr="00185E1A">
        <w:rPr>
          <w:spacing w:val="-2"/>
          <w:szCs w:val="22"/>
        </w:rPr>
        <w:t>.</w:t>
      </w:r>
    </w:p>
    <w:p w:rsidR="00B64BE2" w:rsidRPr="00F17E6C" w:rsidRDefault="00B64BE2" w:rsidP="00B64BE2">
      <w:pPr>
        <w:numPr>
          <w:ilvl w:val="0"/>
          <w:numId w:val="18"/>
        </w:numPr>
        <w:tabs>
          <w:tab w:val="clear" w:pos="567"/>
          <w:tab w:val="clear" w:pos="720"/>
        </w:tabs>
        <w:spacing w:line="240" w:lineRule="auto"/>
        <w:ind w:left="567" w:hanging="567"/>
        <w:rPr>
          <w:szCs w:val="22"/>
        </w:rPr>
      </w:pPr>
      <w:r>
        <w:rPr>
          <w:spacing w:val="3"/>
          <w:szCs w:val="22"/>
        </w:rPr>
        <w:t>Šlapimo ar kitokių biocheminių tyrimų rodmenų pokyčiai: šarminės fosfatazės, bilirubino (svarbiausio kepenyse susidarančio oranžinio pigmento), ALT ir AST (kepenų fermentų) aktyvumo padidėjimas</w:t>
      </w:r>
      <w:r w:rsidRPr="009B488D">
        <w:rPr>
          <w:spacing w:val="3"/>
          <w:szCs w:val="22"/>
        </w:rPr>
        <w:t xml:space="preserve"> </w:t>
      </w:r>
      <w:r>
        <w:rPr>
          <w:spacing w:val="3"/>
          <w:szCs w:val="22"/>
        </w:rPr>
        <w:t>kraujyje, reiškiantis kepenų pažeidimą.</w:t>
      </w:r>
    </w:p>
    <w:p w:rsidR="00B64BE2" w:rsidRPr="00185E1A" w:rsidRDefault="00B64BE2" w:rsidP="00B64BE2">
      <w:pPr>
        <w:rPr>
          <w:spacing w:val="2"/>
          <w:szCs w:val="22"/>
        </w:rPr>
      </w:pPr>
    </w:p>
    <w:p w:rsidR="00B64BE2" w:rsidRPr="005B64AD" w:rsidRDefault="00B64BE2" w:rsidP="00B64BE2">
      <w:pPr>
        <w:rPr>
          <w:i/>
          <w:spacing w:val="2"/>
          <w:szCs w:val="22"/>
        </w:rPr>
      </w:pPr>
      <w:r w:rsidRPr="005B64AD">
        <w:rPr>
          <w:i/>
          <w:spacing w:val="2"/>
          <w:szCs w:val="22"/>
        </w:rPr>
        <w:t>Nedažnas šalutinis poveikis (</w:t>
      </w:r>
      <w:r w:rsidRPr="005B64AD">
        <w:rPr>
          <w:i/>
          <w:spacing w:val="2"/>
          <w:szCs w:val="22"/>
          <w:u w:val="single"/>
        </w:rPr>
        <w:t>&gt;</w:t>
      </w:r>
      <w:r w:rsidRPr="005B64AD">
        <w:rPr>
          <w:i/>
          <w:spacing w:val="2"/>
          <w:szCs w:val="22"/>
        </w:rPr>
        <w:t xml:space="preserve"> 1/1000, &lt;1/100)</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797"/>
        <w:gridCol w:w="3043"/>
        <w:gridCol w:w="3221"/>
      </w:tblGrid>
      <w:tr w:rsidR="00B64BE2" w:rsidRPr="00185E1A" w:rsidTr="00414F0B">
        <w:tc>
          <w:tcPr>
            <w:tcW w:w="2808" w:type="dxa"/>
          </w:tcPr>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Mažakraujystė.</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Niežulys.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Nemiga.</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pacing w:val="-1"/>
                <w:szCs w:val="22"/>
              </w:rPr>
              <w:t>Raumenų skausmas.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Nuovargis.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Bendras negalavimas.</w:t>
            </w:r>
          </w:p>
          <w:p w:rsidR="00B64BE2" w:rsidRDefault="00B64BE2" w:rsidP="00B64BE2">
            <w:pPr>
              <w:numPr>
                <w:ilvl w:val="0"/>
                <w:numId w:val="19"/>
              </w:numPr>
              <w:tabs>
                <w:tab w:val="clear" w:pos="567"/>
                <w:tab w:val="clear" w:pos="720"/>
              </w:tabs>
              <w:spacing w:line="240" w:lineRule="auto"/>
              <w:ind w:left="567" w:hanging="567"/>
              <w:rPr>
                <w:szCs w:val="22"/>
              </w:rPr>
            </w:pPr>
            <w:r w:rsidRPr="00185E1A">
              <w:rPr>
                <w:szCs w:val="22"/>
              </w:rPr>
              <w:t>Ast</w:t>
            </w:r>
            <w:r>
              <w:rPr>
                <w:szCs w:val="22"/>
              </w:rPr>
              <w:t>enija.</w:t>
            </w:r>
          </w:p>
          <w:p w:rsidR="00B64BE2" w:rsidRPr="00185E1A" w:rsidRDefault="00B64BE2" w:rsidP="00B64BE2">
            <w:pPr>
              <w:numPr>
                <w:ilvl w:val="0"/>
                <w:numId w:val="19"/>
              </w:numPr>
              <w:tabs>
                <w:tab w:val="clear" w:pos="567"/>
                <w:tab w:val="clear" w:pos="720"/>
              </w:tabs>
              <w:spacing w:line="240" w:lineRule="auto"/>
              <w:ind w:left="567" w:hanging="567"/>
              <w:rPr>
                <w:spacing w:val="2"/>
                <w:szCs w:val="22"/>
              </w:rPr>
            </w:pPr>
            <w:r>
              <w:rPr>
                <w:szCs w:val="22"/>
              </w:rPr>
              <w:t>Karščiavimas.</w:t>
            </w:r>
          </w:p>
          <w:p w:rsidR="00B64BE2" w:rsidRPr="00185E1A" w:rsidRDefault="00B64BE2" w:rsidP="00B64BE2">
            <w:pPr>
              <w:numPr>
                <w:ilvl w:val="0"/>
                <w:numId w:val="19"/>
              </w:numPr>
              <w:tabs>
                <w:tab w:val="clear" w:pos="567"/>
                <w:tab w:val="clear" w:pos="720"/>
              </w:tabs>
              <w:spacing w:line="240" w:lineRule="auto"/>
              <w:ind w:left="567" w:hanging="567"/>
              <w:rPr>
                <w:spacing w:val="2"/>
                <w:szCs w:val="22"/>
              </w:rPr>
            </w:pPr>
            <w:r>
              <w:rPr>
                <w:color w:val="000000"/>
                <w:szCs w:val="22"/>
              </w:rPr>
              <w:t xml:space="preserve">Patologinis mieguistumas </w:t>
            </w:r>
            <w:r w:rsidRPr="00185E1A">
              <w:rPr>
                <w:szCs w:val="22"/>
              </w:rPr>
              <w:t>(</w:t>
            </w:r>
            <w:r>
              <w:rPr>
                <w:szCs w:val="22"/>
              </w:rPr>
              <w:t>somnolencija</w:t>
            </w:r>
            <w:r w:rsidRPr="00185E1A">
              <w:rPr>
                <w:szCs w:val="22"/>
              </w:rPr>
              <w:t>)</w:t>
            </w:r>
            <w:r>
              <w:rPr>
                <w:szCs w:val="22"/>
              </w:rPr>
              <w:t>.</w:t>
            </w:r>
          </w:p>
          <w:p w:rsidR="00B64BE2" w:rsidRPr="00F17E6C" w:rsidRDefault="00B64BE2" w:rsidP="00B64BE2">
            <w:pPr>
              <w:numPr>
                <w:ilvl w:val="0"/>
                <w:numId w:val="19"/>
              </w:numPr>
              <w:tabs>
                <w:tab w:val="clear" w:pos="567"/>
                <w:tab w:val="clear" w:pos="720"/>
              </w:tabs>
              <w:spacing w:line="240" w:lineRule="auto"/>
              <w:ind w:left="567" w:hanging="567"/>
              <w:rPr>
                <w:spacing w:val="2"/>
                <w:szCs w:val="22"/>
              </w:rPr>
            </w:pPr>
            <w:r w:rsidRPr="00185E1A">
              <w:rPr>
                <w:szCs w:val="22"/>
              </w:rPr>
              <w:t>Peri</w:t>
            </w:r>
            <w:r>
              <w:rPr>
                <w:szCs w:val="22"/>
              </w:rPr>
              <w:t>ferinių nervų sutrikimas.</w:t>
            </w:r>
          </w:p>
          <w:p w:rsidR="00B64BE2" w:rsidRPr="00185E1A" w:rsidRDefault="00B64BE2" w:rsidP="00B64BE2">
            <w:pPr>
              <w:numPr>
                <w:ilvl w:val="0"/>
                <w:numId w:val="19"/>
              </w:numPr>
              <w:tabs>
                <w:tab w:val="clear" w:pos="567"/>
                <w:tab w:val="clear" w:pos="720"/>
              </w:tabs>
              <w:spacing w:line="240" w:lineRule="auto"/>
              <w:ind w:left="567" w:hanging="567"/>
              <w:rPr>
                <w:spacing w:val="2"/>
                <w:szCs w:val="22"/>
              </w:rPr>
            </w:pPr>
            <w:r>
              <w:rPr>
                <w:spacing w:val="2"/>
                <w:szCs w:val="22"/>
              </w:rPr>
              <w:t>Konvulsijos.</w:t>
            </w:r>
          </w:p>
        </w:tc>
        <w:tc>
          <w:tcPr>
            <w:tcW w:w="3060" w:type="dxa"/>
          </w:tcPr>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Galvos svaigimas.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Drebulys.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Svaigulys.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Skonio pojūčio pablogėjimas.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Burnos džiūvimas.</w:t>
            </w:r>
          </w:p>
          <w:p w:rsidR="00B64BE2" w:rsidRPr="00F17E6C" w:rsidRDefault="00B64BE2" w:rsidP="00B64BE2">
            <w:pPr>
              <w:numPr>
                <w:ilvl w:val="0"/>
                <w:numId w:val="19"/>
              </w:numPr>
              <w:tabs>
                <w:tab w:val="clear" w:pos="567"/>
                <w:tab w:val="clear" w:pos="720"/>
              </w:tabs>
              <w:spacing w:line="240" w:lineRule="auto"/>
              <w:ind w:left="567" w:hanging="567"/>
              <w:rPr>
                <w:szCs w:val="22"/>
              </w:rPr>
            </w:pPr>
            <w:r w:rsidRPr="00F17E6C">
              <w:rPr>
                <w:szCs w:val="22"/>
              </w:rPr>
              <w:t xml:space="preserve">Cholestazė (būklė, kai tulžis iš kepenų negali nutekėti į dvylikapirštę žarną </w:t>
            </w:r>
            <w:r>
              <w:rPr>
                <w:szCs w:val="22"/>
              </w:rPr>
              <w:t>–</w:t>
            </w:r>
            <w:r w:rsidRPr="00F17E6C">
              <w:rPr>
                <w:szCs w:val="22"/>
              </w:rPr>
              <w:t xml:space="preserve"> </w:t>
            </w:r>
            <w:r>
              <w:rPr>
                <w:szCs w:val="22"/>
              </w:rPr>
              <w:t>klinikai reikšmingai padidėja bendro bilirubino kiekis kraujyje</w:t>
            </w:r>
            <w:r w:rsidRPr="00F17E6C">
              <w:rPr>
                <w:szCs w:val="22"/>
              </w:rPr>
              <w:t>)</w:t>
            </w:r>
            <w:r>
              <w:rPr>
                <w:szCs w:val="22"/>
              </w:rPr>
              <w:t>.</w:t>
            </w:r>
          </w:p>
          <w:p w:rsidR="00B64BE2" w:rsidRPr="00185E1A" w:rsidRDefault="00B64BE2" w:rsidP="00B64BE2">
            <w:pPr>
              <w:numPr>
                <w:ilvl w:val="0"/>
                <w:numId w:val="19"/>
              </w:numPr>
              <w:tabs>
                <w:tab w:val="clear" w:pos="567"/>
                <w:tab w:val="clear" w:pos="720"/>
              </w:tabs>
              <w:spacing w:line="240" w:lineRule="auto"/>
              <w:ind w:left="567" w:hanging="567"/>
              <w:rPr>
                <w:spacing w:val="2"/>
                <w:szCs w:val="22"/>
              </w:rPr>
            </w:pPr>
            <w:r>
              <w:rPr>
                <w:spacing w:val="-1"/>
                <w:szCs w:val="22"/>
              </w:rPr>
              <w:t>Gelta</w:t>
            </w:r>
            <w:r w:rsidRPr="00185E1A">
              <w:rPr>
                <w:spacing w:val="-1"/>
                <w:szCs w:val="22"/>
              </w:rPr>
              <w:t xml:space="preserve"> (</w:t>
            </w:r>
            <w:r>
              <w:rPr>
                <w:spacing w:val="-1"/>
                <w:szCs w:val="22"/>
              </w:rPr>
              <w:t>kepenų funkcijos sutrikimas</w:t>
            </w:r>
            <w:r w:rsidRPr="00185E1A">
              <w:rPr>
                <w:spacing w:val="-1"/>
                <w:szCs w:val="22"/>
              </w:rPr>
              <w:t>)</w:t>
            </w:r>
            <w:r>
              <w:rPr>
                <w:spacing w:val="-1"/>
                <w:szCs w:val="22"/>
              </w:rPr>
              <w:t>.</w:t>
            </w:r>
          </w:p>
        </w:tc>
        <w:tc>
          <w:tcPr>
            <w:tcW w:w="3240" w:type="dxa"/>
          </w:tcPr>
          <w:p w:rsidR="00B64BE2" w:rsidRPr="00185E1A" w:rsidRDefault="00B64BE2" w:rsidP="00B64BE2">
            <w:pPr>
              <w:numPr>
                <w:ilvl w:val="0"/>
                <w:numId w:val="19"/>
              </w:numPr>
              <w:tabs>
                <w:tab w:val="clear" w:pos="567"/>
                <w:tab w:val="clear" w:pos="720"/>
              </w:tabs>
              <w:spacing w:line="240" w:lineRule="auto"/>
              <w:ind w:left="567" w:hanging="567"/>
              <w:rPr>
                <w:szCs w:val="22"/>
              </w:rPr>
            </w:pPr>
            <w:proofErr w:type="gramStart"/>
            <w:r>
              <w:rPr>
                <w:szCs w:val="22"/>
              </w:rPr>
              <w:t>Padidėjęs  prakaitavimas</w:t>
            </w:r>
            <w:proofErr w:type="gramEnd"/>
            <w:r>
              <w:rPr>
                <w:szCs w:val="22"/>
              </w:rPr>
              <w:t xml:space="preserve">. </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Apetito netekimas.</w:t>
            </w:r>
          </w:p>
          <w:p w:rsidR="00B64BE2" w:rsidRPr="00185E1A" w:rsidRDefault="00B64BE2" w:rsidP="00B64BE2">
            <w:pPr>
              <w:numPr>
                <w:ilvl w:val="0"/>
                <w:numId w:val="19"/>
              </w:numPr>
              <w:tabs>
                <w:tab w:val="clear" w:pos="567"/>
                <w:tab w:val="clear" w:pos="720"/>
              </w:tabs>
              <w:spacing w:line="240" w:lineRule="auto"/>
              <w:ind w:left="567" w:hanging="567"/>
              <w:rPr>
                <w:szCs w:val="22"/>
              </w:rPr>
            </w:pPr>
            <w:r>
              <w:rPr>
                <w:szCs w:val="22"/>
              </w:rPr>
              <w:t>Vidurių užkietėjimas.</w:t>
            </w:r>
          </w:p>
          <w:p w:rsidR="00B64BE2" w:rsidRPr="00F254AD" w:rsidRDefault="00B64BE2" w:rsidP="00B64BE2">
            <w:pPr>
              <w:numPr>
                <w:ilvl w:val="0"/>
                <w:numId w:val="19"/>
              </w:numPr>
              <w:tabs>
                <w:tab w:val="clear" w:pos="567"/>
                <w:tab w:val="clear" w:pos="720"/>
              </w:tabs>
              <w:spacing w:line="240" w:lineRule="auto"/>
              <w:ind w:left="567" w:hanging="567"/>
              <w:rPr>
                <w:szCs w:val="22"/>
              </w:rPr>
            </w:pPr>
            <w:r>
              <w:rPr>
                <w:szCs w:val="22"/>
              </w:rPr>
              <w:t>Virškinimo sutrikimas.</w:t>
            </w:r>
          </w:p>
          <w:p w:rsidR="00B64BE2" w:rsidRPr="00F254AD" w:rsidRDefault="00B64BE2" w:rsidP="00B64BE2">
            <w:pPr>
              <w:numPr>
                <w:ilvl w:val="0"/>
                <w:numId w:val="19"/>
              </w:numPr>
              <w:tabs>
                <w:tab w:val="clear" w:pos="567"/>
                <w:tab w:val="clear" w:pos="720"/>
              </w:tabs>
              <w:spacing w:line="240" w:lineRule="auto"/>
              <w:ind w:left="567" w:hanging="567"/>
              <w:rPr>
                <w:szCs w:val="22"/>
              </w:rPr>
            </w:pPr>
            <w:r>
              <w:rPr>
                <w:szCs w:val="22"/>
              </w:rPr>
              <w:t>Dujų susikaupimas.</w:t>
            </w:r>
          </w:p>
        </w:tc>
      </w:tr>
    </w:tbl>
    <w:p w:rsidR="00B64BE2" w:rsidRPr="00185E1A" w:rsidRDefault="00B64BE2" w:rsidP="00B64BE2">
      <w:pPr>
        <w:rPr>
          <w:spacing w:val="2"/>
          <w:szCs w:val="22"/>
        </w:rPr>
      </w:pPr>
    </w:p>
    <w:p w:rsidR="00B64BE2" w:rsidRPr="00185E1A" w:rsidRDefault="00B64BE2" w:rsidP="00B64BE2">
      <w:pPr>
        <w:rPr>
          <w:spacing w:val="2"/>
          <w:szCs w:val="22"/>
        </w:rPr>
      </w:pPr>
      <w:r>
        <w:rPr>
          <w:spacing w:val="2"/>
          <w:szCs w:val="22"/>
        </w:rPr>
        <w:t>Retas šalutinis poveikis</w:t>
      </w:r>
      <w:r w:rsidRPr="00185E1A">
        <w:rPr>
          <w:spacing w:val="2"/>
          <w:szCs w:val="22"/>
        </w:rPr>
        <w:t xml:space="preserve"> (</w:t>
      </w:r>
      <w:r w:rsidRPr="00185E1A">
        <w:rPr>
          <w:spacing w:val="2"/>
          <w:szCs w:val="22"/>
          <w:u w:val="single"/>
        </w:rPr>
        <w:t>&gt;</w:t>
      </w:r>
      <w:r>
        <w:rPr>
          <w:spacing w:val="2"/>
          <w:szCs w:val="22"/>
        </w:rPr>
        <w:t>1/10000, &lt;1/1</w:t>
      </w:r>
      <w:r w:rsidRPr="00185E1A">
        <w:rPr>
          <w:spacing w:val="2"/>
          <w:szCs w:val="22"/>
        </w:rPr>
        <w:t>000):</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348"/>
        <w:gridCol w:w="3240"/>
        <w:gridCol w:w="2988"/>
      </w:tblGrid>
      <w:tr w:rsidR="00B64BE2" w:rsidRPr="00185E1A" w:rsidTr="00414F0B">
        <w:tc>
          <w:tcPr>
            <w:tcW w:w="3348" w:type="dxa"/>
          </w:tcPr>
          <w:p w:rsidR="00B64BE2" w:rsidRPr="00185E1A" w:rsidRDefault="00B64BE2" w:rsidP="00B64BE2">
            <w:pPr>
              <w:numPr>
                <w:ilvl w:val="0"/>
                <w:numId w:val="21"/>
              </w:numPr>
              <w:tabs>
                <w:tab w:val="clear" w:pos="567"/>
                <w:tab w:val="clear" w:pos="720"/>
              </w:tabs>
              <w:spacing w:line="240" w:lineRule="auto"/>
              <w:ind w:left="567" w:hanging="567"/>
              <w:rPr>
                <w:spacing w:val="1"/>
                <w:szCs w:val="22"/>
              </w:rPr>
            </w:pPr>
            <w:r>
              <w:rPr>
                <w:spacing w:val="3"/>
                <w:szCs w:val="22"/>
              </w:rPr>
              <w:t xml:space="preserve">Kraujo sudėties pakitimas: leukopenija (per didelis baltųjų kraujo kūnelių </w:t>
            </w:r>
            <w:r>
              <w:rPr>
                <w:spacing w:val="3"/>
                <w:szCs w:val="22"/>
              </w:rPr>
              <w:lastRenderedPageBreak/>
              <w:t xml:space="preserve">kiekio sumažėjimas), </w:t>
            </w:r>
            <w:r w:rsidRPr="00185E1A">
              <w:rPr>
                <w:spacing w:val="-1"/>
                <w:szCs w:val="22"/>
              </w:rPr>
              <w:t>neutropeni</w:t>
            </w:r>
            <w:r>
              <w:rPr>
                <w:spacing w:val="-1"/>
                <w:szCs w:val="22"/>
              </w:rPr>
              <w:t>j</w:t>
            </w:r>
            <w:r w:rsidRPr="00185E1A">
              <w:rPr>
                <w:spacing w:val="-1"/>
                <w:szCs w:val="22"/>
              </w:rPr>
              <w:t>a (</w:t>
            </w:r>
            <w:r>
              <w:rPr>
                <w:spacing w:val="3"/>
                <w:szCs w:val="22"/>
              </w:rPr>
              <w:t>neutrofilų kiekio periferiniame kraujyje sumažėjimas</w:t>
            </w:r>
            <w:r w:rsidRPr="00185E1A">
              <w:rPr>
                <w:spacing w:val="3"/>
                <w:szCs w:val="22"/>
              </w:rPr>
              <w:t xml:space="preserve">), </w:t>
            </w:r>
            <w:r w:rsidRPr="00185E1A">
              <w:rPr>
                <w:szCs w:val="22"/>
              </w:rPr>
              <w:t>agranuloc</w:t>
            </w:r>
            <w:r>
              <w:rPr>
                <w:szCs w:val="22"/>
              </w:rPr>
              <w:t>i</w:t>
            </w:r>
            <w:r w:rsidRPr="00185E1A">
              <w:rPr>
                <w:szCs w:val="22"/>
              </w:rPr>
              <w:t>to</w:t>
            </w:r>
            <w:r>
              <w:rPr>
                <w:szCs w:val="22"/>
              </w:rPr>
              <w:t>zė</w:t>
            </w:r>
            <w:r w:rsidRPr="00185E1A">
              <w:rPr>
                <w:szCs w:val="22"/>
              </w:rPr>
              <w:t xml:space="preserve"> (</w:t>
            </w:r>
            <w:r>
              <w:rPr>
                <w:szCs w:val="22"/>
              </w:rPr>
              <w:t xml:space="preserve">grūdėtųjų baltųjų kraujo </w:t>
            </w:r>
            <w:r>
              <w:rPr>
                <w:spacing w:val="3"/>
                <w:szCs w:val="22"/>
              </w:rPr>
              <w:t>kūnelių (</w:t>
            </w:r>
            <w:r>
              <w:rPr>
                <w:szCs w:val="22"/>
              </w:rPr>
              <w:t>granulocitų) susidarymo sutrikimas), t</w:t>
            </w:r>
            <w:r w:rsidRPr="00185E1A">
              <w:rPr>
                <w:spacing w:val="3"/>
                <w:szCs w:val="22"/>
              </w:rPr>
              <w:t>romboc</w:t>
            </w:r>
            <w:r>
              <w:rPr>
                <w:spacing w:val="3"/>
                <w:szCs w:val="22"/>
              </w:rPr>
              <w:t>i</w:t>
            </w:r>
            <w:r w:rsidRPr="00185E1A">
              <w:rPr>
                <w:spacing w:val="3"/>
                <w:szCs w:val="22"/>
              </w:rPr>
              <w:t>topeni</w:t>
            </w:r>
            <w:r>
              <w:rPr>
                <w:spacing w:val="3"/>
                <w:szCs w:val="22"/>
              </w:rPr>
              <w:t>j</w:t>
            </w:r>
            <w:r w:rsidRPr="00185E1A">
              <w:rPr>
                <w:spacing w:val="3"/>
                <w:szCs w:val="22"/>
              </w:rPr>
              <w:t>a (</w:t>
            </w:r>
            <w:r>
              <w:rPr>
                <w:spacing w:val="3"/>
                <w:szCs w:val="22"/>
              </w:rPr>
              <w:t>trombocitų kiekio periferiniame kraujyje sumažėjimas</w:t>
            </w:r>
            <w:r w:rsidRPr="00185E1A">
              <w:rPr>
                <w:spacing w:val="1"/>
                <w:szCs w:val="22"/>
              </w:rPr>
              <w:t>).</w:t>
            </w:r>
          </w:p>
          <w:p w:rsidR="00B64BE2" w:rsidRPr="00185E1A" w:rsidRDefault="00B64BE2" w:rsidP="00414F0B">
            <w:pPr>
              <w:ind w:left="567" w:hanging="567"/>
              <w:rPr>
                <w:spacing w:val="2"/>
                <w:szCs w:val="22"/>
              </w:rPr>
            </w:pPr>
          </w:p>
        </w:tc>
        <w:tc>
          <w:tcPr>
            <w:tcW w:w="3240" w:type="dxa"/>
          </w:tcPr>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Pr>
                <w:szCs w:val="22"/>
              </w:rPr>
              <w:lastRenderedPageBreak/>
              <w:t>Eozinofilija (eozinofilų pagausėjimas kraujyje).</w:t>
            </w:r>
          </w:p>
          <w:p w:rsidR="00B64BE2"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lastRenderedPageBreak/>
              <w:t>Cholesterolio ir trigliceridų kiekio padidėjimas kraujyje.</w:t>
            </w:r>
          </w:p>
          <w:p w:rsidR="00B64BE2"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t>Kalio kiekio kraujyje sumažėjimas.</w:t>
            </w:r>
          </w:p>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sidRPr="00185E1A">
              <w:rPr>
                <w:spacing w:val="2"/>
                <w:szCs w:val="22"/>
              </w:rPr>
              <w:t>Hepatit</w:t>
            </w:r>
            <w:r>
              <w:rPr>
                <w:spacing w:val="2"/>
                <w:szCs w:val="22"/>
              </w:rPr>
              <w:t>a</w:t>
            </w:r>
            <w:r w:rsidRPr="00185E1A">
              <w:rPr>
                <w:spacing w:val="2"/>
                <w:szCs w:val="22"/>
              </w:rPr>
              <w:t>s (</w:t>
            </w:r>
            <w:r>
              <w:rPr>
                <w:spacing w:val="2"/>
                <w:szCs w:val="22"/>
              </w:rPr>
              <w:t>kepenų uždegimas</w:t>
            </w:r>
            <w:r w:rsidRPr="00185E1A">
              <w:rPr>
                <w:spacing w:val="2"/>
                <w:szCs w:val="22"/>
              </w:rPr>
              <w:t>)</w:t>
            </w:r>
            <w:r>
              <w:rPr>
                <w:spacing w:val="2"/>
                <w:szCs w:val="22"/>
              </w:rPr>
              <w:t>.</w:t>
            </w:r>
          </w:p>
          <w:p w:rsidR="00B64BE2" w:rsidRPr="007F27D8"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t xml:space="preserve">Sunkus odos pažeidimas, pvz., Stivenso ir Džonsono sindromas bei toksinė epidermio nekrolizė </w:t>
            </w:r>
            <w:r w:rsidRPr="00185E1A">
              <w:rPr>
                <w:szCs w:val="22"/>
              </w:rPr>
              <w:t>(</w:t>
            </w:r>
            <w:r>
              <w:rPr>
                <w:szCs w:val="22"/>
              </w:rPr>
              <w:t>sunki odos reakcija, atsirandant pūslių ir lupantis odai).</w:t>
            </w:r>
          </w:p>
          <w:p w:rsidR="00B64BE2" w:rsidRPr="00185E1A" w:rsidRDefault="00B64BE2" w:rsidP="00414F0B">
            <w:pPr>
              <w:ind w:left="567" w:hanging="567"/>
              <w:rPr>
                <w:spacing w:val="2"/>
                <w:szCs w:val="22"/>
              </w:rPr>
            </w:pPr>
          </w:p>
        </w:tc>
        <w:tc>
          <w:tcPr>
            <w:tcW w:w="2988" w:type="dxa"/>
          </w:tcPr>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lastRenderedPageBreak/>
              <w:t>Kepenų ląstelių žūtis.</w:t>
            </w:r>
          </w:p>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lastRenderedPageBreak/>
              <w:t>Kepenų funkcijos nepakankamumas (buvo pavienių mirties atvejų).</w:t>
            </w:r>
          </w:p>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Pr>
                <w:spacing w:val="-1"/>
                <w:szCs w:val="22"/>
              </w:rPr>
              <w:t>Plikimas.</w:t>
            </w:r>
          </w:p>
          <w:p w:rsidR="00B64BE2"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t>Sunki padidėjusio jautrumo reakcija</w:t>
            </w:r>
            <w:r w:rsidRPr="00185E1A">
              <w:rPr>
                <w:spacing w:val="2"/>
                <w:szCs w:val="22"/>
              </w:rPr>
              <w:t xml:space="preserve"> (</w:t>
            </w:r>
            <w:r>
              <w:rPr>
                <w:spacing w:val="2"/>
                <w:szCs w:val="22"/>
              </w:rPr>
              <w:t>anafilaksinė reakcija, įskaitant angioneurozinę bei veido edemą).</w:t>
            </w:r>
          </w:p>
          <w:p w:rsidR="00B64BE2" w:rsidRPr="00185E1A" w:rsidRDefault="00B64BE2" w:rsidP="00B64BE2">
            <w:pPr>
              <w:numPr>
                <w:ilvl w:val="0"/>
                <w:numId w:val="17"/>
              </w:numPr>
              <w:tabs>
                <w:tab w:val="clear" w:pos="567"/>
                <w:tab w:val="clear" w:pos="720"/>
              </w:tabs>
              <w:spacing w:line="240" w:lineRule="auto"/>
              <w:ind w:left="567" w:hanging="567"/>
              <w:rPr>
                <w:spacing w:val="2"/>
                <w:szCs w:val="22"/>
              </w:rPr>
            </w:pPr>
            <w:r>
              <w:rPr>
                <w:spacing w:val="2"/>
                <w:szCs w:val="22"/>
              </w:rPr>
              <w:t>Kepenų funkcijos sutrikimas, pvz., kepenų funkcijos nepakankamumas, uždegimas ar vėžys.</w:t>
            </w:r>
          </w:p>
          <w:p w:rsidR="00B64BE2" w:rsidRPr="00185E1A" w:rsidRDefault="00B64BE2" w:rsidP="00414F0B">
            <w:pPr>
              <w:rPr>
                <w:spacing w:val="2"/>
                <w:szCs w:val="22"/>
              </w:rPr>
            </w:pPr>
          </w:p>
        </w:tc>
      </w:tr>
    </w:tbl>
    <w:p w:rsidR="00B64BE2" w:rsidRPr="007F27D8" w:rsidRDefault="00B64BE2" w:rsidP="00B64BE2">
      <w:pPr>
        <w:rPr>
          <w:spacing w:val="2"/>
          <w:szCs w:val="22"/>
        </w:rPr>
      </w:pPr>
      <w:r w:rsidRPr="007F27D8">
        <w:rPr>
          <w:spacing w:val="2"/>
          <w:szCs w:val="22"/>
        </w:rPr>
        <w:lastRenderedPageBreak/>
        <w:t xml:space="preserve">Labai retas šalutinis poveikis </w:t>
      </w:r>
      <w:r>
        <w:rPr>
          <w:szCs w:val="22"/>
        </w:rPr>
        <w:t>(&lt;1/10</w:t>
      </w:r>
      <w:r w:rsidRPr="007F27D8">
        <w:rPr>
          <w:szCs w:val="22"/>
        </w:rPr>
        <w:t>000), dažnis nežinomas (negali būti įvertintas pagal turimus duomenis)</w:t>
      </w:r>
    </w:p>
    <w:p w:rsidR="00B64BE2" w:rsidRDefault="00B64BE2" w:rsidP="00B64BE2">
      <w:pPr>
        <w:numPr>
          <w:ilvl w:val="0"/>
          <w:numId w:val="20"/>
        </w:numPr>
        <w:tabs>
          <w:tab w:val="clear" w:pos="567"/>
          <w:tab w:val="clear" w:pos="720"/>
        </w:tabs>
        <w:spacing w:line="240" w:lineRule="auto"/>
        <w:ind w:left="567" w:hanging="567"/>
        <w:rPr>
          <w:szCs w:val="22"/>
        </w:rPr>
      </w:pPr>
      <w:r w:rsidRPr="00FF5614">
        <w:rPr>
          <w:szCs w:val="22"/>
        </w:rPr>
        <w:t>tariamasis dilgsėjimo jutimas (parestezija)</w:t>
      </w:r>
      <w:r>
        <w:rPr>
          <w:szCs w:val="22"/>
        </w:rPr>
        <w:t xml:space="preserve"> - aštrus badymo pojūtis dėl kraujotakos nepakankamumo.</w:t>
      </w:r>
    </w:p>
    <w:p w:rsidR="00B64BE2" w:rsidRPr="007F27D8" w:rsidRDefault="00B64BE2" w:rsidP="00B64BE2">
      <w:pPr>
        <w:numPr>
          <w:ilvl w:val="0"/>
          <w:numId w:val="20"/>
        </w:numPr>
        <w:tabs>
          <w:tab w:val="clear" w:pos="567"/>
          <w:tab w:val="clear" w:pos="720"/>
        </w:tabs>
        <w:spacing w:line="240" w:lineRule="auto"/>
        <w:ind w:left="567" w:hanging="567"/>
        <w:rPr>
          <w:szCs w:val="22"/>
        </w:rPr>
      </w:pPr>
      <w:r>
        <w:rPr>
          <w:szCs w:val="22"/>
        </w:rPr>
        <w:t>Galvos sukimasis (vertigo).</w:t>
      </w:r>
    </w:p>
    <w:p w:rsidR="00B64BE2" w:rsidRPr="00ED24EC" w:rsidRDefault="00B64BE2" w:rsidP="00B64BE2">
      <w:pPr>
        <w:pStyle w:val="BTEMEASMCA"/>
      </w:pPr>
    </w:p>
    <w:p w:rsidR="00B64BE2" w:rsidRPr="00B64BE2" w:rsidRDefault="00B64BE2" w:rsidP="00B64BE2">
      <w:pPr>
        <w:rPr>
          <w:szCs w:val="22"/>
          <w:lang w:val="lt-LT"/>
        </w:rPr>
      </w:pPr>
      <w:r w:rsidRPr="00B64BE2">
        <w:rPr>
          <w:szCs w:val="22"/>
          <w:lang w:val="lt-LT"/>
        </w:rPr>
        <w:t>Jeigu pasireiškė sunkus šalutinis poveikis arba pastebėjote šiame lapelyje nenurodytą šalutinį poveikį, pasakykite gydytojui arba vaistininkui.</w:t>
      </w:r>
    </w:p>
    <w:p w:rsidR="00B64BE2" w:rsidRPr="00ED24EC" w:rsidRDefault="00B64BE2" w:rsidP="00B64BE2">
      <w:pPr>
        <w:pStyle w:val="BTEMEASMCA"/>
      </w:pPr>
    </w:p>
    <w:p w:rsidR="00B64BE2" w:rsidRPr="00ED24EC" w:rsidRDefault="00B64BE2" w:rsidP="00B64BE2">
      <w:pPr>
        <w:pStyle w:val="BTEMEASMCA"/>
      </w:pPr>
    </w:p>
    <w:p w:rsidR="00B64BE2" w:rsidRPr="00ED24EC" w:rsidRDefault="00B64BE2" w:rsidP="00B64BE2">
      <w:pPr>
        <w:pStyle w:val="PI-1EMEASMCA"/>
      </w:pPr>
      <w:bookmarkStart w:id="10" w:name="_Toc129243143"/>
      <w:bookmarkStart w:id="11" w:name="_Toc129243268"/>
      <w:r w:rsidRPr="00ED24EC">
        <w:t>5.</w:t>
      </w:r>
      <w:r w:rsidRPr="00ED24EC">
        <w:tab/>
        <w:t xml:space="preserve">KAIP LAIKYTI </w:t>
      </w:r>
      <w:bookmarkEnd w:id="10"/>
      <w:bookmarkEnd w:id="11"/>
      <w:r>
        <w:t xml:space="preserve">FLUCONAZOL FARMAGES </w:t>
      </w:r>
    </w:p>
    <w:p w:rsidR="00B64BE2" w:rsidRPr="00ED24EC" w:rsidRDefault="00B64BE2" w:rsidP="00B64BE2">
      <w:pPr>
        <w:pStyle w:val="BTEMEASMCA"/>
      </w:pPr>
    </w:p>
    <w:p w:rsidR="00B64BE2" w:rsidRPr="00ED24EC" w:rsidRDefault="00EC4EA6" w:rsidP="00B64BE2">
      <w:pPr>
        <w:pStyle w:val="Pagrindinistekstas"/>
        <w:spacing w:after="0"/>
        <w:rPr>
          <w:szCs w:val="22"/>
        </w:rPr>
      </w:pPr>
      <w:r>
        <w:rPr>
          <w:szCs w:val="22"/>
        </w:rPr>
        <w:t>Laikyti ne aukštesnėje kaip 30</w:t>
      </w:r>
      <w:r w:rsidR="00B64BE2" w:rsidRPr="00ED24EC">
        <w:rPr>
          <w:szCs w:val="22"/>
        </w:rPr>
        <w:t> </w:t>
      </w:r>
      <w:r w:rsidR="00B64BE2" w:rsidRPr="00ED24EC">
        <w:rPr>
          <w:szCs w:val="22"/>
        </w:rPr>
        <w:sym w:font="Symbol" w:char="F0B0"/>
      </w:r>
      <w:r w:rsidR="00B64BE2" w:rsidRPr="00ED24EC">
        <w:rPr>
          <w:szCs w:val="22"/>
        </w:rPr>
        <w:t>C temperatūroje. Negalima užšaldyti.</w:t>
      </w:r>
    </w:p>
    <w:p w:rsidR="00B64BE2" w:rsidRPr="00B64BE2" w:rsidRDefault="00B64BE2" w:rsidP="00B64BE2">
      <w:pPr>
        <w:tabs>
          <w:tab w:val="left" w:pos="7740"/>
        </w:tabs>
        <w:rPr>
          <w:szCs w:val="22"/>
          <w:lang w:val="lt-LT"/>
        </w:rPr>
      </w:pPr>
    </w:p>
    <w:p w:rsidR="00B64BE2" w:rsidRPr="00764392" w:rsidRDefault="00B64BE2" w:rsidP="00B64BE2">
      <w:pPr>
        <w:tabs>
          <w:tab w:val="left" w:pos="7740"/>
        </w:tabs>
        <w:rPr>
          <w:szCs w:val="22"/>
        </w:rPr>
      </w:pPr>
      <w:r w:rsidRPr="00764392">
        <w:rPr>
          <w:szCs w:val="22"/>
        </w:rPr>
        <w:t>Laikyti vaikams nepasiekiamoje ir nepastebimoje vietoje.</w:t>
      </w:r>
    </w:p>
    <w:p w:rsidR="00B64BE2" w:rsidRPr="00764392" w:rsidRDefault="00B64BE2" w:rsidP="00B64BE2">
      <w:pPr>
        <w:tabs>
          <w:tab w:val="left" w:pos="7740"/>
        </w:tabs>
        <w:rPr>
          <w:szCs w:val="22"/>
        </w:rPr>
      </w:pPr>
    </w:p>
    <w:p w:rsidR="00B64BE2" w:rsidRPr="00764392" w:rsidRDefault="00B64BE2" w:rsidP="00B64BE2">
      <w:pPr>
        <w:tabs>
          <w:tab w:val="left" w:pos="7740"/>
        </w:tabs>
        <w:rPr>
          <w:szCs w:val="22"/>
        </w:rPr>
      </w:pPr>
      <w:r w:rsidRPr="007D6556">
        <w:rPr>
          <w:szCs w:val="22"/>
        </w:rPr>
        <w:t xml:space="preserve">Gydytojas, slaugytojas ar vaistininkas patikrins, ar nepasibaigė ant etiketės nurodytas </w:t>
      </w:r>
      <w:r>
        <w:rPr>
          <w:szCs w:val="22"/>
        </w:rPr>
        <w:t>tinkamumo</w:t>
      </w:r>
      <w:r w:rsidRPr="007D6556">
        <w:rPr>
          <w:szCs w:val="22"/>
        </w:rPr>
        <w:t xml:space="preserve"> laikas. </w:t>
      </w:r>
      <w:r>
        <w:rPr>
          <w:szCs w:val="22"/>
        </w:rPr>
        <w:t>Buteliuką</w:t>
      </w:r>
      <w:r w:rsidRPr="007D6556">
        <w:rPr>
          <w:szCs w:val="22"/>
        </w:rPr>
        <w:t xml:space="preserve"> atidarius, nesu</w:t>
      </w:r>
      <w:r>
        <w:rPr>
          <w:szCs w:val="22"/>
        </w:rPr>
        <w:t>vartotą</w:t>
      </w:r>
      <w:r w:rsidRPr="007D6556">
        <w:rPr>
          <w:szCs w:val="22"/>
        </w:rPr>
        <w:t xml:space="preserve"> tirpalą būtina sunaikinti.</w:t>
      </w:r>
    </w:p>
    <w:p w:rsidR="00B64BE2" w:rsidRPr="00764392" w:rsidRDefault="00B64BE2" w:rsidP="00B64BE2">
      <w:pPr>
        <w:tabs>
          <w:tab w:val="left" w:pos="7740"/>
        </w:tabs>
        <w:rPr>
          <w:szCs w:val="22"/>
        </w:rPr>
      </w:pPr>
    </w:p>
    <w:p w:rsidR="00B64BE2" w:rsidRPr="00ED24EC" w:rsidRDefault="00B64BE2" w:rsidP="00B64BE2">
      <w:pPr>
        <w:pStyle w:val="BTEMEASMCA"/>
      </w:pPr>
    </w:p>
    <w:p w:rsidR="00B64BE2" w:rsidRPr="007D6556" w:rsidRDefault="00B64BE2" w:rsidP="00B64BE2">
      <w:pPr>
        <w:pStyle w:val="PI-1EMEASMCA"/>
      </w:pPr>
      <w:bookmarkStart w:id="12" w:name="_Toc129243144"/>
      <w:bookmarkStart w:id="13" w:name="_Toc129243269"/>
      <w:r w:rsidRPr="007D6556">
        <w:t>6.</w:t>
      </w:r>
      <w:r w:rsidRPr="007D6556">
        <w:tab/>
        <w:t>KITA INFORMACIJA</w:t>
      </w:r>
    </w:p>
    <w:p w:rsidR="00B64BE2" w:rsidRPr="007D6556" w:rsidRDefault="00B64BE2" w:rsidP="00B64BE2">
      <w:pPr>
        <w:pStyle w:val="BTEMEASMCA"/>
      </w:pPr>
    </w:p>
    <w:p w:rsidR="00B64BE2" w:rsidRPr="007D6556" w:rsidRDefault="00B64BE2" w:rsidP="00B64BE2">
      <w:pPr>
        <w:pStyle w:val="PI-3EMEASMCA"/>
      </w:pPr>
      <w:r>
        <w:t xml:space="preserve">Fluconazol FARMAGES </w:t>
      </w:r>
      <w:r w:rsidRPr="007D6556">
        <w:t xml:space="preserve"> sudėtis</w:t>
      </w:r>
    </w:p>
    <w:p w:rsidR="00B64BE2" w:rsidRPr="007D6556" w:rsidRDefault="00B64BE2" w:rsidP="00B64BE2">
      <w:pPr>
        <w:pStyle w:val="BTEMEASMCA"/>
      </w:pPr>
    </w:p>
    <w:p w:rsidR="00B64BE2" w:rsidRPr="00EC4EA6" w:rsidRDefault="00B64BE2" w:rsidP="00EC4EA6">
      <w:pPr>
        <w:numPr>
          <w:ilvl w:val="0"/>
          <w:numId w:val="26"/>
        </w:numPr>
        <w:tabs>
          <w:tab w:val="clear" w:pos="0"/>
          <w:tab w:val="clear" w:pos="567"/>
        </w:tabs>
        <w:spacing w:line="240" w:lineRule="auto"/>
        <w:ind w:left="567" w:hanging="567"/>
        <w:rPr>
          <w:szCs w:val="22"/>
          <w:lang w:val="lt-LT"/>
        </w:rPr>
      </w:pPr>
      <w:r w:rsidRPr="00B64BE2">
        <w:rPr>
          <w:szCs w:val="22"/>
          <w:lang w:val="lt-LT"/>
        </w:rPr>
        <w:t xml:space="preserve">Veiklioji medžiaga yra flukonazolas. 1 ml infuzinio tirpalo yra 2 mg flukonazolo. </w:t>
      </w:r>
      <w:r w:rsidR="00EC4EA6" w:rsidRPr="00EC4EA6">
        <w:rPr>
          <w:szCs w:val="22"/>
          <w:lang w:val="lt-LT"/>
        </w:rPr>
        <w:t>100 ml</w:t>
      </w:r>
      <w:r w:rsidRPr="00EC4EA6">
        <w:rPr>
          <w:szCs w:val="22"/>
          <w:lang w:val="lt-LT"/>
        </w:rPr>
        <w:t xml:space="preserve"> ne PVC maišelyje </w:t>
      </w:r>
      <w:r w:rsidR="00EC4EA6" w:rsidRPr="00EC4EA6">
        <w:rPr>
          <w:szCs w:val="22"/>
          <w:lang w:val="lt-LT"/>
        </w:rPr>
        <w:t xml:space="preserve">yra 200 mg flukonazolo, 50 ml ne PVC maišelyje </w:t>
      </w:r>
      <w:r w:rsidR="00EC4EA6">
        <w:rPr>
          <w:szCs w:val="22"/>
          <w:lang w:val="lt-LT"/>
        </w:rPr>
        <w:t>yra 1</w:t>
      </w:r>
      <w:r w:rsidR="00EC4EA6" w:rsidRPr="00EC4EA6">
        <w:rPr>
          <w:szCs w:val="22"/>
          <w:lang w:val="lt-LT"/>
        </w:rPr>
        <w:t>00 mg flukonazolo,</w:t>
      </w:r>
    </w:p>
    <w:p w:rsidR="00B64BE2" w:rsidRPr="007D6556" w:rsidRDefault="00B64BE2" w:rsidP="00B64BE2">
      <w:pPr>
        <w:numPr>
          <w:ilvl w:val="0"/>
          <w:numId w:val="26"/>
        </w:numPr>
        <w:tabs>
          <w:tab w:val="clear" w:pos="0"/>
          <w:tab w:val="clear" w:pos="567"/>
        </w:tabs>
        <w:spacing w:line="240" w:lineRule="auto"/>
        <w:ind w:left="567" w:hanging="567"/>
        <w:rPr>
          <w:szCs w:val="22"/>
        </w:rPr>
      </w:pPr>
      <w:r w:rsidRPr="007D6556">
        <w:rPr>
          <w:szCs w:val="22"/>
        </w:rPr>
        <w:t>Pagalbinės medžiagos yra natrio chloridas ir injekcinis vanduo.</w:t>
      </w:r>
    </w:p>
    <w:p w:rsidR="00B64BE2" w:rsidRPr="007D6556" w:rsidRDefault="00B64BE2" w:rsidP="00B64BE2">
      <w:pPr>
        <w:pStyle w:val="BTEMEASMCA"/>
      </w:pPr>
    </w:p>
    <w:p w:rsidR="00B64BE2" w:rsidRPr="007D6556" w:rsidRDefault="00B64BE2" w:rsidP="00B64BE2">
      <w:pPr>
        <w:pStyle w:val="PI-3EMEASMCA"/>
      </w:pPr>
      <w:r>
        <w:t xml:space="preserve">Fluconazol FARMAGES </w:t>
      </w:r>
      <w:r w:rsidRPr="007D6556">
        <w:t xml:space="preserve"> išvaizda ir kiekis pakuotėje</w:t>
      </w:r>
    </w:p>
    <w:p w:rsidR="00B64BE2" w:rsidRDefault="00B64BE2" w:rsidP="00B64BE2">
      <w:pPr>
        <w:rPr>
          <w:szCs w:val="22"/>
        </w:rPr>
      </w:pPr>
      <w:r w:rsidRPr="007D6556">
        <w:rPr>
          <w:szCs w:val="22"/>
        </w:rPr>
        <w:t>Flukonazol</w:t>
      </w:r>
      <w:r>
        <w:rPr>
          <w:szCs w:val="22"/>
        </w:rPr>
        <w:t>o</w:t>
      </w:r>
      <w:r w:rsidRPr="007D6556">
        <w:rPr>
          <w:szCs w:val="22"/>
        </w:rPr>
        <w:t xml:space="preserve"> tirpa</w:t>
      </w:r>
      <w:r w:rsidR="00EC4EA6">
        <w:rPr>
          <w:szCs w:val="22"/>
        </w:rPr>
        <w:t xml:space="preserve">las tiekiamas 100 ml </w:t>
      </w:r>
      <w:r w:rsidR="00EC4EA6">
        <w:rPr>
          <w:szCs w:val="22"/>
          <w:lang w:val="en-US"/>
        </w:rPr>
        <w:t>ir 50 ml</w:t>
      </w:r>
      <w:r>
        <w:rPr>
          <w:szCs w:val="22"/>
        </w:rPr>
        <w:t xml:space="preserve"> ne PVC maišeliais</w:t>
      </w:r>
      <w:r w:rsidRPr="007D6556">
        <w:rPr>
          <w:szCs w:val="22"/>
        </w:rPr>
        <w:t>.</w:t>
      </w:r>
    </w:p>
    <w:p w:rsidR="00B64BE2" w:rsidRPr="007D6556" w:rsidRDefault="00B64BE2" w:rsidP="00B64BE2">
      <w:pPr>
        <w:rPr>
          <w:szCs w:val="22"/>
        </w:rPr>
      </w:pPr>
      <w:r w:rsidRPr="007D6556">
        <w:rPr>
          <w:szCs w:val="22"/>
        </w:rPr>
        <w:t>Skaidrus bespalvis infuzinis tirpalas.</w:t>
      </w:r>
    </w:p>
    <w:p w:rsidR="00B64BE2" w:rsidRPr="007D6556" w:rsidRDefault="00573BA9" w:rsidP="00B64BE2">
      <w:pPr>
        <w:rPr>
          <w:szCs w:val="22"/>
        </w:rPr>
      </w:pPr>
      <w:r>
        <w:rPr>
          <w:szCs w:val="22"/>
        </w:rPr>
        <w:t>Pakuotėje yra penkiasde</w:t>
      </w:r>
      <w:r>
        <w:rPr>
          <w:szCs w:val="22"/>
          <w:lang w:val="lt-LT"/>
        </w:rPr>
        <w:t>šimt</w:t>
      </w:r>
      <w:r w:rsidR="00EC4EA6">
        <w:rPr>
          <w:szCs w:val="22"/>
        </w:rPr>
        <w:t xml:space="preserve"> 100 ml arba</w:t>
      </w:r>
      <w:r w:rsidR="00966B60">
        <w:rPr>
          <w:szCs w:val="22"/>
        </w:rPr>
        <w:t xml:space="preserve"> 5</w:t>
      </w:r>
      <w:r w:rsidR="00EC4EA6">
        <w:rPr>
          <w:szCs w:val="22"/>
        </w:rPr>
        <w:t>0 ml ne PVC maišelių</w:t>
      </w:r>
      <w:r w:rsidR="00B64BE2" w:rsidRPr="007D6556">
        <w:rPr>
          <w:szCs w:val="22"/>
        </w:rPr>
        <w:t>.</w:t>
      </w:r>
    </w:p>
    <w:p w:rsidR="00B64BE2" w:rsidRPr="007D6556" w:rsidRDefault="00B64BE2" w:rsidP="00B64BE2">
      <w:pPr>
        <w:rPr>
          <w:szCs w:val="22"/>
        </w:rPr>
      </w:pPr>
      <w:r w:rsidRPr="007D6556">
        <w:rPr>
          <w:szCs w:val="22"/>
        </w:rPr>
        <w:t>Vartoti tik vieną kartą.</w:t>
      </w:r>
    </w:p>
    <w:p w:rsidR="00B64BE2" w:rsidRPr="007D6556" w:rsidRDefault="00B64BE2" w:rsidP="00B64BE2">
      <w:pPr>
        <w:rPr>
          <w:szCs w:val="22"/>
        </w:rPr>
      </w:pPr>
      <w:r w:rsidRPr="007D6556">
        <w:rPr>
          <w:szCs w:val="22"/>
        </w:rPr>
        <w:t>Jei tirpale matyti kietų dalelių, jo vartoti negalima</w:t>
      </w:r>
      <w:r>
        <w:rPr>
          <w:szCs w:val="22"/>
        </w:rPr>
        <w:t>.</w:t>
      </w:r>
    </w:p>
    <w:p w:rsidR="00B64BE2" w:rsidRPr="007D6556" w:rsidRDefault="00B64BE2" w:rsidP="00B64BE2">
      <w:pPr>
        <w:pStyle w:val="BTEMEASMCA"/>
      </w:pPr>
    </w:p>
    <w:p w:rsidR="00966B60" w:rsidRPr="00966B60" w:rsidRDefault="00EC4EA6" w:rsidP="00B64BE2">
      <w:pPr>
        <w:rPr>
          <w:b/>
          <w:szCs w:val="22"/>
        </w:rPr>
      </w:pPr>
      <w:r w:rsidRPr="00966B60">
        <w:rPr>
          <w:b/>
          <w:szCs w:val="22"/>
        </w:rPr>
        <w:t>Registruotojas eksportuojančioje valstybėje:</w:t>
      </w:r>
    </w:p>
    <w:p w:rsidR="00966B60" w:rsidRDefault="00966B60" w:rsidP="00966B60">
      <w:pPr>
        <w:rPr>
          <w:lang w:val="en-US"/>
        </w:rPr>
      </w:pPr>
      <w:r w:rsidRPr="00776733">
        <w:rPr>
          <w:lang w:val="en-US"/>
        </w:rPr>
        <w:t xml:space="preserve">G.E.S. GENÉRICOS ESPAÑOLES LABORATORIO, S.A. </w:t>
      </w:r>
    </w:p>
    <w:p w:rsidR="00966B60" w:rsidRPr="001D74E8" w:rsidRDefault="00966B60" w:rsidP="00966B60">
      <w:pPr>
        <w:rPr>
          <w:lang w:val="en-US"/>
        </w:rPr>
      </w:pPr>
      <w:r w:rsidRPr="00776733">
        <w:rPr>
          <w:lang w:val="en-US"/>
        </w:rPr>
        <w:t>c/ Cólquide, 6 Portal 2, 1ª Planta. Oficina F, Edificio Prisma 28230 Las Rozas Madrid</w:t>
      </w:r>
    </w:p>
    <w:p w:rsidR="00B64BE2" w:rsidRDefault="00966B60" w:rsidP="00966B60">
      <w:pPr>
        <w:pStyle w:val="BTEMEASMCA"/>
      </w:pPr>
      <w:r>
        <w:t>Ispanija</w:t>
      </w:r>
    </w:p>
    <w:p w:rsidR="00966B60" w:rsidRPr="007D6556" w:rsidRDefault="00966B60" w:rsidP="00966B60">
      <w:pPr>
        <w:pStyle w:val="BTEMEASMCA"/>
      </w:pPr>
    </w:p>
    <w:p w:rsidR="00966B60" w:rsidRPr="00966B60" w:rsidRDefault="00B64BE2" w:rsidP="00966B60">
      <w:pPr>
        <w:ind w:right="575"/>
        <w:rPr>
          <w:b/>
          <w:lang w:val="en-US"/>
        </w:rPr>
      </w:pPr>
      <w:r w:rsidRPr="00966B60">
        <w:rPr>
          <w:b/>
        </w:rPr>
        <w:t>Gamintojas</w:t>
      </w:r>
      <w:r w:rsidR="00966B60" w:rsidRPr="00966B60">
        <w:rPr>
          <w:b/>
        </w:rPr>
        <w:t>:</w:t>
      </w:r>
      <w:r w:rsidR="00966B60" w:rsidRPr="00966B60">
        <w:rPr>
          <w:b/>
          <w:lang w:val="en-US"/>
        </w:rPr>
        <w:t xml:space="preserve"> </w:t>
      </w:r>
    </w:p>
    <w:p w:rsidR="00966B60" w:rsidRPr="001D74E8" w:rsidRDefault="00966B60" w:rsidP="00966B60">
      <w:pPr>
        <w:ind w:right="575"/>
        <w:rPr>
          <w:highlight w:val="yellow"/>
        </w:rPr>
      </w:pPr>
      <w:r w:rsidRPr="00776733">
        <w:rPr>
          <w:lang w:val="en-US"/>
        </w:rPr>
        <w:lastRenderedPageBreak/>
        <w:t xml:space="preserve">BIOMENDI, S.A. </w:t>
      </w:r>
    </w:p>
    <w:p w:rsidR="00966B60" w:rsidRPr="005A3597" w:rsidRDefault="00966B60" w:rsidP="00966B60">
      <w:r w:rsidRPr="00776733">
        <w:rPr>
          <w:lang w:val="en-US"/>
        </w:rPr>
        <w:t>Polígono Industrial de Bernedo S/N 01118 Bernedo (Álava)</w:t>
      </w:r>
    </w:p>
    <w:p w:rsidR="00B64BE2" w:rsidRPr="007D6556" w:rsidRDefault="00966B60" w:rsidP="00966B60">
      <w:pPr>
        <w:pStyle w:val="BTEMEASMCA"/>
      </w:pPr>
      <w:r>
        <w:t>Ispanija</w:t>
      </w:r>
    </w:p>
    <w:p w:rsidR="00B64BE2" w:rsidRDefault="00B64BE2" w:rsidP="00B64BE2">
      <w:pPr>
        <w:rPr>
          <w:szCs w:val="22"/>
        </w:rPr>
      </w:pPr>
    </w:p>
    <w:p w:rsidR="00B64BE2" w:rsidRPr="00242624" w:rsidRDefault="00B64BE2" w:rsidP="00B64BE2">
      <w:pPr>
        <w:rPr>
          <w:szCs w:val="22"/>
        </w:rPr>
      </w:pPr>
      <w:r w:rsidRPr="00242624">
        <w:rPr>
          <w:szCs w:val="22"/>
        </w:rPr>
        <w:t>Jeigu apie šį vaistą norite sužinoti daugiau, kreipkitės į vietinį rinkodaros teisės turėtojo atstovą.</w:t>
      </w:r>
    </w:p>
    <w:bookmarkEnd w:id="12"/>
    <w:bookmarkEnd w:id="13"/>
    <w:p w:rsidR="003339FB" w:rsidRPr="003339FB" w:rsidRDefault="003339FB" w:rsidP="00FA72F7">
      <w:pPr>
        <w:tabs>
          <w:tab w:val="clear" w:pos="567"/>
        </w:tabs>
        <w:spacing w:line="240" w:lineRule="auto"/>
        <w:rPr>
          <w:i/>
          <w:lang w:val="lt-LT"/>
        </w:rPr>
      </w:pPr>
    </w:p>
    <w:p w:rsidR="000A3C07" w:rsidRPr="000A3C07" w:rsidRDefault="000A3C07" w:rsidP="000A3C07">
      <w:pPr>
        <w:ind w:left="567" w:right="575" w:hanging="567"/>
        <w:rPr>
          <w:b/>
          <w:bCs/>
          <w:szCs w:val="22"/>
          <w:lang w:val="lt-LT"/>
        </w:rPr>
      </w:pPr>
      <w:r w:rsidRPr="000A3C07">
        <w:rPr>
          <w:b/>
          <w:bCs/>
          <w:szCs w:val="22"/>
          <w:lang w:val="lt-LT"/>
        </w:rPr>
        <w:t xml:space="preserve">Lygiagretus importuotojas </w:t>
      </w:r>
    </w:p>
    <w:p w:rsidR="000A3C07" w:rsidRPr="00333B6C" w:rsidRDefault="000A3C07" w:rsidP="000A3C07">
      <w:pPr>
        <w:rPr>
          <w:rFonts w:eastAsia="Calibri"/>
          <w:b/>
          <w:bCs/>
          <w:szCs w:val="22"/>
        </w:rPr>
      </w:pPr>
      <w:r w:rsidRPr="00333B6C">
        <w:rPr>
          <w:rFonts w:eastAsia="Calibri"/>
          <w:szCs w:val="22"/>
        </w:rPr>
        <w:t>UAB „Adeofarma“</w:t>
      </w:r>
    </w:p>
    <w:p w:rsidR="000A3C07" w:rsidRPr="00333B6C" w:rsidRDefault="000A3C07" w:rsidP="000A3C07">
      <w:pPr>
        <w:rPr>
          <w:rFonts w:eastAsia="Calibri"/>
          <w:b/>
          <w:bCs/>
          <w:szCs w:val="22"/>
        </w:rPr>
      </w:pPr>
      <w:r w:rsidRPr="00333B6C">
        <w:rPr>
          <w:rFonts w:eastAsia="Calibri"/>
          <w:szCs w:val="22"/>
        </w:rPr>
        <w:t>Švitrigailos</w:t>
      </w:r>
      <w:r>
        <w:rPr>
          <w:rFonts w:eastAsia="Calibri"/>
          <w:szCs w:val="22"/>
        </w:rPr>
        <w:t xml:space="preserve"> g.</w:t>
      </w:r>
      <w:r w:rsidRPr="00333B6C">
        <w:rPr>
          <w:rFonts w:eastAsia="Calibri"/>
          <w:szCs w:val="22"/>
        </w:rPr>
        <w:t xml:space="preserve"> 11A</w:t>
      </w:r>
    </w:p>
    <w:p w:rsidR="000A3C07" w:rsidRPr="006708F8" w:rsidRDefault="000A3C07" w:rsidP="000A3C07">
      <w:r w:rsidRPr="00333B6C">
        <w:rPr>
          <w:rFonts w:eastAsia="Calibri"/>
          <w:szCs w:val="22"/>
        </w:rPr>
        <w:t>Lietuva</w:t>
      </w:r>
    </w:p>
    <w:p w:rsidR="000A3C07" w:rsidRPr="006708F8" w:rsidRDefault="000A3C07" w:rsidP="000A3C07">
      <w:pPr>
        <w:ind w:left="567" w:right="575" w:hanging="567"/>
      </w:pPr>
    </w:p>
    <w:p w:rsidR="00966B60" w:rsidRDefault="000A3C07" w:rsidP="000A3C07">
      <w:pPr>
        <w:ind w:left="567" w:right="575" w:hanging="567"/>
        <w:rPr>
          <w:b/>
          <w:bCs/>
          <w:szCs w:val="22"/>
          <w:lang w:val="lt-LT"/>
        </w:rPr>
      </w:pPr>
      <w:r w:rsidRPr="000A3C07">
        <w:rPr>
          <w:b/>
          <w:bCs/>
          <w:szCs w:val="22"/>
          <w:lang w:val="lt-LT"/>
        </w:rPr>
        <w:t>Perpakavo</w:t>
      </w:r>
      <w:r w:rsidR="00966B60">
        <w:rPr>
          <w:b/>
          <w:bCs/>
          <w:szCs w:val="22"/>
          <w:lang w:val="lt-LT"/>
        </w:rPr>
        <w:t>:</w:t>
      </w:r>
    </w:p>
    <w:p w:rsidR="000A3C07" w:rsidRPr="000A3C07" w:rsidRDefault="000A3C07" w:rsidP="000A3C07">
      <w:pPr>
        <w:ind w:left="567" w:right="575" w:hanging="567"/>
        <w:rPr>
          <w:b/>
          <w:bCs/>
          <w:szCs w:val="22"/>
          <w:lang w:val="lt-LT"/>
        </w:rPr>
      </w:pPr>
      <w:r w:rsidRPr="000A3C07">
        <w:rPr>
          <w:b/>
          <w:bCs/>
          <w:szCs w:val="22"/>
          <w:lang w:val="lt-LT"/>
        </w:rPr>
        <w:t xml:space="preserve"> </w:t>
      </w:r>
    </w:p>
    <w:p w:rsidR="00966B60" w:rsidRPr="00966B60" w:rsidRDefault="00966B60" w:rsidP="000A3C07">
      <w:pPr>
        <w:rPr>
          <w:rFonts w:eastAsia="Calibri"/>
          <w:bCs/>
          <w:szCs w:val="22"/>
        </w:rPr>
      </w:pPr>
      <w:r w:rsidRPr="00966B60">
        <w:rPr>
          <w:szCs w:val="22"/>
          <w:lang w:val="x-none" w:eastAsia="x-none"/>
        </w:rPr>
        <w:t>UAB „Entafarma“ arba BĮ UAB „ Norfachema“</w:t>
      </w:r>
    </w:p>
    <w:p w:rsidR="003339FB" w:rsidRDefault="003339FB" w:rsidP="00FA72F7">
      <w:pPr>
        <w:tabs>
          <w:tab w:val="clear" w:pos="567"/>
        </w:tabs>
        <w:spacing w:line="240" w:lineRule="auto"/>
        <w:rPr>
          <w:lang w:val="lt-LT"/>
        </w:rPr>
      </w:pPr>
    </w:p>
    <w:p w:rsidR="000A3C07" w:rsidRDefault="000A3C07" w:rsidP="00FA72F7">
      <w:pPr>
        <w:tabs>
          <w:tab w:val="clear" w:pos="567"/>
        </w:tabs>
        <w:spacing w:line="240" w:lineRule="auto"/>
        <w:rPr>
          <w:lang w:val="lt-LT"/>
        </w:rPr>
      </w:pPr>
    </w:p>
    <w:p w:rsidR="00FA72F7" w:rsidRPr="003339FB" w:rsidRDefault="00FA72F7" w:rsidP="00FA72F7">
      <w:pPr>
        <w:autoSpaceDE w:val="0"/>
        <w:autoSpaceDN w:val="0"/>
        <w:adjustRightInd w:val="0"/>
        <w:rPr>
          <w:b/>
          <w:szCs w:val="22"/>
          <w:highlight w:val="green"/>
          <w:lang w:val="lt-LT"/>
        </w:rPr>
      </w:pPr>
      <w:r w:rsidRPr="00C60673">
        <w:rPr>
          <w:b/>
          <w:bCs/>
          <w:szCs w:val="22"/>
          <w:lang w:val="lt-LT"/>
        </w:rPr>
        <w:t xml:space="preserve">Šis pakuotės </w:t>
      </w:r>
      <w:r w:rsidRPr="00C60673">
        <w:rPr>
          <w:b/>
          <w:szCs w:val="22"/>
          <w:lang w:val="lt-LT"/>
        </w:rPr>
        <w:t xml:space="preserve">lapelis paskutinį kartą </w:t>
      </w:r>
      <w:r w:rsidRPr="00C60673">
        <w:rPr>
          <w:b/>
          <w:lang w:val="lt-LT"/>
        </w:rPr>
        <w:t>peržiūrėtas</w:t>
      </w:r>
      <w:r w:rsidRPr="00C60673">
        <w:rPr>
          <w:b/>
          <w:szCs w:val="22"/>
          <w:lang w:val="lt-LT"/>
        </w:rPr>
        <w:t xml:space="preserve"> </w:t>
      </w:r>
      <w:r w:rsidR="003339FB">
        <w:rPr>
          <w:b/>
          <w:szCs w:val="22"/>
          <w:lang w:val="lt-LT"/>
        </w:rPr>
        <w:t>201</w:t>
      </w:r>
      <w:r w:rsidR="00E8163B">
        <w:rPr>
          <w:b/>
          <w:szCs w:val="22"/>
          <w:lang w:val="lt-LT"/>
        </w:rPr>
        <w:t>8-01-</w:t>
      </w:r>
      <w:r w:rsidR="002414E0">
        <w:rPr>
          <w:b/>
          <w:szCs w:val="22"/>
          <w:lang w:val="lt-LT"/>
        </w:rPr>
        <w:t>22</w:t>
      </w:r>
      <w:bookmarkStart w:id="14" w:name="_GoBack"/>
      <w:bookmarkEnd w:id="14"/>
    </w:p>
    <w:p w:rsidR="00FA72F7" w:rsidRPr="00C60673" w:rsidRDefault="00FA72F7" w:rsidP="00FA72F7">
      <w:pPr>
        <w:numPr>
          <w:ilvl w:val="12"/>
          <w:numId w:val="0"/>
        </w:numPr>
        <w:tabs>
          <w:tab w:val="clear" w:pos="567"/>
        </w:tabs>
        <w:spacing w:line="240" w:lineRule="auto"/>
        <w:ind w:right="-2"/>
        <w:outlineLvl w:val="0"/>
        <w:rPr>
          <w:b/>
          <w:szCs w:val="22"/>
          <w:lang w:val="lt-LT"/>
        </w:rPr>
      </w:pPr>
    </w:p>
    <w:p w:rsidR="00FA72F7" w:rsidRDefault="00FA72F7" w:rsidP="00FA72F7">
      <w:pPr>
        <w:numPr>
          <w:ilvl w:val="12"/>
          <w:numId w:val="0"/>
        </w:numPr>
        <w:spacing w:line="240" w:lineRule="auto"/>
        <w:ind w:right="-2"/>
        <w:rPr>
          <w:szCs w:val="22"/>
          <w:lang w:val="lt-LT"/>
        </w:rPr>
      </w:pPr>
      <w:r w:rsidRPr="00C60673">
        <w:rPr>
          <w:szCs w:val="22"/>
          <w:lang w:val="lt-LT"/>
        </w:rPr>
        <w:t>Išsami informacija apie šį vaistą pateikiama Valstybinės vaistų kontrolės tarnybos prie Lietuvos Respublikos sveikatos apsaugos ministerijos tinklalapyje</w:t>
      </w:r>
      <w:r w:rsidRPr="00C60673">
        <w:rPr>
          <w:i/>
          <w:szCs w:val="22"/>
          <w:lang w:val="lt-LT"/>
        </w:rPr>
        <w:t xml:space="preserve"> </w:t>
      </w:r>
      <w:hyperlink r:id="rId7" w:history="1">
        <w:r w:rsidRPr="00336683">
          <w:rPr>
            <w:rFonts w:eastAsia="SimSun"/>
            <w:color w:val="0000FF"/>
            <w:u w:val="single"/>
            <w:lang w:val="lt-LT"/>
          </w:rPr>
          <w:t>http://www.vvkt.lt/</w:t>
        </w:r>
      </w:hyperlink>
      <w:r w:rsidRPr="00C60673">
        <w:rPr>
          <w:szCs w:val="22"/>
          <w:lang w:val="lt-LT"/>
        </w:rPr>
        <w:t>.</w:t>
      </w:r>
    </w:p>
    <w:p w:rsidR="00FA72F7" w:rsidRPr="00E66AE7" w:rsidRDefault="00FA72F7" w:rsidP="00FA72F7">
      <w:pPr>
        <w:numPr>
          <w:ilvl w:val="12"/>
          <w:numId w:val="0"/>
        </w:numPr>
        <w:spacing w:line="240" w:lineRule="auto"/>
        <w:ind w:right="-2"/>
        <w:rPr>
          <w:lang w:val="lt-LT"/>
        </w:rPr>
      </w:pPr>
    </w:p>
    <w:p w:rsidR="00461420" w:rsidRPr="00966B60" w:rsidRDefault="006743E6">
      <w:pPr>
        <w:rPr>
          <w:lang w:val="lt-LT"/>
        </w:rPr>
      </w:pPr>
      <w:r w:rsidRPr="003339FB">
        <w:rPr>
          <w:i/>
          <w:lang w:val="lt-LT"/>
        </w:rPr>
        <w:t xml:space="preserve">Lygiagrečiai importuojamas vaistinis preparatas skiriasi nuo referencinio vaistinio preparato </w:t>
      </w:r>
      <w:r>
        <w:rPr>
          <w:i/>
          <w:lang w:val="lt-LT"/>
        </w:rPr>
        <w:t>laikymo sąlygomis bei tinkamumo laiku: l</w:t>
      </w:r>
      <w:r w:rsidRPr="003339FB">
        <w:rPr>
          <w:i/>
          <w:lang w:val="lt-LT"/>
        </w:rPr>
        <w:t>ygiagrečiai importuojamo vaistinio preparato</w:t>
      </w:r>
      <w:r>
        <w:rPr>
          <w:i/>
          <w:lang w:val="lt-LT"/>
        </w:rPr>
        <w:t xml:space="preserve"> laikymo sąlygos- </w:t>
      </w:r>
      <w:r w:rsidRPr="00966B60">
        <w:rPr>
          <w:i/>
          <w:lang w:val="lt-LT"/>
        </w:rPr>
        <w:t>laikyti žemesnėje kaip 30 </w:t>
      </w:r>
      <w:r w:rsidRPr="00966B60">
        <w:rPr>
          <w:i/>
          <w:lang w:val="lt-LT"/>
        </w:rPr>
        <w:sym w:font="Symbol" w:char="F0B0"/>
      </w:r>
      <w:r w:rsidRPr="00966B60">
        <w:rPr>
          <w:i/>
          <w:lang w:val="lt-LT"/>
        </w:rPr>
        <w:t>C temperatūroje</w:t>
      </w:r>
      <w:r w:rsidRPr="003339FB">
        <w:rPr>
          <w:i/>
          <w:szCs w:val="22"/>
          <w:lang w:val="lt-LT"/>
        </w:rPr>
        <w:t xml:space="preserve">, o </w:t>
      </w:r>
      <w:r w:rsidRPr="003339FB">
        <w:rPr>
          <w:i/>
          <w:lang w:val="lt-LT"/>
        </w:rPr>
        <w:t>r</w:t>
      </w:r>
      <w:r>
        <w:rPr>
          <w:i/>
          <w:lang w:val="lt-LT"/>
        </w:rPr>
        <w:t>eferencinio vaistinio preparato-</w:t>
      </w:r>
      <w:r w:rsidRPr="00966B60">
        <w:rPr>
          <w:szCs w:val="22"/>
          <w:lang w:val="lt-LT"/>
        </w:rPr>
        <w:t xml:space="preserve"> </w:t>
      </w:r>
      <w:r w:rsidRPr="00966B60">
        <w:rPr>
          <w:i/>
          <w:lang w:val="lt-LT"/>
        </w:rPr>
        <w:t>laikyti žemesnėje kaip 25 </w:t>
      </w:r>
      <w:r w:rsidRPr="00966B60">
        <w:rPr>
          <w:i/>
          <w:lang w:val="lt-LT"/>
        </w:rPr>
        <w:sym w:font="Symbol" w:char="F0B0"/>
      </w:r>
      <w:r w:rsidRPr="00966B60">
        <w:rPr>
          <w:i/>
          <w:lang w:val="lt-LT"/>
        </w:rPr>
        <w:t>C temperatūroje</w:t>
      </w:r>
      <w:r>
        <w:rPr>
          <w:i/>
          <w:lang w:val="lt-LT"/>
        </w:rPr>
        <w:t xml:space="preserve">, lygiagrečiai importuojamo </w:t>
      </w:r>
      <w:r w:rsidRPr="006743E6">
        <w:rPr>
          <w:i/>
          <w:lang w:val="lt-LT"/>
        </w:rPr>
        <w:t>vaistinio preparato (reg, Nr. 600608-5) tinkamumo laikas 18 mėnesių, vaistinio preparato (reg. Nr. 600609-2) 2 metai, o referencinio vaistinio preparato supakuoto į : stiklinius flakonus - 3 metai; ne PVC maišelius - 2 metai.</w:t>
      </w:r>
    </w:p>
    <w:sectPr w:rsidR="00461420" w:rsidRPr="00966B60" w:rsidSect="00336683">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BC2" w:rsidRDefault="00985BC2">
      <w:pPr>
        <w:spacing w:line="240" w:lineRule="auto"/>
      </w:pPr>
      <w:r>
        <w:separator/>
      </w:r>
    </w:p>
  </w:endnote>
  <w:endnote w:type="continuationSeparator" w:id="0">
    <w:p w:rsidR="00985BC2" w:rsidRDefault="0098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94" w:rsidRDefault="00415FE5">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2414E0">
      <w:rPr>
        <w:rStyle w:val="Puslapionumeris"/>
        <w:rFonts w:ascii="Arial" w:hAnsi="Arial" w:cs="Arial"/>
        <w:noProof/>
      </w:rPr>
      <w:t>12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494" w:rsidRDefault="00415FE5">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2414E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BC2" w:rsidRDefault="00985BC2">
      <w:pPr>
        <w:spacing w:line="240" w:lineRule="auto"/>
      </w:pPr>
      <w:r>
        <w:separator/>
      </w:r>
    </w:p>
  </w:footnote>
  <w:footnote w:type="continuationSeparator" w:id="0">
    <w:p w:rsidR="00985BC2" w:rsidRDefault="0098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159" w:rsidRDefault="00985B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D086C"/>
    <w:multiLevelType w:val="hybridMultilevel"/>
    <w:tmpl w:val="B3E2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916A0"/>
    <w:multiLevelType w:val="hybridMultilevel"/>
    <w:tmpl w:val="6CE4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11FE8"/>
    <w:multiLevelType w:val="hybridMultilevel"/>
    <w:tmpl w:val="6ADCED86"/>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29E4"/>
    <w:multiLevelType w:val="hybridMultilevel"/>
    <w:tmpl w:val="93CE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FA643A"/>
    <w:multiLevelType w:val="hybridMultilevel"/>
    <w:tmpl w:val="BD54C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60171"/>
    <w:multiLevelType w:val="hybridMultilevel"/>
    <w:tmpl w:val="1562C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E191C"/>
    <w:multiLevelType w:val="hybridMultilevel"/>
    <w:tmpl w:val="D450B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B0B1A"/>
    <w:multiLevelType w:val="hybridMultilevel"/>
    <w:tmpl w:val="4EDE1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BE6BD7"/>
    <w:multiLevelType w:val="hybridMultilevel"/>
    <w:tmpl w:val="A8A8A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D1843"/>
    <w:multiLevelType w:val="hybridMultilevel"/>
    <w:tmpl w:val="CBD442E4"/>
    <w:lvl w:ilvl="0" w:tplc="04090001">
      <w:start w:val="1"/>
      <w:numFmt w:val="bullet"/>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E7768"/>
    <w:multiLevelType w:val="hybridMultilevel"/>
    <w:tmpl w:val="B1D2766A"/>
    <w:lvl w:ilvl="0" w:tplc="EABA99D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E1163E"/>
    <w:multiLevelType w:val="hybridMultilevel"/>
    <w:tmpl w:val="0C6AAD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F32147"/>
    <w:multiLevelType w:val="hybridMultilevel"/>
    <w:tmpl w:val="BA90C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F79A0"/>
    <w:multiLevelType w:val="hybridMultilevel"/>
    <w:tmpl w:val="748C9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9B0D99"/>
    <w:multiLevelType w:val="hybridMultilevel"/>
    <w:tmpl w:val="A86E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5352D"/>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658AC"/>
    <w:multiLevelType w:val="hybridMultilevel"/>
    <w:tmpl w:val="2D4AC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36F11"/>
    <w:multiLevelType w:val="hybridMultilevel"/>
    <w:tmpl w:val="45D4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C7DE9"/>
    <w:multiLevelType w:val="hybridMultilevel"/>
    <w:tmpl w:val="74ECE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2053B7"/>
    <w:multiLevelType w:val="hybridMultilevel"/>
    <w:tmpl w:val="CEBA6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280736"/>
    <w:multiLevelType w:val="hybridMultilevel"/>
    <w:tmpl w:val="9244A7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40276F"/>
    <w:multiLevelType w:val="multilevel"/>
    <w:tmpl w:val="9244A79A"/>
    <w:lvl w:ilvl="0">
      <w:start w:val="1"/>
      <w:numFmt w:val="bullet"/>
      <w:lvlText w:val=""/>
      <w:lvlJc w:val="left"/>
      <w:pPr>
        <w:tabs>
          <w:tab w:val="num" w:pos="0"/>
        </w:tabs>
        <w:ind w:left="283" w:hanging="283"/>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6"/>
  </w:num>
  <w:num w:numId="4">
    <w:abstractNumId w:val="9"/>
  </w:num>
  <w:num w:numId="5">
    <w:abstractNumId w:val="13"/>
  </w:num>
  <w:num w:numId="6">
    <w:abstractNumId w:val="17"/>
  </w:num>
  <w:num w:numId="7">
    <w:abstractNumId w:val="25"/>
  </w:num>
  <w:num w:numId="8">
    <w:abstractNumId w:val="16"/>
  </w:num>
  <w:num w:numId="9">
    <w:abstractNumId w:val="23"/>
  </w:num>
  <w:num w:numId="10">
    <w:abstractNumId w:val="2"/>
  </w:num>
  <w:num w:numId="11">
    <w:abstractNumId w:val="21"/>
  </w:num>
  <w:num w:numId="12">
    <w:abstractNumId w:val="15"/>
  </w:num>
  <w:num w:numId="13">
    <w:abstractNumId w:val="14"/>
  </w:num>
  <w:num w:numId="14">
    <w:abstractNumId w:val="19"/>
  </w:num>
  <w:num w:numId="15">
    <w:abstractNumId w:val="7"/>
  </w:num>
  <w:num w:numId="16">
    <w:abstractNumId w:val="11"/>
  </w:num>
  <w:num w:numId="17">
    <w:abstractNumId w:val="8"/>
  </w:num>
  <w:num w:numId="18">
    <w:abstractNumId w:val="18"/>
  </w:num>
  <w:num w:numId="19">
    <w:abstractNumId w:val="1"/>
  </w:num>
  <w:num w:numId="20">
    <w:abstractNumId w:val="22"/>
  </w:num>
  <w:num w:numId="21">
    <w:abstractNumId w:val="5"/>
  </w:num>
  <w:num w:numId="22">
    <w:abstractNumId w:val="10"/>
  </w:num>
  <w:num w:numId="23">
    <w:abstractNumId w:val="26"/>
  </w:num>
  <w:num w:numId="24">
    <w:abstractNumId w:val="27"/>
  </w:num>
  <w:num w:numId="25">
    <w:abstractNumId w:val="24"/>
  </w:num>
  <w:num w:numId="26">
    <w:abstractNumId w:val="3"/>
  </w:num>
  <w:num w:numId="27">
    <w:abstractNumId w:val="12"/>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CE"/>
    <w:rsid w:val="000741EE"/>
    <w:rsid w:val="000A3C07"/>
    <w:rsid w:val="000D3519"/>
    <w:rsid w:val="002414E0"/>
    <w:rsid w:val="00315C37"/>
    <w:rsid w:val="003339FB"/>
    <w:rsid w:val="00415FE5"/>
    <w:rsid w:val="00461420"/>
    <w:rsid w:val="004730DF"/>
    <w:rsid w:val="004A27DB"/>
    <w:rsid w:val="005400F7"/>
    <w:rsid w:val="00573BA9"/>
    <w:rsid w:val="005B3CCE"/>
    <w:rsid w:val="005D1EE0"/>
    <w:rsid w:val="005F1857"/>
    <w:rsid w:val="006743E6"/>
    <w:rsid w:val="006F4598"/>
    <w:rsid w:val="007A0319"/>
    <w:rsid w:val="008141E4"/>
    <w:rsid w:val="008C627B"/>
    <w:rsid w:val="009512F9"/>
    <w:rsid w:val="00952C61"/>
    <w:rsid w:val="00966B60"/>
    <w:rsid w:val="00985BC2"/>
    <w:rsid w:val="009F7A09"/>
    <w:rsid w:val="00A75EB7"/>
    <w:rsid w:val="00A91842"/>
    <w:rsid w:val="00B64BE2"/>
    <w:rsid w:val="00B660A1"/>
    <w:rsid w:val="00BF65C6"/>
    <w:rsid w:val="00D04D79"/>
    <w:rsid w:val="00D964E2"/>
    <w:rsid w:val="00E15BFB"/>
    <w:rsid w:val="00E8163B"/>
    <w:rsid w:val="00EC4EA6"/>
    <w:rsid w:val="00EE62A0"/>
    <w:rsid w:val="00F16238"/>
    <w:rsid w:val="00FA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E5A0"/>
  <w15:docId w15:val="{C4388BC1-DC1F-4465-AB1B-354D2D3B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72F7"/>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B64BE2"/>
    <w:pPr>
      <w:keepNext/>
      <w:tabs>
        <w:tab w:val="clear" w:pos="567"/>
      </w:tabs>
      <w:spacing w:before="240" w:after="60" w:line="240" w:lineRule="auto"/>
      <w:outlineLvl w:val="0"/>
    </w:pPr>
    <w:rPr>
      <w:rFonts w:ascii="Arial" w:hAnsi="Arial" w:cs="Arial"/>
      <w:b/>
      <w:bCs/>
      <w:kern w:val="32"/>
      <w:sz w:val="32"/>
      <w:szCs w:val="32"/>
      <w:lang w:val="lt-LT"/>
    </w:rPr>
  </w:style>
  <w:style w:type="paragraph" w:styleId="Antrat2">
    <w:name w:val="heading 2"/>
    <w:basedOn w:val="prastasis"/>
    <w:next w:val="prastasis"/>
    <w:link w:val="Antrat2Diagrama"/>
    <w:qFormat/>
    <w:rsid w:val="00B64BE2"/>
    <w:pPr>
      <w:keepNext/>
      <w:tabs>
        <w:tab w:val="clear" w:pos="567"/>
      </w:tabs>
      <w:spacing w:before="240" w:after="60" w:line="240" w:lineRule="auto"/>
      <w:outlineLvl w:val="1"/>
    </w:pPr>
    <w:rPr>
      <w:rFonts w:ascii="Arial" w:hAnsi="Arial" w:cs="Arial"/>
      <w:b/>
      <w:bCs/>
      <w:i/>
      <w:iCs/>
      <w:sz w:val="28"/>
      <w:szCs w:val="28"/>
      <w:lang w:val="lt-LT"/>
    </w:rPr>
  </w:style>
  <w:style w:type="paragraph" w:styleId="Antrat3">
    <w:name w:val="heading 3"/>
    <w:basedOn w:val="prastasis"/>
    <w:next w:val="prastasis"/>
    <w:link w:val="Antrat3Diagrama"/>
    <w:qFormat/>
    <w:rsid w:val="00B64BE2"/>
    <w:pPr>
      <w:keepNext/>
      <w:tabs>
        <w:tab w:val="clear" w:pos="567"/>
      </w:tabs>
      <w:spacing w:before="240" w:after="60" w:line="240" w:lineRule="auto"/>
      <w:outlineLvl w:val="2"/>
    </w:pPr>
    <w:rPr>
      <w:rFonts w:ascii="Arial" w:hAnsi="Arial" w:cs="Arial"/>
      <w:b/>
      <w:bCs/>
      <w:sz w:val="26"/>
      <w:szCs w:val="26"/>
      <w:lang w:val="lt-LT"/>
    </w:rPr>
  </w:style>
  <w:style w:type="paragraph" w:styleId="Antrat8">
    <w:name w:val="heading 8"/>
    <w:basedOn w:val="prastasis"/>
    <w:next w:val="prastasis"/>
    <w:link w:val="Antrat8Diagrama"/>
    <w:qFormat/>
    <w:rsid w:val="00B64BE2"/>
    <w:pPr>
      <w:keepNext/>
      <w:tabs>
        <w:tab w:val="clear" w:pos="567"/>
      </w:tabs>
      <w:spacing w:line="240" w:lineRule="auto"/>
      <w:ind w:left="720"/>
      <w:outlineLvl w:val="7"/>
    </w:pPr>
    <w:rPr>
      <w:sz w:val="24"/>
      <w:szCs w:val="22"/>
    </w:rPr>
  </w:style>
  <w:style w:type="paragraph" w:styleId="Antrat9">
    <w:name w:val="heading 9"/>
    <w:basedOn w:val="prastasis"/>
    <w:next w:val="prastasis"/>
    <w:link w:val="Antrat9Diagrama"/>
    <w:qFormat/>
    <w:rsid w:val="00B64BE2"/>
    <w:pPr>
      <w:keepNext/>
      <w:tabs>
        <w:tab w:val="clear" w:pos="567"/>
      </w:tabs>
      <w:spacing w:line="240" w:lineRule="auto"/>
      <w:ind w:firstLine="720"/>
      <w:outlineLvl w:val="8"/>
    </w:pPr>
    <w:rPr>
      <w:sz w:val="24"/>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A72F7"/>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FA72F7"/>
    <w:rPr>
      <w:rFonts w:ascii="Helvetica" w:eastAsia="Times New Roman" w:hAnsi="Helvetica" w:cs="Times New Roman"/>
      <w:sz w:val="20"/>
      <w:szCs w:val="20"/>
      <w:lang w:val="en-GB"/>
    </w:rPr>
  </w:style>
  <w:style w:type="paragraph" w:styleId="Porat">
    <w:name w:val="footer"/>
    <w:basedOn w:val="prastasis"/>
    <w:link w:val="PoratDiagrama"/>
    <w:rsid w:val="00FA72F7"/>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FA72F7"/>
    <w:rPr>
      <w:rFonts w:ascii="Helvetica" w:eastAsia="Times New Roman" w:hAnsi="Helvetica" w:cs="Times New Roman"/>
      <w:sz w:val="16"/>
      <w:szCs w:val="20"/>
      <w:lang w:val="en-GB"/>
    </w:rPr>
  </w:style>
  <w:style w:type="character" w:styleId="Puslapionumeris">
    <w:name w:val="page number"/>
    <w:basedOn w:val="Numatytasispastraiposriftas"/>
    <w:rsid w:val="00FA72F7"/>
  </w:style>
  <w:style w:type="character" w:customStyle="1" w:styleId="Antrat1Diagrama">
    <w:name w:val="Antraštė 1 Diagrama"/>
    <w:basedOn w:val="Numatytasispastraiposriftas"/>
    <w:link w:val="Antrat1"/>
    <w:rsid w:val="00B64BE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B64BE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B64BE2"/>
    <w:rPr>
      <w:rFonts w:ascii="Arial" w:eastAsia="Times New Roman" w:hAnsi="Arial" w:cs="Arial"/>
      <w:b/>
      <w:bCs/>
      <w:sz w:val="26"/>
      <w:szCs w:val="26"/>
      <w:lang w:val="lt-LT"/>
    </w:rPr>
  </w:style>
  <w:style w:type="character" w:customStyle="1" w:styleId="Antrat8Diagrama">
    <w:name w:val="Antraštė 8 Diagrama"/>
    <w:basedOn w:val="Numatytasispastraiposriftas"/>
    <w:link w:val="Antrat8"/>
    <w:rsid w:val="00B64BE2"/>
    <w:rPr>
      <w:rFonts w:ascii="Times New Roman" w:eastAsia="Times New Roman" w:hAnsi="Times New Roman" w:cs="Times New Roman"/>
      <w:sz w:val="24"/>
      <w:lang w:val="en-GB"/>
    </w:rPr>
  </w:style>
  <w:style w:type="character" w:customStyle="1" w:styleId="Antrat9Diagrama">
    <w:name w:val="Antraštė 9 Diagrama"/>
    <w:basedOn w:val="Numatytasispastraiposriftas"/>
    <w:link w:val="Antrat9"/>
    <w:rsid w:val="00B64BE2"/>
    <w:rPr>
      <w:rFonts w:ascii="Times New Roman" w:eastAsia="Times New Roman" w:hAnsi="Times New Roman" w:cs="Times New Roman"/>
      <w:sz w:val="24"/>
      <w:u w:val="single"/>
      <w:lang w:val="en-GB"/>
    </w:rPr>
  </w:style>
  <w:style w:type="character" w:styleId="Hipersaitas">
    <w:name w:val="Hyperlink"/>
    <w:rsid w:val="00B64BE2"/>
    <w:rPr>
      <w:color w:val="0000FF"/>
      <w:u w:val="single"/>
    </w:rPr>
  </w:style>
  <w:style w:type="paragraph" w:customStyle="1" w:styleId="PI-1EMEASMCA">
    <w:name w:val="PI-1 EMEA_SMCA"/>
    <w:basedOn w:val="Antrat2"/>
    <w:autoRedefine/>
    <w:rsid w:val="00B64BE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64BE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B64BE2"/>
    <w:rPr>
      <w:rFonts w:ascii="Times New Roman" w:eastAsia="Times New Roman" w:hAnsi="Times New Roman" w:cs="Times New Roman"/>
      <w:b/>
      <w:noProof/>
      <w:lang w:val="lt-LT"/>
    </w:rPr>
  </w:style>
  <w:style w:type="paragraph" w:customStyle="1" w:styleId="PI-2EMEASMCA">
    <w:name w:val="PI-2 EMEA_SMCA"/>
    <w:basedOn w:val="Antrat3"/>
    <w:autoRedefine/>
    <w:rsid w:val="00B64BE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64BE2"/>
    <w:pPr>
      <w:tabs>
        <w:tab w:val="clear" w:pos="567"/>
      </w:tabs>
      <w:spacing w:line="240" w:lineRule="auto"/>
    </w:pPr>
    <w:rPr>
      <w:szCs w:val="22"/>
      <w:lang w:val="lt-LT"/>
    </w:rPr>
  </w:style>
  <w:style w:type="paragraph" w:customStyle="1" w:styleId="TTEMEASMCA">
    <w:name w:val="TT EMEA_SMCA"/>
    <w:basedOn w:val="Antrat1"/>
    <w:link w:val="TTEMEASMCAChar"/>
    <w:autoRedefine/>
    <w:rsid w:val="00B64BE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64BE2"/>
    <w:rPr>
      <w:rFonts w:ascii="Times New Roman" w:eastAsia="Times New Roman" w:hAnsi="Times New Roman" w:cs="Times New Roman"/>
      <w:b/>
      <w:caps/>
    </w:rPr>
  </w:style>
  <w:style w:type="paragraph" w:customStyle="1" w:styleId="BTAnIIEMEASMCA">
    <w:name w:val="BT(AnII) EMEA_SMCA"/>
    <w:basedOn w:val="Debesliotekstas"/>
    <w:autoRedefine/>
    <w:rsid w:val="00B64BE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64BE2"/>
    <w:pPr>
      <w:numPr>
        <w:numId w:val="5"/>
      </w:numPr>
      <w:tabs>
        <w:tab w:val="clear" w:pos="720"/>
        <w:tab w:val="num" w:pos="360"/>
      </w:tabs>
      <w:ind w:left="0" w:firstLine="0"/>
    </w:pPr>
  </w:style>
  <w:style w:type="paragraph" w:customStyle="1" w:styleId="PI-3EMEASMCA">
    <w:name w:val="PI-3 EMEA_SMCA"/>
    <w:basedOn w:val="prastasis"/>
    <w:autoRedefine/>
    <w:rsid w:val="00B64BE2"/>
    <w:pPr>
      <w:tabs>
        <w:tab w:val="clear" w:pos="567"/>
      </w:tabs>
      <w:spacing w:line="240" w:lineRule="auto"/>
      <w:ind w:left="567" w:hanging="567"/>
    </w:pPr>
    <w:rPr>
      <w:b/>
      <w:bCs/>
      <w:szCs w:val="22"/>
      <w:lang w:val="lt-LT"/>
    </w:rPr>
  </w:style>
  <w:style w:type="paragraph" w:customStyle="1" w:styleId="BTbEMEASMCA">
    <w:name w:val="BT(b) EMEA_SMCA"/>
    <w:basedOn w:val="BTEMEASMCA"/>
    <w:autoRedefine/>
    <w:rsid w:val="00B64BE2"/>
    <w:rPr>
      <w:b/>
    </w:rPr>
  </w:style>
  <w:style w:type="paragraph" w:customStyle="1" w:styleId="BTbeEMEASMCA">
    <w:name w:val="BT(be) EMEA_SMCA"/>
    <w:basedOn w:val="BTEMEASMCA"/>
    <w:autoRedefine/>
    <w:rsid w:val="00B64BE2"/>
    <w:pPr>
      <w:jc w:val="center"/>
    </w:pPr>
    <w:rPr>
      <w:b/>
    </w:rPr>
  </w:style>
  <w:style w:type="paragraph" w:customStyle="1" w:styleId="BTeEMEASMCA">
    <w:name w:val="BT(e) EMEA_SMCA"/>
    <w:basedOn w:val="BTEMEASMCA"/>
    <w:autoRedefine/>
    <w:rsid w:val="00B64BE2"/>
    <w:pPr>
      <w:jc w:val="center"/>
    </w:pPr>
  </w:style>
  <w:style w:type="paragraph" w:customStyle="1" w:styleId="BTgEMEASMCA">
    <w:name w:val="BT(g) EMEA_SMCA"/>
    <w:basedOn w:val="BTEMEASMCA"/>
    <w:link w:val="BTgEMEASMCAChar"/>
    <w:autoRedefine/>
    <w:rsid w:val="00B64BE2"/>
    <w:rPr>
      <w:i/>
      <w:color w:val="008000"/>
    </w:rPr>
  </w:style>
  <w:style w:type="character" w:customStyle="1" w:styleId="BTEMEASMCAChar">
    <w:name w:val="BT EMEA_SMCA Char"/>
    <w:link w:val="BTEMEASMCA"/>
    <w:rsid w:val="00B64BE2"/>
    <w:rPr>
      <w:rFonts w:ascii="Times New Roman" w:eastAsia="Times New Roman" w:hAnsi="Times New Roman" w:cs="Times New Roman"/>
      <w:lang w:val="lt-LT"/>
    </w:rPr>
  </w:style>
  <w:style w:type="character" w:customStyle="1" w:styleId="BTgEMEASMCAChar">
    <w:name w:val="BT(g) EMEA_SMCA Char"/>
    <w:link w:val="BTgEMEASMCA"/>
    <w:rsid w:val="00B64BE2"/>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B64BE2"/>
    <w:rPr>
      <w:u w:val="single"/>
    </w:rPr>
  </w:style>
  <w:style w:type="paragraph" w:styleId="Debesliotekstas">
    <w:name w:val="Balloon Text"/>
    <w:basedOn w:val="prastasis"/>
    <w:link w:val="DebesliotekstasDiagrama"/>
    <w:semiHidden/>
    <w:rsid w:val="00B64BE2"/>
    <w:pPr>
      <w:tabs>
        <w:tab w:val="clear" w:pos="567"/>
      </w:tabs>
      <w:spacing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semiHidden/>
    <w:rsid w:val="00B64BE2"/>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B64BE2"/>
    <w:pPr>
      <w:shd w:val="clear" w:color="auto" w:fill="000080"/>
      <w:tabs>
        <w:tab w:val="clear" w:pos="567"/>
      </w:tabs>
      <w:spacing w:line="240" w:lineRule="auto"/>
    </w:pPr>
    <w:rPr>
      <w:rFonts w:ascii="Tahoma" w:hAnsi="Tahoma" w:cs="Tahoma"/>
      <w:sz w:val="20"/>
      <w:lang w:val="lt-LT"/>
    </w:rPr>
  </w:style>
  <w:style w:type="character" w:customStyle="1" w:styleId="DokumentostruktraDiagrama">
    <w:name w:val="Dokumento struktūra Diagrama"/>
    <w:basedOn w:val="Numatytasispastraiposriftas"/>
    <w:link w:val="Dokumentostruktra"/>
    <w:semiHidden/>
    <w:rsid w:val="00B64BE2"/>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B64BE2"/>
    <w:pPr>
      <w:tabs>
        <w:tab w:val="clear" w:pos="567"/>
      </w:tabs>
      <w:spacing w:after="120" w:line="240" w:lineRule="auto"/>
    </w:pPr>
    <w:rPr>
      <w:lang w:val="lt-LT" w:eastAsia="lt-LT"/>
    </w:rPr>
  </w:style>
  <w:style w:type="character" w:customStyle="1" w:styleId="PagrindinistekstasDiagrama">
    <w:name w:val="Pagrindinis tekstas Diagrama"/>
    <w:basedOn w:val="Numatytasispastraiposriftas"/>
    <w:link w:val="Pagrindinistekstas"/>
    <w:rsid w:val="00B64BE2"/>
    <w:rPr>
      <w:rFonts w:ascii="Times New Roman" w:eastAsia="Times New Roman" w:hAnsi="Times New Roman" w:cs="Times New Roman"/>
      <w:szCs w:val="20"/>
      <w:lang w:val="lt-LT" w:eastAsia="lt-LT"/>
    </w:rPr>
  </w:style>
  <w:style w:type="paragraph" w:customStyle="1" w:styleId="Text">
    <w:name w:val="Text"/>
    <w:rsid w:val="00B64BE2"/>
    <w:pPr>
      <w:spacing w:after="0" w:line="240" w:lineRule="atLeast"/>
      <w:ind w:left="568"/>
    </w:pPr>
    <w:rPr>
      <w:rFonts w:ascii="Arial" w:eastAsia="Times New Roman" w:hAnsi="Arial" w:cs="Arial"/>
      <w:sz w:val="20"/>
      <w:szCs w:val="20"/>
      <w:lang w:val="de-DE" w:eastAsia="de-DE"/>
    </w:rPr>
  </w:style>
  <w:style w:type="paragraph" w:styleId="Pagrindiniotekstotrauka3">
    <w:name w:val="Body Text Indent 3"/>
    <w:basedOn w:val="prastasis"/>
    <w:link w:val="Pagrindiniotekstotrauka3Diagrama"/>
    <w:rsid w:val="00B64BE2"/>
    <w:pPr>
      <w:tabs>
        <w:tab w:val="clear" w:pos="567"/>
      </w:tabs>
      <w:spacing w:after="120" w:line="240" w:lineRule="auto"/>
      <w:ind w:left="283"/>
    </w:pPr>
    <w:rPr>
      <w:sz w:val="16"/>
      <w:szCs w:val="16"/>
      <w:lang w:val="lt-LT"/>
    </w:rPr>
  </w:style>
  <w:style w:type="character" w:customStyle="1" w:styleId="Pagrindiniotekstotrauka3Diagrama">
    <w:name w:val="Pagrindinio teksto įtrauka 3 Diagrama"/>
    <w:basedOn w:val="Numatytasispastraiposriftas"/>
    <w:link w:val="Pagrindiniotekstotrauka3"/>
    <w:rsid w:val="00B64BE2"/>
    <w:rPr>
      <w:rFonts w:ascii="Times New Roman" w:eastAsia="Times New Roman" w:hAnsi="Times New Roman" w:cs="Times New Roman"/>
      <w:sz w:val="16"/>
      <w:szCs w:val="16"/>
      <w:lang w:val="lt-LT"/>
    </w:rPr>
  </w:style>
  <w:style w:type="paragraph" w:styleId="Dokumentoinaostekstas">
    <w:name w:val="endnote text"/>
    <w:basedOn w:val="prastasis"/>
    <w:link w:val="DokumentoinaostekstasDiagrama"/>
    <w:semiHidden/>
    <w:rsid w:val="00B64BE2"/>
    <w:pPr>
      <w:spacing w:line="240" w:lineRule="auto"/>
    </w:pPr>
  </w:style>
  <w:style w:type="character" w:customStyle="1" w:styleId="DokumentoinaostekstasDiagrama">
    <w:name w:val="Dokumento išnašos tekstas Diagrama"/>
    <w:basedOn w:val="Numatytasispastraiposriftas"/>
    <w:link w:val="Dokumentoinaostekstas"/>
    <w:semiHidden/>
    <w:rsid w:val="00B64BE2"/>
    <w:rPr>
      <w:rFonts w:ascii="Times New Roman" w:eastAsia="Times New Roman" w:hAnsi="Times New Roman" w:cs="Times New Roman"/>
      <w:szCs w:val="20"/>
      <w:lang w:val="en-GB"/>
    </w:rPr>
  </w:style>
  <w:style w:type="paragraph" w:styleId="Pavadinimas">
    <w:name w:val="Title"/>
    <w:basedOn w:val="prastasis"/>
    <w:link w:val="PavadinimasDiagrama"/>
    <w:qFormat/>
    <w:rsid w:val="00B64BE2"/>
    <w:pPr>
      <w:tabs>
        <w:tab w:val="clear" w:pos="567"/>
      </w:tabs>
      <w:spacing w:line="240" w:lineRule="auto"/>
      <w:jc w:val="center"/>
    </w:pPr>
    <w:rPr>
      <w:b/>
    </w:rPr>
  </w:style>
  <w:style w:type="character" w:customStyle="1" w:styleId="PavadinimasDiagrama">
    <w:name w:val="Pavadinimas Diagrama"/>
    <w:basedOn w:val="Numatytasispastraiposriftas"/>
    <w:link w:val="Pavadinimas"/>
    <w:rsid w:val="00B64BE2"/>
    <w:rPr>
      <w:rFonts w:ascii="Times New Roman" w:eastAsia="Times New Roman" w:hAnsi="Times New Roman" w:cs="Times New Roman"/>
      <w:b/>
      <w:szCs w:val="20"/>
      <w:lang w:val="en-GB"/>
    </w:rPr>
  </w:style>
  <w:style w:type="character" w:customStyle="1" w:styleId="tw4winMark">
    <w:name w:val="tw4winMark"/>
    <w:rsid w:val="00B64BE2"/>
    <w:rPr>
      <w:rFonts w:ascii="Courier New" w:hAnsi="Courier New" w:cs="Courier New"/>
      <w:vanish/>
      <w:color w:val="800080"/>
      <w:sz w:val="24"/>
      <w:vertAlign w:val="subscript"/>
    </w:rPr>
  </w:style>
  <w:style w:type="paragraph" w:styleId="Pagrindiniotekstotrauka2">
    <w:name w:val="Body Text Indent 2"/>
    <w:basedOn w:val="prastasis"/>
    <w:link w:val="Pagrindiniotekstotrauka2Diagrama"/>
    <w:rsid w:val="00B64BE2"/>
    <w:pPr>
      <w:tabs>
        <w:tab w:val="clear" w:pos="567"/>
      </w:tabs>
      <w:spacing w:after="120" w:line="480" w:lineRule="auto"/>
      <w:ind w:left="283"/>
    </w:pPr>
    <w:rPr>
      <w:sz w:val="24"/>
      <w:szCs w:val="24"/>
      <w:lang w:val="lt-LT"/>
    </w:rPr>
  </w:style>
  <w:style w:type="character" w:customStyle="1" w:styleId="Pagrindiniotekstotrauka2Diagrama">
    <w:name w:val="Pagrindinio teksto įtrauka 2 Diagrama"/>
    <w:basedOn w:val="Numatytasispastraiposriftas"/>
    <w:link w:val="Pagrindiniotekstotrauka2"/>
    <w:rsid w:val="00B64BE2"/>
    <w:rPr>
      <w:rFonts w:ascii="Times New Roman" w:eastAsia="Times New Roman" w:hAnsi="Times New Roman" w:cs="Times New Roman"/>
      <w:sz w:val="24"/>
      <w:szCs w:val="24"/>
      <w:lang w:val="lt-LT"/>
    </w:rPr>
  </w:style>
  <w:style w:type="paragraph" w:customStyle="1" w:styleId="Aufzhlung">
    <w:name w:val="Aufzählung"/>
    <w:basedOn w:val="Text"/>
    <w:rsid w:val="00B64BE2"/>
    <w:pPr>
      <w:tabs>
        <w:tab w:val="left" w:pos="284"/>
      </w:tabs>
      <w:ind w:left="284" w:hanging="284"/>
    </w:pPr>
    <w:rPr>
      <w:rFonts w:ascii="Times New Roman" w:hAnsi="Times New Roman" w:cs="Times New Roman"/>
      <w:sz w:val="22"/>
      <w:szCs w:val="22"/>
    </w:rPr>
  </w:style>
  <w:style w:type="paragraph" w:customStyle="1" w:styleId="Erklrung">
    <w:name w:val="Erklärung"/>
    <w:basedOn w:val="prastasis"/>
    <w:rsid w:val="00B64BE2"/>
    <w:pPr>
      <w:tabs>
        <w:tab w:val="clear" w:pos="567"/>
      </w:tabs>
      <w:spacing w:line="240" w:lineRule="auto"/>
    </w:pPr>
    <w:rPr>
      <w:color w:val="008000"/>
      <w:sz w:val="16"/>
      <w:szCs w:val="16"/>
      <w:lang w:val="de-DE" w:eastAsia="de-DE"/>
    </w:rPr>
  </w:style>
  <w:style w:type="paragraph" w:customStyle="1" w:styleId="knZulassung02">
    <w:name w:val="knZulassung02"/>
    <w:basedOn w:val="prastasis"/>
    <w:rsid w:val="00B64BE2"/>
    <w:pPr>
      <w:tabs>
        <w:tab w:val="clear" w:pos="567"/>
      </w:tabs>
      <w:spacing w:line="240" w:lineRule="auto"/>
      <w:ind w:left="1843" w:right="284"/>
    </w:pPr>
    <w:rPr>
      <w:rFonts w:ascii="Courier" w:hAnsi="Courier"/>
      <w:sz w:val="24"/>
      <w:szCs w:val="24"/>
      <w:lang w:val="de-DE" w:eastAsia="de-DE"/>
    </w:rPr>
  </w:style>
  <w:style w:type="paragraph" w:customStyle="1" w:styleId="Default">
    <w:name w:val="Default"/>
    <w:rsid w:val="00B64B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
    <w:name w:val=":"/>
    <w:basedOn w:val="prastasis"/>
    <w:rsid w:val="00B64BE2"/>
    <w:pPr>
      <w:tabs>
        <w:tab w:val="clear" w:pos="567"/>
      </w:tabs>
      <w:spacing w:line="240" w:lineRule="auto"/>
      <w:jc w:val="both"/>
    </w:pPr>
    <w:rPr>
      <w:szCs w:val="24"/>
      <w:lang w:val="lt-LT"/>
    </w:rPr>
  </w:style>
  <w:style w:type="character" w:styleId="Komentaronuoroda">
    <w:name w:val="annotation reference"/>
    <w:semiHidden/>
    <w:rsid w:val="00B64BE2"/>
    <w:rPr>
      <w:sz w:val="16"/>
      <w:szCs w:val="16"/>
    </w:rPr>
  </w:style>
  <w:style w:type="paragraph" w:styleId="Komentarotekstas">
    <w:name w:val="annotation text"/>
    <w:basedOn w:val="prastasis"/>
    <w:link w:val="KomentarotekstasDiagrama"/>
    <w:semiHidden/>
    <w:rsid w:val="00B64BE2"/>
    <w:pPr>
      <w:tabs>
        <w:tab w:val="clear" w:pos="567"/>
      </w:tabs>
      <w:spacing w:line="240" w:lineRule="auto"/>
    </w:pPr>
    <w:rPr>
      <w:sz w:val="20"/>
      <w:lang w:val="lt-LT"/>
    </w:rPr>
  </w:style>
  <w:style w:type="character" w:customStyle="1" w:styleId="KomentarotekstasDiagrama">
    <w:name w:val="Komentaro tekstas Diagrama"/>
    <w:basedOn w:val="Numatytasispastraiposriftas"/>
    <w:link w:val="Komentarotekstas"/>
    <w:semiHidden/>
    <w:rsid w:val="00B64BE2"/>
    <w:rPr>
      <w:rFonts w:ascii="Times New Roman" w:eastAsia="Times New Roman" w:hAnsi="Times New Roman" w:cs="Times New Roman"/>
      <w:sz w:val="20"/>
      <w:szCs w:val="20"/>
      <w:lang w:val="lt-LT"/>
    </w:rPr>
  </w:style>
  <w:style w:type="paragraph" w:styleId="Tekstoblokas">
    <w:name w:val="Block Text"/>
    <w:basedOn w:val="prastasis"/>
    <w:rsid w:val="00B64BE2"/>
    <w:pPr>
      <w:widowControl w:val="0"/>
      <w:shd w:val="clear" w:color="auto" w:fill="FFFFFF"/>
      <w:tabs>
        <w:tab w:val="clear" w:pos="567"/>
      </w:tabs>
      <w:autoSpaceDE w:val="0"/>
      <w:autoSpaceDN w:val="0"/>
      <w:adjustRightInd w:val="0"/>
      <w:spacing w:line="240" w:lineRule="auto"/>
      <w:ind w:left="3600" w:right="389"/>
    </w:pPr>
    <w:rPr>
      <w:color w:val="007505"/>
      <w:spacing w:val="1"/>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12451</Words>
  <Characters>7098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7</cp:revision>
  <cp:lastPrinted>2017-01-15T14:08:00Z</cp:lastPrinted>
  <dcterms:created xsi:type="dcterms:W3CDTF">2017-12-27T08:31:00Z</dcterms:created>
  <dcterms:modified xsi:type="dcterms:W3CDTF">2018-01-23T09:38:00Z</dcterms:modified>
</cp:coreProperties>
</file>